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C9C9E" w14:textId="77777777" w:rsidR="002C5083" w:rsidRPr="002441D8" w:rsidRDefault="00ED4325" w:rsidP="00097A9D">
      <w:pPr>
        <w:spacing w:line="360" w:lineRule="auto"/>
        <w:jc w:val="both"/>
        <w:rPr>
          <w:b/>
          <w:sz w:val="20"/>
          <w:szCs w:val="20"/>
        </w:rPr>
      </w:pPr>
      <w:r w:rsidRPr="002441D8">
        <w:rPr>
          <w:b/>
          <w:sz w:val="20"/>
          <w:szCs w:val="20"/>
        </w:rPr>
        <w:t>Title -</w:t>
      </w:r>
      <w:r w:rsidR="002C5083" w:rsidRPr="002441D8">
        <w:rPr>
          <w:b/>
          <w:sz w:val="20"/>
          <w:szCs w:val="20"/>
        </w:rPr>
        <w:t xml:space="preserve"> Allogeneic </w:t>
      </w:r>
      <w:r w:rsidR="001D264B" w:rsidRPr="002441D8">
        <w:rPr>
          <w:b/>
          <w:sz w:val="20"/>
          <w:szCs w:val="20"/>
        </w:rPr>
        <w:t xml:space="preserve">Stem Cell </w:t>
      </w:r>
      <w:r w:rsidR="002C5083" w:rsidRPr="002441D8">
        <w:rPr>
          <w:b/>
          <w:sz w:val="20"/>
          <w:szCs w:val="20"/>
        </w:rPr>
        <w:t>Transplantation for C</w:t>
      </w:r>
      <w:r w:rsidR="00C82986" w:rsidRPr="002441D8">
        <w:rPr>
          <w:b/>
          <w:sz w:val="20"/>
          <w:szCs w:val="20"/>
        </w:rPr>
        <w:t xml:space="preserve">hronic </w:t>
      </w:r>
      <w:r w:rsidR="002C5083" w:rsidRPr="002441D8">
        <w:rPr>
          <w:b/>
          <w:sz w:val="20"/>
          <w:szCs w:val="20"/>
        </w:rPr>
        <w:t>M</w:t>
      </w:r>
      <w:r w:rsidR="00C82986" w:rsidRPr="002441D8">
        <w:rPr>
          <w:b/>
          <w:sz w:val="20"/>
          <w:szCs w:val="20"/>
        </w:rPr>
        <w:t xml:space="preserve">yeloid </w:t>
      </w:r>
      <w:r w:rsidR="002C5083" w:rsidRPr="002441D8">
        <w:rPr>
          <w:b/>
          <w:sz w:val="20"/>
          <w:szCs w:val="20"/>
        </w:rPr>
        <w:t>L</w:t>
      </w:r>
      <w:r w:rsidR="00C82986" w:rsidRPr="002441D8">
        <w:rPr>
          <w:b/>
          <w:sz w:val="20"/>
          <w:szCs w:val="20"/>
        </w:rPr>
        <w:t>eukaemia</w:t>
      </w:r>
      <w:r w:rsidR="00A66C6D" w:rsidRPr="002441D8">
        <w:rPr>
          <w:b/>
          <w:sz w:val="20"/>
          <w:szCs w:val="20"/>
        </w:rPr>
        <w:t xml:space="preserve"> in the</w:t>
      </w:r>
      <w:r w:rsidR="002C5083" w:rsidRPr="002441D8">
        <w:rPr>
          <w:b/>
          <w:sz w:val="20"/>
          <w:szCs w:val="20"/>
        </w:rPr>
        <w:t xml:space="preserve"> era</w:t>
      </w:r>
      <w:r w:rsidR="00C82986" w:rsidRPr="002441D8">
        <w:rPr>
          <w:b/>
          <w:sz w:val="20"/>
          <w:szCs w:val="20"/>
        </w:rPr>
        <w:t xml:space="preserve"> of Tyrosine Kinase Inhibitors</w:t>
      </w:r>
      <w:r w:rsidR="002C5083" w:rsidRPr="002441D8">
        <w:rPr>
          <w:b/>
          <w:sz w:val="20"/>
          <w:szCs w:val="20"/>
        </w:rPr>
        <w:t>: striking the right balance</w:t>
      </w:r>
    </w:p>
    <w:p w14:paraId="08414C0B" w14:textId="77777777" w:rsidR="002C5083" w:rsidRPr="002441D8" w:rsidRDefault="002C5083" w:rsidP="00097A9D">
      <w:pPr>
        <w:jc w:val="both"/>
        <w:rPr>
          <w:b/>
          <w:sz w:val="24"/>
          <w:szCs w:val="24"/>
        </w:rPr>
      </w:pPr>
      <w:bookmarkStart w:id="0" w:name="_GoBack"/>
      <w:bookmarkEnd w:id="0"/>
    </w:p>
    <w:p w14:paraId="4C0EF206" w14:textId="77777777" w:rsidR="002C5083" w:rsidRPr="002441D8" w:rsidRDefault="002C5083" w:rsidP="00097A9D">
      <w:pPr>
        <w:jc w:val="both"/>
        <w:rPr>
          <w:b/>
          <w:sz w:val="20"/>
          <w:szCs w:val="20"/>
        </w:rPr>
      </w:pPr>
      <w:r w:rsidRPr="002441D8">
        <w:rPr>
          <w:b/>
          <w:sz w:val="20"/>
          <w:szCs w:val="20"/>
        </w:rPr>
        <w:t>Authors – Andrew J Innes</w:t>
      </w:r>
      <w:r w:rsidRPr="002441D8">
        <w:rPr>
          <w:b/>
          <w:sz w:val="20"/>
          <w:szCs w:val="20"/>
          <w:vertAlign w:val="superscript"/>
        </w:rPr>
        <w:t>1,2</w:t>
      </w:r>
      <w:r w:rsidRPr="002441D8">
        <w:rPr>
          <w:b/>
          <w:sz w:val="20"/>
          <w:szCs w:val="20"/>
        </w:rPr>
        <w:t>, Dragana Milojkovic</w:t>
      </w:r>
      <w:r w:rsidRPr="002441D8">
        <w:rPr>
          <w:b/>
          <w:sz w:val="20"/>
          <w:szCs w:val="20"/>
          <w:vertAlign w:val="superscript"/>
        </w:rPr>
        <w:t>1,3</w:t>
      </w:r>
      <w:r w:rsidRPr="002441D8">
        <w:rPr>
          <w:b/>
          <w:sz w:val="20"/>
          <w:szCs w:val="20"/>
        </w:rPr>
        <w:t xml:space="preserve"> and Jane F Apperley</w:t>
      </w:r>
      <w:r w:rsidRPr="002441D8">
        <w:rPr>
          <w:sz w:val="20"/>
          <w:szCs w:val="20"/>
          <w:vertAlign w:val="superscript"/>
        </w:rPr>
        <w:t>1,3</w:t>
      </w:r>
      <w:r w:rsidRPr="002441D8">
        <w:rPr>
          <w:sz w:val="20"/>
          <w:szCs w:val="20"/>
        </w:rPr>
        <w:t xml:space="preserve"> </w:t>
      </w:r>
    </w:p>
    <w:p w14:paraId="7467BA93" w14:textId="77777777" w:rsidR="002C5083" w:rsidRPr="002441D8" w:rsidRDefault="002C5083" w:rsidP="00097A9D">
      <w:pPr>
        <w:jc w:val="both"/>
        <w:rPr>
          <w:b/>
          <w:sz w:val="24"/>
          <w:szCs w:val="24"/>
        </w:rPr>
      </w:pPr>
    </w:p>
    <w:p w14:paraId="4A6D96E8" w14:textId="77777777" w:rsidR="002C5083" w:rsidRPr="002441D8" w:rsidRDefault="002C5083" w:rsidP="00097A9D">
      <w:pPr>
        <w:spacing w:after="0" w:line="480" w:lineRule="auto"/>
        <w:jc w:val="both"/>
      </w:pPr>
      <w:r w:rsidRPr="002441D8">
        <w:rPr>
          <w:vertAlign w:val="superscript"/>
        </w:rPr>
        <w:t>1</w:t>
      </w:r>
      <w:r w:rsidRPr="002441D8">
        <w:t>Centre for Haematology</w:t>
      </w:r>
    </w:p>
    <w:p w14:paraId="694325B5" w14:textId="77777777" w:rsidR="002C5083" w:rsidRPr="002441D8" w:rsidRDefault="002C5083" w:rsidP="00097A9D">
      <w:pPr>
        <w:spacing w:after="0" w:line="480" w:lineRule="auto"/>
        <w:jc w:val="both"/>
        <w:rPr>
          <w:rFonts w:cs="Arial"/>
          <w:shd w:val="clear" w:color="auto" w:fill="FFFFFF"/>
        </w:rPr>
      </w:pPr>
      <w:r w:rsidRPr="002441D8">
        <w:rPr>
          <w:rFonts w:cs="Arial"/>
          <w:shd w:val="clear" w:color="auto" w:fill="FFFFFF"/>
        </w:rPr>
        <w:t>Faculty of Medicine</w:t>
      </w:r>
    </w:p>
    <w:p w14:paraId="500A9261" w14:textId="77777777" w:rsidR="002C5083" w:rsidRPr="002441D8" w:rsidRDefault="002C5083" w:rsidP="00097A9D">
      <w:pPr>
        <w:spacing w:after="0" w:line="480" w:lineRule="auto"/>
        <w:jc w:val="both"/>
        <w:rPr>
          <w:rFonts w:cs="Arial"/>
          <w:shd w:val="clear" w:color="auto" w:fill="FFFFFF"/>
        </w:rPr>
      </w:pPr>
      <w:r w:rsidRPr="002441D8">
        <w:rPr>
          <w:rFonts w:cs="Arial"/>
          <w:shd w:val="clear" w:color="auto" w:fill="FFFFFF"/>
        </w:rPr>
        <w:t xml:space="preserve">Imperial College London </w:t>
      </w:r>
    </w:p>
    <w:p w14:paraId="409E7638" w14:textId="77777777" w:rsidR="002C5083" w:rsidRPr="002441D8" w:rsidRDefault="002C5083" w:rsidP="00097A9D">
      <w:pPr>
        <w:spacing w:after="0" w:line="480" w:lineRule="auto"/>
        <w:jc w:val="both"/>
        <w:rPr>
          <w:rFonts w:cs="Arial"/>
          <w:shd w:val="clear" w:color="auto" w:fill="FFFFFF"/>
        </w:rPr>
      </w:pPr>
      <w:r w:rsidRPr="002441D8">
        <w:rPr>
          <w:rFonts w:cs="Arial"/>
          <w:shd w:val="clear" w:color="auto" w:fill="FFFFFF"/>
        </w:rPr>
        <w:t>Hammersmith Campus</w:t>
      </w:r>
    </w:p>
    <w:p w14:paraId="1A2A1A2A" w14:textId="77777777" w:rsidR="002C5083" w:rsidRPr="002441D8" w:rsidRDefault="002C5083" w:rsidP="00097A9D">
      <w:pPr>
        <w:spacing w:after="0" w:line="480" w:lineRule="auto"/>
        <w:jc w:val="both"/>
        <w:rPr>
          <w:rFonts w:cs="Arial"/>
          <w:shd w:val="clear" w:color="auto" w:fill="FFFFFF"/>
        </w:rPr>
      </w:pPr>
      <w:r w:rsidRPr="002441D8">
        <w:rPr>
          <w:rFonts w:cs="Arial"/>
          <w:shd w:val="clear" w:color="auto" w:fill="FFFFFF"/>
        </w:rPr>
        <w:t>London W12 0NN</w:t>
      </w:r>
    </w:p>
    <w:p w14:paraId="5C3A6C3D" w14:textId="77777777" w:rsidR="002C5083" w:rsidRPr="002441D8" w:rsidRDefault="002C5083" w:rsidP="00097A9D">
      <w:pPr>
        <w:spacing w:after="0" w:line="480" w:lineRule="auto"/>
        <w:jc w:val="both"/>
        <w:rPr>
          <w:rFonts w:cs="Arial"/>
          <w:shd w:val="clear" w:color="auto" w:fill="FFFFFF"/>
        </w:rPr>
      </w:pPr>
      <w:r w:rsidRPr="002441D8">
        <w:rPr>
          <w:rFonts w:cs="Arial"/>
          <w:shd w:val="clear" w:color="auto" w:fill="FFFFFF"/>
          <w:vertAlign w:val="superscript"/>
        </w:rPr>
        <w:t>2</w:t>
      </w:r>
      <w:r w:rsidRPr="002441D8">
        <w:rPr>
          <w:rFonts w:cs="Arial"/>
          <w:shd w:val="clear" w:color="auto" w:fill="FFFFFF"/>
        </w:rPr>
        <w:t xml:space="preserve">Cell Proliferation Group </w:t>
      </w:r>
    </w:p>
    <w:p w14:paraId="485735BA" w14:textId="77777777" w:rsidR="002C5083" w:rsidRPr="002441D8" w:rsidRDefault="002C5083" w:rsidP="00097A9D">
      <w:pPr>
        <w:spacing w:after="0" w:line="480" w:lineRule="auto"/>
        <w:jc w:val="both"/>
        <w:rPr>
          <w:rFonts w:cs="Arial"/>
          <w:shd w:val="clear" w:color="auto" w:fill="FFFFFF"/>
        </w:rPr>
      </w:pPr>
      <w:r w:rsidRPr="002441D8">
        <w:rPr>
          <w:rFonts w:cs="Arial"/>
          <w:shd w:val="clear" w:color="auto" w:fill="FFFFFF"/>
        </w:rPr>
        <w:t>MRC Clinical Science Centre,</w:t>
      </w:r>
    </w:p>
    <w:p w14:paraId="54B50B0B" w14:textId="77777777" w:rsidR="002C5083" w:rsidRPr="002441D8" w:rsidRDefault="002C5083" w:rsidP="00B8388B">
      <w:pPr>
        <w:spacing w:after="0" w:line="480" w:lineRule="auto"/>
        <w:jc w:val="both"/>
        <w:rPr>
          <w:rFonts w:cs="Arial"/>
          <w:shd w:val="clear" w:color="auto" w:fill="FFFFFF"/>
        </w:rPr>
      </w:pPr>
      <w:r w:rsidRPr="002441D8">
        <w:rPr>
          <w:rFonts w:cs="Arial"/>
          <w:shd w:val="clear" w:color="auto" w:fill="FFFFFF"/>
        </w:rPr>
        <w:t>Imperial College London,</w:t>
      </w:r>
    </w:p>
    <w:p w14:paraId="4075831B" w14:textId="77777777" w:rsidR="002C5083" w:rsidRPr="002441D8" w:rsidRDefault="002C5083" w:rsidP="00B8388B">
      <w:pPr>
        <w:spacing w:after="0" w:line="480" w:lineRule="auto"/>
        <w:jc w:val="both"/>
        <w:rPr>
          <w:rFonts w:cs="Arial"/>
          <w:shd w:val="clear" w:color="auto" w:fill="FFFFFF"/>
        </w:rPr>
      </w:pPr>
      <w:r w:rsidRPr="002441D8">
        <w:rPr>
          <w:rFonts w:cs="Arial"/>
          <w:shd w:val="clear" w:color="auto" w:fill="FFFFFF"/>
        </w:rPr>
        <w:t>Hammersmith Campus,</w:t>
      </w:r>
    </w:p>
    <w:p w14:paraId="7733820A" w14:textId="77777777" w:rsidR="002C5083" w:rsidRPr="002441D8" w:rsidRDefault="002C5083" w:rsidP="00B8388B">
      <w:pPr>
        <w:spacing w:after="0" w:line="480" w:lineRule="auto"/>
        <w:jc w:val="both"/>
        <w:rPr>
          <w:rFonts w:cs="Arial"/>
          <w:shd w:val="clear" w:color="auto" w:fill="FFFFFF"/>
        </w:rPr>
      </w:pPr>
      <w:r w:rsidRPr="002441D8">
        <w:rPr>
          <w:rFonts w:cs="Arial"/>
          <w:shd w:val="clear" w:color="auto" w:fill="FFFFFF"/>
        </w:rPr>
        <w:t>London</w:t>
      </w:r>
    </w:p>
    <w:p w14:paraId="0E10B4AB" w14:textId="77777777" w:rsidR="002C5083" w:rsidRPr="002441D8" w:rsidRDefault="002C5083" w:rsidP="00097A9D">
      <w:pPr>
        <w:spacing w:after="0" w:line="480" w:lineRule="auto"/>
        <w:jc w:val="both"/>
        <w:rPr>
          <w:rFonts w:cs="Arial"/>
          <w:shd w:val="clear" w:color="auto" w:fill="FFFFFF"/>
        </w:rPr>
      </w:pPr>
      <w:r w:rsidRPr="002441D8">
        <w:rPr>
          <w:rFonts w:cs="Arial"/>
          <w:shd w:val="clear" w:color="auto" w:fill="FFFFFF"/>
        </w:rPr>
        <w:t>W12 0NN</w:t>
      </w:r>
    </w:p>
    <w:p w14:paraId="31EFC17D" w14:textId="77777777" w:rsidR="002C5083" w:rsidRPr="002441D8" w:rsidRDefault="002C5083" w:rsidP="00097A9D">
      <w:pPr>
        <w:spacing w:after="0" w:line="480" w:lineRule="auto"/>
        <w:jc w:val="both"/>
        <w:rPr>
          <w:rFonts w:cs="Arial"/>
          <w:shd w:val="clear" w:color="auto" w:fill="FFFFFF"/>
        </w:rPr>
      </w:pPr>
      <w:r w:rsidRPr="002441D8">
        <w:rPr>
          <w:rFonts w:cs="Arial"/>
          <w:shd w:val="clear" w:color="auto" w:fill="FFFFFF"/>
          <w:vertAlign w:val="superscript"/>
        </w:rPr>
        <w:t>3</w:t>
      </w:r>
      <w:r w:rsidRPr="002441D8">
        <w:rPr>
          <w:rFonts w:cs="Arial"/>
          <w:shd w:val="clear" w:color="auto" w:fill="FFFFFF"/>
        </w:rPr>
        <w:t>Department of Clinical Haematology</w:t>
      </w:r>
    </w:p>
    <w:p w14:paraId="55DEA92F" w14:textId="77777777" w:rsidR="002C5083" w:rsidRPr="002441D8" w:rsidRDefault="002C5083" w:rsidP="00097A9D">
      <w:pPr>
        <w:spacing w:after="0" w:line="480" w:lineRule="auto"/>
        <w:jc w:val="both"/>
        <w:rPr>
          <w:rFonts w:cs="Arial"/>
          <w:shd w:val="clear" w:color="auto" w:fill="FFFFFF"/>
        </w:rPr>
      </w:pPr>
      <w:r w:rsidRPr="002441D8">
        <w:rPr>
          <w:rFonts w:cs="Arial"/>
          <w:shd w:val="clear" w:color="auto" w:fill="FFFFFF"/>
        </w:rPr>
        <w:t>Imperial College Healthcare NHS Trust</w:t>
      </w:r>
    </w:p>
    <w:p w14:paraId="5A0D4292" w14:textId="77777777" w:rsidR="002C5083" w:rsidRPr="002441D8" w:rsidRDefault="002C5083" w:rsidP="00097A9D">
      <w:pPr>
        <w:spacing w:after="0" w:line="480" w:lineRule="auto"/>
        <w:jc w:val="both"/>
        <w:rPr>
          <w:rFonts w:cs="Arial"/>
          <w:shd w:val="clear" w:color="auto" w:fill="FFFFFF"/>
        </w:rPr>
      </w:pPr>
      <w:r w:rsidRPr="002441D8">
        <w:rPr>
          <w:rFonts w:cs="Arial"/>
          <w:shd w:val="clear" w:color="auto" w:fill="FFFFFF"/>
        </w:rPr>
        <w:t xml:space="preserve">Hammersmith Hospital </w:t>
      </w:r>
    </w:p>
    <w:p w14:paraId="49BFB45A" w14:textId="77777777" w:rsidR="002C5083" w:rsidRPr="002441D8" w:rsidRDefault="002C5083" w:rsidP="00097A9D">
      <w:pPr>
        <w:spacing w:after="0" w:line="480" w:lineRule="auto"/>
        <w:jc w:val="both"/>
        <w:rPr>
          <w:rFonts w:cs="Arial"/>
          <w:shd w:val="clear" w:color="auto" w:fill="FFFFFF"/>
        </w:rPr>
      </w:pPr>
      <w:r w:rsidRPr="002441D8">
        <w:rPr>
          <w:rFonts w:cs="Arial"/>
          <w:shd w:val="clear" w:color="auto" w:fill="FFFFFF"/>
        </w:rPr>
        <w:t>London W12 0NN</w:t>
      </w:r>
    </w:p>
    <w:p w14:paraId="5A76CE50" w14:textId="77777777" w:rsidR="002C5083" w:rsidRPr="002441D8" w:rsidRDefault="002C5083" w:rsidP="00097A9D">
      <w:pPr>
        <w:spacing w:after="0" w:line="480" w:lineRule="auto"/>
        <w:jc w:val="both"/>
        <w:rPr>
          <w:rFonts w:cs="Arial"/>
          <w:shd w:val="clear" w:color="auto" w:fill="FFFFFF"/>
        </w:rPr>
      </w:pPr>
      <w:r w:rsidRPr="002441D8">
        <w:rPr>
          <w:rFonts w:cs="Arial"/>
          <w:b/>
          <w:shd w:val="clear" w:color="auto" w:fill="FFFFFF"/>
        </w:rPr>
        <w:t>Corresponding author:</w:t>
      </w:r>
      <w:r w:rsidRPr="002441D8">
        <w:rPr>
          <w:rFonts w:cs="Arial"/>
          <w:shd w:val="clear" w:color="auto" w:fill="FFFFFF"/>
        </w:rPr>
        <w:t xml:space="preserve"> Jane F Apperley, j.apperley@imperial.ac.uk</w:t>
      </w:r>
    </w:p>
    <w:p w14:paraId="1AD5C94D" w14:textId="77777777" w:rsidR="002C5083" w:rsidRPr="002441D8" w:rsidRDefault="002C5083" w:rsidP="00097A9D">
      <w:pPr>
        <w:spacing w:after="0" w:line="480" w:lineRule="auto"/>
        <w:jc w:val="both"/>
        <w:rPr>
          <w:b/>
        </w:rPr>
      </w:pPr>
    </w:p>
    <w:p w14:paraId="16985A94" w14:textId="77777777" w:rsidR="002C5083" w:rsidRPr="002441D8" w:rsidRDefault="002C5083" w:rsidP="00097A9D">
      <w:pPr>
        <w:spacing w:after="0" w:line="480" w:lineRule="auto"/>
        <w:jc w:val="both"/>
      </w:pPr>
      <w:r w:rsidRPr="002441D8">
        <w:rPr>
          <w:b/>
        </w:rPr>
        <w:t>Key words:</w:t>
      </w:r>
      <w:r w:rsidR="00EB772A" w:rsidRPr="002441D8">
        <w:t xml:space="preserve"> CML, allogeneic stem cell t</w:t>
      </w:r>
      <w:r w:rsidRPr="002441D8">
        <w:t>ransplant, tyrosine kinase inhibitors</w:t>
      </w:r>
    </w:p>
    <w:p w14:paraId="6DD79DCE" w14:textId="77777777" w:rsidR="002C5083" w:rsidRPr="002441D8" w:rsidRDefault="002C5083" w:rsidP="00097A9D">
      <w:pPr>
        <w:spacing w:after="0" w:line="480" w:lineRule="auto"/>
        <w:jc w:val="both"/>
      </w:pPr>
    </w:p>
    <w:p w14:paraId="03CDD0F7" w14:textId="77777777" w:rsidR="002C5083" w:rsidRPr="002441D8" w:rsidRDefault="002C5083" w:rsidP="00097A9D">
      <w:pPr>
        <w:spacing w:after="0" w:line="480" w:lineRule="auto"/>
        <w:jc w:val="both"/>
      </w:pPr>
      <w:r w:rsidRPr="002441D8">
        <w:rPr>
          <w:b/>
        </w:rPr>
        <w:lastRenderedPageBreak/>
        <w:t xml:space="preserve">Conflict-of-interest disclosure: </w:t>
      </w:r>
      <w:r w:rsidRPr="002441D8">
        <w:t>J.F.A. and D.M have received honoraria f</w:t>
      </w:r>
      <w:r w:rsidR="001D49B8" w:rsidRPr="002441D8">
        <w:t>rom and serve</w:t>
      </w:r>
      <w:r w:rsidRPr="002441D8">
        <w:t xml:space="preserve"> on advisory boards for Ariad, Bristol Myers Squibb, Novartis and Pfizer. A.J.I. declares no competing financial interests.</w:t>
      </w:r>
    </w:p>
    <w:p w14:paraId="09D64137" w14:textId="77777777" w:rsidR="002C5083" w:rsidRPr="002441D8" w:rsidRDefault="002C5083" w:rsidP="00097A9D">
      <w:pPr>
        <w:spacing w:after="0" w:line="480" w:lineRule="auto"/>
        <w:jc w:val="both"/>
      </w:pPr>
    </w:p>
    <w:p w14:paraId="7B909845" w14:textId="77777777" w:rsidR="002C5083" w:rsidRPr="002441D8" w:rsidRDefault="002C5083" w:rsidP="00097A9D">
      <w:pPr>
        <w:spacing w:after="0" w:line="480" w:lineRule="auto"/>
        <w:jc w:val="both"/>
        <w:rPr>
          <w:b/>
          <w:sz w:val="24"/>
          <w:szCs w:val="24"/>
        </w:rPr>
      </w:pPr>
      <w:r w:rsidRPr="002441D8">
        <w:rPr>
          <w:b/>
        </w:rPr>
        <w:t xml:space="preserve">Acknowledgements: </w:t>
      </w:r>
      <w:r w:rsidRPr="002441D8">
        <w:t>JFA and DM acknowledge the support of the NIHR Biomedical Research Centre. AJI</w:t>
      </w:r>
      <w:r w:rsidR="00EB772A" w:rsidRPr="002441D8">
        <w:t xml:space="preserve"> acknowledges the support of an</w:t>
      </w:r>
      <w:r w:rsidRPr="002441D8">
        <w:t xml:space="preserve"> MRC and NIHR Chain-Florey Clinical Research Fellowship. We are extremely grateful to the </w:t>
      </w:r>
      <w:r w:rsidRPr="002441D8">
        <w:rPr>
          <w:rFonts w:cs="Arial"/>
          <w:lang w:val="en-US"/>
        </w:rPr>
        <w:t xml:space="preserve">EBMT Transplant activity survey office, and in particular </w:t>
      </w:r>
      <w:r w:rsidRPr="002441D8">
        <w:t>Helen Baldomero and Alois Gratwohl for the data in figure 2.</w:t>
      </w:r>
    </w:p>
    <w:p w14:paraId="752E7F3B" w14:textId="77777777" w:rsidR="002C5083" w:rsidRPr="002441D8" w:rsidRDefault="002C5083" w:rsidP="00E13B84">
      <w:pPr>
        <w:spacing w:line="360" w:lineRule="auto"/>
        <w:jc w:val="both"/>
        <w:rPr>
          <w:b/>
          <w:sz w:val="20"/>
          <w:szCs w:val="20"/>
        </w:rPr>
      </w:pPr>
    </w:p>
    <w:p w14:paraId="13D3F77E" w14:textId="77777777" w:rsidR="002C5083" w:rsidRPr="002441D8" w:rsidRDefault="002C5083">
      <w:pPr>
        <w:rPr>
          <w:b/>
          <w:sz w:val="20"/>
          <w:szCs w:val="20"/>
        </w:rPr>
      </w:pPr>
      <w:r w:rsidRPr="002441D8">
        <w:rPr>
          <w:b/>
          <w:sz w:val="20"/>
          <w:szCs w:val="20"/>
        </w:rPr>
        <w:br w:type="page"/>
      </w:r>
    </w:p>
    <w:p w14:paraId="45CA5665" w14:textId="77777777" w:rsidR="002C5083" w:rsidRPr="002441D8" w:rsidRDefault="002C5083" w:rsidP="00E13B84">
      <w:pPr>
        <w:spacing w:line="360" w:lineRule="auto"/>
        <w:jc w:val="both"/>
        <w:rPr>
          <w:b/>
          <w:sz w:val="20"/>
          <w:szCs w:val="20"/>
        </w:rPr>
      </w:pPr>
      <w:r w:rsidRPr="002441D8">
        <w:rPr>
          <w:b/>
          <w:sz w:val="20"/>
          <w:szCs w:val="20"/>
        </w:rPr>
        <w:lastRenderedPageBreak/>
        <w:t>Summary</w:t>
      </w:r>
    </w:p>
    <w:p w14:paraId="7E612E50" w14:textId="77777777" w:rsidR="002C5083" w:rsidRPr="002441D8" w:rsidRDefault="002C5083" w:rsidP="00E13B84">
      <w:pPr>
        <w:spacing w:line="360" w:lineRule="auto"/>
        <w:jc w:val="both"/>
        <w:rPr>
          <w:b/>
          <w:sz w:val="20"/>
          <w:szCs w:val="20"/>
        </w:rPr>
      </w:pPr>
      <w:r w:rsidRPr="002441D8">
        <w:rPr>
          <w:sz w:val="20"/>
          <w:szCs w:val="20"/>
        </w:rPr>
        <w:t>The management of chronic myeloid leukaemia has undergone extensive change in the past 15 years. Prior to the development of targeted therapies, the</w:t>
      </w:r>
      <w:r w:rsidRPr="002441D8">
        <w:rPr>
          <w:b/>
          <w:sz w:val="20"/>
          <w:szCs w:val="20"/>
        </w:rPr>
        <w:t xml:space="preserve"> </w:t>
      </w:r>
      <w:r w:rsidRPr="002441D8">
        <w:rPr>
          <w:sz w:val="20"/>
          <w:szCs w:val="20"/>
        </w:rPr>
        <w:t>median survival without allogeneic haematopoetic stem cell transplantation (HSCT) was 5-7 years and HSCT offered the only prospect of cure. HSCT was quickly established as the standard of care for eligible patients through the 1980s and 1990s, during which time considerable advances were made in the optimisation of conditioning regimens and supportive care. Exploiting a deeper understanding of the molecular basis of CML, the development of tyrosine kinase inhibitors (TKIs) in the late 1990s revolutionised the management of the disease. TKIs offer the prospect of long-term disease control with a simple oral therapy, and have established themselves as first line therapy in the 21</w:t>
      </w:r>
      <w:r w:rsidRPr="002441D8">
        <w:rPr>
          <w:sz w:val="20"/>
          <w:szCs w:val="20"/>
          <w:vertAlign w:val="superscript"/>
        </w:rPr>
        <w:t>st</w:t>
      </w:r>
      <w:r w:rsidRPr="002441D8">
        <w:rPr>
          <w:sz w:val="20"/>
          <w:szCs w:val="20"/>
        </w:rPr>
        <w:t xml:space="preserve"> century. Interestingly, whilst the majority of patients treated with TKIs will achieve excellent resp</w:t>
      </w:r>
      <w:r w:rsidR="001D49B8" w:rsidRPr="002441D8">
        <w:rPr>
          <w:sz w:val="20"/>
          <w:szCs w:val="20"/>
        </w:rPr>
        <w:t>onses with sustained therapies, some even continue to have undetectable or</w:t>
      </w:r>
      <w:r w:rsidR="00007919" w:rsidRPr="002441D8">
        <w:rPr>
          <w:sz w:val="20"/>
          <w:szCs w:val="20"/>
        </w:rPr>
        <w:t xml:space="preserve"> exceptionally low level </w:t>
      </w:r>
      <w:r w:rsidR="001D49B8" w:rsidRPr="002441D8">
        <w:rPr>
          <w:sz w:val="20"/>
          <w:szCs w:val="20"/>
        </w:rPr>
        <w:t>disease upon TKI withdrawal, but</w:t>
      </w:r>
      <w:r w:rsidRPr="002441D8">
        <w:rPr>
          <w:sz w:val="20"/>
          <w:szCs w:val="20"/>
        </w:rPr>
        <w:t xml:space="preserve"> </w:t>
      </w:r>
      <w:r w:rsidR="001D49B8" w:rsidRPr="002441D8">
        <w:rPr>
          <w:sz w:val="20"/>
          <w:szCs w:val="20"/>
        </w:rPr>
        <w:t xml:space="preserve">for </w:t>
      </w:r>
      <w:r w:rsidRPr="002441D8">
        <w:rPr>
          <w:sz w:val="20"/>
          <w:szCs w:val="20"/>
        </w:rPr>
        <w:t xml:space="preserve">an almost equal number </w:t>
      </w:r>
      <w:r w:rsidR="001D49B8" w:rsidRPr="002441D8">
        <w:rPr>
          <w:sz w:val="20"/>
          <w:szCs w:val="20"/>
        </w:rPr>
        <w:t>an adequate response</w:t>
      </w:r>
      <w:r w:rsidRPr="002441D8">
        <w:rPr>
          <w:sz w:val="20"/>
          <w:szCs w:val="20"/>
        </w:rPr>
        <w:t xml:space="preserve"> cannot be achieved with any currently available TKI</w:t>
      </w:r>
      <w:r w:rsidR="001D49B8" w:rsidRPr="002441D8">
        <w:rPr>
          <w:sz w:val="20"/>
          <w:szCs w:val="20"/>
        </w:rPr>
        <w:t xml:space="preserve">. </w:t>
      </w:r>
      <w:r w:rsidRPr="002441D8">
        <w:rPr>
          <w:sz w:val="20"/>
          <w:szCs w:val="20"/>
        </w:rPr>
        <w:t xml:space="preserve"> </w:t>
      </w:r>
      <w:r w:rsidR="001D49B8" w:rsidRPr="002441D8">
        <w:rPr>
          <w:sz w:val="20"/>
          <w:szCs w:val="20"/>
        </w:rPr>
        <w:t>F</w:t>
      </w:r>
      <w:r w:rsidRPr="002441D8">
        <w:rPr>
          <w:sz w:val="20"/>
          <w:szCs w:val="20"/>
        </w:rPr>
        <w:t xml:space="preserve">or </w:t>
      </w:r>
      <w:r w:rsidR="001D49B8" w:rsidRPr="002441D8">
        <w:rPr>
          <w:sz w:val="20"/>
          <w:szCs w:val="20"/>
        </w:rPr>
        <w:t xml:space="preserve">the later group </w:t>
      </w:r>
      <w:r w:rsidRPr="002441D8">
        <w:rPr>
          <w:sz w:val="20"/>
          <w:szCs w:val="20"/>
        </w:rPr>
        <w:t xml:space="preserve">HSCT offers the best prospect of long-term survival. This review will focus on the current role of HSCT in CML drawing on lessons learned from the extensive transplant experience </w:t>
      </w:r>
      <w:r w:rsidR="00EB772A" w:rsidRPr="002441D8">
        <w:rPr>
          <w:sz w:val="20"/>
          <w:szCs w:val="20"/>
        </w:rPr>
        <w:t>over the last three</w:t>
      </w:r>
      <w:r w:rsidRPr="002441D8">
        <w:rPr>
          <w:sz w:val="20"/>
          <w:szCs w:val="20"/>
        </w:rPr>
        <w:t xml:space="preserve"> decades.</w:t>
      </w:r>
    </w:p>
    <w:p w14:paraId="713ABA28" w14:textId="77777777" w:rsidR="002C5083" w:rsidRPr="002441D8" w:rsidRDefault="002C5083" w:rsidP="00E13B84">
      <w:pPr>
        <w:spacing w:line="360" w:lineRule="auto"/>
        <w:jc w:val="both"/>
        <w:rPr>
          <w:sz w:val="20"/>
          <w:szCs w:val="20"/>
        </w:rPr>
      </w:pPr>
    </w:p>
    <w:p w14:paraId="75047D8D" w14:textId="77777777" w:rsidR="002C5083" w:rsidRPr="002441D8" w:rsidRDefault="002C5083" w:rsidP="00E13B84">
      <w:pPr>
        <w:spacing w:line="360" w:lineRule="auto"/>
        <w:jc w:val="both"/>
        <w:rPr>
          <w:b/>
          <w:sz w:val="20"/>
          <w:szCs w:val="20"/>
        </w:rPr>
      </w:pPr>
      <w:r w:rsidRPr="002441D8">
        <w:rPr>
          <w:b/>
          <w:sz w:val="20"/>
          <w:szCs w:val="20"/>
        </w:rPr>
        <w:t>Background</w:t>
      </w:r>
    </w:p>
    <w:p w14:paraId="48516F27" w14:textId="77777777" w:rsidR="002C5083" w:rsidRPr="002441D8" w:rsidRDefault="002C5083" w:rsidP="00E13B84">
      <w:pPr>
        <w:spacing w:line="360" w:lineRule="auto"/>
        <w:jc w:val="both"/>
        <w:rPr>
          <w:sz w:val="20"/>
          <w:szCs w:val="20"/>
        </w:rPr>
      </w:pPr>
      <w:r w:rsidRPr="002441D8">
        <w:rPr>
          <w:sz w:val="20"/>
          <w:szCs w:val="20"/>
        </w:rPr>
        <w:t>Chronic myeloid leukaemia (CML) is a clonal haematopoetic stem cell disorder characterised by the presence of the oncogenic BCR-ABL1 gene fusion. The reciprocal translocation of the long arm</w:t>
      </w:r>
      <w:r w:rsidR="00D009BD" w:rsidRPr="002441D8">
        <w:rPr>
          <w:sz w:val="20"/>
          <w:szCs w:val="20"/>
        </w:rPr>
        <w:t>s</w:t>
      </w:r>
      <w:r w:rsidRPr="002441D8">
        <w:rPr>
          <w:sz w:val="20"/>
          <w:szCs w:val="20"/>
        </w:rPr>
        <w:t xml:space="preserve"> of chromosome 9 and 22 was named following its place of discovery in the early 1970s as the Philadelphia Chromosome</w:t>
      </w:r>
      <w:r w:rsidRPr="002441D8">
        <w:rPr>
          <w:rStyle w:val="EndnoteReference"/>
          <w:sz w:val="20"/>
          <w:szCs w:val="20"/>
        </w:rPr>
        <w:endnoteReference w:id="1"/>
      </w:r>
      <w:r w:rsidRPr="002441D8">
        <w:rPr>
          <w:sz w:val="20"/>
          <w:szCs w:val="20"/>
        </w:rPr>
        <w:t>. The fused BCR-ABL1 oncogene is translated into the Bcr-abl1 protein, which depending on the exact breakpoint location, results in 185-210 kDa protein, with three clinically important varia</w:t>
      </w:r>
      <w:r w:rsidR="00D009BD" w:rsidRPr="002441D8">
        <w:rPr>
          <w:sz w:val="20"/>
          <w:szCs w:val="20"/>
        </w:rPr>
        <w:t>nts (p190, p210 and p230). Bcr-a</w:t>
      </w:r>
      <w:r w:rsidRPr="002441D8">
        <w:rPr>
          <w:sz w:val="20"/>
          <w:szCs w:val="20"/>
        </w:rPr>
        <w:t xml:space="preserve">bl1 is a dysregulated non-receptor tyrosine kinase that phosphorylates substrate proteins resulting in loss of cell cycle control with consequential increased proliferation, loss of stromal adhesion and resistance to apoptosis. </w:t>
      </w:r>
    </w:p>
    <w:p w14:paraId="7721F86A" w14:textId="77777777" w:rsidR="002C5083" w:rsidRPr="002441D8" w:rsidRDefault="002C5083" w:rsidP="00E13B84">
      <w:pPr>
        <w:spacing w:line="360" w:lineRule="auto"/>
        <w:jc w:val="both"/>
        <w:rPr>
          <w:sz w:val="20"/>
          <w:szCs w:val="20"/>
        </w:rPr>
      </w:pPr>
      <w:r w:rsidRPr="002441D8">
        <w:rPr>
          <w:sz w:val="20"/>
          <w:szCs w:val="20"/>
        </w:rPr>
        <w:t>The disease course of CML is tri-phasic (WHO or ELN classification table 1</w:t>
      </w:r>
      <w:r w:rsidRPr="002441D8">
        <w:rPr>
          <w:rStyle w:val="EndnoteReference"/>
          <w:sz w:val="20"/>
          <w:szCs w:val="20"/>
        </w:rPr>
        <w:endnoteReference w:id="2"/>
      </w:r>
      <w:r w:rsidRPr="002441D8">
        <w:rPr>
          <w:sz w:val="20"/>
          <w:szCs w:val="20"/>
          <w:vertAlign w:val="superscript"/>
        </w:rPr>
        <w:t>,</w:t>
      </w:r>
      <w:r w:rsidRPr="002441D8">
        <w:rPr>
          <w:rStyle w:val="EndnoteReference"/>
          <w:sz w:val="20"/>
          <w:szCs w:val="20"/>
        </w:rPr>
        <w:endnoteReference w:id="3"/>
      </w:r>
      <w:r w:rsidRPr="002441D8">
        <w:rPr>
          <w:sz w:val="20"/>
          <w:szCs w:val="20"/>
        </w:rPr>
        <w:t>), with the majority of patients presenting in the relatively stable chronic phase (CP), which if left untreated progresses through a period of increasing genomic instability to accelerated phase (AP) then on to invariably fatal blast crisis (BC). In contrast to the p190 Bcr-abl1 variant, which typically drives lymphoblastic lineage in acute lymphoblastic leukaemia (ALL)</w:t>
      </w:r>
      <w:r w:rsidRPr="002441D8">
        <w:rPr>
          <w:rStyle w:val="EndnoteReference"/>
          <w:sz w:val="20"/>
          <w:szCs w:val="20"/>
        </w:rPr>
        <w:endnoteReference w:id="4"/>
      </w:r>
      <w:r w:rsidRPr="002441D8">
        <w:rPr>
          <w:sz w:val="20"/>
          <w:szCs w:val="20"/>
        </w:rPr>
        <w:t>, the p210 Bcr-abl1 variant, typical of CML</w:t>
      </w:r>
      <w:r w:rsidRPr="002441D8">
        <w:rPr>
          <w:rStyle w:val="EndnoteReference"/>
          <w:sz w:val="20"/>
          <w:szCs w:val="20"/>
        </w:rPr>
        <w:endnoteReference w:id="5"/>
      </w:r>
      <w:r w:rsidRPr="002441D8">
        <w:rPr>
          <w:sz w:val="20"/>
          <w:szCs w:val="20"/>
          <w:vertAlign w:val="superscript"/>
        </w:rPr>
        <w:t>,</w:t>
      </w:r>
      <w:r w:rsidRPr="002441D8">
        <w:rPr>
          <w:rStyle w:val="EndnoteReference"/>
          <w:sz w:val="20"/>
          <w:szCs w:val="20"/>
        </w:rPr>
        <w:endnoteReference w:id="6"/>
      </w:r>
      <w:r w:rsidRPr="002441D8">
        <w:rPr>
          <w:sz w:val="20"/>
          <w:szCs w:val="20"/>
        </w:rPr>
        <w:t xml:space="preserve">, drives a true stem cell disorder demonstrated by the fact the final transformation in CML can result in myeloblastic (50%) or lymphoblastic (25%) phenotypes, with 25% comprising biphenotypic or undifferentiated blast phenotypes.    </w:t>
      </w:r>
    </w:p>
    <w:p w14:paraId="6D44051F" w14:textId="77777777" w:rsidR="002C5083" w:rsidRPr="002441D8" w:rsidRDefault="002C5083" w:rsidP="00E13B84">
      <w:pPr>
        <w:spacing w:line="360" w:lineRule="auto"/>
        <w:rPr>
          <w:sz w:val="20"/>
          <w:szCs w:val="20"/>
        </w:rPr>
      </w:pPr>
      <w:r w:rsidRPr="002441D8">
        <w:rPr>
          <w:sz w:val="20"/>
          <w:szCs w:val="20"/>
        </w:rPr>
        <w:t>The early treatment approaches in CP CML such as arsenic, busulfan, hydroxycarbamide or interferon were effective in symptom control but did little to alter the natural history of the disease. These therapies conferred little</w:t>
      </w:r>
      <w:r w:rsidR="00EB772A" w:rsidRPr="002441D8">
        <w:rPr>
          <w:sz w:val="20"/>
          <w:szCs w:val="20"/>
        </w:rPr>
        <w:t xml:space="preserve"> advantage in terms of survival,</w:t>
      </w:r>
      <w:r w:rsidRPr="002441D8">
        <w:rPr>
          <w:sz w:val="20"/>
          <w:szCs w:val="20"/>
        </w:rPr>
        <w:t xml:space="preserve"> increasing median overall survival (OS) from 4-5 years to 6-7 years with even the best combination regimens that included α interferon and cytosine arabinosde</w:t>
      </w:r>
      <w:r w:rsidRPr="002441D8">
        <w:rPr>
          <w:rStyle w:val="EndnoteReference"/>
          <w:sz w:val="20"/>
          <w:szCs w:val="20"/>
        </w:rPr>
        <w:endnoteReference w:id="7"/>
      </w:r>
      <w:r w:rsidRPr="002441D8">
        <w:rPr>
          <w:sz w:val="20"/>
          <w:szCs w:val="20"/>
        </w:rPr>
        <w:t xml:space="preserve">. During the 1980s allogeneic haematopoetic stem cell transplantation (HSCT) became the only treatment capable of curing CML. </w:t>
      </w:r>
      <w:r w:rsidRPr="002441D8">
        <w:rPr>
          <w:sz w:val="20"/>
          <w:szCs w:val="20"/>
        </w:rPr>
        <w:lastRenderedPageBreak/>
        <w:t>Despite transplant in the early days often being plagued by high transplant related mortality, it impacted considerably on median survival, and resulted in long-term cure for many. Registry follow-up data from transplants performed in the 1980s and early 1990s reports 20 year overall survival of 40</w:t>
      </w:r>
      <w:r w:rsidR="004B3998" w:rsidRPr="002441D8">
        <w:rPr>
          <w:sz w:val="20"/>
          <w:szCs w:val="20"/>
        </w:rPr>
        <w:t>%, 20% and 10% for CP, AP and BC</w:t>
      </w:r>
      <w:r w:rsidRPr="002441D8">
        <w:rPr>
          <w:sz w:val="20"/>
          <w:szCs w:val="20"/>
        </w:rPr>
        <w:t xml:space="preserve"> respectively with transplant related mortality approaching 40%</w:t>
      </w:r>
      <w:r w:rsidRPr="002441D8">
        <w:rPr>
          <w:rStyle w:val="EndnoteReference"/>
          <w:sz w:val="20"/>
          <w:szCs w:val="20"/>
        </w:rPr>
        <w:endnoteReference w:id="8"/>
      </w:r>
      <w:r w:rsidRPr="002441D8">
        <w:rPr>
          <w:sz w:val="20"/>
          <w:szCs w:val="20"/>
          <w:vertAlign w:val="superscript"/>
        </w:rPr>
        <w:t>,</w:t>
      </w:r>
      <w:r w:rsidRPr="002441D8">
        <w:rPr>
          <w:rStyle w:val="EndnoteReference"/>
          <w:sz w:val="20"/>
          <w:szCs w:val="20"/>
        </w:rPr>
        <w:endnoteReference w:id="9"/>
      </w:r>
      <w:r w:rsidRPr="002441D8">
        <w:rPr>
          <w:sz w:val="20"/>
          <w:szCs w:val="20"/>
        </w:rPr>
        <w:t>. Subsequent improvements in conditioning regimens and supportive care over the late 1990s and into the 21</w:t>
      </w:r>
      <w:r w:rsidRPr="002441D8">
        <w:rPr>
          <w:sz w:val="20"/>
          <w:szCs w:val="20"/>
          <w:vertAlign w:val="superscript"/>
        </w:rPr>
        <w:t>st</w:t>
      </w:r>
      <w:r w:rsidRPr="002441D8">
        <w:rPr>
          <w:sz w:val="20"/>
          <w:szCs w:val="20"/>
        </w:rPr>
        <w:t xml:space="preserve"> century have further improved outcomes, with most recent registry reports demonstrating 3 year overall survival for good risk patients in excess of 90% with 100 day transplant related mortality (TRM) of only 8% for those transplanted in CP</w:t>
      </w:r>
      <w:r w:rsidRPr="002441D8">
        <w:rPr>
          <w:rStyle w:val="EndnoteReference"/>
          <w:sz w:val="20"/>
          <w:szCs w:val="20"/>
        </w:rPr>
        <w:endnoteReference w:id="10"/>
      </w:r>
      <w:r w:rsidRPr="002441D8">
        <w:rPr>
          <w:sz w:val="20"/>
          <w:szCs w:val="20"/>
        </w:rPr>
        <w:t>, figures which are closely mirrored by individual centres including our own</w:t>
      </w:r>
      <w:r w:rsidRPr="002441D8">
        <w:rPr>
          <w:rStyle w:val="EndnoteReference"/>
          <w:sz w:val="20"/>
          <w:szCs w:val="20"/>
        </w:rPr>
        <w:endnoteReference w:id="11"/>
      </w:r>
      <w:r w:rsidRPr="002441D8">
        <w:rPr>
          <w:sz w:val="20"/>
          <w:szCs w:val="20"/>
        </w:rPr>
        <w:t xml:space="preserve">. </w:t>
      </w:r>
    </w:p>
    <w:p w14:paraId="658577F6" w14:textId="77777777" w:rsidR="002C5083" w:rsidRPr="002441D8" w:rsidRDefault="002C5083" w:rsidP="00E13B84">
      <w:pPr>
        <w:spacing w:after="0" w:line="360" w:lineRule="auto"/>
        <w:jc w:val="both"/>
        <w:rPr>
          <w:sz w:val="20"/>
          <w:szCs w:val="20"/>
        </w:rPr>
      </w:pPr>
      <w:r w:rsidRPr="002441D8">
        <w:rPr>
          <w:sz w:val="20"/>
          <w:szCs w:val="20"/>
        </w:rPr>
        <w:t>For several decades HSCT remained the gold standard treatment for eligible patients with a suitable donor until the development of TKIs in the late 1990s. These agents, of which imatinib was the first, block the ATP binding pocket of the Abl1 domain, inhibiting phosphorylation. The specificity of imatinib and the subsequent second (dasatinib, nilotinib and bosutinib) and third (ponatinib) generation drugs for the Abl1 tyrosine kinase results in preferential death of cells harbouring the BCR-ABL1 mutation. The introduction of these drugs dramatically altered CML care and offered the prospect of long-term disease control with an oral therapy. Long-term follow-up from the seminal studies continues to report excellent outcomes with estimated 8 year overall survival in the order of 85%</w:t>
      </w:r>
      <w:r w:rsidRPr="002441D8">
        <w:rPr>
          <w:rStyle w:val="EndnoteReference"/>
          <w:sz w:val="20"/>
          <w:szCs w:val="20"/>
        </w:rPr>
        <w:endnoteReference w:id="12"/>
      </w:r>
      <w:r w:rsidRPr="002441D8">
        <w:rPr>
          <w:sz w:val="20"/>
          <w:szCs w:val="20"/>
        </w:rPr>
        <w:t xml:space="preserve">. </w:t>
      </w:r>
      <w:r w:rsidR="009971C3" w:rsidRPr="002441D8">
        <w:rPr>
          <w:sz w:val="20"/>
          <w:szCs w:val="20"/>
        </w:rPr>
        <w:t xml:space="preserve">Indeed results derived from patients entered into a series of first line studies of TKIs at a single centre suggest that the life expectancy of patients under the age of 65 years is now comparable to that of the normal </w:t>
      </w:r>
      <w:r w:rsidR="00CE1520" w:rsidRPr="002441D8">
        <w:rPr>
          <w:sz w:val="20"/>
          <w:szCs w:val="20"/>
        </w:rPr>
        <w:t xml:space="preserve">US </w:t>
      </w:r>
      <w:r w:rsidR="009971C3" w:rsidRPr="002441D8">
        <w:rPr>
          <w:sz w:val="20"/>
          <w:szCs w:val="20"/>
        </w:rPr>
        <w:t>population</w:t>
      </w:r>
      <w:r w:rsidR="003E4043" w:rsidRPr="002441D8">
        <w:rPr>
          <w:rStyle w:val="EndnoteReference"/>
          <w:sz w:val="20"/>
          <w:szCs w:val="20"/>
        </w:rPr>
        <w:endnoteReference w:id="13"/>
      </w:r>
      <w:r w:rsidR="009971C3" w:rsidRPr="002441D8">
        <w:rPr>
          <w:sz w:val="20"/>
          <w:szCs w:val="20"/>
        </w:rPr>
        <w:t xml:space="preserve">. </w:t>
      </w:r>
    </w:p>
    <w:p w14:paraId="4C580264" w14:textId="77777777" w:rsidR="0063497A" w:rsidRPr="002441D8" w:rsidRDefault="0063497A" w:rsidP="00E13B84">
      <w:pPr>
        <w:spacing w:after="0" w:line="360" w:lineRule="auto"/>
        <w:jc w:val="both"/>
        <w:rPr>
          <w:sz w:val="20"/>
          <w:szCs w:val="20"/>
        </w:rPr>
      </w:pPr>
    </w:p>
    <w:p w14:paraId="676090FD" w14:textId="77777777" w:rsidR="0063497A" w:rsidRPr="002441D8" w:rsidRDefault="00CE1520" w:rsidP="0063497A">
      <w:pPr>
        <w:spacing w:line="360" w:lineRule="auto"/>
        <w:rPr>
          <w:b/>
          <w:sz w:val="20"/>
          <w:szCs w:val="20"/>
        </w:rPr>
      </w:pPr>
      <w:r w:rsidRPr="002441D8">
        <w:rPr>
          <w:sz w:val="20"/>
          <w:szCs w:val="20"/>
        </w:rPr>
        <w:t>W</w:t>
      </w:r>
      <w:r w:rsidR="0063497A" w:rsidRPr="002441D8">
        <w:rPr>
          <w:sz w:val="20"/>
          <w:szCs w:val="20"/>
        </w:rPr>
        <w:t xml:space="preserve">hile the TKIs have undoubtedly revolutionised the management of CML, we must not </w:t>
      </w:r>
      <w:r w:rsidR="00F40FB8" w:rsidRPr="002441D8">
        <w:rPr>
          <w:sz w:val="20"/>
          <w:szCs w:val="20"/>
        </w:rPr>
        <w:t>forget that</w:t>
      </w:r>
      <w:r w:rsidR="0063497A" w:rsidRPr="002441D8">
        <w:rPr>
          <w:sz w:val="20"/>
          <w:szCs w:val="20"/>
        </w:rPr>
        <w:t xml:space="preserve"> CML </w:t>
      </w:r>
      <w:r w:rsidRPr="002441D8">
        <w:rPr>
          <w:sz w:val="20"/>
          <w:szCs w:val="20"/>
        </w:rPr>
        <w:t>remains a fatal disease</w:t>
      </w:r>
      <w:r w:rsidR="0063497A" w:rsidRPr="002441D8">
        <w:rPr>
          <w:sz w:val="20"/>
          <w:szCs w:val="20"/>
        </w:rPr>
        <w:t xml:space="preserve"> for those </w:t>
      </w:r>
      <w:r w:rsidRPr="002441D8">
        <w:rPr>
          <w:sz w:val="20"/>
          <w:szCs w:val="20"/>
        </w:rPr>
        <w:t xml:space="preserve">who do </w:t>
      </w:r>
      <w:r w:rsidR="0063497A" w:rsidRPr="002441D8">
        <w:rPr>
          <w:sz w:val="20"/>
          <w:szCs w:val="20"/>
        </w:rPr>
        <w:t xml:space="preserve">not respond to </w:t>
      </w:r>
      <w:r w:rsidRPr="002441D8">
        <w:rPr>
          <w:sz w:val="20"/>
          <w:szCs w:val="20"/>
        </w:rPr>
        <w:t>TKI</w:t>
      </w:r>
      <w:r w:rsidR="0063497A" w:rsidRPr="002441D8">
        <w:rPr>
          <w:sz w:val="20"/>
          <w:szCs w:val="20"/>
        </w:rPr>
        <w:t>. Equally HSCT is</w:t>
      </w:r>
      <w:r w:rsidR="002E2407" w:rsidRPr="002441D8">
        <w:rPr>
          <w:sz w:val="20"/>
          <w:szCs w:val="20"/>
        </w:rPr>
        <w:t xml:space="preserve"> not without complic</w:t>
      </w:r>
      <w:r w:rsidRPr="002441D8">
        <w:rPr>
          <w:sz w:val="20"/>
          <w:szCs w:val="20"/>
        </w:rPr>
        <w:t>ations</w:t>
      </w:r>
      <w:r w:rsidR="002E2407" w:rsidRPr="002441D8">
        <w:rPr>
          <w:sz w:val="20"/>
          <w:szCs w:val="20"/>
        </w:rPr>
        <w:t xml:space="preserve">, </w:t>
      </w:r>
      <w:r w:rsidR="0063497A" w:rsidRPr="002441D8">
        <w:rPr>
          <w:sz w:val="20"/>
          <w:szCs w:val="20"/>
        </w:rPr>
        <w:t xml:space="preserve">and comes with its own </w:t>
      </w:r>
      <w:r w:rsidR="00F40FB8" w:rsidRPr="002441D8">
        <w:rPr>
          <w:sz w:val="20"/>
          <w:szCs w:val="20"/>
        </w:rPr>
        <w:t>long-term</w:t>
      </w:r>
      <w:r w:rsidR="0063497A" w:rsidRPr="002441D8">
        <w:rPr>
          <w:sz w:val="20"/>
          <w:szCs w:val="20"/>
        </w:rPr>
        <w:t xml:space="preserve"> burden. The non-malignant </w:t>
      </w:r>
      <w:r w:rsidR="00F40FB8" w:rsidRPr="002441D8">
        <w:rPr>
          <w:sz w:val="20"/>
          <w:szCs w:val="20"/>
        </w:rPr>
        <w:t>long-term</w:t>
      </w:r>
      <w:r w:rsidR="0063497A" w:rsidRPr="002441D8">
        <w:rPr>
          <w:sz w:val="20"/>
          <w:szCs w:val="20"/>
        </w:rPr>
        <w:t xml:space="preserve"> complications of HSCT range from those direct</w:t>
      </w:r>
      <w:r w:rsidRPr="002441D8">
        <w:rPr>
          <w:sz w:val="20"/>
          <w:szCs w:val="20"/>
        </w:rPr>
        <w:t>ly</w:t>
      </w:r>
      <w:r w:rsidR="0063497A" w:rsidRPr="002441D8">
        <w:rPr>
          <w:sz w:val="20"/>
          <w:szCs w:val="20"/>
        </w:rPr>
        <w:t xml:space="preserve"> related to the conditioning such as cataracts, infertility and radiation induced tissue damage to those resulting from chronic graft versus host disease</w:t>
      </w:r>
      <w:r w:rsidR="0063497A" w:rsidRPr="002441D8">
        <w:rPr>
          <w:rStyle w:val="EndnoteReference"/>
          <w:sz w:val="20"/>
          <w:szCs w:val="20"/>
        </w:rPr>
        <w:endnoteReference w:id="14"/>
      </w:r>
      <w:r w:rsidR="004B3998" w:rsidRPr="002441D8">
        <w:rPr>
          <w:sz w:val="20"/>
          <w:szCs w:val="20"/>
        </w:rPr>
        <w:t>, and</w:t>
      </w:r>
      <w:r w:rsidRPr="002441D8">
        <w:rPr>
          <w:sz w:val="20"/>
          <w:szCs w:val="20"/>
        </w:rPr>
        <w:t xml:space="preserve"> can </w:t>
      </w:r>
      <w:r w:rsidR="00F40FB8" w:rsidRPr="002441D8">
        <w:rPr>
          <w:sz w:val="20"/>
          <w:szCs w:val="20"/>
        </w:rPr>
        <w:t>impact negatively</w:t>
      </w:r>
      <w:r w:rsidR="0063497A" w:rsidRPr="002441D8">
        <w:rPr>
          <w:sz w:val="20"/>
          <w:szCs w:val="20"/>
        </w:rPr>
        <w:t xml:space="preserve"> on </w:t>
      </w:r>
      <w:r w:rsidRPr="002441D8">
        <w:rPr>
          <w:sz w:val="20"/>
          <w:szCs w:val="20"/>
        </w:rPr>
        <w:t xml:space="preserve">the </w:t>
      </w:r>
      <w:r w:rsidR="0063497A" w:rsidRPr="002441D8">
        <w:rPr>
          <w:sz w:val="20"/>
          <w:szCs w:val="20"/>
        </w:rPr>
        <w:t>quality of life</w:t>
      </w:r>
      <w:r w:rsidR="003E4043" w:rsidRPr="002441D8">
        <w:rPr>
          <w:rStyle w:val="EndnoteReference"/>
          <w:sz w:val="20"/>
          <w:szCs w:val="20"/>
        </w:rPr>
        <w:endnoteReference w:id="15"/>
      </w:r>
      <w:r w:rsidR="0063497A" w:rsidRPr="002441D8">
        <w:rPr>
          <w:sz w:val="20"/>
          <w:szCs w:val="20"/>
        </w:rPr>
        <w:t xml:space="preserve"> and life expectancy</w:t>
      </w:r>
      <w:r w:rsidR="00464532" w:rsidRPr="002441D8">
        <w:rPr>
          <w:rStyle w:val="EndnoteReference"/>
          <w:sz w:val="20"/>
          <w:szCs w:val="20"/>
        </w:rPr>
        <w:endnoteReference w:id="16"/>
      </w:r>
      <w:r w:rsidR="0063497A" w:rsidRPr="002441D8">
        <w:rPr>
          <w:sz w:val="20"/>
          <w:szCs w:val="20"/>
        </w:rPr>
        <w:t xml:space="preserve">. Striking the balance between the poor survival associated with lack of response to treatment and the potential </w:t>
      </w:r>
      <w:r w:rsidR="00F40FB8" w:rsidRPr="002441D8">
        <w:rPr>
          <w:sz w:val="20"/>
          <w:szCs w:val="20"/>
        </w:rPr>
        <w:t>long-term</w:t>
      </w:r>
      <w:r w:rsidR="0063497A" w:rsidRPr="002441D8">
        <w:rPr>
          <w:sz w:val="20"/>
          <w:szCs w:val="20"/>
        </w:rPr>
        <w:t xml:space="preserve"> complications of HSCT is therefore difficult. Here we aim to provide an update on the current literat</w:t>
      </w:r>
      <w:r w:rsidRPr="002441D8">
        <w:rPr>
          <w:sz w:val="20"/>
          <w:szCs w:val="20"/>
        </w:rPr>
        <w:t>ur</w:t>
      </w:r>
      <w:r w:rsidR="0063497A" w:rsidRPr="002441D8">
        <w:rPr>
          <w:sz w:val="20"/>
          <w:szCs w:val="20"/>
        </w:rPr>
        <w:t xml:space="preserve">e and </w:t>
      </w:r>
      <w:r w:rsidRPr="002441D8">
        <w:rPr>
          <w:sz w:val="20"/>
          <w:szCs w:val="20"/>
        </w:rPr>
        <w:t xml:space="preserve">provide our own </w:t>
      </w:r>
      <w:r w:rsidR="0063497A" w:rsidRPr="002441D8">
        <w:rPr>
          <w:sz w:val="20"/>
          <w:szCs w:val="20"/>
        </w:rPr>
        <w:t>opinion</w:t>
      </w:r>
      <w:r w:rsidRPr="002441D8">
        <w:rPr>
          <w:sz w:val="20"/>
          <w:szCs w:val="20"/>
        </w:rPr>
        <w:t>s as</w:t>
      </w:r>
      <w:r w:rsidR="0063497A" w:rsidRPr="002441D8">
        <w:rPr>
          <w:sz w:val="20"/>
          <w:szCs w:val="20"/>
        </w:rPr>
        <w:t xml:space="preserve"> to guide this decision. </w:t>
      </w:r>
    </w:p>
    <w:p w14:paraId="7EA731DE" w14:textId="77777777" w:rsidR="0063497A" w:rsidRPr="002441D8" w:rsidRDefault="0063497A" w:rsidP="00E13B84">
      <w:pPr>
        <w:spacing w:after="0" w:line="360" w:lineRule="auto"/>
        <w:jc w:val="both"/>
        <w:rPr>
          <w:sz w:val="20"/>
          <w:szCs w:val="20"/>
        </w:rPr>
      </w:pPr>
    </w:p>
    <w:p w14:paraId="6F310A6E" w14:textId="77777777" w:rsidR="002C5083" w:rsidRPr="002441D8" w:rsidRDefault="002C5083" w:rsidP="00E13B84">
      <w:pPr>
        <w:spacing w:after="0" w:line="360" w:lineRule="auto"/>
        <w:jc w:val="both"/>
        <w:rPr>
          <w:b/>
          <w:sz w:val="20"/>
          <w:szCs w:val="20"/>
        </w:rPr>
      </w:pPr>
      <w:r w:rsidRPr="002441D8">
        <w:rPr>
          <w:sz w:val="20"/>
          <w:szCs w:val="20"/>
        </w:rPr>
        <w:t>The European Leukaemia Network (ELN) has established criteria to guide the management of CML by de</w:t>
      </w:r>
      <w:r w:rsidR="004B3998" w:rsidRPr="002441D8">
        <w:rPr>
          <w:sz w:val="20"/>
          <w:szCs w:val="20"/>
        </w:rPr>
        <w:t>fining both response categories</w:t>
      </w:r>
      <w:r w:rsidRPr="002441D8">
        <w:rPr>
          <w:sz w:val="20"/>
          <w:szCs w:val="20"/>
        </w:rPr>
        <w:t xml:space="preserve"> and timescales by which optimal responses should be achieved allowing identification of optimal, warning and failing groups</w:t>
      </w:r>
      <w:r w:rsidR="00CF695B" w:rsidRPr="002441D8">
        <w:rPr>
          <w:sz w:val="20"/>
          <w:szCs w:val="20"/>
          <w:vertAlign w:val="superscript"/>
        </w:rPr>
        <w:t>3</w:t>
      </w:r>
      <w:r w:rsidRPr="002441D8">
        <w:rPr>
          <w:sz w:val="20"/>
          <w:szCs w:val="20"/>
          <w:vertAlign w:val="superscript"/>
        </w:rPr>
        <w:t>,</w:t>
      </w:r>
      <w:r w:rsidRPr="002441D8">
        <w:rPr>
          <w:rStyle w:val="EndnoteReference"/>
          <w:sz w:val="20"/>
          <w:szCs w:val="20"/>
        </w:rPr>
        <w:endnoteReference w:id="17"/>
      </w:r>
      <w:r w:rsidRPr="002441D8">
        <w:rPr>
          <w:sz w:val="20"/>
          <w:szCs w:val="20"/>
        </w:rPr>
        <w:t>. While early response guidelines employed complete haematological response (CHR), complete cytogenetic response (CCyR) and major molecular response (MMR) as milestones (table 2)</w:t>
      </w:r>
      <w:r w:rsidR="003773A1" w:rsidRPr="002441D8">
        <w:rPr>
          <w:sz w:val="20"/>
          <w:szCs w:val="20"/>
        </w:rPr>
        <w:t xml:space="preserve">, </w:t>
      </w:r>
      <w:r w:rsidR="004B3998" w:rsidRPr="002441D8">
        <w:rPr>
          <w:sz w:val="20"/>
          <w:szCs w:val="20"/>
        </w:rPr>
        <w:t xml:space="preserve">the more recent </w:t>
      </w:r>
      <w:r w:rsidRPr="002441D8">
        <w:rPr>
          <w:sz w:val="20"/>
          <w:szCs w:val="20"/>
        </w:rPr>
        <w:t>recommendations incorporat</w:t>
      </w:r>
      <w:r w:rsidR="004B3998" w:rsidRPr="002441D8">
        <w:rPr>
          <w:sz w:val="20"/>
          <w:szCs w:val="20"/>
        </w:rPr>
        <w:t>e the finding by several groups</w:t>
      </w:r>
      <w:r w:rsidRPr="002441D8">
        <w:rPr>
          <w:sz w:val="20"/>
          <w:szCs w:val="20"/>
        </w:rPr>
        <w:t xml:space="preserve"> that an inability to achieve a ten-fold reduction in tumour load by 3 months, as indicated by a real-time, quantitative, reverse transcriptase polymerase (R</w:t>
      </w:r>
      <w:r w:rsidR="00865997" w:rsidRPr="002441D8">
        <w:rPr>
          <w:sz w:val="20"/>
          <w:szCs w:val="20"/>
        </w:rPr>
        <w:t>T</w:t>
      </w:r>
      <w:r w:rsidRPr="002441D8">
        <w:rPr>
          <w:sz w:val="20"/>
          <w:szCs w:val="20"/>
        </w:rPr>
        <w:t xml:space="preserve">Q-PCR) result of </w:t>
      </w:r>
      <w:r w:rsidR="003773A1" w:rsidRPr="002441D8">
        <w:rPr>
          <w:sz w:val="20"/>
          <w:szCs w:val="20"/>
        </w:rPr>
        <w:t>greater than</w:t>
      </w:r>
      <w:r w:rsidRPr="002441D8">
        <w:rPr>
          <w:sz w:val="20"/>
          <w:szCs w:val="20"/>
        </w:rPr>
        <w:t xml:space="preserve"> 10%, is associated with an inferior long-term survival</w:t>
      </w:r>
      <w:bookmarkStart w:id="1" w:name="_Ref393579514"/>
      <w:r w:rsidRPr="002441D8">
        <w:rPr>
          <w:rStyle w:val="EndnoteReference"/>
          <w:sz w:val="20"/>
          <w:szCs w:val="20"/>
        </w:rPr>
        <w:endnoteReference w:id="18"/>
      </w:r>
      <w:bookmarkEnd w:id="1"/>
      <w:r w:rsidRPr="002441D8">
        <w:rPr>
          <w:sz w:val="20"/>
          <w:szCs w:val="20"/>
          <w:vertAlign w:val="superscript"/>
        </w:rPr>
        <w:t>,</w:t>
      </w:r>
      <w:bookmarkStart w:id="2" w:name="_Ref393579529"/>
      <w:r w:rsidRPr="002441D8">
        <w:rPr>
          <w:rStyle w:val="EndnoteReference"/>
          <w:sz w:val="20"/>
          <w:szCs w:val="20"/>
        </w:rPr>
        <w:endnoteReference w:id="19"/>
      </w:r>
      <w:bookmarkEnd w:id="2"/>
      <w:r w:rsidRPr="002441D8">
        <w:rPr>
          <w:sz w:val="20"/>
          <w:szCs w:val="20"/>
        </w:rPr>
        <w:t>.</w:t>
      </w:r>
      <w:r w:rsidRPr="002441D8">
        <w:rPr>
          <w:b/>
          <w:sz w:val="20"/>
          <w:szCs w:val="20"/>
        </w:rPr>
        <w:t xml:space="preserve"> </w:t>
      </w:r>
    </w:p>
    <w:p w14:paraId="476A16AC" w14:textId="77777777" w:rsidR="002C5083" w:rsidRPr="002441D8" w:rsidRDefault="002C5083" w:rsidP="00E13B84">
      <w:pPr>
        <w:spacing w:after="0" w:line="360" w:lineRule="auto"/>
        <w:jc w:val="both"/>
        <w:rPr>
          <w:b/>
          <w:sz w:val="20"/>
          <w:szCs w:val="20"/>
        </w:rPr>
      </w:pPr>
    </w:p>
    <w:p w14:paraId="4BF48FF0" w14:textId="77777777" w:rsidR="002C5083" w:rsidRPr="002441D8" w:rsidRDefault="002C5083" w:rsidP="00E13B84">
      <w:pPr>
        <w:spacing w:after="0" w:line="360" w:lineRule="auto"/>
        <w:jc w:val="both"/>
        <w:rPr>
          <w:sz w:val="20"/>
          <w:szCs w:val="20"/>
        </w:rPr>
      </w:pPr>
      <w:r w:rsidRPr="002441D8">
        <w:rPr>
          <w:sz w:val="20"/>
          <w:szCs w:val="20"/>
        </w:rPr>
        <w:lastRenderedPageBreak/>
        <w:t>While the TKIs are capable of inducing and maintaining a deep remission in the majority of patients, we are now faced with new questions posed by the two most divergent groups: i.e. the best and poorest responders. Recent data suggests that remission may be maintained following treatment cessation in a relatively small group of patients with the deepest responses (those achieving R</w:t>
      </w:r>
      <w:r w:rsidR="00865997" w:rsidRPr="002441D8">
        <w:rPr>
          <w:sz w:val="20"/>
          <w:szCs w:val="20"/>
        </w:rPr>
        <w:t>T</w:t>
      </w:r>
      <w:r w:rsidRPr="002441D8">
        <w:rPr>
          <w:sz w:val="20"/>
          <w:szCs w:val="20"/>
        </w:rPr>
        <w:t>Q-PCR negativity for at least two years)</w:t>
      </w:r>
      <w:r w:rsidRPr="002441D8">
        <w:rPr>
          <w:rStyle w:val="EndnoteReference"/>
          <w:sz w:val="20"/>
          <w:szCs w:val="20"/>
        </w:rPr>
        <w:endnoteReference w:id="20"/>
      </w:r>
      <w:r w:rsidRPr="002441D8">
        <w:rPr>
          <w:sz w:val="20"/>
          <w:szCs w:val="20"/>
          <w:vertAlign w:val="superscript"/>
        </w:rPr>
        <w:t>,</w:t>
      </w:r>
      <w:r w:rsidRPr="002441D8">
        <w:rPr>
          <w:rStyle w:val="EndnoteReference"/>
          <w:sz w:val="20"/>
          <w:szCs w:val="20"/>
        </w:rPr>
        <w:endnoteReference w:id="21"/>
      </w:r>
      <w:r w:rsidRPr="002441D8">
        <w:rPr>
          <w:sz w:val="20"/>
          <w:szCs w:val="20"/>
        </w:rPr>
        <w:t>. One of these studies speculated that up to one third of patients may be eligible for a trial of treatment withdrawal, and up to 40% of those may remain in remission following cessation</w:t>
      </w:r>
      <w:r w:rsidR="00D73F9A" w:rsidRPr="002441D8">
        <w:rPr>
          <w:sz w:val="20"/>
          <w:szCs w:val="20"/>
          <w:vertAlign w:val="superscript"/>
        </w:rPr>
        <w:t>21</w:t>
      </w:r>
      <w:r w:rsidR="00CF695B" w:rsidRPr="002441D8">
        <w:rPr>
          <w:sz w:val="20"/>
          <w:szCs w:val="20"/>
        </w:rPr>
        <w:t>.</w:t>
      </w:r>
      <w:r w:rsidRPr="002441D8">
        <w:rPr>
          <w:sz w:val="20"/>
          <w:szCs w:val="20"/>
        </w:rPr>
        <w:t xml:space="preserve"> This group of patients (between 10-15%) is equalled almost exactly by the number of patients who will fail to achieve an adequate response to multiple TKIs either because of resistance or intolerance (figure 1) and it is this group for whom HSCT offers a well established, feasible alternative. </w:t>
      </w:r>
    </w:p>
    <w:p w14:paraId="0042C0A9" w14:textId="77777777" w:rsidR="002C5083" w:rsidRPr="002441D8" w:rsidRDefault="002C5083" w:rsidP="00E13B84">
      <w:pPr>
        <w:spacing w:after="0" w:line="360" w:lineRule="auto"/>
        <w:jc w:val="both"/>
        <w:rPr>
          <w:sz w:val="20"/>
          <w:szCs w:val="20"/>
        </w:rPr>
      </w:pPr>
    </w:p>
    <w:p w14:paraId="1BE5B809" w14:textId="77777777" w:rsidR="002C5083" w:rsidRPr="002441D8" w:rsidRDefault="002C5083" w:rsidP="00E13B84">
      <w:pPr>
        <w:spacing w:after="0" w:line="360" w:lineRule="auto"/>
        <w:jc w:val="both"/>
        <w:rPr>
          <w:sz w:val="20"/>
          <w:szCs w:val="20"/>
        </w:rPr>
      </w:pPr>
      <w:r w:rsidRPr="002441D8">
        <w:rPr>
          <w:sz w:val="20"/>
          <w:szCs w:val="20"/>
        </w:rPr>
        <w:t xml:space="preserve">For 30 years, HSCT for CML informed transplant practice for many haematological malignancies, and many of the lessons learned remain </w:t>
      </w:r>
      <w:r w:rsidR="004B3998" w:rsidRPr="002441D8">
        <w:rPr>
          <w:sz w:val="20"/>
          <w:szCs w:val="20"/>
        </w:rPr>
        <w:t>applicable in current practice</w:t>
      </w:r>
      <w:r w:rsidRPr="002441D8">
        <w:rPr>
          <w:sz w:val="20"/>
          <w:szCs w:val="20"/>
        </w:rPr>
        <w:t xml:space="preserve">. Following the success of the TKIs, HSCT has been increasingly reserved for high risk patients with resistant and/or advanced disease, resulting in a steep decline in the number for HSCT for CML over the past 20 years (figure 2). The tragedy of the reluctance to perform SCT is that frequently patients are only referred for HSCT after disease progression has occurred, by definition increasing the complexity and risks of the transplant. The overwhelming data that disease stage at time of transplant remains one of the strongest predictors of transplant outcome, coupled with the recent findings that very early assessment can strongly predict inferior long-term outcome with TKIs may return HSCT to an early time point in the disease course for some. Therefore the key issues for HSCT in CML are those of patient selection, risk stratification and outcome optimisation by means of regimen selection and improved supportive care. </w:t>
      </w:r>
    </w:p>
    <w:p w14:paraId="56D2044A" w14:textId="77777777" w:rsidR="002C5083" w:rsidRPr="002441D8" w:rsidRDefault="002C5083" w:rsidP="00E13B84">
      <w:pPr>
        <w:spacing w:line="360" w:lineRule="auto"/>
        <w:jc w:val="both"/>
        <w:rPr>
          <w:sz w:val="20"/>
          <w:szCs w:val="20"/>
        </w:rPr>
      </w:pPr>
    </w:p>
    <w:p w14:paraId="51FB7CFF" w14:textId="77777777" w:rsidR="002C5083" w:rsidRPr="002441D8" w:rsidRDefault="002C5083" w:rsidP="00E13B84">
      <w:pPr>
        <w:spacing w:line="360" w:lineRule="auto"/>
        <w:jc w:val="both"/>
        <w:rPr>
          <w:b/>
          <w:sz w:val="20"/>
          <w:szCs w:val="20"/>
        </w:rPr>
      </w:pPr>
      <w:r w:rsidRPr="002441D8">
        <w:rPr>
          <w:b/>
          <w:sz w:val="20"/>
          <w:szCs w:val="20"/>
        </w:rPr>
        <w:t>Key lessons learned from HSCT in CML (Box 1)</w:t>
      </w:r>
    </w:p>
    <w:p w14:paraId="37F734FA" w14:textId="77777777" w:rsidR="002C5083" w:rsidRPr="002441D8" w:rsidRDefault="006D1D63" w:rsidP="00E13B84">
      <w:pPr>
        <w:spacing w:line="360" w:lineRule="auto"/>
        <w:jc w:val="both"/>
        <w:rPr>
          <w:sz w:val="20"/>
          <w:szCs w:val="20"/>
        </w:rPr>
      </w:pPr>
      <w:r w:rsidRPr="002441D8">
        <w:rPr>
          <w:sz w:val="20"/>
          <w:szCs w:val="20"/>
          <w:u w:val="single"/>
        </w:rPr>
        <w:t>Graft versus L</w:t>
      </w:r>
      <w:r w:rsidR="002C5083" w:rsidRPr="002441D8">
        <w:rPr>
          <w:sz w:val="20"/>
          <w:szCs w:val="20"/>
          <w:u w:val="single"/>
        </w:rPr>
        <w:t>eukaemia</w:t>
      </w:r>
      <w:r w:rsidR="002C5083" w:rsidRPr="002441D8">
        <w:rPr>
          <w:sz w:val="20"/>
          <w:szCs w:val="20"/>
        </w:rPr>
        <w:t xml:space="preserve"> -Allogeneic transplantation for CML was first reported using syngeneic donors in 1979</w:t>
      </w:r>
      <w:r w:rsidR="002C5083" w:rsidRPr="002441D8">
        <w:rPr>
          <w:rStyle w:val="EndnoteReference"/>
          <w:sz w:val="20"/>
          <w:szCs w:val="20"/>
        </w:rPr>
        <w:endnoteReference w:id="22"/>
      </w:r>
      <w:r w:rsidR="002C5083" w:rsidRPr="002441D8">
        <w:rPr>
          <w:sz w:val="20"/>
          <w:szCs w:val="20"/>
        </w:rPr>
        <w:t>, then quickly followed by reports of encouraging outcome with sibling donors</w:t>
      </w:r>
      <w:r w:rsidR="002C5083" w:rsidRPr="002441D8">
        <w:rPr>
          <w:rStyle w:val="EndnoteReference"/>
          <w:sz w:val="20"/>
          <w:szCs w:val="20"/>
        </w:rPr>
        <w:endnoteReference w:id="23"/>
      </w:r>
      <w:r w:rsidR="002C5083" w:rsidRPr="002441D8">
        <w:rPr>
          <w:sz w:val="20"/>
          <w:szCs w:val="20"/>
        </w:rPr>
        <w:t>. The restricted availability of compatible sibling donors soon led to the use of HLA-matched volunteer unrelated donors (VUD)</w:t>
      </w:r>
      <w:r w:rsidR="002C5083" w:rsidRPr="002441D8">
        <w:rPr>
          <w:rStyle w:val="EndnoteReference"/>
          <w:sz w:val="20"/>
          <w:szCs w:val="20"/>
        </w:rPr>
        <w:endnoteReference w:id="24"/>
      </w:r>
      <w:r w:rsidR="002C5083" w:rsidRPr="002441D8">
        <w:rPr>
          <w:sz w:val="20"/>
          <w:szCs w:val="20"/>
        </w:rPr>
        <w:t xml:space="preserve"> although early attempts at VUD HSCT were hampered by high rates of transplant related mortality</w:t>
      </w:r>
      <w:r w:rsidR="002C5083" w:rsidRPr="002441D8">
        <w:rPr>
          <w:rStyle w:val="EndnoteReference"/>
          <w:sz w:val="20"/>
          <w:szCs w:val="20"/>
        </w:rPr>
        <w:endnoteReference w:id="25"/>
      </w:r>
      <w:r w:rsidR="002C5083" w:rsidRPr="002441D8">
        <w:rPr>
          <w:sz w:val="20"/>
          <w:szCs w:val="20"/>
        </w:rPr>
        <w:t>. The introduction of T-cell depletion partially circumvented the problem in the short term by reducing the incidence and severity of acute graft versus host disease (aGvHD) but it rapidly became apparent that this was at the expense of a higher risk of relapse</w:t>
      </w:r>
      <w:r w:rsidR="002C5083" w:rsidRPr="002441D8">
        <w:rPr>
          <w:rStyle w:val="EndnoteReference"/>
          <w:sz w:val="20"/>
          <w:szCs w:val="20"/>
        </w:rPr>
        <w:endnoteReference w:id="26"/>
      </w:r>
      <w:r w:rsidR="002C5083" w:rsidRPr="002441D8">
        <w:rPr>
          <w:sz w:val="20"/>
          <w:szCs w:val="20"/>
        </w:rPr>
        <w:t>. This direct evidence for the role of the graft-versus-leukaemia effect</w:t>
      </w:r>
      <w:r w:rsidR="00A21124" w:rsidRPr="002441D8">
        <w:rPr>
          <w:sz w:val="20"/>
          <w:szCs w:val="20"/>
        </w:rPr>
        <w:t xml:space="preserve">, which unveiled the sensitivity </w:t>
      </w:r>
      <w:r w:rsidR="00FA31D0" w:rsidRPr="002441D8">
        <w:rPr>
          <w:sz w:val="20"/>
          <w:szCs w:val="20"/>
        </w:rPr>
        <w:t>o</w:t>
      </w:r>
      <w:r w:rsidR="00A21124" w:rsidRPr="002441D8">
        <w:rPr>
          <w:sz w:val="20"/>
          <w:szCs w:val="20"/>
        </w:rPr>
        <w:t xml:space="preserve">f the disease to T-cell dependent disease immune control, </w:t>
      </w:r>
      <w:r w:rsidR="002C5083" w:rsidRPr="002441D8">
        <w:rPr>
          <w:sz w:val="20"/>
          <w:szCs w:val="20"/>
        </w:rPr>
        <w:t>led the pioneers</w:t>
      </w:r>
      <w:r w:rsidR="00F96666" w:rsidRPr="002441D8">
        <w:rPr>
          <w:sz w:val="20"/>
          <w:szCs w:val="20"/>
        </w:rPr>
        <w:t xml:space="preserve"> to try</w:t>
      </w:r>
      <w:r w:rsidR="002C5083" w:rsidRPr="002441D8">
        <w:rPr>
          <w:sz w:val="20"/>
          <w:szCs w:val="20"/>
        </w:rPr>
        <w:t xml:space="preserve"> manipulate the GvL with the use of infusions of lymphocytes from the original donors to restore durable remissions</w:t>
      </w:r>
      <w:r w:rsidR="003843B4" w:rsidRPr="002441D8">
        <w:rPr>
          <w:sz w:val="20"/>
          <w:szCs w:val="20"/>
        </w:rPr>
        <w:t xml:space="preserve"> (donor lymphocyte infusions (</w:t>
      </w:r>
      <w:r w:rsidR="002C5083" w:rsidRPr="002441D8">
        <w:rPr>
          <w:sz w:val="20"/>
          <w:szCs w:val="20"/>
        </w:rPr>
        <w:t>DLI</w:t>
      </w:r>
      <w:r w:rsidR="003843B4" w:rsidRPr="002441D8">
        <w:rPr>
          <w:sz w:val="20"/>
          <w:szCs w:val="20"/>
        </w:rPr>
        <w:t>)</w:t>
      </w:r>
      <w:r w:rsidR="002C5083" w:rsidRPr="002441D8">
        <w:rPr>
          <w:sz w:val="20"/>
          <w:szCs w:val="20"/>
        </w:rPr>
        <w:t>)</w:t>
      </w:r>
      <w:r w:rsidR="002C5083" w:rsidRPr="002441D8">
        <w:rPr>
          <w:rStyle w:val="EndnoteReference"/>
          <w:sz w:val="20"/>
          <w:szCs w:val="20"/>
        </w:rPr>
        <w:endnoteReference w:id="27"/>
      </w:r>
      <w:r w:rsidR="002C5083" w:rsidRPr="002441D8">
        <w:rPr>
          <w:sz w:val="20"/>
          <w:szCs w:val="20"/>
        </w:rPr>
        <w:t>. The development of escalating dose regimens largely abrogated the risk of concomitant aGvHD</w:t>
      </w:r>
      <w:r w:rsidR="002C5083" w:rsidRPr="002441D8">
        <w:rPr>
          <w:rStyle w:val="EndnoteReference"/>
          <w:sz w:val="20"/>
          <w:szCs w:val="20"/>
        </w:rPr>
        <w:endnoteReference w:id="28"/>
      </w:r>
      <w:r w:rsidR="002C5083" w:rsidRPr="002441D8">
        <w:rPr>
          <w:sz w:val="20"/>
          <w:szCs w:val="20"/>
          <w:vertAlign w:val="superscript"/>
        </w:rPr>
        <w:t>,</w:t>
      </w:r>
      <w:r w:rsidR="002C5083" w:rsidRPr="002441D8">
        <w:rPr>
          <w:rStyle w:val="EndnoteReference"/>
          <w:sz w:val="20"/>
          <w:szCs w:val="20"/>
        </w:rPr>
        <w:endnoteReference w:id="29"/>
      </w:r>
      <w:r w:rsidR="002C5083" w:rsidRPr="002441D8">
        <w:rPr>
          <w:sz w:val="20"/>
          <w:szCs w:val="20"/>
        </w:rPr>
        <w:t xml:space="preserve"> and are deemed safe for sibling, VUD and even mismatched donor use</w:t>
      </w:r>
      <w:r w:rsidR="002C5083" w:rsidRPr="002441D8">
        <w:rPr>
          <w:rStyle w:val="EndnoteReference"/>
          <w:sz w:val="20"/>
          <w:szCs w:val="20"/>
        </w:rPr>
        <w:endnoteReference w:id="30"/>
      </w:r>
      <w:r w:rsidR="002C5083" w:rsidRPr="002441D8">
        <w:rPr>
          <w:sz w:val="20"/>
          <w:szCs w:val="20"/>
        </w:rPr>
        <w:t>. These regimens remain the mainstay of post-HSCT relapse management in CML, as well as other GvL sensitive malignancies such as</w:t>
      </w:r>
      <w:r w:rsidR="00F96666" w:rsidRPr="002441D8">
        <w:rPr>
          <w:sz w:val="20"/>
          <w:szCs w:val="20"/>
        </w:rPr>
        <w:t xml:space="preserve"> some of the</w:t>
      </w:r>
      <w:r w:rsidR="002C5083" w:rsidRPr="002441D8">
        <w:rPr>
          <w:sz w:val="20"/>
          <w:szCs w:val="20"/>
        </w:rPr>
        <w:t xml:space="preserve"> lymphomas.</w:t>
      </w:r>
      <w:r w:rsidR="00A21124" w:rsidRPr="002441D8">
        <w:rPr>
          <w:sz w:val="20"/>
          <w:szCs w:val="20"/>
        </w:rPr>
        <w:t xml:space="preserve"> </w:t>
      </w:r>
    </w:p>
    <w:p w14:paraId="21B83BB4" w14:textId="77777777" w:rsidR="002C5083" w:rsidRPr="002441D8" w:rsidRDefault="002C5083" w:rsidP="00E13B84">
      <w:pPr>
        <w:spacing w:line="360" w:lineRule="auto"/>
        <w:jc w:val="both"/>
        <w:rPr>
          <w:sz w:val="20"/>
          <w:szCs w:val="20"/>
        </w:rPr>
      </w:pPr>
      <w:r w:rsidRPr="002441D8">
        <w:rPr>
          <w:sz w:val="20"/>
          <w:szCs w:val="20"/>
        </w:rPr>
        <w:lastRenderedPageBreak/>
        <w:t>The clinical impact of induced GvL responses lead to the realisation that an alloimmune mechanism, rather than conditioning chemoradiotherapy, is in large part responsible for disease control in CML, at least in the case of chronic phase disease. CML therefore paved the way for the development of reduced intensity regimens (RIC) as a natural evolution in order to extend access to HSCT to those who would be deemed unfit for conventional conditioning</w:t>
      </w:r>
      <w:r w:rsidRPr="002441D8">
        <w:rPr>
          <w:rStyle w:val="EndnoteReference"/>
          <w:sz w:val="20"/>
          <w:szCs w:val="20"/>
        </w:rPr>
        <w:endnoteReference w:id="31"/>
      </w:r>
      <w:r w:rsidRPr="002441D8">
        <w:rPr>
          <w:sz w:val="20"/>
          <w:szCs w:val="20"/>
          <w:vertAlign w:val="superscript"/>
        </w:rPr>
        <w:t>,</w:t>
      </w:r>
      <w:r w:rsidRPr="002441D8">
        <w:rPr>
          <w:rStyle w:val="EndnoteReference"/>
          <w:sz w:val="20"/>
          <w:szCs w:val="20"/>
        </w:rPr>
        <w:endnoteReference w:id="32"/>
      </w:r>
      <w:r w:rsidRPr="002441D8">
        <w:rPr>
          <w:sz w:val="20"/>
          <w:szCs w:val="20"/>
        </w:rPr>
        <w:t>. Interestingly, while these regimens remain useful, particularly in combination with early pre-emptive DLI</w:t>
      </w:r>
      <w:r w:rsidRPr="002441D8">
        <w:rPr>
          <w:rStyle w:val="EndnoteReference"/>
          <w:sz w:val="20"/>
          <w:szCs w:val="20"/>
        </w:rPr>
        <w:endnoteReference w:id="33"/>
      </w:r>
      <w:r w:rsidRPr="002441D8">
        <w:rPr>
          <w:sz w:val="20"/>
          <w:szCs w:val="20"/>
        </w:rPr>
        <w:t>, and for those in whom co-morbidity would otherwise preclude transplantation, myeloablative conditioning (MAC) remains the preferred approach in suitable patients. This observation probably reflects the fact that MAC remains extremely well tolerated in CML CP patients compared to those with other malignancies,</w:t>
      </w:r>
      <w:r w:rsidR="0088620A" w:rsidRPr="002441D8">
        <w:rPr>
          <w:sz w:val="20"/>
          <w:szCs w:val="20"/>
        </w:rPr>
        <w:t xml:space="preserve"> and the reduced intensity</w:t>
      </w:r>
      <w:r w:rsidRPr="002441D8">
        <w:rPr>
          <w:sz w:val="20"/>
          <w:szCs w:val="20"/>
        </w:rPr>
        <w:t xml:space="preserve"> approach risks higher rates of chronic GvHD, </w:t>
      </w:r>
      <w:r w:rsidR="00F96666" w:rsidRPr="002441D8">
        <w:rPr>
          <w:sz w:val="20"/>
          <w:szCs w:val="20"/>
        </w:rPr>
        <w:t>complicating the use of D</w:t>
      </w:r>
      <w:r w:rsidR="00331D8E" w:rsidRPr="002441D8">
        <w:rPr>
          <w:sz w:val="20"/>
          <w:szCs w:val="20"/>
        </w:rPr>
        <w:t>LI which is commonly required</w:t>
      </w:r>
      <w:r w:rsidRPr="002441D8">
        <w:rPr>
          <w:sz w:val="20"/>
          <w:szCs w:val="20"/>
        </w:rPr>
        <w:t xml:space="preserve"> for disease eradication</w:t>
      </w:r>
      <w:r w:rsidR="00331D8E" w:rsidRPr="002441D8">
        <w:rPr>
          <w:sz w:val="20"/>
          <w:szCs w:val="20"/>
        </w:rPr>
        <w:t xml:space="preserve"> in this context</w:t>
      </w:r>
      <w:r w:rsidRPr="002441D8">
        <w:rPr>
          <w:sz w:val="20"/>
          <w:szCs w:val="20"/>
        </w:rPr>
        <w:t>.</w:t>
      </w:r>
    </w:p>
    <w:p w14:paraId="33D73CE9" w14:textId="77777777" w:rsidR="002C5083" w:rsidRPr="002441D8" w:rsidRDefault="006D1D63" w:rsidP="00E13B84">
      <w:pPr>
        <w:spacing w:line="360" w:lineRule="auto"/>
        <w:jc w:val="both"/>
        <w:rPr>
          <w:sz w:val="20"/>
          <w:szCs w:val="20"/>
        </w:rPr>
      </w:pPr>
      <w:r w:rsidRPr="002441D8">
        <w:rPr>
          <w:sz w:val="20"/>
          <w:szCs w:val="20"/>
          <w:u w:val="single"/>
        </w:rPr>
        <w:t>Transplant and Disease Risk S</w:t>
      </w:r>
      <w:r w:rsidR="002C5083" w:rsidRPr="002441D8">
        <w:rPr>
          <w:sz w:val="20"/>
          <w:szCs w:val="20"/>
          <w:u w:val="single"/>
        </w:rPr>
        <w:t>tratification</w:t>
      </w:r>
      <w:r w:rsidR="002C5083" w:rsidRPr="002441D8">
        <w:rPr>
          <w:sz w:val="20"/>
          <w:szCs w:val="20"/>
        </w:rPr>
        <w:t xml:space="preserve"> - HSCT for CML provided the first </w:t>
      </w:r>
      <w:r w:rsidR="00331D8E" w:rsidRPr="002441D8">
        <w:rPr>
          <w:sz w:val="20"/>
          <w:szCs w:val="20"/>
        </w:rPr>
        <w:t>model</w:t>
      </w:r>
      <w:r w:rsidR="002C5083" w:rsidRPr="002441D8">
        <w:rPr>
          <w:sz w:val="20"/>
          <w:szCs w:val="20"/>
        </w:rPr>
        <w:t xml:space="preserve"> of risk assessment strategies within transplantation. The European Group for Bone and Marrow Transplantation (EBMT) developed a risk scoring system in the 1990s when CML was the commonest indication for allogeneic HSCT</w:t>
      </w:r>
      <w:r w:rsidR="002C5083" w:rsidRPr="002441D8">
        <w:rPr>
          <w:rStyle w:val="EndnoteReference"/>
          <w:sz w:val="20"/>
          <w:szCs w:val="20"/>
        </w:rPr>
        <w:endnoteReference w:id="34"/>
      </w:r>
      <w:r w:rsidR="002C5083" w:rsidRPr="002441D8">
        <w:rPr>
          <w:sz w:val="20"/>
          <w:szCs w:val="20"/>
        </w:rPr>
        <w:t xml:space="preserve"> (table 3). This system, based on more than 3000 CML patients, was subsequently validated in a data set of more than 56,000 transplants by European Group for Blood and Marrow Transplantation (EBMT)</w:t>
      </w:r>
      <w:r w:rsidR="002C5083" w:rsidRPr="002441D8">
        <w:rPr>
          <w:rStyle w:val="EndnoteReference"/>
          <w:sz w:val="20"/>
          <w:szCs w:val="20"/>
        </w:rPr>
        <w:endnoteReference w:id="35"/>
      </w:r>
      <w:r w:rsidR="002C5083" w:rsidRPr="002441D8">
        <w:rPr>
          <w:sz w:val="20"/>
          <w:szCs w:val="20"/>
        </w:rPr>
        <w:t xml:space="preserve"> and remains the most powerful predictor of transplant outcome across haematological malignancies.</w:t>
      </w:r>
    </w:p>
    <w:p w14:paraId="63488C49" w14:textId="77777777" w:rsidR="002C5083" w:rsidRPr="002441D8" w:rsidRDefault="002C5083" w:rsidP="00E13B84">
      <w:pPr>
        <w:spacing w:line="360" w:lineRule="auto"/>
        <w:jc w:val="both"/>
        <w:rPr>
          <w:sz w:val="20"/>
          <w:szCs w:val="20"/>
        </w:rPr>
      </w:pPr>
      <w:r w:rsidRPr="002441D8">
        <w:rPr>
          <w:sz w:val="20"/>
          <w:szCs w:val="20"/>
        </w:rPr>
        <w:t>A key observation in pre-transplant optimisation was that debulking of disease in CP, either by splenectomy or splenic irradiation prior to transplantation, confers neither a survival advantage nor a reduce risk of relapse</w:t>
      </w:r>
      <w:r w:rsidRPr="002441D8">
        <w:rPr>
          <w:rStyle w:val="EndnoteReference"/>
          <w:sz w:val="20"/>
          <w:szCs w:val="20"/>
        </w:rPr>
        <w:endnoteReference w:id="36"/>
      </w:r>
      <w:r w:rsidRPr="002441D8">
        <w:rPr>
          <w:sz w:val="20"/>
          <w:szCs w:val="20"/>
        </w:rPr>
        <w:t>. Conversely, progression of disease beyond chronic phase has a profoundly detrimental effect on outcome, with transplantation in frank blast crisis being frequently futile. These findings were observed nearly 30 years ago, but their implications remain equally pertinent today, in the TKI era.</w:t>
      </w:r>
    </w:p>
    <w:p w14:paraId="713ABDF5" w14:textId="77777777" w:rsidR="002C5083" w:rsidRPr="002441D8" w:rsidRDefault="006D1D63" w:rsidP="00E13B84">
      <w:pPr>
        <w:spacing w:line="360" w:lineRule="auto"/>
        <w:jc w:val="both"/>
        <w:rPr>
          <w:sz w:val="20"/>
          <w:szCs w:val="20"/>
        </w:rPr>
      </w:pPr>
      <w:r w:rsidRPr="002441D8">
        <w:rPr>
          <w:sz w:val="20"/>
          <w:szCs w:val="20"/>
          <w:u w:val="single"/>
        </w:rPr>
        <w:t>Minimal Residual D</w:t>
      </w:r>
      <w:r w:rsidR="002C5083" w:rsidRPr="002441D8">
        <w:rPr>
          <w:sz w:val="20"/>
          <w:szCs w:val="20"/>
          <w:u w:val="single"/>
        </w:rPr>
        <w:t>isease (MRD)</w:t>
      </w:r>
      <w:r w:rsidR="002C5083" w:rsidRPr="002441D8">
        <w:rPr>
          <w:sz w:val="20"/>
          <w:szCs w:val="20"/>
        </w:rPr>
        <w:t xml:space="preserve"> - MRD monitoring was pioneered in transplant for CML. Detection of BCR-ABL1 transcripts in peripheral blood by polymerase chain reaction (PCR) assays was developed to detect disease relapse following HSCT. While early methodologies were qualitative, systems were quickly developed which allowed serial quantitative measurement</w:t>
      </w:r>
      <w:r w:rsidR="002C5083" w:rsidRPr="002441D8">
        <w:rPr>
          <w:rStyle w:val="EndnoteReference"/>
          <w:sz w:val="20"/>
          <w:szCs w:val="20"/>
        </w:rPr>
        <w:endnoteReference w:id="37"/>
      </w:r>
      <w:r w:rsidR="002C5083" w:rsidRPr="002441D8">
        <w:rPr>
          <w:sz w:val="20"/>
          <w:szCs w:val="20"/>
        </w:rPr>
        <w:t>. The new exquisitely sensitive techniques are now the cornerstone of disease and response monitoring in CML, but it should be remembered that the initial use of these tests</w:t>
      </w:r>
      <w:r w:rsidR="00331D8E" w:rsidRPr="002441D8">
        <w:rPr>
          <w:sz w:val="20"/>
          <w:szCs w:val="20"/>
        </w:rPr>
        <w:t xml:space="preserve"> were</w:t>
      </w:r>
      <w:r w:rsidR="002C5083" w:rsidRPr="002441D8">
        <w:rPr>
          <w:sz w:val="20"/>
          <w:szCs w:val="20"/>
        </w:rPr>
        <w:t xml:space="preserve"> to reliably define molecular relapse (MR) following HSCT</w:t>
      </w:r>
      <w:r w:rsidR="00D73F9A" w:rsidRPr="002441D8">
        <w:rPr>
          <w:sz w:val="20"/>
          <w:szCs w:val="20"/>
          <w:vertAlign w:val="superscript"/>
        </w:rPr>
        <w:t>37</w:t>
      </w:r>
      <w:r w:rsidR="002C5083" w:rsidRPr="002441D8">
        <w:rPr>
          <w:sz w:val="20"/>
          <w:szCs w:val="20"/>
          <w:vertAlign w:val="superscript"/>
        </w:rPr>
        <w:t>,</w:t>
      </w:r>
      <w:r w:rsidR="002C5083" w:rsidRPr="002441D8">
        <w:rPr>
          <w:rStyle w:val="EndnoteReference"/>
          <w:sz w:val="20"/>
          <w:szCs w:val="20"/>
        </w:rPr>
        <w:endnoteReference w:id="38"/>
      </w:r>
      <w:r w:rsidR="002C5083" w:rsidRPr="002441D8">
        <w:rPr>
          <w:sz w:val="20"/>
          <w:szCs w:val="20"/>
        </w:rPr>
        <w:t>.</w:t>
      </w:r>
    </w:p>
    <w:p w14:paraId="7596605A" w14:textId="77777777" w:rsidR="002C5083" w:rsidRPr="002441D8" w:rsidRDefault="002C5083" w:rsidP="00E13B84">
      <w:pPr>
        <w:spacing w:line="360" w:lineRule="auto"/>
        <w:jc w:val="both"/>
        <w:rPr>
          <w:b/>
          <w:sz w:val="20"/>
          <w:szCs w:val="20"/>
        </w:rPr>
      </w:pPr>
      <w:r w:rsidRPr="002441D8">
        <w:rPr>
          <w:b/>
          <w:sz w:val="20"/>
          <w:szCs w:val="20"/>
        </w:rPr>
        <w:t>Indications for HSCT in the TKI era</w:t>
      </w:r>
    </w:p>
    <w:p w14:paraId="24FB62BE" w14:textId="77777777" w:rsidR="002C5083" w:rsidRPr="002441D8" w:rsidRDefault="002C5083" w:rsidP="00A2063A">
      <w:pPr>
        <w:spacing w:line="360" w:lineRule="auto"/>
        <w:jc w:val="both"/>
        <w:rPr>
          <w:sz w:val="20"/>
          <w:szCs w:val="20"/>
        </w:rPr>
      </w:pPr>
      <w:r w:rsidRPr="002441D8">
        <w:rPr>
          <w:sz w:val="20"/>
          <w:szCs w:val="20"/>
        </w:rPr>
        <w:t xml:space="preserve">The advisability and timing of transplant depends on disease phase. The most clear cut indication for HSCT is disease beyond CP and for this reason we start with blast crisis. </w:t>
      </w:r>
    </w:p>
    <w:p w14:paraId="5B07EB36" w14:textId="77777777" w:rsidR="002C5083" w:rsidRPr="002441D8" w:rsidRDefault="002C5083" w:rsidP="00EA68BC">
      <w:pPr>
        <w:spacing w:line="360" w:lineRule="auto"/>
        <w:jc w:val="both"/>
        <w:rPr>
          <w:sz w:val="20"/>
          <w:szCs w:val="20"/>
        </w:rPr>
      </w:pPr>
      <w:r w:rsidRPr="002441D8">
        <w:rPr>
          <w:sz w:val="20"/>
          <w:szCs w:val="20"/>
          <w:u w:val="single"/>
        </w:rPr>
        <w:t>Blast Crisis</w:t>
      </w:r>
      <w:r w:rsidRPr="002441D8">
        <w:rPr>
          <w:sz w:val="20"/>
          <w:szCs w:val="20"/>
        </w:rPr>
        <w:t xml:space="preserve"> – Blast crisis is considered the result of genomic instability resulting from DNA damage consequent upon persistent Bcr-abl1 activity, often characterised by the accumulation of additional karyotypic abnormalities. The impact of the TKIs has been least striking in this group of patients, with only a modest rise in median survival following their widespread use (3-4 months in the pre-TKI era to 7-11 months with their use</w:t>
      </w:r>
      <w:r w:rsidRPr="002441D8">
        <w:rPr>
          <w:rStyle w:val="EndnoteReference"/>
          <w:sz w:val="20"/>
          <w:szCs w:val="20"/>
        </w:rPr>
        <w:endnoteReference w:id="39"/>
      </w:r>
      <w:r w:rsidRPr="002441D8">
        <w:rPr>
          <w:sz w:val="20"/>
          <w:szCs w:val="20"/>
        </w:rPr>
        <w:t>)</w:t>
      </w:r>
      <w:r w:rsidR="00331D8E" w:rsidRPr="002441D8">
        <w:rPr>
          <w:sz w:val="20"/>
          <w:szCs w:val="20"/>
        </w:rPr>
        <w:t>, with usually short-lived</w:t>
      </w:r>
      <w:r w:rsidRPr="002441D8">
        <w:rPr>
          <w:sz w:val="20"/>
          <w:szCs w:val="20"/>
        </w:rPr>
        <w:t xml:space="preserve"> benefit. HSCT offer</w:t>
      </w:r>
      <w:r w:rsidR="0088620A" w:rsidRPr="002441D8">
        <w:rPr>
          <w:sz w:val="20"/>
          <w:szCs w:val="20"/>
        </w:rPr>
        <w:t>s</w:t>
      </w:r>
      <w:r w:rsidRPr="002441D8">
        <w:rPr>
          <w:sz w:val="20"/>
          <w:szCs w:val="20"/>
        </w:rPr>
        <w:t xml:space="preserve"> the only prospect of long-term survival for this group. </w:t>
      </w:r>
      <w:r w:rsidRPr="002441D8">
        <w:rPr>
          <w:sz w:val="20"/>
          <w:szCs w:val="20"/>
        </w:rPr>
        <w:lastRenderedPageBreak/>
        <w:t xml:space="preserve">There are two key messages when considering HSCT for patients presenting </w:t>
      </w:r>
      <w:r w:rsidR="0088620A" w:rsidRPr="002441D8">
        <w:rPr>
          <w:sz w:val="20"/>
          <w:szCs w:val="20"/>
        </w:rPr>
        <w:t xml:space="preserve">in </w:t>
      </w:r>
      <w:r w:rsidRPr="002441D8">
        <w:rPr>
          <w:sz w:val="20"/>
          <w:szCs w:val="20"/>
        </w:rPr>
        <w:t>or progressing to blast crisis: firstly, the best outcomes are achieved by returning patients to chronic phase prior to HSCT, with the outcome for those transplanted in frank BC dismal (less than 10% long-term survival)</w:t>
      </w:r>
      <w:r w:rsidRPr="002441D8">
        <w:rPr>
          <w:rStyle w:val="EndnoteReference"/>
          <w:sz w:val="20"/>
          <w:szCs w:val="20"/>
        </w:rPr>
        <w:endnoteReference w:id="40"/>
      </w:r>
      <w:r w:rsidRPr="002441D8">
        <w:rPr>
          <w:sz w:val="20"/>
          <w:szCs w:val="20"/>
        </w:rPr>
        <w:t>. A second or subsequent chronic phase can be achieved using TKI alone</w:t>
      </w:r>
      <w:r w:rsidRPr="002441D8">
        <w:rPr>
          <w:rStyle w:val="EndnoteReference"/>
          <w:sz w:val="20"/>
          <w:szCs w:val="20"/>
        </w:rPr>
        <w:endnoteReference w:id="41"/>
      </w:r>
      <w:r w:rsidR="00331D8E" w:rsidRPr="002441D8">
        <w:rPr>
          <w:sz w:val="20"/>
          <w:szCs w:val="20"/>
        </w:rPr>
        <w:t>, conventional AML-</w:t>
      </w:r>
      <w:r w:rsidRPr="002441D8">
        <w:rPr>
          <w:sz w:val="20"/>
          <w:szCs w:val="20"/>
        </w:rPr>
        <w:t>type combination chemotherapy alone</w:t>
      </w:r>
      <w:r w:rsidRPr="002441D8">
        <w:rPr>
          <w:rStyle w:val="EndnoteReference"/>
          <w:sz w:val="20"/>
          <w:szCs w:val="20"/>
        </w:rPr>
        <w:endnoteReference w:id="42"/>
      </w:r>
      <w:r w:rsidR="00464532" w:rsidRPr="002441D8">
        <w:rPr>
          <w:sz w:val="20"/>
          <w:szCs w:val="20"/>
        </w:rPr>
        <w:t xml:space="preserve"> or</w:t>
      </w:r>
      <w:r w:rsidRPr="002441D8">
        <w:rPr>
          <w:sz w:val="20"/>
          <w:szCs w:val="20"/>
        </w:rPr>
        <w:t xml:space="preserve"> both approaches simultaneously</w:t>
      </w:r>
      <w:r w:rsidRPr="002441D8">
        <w:rPr>
          <w:rStyle w:val="EndnoteReference"/>
          <w:sz w:val="20"/>
          <w:szCs w:val="20"/>
        </w:rPr>
        <w:endnoteReference w:id="43"/>
      </w:r>
      <w:r w:rsidRPr="002441D8">
        <w:rPr>
          <w:sz w:val="20"/>
          <w:szCs w:val="20"/>
          <w:vertAlign w:val="superscript"/>
        </w:rPr>
        <w:t>,</w:t>
      </w:r>
      <w:r w:rsidRPr="002441D8">
        <w:rPr>
          <w:rStyle w:val="EndnoteReference"/>
          <w:sz w:val="20"/>
          <w:szCs w:val="20"/>
        </w:rPr>
        <w:endnoteReference w:id="44"/>
      </w:r>
      <w:r w:rsidRPr="002441D8">
        <w:rPr>
          <w:sz w:val="20"/>
          <w:szCs w:val="20"/>
          <w:vertAlign w:val="superscript"/>
        </w:rPr>
        <w:t>,</w:t>
      </w:r>
      <w:r w:rsidRPr="002441D8">
        <w:rPr>
          <w:rStyle w:val="EndnoteReference"/>
          <w:sz w:val="20"/>
          <w:szCs w:val="20"/>
        </w:rPr>
        <w:endnoteReference w:id="45"/>
      </w:r>
      <w:r w:rsidRPr="002441D8">
        <w:rPr>
          <w:sz w:val="20"/>
          <w:szCs w:val="20"/>
        </w:rPr>
        <w:t xml:space="preserve">. The evidence base for better outcome using combined chemotherapy and a TKI is limited but the need to restore chronic phase is urgent so giving maximum therapy </w:t>
      </w:r>
      <w:r w:rsidRPr="002441D8">
        <w:rPr>
          <w:i/>
          <w:sz w:val="20"/>
          <w:szCs w:val="20"/>
        </w:rPr>
        <w:t>ab initio</w:t>
      </w:r>
      <w:r w:rsidRPr="002441D8">
        <w:rPr>
          <w:sz w:val="20"/>
          <w:szCs w:val="20"/>
        </w:rPr>
        <w:t xml:space="preserve"> is not unreasonable. Secondly, an intriguing observation is that the most frequent cause of death post transplant is not in fact progressive disease but rather transplant related mortality. These patients suffer extremely high non-relapse mortality with ‘TKI era’ registry data reporting 46% 1 year mortality if transplanted in BP</w:t>
      </w:r>
      <w:r w:rsidRPr="002441D8">
        <w:rPr>
          <w:rStyle w:val="EndnoteReference"/>
          <w:sz w:val="20"/>
          <w:szCs w:val="20"/>
        </w:rPr>
        <w:endnoteReference w:id="46"/>
      </w:r>
      <w:r w:rsidRPr="002441D8">
        <w:rPr>
          <w:sz w:val="20"/>
          <w:szCs w:val="20"/>
        </w:rPr>
        <w:t>, which improves to 33% if CP2 is achieved. The reasons for this are unclear:  whilst the contribution of pre-transplant chemotherapy, drug toxicity or atypical/fungal infections resulting from prolonged immunosuppression may partially explain the high TRM when comparing to those transplanted in first chronic phase, these factors cannot explain the differences observed between HSCT for CML BP and the acute leukaemias, who have experienced equally intense conditioning and transplant regimens. Even high risk acute myeloid leukaemia patients transplanted in first complete remission (with frequently comparable demographs and induction regimen characteristics) have 3 year TRM in the region of 10-20%</w:t>
      </w:r>
      <w:r w:rsidRPr="002441D8">
        <w:rPr>
          <w:rStyle w:val="EndnoteReference"/>
          <w:sz w:val="20"/>
          <w:szCs w:val="20"/>
        </w:rPr>
        <w:endnoteReference w:id="47"/>
      </w:r>
      <w:r w:rsidRPr="002441D8">
        <w:rPr>
          <w:sz w:val="20"/>
          <w:szCs w:val="20"/>
        </w:rPr>
        <w:t>,</w:t>
      </w:r>
      <w:r w:rsidRPr="002441D8">
        <w:rPr>
          <w:rStyle w:val="EndnoteReference"/>
          <w:sz w:val="20"/>
          <w:szCs w:val="20"/>
        </w:rPr>
        <w:endnoteReference w:id="48"/>
      </w:r>
      <w:r w:rsidRPr="002441D8">
        <w:rPr>
          <w:sz w:val="20"/>
          <w:szCs w:val="20"/>
        </w:rPr>
        <w:t>. Despite the high TRM, HSCT should be offered to all eligible BC patients with a suitable donor, as the only realistic prospect of long-term survival.</w:t>
      </w:r>
    </w:p>
    <w:p w14:paraId="59D76ECD" w14:textId="77777777" w:rsidR="002C5083" w:rsidRPr="002441D8" w:rsidRDefault="002C5083" w:rsidP="00E13B84">
      <w:pPr>
        <w:spacing w:line="360" w:lineRule="auto"/>
        <w:jc w:val="both"/>
        <w:rPr>
          <w:sz w:val="20"/>
          <w:szCs w:val="20"/>
        </w:rPr>
      </w:pPr>
      <w:r w:rsidRPr="002441D8">
        <w:rPr>
          <w:sz w:val="20"/>
          <w:szCs w:val="20"/>
          <w:u w:val="single"/>
        </w:rPr>
        <w:t>Accelerated Phase Disease</w:t>
      </w:r>
      <w:r w:rsidRPr="002441D8">
        <w:rPr>
          <w:sz w:val="20"/>
          <w:szCs w:val="20"/>
        </w:rPr>
        <w:t xml:space="preserve"> – The definition of accelerated phase has always been more subjective than those of chronic phase and blast crisis, resulting in the term ‘acceleration’ describing a heterogeneous population. While some are in the early stages of transformation, others have further progressed to the brink of BC. This is confounded by the fact that the definitions were established in the pre-TKI era, where lost of response to therapy would constitute acceleration, whereas now loss of cytogenetic or molecular response to imatinib would simply trigger a switch to a second generation agent, often with good effect. This heterogeneity makes the group difficult to consider a single entity. For those on the brink of transformation to BC, HSCT undoubtedly offers the best chance of long-term survival, however a TKI based regimen may suffice for those early in the transition from CP to AP. For these reasons, </w:t>
      </w:r>
      <w:r w:rsidR="00F712B9" w:rsidRPr="002441D8">
        <w:rPr>
          <w:sz w:val="20"/>
          <w:szCs w:val="20"/>
        </w:rPr>
        <w:t xml:space="preserve">there has been a </w:t>
      </w:r>
      <w:r w:rsidRPr="002441D8">
        <w:rPr>
          <w:sz w:val="20"/>
          <w:szCs w:val="20"/>
        </w:rPr>
        <w:t>recent attempt to further risk stratify AP patients (table 4)</w:t>
      </w:r>
      <w:r w:rsidRPr="002441D8">
        <w:rPr>
          <w:rStyle w:val="EndnoteReference"/>
          <w:sz w:val="20"/>
          <w:szCs w:val="20"/>
        </w:rPr>
        <w:endnoteReference w:id="49"/>
      </w:r>
      <w:r w:rsidRPr="002441D8">
        <w:rPr>
          <w:sz w:val="20"/>
          <w:szCs w:val="20"/>
        </w:rPr>
        <w:t xml:space="preserve">. </w:t>
      </w:r>
      <w:r w:rsidR="00F712B9" w:rsidRPr="002441D8">
        <w:rPr>
          <w:sz w:val="20"/>
          <w:szCs w:val="20"/>
        </w:rPr>
        <w:t>Based on their experience</w:t>
      </w:r>
      <w:r w:rsidR="00F40FB8" w:rsidRPr="002441D8">
        <w:rPr>
          <w:sz w:val="20"/>
          <w:szCs w:val="20"/>
        </w:rPr>
        <w:t>,</w:t>
      </w:r>
      <w:r w:rsidR="00F712B9" w:rsidRPr="002441D8">
        <w:rPr>
          <w:sz w:val="20"/>
          <w:szCs w:val="20"/>
        </w:rPr>
        <w:t xml:space="preserve"> Jiang et al suggested that l</w:t>
      </w:r>
      <w:r w:rsidRPr="002441D8">
        <w:rPr>
          <w:sz w:val="20"/>
          <w:szCs w:val="20"/>
        </w:rPr>
        <w:t xml:space="preserve">ow risk patients, those with no risk factors, gain no advantage from HCST over imatinib alone (6 year OS 81% vs 100%). </w:t>
      </w:r>
      <w:r w:rsidR="00F712B9" w:rsidRPr="002441D8">
        <w:rPr>
          <w:sz w:val="20"/>
          <w:szCs w:val="20"/>
        </w:rPr>
        <w:t>However, t</w:t>
      </w:r>
      <w:r w:rsidRPr="002441D8">
        <w:rPr>
          <w:sz w:val="20"/>
          <w:szCs w:val="20"/>
        </w:rPr>
        <w:t>he outcome for high-risk patients (with 2 or 3 risk factors) who did not receive HSCT was extremely poor, yet eminently salvageable with HSCT (5 year OS 18% vs 100%). Others have reported 3 year OS of 87% and 95% for AP patients treated with imatinib or 2GTKI respectively</w:t>
      </w:r>
      <w:r w:rsidRPr="002441D8">
        <w:rPr>
          <w:rStyle w:val="EndnoteReference"/>
          <w:sz w:val="20"/>
          <w:szCs w:val="20"/>
        </w:rPr>
        <w:endnoteReference w:id="50"/>
      </w:r>
      <w:r w:rsidRPr="002441D8">
        <w:rPr>
          <w:sz w:val="20"/>
          <w:szCs w:val="20"/>
        </w:rPr>
        <w:t xml:space="preserve">, however, this cohort would appear to represent those in the early stages of transformation. In practical terms most clinicians will initiate therapy with a TKI and carefully monitor the molecular response. Lower risk groups may be continued on TKI alone if an ‘optimal response’ has been achieved, but this comes with the caveat that the definition of ‘optimal response’ has been validated only in chronic phase disease. Few clinicians would withhold HSCT in those with higher risk AP disease. </w:t>
      </w:r>
    </w:p>
    <w:p w14:paraId="38C295CD" w14:textId="77777777" w:rsidR="002C5083" w:rsidRPr="002441D8" w:rsidRDefault="002C5083" w:rsidP="003A0964">
      <w:pPr>
        <w:spacing w:line="360" w:lineRule="auto"/>
        <w:jc w:val="both"/>
        <w:rPr>
          <w:sz w:val="20"/>
          <w:szCs w:val="20"/>
        </w:rPr>
      </w:pPr>
      <w:r w:rsidRPr="002441D8">
        <w:rPr>
          <w:sz w:val="20"/>
          <w:szCs w:val="20"/>
          <w:u w:val="single"/>
        </w:rPr>
        <w:lastRenderedPageBreak/>
        <w:t>Chronic Phase Disease</w:t>
      </w:r>
      <w:r w:rsidRPr="002441D8">
        <w:rPr>
          <w:sz w:val="20"/>
          <w:szCs w:val="20"/>
        </w:rPr>
        <w:t xml:space="preserve"> – The decision to transplant or not in CP is undoubtedly the most controversial and complex. Frontline imatinib induces MMR in the region of 60% of CP patients</w:t>
      </w:r>
      <w:r w:rsidR="00CF695B" w:rsidRPr="002441D8">
        <w:rPr>
          <w:sz w:val="20"/>
          <w:szCs w:val="20"/>
          <w:vertAlign w:val="superscript"/>
        </w:rPr>
        <w:t>12</w:t>
      </w:r>
      <w:r w:rsidRPr="002441D8">
        <w:rPr>
          <w:sz w:val="20"/>
          <w:szCs w:val="20"/>
        </w:rPr>
        <w:t>. Dasatinib and nilotinib in front line setting are even more effective, achieving MMR in the region of 75% at the 4 year follow-up reports</w:t>
      </w:r>
      <w:r w:rsidRPr="002441D8">
        <w:rPr>
          <w:rStyle w:val="EndnoteReference"/>
          <w:sz w:val="20"/>
          <w:szCs w:val="20"/>
        </w:rPr>
        <w:endnoteReference w:id="51"/>
      </w:r>
      <w:r w:rsidRPr="002441D8">
        <w:rPr>
          <w:sz w:val="20"/>
          <w:szCs w:val="20"/>
        </w:rPr>
        <w:t>,</w:t>
      </w:r>
      <w:r w:rsidRPr="002441D8">
        <w:rPr>
          <w:rStyle w:val="EndnoteReference"/>
          <w:sz w:val="20"/>
          <w:szCs w:val="20"/>
        </w:rPr>
        <w:endnoteReference w:id="52"/>
      </w:r>
      <w:r w:rsidRPr="002441D8">
        <w:rPr>
          <w:sz w:val="20"/>
          <w:szCs w:val="20"/>
        </w:rPr>
        <w:t>. However, the rates of treatment discontinuation either from loss/lack of control or intolerable side effects are high. 45% of patients have stopped imatinib after 8 years of treatment</w:t>
      </w:r>
      <w:r w:rsidR="00D73F9A" w:rsidRPr="002441D8">
        <w:rPr>
          <w:sz w:val="20"/>
          <w:szCs w:val="20"/>
          <w:vertAlign w:val="superscript"/>
        </w:rPr>
        <w:t>12</w:t>
      </w:r>
      <w:r w:rsidRPr="002441D8">
        <w:rPr>
          <w:sz w:val="20"/>
          <w:szCs w:val="20"/>
        </w:rPr>
        <w:t xml:space="preserve">  while 32%</w:t>
      </w:r>
      <w:r w:rsidR="00341DF6" w:rsidRPr="002441D8">
        <w:rPr>
          <w:sz w:val="20"/>
          <w:szCs w:val="20"/>
        </w:rPr>
        <w:t xml:space="preserve"> </w:t>
      </w:r>
      <w:r w:rsidRPr="002441D8">
        <w:rPr>
          <w:sz w:val="20"/>
          <w:szCs w:val="20"/>
        </w:rPr>
        <w:t>and 31-34% have stopped dasatinib</w:t>
      </w:r>
      <w:r w:rsidR="00A810A4" w:rsidRPr="002441D8">
        <w:rPr>
          <w:sz w:val="20"/>
          <w:szCs w:val="20"/>
          <w:vertAlign w:val="superscript"/>
        </w:rPr>
        <w:t>51</w:t>
      </w:r>
      <w:r w:rsidR="00FA5535" w:rsidRPr="002441D8">
        <w:rPr>
          <w:sz w:val="20"/>
          <w:szCs w:val="20"/>
          <w:vertAlign w:val="superscript"/>
        </w:rPr>
        <w:t xml:space="preserve"> </w:t>
      </w:r>
      <w:r w:rsidR="00341DF6" w:rsidRPr="002441D8">
        <w:rPr>
          <w:sz w:val="20"/>
          <w:szCs w:val="20"/>
        </w:rPr>
        <w:t xml:space="preserve"> </w:t>
      </w:r>
      <w:r w:rsidRPr="002441D8">
        <w:rPr>
          <w:sz w:val="20"/>
          <w:szCs w:val="20"/>
        </w:rPr>
        <w:t>and nilotinib</w:t>
      </w:r>
      <w:r w:rsidR="00A810A4" w:rsidRPr="002441D8">
        <w:rPr>
          <w:sz w:val="20"/>
          <w:szCs w:val="20"/>
          <w:vertAlign w:val="superscript"/>
        </w:rPr>
        <w:t>52</w:t>
      </w:r>
      <w:r w:rsidRPr="002441D8">
        <w:rPr>
          <w:sz w:val="20"/>
          <w:szCs w:val="20"/>
        </w:rPr>
        <w:t xml:space="preserve"> respectively</w:t>
      </w:r>
      <w:r w:rsidR="00742F55" w:rsidRPr="002441D8">
        <w:rPr>
          <w:sz w:val="20"/>
          <w:szCs w:val="20"/>
        </w:rPr>
        <w:t xml:space="preserve"> after </w:t>
      </w:r>
      <w:r w:rsidR="00331D8E" w:rsidRPr="002441D8">
        <w:rPr>
          <w:sz w:val="20"/>
          <w:szCs w:val="20"/>
        </w:rPr>
        <w:t>4 years</w:t>
      </w:r>
      <w:r w:rsidRPr="002441D8">
        <w:rPr>
          <w:sz w:val="20"/>
          <w:szCs w:val="20"/>
        </w:rPr>
        <w:t>. For those who switch to a 2GTKI following imatinib cessation, 70% have discontinued their first choice 2GTKI after 6 years</w:t>
      </w:r>
      <w:r w:rsidRPr="002441D8">
        <w:rPr>
          <w:rStyle w:val="EndnoteReference"/>
          <w:sz w:val="20"/>
          <w:szCs w:val="20"/>
        </w:rPr>
        <w:endnoteReference w:id="53"/>
      </w:r>
      <w:r w:rsidRPr="002441D8">
        <w:rPr>
          <w:sz w:val="20"/>
          <w:szCs w:val="20"/>
        </w:rPr>
        <w:t>,</w:t>
      </w:r>
      <w:r w:rsidRPr="002441D8">
        <w:rPr>
          <w:rStyle w:val="EndnoteReference"/>
          <w:sz w:val="20"/>
          <w:szCs w:val="20"/>
        </w:rPr>
        <w:endnoteReference w:id="54"/>
      </w:r>
      <w:r w:rsidRPr="002441D8">
        <w:rPr>
          <w:sz w:val="20"/>
          <w:szCs w:val="20"/>
        </w:rPr>
        <w:t>. Whilst clear and reproducible data for subsequent bosutinib and ponatinib are maturing, it would seem similar failure/discontinuation rates should be expected. Irrespective of the first line treatment choice, these data suggests that a sizable minority (some 10-15%) will be unable to obtain an optimal response on a tolerable treatment, and will require an alternative strategy of which HSCT is one (figure 1).</w:t>
      </w:r>
    </w:p>
    <w:p w14:paraId="1BF99F75" w14:textId="77777777" w:rsidR="002C5083" w:rsidRPr="002441D8" w:rsidRDefault="002C5083" w:rsidP="003A0964">
      <w:pPr>
        <w:spacing w:line="360" w:lineRule="auto"/>
        <w:jc w:val="both"/>
        <w:rPr>
          <w:sz w:val="20"/>
          <w:szCs w:val="20"/>
        </w:rPr>
      </w:pPr>
      <w:r w:rsidRPr="002441D8">
        <w:rPr>
          <w:sz w:val="20"/>
          <w:szCs w:val="20"/>
        </w:rPr>
        <w:t>Currently there are no biomarkers from diagnosis that can reliably identify patients destined to fail TKI therapy. The recent data, suggesting that a group of poorer risk patients can be identified as early as 3 months after the start of any TKI, is beginning to change our approach to management, with changes in drug therapy occurring earlier in an effort to prevent early disease progression. With five licensed drugs the tendency is to try multiple lines of therapy before referring the patient for transplant. Unfortunately the delay imposed by such a strategy will inevitably result in disease progression in some patients who might otherwise have benefited from HSCT.  It is worth considering the rationale behind such an approach in some detail.</w:t>
      </w:r>
    </w:p>
    <w:p w14:paraId="52671801" w14:textId="77777777" w:rsidR="002C5083" w:rsidRPr="002441D8" w:rsidRDefault="002C5083" w:rsidP="003A0964">
      <w:pPr>
        <w:spacing w:line="360" w:lineRule="auto"/>
        <w:jc w:val="both"/>
        <w:rPr>
          <w:sz w:val="20"/>
          <w:szCs w:val="20"/>
        </w:rPr>
      </w:pPr>
      <w:r w:rsidRPr="002441D8">
        <w:rPr>
          <w:sz w:val="20"/>
          <w:szCs w:val="20"/>
        </w:rPr>
        <w:t>Worldwide the majority of newly diagnosed patients commence therapy with imatinib. If the patient fails to respond, loses an established response or experiences unacceptable toxicity, it is entirely reasonable to try a one or other of the second generation drugs, bosutinb, dasatinib or nilotinib. In some cases the actual choice might be guided by the presence of a kinase domain mutation or certain co-morbidities, but in the majority any of these drugs may be used as their efficacy is equivalent. The dilemma emerges if they are resistant and/or intolerant to the second line therapy. The efficacy of a third-line second generation drug is limited: reports of local or regional series and most recently a systematic review suggest the achievement of a complete cytogenetic response in 20-30%; the durability of these responses is less clear</w:t>
      </w:r>
      <w:r w:rsidRPr="002441D8">
        <w:rPr>
          <w:rStyle w:val="EndnoteReference"/>
          <w:sz w:val="20"/>
          <w:szCs w:val="20"/>
        </w:rPr>
        <w:endnoteReference w:id="55"/>
      </w:r>
      <w:r w:rsidRPr="002441D8">
        <w:rPr>
          <w:sz w:val="20"/>
          <w:szCs w:val="20"/>
          <w:vertAlign w:val="superscript"/>
        </w:rPr>
        <w:t>,</w:t>
      </w:r>
      <w:r w:rsidRPr="002441D8">
        <w:rPr>
          <w:rStyle w:val="EndnoteReference"/>
          <w:sz w:val="20"/>
          <w:szCs w:val="20"/>
        </w:rPr>
        <w:endnoteReference w:id="56"/>
      </w:r>
      <w:r w:rsidRPr="002441D8">
        <w:rPr>
          <w:sz w:val="20"/>
          <w:szCs w:val="20"/>
          <w:vertAlign w:val="superscript"/>
        </w:rPr>
        <w:t>,</w:t>
      </w:r>
      <w:r w:rsidRPr="002441D8">
        <w:rPr>
          <w:rStyle w:val="EndnoteReference"/>
          <w:sz w:val="20"/>
          <w:szCs w:val="20"/>
        </w:rPr>
        <w:endnoteReference w:id="57"/>
      </w:r>
      <w:r w:rsidRPr="002441D8">
        <w:rPr>
          <w:sz w:val="20"/>
          <w:szCs w:val="20"/>
        </w:rPr>
        <w:t>.  Furthermore it is difficult to determine any features that might predict response to the third line agent, although at least two reports have shown an association of prior cytogenetic response on the first and/or second line therapy</w:t>
      </w:r>
      <w:r w:rsidR="00742F55" w:rsidRPr="002441D8">
        <w:rPr>
          <w:sz w:val="20"/>
          <w:szCs w:val="20"/>
          <w:vertAlign w:val="superscript"/>
        </w:rPr>
        <w:t>5</w:t>
      </w:r>
      <w:r w:rsidR="00CD1203" w:rsidRPr="002441D8">
        <w:rPr>
          <w:sz w:val="20"/>
          <w:szCs w:val="20"/>
          <w:vertAlign w:val="superscript"/>
        </w:rPr>
        <w:t>1, 52,</w:t>
      </w:r>
      <w:r w:rsidR="00B762E9" w:rsidRPr="002441D8">
        <w:rPr>
          <w:rStyle w:val="EndnoteReference"/>
          <w:sz w:val="20"/>
          <w:szCs w:val="20"/>
        </w:rPr>
        <w:endnoteReference w:id="58"/>
      </w:r>
      <w:r w:rsidR="00CD1203" w:rsidRPr="002441D8">
        <w:rPr>
          <w:sz w:val="20"/>
          <w:szCs w:val="20"/>
        </w:rPr>
        <w:t xml:space="preserve">. </w:t>
      </w:r>
      <w:r w:rsidRPr="002441D8">
        <w:rPr>
          <w:sz w:val="20"/>
          <w:szCs w:val="20"/>
        </w:rPr>
        <w:t>Intuitively one feels that a patient who has demonstrated resistance to two lines of therapy without an obvious explanation such as non-compliance or a kinase domain mutation, is less likely to be responsive to a third line agent of similar efficacy. Unfortu</w:t>
      </w:r>
      <w:r w:rsidR="005F3711" w:rsidRPr="002441D8">
        <w:rPr>
          <w:sz w:val="20"/>
          <w:szCs w:val="20"/>
        </w:rPr>
        <w:t xml:space="preserve">nately the situation of multiple </w:t>
      </w:r>
      <w:r w:rsidRPr="002441D8">
        <w:rPr>
          <w:sz w:val="20"/>
          <w:szCs w:val="20"/>
        </w:rPr>
        <w:t>intolerance</w:t>
      </w:r>
      <w:r w:rsidR="005F3711" w:rsidRPr="002441D8">
        <w:rPr>
          <w:sz w:val="20"/>
          <w:szCs w:val="20"/>
        </w:rPr>
        <w:t>s</w:t>
      </w:r>
      <w:r w:rsidRPr="002441D8">
        <w:rPr>
          <w:sz w:val="20"/>
          <w:szCs w:val="20"/>
        </w:rPr>
        <w:t>, particularly with haematological toxicity, although perhaps sensitive to the third drug, is likely to result in further intolerance. Similar arguments against a further second generation agent can be made for a patient failing first line dasa</w:t>
      </w:r>
      <w:r w:rsidR="00657FF7" w:rsidRPr="002441D8">
        <w:rPr>
          <w:sz w:val="20"/>
          <w:szCs w:val="20"/>
        </w:rPr>
        <w:t>tinib or nilotinib.</w:t>
      </w:r>
    </w:p>
    <w:p w14:paraId="5810C9A9" w14:textId="77777777" w:rsidR="0063497A" w:rsidRPr="002441D8" w:rsidRDefault="002C5083" w:rsidP="00F40FB8">
      <w:pPr>
        <w:spacing w:line="360" w:lineRule="auto"/>
        <w:rPr>
          <w:sz w:val="20"/>
          <w:szCs w:val="20"/>
        </w:rPr>
      </w:pPr>
      <w:r w:rsidRPr="002441D8">
        <w:rPr>
          <w:sz w:val="20"/>
          <w:szCs w:val="20"/>
        </w:rPr>
        <w:t>The third generation drug, ponatinib, has shown impressive efficacy in second, third and fourth line therapy</w:t>
      </w:r>
      <w:r w:rsidR="001C2158" w:rsidRPr="002441D8">
        <w:rPr>
          <w:rStyle w:val="EndnoteReference"/>
          <w:sz w:val="20"/>
          <w:szCs w:val="20"/>
        </w:rPr>
        <w:endnoteReference w:id="59"/>
      </w:r>
      <w:r w:rsidR="001C2158" w:rsidRPr="002441D8">
        <w:rPr>
          <w:sz w:val="20"/>
          <w:szCs w:val="20"/>
        </w:rPr>
        <w:t xml:space="preserve"> </w:t>
      </w:r>
      <w:r w:rsidRPr="002441D8">
        <w:rPr>
          <w:sz w:val="20"/>
          <w:szCs w:val="20"/>
        </w:rPr>
        <w:t xml:space="preserve">: once again those patients likely to respond well can be identified at 3 months.  It is entirely reasonable to </w:t>
      </w:r>
      <w:r w:rsidRPr="002441D8">
        <w:rPr>
          <w:sz w:val="20"/>
          <w:szCs w:val="20"/>
        </w:rPr>
        <w:lastRenderedPageBreak/>
        <w:t>suggest that a patient eligible for transplant should ideally transition through imatinib to a second generation agent and then currently to ponatinib, or from first –line dasatinib or nilotinib to ponatinib, so as to arrive at transplant as early as possible in the disease course. In practice, this pathway will be influenced by drug availability, the presence of mutations, co-morbidities or the nature of intolerance but the overall aim should be to avoid the risk of progression. Patients failing first line therapy should be referred for donor identification to avoid any subsequent delay if transplant becomes necessary.</w:t>
      </w:r>
      <w:r w:rsidR="0063497A" w:rsidRPr="002441D8">
        <w:rPr>
          <w:sz w:val="20"/>
          <w:szCs w:val="20"/>
        </w:rPr>
        <w:t xml:space="preserve"> </w:t>
      </w:r>
    </w:p>
    <w:p w14:paraId="1715366F" w14:textId="77777777" w:rsidR="0063497A" w:rsidRPr="002441D8" w:rsidRDefault="0063497A" w:rsidP="00F40FB8">
      <w:pPr>
        <w:spacing w:line="360" w:lineRule="auto"/>
        <w:rPr>
          <w:sz w:val="20"/>
          <w:szCs w:val="20"/>
        </w:rPr>
      </w:pPr>
      <w:r w:rsidRPr="002441D8">
        <w:rPr>
          <w:sz w:val="20"/>
          <w:szCs w:val="20"/>
        </w:rPr>
        <w:t xml:space="preserve">When considering HSCT as an alternative to TKI because of </w:t>
      </w:r>
      <w:r w:rsidR="00657FF7" w:rsidRPr="002441D8">
        <w:rPr>
          <w:sz w:val="20"/>
          <w:szCs w:val="20"/>
        </w:rPr>
        <w:t>toxicity or intolerance</w:t>
      </w:r>
      <w:r w:rsidRPr="002441D8">
        <w:rPr>
          <w:sz w:val="20"/>
          <w:szCs w:val="20"/>
        </w:rPr>
        <w:t xml:space="preserve">, every attempt must have been made to manage the side effects of the responsible </w:t>
      </w:r>
      <w:r w:rsidR="002E2407" w:rsidRPr="002441D8">
        <w:rPr>
          <w:sz w:val="20"/>
          <w:szCs w:val="20"/>
        </w:rPr>
        <w:t>drug</w:t>
      </w:r>
      <w:r w:rsidRPr="002441D8">
        <w:rPr>
          <w:sz w:val="20"/>
          <w:szCs w:val="20"/>
        </w:rPr>
        <w:t xml:space="preserve">. While many of the toxicities seen early </w:t>
      </w:r>
      <w:r w:rsidR="00BB744A" w:rsidRPr="002441D8">
        <w:rPr>
          <w:sz w:val="20"/>
          <w:szCs w:val="20"/>
        </w:rPr>
        <w:t>after</w:t>
      </w:r>
      <w:r w:rsidRPr="002441D8">
        <w:rPr>
          <w:sz w:val="20"/>
          <w:szCs w:val="20"/>
        </w:rPr>
        <w:t xml:space="preserve"> treatment initiation such as </w:t>
      </w:r>
      <w:r w:rsidR="00BB744A" w:rsidRPr="002441D8">
        <w:rPr>
          <w:sz w:val="20"/>
          <w:szCs w:val="20"/>
        </w:rPr>
        <w:t xml:space="preserve">rash, fluid retention, </w:t>
      </w:r>
      <w:r w:rsidRPr="002441D8">
        <w:rPr>
          <w:sz w:val="20"/>
          <w:szCs w:val="20"/>
        </w:rPr>
        <w:t xml:space="preserve">nausea, diarrhoea, </w:t>
      </w:r>
      <w:r w:rsidR="00BB744A" w:rsidRPr="002441D8">
        <w:rPr>
          <w:sz w:val="20"/>
          <w:szCs w:val="20"/>
        </w:rPr>
        <w:t xml:space="preserve">and </w:t>
      </w:r>
      <w:r w:rsidRPr="002441D8">
        <w:rPr>
          <w:sz w:val="20"/>
          <w:szCs w:val="20"/>
        </w:rPr>
        <w:t>other gastrointestinal upset respond well to temporary treatment interruption</w:t>
      </w:r>
      <w:r w:rsidR="009971C3" w:rsidRPr="002441D8">
        <w:rPr>
          <w:sz w:val="20"/>
          <w:szCs w:val="20"/>
        </w:rPr>
        <w:t xml:space="preserve"> or</w:t>
      </w:r>
      <w:r w:rsidR="00464532" w:rsidRPr="002441D8">
        <w:rPr>
          <w:sz w:val="20"/>
          <w:szCs w:val="20"/>
        </w:rPr>
        <w:t xml:space="preserve"> </w:t>
      </w:r>
      <w:r w:rsidRPr="002441D8">
        <w:rPr>
          <w:sz w:val="20"/>
          <w:szCs w:val="20"/>
        </w:rPr>
        <w:t xml:space="preserve">dose reduction, </w:t>
      </w:r>
      <w:r w:rsidR="00BB744A" w:rsidRPr="002441D8">
        <w:rPr>
          <w:sz w:val="20"/>
          <w:szCs w:val="20"/>
        </w:rPr>
        <w:t xml:space="preserve">some do not and </w:t>
      </w:r>
      <w:r w:rsidRPr="002441D8">
        <w:rPr>
          <w:sz w:val="20"/>
          <w:szCs w:val="20"/>
        </w:rPr>
        <w:t>treatment cessation</w:t>
      </w:r>
      <w:r w:rsidR="00464532" w:rsidRPr="002441D8">
        <w:rPr>
          <w:sz w:val="20"/>
          <w:szCs w:val="20"/>
        </w:rPr>
        <w:t xml:space="preserve"> is necessary</w:t>
      </w:r>
      <w:r w:rsidRPr="002441D8">
        <w:rPr>
          <w:sz w:val="20"/>
          <w:szCs w:val="20"/>
        </w:rPr>
        <w:t xml:space="preserve">. </w:t>
      </w:r>
      <w:r w:rsidR="00BB744A" w:rsidRPr="002441D8">
        <w:rPr>
          <w:sz w:val="20"/>
          <w:szCs w:val="20"/>
        </w:rPr>
        <w:t>Recurrent haematological toxicity, even after dose reduction, can render continued TKI treatment problematic. Recently more serious and life-threatening toxicities have been described after treatment with both second and third generation drugs</w:t>
      </w:r>
      <w:r w:rsidR="00D77CA3" w:rsidRPr="002441D8">
        <w:rPr>
          <w:sz w:val="20"/>
          <w:szCs w:val="20"/>
          <w:vertAlign w:val="superscript"/>
        </w:rPr>
        <w:t>59,</w:t>
      </w:r>
      <w:r w:rsidR="00A810A4" w:rsidRPr="002441D8">
        <w:rPr>
          <w:rStyle w:val="EndnoteReference"/>
          <w:sz w:val="20"/>
          <w:szCs w:val="20"/>
        </w:rPr>
        <w:endnoteReference w:id="60"/>
      </w:r>
      <w:r w:rsidR="00D77CA3" w:rsidRPr="002441D8">
        <w:rPr>
          <w:sz w:val="20"/>
          <w:szCs w:val="20"/>
          <w:vertAlign w:val="superscript"/>
        </w:rPr>
        <w:t>,</w:t>
      </w:r>
      <w:r w:rsidR="00A810A4" w:rsidRPr="002441D8">
        <w:rPr>
          <w:rStyle w:val="EndnoteReference"/>
          <w:sz w:val="20"/>
          <w:szCs w:val="20"/>
        </w:rPr>
        <w:endnoteReference w:id="61"/>
      </w:r>
      <w:r w:rsidR="00D77CA3" w:rsidRPr="002441D8">
        <w:rPr>
          <w:sz w:val="20"/>
          <w:szCs w:val="20"/>
        </w:rPr>
        <w:t xml:space="preserve">, </w:t>
      </w:r>
      <w:r w:rsidR="00BB744A" w:rsidRPr="002441D8">
        <w:rPr>
          <w:sz w:val="20"/>
          <w:szCs w:val="20"/>
        </w:rPr>
        <w:t>also requiring cessation of the c</w:t>
      </w:r>
      <w:r w:rsidR="00657FF7" w:rsidRPr="002441D8">
        <w:rPr>
          <w:sz w:val="20"/>
          <w:szCs w:val="20"/>
        </w:rPr>
        <w:t>ausative drug. In these cases a strong</w:t>
      </w:r>
      <w:r w:rsidR="00BB744A" w:rsidRPr="002441D8">
        <w:rPr>
          <w:sz w:val="20"/>
          <w:szCs w:val="20"/>
        </w:rPr>
        <w:t xml:space="preserve"> argument can be made for recommending HSCT.  </w:t>
      </w:r>
    </w:p>
    <w:p w14:paraId="23D5F23A" w14:textId="77777777" w:rsidR="002C5083" w:rsidRPr="002441D8" w:rsidRDefault="0063497A" w:rsidP="001C2A15">
      <w:pPr>
        <w:spacing w:line="360" w:lineRule="auto"/>
        <w:rPr>
          <w:sz w:val="20"/>
          <w:szCs w:val="20"/>
        </w:rPr>
      </w:pPr>
      <w:r w:rsidRPr="002441D8">
        <w:rPr>
          <w:sz w:val="20"/>
          <w:szCs w:val="20"/>
        </w:rPr>
        <w:t>Just as adherence to treatment is a critical factor in achieving molecular response in CML</w:t>
      </w:r>
      <w:r w:rsidRPr="002441D8">
        <w:rPr>
          <w:rStyle w:val="EndnoteReference"/>
          <w:sz w:val="20"/>
          <w:szCs w:val="20"/>
        </w:rPr>
        <w:endnoteReference w:id="62"/>
      </w:r>
      <w:r w:rsidRPr="002441D8">
        <w:rPr>
          <w:sz w:val="20"/>
          <w:szCs w:val="20"/>
        </w:rPr>
        <w:t>, so too is adherence to post transplant regimens in order to minimise the complication</w:t>
      </w:r>
      <w:r w:rsidR="00BE3A9A" w:rsidRPr="002441D8">
        <w:rPr>
          <w:sz w:val="20"/>
          <w:szCs w:val="20"/>
        </w:rPr>
        <w:t>s</w:t>
      </w:r>
      <w:r w:rsidRPr="002441D8">
        <w:rPr>
          <w:sz w:val="20"/>
          <w:szCs w:val="20"/>
        </w:rPr>
        <w:t xml:space="preserve"> of HSCT such as GvHD</w:t>
      </w:r>
      <w:r w:rsidR="00BE3A9A" w:rsidRPr="002441D8">
        <w:rPr>
          <w:sz w:val="20"/>
          <w:szCs w:val="20"/>
        </w:rPr>
        <w:t>,</w:t>
      </w:r>
      <w:r w:rsidRPr="002441D8">
        <w:rPr>
          <w:sz w:val="20"/>
          <w:szCs w:val="20"/>
        </w:rPr>
        <w:t xml:space="preserve"> infection and viral reactivation.  </w:t>
      </w:r>
      <w:r w:rsidR="00657FF7" w:rsidRPr="002441D8">
        <w:rPr>
          <w:sz w:val="20"/>
          <w:szCs w:val="20"/>
        </w:rPr>
        <w:t xml:space="preserve">While </w:t>
      </w:r>
      <w:r w:rsidRPr="002441D8">
        <w:rPr>
          <w:sz w:val="20"/>
          <w:szCs w:val="20"/>
        </w:rPr>
        <w:t xml:space="preserve">it may seem logical to assume that those who </w:t>
      </w:r>
      <w:r w:rsidR="00BE3A9A" w:rsidRPr="002441D8">
        <w:rPr>
          <w:sz w:val="20"/>
          <w:szCs w:val="20"/>
        </w:rPr>
        <w:t xml:space="preserve">came to transplant because of known or unknown poor </w:t>
      </w:r>
      <w:r w:rsidR="00657FF7" w:rsidRPr="002441D8">
        <w:rPr>
          <w:sz w:val="20"/>
          <w:szCs w:val="20"/>
        </w:rPr>
        <w:t>compliance with</w:t>
      </w:r>
      <w:r w:rsidRPr="002441D8">
        <w:rPr>
          <w:sz w:val="20"/>
          <w:szCs w:val="20"/>
        </w:rPr>
        <w:t xml:space="preserve"> TKI therapy will be poorly compl</w:t>
      </w:r>
      <w:r w:rsidR="00BE3A9A" w:rsidRPr="002441D8">
        <w:rPr>
          <w:sz w:val="20"/>
          <w:szCs w:val="20"/>
        </w:rPr>
        <w:t>ia</w:t>
      </w:r>
      <w:r w:rsidRPr="002441D8">
        <w:rPr>
          <w:sz w:val="20"/>
          <w:szCs w:val="20"/>
        </w:rPr>
        <w:t>nt with post-transplant prophylaxis, this cannot necessarily be assumed</w:t>
      </w:r>
      <w:r w:rsidR="00657FF7" w:rsidRPr="002441D8">
        <w:rPr>
          <w:sz w:val="20"/>
          <w:szCs w:val="20"/>
        </w:rPr>
        <w:t>.</w:t>
      </w:r>
      <w:r w:rsidRPr="002441D8">
        <w:rPr>
          <w:sz w:val="20"/>
          <w:szCs w:val="20"/>
        </w:rPr>
        <w:t xml:space="preserve"> </w:t>
      </w:r>
      <w:r w:rsidR="00657FF7" w:rsidRPr="002441D8">
        <w:rPr>
          <w:sz w:val="20"/>
          <w:szCs w:val="20"/>
        </w:rPr>
        <w:t>C</w:t>
      </w:r>
      <w:r w:rsidRPr="002441D8">
        <w:rPr>
          <w:sz w:val="20"/>
          <w:szCs w:val="20"/>
        </w:rPr>
        <w:t>ompliance behaviour is complex</w:t>
      </w:r>
      <w:r w:rsidR="001C2A15" w:rsidRPr="002441D8">
        <w:rPr>
          <w:sz w:val="20"/>
          <w:szCs w:val="20"/>
          <w:vertAlign w:val="superscript"/>
        </w:rPr>
        <w:t>6</w:t>
      </w:r>
      <w:r w:rsidR="00D77CA3" w:rsidRPr="002441D8">
        <w:rPr>
          <w:sz w:val="20"/>
          <w:szCs w:val="20"/>
          <w:vertAlign w:val="superscript"/>
        </w:rPr>
        <w:t>2,</w:t>
      </w:r>
      <w:r w:rsidR="00C3533D" w:rsidRPr="002441D8">
        <w:rPr>
          <w:rStyle w:val="EndnoteReference"/>
          <w:sz w:val="20"/>
          <w:szCs w:val="20"/>
        </w:rPr>
        <w:endnoteReference w:id="63"/>
      </w:r>
      <w:r w:rsidR="001C2A15" w:rsidRPr="002441D8">
        <w:rPr>
          <w:sz w:val="20"/>
          <w:szCs w:val="20"/>
        </w:rPr>
        <w:t xml:space="preserve"> </w:t>
      </w:r>
      <w:r w:rsidR="00657FF7" w:rsidRPr="002441D8">
        <w:rPr>
          <w:sz w:val="20"/>
          <w:szCs w:val="20"/>
        </w:rPr>
        <w:t xml:space="preserve">and often poor compliance is driven by side effects or treatment fatigue induced by prolonged treatment durations. Therefore while poor compliance with TKI </w:t>
      </w:r>
      <w:r w:rsidR="005F67D0" w:rsidRPr="002441D8">
        <w:rPr>
          <w:sz w:val="20"/>
          <w:szCs w:val="20"/>
        </w:rPr>
        <w:t xml:space="preserve">therapy </w:t>
      </w:r>
      <w:r w:rsidR="00657FF7" w:rsidRPr="002441D8">
        <w:rPr>
          <w:sz w:val="20"/>
          <w:szCs w:val="20"/>
        </w:rPr>
        <w:t xml:space="preserve">should alert the transplant </w:t>
      </w:r>
      <w:r w:rsidR="005F67D0" w:rsidRPr="002441D8">
        <w:rPr>
          <w:sz w:val="20"/>
          <w:szCs w:val="20"/>
        </w:rPr>
        <w:t>physician</w:t>
      </w:r>
      <w:r w:rsidR="00657FF7" w:rsidRPr="002441D8">
        <w:rPr>
          <w:sz w:val="20"/>
          <w:szCs w:val="20"/>
        </w:rPr>
        <w:t xml:space="preserve"> to </w:t>
      </w:r>
      <w:r w:rsidR="005F67D0" w:rsidRPr="002441D8">
        <w:rPr>
          <w:sz w:val="20"/>
          <w:szCs w:val="20"/>
        </w:rPr>
        <w:t>the possibility of poor compliance post-HSCT, it should not preclude it use</w:t>
      </w:r>
      <w:r w:rsidR="005F67D0" w:rsidRPr="002441D8">
        <w:rPr>
          <w:i/>
          <w:sz w:val="20"/>
          <w:szCs w:val="20"/>
        </w:rPr>
        <w:t xml:space="preserve"> per se</w:t>
      </w:r>
      <w:r w:rsidR="005F67D0" w:rsidRPr="002441D8">
        <w:rPr>
          <w:sz w:val="20"/>
          <w:szCs w:val="20"/>
        </w:rPr>
        <w:t>.</w:t>
      </w:r>
    </w:p>
    <w:p w14:paraId="61BA73DC" w14:textId="77777777" w:rsidR="002C5083" w:rsidRPr="002441D8" w:rsidRDefault="00E74F54" w:rsidP="00E13B84">
      <w:pPr>
        <w:spacing w:before="240" w:line="360" w:lineRule="auto"/>
        <w:jc w:val="both"/>
        <w:rPr>
          <w:sz w:val="20"/>
          <w:szCs w:val="20"/>
        </w:rPr>
      </w:pPr>
      <w:r w:rsidRPr="002441D8">
        <w:rPr>
          <w:sz w:val="20"/>
          <w:szCs w:val="20"/>
        </w:rPr>
        <w:t>In order to</w:t>
      </w:r>
      <w:r w:rsidR="002C5083" w:rsidRPr="002441D8">
        <w:rPr>
          <w:sz w:val="20"/>
          <w:szCs w:val="20"/>
        </w:rPr>
        <w:t xml:space="preserve"> inform patient choice regarding the risks and benefit of HSCT, we need to be confident that existing data, accumulated in the pre-TKI data remains valid in current practice. Several early studies seeking to </w:t>
      </w:r>
      <w:r w:rsidRPr="002441D8">
        <w:rPr>
          <w:sz w:val="20"/>
          <w:szCs w:val="20"/>
        </w:rPr>
        <w:t>validate existing data support</w:t>
      </w:r>
      <w:r w:rsidR="002C5083" w:rsidRPr="002441D8">
        <w:rPr>
          <w:sz w:val="20"/>
          <w:szCs w:val="20"/>
        </w:rPr>
        <w:t xml:space="preserve"> the notion that TKI use does not negatively impact on subsequent transplant outcome</w:t>
      </w:r>
      <w:r w:rsidR="002C5083" w:rsidRPr="002441D8">
        <w:rPr>
          <w:rStyle w:val="EndnoteReference"/>
          <w:sz w:val="20"/>
          <w:szCs w:val="20"/>
        </w:rPr>
        <w:endnoteReference w:id="64"/>
      </w:r>
      <w:r w:rsidR="002C5083" w:rsidRPr="002441D8">
        <w:rPr>
          <w:sz w:val="20"/>
          <w:szCs w:val="20"/>
          <w:vertAlign w:val="superscript"/>
        </w:rPr>
        <w:t>,</w:t>
      </w:r>
      <w:r w:rsidR="002C5083" w:rsidRPr="002441D8">
        <w:rPr>
          <w:rStyle w:val="EndnoteReference"/>
          <w:sz w:val="20"/>
          <w:szCs w:val="20"/>
        </w:rPr>
        <w:endnoteReference w:id="65"/>
      </w:r>
      <w:r w:rsidR="002C5083" w:rsidRPr="002441D8">
        <w:rPr>
          <w:sz w:val="20"/>
          <w:szCs w:val="20"/>
          <w:vertAlign w:val="superscript"/>
        </w:rPr>
        <w:t>,</w:t>
      </w:r>
      <w:r w:rsidR="002C5083" w:rsidRPr="002441D8">
        <w:rPr>
          <w:rStyle w:val="EndnoteReference"/>
          <w:sz w:val="20"/>
          <w:szCs w:val="20"/>
        </w:rPr>
        <w:endnoteReference w:id="66"/>
      </w:r>
      <w:r w:rsidR="002C5083" w:rsidRPr="002441D8">
        <w:rPr>
          <w:sz w:val="20"/>
          <w:szCs w:val="20"/>
        </w:rPr>
        <w:t>, however these were often small, and confounded by the fact that the control group (non-TKI treated) were historical comparators, not contemporaneously transplanted patients. Several authors have subsequently tried to address the question of HSCT in the TKI era, and Table 6</w:t>
      </w:r>
      <w:r w:rsidR="002C5083" w:rsidRPr="002441D8">
        <w:rPr>
          <w:rStyle w:val="EndnoteReference"/>
          <w:sz w:val="20"/>
          <w:szCs w:val="20"/>
        </w:rPr>
        <w:endnoteReference w:id="67"/>
      </w:r>
      <w:r w:rsidR="002C5083" w:rsidRPr="002441D8">
        <w:rPr>
          <w:sz w:val="20"/>
          <w:szCs w:val="20"/>
          <w:vertAlign w:val="superscript"/>
        </w:rPr>
        <w:t>,</w:t>
      </w:r>
      <w:r w:rsidR="002C5083" w:rsidRPr="002441D8">
        <w:rPr>
          <w:rStyle w:val="EndnoteReference"/>
          <w:sz w:val="20"/>
          <w:szCs w:val="20"/>
        </w:rPr>
        <w:endnoteReference w:id="68"/>
      </w:r>
      <w:r w:rsidR="002C5083" w:rsidRPr="002441D8">
        <w:rPr>
          <w:sz w:val="20"/>
          <w:szCs w:val="20"/>
          <w:vertAlign w:val="superscript"/>
        </w:rPr>
        <w:t>,</w:t>
      </w:r>
      <w:r w:rsidR="002C5083" w:rsidRPr="002441D8">
        <w:rPr>
          <w:rStyle w:val="EndnoteReference"/>
          <w:sz w:val="20"/>
          <w:szCs w:val="20"/>
        </w:rPr>
        <w:endnoteReference w:id="69"/>
      </w:r>
      <w:r w:rsidR="002C5083" w:rsidRPr="002441D8">
        <w:rPr>
          <w:sz w:val="20"/>
          <w:szCs w:val="20"/>
          <w:vertAlign w:val="superscript"/>
        </w:rPr>
        <w:t>,</w:t>
      </w:r>
      <w:r w:rsidR="002C5083" w:rsidRPr="002441D8">
        <w:rPr>
          <w:rStyle w:val="EndnoteReference"/>
          <w:sz w:val="20"/>
          <w:szCs w:val="20"/>
        </w:rPr>
        <w:endnoteReference w:id="70"/>
      </w:r>
      <w:r w:rsidR="002C5083" w:rsidRPr="002441D8">
        <w:rPr>
          <w:sz w:val="20"/>
          <w:szCs w:val="20"/>
          <w:vertAlign w:val="superscript"/>
        </w:rPr>
        <w:t>,</w:t>
      </w:r>
      <w:r w:rsidR="002C5083" w:rsidRPr="002441D8">
        <w:rPr>
          <w:rStyle w:val="EndnoteReference"/>
          <w:sz w:val="20"/>
          <w:szCs w:val="20"/>
        </w:rPr>
        <w:endnoteReference w:id="71"/>
      </w:r>
      <w:r w:rsidR="002C5083" w:rsidRPr="002441D8">
        <w:rPr>
          <w:sz w:val="20"/>
          <w:szCs w:val="20"/>
          <w:vertAlign w:val="superscript"/>
        </w:rPr>
        <w:t>,</w:t>
      </w:r>
      <w:r w:rsidR="002C5083" w:rsidRPr="002441D8">
        <w:rPr>
          <w:rStyle w:val="EndnoteReference"/>
          <w:sz w:val="20"/>
          <w:szCs w:val="20"/>
        </w:rPr>
        <w:endnoteReference w:id="72"/>
      </w:r>
      <w:r w:rsidR="002C5083" w:rsidRPr="002441D8">
        <w:rPr>
          <w:sz w:val="20"/>
          <w:szCs w:val="20"/>
          <w:vertAlign w:val="superscript"/>
        </w:rPr>
        <w:t>,</w:t>
      </w:r>
      <w:r w:rsidR="002C5083" w:rsidRPr="002441D8">
        <w:rPr>
          <w:rStyle w:val="EndnoteReference"/>
          <w:sz w:val="20"/>
          <w:szCs w:val="20"/>
        </w:rPr>
        <w:endnoteReference w:id="73"/>
      </w:r>
      <w:r w:rsidR="002C5083" w:rsidRPr="002441D8">
        <w:rPr>
          <w:sz w:val="20"/>
          <w:szCs w:val="20"/>
          <w:vertAlign w:val="superscript"/>
        </w:rPr>
        <w:t>,</w:t>
      </w:r>
      <w:r w:rsidR="002C5083" w:rsidRPr="002441D8">
        <w:rPr>
          <w:rStyle w:val="EndnoteReference"/>
          <w:sz w:val="20"/>
          <w:szCs w:val="20"/>
        </w:rPr>
        <w:endnoteReference w:id="74"/>
      </w:r>
      <w:r w:rsidR="002C5083" w:rsidRPr="002441D8">
        <w:rPr>
          <w:sz w:val="20"/>
          <w:szCs w:val="20"/>
          <w:vertAlign w:val="superscript"/>
        </w:rPr>
        <w:t>,</w:t>
      </w:r>
      <w:r w:rsidR="002C5083" w:rsidRPr="002441D8">
        <w:rPr>
          <w:rStyle w:val="EndnoteReference"/>
          <w:sz w:val="20"/>
          <w:szCs w:val="20"/>
        </w:rPr>
        <w:endnoteReference w:id="75"/>
      </w:r>
      <w:r w:rsidR="002C5083" w:rsidRPr="002441D8">
        <w:rPr>
          <w:sz w:val="20"/>
          <w:szCs w:val="20"/>
          <w:vertAlign w:val="superscript"/>
        </w:rPr>
        <w:t>,</w:t>
      </w:r>
      <w:r w:rsidR="002C5083" w:rsidRPr="002441D8">
        <w:rPr>
          <w:rStyle w:val="EndnoteReference"/>
          <w:sz w:val="20"/>
          <w:szCs w:val="20"/>
        </w:rPr>
        <w:endnoteReference w:id="76"/>
      </w:r>
      <w:r w:rsidR="002C5083" w:rsidRPr="002441D8">
        <w:rPr>
          <w:sz w:val="20"/>
          <w:szCs w:val="20"/>
          <w:vertAlign w:val="superscript"/>
        </w:rPr>
        <w:t xml:space="preserve"> </w:t>
      </w:r>
      <w:r w:rsidR="002C5083" w:rsidRPr="002441D8">
        <w:rPr>
          <w:sz w:val="20"/>
          <w:szCs w:val="20"/>
        </w:rPr>
        <w:t xml:space="preserve">summarises the most recent literature. Perhaps the most systematic approach however comes from, a recent reanalysis of EBMT data. Milojkovic </w:t>
      </w:r>
      <w:r w:rsidR="002C5083" w:rsidRPr="002441D8">
        <w:rPr>
          <w:i/>
          <w:sz w:val="20"/>
          <w:szCs w:val="20"/>
        </w:rPr>
        <w:t>et al.</w:t>
      </w:r>
      <w:r w:rsidR="002C5083" w:rsidRPr="002441D8">
        <w:rPr>
          <w:sz w:val="20"/>
          <w:szCs w:val="20"/>
        </w:rPr>
        <w:t xml:space="preserve"> addressed the validity of the original EBMT risk score by reviewing the outcome of more than 5500 patients transplanted for CML between 2000 and 2011</w:t>
      </w:r>
      <w:r w:rsidR="002C5083" w:rsidRPr="002441D8">
        <w:rPr>
          <w:rStyle w:val="EndnoteReference"/>
          <w:sz w:val="20"/>
          <w:szCs w:val="20"/>
        </w:rPr>
        <w:endnoteReference w:id="77"/>
      </w:r>
      <w:r w:rsidR="002C5083" w:rsidRPr="002441D8">
        <w:rPr>
          <w:sz w:val="20"/>
          <w:szCs w:val="20"/>
        </w:rPr>
        <w:t xml:space="preserve">, the period of transition to TKI use. Similar 5 year overall and progression free survivals (PFS) were seen in TKI treated compared to TKI naive transplant recipients (OS 59% vs 61% and PFS 42% vs 46%). Interestingly whilst time from diagnosis to transplantation of more than 12 months from diagnosis remained an independent predictor of poorer outcome in the TKI naive group, this was no longer of predictive value in those treated with TKI. Whilst this is </w:t>
      </w:r>
      <w:r w:rsidR="002C5083" w:rsidRPr="002441D8">
        <w:rPr>
          <w:sz w:val="20"/>
          <w:szCs w:val="20"/>
        </w:rPr>
        <w:lastRenderedPageBreak/>
        <w:t>difficult to fully understand, it may be speculated that even in those ‘resistant’ and particularly in those intolerant to TKIs, some may have benefited from a limited degree of disease control</w:t>
      </w:r>
    </w:p>
    <w:p w14:paraId="48FBA220" w14:textId="77777777" w:rsidR="003D60CE" w:rsidRPr="002441D8" w:rsidRDefault="005A292D" w:rsidP="00E13B84">
      <w:pPr>
        <w:spacing w:line="360" w:lineRule="auto"/>
        <w:jc w:val="both"/>
        <w:rPr>
          <w:sz w:val="20"/>
          <w:szCs w:val="20"/>
        </w:rPr>
      </w:pPr>
      <w:r w:rsidRPr="002441D8">
        <w:rPr>
          <w:sz w:val="20"/>
          <w:szCs w:val="20"/>
        </w:rPr>
        <w:t xml:space="preserve">For many young healthy patients, despite the excellent long-term results with the TKIs, the prospect of lifelong medication with frequent monitoring and clinical review </w:t>
      </w:r>
      <w:r w:rsidR="002C5083" w:rsidRPr="002441D8">
        <w:rPr>
          <w:sz w:val="20"/>
          <w:szCs w:val="20"/>
        </w:rPr>
        <w:t xml:space="preserve">may </w:t>
      </w:r>
      <w:r w:rsidRPr="002441D8">
        <w:rPr>
          <w:sz w:val="20"/>
          <w:szCs w:val="20"/>
        </w:rPr>
        <w:t>compare less favourably to an intense period of treatment undergoing an HSCT</w:t>
      </w:r>
      <w:r w:rsidRPr="002441D8">
        <w:rPr>
          <w:i/>
          <w:sz w:val="20"/>
          <w:szCs w:val="20"/>
        </w:rPr>
        <w:t>.</w:t>
      </w:r>
      <w:r w:rsidR="002C5083" w:rsidRPr="002441D8">
        <w:rPr>
          <w:i/>
          <w:sz w:val="20"/>
          <w:szCs w:val="20"/>
        </w:rPr>
        <w:t xml:space="preserve"> </w:t>
      </w:r>
      <w:r w:rsidRPr="002441D8">
        <w:rPr>
          <w:i/>
          <w:sz w:val="20"/>
          <w:szCs w:val="20"/>
        </w:rPr>
        <w:t xml:space="preserve"> </w:t>
      </w:r>
      <w:r w:rsidR="002C5083" w:rsidRPr="002441D8">
        <w:rPr>
          <w:sz w:val="20"/>
          <w:szCs w:val="20"/>
        </w:rPr>
        <w:t>Moreover while access to TKIs is relatively easy in countries of high economic status, this is not the case in many developing countries. Even in developed countries, a case can be made for the cost effectiveness of HSCT compared to lifelong TKI therapy particularly in children, adolescence and young adults</w:t>
      </w:r>
      <w:r w:rsidR="002C5083" w:rsidRPr="002441D8">
        <w:rPr>
          <w:rStyle w:val="EndnoteReference"/>
          <w:sz w:val="20"/>
          <w:szCs w:val="20"/>
        </w:rPr>
        <w:endnoteReference w:id="78"/>
      </w:r>
      <w:r w:rsidR="002C5083" w:rsidRPr="002441D8">
        <w:rPr>
          <w:sz w:val="20"/>
          <w:szCs w:val="20"/>
        </w:rPr>
        <w:t>.</w:t>
      </w:r>
      <w:r w:rsidR="006B5727" w:rsidRPr="002441D8">
        <w:rPr>
          <w:sz w:val="20"/>
          <w:szCs w:val="20"/>
        </w:rPr>
        <w:t xml:space="preserve"> One relatively small study from 2006 compared the cost of HSCT to imatinib, concluding that treatment with imatinib was 25% more expensive </w:t>
      </w:r>
      <w:r w:rsidR="00775624" w:rsidRPr="002441D8">
        <w:rPr>
          <w:sz w:val="20"/>
          <w:szCs w:val="20"/>
        </w:rPr>
        <w:t>than</w:t>
      </w:r>
      <w:r w:rsidR="006B5727" w:rsidRPr="002441D8">
        <w:rPr>
          <w:sz w:val="20"/>
          <w:szCs w:val="20"/>
        </w:rPr>
        <w:t xml:space="preserve"> RIC HSCT over the first 2 years of treatment. </w:t>
      </w:r>
      <w:r w:rsidR="00007919" w:rsidRPr="002441D8">
        <w:rPr>
          <w:sz w:val="20"/>
          <w:szCs w:val="20"/>
        </w:rPr>
        <w:t xml:space="preserve">The contrasting influences of falling </w:t>
      </w:r>
      <w:r w:rsidR="006B5727" w:rsidRPr="002441D8">
        <w:rPr>
          <w:sz w:val="20"/>
          <w:szCs w:val="20"/>
        </w:rPr>
        <w:t>costs of TKI as patents expire</w:t>
      </w:r>
      <w:r w:rsidR="00007919" w:rsidRPr="002441D8">
        <w:rPr>
          <w:sz w:val="20"/>
          <w:szCs w:val="20"/>
        </w:rPr>
        <w:t xml:space="preserve"> and </w:t>
      </w:r>
      <w:r w:rsidR="006B5727" w:rsidRPr="002441D8">
        <w:rPr>
          <w:sz w:val="20"/>
          <w:szCs w:val="20"/>
        </w:rPr>
        <w:t xml:space="preserve">the normalisation of lifespan on these treatments </w:t>
      </w:r>
      <w:r w:rsidR="00007919" w:rsidRPr="002441D8">
        <w:rPr>
          <w:sz w:val="20"/>
          <w:szCs w:val="20"/>
        </w:rPr>
        <w:t>make predictions about relative cost-effectiveness difficult</w:t>
      </w:r>
      <w:r w:rsidR="00775624" w:rsidRPr="002441D8">
        <w:rPr>
          <w:sz w:val="20"/>
          <w:szCs w:val="20"/>
        </w:rPr>
        <w:t xml:space="preserve">. </w:t>
      </w:r>
    </w:p>
    <w:p w14:paraId="78879258" w14:textId="77777777" w:rsidR="002C5083" w:rsidRPr="002441D8" w:rsidRDefault="002C5083" w:rsidP="00E13B84">
      <w:pPr>
        <w:spacing w:line="360" w:lineRule="auto"/>
        <w:jc w:val="both"/>
        <w:rPr>
          <w:sz w:val="20"/>
          <w:szCs w:val="20"/>
        </w:rPr>
      </w:pPr>
      <w:r w:rsidRPr="002441D8">
        <w:rPr>
          <w:sz w:val="20"/>
          <w:szCs w:val="20"/>
        </w:rPr>
        <w:t>Few studies directly compare HSCT to TKI, however the German CML VI study reporte</w:t>
      </w:r>
      <w:r w:rsidR="003D60CE" w:rsidRPr="002441D8">
        <w:rPr>
          <w:sz w:val="20"/>
          <w:szCs w:val="20"/>
        </w:rPr>
        <w:t>d 56 patien</w:t>
      </w:r>
      <w:r w:rsidR="00E86F4A" w:rsidRPr="002441D8">
        <w:rPr>
          <w:sz w:val="20"/>
          <w:szCs w:val="20"/>
        </w:rPr>
        <w:t>ts transplanted in CP</w:t>
      </w:r>
      <w:r w:rsidRPr="002441D8">
        <w:rPr>
          <w:sz w:val="20"/>
          <w:szCs w:val="20"/>
        </w:rPr>
        <w:t xml:space="preserve"> either because of patient choice or imatinib failure. In a matched paired analysis 106 patients not undergoing HSCT were compared to those who underwent HSCT and similar overall survivals were demonstrated (96% vs. 92% respectively)</w:t>
      </w:r>
      <w:r w:rsidRPr="002441D8">
        <w:rPr>
          <w:rStyle w:val="EndnoteReference"/>
          <w:sz w:val="20"/>
          <w:szCs w:val="20"/>
        </w:rPr>
        <w:endnoteReference w:id="79"/>
      </w:r>
      <w:r w:rsidRPr="002441D8">
        <w:rPr>
          <w:sz w:val="20"/>
          <w:szCs w:val="20"/>
        </w:rPr>
        <w:t xml:space="preserve">. Perhaps more importantly, reinforcing the idea that prolonged prior use of imatinib does not negatively impact on transplant outcome, patients electing to undergo HSCT following brief initial imatinib treatment (n=19) had survival similar to those who proceeded to transplantation following imatinib failure (n=37) (3 year OS of 88% and 94% respectively). Predictably, the 3 year overall survival for those transplanted in accelerated phase disease was significantly lower at 59%. </w:t>
      </w:r>
    </w:p>
    <w:p w14:paraId="04062951" w14:textId="77777777" w:rsidR="002C5083" w:rsidRPr="002441D8" w:rsidRDefault="002C5083" w:rsidP="001F19A6">
      <w:pPr>
        <w:spacing w:line="360" w:lineRule="auto"/>
        <w:jc w:val="both"/>
        <w:rPr>
          <w:sz w:val="20"/>
          <w:szCs w:val="20"/>
        </w:rPr>
      </w:pPr>
      <w:r w:rsidRPr="002441D8">
        <w:rPr>
          <w:sz w:val="20"/>
          <w:szCs w:val="20"/>
        </w:rPr>
        <w:t>Ultimately, when considering the indications for HSCT, two key facts must be considered (box 2): First</w:t>
      </w:r>
      <w:r w:rsidR="00E86F4A" w:rsidRPr="002441D8">
        <w:rPr>
          <w:sz w:val="20"/>
          <w:szCs w:val="20"/>
        </w:rPr>
        <w:t>ly, progression of CML beyond chronic phase</w:t>
      </w:r>
      <w:r w:rsidRPr="002441D8">
        <w:rPr>
          <w:sz w:val="20"/>
          <w:szCs w:val="20"/>
        </w:rPr>
        <w:t xml:space="preserve"> negatively impacts on transplant outcome, therefore patients should be referred for HSCT prior to progression. Secondly, the mechanism of disease control exerted by HSCT is dependent on GvL and therefore different to that of the TKIs. Thus, resistance to one or more TKI, whether in the presence of an identifiable tyrosine kinase domain mutation or not, does not, </w:t>
      </w:r>
      <w:r w:rsidRPr="002441D8">
        <w:rPr>
          <w:i/>
          <w:sz w:val="20"/>
          <w:szCs w:val="20"/>
        </w:rPr>
        <w:t>per se</w:t>
      </w:r>
      <w:r w:rsidRPr="002441D8">
        <w:rPr>
          <w:sz w:val="20"/>
          <w:szCs w:val="20"/>
        </w:rPr>
        <w:t xml:space="preserve">, impact on transplant outcome. </w:t>
      </w:r>
    </w:p>
    <w:p w14:paraId="7B6BB8E7" w14:textId="77777777" w:rsidR="002C5083" w:rsidRPr="002441D8" w:rsidRDefault="002C5083" w:rsidP="00E13B84">
      <w:pPr>
        <w:spacing w:line="360" w:lineRule="auto"/>
        <w:jc w:val="both"/>
        <w:rPr>
          <w:b/>
          <w:sz w:val="20"/>
          <w:szCs w:val="20"/>
        </w:rPr>
      </w:pPr>
      <w:r w:rsidRPr="002441D8">
        <w:rPr>
          <w:b/>
          <w:sz w:val="20"/>
          <w:szCs w:val="20"/>
        </w:rPr>
        <w:t>Intricacies of HSCT in the TKI era</w:t>
      </w:r>
    </w:p>
    <w:p w14:paraId="6EA163C3" w14:textId="77777777" w:rsidR="002C5083" w:rsidRPr="002441D8" w:rsidRDefault="006D1D63" w:rsidP="00E13B84">
      <w:pPr>
        <w:spacing w:line="360" w:lineRule="auto"/>
        <w:jc w:val="both"/>
        <w:rPr>
          <w:sz w:val="20"/>
          <w:szCs w:val="20"/>
        </w:rPr>
      </w:pPr>
      <w:r w:rsidRPr="002441D8">
        <w:rPr>
          <w:sz w:val="20"/>
          <w:szCs w:val="20"/>
          <w:u w:val="single"/>
        </w:rPr>
        <w:t>Conditioning R</w:t>
      </w:r>
      <w:r w:rsidR="002C5083" w:rsidRPr="002441D8">
        <w:rPr>
          <w:sz w:val="20"/>
          <w:szCs w:val="20"/>
          <w:u w:val="single"/>
        </w:rPr>
        <w:t>egimens –</w:t>
      </w:r>
      <w:r w:rsidR="002C5083" w:rsidRPr="002441D8">
        <w:rPr>
          <w:sz w:val="20"/>
          <w:szCs w:val="20"/>
        </w:rPr>
        <w:t xml:space="preserve"> Early regimens of chemoradiotherapy given to condition the marrow for the stem cell transplant were fully myeloablative. Typically these regimens consisted of total body irradiation (TBI) with additional chemotherapy, frequently cyclophosphamide. Realisation that lon</w:t>
      </w:r>
      <w:r w:rsidR="00E86F4A" w:rsidRPr="002441D8">
        <w:rPr>
          <w:sz w:val="20"/>
          <w:szCs w:val="20"/>
        </w:rPr>
        <w:t>g-term remission is dependent upon</w:t>
      </w:r>
      <w:r w:rsidR="002C5083" w:rsidRPr="002441D8">
        <w:rPr>
          <w:sz w:val="20"/>
          <w:szCs w:val="20"/>
        </w:rPr>
        <w:t xml:space="preserve"> GvL led to the suggestion that transplantation regimens may be made safer, by reducing the intensity of the conditioning and reinforcing the GvL with pre-emptive DLI</w:t>
      </w:r>
      <w:r w:rsidR="002C5083" w:rsidRPr="002441D8">
        <w:rPr>
          <w:rStyle w:val="EndnoteReference"/>
          <w:sz w:val="20"/>
          <w:szCs w:val="20"/>
        </w:rPr>
        <w:endnoteReference w:id="80"/>
      </w:r>
      <w:r w:rsidR="002C5083" w:rsidRPr="002441D8">
        <w:rPr>
          <w:sz w:val="20"/>
          <w:szCs w:val="20"/>
          <w:vertAlign w:val="superscript"/>
        </w:rPr>
        <w:t>,</w:t>
      </w:r>
      <w:r w:rsidR="002C5083" w:rsidRPr="002441D8">
        <w:rPr>
          <w:rStyle w:val="EndnoteReference"/>
          <w:sz w:val="20"/>
          <w:szCs w:val="20"/>
        </w:rPr>
        <w:endnoteReference w:id="81"/>
      </w:r>
      <w:r w:rsidR="002C5083" w:rsidRPr="002441D8">
        <w:rPr>
          <w:sz w:val="20"/>
          <w:szCs w:val="20"/>
          <w:vertAlign w:val="superscript"/>
        </w:rPr>
        <w:t>,</w:t>
      </w:r>
      <w:r w:rsidR="002C5083" w:rsidRPr="002441D8">
        <w:rPr>
          <w:rStyle w:val="EndnoteReference"/>
          <w:sz w:val="20"/>
          <w:szCs w:val="20"/>
        </w:rPr>
        <w:endnoteReference w:id="82"/>
      </w:r>
      <w:r w:rsidR="002C5083" w:rsidRPr="002441D8">
        <w:rPr>
          <w:sz w:val="20"/>
          <w:szCs w:val="20"/>
        </w:rPr>
        <w:t>. Although there are no prospectively randomised trials of myeloablative vs reduced intensity conditioning (RIC), case series reports and registry data suggests that RIC are feasible strategies to increase accessibility to transplant for otherwise ineligible patients (table 7</w:t>
      </w:r>
      <w:r w:rsidR="002C5083" w:rsidRPr="002441D8">
        <w:rPr>
          <w:rStyle w:val="EndnoteReference"/>
          <w:sz w:val="20"/>
          <w:szCs w:val="20"/>
        </w:rPr>
        <w:endnoteReference w:id="83"/>
      </w:r>
      <w:r w:rsidR="002C5083" w:rsidRPr="002441D8">
        <w:rPr>
          <w:sz w:val="20"/>
          <w:szCs w:val="20"/>
          <w:vertAlign w:val="superscript"/>
        </w:rPr>
        <w:t>,</w:t>
      </w:r>
      <w:r w:rsidR="002C5083" w:rsidRPr="002441D8">
        <w:rPr>
          <w:rStyle w:val="EndnoteReference"/>
          <w:sz w:val="20"/>
          <w:szCs w:val="20"/>
        </w:rPr>
        <w:endnoteReference w:id="84"/>
      </w:r>
      <w:r w:rsidR="002C5083" w:rsidRPr="002441D8">
        <w:rPr>
          <w:sz w:val="20"/>
          <w:szCs w:val="20"/>
          <w:vertAlign w:val="superscript"/>
        </w:rPr>
        <w:t>,</w:t>
      </w:r>
      <w:r w:rsidR="002C5083" w:rsidRPr="002441D8">
        <w:rPr>
          <w:rStyle w:val="EndnoteReference"/>
          <w:sz w:val="20"/>
          <w:szCs w:val="20"/>
        </w:rPr>
        <w:endnoteReference w:id="85"/>
      </w:r>
      <w:r w:rsidR="002C5083" w:rsidRPr="002441D8">
        <w:rPr>
          <w:sz w:val="20"/>
          <w:szCs w:val="20"/>
          <w:vertAlign w:val="superscript"/>
        </w:rPr>
        <w:t>,</w:t>
      </w:r>
      <w:r w:rsidR="002C5083" w:rsidRPr="002441D8">
        <w:rPr>
          <w:rStyle w:val="EndnoteReference"/>
          <w:sz w:val="20"/>
          <w:szCs w:val="20"/>
        </w:rPr>
        <w:endnoteReference w:id="86"/>
      </w:r>
      <w:r w:rsidR="002C5083" w:rsidRPr="002441D8">
        <w:rPr>
          <w:sz w:val="20"/>
          <w:szCs w:val="20"/>
          <w:vertAlign w:val="superscript"/>
        </w:rPr>
        <w:t>,</w:t>
      </w:r>
      <w:r w:rsidR="002C5083" w:rsidRPr="002441D8">
        <w:rPr>
          <w:rStyle w:val="EndnoteReference"/>
          <w:sz w:val="20"/>
          <w:szCs w:val="20"/>
        </w:rPr>
        <w:endnoteReference w:id="87"/>
      </w:r>
      <w:r w:rsidR="002C5083" w:rsidRPr="002441D8">
        <w:rPr>
          <w:sz w:val="20"/>
          <w:szCs w:val="20"/>
          <w:vertAlign w:val="superscript"/>
        </w:rPr>
        <w:t>,</w:t>
      </w:r>
      <w:r w:rsidR="002C5083" w:rsidRPr="002441D8">
        <w:rPr>
          <w:rStyle w:val="EndnoteReference"/>
          <w:sz w:val="20"/>
          <w:szCs w:val="20"/>
        </w:rPr>
        <w:endnoteReference w:id="88"/>
      </w:r>
      <w:r w:rsidR="002C5083" w:rsidRPr="002441D8">
        <w:rPr>
          <w:sz w:val="20"/>
          <w:szCs w:val="20"/>
          <w:vertAlign w:val="superscript"/>
        </w:rPr>
        <w:t>,</w:t>
      </w:r>
      <w:r w:rsidR="002C5083" w:rsidRPr="002441D8">
        <w:rPr>
          <w:rStyle w:val="EndnoteReference"/>
          <w:sz w:val="20"/>
          <w:szCs w:val="20"/>
        </w:rPr>
        <w:endnoteReference w:id="89"/>
      </w:r>
      <w:r w:rsidR="002C5083" w:rsidRPr="002441D8">
        <w:rPr>
          <w:sz w:val="20"/>
          <w:szCs w:val="20"/>
          <w:vertAlign w:val="superscript"/>
        </w:rPr>
        <w:t>,</w:t>
      </w:r>
      <w:r w:rsidR="002C5083" w:rsidRPr="002441D8">
        <w:rPr>
          <w:rStyle w:val="EndnoteReference"/>
          <w:sz w:val="20"/>
          <w:szCs w:val="20"/>
        </w:rPr>
        <w:endnoteReference w:id="90"/>
      </w:r>
      <w:r w:rsidR="002C5083" w:rsidRPr="002441D8">
        <w:rPr>
          <w:sz w:val="20"/>
          <w:szCs w:val="20"/>
          <w:vertAlign w:val="superscript"/>
        </w:rPr>
        <w:t>,</w:t>
      </w:r>
      <w:r w:rsidR="002C5083" w:rsidRPr="002441D8">
        <w:rPr>
          <w:rStyle w:val="EndnoteReference"/>
          <w:sz w:val="20"/>
          <w:szCs w:val="20"/>
        </w:rPr>
        <w:endnoteReference w:id="91"/>
      </w:r>
      <w:r w:rsidR="002C5083" w:rsidRPr="002441D8">
        <w:rPr>
          <w:sz w:val="20"/>
          <w:szCs w:val="20"/>
        </w:rPr>
        <w:t>)</w:t>
      </w:r>
      <w:r w:rsidR="007D6110" w:rsidRPr="002441D8">
        <w:rPr>
          <w:sz w:val="20"/>
          <w:szCs w:val="20"/>
        </w:rPr>
        <w:t xml:space="preserve">. In particular, they extent the age </w:t>
      </w:r>
      <w:r w:rsidR="00DA252C" w:rsidRPr="002441D8">
        <w:rPr>
          <w:sz w:val="20"/>
          <w:szCs w:val="20"/>
        </w:rPr>
        <w:t xml:space="preserve">to which HSCT may safely be undertaken thereby limiting the degree to which HSCT is restricted to young patients. </w:t>
      </w:r>
      <w:r w:rsidR="002C5083" w:rsidRPr="002441D8">
        <w:rPr>
          <w:sz w:val="20"/>
          <w:szCs w:val="20"/>
        </w:rPr>
        <w:t xml:space="preserve">Their previously discussed higher relapse </w:t>
      </w:r>
      <w:r w:rsidR="00E86F4A" w:rsidRPr="002441D8">
        <w:rPr>
          <w:sz w:val="20"/>
          <w:szCs w:val="20"/>
        </w:rPr>
        <w:t xml:space="preserve">rate </w:t>
      </w:r>
      <w:r w:rsidR="00E86F4A" w:rsidRPr="002441D8">
        <w:rPr>
          <w:sz w:val="20"/>
          <w:szCs w:val="20"/>
        </w:rPr>
        <w:lastRenderedPageBreak/>
        <w:t>however,</w:t>
      </w:r>
      <w:r w:rsidR="002C5083" w:rsidRPr="002441D8">
        <w:rPr>
          <w:sz w:val="20"/>
          <w:szCs w:val="20"/>
        </w:rPr>
        <w:t xml:space="preserve"> deem them unsuitable for high risk patients. Therefore, MAC remains the standard of care for those capable of tolerating it, with the majority of centres frequent</w:t>
      </w:r>
      <w:r w:rsidR="007A7F6A" w:rsidRPr="002441D8">
        <w:rPr>
          <w:sz w:val="20"/>
          <w:szCs w:val="20"/>
        </w:rPr>
        <w:t xml:space="preserve">ly continuing to employing TBI and </w:t>
      </w:r>
      <w:r w:rsidR="002C5083" w:rsidRPr="002441D8">
        <w:rPr>
          <w:sz w:val="20"/>
          <w:szCs w:val="20"/>
        </w:rPr>
        <w:t xml:space="preserve"> cyclophosphamide </w:t>
      </w:r>
      <w:r w:rsidR="007A7F6A" w:rsidRPr="002441D8">
        <w:rPr>
          <w:sz w:val="20"/>
          <w:szCs w:val="20"/>
        </w:rPr>
        <w:t xml:space="preserve">based </w:t>
      </w:r>
      <w:r w:rsidR="002C5083" w:rsidRPr="002441D8">
        <w:rPr>
          <w:sz w:val="20"/>
          <w:szCs w:val="20"/>
        </w:rPr>
        <w:t xml:space="preserve">protocols. </w:t>
      </w:r>
    </w:p>
    <w:p w14:paraId="407D14C5" w14:textId="77777777" w:rsidR="002C5083" w:rsidRPr="002441D8" w:rsidRDefault="006D1D63" w:rsidP="00E13B84">
      <w:pPr>
        <w:spacing w:line="360" w:lineRule="auto"/>
        <w:jc w:val="both"/>
        <w:rPr>
          <w:sz w:val="20"/>
          <w:szCs w:val="20"/>
        </w:rPr>
      </w:pPr>
      <w:r w:rsidRPr="002441D8">
        <w:rPr>
          <w:sz w:val="20"/>
          <w:szCs w:val="20"/>
          <w:u w:val="single"/>
        </w:rPr>
        <w:t>T-Cell D</w:t>
      </w:r>
      <w:r w:rsidR="002C5083" w:rsidRPr="002441D8">
        <w:rPr>
          <w:sz w:val="20"/>
          <w:szCs w:val="20"/>
          <w:u w:val="single"/>
        </w:rPr>
        <w:t>epletion (TCD) –</w:t>
      </w:r>
      <w:r w:rsidR="002C5083" w:rsidRPr="002441D8">
        <w:rPr>
          <w:sz w:val="20"/>
          <w:szCs w:val="20"/>
        </w:rPr>
        <w:t xml:space="preserve"> Depletion of T-cells, either by </w:t>
      </w:r>
      <w:r w:rsidR="002C5083" w:rsidRPr="002441D8">
        <w:rPr>
          <w:i/>
          <w:sz w:val="20"/>
          <w:szCs w:val="20"/>
        </w:rPr>
        <w:t>in vitro</w:t>
      </w:r>
      <w:r w:rsidR="002C5083" w:rsidRPr="002441D8">
        <w:rPr>
          <w:sz w:val="20"/>
          <w:szCs w:val="20"/>
        </w:rPr>
        <w:t xml:space="preserve"> treatment of the graft typically by negative selection of donor T-cells, or </w:t>
      </w:r>
      <w:r w:rsidR="002C5083" w:rsidRPr="002441D8">
        <w:rPr>
          <w:i/>
          <w:sz w:val="20"/>
          <w:szCs w:val="20"/>
        </w:rPr>
        <w:t>in vivo</w:t>
      </w:r>
      <w:r w:rsidR="002C5083" w:rsidRPr="002441D8">
        <w:rPr>
          <w:sz w:val="20"/>
          <w:szCs w:val="20"/>
        </w:rPr>
        <w:t xml:space="preserve"> treatment of the recipient with either monoclonal antibodies (alemtuzumab) or anti-thymocyte globulin, is well established to ameliorate the risk of GvHD but at the expense of the GVL. Socié and colleagues</w:t>
      </w:r>
      <w:r w:rsidR="002C5083" w:rsidRPr="002441D8">
        <w:rPr>
          <w:rStyle w:val="EndnoteReference"/>
          <w:sz w:val="20"/>
          <w:szCs w:val="20"/>
        </w:rPr>
        <w:endnoteReference w:id="92"/>
      </w:r>
      <w:r w:rsidR="002C5083" w:rsidRPr="002441D8">
        <w:rPr>
          <w:sz w:val="20"/>
          <w:szCs w:val="20"/>
        </w:rPr>
        <w:t xml:space="preserve"> demonstrated some dissociation of the risk of relapse from the risk of aGvHD using rabbit ATG to achieve T-cell depletion in recipients of unrelated transplant following myeloablation. While these data are encouraging, at present the decision to use TCD is based on an assessment of the risk of aGVHD vs the risk of relapse. Whilst there may be an advantage in employing T-cell depletion in a mismatched recipient undergoing HSCT in chronic phase, there is little or no benefit</w:t>
      </w:r>
      <w:r w:rsidR="00294A69" w:rsidRPr="002441D8">
        <w:rPr>
          <w:sz w:val="20"/>
          <w:szCs w:val="20"/>
        </w:rPr>
        <w:t xml:space="preserve"> in</w:t>
      </w:r>
      <w:r w:rsidR="002C5083" w:rsidRPr="002441D8">
        <w:rPr>
          <w:sz w:val="20"/>
          <w:szCs w:val="20"/>
        </w:rPr>
        <w:t xml:space="preserve"> sibling HSCT in CP2. Based on a lack of evidence, these decisions will be institute and physician dependent.</w:t>
      </w:r>
    </w:p>
    <w:p w14:paraId="199296D2" w14:textId="77777777" w:rsidR="002C5083" w:rsidRPr="002441D8" w:rsidRDefault="002C5083" w:rsidP="00E13B84">
      <w:pPr>
        <w:spacing w:before="240" w:line="360" w:lineRule="auto"/>
        <w:jc w:val="both"/>
        <w:rPr>
          <w:sz w:val="20"/>
          <w:szCs w:val="20"/>
        </w:rPr>
      </w:pPr>
      <w:r w:rsidRPr="002441D8">
        <w:rPr>
          <w:sz w:val="20"/>
          <w:szCs w:val="20"/>
          <w:u w:val="single"/>
        </w:rPr>
        <w:t>Bone Marrow vs Peripheral Blood Stem Cells –</w:t>
      </w:r>
      <w:r w:rsidRPr="002441D8">
        <w:rPr>
          <w:sz w:val="20"/>
          <w:szCs w:val="20"/>
        </w:rPr>
        <w:t xml:space="preserve"> Historically stem cells derived from bone marrow (BM) have been used, but the advent of clinical grade growth factors now allows collection of stem cells from peripheral blood. For reasons of faster engraftment and donor preference, peripheral blood stem cells (PBMC) have now largely replaced bone marrow (BM) as the favoured stem cell source. However, the use of PBSC for those in CP1 is associated with higher rates of non-relapse mortality and, consequently, lower rates of survival</w:t>
      </w:r>
      <w:r w:rsidRPr="002441D8">
        <w:rPr>
          <w:rStyle w:val="EndnoteReference"/>
          <w:sz w:val="20"/>
          <w:szCs w:val="20"/>
        </w:rPr>
        <w:endnoteReference w:id="93"/>
      </w:r>
      <w:r w:rsidR="007A7F6A" w:rsidRPr="002441D8">
        <w:rPr>
          <w:sz w:val="20"/>
          <w:szCs w:val="20"/>
        </w:rPr>
        <w:t>. A more recent</w:t>
      </w:r>
      <w:r w:rsidRPr="002441D8">
        <w:rPr>
          <w:sz w:val="20"/>
          <w:szCs w:val="20"/>
        </w:rPr>
        <w:t xml:space="preserve"> randomised controlled trial comparing PBSC to BM, which included but was not limited to CML patients, showed higher rates of chronic graft versus host disease with PBSC (53% vs 41%)</w:t>
      </w:r>
      <w:r w:rsidRPr="002441D8">
        <w:rPr>
          <w:rStyle w:val="EndnoteReference"/>
          <w:sz w:val="20"/>
          <w:szCs w:val="20"/>
        </w:rPr>
        <w:endnoteReference w:id="94"/>
      </w:r>
      <w:r w:rsidRPr="002441D8">
        <w:rPr>
          <w:sz w:val="20"/>
          <w:szCs w:val="20"/>
        </w:rPr>
        <w:t>. Although there was no impact on OS or PFS in this study, the findings are particularly pertinent to CML patients; Up to 50% of patients transplanted for CP CML will subsequently develop molecular relapse necessitating DLI to restore remission, particularly if RIC regimens are used</w:t>
      </w:r>
      <w:r w:rsidRPr="002441D8">
        <w:rPr>
          <w:rStyle w:val="EndnoteReference"/>
          <w:sz w:val="20"/>
          <w:szCs w:val="20"/>
        </w:rPr>
        <w:endnoteReference w:id="95"/>
      </w:r>
      <w:r w:rsidRPr="002441D8">
        <w:rPr>
          <w:sz w:val="20"/>
          <w:szCs w:val="20"/>
        </w:rPr>
        <w:t>. Active chronic graft-verus-host disease precludes the use of DLI, thereby hampering the management of relapse. Therefore every effort should be made to reduce the risk of cGvHD to enable subsequent use of DLI if required, not to mention to reduce the burden of morbidity associated with cGvHD. Although a cautious approach would therefore favour the use of BM in CP patients</w:t>
      </w:r>
      <w:r w:rsidR="00294A69" w:rsidRPr="002441D8">
        <w:rPr>
          <w:sz w:val="20"/>
          <w:szCs w:val="20"/>
        </w:rPr>
        <w:t>, however more</w:t>
      </w:r>
      <w:r w:rsidRPr="002441D8">
        <w:rPr>
          <w:sz w:val="20"/>
          <w:szCs w:val="20"/>
        </w:rPr>
        <w:t xml:space="preserve"> often than not the final choice lies with the donor. </w:t>
      </w:r>
    </w:p>
    <w:p w14:paraId="27B0B42F" w14:textId="77777777" w:rsidR="007D2024" w:rsidRPr="002441D8" w:rsidRDefault="005A292D" w:rsidP="00E13B84">
      <w:pPr>
        <w:spacing w:line="360" w:lineRule="auto"/>
        <w:jc w:val="both"/>
        <w:rPr>
          <w:sz w:val="20"/>
          <w:szCs w:val="20"/>
        </w:rPr>
      </w:pPr>
      <w:r w:rsidRPr="002441D8">
        <w:rPr>
          <w:sz w:val="20"/>
          <w:szCs w:val="20"/>
          <w:u w:val="single"/>
        </w:rPr>
        <w:t xml:space="preserve">Relapse </w:t>
      </w:r>
      <w:r w:rsidR="006D1D63" w:rsidRPr="002441D8">
        <w:rPr>
          <w:sz w:val="20"/>
          <w:szCs w:val="20"/>
          <w:u w:val="single"/>
        </w:rPr>
        <w:t>S</w:t>
      </w:r>
      <w:r w:rsidRPr="002441D8">
        <w:rPr>
          <w:sz w:val="20"/>
          <w:szCs w:val="20"/>
          <w:u w:val="single"/>
        </w:rPr>
        <w:t>trategies</w:t>
      </w:r>
      <w:r w:rsidR="002C5083" w:rsidRPr="002441D8">
        <w:rPr>
          <w:sz w:val="20"/>
          <w:szCs w:val="20"/>
        </w:rPr>
        <w:t xml:space="preserve"> - For those transplanted in CP, if relapse occurs it w</w:t>
      </w:r>
      <w:r w:rsidR="00865997" w:rsidRPr="002441D8">
        <w:rPr>
          <w:sz w:val="20"/>
          <w:szCs w:val="20"/>
        </w:rPr>
        <w:t>ill most likely be at low level</w:t>
      </w:r>
      <w:r w:rsidR="002C5083" w:rsidRPr="002441D8">
        <w:rPr>
          <w:sz w:val="20"/>
          <w:szCs w:val="20"/>
        </w:rPr>
        <w:t xml:space="preserve"> and initially detectable only by BCR-ABL1 R</w:t>
      </w:r>
      <w:r w:rsidR="00865997" w:rsidRPr="002441D8">
        <w:rPr>
          <w:sz w:val="20"/>
          <w:szCs w:val="20"/>
        </w:rPr>
        <w:t>T</w:t>
      </w:r>
      <w:r w:rsidR="002C5083" w:rsidRPr="002441D8">
        <w:rPr>
          <w:sz w:val="20"/>
          <w:szCs w:val="20"/>
        </w:rPr>
        <w:t>Q-PCR. Long standing criteria exist to define relapse following HSCT, which are highly predictive of progressive disease</w:t>
      </w:r>
      <w:r w:rsidR="002C5083" w:rsidRPr="002441D8">
        <w:rPr>
          <w:rStyle w:val="EndnoteReference"/>
          <w:sz w:val="20"/>
          <w:szCs w:val="20"/>
        </w:rPr>
        <w:endnoteReference w:id="96"/>
      </w:r>
      <w:r w:rsidR="002C5083" w:rsidRPr="002441D8">
        <w:rPr>
          <w:sz w:val="20"/>
          <w:szCs w:val="20"/>
          <w:vertAlign w:val="superscript"/>
        </w:rPr>
        <w:t>,</w:t>
      </w:r>
      <w:r w:rsidR="002C5083" w:rsidRPr="002441D8">
        <w:rPr>
          <w:rStyle w:val="EndnoteReference"/>
          <w:sz w:val="20"/>
          <w:szCs w:val="20"/>
        </w:rPr>
        <w:endnoteReference w:id="97"/>
      </w:r>
      <w:r w:rsidR="002C5083" w:rsidRPr="002441D8">
        <w:rPr>
          <w:sz w:val="20"/>
          <w:szCs w:val="20"/>
        </w:rPr>
        <w:t>. Following relapse, immune modulation with cessation of ongoing immunosupression followed by DLI if necessary, is the most powerful strategy for restoring remission in the majority of patients with molecular relapse</w:t>
      </w:r>
      <w:bookmarkStart w:id="3" w:name="_Ref393583246"/>
      <w:r w:rsidR="00294A69" w:rsidRPr="002441D8">
        <w:rPr>
          <w:sz w:val="20"/>
          <w:szCs w:val="20"/>
          <w:vertAlign w:val="superscript"/>
        </w:rPr>
        <w:t>24,25,</w:t>
      </w:r>
      <w:r w:rsidR="002C5083" w:rsidRPr="002441D8">
        <w:rPr>
          <w:rStyle w:val="EndnoteReference"/>
          <w:sz w:val="20"/>
          <w:szCs w:val="20"/>
        </w:rPr>
        <w:endnoteReference w:id="98"/>
      </w:r>
      <w:bookmarkEnd w:id="3"/>
      <w:r w:rsidR="002C5083" w:rsidRPr="002441D8">
        <w:rPr>
          <w:sz w:val="20"/>
          <w:szCs w:val="20"/>
        </w:rPr>
        <w:t>. Adherence to escalating dose regimens (starting with 1x10</w:t>
      </w:r>
      <w:r w:rsidR="002C5083" w:rsidRPr="002441D8">
        <w:rPr>
          <w:sz w:val="20"/>
          <w:szCs w:val="20"/>
          <w:vertAlign w:val="superscript"/>
        </w:rPr>
        <w:t>6</w:t>
      </w:r>
      <w:r w:rsidR="002C5083" w:rsidRPr="002441D8">
        <w:rPr>
          <w:sz w:val="20"/>
          <w:szCs w:val="20"/>
        </w:rPr>
        <w:t xml:space="preserve"> T-cells per kg in VUD and 1x10</w:t>
      </w:r>
      <w:r w:rsidR="002C5083" w:rsidRPr="002441D8">
        <w:rPr>
          <w:sz w:val="20"/>
          <w:szCs w:val="20"/>
          <w:vertAlign w:val="superscript"/>
        </w:rPr>
        <w:t>7</w:t>
      </w:r>
      <w:r w:rsidR="002C5083" w:rsidRPr="002441D8">
        <w:rPr>
          <w:sz w:val="20"/>
          <w:szCs w:val="20"/>
        </w:rPr>
        <w:t>T-cells per kg in sibling recipients, rising in a step wise fashion, until response is achieved) minimises the risk of GvHD making them a safe first choice strategy for the majority of patients, providing 6-9 months has elapsed from HSCT</w:t>
      </w:r>
      <w:r w:rsidR="00CD1203" w:rsidRPr="002441D8">
        <w:rPr>
          <w:sz w:val="20"/>
          <w:szCs w:val="20"/>
          <w:vertAlign w:val="superscript"/>
        </w:rPr>
        <w:t>2</w:t>
      </w:r>
      <w:r w:rsidR="00D77CA3" w:rsidRPr="002441D8">
        <w:rPr>
          <w:sz w:val="20"/>
          <w:szCs w:val="20"/>
          <w:vertAlign w:val="superscript"/>
        </w:rPr>
        <w:t>8,29</w:t>
      </w:r>
      <w:r w:rsidR="00CD1203" w:rsidRPr="002441D8">
        <w:rPr>
          <w:sz w:val="20"/>
          <w:szCs w:val="20"/>
        </w:rPr>
        <w:t>.</w:t>
      </w:r>
      <w:r w:rsidR="002C5083" w:rsidRPr="002441D8">
        <w:rPr>
          <w:sz w:val="20"/>
          <w:szCs w:val="20"/>
        </w:rPr>
        <w:t xml:space="preserve"> </w:t>
      </w:r>
      <w:r w:rsidR="007D2024" w:rsidRPr="002441D8">
        <w:rPr>
          <w:sz w:val="20"/>
          <w:szCs w:val="20"/>
        </w:rPr>
        <w:t>Interestingly, while DLI is capable of restoring remission in the majority of patients undergoing treatment for molecular rela</w:t>
      </w:r>
      <w:r w:rsidR="00865997" w:rsidRPr="002441D8">
        <w:rPr>
          <w:sz w:val="20"/>
          <w:szCs w:val="20"/>
        </w:rPr>
        <w:t>pse by achieving undetectable BCR-ABL1,</w:t>
      </w:r>
      <w:r w:rsidR="007D2024" w:rsidRPr="002441D8">
        <w:rPr>
          <w:sz w:val="20"/>
          <w:szCs w:val="20"/>
        </w:rPr>
        <w:t xml:space="preserve"> many of these patients subsequently develop </w:t>
      </w:r>
      <w:r w:rsidR="00007919" w:rsidRPr="002441D8">
        <w:rPr>
          <w:sz w:val="20"/>
          <w:szCs w:val="20"/>
        </w:rPr>
        <w:t xml:space="preserve">intermittently </w:t>
      </w:r>
      <w:r w:rsidR="007D2024" w:rsidRPr="002441D8">
        <w:rPr>
          <w:sz w:val="20"/>
          <w:szCs w:val="20"/>
        </w:rPr>
        <w:t xml:space="preserve">detectable BCR-ABL1 transcripts by sensitive PCR </w:t>
      </w:r>
      <w:r w:rsidR="007D2024" w:rsidRPr="002441D8">
        <w:rPr>
          <w:sz w:val="20"/>
          <w:szCs w:val="20"/>
        </w:rPr>
        <w:lastRenderedPageBreak/>
        <w:t>techniques but rarely develop progressive disease</w:t>
      </w:r>
      <w:r w:rsidR="00865997" w:rsidRPr="002441D8">
        <w:rPr>
          <w:sz w:val="20"/>
          <w:szCs w:val="20"/>
          <w:vertAlign w:val="superscript"/>
        </w:rPr>
        <w:t>96</w:t>
      </w:r>
      <w:r w:rsidR="00C82986" w:rsidRPr="002441D8">
        <w:rPr>
          <w:sz w:val="20"/>
          <w:szCs w:val="20"/>
        </w:rPr>
        <w:t xml:space="preserve">. This might </w:t>
      </w:r>
      <w:r w:rsidR="00865997" w:rsidRPr="002441D8">
        <w:rPr>
          <w:sz w:val="20"/>
          <w:szCs w:val="20"/>
        </w:rPr>
        <w:t xml:space="preserve">reinforce the idea </w:t>
      </w:r>
      <w:r w:rsidR="00C82986" w:rsidRPr="002441D8">
        <w:rPr>
          <w:sz w:val="20"/>
          <w:szCs w:val="20"/>
        </w:rPr>
        <w:t xml:space="preserve">that </w:t>
      </w:r>
      <w:r w:rsidR="007D2024" w:rsidRPr="002441D8">
        <w:rPr>
          <w:sz w:val="20"/>
          <w:szCs w:val="20"/>
        </w:rPr>
        <w:t>rather than eliminating the BCR-ABL1 clone</w:t>
      </w:r>
      <w:r w:rsidR="00C82986" w:rsidRPr="002441D8">
        <w:rPr>
          <w:sz w:val="20"/>
          <w:szCs w:val="20"/>
        </w:rPr>
        <w:t>,</w:t>
      </w:r>
      <w:r w:rsidR="007D2024" w:rsidRPr="002441D8">
        <w:rPr>
          <w:sz w:val="20"/>
          <w:szCs w:val="20"/>
        </w:rPr>
        <w:t xml:space="preserve"> HSCT exerts a T-cell dependent immune control of the disease. </w:t>
      </w:r>
    </w:p>
    <w:p w14:paraId="40FD23E6" w14:textId="77777777" w:rsidR="002C5083" w:rsidRPr="002441D8" w:rsidRDefault="002C5083" w:rsidP="00E13B84">
      <w:pPr>
        <w:spacing w:line="360" w:lineRule="auto"/>
        <w:jc w:val="both"/>
        <w:rPr>
          <w:sz w:val="20"/>
          <w:szCs w:val="20"/>
        </w:rPr>
      </w:pPr>
      <w:r w:rsidRPr="002441D8">
        <w:rPr>
          <w:sz w:val="20"/>
          <w:szCs w:val="20"/>
        </w:rPr>
        <w:t>Although TKIs</w:t>
      </w:r>
      <w:r w:rsidR="00294A69" w:rsidRPr="002441D8">
        <w:rPr>
          <w:sz w:val="20"/>
          <w:szCs w:val="20"/>
        </w:rPr>
        <w:t xml:space="preserve"> have been used in th</w:t>
      </w:r>
      <w:r w:rsidR="007D2024" w:rsidRPr="002441D8">
        <w:rPr>
          <w:sz w:val="20"/>
          <w:szCs w:val="20"/>
        </w:rPr>
        <w:t>e</w:t>
      </w:r>
      <w:r w:rsidR="00294A69" w:rsidRPr="002441D8">
        <w:rPr>
          <w:sz w:val="20"/>
          <w:szCs w:val="20"/>
        </w:rPr>
        <w:t xml:space="preserve"> setting</w:t>
      </w:r>
      <w:r w:rsidRPr="002441D8">
        <w:rPr>
          <w:sz w:val="20"/>
          <w:szCs w:val="20"/>
        </w:rPr>
        <w:t xml:space="preserve"> </w:t>
      </w:r>
      <w:r w:rsidR="007D2024" w:rsidRPr="002441D8">
        <w:rPr>
          <w:sz w:val="20"/>
          <w:szCs w:val="20"/>
        </w:rPr>
        <w:t xml:space="preserve">of post HSCT relapse </w:t>
      </w:r>
      <w:r w:rsidRPr="002441D8">
        <w:rPr>
          <w:sz w:val="20"/>
          <w:szCs w:val="20"/>
        </w:rPr>
        <w:t>it is likely that significant resistance or intolerance to TKI wil</w:t>
      </w:r>
      <w:r w:rsidR="00294A69" w:rsidRPr="002441D8">
        <w:rPr>
          <w:sz w:val="20"/>
          <w:szCs w:val="20"/>
        </w:rPr>
        <w:t xml:space="preserve">l have developed prior to HSCT </w:t>
      </w:r>
      <w:r w:rsidRPr="002441D8">
        <w:rPr>
          <w:sz w:val="20"/>
          <w:szCs w:val="20"/>
        </w:rPr>
        <w:t xml:space="preserve">given that most HSCT recipients have cycled through multiple TKIs, making their use less likely to be effective. </w:t>
      </w:r>
      <w:r w:rsidR="007D2024" w:rsidRPr="002441D8">
        <w:rPr>
          <w:sz w:val="20"/>
          <w:szCs w:val="20"/>
        </w:rPr>
        <w:t xml:space="preserve">In the case of relapse in TKI naive or TKI responsive patients </w:t>
      </w:r>
      <w:r w:rsidR="00FA31D0" w:rsidRPr="002441D8">
        <w:rPr>
          <w:sz w:val="20"/>
          <w:szCs w:val="20"/>
        </w:rPr>
        <w:t xml:space="preserve">a </w:t>
      </w:r>
      <w:r w:rsidR="007D2024" w:rsidRPr="002441D8">
        <w:rPr>
          <w:sz w:val="20"/>
          <w:szCs w:val="20"/>
        </w:rPr>
        <w:t>trial or re-</w:t>
      </w:r>
      <w:r w:rsidR="0015577A" w:rsidRPr="002441D8">
        <w:rPr>
          <w:sz w:val="20"/>
          <w:szCs w:val="20"/>
        </w:rPr>
        <w:t>introduction</w:t>
      </w:r>
      <w:r w:rsidR="007D2024" w:rsidRPr="002441D8">
        <w:rPr>
          <w:sz w:val="20"/>
          <w:szCs w:val="20"/>
        </w:rPr>
        <w:t xml:space="preserve"> of these agents may offer </w:t>
      </w:r>
      <w:r w:rsidR="0083538C" w:rsidRPr="002441D8">
        <w:rPr>
          <w:sz w:val="20"/>
          <w:szCs w:val="20"/>
        </w:rPr>
        <w:t>benefit</w:t>
      </w:r>
      <w:r w:rsidR="007D2024" w:rsidRPr="002441D8">
        <w:rPr>
          <w:sz w:val="20"/>
          <w:szCs w:val="20"/>
        </w:rPr>
        <w:t xml:space="preserve">. </w:t>
      </w:r>
      <w:r w:rsidRPr="002441D8">
        <w:rPr>
          <w:sz w:val="20"/>
          <w:szCs w:val="20"/>
        </w:rPr>
        <w:t>For those relapsing early or with aggressive disease, rapid withdrawal of existing immunosuppression, immune therapy with DLI and TKIs unlikely to restore remission, and experimental agents offer the only prospect of survival.</w:t>
      </w:r>
    </w:p>
    <w:p w14:paraId="4A570A91" w14:textId="77777777" w:rsidR="002C5083" w:rsidRPr="002441D8" w:rsidRDefault="002C5083" w:rsidP="00E13B84">
      <w:pPr>
        <w:spacing w:line="360" w:lineRule="auto"/>
        <w:jc w:val="both"/>
        <w:rPr>
          <w:sz w:val="20"/>
          <w:szCs w:val="20"/>
        </w:rPr>
      </w:pPr>
    </w:p>
    <w:p w14:paraId="083D389E" w14:textId="77777777" w:rsidR="002C5083" w:rsidRPr="002441D8" w:rsidRDefault="002C5083" w:rsidP="00E13B84">
      <w:pPr>
        <w:spacing w:line="360" w:lineRule="auto"/>
        <w:jc w:val="both"/>
        <w:rPr>
          <w:b/>
          <w:sz w:val="20"/>
          <w:szCs w:val="20"/>
        </w:rPr>
      </w:pPr>
      <w:r w:rsidRPr="002441D8">
        <w:rPr>
          <w:b/>
          <w:sz w:val="20"/>
          <w:szCs w:val="20"/>
        </w:rPr>
        <w:t>Conclusions</w:t>
      </w:r>
    </w:p>
    <w:p w14:paraId="2FB1B401" w14:textId="77777777" w:rsidR="00CD1203" w:rsidRPr="002441D8" w:rsidRDefault="002C5083" w:rsidP="000E2B3F">
      <w:pPr>
        <w:spacing w:line="240" w:lineRule="auto"/>
        <w:jc w:val="both"/>
        <w:rPr>
          <w:sz w:val="20"/>
          <w:szCs w:val="20"/>
        </w:rPr>
      </w:pPr>
      <w:r w:rsidRPr="002441D8">
        <w:rPr>
          <w:sz w:val="20"/>
          <w:szCs w:val="20"/>
        </w:rPr>
        <w:t>TKIs are undoubtedly a huge step forward in the management of CML, but not all patients w</w:t>
      </w:r>
      <w:r w:rsidR="00865997" w:rsidRPr="002441D8">
        <w:rPr>
          <w:sz w:val="20"/>
          <w:szCs w:val="20"/>
        </w:rPr>
        <w:t>ill respond</w:t>
      </w:r>
      <w:r w:rsidRPr="002441D8">
        <w:rPr>
          <w:sz w:val="20"/>
          <w:szCs w:val="20"/>
        </w:rPr>
        <w:t xml:space="preserve"> or can tolerate these drugs. New tools of early assessment should help identify poor responders quickly, allowing them to rapidly cycle through TKIs </w:t>
      </w:r>
      <w:r w:rsidR="00865997" w:rsidRPr="002441D8">
        <w:rPr>
          <w:sz w:val="20"/>
          <w:szCs w:val="20"/>
        </w:rPr>
        <w:t xml:space="preserve">and be considered for HSCT early if </w:t>
      </w:r>
      <w:r w:rsidR="00D101D6" w:rsidRPr="002441D8">
        <w:rPr>
          <w:sz w:val="20"/>
          <w:szCs w:val="20"/>
        </w:rPr>
        <w:t>necessary</w:t>
      </w:r>
      <w:r w:rsidRPr="002441D8">
        <w:rPr>
          <w:sz w:val="20"/>
          <w:szCs w:val="20"/>
        </w:rPr>
        <w:t xml:space="preserve">. When considering HSCT it is important to remember that a poor response to TKI does not </w:t>
      </w:r>
      <w:r w:rsidRPr="002441D8">
        <w:rPr>
          <w:i/>
          <w:sz w:val="20"/>
          <w:szCs w:val="20"/>
        </w:rPr>
        <w:t>per se</w:t>
      </w:r>
      <w:r w:rsidRPr="002441D8">
        <w:rPr>
          <w:sz w:val="20"/>
          <w:szCs w:val="20"/>
        </w:rPr>
        <w:t xml:space="preserve"> predict a poor response to transplant because of the independent mechanism of disease control. HSCT should not be seen as a ‘last ditch’ or ‘salvage’ option but rather a feasible treatment strategy to be considered early in the management plan of those wit</w:t>
      </w:r>
      <w:r w:rsidR="00D101D6" w:rsidRPr="002441D8">
        <w:rPr>
          <w:sz w:val="20"/>
          <w:szCs w:val="20"/>
        </w:rPr>
        <w:t xml:space="preserve">h less than optimal responses. </w:t>
      </w:r>
      <w:r w:rsidRPr="002441D8">
        <w:rPr>
          <w:sz w:val="20"/>
          <w:szCs w:val="20"/>
        </w:rPr>
        <w:t>Poor TKI responders should be identified early and given the opportunity to undergo HSCT, particularly given the excellent outcome in the most recent studies. A goal of CML physicians is now to normalise the life span for CML patients and HSCT offers one route to achieve this. Several unanswered questions remain however, particularly regarding regimen choice, use of T-cell depletion and pre-transplant optimisation, but with the reduced number of patient undergoing HSCT, it seems unlikely that studies with sufficient power will exist to answer them. A vast wealth of existing data does provide a firm base for HSCT in CML moving forward, and the key message remains that transplantation is viable treatment avenue that should not be delayed or overlooked.</w:t>
      </w:r>
    </w:p>
    <w:p w14:paraId="7A8F518F" w14:textId="77777777" w:rsidR="000E2B3F" w:rsidRPr="002441D8" w:rsidRDefault="000E2B3F" w:rsidP="000E2B3F">
      <w:pPr>
        <w:spacing w:after="0" w:line="240" w:lineRule="auto"/>
        <w:rPr>
          <w:sz w:val="20"/>
          <w:szCs w:val="20"/>
        </w:rPr>
      </w:pPr>
      <w:r w:rsidRPr="002441D8">
        <w:rPr>
          <w:sz w:val="20"/>
          <w:szCs w:val="20"/>
        </w:rPr>
        <w:br w:type="page"/>
      </w:r>
    </w:p>
    <w:tbl>
      <w:tblPr>
        <w:tblStyle w:val="TableGrid"/>
        <w:tblW w:w="0" w:type="auto"/>
        <w:tblLook w:val="04A0" w:firstRow="1" w:lastRow="0" w:firstColumn="1" w:lastColumn="0" w:noHBand="0" w:noVBand="1"/>
      </w:tblPr>
      <w:tblGrid>
        <w:gridCol w:w="3080"/>
        <w:gridCol w:w="3081"/>
        <w:gridCol w:w="3081"/>
      </w:tblGrid>
      <w:tr w:rsidR="000E2B3F" w:rsidRPr="002441D8" w14:paraId="56EFCE0B" w14:textId="77777777" w:rsidTr="000E2B3F">
        <w:tc>
          <w:tcPr>
            <w:tcW w:w="3080" w:type="dxa"/>
          </w:tcPr>
          <w:p w14:paraId="3BDCA8CB" w14:textId="77777777" w:rsidR="000E2B3F" w:rsidRPr="002441D8" w:rsidRDefault="000E2B3F" w:rsidP="000E2B3F">
            <w:pPr>
              <w:spacing w:line="240" w:lineRule="auto"/>
            </w:pPr>
          </w:p>
        </w:tc>
        <w:tc>
          <w:tcPr>
            <w:tcW w:w="3081" w:type="dxa"/>
          </w:tcPr>
          <w:p w14:paraId="1B4459A7" w14:textId="77777777" w:rsidR="000E2B3F" w:rsidRPr="002441D8" w:rsidRDefault="000E2B3F" w:rsidP="000E2B3F">
            <w:pPr>
              <w:spacing w:line="240" w:lineRule="auto"/>
            </w:pPr>
            <w:r w:rsidRPr="002441D8">
              <w:t>WHO criteria</w:t>
            </w:r>
            <w:r w:rsidRPr="002441D8">
              <w:rPr>
                <w:vertAlign w:val="superscript"/>
              </w:rPr>
              <w:t>2</w:t>
            </w:r>
          </w:p>
        </w:tc>
        <w:tc>
          <w:tcPr>
            <w:tcW w:w="3081" w:type="dxa"/>
          </w:tcPr>
          <w:p w14:paraId="28301058" w14:textId="77777777" w:rsidR="000E2B3F" w:rsidRPr="002441D8" w:rsidRDefault="000E2B3F" w:rsidP="000E2B3F">
            <w:pPr>
              <w:spacing w:line="240" w:lineRule="auto"/>
            </w:pPr>
            <w:r w:rsidRPr="002441D8">
              <w:t xml:space="preserve">ELN criteria </w:t>
            </w:r>
            <w:r w:rsidRPr="002441D8">
              <w:rPr>
                <w:vertAlign w:val="superscript"/>
              </w:rPr>
              <w:t>3</w:t>
            </w:r>
          </w:p>
        </w:tc>
      </w:tr>
      <w:tr w:rsidR="000E2B3F" w:rsidRPr="002441D8" w14:paraId="138354C4" w14:textId="77777777" w:rsidTr="000E2B3F">
        <w:tc>
          <w:tcPr>
            <w:tcW w:w="3080" w:type="dxa"/>
          </w:tcPr>
          <w:p w14:paraId="48C0602D" w14:textId="77777777" w:rsidR="000E2B3F" w:rsidRPr="002441D8" w:rsidRDefault="000E2B3F" w:rsidP="000E2B3F">
            <w:pPr>
              <w:spacing w:line="240" w:lineRule="auto"/>
              <w:rPr>
                <w:b/>
              </w:rPr>
            </w:pPr>
            <w:r w:rsidRPr="002441D8">
              <w:rPr>
                <w:b/>
              </w:rPr>
              <w:t>Blast Crisis</w:t>
            </w:r>
          </w:p>
        </w:tc>
        <w:tc>
          <w:tcPr>
            <w:tcW w:w="3081" w:type="dxa"/>
          </w:tcPr>
          <w:p w14:paraId="17367292" w14:textId="77777777" w:rsidR="000E2B3F" w:rsidRPr="002441D8" w:rsidRDefault="000E2B3F" w:rsidP="000E2B3F">
            <w:pPr>
              <w:spacing w:line="240" w:lineRule="auto"/>
            </w:pPr>
          </w:p>
        </w:tc>
        <w:tc>
          <w:tcPr>
            <w:tcW w:w="3081" w:type="dxa"/>
          </w:tcPr>
          <w:p w14:paraId="1ED604D0" w14:textId="77777777" w:rsidR="000E2B3F" w:rsidRPr="002441D8" w:rsidRDefault="000E2B3F" w:rsidP="000E2B3F">
            <w:pPr>
              <w:spacing w:line="240" w:lineRule="auto"/>
            </w:pPr>
          </w:p>
        </w:tc>
      </w:tr>
      <w:tr w:rsidR="000E2B3F" w:rsidRPr="002441D8" w14:paraId="53A77959" w14:textId="77777777" w:rsidTr="000E2B3F">
        <w:tc>
          <w:tcPr>
            <w:tcW w:w="3080" w:type="dxa"/>
          </w:tcPr>
          <w:p w14:paraId="30579555" w14:textId="77777777" w:rsidR="000E2B3F" w:rsidRPr="002441D8" w:rsidRDefault="000E2B3F" w:rsidP="000E2B3F">
            <w:pPr>
              <w:spacing w:line="240" w:lineRule="auto"/>
            </w:pPr>
            <w:r w:rsidRPr="002441D8">
              <w:t>Peripheral blood or bone marrow blasts</w:t>
            </w:r>
          </w:p>
        </w:tc>
        <w:tc>
          <w:tcPr>
            <w:tcW w:w="3081" w:type="dxa"/>
          </w:tcPr>
          <w:p w14:paraId="2B08A536" w14:textId="77777777" w:rsidR="000E2B3F" w:rsidRPr="002441D8" w:rsidRDefault="000E2B3F" w:rsidP="000E2B3F">
            <w:pPr>
              <w:spacing w:line="240" w:lineRule="auto"/>
            </w:pPr>
            <w:r w:rsidRPr="002441D8">
              <w:t>≥ 20%</w:t>
            </w:r>
          </w:p>
        </w:tc>
        <w:tc>
          <w:tcPr>
            <w:tcW w:w="3081" w:type="dxa"/>
          </w:tcPr>
          <w:p w14:paraId="05B6DF77" w14:textId="77777777" w:rsidR="000E2B3F" w:rsidRPr="002441D8" w:rsidRDefault="000E2B3F" w:rsidP="000E2B3F">
            <w:pPr>
              <w:spacing w:line="240" w:lineRule="auto"/>
            </w:pPr>
            <w:r w:rsidRPr="002441D8">
              <w:t>≥ 30%</w:t>
            </w:r>
          </w:p>
        </w:tc>
      </w:tr>
      <w:tr w:rsidR="000E2B3F" w:rsidRPr="002441D8" w14:paraId="46851323" w14:textId="77777777" w:rsidTr="000E2B3F">
        <w:tc>
          <w:tcPr>
            <w:tcW w:w="3080" w:type="dxa"/>
          </w:tcPr>
          <w:p w14:paraId="5AE7301C" w14:textId="77777777" w:rsidR="000E2B3F" w:rsidRPr="002441D8" w:rsidRDefault="000E2B3F" w:rsidP="000E2B3F">
            <w:pPr>
              <w:spacing w:line="240" w:lineRule="auto"/>
            </w:pPr>
            <w:r w:rsidRPr="002441D8">
              <w:t>Additional defining characteristics</w:t>
            </w:r>
          </w:p>
        </w:tc>
        <w:tc>
          <w:tcPr>
            <w:tcW w:w="3081" w:type="dxa"/>
          </w:tcPr>
          <w:p w14:paraId="722D87C6" w14:textId="77777777" w:rsidR="000E2B3F" w:rsidRPr="002441D8" w:rsidRDefault="000E2B3F" w:rsidP="000E2B3F">
            <w:pPr>
              <w:spacing w:line="240" w:lineRule="auto"/>
            </w:pPr>
            <w:r w:rsidRPr="002441D8">
              <w:t>Extramedullary blast proliferation (Except spleen), Large foci of blasts in spleen or bone marrow</w:t>
            </w:r>
          </w:p>
        </w:tc>
        <w:tc>
          <w:tcPr>
            <w:tcW w:w="3081" w:type="dxa"/>
          </w:tcPr>
          <w:p w14:paraId="57BE9C75" w14:textId="77777777" w:rsidR="000E2B3F" w:rsidRPr="002441D8" w:rsidRDefault="000E2B3F" w:rsidP="000E2B3F">
            <w:pPr>
              <w:spacing w:line="240" w:lineRule="auto"/>
            </w:pPr>
            <w:r w:rsidRPr="002441D8">
              <w:t>Extramedullary blast involvement (except spleen)</w:t>
            </w:r>
          </w:p>
        </w:tc>
      </w:tr>
      <w:tr w:rsidR="000E2B3F" w:rsidRPr="002441D8" w14:paraId="1AF3241B" w14:textId="77777777" w:rsidTr="000E2B3F">
        <w:tc>
          <w:tcPr>
            <w:tcW w:w="3080" w:type="dxa"/>
          </w:tcPr>
          <w:p w14:paraId="7A3C0F5C" w14:textId="77777777" w:rsidR="000E2B3F" w:rsidRPr="002441D8" w:rsidRDefault="000E2B3F" w:rsidP="000E2B3F">
            <w:pPr>
              <w:spacing w:line="240" w:lineRule="auto"/>
              <w:rPr>
                <w:b/>
              </w:rPr>
            </w:pPr>
            <w:r w:rsidRPr="002441D8">
              <w:rPr>
                <w:b/>
              </w:rPr>
              <w:t>Accelerated Phase</w:t>
            </w:r>
          </w:p>
        </w:tc>
        <w:tc>
          <w:tcPr>
            <w:tcW w:w="3081" w:type="dxa"/>
          </w:tcPr>
          <w:p w14:paraId="6D2640F8" w14:textId="77777777" w:rsidR="000E2B3F" w:rsidRPr="002441D8" w:rsidRDefault="000E2B3F" w:rsidP="000E2B3F">
            <w:pPr>
              <w:spacing w:line="240" w:lineRule="auto"/>
            </w:pPr>
          </w:p>
        </w:tc>
        <w:tc>
          <w:tcPr>
            <w:tcW w:w="3081" w:type="dxa"/>
          </w:tcPr>
          <w:p w14:paraId="6F97505E" w14:textId="77777777" w:rsidR="000E2B3F" w:rsidRPr="002441D8" w:rsidRDefault="000E2B3F" w:rsidP="000E2B3F">
            <w:pPr>
              <w:spacing w:line="240" w:lineRule="auto"/>
            </w:pPr>
          </w:p>
        </w:tc>
      </w:tr>
      <w:tr w:rsidR="000E2B3F" w:rsidRPr="002441D8" w14:paraId="56746E5F" w14:textId="77777777" w:rsidTr="000E2B3F">
        <w:tc>
          <w:tcPr>
            <w:tcW w:w="3080" w:type="dxa"/>
          </w:tcPr>
          <w:p w14:paraId="7CBCE052" w14:textId="77777777" w:rsidR="000E2B3F" w:rsidRPr="002441D8" w:rsidRDefault="000E2B3F" w:rsidP="000E2B3F">
            <w:pPr>
              <w:spacing w:line="240" w:lineRule="auto"/>
            </w:pPr>
            <w:r w:rsidRPr="002441D8">
              <w:t>Peripheral blood or bone marrow blasts</w:t>
            </w:r>
          </w:p>
        </w:tc>
        <w:tc>
          <w:tcPr>
            <w:tcW w:w="3081" w:type="dxa"/>
          </w:tcPr>
          <w:p w14:paraId="74F692B0" w14:textId="77777777" w:rsidR="000E2B3F" w:rsidRPr="002441D8" w:rsidRDefault="000E2B3F" w:rsidP="000E2B3F">
            <w:pPr>
              <w:spacing w:line="240" w:lineRule="auto"/>
            </w:pPr>
            <w:r w:rsidRPr="002441D8">
              <w:t>10-19%</w:t>
            </w:r>
          </w:p>
        </w:tc>
        <w:tc>
          <w:tcPr>
            <w:tcW w:w="3081" w:type="dxa"/>
          </w:tcPr>
          <w:p w14:paraId="32664F2B" w14:textId="77777777" w:rsidR="000E2B3F" w:rsidRPr="002441D8" w:rsidRDefault="000E2B3F" w:rsidP="000E2B3F">
            <w:pPr>
              <w:spacing w:line="240" w:lineRule="auto"/>
            </w:pPr>
            <w:r w:rsidRPr="002441D8">
              <w:t>15-29% blasts;</w:t>
            </w:r>
          </w:p>
          <w:p w14:paraId="19F7E763" w14:textId="77777777" w:rsidR="000E2B3F" w:rsidRPr="002441D8" w:rsidRDefault="000E2B3F" w:rsidP="000E2B3F">
            <w:pPr>
              <w:spacing w:line="240" w:lineRule="auto"/>
            </w:pPr>
            <w:r w:rsidRPr="002441D8">
              <w:t>or blasts plus promyelocytes &gt; 30%, with blasts alone &lt;30%</w:t>
            </w:r>
          </w:p>
        </w:tc>
      </w:tr>
      <w:tr w:rsidR="000E2B3F" w:rsidRPr="002441D8" w14:paraId="55FCB110" w14:textId="77777777" w:rsidTr="000E2B3F">
        <w:tc>
          <w:tcPr>
            <w:tcW w:w="3080" w:type="dxa"/>
          </w:tcPr>
          <w:p w14:paraId="4BBB0F33" w14:textId="77777777" w:rsidR="000E2B3F" w:rsidRPr="002441D8" w:rsidRDefault="000E2B3F" w:rsidP="000E2B3F">
            <w:pPr>
              <w:spacing w:line="240" w:lineRule="auto"/>
            </w:pPr>
            <w:r w:rsidRPr="002441D8">
              <w:t>Peripheral blood basophils</w:t>
            </w:r>
          </w:p>
        </w:tc>
        <w:tc>
          <w:tcPr>
            <w:tcW w:w="3081" w:type="dxa"/>
          </w:tcPr>
          <w:p w14:paraId="6242E573" w14:textId="77777777" w:rsidR="000E2B3F" w:rsidRPr="002441D8" w:rsidRDefault="000E2B3F" w:rsidP="000E2B3F">
            <w:pPr>
              <w:spacing w:line="240" w:lineRule="auto"/>
            </w:pPr>
            <w:r w:rsidRPr="002441D8">
              <w:t>≥ 20%</w:t>
            </w:r>
          </w:p>
        </w:tc>
        <w:tc>
          <w:tcPr>
            <w:tcW w:w="3081" w:type="dxa"/>
          </w:tcPr>
          <w:p w14:paraId="3B696962" w14:textId="77777777" w:rsidR="000E2B3F" w:rsidRPr="002441D8" w:rsidRDefault="000E2B3F" w:rsidP="000E2B3F">
            <w:pPr>
              <w:spacing w:line="240" w:lineRule="auto"/>
            </w:pPr>
            <w:r w:rsidRPr="002441D8">
              <w:t>≥ 20%</w:t>
            </w:r>
          </w:p>
        </w:tc>
      </w:tr>
      <w:tr w:rsidR="000E2B3F" w:rsidRPr="002441D8" w14:paraId="046BA1DF" w14:textId="77777777" w:rsidTr="000E2B3F">
        <w:tc>
          <w:tcPr>
            <w:tcW w:w="3080" w:type="dxa"/>
          </w:tcPr>
          <w:p w14:paraId="5A219232" w14:textId="77777777" w:rsidR="000E2B3F" w:rsidRPr="002441D8" w:rsidRDefault="000E2B3F" w:rsidP="000E2B3F">
            <w:pPr>
              <w:spacing w:line="240" w:lineRule="auto"/>
            </w:pPr>
            <w:r w:rsidRPr="002441D8">
              <w:t>Platelets</w:t>
            </w:r>
          </w:p>
        </w:tc>
        <w:tc>
          <w:tcPr>
            <w:tcW w:w="3081" w:type="dxa"/>
          </w:tcPr>
          <w:p w14:paraId="54F26AC5" w14:textId="77777777" w:rsidR="000E2B3F" w:rsidRPr="002441D8" w:rsidRDefault="000E2B3F" w:rsidP="000E2B3F">
            <w:pPr>
              <w:spacing w:line="240" w:lineRule="auto"/>
            </w:pPr>
            <w:r w:rsidRPr="002441D8">
              <w:t>&lt;100 x 10</w:t>
            </w:r>
            <w:r w:rsidRPr="002441D8">
              <w:rPr>
                <w:vertAlign w:val="superscript"/>
              </w:rPr>
              <w:t>9</w:t>
            </w:r>
            <w:r w:rsidRPr="002441D8">
              <w:t xml:space="preserve">/L not attributable to treatment, or platelets &gt;1000 uncontrolled on treatment </w:t>
            </w:r>
          </w:p>
        </w:tc>
        <w:tc>
          <w:tcPr>
            <w:tcW w:w="3081" w:type="dxa"/>
          </w:tcPr>
          <w:p w14:paraId="72F6E2E7" w14:textId="77777777" w:rsidR="000E2B3F" w:rsidRPr="002441D8" w:rsidRDefault="000E2B3F" w:rsidP="000E2B3F">
            <w:pPr>
              <w:spacing w:line="240" w:lineRule="auto"/>
            </w:pPr>
            <w:r w:rsidRPr="002441D8">
              <w:t>&lt;100 x 10</w:t>
            </w:r>
            <w:r w:rsidRPr="002441D8">
              <w:rPr>
                <w:vertAlign w:val="superscript"/>
              </w:rPr>
              <w:t>9</w:t>
            </w:r>
            <w:r w:rsidRPr="002441D8">
              <w:t>/L not attributable to treatment</w:t>
            </w:r>
          </w:p>
        </w:tc>
      </w:tr>
      <w:tr w:rsidR="000E2B3F" w:rsidRPr="002441D8" w14:paraId="64B8DCD1" w14:textId="77777777" w:rsidTr="000E2B3F">
        <w:tc>
          <w:tcPr>
            <w:tcW w:w="3080" w:type="dxa"/>
          </w:tcPr>
          <w:p w14:paraId="302D957F" w14:textId="77777777" w:rsidR="000E2B3F" w:rsidRPr="002441D8" w:rsidRDefault="000E2B3F" w:rsidP="000E2B3F">
            <w:pPr>
              <w:spacing w:line="240" w:lineRule="auto"/>
            </w:pPr>
            <w:r w:rsidRPr="002441D8">
              <w:t xml:space="preserve">Evidence of clonal evolution </w:t>
            </w:r>
          </w:p>
        </w:tc>
        <w:tc>
          <w:tcPr>
            <w:tcW w:w="3081" w:type="dxa"/>
          </w:tcPr>
          <w:p w14:paraId="5FCCE66D" w14:textId="77777777" w:rsidR="000E2B3F" w:rsidRPr="002441D8" w:rsidRDefault="000E2B3F" w:rsidP="000E2B3F">
            <w:pPr>
              <w:spacing w:line="240" w:lineRule="auto"/>
            </w:pPr>
            <w:r w:rsidRPr="002441D8">
              <w:t>Appearance of additional genetic abnormalities on treatment</w:t>
            </w:r>
          </w:p>
        </w:tc>
        <w:tc>
          <w:tcPr>
            <w:tcW w:w="3081" w:type="dxa"/>
          </w:tcPr>
          <w:p w14:paraId="52B0D3C4" w14:textId="77777777" w:rsidR="000E2B3F" w:rsidRPr="002441D8" w:rsidRDefault="000E2B3F" w:rsidP="000E2B3F">
            <w:pPr>
              <w:spacing w:line="240" w:lineRule="auto"/>
            </w:pPr>
            <w:r w:rsidRPr="002441D8">
              <w:t>Appearance of additional genetic abnormalities on treatment</w:t>
            </w:r>
          </w:p>
        </w:tc>
      </w:tr>
      <w:tr w:rsidR="000E2B3F" w:rsidRPr="002441D8" w14:paraId="2F4377D0" w14:textId="77777777" w:rsidTr="000E2B3F">
        <w:tc>
          <w:tcPr>
            <w:tcW w:w="3080" w:type="dxa"/>
          </w:tcPr>
          <w:p w14:paraId="22FC3D3B" w14:textId="77777777" w:rsidR="000E2B3F" w:rsidRPr="002441D8" w:rsidRDefault="000E2B3F" w:rsidP="000E2B3F">
            <w:pPr>
              <w:spacing w:line="240" w:lineRule="auto"/>
            </w:pPr>
            <w:r w:rsidRPr="002441D8">
              <w:t>White cell count and spleen size</w:t>
            </w:r>
          </w:p>
        </w:tc>
        <w:tc>
          <w:tcPr>
            <w:tcW w:w="3081" w:type="dxa"/>
          </w:tcPr>
          <w:p w14:paraId="41C5CB36" w14:textId="77777777" w:rsidR="000E2B3F" w:rsidRPr="002441D8" w:rsidRDefault="000E2B3F" w:rsidP="000E2B3F">
            <w:pPr>
              <w:spacing w:line="240" w:lineRule="auto"/>
            </w:pPr>
            <w:r w:rsidRPr="002441D8">
              <w:t>Increasing and uncontrolled on treatment</w:t>
            </w:r>
          </w:p>
        </w:tc>
        <w:tc>
          <w:tcPr>
            <w:tcW w:w="3081" w:type="dxa"/>
          </w:tcPr>
          <w:p w14:paraId="5C11BB18" w14:textId="77777777" w:rsidR="000E2B3F" w:rsidRPr="002441D8" w:rsidRDefault="000E2B3F" w:rsidP="000E2B3F">
            <w:pPr>
              <w:spacing w:line="240" w:lineRule="auto"/>
            </w:pPr>
            <w:r w:rsidRPr="002441D8">
              <w:t>Not included</w:t>
            </w:r>
          </w:p>
        </w:tc>
      </w:tr>
    </w:tbl>
    <w:p w14:paraId="4A583636" w14:textId="77777777" w:rsidR="000E2B3F" w:rsidRPr="002441D8" w:rsidRDefault="000E2B3F" w:rsidP="000E2B3F">
      <w:pPr>
        <w:spacing w:line="240" w:lineRule="auto"/>
        <w:rPr>
          <w:b/>
        </w:rPr>
      </w:pPr>
    </w:p>
    <w:p w14:paraId="352492AE" w14:textId="77777777" w:rsidR="000E2B3F" w:rsidRPr="002441D8" w:rsidRDefault="000E2B3F" w:rsidP="000E2B3F">
      <w:pPr>
        <w:spacing w:line="240" w:lineRule="auto"/>
      </w:pPr>
      <w:r w:rsidRPr="002441D8">
        <w:rPr>
          <w:b/>
        </w:rPr>
        <w:t>Table 1</w:t>
      </w:r>
      <w:r w:rsidRPr="002441D8">
        <w:t xml:space="preserve"> - Current defining characteristics of blast crisis and accelerated phase (by present classification systems: WHO World health organization, ELN European Leukaemia Network)</w:t>
      </w:r>
    </w:p>
    <w:p w14:paraId="571BE79D" w14:textId="77777777" w:rsidR="000E2B3F" w:rsidRPr="002441D8" w:rsidRDefault="000E2B3F" w:rsidP="000E2B3F">
      <w:pPr>
        <w:spacing w:line="240" w:lineRule="auto"/>
      </w:pPr>
    </w:p>
    <w:p w14:paraId="3737E99B" w14:textId="77777777" w:rsidR="000E2B3F" w:rsidRPr="002441D8" w:rsidRDefault="000E2B3F" w:rsidP="000E2B3F">
      <w:pPr>
        <w:spacing w:after="0" w:line="240" w:lineRule="auto"/>
        <w:rPr>
          <w:sz w:val="20"/>
          <w:szCs w:val="20"/>
        </w:rPr>
      </w:pPr>
      <w:r w:rsidRPr="002441D8">
        <w:rPr>
          <w:sz w:val="20"/>
          <w:szCs w:val="20"/>
        </w:rPr>
        <w:br w:type="page"/>
      </w:r>
    </w:p>
    <w:tbl>
      <w:tblPr>
        <w:tblStyle w:val="TableGrid"/>
        <w:tblW w:w="0" w:type="auto"/>
        <w:tblLook w:val="04A0" w:firstRow="1" w:lastRow="0" w:firstColumn="1" w:lastColumn="0" w:noHBand="0" w:noVBand="1"/>
      </w:tblPr>
      <w:tblGrid>
        <w:gridCol w:w="2235"/>
        <w:gridCol w:w="7007"/>
      </w:tblGrid>
      <w:tr w:rsidR="000E2B3F" w:rsidRPr="002441D8" w14:paraId="03EC0E09" w14:textId="77777777" w:rsidTr="000E2B3F">
        <w:tc>
          <w:tcPr>
            <w:tcW w:w="9242" w:type="dxa"/>
            <w:gridSpan w:val="2"/>
          </w:tcPr>
          <w:p w14:paraId="1CEE7ADC" w14:textId="77777777" w:rsidR="000E2B3F" w:rsidRPr="002441D8" w:rsidRDefault="000E2B3F" w:rsidP="000E2B3F">
            <w:pPr>
              <w:spacing w:line="240" w:lineRule="auto"/>
              <w:rPr>
                <w:b/>
              </w:rPr>
            </w:pPr>
            <w:r w:rsidRPr="002441D8">
              <w:rPr>
                <w:b/>
              </w:rPr>
              <w:lastRenderedPageBreak/>
              <w:t>Definitions</w:t>
            </w:r>
          </w:p>
        </w:tc>
      </w:tr>
      <w:tr w:rsidR="000E2B3F" w:rsidRPr="002441D8" w14:paraId="201665B4" w14:textId="77777777" w:rsidTr="000E2B3F">
        <w:tc>
          <w:tcPr>
            <w:tcW w:w="2235" w:type="dxa"/>
          </w:tcPr>
          <w:p w14:paraId="11E32705" w14:textId="77777777" w:rsidR="000E2B3F" w:rsidRPr="002441D8" w:rsidRDefault="000E2B3F" w:rsidP="000E2B3F">
            <w:pPr>
              <w:spacing w:line="240" w:lineRule="auto"/>
            </w:pPr>
            <w:r w:rsidRPr="002441D8">
              <w:t>Complete Haematological Response (CHR)</w:t>
            </w:r>
          </w:p>
        </w:tc>
        <w:tc>
          <w:tcPr>
            <w:tcW w:w="7007" w:type="dxa"/>
          </w:tcPr>
          <w:p w14:paraId="525CA3B0" w14:textId="77777777" w:rsidR="000E2B3F" w:rsidRPr="002441D8" w:rsidRDefault="000E2B3F" w:rsidP="000E2B3F">
            <w:pPr>
              <w:spacing w:line="240" w:lineRule="auto"/>
            </w:pPr>
            <w:r w:rsidRPr="002441D8">
              <w:t>WCC &lt; 10 x 10</w:t>
            </w:r>
            <w:r w:rsidRPr="002441D8">
              <w:rPr>
                <w:vertAlign w:val="superscript"/>
              </w:rPr>
              <w:t>9</w:t>
            </w:r>
            <w:r w:rsidRPr="002441D8">
              <w:t>/L</w:t>
            </w:r>
          </w:p>
          <w:p w14:paraId="47006B9B" w14:textId="77777777" w:rsidR="000E2B3F" w:rsidRPr="002441D8" w:rsidRDefault="000E2B3F" w:rsidP="000E2B3F">
            <w:pPr>
              <w:spacing w:line="240" w:lineRule="auto"/>
            </w:pPr>
            <w:r w:rsidRPr="002441D8">
              <w:t>Basophils &lt;5%</w:t>
            </w:r>
          </w:p>
          <w:p w14:paraId="762CFCE3" w14:textId="77777777" w:rsidR="000E2B3F" w:rsidRPr="002441D8" w:rsidRDefault="000E2B3F" w:rsidP="000E2B3F">
            <w:pPr>
              <w:spacing w:line="240" w:lineRule="auto"/>
            </w:pPr>
            <w:r w:rsidRPr="002441D8">
              <w:t>No Myelocytes, promyelocytes or myeloblasts in the differential count</w:t>
            </w:r>
          </w:p>
          <w:p w14:paraId="36EE79AA" w14:textId="77777777" w:rsidR="000E2B3F" w:rsidRPr="002441D8" w:rsidRDefault="000E2B3F" w:rsidP="000E2B3F">
            <w:pPr>
              <w:spacing w:line="240" w:lineRule="auto"/>
            </w:pPr>
            <w:r w:rsidRPr="002441D8">
              <w:t>Platelet count &lt; 450 x 10</w:t>
            </w:r>
            <w:r w:rsidRPr="002441D8">
              <w:rPr>
                <w:vertAlign w:val="superscript"/>
              </w:rPr>
              <w:t>9</w:t>
            </w:r>
            <w:r w:rsidRPr="002441D8">
              <w:t>/L</w:t>
            </w:r>
          </w:p>
          <w:p w14:paraId="75BE497E" w14:textId="77777777" w:rsidR="000E2B3F" w:rsidRPr="002441D8" w:rsidRDefault="000E2B3F" w:rsidP="000E2B3F">
            <w:pPr>
              <w:spacing w:line="240" w:lineRule="auto"/>
            </w:pPr>
            <w:r w:rsidRPr="002441D8">
              <w:t>Non-palpable spleen</w:t>
            </w:r>
          </w:p>
        </w:tc>
      </w:tr>
      <w:tr w:rsidR="000E2B3F" w:rsidRPr="002441D8" w14:paraId="339A0ED1" w14:textId="77777777" w:rsidTr="000E2B3F">
        <w:tc>
          <w:tcPr>
            <w:tcW w:w="2235" w:type="dxa"/>
          </w:tcPr>
          <w:p w14:paraId="164878D8" w14:textId="77777777" w:rsidR="000E2B3F" w:rsidRPr="002441D8" w:rsidRDefault="000E2B3F" w:rsidP="000E2B3F">
            <w:pPr>
              <w:spacing w:line="240" w:lineRule="auto"/>
            </w:pPr>
            <w:r w:rsidRPr="002441D8">
              <w:t>Complete Cytogenetic Response (CCyR)</w:t>
            </w:r>
          </w:p>
        </w:tc>
        <w:tc>
          <w:tcPr>
            <w:tcW w:w="7007" w:type="dxa"/>
          </w:tcPr>
          <w:p w14:paraId="7550B0C3" w14:textId="77777777" w:rsidR="000E2B3F" w:rsidRPr="002441D8" w:rsidRDefault="000E2B3F" w:rsidP="000E2B3F">
            <w:pPr>
              <w:spacing w:line="240" w:lineRule="auto"/>
            </w:pPr>
            <w:r w:rsidRPr="002441D8">
              <w:t xml:space="preserve">No detectable Ph+ cells measured by conventional cytogenetic testing (examination of a minimum of 20 metaphase by G-banding) or FISH analysis (examination of a minimum of 200 nuclei). </w:t>
            </w:r>
          </w:p>
        </w:tc>
      </w:tr>
      <w:tr w:rsidR="000E2B3F" w:rsidRPr="002441D8" w14:paraId="0C4263BE" w14:textId="77777777" w:rsidTr="000E2B3F">
        <w:tc>
          <w:tcPr>
            <w:tcW w:w="2235" w:type="dxa"/>
          </w:tcPr>
          <w:p w14:paraId="38374A02" w14:textId="77777777" w:rsidR="000E2B3F" w:rsidRPr="002441D8" w:rsidRDefault="000E2B3F" w:rsidP="000E2B3F">
            <w:pPr>
              <w:spacing w:line="240" w:lineRule="auto"/>
            </w:pPr>
            <w:r w:rsidRPr="002441D8">
              <w:t>Partial Cytogenetic Response (PCyR)</w:t>
            </w:r>
          </w:p>
        </w:tc>
        <w:tc>
          <w:tcPr>
            <w:tcW w:w="7007" w:type="dxa"/>
          </w:tcPr>
          <w:p w14:paraId="3C1EFFA6" w14:textId="77777777" w:rsidR="000E2B3F" w:rsidRPr="002441D8" w:rsidRDefault="000E2B3F" w:rsidP="000E2B3F">
            <w:pPr>
              <w:spacing w:line="240" w:lineRule="auto"/>
            </w:pPr>
            <w:r w:rsidRPr="002441D8">
              <w:t xml:space="preserve">1-35% Ph+ cells measured by conventional cytogenetic testing (G-banding) or FISH analysis  </w:t>
            </w:r>
          </w:p>
        </w:tc>
      </w:tr>
      <w:tr w:rsidR="000E2B3F" w:rsidRPr="002441D8" w14:paraId="0FF8872B" w14:textId="77777777" w:rsidTr="000E2B3F">
        <w:tc>
          <w:tcPr>
            <w:tcW w:w="2235" w:type="dxa"/>
          </w:tcPr>
          <w:p w14:paraId="69F91ABB" w14:textId="77777777" w:rsidR="000E2B3F" w:rsidRPr="002441D8" w:rsidRDefault="000E2B3F" w:rsidP="000E2B3F">
            <w:pPr>
              <w:spacing w:line="240" w:lineRule="auto"/>
            </w:pPr>
            <w:r w:rsidRPr="002441D8">
              <w:t>Major Molecular Remission (MMR)</w:t>
            </w:r>
          </w:p>
        </w:tc>
        <w:tc>
          <w:tcPr>
            <w:tcW w:w="7007" w:type="dxa"/>
          </w:tcPr>
          <w:p w14:paraId="1483664E" w14:textId="77777777" w:rsidR="000E2B3F" w:rsidRPr="002441D8" w:rsidRDefault="000E2B3F" w:rsidP="000E2B3F">
            <w:pPr>
              <w:spacing w:line="240" w:lineRule="auto"/>
            </w:pPr>
            <w:r w:rsidRPr="002441D8">
              <w:t>BCR-ABL1 ≤ 0.1% (3 log reduction in tumour load, measured )</w:t>
            </w:r>
          </w:p>
        </w:tc>
      </w:tr>
    </w:tbl>
    <w:p w14:paraId="4C664560" w14:textId="77777777" w:rsidR="000E2B3F" w:rsidRPr="002441D8" w:rsidRDefault="000E2B3F" w:rsidP="000E2B3F">
      <w:pPr>
        <w:spacing w:line="240" w:lineRule="auto"/>
      </w:pPr>
    </w:p>
    <w:tbl>
      <w:tblPr>
        <w:tblStyle w:val="TableGrid"/>
        <w:tblW w:w="0" w:type="auto"/>
        <w:tblLook w:val="04A0" w:firstRow="1" w:lastRow="0" w:firstColumn="1" w:lastColumn="0" w:noHBand="0" w:noVBand="1"/>
      </w:tblPr>
      <w:tblGrid>
        <w:gridCol w:w="1526"/>
        <w:gridCol w:w="2551"/>
        <w:gridCol w:w="2694"/>
        <w:gridCol w:w="2471"/>
      </w:tblGrid>
      <w:tr w:rsidR="000E2B3F" w:rsidRPr="002441D8" w14:paraId="7EB91193" w14:textId="77777777" w:rsidTr="000E2B3F">
        <w:tc>
          <w:tcPr>
            <w:tcW w:w="1526" w:type="dxa"/>
          </w:tcPr>
          <w:p w14:paraId="0A805C07" w14:textId="77777777" w:rsidR="000E2B3F" w:rsidRPr="002441D8" w:rsidRDefault="000E2B3F" w:rsidP="000E2B3F">
            <w:pPr>
              <w:spacing w:line="240" w:lineRule="auto"/>
              <w:rPr>
                <w:b/>
              </w:rPr>
            </w:pPr>
          </w:p>
        </w:tc>
        <w:tc>
          <w:tcPr>
            <w:tcW w:w="2551" w:type="dxa"/>
          </w:tcPr>
          <w:p w14:paraId="79573E73" w14:textId="77777777" w:rsidR="000E2B3F" w:rsidRPr="002441D8" w:rsidRDefault="000E2B3F" w:rsidP="000E2B3F">
            <w:pPr>
              <w:spacing w:line="240" w:lineRule="auto"/>
              <w:rPr>
                <w:b/>
              </w:rPr>
            </w:pPr>
            <w:r w:rsidRPr="002441D8">
              <w:rPr>
                <w:b/>
              </w:rPr>
              <w:t>Optimal</w:t>
            </w:r>
          </w:p>
        </w:tc>
        <w:tc>
          <w:tcPr>
            <w:tcW w:w="2694" w:type="dxa"/>
          </w:tcPr>
          <w:p w14:paraId="2303ADAD" w14:textId="77777777" w:rsidR="000E2B3F" w:rsidRPr="002441D8" w:rsidRDefault="000E2B3F" w:rsidP="000E2B3F">
            <w:pPr>
              <w:spacing w:line="240" w:lineRule="auto"/>
              <w:rPr>
                <w:b/>
              </w:rPr>
            </w:pPr>
            <w:r w:rsidRPr="002441D8">
              <w:rPr>
                <w:b/>
              </w:rPr>
              <w:t>Warning</w:t>
            </w:r>
          </w:p>
        </w:tc>
        <w:tc>
          <w:tcPr>
            <w:tcW w:w="2471" w:type="dxa"/>
          </w:tcPr>
          <w:p w14:paraId="5F2A8EE7" w14:textId="77777777" w:rsidR="000E2B3F" w:rsidRPr="002441D8" w:rsidRDefault="000E2B3F" w:rsidP="000E2B3F">
            <w:pPr>
              <w:spacing w:line="240" w:lineRule="auto"/>
              <w:rPr>
                <w:b/>
              </w:rPr>
            </w:pPr>
            <w:r w:rsidRPr="002441D8">
              <w:rPr>
                <w:b/>
              </w:rPr>
              <w:t>Failure</w:t>
            </w:r>
          </w:p>
        </w:tc>
      </w:tr>
      <w:tr w:rsidR="000E2B3F" w:rsidRPr="002441D8" w14:paraId="204FCE1D" w14:textId="77777777" w:rsidTr="000E2B3F">
        <w:tc>
          <w:tcPr>
            <w:tcW w:w="1526" w:type="dxa"/>
          </w:tcPr>
          <w:p w14:paraId="1CE4368E" w14:textId="77777777" w:rsidR="000E2B3F" w:rsidRPr="002441D8" w:rsidRDefault="000E2B3F" w:rsidP="000E2B3F">
            <w:pPr>
              <w:spacing w:line="240" w:lineRule="auto"/>
              <w:rPr>
                <w:b/>
              </w:rPr>
            </w:pPr>
            <w:r w:rsidRPr="002441D8">
              <w:rPr>
                <w:b/>
              </w:rPr>
              <w:t>Baseline</w:t>
            </w:r>
          </w:p>
        </w:tc>
        <w:tc>
          <w:tcPr>
            <w:tcW w:w="2551" w:type="dxa"/>
          </w:tcPr>
          <w:p w14:paraId="7A0DACB1" w14:textId="77777777" w:rsidR="000E2B3F" w:rsidRPr="002441D8" w:rsidRDefault="000E2B3F" w:rsidP="000E2B3F">
            <w:pPr>
              <w:spacing w:line="240" w:lineRule="auto"/>
            </w:pPr>
            <w:r w:rsidRPr="002441D8">
              <w:t>NA</w:t>
            </w:r>
          </w:p>
        </w:tc>
        <w:tc>
          <w:tcPr>
            <w:tcW w:w="2694" w:type="dxa"/>
          </w:tcPr>
          <w:p w14:paraId="79A6EA99" w14:textId="77777777" w:rsidR="000E2B3F" w:rsidRPr="002441D8" w:rsidRDefault="000E2B3F" w:rsidP="000E2B3F">
            <w:pPr>
              <w:spacing w:line="240" w:lineRule="auto"/>
            </w:pPr>
            <w:r w:rsidRPr="002441D8">
              <w:t>High risk or Clonal chromosomal abnormalities in Ph + cells</w:t>
            </w:r>
          </w:p>
        </w:tc>
        <w:tc>
          <w:tcPr>
            <w:tcW w:w="2471" w:type="dxa"/>
          </w:tcPr>
          <w:p w14:paraId="1382E9CB" w14:textId="77777777" w:rsidR="000E2B3F" w:rsidRPr="002441D8" w:rsidRDefault="000E2B3F" w:rsidP="000E2B3F">
            <w:pPr>
              <w:spacing w:line="240" w:lineRule="auto"/>
            </w:pPr>
            <w:r w:rsidRPr="002441D8">
              <w:t>NA</w:t>
            </w:r>
          </w:p>
        </w:tc>
      </w:tr>
      <w:tr w:rsidR="000E2B3F" w:rsidRPr="002441D8" w14:paraId="19099585" w14:textId="77777777" w:rsidTr="000E2B3F">
        <w:tc>
          <w:tcPr>
            <w:tcW w:w="1526" w:type="dxa"/>
          </w:tcPr>
          <w:p w14:paraId="30A2FF4F" w14:textId="77777777" w:rsidR="000E2B3F" w:rsidRPr="002441D8" w:rsidRDefault="000E2B3F" w:rsidP="000E2B3F">
            <w:pPr>
              <w:spacing w:line="240" w:lineRule="auto"/>
              <w:rPr>
                <w:b/>
              </w:rPr>
            </w:pPr>
            <w:r w:rsidRPr="002441D8">
              <w:rPr>
                <w:b/>
              </w:rPr>
              <w:t>3 Months</w:t>
            </w:r>
          </w:p>
        </w:tc>
        <w:tc>
          <w:tcPr>
            <w:tcW w:w="2551" w:type="dxa"/>
          </w:tcPr>
          <w:p w14:paraId="78294C31" w14:textId="77777777" w:rsidR="000E2B3F" w:rsidRPr="002441D8" w:rsidRDefault="000E2B3F" w:rsidP="000E2B3F">
            <w:pPr>
              <w:spacing w:line="240" w:lineRule="auto"/>
            </w:pPr>
            <w:r w:rsidRPr="002441D8">
              <w:t xml:space="preserve">BCR-ABL1 ≤ 10% and/or </w:t>
            </w:r>
          </w:p>
          <w:p w14:paraId="635CF37A" w14:textId="77777777" w:rsidR="000E2B3F" w:rsidRPr="002441D8" w:rsidRDefault="000E2B3F" w:rsidP="000E2B3F">
            <w:pPr>
              <w:spacing w:line="240" w:lineRule="auto"/>
            </w:pPr>
            <w:r w:rsidRPr="002441D8">
              <w:t>PCyR  (Ph+ ≤ 35%)</w:t>
            </w:r>
          </w:p>
        </w:tc>
        <w:tc>
          <w:tcPr>
            <w:tcW w:w="2694" w:type="dxa"/>
          </w:tcPr>
          <w:p w14:paraId="7FF57CF0" w14:textId="77777777" w:rsidR="000E2B3F" w:rsidRPr="002441D8" w:rsidRDefault="000E2B3F" w:rsidP="000E2B3F">
            <w:pPr>
              <w:spacing w:line="240" w:lineRule="auto"/>
            </w:pPr>
            <w:r w:rsidRPr="002441D8">
              <w:t xml:space="preserve">BCR-ABL1 ≥ 10% and/or </w:t>
            </w:r>
          </w:p>
          <w:p w14:paraId="07C6F96E" w14:textId="77777777" w:rsidR="000E2B3F" w:rsidRPr="002441D8" w:rsidRDefault="000E2B3F" w:rsidP="000E2B3F">
            <w:pPr>
              <w:spacing w:line="240" w:lineRule="auto"/>
            </w:pPr>
            <w:r w:rsidRPr="002441D8">
              <w:t>Ph+ 36-95%</w:t>
            </w:r>
          </w:p>
        </w:tc>
        <w:tc>
          <w:tcPr>
            <w:tcW w:w="2471" w:type="dxa"/>
          </w:tcPr>
          <w:p w14:paraId="775B9659" w14:textId="77777777" w:rsidR="000E2B3F" w:rsidRPr="002441D8" w:rsidRDefault="000E2B3F" w:rsidP="000E2B3F">
            <w:pPr>
              <w:spacing w:line="240" w:lineRule="auto"/>
            </w:pPr>
            <w:r w:rsidRPr="002441D8">
              <w:t xml:space="preserve">Non-CHR and/or </w:t>
            </w:r>
          </w:p>
          <w:p w14:paraId="0FA3C6AD" w14:textId="77777777" w:rsidR="000E2B3F" w:rsidRPr="002441D8" w:rsidRDefault="000E2B3F" w:rsidP="000E2B3F">
            <w:pPr>
              <w:spacing w:line="240" w:lineRule="auto"/>
            </w:pPr>
            <w:r w:rsidRPr="002441D8">
              <w:t>Ph+ ≥ 95%</w:t>
            </w:r>
          </w:p>
        </w:tc>
      </w:tr>
      <w:tr w:rsidR="000E2B3F" w:rsidRPr="002441D8" w14:paraId="67D47B37" w14:textId="77777777" w:rsidTr="000E2B3F">
        <w:tc>
          <w:tcPr>
            <w:tcW w:w="1526" w:type="dxa"/>
          </w:tcPr>
          <w:p w14:paraId="1FB9CB69" w14:textId="77777777" w:rsidR="000E2B3F" w:rsidRPr="002441D8" w:rsidRDefault="000E2B3F" w:rsidP="000E2B3F">
            <w:pPr>
              <w:spacing w:line="240" w:lineRule="auto"/>
              <w:rPr>
                <w:b/>
              </w:rPr>
            </w:pPr>
            <w:r w:rsidRPr="002441D8">
              <w:rPr>
                <w:b/>
              </w:rPr>
              <w:t>6 months</w:t>
            </w:r>
          </w:p>
        </w:tc>
        <w:tc>
          <w:tcPr>
            <w:tcW w:w="2551" w:type="dxa"/>
          </w:tcPr>
          <w:p w14:paraId="35BD488C" w14:textId="77777777" w:rsidR="000E2B3F" w:rsidRPr="002441D8" w:rsidRDefault="000E2B3F" w:rsidP="000E2B3F">
            <w:pPr>
              <w:spacing w:line="240" w:lineRule="auto"/>
            </w:pPr>
            <w:r w:rsidRPr="002441D8">
              <w:t xml:space="preserve">BCR-ABL1 ≤ 1% and/or </w:t>
            </w:r>
          </w:p>
          <w:p w14:paraId="3994EEB0" w14:textId="77777777" w:rsidR="000E2B3F" w:rsidRPr="002441D8" w:rsidRDefault="000E2B3F" w:rsidP="000E2B3F">
            <w:pPr>
              <w:spacing w:line="240" w:lineRule="auto"/>
            </w:pPr>
            <w:r w:rsidRPr="002441D8">
              <w:t>CCyR (Ph+ 0%)</w:t>
            </w:r>
          </w:p>
        </w:tc>
        <w:tc>
          <w:tcPr>
            <w:tcW w:w="2694" w:type="dxa"/>
          </w:tcPr>
          <w:p w14:paraId="2195A8E3" w14:textId="77777777" w:rsidR="000E2B3F" w:rsidRPr="002441D8" w:rsidRDefault="000E2B3F" w:rsidP="000E2B3F">
            <w:pPr>
              <w:spacing w:line="240" w:lineRule="auto"/>
            </w:pPr>
            <w:r w:rsidRPr="002441D8">
              <w:t>BCR-ABL1 1-10% and/or</w:t>
            </w:r>
          </w:p>
          <w:p w14:paraId="057CC2DE" w14:textId="77777777" w:rsidR="000E2B3F" w:rsidRPr="002441D8" w:rsidRDefault="000E2B3F" w:rsidP="000E2B3F">
            <w:pPr>
              <w:spacing w:line="240" w:lineRule="auto"/>
            </w:pPr>
            <w:r w:rsidRPr="002441D8">
              <w:t>Ph+ 1-35%</w:t>
            </w:r>
          </w:p>
        </w:tc>
        <w:tc>
          <w:tcPr>
            <w:tcW w:w="2471" w:type="dxa"/>
          </w:tcPr>
          <w:p w14:paraId="1E4C6D2E" w14:textId="77777777" w:rsidR="000E2B3F" w:rsidRPr="002441D8" w:rsidRDefault="000E2B3F" w:rsidP="000E2B3F">
            <w:pPr>
              <w:spacing w:line="240" w:lineRule="auto"/>
            </w:pPr>
            <w:r w:rsidRPr="002441D8">
              <w:t xml:space="preserve">BCR-ABL1 ≥ 10% and/or </w:t>
            </w:r>
          </w:p>
          <w:p w14:paraId="75054FD4" w14:textId="77777777" w:rsidR="000E2B3F" w:rsidRPr="002441D8" w:rsidRDefault="000E2B3F" w:rsidP="000E2B3F">
            <w:pPr>
              <w:spacing w:line="240" w:lineRule="auto"/>
            </w:pPr>
            <w:r w:rsidRPr="002441D8">
              <w:t>Ph+ ≥35%</w:t>
            </w:r>
          </w:p>
        </w:tc>
      </w:tr>
      <w:tr w:rsidR="000E2B3F" w:rsidRPr="002441D8" w14:paraId="4A03AC7A" w14:textId="77777777" w:rsidTr="000E2B3F">
        <w:tc>
          <w:tcPr>
            <w:tcW w:w="1526" w:type="dxa"/>
          </w:tcPr>
          <w:p w14:paraId="5D87C8EA" w14:textId="77777777" w:rsidR="000E2B3F" w:rsidRPr="002441D8" w:rsidRDefault="000E2B3F" w:rsidP="000E2B3F">
            <w:pPr>
              <w:spacing w:line="240" w:lineRule="auto"/>
              <w:rPr>
                <w:b/>
              </w:rPr>
            </w:pPr>
            <w:r w:rsidRPr="002441D8">
              <w:rPr>
                <w:b/>
              </w:rPr>
              <w:t>12 Months</w:t>
            </w:r>
          </w:p>
        </w:tc>
        <w:tc>
          <w:tcPr>
            <w:tcW w:w="2551" w:type="dxa"/>
          </w:tcPr>
          <w:p w14:paraId="3D33B457" w14:textId="77777777" w:rsidR="000E2B3F" w:rsidRPr="002441D8" w:rsidRDefault="000E2B3F" w:rsidP="000E2B3F">
            <w:pPr>
              <w:spacing w:line="240" w:lineRule="auto"/>
            </w:pPr>
            <w:r w:rsidRPr="002441D8">
              <w:t>BCR-ABL ≤ 0.1%</w:t>
            </w:r>
          </w:p>
        </w:tc>
        <w:tc>
          <w:tcPr>
            <w:tcW w:w="2694" w:type="dxa"/>
          </w:tcPr>
          <w:p w14:paraId="039A46B3" w14:textId="77777777" w:rsidR="000E2B3F" w:rsidRPr="002441D8" w:rsidRDefault="000E2B3F" w:rsidP="000E2B3F">
            <w:pPr>
              <w:spacing w:line="240" w:lineRule="auto"/>
            </w:pPr>
            <w:r w:rsidRPr="002441D8">
              <w:t>BCR-ABL ˃0.1-1%</w:t>
            </w:r>
          </w:p>
        </w:tc>
        <w:tc>
          <w:tcPr>
            <w:tcW w:w="2471" w:type="dxa"/>
          </w:tcPr>
          <w:p w14:paraId="5096F361" w14:textId="77777777" w:rsidR="000E2B3F" w:rsidRPr="002441D8" w:rsidRDefault="000E2B3F" w:rsidP="000E2B3F">
            <w:pPr>
              <w:spacing w:line="240" w:lineRule="auto"/>
            </w:pPr>
            <w:r w:rsidRPr="002441D8">
              <w:t>BCR-ABL ˃1%</w:t>
            </w:r>
          </w:p>
        </w:tc>
      </w:tr>
      <w:tr w:rsidR="000E2B3F" w:rsidRPr="002441D8" w14:paraId="4C39CFA7" w14:textId="77777777" w:rsidTr="000E2B3F">
        <w:tc>
          <w:tcPr>
            <w:tcW w:w="1526" w:type="dxa"/>
          </w:tcPr>
          <w:p w14:paraId="09FC8ECD" w14:textId="77777777" w:rsidR="000E2B3F" w:rsidRPr="002441D8" w:rsidRDefault="000E2B3F" w:rsidP="000E2B3F">
            <w:pPr>
              <w:spacing w:line="240" w:lineRule="auto"/>
              <w:rPr>
                <w:b/>
              </w:rPr>
            </w:pPr>
            <w:r w:rsidRPr="002441D8">
              <w:rPr>
                <w:b/>
              </w:rPr>
              <w:t>Then, and at any time</w:t>
            </w:r>
          </w:p>
        </w:tc>
        <w:tc>
          <w:tcPr>
            <w:tcW w:w="2551" w:type="dxa"/>
          </w:tcPr>
          <w:p w14:paraId="38FF1714" w14:textId="77777777" w:rsidR="000E2B3F" w:rsidRPr="002441D8" w:rsidRDefault="000E2B3F" w:rsidP="000E2B3F">
            <w:pPr>
              <w:spacing w:line="240" w:lineRule="auto"/>
            </w:pPr>
            <w:r w:rsidRPr="002441D8">
              <w:t>BCR-ABL ≤ 0.1%</w:t>
            </w:r>
          </w:p>
        </w:tc>
        <w:tc>
          <w:tcPr>
            <w:tcW w:w="2694" w:type="dxa"/>
          </w:tcPr>
          <w:p w14:paraId="2D25347B" w14:textId="77777777" w:rsidR="000E2B3F" w:rsidRPr="002441D8" w:rsidRDefault="000E2B3F" w:rsidP="000E2B3F">
            <w:pPr>
              <w:spacing w:line="240" w:lineRule="auto"/>
            </w:pPr>
            <w:r w:rsidRPr="002441D8">
              <w:t>Clonal chromosomal abnormalities in Ph- cells (monosomy 7 or 7q-)</w:t>
            </w:r>
          </w:p>
        </w:tc>
        <w:tc>
          <w:tcPr>
            <w:tcW w:w="2471" w:type="dxa"/>
          </w:tcPr>
          <w:p w14:paraId="075B20D6" w14:textId="77777777" w:rsidR="000E2B3F" w:rsidRPr="002441D8" w:rsidRDefault="000E2B3F" w:rsidP="000E2B3F">
            <w:pPr>
              <w:spacing w:line="240" w:lineRule="auto"/>
            </w:pPr>
            <w:r w:rsidRPr="002441D8">
              <w:t>Loss of CHR</w:t>
            </w:r>
          </w:p>
          <w:p w14:paraId="4E077687" w14:textId="77777777" w:rsidR="000E2B3F" w:rsidRPr="002441D8" w:rsidRDefault="000E2B3F" w:rsidP="000E2B3F">
            <w:pPr>
              <w:spacing w:line="240" w:lineRule="auto"/>
            </w:pPr>
            <w:r w:rsidRPr="002441D8">
              <w:t>Loss of CCyR</w:t>
            </w:r>
          </w:p>
          <w:p w14:paraId="0F5AE925" w14:textId="77777777" w:rsidR="000E2B3F" w:rsidRPr="002441D8" w:rsidRDefault="000E2B3F" w:rsidP="000E2B3F">
            <w:pPr>
              <w:spacing w:line="240" w:lineRule="auto"/>
            </w:pPr>
            <w:r w:rsidRPr="002441D8">
              <w:t>Confirmed loss of MMR</w:t>
            </w:r>
          </w:p>
          <w:p w14:paraId="2DAEEA96" w14:textId="77777777" w:rsidR="000E2B3F" w:rsidRPr="002441D8" w:rsidRDefault="000E2B3F" w:rsidP="000E2B3F">
            <w:pPr>
              <w:spacing w:line="240" w:lineRule="auto"/>
            </w:pPr>
            <w:r w:rsidRPr="002441D8">
              <w:t>Mutations</w:t>
            </w:r>
          </w:p>
          <w:p w14:paraId="2A6A5489" w14:textId="77777777" w:rsidR="000E2B3F" w:rsidRPr="002441D8" w:rsidRDefault="000E2B3F" w:rsidP="000E2B3F">
            <w:pPr>
              <w:spacing w:line="240" w:lineRule="auto"/>
            </w:pPr>
            <w:r w:rsidRPr="002441D8">
              <w:t>Clonal chromosomal abnormalities in Ph + cells</w:t>
            </w:r>
          </w:p>
        </w:tc>
      </w:tr>
    </w:tbl>
    <w:p w14:paraId="60E0293C" w14:textId="77777777" w:rsidR="000E2B3F" w:rsidRPr="002441D8" w:rsidRDefault="000E2B3F" w:rsidP="000E2B3F">
      <w:pPr>
        <w:spacing w:line="240" w:lineRule="auto"/>
      </w:pPr>
    </w:p>
    <w:p w14:paraId="129ACE66" w14:textId="3A6FE057" w:rsidR="000E2B3F" w:rsidRPr="002441D8" w:rsidRDefault="000E2B3F" w:rsidP="000E2B3F">
      <w:pPr>
        <w:spacing w:line="240" w:lineRule="auto"/>
      </w:pPr>
      <w:r w:rsidRPr="002441D8">
        <w:rPr>
          <w:b/>
        </w:rPr>
        <w:t>Table 2</w:t>
      </w:r>
      <w:r w:rsidRPr="002441D8">
        <w:t xml:space="preserve"> – Definitions and response categories adapted from the current ELN guideline</w:t>
      </w:r>
      <w:r w:rsidRPr="002441D8">
        <w:rPr>
          <w:vertAlign w:val="superscript"/>
        </w:rPr>
        <w:t>17</w:t>
      </w:r>
      <w:r w:rsidRPr="002441D8">
        <w:t xml:space="preserve">. NA not applicable, Ph + Philadelphia positive, Ph – Philadelphia negative. </w:t>
      </w:r>
    </w:p>
    <w:tbl>
      <w:tblPr>
        <w:tblStyle w:val="TableGrid"/>
        <w:tblW w:w="0" w:type="auto"/>
        <w:tblLook w:val="04A0" w:firstRow="1" w:lastRow="0" w:firstColumn="1" w:lastColumn="0" w:noHBand="0" w:noVBand="1"/>
      </w:tblPr>
      <w:tblGrid>
        <w:gridCol w:w="2235"/>
        <w:gridCol w:w="2835"/>
        <w:gridCol w:w="720"/>
      </w:tblGrid>
      <w:tr w:rsidR="000E2B3F" w:rsidRPr="002441D8" w14:paraId="390EA713" w14:textId="77777777" w:rsidTr="000E2B3F">
        <w:tc>
          <w:tcPr>
            <w:tcW w:w="2235" w:type="dxa"/>
          </w:tcPr>
          <w:p w14:paraId="78F99F76" w14:textId="77777777" w:rsidR="000E2B3F" w:rsidRPr="002441D8" w:rsidRDefault="000E2B3F" w:rsidP="000E2B3F">
            <w:pPr>
              <w:rPr>
                <w:rFonts w:ascii="Calibri" w:hAnsi="Calibri"/>
                <w:b/>
              </w:rPr>
            </w:pPr>
            <w:r w:rsidRPr="002441D8">
              <w:rPr>
                <w:rFonts w:ascii="Calibri" w:hAnsi="Calibri"/>
                <w:b/>
              </w:rPr>
              <w:lastRenderedPageBreak/>
              <w:t>Risk factor</w:t>
            </w:r>
          </w:p>
        </w:tc>
        <w:tc>
          <w:tcPr>
            <w:tcW w:w="2835" w:type="dxa"/>
          </w:tcPr>
          <w:p w14:paraId="1B675D77" w14:textId="77777777" w:rsidR="000E2B3F" w:rsidRPr="002441D8" w:rsidRDefault="000E2B3F" w:rsidP="000E2B3F">
            <w:pPr>
              <w:rPr>
                <w:rFonts w:ascii="Calibri" w:hAnsi="Calibri"/>
                <w:b/>
              </w:rPr>
            </w:pPr>
            <w:r w:rsidRPr="002441D8">
              <w:rPr>
                <w:rFonts w:ascii="Calibri" w:hAnsi="Calibri"/>
                <w:b/>
              </w:rPr>
              <w:t>Category</w:t>
            </w:r>
          </w:p>
        </w:tc>
        <w:tc>
          <w:tcPr>
            <w:tcW w:w="713" w:type="dxa"/>
          </w:tcPr>
          <w:p w14:paraId="677971C6" w14:textId="77777777" w:rsidR="000E2B3F" w:rsidRPr="002441D8" w:rsidRDefault="000E2B3F" w:rsidP="000E2B3F">
            <w:pPr>
              <w:rPr>
                <w:rFonts w:ascii="Calibri" w:hAnsi="Calibri"/>
                <w:b/>
              </w:rPr>
            </w:pPr>
            <w:r w:rsidRPr="002441D8">
              <w:rPr>
                <w:rFonts w:ascii="Calibri" w:hAnsi="Calibri"/>
                <w:b/>
              </w:rPr>
              <w:t>Score</w:t>
            </w:r>
          </w:p>
        </w:tc>
      </w:tr>
      <w:tr w:rsidR="000E2B3F" w:rsidRPr="002441D8" w14:paraId="49AB7888" w14:textId="77777777" w:rsidTr="000E2B3F">
        <w:tc>
          <w:tcPr>
            <w:tcW w:w="2235" w:type="dxa"/>
            <w:vMerge w:val="restart"/>
          </w:tcPr>
          <w:p w14:paraId="022C5E32" w14:textId="77777777" w:rsidR="000E2B3F" w:rsidRPr="002441D8" w:rsidRDefault="000E2B3F" w:rsidP="000E2B3F">
            <w:pPr>
              <w:rPr>
                <w:rFonts w:ascii="Calibri" w:hAnsi="Calibri"/>
              </w:rPr>
            </w:pPr>
            <w:r w:rsidRPr="002441D8">
              <w:rPr>
                <w:rFonts w:ascii="Calibri" w:hAnsi="Calibri"/>
              </w:rPr>
              <w:t>Donor type</w:t>
            </w:r>
          </w:p>
        </w:tc>
        <w:tc>
          <w:tcPr>
            <w:tcW w:w="2835" w:type="dxa"/>
          </w:tcPr>
          <w:p w14:paraId="7B2652EB" w14:textId="77777777" w:rsidR="000E2B3F" w:rsidRPr="002441D8" w:rsidRDefault="000E2B3F" w:rsidP="000E2B3F">
            <w:pPr>
              <w:rPr>
                <w:rFonts w:ascii="Calibri" w:hAnsi="Calibri"/>
              </w:rPr>
            </w:pPr>
            <w:r w:rsidRPr="002441D8">
              <w:rPr>
                <w:rFonts w:ascii="Calibri" w:hAnsi="Calibri"/>
              </w:rPr>
              <w:t>HLA-identical sibling</w:t>
            </w:r>
          </w:p>
        </w:tc>
        <w:tc>
          <w:tcPr>
            <w:tcW w:w="713" w:type="dxa"/>
          </w:tcPr>
          <w:p w14:paraId="0847E867" w14:textId="77777777" w:rsidR="000E2B3F" w:rsidRPr="002441D8" w:rsidRDefault="000E2B3F" w:rsidP="000E2B3F">
            <w:pPr>
              <w:rPr>
                <w:rFonts w:ascii="Calibri" w:hAnsi="Calibri"/>
              </w:rPr>
            </w:pPr>
            <w:r w:rsidRPr="002441D8">
              <w:rPr>
                <w:rFonts w:ascii="Calibri" w:hAnsi="Calibri"/>
              </w:rPr>
              <w:t>0</w:t>
            </w:r>
          </w:p>
        </w:tc>
      </w:tr>
      <w:tr w:rsidR="000E2B3F" w:rsidRPr="002441D8" w14:paraId="3AC1D3D0" w14:textId="77777777" w:rsidTr="000E2B3F">
        <w:tc>
          <w:tcPr>
            <w:tcW w:w="2235" w:type="dxa"/>
            <w:vMerge/>
          </w:tcPr>
          <w:p w14:paraId="523BCD53" w14:textId="77777777" w:rsidR="000E2B3F" w:rsidRPr="002441D8" w:rsidRDefault="000E2B3F" w:rsidP="000E2B3F">
            <w:pPr>
              <w:rPr>
                <w:rFonts w:ascii="Calibri" w:hAnsi="Calibri"/>
              </w:rPr>
            </w:pPr>
          </w:p>
        </w:tc>
        <w:tc>
          <w:tcPr>
            <w:tcW w:w="2835" w:type="dxa"/>
          </w:tcPr>
          <w:p w14:paraId="5B40D3C6" w14:textId="77777777" w:rsidR="000E2B3F" w:rsidRPr="002441D8" w:rsidRDefault="000E2B3F" w:rsidP="000E2B3F">
            <w:pPr>
              <w:rPr>
                <w:rFonts w:ascii="Calibri" w:hAnsi="Calibri"/>
              </w:rPr>
            </w:pPr>
            <w:r w:rsidRPr="002441D8">
              <w:rPr>
                <w:rFonts w:ascii="Calibri" w:hAnsi="Calibri"/>
              </w:rPr>
              <w:t>Matched unrelated donor</w:t>
            </w:r>
          </w:p>
        </w:tc>
        <w:tc>
          <w:tcPr>
            <w:tcW w:w="713" w:type="dxa"/>
          </w:tcPr>
          <w:p w14:paraId="61093EF9" w14:textId="77777777" w:rsidR="000E2B3F" w:rsidRPr="002441D8" w:rsidRDefault="000E2B3F" w:rsidP="000E2B3F">
            <w:pPr>
              <w:rPr>
                <w:rFonts w:ascii="Calibri" w:hAnsi="Calibri"/>
              </w:rPr>
            </w:pPr>
            <w:r w:rsidRPr="002441D8">
              <w:rPr>
                <w:rFonts w:ascii="Calibri" w:hAnsi="Calibri"/>
              </w:rPr>
              <w:t>1</w:t>
            </w:r>
          </w:p>
        </w:tc>
      </w:tr>
      <w:tr w:rsidR="000E2B3F" w:rsidRPr="002441D8" w14:paraId="1BB295A7" w14:textId="77777777" w:rsidTr="000E2B3F">
        <w:tc>
          <w:tcPr>
            <w:tcW w:w="2235" w:type="dxa"/>
            <w:vMerge w:val="restart"/>
          </w:tcPr>
          <w:p w14:paraId="38E7A7FB" w14:textId="77777777" w:rsidR="000E2B3F" w:rsidRPr="002441D8" w:rsidRDefault="000E2B3F" w:rsidP="000E2B3F">
            <w:pPr>
              <w:rPr>
                <w:rFonts w:ascii="Calibri" w:hAnsi="Calibri"/>
              </w:rPr>
            </w:pPr>
            <w:r w:rsidRPr="002441D8">
              <w:rPr>
                <w:rFonts w:ascii="Calibri" w:hAnsi="Calibri"/>
              </w:rPr>
              <w:t>Disease stage</w:t>
            </w:r>
          </w:p>
        </w:tc>
        <w:tc>
          <w:tcPr>
            <w:tcW w:w="2835" w:type="dxa"/>
          </w:tcPr>
          <w:p w14:paraId="2A2424B9" w14:textId="77777777" w:rsidR="000E2B3F" w:rsidRPr="002441D8" w:rsidRDefault="000E2B3F" w:rsidP="000E2B3F">
            <w:pPr>
              <w:rPr>
                <w:rFonts w:ascii="Calibri" w:hAnsi="Calibri"/>
              </w:rPr>
            </w:pPr>
            <w:r w:rsidRPr="002441D8">
              <w:rPr>
                <w:rFonts w:ascii="Calibri" w:hAnsi="Calibri"/>
              </w:rPr>
              <w:t>1</w:t>
            </w:r>
            <w:r w:rsidRPr="002441D8">
              <w:rPr>
                <w:rFonts w:ascii="Calibri" w:hAnsi="Calibri"/>
                <w:vertAlign w:val="superscript"/>
              </w:rPr>
              <w:t>st</w:t>
            </w:r>
            <w:r w:rsidRPr="002441D8">
              <w:rPr>
                <w:rFonts w:ascii="Calibri" w:hAnsi="Calibri"/>
              </w:rPr>
              <w:t xml:space="preserve"> Chronic phase</w:t>
            </w:r>
          </w:p>
        </w:tc>
        <w:tc>
          <w:tcPr>
            <w:tcW w:w="713" w:type="dxa"/>
          </w:tcPr>
          <w:p w14:paraId="47A18D32" w14:textId="77777777" w:rsidR="000E2B3F" w:rsidRPr="002441D8" w:rsidRDefault="000E2B3F" w:rsidP="000E2B3F">
            <w:pPr>
              <w:rPr>
                <w:rFonts w:ascii="Calibri" w:hAnsi="Calibri"/>
              </w:rPr>
            </w:pPr>
            <w:r w:rsidRPr="002441D8">
              <w:rPr>
                <w:rFonts w:ascii="Calibri" w:hAnsi="Calibri"/>
              </w:rPr>
              <w:t>0</w:t>
            </w:r>
          </w:p>
        </w:tc>
      </w:tr>
      <w:tr w:rsidR="000E2B3F" w:rsidRPr="002441D8" w14:paraId="69084064" w14:textId="77777777" w:rsidTr="000E2B3F">
        <w:tc>
          <w:tcPr>
            <w:tcW w:w="2235" w:type="dxa"/>
            <w:vMerge/>
          </w:tcPr>
          <w:p w14:paraId="2D23DD05" w14:textId="77777777" w:rsidR="000E2B3F" w:rsidRPr="002441D8" w:rsidRDefault="000E2B3F" w:rsidP="000E2B3F">
            <w:pPr>
              <w:rPr>
                <w:rFonts w:ascii="Calibri" w:hAnsi="Calibri"/>
              </w:rPr>
            </w:pPr>
          </w:p>
        </w:tc>
        <w:tc>
          <w:tcPr>
            <w:tcW w:w="2835" w:type="dxa"/>
          </w:tcPr>
          <w:p w14:paraId="53E2C8E1" w14:textId="77777777" w:rsidR="000E2B3F" w:rsidRPr="002441D8" w:rsidRDefault="000E2B3F" w:rsidP="000E2B3F">
            <w:pPr>
              <w:rPr>
                <w:rFonts w:ascii="Calibri" w:hAnsi="Calibri"/>
              </w:rPr>
            </w:pPr>
            <w:r w:rsidRPr="002441D8">
              <w:rPr>
                <w:rFonts w:ascii="Calibri" w:hAnsi="Calibri"/>
              </w:rPr>
              <w:t>Accelerated phase</w:t>
            </w:r>
          </w:p>
        </w:tc>
        <w:tc>
          <w:tcPr>
            <w:tcW w:w="713" w:type="dxa"/>
          </w:tcPr>
          <w:p w14:paraId="3E414531" w14:textId="77777777" w:rsidR="000E2B3F" w:rsidRPr="002441D8" w:rsidRDefault="000E2B3F" w:rsidP="000E2B3F">
            <w:pPr>
              <w:rPr>
                <w:rFonts w:ascii="Calibri" w:hAnsi="Calibri"/>
              </w:rPr>
            </w:pPr>
            <w:r w:rsidRPr="002441D8">
              <w:rPr>
                <w:rFonts w:ascii="Calibri" w:hAnsi="Calibri"/>
              </w:rPr>
              <w:t>1</w:t>
            </w:r>
          </w:p>
        </w:tc>
      </w:tr>
      <w:tr w:rsidR="000E2B3F" w:rsidRPr="002441D8" w14:paraId="728C5563" w14:textId="77777777" w:rsidTr="000E2B3F">
        <w:tc>
          <w:tcPr>
            <w:tcW w:w="2235" w:type="dxa"/>
            <w:vMerge/>
          </w:tcPr>
          <w:p w14:paraId="7C9B2320" w14:textId="77777777" w:rsidR="000E2B3F" w:rsidRPr="002441D8" w:rsidRDefault="000E2B3F" w:rsidP="000E2B3F">
            <w:pPr>
              <w:rPr>
                <w:rFonts w:ascii="Calibri" w:hAnsi="Calibri"/>
              </w:rPr>
            </w:pPr>
          </w:p>
        </w:tc>
        <w:tc>
          <w:tcPr>
            <w:tcW w:w="2835" w:type="dxa"/>
          </w:tcPr>
          <w:p w14:paraId="669F8AEB" w14:textId="77777777" w:rsidR="000E2B3F" w:rsidRPr="002441D8" w:rsidRDefault="000E2B3F" w:rsidP="000E2B3F">
            <w:pPr>
              <w:rPr>
                <w:rFonts w:ascii="Calibri" w:hAnsi="Calibri"/>
              </w:rPr>
            </w:pPr>
            <w:r w:rsidRPr="002441D8">
              <w:rPr>
                <w:rFonts w:ascii="Calibri" w:hAnsi="Calibri"/>
              </w:rPr>
              <w:t>Blast crisis</w:t>
            </w:r>
          </w:p>
        </w:tc>
        <w:tc>
          <w:tcPr>
            <w:tcW w:w="713" w:type="dxa"/>
          </w:tcPr>
          <w:p w14:paraId="11A142CC" w14:textId="77777777" w:rsidR="000E2B3F" w:rsidRPr="002441D8" w:rsidRDefault="000E2B3F" w:rsidP="000E2B3F">
            <w:pPr>
              <w:rPr>
                <w:rFonts w:ascii="Calibri" w:hAnsi="Calibri"/>
              </w:rPr>
            </w:pPr>
            <w:r w:rsidRPr="002441D8">
              <w:rPr>
                <w:rFonts w:ascii="Calibri" w:hAnsi="Calibri"/>
              </w:rPr>
              <w:t>2</w:t>
            </w:r>
          </w:p>
        </w:tc>
      </w:tr>
      <w:tr w:rsidR="000E2B3F" w:rsidRPr="002441D8" w14:paraId="5744CC6D" w14:textId="77777777" w:rsidTr="000E2B3F">
        <w:tc>
          <w:tcPr>
            <w:tcW w:w="2235" w:type="dxa"/>
            <w:vMerge w:val="restart"/>
          </w:tcPr>
          <w:p w14:paraId="0CB4A989" w14:textId="77777777" w:rsidR="000E2B3F" w:rsidRPr="002441D8" w:rsidRDefault="000E2B3F" w:rsidP="000E2B3F">
            <w:pPr>
              <w:rPr>
                <w:rFonts w:ascii="Calibri" w:hAnsi="Calibri"/>
              </w:rPr>
            </w:pPr>
            <w:r w:rsidRPr="002441D8">
              <w:rPr>
                <w:rFonts w:ascii="Calibri" w:hAnsi="Calibri"/>
              </w:rPr>
              <w:t>Age of recipient</w:t>
            </w:r>
          </w:p>
        </w:tc>
        <w:tc>
          <w:tcPr>
            <w:tcW w:w="2835" w:type="dxa"/>
          </w:tcPr>
          <w:p w14:paraId="09D895E9" w14:textId="77777777" w:rsidR="000E2B3F" w:rsidRPr="002441D8" w:rsidRDefault="000E2B3F" w:rsidP="000E2B3F">
            <w:pPr>
              <w:rPr>
                <w:rFonts w:ascii="Calibri" w:hAnsi="Calibri"/>
              </w:rPr>
            </w:pPr>
            <w:r w:rsidRPr="002441D8">
              <w:rPr>
                <w:rFonts w:ascii="Calibri" w:hAnsi="Calibri"/>
              </w:rPr>
              <w:t>&lt;20 years</w:t>
            </w:r>
          </w:p>
        </w:tc>
        <w:tc>
          <w:tcPr>
            <w:tcW w:w="713" w:type="dxa"/>
          </w:tcPr>
          <w:p w14:paraId="54FBB468" w14:textId="77777777" w:rsidR="000E2B3F" w:rsidRPr="002441D8" w:rsidRDefault="000E2B3F" w:rsidP="000E2B3F">
            <w:pPr>
              <w:rPr>
                <w:rFonts w:ascii="Calibri" w:hAnsi="Calibri"/>
              </w:rPr>
            </w:pPr>
            <w:r w:rsidRPr="002441D8">
              <w:rPr>
                <w:rFonts w:ascii="Calibri" w:hAnsi="Calibri"/>
              </w:rPr>
              <w:t>0</w:t>
            </w:r>
          </w:p>
        </w:tc>
      </w:tr>
      <w:tr w:rsidR="000E2B3F" w:rsidRPr="002441D8" w14:paraId="3FB94915" w14:textId="77777777" w:rsidTr="000E2B3F">
        <w:tc>
          <w:tcPr>
            <w:tcW w:w="2235" w:type="dxa"/>
            <w:vMerge/>
          </w:tcPr>
          <w:p w14:paraId="056358DA" w14:textId="77777777" w:rsidR="000E2B3F" w:rsidRPr="002441D8" w:rsidRDefault="000E2B3F" w:rsidP="000E2B3F">
            <w:pPr>
              <w:rPr>
                <w:rFonts w:ascii="Calibri" w:hAnsi="Calibri"/>
              </w:rPr>
            </w:pPr>
          </w:p>
        </w:tc>
        <w:tc>
          <w:tcPr>
            <w:tcW w:w="2835" w:type="dxa"/>
          </w:tcPr>
          <w:p w14:paraId="4F546236" w14:textId="77777777" w:rsidR="000E2B3F" w:rsidRPr="002441D8" w:rsidRDefault="000E2B3F" w:rsidP="000E2B3F">
            <w:pPr>
              <w:rPr>
                <w:rFonts w:ascii="Calibri" w:hAnsi="Calibri"/>
              </w:rPr>
            </w:pPr>
            <w:r w:rsidRPr="002441D8">
              <w:rPr>
                <w:rFonts w:ascii="Calibri" w:hAnsi="Calibri"/>
              </w:rPr>
              <w:t>20-40 years</w:t>
            </w:r>
          </w:p>
        </w:tc>
        <w:tc>
          <w:tcPr>
            <w:tcW w:w="713" w:type="dxa"/>
          </w:tcPr>
          <w:p w14:paraId="7348823D" w14:textId="77777777" w:rsidR="000E2B3F" w:rsidRPr="002441D8" w:rsidRDefault="000E2B3F" w:rsidP="000E2B3F">
            <w:pPr>
              <w:rPr>
                <w:rFonts w:ascii="Calibri" w:hAnsi="Calibri"/>
              </w:rPr>
            </w:pPr>
            <w:r w:rsidRPr="002441D8">
              <w:rPr>
                <w:rFonts w:ascii="Calibri" w:hAnsi="Calibri"/>
              </w:rPr>
              <w:t>1</w:t>
            </w:r>
          </w:p>
        </w:tc>
      </w:tr>
      <w:tr w:rsidR="000E2B3F" w:rsidRPr="002441D8" w14:paraId="169F2709" w14:textId="77777777" w:rsidTr="000E2B3F">
        <w:tc>
          <w:tcPr>
            <w:tcW w:w="2235" w:type="dxa"/>
            <w:vMerge/>
          </w:tcPr>
          <w:p w14:paraId="42358C43" w14:textId="77777777" w:rsidR="000E2B3F" w:rsidRPr="002441D8" w:rsidRDefault="000E2B3F" w:rsidP="000E2B3F">
            <w:pPr>
              <w:rPr>
                <w:rFonts w:ascii="Calibri" w:hAnsi="Calibri"/>
              </w:rPr>
            </w:pPr>
          </w:p>
        </w:tc>
        <w:tc>
          <w:tcPr>
            <w:tcW w:w="2835" w:type="dxa"/>
          </w:tcPr>
          <w:p w14:paraId="1B52B3D1" w14:textId="77777777" w:rsidR="000E2B3F" w:rsidRPr="002441D8" w:rsidRDefault="000E2B3F" w:rsidP="000E2B3F">
            <w:pPr>
              <w:rPr>
                <w:rFonts w:ascii="Calibri" w:hAnsi="Calibri"/>
              </w:rPr>
            </w:pPr>
            <w:r w:rsidRPr="002441D8">
              <w:rPr>
                <w:rFonts w:ascii="Calibri" w:hAnsi="Calibri"/>
              </w:rPr>
              <w:t>&gt; 40 years</w:t>
            </w:r>
          </w:p>
        </w:tc>
        <w:tc>
          <w:tcPr>
            <w:tcW w:w="713" w:type="dxa"/>
          </w:tcPr>
          <w:p w14:paraId="4EC92BB9" w14:textId="77777777" w:rsidR="000E2B3F" w:rsidRPr="002441D8" w:rsidRDefault="000E2B3F" w:rsidP="000E2B3F">
            <w:pPr>
              <w:rPr>
                <w:rFonts w:ascii="Calibri" w:hAnsi="Calibri"/>
              </w:rPr>
            </w:pPr>
            <w:r w:rsidRPr="002441D8">
              <w:rPr>
                <w:rFonts w:ascii="Calibri" w:hAnsi="Calibri"/>
              </w:rPr>
              <w:t>2</w:t>
            </w:r>
          </w:p>
        </w:tc>
      </w:tr>
      <w:tr w:rsidR="000E2B3F" w:rsidRPr="002441D8" w14:paraId="3E9912FE" w14:textId="77777777" w:rsidTr="000E2B3F">
        <w:tc>
          <w:tcPr>
            <w:tcW w:w="2235" w:type="dxa"/>
            <w:vMerge w:val="restart"/>
          </w:tcPr>
          <w:p w14:paraId="72A93B0A" w14:textId="77777777" w:rsidR="000E2B3F" w:rsidRPr="002441D8" w:rsidRDefault="000E2B3F" w:rsidP="000E2B3F">
            <w:pPr>
              <w:rPr>
                <w:rFonts w:ascii="Calibri" w:hAnsi="Calibri"/>
              </w:rPr>
            </w:pPr>
            <w:r w:rsidRPr="002441D8">
              <w:rPr>
                <w:rFonts w:ascii="Calibri" w:hAnsi="Calibri"/>
              </w:rPr>
              <w:t>Sex combination</w:t>
            </w:r>
          </w:p>
        </w:tc>
        <w:tc>
          <w:tcPr>
            <w:tcW w:w="2835" w:type="dxa"/>
          </w:tcPr>
          <w:p w14:paraId="614AE65E" w14:textId="77777777" w:rsidR="000E2B3F" w:rsidRPr="002441D8" w:rsidRDefault="000E2B3F" w:rsidP="000E2B3F">
            <w:pPr>
              <w:rPr>
                <w:rFonts w:ascii="Calibri" w:hAnsi="Calibri"/>
              </w:rPr>
            </w:pPr>
            <w:r w:rsidRPr="002441D8">
              <w:rPr>
                <w:rFonts w:ascii="Calibri" w:hAnsi="Calibri"/>
              </w:rPr>
              <w:t>All except:</w:t>
            </w:r>
          </w:p>
        </w:tc>
        <w:tc>
          <w:tcPr>
            <w:tcW w:w="713" w:type="dxa"/>
          </w:tcPr>
          <w:p w14:paraId="1174882E" w14:textId="77777777" w:rsidR="000E2B3F" w:rsidRPr="002441D8" w:rsidRDefault="000E2B3F" w:rsidP="000E2B3F">
            <w:pPr>
              <w:rPr>
                <w:rFonts w:ascii="Calibri" w:hAnsi="Calibri"/>
              </w:rPr>
            </w:pPr>
            <w:r w:rsidRPr="002441D8">
              <w:rPr>
                <w:rFonts w:ascii="Calibri" w:hAnsi="Calibri"/>
              </w:rPr>
              <w:t>0</w:t>
            </w:r>
          </w:p>
        </w:tc>
      </w:tr>
      <w:tr w:rsidR="000E2B3F" w:rsidRPr="002441D8" w14:paraId="6803EF80" w14:textId="77777777" w:rsidTr="000E2B3F">
        <w:tc>
          <w:tcPr>
            <w:tcW w:w="2235" w:type="dxa"/>
            <w:vMerge/>
          </w:tcPr>
          <w:p w14:paraId="117A82A7" w14:textId="77777777" w:rsidR="000E2B3F" w:rsidRPr="002441D8" w:rsidRDefault="000E2B3F" w:rsidP="000E2B3F">
            <w:pPr>
              <w:rPr>
                <w:rFonts w:ascii="Calibri" w:hAnsi="Calibri"/>
              </w:rPr>
            </w:pPr>
          </w:p>
        </w:tc>
        <w:tc>
          <w:tcPr>
            <w:tcW w:w="2835" w:type="dxa"/>
          </w:tcPr>
          <w:p w14:paraId="23F2F51F" w14:textId="77777777" w:rsidR="000E2B3F" w:rsidRPr="002441D8" w:rsidRDefault="000E2B3F" w:rsidP="000E2B3F">
            <w:pPr>
              <w:rPr>
                <w:rFonts w:ascii="Calibri" w:hAnsi="Calibri"/>
              </w:rPr>
            </w:pPr>
            <w:r w:rsidRPr="002441D8">
              <w:rPr>
                <w:rFonts w:ascii="Calibri" w:hAnsi="Calibri"/>
              </w:rPr>
              <w:t>Male recipient/female donor</w:t>
            </w:r>
          </w:p>
        </w:tc>
        <w:tc>
          <w:tcPr>
            <w:tcW w:w="713" w:type="dxa"/>
          </w:tcPr>
          <w:p w14:paraId="3AB25F6F" w14:textId="77777777" w:rsidR="000E2B3F" w:rsidRPr="002441D8" w:rsidRDefault="000E2B3F" w:rsidP="000E2B3F">
            <w:pPr>
              <w:rPr>
                <w:rFonts w:ascii="Calibri" w:hAnsi="Calibri"/>
              </w:rPr>
            </w:pPr>
            <w:r w:rsidRPr="002441D8">
              <w:rPr>
                <w:rFonts w:ascii="Calibri" w:hAnsi="Calibri"/>
              </w:rPr>
              <w:t>1</w:t>
            </w:r>
          </w:p>
        </w:tc>
      </w:tr>
      <w:tr w:rsidR="000E2B3F" w:rsidRPr="002441D8" w14:paraId="2831B1DE" w14:textId="77777777" w:rsidTr="000E2B3F">
        <w:tc>
          <w:tcPr>
            <w:tcW w:w="2235" w:type="dxa"/>
            <w:vMerge w:val="restart"/>
          </w:tcPr>
          <w:p w14:paraId="7A07FAF5" w14:textId="77777777" w:rsidR="000E2B3F" w:rsidRPr="002441D8" w:rsidRDefault="000E2B3F" w:rsidP="000E2B3F">
            <w:pPr>
              <w:rPr>
                <w:rFonts w:ascii="Calibri" w:hAnsi="Calibri"/>
              </w:rPr>
            </w:pPr>
            <w:r w:rsidRPr="002441D8">
              <w:rPr>
                <w:rFonts w:ascii="Calibri" w:hAnsi="Calibri"/>
              </w:rPr>
              <w:t>Time from diagnosis to transplant</w:t>
            </w:r>
          </w:p>
        </w:tc>
        <w:tc>
          <w:tcPr>
            <w:tcW w:w="2835" w:type="dxa"/>
          </w:tcPr>
          <w:p w14:paraId="1F3373B4" w14:textId="77777777" w:rsidR="000E2B3F" w:rsidRPr="002441D8" w:rsidRDefault="000E2B3F" w:rsidP="000E2B3F">
            <w:pPr>
              <w:rPr>
                <w:rFonts w:ascii="Calibri" w:hAnsi="Calibri"/>
              </w:rPr>
            </w:pPr>
            <w:r w:rsidRPr="002441D8">
              <w:rPr>
                <w:rFonts w:ascii="Calibri" w:hAnsi="Calibri"/>
              </w:rPr>
              <w:t>&lt;12 months</w:t>
            </w:r>
          </w:p>
        </w:tc>
        <w:tc>
          <w:tcPr>
            <w:tcW w:w="713" w:type="dxa"/>
          </w:tcPr>
          <w:p w14:paraId="13EA8D0C" w14:textId="77777777" w:rsidR="000E2B3F" w:rsidRPr="002441D8" w:rsidRDefault="000E2B3F" w:rsidP="000E2B3F">
            <w:pPr>
              <w:rPr>
                <w:rFonts w:ascii="Calibri" w:hAnsi="Calibri"/>
              </w:rPr>
            </w:pPr>
            <w:r w:rsidRPr="002441D8">
              <w:rPr>
                <w:rFonts w:ascii="Calibri" w:hAnsi="Calibri"/>
              </w:rPr>
              <w:t>0</w:t>
            </w:r>
          </w:p>
        </w:tc>
      </w:tr>
      <w:tr w:rsidR="000E2B3F" w:rsidRPr="002441D8" w14:paraId="1F9C1218" w14:textId="77777777" w:rsidTr="000E2B3F">
        <w:tc>
          <w:tcPr>
            <w:tcW w:w="2235" w:type="dxa"/>
            <w:vMerge/>
          </w:tcPr>
          <w:p w14:paraId="15816772" w14:textId="77777777" w:rsidR="000E2B3F" w:rsidRPr="002441D8" w:rsidRDefault="000E2B3F" w:rsidP="000E2B3F">
            <w:pPr>
              <w:rPr>
                <w:rFonts w:ascii="Calibri" w:hAnsi="Calibri"/>
              </w:rPr>
            </w:pPr>
          </w:p>
        </w:tc>
        <w:tc>
          <w:tcPr>
            <w:tcW w:w="2835" w:type="dxa"/>
          </w:tcPr>
          <w:p w14:paraId="206A3311" w14:textId="77777777" w:rsidR="000E2B3F" w:rsidRPr="002441D8" w:rsidRDefault="000E2B3F" w:rsidP="000E2B3F">
            <w:pPr>
              <w:rPr>
                <w:rFonts w:ascii="Calibri" w:hAnsi="Calibri"/>
              </w:rPr>
            </w:pPr>
            <w:r w:rsidRPr="002441D8">
              <w:rPr>
                <w:rFonts w:ascii="Calibri" w:hAnsi="Calibri"/>
              </w:rPr>
              <w:t>&gt;12 months</w:t>
            </w:r>
          </w:p>
        </w:tc>
        <w:tc>
          <w:tcPr>
            <w:tcW w:w="713" w:type="dxa"/>
          </w:tcPr>
          <w:p w14:paraId="2535E4ED" w14:textId="77777777" w:rsidR="000E2B3F" w:rsidRPr="002441D8" w:rsidRDefault="000E2B3F" w:rsidP="000E2B3F">
            <w:pPr>
              <w:rPr>
                <w:rFonts w:ascii="Calibri" w:hAnsi="Calibri"/>
              </w:rPr>
            </w:pPr>
            <w:r w:rsidRPr="002441D8">
              <w:rPr>
                <w:rFonts w:ascii="Calibri" w:hAnsi="Calibri"/>
              </w:rPr>
              <w:t>1</w:t>
            </w:r>
          </w:p>
        </w:tc>
      </w:tr>
    </w:tbl>
    <w:tbl>
      <w:tblPr>
        <w:tblStyle w:val="TableGrid"/>
        <w:tblpPr w:leftFromText="180" w:rightFromText="180" w:vertAnchor="text" w:horzAnchor="margin" w:tblpY="151"/>
        <w:tblW w:w="0" w:type="auto"/>
        <w:tblLook w:val="04A0" w:firstRow="1" w:lastRow="0" w:firstColumn="1" w:lastColumn="0" w:noHBand="0" w:noVBand="1"/>
      </w:tblPr>
      <w:tblGrid>
        <w:gridCol w:w="1351"/>
        <w:gridCol w:w="1200"/>
        <w:gridCol w:w="1276"/>
        <w:gridCol w:w="1184"/>
      </w:tblGrid>
      <w:tr w:rsidR="000E2B3F" w:rsidRPr="002441D8" w14:paraId="6A5C8F1C" w14:textId="77777777" w:rsidTr="000E2B3F">
        <w:tc>
          <w:tcPr>
            <w:tcW w:w="1351" w:type="dxa"/>
            <w:vMerge w:val="restart"/>
          </w:tcPr>
          <w:p w14:paraId="416EECD3" w14:textId="77777777" w:rsidR="000E2B3F" w:rsidRPr="002441D8" w:rsidRDefault="000E2B3F" w:rsidP="000E2B3F">
            <w:pPr>
              <w:rPr>
                <w:rFonts w:asciiTheme="majorHAnsi" w:hAnsiTheme="majorHAnsi"/>
              </w:rPr>
            </w:pPr>
            <w:r w:rsidRPr="002441D8">
              <w:rPr>
                <w:rFonts w:asciiTheme="majorHAnsi" w:hAnsiTheme="majorHAnsi"/>
              </w:rPr>
              <w:t>Risk Score</w:t>
            </w:r>
          </w:p>
        </w:tc>
        <w:tc>
          <w:tcPr>
            <w:tcW w:w="3660" w:type="dxa"/>
            <w:gridSpan w:val="3"/>
          </w:tcPr>
          <w:p w14:paraId="578026C7" w14:textId="77777777" w:rsidR="000E2B3F" w:rsidRPr="002441D8" w:rsidRDefault="000E2B3F" w:rsidP="000E2B3F">
            <w:pPr>
              <w:jc w:val="center"/>
              <w:rPr>
                <w:rFonts w:asciiTheme="majorHAnsi" w:hAnsiTheme="majorHAnsi"/>
              </w:rPr>
            </w:pPr>
            <w:r w:rsidRPr="002441D8">
              <w:rPr>
                <w:rFonts w:asciiTheme="majorHAnsi" w:hAnsiTheme="majorHAnsi"/>
              </w:rPr>
              <w:t>Probability of outcome at 5 years (%)</w:t>
            </w:r>
          </w:p>
        </w:tc>
      </w:tr>
      <w:tr w:rsidR="000E2B3F" w:rsidRPr="002441D8" w14:paraId="01E5962E" w14:textId="77777777" w:rsidTr="000E2B3F">
        <w:tc>
          <w:tcPr>
            <w:tcW w:w="1351" w:type="dxa"/>
            <w:vMerge/>
          </w:tcPr>
          <w:p w14:paraId="7BEB17CF" w14:textId="77777777" w:rsidR="000E2B3F" w:rsidRPr="002441D8" w:rsidRDefault="000E2B3F" w:rsidP="000E2B3F">
            <w:pPr>
              <w:rPr>
                <w:rFonts w:asciiTheme="majorHAnsi" w:hAnsiTheme="majorHAnsi"/>
              </w:rPr>
            </w:pPr>
          </w:p>
        </w:tc>
        <w:tc>
          <w:tcPr>
            <w:tcW w:w="1200" w:type="dxa"/>
          </w:tcPr>
          <w:p w14:paraId="04FD5CF5" w14:textId="77777777" w:rsidR="000E2B3F" w:rsidRPr="002441D8" w:rsidRDefault="000E2B3F" w:rsidP="000E2B3F">
            <w:pPr>
              <w:jc w:val="center"/>
              <w:rPr>
                <w:rFonts w:asciiTheme="majorHAnsi" w:hAnsiTheme="majorHAnsi"/>
              </w:rPr>
            </w:pPr>
            <w:r w:rsidRPr="002441D8">
              <w:rPr>
                <w:rFonts w:asciiTheme="majorHAnsi" w:hAnsiTheme="majorHAnsi"/>
              </w:rPr>
              <w:t>LFS</w:t>
            </w:r>
          </w:p>
        </w:tc>
        <w:tc>
          <w:tcPr>
            <w:tcW w:w="1276" w:type="dxa"/>
          </w:tcPr>
          <w:p w14:paraId="06E3E71E" w14:textId="77777777" w:rsidR="000E2B3F" w:rsidRPr="002441D8" w:rsidRDefault="000E2B3F" w:rsidP="000E2B3F">
            <w:pPr>
              <w:jc w:val="center"/>
              <w:rPr>
                <w:rFonts w:asciiTheme="majorHAnsi" w:hAnsiTheme="majorHAnsi"/>
              </w:rPr>
            </w:pPr>
            <w:r w:rsidRPr="002441D8">
              <w:rPr>
                <w:rFonts w:asciiTheme="majorHAnsi" w:hAnsiTheme="majorHAnsi"/>
              </w:rPr>
              <w:t>OS</w:t>
            </w:r>
          </w:p>
        </w:tc>
        <w:tc>
          <w:tcPr>
            <w:tcW w:w="1184" w:type="dxa"/>
          </w:tcPr>
          <w:p w14:paraId="702621A4" w14:textId="77777777" w:rsidR="000E2B3F" w:rsidRPr="002441D8" w:rsidRDefault="000E2B3F" w:rsidP="000E2B3F">
            <w:pPr>
              <w:jc w:val="center"/>
              <w:rPr>
                <w:rFonts w:asciiTheme="majorHAnsi" w:hAnsiTheme="majorHAnsi"/>
              </w:rPr>
            </w:pPr>
            <w:r w:rsidRPr="002441D8">
              <w:rPr>
                <w:rFonts w:asciiTheme="majorHAnsi" w:hAnsiTheme="majorHAnsi"/>
              </w:rPr>
              <w:t>TRM</w:t>
            </w:r>
          </w:p>
        </w:tc>
      </w:tr>
      <w:tr w:rsidR="000E2B3F" w:rsidRPr="002441D8" w14:paraId="06FA833B" w14:textId="77777777" w:rsidTr="000E2B3F">
        <w:tc>
          <w:tcPr>
            <w:tcW w:w="1351" w:type="dxa"/>
          </w:tcPr>
          <w:p w14:paraId="5FBF1117" w14:textId="77777777" w:rsidR="000E2B3F" w:rsidRPr="002441D8" w:rsidRDefault="000E2B3F" w:rsidP="000E2B3F">
            <w:pPr>
              <w:rPr>
                <w:rFonts w:asciiTheme="majorHAnsi" w:hAnsiTheme="majorHAnsi"/>
              </w:rPr>
            </w:pPr>
            <w:r w:rsidRPr="002441D8">
              <w:rPr>
                <w:rFonts w:asciiTheme="majorHAnsi" w:hAnsiTheme="majorHAnsi"/>
              </w:rPr>
              <w:t>0</w:t>
            </w:r>
          </w:p>
        </w:tc>
        <w:tc>
          <w:tcPr>
            <w:tcW w:w="1200" w:type="dxa"/>
          </w:tcPr>
          <w:p w14:paraId="3FFF89E8" w14:textId="77777777" w:rsidR="000E2B3F" w:rsidRPr="002441D8" w:rsidRDefault="000E2B3F" w:rsidP="000E2B3F">
            <w:pPr>
              <w:jc w:val="center"/>
              <w:rPr>
                <w:rFonts w:asciiTheme="majorHAnsi" w:hAnsiTheme="majorHAnsi"/>
              </w:rPr>
            </w:pPr>
            <w:r w:rsidRPr="002441D8">
              <w:rPr>
                <w:rFonts w:asciiTheme="majorHAnsi" w:hAnsiTheme="majorHAnsi"/>
              </w:rPr>
              <w:t>60</w:t>
            </w:r>
          </w:p>
        </w:tc>
        <w:tc>
          <w:tcPr>
            <w:tcW w:w="1276" w:type="dxa"/>
          </w:tcPr>
          <w:p w14:paraId="495A5F00" w14:textId="77777777" w:rsidR="000E2B3F" w:rsidRPr="002441D8" w:rsidRDefault="000E2B3F" w:rsidP="000E2B3F">
            <w:pPr>
              <w:jc w:val="center"/>
              <w:rPr>
                <w:rFonts w:asciiTheme="majorHAnsi" w:hAnsiTheme="majorHAnsi"/>
              </w:rPr>
            </w:pPr>
            <w:r w:rsidRPr="002441D8">
              <w:rPr>
                <w:rFonts w:asciiTheme="majorHAnsi" w:hAnsiTheme="majorHAnsi"/>
              </w:rPr>
              <w:t>72</w:t>
            </w:r>
          </w:p>
        </w:tc>
        <w:tc>
          <w:tcPr>
            <w:tcW w:w="1184" w:type="dxa"/>
          </w:tcPr>
          <w:p w14:paraId="2AFB550C" w14:textId="77777777" w:rsidR="000E2B3F" w:rsidRPr="002441D8" w:rsidRDefault="000E2B3F" w:rsidP="000E2B3F">
            <w:pPr>
              <w:jc w:val="center"/>
              <w:rPr>
                <w:rFonts w:asciiTheme="majorHAnsi" w:hAnsiTheme="majorHAnsi"/>
              </w:rPr>
            </w:pPr>
            <w:r w:rsidRPr="002441D8">
              <w:rPr>
                <w:rFonts w:asciiTheme="majorHAnsi" w:hAnsiTheme="majorHAnsi"/>
              </w:rPr>
              <w:t>20</w:t>
            </w:r>
          </w:p>
        </w:tc>
      </w:tr>
      <w:tr w:rsidR="000E2B3F" w:rsidRPr="002441D8" w14:paraId="2912B92E" w14:textId="77777777" w:rsidTr="000E2B3F">
        <w:tc>
          <w:tcPr>
            <w:tcW w:w="1351" w:type="dxa"/>
          </w:tcPr>
          <w:p w14:paraId="5389280D" w14:textId="77777777" w:rsidR="000E2B3F" w:rsidRPr="002441D8" w:rsidRDefault="000E2B3F" w:rsidP="000E2B3F">
            <w:pPr>
              <w:rPr>
                <w:rFonts w:asciiTheme="majorHAnsi" w:hAnsiTheme="majorHAnsi"/>
              </w:rPr>
            </w:pPr>
            <w:r w:rsidRPr="002441D8">
              <w:rPr>
                <w:rFonts w:asciiTheme="majorHAnsi" w:hAnsiTheme="majorHAnsi"/>
              </w:rPr>
              <w:t>1</w:t>
            </w:r>
          </w:p>
        </w:tc>
        <w:tc>
          <w:tcPr>
            <w:tcW w:w="1200" w:type="dxa"/>
          </w:tcPr>
          <w:p w14:paraId="4FD26EB6" w14:textId="77777777" w:rsidR="000E2B3F" w:rsidRPr="002441D8" w:rsidRDefault="000E2B3F" w:rsidP="000E2B3F">
            <w:pPr>
              <w:jc w:val="center"/>
              <w:rPr>
                <w:rFonts w:asciiTheme="majorHAnsi" w:hAnsiTheme="majorHAnsi"/>
              </w:rPr>
            </w:pPr>
            <w:r w:rsidRPr="002441D8">
              <w:rPr>
                <w:rFonts w:asciiTheme="majorHAnsi" w:hAnsiTheme="majorHAnsi"/>
              </w:rPr>
              <w:t>60</w:t>
            </w:r>
          </w:p>
        </w:tc>
        <w:tc>
          <w:tcPr>
            <w:tcW w:w="1276" w:type="dxa"/>
          </w:tcPr>
          <w:p w14:paraId="56EE1CD9" w14:textId="77777777" w:rsidR="000E2B3F" w:rsidRPr="002441D8" w:rsidRDefault="000E2B3F" w:rsidP="000E2B3F">
            <w:pPr>
              <w:jc w:val="center"/>
              <w:rPr>
                <w:rFonts w:asciiTheme="majorHAnsi" w:hAnsiTheme="majorHAnsi"/>
              </w:rPr>
            </w:pPr>
            <w:r w:rsidRPr="002441D8">
              <w:rPr>
                <w:rFonts w:asciiTheme="majorHAnsi" w:hAnsiTheme="majorHAnsi"/>
              </w:rPr>
              <w:t>70</w:t>
            </w:r>
          </w:p>
        </w:tc>
        <w:tc>
          <w:tcPr>
            <w:tcW w:w="1184" w:type="dxa"/>
          </w:tcPr>
          <w:p w14:paraId="07D59DC8" w14:textId="77777777" w:rsidR="000E2B3F" w:rsidRPr="002441D8" w:rsidRDefault="000E2B3F" w:rsidP="000E2B3F">
            <w:pPr>
              <w:jc w:val="center"/>
              <w:rPr>
                <w:rFonts w:asciiTheme="majorHAnsi" w:hAnsiTheme="majorHAnsi"/>
              </w:rPr>
            </w:pPr>
            <w:r w:rsidRPr="002441D8">
              <w:rPr>
                <w:rFonts w:asciiTheme="majorHAnsi" w:hAnsiTheme="majorHAnsi"/>
              </w:rPr>
              <w:t>23</w:t>
            </w:r>
          </w:p>
        </w:tc>
      </w:tr>
      <w:tr w:rsidR="000E2B3F" w:rsidRPr="002441D8" w14:paraId="25667A2C" w14:textId="77777777" w:rsidTr="000E2B3F">
        <w:tc>
          <w:tcPr>
            <w:tcW w:w="1351" w:type="dxa"/>
          </w:tcPr>
          <w:p w14:paraId="4E56E40A" w14:textId="77777777" w:rsidR="000E2B3F" w:rsidRPr="002441D8" w:rsidRDefault="000E2B3F" w:rsidP="000E2B3F">
            <w:pPr>
              <w:rPr>
                <w:rFonts w:asciiTheme="majorHAnsi" w:hAnsiTheme="majorHAnsi"/>
              </w:rPr>
            </w:pPr>
            <w:r w:rsidRPr="002441D8">
              <w:rPr>
                <w:rFonts w:asciiTheme="majorHAnsi" w:hAnsiTheme="majorHAnsi"/>
              </w:rPr>
              <w:t>2</w:t>
            </w:r>
          </w:p>
        </w:tc>
        <w:tc>
          <w:tcPr>
            <w:tcW w:w="1200" w:type="dxa"/>
          </w:tcPr>
          <w:p w14:paraId="767734A9" w14:textId="77777777" w:rsidR="000E2B3F" w:rsidRPr="002441D8" w:rsidRDefault="000E2B3F" w:rsidP="000E2B3F">
            <w:pPr>
              <w:jc w:val="center"/>
              <w:rPr>
                <w:rFonts w:asciiTheme="majorHAnsi" w:hAnsiTheme="majorHAnsi"/>
              </w:rPr>
            </w:pPr>
            <w:r w:rsidRPr="002441D8">
              <w:rPr>
                <w:rFonts w:asciiTheme="majorHAnsi" w:hAnsiTheme="majorHAnsi"/>
              </w:rPr>
              <w:t>47</w:t>
            </w:r>
          </w:p>
        </w:tc>
        <w:tc>
          <w:tcPr>
            <w:tcW w:w="1276" w:type="dxa"/>
          </w:tcPr>
          <w:p w14:paraId="562C4036" w14:textId="77777777" w:rsidR="000E2B3F" w:rsidRPr="002441D8" w:rsidRDefault="000E2B3F" w:rsidP="000E2B3F">
            <w:pPr>
              <w:jc w:val="center"/>
              <w:rPr>
                <w:rFonts w:asciiTheme="majorHAnsi" w:hAnsiTheme="majorHAnsi"/>
              </w:rPr>
            </w:pPr>
            <w:r w:rsidRPr="002441D8">
              <w:rPr>
                <w:rFonts w:asciiTheme="majorHAnsi" w:hAnsiTheme="majorHAnsi"/>
              </w:rPr>
              <w:t>62</w:t>
            </w:r>
          </w:p>
        </w:tc>
        <w:tc>
          <w:tcPr>
            <w:tcW w:w="1184" w:type="dxa"/>
          </w:tcPr>
          <w:p w14:paraId="7AA84B87" w14:textId="77777777" w:rsidR="000E2B3F" w:rsidRPr="002441D8" w:rsidRDefault="000E2B3F" w:rsidP="000E2B3F">
            <w:pPr>
              <w:jc w:val="center"/>
              <w:rPr>
                <w:rFonts w:asciiTheme="majorHAnsi" w:hAnsiTheme="majorHAnsi"/>
              </w:rPr>
            </w:pPr>
            <w:r w:rsidRPr="002441D8">
              <w:rPr>
                <w:rFonts w:asciiTheme="majorHAnsi" w:hAnsiTheme="majorHAnsi"/>
              </w:rPr>
              <w:t>31</w:t>
            </w:r>
          </w:p>
        </w:tc>
      </w:tr>
      <w:tr w:rsidR="000E2B3F" w:rsidRPr="002441D8" w14:paraId="19AED12A" w14:textId="77777777" w:rsidTr="000E2B3F">
        <w:tc>
          <w:tcPr>
            <w:tcW w:w="1351" w:type="dxa"/>
          </w:tcPr>
          <w:p w14:paraId="6769B4D6" w14:textId="77777777" w:rsidR="000E2B3F" w:rsidRPr="002441D8" w:rsidRDefault="000E2B3F" w:rsidP="000E2B3F">
            <w:pPr>
              <w:rPr>
                <w:rFonts w:asciiTheme="majorHAnsi" w:hAnsiTheme="majorHAnsi"/>
              </w:rPr>
            </w:pPr>
            <w:r w:rsidRPr="002441D8">
              <w:rPr>
                <w:rFonts w:asciiTheme="majorHAnsi" w:hAnsiTheme="majorHAnsi"/>
              </w:rPr>
              <w:t>3</w:t>
            </w:r>
          </w:p>
        </w:tc>
        <w:tc>
          <w:tcPr>
            <w:tcW w:w="1200" w:type="dxa"/>
          </w:tcPr>
          <w:p w14:paraId="5D4B6130" w14:textId="77777777" w:rsidR="000E2B3F" w:rsidRPr="002441D8" w:rsidRDefault="000E2B3F" w:rsidP="000E2B3F">
            <w:pPr>
              <w:jc w:val="center"/>
              <w:rPr>
                <w:rFonts w:asciiTheme="majorHAnsi" w:hAnsiTheme="majorHAnsi"/>
              </w:rPr>
            </w:pPr>
            <w:r w:rsidRPr="002441D8">
              <w:rPr>
                <w:rFonts w:asciiTheme="majorHAnsi" w:hAnsiTheme="majorHAnsi"/>
              </w:rPr>
              <w:t>37</w:t>
            </w:r>
          </w:p>
        </w:tc>
        <w:tc>
          <w:tcPr>
            <w:tcW w:w="1276" w:type="dxa"/>
          </w:tcPr>
          <w:p w14:paraId="2FDC5A69" w14:textId="77777777" w:rsidR="000E2B3F" w:rsidRPr="002441D8" w:rsidRDefault="000E2B3F" w:rsidP="000E2B3F">
            <w:pPr>
              <w:jc w:val="center"/>
              <w:rPr>
                <w:rFonts w:asciiTheme="majorHAnsi" w:hAnsiTheme="majorHAnsi"/>
              </w:rPr>
            </w:pPr>
            <w:r w:rsidRPr="002441D8">
              <w:rPr>
                <w:rFonts w:asciiTheme="majorHAnsi" w:hAnsiTheme="majorHAnsi"/>
              </w:rPr>
              <w:t>48</w:t>
            </w:r>
          </w:p>
        </w:tc>
        <w:tc>
          <w:tcPr>
            <w:tcW w:w="1184" w:type="dxa"/>
          </w:tcPr>
          <w:p w14:paraId="33853E2B" w14:textId="77777777" w:rsidR="000E2B3F" w:rsidRPr="002441D8" w:rsidRDefault="000E2B3F" w:rsidP="000E2B3F">
            <w:pPr>
              <w:jc w:val="center"/>
              <w:rPr>
                <w:rFonts w:asciiTheme="majorHAnsi" w:hAnsiTheme="majorHAnsi"/>
              </w:rPr>
            </w:pPr>
            <w:r w:rsidRPr="002441D8">
              <w:rPr>
                <w:rFonts w:asciiTheme="majorHAnsi" w:hAnsiTheme="majorHAnsi"/>
              </w:rPr>
              <w:t>46</w:t>
            </w:r>
          </w:p>
        </w:tc>
      </w:tr>
      <w:tr w:rsidR="000E2B3F" w:rsidRPr="002441D8" w14:paraId="38A17B9F" w14:textId="77777777" w:rsidTr="000E2B3F">
        <w:tc>
          <w:tcPr>
            <w:tcW w:w="1351" w:type="dxa"/>
          </w:tcPr>
          <w:p w14:paraId="629AEE0E" w14:textId="77777777" w:rsidR="000E2B3F" w:rsidRPr="002441D8" w:rsidRDefault="000E2B3F" w:rsidP="000E2B3F">
            <w:pPr>
              <w:rPr>
                <w:rFonts w:asciiTheme="majorHAnsi" w:hAnsiTheme="majorHAnsi"/>
              </w:rPr>
            </w:pPr>
            <w:r w:rsidRPr="002441D8">
              <w:rPr>
                <w:rFonts w:asciiTheme="majorHAnsi" w:hAnsiTheme="majorHAnsi"/>
              </w:rPr>
              <w:t>4</w:t>
            </w:r>
          </w:p>
        </w:tc>
        <w:tc>
          <w:tcPr>
            <w:tcW w:w="1200" w:type="dxa"/>
          </w:tcPr>
          <w:p w14:paraId="6CAB78F5" w14:textId="77777777" w:rsidR="000E2B3F" w:rsidRPr="002441D8" w:rsidRDefault="000E2B3F" w:rsidP="000E2B3F">
            <w:pPr>
              <w:jc w:val="center"/>
              <w:rPr>
                <w:rFonts w:asciiTheme="majorHAnsi" w:hAnsiTheme="majorHAnsi"/>
              </w:rPr>
            </w:pPr>
            <w:r w:rsidRPr="002441D8">
              <w:rPr>
                <w:rFonts w:asciiTheme="majorHAnsi" w:hAnsiTheme="majorHAnsi"/>
              </w:rPr>
              <w:t>35</w:t>
            </w:r>
          </w:p>
        </w:tc>
        <w:tc>
          <w:tcPr>
            <w:tcW w:w="1276" w:type="dxa"/>
          </w:tcPr>
          <w:p w14:paraId="094C4219" w14:textId="77777777" w:rsidR="000E2B3F" w:rsidRPr="002441D8" w:rsidRDefault="000E2B3F" w:rsidP="000E2B3F">
            <w:pPr>
              <w:jc w:val="center"/>
              <w:rPr>
                <w:rFonts w:asciiTheme="majorHAnsi" w:hAnsiTheme="majorHAnsi"/>
              </w:rPr>
            </w:pPr>
            <w:r w:rsidRPr="002441D8">
              <w:rPr>
                <w:rFonts w:asciiTheme="majorHAnsi" w:hAnsiTheme="majorHAnsi"/>
              </w:rPr>
              <w:t>40</w:t>
            </w:r>
          </w:p>
        </w:tc>
        <w:tc>
          <w:tcPr>
            <w:tcW w:w="1184" w:type="dxa"/>
          </w:tcPr>
          <w:p w14:paraId="4D906C8F" w14:textId="77777777" w:rsidR="000E2B3F" w:rsidRPr="002441D8" w:rsidRDefault="000E2B3F" w:rsidP="000E2B3F">
            <w:pPr>
              <w:jc w:val="center"/>
              <w:rPr>
                <w:rFonts w:asciiTheme="majorHAnsi" w:hAnsiTheme="majorHAnsi"/>
              </w:rPr>
            </w:pPr>
            <w:r w:rsidRPr="002441D8">
              <w:rPr>
                <w:rFonts w:asciiTheme="majorHAnsi" w:hAnsiTheme="majorHAnsi"/>
              </w:rPr>
              <w:t>51</w:t>
            </w:r>
          </w:p>
        </w:tc>
      </w:tr>
      <w:tr w:rsidR="000E2B3F" w:rsidRPr="002441D8" w14:paraId="716CD235" w14:textId="77777777" w:rsidTr="000E2B3F">
        <w:tc>
          <w:tcPr>
            <w:tcW w:w="1351" w:type="dxa"/>
          </w:tcPr>
          <w:p w14:paraId="26105C27" w14:textId="77777777" w:rsidR="000E2B3F" w:rsidRPr="002441D8" w:rsidRDefault="000E2B3F" w:rsidP="000E2B3F">
            <w:pPr>
              <w:rPr>
                <w:rFonts w:asciiTheme="majorHAnsi" w:hAnsiTheme="majorHAnsi"/>
              </w:rPr>
            </w:pPr>
            <w:r w:rsidRPr="002441D8">
              <w:rPr>
                <w:rFonts w:asciiTheme="majorHAnsi" w:hAnsiTheme="majorHAnsi"/>
              </w:rPr>
              <w:t>5</w:t>
            </w:r>
          </w:p>
        </w:tc>
        <w:tc>
          <w:tcPr>
            <w:tcW w:w="1200" w:type="dxa"/>
          </w:tcPr>
          <w:p w14:paraId="5CAC1264" w14:textId="77777777" w:rsidR="000E2B3F" w:rsidRPr="002441D8" w:rsidRDefault="000E2B3F" w:rsidP="000E2B3F">
            <w:pPr>
              <w:jc w:val="center"/>
              <w:rPr>
                <w:rFonts w:asciiTheme="majorHAnsi" w:hAnsiTheme="majorHAnsi"/>
              </w:rPr>
            </w:pPr>
            <w:r w:rsidRPr="002441D8">
              <w:rPr>
                <w:rFonts w:asciiTheme="majorHAnsi" w:hAnsiTheme="majorHAnsi"/>
              </w:rPr>
              <w:t>19</w:t>
            </w:r>
          </w:p>
        </w:tc>
        <w:tc>
          <w:tcPr>
            <w:tcW w:w="1276" w:type="dxa"/>
          </w:tcPr>
          <w:p w14:paraId="504A7871" w14:textId="77777777" w:rsidR="000E2B3F" w:rsidRPr="002441D8" w:rsidRDefault="000E2B3F" w:rsidP="000E2B3F">
            <w:pPr>
              <w:jc w:val="center"/>
              <w:rPr>
                <w:rFonts w:asciiTheme="majorHAnsi" w:hAnsiTheme="majorHAnsi"/>
              </w:rPr>
            </w:pPr>
            <w:r w:rsidRPr="002441D8">
              <w:rPr>
                <w:rFonts w:asciiTheme="majorHAnsi" w:hAnsiTheme="majorHAnsi"/>
              </w:rPr>
              <w:t>18</w:t>
            </w:r>
          </w:p>
        </w:tc>
        <w:tc>
          <w:tcPr>
            <w:tcW w:w="1184" w:type="dxa"/>
          </w:tcPr>
          <w:p w14:paraId="53FB7964" w14:textId="77777777" w:rsidR="000E2B3F" w:rsidRPr="002441D8" w:rsidRDefault="000E2B3F" w:rsidP="000E2B3F">
            <w:pPr>
              <w:jc w:val="center"/>
              <w:rPr>
                <w:rFonts w:asciiTheme="majorHAnsi" w:hAnsiTheme="majorHAnsi"/>
              </w:rPr>
            </w:pPr>
            <w:r w:rsidRPr="002441D8">
              <w:rPr>
                <w:rFonts w:asciiTheme="majorHAnsi" w:hAnsiTheme="majorHAnsi"/>
              </w:rPr>
              <w:t>71</w:t>
            </w:r>
          </w:p>
        </w:tc>
      </w:tr>
      <w:tr w:rsidR="000E2B3F" w:rsidRPr="002441D8" w14:paraId="4A549AE9" w14:textId="77777777" w:rsidTr="000E2B3F">
        <w:tc>
          <w:tcPr>
            <w:tcW w:w="1351" w:type="dxa"/>
          </w:tcPr>
          <w:p w14:paraId="76C93622" w14:textId="77777777" w:rsidR="000E2B3F" w:rsidRPr="002441D8" w:rsidRDefault="000E2B3F" w:rsidP="000E2B3F">
            <w:pPr>
              <w:rPr>
                <w:rFonts w:asciiTheme="majorHAnsi" w:hAnsiTheme="majorHAnsi"/>
              </w:rPr>
            </w:pPr>
            <w:r w:rsidRPr="002441D8">
              <w:rPr>
                <w:rFonts w:asciiTheme="majorHAnsi" w:hAnsiTheme="majorHAnsi"/>
              </w:rPr>
              <w:t>6</w:t>
            </w:r>
          </w:p>
        </w:tc>
        <w:tc>
          <w:tcPr>
            <w:tcW w:w="1200" w:type="dxa"/>
          </w:tcPr>
          <w:p w14:paraId="202EB25C" w14:textId="77777777" w:rsidR="000E2B3F" w:rsidRPr="002441D8" w:rsidRDefault="000E2B3F" w:rsidP="000E2B3F">
            <w:pPr>
              <w:jc w:val="center"/>
              <w:rPr>
                <w:rFonts w:asciiTheme="majorHAnsi" w:hAnsiTheme="majorHAnsi"/>
              </w:rPr>
            </w:pPr>
            <w:r w:rsidRPr="002441D8">
              <w:rPr>
                <w:rFonts w:asciiTheme="majorHAnsi" w:hAnsiTheme="majorHAnsi"/>
              </w:rPr>
              <w:t>16</w:t>
            </w:r>
          </w:p>
        </w:tc>
        <w:tc>
          <w:tcPr>
            <w:tcW w:w="1276" w:type="dxa"/>
          </w:tcPr>
          <w:p w14:paraId="3A7D3E93" w14:textId="77777777" w:rsidR="000E2B3F" w:rsidRPr="002441D8" w:rsidRDefault="000E2B3F" w:rsidP="000E2B3F">
            <w:pPr>
              <w:jc w:val="center"/>
              <w:rPr>
                <w:rFonts w:asciiTheme="majorHAnsi" w:hAnsiTheme="majorHAnsi"/>
              </w:rPr>
            </w:pPr>
            <w:r w:rsidRPr="002441D8">
              <w:rPr>
                <w:rFonts w:asciiTheme="majorHAnsi" w:hAnsiTheme="majorHAnsi"/>
              </w:rPr>
              <w:t>22</w:t>
            </w:r>
          </w:p>
        </w:tc>
        <w:tc>
          <w:tcPr>
            <w:tcW w:w="1184" w:type="dxa"/>
          </w:tcPr>
          <w:p w14:paraId="71D66E5B" w14:textId="77777777" w:rsidR="000E2B3F" w:rsidRPr="002441D8" w:rsidRDefault="000E2B3F" w:rsidP="000E2B3F">
            <w:pPr>
              <w:jc w:val="center"/>
              <w:rPr>
                <w:rFonts w:asciiTheme="majorHAnsi" w:hAnsiTheme="majorHAnsi"/>
              </w:rPr>
            </w:pPr>
            <w:r w:rsidRPr="002441D8">
              <w:rPr>
                <w:rFonts w:asciiTheme="majorHAnsi" w:hAnsiTheme="majorHAnsi"/>
              </w:rPr>
              <w:t>73</w:t>
            </w:r>
          </w:p>
        </w:tc>
      </w:tr>
    </w:tbl>
    <w:p w14:paraId="2AC7AE3E" w14:textId="77777777" w:rsidR="000E2B3F" w:rsidRPr="002441D8" w:rsidRDefault="000E2B3F" w:rsidP="000E2B3F">
      <w:pPr>
        <w:spacing w:after="0" w:line="240" w:lineRule="auto"/>
        <w:rPr>
          <w:rFonts w:asciiTheme="majorHAnsi" w:hAnsiTheme="majorHAnsi"/>
        </w:rPr>
      </w:pPr>
    </w:p>
    <w:p w14:paraId="497452F2" w14:textId="77777777" w:rsidR="000E2B3F" w:rsidRPr="002441D8" w:rsidRDefault="000E2B3F" w:rsidP="000E2B3F">
      <w:pPr>
        <w:spacing w:after="0" w:line="240" w:lineRule="auto"/>
        <w:rPr>
          <w:rFonts w:asciiTheme="majorHAnsi" w:hAnsiTheme="majorHAnsi"/>
        </w:rPr>
      </w:pPr>
    </w:p>
    <w:p w14:paraId="0E9EE043" w14:textId="77777777" w:rsidR="000E2B3F" w:rsidRPr="002441D8" w:rsidRDefault="000E2B3F" w:rsidP="000E2B3F">
      <w:pPr>
        <w:spacing w:after="0" w:line="240" w:lineRule="auto"/>
        <w:rPr>
          <w:rFonts w:asciiTheme="majorHAnsi" w:hAnsiTheme="majorHAnsi"/>
        </w:rPr>
      </w:pPr>
    </w:p>
    <w:p w14:paraId="000E35B9" w14:textId="77777777" w:rsidR="000E2B3F" w:rsidRPr="002441D8" w:rsidRDefault="000E2B3F" w:rsidP="000E2B3F">
      <w:pPr>
        <w:spacing w:after="0" w:line="240" w:lineRule="auto"/>
        <w:rPr>
          <w:rFonts w:asciiTheme="majorHAnsi" w:hAnsiTheme="majorHAnsi"/>
        </w:rPr>
      </w:pPr>
    </w:p>
    <w:p w14:paraId="3C2FA358" w14:textId="77777777" w:rsidR="000E2B3F" w:rsidRPr="002441D8" w:rsidRDefault="000E2B3F" w:rsidP="000E2B3F">
      <w:pPr>
        <w:spacing w:after="0" w:line="240" w:lineRule="auto"/>
        <w:rPr>
          <w:rFonts w:asciiTheme="majorHAnsi" w:hAnsiTheme="majorHAnsi"/>
        </w:rPr>
      </w:pPr>
    </w:p>
    <w:p w14:paraId="0A9A3619" w14:textId="77777777" w:rsidR="000E2B3F" w:rsidRPr="002441D8" w:rsidRDefault="000E2B3F" w:rsidP="000E2B3F">
      <w:pPr>
        <w:spacing w:after="0" w:line="240" w:lineRule="auto"/>
        <w:rPr>
          <w:rFonts w:asciiTheme="majorHAnsi" w:hAnsiTheme="majorHAnsi"/>
        </w:rPr>
      </w:pPr>
    </w:p>
    <w:p w14:paraId="591A1700" w14:textId="77777777" w:rsidR="000E2B3F" w:rsidRPr="002441D8" w:rsidRDefault="000E2B3F" w:rsidP="000E2B3F">
      <w:pPr>
        <w:spacing w:after="0" w:line="240" w:lineRule="auto"/>
        <w:rPr>
          <w:rFonts w:asciiTheme="majorHAnsi" w:hAnsiTheme="majorHAnsi"/>
        </w:rPr>
      </w:pPr>
    </w:p>
    <w:p w14:paraId="58F1447F" w14:textId="77777777" w:rsidR="000E2B3F" w:rsidRPr="002441D8" w:rsidRDefault="000E2B3F" w:rsidP="000E2B3F">
      <w:pPr>
        <w:spacing w:after="0" w:line="240" w:lineRule="auto"/>
        <w:rPr>
          <w:rFonts w:asciiTheme="majorHAnsi" w:hAnsiTheme="majorHAnsi"/>
        </w:rPr>
      </w:pPr>
    </w:p>
    <w:p w14:paraId="3ADDB2C0" w14:textId="77777777" w:rsidR="000E2B3F" w:rsidRPr="002441D8" w:rsidRDefault="000E2B3F" w:rsidP="000E2B3F">
      <w:pPr>
        <w:spacing w:after="0" w:line="240" w:lineRule="auto"/>
        <w:rPr>
          <w:rFonts w:asciiTheme="majorHAnsi" w:hAnsiTheme="majorHAnsi"/>
        </w:rPr>
      </w:pPr>
    </w:p>
    <w:p w14:paraId="661F37D4" w14:textId="77777777" w:rsidR="000E2B3F" w:rsidRPr="002441D8" w:rsidRDefault="000E2B3F" w:rsidP="000E2B3F">
      <w:pPr>
        <w:spacing w:after="0" w:line="240" w:lineRule="auto"/>
        <w:rPr>
          <w:rFonts w:asciiTheme="majorHAnsi" w:hAnsiTheme="majorHAnsi"/>
        </w:rPr>
      </w:pPr>
    </w:p>
    <w:p w14:paraId="56ADB62D" w14:textId="77777777" w:rsidR="000E2B3F" w:rsidRPr="002441D8" w:rsidRDefault="000E2B3F" w:rsidP="000E2B3F">
      <w:pPr>
        <w:spacing w:after="0" w:line="240" w:lineRule="auto"/>
        <w:rPr>
          <w:rFonts w:asciiTheme="majorHAnsi" w:hAnsiTheme="majorHAnsi"/>
        </w:rPr>
      </w:pPr>
    </w:p>
    <w:p w14:paraId="6132C758" w14:textId="77777777" w:rsidR="000E2B3F" w:rsidRPr="002441D8" w:rsidRDefault="000E2B3F" w:rsidP="000E2B3F">
      <w:pPr>
        <w:spacing w:after="0" w:line="240" w:lineRule="auto"/>
        <w:rPr>
          <w:rFonts w:asciiTheme="majorHAnsi" w:hAnsiTheme="majorHAnsi"/>
          <w:b/>
        </w:rPr>
      </w:pPr>
    </w:p>
    <w:p w14:paraId="7416637E" w14:textId="77777777" w:rsidR="000E2B3F" w:rsidRPr="002441D8" w:rsidRDefault="000E2B3F" w:rsidP="000E2B3F">
      <w:pPr>
        <w:spacing w:after="0" w:line="240" w:lineRule="auto"/>
        <w:rPr>
          <w:rFonts w:asciiTheme="majorHAnsi" w:hAnsiTheme="majorHAnsi"/>
          <w:b/>
        </w:rPr>
      </w:pPr>
    </w:p>
    <w:p w14:paraId="19F3C187" w14:textId="77777777" w:rsidR="000E2B3F" w:rsidRPr="002441D8" w:rsidRDefault="000E2B3F" w:rsidP="000E2B3F">
      <w:pPr>
        <w:spacing w:after="0" w:line="240" w:lineRule="auto"/>
        <w:rPr>
          <w:rFonts w:asciiTheme="majorHAnsi" w:hAnsiTheme="majorHAnsi"/>
          <w:b/>
        </w:rPr>
      </w:pPr>
    </w:p>
    <w:p w14:paraId="3754091F" w14:textId="77777777" w:rsidR="000E2B3F" w:rsidRPr="002441D8" w:rsidRDefault="000E2B3F" w:rsidP="000E2B3F">
      <w:pPr>
        <w:spacing w:after="0" w:line="240" w:lineRule="auto"/>
        <w:rPr>
          <w:rFonts w:asciiTheme="majorHAnsi" w:hAnsiTheme="majorHAnsi"/>
          <w:b/>
        </w:rPr>
      </w:pPr>
    </w:p>
    <w:p w14:paraId="2DEEC321" w14:textId="77777777" w:rsidR="000E2B3F" w:rsidRPr="002441D8" w:rsidRDefault="000E2B3F" w:rsidP="000E2B3F">
      <w:pPr>
        <w:spacing w:after="0" w:line="240" w:lineRule="auto"/>
        <w:rPr>
          <w:rFonts w:asciiTheme="majorHAnsi" w:hAnsiTheme="majorHAnsi"/>
          <w:b/>
        </w:rPr>
      </w:pPr>
    </w:p>
    <w:p w14:paraId="3BC08CCD" w14:textId="77777777" w:rsidR="000E2B3F" w:rsidRPr="002441D8" w:rsidRDefault="000E2B3F" w:rsidP="000E2B3F">
      <w:pPr>
        <w:spacing w:after="0" w:line="240" w:lineRule="auto"/>
        <w:rPr>
          <w:rFonts w:asciiTheme="majorHAnsi" w:hAnsiTheme="majorHAnsi"/>
          <w:b/>
        </w:rPr>
      </w:pPr>
    </w:p>
    <w:p w14:paraId="64E656B5" w14:textId="77777777" w:rsidR="000E2B3F" w:rsidRPr="002441D8" w:rsidRDefault="000E2B3F" w:rsidP="000E2B3F">
      <w:pPr>
        <w:spacing w:after="0" w:line="240" w:lineRule="auto"/>
        <w:rPr>
          <w:rFonts w:asciiTheme="majorHAnsi" w:hAnsiTheme="majorHAnsi"/>
          <w:b/>
        </w:rPr>
      </w:pPr>
    </w:p>
    <w:p w14:paraId="73994D78" w14:textId="77777777" w:rsidR="000E2B3F" w:rsidRPr="002441D8" w:rsidRDefault="000E2B3F" w:rsidP="000E2B3F">
      <w:pPr>
        <w:spacing w:after="0" w:line="240" w:lineRule="auto"/>
        <w:rPr>
          <w:rFonts w:asciiTheme="majorHAnsi" w:hAnsiTheme="majorHAnsi"/>
          <w:b/>
        </w:rPr>
      </w:pPr>
    </w:p>
    <w:p w14:paraId="5B3DEE20" w14:textId="77777777" w:rsidR="000E2B3F" w:rsidRPr="002441D8" w:rsidRDefault="000E2B3F" w:rsidP="000E2B3F">
      <w:pPr>
        <w:spacing w:after="0" w:line="240" w:lineRule="auto"/>
        <w:rPr>
          <w:rFonts w:asciiTheme="majorHAnsi" w:hAnsiTheme="majorHAnsi"/>
          <w:b/>
        </w:rPr>
      </w:pPr>
    </w:p>
    <w:p w14:paraId="71E53370" w14:textId="77777777" w:rsidR="000E2B3F" w:rsidRPr="002441D8" w:rsidRDefault="000E2B3F" w:rsidP="000E2B3F">
      <w:pPr>
        <w:spacing w:after="0" w:line="240" w:lineRule="auto"/>
        <w:rPr>
          <w:rFonts w:asciiTheme="majorHAnsi" w:hAnsiTheme="majorHAnsi"/>
        </w:rPr>
      </w:pPr>
      <w:r w:rsidRPr="002441D8">
        <w:rPr>
          <w:rFonts w:asciiTheme="majorHAnsi" w:hAnsiTheme="majorHAnsi"/>
          <w:b/>
        </w:rPr>
        <w:t xml:space="preserve">Table 3- </w:t>
      </w:r>
      <w:r w:rsidRPr="002441D8">
        <w:rPr>
          <w:rFonts w:asciiTheme="majorHAnsi" w:hAnsiTheme="majorHAnsi"/>
        </w:rPr>
        <w:t xml:space="preserve"> EBMT risk stratification score, developed in CML, but broadly applicable across haematological malignancies</w:t>
      </w:r>
      <w:r w:rsidRPr="002441D8">
        <w:rPr>
          <w:rFonts w:asciiTheme="majorHAnsi" w:hAnsiTheme="majorHAnsi"/>
          <w:vertAlign w:val="superscript"/>
        </w:rPr>
        <w:t>34</w:t>
      </w:r>
      <w:r w:rsidRPr="002441D8">
        <w:rPr>
          <w:rFonts w:asciiTheme="majorHAnsi" w:hAnsiTheme="majorHAnsi"/>
        </w:rPr>
        <w:t xml:space="preserve">. </w:t>
      </w:r>
    </w:p>
    <w:p w14:paraId="70FE3E6D" w14:textId="77777777" w:rsidR="000E2B3F" w:rsidRPr="002441D8" w:rsidRDefault="000E2B3F">
      <w:pPr>
        <w:spacing w:after="0" w:line="240" w:lineRule="auto"/>
      </w:pPr>
      <w:r w:rsidRPr="002441D8">
        <w:br w:type="page"/>
      </w:r>
    </w:p>
    <w:tbl>
      <w:tblPr>
        <w:tblStyle w:val="TableGrid"/>
        <w:tblW w:w="0" w:type="auto"/>
        <w:tblLook w:val="04A0" w:firstRow="1" w:lastRow="0" w:firstColumn="1" w:lastColumn="0" w:noHBand="0" w:noVBand="1"/>
      </w:tblPr>
      <w:tblGrid>
        <w:gridCol w:w="4621"/>
        <w:gridCol w:w="4621"/>
      </w:tblGrid>
      <w:tr w:rsidR="000E2B3F" w:rsidRPr="002441D8" w14:paraId="27D586F3" w14:textId="77777777" w:rsidTr="000E2B3F">
        <w:tc>
          <w:tcPr>
            <w:tcW w:w="9242" w:type="dxa"/>
            <w:gridSpan w:val="2"/>
          </w:tcPr>
          <w:p w14:paraId="5EDB8DA3" w14:textId="77777777" w:rsidR="000E2B3F" w:rsidRPr="002441D8" w:rsidRDefault="000E2B3F" w:rsidP="000E2B3F">
            <w:pPr>
              <w:rPr>
                <w:b/>
              </w:rPr>
            </w:pPr>
            <w:r w:rsidRPr="002441D8">
              <w:rPr>
                <w:b/>
              </w:rPr>
              <w:t>Proposed Accelerated Phase Risk Stratification</w:t>
            </w:r>
          </w:p>
        </w:tc>
      </w:tr>
      <w:tr w:rsidR="000E2B3F" w:rsidRPr="002441D8" w14:paraId="4C5A7E87" w14:textId="77777777" w:rsidTr="000E2B3F">
        <w:tc>
          <w:tcPr>
            <w:tcW w:w="4621" w:type="dxa"/>
          </w:tcPr>
          <w:p w14:paraId="45A6DEDC" w14:textId="77777777" w:rsidR="000E2B3F" w:rsidRPr="002441D8" w:rsidRDefault="000E2B3F" w:rsidP="000E2B3F">
            <w:pPr>
              <w:rPr>
                <w:b/>
              </w:rPr>
            </w:pPr>
            <w:r w:rsidRPr="002441D8">
              <w:rPr>
                <w:b/>
              </w:rPr>
              <w:t>Risk Factors</w:t>
            </w:r>
          </w:p>
        </w:tc>
        <w:tc>
          <w:tcPr>
            <w:tcW w:w="4621" w:type="dxa"/>
          </w:tcPr>
          <w:p w14:paraId="2DC07BCF" w14:textId="77777777" w:rsidR="000E2B3F" w:rsidRPr="002441D8" w:rsidRDefault="000E2B3F" w:rsidP="000E2B3F">
            <w:pPr>
              <w:rPr>
                <w:b/>
              </w:rPr>
            </w:pPr>
            <w:r w:rsidRPr="002441D8">
              <w:rPr>
                <w:b/>
              </w:rPr>
              <w:t>Risk Category</w:t>
            </w:r>
          </w:p>
        </w:tc>
      </w:tr>
      <w:tr w:rsidR="000E2B3F" w:rsidRPr="002441D8" w14:paraId="7272F7D2" w14:textId="77777777" w:rsidTr="000E2B3F">
        <w:tc>
          <w:tcPr>
            <w:tcW w:w="4621" w:type="dxa"/>
          </w:tcPr>
          <w:p w14:paraId="46B4E213" w14:textId="77777777" w:rsidR="000E2B3F" w:rsidRPr="002441D8" w:rsidRDefault="000E2B3F" w:rsidP="000E2B3F">
            <w:r w:rsidRPr="002441D8">
              <w:rPr>
                <w:rFonts w:ascii="Lucida Sans" w:hAnsi="Lucida Sans"/>
                <w:sz w:val="19"/>
                <w:szCs w:val="19"/>
                <w:shd w:val="clear" w:color="auto" w:fill="FFFFFF"/>
              </w:rPr>
              <w:t>CML duration ≥ 12 months</w:t>
            </w:r>
          </w:p>
        </w:tc>
        <w:tc>
          <w:tcPr>
            <w:tcW w:w="4621" w:type="dxa"/>
          </w:tcPr>
          <w:p w14:paraId="2451D55C" w14:textId="77777777" w:rsidR="000E2B3F" w:rsidRPr="002441D8" w:rsidRDefault="000E2B3F" w:rsidP="000E2B3F">
            <w:r w:rsidRPr="002441D8">
              <w:t>High Risk – At least 2 risk factors</w:t>
            </w:r>
          </w:p>
        </w:tc>
      </w:tr>
      <w:tr w:rsidR="000E2B3F" w:rsidRPr="002441D8" w14:paraId="717DA73F" w14:textId="77777777" w:rsidTr="000E2B3F">
        <w:trPr>
          <w:trHeight w:val="64"/>
        </w:trPr>
        <w:tc>
          <w:tcPr>
            <w:tcW w:w="4621" w:type="dxa"/>
          </w:tcPr>
          <w:p w14:paraId="3F9A257B" w14:textId="77777777" w:rsidR="000E2B3F" w:rsidRPr="002441D8" w:rsidRDefault="000E2B3F" w:rsidP="000E2B3F">
            <w:r w:rsidRPr="002441D8">
              <w:rPr>
                <w:rFonts w:ascii="Lucida Sans" w:hAnsi="Lucida Sans"/>
                <w:sz w:val="19"/>
                <w:szCs w:val="19"/>
                <w:shd w:val="clear" w:color="auto" w:fill="FFFFFF"/>
              </w:rPr>
              <w:t>hemoglobin &lt; 100 g/L</w:t>
            </w:r>
          </w:p>
        </w:tc>
        <w:tc>
          <w:tcPr>
            <w:tcW w:w="4621" w:type="dxa"/>
          </w:tcPr>
          <w:p w14:paraId="179CB2A2" w14:textId="77777777" w:rsidR="000E2B3F" w:rsidRPr="002441D8" w:rsidRDefault="000E2B3F" w:rsidP="000E2B3F">
            <w:r w:rsidRPr="002441D8">
              <w:t>Intermediate Risk – Any risk factor</w:t>
            </w:r>
          </w:p>
        </w:tc>
      </w:tr>
      <w:tr w:rsidR="000E2B3F" w:rsidRPr="002441D8" w14:paraId="17E22919" w14:textId="77777777" w:rsidTr="000E2B3F">
        <w:tc>
          <w:tcPr>
            <w:tcW w:w="4621" w:type="dxa"/>
          </w:tcPr>
          <w:p w14:paraId="7C861724" w14:textId="77777777" w:rsidR="000E2B3F" w:rsidRPr="002441D8" w:rsidRDefault="000E2B3F" w:rsidP="000E2B3F">
            <w:r w:rsidRPr="002441D8">
              <w:rPr>
                <w:rFonts w:ascii="Lucida Sans" w:hAnsi="Lucida Sans"/>
                <w:sz w:val="19"/>
                <w:szCs w:val="19"/>
                <w:shd w:val="clear" w:color="auto" w:fill="FFFFFF"/>
              </w:rPr>
              <w:t>peripheral blood blasts ≥ 5%</w:t>
            </w:r>
          </w:p>
        </w:tc>
        <w:tc>
          <w:tcPr>
            <w:tcW w:w="4621" w:type="dxa"/>
          </w:tcPr>
          <w:p w14:paraId="3F32B8A3" w14:textId="77777777" w:rsidR="000E2B3F" w:rsidRPr="002441D8" w:rsidRDefault="000E2B3F" w:rsidP="000E2B3F">
            <w:r w:rsidRPr="002441D8">
              <w:t>Low – No risk factors</w:t>
            </w:r>
          </w:p>
        </w:tc>
      </w:tr>
    </w:tbl>
    <w:p w14:paraId="5A4F5C6D" w14:textId="77777777" w:rsidR="000E2B3F" w:rsidRPr="002441D8" w:rsidRDefault="000E2B3F" w:rsidP="000E2B3F"/>
    <w:p w14:paraId="3199B237" w14:textId="77777777" w:rsidR="000E2B3F" w:rsidRPr="002441D8" w:rsidRDefault="000E2B3F" w:rsidP="000E2B3F">
      <w:r w:rsidRPr="002441D8">
        <w:rPr>
          <w:b/>
        </w:rPr>
        <w:t>Table 4</w:t>
      </w:r>
      <w:r w:rsidRPr="002441D8">
        <w:t xml:space="preserve"> – Proposed risk stratification of accelerated phase disease</w:t>
      </w:r>
      <w:r w:rsidRPr="002441D8">
        <w:rPr>
          <w:vertAlign w:val="superscript"/>
        </w:rPr>
        <w:t>49</w:t>
      </w:r>
      <w:r w:rsidRPr="002441D8">
        <w:t>.  Note that this is derived from a single study.</w:t>
      </w:r>
    </w:p>
    <w:p w14:paraId="01C33FB6" w14:textId="7056C20B" w:rsidR="000E2B3F" w:rsidRPr="002441D8" w:rsidRDefault="000E2B3F">
      <w:pPr>
        <w:spacing w:after="0" w:line="240" w:lineRule="auto"/>
      </w:pPr>
      <w:r w:rsidRPr="002441D8">
        <w:br w:type="page"/>
      </w:r>
    </w:p>
    <w:tbl>
      <w:tblPr>
        <w:tblStyle w:val="TableGrid"/>
        <w:tblW w:w="0" w:type="auto"/>
        <w:tblLook w:val="04A0" w:firstRow="1" w:lastRow="0" w:firstColumn="1" w:lastColumn="0" w:noHBand="0" w:noVBand="1"/>
      </w:tblPr>
      <w:tblGrid>
        <w:gridCol w:w="2093"/>
        <w:gridCol w:w="6345"/>
      </w:tblGrid>
      <w:tr w:rsidR="000E2B3F" w:rsidRPr="002441D8" w14:paraId="68DE1F94" w14:textId="77777777" w:rsidTr="000E2B3F">
        <w:tc>
          <w:tcPr>
            <w:tcW w:w="8438" w:type="dxa"/>
            <w:gridSpan w:val="2"/>
          </w:tcPr>
          <w:p w14:paraId="3CBAE489" w14:textId="77777777" w:rsidR="000E2B3F" w:rsidRPr="002441D8" w:rsidRDefault="000E2B3F" w:rsidP="000E2B3F">
            <w:pPr>
              <w:rPr>
                <w:b/>
              </w:rPr>
            </w:pPr>
            <w:r w:rsidRPr="002441D8">
              <w:rPr>
                <w:b/>
              </w:rPr>
              <w:t>Indications for HSCT in CML</w:t>
            </w:r>
          </w:p>
        </w:tc>
      </w:tr>
      <w:tr w:rsidR="000E2B3F" w:rsidRPr="002441D8" w14:paraId="2A188093" w14:textId="77777777" w:rsidTr="000E2B3F">
        <w:tc>
          <w:tcPr>
            <w:tcW w:w="2093" w:type="dxa"/>
          </w:tcPr>
          <w:p w14:paraId="2C6E595E" w14:textId="77777777" w:rsidR="000E2B3F" w:rsidRPr="002441D8" w:rsidRDefault="000E2B3F" w:rsidP="000E2B3F">
            <w:r w:rsidRPr="002441D8">
              <w:t>Blast Crisis</w:t>
            </w:r>
          </w:p>
        </w:tc>
        <w:tc>
          <w:tcPr>
            <w:tcW w:w="6345" w:type="dxa"/>
          </w:tcPr>
          <w:p w14:paraId="20673481" w14:textId="77777777" w:rsidR="000E2B3F" w:rsidRPr="002441D8" w:rsidRDefault="000E2B3F" w:rsidP="000E2B3F">
            <w:r w:rsidRPr="002441D8">
              <w:rPr>
                <w:b/>
              </w:rPr>
              <w:t xml:space="preserve">∙  </w:t>
            </w:r>
            <w:r w:rsidRPr="002441D8">
              <w:t xml:space="preserve">All eligible patients in BC should be considered for HSCT </w:t>
            </w:r>
          </w:p>
          <w:p w14:paraId="32560C09" w14:textId="77777777" w:rsidR="000E2B3F" w:rsidRPr="002441D8" w:rsidRDefault="000E2B3F" w:rsidP="000E2B3F">
            <w:r w:rsidRPr="002441D8">
              <w:t>∙  Every effort should be made to achieve CP2 prior to transplantation</w:t>
            </w:r>
          </w:p>
        </w:tc>
      </w:tr>
      <w:tr w:rsidR="000E2B3F" w:rsidRPr="002441D8" w14:paraId="62BA4E13" w14:textId="77777777" w:rsidTr="000E2B3F">
        <w:tc>
          <w:tcPr>
            <w:tcW w:w="2093" w:type="dxa"/>
          </w:tcPr>
          <w:p w14:paraId="09094FF0" w14:textId="77777777" w:rsidR="000E2B3F" w:rsidRPr="002441D8" w:rsidRDefault="000E2B3F" w:rsidP="000E2B3F">
            <w:r w:rsidRPr="002441D8">
              <w:t>Accelerated Phase</w:t>
            </w:r>
          </w:p>
        </w:tc>
        <w:tc>
          <w:tcPr>
            <w:tcW w:w="6345" w:type="dxa"/>
          </w:tcPr>
          <w:p w14:paraId="454C5712" w14:textId="77777777" w:rsidR="000E2B3F" w:rsidRPr="002441D8" w:rsidRDefault="000E2B3F" w:rsidP="000E2B3F">
            <w:r w:rsidRPr="002441D8">
              <w:t>∙  All eligible AP patients should be considered for HSCT</w:t>
            </w:r>
          </w:p>
          <w:p w14:paraId="1CB51FD0" w14:textId="77777777" w:rsidR="000E2B3F" w:rsidRPr="002441D8" w:rsidRDefault="000E2B3F" w:rsidP="000E2B3F">
            <w:r w:rsidRPr="002441D8">
              <w:t>∙  Every effort should be made to achieve CP2 prior to transplantation</w:t>
            </w:r>
          </w:p>
          <w:p w14:paraId="6B9232F8" w14:textId="77777777" w:rsidR="000E2B3F" w:rsidRPr="002441D8" w:rsidRDefault="000E2B3F" w:rsidP="000E2B3F">
            <w:r w:rsidRPr="002441D8">
              <w:t>∙ TKI use in AP should be within the context of a clinical trial, with particular attention paid to rigorous PCR monitoring.</w:t>
            </w:r>
          </w:p>
        </w:tc>
      </w:tr>
      <w:tr w:rsidR="000E2B3F" w:rsidRPr="002441D8" w14:paraId="2844B6D9" w14:textId="77777777" w:rsidTr="000E2B3F">
        <w:tc>
          <w:tcPr>
            <w:tcW w:w="2093" w:type="dxa"/>
          </w:tcPr>
          <w:p w14:paraId="20522404" w14:textId="77777777" w:rsidR="000E2B3F" w:rsidRPr="002441D8" w:rsidRDefault="000E2B3F" w:rsidP="000E2B3F">
            <w:r w:rsidRPr="002441D8">
              <w:t xml:space="preserve">Chronic Phase </w:t>
            </w:r>
          </w:p>
        </w:tc>
        <w:tc>
          <w:tcPr>
            <w:tcW w:w="6345" w:type="dxa"/>
          </w:tcPr>
          <w:p w14:paraId="0A3C83A0" w14:textId="77777777" w:rsidR="000E2B3F" w:rsidRPr="002441D8" w:rsidRDefault="000E2B3F" w:rsidP="000E2B3F">
            <w:r w:rsidRPr="002441D8">
              <w:t>∙  All eligible patients with a T315I mutation should be referred to a transplant centre for early discussion: ponatinib should be initiated</w:t>
            </w:r>
          </w:p>
          <w:p w14:paraId="4E924041" w14:textId="77777777" w:rsidR="000E2B3F" w:rsidRPr="002441D8" w:rsidRDefault="000E2B3F" w:rsidP="000E2B3F">
            <w:r w:rsidRPr="002441D8">
              <w:t>∙  All eligible patients failing 2 x 2GTKI should be referred for HSCT</w:t>
            </w:r>
          </w:p>
          <w:p w14:paraId="5BB7E11E" w14:textId="77777777" w:rsidR="000E2B3F" w:rsidRPr="002441D8" w:rsidRDefault="000E2B3F" w:rsidP="000E2B3F">
            <w:r w:rsidRPr="002441D8">
              <w:t>∙  All eligible patients failing 1x 2GTKI should be referred to a transplant centre for risk/benefit discussion</w:t>
            </w:r>
          </w:p>
          <w:p w14:paraId="38441E21" w14:textId="77777777" w:rsidR="000E2B3F" w:rsidRPr="002441D8" w:rsidRDefault="000E2B3F" w:rsidP="000E2B3F">
            <w:r w:rsidRPr="002441D8">
              <w:t>∙  Consideration should be given undertaking a donor search following failure of first line therapy (see text)</w:t>
            </w:r>
          </w:p>
        </w:tc>
      </w:tr>
    </w:tbl>
    <w:p w14:paraId="6F277B05" w14:textId="77777777" w:rsidR="000E2B3F" w:rsidRPr="002441D8" w:rsidRDefault="000E2B3F" w:rsidP="000E2B3F"/>
    <w:p w14:paraId="58A76700" w14:textId="77777777" w:rsidR="000E2B3F" w:rsidRPr="002441D8" w:rsidRDefault="000E2B3F" w:rsidP="000E2B3F">
      <w:r w:rsidRPr="002441D8">
        <w:rPr>
          <w:b/>
        </w:rPr>
        <w:t>Table 5</w:t>
      </w:r>
      <w:r w:rsidRPr="002441D8">
        <w:t xml:space="preserve"> – Indications for HSCT in CML; HSCT, haematopoetic stem cell transplantation, CML, chronic myeloid leukaemia, CP2, second chronic phase, AP, accelerated phase, TKI, tyrosine kinase inhibitor, PCR, polymerase chain reaction, 2GTKI, second generation tyrosine kinase inhibitor.</w:t>
      </w:r>
    </w:p>
    <w:p w14:paraId="4B5F0693" w14:textId="77777777" w:rsidR="000E2B3F" w:rsidRPr="002441D8" w:rsidRDefault="000E2B3F" w:rsidP="000E2B3F">
      <w:pPr>
        <w:spacing w:line="240" w:lineRule="auto"/>
      </w:pPr>
    </w:p>
    <w:p w14:paraId="648E267F" w14:textId="77777777" w:rsidR="000E2B3F" w:rsidRPr="002441D8" w:rsidRDefault="000E2B3F">
      <w:pPr>
        <w:spacing w:after="0" w:line="240" w:lineRule="auto"/>
        <w:rPr>
          <w:sz w:val="20"/>
          <w:szCs w:val="20"/>
        </w:rPr>
      </w:pPr>
      <w:r w:rsidRPr="002441D8">
        <w:rPr>
          <w:sz w:val="20"/>
          <w:szCs w:val="20"/>
        </w:rPr>
        <w:br w:type="page"/>
      </w:r>
    </w:p>
    <w:p w14:paraId="16F2EB59" w14:textId="77777777" w:rsidR="000E2B3F" w:rsidRPr="002441D8" w:rsidRDefault="000E2B3F">
      <w:pPr>
        <w:spacing w:after="0" w:line="240" w:lineRule="auto"/>
        <w:rPr>
          <w:sz w:val="20"/>
          <w:szCs w:val="20"/>
        </w:rPr>
        <w:sectPr w:rsidR="000E2B3F" w:rsidRPr="002441D8" w:rsidSect="00E16805">
          <w:endnotePr>
            <w:numFmt w:val="decimal"/>
          </w:endnotePr>
          <w:pgSz w:w="11906" w:h="16838"/>
          <w:pgMar w:top="1440" w:right="1440" w:bottom="1440" w:left="1440" w:header="708" w:footer="708" w:gutter="0"/>
          <w:cols w:space="708"/>
          <w:docGrid w:linePitch="360"/>
        </w:sectPr>
      </w:pPr>
    </w:p>
    <w:p w14:paraId="22596775" w14:textId="77777777" w:rsidR="000E2B3F" w:rsidRPr="002441D8" w:rsidRDefault="000E2B3F"/>
    <w:tbl>
      <w:tblPr>
        <w:tblStyle w:val="TableGrid"/>
        <w:tblW w:w="14238" w:type="dxa"/>
        <w:tblLook w:val="04A0" w:firstRow="1" w:lastRow="0" w:firstColumn="1" w:lastColumn="0" w:noHBand="0" w:noVBand="1"/>
      </w:tblPr>
      <w:tblGrid>
        <w:gridCol w:w="1287"/>
        <w:gridCol w:w="1271"/>
        <w:gridCol w:w="1244"/>
        <w:gridCol w:w="1258"/>
        <w:gridCol w:w="1446"/>
        <w:gridCol w:w="1429"/>
        <w:gridCol w:w="1269"/>
        <w:gridCol w:w="1260"/>
        <w:gridCol w:w="1252"/>
        <w:gridCol w:w="1248"/>
        <w:gridCol w:w="1274"/>
      </w:tblGrid>
      <w:tr w:rsidR="000E2B3F" w:rsidRPr="002441D8" w14:paraId="7FEF4F44" w14:textId="77777777" w:rsidTr="000E2B3F">
        <w:tc>
          <w:tcPr>
            <w:tcW w:w="1287" w:type="dxa"/>
          </w:tcPr>
          <w:p w14:paraId="5AE2AA33" w14:textId="77777777" w:rsidR="000E2B3F" w:rsidRPr="002441D8" w:rsidRDefault="000E2B3F" w:rsidP="000E2B3F">
            <w:pPr>
              <w:numPr>
                <w:ilvl w:val="0"/>
                <w:numId w:val="1"/>
              </w:numPr>
              <w:shd w:val="clear" w:color="auto" w:fill="FFFFFF"/>
              <w:spacing w:after="0" w:line="264" w:lineRule="atLeast"/>
              <w:ind w:left="0"/>
              <w:textAlignment w:val="baseline"/>
              <w:rPr>
                <w:b/>
                <w:sz w:val="16"/>
                <w:szCs w:val="16"/>
              </w:rPr>
            </w:pPr>
            <w:r w:rsidRPr="002441D8">
              <w:rPr>
                <w:b/>
                <w:sz w:val="16"/>
                <w:szCs w:val="16"/>
              </w:rPr>
              <w:t>Authors</w:t>
            </w:r>
          </w:p>
        </w:tc>
        <w:tc>
          <w:tcPr>
            <w:tcW w:w="1271" w:type="dxa"/>
          </w:tcPr>
          <w:p w14:paraId="44A8574B" w14:textId="77777777" w:rsidR="000E2B3F" w:rsidRPr="002441D8" w:rsidRDefault="000E2B3F" w:rsidP="000E2B3F">
            <w:pPr>
              <w:rPr>
                <w:b/>
                <w:sz w:val="16"/>
                <w:szCs w:val="16"/>
              </w:rPr>
            </w:pPr>
            <w:r w:rsidRPr="002441D8">
              <w:rPr>
                <w:b/>
                <w:sz w:val="16"/>
                <w:szCs w:val="16"/>
              </w:rPr>
              <w:t>Number of patients /  Transplant period</w:t>
            </w:r>
          </w:p>
        </w:tc>
        <w:tc>
          <w:tcPr>
            <w:tcW w:w="1244" w:type="dxa"/>
          </w:tcPr>
          <w:p w14:paraId="0929C040" w14:textId="77777777" w:rsidR="000E2B3F" w:rsidRPr="002441D8" w:rsidRDefault="000E2B3F" w:rsidP="000E2B3F">
            <w:pPr>
              <w:rPr>
                <w:b/>
                <w:sz w:val="16"/>
                <w:szCs w:val="16"/>
              </w:rPr>
            </w:pPr>
            <w:r w:rsidRPr="002441D8">
              <w:rPr>
                <w:b/>
                <w:sz w:val="16"/>
                <w:szCs w:val="16"/>
              </w:rPr>
              <w:t>Disease stage</w:t>
            </w:r>
          </w:p>
        </w:tc>
        <w:tc>
          <w:tcPr>
            <w:tcW w:w="1258" w:type="dxa"/>
          </w:tcPr>
          <w:p w14:paraId="21C10F39" w14:textId="77777777" w:rsidR="000E2B3F" w:rsidRPr="002441D8" w:rsidRDefault="000E2B3F" w:rsidP="000E2B3F">
            <w:pPr>
              <w:rPr>
                <w:b/>
                <w:sz w:val="16"/>
                <w:szCs w:val="16"/>
              </w:rPr>
            </w:pPr>
            <w:r w:rsidRPr="002441D8">
              <w:rPr>
                <w:b/>
                <w:sz w:val="16"/>
                <w:szCs w:val="16"/>
              </w:rPr>
              <w:t>TKI use</w:t>
            </w:r>
          </w:p>
        </w:tc>
        <w:tc>
          <w:tcPr>
            <w:tcW w:w="1446" w:type="dxa"/>
          </w:tcPr>
          <w:p w14:paraId="0671CB7D" w14:textId="77777777" w:rsidR="000E2B3F" w:rsidRPr="002441D8" w:rsidRDefault="000E2B3F" w:rsidP="000E2B3F">
            <w:pPr>
              <w:rPr>
                <w:b/>
                <w:sz w:val="16"/>
                <w:szCs w:val="16"/>
              </w:rPr>
            </w:pPr>
            <w:r w:rsidRPr="002441D8">
              <w:rPr>
                <w:b/>
                <w:sz w:val="16"/>
                <w:szCs w:val="16"/>
              </w:rPr>
              <w:t>Donor</w:t>
            </w:r>
          </w:p>
        </w:tc>
        <w:tc>
          <w:tcPr>
            <w:tcW w:w="1429" w:type="dxa"/>
          </w:tcPr>
          <w:p w14:paraId="56981C5A" w14:textId="77777777" w:rsidR="000E2B3F" w:rsidRPr="002441D8" w:rsidRDefault="000E2B3F" w:rsidP="000E2B3F">
            <w:pPr>
              <w:rPr>
                <w:b/>
                <w:sz w:val="16"/>
                <w:szCs w:val="16"/>
              </w:rPr>
            </w:pPr>
            <w:r w:rsidRPr="002441D8">
              <w:rPr>
                <w:b/>
                <w:sz w:val="16"/>
                <w:szCs w:val="16"/>
              </w:rPr>
              <w:t>Stem cell source</w:t>
            </w:r>
          </w:p>
        </w:tc>
        <w:tc>
          <w:tcPr>
            <w:tcW w:w="1269" w:type="dxa"/>
          </w:tcPr>
          <w:p w14:paraId="24848D67" w14:textId="77777777" w:rsidR="000E2B3F" w:rsidRPr="002441D8" w:rsidRDefault="000E2B3F" w:rsidP="000E2B3F">
            <w:pPr>
              <w:rPr>
                <w:b/>
                <w:sz w:val="16"/>
                <w:szCs w:val="16"/>
              </w:rPr>
            </w:pPr>
            <w:r w:rsidRPr="002441D8">
              <w:rPr>
                <w:b/>
                <w:sz w:val="16"/>
                <w:szCs w:val="16"/>
              </w:rPr>
              <w:t>Regimen</w:t>
            </w:r>
          </w:p>
        </w:tc>
        <w:tc>
          <w:tcPr>
            <w:tcW w:w="1260" w:type="dxa"/>
          </w:tcPr>
          <w:p w14:paraId="0C3160B1" w14:textId="77777777" w:rsidR="000E2B3F" w:rsidRPr="002441D8" w:rsidRDefault="000E2B3F" w:rsidP="000E2B3F">
            <w:pPr>
              <w:rPr>
                <w:b/>
                <w:sz w:val="16"/>
                <w:szCs w:val="16"/>
              </w:rPr>
            </w:pPr>
            <w:r w:rsidRPr="002441D8">
              <w:rPr>
                <w:b/>
                <w:sz w:val="16"/>
                <w:szCs w:val="16"/>
              </w:rPr>
              <w:t>DFS/PFS</w:t>
            </w:r>
          </w:p>
        </w:tc>
        <w:tc>
          <w:tcPr>
            <w:tcW w:w="1252" w:type="dxa"/>
          </w:tcPr>
          <w:p w14:paraId="5D572996" w14:textId="77777777" w:rsidR="000E2B3F" w:rsidRPr="002441D8" w:rsidRDefault="000E2B3F" w:rsidP="000E2B3F">
            <w:pPr>
              <w:rPr>
                <w:b/>
                <w:sz w:val="16"/>
                <w:szCs w:val="16"/>
              </w:rPr>
            </w:pPr>
            <w:r w:rsidRPr="002441D8">
              <w:rPr>
                <w:b/>
                <w:sz w:val="16"/>
                <w:szCs w:val="16"/>
              </w:rPr>
              <w:t>OS</w:t>
            </w:r>
          </w:p>
        </w:tc>
        <w:tc>
          <w:tcPr>
            <w:tcW w:w="1248" w:type="dxa"/>
          </w:tcPr>
          <w:p w14:paraId="73E33DAD" w14:textId="77777777" w:rsidR="000E2B3F" w:rsidRPr="002441D8" w:rsidRDefault="000E2B3F" w:rsidP="000E2B3F">
            <w:pPr>
              <w:rPr>
                <w:b/>
                <w:sz w:val="16"/>
                <w:szCs w:val="16"/>
              </w:rPr>
            </w:pPr>
            <w:r w:rsidRPr="002441D8">
              <w:rPr>
                <w:b/>
                <w:sz w:val="16"/>
                <w:szCs w:val="16"/>
              </w:rPr>
              <w:t>TRM</w:t>
            </w:r>
          </w:p>
        </w:tc>
        <w:tc>
          <w:tcPr>
            <w:tcW w:w="1274" w:type="dxa"/>
          </w:tcPr>
          <w:p w14:paraId="6FC1FC0C" w14:textId="77777777" w:rsidR="000E2B3F" w:rsidRPr="002441D8" w:rsidRDefault="000E2B3F">
            <w:pPr>
              <w:rPr>
                <w:b/>
                <w:sz w:val="16"/>
                <w:szCs w:val="16"/>
              </w:rPr>
            </w:pPr>
            <w:r w:rsidRPr="002441D8">
              <w:rPr>
                <w:b/>
                <w:sz w:val="16"/>
                <w:szCs w:val="16"/>
              </w:rPr>
              <w:t>Study type</w:t>
            </w:r>
          </w:p>
        </w:tc>
      </w:tr>
      <w:tr w:rsidR="000E2B3F" w:rsidRPr="002441D8" w14:paraId="767AFB70" w14:textId="77777777" w:rsidTr="000E2B3F">
        <w:tc>
          <w:tcPr>
            <w:tcW w:w="14238" w:type="dxa"/>
            <w:gridSpan w:val="11"/>
          </w:tcPr>
          <w:p w14:paraId="1AC0EE19" w14:textId="77777777" w:rsidR="000E2B3F" w:rsidRPr="002441D8" w:rsidRDefault="000E2B3F">
            <w:pPr>
              <w:rPr>
                <w:b/>
                <w:sz w:val="16"/>
                <w:szCs w:val="16"/>
              </w:rPr>
            </w:pPr>
            <w:r w:rsidRPr="002441D8">
              <w:rPr>
                <w:b/>
                <w:sz w:val="16"/>
                <w:szCs w:val="16"/>
              </w:rPr>
              <w:t>Chronic phase</w:t>
            </w:r>
          </w:p>
        </w:tc>
      </w:tr>
      <w:tr w:rsidR="000E2B3F" w:rsidRPr="002441D8" w14:paraId="1326142C" w14:textId="77777777" w:rsidTr="000E2B3F">
        <w:tc>
          <w:tcPr>
            <w:tcW w:w="1287" w:type="dxa"/>
          </w:tcPr>
          <w:p w14:paraId="670CE707" w14:textId="77777777" w:rsidR="000E2B3F" w:rsidRPr="002441D8" w:rsidRDefault="000E2B3F" w:rsidP="000E2B3F">
            <w:pPr>
              <w:rPr>
                <w:sz w:val="16"/>
                <w:szCs w:val="16"/>
              </w:rPr>
            </w:pPr>
            <w:r w:rsidRPr="002441D8">
              <w:rPr>
                <w:sz w:val="16"/>
                <w:szCs w:val="16"/>
              </w:rPr>
              <w:t xml:space="preserve">Luo </w:t>
            </w:r>
            <w:r w:rsidRPr="002441D8">
              <w:rPr>
                <w:i/>
                <w:sz w:val="16"/>
                <w:szCs w:val="16"/>
              </w:rPr>
              <w:t>et al</w:t>
            </w:r>
            <w:r w:rsidRPr="002441D8">
              <w:rPr>
                <w:sz w:val="16"/>
                <w:szCs w:val="16"/>
              </w:rPr>
              <w:t xml:space="preserve"> 2009</w:t>
            </w:r>
            <w:r w:rsidRPr="002441D8">
              <w:rPr>
                <w:sz w:val="16"/>
                <w:szCs w:val="16"/>
                <w:vertAlign w:val="superscript"/>
              </w:rPr>
              <w:t>67</w:t>
            </w:r>
          </w:p>
        </w:tc>
        <w:tc>
          <w:tcPr>
            <w:tcW w:w="1271" w:type="dxa"/>
          </w:tcPr>
          <w:p w14:paraId="7507F4BF" w14:textId="77777777" w:rsidR="000E2B3F" w:rsidRPr="002441D8" w:rsidRDefault="000E2B3F" w:rsidP="000E2B3F">
            <w:pPr>
              <w:rPr>
                <w:sz w:val="16"/>
                <w:szCs w:val="16"/>
              </w:rPr>
            </w:pPr>
            <w:r w:rsidRPr="002441D8">
              <w:rPr>
                <w:sz w:val="16"/>
                <w:szCs w:val="16"/>
              </w:rPr>
              <w:t xml:space="preserve">28 / </w:t>
            </w:r>
          </w:p>
          <w:p w14:paraId="4D45313B" w14:textId="77777777" w:rsidR="000E2B3F" w:rsidRPr="002441D8" w:rsidRDefault="000E2B3F" w:rsidP="000E2B3F">
            <w:pPr>
              <w:rPr>
                <w:sz w:val="16"/>
                <w:szCs w:val="16"/>
              </w:rPr>
            </w:pPr>
            <w:r w:rsidRPr="002441D8">
              <w:rPr>
                <w:sz w:val="16"/>
                <w:szCs w:val="16"/>
              </w:rPr>
              <w:t>2005 - 2007</w:t>
            </w:r>
          </w:p>
        </w:tc>
        <w:tc>
          <w:tcPr>
            <w:tcW w:w="1244" w:type="dxa"/>
          </w:tcPr>
          <w:p w14:paraId="727E895C" w14:textId="77777777" w:rsidR="000E2B3F" w:rsidRPr="002441D8" w:rsidRDefault="000E2B3F" w:rsidP="000E2B3F">
            <w:pPr>
              <w:rPr>
                <w:sz w:val="16"/>
                <w:szCs w:val="16"/>
              </w:rPr>
            </w:pPr>
            <w:r w:rsidRPr="002441D8">
              <w:rPr>
                <w:sz w:val="16"/>
                <w:szCs w:val="16"/>
              </w:rPr>
              <w:t>CP1 100%</w:t>
            </w:r>
          </w:p>
        </w:tc>
        <w:tc>
          <w:tcPr>
            <w:tcW w:w="1258" w:type="dxa"/>
          </w:tcPr>
          <w:p w14:paraId="7B6881F5" w14:textId="77777777" w:rsidR="000E2B3F" w:rsidRPr="002441D8" w:rsidRDefault="000E2B3F" w:rsidP="000E2B3F">
            <w:pPr>
              <w:rPr>
                <w:sz w:val="16"/>
                <w:szCs w:val="16"/>
              </w:rPr>
            </w:pPr>
            <w:r w:rsidRPr="002441D8">
              <w:rPr>
                <w:sz w:val="16"/>
                <w:szCs w:val="16"/>
              </w:rPr>
              <w:t>Imatinib 100%</w:t>
            </w:r>
          </w:p>
        </w:tc>
        <w:tc>
          <w:tcPr>
            <w:tcW w:w="1446" w:type="dxa"/>
          </w:tcPr>
          <w:p w14:paraId="734E97CD" w14:textId="77777777" w:rsidR="000E2B3F" w:rsidRPr="002441D8" w:rsidRDefault="000E2B3F" w:rsidP="000E2B3F">
            <w:pPr>
              <w:rPr>
                <w:sz w:val="16"/>
                <w:szCs w:val="16"/>
              </w:rPr>
            </w:pPr>
            <w:r w:rsidRPr="002441D8">
              <w:rPr>
                <w:sz w:val="16"/>
                <w:szCs w:val="16"/>
              </w:rPr>
              <w:t>Sib 46%</w:t>
            </w:r>
          </w:p>
          <w:p w14:paraId="292280CB" w14:textId="77777777" w:rsidR="000E2B3F" w:rsidRPr="002441D8" w:rsidRDefault="000E2B3F" w:rsidP="000E2B3F">
            <w:pPr>
              <w:rPr>
                <w:sz w:val="16"/>
                <w:szCs w:val="16"/>
              </w:rPr>
            </w:pPr>
            <w:r w:rsidRPr="002441D8">
              <w:rPr>
                <w:sz w:val="16"/>
                <w:szCs w:val="16"/>
              </w:rPr>
              <w:t>URD 54%</w:t>
            </w:r>
          </w:p>
        </w:tc>
        <w:tc>
          <w:tcPr>
            <w:tcW w:w="1429" w:type="dxa"/>
          </w:tcPr>
          <w:p w14:paraId="2BB3C630" w14:textId="77777777" w:rsidR="000E2B3F" w:rsidRPr="002441D8" w:rsidRDefault="000E2B3F" w:rsidP="000E2B3F">
            <w:pPr>
              <w:rPr>
                <w:sz w:val="16"/>
                <w:szCs w:val="16"/>
              </w:rPr>
            </w:pPr>
            <w:r w:rsidRPr="002441D8">
              <w:rPr>
                <w:sz w:val="16"/>
                <w:szCs w:val="16"/>
              </w:rPr>
              <w:t>BM 25%, PB 75%</w:t>
            </w:r>
          </w:p>
        </w:tc>
        <w:tc>
          <w:tcPr>
            <w:tcW w:w="1269" w:type="dxa"/>
          </w:tcPr>
          <w:p w14:paraId="2AC6DC22" w14:textId="77777777" w:rsidR="000E2B3F" w:rsidRPr="002441D8" w:rsidRDefault="000E2B3F" w:rsidP="000E2B3F">
            <w:pPr>
              <w:rPr>
                <w:sz w:val="16"/>
                <w:szCs w:val="16"/>
              </w:rPr>
            </w:pPr>
            <w:r w:rsidRPr="002441D8">
              <w:rPr>
                <w:sz w:val="16"/>
                <w:szCs w:val="16"/>
              </w:rPr>
              <w:t>RIC 100%</w:t>
            </w:r>
          </w:p>
        </w:tc>
        <w:tc>
          <w:tcPr>
            <w:tcW w:w="1260" w:type="dxa"/>
          </w:tcPr>
          <w:p w14:paraId="29F7BCC6" w14:textId="77777777" w:rsidR="000E2B3F" w:rsidRPr="002441D8" w:rsidRDefault="000E2B3F" w:rsidP="000E2B3F">
            <w:pPr>
              <w:rPr>
                <w:sz w:val="16"/>
                <w:szCs w:val="16"/>
              </w:rPr>
            </w:pPr>
            <w:r w:rsidRPr="002441D8">
              <w:rPr>
                <w:sz w:val="16"/>
                <w:szCs w:val="16"/>
              </w:rPr>
              <w:t xml:space="preserve">67% (DFS at 3 years) </w:t>
            </w:r>
          </w:p>
        </w:tc>
        <w:tc>
          <w:tcPr>
            <w:tcW w:w="1252" w:type="dxa"/>
          </w:tcPr>
          <w:p w14:paraId="2011C927" w14:textId="77777777" w:rsidR="000E2B3F" w:rsidRPr="002441D8" w:rsidRDefault="000E2B3F" w:rsidP="000E2B3F">
            <w:pPr>
              <w:rPr>
                <w:sz w:val="16"/>
                <w:szCs w:val="16"/>
              </w:rPr>
            </w:pPr>
            <w:r w:rsidRPr="002441D8">
              <w:rPr>
                <w:sz w:val="16"/>
                <w:szCs w:val="16"/>
              </w:rPr>
              <w:t xml:space="preserve">81% </w:t>
            </w:r>
          </w:p>
          <w:p w14:paraId="655EB31C" w14:textId="77777777" w:rsidR="000E2B3F" w:rsidRPr="002441D8" w:rsidRDefault="000E2B3F" w:rsidP="000E2B3F">
            <w:pPr>
              <w:rPr>
                <w:sz w:val="16"/>
                <w:szCs w:val="16"/>
              </w:rPr>
            </w:pPr>
            <w:r w:rsidRPr="002441D8">
              <w:rPr>
                <w:sz w:val="16"/>
                <w:szCs w:val="16"/>
              </w:rPr>
              <w:t>(3 years)</w:t>
            </w:r>
          </w:p>
        </w:tc>
        <w:tc>
          <w:tcPr>
            <w:tcW w:w="1248" w:type="dxa"/>
          </w:tcPr>
          <w:p w14:paraId="7D0A201F" w14:textId="77777777" w:rsidR="000E2B3F" w:rsidRPr="002441D8" w:rsidRDefault="000E2B3F" w:rsidP="000E2B3F">
            <w:pPr>
              <w:rPr>
                <w:sz w:val="16"/>
                <w:szCs w:val="16"/>
              </w:rPr>
            </w:pPr>
            <w:r w:rsidRPr="002441D8">
              <w:rPr>
                <w:sz w:val="16"/>
                <w:szCs w:val="16"/>
              </w:rPr>
              <w:t>4%</w:t>
            </w:r>
          </w:p>
        </w:tc>
        <w:tc>
          <w:tcPr>
            <w:tcW w:w="1274" w:type="dxa"/>
          </w:tcPr>
          <w:p w14:paraId="087F3522" w14:textId="77777777" w:rsidR="000E2B3F" w:rsidRPr="002441D8" w:rsidRDefault="000E2B3F" w:rsidP="000E2B3F">
            <w:pPr>
              <w:rPr>
                <w:sz w:val="16"/>
                <w:szCs w:val="16"/>
              </w:rPr>
            </w:pPr>
            <w:r w:rsidRPr="002441D8">
              <w:rPr>
                <w:sz w:val="16"/>
                <w:szCs w:val="16"/>
              </w:rPr>
              <w:t>Retrospective single centre study</w:t>
            </w:r>
          </w:p>
        </w:tc>
      </w:tr>
      <w:tr w:rsidR="000E2B3F" w:rsidRPr="002441D8" w14:paraId="0B68BC0C" w14:textId="77777777" w:rsidTr="000E2B3F">
        <w:tc>
          <w:tcPr>
            <w:tcW w:w="1287" w:type="dxa"/>
          </w:tcPr>
          <w:p w14:paraId="36E0A604" w14:textId="77777777" w:rsidR="000E2B3F" w:rsidRPr="002441D8" w:rsidRDefault="000E2B3F" w:rsidP="000E2B3F">
            <w:pPr>
              <w:rPr>
                <w:sz w:val="16"/>
                <w:szCs w:val="16"/>
              </w:rPr>
            </w:pPr>
            <w:r w:rsidRPr="002441D8">
              <w:rPr>
                <w:sz w:val="16"/>
                <w:szCs w:val="16"/>
              </w:rPr>
              <w:t>Pavl</w:t>
            </w:r>
            <w:r w:rsidRPr="002441D8">
              <w:rPr>
                <w:rFonts w:ascii="Calibri" w:hAnsi="Calibri"/>
                <w:sz w:val="16"/>
                <w:szCs w:val="16"/>
              </w:rPr>
              <w:t>ů</w:t>
            </w:r>
            <w:r w:rsidRPr="002441D8">
              <w:rPr>
                <w:sz w:val="16"/>
                <w:szCs w:val="16"/>
              </w:rPr>
              <w:t xml:space="preserve"> </w:t>
            </w:r>
            <w:r w:rsidRPr="002441D8">
              <w:rPr>
                <w:i/>
                <w:sz w:val="16"/>
                <w:szCs w:val="16"/>
              </w:rPr>
              <w:t>et al</w:t>
            </w:r>
            <w:r w:rsidRPr="002441D8">
              <w:rPr>
                <w:sz w:val="16"/>
                <w:szCs w:val="16"/>
              </w:rPr>
              <w:t xml:space="preserve"> 2009</w:t>
            </w:r>
            <w:r w:rsidRPr="002441D8">
              <w:rPr>
                <w:sz w:val="16"/>
                <w:szCs w:val="16"/>
                <w:vertAlign w:val="superscript"/>
              </w:rPr>
              <w:t>11</w:t>
            </w:r>
          </w:p>
        </w:tc>
        <w:tc>
          <w:tcPr>
            <w:tcW w:w="1271" w:type="dxa"/>
          </w:tcPr>
          <w:p w14:paraId="634DAC9C" w14:textId="77777777" w:rsidR="000E2B3F" w:rsidRPr="002441D8" w:rsidRDefault="000E2B3F" w:rsidP="000E2B3F">
            <w:pPr>
              <w:rPr>
                <w:sz w:val="16"/>
                <w:szCs w:val="16"/>
              </w:rPr>
            </w:pPr>
            <w:r w:rsidRPr="002441D8">
              <w:rPr>
                <w:sz w:val="16"/>
                <w:szCs w:val="16"/>
              </w:rPr>
              <w:t xml:space="preserve">173 / </w:t>
            </w:r>
          </w:p>
          <w:p w14:paraId="35E3CF9D" w14:textId="77777777" w:rsidR="000E2B3F" w:rsidRPr="002441D8" w:rsidRDefault="000E2B3F" w:rsidP="000E2B3F">
            <w:pPr>
              <w:rPr>
                <w:sz w:val="16"/>
                <w:szCs w:val="16"/>
              </w:rPr>
            </w:pPr>
            <w:r w:rsidRPr="002441D8">
              <w:rPr>
                <w:sz w:val="16"/>
                <w:szCs w:val="16"/>
              </w:rPr>
              <w:t>2000 - 2010</w:t>
            </w:r>
          </w:p>
        </w:tc>
        <w:tc>
          <w:tcPr>
            <w:tcW w:w="1244" w:type="dxa"/>
          </w:tcPr>
          <w:p w14:paraId="7FA085EF" w14:textId="77777777" w:rsidR="000E2B3F" w:rsidRPr="002441D8" w:rsidRDefault="000E2B3F" w:rsidP="000E2B3F">
            <w:pPr>
              <w:rPr>
                <w:sz w:val="16"/>
                <w:szCs w:val="16"/>
              </w:rPr>
            </w:pPr>
            <w:r w:rsidRPr="002441D8">
              <w:rPr>
                <w:sz w:val="16"/>
                <w:szCs w:val="16"/>
              </w:rPr>
              <w:t>CP1 100%</w:t>
            </w:r>
          </w:p>
        </w:tc>
        <w:tc>
          <w:tcPr>
            <w:tcW w:w="1258" w:type="dxa"/>
          </w:tcPr>
          <w:p w14:paraId="4C3F221A" w14:textId="77777777" w:rsidR="000E2B3F" w:rsidRPr="002441D8" w:rsidRDefault="000E2B3F" w:rsidP="000E2B3F">
            <w:pPr>
              <w:rPr>
                <w:sz w:val="16"/>
                <w:szCs w:val="16"/>
              </w:rPr>
            </w:pPr>
            <w:r w:rsidRPr="002441D8">
              <w:rPr>
                <w:sz w:val="16"/>
                <w:szCs w:val="16"/>
              </w:rPr>
              <w:t>NR</w:t>
            </w:r>
          </w:p>
        </w:tc>
        <w:tc>
          <w:tcPr>
            <w:tcW w:w="1446" w:type="dxa"/>
          </w:tcPr>
          <w:p w14:paraId="2D0C1816" w14:textId="77777777" w:rsidR="000E2B3F" w:rsidRPr="002441D8" w:rsidRDefault="000E2B3F" w:rsidP="000E2B3F">
            <w:pPr>
              <w:rPr>
                <w:sz w:val="16"/>
                <w:szCs w:val="16"/>
              </w:rPr>
            </w:pPr>
            <w:r w:rsidRPr="002441D8">
              <w:rPr>
                <w:sz w:val="16"/>
                <w:szCs w:val="16"/>
              </w:rPr>
              <w:t>NR</w:t>
            </w:r>
          </w:p>
        </w:tc>
        <w:tc>
          <w:tcPr>
            <w:tcW w:w="1429" w:type="dxa"/>
          </w:tcPr>
          <w:p w14:paraId="4404D943" w14:textId="77777777" w:rsidR="000E2B3F" w:rsidRPr="002441D8" w:rsidRDefault="000E2B3F" w:rsidP="000E2B3F">
            <w:pPr>
              <w:rPr>
                <w:sz w:val="16"/>
                <w:szCs w:val="16"/>
              </w:rPr>
            </w:pPr>
            <w:r w:rsidRPr="002441D8">
              <w:rPr>
                <w:sz w:val="16"/>
                <w:szCs w:val="16"/>
              </w:rPr>
              <w:t>NR</w:t>
            </w:r>
          </w:p>
        </w:tc>
        <w:tc>
          <w:tcPr>
            <w:tcW w:w="1269" w:type="dxa"/>
          </w:tcPr>
          <w:p w14:paraId="090FADF1" w14:textId="77777777" w:rsidR="000E2B3F" w:rsidRPr="002441D8" w:rsidRDefault="000E2B3F" w:rsidP="000E2B3F">
            <w:pPr>
              <w:rPr>
                <w:sz w:val="16"/>
                <w:szCs w:val="16"/>
              </w:rPr>
            </w:pPr>
            <w:r w:rsidRPr="002441D8">
              <w:rPr>
                <w:sz w:val="16"/>
                <w:szCs w:val="16"/>
              </w:rPr>
              <w:t>NR</w:t>
            </w:r>
          </w:p>
        </w:tc>
        <w:tc>
          <w:tcPr>
            <w:tcW w:w="1260" w:type="dxa"/>
          </w:tcPr>
          <w:p w14:paraId="3990BEC8" w14:textId="77777777" w:rsidR="000E2B3F" w:rsidRPr="002441D8" w:rsidRDefault="000E2B3F" w:rsidP="000E2B3F">
            <w:pPr>
              <w:rPr>
                <w:sz w:val="16"/>
                <w:szCs w:val="16"/>
              </w:rPr>
            </w:pPr>
            <w:r w:rsidRPr="002441D8">
              <w:rPr>
                <w:sz w:val="16"/>
                <w:szCs w:val="16"/>
              </w:rPr>
              <w:t>NR</w:t>
            </w:r>
          </w:p>
        </w:tc>
        <w:tc>
          <w:tcPr>
            <w:tcW w:w="1252" w:type="dxa"/>
          </w:tcPr>
          <w:p w14:paraId="00F3DC65" w14:textId="77777777" w:rsidR="000E2B3F" w:rsidRPr="002441D8" w:rsidRDefault="000E2B3F" w:rsidP="000E2B3F">
            <w:pPr>
              <w:rPr>
                <w:sz w:val="16"/>
                <w:szCs w:val="16"/>
              </w:rPr>
            </w:pPr>
            <w:r w:rsidRPr="002441D8">
              <w:rPr>
                <w:sz w:val="16"/>
                <w:szCs w:val="16"/>
              </w:rPr>
              <w:t>89%</w:t>
            </w:r>
          </w:p>
          <w:p w14:paraId="265ACB16" w14:textId="77777777" w:rsidR="000E2B3F" w:rsidRPr="002441D8" w:rsidRDefault="000E2B3F" w:rsidP="000E2B3F">
            <w:pPr>
              <w:rPr>
                <w:sz w:val="16"/>
                <w:szCs w:val="16"/>
              </w:rPr>
            </w:pPr>
            <w:r w:rsidRPr="002441D8">
              <w:rPr>
                <w:sz w:val="16"/>
                <w:szCs w:val="16"/>
              </w:rPr>
              <w:t>(If EBMT score 0 or 1)</w:t>
            </w:r>
          </w:p>
          <w:p w14:paraId="042DCDE9" w14:textId="77777777" w:rsidR="000E2B3F" w:rsidRPr="002441D8" w:rsidRDefault="000E2B3F" w:rsidP="000E2B3F">
            <w:pPr>
              <w:rPr>
                <w:sz w:val="16"/>
                <w:szCs w:val="16"/>
              </w:rPr>
            </w:pPr>
            <w:r w:rsidRPr="002441D8">
              <w:rPr>
                <w:sz w:val="16"/>
                <w:szCs w:val="16"/>
              </w:rPr>
              <w:t>(3 year)</w:t>
            </w:r>
          </w:p>
        </w:tc>
        <w:tc>
          <w:tcPr>
            <w:tcW w:w="1248" w:type="dxa"/>
          </w:tcPr>
          <w:p w14:paraId="6C410420" w14:textId="77777777" w:rsidR="000E2B3F" w:rsidRPr="002441D8" w:rsidRDefault="000E2B3F" w:rsidP="000E2B3F">
            <w:pPr>
              <w:rPr>
                <w:sz w:val="16"/>
                <w:szCs w:val="16"/>
              </w:rPr>
            </w:pPr>
            <w:r w:rsidRPr="002441D8">
              <w:rPr>
                <w:sz w:val="16"/>
                <w:szCs w:val="16"/>
              </w:rPr>
              <w:t>NR</w:t>
            </w:r>
          </w:p>
        </w:tc>
        <w:tc>
          <w:tcPr>
            <w:tcW w:w="1274" w:type="dxa"/>
          </w:tcPr>
          <w:p w14:paraId="154822B8" w14:textId="77777777" w:rsidR="000E2B3F" w:rsidRPr="002441D8" w:rsidRDefault="000E2B3F" w:rsidP="000E2B3F">
            <w:pPr>
              <w:rPr>
                <w:sz w:val="16"/>
                <w:szCs w:val="16"/>
              </w:rPr>
            </w:pPr>
            <w:r w:rsidRPr="002441D8">
              <w:rPr>
                <w:sz w:val="16"/>
                <w:szCs w:val="16"/>
              </w:rPr>
              <w:t>Retrospective single centre study</w:t>
            </w:r>
          </w:p>
        </w:tc>
      </w:tr>
      <w:tr w:rsidR="000E2B3F" w:rsidRPr="002441D8" w14:paraId="71183160" w14:textId="77777777" w:rsidTr="000E2B3F">
        <w:tc>
          <w:tcPr>
            <w:tcW w:w="1287" w:type="dxa"/>
          </w:tcPr>
          <w:p w14:paraId="4C02CB9C" w14:textId="77777777" w:rsidR="000E2B3F" w:rsidRPr="002441D8" w:rsidRDefault="000E2B3F" w:rsidP="000E2B3F">
            <w:pPr>
              <w:rPr>
                <w:sz w:val="16"/>
                <w:szCs w:val="16"/>
              </w:rPr>
            </w:pPr>
            <w:r w:rsidRPr="002441D8">
              <w:rPr>
                <w:rFonts w:cs="AdvTTe5c5f14d.B"/>
                <w:sz w:val="16"/>
                <w:szCs w:val="16"/>
              </w:rPr>
              <w:t xml:space="preserve">Liu </w:t>
            </w:r>
            <w:r w:rsidRPr="002441D8">
              <w:rPr>
                <w:rFonts w:cs="AdvTTe5c5f14d.B"/>
                <w:i/>
                <w:sz w:val="16"/>
                <w:szCs w:val="16"/>
              </w:rPr>
              <w:t>et al</w:t>
            </w:r>
            <w:r w:rsidRPr="002441D8">
              <w:rPr>
                <w:rFonts w:cs="AdvTTe5c5f14d.B"/>
                <w:sz w:val="16"/>
                <w:szCs w:val="16"/>
              </w:rPr>
              <w:t xml:space="preserve"> 2011</w:t>
            </w:r>
            <w:r w:rsidRPr="002441D8">
              <w:rPr>
                <w:rFonts w:cs="AdvTTe5c5f14d.B"/>
                <w:sz w:val="16"/>
                <w:szCs w:val="16"/>
                <w:vertAlign w:val="superscript"/>
              </w:rPr>
              <w:t>68</w:t>
            </w:r>
          </w:p>
        </w:tc>
        <w:tc>
          <w:tcPr>
            <w:tcW w:w="1271" w:type="dxa"/>
          </w:tcPr>
          <w:p w14:paraId="224A02CE" w14:textId="77777777" w:rsidR="000E2B3F" w:rsidRPr="002441D8" w:rsidRDefault="000E2B3F" w:rsidP="000E2B3F">
            <w:pPr>
              <w:rPr>
                <w:sz w:val="16"/>
                <w:szCs w:val="16"/>
              </w:rPr>
            </w:pPr>
            <w:r w:rsidRPr="002441D8">
              <w:rPr>
                <w:sz w:val="16"/>
                <w:szCs w:val="16"/>
              </w:rPr>
              <w:t xml:space="preserve">91 / </w:t>
            </w:r>
          </w:p>
          <w:p w14:paraId="0C5A583B" w14:textId="77777777" w:rsidR="000E2B3F" w:rsidRPr="002441D8" w:rsidRDefault="000E2B3F" w:rsidP="000E2B3F">
            <w:pPr>
              <w:rPr>
                <w:sz w:val="16"/>
                <w:szCs w:val="16"/>
              </w:rPr>
            </w:pPr>
            <w:r w:rsidRPr="002441D8">
              <w:rPr>
                <w:sz w:val="16"/>
                <w:szCs w:val="16"/>
              </w:rPr>
              <w:t>1997 - 2009</w:t>
            </w:r>
          </w:p>
        </w:tc>
        <w:tc>
          <w:tcPr>
            <w:tcW w:w="1244" w:type="dxa"/>
          </w:tcPr>
          <w:p w14:paraId="00F7762D" w14:textId="77777777" w:rsidR="000E2B3F" w:rsidRPr="002441D8" w:rsidRDefault="000E2B3F" w:rsidP="000E2B3F">
            <w:pPr>
              <w:rPr>
                <w:sz w:val="16"/>
                <w:szCs w:val="16"/>
              </w:rPr>
            </w:pPr>
            <w:r w:rsidRPr="002441D8">
              <w:rPr>
                <w:sz w:val="16"/>
                <w:szCs w:val="16"/>
              </w:rPr>
              <w:t>CP1 100%</w:t>
            </w:r>
          </w:p>
        </w:tc>
        <w:tc>
          <w:tcPr>
            <w:tcW w:w="1258" w:type="dxa"/>
          </w:tcPr>
          <w:p w14:paraId="307D4C4E" w14:textId="77777777" w:rsidR="000E2B3F" w:rsidRPr="002441D8" w:rsidRDefault="000E2B3F" w:rsidP="000E2B3F">
            <w:pPr>
              <w:rPr>
                <w:sz w:val="16"/>
                <w:szCs w:val="16"/>
              </w:rPr>
            </w:pPr>
            <w:r w:rsidRPr="002441D8">
              <w:rPr>
                <w:sz w:val="16"/>
                <w:szCs w:val="16"/>
              </w:rPr>
              <w:t>Imatinib resistance 4%</w:t>
            </w:r>
          </w:p>
        </w:tc>
        <w:tc>
          <w:tcPr>
            <w:tcW w:w="1446" w:type="dxa"/>
          </w:tcPr>
          <w:p w14:paraId="51E50967" w14:textId="77777777" w:rsidR="000E2B3F" w:rsidRPr="002441D8" w:rsidRDefault="000E2B3F" w:rsidP="000E2B3F">
            <w:pPr>
              <w:rPr>
                <w:sz w:val="16"/>
                <w:szCs w:val="16"/>
              </w:rPr>
            </w:pPr>
            <w:r w:rsidRPr="002441D8">
              <w:rPr>
                <w:sz w:val="16"/>
                <w:szCs w:val="16"/>
              </w:rPr>
              <w:t>Sib 53%</w:t>
            </w:r>
          </w:p>
          <w:p w14:paraId="5AA69B2E" w14:textId="77777777" w:rsidR="000E2B3F" w:rsidRPr="002441D8" w:rsidRDefault="000E2B3F" w:rsidP="000E2B3F">
            <w:pPr>
              <w:rPr>
                <w:sz w:val="16"/>
                <w:szCs w:val="16"/>
              </w:rPr>
            </w:pPr>
            <w:r w:rsidRPr="002441D8">
              <w:rPr>
                <w:sz w:val="16"/>
                <w:szCs w:val="16"/>
              </w:rPr>
              <w:t>Related, other 14%,</w:t>
            </w:r>
          </w:p>
          <w:p w14:paraId="449C254D" w14:textId="77777777" w:rsidR="000E2B3F" w:rsidRPr="002441D8" w:rsidRDefault="000E2B3F" w:rsidP="000E2B3F">
            <w:pPr>
              <w:rPr>
                <w:sz w:val="16"/>
                <w:szCs w:val="16"/>
              </w:rPr>
            </w:pPr>
            <w:r w:rsidRPr="002441D8">
              <w:rPr>
                <w:sz w:val="16"/>
                <w:szCs w:val="16"/>
              </w:rPr>
              <w:t>URD 33%</w:t>
            </w:r>
          </w:p>
        </w:tc>
        <w:tc>
          <w:tcPr>
            <w:tcW w:w="1429" w:type="dxa"/>
          </w:tcPr>
          <w:p w14:paraId="354FE2E6" w14:textId="77777777" w:rsidR="000E2B3F" w:rsidRPr="002441D8" w:rsidRDefault="000E2B3F" w:rsidP="000E2B3F">
            <w:pPr>
              <w:rPr>
                <w:sz w:val="16"/>
                <w:szCs w:val="16"/>
              </w:rPr>
            </w:pPr>
            <w:r w:rsidRPr="002441D8">
              <w:rPr>
                <w:sz w:val="16"/>
                <w:szCs w:val="16"/>
              </w:rPr>
              <w:t>BM 34%,</w:t>
            </w:r>
          </w:p>
          <w:p w14:paraId="54C068EC" w14:textId="77777777" w:rsidR="000E2B3F" w:rsidRPr="002441D8" w:rsidRDefault="000E2B3F" w:rsidP="000E2B3F">
            <w:pPr>
              <w:rPr>
                <w:sz w:val="16"/>
                <w:szCs w:val="16"/>
              </w:rPr>
            </w:pPr>
            <w:r w:rsidRPr="002441D8">
              <w:rPr>
                <w:sz w:val="16"/>
                <w:szCs w:val="16"/>
              </w:rPr>
              <w:t>PB 66%</w:t>
            </w:r>
          </w:p>
        </w:tc>
        <w:tc>
          <w:tcPr>
            <w:tcW w:w="1269" w:type="dxa"/>
          </w:tcPr>
          <w:p w14:paraId="7485F7A1" w14:textId="77777777" w:rsidR="000E2B3F" w:rsidRPr="002441D8" w:rsidRDefault="000E2B3F" w:rsidP="000E2B3F">
            <w:pPr>
              <w:rPr>
                <w:sz w:val="16"/>
                <w:szCs w:val="16"/>
              </w:rPr>
            </w:pPr>
            <w:r w:rsidRPr="002441D8">
              <w:rPr>
                <w:sz w:val="16"/>
                <w:szCs w:val="16"/>
              </w:rPr>
              <w:t>MAC 100%</w:t>
            </w:r>
          </w:p>
        </w:tc>
        <w:tc>
          <w:tcPr>
            <w:tcW w:w="1260" w:type="dxa"/>
          </w:tcPr>
          <w:p w14:paraId="5279C9C8" w14:textId="77777777" w:rsidR="000E2B3F" w:rsidRPr="002441D8" w:rsidRDefault="000E2B3F" w:rsidP="000E2B3F">
            <w:pPr>
              <w:rPr>
                <w:sz w:val="16"/>
                <w:szCs w:val="16"/>
              </w:rPr>
            </w:pPr>
            <w:r w:rsidRPr="002441D8">
              <w:rPr>
                <w:sz w:val="16"/>
                <w:szCs w:val="16"/>
              </w:rPr>
              <w:t xml:space="preserve">75% (DFS at 5 years) </w:t>
            </w:r>
          </w:p>
        </w:tc>
        <w:tc>
          <w:tcPr>
            <w:tcW w:w="1252" w:type="dxa"/>
          </w:tcPr>
          <w:p w14:paraId="253EE5E2" w14:textId="77777777" w:rsidR="000E2B3F" w:rsidRPr="002441D8" w:rsidRDefault="000E2B3F" w:rsidP="000E2B3F">
            <w:pPr>
              <w:rPr>
                <w:sz w:val="16"/>
                <w:szCs w:val="16"/>
              </w:rPr>
            </w:pPr>
            <w:r w:rsidRPr="002441D8">
              <w:rPr>
                <w:sz w:val="16"/>
                <w:szCs w:val="16"/>
              </w:rPr>
              <w:t>81.8</w:t>
            </w:r>
          </w:p>
          <w:p w14:paraId="7905DBFA" w14:textId="77777777" w:rsidR="000E2B3F" w:rsidRPr="002441D8" w:rsidRDefault="000E2B3F" w:rsidP="000E2B3F">
            <w:pPr>
              <w:rPr>
                <w:sz w:val="16"/>
                <w:szCs w:val="16"/>
              </w:rPr>
            </w:pPr>
            <w:r w:rsidRPr="002441D8">
              <w:rPr>
                <w:sz w:val="16"/>
                <w:szCs w:val="16"/>
              </w:rPr>
              <w:t>(5 year)</w:t>
            </w:r>
          </w:p>
        </w:tc>
        <w:tc>
          <w:tcPr>
            <w:tcW w:w="1248" w:type="dxa"/>
          </w:tcPr>
          <w:p w14:paraId="70D4ED98" w14:textId="77777777" w:rsidR="000E2B3F" w:rsidRPr="002441D8" w:rsidRDefault="000E2B3F" w:rsidP="000E2B3F">
            <w:pPr>
              <w:rPr>
                <w:sz w:val="16"/>
                <w:szCs w:val="16"/>
              </w:rPr>
            </w:pPr>
            <w:r w:rsidRPr="002441D8">
              <w:rPr>
                <w:sz w:val="16"/>
                <w:szCs w:val="16"/>
              </w:rPr>
              <w:t>15.9</w:t>
            </w:r>
          </w:p>
          <w:p w14:paraId="33ABD016" w14:textId="77777777" w:rsidR="000E2B3F" w:rsidRPr="002441D8" w:rsidRDefault="000E2B3F" w:rsidP="000E2B3F">
            <w:pPr>
              <w:rPr>
                <w:sz w:val="16"/>
                <w:szCs w:val="16"/>
              </w:rPr>
            </w:pPr>
            <w:r w:rsidRPr="002441D8">
              <w:rPr>
                <w:sz w:val="16"/>
                <w:szCs w:val="16"/>
              </w:rPr>
              <w:t>(5 year TRM)</w:t>
            </w:r>
          </w:p>
        </w:tc>
        <w:tc>
          <w:tcPr>
            <w:tcW w:w="1274" w:type="dxa"/>
          </w:tcPr>
          <w:p w14:paraId="615ABD2C" w14:textId="77777777" w:rsidR="000E2B3F" w:rsidRPr="002441D8" w:rsidRDefault="000E2B3F" w:rsidP="000E2B3F">
            <w:pPr>
              <w:rPr>
                <w:sz w:val="16"/>
                <w:szCs w:val="16"/>
              </w:rPr>
            </w:pPr>
            <w:r w:rsidRPr="002441D8">
              <w:rPr>
                <w:sz w:val="16"/>
                <w:szCs w:val="16"/>
              </w:rPr>
              <w:t>Retrospective single centre study</w:t>
            </w:r>
          </w:p>
        </w:tc>
      </w:tr>
      <w:tr w:rsidR="000E2B3F" w:rsidRPr="002441D8" w14:paraId="38C6E4B5" w14:textId="77777777" w:rsidTr="000E2B3F">
        <w:tc>
          <w:tcPr>
            <w:tcW w:w="14238" w:type="dxa"/>
            <w:gridSpan w:val="11"/>
          </w:tcPr>
          <w:p w14:paraId="482B1B66" w14:textId="77777777" w:rsidR="000E2B3F" w:rsidRPr="002441D8" w:rsidRDefault="000E2B3F">
            <w:pPr>
              <w:rPr>
                <w:b/>
                <w:sz w:val="16"/>
                <w:szCs w:val="16"/>
              </w:rPr>
            </w:pPr>
            <w:r w:rsidRPr="002441D8">
              <w:rPr>
                <w:b/>
                <w:sz w:val="16"/>
                <w:szCs w:val="16"/>
              </w:rPr>
              <w:t>Advanced phase (AP and BC)</w:t>
            </w:r>
          </w:p>
        </w:tc>
      </w:tr>
      <w:tr w:rsidR="000E2B3F" w:rsidRPr="002441D8" w14:paraId="6AEA8C64" w14:textId="77777777" w:rsidTr="000E2B3F">
        <w:tc>
          <w:tcPr>
            <w:tcW w:w="1287" w:type="dxa"/>
          </w:tcPr>
          <w:p w14:paraId="4140C6A0" w14:textId="77777777" w:rsidR="000E2B3F" w:rsidRPr="002441D8" w:rsidRDefault="000E2B3F" w:rsidP="000E2B3F">
            <w:pPr>
              <w:rPr>
                <w:rFonts w:cs="Helvetica"/>
                <w:sz w:val="16"/>
                <w:szCs w:val="16"/>
              </w:rPr>
            </w:pPr>
            <w:r w:rsidRPr="002441D8">
              <w:rPr>
                <w:rFonts w:cs="Helvetica"/>
                <w:sz w:val="16"/>
                <w:szCs w:val="16"/>
              </w:rPr>
              <w:t xml:space="preserve">Jiang </w:t>
            </w:r>
            <w:r w:rsidRPr="002441D8">
              <w:rPr>
                <w:rFonts w:cs="Helvetica"/>
                <w:i/>
                <w:sz w:val="16"/>
                <w:szCs w:val="16"/>
              </w:rPr>
              <w:t xml:space="preserve">et al </w:t>
            </w:r>
            <w:r w:rsidRPr="002441D8">
              <w:rPr>
                <w:rFonts w:cs="Helvetica"/>
                <w:sz w:val="16"/>
                <w:szCs w:val="16"/>
              </w:rPr>
              <w:t>2011</w:t>
            </w:r>
            <w:r w:rsidRPr="002441D8">
              <w:rPr>
                <w:rFonts w:cs="Helvetica"/>
                <w:sz w:val="16"/>
                <w:szCs w:val="16"/>
                <w:vertAlign w:val="superscript"/>
              </w:rPr>
              <w:t>49</w:t>
            </w:r>
            <w:r w:rsidRPr="002441D8">
              <w:rPr>
                <w:rFonts w:cs="Helvetica"/>
                <w:sz w:val="16"/>
                <w:szCs w:val="16"/>
              </w:rPr>
              <w:t xml:space="preserve"> </w:t>
            </w:r>
          </w:p>
        </w:tc>
        <w:tc>
          <w:tcPr>
            <w:tcW w:w="1271" w:type="dxa"/>
          </w:tcPr>
          <w:p w14:paraId="6D10BDEA" w14:textId="77777777" w:rsidR="000E2B3F" w:rsidRPr="002441D8" w:rsidRDefault="000E2B3F" w:rsidP="000E2B3F">
            <w:pPr>
              <w:rPr>
                <w:sz w:val="16"/>
                <w:szCs w:val="16"/>
              </w:rPr>
            </w:pPr>
            <w:r w:rsidRPr="002441D8">
              <w:rPr>
                <w:sz w:val="16"/>
                <w:szCs w:val="16"/>
              </w:rPr>
              <w:t xml:space="preserve">132 / </w:t>
            </w:r>
          </w:p>
          <w:p w14:paraId="3652B963" w14:textId="77777777" w:rsidR="000E2B3F" w:rsidRPr="002441D8" w:rsidRDefault="000E2B3F" w:rsidP="000E2B3F">
            <w:pPr>
              <w:rPr>
                <w:sz w:val="16"/>
                <w:szCs w:val="16"/>
              </w:rPr>
            </w:pPr>
            <w:r w:rsidRPr="002441D8">
              <w:rPr>
                <w:sz w:val="16"/>
                <w:szCs w:val="16"/>
              </w:rPr>
              <w:t>2001 - 2008</w:t>
            </w:r>
          </w:p>
        </w:tc>
        <w:tc>
          <w:tcPr>
            <w:tcW w:w="1244" w:type="dxa"/>
          </w:tcPr>
          <w:p w14:paraId="1E9EDCB7" w14:textId="77777777" w:rsidR="000E2B3F" w:rsidRPr="002441D8" w:rsidRDefault="000E2B3F" w:rsidP="000E2B3F">
            <w:pPr>
              <w:rPr>
                <w:sz w:val="16"/>
                <w:szCs w:val="16"/>
              </w:rPr>
            </w:pPr>
            <w:r w:rsidRPr="002441D8">
              <w:rPr>
                <w:sz w:val="16"/>
                <w:szCs w:val="16"/>
              </w:rPr>
              <w:t>AP 100%</w:t>
            </w:r>
          </w:p>
        </w:tc>
        <w:tc>
          <w:tcPr>
            <w:tcW w:w="1258" w:type="dxa"/>
          </w:tcPr>
          <w:p w14:paraId="4F861279" w14:textId="77777777" w:rsidR="000E2B3F" w:rsidRPr="002441D8" w:rsidRDefault="000E2B3F" w:rsidP="000E2B3F">
            <w:pPr>
              <w:rPr>
                <w:sz w:val="16"/>
                <w:szCs w:val="16"/>
              </w:rPr>
            </w:pPr>
            <w:r w:rsidRPr="002441D8">
              <w:rPr>
                <w:sz w:val="16"/>
                <w:szCs w:val="16"/>
              </w:rPr>
              <w:t>Imatinib only 66%</w:t>
            </w:r>
          </w:p>
          <w:p w14:paraId="657F9C6C" w14:textId="77777777" w:rsidR="000E2B3F" w:rsidRPr="002441D8" w:rsidRDefault="000E2B3F" w:rsidP="000E2B3F">
            <w:pPr>
              <w:rPr>
                <w:sz w:val="16"/>
                <w:szCs w:val="16"/>
              </w:rPr>
            </w:pPr>
          </w:p>
          <w:p w14:paraId="6BA0CDB9" w14:textId="77777777" w:rsidR="000E2B3F" w:rsidRPr="002441D8" w:rsidRDefault="000E2B3F" w:rsidP="000E2B3F">
            <w:pPr>
              <w:rPr>
                <w:sz w:val="16"/>
                <w:szCs w:val="16"/>
              </w:rPr>
            </w:pPr>
            <w:r w:rsidRPr="002441D8">
              <w:rPr>
                <w:sz w:val="16"/>
                <w:szCs w:val="16"/>
              </w:rPr>
              <w:t>Imatinib + HSCT 34%</w:t>
            </w:r>
          </w:p>
        </w:tc>
        <w:tc>
          <w:tcPr>
            <w:tcW w:w="1446" w:type="dxa"/>
          </w:tcPr>
          <w:p w14:paraId="13012107" w14:textId="77777777" w:rsidR="000E2B3F" w:rsidRPr="002441D8" w:rsidRDefault="000E2B3F" w:rsidP="000E2B3F">
            <w:pPr>
              <w:rPr>
                <w:sz w:val="16"/>
                <w:szCs w:val="16"/>
              </w:rPr>
            </w:pPr>
            <w:r w:rsidRPr="002441D8">
              <w:rPr>
                <w:sz w:val="16"/>
                <w:szCs w:val="16"/>
              </w:rPr>
              <w:t>Sib 42%,</w:t>
            </w:r>
          </w:p>
          <w:p w14:paraId="2D5CD5E5" w14:textId="77777777" w:rsidR="000E2B3F" w:rsidRPr="002441D8" w:rsidRDefault="000E2B3F" w:rsidP="000E2B3F">
            <w:pPr>
              <w:rPr>
                <w:sz w:val="16"/>
                <w:szCs w:val="16"/>
              </w:rPr>
            </w:pPr>
            <w:r w:rsidRPr="002441D8">
              <w:rPr>
                <w:sz w:val="16"/>
                <w:szCs w:val="16"/>
              </w:rPr>
              <w:t>Other 58%</w:t>
            </w:r>
          </w:p>
        </w:tc>
        <w:tc>
          <w:tcPr>
            <w:tcW w:w="1429" w:type="dxa"/>
          </w:tcPr>
          <w:p w14:paraId="5D868F8D" w14:textId="77777777" w:rsidR="000E2B3F" w:rsidRPr="002441D8" w:rsidRDefault="000E2B3F" w:rsidP="000E2B3F">
            <w:pPr>
              <w:rPr>
                <w:sz w:val="16"/>
                <w:szCs w:val="16"/>
              </w:rPr>
            </w:pPr>
            <w:r w:rsidRPr="002441D8">
              <w:rPr>
                <w:sz w:val="16"/>
                <w:szCs w:val="16"/>
              </w:rPr>
              <w:t>NR</w:t>
            </w:r>
          </w:p>
        </w:tc>
        <w:tc>
          <w:tcPr>
            <w:tcW w:w="1269" w:type="dxa"/>
          </w:tcPr>
          <w:p w14:paraId="0E3DFA81" w14:textId="77777777" w:rsidR="000E2B3F" w:rsidRPr="002441D8" w:rsidRDefault="000E2B3F" w:rsidP="000E2B3F">
            <w:pPr>
              <w:rPr>
                <w:sz w:val="16"/>
                <w:szCs w:val="16"/>
              </w:rPr>
            </w:pPr>
            <w:r w:rsidRPr="002441D8">
              <w:rPr>
                <w:sz w:val="16"/>
                <w:szCs w:val="16"/>
              </w:rPr>
              <w:t>100% MAC (of those transplanted)</w:t>
            </w:r>
          </w:p>
        </w:tc>
        <w:tc>
          <w:tcPr>
            <w:tcW w:w="1260" w:type="dxa"/>
          </w:tcPr>
          <w:p w14:paraId="7ABFD803" w14:textId="77777777" w:rsidR="000E2B3F" w:rsidRPr="002441D8" w:rsidRDefault="000E2B3F" w:rsidP="000E2B3F">
            <w:pPr>
              <w:rPr>
                <w:sz w:val="16"/>
                <w:szCs w:val="16"/>
              </w:rPr>
            </w:pPr>
            <w:r w:rsidRPr="002441D8">
              <w:rPr>
                <w:sz w:val="16"/>
                <w:szCs w:val="16"/>
              </w:rPr>
              <w:t xml:space="preserve">Low Risk: </w:t>
            </w:r>
          </w:p>
          <w:p w14:paraId="2CCEF14A" w14:textId="77777777" w:rsidR="000E2B3F" w:rsidRPr="002441D8" w:rsidRDefault="000E2B3F" w:rsidP="000E2B3F">
            <w:pPr>
              <w:rPr>
                <w:sz w:val="16"/>
                <w:szCs w:val="16"/>
              </w:rPr>
            </w:pPr>
            <w:r w:rsidRPr="002441D8">
              <w:rPr>
                <w:sz w:val="16"/>
                <w:szCs w:val="16"/>
              </w:rPr>
              <w:t>Imatinib 85%</w:t>
            </w:r>
          </w:p>
          <w:p w14:paraId="1A0B63A6" w14:textId="77777777" w:rsidR="000E2B3F" w:rsidRPr="002441D8" w:rsidRDefault="000E2B3F" w:rsidP="000E2B3F">
            <w:pPr>
              <w:rPr>
                <w:sz w:val="16"/>
                <w:szCs w:val="16"/>
              </w:rPr>
            </w:pPr>
            <w:r w:rsidRPr="002441D8">
              <w:rPr>
                <w:sz w:val="16"/>
                <w:szCs w:val="16"/>
              </w:rPr>
              <w:t>HSCT 95%</w:t>
            </w:r>
          </w:p>
          <w:p w14:paraId="41FAA0E2" w14:textId="77777777" w:rsidR="000E2B3F" w:rsidRPr="002441D8" w:rsidRDefault="000E2B3F" w:rsidP="000E2B3F">
            <w:pPr>
              <w:rPr>
                <w:sz w:val="16"/>
                <w:szCs w:val="16"/>
              </w:rPr>
            </w:pPr>
            <w:r w:rsidRPr="002441D8">
              <w:rPr>
                <w:sz w:val="16"/>
                <w:szCs w:val="16"/>
              </w:rPr>
              <w:t>(PFS at 6 years)</w:t>
            </w:r>
          </w:p>
          <w:p w14:paraId="46FAE62D" w14:textId="77777777" w:rsidR="000E2B3F" w:rsidRPr="002441D8" w:rsidRDefault="000E2B3F" w:rsidP="000E2B3F">
            <w:pPr>
              <w:rPr>
                <w:sz w:val="16"/>
                <w:szCs w:val="16"/>
              </w:rPr>
            </w:pPr>
          </w:p>
          <w:p w14:paraId="225D31A7" w14:textId="77777777" w:rsidR="000E2B3F" w:rsidRPr="002441D8" w:rsidRDefault="000E2B3F" w:rsidP="000E2B3F">
            <w:pPr>
              <w:rPr>
                <w:sz w:val="16"/>
                <w:szCs w:val="16"/>
              </w:rPr>
            </w:pPr>
            <w:r w:rsidRPr="002441D8">
              <w:rPr>
                <w:sz w:val="16"/>
                <w:szCs w:val="16"/>
              </w:rPr>
              <w:t>High Risk:</w:t>
            </w:r>
          </w:p>
          <w:p w14:paraId="6C469D52" w14:textId="77777777" w:rsidR="000E2B3F" w:rsidRPr="002441D8" w:rsidRDefault="000E2B3F" w:rsidP="000E2B3F">
            <w:pPr>
              <w:rPr>
                <w:sz w:val="16"/>
                <w:szCs w:val="16"/>
              </w:rPr>
            </w:pPr>
            <w:r w:rsidRPr="002441D8">
              <w:rPr>
                <w:sz w:val="16"/>
                <w:szCs w:val="16"/>
              </w:rPr>
              <w:t>Imatinib 19%</w:t>
            </w:r>
          </w:p>
          <w:p w14:paraId="6C0E41D5" w14:textId="77777777" w:rsidR="000E2B3F" w:rsidRPr="002441D8" w:rsidRDefault="000E2B3F" w:rsidP="000E2B3F">
            <w:pPr>
              <w:rPr>
                <w:sz w:val="16"/>
                <w:szCs w:val="16"/>
              </w:rPr>
            </w:pPr>
            <w:r w:rsidRPr="002441D8">
              <w:rPr>
                <w:sz w:val="16"/>
                <w:szCs w:val="16"/>
              </w:rPr>
              <w:t>HSCT100%</w:t>
            </w:r>
          </w:p>
          <w:p w14:paraId="7A0069B5" w14:textId="77777777" w:rsidR="000E2B3F" w:rsidRPr="002441D8" w:rsidRDefault="000E2B3F" w:rsidP="000E2B3F">
            <w:pPr>
              <w:rPr>
                <w:sz w:val="16"/>
                <w:szCs w:val="16"/>
              </w:rPr>
            </w:pPr>
            <w:r w:rsidRPr="002441D8">
              <w:rPr>
                <w:sz w:val="16"/>
                <w:szCs w:val="16"/>
              </w:rPr>
              <w:t>(PFS at 5 years)</w:t>
            </w:r>
          </w:p>
        </w:tc>
        <w:tc>
          <w:tcPr>
            <w:tcW w:w="1252" w:type="dxa"/>
          </w:tcPr>
          <w:p w14:paraId="7CE44328" w14:textId="77777777" w:rsidR="000E2B3F" w:rsidRPr="002441D8" w:rsidRDefault="000E2B3F" w:rsidP="000E2B3F">
            <w:pPr>
              <w:rPr>
                <w:sz w:val="16"/>
                <w:szCs w:val="16"/>
              </w:rPr>
            </w:pPr>
            <w:r w:rsidRPr="002441D8">
              <w:rPr>
                <w:sz w:val="16"/>
                <w:szCs w:val="16"/>
              </w:rPr>
              <w:t xml:space="preserve">Low Risk: </w:t>
            </w:r>
          </w:p>
          <w:p w14:paraId="5BF13FDA" w14:textId="77777777" w:rsidR="000E2B3F" w:rsidRPr="002441D8" w:rsidRDefault="000E2B3F" w:rsidP="000E2B3F">
            <w:pPr>
              <w:rPr>
                <w:sz w:val="16"/>
                <w:szCs w:val="16"/>
              </w:rPr>
            </w:pPr>
            <w:r w:rsidRPr="002441D8">
              <w:rPr>
                <w:sz w:val="16"/>
                <w:szCs w:val="16"/>
              </w:rPr>
              <w:t>Imatininb 100%</w:t>
            </w:r>
          </w:p>
          <w:p w14:paraId="512B84CE" w14:textId="77777777" w:rsidR="000E2B3F" w:rsidRPr="002441D8" w:rsidRDefault="000E2B3F" w:rsidP="000E2B3F">
            <w:pPr>
              <w:rPr>
                <w:sz w:val="16"/>
                <w:szCs w:val="16"/>
              </w:rPr>
            </w:pPr>
            <w:r w:rsidRPr="002441D8">
              <w:rPr>
                <w:sz w:val="16"/>
                <w:szCs w:val="16"/>
              </w:rPr>
              <w:t>HSCT 81%</w:t>
            </w:r>
          </w:p>
          <w:p w14:paraId="0D92C149" w14:textId="77777777" w:rsidR="000E2B3F" w:rsidRPr="002441D8" w:rsidRDefault="000E2B3F" w:rsidP="000E2B3F">
            <w:pPr>
              <w:rPr>
                <w:sz w:val="16"/>
                <w:szCs w:val="16"/>
              </w:rPr>
            </w:pPr>
            <w:r w:rsidRPr="002441D8">
              <w:rPr>
                <w:sz w:val="16"/>
                <w:szCs w:val="16"/>
              </w:rPr>
              <w:t>(OS at 6 years)</w:t>
            </w:r>
          </w:p>
          <w:p w14:paraId="520DB6F4" w14:textId="77777777" w:rsidR="000E2B3F" w:rsidRPr="002441D8" w:rsidRDefault="000E2B3F" w:rsidP="000E2B3F">
            <w:pPr>
              <w:rPr>
                <w:sz w:val="16"/>
                <w:szCs w:val="16"/>
              </w:rPr>
            </w:pPr>
          </w:p>
          <w:p w14:paraId="733099A3" w14:textId="77777777" w:rsidR="000E2B3F" w:rsidRPr="002441D8" w:rsidRDefault="000E2B3F" w:rsidP="000E2B3F">
            <w:pPr>
              <w:rPr>
                <w:sz w:val="16"/>
                <w:szCs w:val="16"/>
              </w:rPr>
            </w:pPr>
            <w:r w:rsidRPr="002441D8">
              <w:rPr>
                <w:sz w:val="16"/>
                <w:szCs w:val="16"/>
              </w:rPr>
              <w:t>High Risk: Imatinib 18%</w:t>
            </w:r>
          </w:p>
          <w:p w14:paraId="2A82EABE" w14:textId="77777777" w:rsidR="000E2B3F" w:rsidRPr="002441D8" w:rsidRDefault="000E2B3F" w:rsidP="000E2B3F">
            <w:pPr>
              <w:rPr>
                <w:sz w:val="16"/>
                <w:szCs w:val="16"/>
              </w:rPr>
            </w:pPr>
            <w:r w:rsidRPr="002441D8">
              <w:rPr>
                <w:sz w:val="16"/>
                <w:szCs w:val="16"/>
              </w:rPr>
              <w:t>HSCT100%</w:t>
            </w:r>
          </w:p>
          <w:p w14:paraId="7B743D7B" w14:textId="77777777" w:rsidR="000E2B3F" w:rsidRPr="002441D8" w:rsidRDefault="000E2B3F" w:rsidP="000E2B3F">
            <w:pPr>
              <w:rPr>
                <w:sz w:val="16"/>
                <w:szCs w:val="16"/>
              </w:rPr>
            </w:pPr>
            <w:r w:rsidRPr="002441D8">
              <w:rPr>
                <w:sz w:val="16"/>
                <w:szCs w:val="16"/>
              </w:rPr>
              <w:t>(OS at 5 years)</w:t>
            </w:r>
          </w:p>
        </w:tc>
        <w:tc>
          <w:tcPr>
            <w:tcW w:w="1248" w:type="dxa"/>
          </w:tcPr>
          <w:p w14:paraId="35679C4F" w14:textId="77777777" w:rsidR="000E2B3F" w:rsidRPr="002441D8" w:rsidRDefault="000E2B3F" w:rsidP="000E2B3F">
            <w:pPr>
              <w:rPr>
                <w:sz w:val="16"/>
                <w:szCs w:val="16"/>
              </w:rPr>
            </w:pPr>
            <w:r w:rsidRPr="002441D8">
              <w:rPr>
                <w:sz w:val="16"/>
                <w:szCs w:val="16"/>
              </w:rPr>
              <w:t>NR</w:t>
            </w:r>
          </w:p>
        </w:tc>
        <w:tc>
          <w:tcPr>
            <w:tcW w:w="1274" w:type="dxa"/>
          </w:tcPr>
          <w:p w14:paraId="62E449A8" w14:textId="77777777" w:rsidR="000E2B3F" w:rsidRPr="002441D8" w:rsidRDefault="000E2B3F" w:rsidP="000E2B3F">
            <w:pPr>
              <w:rPr>
                <w:sz w:val="16"/>
                <w:szCs w:val="16"/>
              </w:rPr>
            </w:pPr>
            <w:r w:rsidRPr="002441D8">
              <w:rPr>
                <w:sz w:val="16"/>
                <w:szCs w:val="16"/>
              </w:rPr>
              <w:t>Prospective single centre study (Imatinib vs HSCT)</w:t>
            </w:r>
          </w:p>
        </w:tc>
      </w:tr>
      <w:tr w:rsidR="000E2B3F" w:rsidRPr="002441D8" w14:paraId="0FDAD0FF" w14:textId="77777777" w:rsidTr="000E2B3F">
        <w:tc>
          <w:tcPr>
            <w:tcW w:w="1287" w:type="dxa"/>
          </w:tcPr>
          <w:p w14:paraId="4318DAC7" w14:textId="77777777" w:rsidR="000E2B3F" w:rsidRPr="002441D8" w:rsidRDefault="000E2B3F" w:rsidP="000E2B3F">
            <w:pPr>
              <w:rPr>
                <w:rFonts w:cs="AdvTimes"/>
                <w:sz w:val="16"/>
                <w:szCs w:val="16"/>
              </w:rPr>
            </w:pPr>
            <w:r w:rsidRPr="002441D8">
              <w:rPr>
                <w:rFonts w:cs="AdvTimes"/>
                <w:sz w:val="16"/>
                <w:szCs w:val="16"/>
              </w:rPr>
              <w:t xml:space="preserve">Khoury </w:t>
            </w:r>
            <w:r w:rsidRPr="002441D8">
              <w:rPr>
                <w:rFonts w:cs="AdvTimes"/>
                <w:i/>
                <w:sz w:val="16"/>
                <w:szCs w:val="16"/>
              </w:rPr>
              <w:t xml:space="preserve">et al </w:t>
            </w:r>
            <w:r w:rsidRPr="002441D8">
              <w:rPr>
                <w:rFonts w:cs="AdvTimes"/>
                <w:sz w:val="16"/>
                <w:szCs w:val="16"/>
              </w:rPr>
              <w:t>2012</w:t>
            </w:r>
            <w:r w:rsidRPr="002441D8">
              <w:rPr>
                <w:rFonts w:cs="AdvTimes"/>
                <w:sz w:val="16"/>
                <w:szCs w:val="16"/>
                <w:vertAlign w:val="superscript"/>
              </w:rPr>
              <w:t>46</w:t>
            </w:r>
          </w:p>
          <w:p w14:paraId="2B8DE746" w14:textId="77777777" w:rsidR="000E2B3F" w:rsidRPr="002441D8" w:rsidRDefault="000E2B3F" w:rsidP="000E2B3F">
            <w:pPr>
              <w:rPr>
                <w:sz w:val="16"/>
                <w:szCs w:val="16"/>
              </w:rPr>
            </w:pPr>
          </w:p>
        </w:tc>
        <w:tc>
          <w:tcPr>
            <w:tcW w:w="1271" w:type="dxa"/>
          </w:tcPr>
          <w:p w14:paraId="7DEE403E" w14:textId="77777777" w:rsidR="000E2B3F" w:rsidRPr="002441D8" w:rsidRDefault="000E2B3F" w:rsidP="000E2B3F">
            <w:pPr>
              <w:rPr>
                <w:sz w:val="16"/>
                <w:szCs w:val="16"/>
              </w:rPr>
            </w:pPr>
            <w:r w:rsidRPr="002441D8">
              <w:rPr>
                <w:sz w:val="16"/>
                <w:szCs w:val="16"/>
              </w:rPr>
              <w:t>449 /</w:t>
            </w:r>
          </w:p>
          <w:p w14:paraId="3823863B" w14:textId="77777777" w:rsidR="000E2B3F" w:rsidRPr="002441D8" w:rsidRDefault="000E2B3F" w:rsidP="000E2B3F">
            <w:pPr>
              <w:rPr>
                <w:sz w:val="16"/>
                <w:szCs w:val="16"/>
              </w:rPr>
            </w:pPr>
            <w:r w:rsidRPr="002441D8">
              <w:rPr>
                <w:sz w:val="16"/>
                <w:szCs w:val="16"/>
              </w:rPr>
              <w:t>1999 - 2004</w:t>
            </w:r>
          </w:p>
        </w:tc>
        <w:tc>
          <w:tcPr>
            <w:tcW w:w="1244" w:type="dxa"/>
          </w:tcPr>
          <w:p w14:paraId="45E15B14" w14:textId="77777777" w:rsidR="000E2B3F" w:rsidRPr="002441D8" w:rsidRDefault="000E2B3F" w:rsidP="000E2B3F">
            <w:pPr>
              <w:rPr>
                <w:sz w:val="16"/>
                <w:szCs w:val="16"/>
              </w:rPr>
            </w:pPr>
            <w:r w:rsidRPr="002441D8">
              <w:rPr>
                <w:sz w:val="16"/>
                <w:szCs w:val="16"/>
              </w:rPr>
              <w:t>CP2 41%,</w:t>
            </w:r>
          </w:p>
          <w:p w14:paraId="716FD957" w14:textId="77777777" w:rsidR="000E2B3F" w:rsidRPr="002441D8" w:rsidRDefault="000E2B3F" w:rsidP="000E2B3F">
            <w:pPr>
              <w:rPr>
                <w:sz w:val="16"/>
                <w:szCs w:val="16"/>
              </w:rPr>
            </w:pPr>
            <w:r w:rsidRPr="002441D8">
              <w:rPr>
                <w:sz w:val="16"/>
                <w:szCs w:val="16"/>
              </w:rPr>
              <w:t>AP 41%,</w:t>
            </w:r>
          </w:p>
          <w:p w14:paraId="6AF1DEF5" w14:textId="77777777" w:rsidR="000E2B3F" w:rsidRPr="002441D8" w:rsidRDefault="000E2B3F" w:rsidP="000E2B3F">
            <w:pPr>
              <w:rPr>
                <w:sz w:val="16"/>
                <w:szCs w:val="16"/>
              </w:rPr>
            </w:pPr>
            <w:r w:rsidRPr="002441D8">
              <w:rPr>
                <w:sz w:val="16"/>
                <w:szCs w:val="16"/>
              </w:rPr>
              <w:t>BC 18%</w:t>
            </w:r>
          </w:p>
        </w:tc>
        <w:tc>
          <w:tcPr>
            <w:tcW w:w="1258" w:type="dxa"/>
          </w:tcPr>
          <w:p w14:paraId="5C033CB0" w14:textId="77777777" w:rsidR="000E2B3F" w:rsidRPr="002441D8" w:rsidRDefault="000E2B3F" w:rsidP="000E2B3F">
            <w:pPr>
              <w:rPr>
                <w:sz w:val="16"/>
                <w:szCs w:val="16"/>
              </w:rPr>
            </w:pPr>
            <w:r w:rsidRPr="002441D8">
              <w:rPr>
                <w:sz w:val="16"/>
                <w:szCs w:val="16"/>
              </w:rPr>
              <w:t xml:space="preserve">Imatinib 50% </w:t>
            </w:r>
          </w:p>
        </w:tc>
        <w:tc>
          <w:tcPr>
            <w:tcW w:w="1446" w:type="dxa"/>
          </w:tcPr>
          <w:p w14:paraId="033C0422" w14:textId="77777777" w:rsidR="000E2B3F" w:rsidRPr="002441D8" w:rsidRDefault="000E2B3F" w:rsidP="000E2B3F">
            <w:pPr>
              <w:rPr>
                <w:sz w:val="16"/>
                <w:szCs w:val="16"/>
              </w:rPr>
            </w:pPr>
            <w:r w:rsidRPr="002441D8">
              <w:rPr>
                <w:sz w:val="16"/>
                <w:szCs w:val="16"/>
              </w:rPr>
              <w:t>Sib 27%,</w:t>
            </w:r>
          </w:p>
          <w:p w14:paraId="307737D0" w14:textId="77777777" w:rsidR="000E2B3F" w:rsidRPr="002441D8" w:rsidRDefault="000E2B3F" w:rsidP="000E2B3F">
            <w:pPr>
              <w:rPr>
                <w:sz w:val="16"/>
                <w:szCs w:val="16"/>
              </w:rPr>
            </w:pPr>
            <w:r w:rsidRPr="002441D8">
              <w:rPr>
                <w:sz w:val="16"/>
                <w:szCs w:val="16"/>
              </w:rPr>
              <w:t>URD 70%,</w:t>
            </w:r>
          </w:p>
          <w:p w14:paraId="68A4E787" w14:textId="77777777" w:rsidR="000E2B3F" w:rsidRPr="002441D8" w:rsidRDefault="000E2B3F" w:rsidP="000E2B3F">
            <w:pPr>
              <w:rPr>
                <w:sz w:val="16"/>
                <w:szCs w:val="16"/>
              </w:rPr>
            </w:pPr>
            <w:r w:rsidRPr="002441D8">
              <w:rPr>
                <w:sz w:val="16"/>
                <w:szCs w:val="16"/>
              </w:rPr>
              <w:t>Other=3%</w:t>
            </w:r>
          </w:p>
        </w:tc>
        <w:tc>
          <w:tcPr>
            <w:tcW w:w="1429" w:type="dxa"/>
          </w:tcPr>
          <w:p w14:paraId="19530308" w14:textId="77777777" w:rsidR="000E2B3F" w:rsidRPr="002441D8" w:rsidRDefault="000E2B3F" w:rsidP="000E2B3F">
            <w:pPr>
              <w:rPr>
                <w:sz w:val="16"/>
                <w:szCs w:val="16"/>
              </w:rPr>
            </w:pPr>
            <w:r w:rsidRPr="002441D8">
              <w:rPr>
                <w:sz w:val="16"/>
                <w:szCs w:val="16"/>
              </w:rPr>
              <w:t>BM 52%,</w:t>
            </w:r>
          </w:p>
          <w:p w14:paraId="20A80D58" w14:textId="77777777" w:rsidR="000E2B3F" w:rsidRPr="002441D8" w:rsidRDefault="000E2B3F" w:rsidP="000E2B3F">
            <w:pPr>
              <w:rPr>
                <w:sz w:val="16"/>
                <w:szCs w:val="16"/>
              </w:rPr>
            </w:pPr>
            <w:r w:rsidRPr="002441D8">
              <w:rPr>
                <w:sz w:val="16"/>
                <w:szCs w:val="16"/>
              </w:rPr>
              <w:t>PB 48%</w:t>
            </w:r>
          </w:p>
        </w:tc>
        <w:tc>
          <w:tcPr>
            <w:tcW w:w="1269" w:type="dxa"/>
          </w:tcPr>
          <w:p w14:paraId="6A14AEBA" w14:textId="77777777" w:rsidR="000E2B3F" w:rsidRPr="002441D8" w:rsidRDefault="000E2B3F" w:rsidP="000E2B3F">
            <w:pPr>
              <w:rPr>
                <w:sz w:val="16"/>
                <w:szCs w:val="16"/>
              </w:rPr>
            </w:pPr>
            <w:r w:rsidRPr="002441D8">
              <w:rPr>
                <w:sz w:val="16"/>
                <w:szCs w:val="16"/>
              </w:rPr>
              <w:t>MAC 78%,</w:t>
            </w:r>
          </w:p>
          <w:p w14:paraId="367FF388" w14:textId="77777777" w:rsidR="000E2B3F" w:rsidRPr="002441D8" w:rsidRDefault="000E2B3F" w:rsidP="000E2B3F">
            <w:pPr>
              <w:rPr>
                <w:sz w:val="16"/>
                <w:szCs w:val="16"/>
              </w:rPr>
            </w:pPr>
            <w:r w:rsidRPr="002441D8">
              <w:rPr>
                <w:sz w:val="16"/>
                <w:szCs w:val="16"/>
              </w:rPr>
              <w:t>RIC 22%</w:t>
            </w:r>
          </w:p>
        </w:tc>
        <w:tc>
          <w:tcPr>
            <w:tcW w:w="1260" w:type="dxa"/>
          </w:tcPr>
          <w:p w14:paraId="65AE79B4" w14:textId="77777777" w:rsidR="000E2B3F" w:rsidRPr="002441D8" w:rsidRDefault="000E2B3F" w:rsidP="000E2B3F">
            <w:pPr>
              <w:rPr>
                <w:sz w:val="16"/>
                <w:szCs w:val="16"/>
              </w:rPr>
            </w:pPr>
            <w:r w:rsidRPr="002441D8">
              <w:rPr>
                <w:sz w:val="16"/>
                <w:szCs w:val="16"/>
              </w:rPr>
              <w:t>CP2 27%,</w:t>
            </w:r>
          </w:p>
          <w:p w14:paraId="717FCB4D" w14:textId="77777777" w:rsidR="000E2B3F" w:rsidRPr="002441D8" w:rsidRDefault="000E2B3F" w:rsidP="000E2B3F">
            <w:pPr>
              <w:rPr>
                <w:sz w:val="16"/>
                <w:szCs w:val="16"/>
              </w:rPr>
            </w:pPr>
            <w:r w:rsidRPr="002441D8">
              <w:rPr>
                <w:sz w:val="16"/>
                <w:szCs w:val="16"/>
              </w:rPr>
              <w:t>AP 37%,</w:t>
            </w:r>
          </w:p>
          <w:p w14:paraId="4EA72BCD" w14:textId="77777777" w:rsidR="000E2B3F" w:rsidRPr="002441D8" w:rsidRDefault="000E2B3F" w:rsidP="000E2B3F">
            <w:pPr>
              <w:rPr>
                <w:sz w:val="16"/>
                <w:szCs w:val="16"/>
              </w:rPr>
            </w:pPr>
            <w:r w:rsidRPr="002441D8">
              <w:rPr>
                <w:sz w:val="16"/>
                <w:szCs w:val="16"/>
              </w:rPr>
              <w:t>BC 10%</w:t>
            </w:r>
          </w:p>
          <w:p w14:paraId="7E4847C9" w14:textId="77777777" w:rsidR="000E2B3F" w:rsidRPr="002441D8" w:rsidRDefault="000E2B3F" w:rsidP="000E2B3F">
            <w:pPr>
              <w:rPr>
                <w:sz w:val="16"/>
                <w:szCs w:val="16"/>
              </w:rPr>
            </w:pPr>
            <w:r w:rsidRPr="002441D8">
              <w:rPr>
                <w:sz w:val="16"/>
                <w:szCs w:val="16"/>
              </w:rPr>
              <w:t>(LFS at 3 years)</w:t>
            </w:r>
          </w:p>
        </w:tc>
        <w:tc>
          <w:tcPr>
            <w:tcW w:w="1252" w:type="dxa"/>
          </w:tcPr>
          <w:p w14:paraId="35F6F4F0" w14:textId="77777777" w:rsidR="000E2B3F" w:rsidRPr="002441D8" w:rsidRDefault="000E2B3F" w:rsidP="000E2B3F">
            <w:pPr>
              <w:rPr>
                <w:sz w:val="16"/>
                <w:szCs w:val="16"/>
              </w:rPr>
            </w:pPr>
            <w:r w:rsidRPr="002441D8">
              <w:rPr>
                <w:sz w:val="16"/>
                <w:szCs w:val="16"/>
              </w:rPr>
              <w:t>CP2 36%,</w:t>
            </w:r>
          </w:p>
          <w:p w14:paraId="5E1F6C09" w14:textId="77777777" w:rsidR="000E2B3F" w:rsidRPr="002441D8" w:rsidRDefault="000E2B3F" w:rsidP="000E2B3F">
            <w:pPr>
              <w:rPr>
                <w:sz w:val="16"/>
                <w:szCs w:val="16"/>
              </w:rPr>
            </w:pPr>
            <w:r w:rsidRPr="002441D8">
              <w:rPr>
                <w:sz w:val="16"/>
                <w:szCs w:val="16"/>
              </w:rPr>
              <w:t>AP 43%,</w:t>
            </w:r>
          </w:p>
          <w:p w14:paraId="76806EBB" w14:textId="77777777" w:rsidR="000E2B3F" w:rsidRPr="002441D8" w:rsidRDefault="000E2B3F" w:rsidP="000E2B3F">
            <w:pPr>
              <w:rPr>
                <w:sz w:val="16"/>
                <w:szCs w:val="16"/>
              </w:rPr>
            </w:pPr>
            <w:r w:rsidRPr="002441D8">
              <w:rPr>
                <w:sz w:val="16"/>
                <w:szCs w:val="16"/>
              </w:rPr>
              <w:t>BC 14%</w:t>
            </w:r>
          </w:p>
          <w:p w14:paraId="3824F77E" w14:textId="77777777" w:rsidR="000E2B3F" w:rsidRPr="002441D8" w:rsidRDefault="000E2B3F" w:rsidP="000E2B3F">
            <w:pPr>
              <w:rPr>
                <w:sz w:val="16"/>
                <w:szCs w:val="16"/>
              </w:rPr>
            </w:pPr>
            <w:r w:rsidRPr="002441D8">
              <w:rPr>
                <w:sz w:val="16"/>
                <w:szCs w:val="16"/>
              </w:rPr>
              <w:t>(OS at  3 years)</w:t>
            </w:r>
          </w:p>
        </w:tc>
        <w:tc>
          <w:tcPr>
            <w:tcW w:w="1248" w:type="dxa"/>
          </w:tcPr>
          <w:p w14:paraId="7D37647A" w14:textId="77777777" w:rsidR="000E2B3F" w:rsidRPr="002441D8" w:rsidRDefault="000E2B3F" w:rsidP="000E2B3F">
            <w:pPr>
              <w:rPr>
                <w:sz w:val="16"/>
                <w:szCs w:val="16"/>
              </w:rPr>
            </w:pPr>
            <w:r w:rsidRPr="002441D8">
              <w:rPr>
                <w:sz w:val="16"/>
                <w:szCs w:val="16"/>
              </w:rPr>
              <w:t>CP2 33%,</w:t>
            </w:r>
          </w:p>
          <w:p w14:paraId="51169601" w14:textId="77777777" w:rsidR="000E2B3F" w:rsidRPr="002441D8" w:rsidRDefault="000E2B3F" w:rsidP="000E2B3F">
            <w:pPr>
              <w:rPr>
                <w:sz w:val="16"/>
                <w:szCs w:val="16"/>
              </w:rPr>
            </w:pPr>
            <w:r w:rsidRPr="002441D8">
              <w:rPr>
                <w:sz w:val="16"/>
                <w:szCs w:val="16"/>
              </w:rPr>
              <w:t>AP 34%,</w:t>
            </w:r>
          </w:p>
          <w:p w14:paraId="6A857D9A" w14:textId="77777777" w:rsidR="000E2B3F" w:rsidRPr="002441D8" w:rsidRDefault="000E2B3F" w:rsidP="000E2B3F">
            <w:pPr>
              <w:rPr>
                <w:sz w:val="16"/>
                <w:szCs w:val="16"/>
              </w:rPr>
            </w:pPr>
            <w:r w:rsidRPr="002441D8">
              <w:rPr>
                <w:sz w:val="16"/>
                <w:szCs w:val="16"/>
              </w:rPr>
              <w:t>BC 46%</w:t>
            </w:r>
          </w:p>
          <w:p w14:paraId="1E306399" w14:textId="77777777" w:rsidR="000E2B3F" w:rsidRPr="002441D8" w:rsidRDefault="000E2B3F" w:rsidP="000E2B3F">
            <w:pPr>
              <w:rPr>
                <w:sz w:val="16"/>
                <w:szCs w:val="16"/>
              </w:rPr>
            </w:pPr>
            <w:r w:rsidRPr="002441D8">
              <w:rPr>
                <w:sz w:val="16"/>
                <w:szCs w:val="16"/>
              </w:rPr>
              <w:t>(TRM 1 year)</w:t>
            </w:r>
          </w:p>
        </w:tc>
        <w:tc>
          <w:tcPr>
            <w:tcW w:w="1274" w:type="dxa"/>
          </w:tcPr>
          <w:p w14:paraId="4169B894" w14:textId="77777777" w:rsidR="000E2B3F" w:rsidRPr="002441D8" w:rsidRDefault="000E2B3F" w:rsidP="000E2B3F">
            <w:pPr>
              <w:rPr>
                <w:sz w:val="16"/>
                <w:szCs w:val="16"/>
              </w:rPr>
            </w:pPr>
            <w:r w:rsidRPr="002441D8">
              <w:rPr>
                <w:sz w:val="16"/>
                <w:szCs w:val="16"/>
              </w:rPr>
              <w:t>Retrospective multicentre study (CIBMTR)</w:t>
            </w:r>
          </w:p>
        </w:tc>
      </w:tr>
      <w:tr w:rsidR="000E2B3F" w:rsidRPr="002441D8" w14:paraId="76BC7D99" w14:textId="77777777" w:rsidTr="000E2B3F">
        <w:tc>
          <w:tcPr>
            <w:tcW w:w="1287" w:type="dxa"/>
          </w:tcPr>
          <w:p w14:paraId="58908833" w14:textId="77777777" w:rsidR="000E2B3F" w:rsidRPr="002441D8" w:rsidRDefault="000E2B3F" w:rsidP="000E2B3F">
            <w:pPr>
              <w:rPr>
                <w:sz w:val="16"/>
                <w:szCs w:val="16"/>
              </w:rPr>
            </w:pPr>
            <w:r w:rsidRPr="002441D8">
              <w:rPr>
                <w:rFonts w:cs="AdvOT863180fb"/>
                <w:sz w:val="16"/>
                <w:szCs w:val="16"/>
              </w:rPr>
              <w:t xml:space="preserve">Zheng </w:t>
            </w:r>
            <w:r w:rsidRPr="002441D8">
              <w:rPr>
                <w:rFonts w:cs="AdvOT863180fb"/>
                <w:i/>
                <w:sz w:val="16"/>
                <w:szCs w:val="16"/>
              </w:rPr>
              <w:t>et al</w:t>
            </w:r>
            <w:r w:rsidRPr="002441D8">
              <w:rPr>
                <w:rFonts w:cs="AdvOT863180fb"/>
                <w:sz w:val="16"/>
                <w:szCs w:val="16"/>
              </w:rPr>
              <w:t xml:space="preserve"> 2013</w:t>
            </w:r>
            <w:r w:rsidRPr="002441D8">
              <w:rPr>
                <w:rFonts w:cs="AdvOT863180fb"/>
                <w:sz w:val="16"/>
                <w:szCs w:val="16"/>
                <w:vertAlign w:val="superscript"/>
              </w:rPr>
              <w:t>69</w:t>
            </w:r>
          </w:p>
        </w:tc>
        <w:tc>
          <w:tcPr>
            <w:tcW w:w="1271" w:type="dxa"/>
          </w:tcPr>
          <w:p w14:paraId="3BC5E3E5" w14:textId="77777777" w:rsidR="000E2B3F" w:rsidRPr="002441D8" w:rsidRDefault="000E2B3F" w:rsidP="000E2B3F">
            <w:pPr>
              <w:rPr>
                <w:sz w:val="16"/>
                <w:szCs w:val="16"/>
              </w:rPr>
            </w:pPr>
            <w:r w:rsidRPr="002441D8">
              <w:rPr>
                <w:sz w:val="16"/>
                <w:szCs w:val="16"/>
              </w:rPr>
              <w:t>32 /</w:t>
            </w:r>
          </w:p>
          <w:p w14:paraId="31C49A17" w14:textId="77777777" w:rsidR="000E2B3F" w:rsidRPr="002441D8" w:rsidRDefault="000E2B3F" w:rsidP="000E2B3F">
            <w:pPr>
              <w:rPr>
                <w:sz w:val="16"/>
                <w:szCs w:val="16"/>
              </w:rPr>
            </w:pPr>
            <w:r w:rsidRPr="002441D8">
              <w:rPr>
                <w:sz w:val="16"/>
                <w:szCs w:val="16"/>
              </w:rPr>
              <w:t>2002 - 2011</w:t>
            </w:r>
          </w:p>
        </w:tc>
        <w:tc>
          <w:tcPr>
            <w:tcW w:w="1244" w:type="dxa"/>
          </w:tcPr>
          <w:p w14:paraId="5E582C49" w14:textId="77777777" w:rsidR="000E2B3F" w:rsidRPr="002441D8" w:rsidRDefault="000E2B3F" w:rsidP="000E2B3F">
            <w:pPr>
              <w:rPr>
                <w:sz w:val="16"/>
                <w:szCs w:val="16"/>
              </w:rPr>
            </w:pPr>
            <w:r w:rsidRPr="002441D8">
              <w:rPr>
                <w:sz w:val="16"/>
                <w:szCs w:val="16"/>
              </w:rPr>
              <w:t>AP 59%,</w:t>
            </w:r>
          </w:p>
          <w:p w14:paraId="77A7D4BE" w14:textId="77777777" w:rsidR="000E2B3F" w:rsidRPr="002441D8" w:rsidRDefault="000E2B3F" w:rsidP="000E2B3F">
            <w:pPr>
              <w:rPr>
                <w:sz w:val="16"/>
                <w:szCs w:val="16"/>
              </w:rPr>
            </w:pPr>
            <w:r w:rsidRPr="002441D8">
              <w:rPr>
                <w:sz w:val="16"/>
                <w:szCs w:val="16"/>
              </w:rPr>
              <w:t>BC 41%</w:t>
            </w:r>
          </w:p>
        </w:tc>
        <w:tc>
          <w:tcPr>
            <w:tcW w:w="1258" w:type="dxa"/>
          </w:tcPr>
          <w:p w14:paraId="7C997043" w14:textId="77777777" w:rsidR="000E2B3F" w:rsidRPr="002441D8" w:rsidRDefault="000E2B3F" w:rsidP="000E2B3F">
            <w:pPr>
              <w:rPr>
                <w:sz w:val="16"/>
                <w:szCs w:val="16"/>
              </w:rPr>
            </w:pPr>
            <w:r w:rsidRPr="002441D8">
              <w:rPr>
                <w:sz w:val="16"/>
                <w:szCs w:val="16"/>
              </w:rPr>
              <w:t>Prior imatinib 53%</w:t>
            </w:r>
          </w:p>
        </w:tc>
        <w:tc>
          <w:tcPr>
            <w:tcW w:w="1446" w:type="dxa"/>
          </w:tcPr>
          <w:p w14:paraId="2574A244" w14:textId="77777777" w:rsidR="000E2B3F" w:rsidRPr="002441D8" w:rsidRDefault="000E2B3F" w:rsidP="000E2B3F">
            <w:pPr>
              <w:rPr>
                <w:sz w:val="16"/>
                <w:szCs w:val="16"/>
              </w:rPr>
            </w:pPr>
            <w:r w:rsidRPr="002441D8">
              <w:rPr>
                <w:sz w:val="16"/>
                <w:szCs w:val="16"/>
              </w:rPr>
              <w:t>Sib 50%,</w:t>
            </w:r>
          </w:p>
          <w:p w14:paraId="0681E226" w14:textId="77777777" w:rsidR="000E2B3F" w:rsidRPr="002441D8" w:rsidRDefault="000E2B3F" w:rsidP="000E2B3F">
            <w:pPr>
              <w:rPr>
                <w:sz w:val="16"/>
                <w:szCs w:val="16"/>
              </w:rPr>
            </w:pPr>
            <w:r w:rsidRPr="002441D8">
              <w:rPr>
                <w:sz w:val="16"/>
                <w:szCs w:val="16"/>
              </w:rPr>
              <w:t>Cord 50%</w:t>
            </w:r>
          </w:p>
        </w:tc>
        <w:tc>
          <w:tcPr>
            <w:tcW w:w="1429" w:type="dxa"/>
          </w:tcPr>
          <w:p w14:paraId="3FCD7E4F" w14:textId="77777777" w:rsidR="000E2B3F" w:rsidRPr="002441D8" w:rsidRDefault="000E2B3F" w:rsidP="000E2B3F">
            <w:pPr>
              <w:rPr>
                <w:sz w:val="16"/>
                <w:szCs w:val="16"/>
              </w:rPr>
            </w:pPr>
            <w:r w:rsidRPr="002441D8">
              <w:rPr>
                <w:sz w:val="16"/>
                <w:szCs w:val="16"/>
              </w:rPr>
              <w:t>BM 3%,</w:t>
            </w:r>
          </w:p>
          <w:p w14:paraId="49736082" w14:textId="77777777" w:rsidR="000E2B3F" w:rsidRPr="002441D8" w:rsidRDefault="000E2B3F" w:rsidP="000E2B3F">
            <w:pPr>
              <w:rPr>
                <w:sz w:val="16"/>
                <w:szCs w:val="16"/>
              </w:rPr>
            </w:pPr>
            <w:r w:rsidRPr="002441D8">
              <w:rPr>
                <w:sz w:val="16"/>
                <w:szCs w:val="16"/>
              </w:rPr>
              <w:t>PB 18%,</w:t>
            </w:r>
          </w:p>
          <w:p w14:paraId="6A4A43D3" w14:textId="77777777" w:rsidR="000E2B3F" w:rsidRPr="002441D8" w:rsidRDefault="000E2B3F" w:rsidP="000E2B3F">
            <w:pPr>
              <w:rPr>
                <w:sz w:val="16"/>
                <w:szCs w:val="16"/>
              </w:rPr>
            </w:pPr>
            <w:r w:rsidRPr="002441D8">
              <w:rPr>
                <w:sz w:val="16"/>
                <w:szCs w:val="16"/>
              </w:rPr>
              <w:t>BM+PB 28%</w:t>
            </w:r>
          </w:p>
          <w:p w14:paraId="3E18E55F" w14:textId="77777777" w:rsidR="000E2B3F" w:rsidRPr="002441D8" w:rsidRDefault="000E2B3F" w:rsidP="000E2B3F">
            <w:pPr>
              <w:rPr>
                <w:sz w:val="16"/>
                <w:szCs w:val="16"/>
              </w:rPr>
            </w:pPr>
            <w:r w:rsidRPr="002441D8">
              <w:rPr>
                <w:sz w:val="16"/>
                <w:szCs w:val="16"/>
              </w:rPr>
              <w:t>Cord 50%</w:t>
            </w:r>
          </w:p>
        </w:tc>
        <w:tc>
          <w:tcPr>
            <w:tcW w:w="1269" w:type="dxa"/>
          </w:tcPr>
          <w:p w14:paraId="5C2440AE" w14:textId="77777777" w:rsidR="000E2B3F" w:rsidRPr="002441D8" w:rsidRDefault="000E2B3F" w:rsidP="000E2B3F">
            <w:pPr>
              <w:rPr>
                <w:sz w:val="16"/>
                <w:szCs w:val="16"/>
              </w:rPr>
            </w:pPr>
            <w:r w:rsidRPr="002441D8">
              <w:rPr>
                <w:sz w:val="16"/>
                <w:szCs w:val="16"/>
              </w:rPr>
              <w:t>MAC 94%,</w:t>
            </w:r>
          </w:p>
          <w:p w14:paraId="75D244E0" w14:textId="77777777" w:rsidR="000E2B3F" w:rsidRPr="002441D8" w:rsidRDefault="000E2B3F" w:rsidP="000E2B3F">
            <w:pPr>
              <w:rPr>
                <w:sz w:val="16"/>
                <w:szCs w:val="16"/>
              </w:rPr>
            </w:pPr>
            <w:r w:rsidRPr="002441D8">
              <w:rPr>
                <w:sz w:val="16"/>
                <w:szCs w:val="16"/>
              </w:rPr>
              <w:t>RIC 6%</w:t>
            </w:r>
          </w:p>
        </w:tc>
        <w:tc>
          <w:tcPr>
            <w:tcW w:w="1260" w:type="dxa"/>
          </w:tcPr>
          <w:p w14:paraId="1EA93445" w14:textId="77777777" w:rsidR="000E2B3F" w:rsidRPr="002441D8" w:rsidRDefault="000E2B3F" w:rsidP="000E2B3F">
            <w:pPr>
              <w:rPr>
                <w:sz w:val="16"/>
                <w:szCs w:val="16"/>
              </w:rPr>
            </w:pPr>
            <w:r w:rsidRPr="002441D8">
              <w:rPr>
                <w:sz w:val="16"/>
                <w:szCs w:val="16"/>
              </w:rPr>
              <w:t>Cord 50%</w:t>
            </w:r>
          </w:p>
          <w:p w14:paraId="5C470E4F" w14:textId="77777777" w:rsidR="000E2B3F" w:rsidRPr="002441D8" w:rsidRDefault="000E2B3F" w:rsidP="000E2B3F">
            <w:pPr>
              <w:rPr>
                <w:sz w:val="16"/>
                <w:szCs w:val="16"/>
              </w:rPr>
            </w:pPr>
            <w:r w:rsidRPr="002441D8">
              <w:rPr>
                <w:sz w:val="16"/>
                <w:szCs w:val="16"/>
              </w:rPr>
              <w:t>Sib 40%</w:t>
            </w:r>
          </w:p>
          <w:p w14:paraId="2CFCE556" w14:textId="77777777" w:rsidR="000E2B3F" w:rsidRPr="002441D8" w:rsidRDefault="000E2B3F" w:rsidP="000E2B3F">
            <w:pPr>
              <w:rPr>
                <w:sz w:val="16"/>
                <w:szCs w:val="16"/>
              </w:rPr>
            </w:pPr>
            <w:r w:rsidRPr="002441D8">
              <w:rPr>
                <w:sz w:val="16"/>
                <w:szCs w:val="16"/>
              </w:rPr>
              <w:t>(LFS at 5 years)</w:t>
            </w:r>
          </w:p>
        </w:tc>
        <w:tc>
          <w:tcPr>
            <w:tcW w:w="1252" w:type="dxa"/>
          </w:tcPr>
          <w:p w14:paraId="7CF6D8A6" w14:textId="77777777" w:rsidR="000E2B3F" w:rsidRPr="002441D8" w:rsidRDefault="000E2B3F" w:rsidP="000E2B3F">
            <w:pPr>
              <w:rPr>
                <w:sz w:val="16"/>
                <w:szCs w:val="16"/>
              </w:rPr>
            </w:pPr>
            <w:r w:rsidRPr="002441D8">
              <w:rPr>
                <w:sz w:val="16"/>
                <w:szCs w:val="16"/>
              </w:rPr>
              <w:t>Cord 62%,</w:t>
            </w:r>
          </w:p>
          <w:p w14:paraId="24E2524A" w14:textId="77777777" w:rsidR="000E2B3F" w:rsidRPr="002441D8" w:rsidRDefault="000E2B3F" w:rsidP="000E2B3F">
            <w:pPr>
              <w:rPr>
                <w:sz w:val="16"/>
                <w:szCs w:val="16"/>
              </w:rPr>
            </w:pPr>
            <w:r w:rsidRPr="002441D8">
              <w:rPr>
                <w:sz w:val="16"/>
                <w:szCs w:val="16"/>
              </w:rPr>
              <w:t>Sib 49%</w:t>
            </w:r>
          </w:p>
          <w:p w14:paraId="197BAFA3" w14:textId="77777777" w:rsidR="000E2B3F" w:rsidRPr="002441D8" w:rsidRDefault="000E2B3F" w:rsidP="000E2B3F">
            <w:pPr>
              <w:rPr>
                <w:sz w:val="16"/>
                <w:szCs w:val="16"/>
              </w:rPr>
            </w:pPr>
            <w:r w:rsidRPr="002441D8">
              <w:rPr>
                <w:sz w:val="16"/>
                <w:szCs w:val="16"/>
              </w:rPr>
              <w:t>(OS at 5 years)</w:t>
            </w:r>
          </w:p>
        </w:tc>
        <w:tc>
          <w:tcPr>
            <w:tcW w:w="1248" w:type="dxa"/>
          </w:tcPr>
          <w:p w14:paraId="390DB005" w14:textId="77777777" w:rsidR="000E2B3F" w:rsidRPr="002441D8" w:rsidRDefault="000E2B3F" w:rsidP="000E2B3F">
            <w:pPr>
              <w:rPr>
                <w:sz w:val="16"/>
                <w:szCs w:val="16"/>
              </w:rPr>
            </w:pPr>
            <w:r w:rsidRPr="002441D8">
              <w:rPr>
                <w:sz w:val="16"/>
                <w:szCs w:val="16"/>
              </w:rPr>
              <w:t>Cord 38%,</w:t>
            </w:r>
          </w:p>
          <w:p w14:paraId="5D26854F" w14:textId="77777777" w:rsidR="000E2B3F" w:rsidRPr="002441D8" w:rsidRDefault="000E2B3F" w:rsidP="000E2B3F">
            <w:pPr>
              <w:rPr>
                <w:sz w:val="16"/>
                <w:szCs w:val="16"/>
              </w:rPr>
            </w:pPr>
            <w:r w:rsidRPr="002441D8">
              <w:rPr>
                <w:sz w:val="16"/>
                <w:szCs w:val="16"/>
              </w:rPr>
              <w:t>Sib=12%</w:t>
            </w:r>
          </w:p>
          <w:p w14:paraId="29D50B35" w14:textId="77777777" w:rsidR="000E2B3F" w:rsidRPr="002441D8" w:rsidRDefault="000E2B3F" w:rsidP="000E2B3F">
            <w:pPr>
              <w:rPr>
                <w:sz w:val="16"/>
                <w:szCs w:val="16"/>
              </w:rPr>
            </w:pPr>
            <w:r w:rsidRPr="002441D8">
              <w:rPr>
                <w:sz w:val="16"/>
                <w:szCs w:val="16"/>
              </w:rPr>
              <w:t>(180d CI)</w:t>
            </w:r>
          </w:p>
        </w:tc>
        <w:tc>
          <w:tcPr>
            <w:tcW w:w="1274" w:type="dxa"/>
          </w:tcPr>
          <w:p w14:paraId="6D1BAC1F" w14:textId="77777777" w:rsidR="000E2B3F" w:rsidRPr="002441D8" w:rsidRDefault="000E2B3F" w:rsidP="000E2B3F">
            <w:pPr>
              <w:rPr>
                <w:sz w:val="16"/>
                <w:szCs w:val="16"/>
              </w:rPr>
            </w:pPr>
            <w:r w:rsidRPr="002441D8">
              <w:rPr>
                <w:sz w:val="16"/>
                <w:szCs w:val="16"/>
              </w:rPr>
              <w:t xml:space="preserve">Retrospective single centre study </w:t>
            </w:r>
          </w:p>
          <w:p w14:paraId="59A7001F" w14:textId="77777777" w:rsidR="000E2B3F" w:rsidRPr="002441D8" w:rsidRDefault="000E2B3F" w:rsidP="000E2B3F">
            <w:pPr>
              <w:rPr>
                <w:sz w:val="16"/>
                <w:szCs w:val="16"/>
              </w:rPr>
            </w:pPr>
            <w:r w:rsidRPr="002441D8">
              <w:rPr>
                <w:sz w:val="16"/>
                <w:szCs w:val="16"/>
              </w:rPr>
              <w:t>(Cord vs sib)</w:t>
            </w:r>
          </w:p>
        </w:tc>
      </w:tr>
      <w:tr w:rsidR="000E2B3F" w:rsidRPr="002441D8" w14:paraId="7290449F" w14:textId="77777777" w:rsidTr="000E2B3F">
        <w:tc>
          <w:tcPr>
            <w:tcW w:w="14238" w:type="dxa"/>
            <w:gridSpan w:val="11"/>
          </w:tcPr>
          <w:p w14:paraId="382B5CB4" w14:textId="77777777" w:rsidR="000E2B3F" w:rsidRPr="002441D8" w:rsidRDefault="000E2B3F" w:rsidP="000E2B3F">
            <w:pPr>
              <w:rPr>
                <w:b/>
                <w:sz w:val="16"/>
                <w:szCs w:val="16"/>
              </w:rPr>
            </w:pPr>
            <w:r w:rsidRPr="002441D8">
              <w:rPr>
                <w:b/>
                <w:sz w:val="16"/>
                <w:szCs w:val="16"/>
              </w:rPr>
              <w:t>Mixed Phase Disease</w:t>
            </w:r>
          </w:p>
        </w:tc>
      </w:tr>
      <w:tr w:rsidR="000E2B3F" w:rsidRPr="002441D8" w14:paraId="7B005DDD" w14:textId="77777777" w:rsidTr="000E2B3F">
        <w:tc>
          <w:tcPr>
            <w:tcW w:w="1287" w:type="dxa"/>
          </w:tcPr>
          <w:p w14:paraId="23A582CC" w14:textId="77777777" w:rsidR="000E2B3F" w:rsidRPr="002441D8" w:rsidRDefault="000E2B3F" w:rsidP="000E2B3F">
            <w:pPr>
              <w:rPr>
                <w:sz w:val="16"/>
                <w:szCs w:val="16"/>
              </w:rPr>
            </w:pPr>
            <w:r w:rsidRPr="002441D8">
              <w:rPr>
                <w:sz w:val="16"/>
                <w:szCs w:val="16"/>
              </w:rPr>
              <w:t xml:space="preserve">Shimoni </w:t>
            </w:r>
            <w:r w:rsidRPr="002441D8">
              <w:rPr>
                <w:i/>
                <w:sz w:val="16"/>
                <w:szCs w:val="16"/>
              </w:rPr>
              <w:t>et al</w:t>
            </w:r>
            <w:r w:rsidRPr="002441D8">
              <w:rPr>
                <w:sz w:val="16"/>
                <w:szCs w:val="16"/>
              </w:rPr>
              <w:t xml:space="preserve"> 2009</w:t>
            </w:r>
            <w:r w:rsidRPr="002441D8">
              <w:rPr>
                <w:sz w:val="16"/>
                <w:szCs w:val="16"/>
                <w:vertAlign w:val="superscript"/>
              </w:rPr>
              <w:t>70</w:t>
            </w:r>
          </w:p>
        </w:tc>
        <w:tc>
          <w:tcPr>
            <w:tcW w:w="1271" w:type="dxa"/>
          </w:tcPr>
          <w:p w14:paraId="1F97897A" w14:textId="77777777" w:rsidR="000E2B3F" w:rsidRPr="002441D8" w:rsidRDefault="000E2B3F" w:rsidP="000E2B3F">
            <w:pPr>
              <w:rPr>
                <w:sz w:val="16"/>
                <w:szCs w:val="16"/>
              </w:rPr>
            </w:pPr>
            <w:r w:rsidRPr="002441D8">
              <w:rPr>
                <w:sz w:val="16"/>
                <w:szCs w:val="16"/>
              </w:rPr>
              <w:t>21 /</w:t>
            </w:r>
          </w:p>
          <w:p w14:paraId="1381DE19" w14:textId="77777777" w:rsidR="000E2B3F" w:rsidRPr="002441D8" w:rsidRDefault="000E2B3F" w:rsidP="000E2B3F">
            <w:pPr>
              <w:rPr>
                <w:sz w:val="16"/>
                <w:szCs w:val="16"/>
              </w:rPr>
            </w:pPr>
            <w:r w:rsidRPr="002441D8">
              <w:rPr>
                <w:sz w:val="16"/>
                <w:szCs w:val="16"/>
              </w:rPr>
              <w:t>NR</w:t>
            </w:r>
          </w:p>
        </w:tc>
        <w:tc>
          <w:tcPr>
            <w:tcW w:w="1244" w:type="dxa"/>
          </w:tcPr>
          <w:p w14:paraId="78321136" w14:textId="77777777" w:rsidR="000E2B3F" w:rsidRPr="002441D8" w:rsidRDefault="000E2B3F" w:rsidP="000E2B3F">
            <w:pPr>
              <w:rPr>
                <w:sz w:val="16"/>
                <w:szCs w:val="16"/>
              </w:rPr>
            </w:pPr>
            <w:r w:rsidRPr="002441D8">
              <w:rPr>
                <w:sz w:val="16"/>
                <w:szCs w:val="16"/>
              </w:rPr>
              <w:t>CP1 24%,</w:t>
            </w:r>
          </w:p>
          <w:p w14:paraId="33CB444C" w14:textId="77777777" w:rsidR="000E2B3F" w:rsidRPr="002441D8" w:rsidRDefault="000E2B3F" w:rsidP="000E2B3F">
            <w:pPr>
              <w:rPr>
                <w:sz w:val="16"/>
                <w:szCs w:val="16"/>
              </w:rPr>
            </w:pPr>
            <w:r w:rsidRPr="002441D8">
              <w:rPr>
                <w:sz w:val="16"/>
                <w:szCs w:val="16"/>
              </w:rPr>
              <w:t>AP 29%,</w:t>
            </w:r>
          </w:p>
          <w:p w14:paraId="1807DEDE" w14:textId="77777777" w:rsidR="000E2B3F" w:rsidRPr="002441D8" w:rsidRDefault="000E2B3F" w:rsidP="000E2B3F">
            <w:pPr>
              <w:rPr>
                <w:sz w:val="16"/>
                <w:szCs w:val="16"/>
              </w:rPr>
            </w:pPr>
            <w:r w:rsidRPr="002441D8">
              <w:rPr>
                <w:sz w:val="16"/>
                <w:szCs w:val="16"/>
              </w:rPr>
              <w:t>BC 38%,</w:t>
            </w:r>
          </w:p>
          <w:p w14:paraId="00FDBA87" w14:textId="77777777" w:rsidR="000E2B3F" w:rsidRPr="002441D8" w:rsidRDefault="000E2B3F" w:rsidP="000E2B3F">
            <w:pPr>
              <w:rPr>
                <w:sz w:val="16"/>
                <w:szCs w:val="16"/>
              </w:rPr>
            </w:pPr>
            <w:r w:rsidRPr="002441D8">
              <w:rPr>
                <w:sz w:val="16"/>
                <w:szCs w:val="16"/>
              </w:rPr>
              <w:t>ALL 10%</w:t>
            </w:r>
          </w:p>
        </w:tc>
        <w:tc>
          <w:tcPr>
            <w:tcW w:w="1258" w:type="dxa"/>
          </w:tcPr>
          <w:p w14:paraId="20E97249" w14:textId="77777777" w:rsidR="000E2B3F" w:rsidRPr="002441D8" w:rsidRDefault="000E2B3F" w:rsidP="000E2B3F">
            <w:pPr>
              <w:rPr>
                <w:sz w:val="16"/>
                <w:szCs w:val="16"/>
              </w:rPr>
            </w:pPr>
            <w:r w:rsidRPr="002441D8">
              <w:rPr>
                <w:sz w:val="16"/>
                <w:szCs w:val="16"/>
              </w:rPr>
              <w:t>*Dasatinib 62%,</w:t>
            </w:r>
          </w:p>
          <w:p w14:paraId="36D21890" w14:textId="77777777" w:rsidR="000E2B3F" w:rsidRPr="002441D8" w:rsidRDefault="000E2B3F" w:rsidP="000E2B3F">
            <w:pPr>
              <w:rPr>
                <w:sz w:val="16"/>
                <w:szCs w:val="16"/>
              </w:rPr>
            </w:pPr>
            <w:r w:rsidRPr="002441D8">
              <w:rPr>
                <w:sz w:val="16"/>
                <w:szCs w:val="16"/>
              </w:rPr>
              <w:t>*Nilotonib 38%</w:t>
            </w:r>
          </w:p>
        </w:tc>
        <w:tc>
          <w:tcPr>
            <w:tcW w:w="1446" w:type="dxa"/>
          </w:tcPr>
          <w:p w14:paraId="35051A93" w14:textId="77777777" w:rsidR="000E2B3F" w:rsidRPr="002441D8" w:rsidRDefault="000E2B3F" w:rsidP="000E2B3F">
            <w:pPr>
              <w:rPr>
                <w:sz w:val="16"/>
                <w:szCs w:val="16"/>
              </w:rPr>
            </w:pPr>
            <w:r w:rsidRPr="002441D8">
              <w:rPr>
                <w:sz w:val="16"/>
                <w:szCs w:val="16"/>
              </w:rPr>
              <w:t>Sib 33,</w:t>
            </w:r>
          </w:p>
          <w:p w14:paraId="1FD95BDC" w14:textId="77777777" w:rsidR="000E2B3F" w:rsidRPr="002441D8" w:rsidRDefault="000E2B3F" w:rsidP="000E2B3F">
            <w:pPr>
              <w:rPr>
                <w:sz w:val="16"/>
                <w:szCs w:val="16"/>
              </w:rPr>
            </w:pPr>
            <w:r w:rsidRPr="002441D8">
              <w:rPr>
                <w:sz w:val="16"/>
                <w:szCs w:val="16"/>
              </w:rPr>
              <w:t>URD 62%,</w:t>
            </w:r>
          </w:p>
          <w:p w14:paraId="70A5D452" w14:textId="77777777" w:rsidR="000E2B3F" w:rsidRPr="002441D8" w:rsidRDefault="000E2B3F" w:rsidP="000E2B3F">
            <w:pPr>
              <w:rPr>
                <w:sz w:val="16"/>
                <w:szCs w:val="16"/>
              </w:rPr>
            </w:pPr>
            <w:r w:rsidRPr="002441D8">
              <w:rPr>
                <w:sz w:val="16"/>
                <w:szCs w:val="16"/>
              </w:rPr>
              <w:t>Haplo 5%</w:t>
            </w:r>
          </w:p>
        </w:tc>
        <w:tc>
          <w:tcPr>
            <w:tcW w:w="1429" w:type="dxa"/>
          </w:tcPr>
          <w:p w14:paraId="24CF3FFB" w14:textId="77777777" w:rsidR="000E2B3F" w:rsidRPr="002441D8" w:rsidRDefault="000E2B3F" w:rsidP="000E2B3F">
            <w:pPr>
              <w:rPr>
                <w:sz w:val="16"/>
                <w:szCs w:val="16"/>
              </w:rPr>
            </w:pPr>
            <w:r w:rsidRPr="002441D8">
              <w:rPr>
                <w:sz w:val="16"/>
                <w:szCs w:val="16"/>
              </w:rPr>
              <w:t>BM 10%,</w:t>
            </w:r>
          </w:p>
          <w:p w14:paraId="3DD65321" w14:textId="77777777" w:rsidR="000E2B3F" w:rsidRPr="002441D8" w:rsidRDefault="000E2B3F" w:rsidP="000E2B3F">
            <w:pPr>
              <w:rPr>
                <w:sz w:val="16"/>
                <w:szCs w:val="16"/>
              </w:rPr>
            </w:pPr>
            <w:r w:rsidRPr="002441D8">
              <w:rPr>
                <w:sz w:val="16"/>
                <w:szCs w:val="16"/>
              </w:rPr>
              <w:t xml:space="preserve"> PB 90%</w:t>
            </w:r>
          </w:p>
        </w:tc>
        <w:tc>
          <w:tcPr>
            <w:tcW w:w="1269" w:type="dxa"/>
          </w:tcPr>
          <w:p w14:paraId="623FF5BF" w14:textId="77777777" w:rsidR="000E2B3F" w:rsidRPr="002441D8" w:rsidRDefault="000E2B3F" w:rsidP="000E2B3F">
            <w:pPr>
              <w:rPr>
                <w:sz w:val="16"/>
                <w:szCs w:val="16"/>
              </w:rPr>
            </w:pPr>
            <w:r w:rsidRPr="002441D8">
              <w:rPr>
                <w:sz w:val="16"/>
                <w:szCs w:val="16"/>
              </w:rPr>
              <w:t>MAC 67%,</w:t>
            </w:r>
          </w:p>
          <w:p w14:paraId="4AC39BA5" w14:textId="77777777" w:rsidR="000E2B3F" w:rsidRPr="002441D8" w:rsidRDefault="000E2B3F" w:rsidP="000E2B3F">
            <w:pPr>
              <w:rPr>
                <w:sz w:val="16"/>
                <w:szCs w:val="16"/>
              </w:rPr>
            </w:pPr>
            <w:r w:rsidRPr="002441D8">
              <w:rPr>
                <w:sz w:val="16"/>
                <w:szCs w:val="16"/>
              </w:rPr>
              <w:t xml:space="preserve"> RIC 33%</w:t>
            </w:r>
          </w:p>
        </w:tc>
        <w:tc>
          <w:tcPr>
            <w:tcW w:w="1260" w:type="dxa"/>
          </w:tcPr>
          <w:p w14:paraId="4D36DB10" w14:textId="77777777" w:rsidR="000E2B3F" w:rsidRPr="002441D8" w:rsidRDefault="000E2B3F" w:rsidP="000E2B3F">
            <w:pPr>
              <w:rPr>
                <w:sz w:val="16"/>
                <w:szCs w:val="16"/>
              </w:rPr>
            </w:pPr>
            <w:r w:rsidRPr="002441D8">
              <w:rPr>
                <w:sz w:val="16"/>
                <w:szCs w:val="16"/>
              </w:rPr>
              <w:t>46%</w:t>
            </w:r>
          </w:p>
          <w:p w14:paraId="4C7ED1A6" w14:textId="77777777" w:rsidR="000E2B3F" w:rsidRPr="002441D8" w:rsidRDefault="000E2B3F" w:rsidP="000E2B3F">
            <w:pPr>
              <w:rPr>
                <w:sz w:val="16"/>
                <w:szCs w:val="16"/>
              </w:rPr>
            </w:pPr>
            <w:r w:rsidRPr="002441D8">
              <w:rPr>
                <w:sz w:val="16"/>
                <w:szCs w:val="16"/>
              </w:rPr>
              <w:t>(DFS at 2 years)</w:t>
            </w:r>
          </w:p>
        </w:tc>
        <w:tc>
          <w:tcPr>
            <w:tcW w:w="1252" w:type="dxa"/>
          </w:tcPr>
          <w:p w14:paraId="383DA92B" w14:textId="77777777" w:rsidR="000E2B3F" w:rsidRPr="002441D8" w:rsidRDefault="000E2B3F" w:rsidP="000E2B3F">
            <w:pPr>
              <w:rPr>
                <w:sz w:val="16"/>
                <w:szCs w:val="16"/>
              </w:rPr>
            </w:pPr>
            <w:r w:rsidRPr="002441D8">
              <w:rPr>
                <w:sz w:val="16"/>
                <w:szCs w:val="16"/>
              </w:rPr>
              <w:t xml:space="preserve">64% </w:t>
            </w:r>
          </w:p>
          <w:p w14:paraId="308FA49F" w14:textId="77777777" w:rsidR="000E2B3F" w:rsidRPr="002441D8" w:rsidRDefault="000E2B3F" w:rsidP="000E2B3F">
            <w:pPr>
              <w:rPr>
                <w:sz w:val="16"/>
                <w:szCs w:val="16"/>
              </w:rPr>
            </w:pPr>
            <w:r w:rsidRPr="002441D8">
              <w:rPr>
                <w:sz w:val="16"/>
                <w:szCs w:val="16"/>
              </w:rPr>
              <w:t>(OS at 2 years)</w:t>
            </w:r>
          </w:p>
        </w:tc>
        <w:tc>
          <w:tcPr>
            <w:tcW w:w="1248" w:type="dxa"/>
          </w:tcPr>
          <w:p w14:paraId="11AB44FA" w14:textId="77777777" w:rsidR="000E2B3F" w:rsidRPr="002441D8" w:rsidRDefault="000E2B3F" w:rsidP="000E2B3F">
            <w:pPr>
              <w:rPr>
                <w:sz w:val="16"/>
                <w:szCs w:val="16"/>
              </w:rPr>
            </w:pPr>
            <w:r w:rsidRPr="002441D8">
              <w:rPr>
                <w:sz w:val="16"/>
                <w:szCs w:val="16"/>
              </w:rPr>
              <w:t>7%</w:t>
            </w:r>
          </w:p>
        </w:tc>
        <w:tc>
          <w:tcPr>
            <w:tcW w:w="1274" w:type="dxa"/>
          </w:tcPr>
          <w:p w14:paraId="7281DCCB" w14:textId="77777777" w:rsidR="000E2B3F" w:rsidRPr="002441D8" w:rsidRDefault="000E2B3F" w:rsidP="000E2B3F">
            <w:pPr>
              <w:rPr>
                <w:sz w:val="16"/>
                <w:szCs w:val="16"/>
              </w:rPr>
            </w:pPr>
            <w:r w:rsidRPr="002441D8">
              <w:rPr>
                <w:sz w:val="16"/>
                <w:szCs w:val="16"/>
              </w:rPr>
              <w:t>Retrospective single centre study</w:t>
            </w:r>
          </w:p>
        </w:tc>
      </w:tr>
      <w:tr w:rsidR="000E2B3F" w:rsidRPr="002441D8" w14:paraId="3ED84D7A" w14:textId="77777777" w:rsidTr="000E2B3F">
        <w:tc>
          <w:tcPr>
            <w:tcW w:w="1287" w:type="dxa"/>
          </w:tcPr>
          <w:p w14:paraId="581DECE2" w14:textId="77777777" w:rsidR="000E2B3F" w:rsidRPr="002441D8" w:rsidRDefault="000E2B3F" w:rsidP="000E2B3F">
            <w:pPr>
              <w:rPr>
                <w:sz w:val="16"/>
                <w:szCs w:val="16"/>
              </w:rPr>
            </w:pPr>
            <w:r w:rsidRPr="002441D8">
              <w:rPr>
                <w:sz w:val="16"/>
                <w:szCs w:val="16"/>
              </w:rPr>
              <w:t xml:space="preserve">Saussele </w:t>
            </w:r>
            <w:r w:rsidRPr="002441D8">
              <w:rPr>
                <w:i/>
                <w:sz w:val="16"/>
                <w:szCs w:val="16"/>
              </w:rPr>
              <w:t>et al</w:t>
            </w:r>
            <w:r w:rsidRPr="002441D8">
              <w:rPr>
                <w:sz w:val="16"/>
                <w:szCs w:val="16"/>
              </w:rPr>
              <w:t xml:space="preserve"> 2009 </w:t>
            </w:r>
            <w:r w:rsidRPr="002441D8">
              <w:rPr>
                <w:sz w:val="16"/>
                <w:szCs w:val="16"/>
                <w:vertAlign w:val="superscript"/>
              </w:rPr>
              <w:t>79</w:t>
            </w:r>
          </w:p>
        </w:tc>
        <w:tc>
          <w:tcPr>
            <w:tcW w:w="1271" w:type="dxa"/>
          </w:tcPr>
          <w:p w14:paraId="0F156ED9" w14:textId="77777777" w:rsidR="000E2B3F" w:rsidRPr="002441D8" w:rsidRDefault="000E2B3F" w:rsidP="000E2B3F">
            <w:pPr>
              <w:rPr>
                <w:sz w:val="16"/>
                <w:szCs w:val="16"/>
              </w:rPr>
            </w:pPr>
            <w:r w:rsidRPr="002441D8">
              <w:rPr>
                <w:sz w:val="16"/>
                <w:szCs w:val="16"/>
              </w:rPr>
              <w:t>84 /</w:t>
            </w:r>
          </w:p>
          <w:p w14:paraId="444A3F04" w14:textId="77777777" w:rsidR="000E2B3F" w:rsidRPr="002441D8" w:rsidRDefault="000E2B3F" w:rsidP="000E2B3F">
            <w:pPr>
              <w:rPr>
                <w:sz w:val="16"/>
                <w:szCs w:val="16"/>
              </w:rPr>
            </w:pPr>
            <w:r w:rsidRPr="002441D8">
              <w:rPr>
                <w:sz w:val="16"/>
                <w:szCs w:val="16"/>
              </w:rPr>
              <w:t>2003 - 2008</w:t>
            </w:r>
          </w:p>
        </w:tc>
        <w:tc>
          <w:tcPr>
            <w:tcW w:w="1244" w:type="dxa"/>
          </w:tcPr>
          <w:p w14:paraId="6F606187" w14:textId="77777777" w:rsidR="000E2B3F" w:rsidRPr="002441D8" w:rsidRDefault="000E2B3F" w:rsidP="000E2B3F">
            <w:pPr>
              <w:rPr>
                <w:sz w:val="16"/>
                <w:szCs w:val="16"/>
              </w:rPr>
            </w:pPr>
            <w:r w:rsidRPr="002441D8">
              <w:rPr>
                <w:sz w:val="16"/>
                <w:szCs w:val="16"/>
              </w:rPr>
              <w:t>CP1 (elective) 23%,</w:t>
            </w:r>
          </w:p>
          <w:p w14:paraId="5F8A7984" w14:textId="77777777" w:rsidR="000E2B3F" w:rsidRPr="002441D8" w:rsidRDefault="000E2B3F" w:rsidP="000E2B3F">
            <w:pPr>
              <w:rPr>
                <w:sz w:val="16"/>
                <w:szCs w:val="16"/>
              </w:rPr>
            </w:pPr>
            <w:r w:rsidRPr="002441D8">
              <w:rPr>
                <w:sz w:val="16"/>
                <w:szCs w:val="16"/>
              </w:rPr>
              <w:t>CP1 (TKI failure) 44%,</w:t>
            </w:r>
          </w:p>
          <w:p w14:paraId="5E64B85C" w14:textId="77777777" w:rsidR="000E2B3F" w:rsidRPr="002441D8" w:rsidRDefault="000E2B3F" w:rsidP="000E2B3F">
            <w:pPr>
              <w:rPr>
                <w:sz w:val="16"/>
                <w:szCs w:val="16"/>
              </w:rPr>
            </w:pPr>
            <w:r w:rsidRPr="002441D8">
              <w:rPr>
                <w:sz w:val="16"/>
                <w:szCs w:val="16"/>
              </w:rPr>
              <w:t>AP 4%,</w:t>
            </w:r>
          </w:p>
          <w:p w14:paraId="5901817B" w14:textId="77777777" w:rsidR="000E2B3F" w:rsidRPr="002441D8" w:rsidRDefault="000E2B3F" w:rsidP="000E2B3F">
            <w:pPr>
              <w:rPr>
                <w:sz w:val="16"/>
                <w:szCs w:val="16"/>
              </w:rPr>
            </w:pPr>
            <w:r w:rsidRPr="002441D8">
              <w:rPr>
                <w:sz w:val="16"/>
                <w:szCs w:val="16"/>
              </w:rPr>
              <w:t>BC 30%</w:t>
            </w:r>
          </w:p>
        </w:tc>
        <w:tc>
          <w:tcPr>
            <w:tcW w:w="1258" w:type="dxa"/>
          </w:tcPr>
          <w:p w14:paraId="29D12048" w14:textId="77777777" w:rsidR="000E2B3F" w:rsidRPr="002441D8" w:rsidRDefault="000E2B3F" w:rsidP="000E2B3F">
            <w:pPr>
              <w:rPr>
                <w:sz w:val="16"/>
                <w:szCs w:val="16"/>
              </w:rPr>
            </w:pPr>
            <w:r w:rsidRPr="002441D8">
              <w:rPr>
                <w:sz w:val="16"/>
                <w:szCs w:val="16"/>
              </w:rPr>
              <w:t>All imatinib</w:t>
            </w:r>
          </w:p>
        </w:tc>
        <w:tc>
          <w:tcPr>
            <w:tcW w:w="1446" w:type="dxa"/>
          </w:tcPr>
          <w:p w14:paraId="56D02067" w14:textId="77777777" w:rsidR="000E2B3F" w:rsidRPr="002441D8" w:rsidRDefault="000E2B3F" w:rsidP="000E2B3F">
            <w:pPr>
              <w:rPr>
                <w:sz w:val="16"/>
                <w:szCs w:val="16"/>
              </w:rPr>
            </w:pPr>
            <w:r w:rsidRPr="002441D8">
              <w:rPr>
                <w:sz w:val="16"/>
                <w:szCs w:val="16"/>
              </w:rPr>
              <w:t>Sib 36%,</w:t>
            </w:r>
          </w:p>
          <w:p w14:paraId="0977FCBE" w14:textId="77777777" w:rsidR="000E2B3F" w:rsidRPr="002441D8" w:rsidRDefault="000E2B3F" w:rsidP="000E2B3F">
            <w:pPr>
              <w:rPr>
                <w:sz w:val="16"/>
                <w:szCs w:val="16"/>
              </w:rPr>
            </w:pPr>
            <w:r w:rsidRPr="002441D8">
              <w:rPr>
                <w:sz w:val="16"/>
                <w:szCs w:val="16"/>
              </w:rPr>
              <w:t>URD 64%,</w:t>
            </w:r>
          </w:p>
          <w:p w14:paraId="5B27B906" w14:textId="77777777" w:rsidR="000E2B3F" w:rsidRPr="002441D8" w:rsidRDefault="000E2B3F" w:rsidP="000E2B3F">
            <w:pPr>
              <w:rPr>
                <w:sz w:val="16"/>
                <w:szCs w:val="16"/>
              </w:rPr>
            </w:pPr>
          </w:p>
        </w:tc>
        <w:tc>
          <w:tcPr>
            <w:tcW w:w="1429" w:type="dxa"/>
          </w:tcPr>
          <w:p w14:paraId="1DF1F745" w14:textId="77777777" w:rsidR="000E2B3F" w:rsidRPr="002441D8" w:rsidRDefault="000E2B3F" w:rsidP="000E2B3F">
            <w:pPr>
              <w:rPr>
                <w:sz w:val="16"/>
                <w:szCs w:val="16"/>
              </w:rPr>
            </w:pPr>
            <w:r w:rsidRPr="002441D8">
              <w:rPr>
                <w:sz w:val="16"/>
                <w:szCs w:val="16"/>
              </w:rPr>
              <w:t>BM 24%</w:t>
            </w:r>
          </w:p>
          <w:p w14:paraId="66A7CE9B" w14:textId="77777777" w:rsidR="000E2B3F" w:rsidRPr="002441D8" w:rsidRDefault="000E2B3F" w:rsidP="000E2B3F">
            <w:pPr>
              <w:rPr>
                <w:sz w:val="16"/>
                <w:szCs w:val="16"/>
              </w:rPr>
            </w:pPr>
            <w:r w:rsidRPr="002441D8">
              <w:rPr>
                <w:sz w:val="16"/>
                <w:szCs w:val="16"/>
              </w:rPr>
              <w:t>PB 76%</w:t>
            </w:r>
          </w:p>
        </w:tc>
        <w:tc>
          <w:tcPr>
            <w:tcW w:w="1269" w:type="dxa"/>
          </w:tcPr>
          <w:p w14:paraId="4EAE0785" w14:textId="77777777" w:rsidR="000E2B3F" w:rsidRPr="002441D8" w:rsidRDefault="000E2B3F" w:rsidP="000E2B3F">
            <w:pPr>
              <w:rPr>
                <w:sz w:val="16"/>
                <w:szCs w:val="16"/>
              </w:rPr>
            </w:pPr>
            <w:r w:rsidRPr="002441D8">
              <w:rPr>
                <w:sz w:val="16"/>
                <w:szCs w:val="16"/>
              </w:rPr>
              <w:t>MAC 68%,</w:t>
            </w:r>
          </w:p>
          <w:p w14:paraId="056352C9" w14:textId="77777777" w:rsidR="000E2B3F" w:rsidRPr="002441D8" w:rsidRDefault="000E2B3F" w:rsidP="000E2B3F">
            <w:pPr>
              <w:rPr>
                <w:sz w:val="16"/>
                <w:szCs w:val="16"/>
              </w:rPr>
            </w:pPr>
            <w:r w:rsidRPr="002441D8">
              <w:rPr>
                <w:sz w:val="16"/>
                <w:szCs w:val="16"/>
              </w:rPr>
              <w:t>RIC 13%,</w:t>
            </w:r>
          </w:p>
          <w:p w14:paraId="4E6B97D9" w14:textId="77777777" w:rsidR="000E2B3F" w:rsidRPr="002441D8" w:rsidRDefault="000E2B3F" w:rsidP="000E2B3F">
            <w:pPr>
              <w:rPr>
                <w:sz w:val="16"/>
                <w:szCs w:val="16"/>
              </w:rPr>
            </w:pPr>
            <w:r w:rsidRPr="002441D8">
              <w:rPr>
                <w:sz w:val="16"/>
                <w:szCs w:val="16"/>
              </w:rPr>
              <w:t>Other 19%</w:t>
            </w:r>
          </w:p>
        </w:tc>
        <w:tc>
          <w:tcPr>
            <w:tcW w:w="1260" w:type="dxa"/>
          </w:tcPr>
          <w:p w14:paraId="10AD4DD4" w14:textId="77777777" w:rsidR="000E2B3F" w:rsidRPr="002441D8" w:rsidRDefault="000E2B3F" w:rsidP="000E2B3F">
            <w:pPr>
              <w:rPr>
                <w:sz w:val="16"/>
                <w:szCs w:val="16"/>
              </w:rPr>
            </w:pPr>
            <w:r w:rsidRPr="002441D8">
              <w:rPr>
                <w:sz w:val="16"/>
                <w:szCs w:val="16"/>
              </w:rPr>
              <w:t>CMR at last PCR 88%</w:t>
            </w:r>
          </w:p>
        </w:tc>
        <w:tc>
          <w:tcPr>
            <w:tcW w:w="1252" w:type="dxa"/>
          </w:tcPr>
          <w:p w14:paraId="638F8A5E" w14:textId="77777777" w:rsidR="000E2B3F" w:rsidRPr="002441D8" w:rsidRDefault="000E2B3F" w:rsidP="000E2B3F">
            <w:pPr>
              <w:rPr>
                <w:sz w:val="16"/>
                <w:szCs w:val="16"/>
              </w:rPr>
            </w:pPr>
            <w:r w:rsidRPr="002441D8">
              <w:rPr>
                <w:sz w:val="16"/>
                <w:szCs w:val="16"/>
              </w:rPr>
              <w:t>CP1(elective) 88%,</w:t>
            </w:r>
          </w:p>
          <w:p w14:paraId="14BC1583" w14:textId="77777777" w:rsidR="000E2B3F" w:rsidRPr="002441D8" w:rsidRDefault="000E2B3F" w:rsidP="000E2B3F">
            <w:pPr>
              <w:rPr>
                <w:sz w:val="16"/>
                <w:szCs w:val="16"/>
              </w:rPr>
            </w:pPr>
            <w:r w:rsidRPr="002441D8">
              <w:rPr>
                <w:sz w:val="16"/>
                <w:szCs w:val="16"/>
              </w:rPr>
              <w:t>CP1(imatinib failure) 94%,</w:t>
            </w:r>
          </w:p>
          <w:p w14:paraId="0E920282" w14:textId="77777777" w:rsidR="000E2B3F" w:rsidRPr="002441D8" w:rsidRDefault="000E2B3F" w:rsidP="000E2B3F">
            <w:pPr>
              <w:rPr>
                <w:sz w:val="16"/>
                <w:szCs w:val="16"/>
              </w:rPr>
            </w:pPr>
            <w:r w:rsidRPr="002441D8">
              <w:rPr>
                <w:sz w:val="16"/>
                <w:szCs w:val="16"/>
              </w:rPr>
              <w:t>AP 59%</w:t>
            </w:r>
          </w:p>
          <w:p w14:paraId="1276E662" w14:textId="77777777" w:rsidR="000E2B3F" w:rsidRPr="002441D8" w:rsidRDefault="000E2B3F" w:rsidP="000E2B3F">
            <w:pPr>
              <w:rPr>
                <w:sz w:val="16"/>
                <w:szCs w:val="16"/>
              </w:rPr>
            </w:pPr>
            <w:r w:rsidRPr="002441D8">
              <w:rPr>
                <w:sz w:val="16"/>
                <w:szCs w:val="16"/>
              </w:rPr>
              <w:t>(OS at 3 years)</w:t>
            </w:r>
          </w:p>
        </w:tc>
        <w:tc>
          <w:tcPr>
            <w:tcW w:w="1248" w:type="dxa"/>
          </w:tcPr>
          <w:p w14:paraId="7670F712" w14:textId="77777777" w:rsidR="000E2B3F" w:rsidRPr="002441D8" w:rsidRDefault="000E2B3F" w:rsidP="000E2B3F">
            <w:pPr>
              <w:rPr>
                <w:sz w:val="16"/>
                <w:szCs w:val="16"/>
              </w:rPr>
            </w:pPr>
            <w:r w:rsidRPr="002441D8">
              <w:rPr>
                <w:sz w:val="16"/>
                <w:szCs w:val="16"/>
              </w:rPr>
              <w:t>Early TRM</w:t>
            </w:r>
          </w:p>
          <w:p w14:paraId="66C35397" w14:textId="77777777" w:rsidR="000E2B3F" w:rsidRPr="002441D8" w:rsidRDefault="000E2B3F" w:rsidP="000E2B3F">
            <w:pPr>
              <w:rPr>
                <w:sz w:val="16"/>
                <w:szCs w:val="16"/>
              </w:rPr>
            </w:pPr>
            <w:r w:rsidRPr="002441D8">
              <w:rPr>
                <w:sz w:val="16"/>
                <w:szCs w:val="16"/>
              </w:rPr>
              <w:t>8%</w:t>
            </w:r>
          </w:p>
        </w:tc>
        <w:tc>
          <w:tcPr>
            <w:tcW w:w="1274" w:type="dxa"/>
          </w:tcPr>
          <w:p w14:paraId="6E6AB0FA" w14:textId="77777777" w:rsidR="000E2B3F" w:rsidRPr="002441D8" w:rsidRDefault="000E2B3F" w:rsidP="000E2B3F">
            <w:pPr>
              <w:rPr>
                <w:sz w:val="16"/>
                <w:szCs w:val="16"/>
              </w:rPr>
            </w:pPr>
            <w:r w:rsidRPr="002441D8">
              <w:rPr>
                <w:sz w:val="16"/>
                <w:szCs w:val="16"/>
              </w:rPr>
              <w:t>Prospective multicentre study</w:t>
            </w:r>
          </w:p>
          <w:p w14:paraId="0E1460F5" w14:textId="77777777" w:rsidR="000E2B3F" w:rsidRPr="002441D8" w:rsidRDefault="000E2B3F" w:rsidP="000E2B3F">
            <w:pPr>
              <w:rPr>
                <w:sz w:val="16"/>
                <w:szCs w:val="16"/>
              </w:rPr>
            </w:pPr>
            <w:r w:rsidRPr="002441D8">
              <w:rPr>
                <w:sz w:val="16"/>
                <w:szCs w:val="16"/>
              </w:rPr>
              <w:t>(CML IV study)</w:t>
            </w:r>
          </w:p>
        </w:tc>
      </w:tr>
      <w:tr w:rsidR="000E2B3F" w:rsidRPr="002441D8" w14:paraId="02DAA24F" w14:textId="77777777" w:rsidTr="000E2B3F">
        <w:tc>
          <w:tcPr>
            <w:tcW w:w="1287" w:type="dxa"/>
          </w:tcPr>
          <w:p w14:paraId="0B211D30" w14:textId="77777777" w:rsidR="000E2B3F" w:rsidRPr="002441D8" w:rsidRDefault="000E2B3F" w:rsidP="000E2B3F">
            <w:pPr>
              <w:rPr>
                <w:rFonts w:cs="AdvPS8E91"/>
                <w:sz w:val="16"/>
                <w:szCs w:val="16"/>
              </w:rPr>
            </w:pPr>
            <w:r w:rsidRPr="002441D8">
              <w:rPr>
                <w:rFonts w:cs="AdvPS8E91"/>
                <w:sz w:val="16"/>
                <w:szCs w:val="16"/>
              </w:rPr>
              <w:t xml:space="preserve">Sanz </w:t>
            </w:r>
            <w:r w:rsidRPr="002441D8">
              <w:rPr>
                <w:rFonts w:cs="AdvPS8E91"/>
                <w:i/>
                <w:sz w:val="16"/>
                <w:szCs w:val="16"/>
              </w:rPr>
              <w:t>et al</w:t>
            </w:r>
          </w:p>
          <w:p w14:paraId="10696214" w14:textId="77777777" w:rsidR="000E2B3F" w:rsidRPr="002441D8" w:rsidRDefault="000E2B3F" w:rsidP="000E2B3F">
            <w:pPr>
              <w:rPr>
                <w:sz w:val="16"/>
                <w:szCs w:val="16"/>
              </w:rPr>
            </w:pPr>
            <w:r w:rsidRPr="002441D8">
              <w:rPr>
                <w:rFonts w:cs="AdvPS8E91"/>
                <w:sz w:val="16"/>
                <w:szCs w:val="16"/>
              </w:rPr>
              <w:t>2010</w:t>
            </w:r>
            <w:r w:rsidRPr="002441D8">
              <w:rPr>
                <w:rFonts w:cs="AdvPS8E91"/>
                <w:sz w:val="16"/>
                <w:szCs w:val="16"/>
                <w:vertAlign w:val="superscript"/>
              </w:rPr>
              <w:t>71</w:t>
            </w:r>
          </w:p>
        </w:tc>
        <w:tc>
          <w:tcPr>
            <w:tcW w:w="1271" w:type="dxa"/>
          </w:tcPr>
          <w:p w14:paraId="35E4501D" w14:textId="77777777" w:rsidR="000E2B3F" w:rsidRPr="002441D8" w:rsidRDefault="000E2B3F" w:rsidP="000E2B3F">
            <w:pPr>
              <w:rPr>
                <w:sz w:val="16"/>
                <w:szCs w:val="16"/>
              </w:rPr>
            </w:pPr>
            <w:r w:rsidRPr="002441D8">
              <w:rPr>
                <w:sz w:val="16"/>
                <w:szCs w:val="16"/>
              </w:rPr>
              <w:t>26 /</w:t>
            </w:r>
          </w:p>
          <w:p w14:paraId="12E240E1" w14:textId="77777777" w:rsidR="000E2B3F" w:rsidRPr="002441D8" w:rsidRDefault="000E2B3F" w:rsidP="000E2B3F">
            <w:pPr>
              <w:rPr>
                <w:sz w:val="16"/>
                <w:szCs w:val="16"/>
              </w:rPr>
            </w:pPr>
            <w:r w:rsidRPr="002441D8">
              <w:rPr>
                <w:sz w:val="16"/>
                <w:szCs w:val="16"/>
              </w:rPr>
              <w:t>1997 - 2009</w:t>
            </w:r>
          </w:p>
        </w:tc>
        <w:tc>
          <w:tcPr>
            <w:tcW w:w="1244" w:type="dxa"/>
          </w:tcPr>
          <w:p w14:paraId="0CDFB123" w14:textId="77777777" w:rsidR="000E2B3F" w:rsidRPr="002441D8" w:rsidRDefault="000E2B3F" w:rsidP="000E2B3F">
            <w:pPr>
              <w:rPr>
                <w:sz w:val="16"/>
                <w:szCs w:val="16"/>
              </w:rPr>
            </w:pPr>
            <w:r w:rsidRPr="002441D8">
              <w:rPr>
                <w:sz w:val="16"/>
                <w:szCs w:val="16"/>
              </w:rPr>
              <w:t>CP1 27%,</w:t>
            </w:r>
          </w:p>
          <w:p w14:paraId="7C9B446F" w14:textId="77777777" w:rsidR="000E2B3F" w:rsidRPr="002441D8" w:rsidRDefault="000E2B3F" w:rsidP="000E2B3F">
            <w:pPr>
              <w:rPr>
                <w:sz w:val="16"/>
                <w:szCs w:val="16"/>
              </w:rPr>
            </w:pPr>
            <w:r w:rsidRPr="002441D8">
              <w:rPr>
                <w:sz w:val="16"/>
                <w:szCs w:val="16"/>
              </w:rPr>
              <w:t>CP2 47%,</w:t>
            </w:r>
          </w:p>
          <w:p w14:paraId="6B9D436B" w14:textId="77777777" w:rsidR="000E2B3F" w:rsidRPr="002441D8" w:rsidRDefault="000E2B3F" w:rsidP="000E2B3F">
            <w:pPr>
              <w:rPr>
                <w:sz w:val="16"/>
                <w:szCs w:val="16"/>
              </w:rPr>
            </w:pPr>
            <w:r w:rsidRPr="002441D8">
              <w:rPr>
                <w:sz w:val="16"/>
                <w:szCs w:val="16"/>
              </w:rPr>
              <w:t>AP  8%,</w:t>
            </w:r>
          </w:p>
          <w:p w14:paraId="0B304BB2" w14:textId="77777777" w:rsidR="000E2B3F" w:rsidRPr="002441D8" w:rsidRDefault="000E2B3F" w:rsidP="000E2B3F">
            <w:pPr>
              <w:rPr>
                <w:sz w:val="16"/>
                <w:szCs w:val="16"/>
              </w:rPr>
            </w:pPr>
            <w:r w:rsidRPr="002441D8">
              <w:rPr>
                <w:sz w:val="16"/>
                <w:szCs w:val="16"/>
              </w:rPr>
              <w:t>BC 23%</w:t>
            </w:r>
          </w:p>
        </w:tc>
        <w:tc>
          <w:tcPr>
            <w:tcW w:w="1258" w:type="dxa"/>
          </w:tcPr>
          <w:p w14:paraId="56D4ADD3" w14:textId="77777777" w:rsidR="000E2B3F" w:rsidRPr="002441D8" w:rsidRDefault="000E2B3F" w:rsidP="000E2B3F">
            <w:pPr>
              <w:rPr>
                <w:sz w:val="16"/>
                <w:szCs w:val="16"/>
              </w:rPr>
            </w:pPr>
            <w:r w:rsidRPr="002441D8">
              <w:rPr>
                <w:sz w:val="16"/>
                <w:szCs w:val="16"/>
              </w:rPr>
              <w:t>None reported</w:t>
            </w:r>
          </w:p>
        </w:tc>
        <w:tc>
          <w:tcPr>
            <w:tcW w:w="1446" w:type="dxa"/>
          </w:tcPr>
          <w:p w14:paraId="381D6067" w14:textId="77777777" w:rsidR="000E2B3F" w:rsidRPr="002441D8" w:rsidRDefault="000E2B3F" w:rsidP="000E2B3F">
            <w:pPr>
              <w:rPr>
                <w:sz w:val="16"/>
                <w:szCs w:val="16"/>
              </w:rPr>
            </w:pPr>
            <w:r w:rsidRPr="002441D8">
              <w:rPr>
                <w:sz w:val="16"/>
                <w:szCs w:val="16"/>
              </w:rPr>
              <w:t>Cord 100%</w:t>
            </w:r>
          </w:p>
        </w:tc>
        <w:tc>
          <w:tcPr>
            <w:tcW w:w="1429" w:type="dxa"/>
          </w:tcPr>
          <w:p w14:paraId="5A0826B5" w14:textId="77777777" w:rsidR="000E2B3F" w:rsidRPr="002441D8" w:rsidRDefault="000E2B3F" w:rsidP="000E2B3F">
            <w:pPr>
              <w:rPr>
                <w:sz w:val="16"/>
                <w:szCs w:val="16"/>
              </w:rPr>
            </w:pPr>
            <w:r w:rsidRPr="002441D8">
              <w:rPr>
                <w:sz w:val="16"/>
                <w:szCs w:val="16"/>
              </w:rPr>
              <w:t>Cord 100%</w:t>
            </w:r>
          </w:p>
        </w:tc>
        <w:tc>
          <w:tcPr>
            <w:tcW w:w="1269" w:type="dxa"/>
          </w:tcPr>
          <w:p w14:paraId="05C1DF0D" w14:textId="77777777" w:rsidR="000E2B3F" w:rsidRPr="002441D8" w:rsidRDefault="000E2B3F" w:rsidP="000E2B3F">
            <w:pPr>
              <w:rPr>
                <w:sz w:val="16"/>
                <w:szCs w:val="16"/>
              </w:rPr>
            </w:pPr>
            <w:r w:rsidRPr="002441D8">
              <w:rPr>
                <w:sz w:val="16"/>
                <w:szCs w:val="16"/>
              </w:rPr>
              <w:t>MAC 100%</w:t>
            </w:r>
          </w:p>
        </w:tc>
        <w:tc>
          <w:tcPr>
            <w:tcW w:w="1260" w:type="dxa"/>
          </w:tcPr>
          <w:p w14:paraId="79969B69" w14:textId="77777777" w:rsidR="000E2B3F" w:rsidRPr="002441D8" w:rsidRDefault="000E2B3F" w:rsidP="000E2B3F">
            <w:pPr>
              <w:rPr>
                <w:sz w:val="16"/>
                <w:szCs w:val="16"/>
              </w:rPr>
            </w:pPr>
            <w:r w:rsidRPr="002441D8">
              <w:rPr>
                <w:sz w:val="16"/>
                <w:szCs w:val="16"/>
              </w:rPr>
              <w:t xml:space="preserve"> 41% (DFS at 8 years)</w:t>
            </w:r>
          </w:p>
          <w:p w14:paraId="21D4F2FF" w14:textId="77777777" w:rsidR="000E2B3F" w:rsidRPr="002441D8" w:rsidRDefault="000E2B3F" w:rsidP="000E2B3F">
            <w:pPr>
              <w:rPr>
                <w:sz w:val="16"/>
                <w:szCs w:val="16"/>
              </w:rPr>
            </w:pPr>
            <w:r w:rsidRPr="002441D8">
              <w:rPr>
                <w:sz w:val="16"/>
                <w:szCs w:val="16"/>
              </w:rPr>
              <w:t>(CP 59% vs non-CP 0%)</w:t>
            </w:r>
          </w:p>
        </w:tc>
        <w:tc>
          <w:tcPr>
            <w:tcW w:w="1252" w:type="dxa"/>
          </w:tcPr>
          <w:p w14:paraId="017AF130" w14:textId="77777777" w:rsidR="000E2B3F" w:rsidRPr="002441D8" w:rsidRDefault="000E2B3F" w:rsidP="000E2B3F">
            <w:pPr>
              <w:rPr>
                <w:sz w:val="16"/>
                <w:szCs w:val="16"/>
              </w:rPr>
            </w:pPr>
            <w:r w:rsidRPr="002441D8">
              <w:rPr>
                <w:sz w:val="16"/>
                <w:szCs w:val="16"/>
              </w:rPr>
              <w:t>NR</w:t>
            </w:r>
          </w:p>
        </w:tc>
        <w:tc>
          <w:tcPr>
            <w:tcW w:w="1248" w:type="dxa"/>
          </w:tcPr>
          <w:p w14:paraId="64837C07" w14:textId="77777777" w:rsidR="000E2B3F" w:rsidRPr="002441D8" w:rsidRDefault="000E2B3F" w:rsidP="000E2B3F">
            <w:pPr>
              <w:rPr>
                <w:sz w:val="16"/>
                <w:szCs w:val="16"/>
              </w:rPr>
            </w:pPr>
            <w:r w:rsidRPr="002441D8">
              <w:rPr>
                <w:sz w:val="16"/>
                <w:szCs w:val="16"/>
              </w:rPr>
              <w:t>NR</w:t>
            </w:r>
          </w:p>
        </w:tc>
        <w:tc>
          <w:tcPr>
            <w:tcW w:w="1274" w:type="dxa"/>
          </w:tcPr>
          <w:p w14:paraId="2339FE39" w14:textId="77777777" w:rsidR="000E2B3F" w:rsidRPr="002441D8" w:rsidRDefault="000E2B3F" w:rsidP="000E2B3F">
            <w:pPr>
              <w:rPr>
                <w:sz w:val="16"/>
                <w:szCs w:val="16"/>
              </w:rPr>
            </w:pPr>
            <w:r w:rsidRPr="002441D8">
              <w:rPr>
                <w:sz w:val="16"/>
                <w:szCs w:val="16"/>
              </w:rPr>
              <w:t>Retrospective single centre study</w:t>
            </w:r>
          </w:p>
        </w:tc>
      </w:tr>
      <w:tr w:rsidR="000E2B3F" w:rsidRPr="002441D8" w14:paraId="51965F9A" w14:textId="77777777" w:rsidTr="000E2B3F">
        <w:tc>
          <w:tcPr>
            <w:tcW w:w="1287" w:type="dxa"/>
          </w:tcPr>
          <w:p w14:paraId="18915CC3" w14:textId="77777777" w:rsidR="000E2B3F" w:rsidRPr="002441D8" w:rsidRDefault="000E2B3F" w:rsidP="000E2B3F">
            <w:pPr>
              <w:rPr>
                <w:sz w:val="16"/>
                <w:szCs w:val="16"/>
              </w:rPr>
            </w:pPr>
            <w:r w:rsidRPr="002441D8">
              <w:rPr>
                <w:rFonts w:cs="Arial"/>
                <w:sz w:val="16"/>
                <w:szCs w:val="16"/>
              </w:rPr>
              <w:t xml:space="preserve">Jabbour </w:t>
            </w:r>
            <w:r w:rsidRPr="002441D8">
              <w:rPr>
                <w:rFonts w:cs="Arial"/>
                <w:i/>
                <w:sz w:val="16"/>
                <w:szCs w:val="16"/>
              </w:rPr>
              <w:t>et al</w:t>
            </w:r>
            <w:r w:rsidRPr="002441D8">
              <w:rPr>
                <w:rFonts w:cs="Arial"/>
                <w:sz w:val="16"/>
                <w:szCs w:val="16"/>
              </w:rPr>
              <w:t xml:space="preserve"> 2011</w:t>
            </w:r>
            <w:r w:rsidRPr="002441D8">
              <w:rPr>
                <w:rFonts w:cs="Arial"/>
                <w:sz w:val="16"/>
                <w:szCs w:val="16"/>
                <w:vertAlign w:val="superscript"/>
              </w:rPr>
              <w:t>72</w:t>
            </w:r>
            <w:r w:rsidRPr="002441D8">
              <w:rPr>
                <w:rFonts w:cs="Arial"/>
                <w:sz w:val="16"/>
                <w:szCs w:val="16"/>
              </w:rPr>
              <w:t xml:space="preserve"> </w:t>
            </w:r>
          </w:p>
        </w:tc>
        <w:tc>
          <w:tcPr>
            <w:tcW w:w="1271" w:type="dxa"/>
          </w:tcPr>
          <w:p w14:paraId="1BA050D4" w14:textId="77777777" w:rsidR="000E2B3F" w:rsidRPr="002441D8" w:rsidRDefault="000E2B3F" w:rsidP="000E2B3F">
            <w:pPr>
              <w:rPr>
                <w:sz w:val="16"/>
                <w:szCs w:val="16"/>
              </w:rPr>
            </w:pPr>
            <w:r w:rsidRPr="002441D8">
              <w:rPr>
                <w:sz w:val="16"/>
                <w:szCs w:val="16"/>
              </w:rPr>
              <w:t>47 /</w:t>
            </w:r>
          </w:p>
          <w:p w14:paraId="70499108" w14:textId="77777777" w:rsidR="000E2B3F" w:rsidRPr="002441D8" w:rsidRDefault="000E2B3F" w:rsidP="000E2B3F">
            <w:pPr>
              <w:rPr>
                <w:sz w:val="16"/>
                <w:szCs w:val="16"/>
              </w:rPr>
            </w:pPr>
            <w:r w:rsidRPr="002441D8">
              <w:rPr>
                <w:sz w:val="16"/>
                <w:szCs w:val="16"/>
              </w:rPr>
              <w:t>2004 - 2007</w:t>
            </w:r>
          </w:p>
        </w:tc>
        <w:tc>
          <w:tcPr>
            <w:tcW w:w="1244" w:type="dxa"/>
          </w:tcPr>
          <w:p w14:paraId="514DCCB4" w14:textId="77777777" w:rsidR="000E2B3F" w:rsidRPr="002441D8" w:rsidRDefault="000E2B3F" w:rsidP="000E2B3F">
            <w:pPr>
              <w:rPr>
                <w:sz w:val="16"/>
                <w:szCs w:val="16"/>
              </w:rPr>
            </w:pPr>
            <w:r w:rsidRPr="002441D8">
              <w:rPr>
                <w:sz w:val="16"/>
                <w:szCs w:val="16"/>
              </w:rPr>
              <w:t>CP1 34%,</w:t>
            </w:r>
          </w:p>
          <w:p w14:paraId="30B2E557" w14:textId="77777777" w:rsidR="000E2B3F" w:rsidRPr="002441D8" w:rsidRDefault="000E2B3F" w:rsidP="000E2B3F">
            <w:pPr>
              <w:rPr>
                <w:sz w:val="16"/>
                <w:szCs w:val="16"/>
              </w:rPr>
            </w:pPr>
            <w:r w:rsidRPr="002441D8">
              <w:rPr>
                <w:sz w:val="16"/>
                <w:szCs w:val="16"/>
              </w:rPr>
              <w:t>CP2 21%,</w:t>
            </w:r>
          </w:p>
          <w:p w14:paraId="5A150D2D" w14:textId="77777777" w:rsidR="000E2B3F" w:rsidRPr="002441D8" w:rsidRDefault="000E2B3F" w:rsidP="000E2B3F">
            <w:pPr>
              <w:rPr>
                <w:sz w:val="16"/>
                <w:szCs w:val="16"/>
              </w:rPr>
            </w:pPr>
            <w:r w:rsidRPr="002441D8">
              <w:rPr>
                <w:sz w:val="16"/>
                <w:szCs w:val="16"/>
              </w:rPr>
              <w:t>AP 25%,</w:t>
            </w:r>
          </w:p>
          <w:p w14:paraId="74A757A1" w14:textId="77777777" w:rsidR="000E2B3F" w:rsidRPr="002441D8" w:rsidRDefault="000E2B3F" w:rsidP="000E2B3F">
            <w:pPr>
              <w:rPr>
                <w:sz w:val="16"/>
                <w:szCs w:val="16"/>
              </w:rPr>
            </w:pPr>
            <w:r w:rsidRPr="002441D8">
              <w:rPr>
                <w:sz w:val="16"/>
                <w:szCs w:val="16"/>
              </w:rPr>
              <w:t>BC 19%</w:t>
            </w:r>
          </w:p>
        </w:tc>
        <w:tc>
          <w:tcPr>
            <w:tcW w:w="1258" w:type="dxa"/>
          </w:tcPr>
          <w:p w14:paraId="52D9A4FD" w14:textId="77777777" w:rsidR="000E2B3F" w:rsidRPr="002441D8" w:rsidRDefault="000E2B3F" w:rsidP="000E2B3F">
            <w:pPr>
              <w:rPr>
                <w:sz w:val="16"/>
                <w:szCs w:val="16"/>
              </w:rPr>
            </w:pPr>
            <w:r w:rsidRPr="002441D8">
              <w:rPr>
                <w:sz w:val="16"/>
                <w:szCs w:val="16"/>
              </w:rPr>
              <w:t>Imatinib failure 100%</w:t>
            </w:r>
          </w:p>
          <w:p w14:paraId="029B4E2A" w14:textId="77777777" w:rsidR="000E2B3F" w:rsidRPr="002441D8" w:rsidRDefault="000E2B3F" w:rsidP="000E2B3F">
            <w:pPr>
              <w:rPr>
                <w:sz w:val="16"/>
                <w:szCs w:val="16"/>
              </w:rPr>
            </w:pPr>
            <w:r w:rsidRPr="002441D8">
              <w:rPr>
                <w:sz w:val="16"/>
                <w:szCs w:val="16"/>
              </w:rPr>
              <w:t>+ Second Generation TKI 62%</w:t>
            </w:r>
          </w:p>
        </w:tc>
        <w:tc>
          <w:tcPr>
            <w:tcW w:w="1446" w:type="dxa"/>
          </w:tcPr>
          <w:p w14:paraId="1B1242FA" w14:textId="77777777" w:rsidR="000E2B3F" w:rsidRPr="002441D8" w:rsidRDefault="000E2B3F" w:rsidP="000E2B3F">
            <w:pPr>
              <w:rPr>
                <w:sz w:val="16"/>
                <w:szCs w:val="16"/>
              </w:rPr>
            </w:pPr>
            <w:r w:rsidRPr="002441D8">
              <w:rPr>
                <w:sz w:val="16"/>
                <w:szCs w:val="16"/>
              </w:rPr>
              <w:t>Sib 49%</w:t>
            </w:r>
          </w:p>
          <w:p w14:paraId="26A040A0" w14:textId="77777777" w:rsidR="000E2B3F" w:rsidRPr="002441D8" w:rsidRDefault="000E2B3F" w:rsidP="000E2B3F">
            <w:pPr>
              <w:rPr>
                <w:sz w:val="16"/>
                <w:szCs w:val="16"/>
              </w:rPr>
            </w:pPr>
            <w:r w:rsidRPr="002441D8">
              <w:rPr>
                <w:sz w:val="16"/>
                <w:szCs w:val="16"/>
              </w:rPr>
              <w:t>Other 51%</w:t>
            </w:r>
          </w:p>
        </w:tc>
        <w:tc>
          <w:tcPr>
            <w:tcW w:w="1429" w:type="dxa"/>
          </w:tcPr>
          <w:p w14:paraId="6CDBEF66" w14:textId="77777777" w:rsidR="000E2B3F" w:rsidRPr="002441D8" w:rsidRDefault="000E2B3F" w:rsidP="000E2B3F">
            <w:pPr>
              <w:rPr>
                <w:sz w:val="16"/>
                <w:szCs w:val="16"/>
              </w:rPr>
            </w:pPr>
            <w:r w:rsidRPr="002441D8">
              <w:rPr>
                <w:sz w:val="16"/>
                <w:szCs w:val="16"/>
              </w:rPr>
              <w:t>NR</w:t>
            </w:r>
          </w:p>
        </w:tc>
        <w:tc>
          <w:tcPr>
            <w:tcW w:w="1269" w:type="dxa"/>
          </w:tcPr>
          <w:p w14:paraId="4C7BFB83" w14:textId="77777777" w:rsidR="000E2B3F" w:rsidRPr="002441D8" w:rsidRDefault="000E2B3F" w:rsidP="000E2B3F">
            <w:pPr>
              <w:rPr>
                <w:sz w:val="16"/>
                <w:szCs w:val="16"/>
              </w:rPr>
            </w:pPr>
            <w:r w:rsidRPr="002441D8">
              <w:rPr>
                <w:sz w:val="16"/>
                <w:szCs w:val="16"/>
              </w:rPr>
              <w:t>MAC 32%,</w:t>
            </w:r>
          </w:p>
          <w:p w14:paraId="4B6CBA50" w14:textId="77777777" w:rsidR="000E2B3F" w:rsidRPr="002441D8" w:rsidRDefault="000E2B3F" w:rsidP="000E2B3F">
            <w:pPr>
              <w:rPr>
                <w:sz w:val="16"/>
                <w:szCs w:val="16"/>
              </w:rPr>
            </w:pPr>
            <w:r w:rsidRPr="002441D8">
              <w:rPr>
                <w:sz w:val="16"/>
                <w:szCs w:val="16"/>
              </w:rPr>
              <w:t>RIC 68%</w:t>
            </w:r>
          </w:p>
        </w:tc>
        <w:tc>
          <w:tcPr>
            <w:tcW w:w="1260" w:type="dxa"/>
          </w:tcPr>
          <w:p w14:paraId="25347438" w14:textId="77777777" w:rsidR="000E2B3F" w:rsidRPr="002441D8" w:rsidRDefault="000E2B3F" w:rsidP="000E2B3F">
            <w:pPr>
              <w:rPr>
                <w:sz w:val="16"/>
                <w:szCs w:val="16"/>
              </w:rPr>
            </w:pPr>
            <w:r w:rsidRPr="002441D8">
              <w:rPr>
                <w:sz w:val="16"/>
                <w:szCs w:val="16"/>
              </w:rPr>
              <w:t>49%</w:t>
            </w:r>
          </w:p>
          <w:p w14:paraId="685B440F" w14:textId="77777777" w:rsidR="000E2B3F" w:rsidRPr="002441D8" w:rsidRDefault="000E2B3F" w:rsidP="000E2B3F">
            <w:pPr>
              <w:rPr>
                <w:sz w:val="16"/>
                <w:szCs w:val="16"/>
              </w:rPr>
            </w:pPr>
            <w:r w:rsidRPr="002441D8">
              <w:rPr>
                <w:sz w:val="16"/>
                <w:szCs w:val="16"/>
              </w:rPr>
              <w:t>(EFS at 2 years)</w:t>
            </w:r>
          </w:p>
          <w:p w14:paraId="104EEABD" w14:textId="77777777" w:rsidR="000E2B3F" w:rsidRPr="002441D8" w:rsidRDefault="000E2B3F" w:rsidP="000E2B3F">
            <w:pPr>
              <w:rPr>
                <w:sz w:val="16"/>
                <w:szCs w:val="16"/>
              </w:rPr>
            </w:pPr>
          </w:p>
          <w:p w14:paraId="3E900EBB" w14:textId="77777777" w:rsidR="000E2B3F" w:rsidRPr="002441D8" w:rsidRDefault="000E2B3F" w:rsidP="000E2B3F">
            <w:pPr>
              <w:rPr>
                <w:sz w:val="16"/>
                <w:szCs w:val="16"/>
              </w:rPr>
            </w:pPr>
            <w:r w:rsidRPr="002441D8">
              <w:rPr>
                <w:sz w:val="16"/>
                <w:szCs w:val="16"/>
              </w:rPr>
              <w:t>(Mutation 36% vs no mutation 58%)</w:t>
            </w:r>
          </w:p>
        </w:tc>
        <w:tc>
          <w:tcPr>
            <w:tcW w:w="1252" w:type="dxa"/>
          </w:tcPr>
          <w:p w14:paraId="3791ED02" w14:textId="77777777" w:rsidR="000E2B3F" w:rsidRPr="002441D8" w:rsidRDefault="000E2B3F" w:rsidP="000E2B3F">
            <w:pPr>
              <w:rPr>
                <w:sz w:val="16"/>
                <w:szCs w:val="16"/>
              </w:rPr>
            </w:pPr>
            <w:r w:rsidRPr="002441D8">
              <w:rPr>
                <w:sz w:val="16"/>
                <w:szCs w:val="16"/>
              </w:rPr>
              <w:t>63%</w:t>
            </w:r>
          </w:p>
          <w:p w14:paraId="743E2DBB" w14:textId="77777777" w:rsidR="000E2B3F" w:rsidRPr="002441D8" w:rsidRDefault="000E2B3F" w:rsidP="000E2B3F">
            <w:pPr>
              <w:rPr>
                <w:sz w:val="16"/>
                <w:szCs w:val="16"/>
              </w:rPr>
            </w:pPr>
            <w:r w:rsidRPr="002441D8">
              <w:rPr>
                <w:sz w:val="16"/>
                <w:szCs w:val="16"/>
              </w:rPr>
              <w:t>(OS at 2 years)</w:t>
            </w:r>
          </w:p>
          <w:p w14:paraId="106D4E21" w14:textId="77777777" w:rsidR="000E2B3F" w:rsidRPr="002441D8" w:rsidRDefault="000E2B3F" w:rsidP="000E2B3F">
            <w:pPr>
              <w:rPr>
                <w:sz w:val="16"/>
                <w:szCs w:val="16"/>
              </w:rPr>
            </w:pPr>
          </w:p>
          <w:p w14:paraId="4C5B10BE" w14:textId="77777777" w:rsidR="000E2B3F" w:rsidRPr="002441D8" w:rsidRDefault="000E2B3F" w:rsidP="000E2B3F">
            <w:pPr>
              <w:rPr>
                <w:sz w:val="16"/>
                <w:szCs w:val="16"/>
              </w:rPr>
            </w:pPr>
            <w:r w:rsidRPr="002441D8">
              <w:rPr>
                <w:sz w:val="16"/>
                <w:szCs w:val="16"/>
              </w:rPr>
              <w:t>(Mutation 44% vs no mutation 76%)</w:t>
            </w:r>
          </w:p>
        </w:tc>
        <w:tc>
          <w:tcPr>
            <w:tcW w:w="1248" w:type="dxa"/>
          </w:tcPr>
          <w:p w14:paraId="5C9E312C" w14:textId="77777777" w:rsidR="000E2B3F" w:rsidRPr="002441D8" w:rsidRDefault="000E2B3F" w:rsidP="000E2B3F">
            <w:pPr>
              <w:rPr>
                <w:sz w:val="16"/>
                <w:szCs w:val="16"/>
              </w:rPr>
            </w:pPr>
            <w:r w:rsidRPr="002441D8">
              <w:rPr>
                <w:sz w:val="16"/>
                <w:szCs w:val="16"/>
              </w:rPr>
              <w:t xml:space="preserve">13% </w:t>
            </w:r>
          </w:p>
          <w:p w14:paraId="3BD15142" w14:textId="77777777" w:rsidR="000E2B3F" w:rsidRPr="002441D8" w:rsidRDefault="000E2B3F" w:rsidP="000E2B3F">
            <w:pPr>
              <w:rPr>
                <w:sz w:val="16"/>
                <w:szCs w:val="16"/>
              </w:rPr>
            </w:pPr>
          </w:p>
          <w:p w14:paraId="68271682" w14:textId="77777777" w:rsidR="000E2B3F" w:rsidRPr="002441D8" w:rsidRDefault="000E2B3F" w:rsidP="000E2B3F">
            <w:pPr>
              <w:rPr>
                <w:sz w:val="16"/>
                <w:szCs w:val="16"/>
              </w:rPr>
            </w:pPr>
            <w:r w:rsidRPr="002441D8">
              <w:rPr>
                <w:sz w:val="16"/>
                <w:szCs w:val="16"/>
              </w:rPr>
              <w:t>(2 years)</w:t>
            </w:r>
          </w:p>
        </w:tc>
        <w:tc>
          <w:tcPr>
            <w:tcW w:w="1274" w:type="dxa"/>
          </w:tcPr>
          <w:p w14:paraId="3E9768A5" w14:textId="77777777" w:rsidR="000E2B3F" w:rsidRPr="002441D8" w:rsidRDefault="000E2B3F" w:rsidP="000E2B3F">
            <w:pPr>
              <w:rPr>
                <w:sz w:val="16"/>
                <w:szCs w:val="16"/>
              </w:rPr>
            </w:pPr>
            <w:r w:rsidRPr="002441D8">
              <w:rPr>
                <w:sz w:val="16"/>
                <w:szCs w:val="16"/>
              </w:rPr>
              <w:t>Retrospective single centre study</w:t>
            </w:r>
          </w:p>
        </w:tc>
      </w:tr>
      <w:tr w:rsidR="000E2B3F" w:rsidRPr="002441D8" w14:paraId="7E3912C3" w14:textId="77777777" w:rsidTr="000E2B3F">
        <w:tc>
          <w:tcPr>
            <w:tcW w:w="1287" w:type="dxa"/>
          </w:tcPr>
          <w:p w14:paraId="10DE72BC" w14:textId="77777777" w:rsidR="000E2B3F" w:rsidRPr="002441D8" w:rsidRDefault="000E2B3F" w:rsidP="000E2B3F">
            <w:pPr>
              <w:rPr>
                <w:sz w:val="16"/>
                <w:szCs w:val="16"/>
              </w:rPr>
            </w:pPr>
            <w:r w:rsidRPr="002441D8">
              <w:rPr>
                <w:sz w:val="16"/>
                <w:szCs w:val="16"/>
              </w:rPr>
              <w:t xml:space="preserve">Warlick </w:t>
            </w:r>
            <w:r w:rsidRPr="002441D8">
              <w:rPr>
                <w:i/>
                <w:sz w:val="16"/>
                <w:szCs w:val="16"/>
              </w:rPr>
              <w:t>et al</w:t>
            </w:r>
            <w:r w:rsidRPr="002441D8">
              <w:rPr>
                <w:sz w:val="16"/>
                <w:szCs w:val="16"/>
              </w:rPr>
              <w:t xml:space="preserve"> 2012</w:t>
            </w:r>
            <w:r w:rsidRPr="002441D8">
              <w:rPr>
                <w:sz w:val="16"/>
                <w:szCs w:val="16"/>
                <w:vertAlign w:val="superscript"/>
              </w:rPr>
              <w:t>73</w:t>
            </w:r>
          </w:p>
        </w:tc>
        <w:tc>
          <w:tcPr>
            <w:tcW w:w="1271" w:type="dxa"/>
          </w:tcPr>
          <w:p w14:paraId="40E45D54" w14:textId="77777777" w:rsidR="000E2B3F" w:rsidRPr="002441D8" w:rsidRDefault="000E2B3F" w:rsidP="000E2B3F">
            <w:pPr>
              <w:rPr>
                <w:sz w:val="16"/>
                <w:szCs w:val="16"/>
              </w:rPr>
            </w:pPr>
            <w:r w:rsidRPr="002441D8">
              <w:rPr>
                <w:sz w:val="16"/>
                <w:szCs w:val="16"/>
              </w:rPr>
              <w:t>306 /</w:t>
            </w:r>
          </w:p>
          <w:p w14:paraId="13DD40DA" w14:textId="77777777" w:rsidR="000E2B3F" w:rsidRPr="002441D8" w:rsidRDefault="000E2B3F" w:rsidP="000E2B3F">
            <w:pPr>
              <w:rPr>
                <w:sz w:val="16"/>
                <w:szCs w:val="16"/>
              </w:rPr>
            </w:pPr>
            <w:r w:rsidRPr="002441D8">
              <w:rPr>
                <w:sz w:val="16"/>
                <w:szCs w:val="16"/>
              </w:rPr>
              <w:t>2001 - 2007</w:t>
            </w:r>
          </w:p>
        </w:tc>
        <w:tc>
          <w:tcPr>
            <w:tcW w:w="1244" w:type="dxa"/>
          </w:tcPr>
          <w:p w14:paraId="2A0D9CCD" w14:textId="77777777" w:rsidR="000E2B3F" w:rsidRPr="002441D8" w:rsidRDefault="000E2B3F" w:rsidP="000E2B3F">
            <w:pPr>
              <w:rPr>
                <w:sz w:val="16"/>
                <w:szCs w:val="16"/>
              </w:rPr>
            </w:pPr>
            <w:r w:rsidRPr="002441D8">
              <w:rPr>
                <w:sz w:val="16"/>
                <w:szCs w:val="16"/>
              </w:rPr>
              <w:t>CP1 52%,</w:t>
            </w:r>
          </w:p>
          <w:p w14:paraId="67452163" w14:textId="77777777" w:rsidR="000E2B3F" w:rsidRPr="002441D8" w:rsidRDefault="000E2B3F" w:rsidP="000E2B3F">
            <w:pPr>
              <w:rPr>
                <w:sz w:val="16"/>
                <w:szCs w:val="16"/>
              </w:rPr>
            </w:pPr>
            <w:r w:rsidRPr="002441D8">
              <w:rPr>
                <w:sz w:val="16"/>
                <w:szCs w:val="16"/>
              </w:rPr>
              <w:t>CP2/AP 41%,</w:t>
            </w:r>
          </w:p>
          <w:p w14:paraId="621EC6A7" w14:textId="77777777" w:rsidR="000E2B3F" w:rsidRPr="002441D8" w:rsidRDefault="000E2B3F" w:rsidP="000E2B3F">
            <w:pPr>
              <w:rPr>
                <w:sz w:val="16"/>
                <w:szCs w:val="16"/>
              </w:rPr>
            </w:pPr>
            <w:r w:rsidRPr="002441D8">
              <w:rPr>
                <w:sz w:val="16"/>
                <w:szCs w:val="16"/>
              </w:rPr>
              <w:t>BC 8%</w:t>
            </w:r>
          </w:p>
        </w:tc>
        <w:tc>
          <w:tcPr>
            <w:tcW w:w="1258" w:type="dxa"/>
          </w:tcPr>
          <w:p w14:paraId="51B7DFE4" w14:textId="77777777" w:rsidR="000E2B3F" w:rsidRPr="002441D8" w:rsidRDefault="000E2B3F" w:rsidP="000E2B3F">
            <w:pPr>
              <w:rPr>
                <w:sz w:val="16"/>
                <w:szCs w:val="16"/>
              </w:rPr>
            </w:pPr>
            <w:r w:rsidRPr="002441D8">
              <w:rPr>
                <w:sz w:val="16"/>
                <w:szCs w:val="16"/>
              </w:rPr>
              <w:t>Imatinib 72%,</w:t>
            </w:r>
          </w:p>
          <w:p w14:paraId="161504E6" w14:textId="77777777" w:rsidR="000E2B3F" w:rsidRPr="002441D8" w:rsidRDefault="000E2B3F" w:rsidP="000E2B3F">
            <w:pPr>
              <w:rPr>
                <w:sz w:val="16"/>
                <w:szCs w:val="16"/>
              </w:rPr>
            </w:pPr>
            <w:r w:rsidRPr="002441D8">
              <w:rPr>
                <w:sz w:val="16"/>
                <w:szCs w:val="16"/>
              </w:rPr>
              <w:t>No TKI 26%,</w:t>
            </w:r>
          </w:p>
          <w:p w14:paraId="3F69A194" w14:textId="77777777" w:rsidR="000E2B3F" w:rsidRPr="002441D8" w:rsidRDefault="000E2B3F" w:rsidP="000E2B3F">
            <w:pPr>
              <w:rPr>
                <w:sz w:val="16"/>
                <w:szCs w:val="16"/>
              </w:rPr>
            </w:pPr>
            <w:r w:rsidRPr="002441D8">
              <w:rPr>
                <w:sz w:val="16"/>
                <w:szCs w:val="16"/>
              </w:rPr>
              <w:t>Unkonwn 2%</w:t>
            </w:r>
          </w:p>
        </w:tc>
        <w:tc>
          <w:tcPr>
            <w:tcW w:w="1446" w:type="dxa"/>
          </w:tcPr>
          <w:p w14:paraId="5268832E" w14:textId="77777777" w:rsidR="000E2B3F" w:rsidRPr="002441D8" w:rsidRDefault="000E2B3F" w:rsidP="000E2B3F">
            <w:pPr>
              <w:rPr>
                <w:sz w:val="16"/>
                <w:szCs w:val="16"/>
              </w:rPr>
            </w:pPr>
            <w:r w:rsidRPr="002441D8">
              <w:rPr>
                <w:sz w:val="16"/>
                <w:szCs w:val="16"/>
              </w:rPr>
              <w:t xml:space="preserve">Sib 47%, </w:t>
            </w:r>
          </w:p>
          <w:p w14:paraId="0E7D6271" w14:textId="77777777" w:rsidR="000E2B3F" w:rsidRPr="002441D8" w:rsidRDefault="000E2B3F" w:rsidP="000E2B3F">
            <w:pPr>
              <w:rPr>
                <w:sz w:val="16"/>
                <w:szCs w:val="16"/>
              </w:rPr>
            </w:pPr>
            <w:r w:rsidRPr="002441D8">
              <w:rPr>
                <w:sz w:val="16"/>
                <w:szCs w:val="16"/>
              </w:rPr>
              <w:t>URD 53%</w:t>
            </w:r>
          </w:p>
        </w:tc>
        <w:tc>
          <w:tcPr>
            <w:tcW w:w="1429" w:type="dxa"/>
          </w:tcPr>
          <w:p w14:paraId="7B363DA6" w14:textId="77777777" w:rsidR="000E2B3F" w:rsidRPr="002441D8" w:rsidRDefault="000E2B3F" w:rsidP="000E2B3F">
            <w:pPr>
              <w:rPr>
                <w:sz w:val="16"/>
                <w:szCs w:val="16"/>
              </w:rPr>
            </w:pPr>
            <w:r w:rsidRPr="002441D8">
              <w:rPr>
                <w:sz w:val="16"/>
                <w:szCs w:val="16"/>
              </w:rPr>
              <w:t>BM 19%,</w:t>
            </w:r>
          </w:p>
          <w:p w14:paraId="6AE7F6C6" w14:textId="77777777" w:rsidR="000E2B3F" w:rsidRPr="002441D8" w:rsidRDefault="000E2B3F" w:rsidP="000E2B3F">
            <w:pPr>
              <w:rPr>
                <w:sz w:val="16"/>
                <w:szCs w:val="16"/>
              </w:rPr>
            </w:pPr>
            <w:r w:rsidRPr="002441D8">
              <w:rPr>
                <w:sz w:val="16"/>
                <w:szCs w:val="16"/>
              </w:rPr>
              <w:t>PB 81%</w:t>
            </w:r>
          </w:p>
        </w:tc>
        <w:tc>
          <w:tcPr>
            <w:tcW w:w="1269" w:type="dxa"/>
          </w:tcPr>
          <w:p w14:paraId="5FF2F24E" w14:textId="77777777" w:rsidR="000E2B3F" w:rsidRPr="002441D8" w:rsidRDefault="000E2B3F" w:rsidP="000E2B3F">
            <w:pPr>
              <w:rPr>
                <w:sz w:val="16"/>
                <w:szCs w:val="16"/>
              </w:rPr>
            </w:pPr>
            <w:r w:rsidRPr="002441D8">
              <w:rPr>
                <w:sz w:val="16"/>
                <w:szCs w:val="16"/>
              </w:rPr>
              <w:t>RIC 100%</w:t>
            </w:r>
          </w:p>
        </w:tc>
        <w:tc>
          <w:tcPr>
            <w:tcW w:w="1260" w:type="dxa"/>
          </w:tcPr>
          <w:p w14:paraId="0646753A" w14:textId="77777777" w:rsidR="000E2B3F" w:rsidRPr="002441D8" w:rsidRDefault="000E2B3F" w:rsidP="000E2B3F">
            <w:pPr>
              <w:rPr>
                <w:sz w:val="16"/>
                <w:szCs w:val="16"/>
              </w:rPr>
            </w:pPr>
            <w:r w:rsidRPr="002441D8">
              <w:rPr>
                <w:sz w:val="16"/>
                <w:szCs w:val="16"/>
              </w:rPr>
              <w:t>40-49yrs 35%,</w:t>
            </w:r>
          </w:p>
          <w:p w14:paraId="580BF235" w14:textId="77777777" w:rsidR="000E2B3F" w:rsidRPr="002441D8" w:rsidRDefault="000E2B3F" w:rsidP="000E2B3F">
            <w:pPr>
              <w:rPr>
                <w:sz w:val="16"/>
                <w:szCs w:val="16"/>
              </w:rPr>
            </w:pPr>
            <w:r w:rsidRPr="002441D8">
              <w:rPr>
                <w:sz w:val="16"/>
                <w:szCs w:val="16"/>
              </w:rPr>
              <w:t>50-59yrs 32%,</w:t>
            </w:r>
          </w:p>
          <w:p w14:paraId="5D57C7AC" w14:textId="77777777" w:rsidR="000E2B3F" w:rsidRPr="002441D8" w:rsidRDefault="000E2B3F" w:rsidP="000E2B3F">
            <w:pPr>
              <w:rPr>
                <w:sz w:val="16"/>
                <w:szCs w:val="16"/>
              </w:rPr>
            </w:pPr>
            <w:r w:rsidRPr="002441D8">
              <w:rPr>
                <w:sz w:val="16"/>
                <w:szCs w:val="16"/>
              </w:rPr>
              <w:t>&gt;60yrs 16%</w:t>
            </w:r>
          </w:p>
          <w:p w14:paraId="0B940B52" w14:textId="77777777" w:rsidR="000E2B3F" w:rsidRPr="002441D8" w:rsidRDefault="000E2B3F" w:rsidP="000E2B3F">
            <w:pPr>
              <w:rPr>
                <w:sz w:val="16"/>
                <w:szCs w:val="16"/>
              </w:rPr>
            </w:pPr>
            <w:r w:rsidRPr="002441D8">
              <w:rPr>
                <w:sz w:val="16"/>
                <w:szCs w:val="16"/>
              </w:rPr>
              <w:t xml:space="preserve"> (DFS at 3 years)</w:t>
            </w:r>
          </w:p>
        </w:tc>
        <w:tc>
          <w:tcPr>
            <w:tcW w:w="1252" w:type="dxa"/>
          </w:tcPr>
          <w:p w14:paraId="4983099A" w14:textId="77777777" w:rsidR="000E2B3F" w:rsidRPr="002441D8" w:rsidRDefault="000E2B3F" w:rsidP="000E2B3F">
            <w:pPr>
              <w:rPr>
                <w:sz w:val="16"/>
                <w:szCs w:val="16"/>
              </w:rPr>
            </w:pPr>
            <w:r w:rsidRPr="002441D8">
              <w:rPr>
                <w:sz w:val="16"/>
                <w:szCs w:val="16"/>
              </w:rPr>
              <w:t>40-49yrs 54%,</w:t>
            </w:r>
          </w:p>
          <w:p w14:paraId="4314375B" w14:textId="77777777" w:rsidR="000E2B3F" w:rsidRPr="002441D8" w:rsidRDefault="000E2B3F" w:rsidP="000E2B3F">
            <w:pPr>
              <w:rPr>
                <w:sz w:val="16"/>
                <w:szCs w:val="16"/>
              </w:rPr>
            </w:pPr>
            <w:r w:rsidRPr="002441D8">
              <w:rPr>
                <w:sz w:val="16"/>
                <w:szCs w:val="16"/>
              </w:rPr>
              <w:t>50-59yrs 52%,</w:t>
            </w:r>
          </w:p>
          <w:p w14:paraId="799C72CD" w14:textId="77777777" w:rsidR="000E2B3F" w:rsidRPr="002441D8" w:rsidRDefault="000E2B3F" w:rsidP="000E2B3F">
            <w:pPr>
              <w:rPr>
                <w:sz w:val="16"/>
                <w:szCs w:val="16"/>
              </w:rPr>
            </w:pPr>
            <w:r w:rsidRPr="002441D8">
              <w:rPr>
                <w:sz w:val="16"/>
                <w:szCs w:val="16"/>
              </w:rPr>
              <w:t xml:space="preserve">&gt;60yrs 41% </w:t>
            </w:r>
          </w:p>
          <w:p w14:paraId="01ED0D06" w14:textId="77777777" w:rsidR="000E2B3F" w:rsidRPr="002441D8" w:rsidRDefault="000E2B3F" w:rsidP="000E2B3F">
            <w:pPr>
              <w:rPr>
                <w:sz w:val="16"/>
                <w:szCs w:val="16"/>
              </w:rPr>
            </w:pPr>
            <w:r w:rsidRPr="002441D8">
              <w:rPr>
                <w:sz w:val="16"/>
                <w:szCs w:val="16"/>
              </w:rPr>
              <w:t>(OS at 2 years)</w:t>
            </w:r>
          </w:p>
        </w:tc>
        <w:tc>
          <w:tcPr>
            <w:tcW w:w="1248" w:type="dxa"/>
          </w:tcPr>
          <w:p w14:paraId="7E195E0B" w14:textId="77777777" w:rsidR="000E2B3F" w:rsidRPr="002441D8" w:rsidRDefault="000E2B3F" w:rsidP="000E2B3F">
            <w:pPr>
              <w:rPr>
                <w:sz w:val="16"/>
                <w:szCs w:val="16"/>
              </w:rPr>
            </w:pPr>
            <w:r w:rsidRPr="002441D8">
              <w:rPr>
                <w:sz w:val="16"/>
                <w:szCs w:val="16"/>
              </w:rPr>
              <w:t>40-49yrs 13%,</w:t>
            </w:r>
          </w:p>
          <w:p w14:paraId="2E39B50D" w14:textId="77777777" w:rsidR="000E2B3F" w:rsidRPr="002441D8" w:rsidRDefault="000E2B3F" w:rsidP="000E2B3F">
            <w:pPr>
              <w:rPr>
                <w:sz w:val="16"/>
                <w:szCs w:val="16"/>
              </w:rPr>
            </w:pPr>
            <w:r w:rsidRPr="002441D8">
              <w:rPr>
                <w:sz w:val="16"/>
                <w:szCs w:val="16"/>
              </w:rPr>
              <w:t>50-59yrs 7%,</w:t>
            </w:r>
          </w:p>
          <w:p w14:paraId="76E3713C" w14:textId="77777777" w:rsidR="000E2B3F" w:rsidRPr="002441D8" w:rsidRDefault="000E2B3F" w:rsidP="000E2B3F">
            <w:pPr>
              <w:rPr>
                <w:sz w:val="16"/>
                <w:szCs w:val="16"/>
              </w:rPr>
            </w:pPr>
            <w:r w:rsidRPr="002441D8">
              <w:rPr>
                <w:sz w:val="16"/>
                <w:szCs w:val="16"/>
              </w:rPr>
              <w:t>&gt;60yrs 9%</w:t>
            </w:r>
          </w:p>
          <w:p w14:paraId="0E7C0FDF" w14:textId="77777777" w:rsidR="000E2B3F" w:rsidRPr="002441D8" w:rsidRDefault="000E2B3F" w:rsidP="000E2B3F">
            <w:pPr>
              <w:rPr>
                <w:sz w:val="16"/>
                <w:szCs w:val="16"/>
              </w:rPr>
            </w:pPr>
            <w:r w:rsidRPr="002441D8">
              <w:rPr>
                <w:sz w:val="16"/>
                <w:szCs w:val="16"/>
              </w:rPr>
              <w:t>(100d)</w:t>
            </w:r>
          </w:p>
        </w:tc>
        <w:tc>
          <w:tcPr>
            <w:tcW w:w="1274" w:type="dxa"/>
          </w:tcPr>
          <w:p w14:paraId="4879A844" w14:textId="77777777" w:rsidR="000E2B3F" w:rsidRPr="002441D8" w:rsidRDefault="000E2B3F" w:rsidP="000E2B3F">
            <w:pPr>
              <w:rPr>
                <w:sz w:val="16"/>
                <w:szCs w:val="16"/>
              </w:rPr>
            </w:pPr>
            <w:r w:rsidRPr="002441D8">
              <w:rPr>
                <w:sz w:val="16"/>
                <w:szCs w:val="16"/>
              </w:rPr>
              <w:t>Retrospective multicentre study (CIBMTR)</w:t>
            </w:r>
          </w:p>
        </w:tc>
      </w:tr>
      <w:tr w:rsidR="000E2B3F" w:rsidRPr="002441D8" w14:paraId="1C5AD011" w14:textId="77777777" w:rsidTr="000E2B3F">
        <w:tc>
          <w:tcPr>
            <w:tcW w:w="1287" w:type="dxa"/>
          </w:tcPr>
          <w:p w14:paraId="6E91CFC7" w14:textId="77777777" w:rsidR="000E2B3F" w:rsidRPr="002441D8" w:rsidRDefault="000E2B3F" w:rsidP="000E2B3F">
            <w:pPr>
              <w:rPr>
                <w:sz w:val="16"/>
                <w:szCs w:val="16"/>
              </w:rPr>
            </w:pPr>
            <w:r w:rsidRPr="002441D8">
              <w:rPr>
                <w:sz w:val="16"/>
                <w:szCs w:val="16"/>
              </w:rPr>
              <w:t xml:space="preserve">Topcuoglu </w:t>
            </w:r>
            <w:r w:rsidRPr="002441D8">
              <w:rPr>
                <w:i/>
                <w:sz w:val="16"/>
                <w:szCs w:val="16"/>
              </w:rPr>
              <w:t>et al</w:t>
            </w:r>
            <w:r w:rsidRPr="002441D8">
              <w:rPr>
                <w:sz w:val="16"/>
                <w:szCs w:val="16"/>
              </w:rPr>
              <w:t xml:space="preserve">  2012</w:t>
            </w:r>
            <w:r w:rsidRPr="002441D8">
              <w:rPr>
                <w:sz w:val="16"/>
                <w:szCs w:val="16"/>
                <w:vertAlign w:val="superscript"/>
              </w:rPr>
              <w:t>74</w:t>
            </w:r>
          </w:p>
        </w:tc>
        <w:tc>
          <w:tcPr>
            <w:tcW w:w="1271" w:type="dxa"/>
          </w:tcPr>
          <w:p w14:paraId="6ADCF8C1" w14:textId="77777777" w:rsidR="000E2B3F" w:rsidRPr="002441D8" w:rsidRDefault="000E2B3F" w:rsidP="000E2B3F">
            <w:pPr>
              <w:rPr>
                <w:sz w:val="16"/>
                <w:szCs w:val="16"/>
              </w:rPr>
            </w:pPr>
            <w:r w:rsidRPr="002441D8">
              <w:rPr>
                <w:sz w:val="16"/>
                <w:szCs w:val="16"/>
              </w:rPr>
              <w:t>84 /</w:t>
            </w:r>
          </w:p>
          <w:p w14:paraId="3A4000DF" w14:textId="77777777" w:rsidR="000E2B3F" w:rsidRPr="002441D8" w:rsidRDefault="000E2B3F" w:rsidP="000E2B3F">
            <w:pPr>
              <w:rPr>
                <w:sz w:val="16"/>
                <w:szCs w:val="16"/>
              </w:rPr>
            </w:pPr>
            <w:r w:rsidRPr="002441D8">
              <w:rPr>
                <w:sz w:val="16"/>
                <w:szCs w:val="16"/>
              </w:rPr>
              <w:t>1989 - 2007</w:t>
            </w:r>
          </w:p>
        </w:tc>
        <w:tc>
          <w:tcPr>
            <w:tcW w:w="1244" w:type="dxa"/>
          </w:tcPr>
          <w:p w14:paraId="446E2F1F" w14:textId="77777777" w:rsidR="000E2B3F" w:rsidRPr="002441D8" w:rsidRDefault="000E2B3F" w:rsidP="000E2B3F">
            <w:pPr>
              <w:rPr>
                <w:sz w:val="16"/>
                <w:szCs w:val="16"/>
              </w:rPr>
            </w:pPr>
            <w:r w:rsidRPr="002441D8">
              <w:rPr>
                <w:sz w:val="16"/>
                <w:szCs w:val="16"/>
              </w:rPr>
              <w:t>CP1 79%,</w:t>
            </w:r>
          </w:p>
          <w:p w14:paraId="5212965F" w14:textId="77777777" w:rsidR="000E2B3F" w:rsidRPr="002441D8" w:rsidRDefault="000E2B3F" w:rsidP="000E2B3F">
            <w:pPr>
              <w:rPr>
                <w:sz w:val="16"/>
                <w:szCs w:val="16"/>
              </w:rPr>
            </w:pPr>
            <w:r w:rsidRPr="002441D8">
              <w:rPr>
                <w:sz w:val="16"/>
                <w:szCs w:val="16"/>
              </w:rPr>
              <w:t>CP2 6%,</w:t>
            </w:r>
          </w:p>
          <w:p w14:paraId="2E1F99BF" w14:textId="77777777" w:rsidR="000E2B3F" w:rsidRPr="002441D8" w:rsidRDefault="000E2B3F" w:rsidP="000E2B3F">
            <w:pPr>
              <w:rPr>
                <w:sz w:val="16"/>
                <w:szCs w:val="16"/>
              </w:rPr>
            </w:pPr>
            <w:r w:rsidRPr="002441D8">
              <w:rPr>
                <w:sz w:val="16"/>
                <w:szCs w:val="16"/>
              </w:rPr>
              <w:t>AP 15%</w:t>
            </w:r>
          </w:p>
        </w:tc>
        <w:tc>
          <w:tcPr>
            <w:tcW w:w="1258" w:type="dxa"/>
          </w:tcPr>
          <w:p w14:paraId="0D5A090F" w14:textId="77777777" w:rsidR="000E2B3F" w:rsidRPr="002441D8" w:rsidRDefault="000E2B3F" w:rsidP="000E2B3F">
            <w:pPr>
              <w:rPr>
                <w:sz w:val="16"/>
                <w:szCs w:val="16"/>
              </w:rPr>
            </w:pPr>
            <w:r w:rsidRPr="002441D8">
              <w:rPr>
                <w:sz w:val="16"/>
                <w:szCs w:val="16"/>
              </w:rPr>
              <w:t>NR</w:t>
            </w:r>
          </w:p>
        </w:tc>
        <w:tc>
          <w:tcPr>
            <w:tcW w:w="1446" w:type="dxa"/>
          </w:tcPr>
          <w:p w14:paraId="521A41AA" w14:textId="77777777" w:rsidR="000E2B3F" w:rsidRPr="002441D8" w:rsidRDefault="000E2B3F" w:rsidP="000E2B3F">
            <w:pPr>
              <w:rPr>
                <w:sz w:val="16"/>
                <w:szCs w:val="16"/>
              </w:rPr>
            </w:pPr>
            <w:r w:rsidRPr="002441D8">
              <w:rPr>
                <w:sz w:val="16"/>
                <w:szCs w:val="16"/>
              </w:rPr>
              <w:t>Sib 100%</w:t>
            </w:r>
          </w:p>
        </w:tc>
        <w:tc>
          <w:tcPr>
            <w:tcW w:w="1429" w:type="dxa"/>
          </w:tcPr>
          <w:p w14:paraId="5455FFF5" w14:textId="77777777" w:rsidR="000E2B3F" w:rsidRPr="002441D8" w:rsidRDefault="000E2B3F" w:rsidP="000E2B3F">
            <w:pPr>
              <w:rPr>
                <w:sz w:val="16"/>
                <w:szCs w:val="16"/>
              </w:rPr>
            </w:pPr>
            <w:r w:rsidRPr="002441D8">
              <w:rPr>
                <w:sz w:val="16"/>
                <w:szCs w:val="16"/>
              </w:rPr>
              <w:t>BM 10,</w:t>
            </w:r>
          </w:p>
          <w:p w14:paraId="024934BF" w14:textId="77777777" w:rsidR="000E2B3F" w:rsidRPr="002441D8" w:rsidRDefault="000E2B3F" w:rsidP="000E2B3F">
            <w:pPr>
              <w:rPr>
                <w:sz w:val="16"/>
                <w:szCs w:val="16"/>
              </w:rPr>
            </w:pPr>
            <w:r w:rsidRPr="002441D8">
              <w:rPr>
                <w:sz w:val="16"/>
                <w:szCs w:val="16"/>
              </w:rPr>
              <w:t>PB 90</w:t>
            </w:r>
          </w:p>
        </w:tc>
        <w:tc>
          <w:tcPr>
            <w:tcW w:w="1269" w:type="dxa"/>
          </w:tcPr>
          <w:p w14:paraId="4D793597" w14:textId="77777777" w:rsidR="000E2B3F" w:rsidRPr="002441D8" w:rsidRDefault="000E2B3F" w:rsidP="000E2B3F">
            <w:pPr>
              <w:rPr>
                <w:sz w:val="16"/>
                <w:szCs w:val="16"/>
              </w:rPr>
            </w:pPr>
            <w:r w:rsidRPr="002441D8">
              <w:rPr>
                <w:sz w:val="16"/>
                <w:szCs w:val="16"/>
              </w:rPr>
              <w:t>MAC 67%,</w:t>
            </w:r>
          </w:p>
          <w:p w14:paraId="3E09B029" w14:textId="77777777" w:rsidR="000E2B3F" w:rsidRPr="002441D8" w:rsidRDefault="000E2B3F" w:rsidP="000E2B3F">
            <w:pPr>
              <w:rPr>
                <w:sz w:val="16"/>
                <w:szCs w:val="16"/>
              </w:rPr>
            </w:pPr>
            <w:r w:rsidRPr="002441D8">
              <w:rPr>
                <w:sz w:val="16"/>
                <w:szCs w:val="16"/>
              </w:rPr>
              <w:t>RIC 33%</w:t>
            </w:r>
          </w:p>
        </w:tc>
        <w:tc>
          <w:tcPr>
            <w:tcW w:w="1260" w:type="dxa"/>
          </w:tcPr>
          <w:p w14:paraId="14B7D842" w14:textId="77777777" w:rsidR="000E2B3F" w:rsidRPr="002441D8" w:rsidRDefault="000E2B3F" w:rsidP="000E2B3F">
            <w:pPr>
              <w:rPr>
                <w:sz w:val="16"/>
                <w:szCs w:val="16"/>
              </w:rPr>
            </w:pPr>
            <w:r w:rsidRPr="002441D8">
              <w:rPr>
                <w:sz w:val="16"/>
                <w:szCs w:val="16"/>
              </w:rPr>
              <w:t xml:space="preserve">48% </w:t>
            </w:r>
          </w:p>
          <w:p w14:paraId="6BF01AC4" w14:textId="77777777" w:rsidR="000E2B3F" w:rsidRPr="002441D8" w:rsidRDefault="000E2B3F" w:rsidP="000E2B3F">
            <w:pPr>
              <w:rPr>
                <w:sz w:val="16"/>
                <w:szCs w:val="16"/>
              </w:rPr>
            </w:pPr>
            <w:r w:rsidRPr="002441D8">
              <w:rPr>
                <w:sz w:val="16"/>
                <w:szCs w:val="16"/>
              </w:rPr>
              <w:t>(LFS at 5 years)</w:t>
            </w:r>
          </w:p>
          <w:p w14:paraId="753FB348" w14:textId="77777777" w:rsidR="000E2B3F" w:rsidRPr="002441D8" w:rsidRDefault="000E2B3F" w:rsidP="000E2B3F">
            <w:pPr>
              <w:rPr>
                <w:sz w:val="16"/>
                <w:szCs w:val="16"/>
              </w:rPr>
            </w:pPr>
          </w:p>
          <w:p w14:paraId="27CDC885" w14:textId="77777777" w:rsidR="000E2B3F" w:rsidRPr="002441D8" w:rsidRDefault="000E2B3F" w:rsidP="000E2B3F">
            <w:pPr>
              <w:rPr>
                <w:sz w:val="16"/>
                <w:szCs w:val="16"/>
              </w:rPr>
            </w:pPr>
            <w:r w:rsidRPr="002441D8">
              <w:rPr>
                <w:sz w:val="16"/>
                <w:szCs w:val="16"/>
              </w:rPr>
              <w:t>No difference RIC vs MAC</w:t>
            </w:r>
          </w:p>
        </w:tc>
        <w:tc>
          <w:tcPr>
            <w:tcW w:w="1252" w:type="dxa"/>
          </w:tcPr>
          <w:p w14:paraId="1C92576E" w14:textId="77777777" w:rsidR="000E2B3F" w:rsidRPr="002441D8" w:rsidRDefault="000E2B3F" w:rsidP="000E2B3F">
            <w:pPr>
              <w:rPr>
                <w:sz w:val="16"/>
                <w:szCs w:val="16"/>
              </w:rPr>
            </w:pPr>
            <w:r w:rsidRPr="002441D8">
              <w:rPr>
                <w:sz w:val="16"/>
                <w:szCs w:val="16"/>
              </w:rPr>
              <w:t>56%</w:t>
            </w:r>
          </w:p>
          <w:p w14:paraId="3530EAE2" w14:textId="77777777" w:rsidR="000E2B3F" w:rsidRPr="002441D8" w:rsidRDefault="000E2B3F" w:rsidP="000E2B3F">
            <w:pPr>
              <w:rPr>
                <w:sz w:val="16"/>
                <w:szCs w:val="16"/>
              </w:rPr>
            </w:pPr>
            <w:r w:rsidRPr="002441D8">
              <w:rPr>
                <w:sz w:val="16"/>
                <w:szCs w:val="16"/>
              </w:rPr>
              <w:t>(OS at 5 years)</w:t>
            </w:r>
          </w:p>
          <w:p w14:paraId="30AFA45D" w14:textId="77777777" w:rsidR="000E2B3F" w:rsidRPr="002441D8" w:rsidRDefault="000E2B3F" w:rsidP="000E2B3F">
            <w:pPr>
              <w:rPr>
                <w:sz w:val="16"/>
                <w:szCs w:val="16"/>
              </w:rPr>
            </w:pPr>
          </w:p>
          <w:p w14:paraId="5D414978" w14:textId="77777777" w:rsidR="000E2B3F" w:rsidRPr="002441D8" w:rsidRDefault="000E2B3F" w:rsidP="000E2B3F">
            <w:pPr>
              <w:rPr>
                <w:sz w:val="16"/>
                <w:szCs w:val="16"/>
              </w:rPr>
            </w:pPr>
            <w:r w:rsidRPr="002441D8">
              <w:rPr>
                <w:sz w:val="16"/>
                <w:szCs w:val="16"/>
              </w:rPr>
              <w:t>No difference RIC vs MAC</w:t>
            </w:r>
          </w:p>
        </w:tc>
        <w:tc>
          <w:tcPr>
            <w:tcW w:w="1248" w:type="dxa"/>
          </w:tcPr>
          <w:p w14:paraId="2CAC5796" w14:textId="77777777" w:rsidR="000E2B3F" w:rsidRPr="002441D8" w:rsidRDefault="000E2B3F" w:rsidP="000E2B3F">
            <w:pPr>
              <w:rPr>
                <w:sz w:val="16"/>
                <w:szCs w:val="16"/>
              </w:rPr>
            </w:pPr>
            <w:r w:rsidRPr="002441D8">
              <w:rPr>
                <w:sz w:val="16"/>
                <w:szCs w:val="16"/>
              </w:rPr>
              <w:t>7% RIC</w:t>
            </w:r>
          </w:p>
          <w:p w14:paraId="6AA8EAE8" w14:textId="77777777" w:rsidR="000E2B3F" w:rsidRPr="002441D8" w:rsidRDefault="000E2B3F" w:rsidP="000E2B3F">
            <w:pPr>
              <w:rPr>
                <w:sz w:val="16"/>
                <w:szCs w:val="16"/>
              </w:rPr>
            </w:pPr>
            <w:r w:rsidRPr="002441D8">
              <w:rPr>
                <w:sz w:val="16"/>
                <w:szCs w:val="16"/>
              </w:rPr>
              <w:t>14% MAC</w:t>
            </w:r>
          </w:p>
        </w:tc>
        <w:tc>
          <w:tcPr>
            <w:tcW w:w="1274" w:type="dxa"/>
          </w:tcPr>
          <w:p w14:paraId="6D48C92E" w14:textId="77777777" w:rsidR="000E2B3F" w:rsidRPr="002441D8" w:rsidRDefault="000E2B3F" w:rsidP="000E2B3F">
            <w:pPr>
              <w:rPr>
                <w:sz w:val="16"/>
                <w:szCs w:val="16"/>
              </w:rPr>
            </w:pPr>
            <w:r w:rsidRPr="002441D8">
              <w:rPr>
                <w:sz w:val="16"/>
                <w:szCs w:val="16"/>
              </w:rPr>
              <w:t>Retrospective single centre study (RIC vs MAC)</w:t>
            </w:r>
          </w:p>
        </w:tc>
      </w:tr>
      <w:tr w:rsidR="000E2B3F" w:rsidRPr="002441D8" w14:paraId="2C55F5EC" w14:textId="77777777" w:rsidTr="000E2B3F">
        <w:tc>
          <w:tcPr>
            <w:tcW w:w="1287" w:type="dxa"/>
          </w:tcPr>
          <w:p w14:paraId="62ECD472" w14:textId="77777777" w:rsidR="000E2B3F" w:rsidRPr="002441D8" w:rsidRDefault="000E2B3F" w:rsidP="000E2B3F">
            <w:pPr>
              <w:rPr>
                <w:sz w:val="16"/>
                <w:szCs w:val="16"/>
              </w:rPr>
            </w:pPr>
            <w:r w:rsidRPr="002441D8">
              <w:rPr>
                <w:rFonts w:cs="AdvP48BFAF"/>
                <w:sz w:val="16"/>
                <w:szCs w:val="16"/>
              </w:rPr>
              <w:t xml:space="preserve">Zuckerman </w:t>
            </w:r>
            <w:r w:rsidRPr="002441D8">
              <w:rPr>
                <w:rFonts w:cs="AdvP48BFAF"/>
                <w:i/>
                <w:sz w:val="16"/>
                <w:szCs w:val="16"/>
              </w:rPr>
              <w:t>et al</w:t>
            </w:r>
            <w:r w:rsidRPr="002441D8">
              <w:rPr>
                <w:rFonts w:cs="AdvP48BFAF"/>
                <w:sz w:val="16"/>
                <w:szCs w:val="16"/>
              </w:rPr>
              <w:t xml:space="preserve"> 2012</w:t>
            </w:r>
            <w:r w:rsidRPr="002441D8">
              <w:rPr>
                <w:rFonts w:cs="AdvP48BFAF"/>
                <w:sz w:val="16"/>
                <w:szCs w:val="16"/>
                <w:vertAlign w:val="superscript"/>
              </w:rPr>
              <w:t>75</w:t>
            </w:r>
            <w:r w:rsidRPr="002441D8">
              <w:rPr>
                <w:rFonts w:cs="AdvP48BFAF"/>
                <w:sz w:val="16"/>
                <w:szCs w:val="16"/>
              </w:rPr>
              <w:t xml:space="preserve"> </w:t>
            </w:r>
          </w:p>
        </w:tc>
        <w:tc>
          <w:tcPr>
            <w:tcW w:w="1271" w:type="dxa"/>
          </w:tcPr>
          <w:p w14:paraId="329F0310" w14:textId="77777777" w:rsidR="000E2B3F" w:rsidRPr="002441D8" w:rsidRDefault="000E2B3F" w:rsidP="000E2B3F">
            <w:pPr>
              <w:rPr>
                <w:sz w:val="16"/>
                <w:szCs w:val="16"/>
              </w:rPr>
            </w:pPr>
            <w:r w:rsidRPr="002441D8">
              <w:rPr>
                <w:sz w:val="16"/>
                <w:szCs w:val="16"/>
              </w:rPr>
              <w:t>38 /</w:t>
            </w:r>
          </w:p>
          <w:p w14:paraId="19455B00" w14:textId="77777777" w:rsidR="000E2B3F" w:rsidRPr="002441D8" w:rsidRDefault="000E2B3F" w:rsidP="000E2B3F">
            <w:pPr>
              <w:rPr>
                <w:sz w:val="16"/>
                <w:szCs w:val="16"/>
              </w:rPr>
            </w:pPr>
            <w:r w:rsidRPr="002441D8">
              <w:rPr>
                <w:sz w:val="16"/>
                <w:szCs w:val="16"/>
              </w:rPr>
              <w:t>1999 – 2005</w:t>
            </w:r>
          </w:p>
        </w:tc>
        <w:tc>
          <w:tcPr>
            <w:tcW w:w="1244" w:type="dxa"/>
          </w:tcPr>
          <w:p w14:paraId="14C0CED8" w14:textId="77777777" w:rsidR="000E2B3F" w:rsidRPr="002441D8" w:rsidRDefault="000E2B3F" w:rsidP="000E2B3F">
            <w:pPr>
              <w:rPr>
                <w:sz w:val="16"/>
                <w:szCs w:val="16"/>
              </w:rPr>
            </w:pPr>
            <w:r w:rsidRPr="002441D8">
              <w:rPr>
                <w:sz w:val="16"/>
                <w:szCs w:val="16"/>
              </w:rPr>
              <w:t>CP1 89%,</w:t>
            </w:r>
          </w:p>
          <w:p w14:paraId="43CBDEA7" w14:textId="77777777" w:rsidR="000E2B3F" w:rsidRPr="002441D8" w:rsidRDefault="000E2B3F" w:rsidP="000E2B3F">
            <w:pPr>
              <w:rPr>
                <w:sz w:val="16"/>
                <w:szCs w:val="16"/>
              </w:rPr>
            </w:pPr>
            <w:r w:rsidRPr="002441D8">
              <w:rPr>
                <w:sz w:val="16"/>
                <w:szCs w:val="16"/>
              </w:rPr>
              <w:t>AP 11%</w:t>
            </w:r>
          </w:p>
        </w:tc>
        <w:tc>
          <w:tcPr>
            <w:tcW w:w="1258" w:type="dxa"/>
          </w:tcPr>
          <w:p w14:paraId="7F29909E" w14:textId="77777777" w:rsidR="000E2B3F" w:rsidRPr="002441D8" w:rsidRDefault="000E2B3F" w:rsidP="000E2B3F">
            <w:pPr>
              <w:rPr>
                <w:sz w:val="16"/>
                <w:szCs w:val="16"/>
              </w:rPr>
            </w:pPr>
            <w:r w:rsidRPr="002441D8">
              <w:rPr>
                <w:sz w:val="16"/>
                <w:szCs w:val="16"/>
              </w:rPr>
              <w:t>Imatinib 11%,</w:t>
            </w:r>
          </w:p>
          <w:p w14:paraId="789E0970" w14:textId="77777777" w:rsidR="000E2B3F" w:rsidRPr="002441D8" w:rsidRDefault="000E2B3F" w:rsidP="000E2B3F">
            <w:pPr>
              <w:rPr>
                <w:sz w:val="16"/>
                <w:szCs w:val="16"/>
              </w:rPr>
            </w:pPr>
            <w:r w:rsidRPr="002441D8">
              <w:rPr>
                <w:sz w:val="16"/>
                <w:szCs w:val="16"/>
              </w:rPr>
              <w:t>No TKI 89%</w:t>
            </w:r>
          </w:p>
        </w:tc>
        <w:tc>
          <w:tcPr>
            <w:tcW w:w="1446" w:type="dxa"/>
          </w:tcPr>
          <w:p w14:paraId="61DCFA42" w14:textId="77777777" w:rsidR="000E2B3F" w:rsidRPr="002441D8" w:rsidRDefault="000E2B3F" w:rsidP="000E2B3F">
            <w:pPr>
              <w:rPr>
                <w:sz w:val="16"/>
                <w:szCs w:val="16"/>
              </w:rPr>
            </w:pPr>
            <w:r w:rsidRPr="002441D8">
              <w:rPr>
                <w:sz w:val="16"/>
                <w:szCs w:val="16"/>
              </w:rPr>
              <w:t>Sib 97%,</w:t>
            </w:r>
          </w:p>
          <w:p w14:paraId="75799775" w14:textId="77777777" w:rsidR="000E2B3F" w:rsidRPr="002441D8" w:rsidRDefault="000E2B3F" w:rsidP="000E2B3F">
            <w:pPr>
              <w:rPr>
                <w:sz w:val="16"/>
                <w:szCs w:val="16"/>
              </w:rPr>
            </w:pPr>
            <w:r w:rsidRPr="002441D8">
              <w:rPr>
                <w:sz w:val="16"/>
                <w:szCs w:val="16"/>
              </w:rPr>
              <w:t>URD 3%</w:t>
            </w:r>
          </w:p>
        </w:tc>
        <w:tc>
          <w:tcPr>
            <w:tcW w:w="1429" w:type="dxa"/>
          </w:tcPr>
          <w:p w14:paraId="54B44968" w14:textId="77777777" w:rsidR="000E2B3F" w:rsidRPr="002441D8" w:rsidRDefault="000E2B3F" w:rsidP="000E2B3F">
            <w:pPr>
              <w:rPr>
                <w:sz w:val="16"/>
                <w:szCs w:val="16"/>
              </w:rPr>
            </w:pPr>
            <w:r w:rsidRPr="002441D8">
              <w:rPr>
                <w:sz w:val="16"/>
                <w:szCs w:val="16"/>
              </w:rPr>
              <w:t>PB 100</w:t>
            </w:r>
          </w:p>
        </w:tc>
        <w:tc>
          <w:tcPr>
            <w:tcW w:w="1269" w:type="dxa"/>
          </w:tcPr>
          <w:p w14:paraId="2370F5D2" w14:textId="77777777" w:rsidR="000E2B3F" w:rsidRPr="002441D8" w:rsidRDefault="000E2B3F" w:rsidP="000E2B3F">
            <w:pPr>
              <w:rPr>
                <w:sz w:val="16"/>
                <w:szCs w:val="16"/>
              </w:rPr>
            </w:pPr>
            <w:r w:rsidRPr="002441D8">
              <w:rPr>
                <w:sz w:val="16"/>
                <w:szCs w:val="16"/>
              </w:rPr>
              <w:t>MAC 100%</w:t>
            </w:r>
          </w:p>
        </w:tc>
        <w:tc>
          <w:tcPr>
            <w:tcW w:w="1260" w:type="dxa"/>
          </w:tcPr>
          <w:p w14:paraId="3F93475D" w14:textId="77777777" w:rsidR="000E2B3F" w:rsidRPr="002441D8" w:rsidRDefault="000E2B3F" w:rsidP="000E2B3F">
            <w:pPr>
              <w:rPr>
                <w:sz w:val="16"/>
                <w:szCs w:val="16"/>
              </w:rPr>
            </w:pPr>
            <w:r w:rsidRPr="002441D8">
              <w:rPr>
                <w:sz w:val="16"/>
                <w:szCs w:val="16"/>
              </w:rPr>
              <w:t>79%</w:t>
            </w:r>
          </w:p>
          <w:p w14:paraId="10259EF8" w14:textId="77777777" w:rsidR="000E2B3F" w:rsidRPr="002441D8" w:rsidRDefault="000E2B3F" w:rsidP="000E2B3F">
            <w:pPr>
              <w:rPr>
                <w:sz w:val="16"/>
                <w:szCs w:val="16"/>
              </w:rPr>
            </w:pPr>
            <w:r w:rsidRPr="002441D8">
              <w:rPr>
                <w:sz w:val="16"/>
                <w:szCs w:val="16"/>
              </w:rPr>
              <w:t>(LFS at 5 years)</w:t>
            </w:r>
          </w:p>
          <w:p w14:paraId="0E503DF4" w14:textId="77777777" w:rsidR="000E2B3F" w:rsidRPr="002441D8" w:rsidRDefault="000E2B3F" w:rsidP="000E2B3F">
            <w:pPr>
              <w:rPr>
                <w:sz w:val="16"/>
                <w:szCs w:val="16"/>
              </w:rPr>
            </w:pPr>
          </w:p>
        </w:tc>
        <w:tc>
          <w:tcPr>
            <w:tcW w:w="1252" w:type="dxa"/>
          </w:tcPr>
          <w:p w14:paraId="37657369" w14:textId="77777777" w:rsidR="000E2B3F" w:rsidRPr="002441D8" w:rsidRDefault="000E2B3F" w:rsidP="000E2B3F">
            <w:pPr>
              <w:rPr>
                <w:sz w:val="16"/>
                <w:szCs w:val="16"/>
              </w:rPr>
            </w:pPr>
            <w:r w:rsidRPr="002441D8">
              <w:rPr>
                <w:sz w:val="16"/>
                <w:szCs w:val="16"/>
              </w:rPr>
              <w:t>84%</w:t>
            </w:r>
          </w:p>
          <w:p w14:paraId="4A095EB5" w14:textId="77777777" w:rsidR="000E2B3F" w:rsidRPr="002441D8" w:rsidRDefault="000E2B3F" w:rsidP="000E2B3F">
            <w:pPr>
              <w:rPr>
                <w:sz w:val="16"/>
                <w:szCs w:val="16"/>
              </w:rPr>
            </w:pPr>
            <w:r w:rsidRPr="002441D8">
              <w:rPr>
                <w:sz w:val="16"/>
                <w:szCs w:val="16"/>
              </w:rPr>
              <w:t>(OS at 5 years)</w:t>
            </w:r>
          </w:p>
        </w:tc>
        <w:tc>
          <w:tcPr>
            <w:tcW w:w="1248" w:type="dxa"/>
          </w:tcPr>
          <w:p w14:paraId="64831E3E" w14:textId="77777777" w:rsidR="000E2B3F" w:rsidRPr="002441D8" w:rsidRDefault="000E2B3F" w:rsidP="000E2B3F">
            <w:pPr>
              <w:rPr>
                <w:sz w:val="16"/>
                <w:szCs w:val="16"/>
              </w:rPr>
            </w:pPr>
            <w:r w:rsidRPr="002441D8">
              <w:rPr>
                <w:sz w:val="16"/>
                <w:szCs w:val="16"/>
              </w:rPr>
              <w:t>13%</w:t>
            </w:r>
          </w:p>
          <w:p w14:paraId="152C1E39" w14:textId="77777777" w:rsidR="000E2B3F" w:rsidRPr="002441D8" w:rsidRDefault="000E2B3F" w:rsidP="000E2B3F">
            <w:pPr>
              <w:rPr>
                <w:sz w:val="16"/>
                <w:szCs w:val="16"/>
              </w:rPr>
            </w:pPr>
            <w:r w:rsidRPr="002441D8">
              <w:rPr>
                <w:sz w:val="16"/>
                <w:szCs w:val="16"/>
              </w:rPr>
              <w:t>(CI at 10 years)</w:t>
            </w:r>
          </w:p>
        </w:tc>
        <w:tc>
          <w:tcPr>
            <w:tcW w:w="1274" w:type="dxa"/>
          </w:tcPr>
          <w:p w14:paraId="5890212F" w14:textId="77777777" w:rsidR="000E2B3F" w:rsidRPr="002441D8" w:rsidRDefault="000E2B3F" w:rsidP="000E2B3F">
            <w:pPr>
              <w:rPr>
                <w:sz w:val="16"/>
                <w:szCs w:val="16"/>
              </w:rPr>
            </w:pPr>
            <w:r w:rsidRPr="002441D8">
              <w:rPr>
                <w:sz w:val="16"/>
                <w:szCs w:val="16"/>
              </w:rPr>
              <w:t>Single institution long term follow up</w:t>
            </w:r>
          </w:p>
        </w:tc>
      </w:tr>
      <w:tr w:rsidR="000E2B3F" w:rsidRPr="002441D8" w14:paraId="435F78B4" w14:textId="77777777" w:rsidTr="000E2B3F">
        <w:tc>
          <w:tcPr>
            <w:tcW w:w="1287" w:type="dxa"/>
          </w:tcPr>
          <w:p w14:paraId="78C81D26" w14:textId="77777777" w:rsidR="000E2B3F" w:rsidRPr="002441D8" w:rsidRDefault="000E2B3F" w:rsidP="000E2B3F">
            <w:pPr>
              <w:rPr>
                <w:sz w:val="16"/>
                <w:szCs w:val="16"/>
              </w:rPr>
            </w:pPr>
            <w:r w:rsidRPr="002441D8">
              <w:rPr>
                <w:rFonts w:cs="AdvTTb8864ccf.B"/>
                <w:sz w:val="16"/>
                <w:szCs w:val="16"/>
              </w:rPr>
              <w:t xml:space="preserve">Oyekunle </w:t>
            </w:r>
            <w:r w:rsidRPr="002441D8">
              <w:rPr>
                <w:rFonts w:cs="AdvTTb8864ccf.B"/>
                <w:i/>
                <w:sz w:val="16"/>
                <w:szCs w:val="16"/>
              </w:rPr>
              <w:t>et al</w:t>
            </w:r>
            <w:r w:rsidRPr="002441D8">
              <w:rPr>
                <w:rFonts w:cs="AdvTTb8864ccf.B"/>
                <w:sz w:val="16"/>
                <w:szCs w:val="16"/>
              </w:rPr>
              <w:t xml:space="preserve"> 2013</w:t>
            </w:r>
            <w:r w:rsidRPr="002441D8">
              <w:rPr>
                <w:rFonts w:cs="AdvTTb8864ccf.B"/>
                <w:sz w:val="16"/>
                <w:szCs w:val="16"/>
                <w:vertAlign w:val="superscript"/>
              </w:rPr>
              <w:t>76</w:t>
            </w:r>
          </w:p>
        </w:tc>
        <w:tc>
          <w:tcPr>
            <w:tcW w:w="1271" w:type="dxa"/>
          </w:tcPr>
          <w:p w14:paraId="30132069" w14:textId="77777777" w:rsidR="000E2B3F" w:rsidRPr="002441D8" w:rsidRDefault="000E2B3F" w:rsidP="000E2B3F">
            <w:pPr>
              <w:rPr>
                <w:sz w:val="16"/>
                <w:szCs w:val="16"/>
              </w:rPr>
            </w:pPr>
            <w:r w:rsidRPr="002441D8">
              <w:rPr>
                <w:sz w:val="16"/>
                <w:szCs w:val="16"/>
              </w:rPr>
              <w:t>68 /</w:t>
            </w:r>
          </w:p>
          <w:p w14:paraId="68CF1B4F" w14:textId="77777777" w:rsidR="000E2B3F" w:rsidRPr="002441D8" w:rsidRDefault="000E2B3F" w:rsidP="000E2B3F">
            <w:pPr>
              <w:rPr>
                <w:sz w:val="16"/>
                <w:szCs w:val="16"/>
              </w:rPr>
            </w:pPr>
            <w:r w:rsidRPr="002441D8">
              <w:rPr>
                <w:sz w:val="16"/>
                <w:szCs w:val="16"/>
              </w:rPr>
              <w:t>2002 – 2009</w:t>
            </w:r>
          </w:p>
        </w:tc>
        <w:tc>
          <w:tcPr>
            <w:tcW w:w="1244" w:type="dxa"/>
          </w:tcPr>
          <w:p w14:paraId="6C578442" w14:textId="77777777" w:rsidR="000E2B3F" w:rsidRPr="002441D8" w:rsidRDefault="000E2B3F" w:rsidP="000E2B3F">
            <w:pPr>
              <w:rPr>
                <w:sz w:val="16"/>
                <w:szCs w:val="16"/>
              </w:rPr>
            </w:pPr>
            <w:r w:rsidRPr="002441D8">
              <w:rPr>
                <w:sz w:val="16"/>
                <w:szCs w:val="16"/>
              </w:rPr>
              <w:t>CP1 40%,</w:t>
            </w:r>
          </w:p>
          <w:p w14:paraId="7479BAA7" w14:textId="77777777" w:rsidR="000E2B3F" w:rsidRPr="002441D8" w:rsidRDefault="000E2B3F" w:rsidP="000E2B3F">
            <w:pPr>
              <w:rPr>
                <w:sz w:val="16"/>
                <w:szCs w:val="16"/>
              </w:rPr>
            </w:pPr>
            <w:r w:rsidRPr="002441D8">
              <w:rPr>
                <w:sz w:val="16"/>
                <w:szCs w:val="16"/>
              </w:rPr>
              <w:t>&gt;CP1 60%</w:t>
            </w:r>
          </w:p>
        </w:tc>
        <w:tc>
          <w:tcPr>
            <w:tcW w:w="1258" w:type="dxa"/>
          </w:tcPr>
          <w:p w14:paraId="7CFAA169" w14:textId="77777777" w:rsidR="000E2B3F" w:rsidRPr="002441D8" w:rsidRDefault="000E2B3F" w:rsidP="000E2B3F">
            <w:pPr>
              <w:rPr>
                <w:sz w:val="16"/>
                <w:szCs w:val="16"/>
              </w:rPr>
            </w:pPr>
            <w:r w:rsidRPr="002441D8">
              <w:rPr>
                <w:sz w:val="16"/>
                <w:szCs w:val="16"/>
              </w:rPr>
              <w:t>Pre-HSCT TKI 71%,</w:t>
            </w:r>
          </w:p>
          <w:p w14:paraId="360F2604" w14:textId="77777777" w:rsidR="000E2B3F" w:rsidRPr="002441D8" w:rsidRDefault="000E2B3F" w:rsidP="000E2B3F">
            <w:pPr>
              <w:rPr>
                <w:sz w:val="16"/>
                <w:szCs w:val="16"/>
              </w:rPr>
            </w:pPr>
            <w:r w:rsidRPr="002441D8">
              <w:rPr>
                <w:sz w:val="16"/>
                <w:szCs w:val="16"/>
              </w:rPr>
              <w:t>Post-HSCT TKI 29%</w:t>
            </w:r>
          </w:p>
        </w:tc>
        <w:tc>
          <w:tcPr>
            <w:tcW w:w="1446" w:type="dxa"/>
          </w:tcPr>
          <w:p w14:paraId="7E323E71" w14:textId="77777777" w:rsidR="000E2B3F" w:rsidRPr="002441D8" w:rsidRDefault="000E2B3F" w:rsidP="000E2B3F">
            <w:pPr>
              <w:rPr>
                <w:sz w:val="16"/>
                <w:szCs w:val="16"/>
              </w:rPr>
            </w:pPr>
            <w:r w:rsidRPr="002441D8">
              <w:rPr>
                <w:sz w:val="16"/>
                <w:szCs w:val="16"/>
              </w:rPr>
              <w:t>Matched 87%,</w:t>
            </w:r>
          </w:p>
          <w:p w14:paraId="689270D5" w14:textId="77777777" w:rsidR="000E2B3F" w:rsidRPr="002441D8" w:rsidRDefault="000E2B3F" w:rsidP="000E2B3F">
            <w:pPr>
              <w:rPr>
                <w:sz w:val="16"/>
                <w:szCs w:val="16"/>
              </w:rPr>
            </w:pPr>
            <w:r w:rsidRPr="002441D8">
              <w:rPr>
                <w:sz w:val="16"/>
                <w:szCs w:val="16"/>
              </w:rPr>
              <w:t>Mismatched 13%</w:t>
            </w:r>
          </w:p>
        </w:tc>
        <w:tc>
          <w:tcPr>
            <w:tcW w:w="1429" w:type="dxa"/>
          </w:tcPr>
          <w:p w14:paraId="54FF77EA" w14:textId="77777777" w:rsidR="000E2B3F" w:rsidRPr="002441D8" w:rsidRDefault="000E2B3F" w:rsidP="000E2B3F">
            <w:pPr>
              <w:rPr>
                <w:sz w:val="16"/>
                <w:szCs w:val="16"/>
              </w:rPr>
            </w:pPr>
            <w:r w:rsidRPr="002441D8">
              <w:rPr>
                <w:sz w:val="16"/>
                <w:szCs w:val="16"/>
              </w:rPr>
              <w:t>BM 15%,</w:t>
            </w:r>
          </w:p>
          <w:p w14:paraId="67A8325C" w14:textId="77777777" w:rsidR="000E2B3F" w:rsidRPr="002441D8" w:rsidRDefault="000E2B3F" w:rsidP="000E2B3F">
            <w:pPr>
              <w:rPr>
                <w:sz w:val="16"/>
                <w:szCs w:val="16"/>
              </w:rPr>
            </w:pPr>
            <w:r w:rsidRPr="002441D8">
              <w:rPr>
                <w:sz w:val="16"/>
                <w:szCs w:val="16"/>
              </w:rPr>
              <w:t>PB 85%</w:t>
            </w:r>
          </w:p>
        </w:tc>
        <w:tc>
          <w:tcPr>
            <w:tcW w:w="1269" w:type="dxa"/>
          </w:tcPr>
          <w:p w14:paraId="3AA0D1E8" w14:textId="77777777" w:rsidR="000E2B3F" w:rsidRPr="002441D8" w:rsidRDefault="000E2B3F" w:rsidP="000E2B3F">
            <w:pPr>
              <w:rPr>
                <w:sz w:val="16"/>
                <w:szCs w:val="16"/>
              </w:rPr>
            </w:pPr>
            <w:r w:rsidRPr="002441D8">
              <w:rPr>
                <w:sz w:val="16"/>
                <w:szCs w:val="16"/>
              </w:rPr>
              <w:t>MAC 66%,</w:t>
            </w:r>
          </w:p>
          <w:p w14:paraId="46A18CFE" w14:textId="77777777" w:rsidR="000E2B3F" w:rsidRPr="002441D8" w:rsidRDefault="000E2B3F" w:rsidP="000E2B3F">
            <w:pPr>
              <w:rPr>
                <w:sz w:val="16"/>
                <w:szCs w:val="16"/>
              </w:rPr>
            </w:pPr>
            <w:r w:rsidRPr="002441D8">
              <w:rPr>
                <w:sz w:val="16"/>
                <w:szCs w:val="16"/>
              </w:rPr>
              <w:t>RIC 33%</w:t>
            </w:r>
          </w:p>
        </w:tc>
        <w:tc>
          <w:tcPr>
            <w:tcW w:w="1260" w:type="dxa"/>
          </w:tcPr>
          <w:p w14:paraId="3EAAD2B3" w14:textId="77777777" w:rsidR="000E2B3F" w:rsidRPr="002441D8" w:rsidRDefault="000E2B3F" w:rsidP="000E2B3F">
            <w:pPr>
              <w:rPr>
                <w:sz w:val="16"/>
                <w:szCs w:val="16"/>
              </w:rPr>
            </w:pPr>
            <w:r w:rsidRPr="002441D8">
              <w:rPr>
                <w:sz w:val="16"/>
                <w:szCs w:val="16"/>
              </w:rPr>
              <w:t>54%</w:t>
            </w:r>
          </w:p>
          <w:p w14:paraId="3A62027B" w14:textId="77777777" w:rsidR="000E2B3F" w:rsidRPr="002441D8" w:rsidRDefault="000E2B3F" w:rsidP="000E2B3F">
            <w:pPr>
              <w:rPr>
                <w:sz w:val="16"/>
                <w:szCs w:val="16"/>
              </w:rPr>
            </w:pPr>
          </w:p>
          <w:p w14:paraId="5D060046" w14:textId="77777777" w:rsidR="000E2B3F" w:rsidRPr="002441D8" w:rsidRDefault="000E2B3F" w:rsidP="000E2B3F">
            <w:pPr>
              <w:rPr>
                <w:sz w:val="16"/>
                <w:szCs w:val="16"/>
              </w:rPr>
            </w:pPr>
            <w:r w:rsidRPr="002441D8">
              <w:rPr>
                <w:sz w:val="16"/>
                <w:szCs w:val="16"/>
              </w:rPr>
              <w:t>(LFS at 2 years)</w:t>
            </w:r>
          </w:p>
        </w:tc>
        <w:tc>
          <w:tcPr>
            <w:tcW w:w="1252" w:type="dxa"/>
          </w:tcPr>
          <w:p w14:paraId="4A45643B" w14:textId="77777777" w:rsidR="000E2B3F" w:rsidRPr="002441D8" w:rsidRDefault="000E2B3F" w:rsidP="000E2B3F">
            <w:pPr>
              <w:rPr>
                <w:sz w:val="16"/>
                <w:szCs w:val="16"/>
              </w:rPr>
            </w:pPr>
            <w:r w:rsidRPr="002441D8">
              <w:rPr>
                <w:sz w:val="16"/>
                <w:szCs w:val="16"/>
              </w:rPr>
              <w:t>63%</w:t>
            </w:r>
          </w:p>
          <w:p w14:paraId="63230D5D" w14:textId="77777777" w:rsidR="000E2B3F" w:rsidRPr="002441D8" w:rsidRDefault="000E2B3F" w:rsidP="000E2B3F">
            <w:pPr>
              <w:rPr>
                <w:sz w:val="16"/>
                <w:szCs w:val="16"/>
              </w:rPr>
            </w:pPr>
          </w:p>
          <w:p w14:paraId="52C49222" w14:textId="77777777" w:rsidR="000E2B3F" w:rsidRPr="002441D8" w:rsidRDefault="000E2B3F" w:rsidP="000E2B3F">
            <w:pPr>
              <w:rPr>
                <w:sz w:val="16"/>
                <w:szCs w:val="16"/>
              </w:rPr>
            </w:pPr>
            <w:r w:rsidRPr="002441D8">
              <w:rPr>
                <w:sz w:val="16"/>
                <w:szCs w:val="16"/>
              </w:rPr>
              <w:t>(OS at 2 years)</w:t>
            </w:r>
          </w:p>
          <w:p w14:paraId="5A270B06" w14:textId="77777777" w:rsidR="000E2B3F" w:rsidRPr="002441D8" w:rsidRDefault="000E2B3F" w:rsidP="000E2B3F">
            <w:pPr>
              <w:rPr>
                <w:sz w:val="16"/>
                <w:szCs w:val="16"/>
              </w:rPr>
            </w:pPr>
          </w:p>
        </w:tc>
        <w:tc>
          <w:tcPr>
            <w:tcW w:w="1248" w:type="dxa"/>
          </w:tcPr>
          <w:p w14:paraId="26DEDBDE" w14:textId="77777777" w:rsidR="000E2B3F" w:rsidRPr="002441D8" w:rsidRDefault="000E2B3F" w:rsidP="000E2B3F">
            <w:pPr>
              <w:rPr>
                <w:sz w:val="16"/>
                <w:szCs w:val="16"/>
              </w:rPr>
            </w:pPr>
            <w:r w:rsidRPr="002441D8">
              <w:rPr>
                <w:sz w:val="16"/>
                <w:szCs w:val="16"/>
              </w:rPr>
              <w:t>NR</w:t>
            </w:r>
          </w:p>
        </w:tc>
        <w:tc>
          <w:tcPr>
            <w:tcW w:w="1274" w:type="dxa"/>
          </w:tcPr>
          <w:p w14:paraId="4EA5A2B2" w14:textId="77777777" w:rsidR="000E2B3F" w:rsidRPr="002441D8" w:rsidRDefault="000E2B3F" w:rsidP="000E2B3F">
            <w:pPr>
              <w:rPr>
                <w:sz w:val="16"/>
                <w:szCs w:val="16"/>
              </w:rPr>
            </w:pPr>
            <w:r w:rsidRPr="002441D8">
              <w:rPr>
                <w:sz w:val="16"/>
                <w:szCs w:val="16"/>
              </w:rPr>
              <w:t>Single institute HSCT in TKI era</w:t>
            </w:r>
          </w:p>
        </w:tc>
      </w:tr>
      <w:tr w:rsidR="000E2B3F" w:rsidRPr="002441D8" w14:paraId="13805100" w14:textId="77777777" w:rsidTr="000E2B3F">
        <w:tc>
          <w:tcPr>
            <w:tcW w:w="1287" w:type="dxa"/>
          </w:tcPr>
          <w:p w14:paraId="40A67CC3" w14:textId="77777777" w:rsidR="000E2B3F" w:rsidRPr="002441D8" w:rsidRDefault="000E2B3F" w:rsidP="000E2B3F">
            <w:pPr>
              <w:rPr>
                <w:rFonts w:cs="AdvOT863180fb"/>
                <w:sz w:val="16"/>
                <w:szCs w:val="16"/>
              </w:rPr>
            </w:pPr>
            <w:r w:rsidRPr="002441D8">
              <w:rPr>
                <w:rFonts w:cs="AdvOT863180fb"/>
                <w:sz w:val="16"/>
                <w:szCs w:val="16"/>
              </w:rPr>
              <w:t xml:space="preserve">Milojkovic </w:t>
            </w:r>
            <w:r w:rsidRPr="002441D8">
              <w:rPr>
                <w:rFonts w:cs="AdvOT863180fb"/>
                <w:i/>
                <w:sz w:val="16"/>
                <w:szCs w:val="16"/>
              </w:rPr>
              <w:t>et al</w:t>
            </w:r>
            <w:r w:rsidRPr="002441D8">
              <w:rPr>
                <w:rFonts w:cs="AdvOT863180fb"/>
                <w:sz w:val="16"/>
                <w:szCs w:val="16"/>
              </w:rPr>
              <w:t xml:space="preserve"> 2013</w:t>
            </w:r>
            <w:r w:rsidRPr="002441D8">
              <w:rPr>
                <w:rFonts w:cs="AdvOT863180fb"/>
                <w:sz w:val="16"/>
                <w:szCs w:val="16"/>
                <w:vertAlign w:val="superscript"/>
              </w:rPr>
              <w:t>77</w:t>
            </w:r>
          </w:p>
        </w:tc>
        <w:tc>
          <w:tcPr>
            <w:tcW w:w="1271" w:type="dxa"/>
          </w:tcPr>
          <w:p w14:paraId="4E0D29D8" w14:textId="77777777" w:rsidR="000E2B3F" w:rsidRPr="002441D8" w:rsidRDefault="000E2B3F" w:rsidP="000E2B3F">
            <w:pPr>
              <w:rPr>
                <w:sz w:val="16"/>
                <w:szCs w:val="16"/>
              </w:rPr>
            </w:pPr>
            <w:r w:rsidRPr="002441D8">
              <w:rPr>
                <w:sz w:val="16"/>
                <w:szCs w:val="16"/>
              </w:rPr>
              <w:t>5732 /</w:t>
            </w:r>
          </w:p>
          <w:p w14:paraId="6A0B179C" w14:textId="77777777" w:rsidR="000E2B3F" w:rsidRPr="002441D8" w:rsidRDefault="000E2B3F" w:rsidP="000E2B3F">
            <w:pPr>
              <w:rPr>
                <w:sz w:val="16"/>
                <w:szCs w:val="16"/>
              </w:rPr>
            </w:pPr>
            <w:r w:rsidRPr="002441D8">
              <w:rPr>
                <w:sz w:val="16"/>
                <w:szCs w:val="16"/>
              </w:rPr>
              <w:t>2000-2011</w:t>
            </w:r>
          </w:p>
        </w:tc>
        <w:tc>
          <w:tcPr>
            <w:tcW w:w="1244" w:type="dxa"/>
          </w:tcPr>
          <w:p w14:paraId="4695BB33" w14:textId="77777777" w:rsidR="000E2B3F" w:rsidRPr="002441D8" w:rsidRDefault="000E2B3F" w:rsidP="000E2B3F">
            <w:pPr>
              <w:rPr>
                <w:sz w:val="16"/>
                <w:szCs w:val="16"/>
              </w:rPr>
            </w:pPr>
            <w:r w:rsidRPr="002441D8">
              <w:rPr>
                <w:sz w:val="16"/>
                <w:szCs w:val="16"/>
              </w:rPr>
              <w:t>Prior-TKI:</w:t>
            </w:r>
          </w:p>
          <w:p w14:paraId="793B7335" w14:textId="77777777" w:rsidR="000E2B3F" w:rsidRPr="002441D8" w:rsidRDefault="000E2B3F" w:rsidP="000E2B3F">
            <w:pPr>
              <w:rPr>
                <w:sz w:val="16"/>
                <w:szCs w:val="16"/>
              </w:rPr>
            </w:pPr>
            <w:r w:rsidRPr="002441D8">
              <w:rPr>
                <w:sz w:val="16"/>
                <w:szCs w:val="16"/>
              </w:rPr>
              <w:t>CP 51%,</w:t>
            </w:r>
          </w:p>
          <w:p w14:paraId="78BFB6BB" w14:textId="77777777" w:rsidR="000E2B3F" w:rsidRPr="002441D8" w:rsidRDefault="000E2B3F" w:rsidP="000E2B3F">
            <w:pPr>
              <w:rPr>
                <w:sz w:val="16"/>
                <w:szCs w:val="16"/>
              </w:rPr>
            </w:pPr>
            <w:r w:rsidRPr="002441D8">
              <w:rPr>
                <w:sz w:val="16"/>
                <w:szCs w:val="16"/>
              </w:rPr>
              <w:t>CP&gt;1 25%,</w:t>
            </w:r>
          </w:p>
          <w:p w14:paraId="6DD21526" w14:textId="77777777" w:rsidR="000E2B3F" w:rsidRPr="002441D8" w:rsidRDefault="000E2B3F" w:rsidP="000E2B3F">
            <w:pPr>
              <w:rPr>
                <w:sz w:val="16"/>
                <w:szCs w:val="16"/>
              </w:rPr>
            </w:pPr>
            <w:r w:rsidRPr="002441D8">
              <w:rPr>
                <w:sz w:val="16"/>
                <w:szCs w:val="16"/>
              </w:rPr>
              <w:t>AP 14%,</w:t>
            </w:r>
          </w:p>
          <w:p w14:paraId="2F823E54" w14:textId="77777777" w:rsidR="000E2B3F" w:rsidRPr="002441D8" w:rsidRDefault="000E2B3F" w:rsidP="000E2B3F">
            <w:pPr>
              <w:rPr>
                <w:sz w:val="16"/>
                <w:szCs w:val="16"/>
              </w:rPr>
            </w:pPr>
            <w:r w:rsidRPr="002441D8">
              <w:rPr>
                <w:sz w:val="16"/>
                <w:szCs w:val="16"/>
              </w:rPr>
              <w:t>BC 10%,</w:t>
            </w:r>
          </w:p>
          <w:p w14:paraId="329DE92B" w14:textId="77777777" w:rsidR="000E2B3F" w:rsidRPr="002441D8" w:rsidRDefault="000E2B3F" w:rsidP="000E2B3F">
            <w:pPr>
              <w:rPr>
                <w:sz w:val="16"/>
                <w:szCs w:val="16"/>
              </w:rPr>
            </w:pPr>
            <w:r w:rsidRPr="002441D8">
              <w:rPr>
                <w:sz w:val="16"/>
                <w:szCs w:val="16"/>
              </w:rPr>
              <w:t>Non-TKI:NR</w:t>
            </w:r>
          </w:p>
        </w:tc>
        <w:tc>
          <w:tcPr>
            <w:tcW w:w="1258" w:type="dxa"/>
          </w:tcPr>
          <w:p w14:paraId="6F06E97D" w14:textId="77777777" w:rsidR="000E2B3F" w:rsidRPr="002441D8" w:rsidRDefault="000E2B3F" w:rsidP="000E2B3F">
            <w:pPr>
              <w:rPr>
                <w:sz w:val="16"/>
                <w:szCs w:val="16"/>
              </w:rPr>
            </w:pPr>
            <w:r w:rsidRPr="002441D8">
              <w:rPr>
                <w:sz w:val="16"/>
                <w:szCs w:val="16"/>
              </w:rPr>
              <w:t>Prior TKI 22%,</w:t>
            </w:r>
          </w:p>
          <w:p w14:paraId="77385C90" w14:textId="77777777" w:rsidR="000E2B3F" w:rsidRPr="002441D8" w:rsidRDefault="000E2B3F" w:rsidP="000E2B3F">
            <w:pPr>
              <w:rPr>
                <w:sz w:val="16"/>
                <w:szCs w:val="16"/>
              </w:rPr>
            </w:pPr>
            <w:r w:rsidRPr="002441D8">
              <w:rPr>
                <w:sz w:val="16"/>
                <w:szCs w:val="16"/>
              </w:rPr>
              <w:t>No TKI 78%</w:t>
            </w:r>
          </w:p>
        </w:tc>
        <w:tc>
          <w:tcPr>
            <w:tcW w:w="1446" w:type="dxa"/>
          </w:tcPr>
          <w:p w14:paraId="4843FFC4" w14:textId="77777777" w:rsidR="000E2B3F" w:rsidRPr="002441D8" w:rsidRDefault="000E2B3F" w:rsidP="000E2B3F">
            <w:pPr>
              <w:rPr>
                <w:sz w:val="16"/>
                <w:szCs w:val="16"/>
              </w:rPr>
            </w:pPr>
            <w:r w:rsidRPr="002441D8">
              <w:rPr>
                <w:sz w:val="16"/>
                <w:szCs w:val="16"/>
              </w:rPr>
              <w:t>NR</w:t>
            </w:r>
          </w:p>
        </w:tc>
        <w:tc>
          <w:tcPr>
            <w:tcW w:w="1429" w:type="dxa"/>
          </w:tcPr>
          <w:p w14:paraId="73B7DAFE" w14:textId="77777777" w:rsidR="000E2B3F" w:rsidRPr="002441D8" w:rsidRDefault="000E2B3F" w:rsidP="000E2B3F">
            <w:pPr>
              <w:rPr>
                <w:sz w:val="16"/>
                <w:szCs w:val="16"/>
              </w:rPr>
            </w:pPr>
            <w:r w:rsidRPr="002441D8">
              <w:rPr>
                <w:sz w:val="16"/>
                <w:szCs w:val="16"/>
              </w:rPr>
              <w:t>NR</w:t>
            </w:r>
          </w:p>
        </w:tc>
        <w:tc>
          <w:tcPr>
            <w:tcW w:w="1269" w:type="dxa"/>
          </w:tcPr>
          <w:p w14:paraId="6F59257A" w14:textId="77777777" w:rsidR="000E2B3F" w:rsidRPr="002441D8" w:rsidRDefault="000E2B3F" w:rsidP="000E2B3F">
            <w:pPr>
              <w:rPr>
                <w:sz w:val="16"/>
                <w:szCs w:val="16"/>
              </w:rPr>
            </w:pPr>
            <w:r w:rsidRPr="002441D8">
              <w:rPr>
                <w:sz w:val="16"/>
                <w:szCs w:val="16"/>
              </w:rPr>
              <w:t>NR</w:t>
            </w:r>
          </w:p>
        </w:tc>
        <w:tc>
          <w:tcPr>
            <w:tcW w:w="1260" w:type="dxa"/>
          </w:tcPr>
          <w:p w14:paraId="49FFA60A" w14:textId="77777777" w:rsidR="000E2B3F" w:rsidRPr="002441D8" w:rsidRDefault="000E2B3F" w:rsidP="000E2B3F">
            <w:pPr>
              <w:rPr>
                <w:sz w:val="16"/>
                <w:szCs w:val="16"/>
              </w:rPr>
            </w:pPr>
            <w:r w:rsidRPr="002441D8">
              <w:rPr>
                <w:sz w:val="16"/>
                <w:szCs w:val="16"/>
              </w:rPr>
              <w:t>Non-TKI 46%</w:t>
            </w:r>
          </w:p>
          <w:p w14:paraId="6F91BD0C" w14:textId="77777777" w:rsidR="000E2B3F" w:rsidRPr="002441D8" w:rsidRDefault="000E2B3F" w:rsidP="000E2B3F">
            <w:pPr>
              <w:rPr>
                <w:sz w:val="16"/>
                <w:szCs w:val="16"/>
              </w:rPr>
            </w:pPr>
            <w:r w:rsidRPr="002441D8">
              <w:rPr>
                <w:sz w:val="16"/>
                <w:szCs w:val="16"/>
              </w:rPr>
              <w:t>Prior TKI 42%</w:t>
            </w:r>
          </w:p>
          <w:p w14:paraId="450E7962" w14:textId="77777777" w:rsidR="000E2B3F" w:rsidRPr="002441D8" w:rsidRDefault="000E2B3F" w:rsidP="000E2B3F">
            <w:pPr>
              <w:rPr>
                <w:sz w:val="16"/>
                <w:szCs w:val="16"/>
                <w:lang w:val="fr-CA"/>
              </w:rPr>
            </w:pPr>
            <w:r w:rsidRPr="002441D8">
              <w:rPr>
                <w:sz w:val="16"/>
                <w:szCs w:val="16"/>
              </w:rPr>
              <w:t xml:space="preserve">(PFS at 5 years) </w:t>
            </w:r>
          </w:p>
        </w:tc>
        <w:tc>
          <w:tcPr>
            <w:tcW w:w="1252" w:type="dxa"/>
          </w:tcPr>
          <w:p w14:paraId="5753808A" w14:textId="77777777" w:rsidR="000E2B3F" w:rsidRPr="002441D8" w:rsidRDefault="000E2B3F" w:rsidP="000E2B3F">
            <w:pPr>
              <w:rPr>
                <w:sz w:val="16"/>
                <w:szCs w:val="16"/>
                <w:lang w:val="fr-CA"/>
              </w:rPr>
            </w:pPr>
            <w:r w:rsidRPr="002441D8">
              <w:rPr>
                <w:sz w:val="16"/>
                <w:szCs w:val="16"/>
                <w:lang w:val="fr-CA"/>
              </w:rPr>
              <w:t>Non-TKI 61%</w:t>
            </w:r>
          </w:p>
          <w:p w14:paraId="3977031A" w14:textId="77777777" w:rsidR="000E2B3F" w:rsidRPr="002441D8" w:rsidRDefault="000E2B3F" w:rsidP="000E2B3F">
            <w:pPr>
              <w:rPr>
                <w:sz w:val="16"/>
                <w:szCs w:val="16"/>
                <w:lang w:val="fr-CA"/>
              </w:rPr>
            </w:pPr>
            <w:r w:rsidRPr="002441D8">
              <w:rPr>
                <w:sz w:val="16"/>
                <w:szCs w:val="16"/>
                <w:lang w:val="fr-CA"/>
              </w:rPr>
              <w:t>PriorTKI 59%</w:t>
            </w:r>
          </w:p>
          <w:p w14:paraId="25BED589" w14:textId="77777777" w:rsidR="000E2B3F" w:rsidRPr="002441D8" w:rsidRDefault="000E2B3F" w:rsidP="000E2B3F">
            <w:pPr>
              <w:rPr>
                <w:sz w:val="16"/>
                <w:szCs w:val="16"/>
              </w:rPr>
            </w:pPr>
            <w:r w:rsidRPr="002441D8">
              <w:rPr>
                <w:sz w:val="16"/>
                <w:szCs w:val="16"/>
                <w:lang w:val="fr-CA"/>
              </w:rPr>
              <w:t>(OS at 5 years)</w:t>
            </w:r>
          </w:p>
        </w:tc>
        <w:tc>
          <w:tcPr>
            <w:tcW w:w="1248" w:type="dxa"/>
          </w:tcPr>
          <w:p w14:paraId="2512C17D" w14:textId="77777777" w:rsidR="000E2B3F" w:rsidRPr="002441D8" w:rsidRDefault="000E2B3F" w:rsidP="000E2B3F">
            <w:pPr>
              <w:rPr>
                <w:sz w:val="16"/>
                <w:szCs w:val="16"/>
              </w:rPr>
            </w:pPr>
            <w:r w:rsidRPr="002441D8">
              <w:rPr>
                <w:sz w:val="16"/>
                <w:szCs w:val="16"/>
              </w:rPr>
              <w:t>NR</w:t>
            </w:r>
          </w:p>
        </w:tc>
        <w:tc>
          <w:tcPr>
            <w:tcW w:w="1274" w:type="dxa"/>
          </w:tcPr>
          <w:p w14:paraId="5B958E48" w14:textId="77777777" w:rsidR="000E2B3F" w:rsidRPr="002441D8" w:rsidRDefault="000E2B3F" w:rsidP="000E2B3F">
            <w:pPr>
              <w:rPr>
                <w:sz w:val="16"/>
                <w:szCs w:val="16"/>
              </w:rPr>
            </w:pPr>
            <w:r w:rsidRPr="002441D8">
              <w:rPr>
                <w:sz w:val="16"/>
                <w:szCs w:val="16"/>
                <w:lang w:val="fr-CA"/>
              </w:rPr>
              <w:t>Retrospective multicentre study (EBMT)</w:t>
            </w:r>
          </w:p>
        </w:tc>
      </w:tr>
    </w:tbl>
    <w:p w14:paraId="3CB0359B" w14:textId="77777777" w:rsidR="000E2B3F" w:rsidRPr="002441D8" w:rsidRDefault="000E2B3F"/>
    <w:p w14:paraId="4F055586" w14:textId="77777777" w:rsidR="000E2B3F" w:rsidRPr="002441D8" w:rsidRDefault="000E2B3F">
      <w:pPr>
        <w:rPr>
          <w:rFonts w:ascii="Arial" w:hAnsi="Arial" w:cs="Arial"/>
          <w:sz w:val="18"/>
          <w:szCs w:val="18"/>
        </w:rPr>
      </w:pPr>
      <w:r w:rsidRPr="002441D8">
        <w:rPr>
          <w:rFonts w:ascii="Arial" w:hAnsi="Arial" w:cs="Arial"/>
          <w:sz w:val="18"/>
          <w:szCs w:val="18"/>
        </w:rPr>
        <w:t>CP1 first chronic phase, CP2 second chronic phase, AP accelerated phase, BC blast crisis, TKI tyrosine kinase inhibitor, Sib sibling, URD unrelated donor, HSCT haematopoetic stem cell transplantation, NR not reported, BM bone marrow, PB peripheral blood, DFS disease free survival, EFS event free survival, LFS leukaemia free survival, TRM transplant related mortality, MAC myeloablative conditioning, RIC reduced intensity conditioning, CI cumulative incidence</w:t>
      </w:r>
    </w:p>
    <w:p w14:paraId="1AAEC3D5" w14:textId="77777777" w:rsidR="000E2B3F" w:rsidRPr="002441D8" w:rsidRDefault="000E2B3F">
      <w:r w:rsidRPr="002441D8">
        <w:rPr>
          <w:rFonts w:ascii="Arial" w:hAnsi="Arial" w:cs="Arial"/>
          <w:b/>
          <w:sz w:val="18"/>
          <w:szCs w:val="18"/>
        </w:rPr>
        <w:t>Table 6</w:t>
      </w:r>
      <w:r w:rsidRPr="002441D8">
        <w:rPr>
          <w:rFonts w:ascii="Arial" w:hAnsi="Arial" w:cs="Arial"/>
          <w:sz w:val="18"/>
          <w:szCs w:val="18"/>
        </w:rPr>
        <w:t xml:space="preserve"> -  Transplant outcome data for HSCT reported since 2009, restricted to studies conducted at least in part following the introduction of the tyrosine kinase inhibitors.</w:t>
      </w:r>
    </w:p>
    <w:p w14:paraId="129D265C" w14:textId="77777777" w:rsidR="000E2B3F" w:rsidRPr="002441D8" w:rsidRDefault="000E2B3F">
      <w:pPr>
        <w:spacing w:after="0" w:line="240" w:lineRule="auto"/>
        <w:rPr>
          <w:sz w:val="20"/>
          <w:szCs w:val="20"/>
        </w:rPr>
      </w:pPr>
      <w:r w:rsidRPr="002441D8">
        <w:rPr>
          <w:sz w:val="20"/>
          <w:szCs w:val="20"/>
        </w:rPr>
        <w:br w:type="page"/>
      </w:r>
    </w:p>
    <w:p w14:paraId="4E43DE50" w14:textId="77777777" w:rsidR="000E2B3F" w:rsidRPr="002441D8" w:rsidRDefault="000E2B3F"/>
    <w:tbl>
      <w:tblPr>
        <w:tblStyle w:val="TableGrid"/>
        <w:tblW w:w="0" w:type="auto"/>
        <w:tblInd w:w="-318" w:type="dxa"/>
        <w:tblLayout w:type="fixed"/>
        <w:tblLook w:val="04A0" w:firstRow="1" w:lastRow="0" w:firstColumn="1" w:lastColumn="0" w:noHBand="0" w:noVBand="1"/>
      </w:tblPr>
      <w:tblGrid>
        <w:gridCol w:w="993"/>
        <w:gridCol w:w="1276"/>
        <w:gridCol w:w="1134"/>
        <w:gridCol w:w="1701"/>
        <w:gridCol w:w="1276"/>
        <w:gridCol w:w="1417"/>
        <w:gridCol w:w="1418"/>
        <w:gridCol w:w="1843"/>
        <w:gridCol w:w="2126"/>
      </w:tblGrid>
      <w:tr w:rsidR="000E2B3F" w:rsidRPr="002441D8" w14:paraId="62889611" w14:textId="77777777" w:rsidTr="000E2B3F">
        <w:tc>
          <w:tcPr>
            <w:tcW w:w="993" w:type="dxa"/>
          </w:tcPr>
          <w:p w14:paraId="1CB4769C" w14:textId="77777777" w:rsidR="000E2B3F" w:rsidRPr="002441D8" w:rsidRDefault="000E2B3F" w:rsidP="000E2B3F">
            <w:pPr>
              <w:rPr>
                <w:rFonts w:ascii="Arial" w:hAnsi="Arial" w:cs="Arial"/>
                <w:b/>
                <w:sz w:val="14"/>
                <w:szCs w:val="14"/>
              </w:rPr>
            </w:pPr>
            <w:r w:rsidRPr="002441D8">
              <w:rPr>
                <w:rFonts w:ascii="Arial" w:hAnsi="Arial" w:cs="Arial"/>
                <w:b/>
                <w:sz w:val="14"/>
                <w:szCs w:val="14"/>
              </w:rPr>
              <w:t>Authors</w:t>
            </w:r>
          </w:p>
        </w:tc>
        <w:tc>
          <w:tcPr>
            <w:tcW w:w="1276" w:type="dxa"/>
          </w:tcPr>
          <w:p w14:paraId="52370674" w14:textId="77777777" w:rsidR="000E2B3F" w:rsidRPr="002441D8" w:rsidRDefault="000E2B3F" w:rsidP="000E2B3F">
            <w:pPr>
              <w:rPr>
                <w:rFonts w:ascii="Arial" w:hAnsi="Arial" w:cs="Arial"/>
                <w:b/>
                <w:sz w:val="14"/>
                <w:szCs w:val="14"/>
              </w:rPr>
            </w:pPr>
            <w:r w:rsidRPr="002441D8">
              <w:rPr>
                <w:rFonts w:ascii="Arial" w:hAnsi="Arial" w:cs="Arial"/>
                <w:b/>
                <w:sz w:val="14"/>
                <w:szCs w:val="14"/>
              </w:rPr>
              <w:t>Number of patients / Median age</w:t>
            </w:r>
          </w:p>
        </w:tc>
        <w:tc>
          <w:tcPr>
            <w:tcW w:w="1134" w:type="dxa"/>
          </w:tcPr>
          <w:p w14:paraId="23FF6A6E" w14:textId="77777777" w:rsidR="000E2B3F" w:rsidRPr="002441D8" w:rsidRDefault="000E2B3F" w:rsidP="000E2B3F">
            <w:pPr>
              <w:rPr>
                <w:rFonts w:ascii="Arial" w:hAnsi="Arial" w:cs="Arial"/>
                <w:b/>
                <w:sz w:val="14"/>
                <w:szCs w:val="14"/>
              </w:rPr>
            </w:pPr>
            <w:r w:rsidRPr="002441D8">
              <w:rPr>
                <w:rFonts w:ascii="Arial" w:hAnsi="Arial" w:cs="Arial"/>
                <w:b/>
                <w:sz w:val="14"/>
                <w:szCs w:val="14"/>
              </w:rPr>
              <w:t>Disease stage</w:t>
            </w:r>
          </w:p>
        </w:tc>
        <w:tc>
          <w:tcPr>
            <w:tcW w:w="1701" w:type="dxa"/>
          </w:tcPr>
          <w:p w14:paraId="18A2D315" w14:textId="77777777" w:rsidR="000E2B3F" w:rsidRPr="002441D8" w:rsidRDefault="000E2B3F" w:rsidP="000E2B3F">
            <w:pPr>
              <w:rPr>
                <w:rFonts w:ascii="Arial" w:hAnsi="Arial" w:cs="Arial"/>
                <w:b/>
                <w:sz w:val="14"/>
                <w:szCs w:val="14"/>
              </w:rPr>
            </w:pPr>
            <w:r w:rsidRPr="002441D8">
              <w:rPr>
                <w:rFonts w:ascii="Arial" w:hAnsi="Arial" w:cs="Arial"/>
                <w:b/>
                <w:sz w:val="14"/>
                <w:szCs w:val="14"/>
              </w:rPr>
              <w:t>Regimen</w:t>
            </w:r>
          </w:p>
        </w:tc>
        <w:tc>
          <w:tcPr>
            <w:tcW w:w="1276" w:type="dxa"/>
          </w:tcPr>
          <w:p w14:paraId="39888D4B" w14:textId="77777777" w:rsidR="000E2B3F" w:rsidRPr="002441D8" w:rsidRDefault="000E2B3F" w:rsidP="000E2B3F">
            <w:pPr>
              <w:rPr>
                <w:rFonts w:ascii="Arial" w:hAnsi="Arial" w:cs="Arial"/>
                <w:b/>
                <w:sz w:val="14"/>
                <w:szCs w:val="14"/>
              </w:rPr>
            </w:pPr>
            <w:r w:rsidRPr="002441D8">
              <w:rPr>
                <w:rFonts w:ascii="Arial" w:hAnsi="Arial" w:cs="Arial"/>
                <w:b/>
                <w:sz w:val="14"/>
                <w:szCs w:val="14"/>
              </w:rPr>
              <w:t>Progression free survival (PFS)</w:t>
            </w:r>
          </w:p>
        </w:tc>
        <w:tc>
          <w:tcPr>
            <w:tcW w:w="1417" w:type="dxa"/>
          </w:tcPr>
          <w:p w14:paraId="46A146B8" w14:textId="77777777" w:rsidR="000E2B3F" w:rsidRPr="002441D8" w:rsidRDefault="000E2B3F" w:rsidP="000E2B3F">
            <w:pPr>
              <w:rPr>
                <w:rFonts w:ascii="Arial" w:hAnsi="Arial" w:cs="Arial"/>
                <w:b/>
                <w:sz w:val="14"/>
                <w:szCs w:val="14"/>
              </w:rPr>
            </w:pPr>
            <w:r w:rsidRPr="002441D8">
              <w:rPr>
                <w:rFonts w:ascii="Arial" w:hAnsi="Arial" w:cs="Arial"/>
                <w:b/>
                <w:sz w:val="14"/>
                <w:szCs w:val="14"/>
              </w:rPr>
              <w:t>Overall survival (OS)</w:t>
            </w:r>
          </w:p>
        </w:tc>
        <w:tc>
          <w:tcPr>
            <w:tcW w:w="1418" w:type="dxa"/>
          </w:tcPr>
          <w:p w14:paraId="3422DDD5" w14:textId="77777777" w:rsidR="000E2B3F" w:rsidRPr="002441D8" w:rsidRDefault="000E2B3F" w:rsidP="000E2B3F">
            <w:pPr>
              <w:rPr>
                <w:rFonts w:ascii="Arial" w:hAnsi="Arial" w:cs="Arial"/>
                <w:b/>
                <w:sz w:val="14"/>
                <w:szCs w:val="14"/>
              </w:rPr>
            </w:pPr>
            <w:r w:rsidRPr="002441D8">
              <w:rPr>
                <w:rFonts w:ascii="Arial" w:hAnsi="Arial" w:cs="Arial"/>
                <w:b/>
                <w:sz w:val="14"/>
                <w:szCs w:val="14"/>
              </w:rPr>
              <w:t>Transplant related mortality (TRM)</w:t>
            </w:r>
          </w:p>
        </w:tc>
        <w:tc>
          <w:tcPr>
            <w:tcW w:w="1843" w:type="dxa"/>
          </w:tcPr>
          <w:p w14:paraId="38A4F7D1" w14:textId="77777777" w:rsidR="000E2B3F" w:rsidRPr="002441D8" w:rsidRDefault="000E2B3F" w:rsidP="000E2B3F">
            <w:pPr>
              <w:rPr>
                <w:rFonts w:ascii="Arial" w:hAnsi="Arial" w:cs="Arial"/>
                <w:b/>
                <w:sz w:val="14"/>
                <w:szCs w:val="14"/>
              </w:rPr>
            </w:pPr>
            <w:r w:rsidRPr="002441D8">
              <w:rPr>
                <w:rFonts w:ascii="Arial" w:hAnsi="Arial" w:cs="Arial"/>
                <w:b/>
                <w:sz w:val="14"/>
                <w:szCs w:val="14"/>
              </w:rPr>
              <w:t>% developing acute GVHD (II-IV)</w:t>
            </w:r>
          </w:p>
        </w:tc>
        <w:tc>
          <w:tcPr>
            <w:tcW w:w="2126" w:type="dxa"/>
          </w:tcPr>
          <w:p w14:paraId="2BC3D2B0" w14:textId="77777777" w:rsidR="000E2B3F" w:rsidRPr="002441D8" w:rsidRDefault="000E2B3F" w:rsidP="000E2B3F">
            <w:pPr>
              <w:rPr>
                <w:rFonts w:ascii="Arial" w:hAnsi="Arial" w:cs="Arial"/>
                <w:b/>
                <w:sz w:val="14"/>
                <w:szCs w:val="14"/>
              </w:rPr>
            </w:pPr>
            <w:r w:rsidRPr="002441D8">
              <w:rPr>
                <w:rFonts w:ascii="Arial" w:hAnsi="Arial" w:cs="Arial"/>
                <w:b/>
                <w:sz w:val="14"/>
                <w:szCs w:val="14"/>
              </w:rPr>
              <w:t>% developing chronic GVHD (Extensive)</w:t>
            </w:r>
          </w:p>
          <w:p w14:paraId="1276618A" w14:textId="77777777" w:rsidR="000E2B3F" w:rsidRPr="002441D8" w:rsidRDefault="000E2B3F" w:rsidP="000E2B3F">
            <w:pPr>
              <w:rPr>
                <w:rFonts w:ascii="Arial" w:hAnsi="Arial" w:cs="Arial"/>
                <w:b/>
                <w:sz w:val="14"/>
                <w:szCs w:val="14"/>
              </w:rPr>
            </w:pPr>
            <w:r w:rsidRPr="002441D8">
              <w:rPr>
                <w:rFonts w:ascii="Arial" w:hAnsi="Arial" w:cs="Arial"/>
                <w:b/>
                <w:sz w:val="14"/>
                <w:szCs w:val="14"/>
              </w:rPr>
              <w:t>(CI where reported)</w:t>
            </w:r>
          </w:p>
        </w:tc>
      </w:tr>
      <w:tr w:rsidR="000E2B3F" w:rsidRPr="002441D8" w14:paraId="5B29479E" w14:textId="77777777" w:rsidTr="000E2B3F">
        <w:tc>
          <w:tcPr>
            <w:tcW w:w="993" w:type="dxa"/>
          </w:tcPr>
          <w:p w14:paraId="2CF1E717" w14:textId="77777777" w:rsidR="000E2B3F" w:rsidRPr="002441D8" w:rsidRDefault="000E2B3F" w:rsidP="000E2B3F">
            <w:pPr>
              <w:rPr>
                <w:rFonts w:ascii="Arial" w:hAnsi="Arial" w:cs="Arial"/>
                <w:sz w:val="14"/>
                <w:szCs w:val="14"/>
                <w:shd w:val="clear" w:color="auto" w:fill="FFFFFF"/>
              </w:rPr>
            </w:pPr>
            <w:r w:rsidRPr="002441D8">
              <w:rPr>
                <w:rFonts w:ascii="Arial" w:hAnsi="Arial" w:cs="Arial"/>
                <w:sz w:val="14"/>
                <w:szCs w:val="14"/>
                <w:shd w:val="clear" w:color="auto" w:fill="FFFFFF"/>
              </w:rPr>
              <w:t xml:space="preserve">Kelemen </w:t>
            </w:r>
            <w:r w:rsidRPr="002441D8">
              <w:rPr>
                <w:rFonts w:ascii="Arial" w:hAnsi="Arial" w:cs="Arial"/>
                <w:i/>
                <w:sz w:val="14"/>
                <w:szCs w:val="14"/>
                <w:shd w:val="clear" w:color="auto" w:fill="FFFFFF"/>
              </w:rPr>
              <w:t xml:space="preserve">et al </w:t>
            </w:r>
            <w:r w:rsidRPr="002441D8">
              <w:rPr>
                <w:rFonts w:ascii="Arial" w:hAnsi="Arial" w:cs="Arial"/>
                <w:sz w:val="14"/>
                <w:szCs w:val="14"/>
                <w:shd w:val="clear" w:color="auto" w:fill="FFFFFF"/>
              </w:rPr>
              <w:t>1998</w:t>
            </w:r>
            <w:r w:rsidRPr="002441D8">
              <w:rPr>
                <w:rFonts w:ascii="Arial" w:hAnsi="Arial" w:cs="Arial"/>
                <w:sz w:val="14"/>
                <w:szCs w:val="14"/>
                <w:shd w:val="clear" w:color="auto" w:fill="FFFFFF"/>
                <w:vertAlign w:val="superscript"/>
              </w:rPr>
              <w:t>83</w:t>
            </w:r>
          </w:p>
        </w:tc>
        <w:tc>
          <w:tcPr>
            <w:tcW w:w="1276" w:type="dxa"/>
          </w:tcPr>
          <w:p w14:paraId="573B19D2" w14:textId="77777777" w:rsidR="000E2B3F" w:rsidRPr="002441D8" w:rsidRDefault="000E2B3F" w:rsidP="000E2B3F">
            <w:pPr>
              <w:rPr>
                <w:rFonts w:ascii="Arial" w:hAnsi="Arial" w:cs="Arial"/>
                <w:sz w:val="14"/>
                <w:szCs w:val="14"/>
              </w:rPr>
            </w:pPr>
            <w:r w:rsidRPr="002441D8">
              <w:rPr>
                <w:rFonts w:ascii="Arial" w:hAnsi="Arial" w:cs="Arial"/>
                <w:sz w:val="14"/>
                <w:szCs w:val="14"/>
              </w:rPr>
              <w:t>19</w:t>
            </w:r>
          </w:p>
        </w:tc>
        <w:tc>
          <w:tcPr>
            <w:tcW w:w="1134" w:type="dxa"/>
          </w:tcPr>
          <w:p w14:paraId="115A7D89" w14:textId="77777777" w:rsidR="000E2B3F" w:rsidRPr="002441D8" w:rsidRDefault="000E2B3F" w:rsidP="000E2B3F">
            <w:pPr>
              <w:rPr>
                <w:rFonts w:ascii="Arial" w:hAnsi="Arial" w:cs="Arial"/>
                <w:sz w:val="14"/>
                <w:szCs w:val="14"/>
              </w:rPr>
            </w:pPr>
            <w:r w:rsidRPr="002441D8">
              <w:rPr>
                <w:rFonts w:ascii="Arial" w:hAnsi="Arial" w:cs="Arial"/>
                <w:sz w:val="14"/>
                <w:szCs w:val="14"/>
              </w:rPr>
              <w:t>CP 74%,</w:t>
            </w:r>
          </w:p>
          <w:p w14:paraId="578EA7FE" w14:textId="77777777" w:rsidR="000E2B3F" w:rsidRPr="002441D8" w:rsidRDefault="000E2B3F" w:rsidP="000E2B3F">
            <w:pPr>
              <w:rPr>
                <w:rFonts w:ascii="Arial" w:hAnsi="Arial" w:cs="Arial"/>
                <w:sz w:val="14"/>
                <w:szCs w:val="14"/>
              </w:rPr>
            </w:pPr>
            <w:r w:rsidRPr="002441D8">
              <w:rPr>
                <w:rFonts w:ascii="Arial" w:hAnsi="Arial" w:cs="Arial"/>
                <w:sz w:val="14"/>
                <w:szCs w:val="14"/>
              </w:rPr>
              <w:t>AP 26%</w:t>
            </w:r>
          </w:p>
        </w:tc>
        <w:tc>
          <w:tcPr>
            <w:tcW w:w="1701" w:type="dxa"/>
          </w:tcPr>
          <w:p w14:paraId="16CF9018" w14:textId="77777777" w:rsidR="000E2B3F" w:rsidRPr="002441D8" w:rsidRDefault="000E2B3F" w:rsidP="000E2B3F">
            <w:pPr>
              <w:rPr>
                <w:rFonts w:ascii="Arial" w:hAnsi="Arial" w:cs="Arial"/>
                <w:sz w:val="14"/>
                <w:szCs w:val="14"/>
              </w:rPr>
            </w:pPr>
            <w:r w:rsidRPr="002441D8">
              <w:rPr>
                <w:rFonts w:ascii="Arial" w:hAnsi="Arial" w:cs="Arial"/>
                <w:sz w:val="14"/>
                <w:szCs w:val="14"/>
              </w:rPr>
              <w:t>DBM/AraC/cyclo 100%</w:t>
            </w:r>
          </w:p>
        </w:tc>
        <w:tc>
          <w:tcPr>
            <w:tcW w:w="1276" w:type="dxa"/>
          </w:tcPr>
          <w:p w14:paraId="33D7B3DF" w14:textId="77777777" w:rsidR="000E2B3F" w:rsidRPr="002441D8" w:rsidRDefault="000E2B3F" w:rsidP="000E2B3F">
            <w:pPr>
              <w:rPr>
                <w:rFonts w:ascii="Arial" w:hAnsi="Arial" w:cs="Arial"/>
                <w:sz w:val="14"/>
                <w:szCs w:val="14"/>
              </w:rPr>
            </w:pPr>
            <w:r w:rsidRPr="002441D8">
              <w:rPr>
                <w:rFonts w:ascii="Arial" w:hAnsi="Arial" w:cs="Arial"/>
                <w:sz w:val="14"/>
                <w:szCs w:val="14"/>
              </w:rPr>
              <w:t>82%  at median follow-up 4 years</w:t>
            </w:r>
          </w:p>
        </w:tc>
        <w:tc>
          <w:tcPr>
            <w:tcW w:w="1417" w:type="dxa"/>
          </w:tcPr>
          <w:p w14:paraId="751C52F7" w14:textId="77777777" w:rsidR="000E2B3F" w:rsidRPr="002441D8" w:rsidRDefault="000E2B3F" w:rsidP="000E2B3F">
            <w:pPr>
              <w:rPr>
                <w:rFonts w:ascii="Arial" w:hAnsi="Arial" w:cs="Arial"/>
                <w:sz w:val="14"/>
                <w:szCs w:val="14"/>
              </w:rPr>
            </w:pPr>
            <w:r w:rsidRPr="002441D8">
              <w:rPr>
                <w:rFonts w:ascii="Arial" w:hAnsi="Arial" w:cs="Arial"/>
                <w:sz w:val="14"/>
                <w:szCs w:val="14"/>
              </w:rPr>
              <w:t>89% at median follow-up 4 years</w:t>
            </w:r>
          </w:p>
        </w:tc>
        <w:tc>
          <w:tcPr>
            <w:tcW w:w="1418" w:type="dxa"/>
          </w:tcPr>
          <w:p w14:paraId="5AA7CF94" w14:textId="77777777" w:rsidR="000E2B3F" w:rsidRPr="002441D8" w:rsidRDefault="000E2B3F" w:rsidP="000E2B3F">
            <w:pPr>
              <w:rPr>
                <w:rFonts w:ascii="Arial" w:hAnsi="Arial" w:cs="Arial"/>
                <w:sz w:val="14"/>
                <w:szCs w:val="14"/>
              </w:rPr>
            </w:pPr>
            <w:r w:rsidRPr="002441D8">
              <w:rPr>
                <w:rFonts w:ascii="Arial" w:hAnsi="Arial" w:cs="Arial"/>
                <w:sz w:val="14"/>
                <w:szCs w:val="14"/>
              </w:rPr>
              <w:t>NR</w:t>
            </w:r>
          </w:p>
        </w:tc>
        <w:tc>
          <w:tcPr>
            <w:tcW w:w="1843" w:type="dxa"/>
          </w:tcPr>
          <w:p w14:paraId="72D358B9" w14:textId="77777777" w:rsidR="000E2B3F" w:rsidRPr="002441D8" w:rsidRDefault="000E2B3F" w:rsidP="000E2B3F">
            <w:pPr>
              <w:spacing w:line="360" w:lineRule="auto"/>
              <w:rPr>
                <w:rFonts w:ascii="Arial" w:hAnsi="Arial" w:cs="Arial"/>
                <w:sz w:val="14"/>
                <w:szCs w:val="14"/>
              </w:rPr>
            </w:pPr>
            <w:r w:rsidRPr="002441D8">
              <w:rPr>
                <w:rFonts w:ascii="Arial" w:hAnsi="Arial" w:cs="Arial"/>
                <w:sz w:val="14"/>
                <w:szCs w:val="14"/>
              </w:rPr>
              <w:t>11%</w:t>
            </w:r>
          </w:p>
        </w:tc>
        <w:tc>
          <w:tcPr>
            <w:tcW w:w="2126" w:type="dxa"/>
          </w:tcPr>
          <w:p w14:paraId="30FFA9FE" w14:textId="77777777" w:rsidR="000E2B3F" w:rsidRPr="002441D8" w:rsidRDefault="000E2B3F" w:rsidP="000E2B3F">
            <w:pPr>
              <w:rPr>
                <w:rFonts w:ascii="Arial" w:hAnsi="Arial" w:cs="Arial"/>
                <w:sz w:val="14"/>
                <w:szCs w:val="14"/>
              </w:rPr>
            </w:pPr>
            <w:r w:rsidRPr="002441D8">
              <w:rPr>
                <w:rFonts w:ascii="Arial" w:hAnsi="Arial" w:cs="Arial"/>
                <w:sz w:val="14"/>
                <w:szCs w:val="14"/>
              </w:rPr>
              <w:t>67%</w:t>
            </w:r>
          </w:p>
        </w:tc>
      </w:tr>
      <w:tr w:rsidR="000E2B3F" w:rsidRPr="002441D8" w14:paraId="7A66C447" w14:textId="77777777" w:rsidTr="000E2B3F">
        <w:tc>
          <w:tcPr>
            <w:tcW w:w="993" w:type="dxa"/>
          </w:tcPr>
          <w:p w14:paraId="59AD6A23" w14:textId="77777777" w:rsidR="000E2B3F" w:rsidRPr="002441D8" w:rsidRDefault="000E2B3F" w:rsidP="000E2B3F">
            <w:pPr>
              <w:rPr>
                <w:rFonts w:ascii="Arial" w:hAnsi="Arial" w:cs="Arial"/>
                <w:sz w:val="14"/>
                <w:szCs w:val="14"/>
                <w:shd w:val="clear" w:color="auto" w:fill="FFFFFF"/>
              </w:rPr>
            </w:pPr>
            <w:r w:rsidRPr="002441D8">
              <w:rPr>
                <w:rFonts w:ascii="Arial" w:hAnsi="Arial" w:cs="Arial"/>
                <w:sz w:val="14"/>
                <w:szCs w:val="14"/>
                <w:shd w:val="clear" w:color="auto" w:fill="FFFFFF"/>
              </w:rPr>
              <w:t xml:space="preserve">Barta </w:t>
            </w:r>
            <w:r w:rsidRPr="002441D8">
              <w:rPr>
                <w:rFonts w:ascii="Arial" w:hAnsi="Arial" w:cs="Arial"/>
                <w:i/>
                <w:sz w:val="14"/>
                <w:szCs w:val="14"/>
                <w:shd w:val="clear" w:color="auto" w:fill="FFFFFF"/>
              </w:rPr>
              <w:t>el al</w:t>
            </w:r>
            <w:r w:rsidRPr="002441D8">
              <w:rPr>
                <w:rFonts w:ascii="Arial" w:hAnsi="Arial" w:cs="Arial"/>
                <w:sz w:val="14"/>
                <w:szCs w:val="14"/>
                <w:shd w:val="clear" w:color="auto" w:fill="FFFFFF"/>
              </w:rPr>
              <w:t xml:space="preserve"> 2001</w:t>
            </w:r>
            <w:r w:rsidRPr="002441D8">
              <w:rPr>
                <w:rFonts w:ascii="Arial" w:hAnsi="Arial" w:cs="Arial"/>
                <w:sz w:val="14"/>
                <w:szCs w:val="14"/>
                <w:shd w:val="clear" w:color="auto" w:fill="FFFFFF"/>
                <w:vertAlign w:val="superscript"/>
              </w:rPr>
              <w:t>84</w:t>
            </w:r>
          </w:p>
        </w:tc>
        <w:tc>
          <w:tcPr>
            <w:tcW w:w="1276" w:type="dxa"/>
          </w:tcPr>
          <w:p w14:paraId="6CCDB693" w14:textId="77777777" w:rsidR="000E2B3F" w:rsidRPr="002441D8" w:rsidRDefault="000E2B3F" w:rsidP="000E2B3F">
            <w:pPr>
              <w:rPr>
                <w:rFonts w:ascii="Arial" w:hAnsi="Arial" w:cs="Arial"/>
                <w:sz w:val="14"/>
                <w:szCs w:val="14"/>
              </w:rPr>
            </w:pPr>
            <w:r w:rsidRPr="002441D8">
              <w:rPr>
                <w:rFonts w:ascii="Arial" w:hAnsi="Arial" w:cs="Arial"/>
                <w:sz w:val="14"/>
                <w:szCs w:val="14"/>
              </w:rPr>
              <w:t>36</w:t>
            </w:r>
          </w:p>
          <w:p w14:paraId="2AE21AE4" w14:textId="77777777" w:rsidR="000E2B3F" w:rsidRPr="002441D8" w:rsidRDefault="000E2B3F" w:rsidP="000E2B3F">
            <w:pPr>
              <w:rPr>
                <w:rFonts w:ascii="Arial" w:hAnsi="Arial" w:cs="Arial"/>
                <w:sz w:val="14"/>
                <w:szCs w:val="14"/>
              </w:rPr>
            </w:pPr>
            <w:r w:rsidRPr="002441D8">
              <w:rPr>
                <w:rFonts w:ascii="Arial" w:hAnsi="Arial" w:cs="Arial"/>
                <w:sz w:val="14"/>
                <w:szCs w:val="14"/>
              </w:rPr>
              <w:t>15-59 years (no median)</w:t>
            </w:r>
          </w:p>
        </w:tc>
        <w:tc>
          <w:tcPr>
            <w:tcW w:w="1134" w:type="dxa"/>
          </w:tcPr>
          <w:p w14:paraId="3F2E6F79" w14:textId="77777777" w:rsidR="000E2B3F" w:rsidRPr="002441D8" w:rsidRDefault="000E2B3F" w:rsidP="000E2B3F">
            <w:pPr>
              <w:rPr>
                <w:rFonts w:ascii="Arial" w:hAnsi="Arial" w:cs="Arial"/>
                <w:sz w:val="14"/>
                <w:szCs w:val="14"/>
              </w:rPr>
            </w:pPr>
            <w:r w:rsidRPr="002441D8">
              <w:rPr>
                <w:rFonts w:ascii="Arial" w:hAnsi="Arial" w:cs="Arial"/>
                <w:sz w:val="14"/>
                <w:szCs w:val="14"/>
              </w:rPr>
              <w:t xml:space="preserve">CP 72%, </w:t>
            </w:r>
          </w:p>
          <w:p w14:paraId="73775C35" w14:textId="77777777" w:rsidR="000E2B3F" w:rsidRPr="002441D8" w:rsidRDefault="000E2B3F" w:rsidP="000E2B3F">
            <w:pPr>
              <w:rPr>
                <w:rFonts w:ascii="Arial" w:hAnsi="Arial" w:cs="Arial"/>
                <w:sz w:val="14"/>
                <w:szCs w:val="14"/>
              </w:rPr>
            </w:pPr>
            <w:r w:rsidRPr="002441D8">
              <w:rPr>
                <w:rFonts w:ascii="Arial" w:hAnsi="Arial" w:cs="Arial"/>
                <w:sz w:val="14"/>
                <w:szCs w:val="14"/>
              </w:rPr>
              <w:t>AP 28%</w:t>
            </w:r>
          </w:p>
        </w:tc>
        <w:tc>
          <w:tcPr>
            <w:tcW w:w="1701" w:type="dxa"/>
          </w:tcPr>
          <w:p w14:paraId="451942A2" w14:textId="77777777" w:rsidR="000E2B3F" w:rsidRPr="002441D8" w:rsidRDefault="000E2B3F" w:rsidP="000E2B3F">
            <w:pPr>
              <w:rPr>
                <w:rFonts w:ascii="Arial" w:hAnsi="Arial" w:cs="Arial"/>
                <w:sz w:val="14"/>
                <w:szCs w:val="14"/>
              </w:rPr>
            </w:pPr>
            <w:r w:rsidRPr="002441D8">
              <w:rPr>
                <w:rFonts w:ascii="Arial" w:hAnsi="Arial" w:cs="Arial"/>
                <w:sz w:val="14"/>
                <w:szCs w:val="14"/>
              </w:rPr>
              <w:t>DBM/AraC/cyclo 100%</w:t>
            </w:r>
          </w:p>
        </w:tc>
        <w:tc>
          <w:tcPr>
            <w:tcW w:w="1276" w:type="dxa"/>
          </w:tcPr>
          <w:p w14:paraId="751E118C" w14:textId="77777777" w:rsidR="000E2B3F" w:rsidRPr="002441D8" w:rsidRDefault="000E2B3F" w:rsidP="000E2B3F">
            <w:pPr>
              <w:rPr>
                <w:rFonts w:ascii="Arial" w:hAnsi="Arial" w:cs="Arial"/>
                <w:sz w:val="14"/>
                <w:szCs w:val="14"/>
              </w:rPr>
            </w:pPr>
            <w:r w:rsidRPr="002441D8">
              <w:rPr>
                <w:rFonts w:ascii="Arial" w:hAnsi="Arial" w:cs="Arial"/>
                <w:sz w:val="14"/>
                <w:szCs w:val="14"/>
              </w:rPr>
              <w:t>72% at follow-up 45-113 months</w:t>
            </w:r>
          </w:p>
        </w:tc>
        <w:tc>
          <w:tcPr>
            <w:tcW w:w="1417" w:type="dxa"/>
          </w:tcPr>
          <w:p w14:paraId="1D9419C1" w14:textId="77777777" w:rsidR="000E2B3F" w:rsidRPr="002441D8" w:rsidRDefault="000E2B3F" w:rsidP="000E2B3F">
            <w:pPr>
              <w:rPr>
                <w:rFonts w:ascii="Arial" w:hAnsi="Arial" w:cs="Arial"/>
                <w:sz w:val="14"/>
                <w:szCs w:val="14"/>
              </w:rPr>
            </w:pPr>
            <w:r w:rsidRPr="002441D8">
              <w:rPr>
                <w:rFonts w:ascii="Arial" w:hAnsi="Arial" w:cs="Arial"/>
                <w:sz w:val="14"/>
                <w:szCs w:val="14"/>
              </w:rPr>
              <w:t>83% at follow-up 45-113 months</w:t>
            </w:r>
          </w:p>
        </w:tc>
        <w:tc>
          <w:tcPr>
            <w:tcW w:w="1418" w:type="dxa"/>
          </w:tcPr>
          <w:p w14:paraId="55ACB82F" w14:textId="77777777" w:rsidR="000E2B3F" w:rsidRPr="002441D8" w:rsidRDefault="000E2B3F" w:rsidP="000E2B3F">
            <w:pPr>
              <w:rPr>
                <w:rFonts w:ascii="Arial" w:hAnsi="Arial" w:cs="Arial"/>
                <w:sz w:val="14"/>
                <w:szCs w:val="14"/>
              </w:rPr>
            </w:pPr>
            <w:r w:rsidRPr="002441D8">
              <w:rPr>
                <w:rFonts w:ascii="Arial" w:hAnsi="Arial" w:cs="Arial"/>
                <w:sz w:val="14"/>
                <w:szCs w:val="14"/>
              </w:rPr>
              <w:t>17%</w:t>
            </w:r>
          </w:p>
        </w:tc>
        <w:tc>
          <w:tcPr>
            <w:tcW w:w="1843" w:type="dxa"/>
          </w:tcPr>
          <w:p w14:paraId="5E22D051" w14:textId="77777777" w:rsidR="000E2B3F" w:rsidRPr="002441D8" w:rsidRDefault="000E2B3F" w:rsidP="000E2B3F">
            <w:pPr>
              <w:spacing w:line="360" w:lineRule="auto"/>
              <w:rPr>
                <w:rFonts w:ascii="Arial" w:hAnsi="Arial" w:cs="Arial"/>
                <w:sz w:val="14"/>
                <w:szCs w:val="14"/>
              </w:rPr>
            </w:pPr>
            <w:r w:rsidRPr="002441D8">
              <w:rPr>
                <w:rFonts w:ascii="Arial" w:hAnsi="Arial" w:cs="Arial"/>
                <w:sz w:val="14"/>
                <w:szCs w:val="14"/>
              </w:rPr>
              <w:t>25%</w:t>
            </w:r>
          </w:p>
        </w:tc>
        <w:tc>
          <w:tcPr>
            <w:tcW w:w="2126" w:type="dxa"/>
          </w:tcPr>
          <w:p w14:paraId="789EAD2E" w14:textId="77777777" w:rsidR="000E2B3F" w:rsidRPr="002441D8" w:rsidRDefault="000E2B3F" w:rsidP="000E2B3F">
            <w:pPr>
              <w:rPr>
                <w:rFonts w:ascii="Arial" w:hAnsi="Arial" w:cs="Arial"/>
                <w:sz w:val="14"/>
                <w:szCs w:val="14"/>
              </w:rPr>
            </w:pPr>
            <w:r w:rsidRPr="002441D8">
              <w:rPr>
                <w:rFonts w:ascii="Arial" w:hAnsi="Arial" w:cs="Arial"/>
                <w:sz w:val="14"/>
                <w:szCs w:val="14"/>
              </w:rPr>
              <w:t>56% (22%)</w:t>
            </w:r>
          </w:p>
        </w:tc>
      </w:tr>
      <w:tr w:rsidR="000E2B3F" w:rsidRPr="002441D8" w14:paraId="26AF109E" w14:textId="77777777" w:rsidTr="000E2B3F">
        <w:tc>
          <w:tcPr>
            <w:tcW w:w="993" w:type="dxa"/>
          </w:tcPr>
          <w:p w14:paraId="5384E0B0" w14:textId="77777777" w:rsidR="000E2B3F" w:rsidRPr="002441D8" w:rsidRDefault="000E2B3F" w:rsidP="000E2B3F">
            <w:pPr>
              <w:rPr>
                <w:rFonts w:ascii="Arial" w:hAnsi="Arial" w:cs="Arial"/>
                <w:sz w:val="14"/>
                <w:szCs w:val="14"/>
                <w:shd w:val="clear" w:color="auto" w:fill="FFFFFF"/>
              </w:rPr>
            </w:pPr>
            <w:r w:rsidRPr="002441D8">
              <w:rPr>
                <w:rFonts w:ascii="Arial" w:hAnsi="Arial" w:cs="Arial"/>
                <w:sz w:val="14"/>
                <w:szCs w:val="14"/>
                <w:shd w:val="clear" w:color="auto" w:fill="FFFFFF"/>
              </w:rPr>
              <w:t xml:space="preserve">Or </w:t>
            </w:r>
            <w:r w:rsidRPr="002441D8">
              <w:rPr>
                <w:rFonts w:ascii="Arial" w:hAnsi="Arial" w:cs="Arial"/>
                <w:i/>
                <w:sz w:val="14"/>
                <w:szCs w:val="14"/>
                <w:shd w:val="clear" w:color="auto" w:fill="FFFFFF"/>
              </w:rPr>
              <w:t>et al</w:t>
            </w:r>
            <w:r w:rsidRPr="002441D8">
              <w:rPr>
                <w:rFonts w:ascii="Arial" w:hAnsi="Arial" w:cs="Arial"/>
                <w:sz w:val="14"/>
                <w:szCs w:val="14"/>
                <w:shd w:val="clear" w:color="auto" w:fill="FFFFFF"/>
              </w:rPr>
              <w:t xml:space="preserve"> 2003</w:t>
            </w:r>
            <w:r w:rsidRPr="002441D8">
              <w:rPr>
                <w:rFonts w:ascii="Arial" w:hAnsi="Arial" w:cs="Arial"/>
                <w:sz w:val="14"/>
                <w:szCs w:val="14"/>
                <w:shd w:val="clear" w:color="auto" w:fill="FFFFFF"/>
                <w:vertAlign w:val="superscript"/>
              </w:rPr>
              <w:t>80</w:t>
            </w:r>
          </w:p>
        </w:tc>
        <w:tc>
          <w:tcPr>
            <w:tcW w:w="1276" w:type="dxa"/>
          </w:tcPr>
          <w:p w14:paraId="2BAC9462" w14:textId="77777777" w:rsidR="000E2B3F" w:rsidRPr="002441D8" w:rsidRDefault="000E2B3F" w:rsidP="000E2B3F">
            <w:pPr>
              <w:rPr>
                <w:rFonts w:ascii="Arial" w:hAnsi="Arial" w:cs="Arial"/>
                <w:sz w:val="14"/>
                <w:szCs w:val="14"/>
              </w:rPr>
            </w:pPr>
            <w:r w:rsidRPr="002441D8">
              <w:rPr>
                <w:rFonts w:ascii="Arial" w:hAnsi="Arial" w:cs="Arial"/>
                <w:sz w:val="14"/>
                <w:szCs w:val="14"/>
              </w:rPr>
              <w:t>24</w:t>
            </w:r>
          </w:p>
          <w:p w14:paraId="16C54247" w14:textId="77777777" w:rsidR="000E2B3F" w:rsidRPr="002441D8" w:rsidRDefault="000E2B3F" w:rsidP="000E2B3F">
            <w:pPr>
              <w:rPr>
                <w:rFonts w:ascii="Arial" w:hAnsi="Arial" w:cs="Arial"/>
                <w:sz w:val="14"/>
                <w:szCs w:val="14"/>
              </w:rPr>
            </w:pPr>
            <w:r w:rsidRPr="002441D8">
              <w:rPr>
                <w:rFonts w:ascii="Arial" w:hAnsi="Arial" w:cs="Arial"/>
                <w:sz w:val="14"/>
                <w:szCs w:val="14"/>
              </w:rPr>
              <w:t>35 years [3-63]</w:t>
            </w:r>
          </w:p>
        </w:tc>
        <w:tc>
          <w:tcPr>
            <w:tcW w:w="1134" w:type="dxa"/>
          </w:tcPr>
          <w:p w14:paraId="288C6CFE" w14:textId="77777777" w:rsidR="000E2B3F" w:rsidRPr="002441D8" w:rsidRDefault="000E2B3F" w:rsidP="000E2B3F">
            <w:pPr>
              <w:rPr>
                <w:rFonts w:ascii="Arial" w:hAnsi="Arial" w:cs="Arial"/>
                <w:sz w:val="14"/>
                <w:szCs w:val="14"/>
              </w:rPr>
            </w:pPr>
            <w:r w:rsidRPr="002441D8">
              <w:rPr>
                <w:rFonts w:ascii="Arial" w:hAnsi="Arial" w:cs="Arial"/>
                <w:sz w:val="14"/>
                <w:szCs w:val="14"/>
              </w:rPr>
              <w:t>CP1 100%</w:t>
            </w:r>
          </w:p>
        </w:tc>
        <w:tc>
          <w:tcPr>
            <w:tcW w:w="1701" w:type="dxa"/>
          </w:tcPr>
          <w:p w14:paraId="2E3E25E4" w14:textId="77777777" w:rsidR="000E2B3F" w:rsidRPr="002441D8" w:rsidRDefault="000E2B3F" w:rsidP="000E2B3F">
            <w:pPr>
              <w:rPr>
                <w:rFonts w:ascii="Arial" w:hAnsi="Arial" w:cs="Arial"/>
                <w:sz w:val="14"/>
                <w:szCs w:val="14"/>
              </w:rPr>
            </w:pPr>
            <w:r w:rsidRPr="002441D8">
              <w:rPr>
                <w:rFonts w:ascii="Arial" w:hAnsi="Arial" w:cs="Arial"/>
                <w:sz w:val="14"/>
                <w:szCs w:val="14"/>
              </w:rPr>
              <w:t>Flu/Bu ± ATG</w:t>
            </w:r>
          </w:p>
        </w:tc>
        <w:tc>
          <w:tcPr>
            <w:tcW w:w="1276" w:type="dxa"/>
          </w:tcPr>
          <w:p w14:paraId="21405899" w14:textId="77777777" w:rsidR="000E2B3F" w:rsidRPr="002441D8" w:rsidRDefault="000E2B3F" w:rsidP="000E2B3F">
            <w:pPr>
              <w:rPr>
                <w:rFonts w:ascii="Arial" w:hAnsi="Arial" w:cs="Arial"/>
                <w:sz w:val="14"/>
                <w:szCs w:val="14"/>
              </w:rPr>
            </w:pPr>
            <w:r w:rsidRPr="002441D8">
              <w:rPr>
                <w:rFonts w:ascii="Arial" w:hAnsi="Arial" w:cs="Arial"/>
                <w:sz w:val="14"/>
                <w:szCs w:val="14"/>
              </w:rPr>
              <w:t>85% at 6 years</w:t>
            </w:r>
          </w:p>
        </w:tc>
        <w:tc>
          <w:tcPr>
            <w:tcW w:w="1417" w:type="dxa"/>
          </w:tcPr>
          <w:p w14:paraId="3C93A4F9" w14:textId="77777777" w:rsidR="000E2B3F" w:rsidRPr="002441D8" w:rsidRDefault="000E2B3F" w:rsidP="000E2B3F">
            <w:pPr>
              <w:rPr>
                <w:rFonts w:ascii="Arial" w:hAnsi="Arial" w:cs="Arial"/>
                <w:sz w:val="14"/>
                <w:szCs w:val="14"/>
              </w:rPr>
            </w:pPr>
            <w:r w:rsidRPr="002441D8">
              <w:rPr>
                <w:rFonts w:ascii="Arial" w:hAnsi="Arial" w:cs="Arial"/>
                <w:sz w:val="14"/>
                <w:szCs w:val="14"/>
              </w:rPr>
              <w:t>85% at 6 years</w:t>
            </w:r>
          </w:p>
        </w:tc>
        <w:tc>
          <w:tcPr>
            <w:tcW w:w="1418" w:type="dxa"/>
          </w:tcPr>
          <w:p w14:paraId="072CB190" w14:textId="77777777" w:rsidR="000E2B3F" w:rsidRPr="002441D8" w:rsidRDefault="000E2B3F" w:rsidP="000E2B3F">
            <w:pPr>
              <w:rPr>
                <w:rFonts w:ascii="Arial" w:hAnsi="Arial" w:cs="Arial"/>
                <w:sz w:val="14"/>
                <w:szCs w:val="14"/>
              </w:rPr>
            </w:pPr>
            <w:r w:rsidRPr="002441D8">
              <w:rPr>
                <w:rFonts w:ascii="Arial" w:hAnsi="Arial" w:cs="Arial"/>
                <w:sz w:val="14"/>
                <w:szCs w:val="14"/>
              </w:rPr>
              <w:t>0% at 100d</w:t>
            </w:r>
          </w:p>
        </w:tc>
        <w:tc>
          <w:tcPr>
            <w:tcW w:w="1843" w:type="dxa"/>
          </w:tcPr>
          <w:p w14:paraId="58A49144" w14:textId="77777777" w:rsidR="000E2B3F" w:rsidRPr="002441D8" w:rsidRDefault="000E2B3F" w:rsidP="000E2B3F">
            <w:pPr>
              <w:rPr>
                <w:rFonts w:ascii="Arial" w:hAnsi="Arial" w:cs="Arial"/>
                <w:sz w:val="14"/>
                <w:szCs w:val="14"/>
              </w:rPr>
            </w:pPr>
            <w:r w:rsidRPr="002441D8">
              <w:rPr>
                <w:rFonts w:ascii="Arial" w:hAnsi="Arial" w:cs="Arial"/>
                <w:sz w:val="14"/>
                <w:szCs w:val="14"/>
              </w:rPr>
              <w:t>≥Grade I 75%, ≥ Grade III 29%</w:t>
            </w:r>
          </w:p>
        </w:tc>
        <w:tc>
          <w:tcPr>
            <w:tcW w:w="2126" w:type="dxa"/>
          </w:tcPr>
          <w:p w14:paraId="3C65C122" w14:textId="77777777" w:rsidR="000E2B3F" w:rsidRPr="002441D8" w:rsidRDefault="000E2B3F" w:rsidP="000E2B3F">
            <w:pPr>
              <w:rPr>
                <w:rFonts w:ascii="Arial" w:hAnsi="Arial" w:cs="Arial"/>
                <w:sz w:val="14"/>
                <w:szCs w:val="14"/>
              </w:rPr>
            </w:pPr>
            <w:r w:rsidRPr="002441D8">
              <w:rPr>
                <w:rFonts w:ascii="Arial" w:hAnsi="Arial" w:cs="Arial"/>
                <w:sz w:val="14"/>
                <w:szCs w:val="14"/>
              </w:rPr>
              <w:t>54% (severe 17%)</w:t>
            </w:r>
          </w:p>
        </w:tc>
      </w:tr>
      <w:tr w:rsidR="000E2B3F" w:rsidRPr="002441D8" w14:paraId="3443454E" w14:textId="77777777" w:rsidTr="000E2B3F">
        <w:tc>
          <w:tcPr>
            <w:tcW w:w="993" w:type="dxa"/>
          </w:tcPr>
          <w:p w14:paraId="251D3A04" w14:textId="77777777" w:rsidR="000E2B3F" w:rsidRPr="002441D8" w:rsidRDefault="000E2B3F" w:rsidP="000E2B3F">
            <w:pPr>
              <w:rPr>
                <w:rFonts w:ascii="Arial" w:hAnsi="Arial" w:cs="Arial"/>
                <w:sz w:val="14"/>
                <w:szCs w:val="14"/>
                <w:shd w:val="clear" w:color="auto" w:fill="FFFFFF"/>
              </w:rPr>
            </w:pPr>
            <w:r w:rsidRPr="002441D8">
              <w:rPr>
                <w:rFonts w:ascii="Arial" w:hAnsi="Arial" w:cs="Arial"/>
                <w:sz w:val="14"/>
                <w:szCs w:val="14"/>
                <w:shd w:val="clear" w:color="auto" w:fill="FFFFFF"/>
              </w:rPr>
              <w:t xml:space="preserve">Weisser </w:t>
            </w:r>
            <w:r w:rsidRPr="002441D8">
              <w:rPr>
                <w:rFonts w:ascii="Arial" w:hAnsi="Arial" w:cs="Arial"/>
                <w:i/>
                <w:sz w:val="14"/>
                <w:szCs w:val="14"/>
                <w:shd w:val="clear" w:color="auto" w:fill="FFFFFF"/>
              </w:rPr>
              <w:t>et al</w:t>
            </w:r>
            <w:r w:rsidRPr="002441D8">
              <w:rPr>
                <w:rFonts w:ascii="Arial" w:hAnsi="Arial" w:cs="Arial"/>
                <w:sz w:val="14"/>
                <w:szCs w:val="14"/>
                <w:shd w:val="clear" w:color="auto" w:fill="FFFFFF"/>
              </w:rPr>
              <w:t xml:space="preserve"> 2004</w:t>
            </w:r>
            <w:r w:rsidRPr="002441D8">
              <w:rPr>
                <w:rFonts w:ascii="Arial" w:hAnsi="Arial" w:cs="Arial"/>
                <w:sz w:val="14"/>
                <w:szCs w:val="14"/>
                <w:shd w:val="clear" w:color="auto" w:fill="FFFFFF"/>
                <w:vertAlign w:val="superscript"/>
              </w:rPr>
              <w:t>85</w:t>
            </w:r>
          </w:p>
        </w:tc>
        <w:tc>
          <w:tcPr>
            <w:tcW w:w="1276" w:type="dxa"/>
          </w:tcPr>
          <w:p w14:paraId="6D478344" w14:textId="77777777" w:rsidR="000E2B3F" w:rsidRPr="002441D8" w:rsidRDefault="000E2B3F" w:rsidP="000E2B3F">
            <w:pPr>
              <w:rPr>
                <w:rFonts w:ascii="Arial" w:hAnsi="Arial" w:cs="Arial"/>
                <w:sz w:val="14"/>
                <w:szCs w:val="14"/>
              </w:rPr>
            </w:pPr>
            <w:r w:rsidRPr="002441D8">
              <w:rPr>
                <w:rFonts w:ascii="Arial" w:hAnsi="Arial" w:cs="Arial"/>
                <w:sz w:val="14"/>
                <w:szCs w:val="14"/>
              </w:rPr>
              <w:t>35</w:t>
            </w:r>
          </w:p>
          <w:p w14:paraId="6B83C368" w14:textId="77777777" w:rsidR="000E2B3F" w:rsidRPr="002441D8" w:rsidRDefault="000E2B3F" w:rsidP="000E2B3F">
            <w:pPr>
              <w:rPr>
                <w:rFonts w:ascii="Arial" w:hAnsi="Arial" w:cs="Arial"/>
                <w:sz w:val="14"/>
                <w:szCs w:val="14"/>
              </w:rPr>
            </w:pPr>
            <w:r w:rsidRPr="002441D8">
              <w:rPr>
                <w:rFonts w:ascii="Arial" w:hAnsi="Arial" w:cs="Arial"/>
                <w:sz w:val="14"/>
                <w:szCs w:val="14"/>
              </w:rPr>
              <w:t>51 years [45-62]</w:t>
            </w:r>
          </w:p>
        </w:tc>
        <w:tc>
          <w:tcPr>
            <w:tcW w:w="1134" w:type="dxa"/>
          </w:tcPr>
          <w:p w14:paraId="38EC68CA" w14:textId="77777777" w:rsidR="000E2B3F" w:rsidRPr="002441D8" w:rsidRDefault="000E2B3F" w:rsidP="000E2B3F">
            <w:pPr>
              <w:rPr>
                <w:rFonts w:ascii="Arial" w:hAnsi="Arial" w:cs="Arial"/>
                <w:sz w:val="14"/>
                <w:szCs w:val="14"/>
              </w:rPr>
            </w:pPr>
            <w:r w:rsidRPr="002441D8">
              <w:rPr>
                <w:rFonts w:ascii="Arial" w:hAnsi="Arial" w:cs="Arial"/>
                <w:sz w:val="14"/>
                <w:szCs w:val="14"/>
              </w:rPr>
              <w:t>CP1 74%,</w:t>
            </w:r>
          </w:p>
          <w:p w14:paraId="607CD889" w14:textId="77777777" w:rsidR="000E2B3F" w:rsidRPr="002441D8" w:rsidRDefault="000E2B3F" w:rsidP="000E2B3F">
            <w:pPr>
              <w:rPr>
                <w:rFonts w:ascii="Arial" w:hAnsi="Arial" w:cs="Arial"/>
                <w:sz w:val="14"/>
                <w:szCs w:val="14"/>
              </w:rPr>
            </w:pPr>
            <w:r w:rsidRPr="002441D8">
              <w:rPr>
                <w:rFonts w:ascii="Arial" w:hAnsi="Arial" w:cs="Arial"/>
                <w:sz w:val="14"/>
                <w:szCs w:val="14"/>
              </w:rPr>
              <w:t>CP2/AP 26%</w:t>
            </w:r>
          </w:p>
        </w:tc>
        <w:tc>
          <w:tcPr>
            <w:tcW w:w="1701" w:type="dxa"/>
          </w:tcPr>
          <w:p w14:paraId="308BE0BA" w14:textId="77777777" w:rsidR="000E2B3F" w:rsidRPr="002441D8" w:rsidRDefault="000E2B3F" w:rsidP="000E2B3F">
            <w:pPr>
              <w:rPr>
                <w:rFonts w:ascii="Arial" w:hAnsi="Arial" w:cs="Arial"/>
                <w:sz w:val="14"/>
                <w:szCs w:val="14"/>
              </w:rPr>
            </w:pPr>
            <w:r w:rsidRPr="002441D8">
              <w:rPr>
                <w:rFonts w:ascii="Arial" w:hAnsi="Arial" w:cs="Arial"/>
                <w:sz w:val="14"/>
                <w:szCs w:val="14"/>
              </w:rPr>
              <w:t>8Gy TBI/Flu/Cyclo/ATG</w:t>
            </w:r>
          </w:p>
        </w:tc>
        <w:tc>
          <w:tcPr>
            <w:tcW w:w="1276" w:type="dxa"/>
          </w:tcPr>
          <w:p w14:paraId="01391B10" w14:textId="77777777" w:rsidR="000E2B3F" w:rsidRPr="002441D8" w:rsidRDefault="000E2B3F" w:rsidP="000E2B3F">
            <w:pPr>
              <w:rPr>
                <w:rFonts w:ascii="Arial" w:hAnsi="Arial" w:cs="Arial"/>
                <w:sz w:val="14"/>
                <w:szCs w:val="14"/>
              </w:rPr>
            </w:pPr>
            <w:r w:rsidRPr="002441D8">
              <w:rPr>
                <w:rFonts w:ascii="Arial" w:hAnsi="Arial" w:cs="Arial"/>
                <w:sz w:val="14"/>
                <w:szCs w:val="14"/>
              </w:rPr>
              <w:t>LFS 49% at 30 months</w:t>
            </w:r>
          </w:p>
        </w:tc>
        <w:tc>
          <w:tcPr>
            <w:tcW w:w="1417" w:type="dxa"/>
          </w:tcPr>
          <w:p w14:paraId="06CFDFFA" w14:textId="77777777" w:rsidR="000E2B3F" w:rsidRPr="002441D8" w:rsidRDefault="000E2B3F" w:rsidP="000E2B3F">
            <w:pPr>
              <w:rPr>
                <w:rFonts w:ascii="Arial" w:hAnsi="Arial" w:cs="Arial"/>
                <w:sz w:val="14"/>
                <w:szCs w:val="14"/>
              </w:rPr>
            </w:pPr>
            <w:r w:rsidRPr="002441D8">
              <w:rPr>
                <w:rFonts w:ascii="Arial" w:hAnsi="Arial" w:cs="Arial"/>
                <w:sz w:val="14"/>
                <w:szCs w:val="14"/>
              </w:rPr>
              <w:t>69% at 2 years, 59% at 5 years</w:t>
            </w:r>
          </w:p>
        </w:tc>
        <w:tc>
          <w:tcPr>
            <w:tcW w:w="1418" w:type="dxa"/>
          </w:tcPr>
          <w:p w14:paraId="6FD01EE9" w14:textId="77777777" w:rsidR="000E2B3F" w:rsidRPr="002441D8" w:rsidRDefault="000E2B3F" w:rsidP="000E2B3F">
            <w:pPr>
              <w:rPr>
                <w:rFonts w:ascii="Arial" w:hAnsi="Arial" w:cs="Arial"/>
                <w:sz w:val="14"/>
                <w:szCs w:val="14"/>
              </w:rPr>
            </w:pPr>
            <w:r w:rsidRPr="002441D8">
              <w:rPr>
                <w:rFonts w:ascii="Arial" w:hAnsi="Arial" w:cs="Arial"/>
                <w:sz w:val="14"/>
                <w:szCs w:val="14"/>
              </w:rPr>
              <w:t>11% at 100d, 28% at 1 year</w:t>
            </w:r>
          </w:p>
        </w:tc>
        <w:tc>
          <w:tcPr>
            <w:tcW w:w="1843" w:type="dxa"/>
          </w:tcPr>
          <w:p w14:paraId="1E3EB29E" w14:textId="77777777" w:rsidR="000E2B3F" w:rsidRPr="002441D8" w:rsidRDefault="000E2B3F" w:rsidP="000E2B3F">
            <w:pPr>
              <w:spacing w:line="360" w:lineRule="auto"/>
              <w:rPr>
                <w:rFonts w:ascii="Arial" w:hAnsi="Arial" w:cs="Arial"/>
                <w:sz w:val="14"/>
                <w:szCs w:val="14"/>
              </w:rPr>
            </w:pPr>
            <w:r w:rsidRPr="002441D8">
              <w:rPr>
                <w:rFonts w:ascii="Arial" w:hAnsi="Arial" w:cs="Arial"/>
                <w:sz w:val="14"/>
                <w:szCs w:val="14"/>
              </w:rPr>
              <w:t>48%</w:t>
            </w:r>
          </w:p>
        </w:tc>
        <w:tc>
          <w:tcPr>
            <w:tcW w:w="2126" w:type="dxa"/>
          </w:tcPr>
          <w:p w14:paraId="66570AB9" w14:textId="77777777" w:rsidR="000E2B3F" w:rsidRPr="002441D8" w:rsidRDefault="000E2B3F" w:rsidP="000E2B3F">
            <w:pPr>
              <w:rPr>
                <w:rFonts w:ascii="Arial" w:hAnsi="Arial" w:cs="Arial"/>
                <w:sz w:val="14"/>
                <w:szCs w:val="14"/>
              </w:rPr>
            </w:pPr>
            <w:r w:rsidRPr="002441D8">
              <w:rPr>
                <w:rFonts w:ascii="Arial" w:hAnsi="Arial" w:cs="Arial"/>
                <w:sz w:val="14"/>
                <w:szCs w:val="14"/>
              </w:rPr>
              <w:t>23% extensive</w:t>
            </w:r>
          </w:p>
        </w:tc>
      </w:tr>
      <w:tr w:rsidR="000E2B3F" w:rsidRPr="002441D8" w14:paraId="366B5E0C" w14:textId="77777777" w:rsidTr="000E2B3F">
        <w:tc>
          <w:tcPr>
            <w:tcW w:w="993" w:type="dxa"/>
          </w:tcPr>
          <w:p w14:paraId="13C6A2F8" w14:textId="77777777" w:rsidR="000E2B3F" w:rsidRPr="002441D8" w:rsidRDefault="000E2B3F" w:rsidP="000E2B3F">
            <w:pPr>
              <w:rPr>
                <w:rFonts w:ascii="Arial" w:hAnsi="Arial" w:cs="Arial"/>
                <w:sz w:val="14"/>
                <w:szCs w:val="14"/>
              </w:rPr>
            </w:pPr>
            <w:r w:rsidRPr="002441D8">
              <w:rPr>
                <w:rFonts w:ascii="Arial" w:hAnsi="Arial" w:cs="Arial"/>
                <w:sz w:val="14"/>
                <w:szCs w:val="14"/>
              </w:rPr>
              <w:t xml:space="preserve">Crawley </w:t>
            </w:r>
            <w:r w:rsidRPr="002441D8">
              <w:rPr>
                <w:rFonts w:ascii="Arial" w:hAnsi="Arial" w:cs="Arial"/>
                <w:i/>
                <w:sz w:val="14"/>
                <w:szCs w:val="14"/>
              </w:rPr>
              <w:t>et al</w:t>
            </w:r>
            <w:r w:rsidRPr="002441D8">
              <w:rPr>
                <w:rFonts w:ascii="Arial" w:hAnsi="Arial" w:cs="Arial"/>
                <w:sz w:val="14"/>
                <w:szCs w:val="14"/>
              </w:rPr>
              <w:t xml:space="preserve"> 2005</w:t>
            </w:r>
            <w:r w:rsidRPr="002441D8">
              <w:rPr>
                <w:rFonts w:ascii="Arial" w:hAnsi="Arial" w:cs="Arial"/>
                <w:sz w:val="14"/>
                <w:szCs w:val="14"/>
                <w:vertAlign w:val="superscript"/>
              </w:rPr>
              <w:t>81</w:t>
            </w:r>
            <w:r w:rsidRPr="002441D8">
              <w:rPr>
                <w:rFonts w:ascii="Arial" w:hAnsi="Arial" w:cs="Arial"/>
                <w:sz w:val="14"/>
                <w:szCs w:val="14"/>
              </w:rPr>
              <w:t xml:space="preserve"> </w:t>
            </w:r>
          </w:p>
        </w:tc>
        <w:tc>
          <w:tcPr>
            <w:tcW w:w="1276" w:type="dxa"/>
          </w:tcPr>
          <w:p w14:paraId="4666D192" w14:textId="77777777" w:rsidR="000E2B3F" w:rsidRPr="002441D8" w:rsidRDefault="000E2B3F">
            <w:pPr>
              <w:rPr>
                <w:rFonts w:ascii="Arial" w:hAnsi="Arial" w:cs="Arial"/>
                <w:sz w:val="14"/>
                <w:szCs w:val="14"/>
              </w:rPr>
            </w:pPr>
            <w:r w:rsidRPr="002441D8">
              <w:rPr>
                <w:rFonts w:ascii="Arial" w:hAnsi="Arial" w:cs="Arial"/>
                <w:sz w:val="14"/>
                <w:szCs w:val="14"/>
              </w:rPr>
              <w:t xml:space="preserve">186 / </w:t>
            </w:r>
          </w:p>
          <w:p w14:paraId="7182A0D5" w14:textId="77777777" w:rsidR="000E2B3F" w:rsidRPr="002441D8" w:rsidRDefault="000E2B3F">
            <w:pPr>
              <w:rPr>
                <w:rFonts w:ascii="Arial" w:hAnsi="Arial" w:cs="Arial"/>
                <w:sz w:val="14"/>
                <w:szCs w:val="14"/>
              </w:rPr>
            </w:pPr>
            <w:r w:rsidRPr="002441D8">
              <w:rPr>
                <w:rFonts w:ascii="Arial" w:hAnsi="Arial" w:cs="Arial"/>
                <w:sz w:val="14"/>
                <w:szCs w:val="14"/>
              </w:rPr>
              <w:t>50 years [17-64]</w:t>
            </w:r>
          </w:p>
        </w:tc>
        <w:tc>
          <w:tcPr>
            <w:tcW w:w="1134" w:type="dxa"/>
          </w:tcPr>
          <w:p w14:paraId="3B610091" w14:textId="77777777" w:rsidR="000E2B3F" w:rsidRPr="002441D8" w:rsidRDefault="000E2B3F">
            <w:pPr>
              <w:rPr>
                <w:rFonts w:ascii="Arial" w:hAnsi="Arial" w:cs="Arial"/>
                <w:sz w:val="14"/>
                <w:szCs w:val="14"/>
              </w:rPr>
            </w:pPr>
            <w:r w:rsidRPr="002441D8">
              <w:rPr>
                <w:rFonts w:ascii="Arial" w:hAnsi="Arial" w:cs="Arial"/>
                <w:sz w:val="14"/>
                <w:szCs w:val="14"/>
              </w:rPr>
              <w:t>CP1 64%,</w:t>
            </w:r>
          </w:p>
          <w:p w14:paraId="135F97D1" w14:textId="77777777" w:rsidR="000E2B3F" w:rsidRPr="002441D8" w:rsidRDefault="000E2B3F">
            <w:pPr>
              <w:rPr>
                <w:rFonts w:ascii="Arial" w:hAnsi="Arial" w:cs="Arial"/>
                <w:sz w:val="14"/>
                <w:szCs w:val="14"/>
              </w:rPr>
            </w:pPr>
            <w:r w:rsidRPr="002441D8">
              <w:rPr>
                <w:rFonts w:ascii="Arial" w:hAnsi="Arial" w:cs="Arial"/>
                <w:sz w:val="14"/>
                <w:szCs w:val="14"/>
              </w:rPr>
              <w:t>CP2 12%,</w:t>
            </w:r>
          </w:p>
          <w:p w14:paraId="554FD7EF" w14:textId="77777777" w:rsidR="000E2B3F" w:rsidRPr="002441D8" w:rsidRDefault="000E2B3F">
            <w:pPr>
              <w:rPr>
                <w:rFonts w:ascii="Arial" w:hAnsi="Arial" w:cs="Arial"/>
                <w:sz w:val="14"/>
                <w:szCs w:val="14"/>
              </w:rPr>
            </w:pPr>
            <w:r w:rsidRPr="002441D8">
              <w:rPr>
                <w:rFonts w:ascii="Arial" w:hAnsi="Arial" w:cs="Arial"/>
                <w:sz w:val="14"/>
                <w:szCs w:val="14"/>
              </w:rPr>
              <w:t>AP 17%,</w:t>
            </w:r>
          </w:p>
          <w:p w14:paraId="731BCFB3" w14:textId="77777777" w:rsidR="000E2B3F" w:rsidRPr="002441D8" w:rsidRDefault="000E2B3F">
            <w:pPr>
              <w:rPr>
                <w:rFonts w:ascii="Arial" w:hAnsi="Arial" w:cs="Arial"/>
                <w:sz w:val="14"/>
                <w:szCs w:val="14"/>
              </w:rPr>
            </w:pPr>
            <w:r w:rsidRPr="002441D8">
              <w:rPr>
                <w:rFonts w:ascii="Arial" w:hAnsi="Arial" w:cs="Arial"/>
                <w:sz w:val="14"/>
                <w:szCs w:val="14"/>
              </w:rPr>
              <w:t>BC 6%</w:t>
            </w:r>
          </w:p>
        </w:tc>
        <w:tc>
          <w:tcPr>
            <w:tcW w:w="1701" w:type="dxa"/>
          </w:tcPr>
          <w:p w14:paraId="0CFC0B1A" w14:textId="77777777" w:rsidR="000E2B3F" w:rsidRPr="002441D8" w:rsidRDefault="000E2B3F">
            <w:pPr>
              <w:rPr>
                <w:rFonts w:ascii="Arial" w:hAnsi="Arial" w:cs="Arial"/>
                <w:sz w:val="14"/>
                <w:szCs w:val="14"/>
              </w:rPr>
            </w:pPr>
            <w:r w:rsidRPr="002441D8">
              <w:rPr>
                <w:rFonts w:ascii="Arial" w:hAnsi="Arial" w:cs="Arial"/>
                <w:sz w:val="14"/>
                <w:szCs w:val="14"/>
              </w:rPr>
              <w:t>Mixed reduced intensity</w:t>
            </w:r>
          </w:p>
        </w:tc>
        <w:tc>
          <w:tcPr>
            <w:tcW w:w="1276" w:type="dxa"/>
          </w:tcPr>
          <w:p w14:paraId="3C42AEB3" w14:textId="77777777" w:rsidR="000E2B3F" w:rsidRPr="002441D8" w:rsidRDefault="000E2B3F">
            <w:pPr>
              <w:rPr>
                <w:rFonts w:ascii="Arial" w:hAnsi="Arial" w:cs="Arial"/>
                <w:sz w:val="14"/>
                <w:szCs w:val="14"/>
              </w:rPr>
            </w:pPr>
            <w:r w:rsidRPr="002441D8">
              <w:rPr>
                <w:rFonts w:ascii="Arial" w:hAnsi="Arial" w:cs="Arial"/>
                <w:sz w:val="14"/>
                <w:szCs w:val="14"/>
              </w:rPr>
              <w:t>37% at 3 years</w:t>
            </w:r>
          </w:p>
        </w:tc>
        <w:tc>
          <w:tcPr>
            <w:tcW w:w="1417" w:type="dxa"/>
          </w:tcPr>
          <w:p w14:paraId="6534E317" w14:textId="77777777" w:rsidR="000E2B3F" w:rsidRPr="002441D8" w:rsidRDefault="000E2B3F">
            <w:pPr>
              <w:rPr>
                <w:rFonts w:ascii="Arial" w:hAnsi="Arial" w:cs="Arial"/>
                <w:sz w:val="14"/>
                <w:szCs w:val="14"/>
              </w:rPr>
            </w:pPr>
            <w:r w:rsidRPr="002441D8">
              <w:rPr>
                <w:rFonts w:ascii="Arial" w:hAnsi="Arial" w:cs="Arial"/>
                <w:sz w:val="14"/>
                <w:szCs w:val="14"/>
              </w:rPr>
              <w:t>58% at 3 years</w:t>
            </w:r>
          </w:p>
        </w:tc>
        <w:tc>
          <w:tcPr>
            <w:tcW w:w="1418" w:type="dxa"/>
          </w:tcPr>
          <w:p w14:paraId="38F8CFEF" w14:textId="77777777" w:rsidR="000E2B3F" w:rsidRPr="002441D8" w:rsidRDefault="000E2B3F">
            <w:pPr>
              <w:rPr>
                <w:rFonts w:ascii="Arial" w:hAnsi="Arial" w:cs="Arial"/>
                <w:sz w:val="14"/>
                <w:szCs w:val="14"/>
              </w:rPr>
            </w:pPr>
            <w:r w:rsidRPr="002441D8">
              <w:rPr>
                <w:rFonts w:ascii="Arial" w:hAnsi="Arial" w:cs="Arial"/>
                <w:sz w:val="14"/>
                <w:szCs w:val="14"/>
              </w:rPr>
              <w:t>11.6% at 1 year, 23.3% at 2 years</w:t>
            </w:r>
          </w:p>
        </w:tc>
        <w:tc>
          <w:tcPr>
            <w:tcW w:w="1843" w:type="dxa"/>
          </w:tcPr>
          <w:p w14:paraId="3C4DD0DA" w14:textId="77777777" w:rsidR="000E2B3F" w:rsidRPr="002441D8" w:rsidRDefault="000E2B3F">
            <w:pPr>
              <w:rPr>
                <w:rFonts w:ascii="Arial" w:hAnsi="Arial" w:cs="Arial"/>
                <w:sz w:val="14"/>
                <w:szCs w:val="14"/>
              </w:rPr>
            </w:pPr>
            <w:r w:rsidRPr="002441D8">
              <w:rPr>
                <w:rFonts w:ascii="Arial" w:hAnsi="Arial" w:cs="Arial"/>
                <w:sz w:val="14"/>
                <w:szCs w:val="14"/>
              </w:rPr>
              <w:t>32%</w:t>
            </w:r>
          </w:p>
        </w:tc>
        <w:tc>
          <w:tcPr>
            <w:tcW w:w="2126" w:type="dxa"/>
          </w:tcPr>
          <w:p w14:paraId="10520A8C" w14:textId="77777777" w:rsidR="000E2B3F" w:rsidRPr="002441D8" w:rsidRDefault="000E2B3F">
            <w:pPr>
              <w:rPr>
                <w:rFonts w:ascii="Arial" w:hAnsi="Arial" w:cs="Arial"/>
                <w:sz w:val="14"/>
                <w:szCs w:val="14"/>
              </w:rPr>
            </w:pPr>
            <w:r w:rsidRPr="002441D8">
              <w:rPr>
                <w:rFonts w:ascii="Arial" w:hAnsi="Arial" w:cs="Arial"/>
                <w:sz w:val="14"/>
                <w:szCs w:val="14"/>
              </w:rPr>
              <w:t>43% (24%)</w:t>
            </w:r>
          </w:p>
        </w:tc>
      </w:tr>
      <w:tr w:rsidR="000E2B3F" w:rsidRPr="002441D8" w14:paraId="66544EA4" w14:textId="77777777" w:rsidTr="000E2B3F">
        <w:tc>
          <w:tcPr>
            <w:tcW w:w="993" w:type="dxa"/>
          </w:tcPr>
          <w:p w14:paraId="5003CD3F" w14:textId="77777777" w:rsidR="000E2B3F" w:rsidRPr="002441D8" w:rsidRDefault="000E2B3F" w:rsidP="000E2B3F">
            <w:pPr>
              <w:rPr>
                <w:rFonts w:ascii="Arial" w:hAnsi="Arial" w:cs="Arial"/>
                <w:sz w:val="14"/>
                <w:szCs w:val="14"/>
              </w:rPr>
            </w:pPr>
            <w:r w:rsidRPr="002441D8">
              <w:rPr>
                <w:rFonts w:ascii="Arial" w:hAnsi="Arial" w:cs="Arial"/>
                <w:sz w:val="14"/>
                <w:szCs w:val="14"/>
                <w:shd w:val="clear" w:color="auto" w:fill="FFFFFF"/>
              </w:rPr>
              <w:t xml:space="preserve">Kerbauy </w:t>
            </w:r>
            <w:r w:rsidRPr="002441D8">
              <w:rPr>
                <w:rFonts w:ascii="Arial" w:hAnsi="Arial" w:cs="Arial"/>
                <w:i/>
                <w:sz w:val="14"/>
                <w:szCs w:val="14"/>
                <w:shd w:val="clear" w:color="auto" w:fill="FFFFFF"/>
              </w:rPr>
              <w:t>et al</w:t>
            </w:r>
            <w:r w:rsidRPr="002441D8">
              <w:rPr>
                <w:rFonts w:ascii="Arial" w:hAnsi="Arial" w:cs="Arial"/>
                <w:sz w:val="14"/>
                <w:szCs w:val="14"/>
                <w:shd w:val="clear" w:color="auto" w:fill="FFFFFF"/>
              </w:rPr>
              <w:t xml:space="preserve"> 2005</w:t>
            </w:r>
            <w:r w:rsidRPr="002441D8">
              <w:rPr>
                <w:rFonts w:ascii="Arial" w:hAnsi="Arial" w:cs="Arial"/>
                <w:sz w:val="14"/>
                <w:szCs w:val="14"/>
                <w:shd w:val="clear" w:color="auto" w:fill="FFFFFF"/>
                <w:vertAlign w:val="superscript"/>
              </w:rPr>
              <w:t>86</w:t>
            </w:r>
          </w:p>
        </w:tc>
        <w:tc>
          <w:tcPr>
            <w:tcW w:w="1276" w:type="dxa"/>
          </w:tcPr>
          <w:p w14:paraId="3CE5D064" w14:textId="77777777" w:rsidR="000E2B3F" w:rsidRPr="002441D8" w:rsidRDefault="000E2B3F" w:rsidP="000E2B3F">
            <w:pPr>
              <w:rPr>
                <w:rFonts w:ascii="Arial" w:hAnsi="Arial" w:cs="Arial"/>
                <w:sz w:val="14"/>
                <w:szCs w:val="14"/>
              </w:rPr>
            </w:pPr>
            <w:r w:rsidRPr="002441D8">
              <w:rPr>
                <w:rFonts w:ascii="Arial" w:hAnsi="Arial" w:cs="Arial"/>
                <w:sz w:val="14"/>
                <w:szCs w:val="14"/>
              </w:rPr>
              <w:t>24 /</w:t>
            </w:r>
          </w:p>
          <w:p w14:paraId="57785263" w14:textId="77777777" w:rsidR="000E2B3F" w:rsidRPr="002441D8" w:rsidRDefault="000E2B3F" w:rsidP="000E2B3F">
            <w:pPr>
              <w:rPr>
                <w:rFonts w:ascii="Arial" w:hAnsi="Arial" w:cs="Arial"/>
                <w:sz w:val="14"/>
                <w:szCs w:val="14"/>
              </w:rPr>
            </w:pPr>
            <w:r w:rsidRPr="002441D8">
              <w:rPr>
                <w:rFonts w:ascii="Arial" w:hAnsi="Arial" w:cs="Arial"/>
                <w:sz w:val="14"/>
                <w:szCs w:val="14"/>
              </w:rPr>
              <w:t>58 years [27-71]</w:t>
            </w:r>
          </w:p>
        </w:tc>
        <w:tc>
          <w:tcPr>
            <w:tcW w:w="1134" w:type="dxa"/>
          </w:tcPr>
          <w:p w14:paraId="3DFD736F" w14:textId="77777777" w:rsidR="000E2B3F" w:rsidRPr="002441D8" w:rsidRDefault="000E2B3F" w:rsidP="000E2B3F">
            <w:pPr>
              <w:rPr>
                <w:rFonts w:ascii="Arial" w:hAnsi="Arial" w:cs="Arial"/>
                <w:sz w:val="14"/>
                <w:szCs w:val="14"/>
              </w:rPr>
            </w:pPr>
            <w:r w:rsidRPr="002441D8">
              <w:rPr>
                <w:rFonts w:ascii="Arial" w:hAnsi="Arial" w:cs="Arial"/>
                <w:sz w:val="14"/>
                <w:szCs w:val="14"/>
              </w:rPr>
              <w:t>CP1 58%,</w:t>
            </w:r>
          </w:p>
          <w:p w14:paraId="3F425080" w14:textId="77777777" w:rsidR="000E2B3F" w:rsidRPr="002441D8" w:rsidRDefault="000E2B3F" w:rsidP="000E2B3F">
            <w:pPr>
              <w:rPr>
                <w:rFonts w:ascii="Arial" w:hAnsi="Arial" w:cs="Arial"/>
                <w:sz w:val="14"/>
                <w:szCs w:val="14"/>
              </w:rPr>
            </w:pPr>
            <w:r w:rsidRPr="002441D8">
              <w:rPr>
                <w:rFonts w:ascii="Arial" w:hAnsi="Arial" w:cs="Arial"/>
                <w:sz w:val="14"/>
                <w:szCs w:val="14"/>
              </w:rPr>
              <w:t>CP2 17%,</w:t>
            </w:r>
          </w:p>
          <w:p w14:paraId="6E171CE8" w14:textId="77777777" w:rsidR="000E2B3F" w:rsidRPr="002441D8" w:rsidRDefault="000E2B3F" w:rsidP="000E2B3F">
            <w:pPr>
              <w:rPr>
                <w:rFonts w:ascii="Arial" w:hAnsi="Arial" w:cs="Arial"/>
                <w:sz w:val="14"/>
                <w:szCs w:val="14"/>
              </w:rPr>
            </w:pPr>
            <w:r w:rsidRPr="002441D8">
              <w:rPr>
                <w:rFonts w:ascii="Arial" w:hAnsi="Arial" w:cs="Arial"/>
                <w:sz w:val="14"/>
                <w:szCs w:val="14"/>
              </w:rPr>
              <w:t>AP 25%</w:t>
            </w:r>
          </w:p>
        </w:tc>
        <w:tc>
          <w:tcPr>
            <w:tcW w:w="1701" w:type="dxa"/>
          </w:tcPr>
          <w:p w14:paraId="07BCEB64" w14:textId="77777777" w:rsidR="000E2B3F" w:rsidRPr="002441D8" w:rsidRDefault="000E2B3F" w:rsidP="000E2B3F">
            <w:pPr>
              <w:rPr>
                <w:rFonts w:ascii="Arial" w:hAnsi="Arial" w:cs="Arial"/>
                <w:sz w:val="14"/>
                <w:szCs w:val="14"/>
              </w:rPr>
            </w:pPr>
            <w:r w:rsidRPr="002441D8">
              <w:rPr>
                <w:rFonts w:ascii="Arial" w:hAnsi="Arial" w:cs="Arial"/>
                <w:sz w:val="14"/>
                <w:szCs w:val="14"/>
              </w:rPr>
              <w:t>2Gy TBI 33%,</w:t>
            </w:r>
          </w:p>
          <w:p w14:paraId="759F1F96" w14:textId="77777777" w:rsidR="000E2B3F" w:rsidRPr="002441D8" w:rsidRDefault="000E2B3F" w:rsidP="000E2B3F">
            <w:pPr>
              <w:rPr>
                <w:rFonts w:ascii="Arial" w:hAnsi="Arial" w:cs="Arial"/>
                <w:sz w:val="14"/>
                <w:szCs w:val="14"/>
              </w:rPr>
            </w:pPr>
            <w:r w:rsidRPr="002441D8">
              <w:rPr>
                <w:rFonts w:ascii="Arial" w:hAnsi="Arial" w:cs="Arial"/>
                <w:sz w:val="14"/>
                <w:szCs w:val="14"/>
              </w:rPr>
              <w:t>2Gy TBI/Flu 67%</w:t>
            </w:r>
          </w:p>
        </w:tc>
        <w:tc>
          <w:tcPr>
            <w:tcW w:w="1276" w:type="dxa"/>
          </w:tcPr>
          <w:p w14:paraId="748BA989" w14:textId="77777777" w:rsidR="000E2B3F" w:rsidRPr="002441D8" w:rsidRDefault="000E2B3F" w:rsidP="000E2B3F">
            <w:pPr>
              <w:rPr>
                <w:rFonts w:ascii="Arial" w:hAnsi="Arial" w:cs="Arial"/>
                <w:sz w:val="14"/>
                <w:szCs w:val="14"/>
              </w:rPr>
            </w:pPr>
            <w:r w:rsidRPr="002441D8">
              <w:rPr>
                <w:rFonts w:ascii="Arial" w:hAnsi="Arial" w:cs="Arial"/>
                <w:sz w:val="14"/>
                <w:szCs w:val="14"/>
              </w:rPr>
              <w:t>68% 2 year for TBI/Flu</w:t>
            </w:r>
          </w:p>
        </w:tc>
        <w:tc>
          <w:tcPr>
            <w:tcW w:w="1417" w:type="dxa"/>
          </w:tcPr>
          <w:p w14:paraId="2CF3EA47" w14:textId="77777777" w:rsidR="000E2B3F" w:rsidRPr="002441D8" w:rsidRDefault="000E2B3F" w:rsidP="000E2B3F">
            <w:pPr>
              <w:rPr>
                <w:rFonts w:ascii="Arial" w:hAnsi="Arial" w:cs="Arial"/>
                <w:sz w:val="14"/>
                <w:szCs w:val="14"/>
              </w:rPr>
            </w:pPr>
            <w:r w:rsidRPr="002441D8">
              <w:rPr>
                <w:rFonts w:ascii="Arial" w:hAnsi="Arial" w:cs="Arial"/>
                <w:sz w:val="14"/>
                <w:szCs w:val="14"/>
              </w:rPr>
              <w:t>70% at 2 years for CP1</w:t>
            </w:r>
          </w:p>
          <w:p w14:paraId="246F62DD" w14:textId="77777777" w:rsidR="000E2B3F" w:rsidRPr="002441D8" w:rsidRDefault="000E2B3F" w:rsidP="000E2B3F">
            <w:pPr>
              <w:rPr>
                <w:rFonts w:ascii="Arial" w:hAnsi="Arial" w:cs="Arial"/>
                <w:sz w:val="14"/>
                <w:szCs w:val="14"/>
              </w:rPr>
            </w:pPr>
          </w:p>
          <w:p w14:paraId="60306D2F" w14:textId="77777777" w:rsidR="000E2B3F" w:rsidRPr="002441D8" w:rsidRDefault="000E2B3F" w:rsidP="000E2B3F">
            <w:pPr>
              <w:rPr>
                <w:rFonts w:ascii="Arial" w:hAnsi="Arial" w:cs="Arial"/>
                <w:sz w:val="14"/>
                <w:szCs w:val="14"/>
              </w:rPr>
            </w:pPr>
            <w:r w:rsidRPr="002441D8">
              <w:rPr>
                <w:rFonts w:ascii="Arial" w:hAnsi="Arial" w:cs="Arial"/>
                <w:sz w:val="14"/>
                <w:szCs w:val="14"/>
              </w:rPr>
              <w:t>56% at 2 years for &gt;CP1</w:t>
            </w:r>
          </w:p>
        </w:tc>
        <w:tc>
          <w:tcPr>
            <w:tcW w:w="1418" w:type="dxa"/>
          </w:tcPr>
          <w:p w14:paraId="3CD9870E" w14:textId="77777777" w:rsidR="000E2B3F" w:rsidRPr="002441D8" w:rsidRDefault="000E2B3F" w:rsidP="000E2B3F">
            <w:pPr>
              <w:rPr>
                <w:rFonts w:ascii="Arial" w:hAnsi="Arial" w:cs="Arial"/>
                <w:sz w:val="14"/>
                <w:szCs w:val="14"/>
              </w:rPr>
            </w:pPr>
            <w:r w:rsidRPr="002441D8">
              <w:rPr>
                <w:rFonts w:ascii="Arial" w:hAnsi="Arial" w:cs="Arial"/>
                <w:sz w:val="14"/>
                <w:szCs w:val="14"/>
              </w:rPr>
              <w:t>15% NRM at 2 years for CP1</w:t>
            </w:r>
          </w:p>
          <w:p w14:paraId="001EFBE8" w14:textId="77777777" w:rsidR="000E2B3F" w:rsidRPr="002441D8" w:rsidRDefault="000E2B3F" w:rsidP="000E2B3F">
            <w:pPr>
              <w:rPr>
                <w:rFonts w:ascii="Arial" w:hAnsi="Arial" w:cs="Arial"/>
                <w:sz w:val="14"/>
                <w:szCs w:val="14"/>
              </w:rPr>
            </w:pPr>
          </w:p>
          <w:p w14:paraId="3FB2A243" w14:textId="77777777" w:rsidR="000E2B3F" w:rsidRPr="002441D8" w:rsidRDefault="000E2B3F" w:rsidP="000E2B3F">
            <w:pPr>
              <w:rPr>
                <w:rFonts w:ascii="Arial" w:hAnsi="Arial" w:cs="Arial"/>
                <w:sz w:val="14"/>
                <w:szCs w:val="14"/>
              </w:rPr>
            </w:pPr>
            <w:r w:rsidRPr="002441D8">
              <w:rPr>
                <w:rFonts w:ascii="Arial" w:hAnsi="Arial" w:cs="Arial"/>
                <w:sz w:val="14"/>
                <w:szCs w:val="14"/>
              </w:rPr>
              <w:t>12% NRM at 2 years for &gt;CP1</w:t>
            </w:r>
          </w:p>
          <w:p w14:paraId="4307B9E9" w14:textId="77777777" w:rsidR="000E2B3F" w:rsidRPr="002441D8" w:rsidRDefault="000E2B3F" w:rsidP="000E2B3F">
            <w:pPr>
              <w:rPr>
                <w:rFonts w:ascii="Arial" w:hAnsi="Arial" w:cs="Arial"/>
                <w:sz w:val="14"/>
                <w:szCs w:val="14"/>
              </w:rPr>
            </w:pPr>
          </w:p>
        </w:tc>
        <w:tc>
          <w:tcPr>
            <w:tcW w:w="1843" w:type="dxa"/>
          </w:tcPr>
          <w:p w14:paraId="1A73F225" w14:textId="77777777" w:rsidR="000E2B3F" w:rsidRPr="002441D8" w:rsidRDefault="000E2B3F" w:rsidP="000E2B3F">
            <w:pPr>
              <w:rPr>
                <w:rFonts w:ascii="Arial" w:hAnsi="Arial" w:cs="Arial"/>
                <w:sz w:val="14"/>
                <w:szCs w:val="14"/>
              </w:rPr>
            </w:pPr>
            <w:r w:rsidRPr="002441D8">
              <w:rPr>
                <w:rFonts w:ascii="Arial" w:hAnsi="Arial" w:cs="Arial"/>
                <w:sz w:val="14"/>
                <w:szCs w:val="14"/>
              </w:rPr>
              <w:t>50%</w:t>
            </w:r>
          </w:p>
        </w:tc>
        <w:tc>
          <w:tcPr>
            <w:tcW w:w="2126" w:type="dxa"/>
          </w:tcPr>
          <w:p w14:paraId="6D1D2864" w14:textId="77777777" w:rsidR="000E2B3F" w:rsidRPr="002441D8" w:rsidRDefault="000E2B3F" w:rsidP="000E2B3F">
            <w:pPr>
              <w:rPr>
                <w:rFonts w:ascii="Arial" w:hAnsi="Arial" w:cs="Arial"/>
                <w:sz w:val="14"/>
                <w:szCs w:val="14"/>
              </w:rPr>
            </w:pPr>
            <w:r w:rsidRPr="002441D8">
              <w:rPr>
                <w:rFonts w:ascii="Arial" w:hAnsi="Arial" w:cs="Arial"/>
                <w:sz w:val="14"/>
                <w:szCs w:val="14"/>
              </w:rPr>
              <w:t>38% (29%)</w:t>
            </w:r>
          </w:p>
          <w:p w14:paraId="12A371F4" w14:textId="77777777" w:rsidR="000E2B3F" w:rsidRPr="002441D8" w:rsidRDefault="000E2B3F" w:rsidP="000E2B3F">
            <w:pPr>
              <w:rPr>
                <w:rFonts w:ascii="Arial" w:hAnsi="Arial" w:cs="Arial"/>
                <w:sz w:val="14"/>
                <w:szCs w:val="14"/>
              </w:rPr>
            </w:pPr>
          </w:p>
          <w:p w14:paraId="2357473A" w14:textId="77777777" w:rsidR="000E2B3F" w:rsidRPr="002441D8" w:rsidRDefault="000E2B3F" w:rsidP="000E2B3F">
            <w:pPr>
              <w:rPr>
                <w:rFonts w:ascii="Arial" w:hAnsi="Arial" w:cs="Arial"/>
                <w:sz w:val="14"/>
                <w:szCs w:val="14"/>
              </w:rPr>
            </w:pPr>
            <w:r w:rsidRPr="002441D8">
              <w:rPr>
                <w:rFonts w:ascii="Arial" w:hAnsi="Arial" w:cs="Arial"/>
                <w:sz w:val="14"/>
                <w:szCs w:val="14"/>
              </w:rPr>
              <w:t>2 year estimated CI of chronic extensive 32%</w:t>
            </w:r>
          </w:p>
        </w:tc>
      </w:tr>
      <w:tr w:rsidR="000E2B3F" w:rsidRPr="002441D8" w14:paraId="28BAE941" w14:textId="77777777" w:rsidTr="000E2B3F">
        <w:tc>
          <w:tcPr>
            <w:tcW w:w="993" w:type="dxa"/>
          </w:tcPr>
          <w:p w14:paraId="4B59C9DC" w14:textId="77777777" w:rsidR="000E2B3F" w:rsidRPr="002441D8" w:rsidRDefault="000E2B3F" w:rsidP="000E2B3F">
            <w:pPr>
              <w:rPr>
                <w:rFonts w:ascii="Arial" w:hAnsi="Arial" w:cs="Arial"/>
                <w:sz w:val="14"/>
                <w:szCs w:val="14"/>
                <w:shd w:val="clear" w:color="auto" w:fill="FFFFFF"/>
              </w:rPr>
            </w:pPr>
            <w:r w:rsidRPr="002441D8">
              <w:rPr>
                <w:rFonts w:ascii="Arial" w:hAnsi="Arial" w:cs="Arial"/>
                <w:sz w:val="14"/>
                <w:szCs w:val="14"/>
                <w:shd w:val="clear" w:color="auto" w:fill="FFFFFF"/>
              </w:rPr>
              <w:t xml:space="preserve">Ruiz-Argüelles </w:t>
            </w:r>
            <w:r w:rsidRPr="002441D8">
              <w:rPr>
                <w:rFonts w:ascii="Arial" w:hAnsi="Arial" w:cs="Arial"/>
                <w:i/>
                <w:sz w:val="14"/>
                <w:szCs w:val="14"/>
                <w:shd w:val="clear" w:color="auto" w:fill="FFFFFF"/>
              </w:rPr>
              <w:t>et al</w:t>
            </w:r>
            <w:r w:rsidRPr="002441D8">
              <w:rPr>
                <w:rFonts w:ascii="Arial" w:hAnsi="Arial" w:cs="Arial"/>
                <w:sz w:val="14"/>
                <w:szCs w:val="14"/>
                <w:shd w:val="clear" w:color="auto" w:fill="FFFFFF"/>
              </w:rPr>
              <w:t xml:space="preserve"> 2005</w:t>
            </w:r>
            <w:r w:rsidRPr="002441D8">
              <w:rPr>
                <w:rFonts w:ascii="Arial" w:hAnsi="Arial" w:cs="Arial"/>
                <w:sz w:val="14"/>
                <w:szCs w:val="14"/>
                <w:shd w:val="clear" w:color="auto" w:fill="FFFFFF"/>
                <w:vertAlign w:val="superscript"/>
              </w:rPr>
              <w:t>87</w:t>
            </w:r>
          </w:p>
        </w:tc>
        <w:tc>
          <w:tcPr>
            <w:tcW w:w="1276" w:type="dxa"/>
          </w:tcPr>
          <w:p w14:paraId="4EA1E66C" w14:textId="77777777" w:rsidR="000E2B3F" w:rsidRPr="002441D8" w:rsidRDefault="000E2B3F" w:rsidP="000E2B3F">
            <w:pPr>
              <w:rPr>
                <w:rFonts w:ascii="Arial" w:hAnsi="Arial" w:cs="Arial"/>
                <w:sz w:val="14"/>
                <w:szCs w:val="14"/>
              </w:rPr>
            </w:pPr>
            <w:r w:rsidRPr="002441D8">
              <w:rPr>
                <w:rFonts w:ascii="Arial" w:hAnsi="Arial" w:cs="Arial"/>
                <w:sz w:val="14"/>
                <w:szCs w:val="14"/>
              </w:rPr>
              <w:t>24</w:t>
            </w:r>
          </w:p>
          <w:p w14:paraId="34118D7C" w14:textId="77777777" w:rsidR="000E2B3F" w:rsidRPr="002441D8" w:rsidRDefault="000E2B3F" w:rsidP="000E2B3F">
            <w:pPr>
              <w:rPr>
                <w:rFonts w:ascii="Arial" w:hAnsi="Arial" w:cs="Arial"/>
                <w:sz w:val="14"/>
                <w:szCs w:val="14"/>
              </w:rPr>
            </w:pPr>
            <w:r w:rsidRPr="002441D8">
              <w:rPr>
                <w:rFonts w:ascii="Arial" w:hAnsi="Arial" w:cs="Arial"/>
                <w:sz w:val="14"/>
                <w:szCs w:val="14"/>
              </w:rPr>
              <w:t>41 years [10-71]</w:t>
            </w:r>
          </w:p>
        </w:tc>
        <w:tc>
          <w:tcPr>
            <w:tcW w:w="1134" w:type="dxa"/>
          </w:tcPr>
          <w:p w14:paraId="206D9621" w14:textId="77777777" w:rsidR="000E2B3F" w:rsidRPr="002441D8" w:rsidRDefault="000E2B3F" w:rsidP="000E2B3F">
            <w:pPr>
              <w:rPr>
                <w:rFonts w:ascii="Arial" w:hAnsi="Arial" w:cs="Arial"/>
                <w:sz w:val="14"/>
                <w:szCs w:val="14"/>
              </w:rPr>
            </w:pPr>
            <w:r w:rsidRPr="002441D8">
              <w:rPr>
                <w:rFonts w:ascii="Arial" w:hAnsi="Arial" w:cs="Arial"/>
                <w:sz w:val="14"/>
                <w:szCs w:val="14"/>
              </w:rPr>
              <w:t>CP 100%</w:t>
            </w:r>
          </w:p>
        </w:tc>
        <w:tc>
          <w:tcPr>
            <w:tcW w:w="1701" w:type="dxa"/>
          </w:tcPr>
          <w:p w14:paraId="27253FCA" w14:textId="77777777" w:rsidR="000E2B3F" w:rsidRPr="002441D8" w:rsidRDefault="000E2B3F" w:rsidP="000E2B3F">
            <w:pPr>
              <w:rPr>
                <w:rFonts w:ascii="Arial" w:hAnsi="Arial" w:cs="Arial"/>
                <w:sz w:val="14"/>
                <w:szCs w:val="14"/>
              </w:rPr>
            </w:pPr>
            <w:r w:rsidRPr="002441D8">
              <w:rPr>
                <w:rFonts w:ascii="Arial" w:hAnsi="Arial" w:cs="Arial"/>
                <w:sz w:val="14"/>
                <w:szCs w:val="14"/>
              </w:rPr>
              <w:t>Flu/Bu/Cyclo</w:t>
            </w:r>
          </w:p>
        </w:tc>
        <w:tc>
          <w:tcPr>
            <w:tcW w:w="1276" w:type="dxa"/>
          </w:tcPr>
          <w:p w14:paraId="5B0CED04" w14:textId="77777777" w:rsidR="000E2B3F" w:rsidRPr="002441D8" w:rsidRDefault="000E2B3F" w:rsidP="000E2B3F">
            <w:pPr>
              <w:rPr>
                <w:rFonts w:ascii="Arial" w:hAnsi="Arial" w:cs="Arial"/>
                <w:sz w:val="14"/>
                <w:szCs w:val="14"/>
              </w:rPr>
            </w:pPr>
            <w:r w:rsidRPr="002441D8">
              <w:rPr>
                <w:rFonts w:ascii="Arial" w:hAnsi="Arial" w:cs="Arial"/>
                <w:sz w:val="14"/>
                <w:szCs w:val="14"/>
              </w:rPr>
              <w:t>NR</w:t>
            </w:r>
          </w:p>
        </w:tc>
        <w:tc>
          <w:tcPr>
            <w:tcW w:w="1417" w:type="dxa"/>
          </w:tcPr>
          <w:p w14:paraId="19ED9AFB" w14:textId="77777777" w:rsidR="000E2B3F" w:rsidRPr="002441D8" w:rsidRDefault="000E2B3F" w:rsidP="000E2B3F">
            <w:pPr>
              <w:rPr>
                <w:rFonts w:ascii="Arial" w:hAnsi="Arial" w:cs="Arial"/>
                <w:sz w:val="14"/>
                <w:szCs w:val="14"/>
              </w:rPr>
            </w:pPr>
            <w:r w:rsidRPr="002441D8">
              <w:rPr>
                <w:rFonts w:ascii="Arial" w:hAnsi="Arial" w:cs="Arial"/>
                <w:sz w:val="14"/>
                <w:szCs w:val="14"/>
              </w:rPr>
              <w:t>92% at 830d</w:t>
            </w:r>
          </w:p>
        </w:tc>
        <w:tc>
          <w:tcPr>
            <w:tcW w:w="1418" w:type="dxa"/>
          </w:tcPr>
          <w:p w14:paraId="4B5F5192" w14:textId="77777777" w:rsidR="000E2B3F" w:rsidRPr="002441D8" w:rsidRDefault="000E2B3F" w:rsidP="000E2B3F">
            <w:pPr>
              <w:rPr>
                <w:rFonts w:ascii="Arial" w:hAnsi="Arial" w:cs="Arial"/>
                <w:sz w:val="14"/>
                <w:szCs w:val="14"/>
              </w:rPr>
            </w:pPr>
            <w:r w:rsidRPr="002441D8">
              <w:rPr>
                <w:rFonts w:ascii="Arial" w:hAnsi="Arial" w:cs="Arial"/>
                <w:sz w:val="14"/>
                <w:szCs w:val="14"/>
              </w:rPr>
              <w:t>4% at 100d</w:t>
            </w:r>
          </w:p>
        </w:tc>
        <w:tc>
          <w:tcPr>
            <w:tcW w:w="1843" w:type="dxa"/>
          </w:tcPr>
          <w:p w14:paraId="22C92555" w14:textId="77777777" w:rsidR="000E2B3F" w:rsidRPr="002441D8" w:rsidRDefault="000E2B3F" w:rsidP="000E2B3F">
            <w:pPr>
              <w:rPr>
                <w:rFonts w:ascii="Arial" w:hAnsi="Arial" w:cs="Arial"/>
                <w:sz w:val="14"/>
                <w:szCs w:val="14"/>
              </w:rPr>
            </w:pPr>
            <w:r w:rsidRPr="002441D8">
              <w:rPr>
                <w:rFonts w:ascii="Arial" w:hAnsi="Arial" w:cs="Arial"/>
                <w:sz w:val="14"/>
                <w:szCs w:val="14"/>
              </w:rPr>
              <w:t>25%</w:t>
            </w:r>
          </w:p>
        </w:tc>
        <w:tc>
          <w:tcPr>
            <w:tcW w:w="2126" w:type="dxa"/>
          </w:tcPr>
          <w:p w14:paraId="19A9F8CF" w14:textId="77777777" w:rsidR="000E2B3F" w:rsidRPr="002441D8" w:rsidRDefault="000E2B3F" w:rsidP="000E2B3F">
            <w:pPr>
              <w:rPr>
                <w:rFonts w:ascii="Arial" w:hAnsi="Arial" w:cs="Arial"/>
                <w:sz w:val="14"/>
                <w:szCs w:val="14"/>
              </w:rPr>
            </w:pPr>
            <w:r w:rsidRPr="002441D8">
              <w:rPr>
                <w:rFonts w:ascii="Arial" w:hAnsi="Arial" w:cs="Arial"/>
                <w:sz w:val="14"/>
                <w:szCs w:val="14"/>
              </w:rPr>
              <w:t>30%</w:t>
            </w:r>
          </w:p>
        </w:tc>
      </w:tr>
      <w:tr w:rsidR="000E2B3F" w:rsidRPr="002441D8" w14:paraId="02D94FE1" w14:textId="77777777" w:rsidTr="000E2B3F">
        <w:tc>
          <w:tcPr>
            <w:tcW w:w="993" w:type="dxa"/>
          </w:tcPr>
          <w:p w14:paraId="2593241A" w14:textId="77777777" w:rsidR="000E2B3F" w:rsidRPr="002441D8" w:rsidRDefault="000E2B3F" w:rsidP="000E2B3F">
            <w:pPr>
              <w:rPr>
                <w:rFonts w:ascii="Arial" w:hAnsi="Arial" w:cs="Arial"/>
                <w:sz w:val="14"/>
                <w:szCs w:val="14"/>
                <w:shd w:val="clear" w:color="auto" w:fill="FFFFFF"/>
              </w:rPr>
            </w:pPr>
            <w:r w:rsidRPr="002441D8">
              <w:rPr>
                <w:rFonts w:ascii="Arial" w:hAnsi="Arial" w:cs="Arial"/>
                <w:sz w:val="14"/>
                <w:szCs w:val="14"/>
                <w:shd w:val="clear" w:color="auto" w:fill="FFFFFF"/>
              </w:rPr>
              <w:t xml:space="preserve">Krejci </w:t>
            </w:r>
            <w:r w:rsidRPr="002441D8">
              <w:rPr>
                <w:rFonts w:ascii="Arial" w:hAnsi="Arial" w:cs="Arial"/>
                <w:i/>
                <w:sz w:val="14"/>
                <w:szCs w:val="14"/>
                <w:shd w:val="clear" w:color="auto" w:fill="FFFFFF"/>
              </w:rPr>
              <w:t>et al</w:t>
            </w:r>
            <w:r w:rsidRPr="002441D8">
              <w:rPr>
                <w:rFonts w:ascii="Arial" w:hAnsi="Arial" w:cs="Arial"/>
                <w:sz w:val="14"/>
                <w:szCs w:val="14"/>
                <w:shd w:val="clear" w:color="auto" w:fill="FFFFFF"/>
              </w:rPr>
              <w:t xml:space="preserve"> 2006</w:t>
            </w:r>
            <w:r w:rsidRPr="002441D8">
              <w:rPr>
                <w:rFonts w:ascii="Arial" w:hAnsi="Arial" w:cs="Arial"/>
                <w:sz w:val="14"/>
                <w:szCs w:val="14"/>
                <w:shd w:val="clear" w:color="auto" w:fill="FFFFFF"/>
                <w:vertAlign w:val="superscript"/>
              </w:rPr>
              <w:t>88</w:t>
            </w:r>
            <w:r w:rsidRPr="002441D8">
              <w:rPr>
                <w:rFonts w:ascii="Arial" w:hAnsi="Arial" w:cs="Arial"/>
                <w:sz w:val="14"/>
                <w:szCs w:val="14"/>
                <w:shd w:val="clear" w:color="auto" w:fill="FFFFFF"/>
              </w:rPr>
              <w:t xml:space="preserve"> </w:t>
            </w:r>
          </w:p>
        </w:tc>
        <w:tc>
          <w:tcPr>
            <w:tcW w:w="1276" w:type="dxa"/>
          </w:tcPr>
          <w:p w14:paraId="18DCC9D9" w14:textId="77777777" w:rsidR="000E2B3F" w:rsidRPr="002441D8" w:rsidRDefault="000E2B3F" w:rsidP="000E2B3F">
            <w:pPr>
              <w:rPr>
                <w:rFonts w:ascii="Arial" w:hAnsi="Arial" w:cs="Arial"/>
                <w:sz w:val="14"/>
                <w:szCs w:val="14"/>
              </w:rPr>
            </w:pPr>
            <w:r w:rsidRPr="002441D8">
              <w:rPr>
                <w:rFonts w:ascii="Arial" w:hAnsi="Arial" w:cs="Arial"/>
                <w:sz w:val="14"/>
                <w:szCs w:val="14"/>
              </w:rPr>
              <w:t xml:space="preserve">20 / </w:t>
            </w:r>
          </w:p>
          <w:p w14:paraId="6938397C" w14:textId="77777777" w:rsidR="000E2B3F" w:rsidRPr="002441D8" w:rsidRDefault="000E2B3F" w:rsidP="000E2B3F">
            <w:pPr>
              <w:rPr>
                <w:rFonts w:ascii="Arial" w:hAnsi="Arial" w:cs="Arial"/>
                <w:sz w:val="14"/>
                <w:szCs w:val="14"/>
              </w:rPr>
            </w:pPr>
            <w:r w:rsidRPr="002441D8">
              <w:rPr>
                <w:rFonts w:ascii="Arial" w:hAnsi="Arial" w:cs="Arial"/>
                <w:sz w:val="14"/>
                <w:szCs w:val="14"/>
              </w:rPr>
              <w:t>47 years [15-59]</w:t>
            </w:r>
          </w:p>
        </w:tc>
        <w:tc>
          <w:tcPr>
            <w:tcW w:w="1134" w:type="dxa"/>
          </w:tcPr>
          <w:p w14:paraId="2D0237F8" w14:textId="77777777" w:rsidR="000E2B3F" w:rsidRPr="002441D8" w:rsidRDefault="000E2B3F" w:rsidP="000E2B3F">
            <w:pPr>
              <w:rPr>
                <w:rFonts w:ascii="Arial" w:hAnsi="Arial" w:cs="Arial"/>
                <w:sz w:val="14"/>
                <w:szCs w:val="14"/>
              </w:rPr>
            </w:pPr>
            <w:r w:rsidRPr="002441D8">
              <w:rPr>
                <w:rFonts w:ascii="Arial" w:hAnsi="Arial" w:cs="Arial"/>
                <w:sz w:val="14"/>
                <w:szCs w:val="14"/>
              </w:rPr>
              <w:t>CP1 95%,</w:t>
            </w:r>
          </w:p>
          <w:p w14:paraId="4929EA7A" w14:textId="77777777" w:rsidR="000E2B3F" w:rsidRPr="002441D8" w:rsidRDefault="000E2B3F" w:rsidP="000E2B3F">
            <w:pPr>
              <w:rPr>
                <w:rFonts w:ascii="Arial" w:hAnsi="Arial" w:cs="Arial"/>
                <w:sz w:val="14"/>
                <w:szCs w:val="14"/>
              </w:rPr>
            </w:pPr>
            <w:r w:rsidRPr="002441D8">
              <w:rPr>
                <w:rFonts w:ascii="Arial" w:hAnsi="Arial" w:cs="Arial"/>
                <w:sz w:val="14"/>
                <w:szCs w:val="14"/>
              </w:rPr>
              <w:t xml:space="preserve"> AP 5%</w:t>
            </w:r>
          </w:p>
        </w:tc>
        <w:tc>
          <w:tcPr>
            <w:tcW w:w="1701" w:type="dxa"/>
          </w:tcPr>
          <w:p w14:paraId="68152BCD" w14:textId="77777777" w:rsidR="000E2B3F" w:rsidRPr="002441D8" w:rsidRDefault="000E2B3F" w:rsidP="000E2B3F">
            <w:pPr>
              <w:rPr>
                <w:rFonts w:ascii="Arial" w:hAnsi="Arial" w:cs="Arial"/>
                <w:sz w:val="14"/>
                <w:szCs w:val="14"/>
              </w:rPr>
            </w:pPr>
            <w:r w:rsidRPr="002441D8">
              <w:rPr>
                <w:rFonts w:ascii="Arial" w:hAnsi="Arial" w:cs="Arial"/>
                <w:sz w:val="14"/>
                <w:szCs w:val="14"/>
              </w:rPr>
              <w:t>Flu/Bu/ATG</w:t>
            </w:r>
          </w:p>
        </w:tc>
        <w:tc>
          <w:tcPr>
            <w:tcW w:w="1276" w:type="dxa"/>
          </w:tcPr>
          <w:p w14:paraId="0F3E3D61" w14:textId="77777777" w:rsidR="000E2B3F" w:rsidRPr="002441D8" w:rsidRDefault="000E2B3F" w:rsidP="000E2B3F">
            <w:pPr>
              <w:rPr>
                <w:rFonts w:ascii="Arial" w:hAnsi="Arial" w:cs="Arial"/>
                <w:sz w:val="14"/>
                <w:szCs w:val="14"/>
              </w:rPr>
            </w:pPr>
            <w:r w:rsidRPr="002441D8">
              <w:rPr>
                <w:rFonts w:ascii="Arial" w:hAnsi="Arial" w:cs="Arial"/>
                <w:sz w:val="14"/>
                <w:szCs w:val="14"/>
              </w:rPr>
              <w:t>NR</w:t>
            </w:r>
          </w:p>
        </w:tc>
        <w:tc>
          <w:tcPr>
            <w:tcW w:w="1417" w:type="dxa"/>
          </w:tcPr>
          <w:p w14:paraId="61C566E9" w14:textId="77777777" w:rsidR="000E2B3F" w:rsidRPr="002441D8" w:rsidRDefault="000E2B3F" w:rsidP="000E2B3F">
            <w:pPr>
              <w:rPr>
                <w:rFonts w:ascii="Arial" w:hAnsi="Arial" w:cs="Arial"/>
                <w:sz w:val="14"/>
                <w:szCs w:val="14"/>
              </w:rPr>
            </w:pPr>
            <w:r w:rsidRPr="002441D8">
              <w:rPr>
                <w:rFonts w:ascii="Arial" w:hAnsi="Arial" w:cs="Arial"/>
                <w:sz w:val="14"/>
                <w:szCs w:val="14"/>
              </w:rPr>
              <w:t>90% at 2 years</w:t>
            </w:r>
          </w:p>
        </w:tc>
        <w:tc>
          <w:tcPr>
            <w:tcW w:w="1418" w:type="dxa"/>
          </w:tcPr>
          <w:p w14:paraId="6D09ED15" w14:textId="77777777" w:rsidR="000E2B3F" w:rsidRPr="002441D8" w:rsidRDefault="000E2B3F" w:rsidP="000E2B3F">
            <w:pPr>
              <w:rPr>
                <w:rFonts w:ascii="Arial" w:hAnsi="Arial" w:cs="Arial"/>
                <w:sz w:val="14"/>
                <w:szCs w:val="14"/>
              </w:rPr>
            </w:pPr>
            <w:r w:rsidRPr="002441D8">
              <w:rPr>
                <w:rFonts w:ascii="Arial" w:hAnsi="Arial" w:cs="Arial"/>
                <w:sz w:val="14"/>
                <w:szCs w:val="14"/>
              </w:rPr>
              <w:t>0% at 100d</w:t>
            </w:r>
          </w:p>
        </w:tc>
        <w:tc>
          <w:tcPr>
            <w:tcW w:w="1843" w:type="dxa"/>
          </w:tcPr>
          <w:p w14:paraId="30D922CF" w14:textId="77777777" w:rsidR="000E2B3F" w:rsidRPr="002441D8" w:rsidRDefault="000E2B3F" w:rsidP="000E2B3F">
            <w:pPr>
              <w:rPr>
                <w:rFonts w:ascii="Arial" w:hAnsi="Arial" w:cs="Arial"/>
                <w:sz w:val="14"/>
                <w:szCs w:val="14"/>
              </w:rPr>
            </w:pPr>
            <w:r w:rsidRPr="002441D8">
              <w:rPr>
                <w:rFonts w:ascii="Arial" w:hAnsi="Arial" w:cs="Arial"/>
                <w:sz w:val="14"/>
                <w:szCs w:val="14"/>
              </w:rPr>
              <w:t>45%</w:t>
            </w:r>
          </w:p>
        </w:tc>
        <w:tc>
          <w:tcPr>
            <w:tcW w:w="2126" w:type="dxa"/>
          </w:tcPr>
          <w:p w14:paraId="1519337F" w14:textId="77777777" w:rsidR="000E2B3F" w:rsidRPr="002441D8" w:rsidRDefault="000E2B3F" w:rsidP="000E2B3F">
            <w:pPr>
              <w:rPr>
                <w:rFonts w:ascii="Arial" w:hAnsi="Arial" w:cs="Arial"/>
                <w:sz w:val="14"/>
                <w:szCs w:val="14"/>
              </w:rPr>
            </w:pPr>
            <w:r w:rsidRPr="002441D8">
              <w:rPr>
                <w:rFonts w:ascii="Arial" w:hAnsi="Arial" w:cs="Arial"/>
                <w:sz w:val="14"/>
                <w:szCs w:val="14"/>
              </w:rPr>
              <w:t>75% (40%)</w:t>
            </w:r>
          </w:p>
        </w:tc>
      </w:tr>
      <w:tr w:rsidR="000E2B3F" w:rsidRPr="002441D8" w14:paraId="31272675" w14:textId="77777777" w:rsidTr="000E2B3F">
        <w:tc>
          <w:tcPr>
            <w:tcW w:w="993" w:type="dxa"/>
          </w:tcPr>
          <w:p w14:paraId="65DA1BD0" w14:textId="77777777" w:rsidR="000E2B3F" w:rsidRPr="002441D8" w:rsidRDefault="000E2B3F" w:rsidP="000E2B3F">
            <w:pPr>
              <w:rPr>
                <w:rFonts w:ascii="Arial" w:hAnsi="Arial" w:cs="Arial"/>
                <w:sz w:val="14"/>
                <w:szCs w:val="14"/>
                <w:shd w:val="clear" w:color="auto" w:fill="FFFFFF"/>
              </w:rPr>
            </w:pPr>
            <w:r w:rsidRPr="002441D8">
              <w:rPr>
                <w:rFonts w:ascii="Arial" w:hAnsi="Arial" w:cs="Arial"/>
                <w:sz w:val="14"/>
                <w:szCs w:val="14"/>
                <w:shd w:val="clear" w:color="auto" w:fill="FFFFFF"/>
              </w:rPr>
              <w:t xml:space="preserve">Faber </w:t>
            </w:r>
            <w:r w:rsidRPr="002441D8">
              <w:rPr>
                <w:rFonts w:ascii="Arial" w:hAnsi="Arial" w:cs="Arial"/>
                <w:i/>
                <w:sz w:val="14"/>
                <w:szCs w:val="14"/>
                <w:shd w:val="clear" w:color="auto" w:fill="FFFFFF"/>
              </w:rPr>
              <w:t>et a</w:t>
            </w:r>
            <w:r w:rsidRPr="002441D8">
              <w:rPr>
                <w:rFonts w:ascii="Arial" w:hAnsi="Arial" w:cs="Arial"/>
                <w:sz w:val="14"/>
                <w:szCs w:val="14"/>
                <w:shd w:val="clear" w:color="auto" w:fill="FFFFFF"/>
              </w:rPr>
              <w:t>l 2007</w:t>
            </w:r>
            <w:r w:rsidRPr="002441D8">
              <w:rPr>
                <w:rFonts w:ascii="Arial" w:hAnsi="Arial" w:cs="Arial"/>
                <w:sz w:val="14"/>
                <w:szCs w:val="14"/>
                <w:shd w:val="clear" w:color="auto" w:fill="FFFFFF"/>
                <w:vertAlign w:val="superscript"/>
              </w:rPr>
              <w:t>89</w:t>
            </w:r>
          </w:p>
        </w:tc>
        <w:tc>
          <w:tcPr>
            <w:tcW w:w="1276" w:type="dxa"/>
          </w:tcPr>
          <w:p w14:paraId="7B69F9CA" w14:textId="77777777" w:rsidR="000E2B3F" w:rsidRPr="002441D8" w:rsidRDefault="000E2B3F" w:rsidP="000E2B3F">
            <w:pPr>
              <w:rPr>
                <w:rFonts w:ascii="Arial" w:hAnsi="Arial" w:cs="Arial"/>
                <w:sz w:val="14"/>
                <w:szCs w:val="14"/>
              </w:rPr>
            </w:pPr>
            <w:r w:rsidRPr="002441D8">
              <w:rPr>
                <w:rFonts w:ascii="Arial" w:hAnsi="Arial" w:cs="Arial"/>
                <w:sz w:val="14"/>
                <w:szCs w:val="14"/>
              </w:rPr>
              <w:t>29</w:t>
            </w:r>
          </w:p>
          <w:p w14:paraId="2BA0BB90" w14:textId="77777777" w:rsidR="000E2B3F" w:rsidRPr="002441D8" w:rsidRDefault="000E2B3F" w:rsidP="000E2B3F">
            <w:pPr>
              <w:rPr>
                <w:rFonts w:ascii="Arial" w:hAnsi="Arial" w:cs="Arial"/>
                <w:sz w:val="14"/>
                <w:szCs w:val="14"/>
              </w:rPr>
            </w:pPr>
            <w:r w:rsidRPr="002441D8">
              <w:rPr>
                <w:rFonts w:ascii="Arial" w:hAnsi="Arial" w:cs="Arial"/>
                <w:sz w:val="14"/>
                <w:szCs w:val="14"/>
              </w:rPr>
              <w:t>48 years [19-57]</w:t>
            </w:r>
          </w:p>
        </w:tc>
        <w:tc>
          <w:tcPr>
            <w:tcW w:w="1134" w:type="dxa"/>
          </w:tcPr>
          <w:p w14:paraId="50483C7B" w14:textId="77777777" w:rsidR="000E2B3F" w:rsidRPr="002441D8" w:rsidRDefault="000E2B3F" w:rsidP="000E2B3F">
            <w:pPr>
              <w:rPr>
                <w:rFonts w:ascii="Arial" w:hAnsi="Arial" w:cs="Arial"/>
                <w:sz w:val="14"/>
                <w:szCs w:val="14"/>
              </w:rPr>
            </w:pPr>
            <w:r w:rsidRPr="002441D8">
              <w:rPr>
                <w:rFonts w:ascii="Arial" w:hAnsi="Arial" w:cs="Arial"/>
                <w:sz w:val="14"/>
                <w:szCs w:val="14"/>
              </w:rPr>
              <w:t xml:space="preserve">CP1 83%, </w:t>
            </w:r>
          </w:p>
          <w:p w14:paraId="7E452B39" w14:textId="77777777" w:rsidR="000E2B3F" w:rsidRPr="002441D8" w:rsidRDefault="000E2B3F" w:rsidP="000E2B3F">
            <w:pPr>
              <w:rPr>
                <w:rFonts w:ascii="Arial" w:hAnsi="Arial" w:cs="Arial"/>
                <w:sz w:val="14"/>
                <w:szCs w:val="14"/>
              </w:rPr>
            </w:pPr>
            <w:r w:rsidRPr="002441D8">
              <w:rPr>
                <w:rFonts w:ascii="Arial" w:hAnsi="Arial" w:cs="Arial"/>
                <w:sz w:val="14"/>
                <w:szCs w:val="14"/>
              </w:rPr>
              <w:t xml:space="preserve">CP2 10%, </w:t>
            </w:r>
          </w:p>
          <w:p w14:paraId="3E98232B" w14:textId="77777777" w:rsidR="000E2B3F" w:rsidRPr="002441D8" w:rsidRDefault="000E2B3F" w:rsidP="000E2B3F">
            <w:pPr>
              <w:rPr>
                <w:rFonts w:ascii="Arial" w:hAnsi="Arial" w:cs="Arial"/>
                <w:sz w:val="14"/>
                <w:szCs w:val="14"/>
              </w:rPr>
            </w:pPr>
            <w:r w:rsidRPr="002441D8">
              <w:rPr>
                <w:rFonts w:ascii="Arial" w:hAnsi="Arial" w:cs="Arial"/>
                <w:sz w:val="14"/>
                <w:szCs w:val="14"/>
              </w:rPr>
              <w:t xml:space="preserve">AP3%, </w:t>
            </w:r>
          </w:p>
          <w:p w14:paraId="6D89ED07" w14:textId="77777777" w:rsidR="000E2B3F" w:rsidRPr="002441D8" w:rsidRDefault="000E2B3F" w:rsidP="000E2B3F">
            <w:pPr>
              <w:rPr>
                <w:rFonts w:ascii="Arial" w:hAnsi="Arial" w:cs="Arial"/>
                <w:sz w:val="14"/>
                <w:szCs w:val="14"/>
              </w:rPr>
            </w:pPr>
            <w:r w:rsidRPr="002441D8">
              <w:rPr>
                <w:rFonts w:ascii="Arial" w:hAnsi="Arial" w:cs="Arial"/>
                <w:sz w:val="14"/>
                <w:szCs w:val="14"/>
              </w:rPr>
              <w:t>BC3%</w:t>
            </w:r>
          </w:p>
        </w:tc>
        <w:tc>
          <w:tcPr>
            <w:tcW w:w="1701" w:type="dxa"/>
          </w:tcPr>
          <w:p w14:paraId="5F571F86" w14:textId="77777777" w:rsidR="000E2B3F" w:rsidRPr="002441D8" w:rsidRDefault="000E2B3F" w:rsidP="000E2B3F">
            <w:pPr>
              <w:rPr>
                <w:rFonts w:ascii="Arial" w:hAnsi="Arial" w:cs="Arial"/>
                <w:sz w:val="14"/>
                <w:szCs w:val="14"/>
              </w:rPr>
            </w:pPr>
            <w:r w:rsidRPr="002441D8">
              <w:rPr>
                <w:rFonts w:ascii="Arial" w:hAnsi="Arial" w:cs="Arial"/>
                <w:sz w:val="14"/>
                <w:szCs w:val="14"/>
              </w:rPr>
              <w:t xml:space="preserve">Flu/Bu/ATG 97%, </w:t>
            </w:r>
          </w:p>
          <w:p w14:paraId="2C614CCB" w14:textId="77777777" w:rsidR="000E2B3F" w:rsidRPr="002441D8" w:rsidRDefault="000E2B3F" w:rsidP="000E2B3F">
            <w:pPr>
              <w:rPr>
                <w:rFonts w:ascii="Arial" w:hAnsi="Arial" w:cs="Arial"/>
                <w:sz w:val="14"/>
                <w:szCs w:val="14"/>
              </w:rPr>
            </w:pPr>
            <w:r w:rsidRPr="002441D8">
              <w:rPr>
                <w:rFonts w:ascii="Arial" w:hAnsi="Arial" w:cs="Arial"/>
                <w:sz w:val="14"/>
                <w:szCs w:val="14"/>
              </w:rPr>
              <w:t>Flu/cyclo 3%</w:t>
            </w:r>
          </w:p>
        </w:tc>
        <w:tc>
          <w:tcPr>
            <w:tcW w:w="1276" w:type="dxa"/>
          </w:tcPr>
          <w:p w14:paraId="2BCBDDEA" w14:textId="77777777" w:rsidR="000E2B3F" w:rsidRPr="002441D8" w:rsidRDefault="000E2B3F" w:rsidP="000E2B3F">
            <w:pPr>
              <w:rPr>
                <w:rFonts w:ascii="Arial" w:hAnsi="Arial" w:cs="Arial"/>
                <w:sz w:val="14"/>
                <w:szCs w:val="14"/>
              </w:rPr>
            </w:pPr>
            <w:r w:rsidRPr="002441D8">
              <w:rPr>
                <w:rFonts w:ascii="Arial" w:hAnsi="Arial" w:cs="Arial"/>
                <w:sz w:val="14"/>
                <w:szCs w:val="14"/>
              </w:rPr>
              <w:t>NR</w:t>
            </w:r>
          </w:p>
        </w:tc>
        <w:tc>
          <w:tcPr>
            <w:tcW w:w="1417" w:type="dxa"/>
          </w:tcPr>
          <w:p w14:paraId="470D2F80" w14:textId="77777777" w:rsidR="000E2B3F" w:rsidRPr="002441D8" w:rsidRDefault="000E2B3F" w:rsidP="000E2B3F">
            <w:pPr>
              <w:rPr>
                <w:rFonts w:ascii="Arial" w:hAnsi="Arial" w:cs="Arial"/>
                <w:sz w:val="14"/>
                <w:szCs w:val="14"/>
              </w:rPr>
            </w:pPr>
            <w:r w:rsidRPr="002441D8">
              <w:rPr>
                <w:rFonts w:ascii="Arial" w:hAnsi="Arial" w:cs="Arial"/>
                <w:sz w:val="14"/>
                <w:szCs w:val="14"/>
              </w:rPr>
              <w:t>Approx 70% at 3 years</w:t>
            </w:r>
          </w:p>
        </w:tc>
        <w:tc>
          <w:tcPr>
            <w:tcW w:w="1418" w:type="dxa"/>
          </w:tcPr>
          <w:p w14:paraId="5FE42501" w14:textId="77777777" w:rsidR="000E2B3F" w:rsidRPr="002441D8" w:rsidRDefault="000E2B3F" w:rsidP="000E2B3F">
            <w:pPr>
              <w:rPr>
                <w:rFonts w:ascii="Arial" w:hAnsi="Arial" w:cs="Arial"/>
                <w:sz w:val="14"/>
                <w:szCs w:val="14"/>
              </w:rPr>
            </w:pPr>
            <w:r w:rsidRPr="002441D8">
              <w:rPr>
                <w:rFonts w:ascii="Arial" w:hAnsi="Arial" w:cs="Arial"/>
                <w:sz w:val="14"/>
                <w:szCs w:val="14"/>
              </w:rPr>
              <w:t>NR</w:t>
            </w:r>
          </w:p>
        </w:tc>
        <w:tc>
          <w:tcPr>
            <w:tcW w:w="1843" w:type="dxa"/>
          </w:tcPr>
          <w:p w14:paraId="4E6C7998" w14:textId="77777777" w:rsidR="000E2B3F" w:rsidRPr="002441D8" w:rsidRDefault="000E2B3F" w:rsidP="000E2B3F">
            <w:pPr>
              <w:spacing w:line="360" w:lineRule="auto"/>
              <w:rPr>
                <w:rFonts w:ascii="Arial" w:hAnsi="Arial" w:cs="Arial"/>
                <w:sz w:val="14"/>
                <w:szCs w:val="14"/>
              </w:rPr>
            </w:pPr>
            <w:r w:rsidRPr="002441D8">
              <w:rPr>
                <w:rFonts w:ascii="Arial" w:hAnsi="Arial" w:cs="Arial"/>
                <w:sz w:val="14"/>
                <w:szCs w:val="14"/>
              </w:rPr>
              <w:t>31%</w:t>
            </w:r>
          </w:p>
        </w:tc>
        <w:tc>
          <w:tcPr>
            <w:tcW w:w="2126" w:type="dxa"/>
          </w:tcPr>
          <w:p w14:paraId="32819B14" w14:textId="77777777" w:rsidR="000E2B3F" w:rsidRPr="002441D8" w:rsidRDefault="000E2B3F" w:rsidP="000E2B3F">
            <w:pPr>
              <w:rPr>
                <w:rFonts w:ascii="Arial" w:hAnsi="Arial" w:cs="Arial"/>
                <w:sz w:val="14"/>
                <w:szCs w:val="14"/>
              </w:rPr>
            </w:pPr>
            <w:r w:rsidRPr="002441D8">
              <w:rPr>
                <w:rFonts w:ascii="Arial" w:hAnsi="Arial" w:cs="Arial"/>
                <w:sz w:val="14"/>
                <w:szCs w:val="14"/>
              </w:rPr>
              <w:t>41%</w:t>
            </w:r>
          </w:p>
        </w:tc>
      </w:tr>
      <w:tr w:rsidR="000E2B3F" w:rsidRPr="002441D8" w14:paraId="59D80574" w14:textId="77777777" w:rsidTr="000E2B3F">
        <w:tc>
          <w:tcPr>
            <w:tcW w:w="993" w:type="dxa"/>
          </w:tcPr>
          <w:p w14:paraId="45FB2853" w14:textId="77777777" w:rsidR="000E2B3F" w:rsidRPr="002441D8" w:rsidRDefault="000E2B3F" w:rsidP="000E2B3F">
            <w:pPr>
              <w:rPr>
                <w:rFonts w:ascii="Arial" w:hAnsi="Arial" w:cs="Arial"/>
                <w:sz w:val="14"/>
                <w:szCs w:val="14"/>
              </w:rPr>
            </w:pPr>
            <w:r w:rsidRPr="002441D8">
              <w:rPr>
                <w:rFonts w:ascii="Arial" w:hAnsi="Arial" w:cs="Arial"/>
                <w:sz w:val="14"/>
                <w:szCs w:val="14"/>
              </w:rPr>
              <w:t xml:space="preserve">Kebriaei </w:t>
            </w:r>
            <w:r w:rsidRPr="002441D8">
              <w:rPr>
                <w:rFonts w:ascii="Arial" w:hAnsi="Arial" w:cs="Arial"/>
                <w:i/>
                <w:sz w:val="14"/>
                <w:szCs w:val="14"/>
              </w:rPr>
              <w:t>et al</w:t>
            </w:r>
            <w:r w:rsidRPr="002441D8">
              <w:rPr>
                <w:rFonts w:ascii="Arial" w:hAnsi="Arial" w:cs="Arial"/>
                <w:sz w:val="14"/>
                <w:szCs w:val="14"/>
              </w:rPr>
              <w:t xml:space="preserve"> 2007</w:t>
            </w:r>
            <w:r w:rsidRPr="002441D8">
              <w:rPr>
                <w:rFonts w:ascii="Arial" w:hAnsi="Arial" w:cs="Arial"/>
                <w:sz w:val="14"/>
                <w:szCs w:val="14"/>
                <w:vertAlign w:val="superscript"/>
              </w:rPr>
              <w:t>90</w:t>
            </w:r>
            <w:r w:rsidRPr="002441D8">
              <w:rPr>
                <w:rFonts w:ascii="Arial" w:hAnsi="Arial" w:cs="Arial"/>
                <w:sz w:val="14"/>
                <w:szCs w:val="14"/>
              </w:rPr>
              <w:t xml:space="preserve"> </w:t>
            </w:r>
          </w:p>
        </w:tc>
        <w:tc>
          <w:tcPr>
            <w:tcW w:w="1276" w:type="dxa"/>
          </w:tcPr>
          <w:p w14:paraId="4F46DF7A" w14:textId="77777777" w:rsidR="000E2B3F" w:rsidRPr="002441D8" w:rsidRDefault="000E2B3F">
            <w:pPr>
              <w:rPr>
                <w:rFonts w:ascii="Arial" w:hAnsi="Arial" w:cs="Arial"/>
                <w:sz w:val="14"/>
                <w:szCs w:val="14"/>
              </w:rPr>
            </w:pPr>
            <w:r w:rsidRPr="002441D8">
              <w:rPr>
                <w:rFonts w:ascii="Arial" w:hAnsi="Arial" w:cs="Arial"/>
                <w:sz w:val="14"/>
                <w:szCs w:val="14"/>
              </w:rPr>
              <w:t>64 /</w:t>
            </w:r>
          </w:p>
          <w:p w14:paraId="6CF837AA" w14:textId="77777777" w:rsidR="000E2B3F" w:rsidRPr="002441D8" w:rsidRDefault="000E2B3F">
            <w:pPr>
              <w:rPr>
                <w:rFonts w:ascii="Arial" w:hAnsi="Arial" w:cs="Arial"/>
                <w:sz w:val="14"/>
                <w:szCs w:val="14"/>
              </w:rPr>
            </w:pPr>
            <w:r w:rsidRPr="002441D8">
              <w:rPr>
                <w:rFonts w:ascii="Arial" w:hAnsi="Arial" w:cs="Arial"/>
                <w:sz w:val="14"/>
                <w:szCs w:val="14"/>
              </w:rPr>
              <w:t>52 years [17-72]</w:t>
            </w:r>
          </w:p>
        </w:tc>
        <w:tc>
          <w:tcPr>
            <w:tcW w:w="1134" w:type="dxa"/>
          </w:tcPr>
          <w:p w14:paraId="097C67A0" w14:textId="77777777" w:rsidR="000E2B3F" w:rsidRPr="002441D8" w:rsidRDefault="000E2B3F">
            <w:pPr>
              <w:rPr>
                <w:rFonts w:ascii="Arial" w:hAnsi="Arial" w:cs="Arial"/>
                <w:sz w:val="14"/>
                <w:szCs w:val="14"/>
              </w:rPr>
            </w:pPr>
            <w:r w:rsidRPr="002441D8">
              <w:rPr>
                <w:rFonts w:ascii="Arial" w:hAnsi="Arial" w:cs="Arial"/>
                <w:sz w:val="14"/>
                <w:szCs w:val="14"/>
              </w:rPr>
              <w:t>CP1 20%,</w:t>
            </w:r>
          </w:p>
          <w:p w14:paraId="04A02A23" w14:textId="77777777" w:rsidR="000E2B3F" w:rsidRPr="002441D8" w:rsidRDefault="000E2B3F">
            <w:pPr>
              <w:rPr>
                <w:rFonts w:ascii="Arial" w:hAnsi="Arial" w:cs="Arial"/>
                <w:sz w:val="14"/>
                <w:szCs w:val="14"/>
              </w:rPr>
            </w:pPr>
            <w:r w:rsidRPr="002441D8">
              <w:rPr>
                <w:rFonts w:ascii="Arial" w:hAnsi="Arial" w:cs="Arial"/>
                <w:sz w:val="14"/>
                <w:szCs w:val="14"/>
              </w:rPr>
              <w:t>CP2 27%,</w:t>
            </w:r>
          </w:p>
          <w:p w14:paraId="0F7D3F5C" w14:textId="77777777" w:rsidR="000E2B3F" w:rsidRPr="002441D8" w:rsidRDefault="000E2B3F">
            <w:pPr>
              <w:rPr>
                <w:rFonts w:ascii="Arial" w:hAnsi="Arial" w:cs="Arial"/>
                <w:sz w:val="14"/>
                <w:szCs w:val="14"/>
              </w:rPr>
            </w:pPr>
            <w:r w:rsidRPr="002441D8">
              <w:rPr>
                <w:rFonts w:ascii="Arial" w:hAnsi="Arial" w:cs="Arial"/>
                <w:sz w:val="14"/>
                <w:szCs w:val="14"/>
              </w:rPr>
              <w:t>AP 45%,</w:t>
            </w:r>
          </w:p>
          <w:p w14:paraId="52F45A34" w14:textId="77777777" w:rsidR="000E2B3F" w:rsidRPr="002441D8" w:rsidRDefault="000E2B3F">
            <w:pPr>
              <w:rPr>
                <w:rFonts w:ascii="Arial" w:hAnsi="Arial" w:cs="Arial"/>
                <w:sz w:val="14"/>
                <w:szCs w:val="14"/>
              </w:rPr>
            </w:pPr>
            <w:r w:rsidRPr="002441D8">
              <w:rPr>
                <w:rFonts w:ascii="Arial" w:hAnsi="Arial" w:cs="Arial"/>
                <w:sz w:val="14"/>
                <w:szCs w:val="14"/>
              </w:rPr>
              <w:t>BC 8%</w:t>
            </w:r>
          </w:p>
        </w:tc>
        <w:tc>
          <w:tcPr>
            <w:tcW w:w="1701" w:type="dxa"/>
          </w:tcPr>
          <w:p w14:paraId="0335560F" w14:textId="77777777" w:rsidR="000E2B3F" w:rsidRPr="002441D8" w:rsidRDefault="000E2B3F" w:rsidP="000E2B3F">
            <w:pPr>
              <w:rPr>
                <w:rFonts w:ascii="Arial" w:hAnsi="Arial" w:cs="Arial"/>
                <w:sz w:val="14"/>
                <w:szCs w:val="14"/>
              </w:rPr>
            </w:pPr>
            <w:r w:rsidRPr="002441D8">
              <w:rPr>
                <w:rFonts w:ascii="Arial" w:hAnsi="Arial" w:cs="Arial"/>
                <w:sz w:val="14"/>
                <w:szCs w:val="14"/>
              </w:rPr>
              <w:t>Flu/AraC/Ida 19%</w:t>
            </w:r>
          </w:p>
          <w:p w14:paraId="303336C5" w14:textId="77777777" w:rsidR="000E2B3F" w:rsidRPr="002441D8" w:rsidRDefault="000E2B3F">
            <w:pPr>
              <w:rPr>
                <w:rFonts w:ascii="Arial" w:hAnsi="Arial" w:cs="Arial"/>
                <w:sz w:val="14"/>
                <w:szCs w:val="14"/>
              </w:rPr>
            </w:pPr>
            <w:r w:rsidRPr="002441D8">
              <w:rPr>
                <w:rFonts w:ascii="Arial" w:hAnsi="Arial" w:cs="Arial"/>
                <w:sz w:val="14"/>
                <w:szCs w:val="14"/>
              </w:rPr>
              <w:t xml:space="preserve">Flu/Melph 70% </w:t>
            </w:r>
          </w:p>
          <w:p w14:paraId="37C8FBAF" w14:textId="77777777" w:rsidR="000E2B3F" w:rsidRPr="002441D8" w:rsidRDefault="000E2B3F" w:rsidP="000E2B3F">
            <w:pPr>
              <w:rPr>
                <w:rFonts w:ascii="Arial" w:hAnsi="Arial" w:cs="Arial"/>
                <w:sz w:val="14"/>
                <w:szCs w:val="14"/>
              </w:rPr>
            </w:pPr>
            <w:r w:rsidRPr="002441D8">
              <w:rPr>
                <w:rFonts w:ascii="Arial" w:hAnsi="Arial" w:cs="Arial"/>
                <w:sz w:val="14"/>
                <w:szCs w:val="14"/>
              </w:rPr>
              <w:t>Flu/Melph/AraC 11%</w:t>
            </w:r>
          </w:p>
          <w:p w14:paraId="346C4A6E" w14:textId="77777777" w:rsidR="000E2B3F" w:rsidRPr="002441D8" w:rsidRDefault="000E2B3F">
            <w:pPr>
              <w:rPr>
                <w:rFonts w:ascii="Arial" w:hAnsi="Arial" w:cs="Arial"/>
                <w:sz w:val="14"/>
                <w:szCs w:val="14"/>
              </w:rPr>
            </w:pPr>
          </w:p>
          <w:p w14:paraId="39704058" w14:textId="77777777" w:rsidR="000E2B3F" w:rsidRPr="002441D8" w:rsidRDefault="000E2B3F">
            <w:pPr>
              <w:rPr>
                <w:rFonts w:ascii="Arial" w:hAnsi="Arial" w:cs="Arial"/>
                <w:sz w:val="14"/>
                <w:szCs w:val="14"/>
              </w:rPr>
            </w:pPr>
          </w:p>
        </w:tc>
        <w:tc>
          <w:tcPr>
            <w:tcW w:w="1276" w:type="dxa"/>
          </w:tcPr>
          <w:p w14:paraId="22613667" w14:textId="77777777" w:rsidR="000E2B3F" w:rsidRPr="002441D8" w:rsidRDefault="000E2B3F" w:rsidP="000E2B3F">
            <w:pPr>
              <w:rPr>
                <w:rFonts w:ascii="Arial" w:hAnsi="Arial" w:cs="Arial"/>
                <w:sz w:val="14"/>
                <w:szCs w:val="14"/>
              </w:rPr>
            </w:pPr>
            <w:r w:rsidRPr="002441D8">
              <w:rPr>
                <w:rFonts w:ascii="Arial" w:hAnsi="Arial" w:cs="Arial"/>
                <w:sz w:val="14"/>
                <w:szCs w:val="14"/>
              </w:rPr>
              <w:t xml:space="preserve">29% at 2 years, 20% at 5 years, </w:t>
            </w:r>
          </w:p>
        </w:tc>
        <w:tc>
          <w:tcPr>
            <w:tcW w:w="1417" w:type="dxa"/>
          </w:tcPr>
          <w:p w14:paraId="0670DD5F" w14:textId="77777777" w:rsidR="000E2B3F" w:rsidRPr="002441D8" w:rsidRDefault="000E2B3F">
            <w:pPr>
              <w:rPr>
                <w:rFonts w:ascii="Arial" w:hAnsi="Arial" w:cs="Arial"/>
                <w:sz w:val="14"/>
                <w:szCs w:val="14"/>
              </w:rPr>
            </w:pPr>
            <w:r w:rsidRPr="002441D8">
              <w:rPr>
                <w:rFonts w:ascii="Arial" w:hAnsi="Arial" w:cs="Arial"/>
                <w:sz w:val="14"/>
                <w:szCs w:val="14"/>
              </w:rPr>
              <w:t xml:space="preserve">48% at 2 years, 33% at 5 years, </w:t>
            </w:r>
          </w:p>
        </w:tc>
        <w:tc>
          <w:tcPr>
            <w:tcW w:w="1418" w:type="dxa"/>
          </w:tcPr>
          <w:p w14:paraId="32E931B8" w14:textId="77777777" w:rsidR="000E2B3F" w:rsidRPr="002441D8" w:rsidRDefault="000E2B3F">
            <w:pPr>
              <w:rPr>
                <w:rFonts w:ascii="Arial" w:hAnsi="Arial" w:cs="Arial"/>
                <w:sz w:val="14"/>
                <w:szCs w:val="14"/>
              </w:rPr>
            </w:pPr>
            <w:r w:rsidRPr="002441D8">
              <w:rPr>
                <w:rFonts w:ascii="Arial" w:hAnsi="Arial" w:cs="Arial"/>
                <w:sz w:val="14"/>
                <w:szCs w:val="14"/>
              </w:rPr>
              <w:t>33% at 100d, 39% at 2 years, 48% at 5 years</w:t>
            </w:r>
          </w:p>
        </w:tc>
        <w:tc>
          <w:tcPr>
            <w:tcW w:w="1843" w:type="dxa"/>
          </w:tcPr>
          <w:p w14:paraId="37254021" w14:textId="77777777" w:rsidR="000E2B3F" w:rsidRPr="002441D8" w:rsidRDefault="000E2B3F">
            <w:pPr>
              <w:rPr>
                <w:rFonts w:ascii="Arial" w:hAnsi="Arial" w:cs="Arial"/>
                <w:sz w:val="14"/>
                <w:szCs w:val="14"/>
              </w:rPr>
            </w:pPr>
            <w:r w:rsidRPr="002441D8">
              <w:rPr>
                <w:rFonts w:ascii="Arial" w:hAnsi="Arial" w:cs="Arial"/>
                <w:sz w:val="14"/>
                <w:szCs w:val="14"/>
              </w:rPr>
              <w:t>31%</w:t>
            </w:r>
          </w:p>
        </w:tc>
        <w:tc>
          <w:tcPr>
            <w:tcW w:w="2126" w:type="dxa"/>
          </w:tcPr>
          <w:p w14:paraId="2B19F520" w14:textId="77777777" w:rsidR="000E2B3F" w:rsidRPr="002441D8" w:rsidRDefault="000E2B3F">
            <w:pPr>
              <w:rPr>
                <w:rFonts w:ascii="Arial" w:hAnsi="Arial" w:cs="Arial"/>
                <w:sz w:val="14"/>
                <w:szCs w:val="14"/>
              </w:rPr>
            </w:pPr>
            <w:r w:rsidRPr="002441D8">
              <w:rPr>
                <w:rFonts w:ascii="Arial" w:hAnsi="Arial" w:cs="Arial"/>
                <w:sz w:val="14"/>
                <w:szCs w:val="14"/>
              </w:rPr>
              <w:t xml:space="preserve"> 31% (20%)</w:t>
            </w:r>
          </w:p>
          <w:p w14:paraId="1DDD9CE0" w14:textId="77777777" w:rsidR="000E2B3F" w:rsidRPr="002441D8" w:rsidRDefault="000E2B3F">
            <w:pPr>
              <w:rPr>
                <w:rFonts w:ascii="Arial" w:hAnsi="Arial" w:cs="Arial"/>
                <w:sz w:val="14"/>
                <w:szCs w:val="14"/>
              </w:rPr>
            </w:pPr>
          </w:p>
        </w:tc>
      </w:tr>
      <w:tr w:rsidR="000E2B3F" w:rsidRPr="002441D8" w14:paraId="6B6DB595" w14:textId="77777777" w:rsidTr="000E2B3F">
        <w:tc>
          <w:tcPr>
            <w:tcW w:w="993" w:type="dxa"/>
          </w:tcPr>
          <w:p w14:paraId="4F56294D" w14:textId="77777777" w:rsidR="000E2B3F" w:rsidRPr="002441D8" w:rsidRDefault="000E2B3F" w:rsidP="000E2B3F">
            <w:pPr>
              <w:rPr>
                <w:rFonts w:ascii="Arial" w:hAnsi="Arial" w:cs="Arial"/>
                <w:sz w:val="14"/>
                <w:szCs w:val="14"/>
                <w:shd w:val="clear" w:color="auto" w:fill="FFFFFF"/>
              </w:rPr>
            </w:pPr>
            <w:r w:rsidRPr="002441D8">
              <w:rPr>
                <w:rFonts w:ascii="Arial" w:hAnsi="Arial" w:cs="Arial"/>
                <w:sz w:val="14"/>
                <w:szCs w:val="14"/>
                <w:shd w:val="clear" w:color="auto" w:fill="FFFFFF"/>
              </w:rPr>
              <w:t xml:space="preserve">Olavarria </w:t>
            </w:r>
            <w:r w:rsidRPr="002441D8">
              <w:rPr>
                <w:rFonts w:ascii="Arial" w:hAnsi="Arial" w:cs="Arial"/>
                <w:i/>
                <w:sz w:val="14"/>
                <w:szCs w:val="14"/>
                <w:shd w:val="clear" w:color="auto" w:fill="FFFFFF"/>
              </w:rPr>
              <w:t>et al</w:t>
            </w:r>
            <w:r w:rsidRPr="002441D8">
              <w:rPr>
                <w:rFonts w:ascii="Arial" w:hAnsi="Arial" w:cs="Arial"/>
                <w:sz w:val="14"/>
                <w:szCs w:val="14"/>
                <w:shd w:val="clear" w:color="auto" w:fill="FFFFFF"/>
              </w:rPr>
              <w:t xml:space="preserve"> 2007</w:t>
            </w:r>
            <w:r w:rsidRPr="002441D8">
              <w:rPr>
                <w:rFonts w:ascii="Arial" w:hAnsi="Arial" w:cs="Arial"/>
                <w:sz w:val="14"/>
                <w:szCs w:val="14"/>
                <w:shd w:val="clear" w:color="auto" w:fill="FFFFFF"/>
                <w:vertAlign w:val="superscript"/>
              </w:rPr>
              <w:t>91</w:t>
            </w:r>
          </w:p>
        </w:tc>
        <w:tc>
          <w:tcPr>
            <w:tcW w:w="1276" w:type="dxa"/>
          </w:tcPr>
          <w:p w14:paraId="377B59F9" w14:textId="77777777" w:rsidR="000E2B3F" w:rsidRPr="002441D8" w:rsidRDefault="000E2B3F" w:rsidP="000E2B3F">
            <w:pPr>
              <w:rPr>
                <w:rFonts w:ascii="Arial" w:hAnsi="Arial" w:cs="Arial"/>
                <w:sz w:val="14"/>
                <w:szCs w:val="14"/>
              </w:rPr>
            </w:pPr>
            <w:r w:rsidRPr="002441D8">
              <w:rPr>
                <w:rFonts w:ascii="Arial" w:hAnsi="Arial" w:cs="Arial"/>
                <w:sz w:val="14"/>
                <w:szCs w:val="14"/>
              </w:rPr>
              <w:t xml:space="preserve">22 / </w:t>
            </w:r>
          </w:p>
          <w:p w14:paraId="1237679F" w14:textId="77777777" w:rsidR="000E2B3F" w:rsidRPr="002441D8" w:rsidRDefault="000E2B3F" w:rsidP="000E2B3F">
            <w:pPr>
              <w:rPr>
                <w:rFonts w:ascii="Arial" w:hAnsi="Arial" w:cs="Arial"/>
                <w:sz w:val="14"/>
                <w:szCs w:val="14"/>
              </w:rPr>
            </w:pPr>
            <w:r w:rsidRPr="002441D8">
              <w:rPr>
                <w:rFonts w:ascii="Arial" w:hAnsi="Arial" w:cs="Arial"/>
                <w:sz w:val="14"/>
                <w:szCs w:val="14"/>
              </w:rPr>
              <w:t>49 years [25-57]</w:t>
            </w:r>
          </w:p>
        </w:tc>
        <w:tc>
          <w:tcPr>
            <w:tcW w:w="1134" w:type="dxa"/>
          </w:tcPr>
          <w:p w14:paraId="728F0125" w14:textId="77777777" w:rsidR="000E2B3F" w:rsidRPr="002441D8" w:rsidRDefault="000E2B3F" w:rsidP="000E2B3F">
            <w:pPr>
              <w:rPr>
                <w:rFonts w:ascii="Arial" w:hAnsi="Arial" w:cs="Arial"/>
                <w:sz w:val="14"/>
                <w:szCs w:val="14"/>
              </w:rPr>
            </w:pPr>
            <w:r w:rsidRPr="002441D8">
              <w:rPr>
                <w:rFonts w:ascii="Arial" w:hAnsi="Arial" w:cs="Arial"/>
                <w:sz w:val="14"/>
                <w:szCs w:val="14"/>
              </w:rPr>
              <w:t>CP1 100%</w:t>
            </w:r>
          </w:p>
        </w:tc>
        <w:tc>
          <w:tcPr>
            <w:tcW w:w="1701" w:type="dxa"/>
          </w:tcPr>
          <w:p w14:paraId="732BE618" w14:textId="77777777" w:rsidR="000E2B3F" w:rsidRPr="002441D8" w:rsidRDefault="000E2B3F" w:rsidP="000E2B3F">
            <w:pPr>
              <w:rPr>
                <w:rFonts w:ascii="Arial" w:hAnsi="Arial" w:cs="Arial"/>
                <w:sz w:val="14"/>
                <w:szCs w:val="14"/>
              </w:rPr>
            </w:pPr>
            <w:r w:rsidRPr="002441D8">
              <w:rPr>
                <w:rFonts w:ascii="Arial" w:hAnsi="Arial" w:cs="Arial"/>
                <w:sz w:val="14"/>
                <w:szCs w:val="14"/>
              </w:rPr>
              <w:t>Flu/Bu/alemtuzumab</w:t>
            </w:r>
          </w:p>
        </w:tc>
        <w:tc>
          <w:tcPr>
            <w:tcW w:w="1276" w:type="dxa"/>
          </w:tcPr>
          <w:p w14:paraId="76271815" w14:textId="77777777" w:rsidR="000E2B3F" w:rsidRPr="002441D8" w:rsidRDefault="000E2B3F" w:rsidP="000E2B3F">
            <w:pPr>
              <w:rPr>
                <w:rFonts w:ascii="Arial" w:hAnsi="Arial" w:cs="Arial"/>
                <w:sz w:val="14"/>
                <w:szCs w:val="14"/>
              </w:rPr>
            </w:pPr>
            <w:r w:rsidRPr="002441D8">
              <w:rPr>
                <w:rFonts w:ascii="Arial" w:hAnsi="Arial" w:cs="Arial"/>
                <w:sz w:val="14"/>
                <w:szCs w:val="14"/>
              </w:rPr>
              <w:t>NR</w:t>
            </w:r>
          </w:p>
        </w:tc>
        <w:tc>
          <w:tcPr>
            <w:tcW w:w="1417" w:type="dxa"/>
          </w:tcPr>
          <w:p w14:paraId="54D3D716" w14:textId="77777777" w:rsidR="000E2B3F" w:rsidRPr="002441D8" w:rsidRDefault="000E2B3F" w:rsidP="000E2B3F">
            <w:pPr>
              <w:rPr>
                <w:rFonts w:ascii="Arial" w:hAnsi="Arial" w:cs="Arial"/>
                <w:sz w:val="14"/>
                <w:szCs w:val="14"/>
              </w:rPr>
            </w:pPr>
            <w:r w:rsidRPr="002441D8">
              <w:rPr>
                <w:rFonts w:ascii="Arial" w:hAnsi="Arial" w:cs="Arial"/>
                <w:sz w:val="14"/>
                <w:szCs w:val="14"/>
              </w:rPr>
              <w:t>87% at 3 years</w:t>
            </w:r>
          </w:p>
        </w:tc>
        <w:tc>
          <w:tcPr>
            <w:tcW w:w="1418" w:type="dxa"/>
          </w:tcPr>
          <w:p w14:paraId="5DEF51C3" w14:textId="77777777" w:rsidR="000E2B3F" w:rsidRPr="002441D8" w:rsidRDefault="000E2B3F" w:rsidP="000E2B3F">
            <w:pPr>
              <w:rPr>
                <w:rFonts w:ascii="Arial" w:hAnsi="Arial" w:cs="Arial"/>
                <w:sz w:val="14"/>
                <w:szCs w:val="14"/>
              </w:rPr>
            </w:pPr>
            <w:r w:rsidRPr="002441D8">
              <w:rPr>
                <w:rFonts w:ascii="Arial" w:hAnsi="Arial" w:cs="Arial"/>
                <w:sz w:val="14"/>
                <w:szCs w:val="14"/>
              </w:rPr>
              <w:t>0% at 100d, 4% at 1 year</w:t>
            </w:r>
          </w:p>
        </w:tc>
        <w:tc>
          <w:tcPr>
            <w:tcW w:w="1843" w:type="dxa"/>
          </w:tcPr>
          <w:p w14:paraId="41209FD3" w14:textId="77777777" w:rsidR="000E2B3F" w:rsidRPr="002441D8" w:rsidRDefault="000E2B3F" w:rsidP="000E2B3F">
            <w:pPr>
              <w:rPr>
                <w:rFonts w:ascii="Arial" w:hAnsi="Arial" w:cs="Arial"/>
                <w:sz w:val="14"/>
                <w:szCs w:val="14"/>
              </w:rPr>
            </w:pPr>
            <w:r w:rsidRPr="002441D8">
              <w:rPr>
                <w:rFonts w:ascii="Arial" w:hAnsi="Arial" w:cs="Arial"/>
                <w:sz w:val="14"/>
                <w:szCs w:val="14"/>
              </w:rPr>
              <w:t>4%</w:t>
            </w:r>
          </w:p>
        </w:tc>
        <w:tc>
          <w:tcPr>
            <w:tcW w:w="2126" w:type="dxa"/>
          </w:tcPr>
          <w:p w14:paraId="1BA03068" w14:textId="77777777" w:rsidR="000E2B3F" w:rsidRPr="002441D8" w:rsidRDefault="000E2B3F" w:rsidP="000E2B3F">
            <w:pPr>
              <w:rPr>
                <w:rFonts w:ascii="Arial" w:hAnsi="Arial" w:cs="Arial"/>
                <w:sz w:val="14"/>
                <w:szCs w:val="14"/>
              </w:rPr>
            </w:pPr>
            <w:r w:rsidRPr="002441D8">
              <w:rPr>
                <w:rFonts w:ascii="Arial" w:hAnsi="Arial" w:cs="Arial"/>
                <w:sz w:val="14"/>
                <w:szCs w:val="14"/>
              </w:rPr>
              <w:t>0%</w:t>
            </w:r>
          </w:p>
        </w:tc>
      </w:tr>
      <w:tr w:rsidR="000E2B3F" w:rsidRPr="002441D8" w14:paraId="798020B6" w14:textId="77777777" w:rsidTr="000E2B3F">
        <w:tc>
          <w:tcPr>
            <w:tcW w:w="993" w:type="dxa"/>
          </w:tcPr>
          <w:p w14:paraId="6ADC10FC" w14:textId="77777777" w:rsidR="000E2B3F" w:rsidRPr="002441D8" w:rsidRDefault="000E2B3F" w:rsidP="000E2B3F">
            <w:pPr>
              <w:rPr>
                <w:rFonts w:ascii="Arial" w:hAnsi="Arial" w:cs="Arial"/>
                <w:sz w:val="14"/>
                <w:szCs w:val="14"/>
                <w:shd w:val="clear" w:color="auto" w:fill="FFFFFF"/>
              </w:rPr>
            </w:pPr>
            <w:r w:rsidRPr="002441D8">
              <w:rPr>
                <w:rFonts w:ascii="Arial" w:hAnsi="Arial" w:cs="Arial"/>
                <w:sz w:val="14"/>
                <w:szCs w:val="14"/>
                <w:shd w:val="clear" w:color="auto" w:fill="FFFFFF"/>
              </w:rPr>
              <w:t xml:space="preserve">Luo </w:t>
            </w:r>
            <w:r w:rsidRPr="002441D8">
              <w:rPr>
                <w:rFonts w:ascii="Arial" w:hAnsi="Arial" w:cs="Arial"/>
                <w:i/>
                <w:sz w:val="14"/>
                <w:szCs w:val="14"/>
                <w:shd w:val="clear" w:color="auto" w:fill="FFFFFF"/>
              </w:rPr>
              <w:t>et al</w:t>
            </w:r>
            <w:r w:rsidRPr="002441D8">
              <w:rPr>
                <w:rFonts w:ascii="Arial" w:hAnsi="Arial" w:cs="Arial"/>
                <w:sz w:val="14"/>
                <w:szCs w:val="14"/>
                <w:shd w:val="clear" w:color="auto" w:fill="FFFFFF"/>
              </w:rPr>
              <w:t xml:space="preserve"> 2009</w:t>
            </w:r>
            <w:r w:rsidRPr="002441D8">
              <w:rPr>
                <w:rFonts w:ascii="Arial" w:hAnsi="Arial" w:cs="Arial"/>
                <w:sz w:val="14"/>
                <w:szCs w:val="14"/>
                <w:shd w:val="clear" w:color="auto" w:fill="FFFFFF"/>
                <w:vertAlign w:val="superscript"/>
              </w:rPr>
              <w:t>67</w:t>
            </w:r>
          </w:p>
        </w:tc>
        <w:tc>
          <w:tcPr>
            <w:tcW w:w="1276" w:type="dxa"/>
          </w:tcPr>
          <w:p w14:paraId="17847721" w14:textId="77777777" w:rsidR="000E2B3F" w:rsidRPr="002441D8" w:rsidRDefault="000E2B3F" w:rsidP="000E2B3F">
            <w:pPr>
              <w:rPr>
                <w:rFonts w:ascii="Arial" w:hAnsi="Arial" w:cs="Arial"/>
                <w:sz w:val="14"/>
                <w:szCs w:val="14"/>
              </w:rPr>
            </w:pPr>
            <w:r w:rsidRPr="002441D8">
              <w:rPr>
                <w:rFonts w:ascii="Arial" w:hAnsi="Arial" w:cs="Arial"/>
                <w:sz w:val="14"/>
                <w:szCs w:val="14"/>
              </w:rPr>
              <w:t xml:space="preserve">28 / </w:t>
            </w:r>
          </w:p>
          <w:p w14:paraId="4FDAEFE6" w14:textId="77777777" w:rsidR="000E2B3F" w:rsidRPr="002441D8" w:rsidRDefault="000E2B3F" w:rsidP="000E2B3F">
            <w:pPr>
              <w:rPr>
                <w:rFonts w:ascii="Arial" w:hAnsi="Arial" w:cs="Arial"/>
                <w:sz w:val="14"/>
                <w:szCs w:val="14"/>
              </w:rPr>
            </w:pPr>
            <w:r w:rsidRPr="002441D8">
              <w:rPr>
                <w:rFonts w:ascii="Arial" w:hAnsi="Arial" w:cs="Arial"/>
                <w:sz w:val="14"/>
                <w:szCs w:val="14"/>
              </w:rPr>
              <w:t>26 years [17-49]</w:t>
            </w:r>
          </w:p>
        </w:tc>
        <w:tc>
          <w:tcPr>
            <w:tcW w:w="1134" w:type="dxa"/>
          </w:tcPr>
          <w:p w14:paraId="1D322C43" w14:textId="77777777" w:rsidR="000E2B3F" w:rsidRPr="002441D8" w:rsidRDefault="000E2B3F" w:rsidP="000E2B3F">
            <w:pPr>
              <w:rPr>
                <w:rFonts w:ascii="Arial" w:hAnsi="Arial" w:cs="Arial"/>
                <w:sz w:val="14"/>
                <w:szCs w:val="14"/>
              </w:rPr>
            </w:pPr>
            <w:r w:rsidRPr="002441D8">
              <w:rPr>
                <w:rFonts w:ascii="Arial" w:hAnsi="Arial" w:cs="Arial"/>
                <w:sz w:val="14"/>
                <w:szCs w:val="14"/>
              </w:rPr>
              <w:t>CP1 100%</w:t>
            </w:r>
          </w:p>
        </w:tc>
        <w:tc>
          <w:tcPr>
            <w:tcW w:w="1701" w:type="dxa"/>
          </w:tcPr>
          <w:p w14:paraId="28D8DAC9" w14:textId="77777777" w:rsidR="000E2B3F" w:rsidRPr="002441D8" w:rsidRDefault="000E2B3F" w:rsidP="000E2B3F">
            <w:pPr>
              <w:rPr>
                <w:rFonts w:ascii="Arial" w:hAnsi="Arial" w:cs="Arial"/>
                <w:sz w:val="14"/>
                <w:szCs w:val="14"/>
              </w:rPr>
            </w:pPr>
            <w:r w:rsidRPr="002441D8">
              <w:rPr>
                <w:rFonts w:ascii="Arial" w:hAnsi="Arial" w:cs="Arial"/>
                <w:sz w:val="14"/>
                <w:szCs w:val="14"/>
              </w:rPr>
              <w:t>Flu/Bu/ATG</w:t>
            </w:r>
          </w:p>
        </w:tc>
        <w:tc>
          <w:tcPr>
            <w:tcW w:w="1276" w:type="dxa"/>
          </w:tcPr>
          <w:p w14:paraId="224E1FB2" w14:textId="77777777" w:rsidR="000E2B3F" w:rsidRPr="002441D8" w:rsidRDefault="000E2B3F" w:rsidP="000E2B3F">
            <w:pPr>
              <w:rPr>
                <w:rFonts w:ascii="Arial" w:hAnsi="Arial" w:cs="Arial"/>
                <w:sz w:val="14"/>
                <w:szCs w:val="14"/>
              </w:rPr>
            </w:pPr>
            <w:r w:rsidRPr="002441D8">
              <w:rPr>
                <w:rFonts w:ascii="Arial" w:hAnsi="Arial" w:cs="Arial"/>
                <w:sz w:val="14"/>
                <w:szCs w:val="14"/>
              </w:rPr>
              <w:t>67% at 3 years</w:t>
            </w:r>
          </w:p>
        </w:tc>
        <w:tc>
          <w:tcPr>
            <w:tcW w:w="1417" w:type="dxa"/>
          </w:tcPr>
          <w:p w14:paraId="2A22BEDD" w14:textId="77777777" w:rsidR="000E2B3F" w:rsidRPr="002441D8" w:rsidRDefault="000E2B3F" w:rsidP="000E2B3F">
            <w:pPr>
              <w:rPr>
                <w:rFonts w:ascii="Arial" w:hAnsi="Arial" w:cs="Arial"/>
                <w:sz w:val="14"/>
                <w:szCs w:val="14"/>
              </w:rPr>
            </w:pPr>
            <w:r w:rsidRPr="002441D8">
              <w:rPr>
                <w:rFonts w:ascii="Arial" w:hAnsi="Arial" w:cs="Arial"/>
                <w:sz w:val="14"/>
                <w:szCs w:val="14"/>
              </w:rPr>
              <w:t>81% at 3 years</w:t>
            </w:r>
          </w:p>
        </w:tc>
        <w:tc>
          <w:tcPr>
            <w:tcW w:w="1418" w:type="dxa"/>
          </w:tcPr>
          <w:p w14:paraId="1200FDE7" w14:textId="77777777" w:rsidR="000E2B3F" w:rsidRPr="002441D8" w:rsidRDefault="000E2B3F" w:rsidP="000E2B3F">
            <w:pPr>
              <w:rPr>
                <w:rFonts w:ascii="Arial" w:hAnsi="Arial" w:cs="Arial"/>
                <w:sz w:val="14"/>
                <w:szCs w:val="14"/>
              </w:rPr>
            </w:pPr>
            <w:r w:rsidRPr="002441D8">
              <w:rPr>
                <w:rFonts w:ascii="Arial" w:hAnsi="Arial" w:cs="Arial"/>
                <w:sz w:val="14"/>
                <w:szCs w:val="14"/>
              </w:rPr>
              <w:t>‘”early” TRM 4%,</w:t>
            </w:r>
          </w:p>
          <w:p w14:paraId="4B1943AF" w14:textId="77777777" w:rsidR="000E2B3F" w:rsidRPr="002441D8" w:rsidRDefault="000E2B3F" w:rsidP="000E2B3F">
            <w:pPr>
              <w:rPr>
                <w:rFonts w:ascii="Arial" w:hAnsi="Arial" w:cs="Arial"/>
                <w:sz w:val="14"/>
                <w:szCs w:val="14"/>
              </w:rPr>
            </w:pPr>
            <w:r w:rsidRPr="002441D8">
              <w:rPr>
                <w:rFonts w:ascii="Arial" w:hAnsi="Arial" w:cs="Arial"/>
                <w:sz w:val="14"/>
                <w:szCs w:val="14"/>
              </w:rPr>
              <w:t>15% at 32 years</w:t>
            </w:r>
          </w:p>
        </w:tc>
        <w:tc>
          <w:tcPr>
            <w:tcW w:w="1843" w:type="dxa"/>
          </w:tcPr>
          <w:p w14:paraId="23467654" w14:textId="77777777" w:rsidR="000E2B3F" w:rsidRPr="002441D8" w:rsidRDefault="000E2B3F" w:rsidP="000E2B3F">
            <w:pPr>
              <w:rPr>
                <w:rFonts w:ascii="Arial" w:hAnsi="Arial" w:cs="Arial"/>
                <w:sz w:val="14"/>
                <w:szCs w:val="14"/>
              </w:rPr>
            </w:pPr>
            <w:r w:rsidRPr="002441D8">
              <w:rPr>
                <w:rFonts w:ascii="Arial" w:hAnsi="Arial" w:cs="Arial"/>
                <w:sz w:val="14"/>
                <w:szCs w:val="14"/>
              </w:rPr>
              <w:t>7%</w:t>
            </w:r>
          </w:p>
        </w:tc>
        <w:tc>
          <w:tcPr>
            <w:tcW w:w="2126" w:type="dxa"/>
          </w:tcPr>
          <w:p w14:paraId="6136419D" w14:textId="77777777" w:rsidR="000E2B3F" w:rsidRPr="002441D8" w:rsidRDefault="000E2B3F" w:rsidP="000E2B3F">
            <w:pPr>
              <w:rPr>
                <w:rFonts w:ascii="Arial" w:hAnsi="Arial" w:cs="Arial"/>
                <w:sz w:val="14"/>
                <w:szCs w:val="14"/>
              </w:rPr>
            </w:pPr>
            <w:r w:rsidRPr="002441D8">
              <w:rPr>
                <w:rFonts w:ascii="Arial" w:hAnsi="Arial" w:cs="Arial"/>
                <w:sz w:val="14"/>
                <w:szCs w:val="14"/>
              </w:rPr>
              <w:t>1 yr CI 48%</w:t>
            </w:r>
          </w:p>
        </w:tc>
      </w:tr>
      <w:tr w:rsidR="000E2B3F" w:rsidRPr="002441D8" w14:paraId="722E0298" w14:textId="77777777" w:rsidTr="000E2B3F">
        <w:tc>
          <w:tcPr>
            <w:tcW w:w="993" w:type="dxa"/>
          </w:tcPr>
          <w:p w14:paraId="4373EFE9" w14:textId="77777777" w:rsidR="000E2B3F" w:rsidRPr="002441D8" w:rsidRDefault="000E2B3F" w:rsidP="000E2B3F">
            <w:pPr>
              <w:rPr>
                <w:rFonts w:ascii="Arial" w:hAnsi="Arial" w:cs="Arial"/>
                <w:sz w:val="14"/>
                <w:szCs w:val="14"/>
                <w:shd w:val="clear" w:color="auto" w:fill="FFFFFF"/>
              </w:rPr>
            </w:pPr>
            <w:r w:rsidRPr="002441D8">
              <w:rPr>
                <w:rFonts w:ascii="Arial" w:hAnsi="Arial" w:cs="Arial"/>
                <w:sz w:val="14"/>
                <w:szCs w:val="14"/>
                <w:shd w:val="clear" w:color="auto" w:fill="FFFFFF"/>
              </w:rPr>
              <w:t>Topcuoglu et al 2012</w:t>
            </w:r>
            <w:r w:rsidRPr="002441D8">
              <w:rPr>
                <w:rFonts w:ascii="Arial" w:hAnsi="Arial" w:cs="Arial"/>
                <w:sz w:val="14"/>
                <w:szCs w:val="14"/>
                <w:shd w:val="clear" w:color="auto" w:fill="FFFFFF"/>
                <w:vertAlign w:val="superscript"/>
              </w:rPr>
              <w:t>74</w:t>
            </w:r>
          </w:p>
        </w:tc>
        <w:tc>
          <w:tcPr>
            <w:tcW w:w="1276" w:type="dxa"/>
          </w:tcPr>
          <w:p w14:paraId="51C798FB" w14:textId="77777777" w:rsidR="000E2B3F" w:rsidRPr="002441D8" w:rsidRDefault="000E2B3F" w:rsidP="000E2B3F">
            <w:pPr>
              <w:rPr>
                <w:rFonts w:ascii="Arial" w:hAnsi="Arial" w:cs="Arial"/>
                <w:sz w:val="14"/>
                <w:szCs w:val="14"/>
              </w:rPr>
            </w:pPr>
            <w:r w:rsidRPr="002441D8">
              <w:rPr>
                <w:rFonts w:ascii="Arial" w:hAnsi="Arial" w:cs="Arial"/>
                <w:sz w:val="14"/>
                <w:szCs w:val="14"/>
              </w:rPr>
              <w:t xml:space="preserve">28 </w:t>
            </w:r>
          </w:p>
          <w:p w14:paraId="7144BF21" w14:textId="77777777" w:rsidR="000E2B3F" w:rsidRPr="002441D8" w:rsidRDefault="000E2B3F" w:rsidP="000E2B3F">
            <w:pPr>
              <w:rPr>
                <w:rFonts w:ascii="Arial" w:hAnsi="Arial" w:cs="Arial"/>
                <w:sz w:val="14"/>
                <w:szCs w:val="14"/>
              </w:rPr>
            </w:pPr>
            <w:r w:rsidRPr="002441D8">
              <w:rPr>
                <w:rFonts w:ascii="Arial" w:hAnsi="Arial" w:cs="Arial"/>
                <w:sz w:val="14"/>
                <w:szCs w:val="14"/>
              </w:rPr>
              <w:t>40 years (21–57)</w:t>
            </w:r>
          </w:p>
        </w:tc>
        <w:tc>
          <w:tcPr>
            <w:tcW w:w="1134" w:type="dxa"/>
          </w:tcPr>
          <w:p w14:paraId="75654F0B" w14:textId="77777777" w:rsidR="000E2B3F" w:rsidRPr="002441D8" w:rsidRDefault="000E2B3F" w:rsidP="000E2B3F">
            <w:pPr>
              <w:rPr>
                <w:rFonts w:ascii="Arial" w:hAnsi="Arial" w:cs="Arial"/>
                <w:sz w:val="14"/>
                <w:szCs w:val="14"/>
              </w:rPr>
            </w:pPr>
            <w:r w:rsidRPr="002441D8">
              <w:rPr>
                <w:rFonts w:ascii="Arial" w:hAnsi="Arial" w:cs="Arial"/>
                <w:sz w:val="14"/>
                <w:szCs w:val="14"/>
              </w:rPr>
              <w:t xml:space="preserve">CP1 71%, </w:t>
            </w:r>
          </w:p>
          <w:p w14:paraId="4A965527" w14:textId="77777777" w:rsidR="000E2B3F" w:rsidRPr="002441D8" w:rsidRDefault="000E2B3F" w:rsidP="000E2B3F">
            <w:pPr>
              <w:rPr>
                <w:rFonts w:ascii="Arial" w:hAnsi="Arial" w:cs="Arial"/>
                <w:sz w:val="14"/>
                <w:szCs w:val="14"/>
              </w:rPr>
            </w:pPr>
            <w:r w:rsidRPr="002441D8">
              <w:rPr>
                <w:rFonts w:ascii="Arial" w:hAnsi="Arial" w:cs="Arial"/>
                <w:sz w:val="14"/>
                <w:szCs w:val="14"/>
              </w:rPr>
              <w:t>CP2 7%,</w:t>
            </w:r>
          </w:p>
          <w:p w14:paraId="044D9243" w14:textId="77777777" w:rsidR="000E2B3F" w:rsidRPr="002441D8" w:rsidRDefault="000E2B3F" w:rsidP="000E2B3F">
            <w:pPr>
              <w:rPr>
                <w:rFonts w:ascii="Arial" w:hAnsi="Arial" w:cs="Arial"/>
                <w:sz w:val="14"/>
                <w:szCs w:val="14"/>
              </w:rPr>
            </w:pPr>
            <w:r w:rsidRPr="002441D8">
              <w:rPr>
                <w:rFonts w:ascii="Arial" w:hAnsi="Arial" w:cs="Arial"/>
                <w:sz w:val="14"/>
                <w:szCs w:val="14"/>
              </w:rPr>
              <w:t>AP 21%</w:t>
            </w:r>
          </w:p>
        </w:tc>
        <w:tc>
          <w:tcPr>
            <w:tcW w:w="1701" w:type="dxa"/>
          </w:tcPr>
          <w:p w14:paraId="2EF0C6B1" w14:textId="77777777" w:rsidR="000E2B3F" w:rsidRPr="002441D8" w:rsidRDefault="000E2B3F" w:rsidP="000E2B3F">
            <w:pPr>
              <w:rPr>
                <w:rFonts w:ascii="Arial" w:hAnsi="Arial" w:cs="Arial"/>
                <w:sz w:val="14"/>
                <w:szCs w:val="14"/>
              </w:rPr>
            </w:pPr>
            <w:r w:rsidRPr="002441D8">
              <w:rPr>
                <w:rFonts w:ascii="Arial" w:hAnsi="Arial" w:cs="Arial"/>
                <w:sz w:val="14"/>
                <w:szCs w:val="14"/>
              </w:rPr>
              <w:t>Flu/Bu/ATG 36%,</w:t>
            </w:r>
          </w:p>
          <w:p w14:paraId="66035089" w14:textId="77777777" w:rsidR="000E2B3F" w:rsidRPr="002441D8" w:rsidRDefault="000E2B3F" w:rsidP="000E2B3F">
            <w:pPr>
              <w:rPr>
                <w:rFonts w:ascii="Arial" w:hAnsi="Arial" w:cs="Arial"/>
                <w:sz w:val="14"/>
                <w:szCs w:val="14"/>
              </w:rPr>
            </w:pPr>
            <w:r w:rsidRPr="002441D8">
              <w:rPr>
                <w:rFonts w:ascii="Arial" w:hAnsi="Arial" w:cs="Arial"/>
                <w:sz w:val="14"/>
                <w:szCs w:val="14"/>
              </w:rPr>
              <w:t>Flu/Bu 39%,</w:t>
            </w:r>
          </w:p>
          <w:p w14:paraId="2835889D" w14:textId="77777777" w:rsidR="000E2B3F" w:rsidRPr="002441D8" w:rsidRDefault="000E2B3F" w:rsidP="000E2B3F">
            <w:pPr>
              <w:rPr>
                <w:rFonts w:ascii="Arial" w:hAnsi="Arial" w:cs="Arial"/>
                <w:sz w:val="14"/>
                <w:szCs w:val="14"/>
              </w:rPr>
            </w:pPr>
            <w:r w:rsidRPr="002441D8">
              <w:rPr>
                <w:rFonts w:ascii="Arial" w:hAnsi="Arial" w:cs="Arial"/>
                <w:sz w:val="14"/>
                <w:szCs w:val="14"/>
              </w:rPr>
              <w:t xml:space="preserve">Flu/AraC/ATG 14%, </w:t>
            </w:r>
          </w:p>
          <w:p w14:paraId="28C6B7A4" w14:textId="77777777" w:rsidR="000E2B3F" w:rsidRPr="002441D8" w:rsidRDefault="000E2B3F" w:rsidP="000E2B3F">
            <w:pPr>
              <w:rPr>
                <w:rFonts w:ascii="Arial" w:hAnsi="Arial" w:cs="Arial"/>
                <w:sz w:val="14"/>
                <w:szCs w:val="14"/>
              </w:rPr>
            </w:pPr>
            <w:r w:rsidRPr="002441D8">
              <w:rPr>
                <w:rFonts w:ascii="Arial" w:hAnsi="Arial" w:cs="Arial"/>
                <w:sz w:val="14"/>
                <w:szCs w:val="14"/>
              </w:rPr>
              <w:t>Flu/Cyclo 4%`</w:t>
            </w:r>
          </w:p>
        </w:tc>
        <w:tc>
          <w:tcPr>
            <w:tcW w:w="1276" w:type="dxa"/>
          </w:tcPr>
          <w:p w14:paraId="6A7FE8CA" w14:textId="77777777" w:rsidR="000E2B3F" w:rsidRPr="002441D8" w:rsidRDefault="000E2B3F" w:rsidP="000E2B3F">
            <w:pPr>
              <w:rPr>
                <w:rFonts w:ascii="Arial" w:hAnsi="Arial" w:cs="Arial"/>
                <w:sz w:val="14"/>
                <w:szCs w:val="14"/>
              </w:rPr>
            </w:pPr>
            <w:r w:rsidRPr="002441D8">
              <w:rPr>
                <w:rFonts w:ascii="Arial" w:hAnsi="Arial" w:cs="Arial"/>
                <w:sz w:val="14"/>
                <w:szCs w:val="14"/>
              </w:rPr>
              <w:t>48% at  5 years*</w:t>
            </w:r>
          </w:p>
        </w:tc>
        <w:tc>
          <w:tcPr>
            <w:tcW w:w="1417" w:type="dxa"/>
          </w:tcPr>
          <w:p w14:paraId="481281E5" w14:textId="77777777" w:rsidR="000E2B3F" w:rsidRPr="002441D8" w:rsidRDefault="000E2B3F" w:rsidP="000E2B3F">
            <w:pPr>
              <w:rPr>
                <w:rFonts w:ascii="Arial" w:hAnsi="Arial" w:cs="Arial"/>
                <w:sz w:val="14"/>
                <w:szCs w:val="14"/>
              </w:rPr>
            </w:pPr>
            <w:r w:rsidRPr="002441D8">
              <w:rPr>
                <w:rFonts w:ascii="Arial" w:hAnsi="Arial" w:cs="Arial"/>
                <w:sz w:val="14"/>
                <w:szCs w:val="14"/>
              </w:rPr>
              <w:t>56% at 5 year*</w:t>
            </w:r>
          </w:p>
        </w:tc>
        <w:tc>
          <w:tcPr>
            <w:tcW w:w="1418" w:type="dxa"/>
          </w:tcPr>
          <w:p w14:paraId="090E1958" w14:textId="77777777" w:rsidR="000E2B3F" w:rsidRPr="002441D8" w:rsidRDefault="000E2B3F" w:rsidP="000E2B3F">
            <w:pPr>
              <w:rPr>
                <w:rFonts w:ascii="Arial" w:hAnsi="Arial" w:cs="Arial"/>
                <w:sz w:val="14"/>
                <w:szCs w:val="14"/>
              </w:rPr>
            </w:pPr>
            <w:r w:rsidRPr="002441D8">
              <w:rPr>
                <w:rFonts w:ascii="Arial" w:hAnsi="Arial" w:cs="Arial"/>
                <w:sz w:val="14"/>
                <w:szCs w:val="14"/>
              </w:rPr>
              <w:t>Early TRM 7%</w:t>
            </w:r>
          </w:p>
        </w:tc>
        <w:tc>
          <w:tcPr>
            <w:tcW w:w="1843" w:type="dxa"/>
          </w:tcPr>
          <w:p w14:paraId="7CEEEEB3" w14:textId="77777777" w:rsidR="000E2B3F" w:rsidRPr="002441D8" w:rsidRDefault="000E2B3F" w:rsidP="000E2B3F">
            <w:pPr>
              <w:spacing w:line="360" w:lineRule="auto"/>
              <w:rPr>
                <w:rFonts w:ascii="Arial" w:hAnsi="Arial" w:cs="Arial"/>
                <w:sz w:val="14"/>
                <w:szCs w:val="14"/>
              </w:rPr>
            </w:pPr>
            <w:r w:rsidRPr="002441D8">
              <w:rPr>
                <w:rFonts w:ascii="Arial" w:hAnsi="Arial" w:cs="Arial"/>
                <w:sz w:val="14"/>
                <w:szCs w:val="14"/>
              </w:rPr>
              <w:t>31%</w:t>
            </w:r>
          </w:p>
        </w:tc>
        <w:tc>
          <w:tcPr>
            <w:tcW w:w="2126" w:type="dxa"/>
          </w:tcPr>
          <w:p w14:paraId="75484FE5" w14:textId="77777777" w:rsidR="000E2B3F" w:rsidRPr="002441D8" w:rsidRDefault="000E2B3F" w:rsidP="000E2B3F">
            <w:pPr>
              <w:rPr>
                <w:rFonts w:ascii="Arial" w:hAnsi="Arial" w:cs="Arial"/>
                <w:sz w:val="14"/>
                <w:szCs w:val="14"/>
              </w:rPr>
            </w:pPr>
            <w:r w:rsidRPr="002441D8">
              <w:rPr>
                <w:rFonts w:ascii="Arial" w:hAnsi="Arial" w:cs="Arial"/>
                <w:sz w:val="14"/>
                <w:szCs w:val="14"/>
              </w:rPr>
              <w:t>72%</w:t>
            </w:r>
          </w:p>
        </w:tc>
      </w:tr>
      <w:tr w:rsidR="000E2B3F" w:rsidRPr="002441D8" w14:paraId="031BB263" w14:textId="77777777" w:rsidTr="000E2B3F">
        <w:tc>
          <w:tcPr>
            <w:tcW w:w="993" w:type="dxa"/>
          </w:tcPr>
          <w:p w14:paraId="6A266B8A" w14:textId="77777777" w:rsidR="000E2B3F" w:rsidRPr="002441D8" w:rsidRDefault="000E2B3F" w:rsidP="000E2B3F">
            <w:pPr>
              <w:rPr>
                <w:rFonts w:ascii="Arial" w:hAnsi="Arial" w:cs="Arial"/>
                <w:sz w:val="14"/>
                <w:szCs w:val="14"/>
                <w:shd w:val="clear" w:color="auto" w:fill="FFFFFF"/>
              </w:rPr>
            </w:pPr>
            <w:r w:rsidRPr="002441D8">
              <w:rPr>
                <w:rFonts w:ascii="Arial" w:hAnsi="Arial" w:cs="Arial"/>
                <w:sz w:val="14"/>
                <w:szCs w:val="14"/>
                <w:shd w:val="clear" w:color="auto" w:fill="FFFFFF"/>
              </w:rPr>
              <w:t>Warlick et al 2012</w:t>
            </w:r>
            <w:r w:rsidRPr="002441D8">
              <w:rPr>
                <w:rFonts w:ascii="Arial" w:hAnsi="Arial" w:cs="Arial"/>
                <w:sz w:val="14"/>
                <w:szCs w:val="14"/>
                <w:shd w:val="clear" w:color="auto" w:fill="FFFFFF"/>
                <w:vertAlign w:val="superscript"/>
              </w:rPr>
              <w:t>73</w:t>
            </w:r>
          </w:p>
        </w:tc>
        <w:tc>
          <w:tcPr>
            <w:tcW w:w="1276" w:type="dxa"/>
          </w:tcPr>
          <w:p w14:paraId="5EF883BE" w14:textId="77777777" w:rsidR="000E2B3F" w:rsidRPr="002441D8" w:rsidRDefault="000E2B3F" w:rsidP="000E2B3F">
            <w:pPr>
              <w:rPr>
                <w:rFonts w:ascii="Arial" w:hAnsi="Arial" w:cs="Arial"/>
                <w:sz w:val="14"/>
                <w:szCs w:val="14"/>
              </w:rPr>
            </w:pPr>
            <w:r w:rsidRPr="002441D8">
              <w:rPr>
                <w:rFonts w:ascii="Arial" w:hAnsi="Arial" w:cs="Arial"/>
                <w:sz w:val="14"/>
                <w:szCs w:val="14"/>
              </w:rPr>
              <w:t>306</w:t>
            </w:r>
          </w:p>
          <w:p w14:paraId="7EE2FE77" w14:textId="77777777" w:rsidR="000E2B3F" w:rsidRPr="002441D8" w:rsidRDefault="000E2B3F" w:rsidP="000E2B3F">
            <w:pPr>
              <w:rPr>
                <w:rFonts w:ascii="Arial" w:hAnsi="Arial" w:cs="Arial"/>
                <w:sz w:val="14"/>
                <w:szCs w:val="14"/>
              </w:rPr>
            </w:pPr>
            <w:r w:rsidRPr="002441D8">
              <w:rPr>
                <w:rFonts w:ascii="Arial" w:hAnsi="Arial" w:cs="Arial"/>
                <w:sz w:val="14"/>
                <w:szCs w:val="14"/>
              </w:rPr>
              <w:t>117 40-49 years (44)</w:t>
            </w:r>
          </w:p>
          <w:p w14:paraId="65491164" w14:textId="77777777" w:rsidR="000E2B3F" w:rsidRPr="002441D8" w:rsidRDefault="000E2B3F" w:rsidP="000E2B3F">
            <w:pPr>
              <w:rPr>
                <w:rFonts w:ascii="Arial" w:hAnsi="Arial" w:cs="Arial"/>
                <w:sz w:val="14"/>
                <w:szCs w:val="14"/>
              </w:rPr>
            </w:pPr>
            <w:r w:rsidRPr="002441D8">
              <w:rPr>
                <w:rFonts w:ascii="Arial" w:hAnsi="Arial" w:cs="Arial"/>
                <w:sz w:val="14"/>
                <w:szCs w:val="14"/>
              </w:rPr>
              <w:t>119 50-59 years (55)</w:t>
            </w:r>
          </w:p>
          <w:p w14:paraId="3F2D1467" w14:textId="77777777" w:rsidR="000E2B3F" w:rsidRPr="002441D8" w:rsidRDefault="000E2B3F" w:rsidP="000E2B3F">
            <w:pPr>
              <w:rPr>
                <w:rFonts w:ascii="Arial" w:hAnsi="Arial" w:cs="Arial"/>
                <w:sz w:val="14"/>
                <w:szCs w:val="14"/>
              </w:rPr>
            </w:pPr>
            <w:r w:rsidRPr="002441D8">
              <w:rPr>
                <w:rFonts w:ascii="Arial" w:hAnsi="Arial" w:cs="Arial"/>
                <w:sz w:val="14"/>
                <w:szCs w:val="14"/>
              </w:rPr>
              <w:t xml:space="preserve">70 ≥ 60 years (70) </w:t>
            </w:r>
          </w:p>
        </w:tc>
        <w:tc>
          <w:tcPr>
            <w:tcW w:w="1134" w:type="dxa"/>
          </w:tcPr>
          <w:p w14:paraId="3F747C8C" w14:textId="77777777" w:rsidR="000E2B3F" w:rsidRPr="002441D8" w:rsidRDefault="000E2B3F" w:rsidP="000E2B3F">
            <w:pPr>
              <w:rPr>
                <w:rFonts w:ascii="Arial" w:hAnsi="Arial" w:cs="Arial"/>
                <w:sz w:val="14"/>
                <w:szCs w:val="14"/>
              </w:rPr>
            </w:pPr>
            <w:r w:rsidRPr="002441D8">
              <w:rPr>
                <w:rFonts w:ascii="Arial" w:hAnsi="Arial" w:cs="Arial"/>
                <w:sz w:val="14"/>
                <w:szCs w:val="14"/>
              </w:rPr>
              <w:t xml:space="preserve">CP1 52%, </w:t>
            </w:r>
          </w:p>
          <w:p w14:paraId="72DAEB7C" w14:textId="77777777" w:rsidR="000E2B3F" w:rsidRPr="002441D8" w:rsidRDefault="000E2B3F" w:rsidP="000E2B3F">
            <w:pPr>
              <w:rPr>
                <w:rFonts w:ascii="Arial" w:hAnsi="Arial" w:cs="Arial"/>
                <w:sz w:val="14"/>
                <w:szCs w:val="14"/>
              </w:rPr>
            </w:pPr>
            <w:r w:rsidRPr="002441D8">
              <w:rPr>
                <w:rFonts w:ascii="Arial" w:hAnsi="Arial" w:cs="Arial"/>
                <w:sz w:val="14"/>
                <w:szCs w:val="14"/>
              </w:rPr>
              <w:t>CP2/AP 41%,</w:t>
            </w:r>
          </w:p>
          <w:p w14:paraId="5388F213" w14:textId="77777777" w:rsidR="000E2B3F" w:rsidRPr="002441D8" w:rsidRDefault="000E2B3F" w:rsidP="000E2B3F">
            <w:pPr>
              <w:rPr>
                <w:rFonts w:ascii="Arial" w:hAnsi="Arial" w:cs="Arial"/>
                <w:sz w:val="14"/>
                <w:szCs w:val="14"/>
              </w:rPr>
            </w:pPr>
            <w:r w:rsidRPr="002441D8">
              <w:rPr>
                <w:rFonts w:ascii="Arial" w:hAnsi="Arial" w:cs="Arial"/>
                <w:sz w:val="14"/>
                <w:szCs w:val="14"/>
              </w:rPr>
              <w:t>BC 7%</w:t>
            </w:r>
          </w:p>
          <w:p w14:paraId="47BBB0D2" w14:textId="77777777" w:rsidR="000E2B3F" w:rsidRPr="002441D8" w:rsidRDefault="000E2B3F" w:rsidP="000E2B3F">
            <w:pPr>
              <w:rPr>
                <w:rFonts w:ascii="Arial" w:hAnsi="Arial" w:cs="Arial"/>
                <w:sz w:val="14"/>
                <w:szCs w:val="14"/>
              </w:rPr>
            </w:pPr>
          </w:p>
        </w:tc>
        <w:tc>
          <w:tcPr>
            <w:tcW w:w="1701" w:type="dxa"/>
          </w:tcPr>
          <w:p w14:paraId="067B540A" w14:textId="77777777" w:rsidR="000E2B3F" w:rsidRPr="002441D8" w:rsidRDefault="000E2B3F" w:rsidP="000E2B3F">
            <w:pPr>
              <w:rPr>
                <w:rFonts w:ascii="Arial" w:hAnsi="Arial" w:cs="Arial"/>
                <w:sz w:val="14"/>
                <w:szCs w:val="14"/>
              </w:rPr>
            </w:pPr>
            <w:r w:rsidRPr="002441D8">
              <w:rPr>
                <w:rFonts w:ascii="Arial" w:hAnsi="Arial" w:cs="Arial"/>
                <w:sz w:val="14"/>
                <w:szCs w:val="14"/>
              </w:rPr>
              <w:t>Mixed</w:t>
            </w:r>
          </w:p>
        </w:tc>
        <w:tc>
          <w:tcPr>
            <w:tcW w:w="1276" w:type="dxa"/>
          </w:tcPr>
          <w:p w14:paraId="4453BEC0" w14:textId="77777777" w:rsidR="000E2B3F" w:rsidRPr="002441D8" w:rsidRDefault="000E2B3F" w:rsidP="000E2B3F">
            <w:pPr>
              <w:rPr>
                <w:rFonts w:ascii="Arial" w:hAnsi="Arial" w:cs="Arial"/>
                <w:sz w:val="14"/>
                <w:szCs w:val="14"/>
              </w:rPr>
            </w:pPr>
            <w:r w:rsidRPr="002441D8">
              <w:rPr>
                <w:rFonts w:ascii="Arial" w:hAnsi="Arial" w:cs="Arial"/>
                <w:sz w:val="14"/>
                <w:szCs w:val="14"/>
              </w:rPr>
              <w:t>40-49 yrs 35%, 50-59 yrs 32%, ≥ 60 yrs 16% at 2 years (DFS)</w:t>
            </w:r>
          </w:p>
        </w:tc>
        <w:tc>
          <w:tcPr>
            <w:tcW w:w="1417" w:type="dxa"/>
          </w:tcPr>
          <w:p w14:paraId="5BC9B1A7" w14:textId="77777777" w:rsidR="000E2B3F" w:rsidRPr="002441D8" w:rsidRDefault="000E2B3F" w:rsidP="000E2B3F">
            <w:pPr>
              <w:rPr>
                <w:rFonts w:ascii="Arial" w:hAnsi="Arial" w:cs="Arial"/>
                <w:sz w:val="14"/>
                <w:szCs w:val="14"/>
              </w:rPr>
            </w:pPr>
            <w:r w:rsidRPr="002441D8">
              <w:rPr>
                <w:rFonts w:ascii="Arial" w:hAnsi="Arial" w:cs="Arial"/>
                <w:sz w:val="14"/>
                <w:szCs w:val="14"/>
              </w:rPr>
              <w:t>40-49 yrs 54%, 50-59 yrs 52%, ≥ 60 yrs 41% at 3 years</w:t>
            </w:r>
          </w:p>
        </w:tc>
        <w:tc>
          <w:tcPr>
            <w:tcW w:w="1418" w:type="dxa"/>
          </w:tcPr>
          <w:p w14:paraId="63B12EB4" w14:textId="77777777" w:rsidR="000E2B3F" w:rsidRPr="002441D8" w:rsidRDefault="000E2B3F" w:rsidP="000E2B3F">
            <w:pPr>
              <w:rPr>
                <w:rFonts w:ascii="Arial" w:hAnsi="Arial" w:cs="Arial"/>
                <w:sz w:val="14"/>
                <w:szCs w:val="14"/>
              </w:rPr>
            </w:pPr>
            <w:r w:rsidRPr="002441D8">
              <w:rPr>
                <w:rFonts w:ascii="Arial" w:hAnsi="Arial" w:cs="Arial"/>
                <w:sz w:val="14"/>
                <w:szCs w:val="14"/>
              </w:rPr>
              <w:t>40-49 yrs 13%, 50-59 yrs 7%, ≥ 60 yrs 9% at 100d</w:t>
            </w:r>
          </w:p>
        </w:tc>
        <w:tc>
          <w:tcPr>
            <w:tcW w:w="1843" w:type="dxa"/>
          </w:tcPr>
          <w:p w14:paraId="1F59A3D5" w14:textId="77777777" w:rsidR="000E2B3F" w:rsidRPr="002441D8" w:rsidRDefault="000E2B3F" w:rsidP="000E2B3F">
            <w:pPr>
              <w:spacing w:line="360" w:lineRule="auto"/>
              <w:rPr>
                <w:rFonts w:ascii="Arial" w:hAnsi="Arial" w:cs="Arial"/>
                <w:sz w:val="14"/>
                <w:szCs w:val="14"/>
              </w:rPr>
            </w:pPr>
            <w:r w:rsidRPr="002441D8">
              <w:rPr>
                <w:rFonts w:ascii="Arial" w:hAnsi="Arial" w:cs="Arial"/>
                <w:sz w:val="14"/>
                <w:szCs w:val="14"/>
              </w:rPr>
              <w:t xml:space="preserve">40-49 yrs 26%, 50-59 yrs 32%, ≥ 60 yrs 32% </w:t>
            </w:r>
          </w:p>
        </w:tc>
        <w:tc>
          <w:tcPr>
            <w:tcW w:w="2126" w:type="dxa"/>
          </w:tcPr>
          <w:p w14:paraId="4CEEE032" w14:textId="77777777" w:rsidR="000E2B3F" w:rsidRPr="002441D8" w:rsidRDefault="000E2B3F" w:rsidP="000E2B3F">
            <w:pPr>
              <w:rPr>
                <w:rFonts w:ascii="Arial" w:hAnsi="Arial" w:cs="Arial"/>
                <w:sz w:val="14"/>
                <w:szCs w:val="14"/>
              </w:rPr>
            </w:pPr>
            <w:r w:rsidRPr="002441D8">
              <w:rPr>
                <w:rFonts w:ascii="Arial" w:hAnsi="Arial" w:cs="Arial"/>
                <w:sz w:val="14"/>
                <w:szCs w:val="14"/>
              </w:rPr>
              <w:t>40-49 yrs 58%, 50-59 yrs 51%, ≥ 60 yrs 43% at 3 years</w:t>
            </w:r>
          </w:p>
        </w:tc>
      </w:tr>
    </w:tbl>
    <w:p w14:paraId="589739BC" w14:textId="77777777" w:rsidR="000E2B3F" w:rsidRPr="002441D8" w:rsidRDefault="000E2B3F">
      <w:pPr>
        <w:rPr>
          <w:sz w:val="16"/>
          <w:szCs w:val="16"/>
        </w:rPr>
      </w:pPr>
      <w:r w:rsidRPr="002441D8">
        <w:rPr>
          <w:sz w:val="16"/>
          <w:szCs w:val="16"/>
        </w:rPr>
        <w:t>* reported for combined MAC and RIC groups, with no significant difference between MAC and RIC</w:t>
      </w:r>
    </w:p>
    <w:p w14:paraId="3C8EBCDD" w14:textId="77777777" w:rsidR="000E2B3F" w:rsidRPr="002441D8" w:rsidRDefault="000E2B3F" w:rsidP="000E2B3F">
      <w:pPr>
        <w:rPr>
          <w:rFonts w:ascii="Arial" w:hAnsi="Arial" w:cs="Arial"/>
          <w:sz w:val="18"/>
          <w:szCs w:val="18"/>
        </w:rPr>
      </w:pPr>
      <w:r w:rsidRPr="002441D8">
        <w:rPr>
          <w:rFonts w:ascii="Arial" w:hAnsi="Arial" w:cs="Arial"/>
          <w:sz w:val="18"/>
          <w:szCs w:val="18"/>
        </w:rPr>
        <w:t>PFS progression free survival, OS overall survival, TRM transplant related mortality, GVHD graft versus host disease, CP1 first chronic phase, CP2 second chronic phase, AP accelerated phase, BC blast crisis, Flu fludarabine, AraC Cytarabine, Ida idarubicin, Melph melphalan, Gy Gray, TBI total body irradiation, Bu busulphan, ATG anti-thymocyte globulin, Cyclo cyclophosphamide, DBM dibromomannitol, MAC myeloablative conditioning, DFS disease free survival, RR relative risk, HR hazard ratio, DLI donor lymphocyte infusions, HSCT haematopoetic stem cell transplantation., NR not reported.</w:t>
      </w:r>
    </w:p>
    <w:p w14:paraId="4AF0336A" w14:textId="77777777" w:rsidR="000E2B3F" w:rsidRPr="002441D8" w:rsidRDefault="000E2B3F" w:rsidP="000E2B3F">
      <w:pPr>
        <w:rPr>
          <w:rFonts w:ascii="Arial" w:hAnsi="Arial" w:cs="Arial"/>
          <w:sz w:val="18"/>
          <w:szCs w:val="18"/>
        </w:rPr>
      </w:pPr>
    </w:p>
    <w:p w14:paraId="7BF14E22" w14:textId="77777777" w:rsidR="000E2B3F" w:rsidRPr="002441D8" w:rsidRDefault="000E2B3F" w:rsidP="000E2B3F">
      <w:pPr>
        <w:rPr>
          <w:rFonts w:ascii="Arial" w:hAnsi="Arial" w:cs="Arial"/>
          <w:sz w:val="18"/>
          <w:szCs w:val="18"/>
        </w:rPr>
      </w:pPr>
      <w:r w:rsidRPr="002441D8">
        <w:rPr>
          <w:rFonts w:ascii="Arial" w:hAnsi="Arial" w:cs="Arial"/>
          <w:b/>
          <w:sz w:val="18"/>
          <w:szCs w:val="18"/>
        </w:rPr>
        <w:t>Table 7</w:t>
      </w:r>
      <w:r w:rsidRPr="002441D8">
        <w:rPr>
          <w:rFonts w:ascii="Arial" w:hAnsi="Arial" w:cs="Arial"/>
          <w:sz w:val="18"/>
          <w:szCs w:val="18"/>
        </w:rPr>
        <w:t xml:space="preserve"> – Outcome of reduced intensity transplant regimens in chronic myeloid leukaemia.</w:t>
      </w:r>
    </w:p>
    <w:p w14:paraId="040AE989" w14:textId="3D9B872A" w:rsidR="000E2B3F" w:rsidRPr="002441D8" w:rsidRDefault="00CD1203">
      <w:pPr>
        <w:spacing w:after="0" w:line="240" w:lineRule="auto"/>
        <w:rPr>
          <w:sz w:val="20"/>
          <w:szCs w:val="20"/>
        </w:rPr>
        <w:sectPr w:rsidR="000E2B3F" w:rsidRPr="002441D8" w:rsidSect="000E2B3F">
          <w:endnotePr>
            <w:numFmt w:val="decimal"/>
          </w:endnotePr>
          <w:pgSz w:w="16840" w:h="11900" w:orient="landscape"/>
          <w:pgMar w:top="1440" w:right="1440" w:bottom="1440" w:left="1440" w:header="708" w:footer="708" w:gutter="0"/>
          <w:cols w:space="708"/>
          <w:docGrid w:linePitch="360"/>
        </w:sectPr>
      </w:pPr>
      <w:r w:rsidRPr="002441D8">
        <w:rPr>
          <w:sz w:val="20"/>
          <w:szCs w:val="20"/>
        </w:rPr>
        <w:br w:type="page"/>
      </w:r>
    </w:p>
    <w:p w14:paraId="3641CCD1" w14:textId="77777777" w:rsidR="000E2B3F" w:rsidRPr="002441D8" w:rsidRDefault="000E2B3F">
      <w:r w:rsidRPr="002441D8">
        <w:t>Lessons Learned from HSCT in CML</w:t>
      </w:r>
    </w:p>
    <w:p w14:paraId="155B3D81" w14:textId="77777777" w:rsidR="000E2B3F" w:rsidRPr="002441D8" w:rsidRDefault="000E2B3F">
      <w:r w:rsidRPr="002441D8">
        <w:t>* Graft versus leukaemic (GvL) effect is responsible for disease control following HSCT for CML</w:t>
      </w:r>
    </w:p>
    <w:p w14:paraId="68534498" w14:textId="77777777" w:rsidR="000E2B3F" w:rsidRPr="002441D8" w:rsidRDefault="000E2B3F">
      <w:r w:rsidRPr="002441D8">
        <w:t>* T-Cell depletion ameliorates some of the risks GVHD but at the expense of higher risk of relapse</w:t>
      </w:r>
    </w:p>
    <w:p w14:paraId="5D7B670A" w14:textId="77777777" w:rsidR="000E2B3F" w:rsidRPr="002441D8" w:rsidRDefault="000E2B3F">
      <w:r w:rsidRPr="002441D8">
        <w:t>* The GvL can be reinforced/restored with infused donor lymphocytes</w:t>
      </w:r>
    </w:p>
    <w:p w14:paraId="622CD315" w14:textId="77777777" w:rsidR="000E2B3F" w:rsidRPr="002441D8" w:rsidRDefault="000E2B3F">
      <w:r w:rsidRPr="002441D8">
        <w:t>*Non-myeloablative regimens allow delivery of a graft to exert a GvL in GvL sensitive malignancies</w:t>
      </w:r>
    </w:p>
    <w:p w14:paraId="6CAAAE68" w14:textId="77777777" w:rsidR="000E2B3F" w:rsidRPr="002441D8" w:rsidRDefault="000E2B3F">
      <w:r w:rsidRPr="002441D8">
        <w:t>* EBMT risk stratification system was developed for CML, prior to validation and acceptance across the scope of haematological malignancies</w:t>
      </w:r>
    </w:p>
    <w:p w14:paraId="6AF1CD8E" w14:textId="77777777" w:rsidR="000E2B3F" w:rsidRPr="002441D8" w:rsidRDefault="000E2B3F">
      <w:r w:rsidRPr="002441D8">
        <w:t xml:space="preserve">* Disease stage, but not disease bulk </w:t>
      </w:r>
      <w:r w:rsidRPr="002441D8">
        <w:rPr>
          <w:i/>
        </w:rPr>
        <w:t>per se</w:t>
      </w:r>
      <w:r w:rsidRPr="002441D8">
        <w:t xml:space="preserve"> impact on HSCT outcome in CML</w:t>
      </w:r>
    </w:p>
    <w:p w14:paraId="5967B180" w14:textId="77777777" w:rsidR="000E2B3F" w:rsidRPr="002441D8" w:rsidRDefault="000E2B3F">
      <w:r w:rsidRPr="002441D8">
        <w:t>* The predictive power of detection of minimal residual disease (MRD) was pioneered using detection of BCR-ABL1 following HSCT</w:t>
      </w:r>
    </w:p>
    <w:p w14:paraId="7A117182" w14:textId="77777777" w:rsidR="000E2B3F" w:rsidRPr="002441D8" w:rsidRDefault="000E2B3F"/>
    <w:p w14:paraId="0A3C8BA8" w14:textId="77777777" w:rsidR="000E2B3F" w:rsidRPr="002441D8" w:rsidRDefault="000E2B3F">
      <w:r w:rsidRPr="002441D8">
        <w:rPr>
          <w:b/>
        </w:rPr>
        <w:t>Box 1</w:t>
      </w:r>
      <w:r w:rsidRPr="002441D8">
        <w:t xml:space="preserve"> – Lessons learned from HSCT in CML. HSCT, haematopoetic stem cell transplantation, CML, chronic myeloid leukaemia, GvL, graft versus leukaemia, GVHD graft versus host disease, EBMT European Society for Blood and Marrow Transplantation, MRD, minimal residual disease.</w:t>
      </w:r>
    </w:p>
    <w:p w14:paraId="4FC65039" w14:textId="77777777" w:rsidR="000E2B3F" w:rsidRPr="002441D8" w:rsidRDefault="000E2B3F"/>
    <w:p w14:paraId="58FA223F" w14:textId="77777777" w:rsidR="000E2B3F" w:rsidRPr="002441D8" w:rsidRDefault="000E2B3F">
      <w:pPr>
        <w:spacing w:after="0" w:line="240" w:lineRule="auto"/>
        <w:rPr>
          <w:sz w:val="20"/>
          <w:szCs w:val="20"/>
        </w:rPr>
      </w:pPr>
      <w:r w:rsidRPr="002441D8">
        <w:rPr>
          <w:sz w:val="20"/>
          <w:szCs w:val="20"/>
        </w:rPr>
        <w:br w:type="page"/>
      </w:r>
    </w:p>
    <w:tbl>
      <w:tblPr>
        <w:tblStyle w:val="TableGrid"/>
        <w:tblW w:w="0" w:type="auto"/>
        <w:tblLook w:val="04A0" w:firstRow="1" w:lastRow="0" w:firstColumn="1" w:lastColumn="0" w:noHBand="0" w:noVBand="1"/>
      </w:tblPr>
      <w:tblGrid>
        <w:gridCol w:w="9236"/>
      </w:tblGrid>
      <w:tr w:rsidR="000E2B3F" w:rsidRPr="002441D8" w14:paraId="4567D60C" w14:textId="77777777" w:rsidTr="000E2B3F">
        <w:tc>
          <w:tcPr>
            <w:tcW w:w="9242" w:type="dxa"/>
          </w:tcPr>
          <w:p w14:paraId="04FBA7FA" w14:textId="77777777" w:rsidR="000E2B3F" w:rsidRPr="002441D8" w:rsidRDefault="000E2B3F">
            <w:r w:rsidRPr="002441D8">
              <w:t>Key considerations in HSCT for chronic phase</w:t>
            </w:r>
          </w:p>
        </w:tc>
      </w:tr>
      <w:tr w:rsidR="000E2B3F" w:rsidRPr="002441D8" w14:paraId="78CC992B" w14:textId="77777777" w:rsidTr="000E2B3F">
        <w:tc>
          <w:tcPr>
            <w:tcW w:w="9242" w:type="dxa"/>
          </w:tcPr>
          <w:p w14:paraId="3B8B54FD" w14:textId="77777777" w:rsidR="000E2B3F" w:rsidRPr="002441D8" w:rsidRDefault="000E2B3F" w:rsidP="000E2B3F">
            <w:r w:rsidRPr="002441D8">
              <w:t>1. Progression beyond CP prior to HSCT negatively impacts on outcome</w:t>
            </w:r>
          </w:p>
          <w:p w14:paraId="6B484473" w14:textId="77777777" w:rsidR="000E2B3F" w:rsidRPr="002441D8" w:rsidRDefault="000E2B3F" w:rsidP="000E2B3F">
            <w:r w:rsidRPr="002441D8">
              <w:t xml:space="preserve">     - Every effort must be made to identify suitable patients early, and not wait for progression</w:t>
            </w:r>
          </w:p>
          <w:p w14:paraId="4E76E81D" w14:textId="77777777" w:rsidR="000E2B3F" w:rsidRPr="002441D8" w:rsidRDefault="000E2B3F" w:rsidP="000E2B3F">
            <w:r w:rsidRPr="002441D8">
              <w:t>2. HSCT exerts disease control with graft vesus leukaemia effect, independent of TK inhibition</w:t>
            </w:r>
          </w:p>
          <w:p w14:paraId="42B36F96" w14:textId="77777777" w:rsidR="000E2B3F" w:rsidRPr="002441D8" w:rsidRDefault="000E2B3F" w:rsidP="000E2B3F">
            <w:r w:rsidRPr="002441D8">
              <w:t xml:space="preserve">     - Resistance to TKI does not therefore impact </w:t>
            </w:r>
            <w:r w:rsidRPr="002441D8">
              <w:rPr>
                <w:i/>
              </w:rPr>
              <w:t>per se</w:t>
            </w:r>
            <w:r w:rsidRPr="002441D8">
              <w:t xml:space="preserve"> on HSCT outcome</w:t>
            </w:r>
          </w:p>
        </w:tc>
      </w:tr>
    </w:tbl>
    <w:p w14:paraId="5C1CF1FE" w14:textId="77777777" w:rsidR="000E2B3F" w:rsidRPr="002441D8" w:rsidRDefault="000E2B3F"/>
    <w:p w14:paraId="5D7C825A" w14:textId="77777777" w:rsidR="000E2B3F" w:rsidRPr="002441D8" w:rsidRDefault="000E2B3F">
      <w:r w:rsidRPr="002441D8">
        <w:rPr>
          <w:b/>
        </w:rPr>
        <w:t>Box 2</w:t>
      </w:r>
      <w:r w:rsidRPr="002441D8">
        <w:t xml:space="preserve"> – Key consideration in HSCT for chronic phase CML, CP, chronic phase, HSCT haematopoetic stem cell transplantation, TK tyrosine kinase, TKI tyrosine kinase inhibitors</w:t>
      </w:r>
    </w:p>
    <w:p w14:paraId="09FBD140" w14:textId="77777777" w:rsidR="0047133C" w:rsidRPr="002441D8" w:rsidRDefault="0047133C">
      <w:pPr>
        <w:spacing w:after="0" w:line="240" w:lineRule="auto"/>
        <w:rPr>
          <w:sz w:val="20"/>
          <w:szCs w:val="20"/>
        </w:rPr>
      </w:pPr>
      <w:r w:rsidRPr="002441D8">
        <w:rPr>
          <w:sz w:val="20"/>
          <w:szCs w:val="20"/>
        </w:rPr>
        <w:br w:type="page"/>
      </w:r>
    </w:p>
    <w:p w14:paraId="4C600875" w14:textId="77777777" w:rsidR="0047133C" w:rsidRPr="002441D8" w:rsidRDefault="0047133C">
      <w:pPr>
        <w:spacing w:after="0" w:line="240" w:lineRule="auto"/>
        <w:rPr>
          <w:sz w:val="20"/>
          <w:szCs w:val="20"/>
        </w:rPr>
      </w:pPr>
      <w:r w:rsidRPr="002441D8">
        <w:rPr>
          <w:noProof/>
          <w:sz w:val="20"/>
          <w:szCs w:val="20"/>
          <w:lang w:val="en-US" w:eastAsia="en-US"/>
        </w:rPr>
        <w:drawing>
          <wp:inline distT="0" distB="0" distL="0" distR="0" wp14:anchorId="5D11DA7D" wp14:editId="10F7E021">
            <wp:extent cx="5486400" cy="41148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a:stretch>
                      <a:fillRect/>
                    </a:stretch>
                  </pic:blipFill>
                  <pic:spPr>
                    <a:xfrm>
                      <a:off x="0" y="0"/>
                      <a:ext cx="5486400" cy="4114800"/>
                    </a:xfrm>
                    <a:prstGeom prst="rect">
                      <a:avLst/>
                    </a:prstGeom>
                  </pic:spPr>
                </pic:pic>
              </a:graphicData>
            </a:graphic>
          </wp:inline>
        </w:drawing>
      </w:r>
    </w:p>
    <w:p w14:paraId="36131214" w14:textId="77777777" w:rsidR="0047133C" w:rsidRPr="002441D8" w:rsidRDefault="0047133C">
      <w:pPr>
        <w:spacing w:after="0" w:line="240" w:lineRule="auto"/>
        <w:rPr>
          <w:sz w:val="20"/>
          <w:szCs w:val="20"/>
        </w:rPr>
      </w:pPr>
      <w:r w:rsidRPr="002441D8">
        <w:rPr>
          <w:noProof/>
          <w:sz w:val="20"/>
          <w:szCs w:val="20"/>
          <w:lang w:val="en-US" w:eastAsia="en-US"/>
        </w:rPr>
        <w:drawing>
          <wp:inline distT="0" distB="0" distL="0" distR="0" wp14:anchorId="201F1269" wp14:editId="6312156B">
            <wp:extent cx="5486400" cy="411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0"/>
                    <a:stretch>
                      <a:fillRect/>
                    </a:stretch>
                  </pic:blipFill>
                  <pic:spPr>
                    <a:xfrm>
                      <a:off x="0" y="0"/>
                      <a:ext cx="5486400" cy="4114800"/>
                    </a:xfrm>
                    <a:prstGeom prst="rect">
                      <a:avLst/>
                    </a:prstGeom>
                  </pic:spPr>
                </pic:pic>
              </a:graphicData>
            </a:graphic>
          </wp:inline>
        </w:drawing>
      </w:r>
    </w:p>
    <w:p w14:paraId="3EDEF06A" w14:textId="77777777" w:rsidR="0047133C" w:rsidRPr="002441D8" w:rsidRDefault="0047133C">
      <w:pPr>
        <w:spacing w:after="0" w:line="240" w:lineRule="auto"/>
        <w:rPr>
          <w:sz w:val="20"/>
          <w:szCs w:val="20"/>
        </w:rPr>
      </w:pPr>
      <w:r w:rsidRPr="002441D8">
        <w:rPr>
          <w:sz w:val="20"/>
          <w:szCs w:val="20"/>
        </w:rPr>
        <w:br w:type="page"/>
      </w:r>
    </w:p>
    <w:p w14:paraId="4F536374" w14:textId="0331FC14" w:rsidR="000E2B3F" w:rsidRPr="002441D8" w:rsidRDefault="0047133C">
      <w:pPr>
        <w:spacing w:after="0" w:line="240" w:lineRule="auto"/>
        <w:rPr>
          <w:sz w:val="20"/>
          <w:szCs w:val="20"/>
        </w:rPr>
      </w:pPr>
      <w:r w:rsidRPr="002441D8">
        <w:rPr>
          <w:noProof/>
          <w:sz w:val="20"/>
          <w:szCs w:val="20"/>
          <w:lang w:val="en-US" w:eastAsia="en-US"/>
        </w:rPr>
        <w:drawing>
          <wp:inline distT="0" distB="0" distL="0" distR="0" wp14:anchorId="2FA03A2C" wp14:editId="30E47896">
            <wp:extent cx="5486400" cy="411480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1"/>
                    <a:stretch>
                      <a:fillRect/>
                    </a:stretch>
                  </pic:blipFill>
                  <pic:spPr>
                    <a:xfrm>
                      <a:off x="0" y="0"/>
                      <a:ext cx="5486400" cy="4114800"/>
                    </a:xfrm>
                    <a:prstGeom prst="rect">
                      <a:avLst/>
                    </a:prstGeom>
                  </pic:spPr>
                </pic:pic>
              </a:graphicData>
            </a:graphic>
          </wp:inline>
        </w:drawing>
      </w:r>
      <w:r w:rsidR="000E2B3F" w:rsidRPr="002441D8">
        <w:rPr>
          <w:sz w:val="20"/>
          <w:szCs w:val="20"/>
        </w:rPr>
        <w:br w:type="page"/>
      </w:r>
    </w:p>
    <w:p w14:paraId="48FDB328" w14:textId="77777777" w:rsidR="00CD1203" w:rsidRPr="002441D8" w:rsidRDefault="00CD1203">
      <w:pPr>
        <w:spacing w:after="0" w:line="240" w:lineRule="auto"/>
        <w:rPr>
          <w:sz w:val="20"/>
          <w:szCs w:val="20"/>
        </w:rPr>
      </w:pPr>
    </w:p>
    <w:sectPr w:rsidR="00CD1203" w:rsidRPr="002441D8" w:rsidSect="000E2B3F">
      <w:endnotePr>
        <w:numFmt w:val="decimal"/>
      </w:endnotePr>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7F4C29" w14:textId="77777777" w:rsidR="000E2B3F" w:rsidRDefault="000E2B3F" w:rsidP="005D6F01">
      <w:pPr>
        <w:spacing w:after="0" w:line="240" w:lineRule="auto"/>
      </w:pPr>
      <w:r>
        <w:separator/>
      </w:r>
    </w:p>
  </w:endnote>
  <w:endnote w:type="continuationSeparator" w:id="0">
    <w:p w14:paraId="055D1A56" w14:textId="77777777" w:rsidR="000E2B3F" w:rsidRDefault="000E2B3F" w:rsidP="005D6F01">
      <w:pPr>
        <w:spacing w:after="0" w:line="240" w:lineRule="auto"/>
      </w:pPr>
      <w:r>
        <w:continuationSeparator/>
      </w:r>
    </w:p>
  </w:endnote>
  <w:endnote w:id="1">
    <w:p w14:paraId="79398902" w14:textId="77777777" w:rsidR="000E2B3F" w:rsidRPr="00AB61BF" w:rsidRDefault="000E2B3F" w:rsidP="00AB61BF">
      <w:pPr>
        <w:pStyle w:val="EndnoteText"/>
        <w:spacing w:line="360" w:lineRule="auto"/>
        <w:rPr>
          <w:rFonts w:asciiTheme="minorHAnsi" w:hAnsiTheme="minorHAnsi"/>
          <w:b/>
        </w:rPr>
      </w:pPr>
      <w:r w:rsidRPr="00AB61BF">
        <w:rPr>
          <w:rFonts w:asciiTheme="minorHAnsi" w:hAnsiTheme="minorHAnsi"/>
          <w:b/>
        </w:rPr>
        <w:t>References</w:t>
      </w:r>
    </w:p>
    <w:p w14:paraId="2F49FDD9"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Rowley JD. A New Consistent Chromosomal Abnormality in Chronic Myelogenous Leukaemia identified by Quinacrine Fluorescence and Giemsa Staining. </w:t>
      </w:r>
      <w:r w:rsidRPr="00AB61BF">
        <w:rPr>
          <w:rFonts w:asciiTheme="minorHAnsi" w:hAnsiTheme="minorHAnsi"/>
          <w:i/>
        </w:rPr>
        <w:t>Nature</w:t>
      </w:r>
      <w:r w:rsidRPr="00AB61BF">
        <w:rPr>
          <w:rFonts w:asciiTheme="minorHAnsi" w:hAnsiTheme="minorHAnsi"/>
        </w:rPr>
        <w:t xml:space="preserve">. </w:t>
      </w:r>
      <w:r w:rsidRPr="00AB61BF">
        <w:rPr>
          <w:rFonts w:asciiTheme="minorHAnsi" w:hAnsiTheme="minorHAnsi"/>
          <w:b/>
        </w:rPr>
        <w:t>243</w:t>
      </w:r>
      <w:r w:rsidRPr="00AB61BF">
        <w:rPr>
          <w:rFonts w:asciiTheme="minorHAnsi" w:hAnsiTheme="minorHAnsi"/>
        </w:rPr>
        <w:t>, 290-293 (1973).</w:t>
      </w:r>
    </w:p>
  </w:endnote>
  <w:endnote w:id="2">
    <w:p w14:paraId="449C4BDE"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Swerdlow SH, et al. WHO Classification of Tumours of Haematopoietic and Lymphoid Tissues, 4th edn. In: WHO Classification of Tumours, vol 2. Geneva: World Health Organization, 2008.</w:t>
      </w:r>
    </w:p>
  </w:endnote>
  <w:endnote w:id="3">
    <w:p w14:paraId="3B175BEA"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lang w:val="fr-CA"/>
        </w:rPr>
        <w:t xml:space="preserve"> Baccarani M, et al. European LeukemiaNet. </w:t>
      </w:r>
      <w:r w:rsidRPr="00AB61BF">
        <w:rPr>
          <w:rFonts w:asciiTheme="minorHAnsi" w:hAnsiTheme="minorHAnsi"/>
        </w:rPr>
        <w:t xml:space="preserve">Evolving concepts in the management of chronic myeloid leukemia: recommendations from an expert panel on behalf of the European LeukemiaNet. </w:t>
      </w:r>
      <w:r w:rsidRPr="00AB61BF">
        <w:rPr>
          <w:rFonts w:asciiTheme="minorHAnsi" w:hAnsiTheme="minorHAnsi"/>
          <w:i/>
          <w:lang w:val="nl-NL"/>
        </w:rPr>
        <w:t>Blood</w:t>
      </w:r>
      <w:r w:rsidRPr="00AB61BF">
        <w:rPr>
          <w:rFonts w:asciiTheme="minorHAnsi" w:hAnsiTheme="minorHAnsi"/>
          <w:lang w:val="nl-NL"/>
        </w:rPr>
        <w:t xml:space="preserve">. </w:t>
      </w:r>
      <w:r w:rsidRPr="00AB61BF">
        <w:rPr>
          <w:rFonts w:asciiTheme="minorHAnsi" w:hAnsiTheme="minorHAnsi"/>
          <w:b/>
          <w:lang w:val="nl-NL"/>
        </w:rPr>
        <w:t>108</w:t>
      </w:r>
      <w:r w:rsidRPr="00AB61BF">
        <w:rPr>
          <w:rFonts w:asciiTheme="minorHAnsi" w:hAnsiTheme="minorHAnsi"/>
          <w:lang w:val="nl-NL"/>
        </w:rPr>
        <w:t>, 1809-1820 (2006).</w:t>
      </w:r>
    </w:p>
  </w:endnote>
  <w:endnote w:id="4">
    <w:p w14:paraId="0A2DF8CD"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lang w:val="nl-NL"/>
        </w:rPr>
        <w:t xml:space="preserve"> Hermans A, et al. </w:t>
      </w:r>
      <w:r w:rsidRPr="00AB61BF">
        <w:rPr>
          <w:rFonts w:asciiTheme="minorHAnsi" w:hAnsiTheme="minorHAnsi"/>
        </w:rPr>
        <w:t xml:space="preserve">Unique fusion of bcr and c-abl genes in Philadelphia chromosome positive acute lymphoblastic leukemia. </w:t>
      </w:r>
      <w:r w:rsidRPr="00AB61BF">
        <w:rPr>
          <w:rFonts w:asciiTheme="minorHAnsi" w:hAnsiTheme="minorHAnsi"/>
          <w:i/>
        </w:rPr>
        <w:t>Cell</w:t>
      </w:r>
      <w:r w:rsidRPr="00AB61BF">
        <w:rPr>
          <w:rFonts w:asciiTheme="minorHAnsi" w:hAnsiTheme="minorHAnsi"/>
        </w:rPr>
        <w:t xml:space="preserve">. </w:t>
      </w:r>
      <w:r w:rsidRPr="00AB61BF">
        <w:rPr>
          <w:rFonts w:asciiTheme="minorHAnsi" w:hAnsiTheme="minorHAnsi"/>
          <w:b/>
        </w:rPr>
        <w:t>51</w:t>
      </w:r>
      <w:r w:rsidRPr="00AB61BF">
        <w:rPr>
          <w:rFonts w:asciiTheme="minorHAnsi" w:hAnsiTheme="minorHAnsi"/>
        </w:rPr>
        <w:t>, 33-40 (1987).</w:t>
      </w:r>
    </w:p>
  </w:endnote>
  <w:endnote w:id="5">
    <w:p w14:paraId="20AE8D51"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Shtivelman E, Lifshitz B, Gale RP &amp; Canaani E. Fused transcript of abl and bcr genes in chronic myelogenous leukaemia. </w:t>
      </w:r>
      <w:r w:rsidRPr="00AB61BF">
        <w:rPr>
          <w:rFonts w:asciiTheme="minorHAnsi" w:hAnsiTheme="minorHAnsi"/>
          <w:i/>
        </w:rPr>
        <w:t>Nature</w:t>
      </w:r>
      <w:r w:rsidRPr="00AB61BF">
        <w:rPr>
          <w:rFonts w:asciiTheme="minorHAnsi" w:hAnsiTheme="minorHAnsi"/>
        </w:rPr>
        <w:t xml:space="preserve">. </w:t>
      </w:r>
      <w:r w:rsidRPr="00AB61BF">
        <w:rPr>
          <w:rFonts w:asciiTheme="minorHAnsi" w:hAnsiTheme="minorHAnsi"/>
          <w:b/>
        </w:rPr>
        <w:t>315</w:t>
      </w:r>
      <w:r w:rsidRPr="00AB61BF">
        <w:rPr>
          <w:rFonts w:asciiTheme="minorHAnsi" w:hAnsiTheme="minorHAnsi"/>
        </w:rPr>
        <w:t>, 550-4 (1985).</w:t>
      </w:r>
    </w:p>
  </w:endnote>
  <w:endnote w:id="6">
    <w:p w14:paraId="637022C8"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Voncken JW, et al. .BCR/ABL P210 and P190 Cause Distinct Leukemia in Transgenic Mice. </w:t>
      </w:r>
      <w:r w:rsidRPr="00AB61BF">
        <w:rPr>
          <w:rFonts w:asciiTheme="minorHAnsi" w:hAnsiTheme="minorHAnsi"/>
          <w:i/>
        </w:rPr>
        <w:t>Blood</w:t>
      </w:r>
      <w:r w:rsidRPr="00AB61BF">
        <w:rPr>
          <w:rFonts w:asciiTheme="minorHAnsi" w:hAnsiTheme="minorHAnsi"/>
        </w:rPr>
        <w:t xml:space="preserve">. </w:t>
      </w:r>
      <w:r w:rsidRPr="00AB61BF">
        <w:rPr>
          <w:rFonts w:asciiTheme="minorHAnsi" w:hAnsiTheme="minorHAnsi"/>
          <w:b/>
        </w:rPr>
        <w:t>86</w:t>
      </w:r>
      <w:r w:rsidRPr="00AB61BF">
        <w:rPr>
          <w:rFonts w:asciiTheme="minorHAnsi" w:hAnsiTheme="minorHAnsi"/>
        </w:rPr>
        <w:t>, 4603-11 (1995)</w:t>
      </w:r>
    </w:p>
  </w:endnote>
  <w:endnote w:id="7">
    <w:p w14:paraId="5FF34200"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Guilhot F, et al. Interferon alfa-2b combined with cytarabine versus interferon alone in chronic myelogenous leukemia. French Chronic Myeloid Leukemia Study Group. </w:t>
      </w:r>
      <w:r w:rsidRPr="00AB61BF">
        <w:rPr>
          <w:rFonts w:asciiTheme="minorHAnsi" w:hAnsiTheme="minorHAnsi"/>
          <w:i/>
        </w:rPr>
        <w:t>N Engl J Med</w:t>
      </w:r>
      <w:r w:rsidRPr="00AB61BF">
        <w:rPr>
          <w:rFonts w:asciiTheme="minorHAnsi" w:hAnsiTheme="minorHAnsi"/>
        </w:rPr>
        <w:t xml:space="preserve">. </w:t>
      </w:r>
      <w:r w:rsidRPr="00AB61BF">
        <w:rPr>
          <w:rFonts w:asciiTheme="minorHAnsi" w:hAnsiTheme="minorHAnsi"/>
          <w:b/>
        </w:rPr>
        <w:t>337</w:t>
      </w:r>
      <w:r w:rsidRPr="00AB61BF">
        <w:rPr>
          <w:rFonts w:asciiTheme="minorHAnsi" w:hAnsiTheme="minorHAnsi"/>
        </w:rPr>
        <w:t>, 223-9 (1997).</w:t>
      </w:r>
    </w:p>
  </w:endnote>
  <w:endnote w:id="8">
    <w:p w14:paraId="1237D0B2"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Gratwohl A, et al. Allogeneic hematopoietic stem cell transplantation for chronic myeloid leukemia in Europe 2006: transplant activity, long-term data and current results. An analysis by the Chronic Leukemia Working Party of the European Group for Blood and Marrow Transplantation (EBMT). </w:t>
      </w:r>
      <w:r w:rsidRPr="00AB61BF">
        <w:rPr>
          <w:rFonts w:asciiTheme="minorHAnsi" w:hAnsiTheme="minorHAnsi"/>
          <w:i/>
        </w:rPr>
        <w:t>Haematologica</w:t>
      </w:r>
      <w:r w:rsidRPr="00AB61BF">
        <w:rPr>
          <w:rFonts w:asciiTheme="minorHAnsi" w:hAnsiTheme="minorHAnsi"/>
        </w:rPr>
        <w:t xml:space="preserve">. </w:t>
      </w:r>
      <w:r w:rsidRPr="00AB61BF">
        <w:rPr>
          <w:rFonts w:asciiTheme="minorHAnsi" w:hAnsiTheme="minorHAnsi"/>
          <w:b/>
        </w:rPr>
        <w:t>91</w:t>
      </w:r>
      <w:r w:rsidRPr="00AB61BF">
        <w:rPr>
          <w:rFonts w:asciiTheme="minorHAnsi" w:hAnsiTheme="minorHAnsi"/>
        </w:rPr>
        <w:t>, 513-21 (2006).</w:t>
      </w:r>
    </w:p>
  </w:endnote>
  <w:endnote w:id="9">
    <w:p w14:paraId="024DF637"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Gratwohl A &amp; Heim D. Current role of stem cell transplantation in chronic myeloid leukaemia. </w:t>
      </w:r>
      <w:r w:rsidRPr="00AB61BF">
        <w:rPr>
          <w:rFonts w:asciiTheme="minorHAnsi" w:hAnsiTheme="minorHAnsi"/>
          <w:i/>
        </w:rPr>
        <w:t>Best Pract Res Clin Haematol</w:t>
      </w:r>
      <w:r w:rsidRPr="00AB61BF">
        <w:rPr>
          <w:rFonts w:asciiTheme="minorHAnsi" w:hAnsiTheme="minorHAnsi"/>
        </w:rPr>
        <w:t xml:space="preserve">. </w:t>
      </w:r>
      <w:r w:rsidRPr="00AB61BF">
        <w:rPr>
          <w:rFonts w:asciiTheme="minorHAnsi" w:hAnsiTheme="minorHAnsi"/>
          <w:b/>
        </w:rPr>
        <w:t>22</w:t>
      </w:r>
      <w:r w:rsidRPr="00AB61BF">
        <w:rPr>
          <w:rFonts w:asciiTheme="minorHAnsi" w:hAnsiTheme="minorHAnsi"/>
        </w:rPr>
        <w:t>, 431-43 (2009).</w:t>
      </w:r>
    </w:p>
  </w:endnote>
  <w:endnote w:id="10">
    <w:p w14:paraId="03EB3C47"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Saussele S, et al. Allogeneic hematopoietic stem cell transplantation (allo SCT) for chronic myeloid leukemia in the imatinib era: evaluation of its impact within a subgroup of the randomized German CML Study IV. </w:t>
      </w:r>
      <w:r w:rsidRPr="00AB61BF">
        <w:rPr>
          <w:rFonts w:asciiTheme="minorHAnsi" w:hAnsiTheme="minorHAnsi"/>
          <w:i/>
        </w:rPr>
        <w:t>Blood</w:t>
      </w:r>
      <w:r w:rsidRPr="00AB61BF">
        <w:rPr>
          <w:rFonts w:asciiTheme="minorHAnsi" w:hAnsiTheme="minorHAnsi"/>
        </w:rPr>
        <w:t xml:space="preserve">. </w:t>
      </w:r>
      <w:r w:rsidRPr="00AB61BF">
        <w:rPr>
          <w:rFonts w:asciiTheme="minorHAnsi" w:hAnsiTheme="minorHAnsi"/>
          <w:b/>
        </w:rPr>
        <w:t>115</w:t>
      </w:r>
      <w:r w:rsidRPr="00AB61BF">
        <w:rPr>
          <w:rFonts w:asciiTheme="minorHAnsi" w:hAnsiTheme="minorHAnsi"/>
        </w:rPr>
        <w:t>, 1880-5 (2010).</w:t>
      </w:r>
    </w:p>
  </w:endnote>
  <w:endnote w:id="11">
    <w:p w14:paraId="72742E48"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Pavlů J, Szydlo RM, Goldman JM &amp; Apperley JF. Three decades of transplantation for chronic myeloid leukemia: what have we learned? </w:t>
      </w:r>
      <w:r w:rsidRPr="00AB61BF">
        <w:rPr>
          <w:rFonts w:asciiTheme="minorHAnsi" w:hAnsiTheme="minorHAnsi"/>
          <w:i/>
        </w:rPr>
        <w:t>Blood</w:t>
      </w:r>
      <w:r w:rsidRPr="00AB61BF">
        <w:rPr>
          <w:rFonts w:asciiTheme="minorHAnsi" w:hAnsiTheme="minorHAnsi"/>
        </w:rPr>
        <w:t xml:space="preserve">. </w:t>
      </w:r>
      <w:r w:rsidRPr="00AB61BF">
        <w:rPr>
          <w:rFonts w:asciiTheme="minorHAnsi" w:hAnsiTheme="minorHAnsi"/>
          <w:b/>
        </w:rPr>
        <w:t>117</w:t>
      </w:r>
      <w:r w:rsidRPr="00AB61BF">
        <w:rPr>
          <w:rFonts w:asciiTheme="minorHAnsi" w:hAnsiTheme="minorHAnsi"/>
        </w:rPr>
        <w:t>, 755-63 (2011).</w:t>
      </w:r>
    </w:p>
  </w:endnote>
  <w:endnote w:id="12">
    <w:p w14:paraId="6E2083B8" w14:textId="77777777" w:rsidR="000E2B3F" w:rsidRPr="00AB61BF" w:rsidRDefault="000E2B3F" w:rsidP="00AB61BF">
      <w:pPr>
        <w:pStyle w:val="EndnoteText"/>
        <w:spacing w:line="360" w:lineRule="auto"/>
        <w:rPr>
          <w:rFonts w:asciiTheme="minorHAnsi" w:hAnsiTheme="minorHAnsi"/>
          <w:color w:val="FF0000"/>
        </w:rPr>
      </w:pPr>
      <w:r w:rsidRPr="00AB61BF">
        <w:rPr>
          <w:rStyle w:val="EndnoteReference"/>
          <w:rFonts w:asciiTheme="minorHAnsi" w:hAnsiTheme="minorHAnsi"/>
        </w:rPr>
        <w:endnoteRef/>
      </w:r>
      <w:r w:rsidRPr="00AB61BF">
        <w:rPr>
          <w:rFonts w:asciiTheme="minorHAnsi" w:hAnsiTheme="minorHAnsi"/>
        </w:rPr>
        <w:t xml:space="preserve"> Deininger M, et al. International randomized study of interferon vs STI571 (IRIS) 8-year follow up: sustained survival and low risk for progression or events in patients with newly diagnosed chronic myeloid leukemia in chronic phase treated with imatinib. </w:t>
      </w:r>
      <w:r w:rsidRPr="00AB61BF">
        <w:rPr>
          <w:rFonts w:asciiTheme="minorHAnsi" w:hAnsiTheme="minorHAnsi"/>
          <w:i/>
        </w:rPr>
        <w:t>Blood (ASH Annual Meeting Abstracts)</w:t>
      </w:r>
      <w:r w:rsidRPr="00AB61BF">
        <w:rPr>
          <w:rFonts w:asciiTheme="minorHAnsi" w:hAnsiTheme="minorHAnsi"/>
        </w:rPr>
        <w:t xml:space="preserve">.  </w:t>
      </w:r>
      <w:r w:rsidRPr="00AB61BF">
        <w:rPr>
          <w:rFonts w:asciiTheme="minorHAnsi" w:hAnsiTheme="minorHAnsi"/>
          <w:b/>
        </w:rPr>
        <w:t>114</w:t>
      </w:r>
      <w:r w:rsidRPr="00AB61BF">
        <w:rPr>
          <w:rFonts w:asciiTheme="minorHAnsi" w:hAnsiTheme="minorHAnsi"/>
        </w:rPr>
        <w:t>, Abstract 1126 (2009).</w:t>
      </w:r>
    </w:p>
  </w:endnote>
  <w:endnote w:id="13">
    <w:p w14:paraId="706A1969" w14:textId="77777777" w:rsidR="000E2B3F" w:rsidRPr="00AB61BF" w:rsidRDefault="000E2B3F" w:rsidP="00AB61BF">
      <w:pPr>
        <w:spacing w:after="0" w:line="360" w:lineRule="auto"/>
        <w:rPr>
          <w:rFonts w:asciiTheme="minorHAnsi" w:hAnsiTheme="minorHAnsi"/>
          <w:color w:val="31849B" w:themeColor="accent5" w:themeShade="BF"/>
          <w:sz w:val="20"/>
          <w:szCs w:val="20"/>
        </w:rPr>
      </w:pPr>
      <w:r w:rsidRPr="00AB61BF">
        <w:rPr>
          <w:rStyle w:val="EndnoteReference"/>
          <w:rFonts w:asciiTheme="minorHAnsi" w:hAnsiTheme="minorHAnsi"/>
          <w:color w:val="31849B" w:themeColor="accent5" w:themeShade="BF"/>
          <w:sz w:val="20"/>
          <w:szCs w:val="20"/>
        </w:rPr>
        <w:endnoteRef/>
      </w:r>
      <w:r w:rsidRPr="00AB61BF">
        <w:rPr>
          <w:rFonts w:asciiTheme="minorHAnsi" w:hAnsiTheme="minorHAnsi"/>
          <w:color w:val="31849B" w:themeColor="accent5" w:themeShade="BF"/>
          <w:sz w:val="20"/>
          <w:szCs w:val="20"/>
        </w:rPr>
        <w:t xml:space="preserve"> Sasaki K, Strom S, O'Brien S. Relative survival in patients with chronic-phase chronic myeloid leukaemia in the tyrosine-kinase inhibitor era: analysis of patient data from six prospective clinical trials. </w:t>
      </w:r>
      <w:r w:rsidRPr="00AB61BF">
        <w:rPr>
          <w:rFonts w:asciiTheme="minorHAnsi" w:hAnsiTheme="minorHAnsi"/>
          <w:i/>
          <w:color w:val="31849B" w:themeColor="accent5" w:themeShade="BF"/>
          <w:sz w:val="20"/>
          <w:szCs w:val="20"/>
        </w:rPr>
        <w:t>Lancet Haem</w:t>
      </w:r>
      <w:r w:rsidRPr="00AB61BF">
        <w:rPr>
          <w:rFonts w:asciiTheme="minorHAnsi" w:hAnsiTheme="minorHAnsi"/>
          <w:color w:val="31849B" w:themeColor="accent5" w:themeShade="BF"/>
          <w:sz w:val="20"/>
          <w:szCs w:val="20"/>
        </w:rPr>
        <w:t xml:space="preserve">. </w:t>
      </w:r>
      <w:r w:rsidRPr="00AB61BF">
        <w:rPr>
          <w:rFonts w:asciiTheme="minorHAnsi" w:hAnsiTheme="minorHAnsi"/>
          <w:b/>
          <w:color w:val="31849B" w:themeColor="accent5" w:themeShade="BF"/>
          <w:sz w:val="20"/>
          <w:szCs w:val="20"/>
        </w:rPr>
        <w:t>2</w:t>
      </w:r>
      <w:r w:rsidRPr="00AB61BF">
        <w:rPr>
          <w:rFonts w:asciiTheme="minorHAnsi" w:hAnsiTheme="minorHAnsi"/>
          <w:color w:val="31849B" w:themeColor="accent5" w:themeShade="BF"/>
          <w:sz w:val="20"/>
          <w:szCs w:val="20"/>
        </w:rPr>
        <w:t>, 186-193 (2015).</w:t>
      </w:r>
    </w:p>
  </w:endnote>
  <w:endnote w:id="14">
    <w:p w14:paraId="315DBCD1" w14:textId="77777777" w:rsidR="000E2B3F" w:rsidRPr="00AB61BF" w:rsidRDefault="000E2B3F" w:rsidP="00AB61BF">
      <w:pPr>
        <w:pStyle w:val="EndnoteText"/>
        <w:spacing w:line="360" w:lineRule="auto"/>
        <w:rPr>
          <w:rFonts w:asciiTheme="minorHAnsi" w:hAnsiTheme="minorHAnsi"/>
          <w:color w:val="31849B" w:themeColor="accent5" w:themeShade="BF"/>
        </w:rPr>
      </w:pPr>
      <w:r w:rsidRPr="00AB61BF">
        <w:rPr>
          <w:rStyle w:val="EndnoteReference"/>
          <w:rFonts w:asciiTheme="minorHAnsi" w:hAnsiTheme="minorHAnsi"/>
          <w:color w:val="31849B" w:themeColor="accent5" w:themeShade="BF"/>
        </w:rPr>
        <w:endnoteRef/>
      </w:r>
      <w:r w:rsidRPr="00AB61BF">
        <w:rPr>
          <w:rFonts w:asciiTheme="minorHAnsi" w:hAnsiTheme="minorHAnsi"/>
          <w:color w:val="31849B" w:themeColor="accent5" w:themeShade="BF"/>
          <w:lang w:val="fr-CA"/>
        </w:rPr>
        <w:t xml:space="preserve"> Socié G, et al. </w:t>
      </w:r>
      <w:r w:rsidRPr="00AB61BF">
        <w:rPr>
          <w:rFonts w:asciiTheme="minorHAnsi" w:hAnsiTheme="minorHAnsi"/>
          <w:color w:val="31849B" w:themeColor="accent5" w:themeShade="BF"/>
        </w:rPr>
        <w:t xml:space="preserve">Nonmalignant late effects after allogeneic stem cell transplantation. </w:t>
      </w:r>
      <w:r w:rsidRPr="00AB61BF">
        <w:rPr>
          <w:rFonts w:asciiTheme="minorHAnsi" w:hAnsiTheme="minorHAnsi"/>
          <w:i/>
          <w:color w:val="31849B" w:themeColor="accent5" w:themeShade="BF"/>
        </w:rPr>
        <w:t>Blood</w:t>
      </w:r>
      <w:r w:rsidRPr="00AB61BF">
        <w:rPr>
          <w:rFonts w:asciiTheme="minorHAnsi" w:hAnsiTheme="minorHAnsi"/>
          <w:color w:val="31849B" w:themeColor="accent5" w:themeShade="BF"/>
        </w:rPr>
        <w:t xml:space="preserve">. </w:t>
      </w:r>
      <w:r w:rsidRPr="00AB61BF">
        <w:rPr>
          <w:rFonts w:asciiTheme="minorHAnsi" w:hAnsiTheme="minorHAnsi"/>
          <w:b/>
          <w:color w:val="31849B" w:themeColor="accent5" w:themeShade="BF"/>
        </w:rPr>
        <w:t>101</w:t>
      </w:r>
      <w:r w:rsidRPr="00AB61BF">
        <w:rPr>
          <w:rFonts w:asciiTheme="minorHAnsi" w:hAnsiTheme="minorHAnsi"/>
          <w:color w:val="31849B" w:themeColor="accent5" w:themeShade="BF"/>
        </w:rPr>
        <w:t>, 3373-85 (2003)</w:t>
      </w:r>
    </w:p>
  </w:endnote>
  <w:endnote w:id="15">
    <w:p w14:paraId="74217883" w14:textId="77777777" w:rsidR="000E2B3F" w:rsidRPr="00AB61BF" w:rsidRDefault="000E2B3F" w:rsidP="00AB61BF">
      <w:pPr>
        <w:pStyle w:val="EndnoteText"/>
        <w:spacing w:line="360" w:lineRule="auto"/>
        <w:rPr>
          <w:rFonts w:asciiTheme="minorHAnsi" w:hAnsiTheme="minorHAnsi"/>
          <w:lang w:val="en-US"/>
        </w:rPr>
      </w:pPr>
      <w:r w:rsidRPr="00AB61BF">
        <w:rPr>
          <w:rStyle w:val="EndnoteReference"/>
          <w:rFonts w:asciiTheme="minorHAnsi" w:hAnsiTheme="minorHAnsi"/>
          <w:color w:val="31849B" w:themeColor="accent5" w:themeShade="BF"/>
        </w:rPr>
        <w:endnoteRef/>
      </w:r>
      <w:r w:rsidRPr="00AB61BF">
        <w:rPr>
          <w:rFonts w:asciiTheme="minorHAnsi" w:hAnsiTheme="minorHAnsi"/>
          <w:color w:val="31849B" w:themeColor="accent5" w:themeShade="BF"/>
        </w:rPr>
        <w:t xml:space="preserve"> Duell T, et al. Health and functional status of long-term survivors of bone marrow transplantation. </w:t>
      </w:r>
      <w:r w:rsidRPr="00AB61BF">
        <w:rPr>
          <w:rFonts w:asciiTheme="minorHAnsi" w:hAnsiTheme="minorHAnsi"/>
          <w:i/>
          <w:color w:val="31849B" w:themeColor="accent5" w:themeShade="BF"/>
        </w:rPr>
        <w:t>Ann Intern Med</w:t>
      </w:r>
      <w:r w:rsidRPr="00AB61BF">
        <w:rPr>
          <w:rFonts w:asciiTheme="minorHAnsi" w:hAnsiTheme="minorHAnsi"/>
          <w:color w:val="31849B" w:themeColor="accent5" w:themeShade="BF"/>
        </w:rPr>
        <w:t xml:space="preserve">. </w:t>
      </w:r>
      <w:r w:rsidRPr="00AB61BF">
        <w:rPr>
          <w:rFonts w:asciiTheme="minorHAnsi" w:hAnsiTheme="minorHAnsi"/>
          <w:b/>
          <w:color w:val="31849B" w:themeColor="accent5" w:themeShade="BF"/>
        </w:rPr>
        <w:t>126</w:t>
      </w:r>
      <w:r w:rsidRPr="00AB61BF">
        <w:rPr>
          <w:rFonts w:asciiTheme="minorHAnsi" w:hAnsiTheme="minorHAnsi"/>
          <w:color w:val="31849B" w:themeColor="accent5" w:themeShade="BF"/>
        </w:rPr>
        <w:t>, 184-192 (1997)</w:t>
      </w:r>
      <w:r w:rsidRPr="00AB61BF">
        <w:rPr>
          <w:rFonts w:asciiTheme="minorHAnsi" w:hAnsiTheme="minorHAnsi"/>
        </w:rPr>
        <w:t>.</w:t>
      </w:r>
    </w:p>
  </w:endnote>
  <w:endnote w:id="16">
    <w:p w14:paraId="43192A95" w14:textId="77777777" w:rsidR="000E2B3F" w:rsidRPr="00AB61BF" w:rsidRDefault="000E2B3F" w:rsidP="00AB61BF">
      <w:pPr>
        <w:pStyle w:val="EndnoteText"/>
        <w:spacing w:line="360" w:lineRule="auto"/>
        <w:rPr>
          <w:rFonts w:asciiTheme="minorHAnsi" w:hAnsiTheme="minorHAnsi"/>
          <w:color w:val="31849B" w:themeColor="accent5" w:themeShade="BF"/>
          <w:lang w:val="en-US"/>
        </w:rPr>
      </w:pPr>
      <w:r w:rsidRPr="00AB61BF">
        <w:rPr>
          <w:rStyle w:val="EndnoteReference"/>
          <w:rFonts w:asciiTheme="minorHAnsi" w:hAnsiTheme="minorHAnsi"/>
          <w:color w:val="31849B" w:themeColor="accent5" w:themeShade="BF"/>
        </w:rPr>
        <w:endnoteRef/>
      </w:r>
      <w:r w:rsidRPr="00AB61BF">
        <w:rPr>
          <w:rFonts w:asciiTheme="minorHAnsi" w:hAnsiTheme="minorHAnsi"/>
          <w:color w:val="31849B" w:themeColor="accent5" w:themeShade="BF"/>
        </w:rPr>
        <w:t xml:space="preserve"> Simon W, Segel GB, Lichtman MA. Early allogeneic stem cell transplantation for chronic myelogenous leukemia in the imatinib era: A preliminary assessment. </w:t>
      </w:r>
      <w:r w:rsidRPr="00AB61BF">
        <w:rPr>
          <w:rFonts w:asciiTheme="minorHAnsi" w:hAnsiTheme="minorHAnsi"/>
          <w:i/>
          <w:color w:val="31849B" w:themeColor="accent5" w:themeShade="BF"/>
        </w:rPr>
        <w:t>Blood Cells Mol Dis</w:t>
      </w:r>
      <w:r w:rsidRPr="00AB61BF">
        <w:rPr>
          <w:rFonts w:asciiTheme="minorHAnsi" w:hAnsiTheme="minorHAnsi"/>
          <w:color w:val="31849B" w:themeColor="accent5" w:themeShade="BF"/>
        </w:rPr>
        <w:t>. 37, 116-24 (2006).</w:t>
      </w:r>
    </w:p>
  </w:endnote>
  <w:endnote w:id="17">
    <w:p w14:paraId="37836CAC"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Baccarani M, et al. European LeukemiaNet recommendations for the management of chronic myeloid leukemia: 2013. </w:t>
      </w:r>
      <w:r w:rsidRPr="00AB61BF">
        <w:rPr>
          <w:rFonts w:asciiTheme="minorHAnsi" w:hAnsiTheme="minorHAnsi"/>
          <w:i/>
        </w:rPr>
        <w:t>Blood</w:t>
      </w:r>
      <w:r w:rsidRPr="00AB61BF">
        <w:rPr>
          <w:rFonts w:asciiTheme="minorHAnsi" w:hAnsiTheme="minorHAnsi"/>
        </w:rPr>
        <w:t xml:space="preserve">. </w:t>
      </w:r>
      <w:r w:rsidRPr="00AB61BF">
        <w:rPr>
          <w:rFonts w:asciiTheme="minorHAnsi" w:hAnsiTheme="minorHAnsi"/>
          <w:b/>
        </w:rPr>
        <w:t>122</w:t>
      </w:r>
      <w:r w:rsidRPr="00AB61BF">
        <w:rPr>
          <w:rFonts w:asciiTheme="minorHAnsi" w:hAnsiTheme="minorHAnsi"/>
        </w:rPr>
        <w:t>, 872-84 (2013).</w:t>
      </w:r>
    </w:p>
  </w:endnote>
  <w:endnote w:id="18">
    <w:p w14:paraId="47ECD475" w14:textId="77777777" w:rsidR="000E2B3F" w:rsidRPr="00AB61BF" w:rsidRDefault="000E2B3F" w:rsidP="00AB61BF">
      <w:pPr>
        <w:spacing w:after="0" w:line="360" w:lineRule="auto"/>
        <w:rPr>
          <w:rFonts w:asciiTheme="minorHAnsi" w:hAnsiTheme="minorHAnsi"/>
          <w:sz w:val="20"/>
          <w:szCs w:val="20"/>
        </w:rPr>
      </w:pPr>
      <w:r w:rsidRPr="00AB61BF">
        <w:rPr>
          <w:rStyle w:val="EndnoteReference"/>
          <w:rFonts w:asciiTheme="minorHAnsi" w:hAnsiTheme="minorHAnsi"/>
          <w:sz w:val="20"/>
          <w:szCs w:val="20"/>
        </w:rPr>
        <w:endnoteRef/>
      </w:r>
      <w:r w:rsidRPr="00AB61BF">
        <w:rPr>
          <w:rFonts w:asciiTheme="minorHAnsi" w:hAnsiTheme="minorHAnsi"/>
          <w:sz w:val="20"/>
          <w:szCs w:val="20"/>
        </w:rPr>
        <w:t xml:space="preserve"> Hanfstein B, et al. Early molecular and cytogenetic response is predictive for long-term progression-free and overall survival in chronic myeloid leukemia (CML). </w:t>
      </w:r>
      <w:r w:rsidRPr="00AB61BF">
        <w:rPr>
          <w:rFonts w:asciiTheme="minorHAnsi" w:hAnsiTheme="minorHAnsi"/>
          <w:i/>
          <w:sz w:val="20"/>
          <w:szCs w:val="20"/>
        </w:rPr>
        <w:t>Leukemia</w:t>
      </w:r>
      <w:r w:rsidRPr="00AB61BF">
        <w:rPr>
          <w:rFonts w:asciiTheme="minorHAnsi" w:hAnsiTheme="minorHAnsi"/>
          <w:sz w:val="20"/>
          <w:szCs w:val="20"/>
        </w:rPr>
        <w:t xml:space="preserve">. </w:t>
      </w:r>
      <w:r w:rsidRPr="00AB61BF">
        <w:rPr>
          <w:rFonts w:asciiTheme="minorHAnsi" w:hAnsiTheme="minorHAnsi"/>
          <w:b/>
          <w:sz w:val="20"/>
          <w:szCs w:val="20"/>
        </w:rPr>
        <w:t>26</w:t>
      </w:r>
      <w:r w:rsidRPr="00AB61BF">
        <w:rPr>
          <w:rFonts w:asciiTheme="minorHAnsi" w:hAnsiTheme="minorHAnsi"/>
          <w:sz w:val="20"/>
          <w:szCs w:val="20"/>
        </w:rPr>
        <w:t>, 2096-102 (2012).</w:t>
      </w:r>
    </w:p>
  </w:endnote>
  <w:endnote w:id="19">
    <w:p w14:paraId="639F5B67" w14:textId="77777777" w:rsidR="000E2B3F" w:rsidRPr="00AB61BF" w:rsidRDefault="000E2B3F" w:rsidP="00AB61BF">
      <w:pPr>
        <w:spacing w:after="0" w:line="360" w:lineRule="auto"/>
        <w:rPr>
          <w:rFonts w:asciiTheme="minorHAnsi" w:hAnsiTheme="minorHAnsi"/>
          <w:sz w:val="20"/>
          <w:szCs w:val="20"/>
        </w:rPr>
      </w:pPr>
      <w:r w:rsidRPr="00AB61BF">
        <w:rPr>
          <w:rStyle w:val="EndnoteReference"/>
          <w:rFonts w:asciiTheme="minorHAnsi" w:hAnsiTheme="minorHAnsi"/>
          <w:sz w:val="20"/>
          <w:szCs w:val="20"/>
        </w:rPr>
        <w:endnoteRef/>
      </w:r>
      <w:r w:rsidRPr="00AB61BF">
        <w:rPr>
          <w:rFonts w:asciiTheme="minorHAnsi" w:hAnsiTheme="minorHAnsi"/>
          <w:sz w:val="20"/>
          <w:szCs w:val="20"/>
        </w:rPr>
        <w:t xml:space="preserve"> Marin D, et al. Assessment of BCR-ABL1 transcript levels at 3 months is the only requirement for predicting outcome for patients with chronic myeloid leukemia treated with tyrosine kinase inhibitors. </w:t>
      </w:r>
      <w:r w:rsidRPr="00AB61BF">
        <w:rPr>
          <w:rFonts w:asciiTheme="minorHAnsi" w:hAnsiTheme="minorHAnsi"/>
          <w:i/>
          <w:sz w:val="20"/>
          <w:szCs w:val="20"/>
        </w:rPr>
        <w:t>J Clin Oncol</w:t>
      </w:r>
      <w:r w:rsidRPr="00AB61BF">
        <w:rPr>
          <w:rFonts w:asciiTheme="minorHAnsi" w:hAnsiTheme="minorHAnsi"/>
          <w:sz w:val="20"/>
          <w:szCs w:val="20"/>
        </w:rPr>
        <w:t xml:space="preserve">. </w:t>
      </w:r>
      <w:r w:rsidRPr="00AB61BF">
        <w:rPr>
          <w:rFonts w:asciiTheme="minorHAnsi" w:hAnsiTheme="minorHAnsi"/>
          <w:b/>
          <w:sz w:val="20"/>
          <w:szCs w:val="20"/>
        </w:rPr>
        <w:t>30</w:t>
      </w:r>
      <w:r w:rsidRPr="00AB61BF">
        <w:rPr>
          <w:rFonts w:asciiTheme="minorHAnsi" w:hAnsiTheme="minorHAnsi"/>
          <w:sz w:val="20"/>
          <w:szCs w:val="20"/>
        </w:rPr>
        <w:t>, 232-8 (2012).</w:t>
      </w:r>
    </w:p>
  </w:endnote>
  <w:endnote w:id="20">
    <w:p w14:paraId="73826285"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Mahon FX, et al. Discontinuation of imatinib in patients with chronic myeloid leukaemia who have maintained complete molecular remission for at least 2 years: the prospective, multicentre Stop Imatinib (STIM) trial. </w:t>
      </w:r>
      <w:r w:rsidRPr="00AB61BF">
        <w:rPr>
          <w:rFonts w:asciiTheme="minorHAnsi" w:hAnsiTheme="minorHAnsi"/>
          <w:i/>
        </w:rPr>
        <w:t>Lancet Oncol.</w:t>
      </w:r>
      <w:r w:rsidRPr="00AB61BF">
        <w:rPr>
          <w:rFonts w:asciiTheme="minorHAnsi" w:hAnsiTheme="minorHAnsi"/>
        </w:rPr>
        <w:t xml:space="preserve"> </w:t>
      </w:r>
      <w:r w:rsidRPr="00AB61BF">
        <w:rPr>
          <w:rFonts w:asciiTheme="minorHAnsi" w:hAnsiTheme="minorHAnsi"/>
          <w:b/>
        </w:rPr>
        <w:t>11</w:t>
      </w:r>
      <w:r w:rsidRPr="00AB61BF">
        <w:rPr>
          <w:rFonts w:asciiTheme="minorHAnsi" w:hAnsiTheme="minorHAnsi"/>
        </w:rPr>
        <w:t>, 1029-35 (2010).</w:t>
      </w:r>
    </w:p>
  </w:endnote>
  <w:endnote w:id="21">
    <w:p w14:paraId="6C0A7BEE"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Ross DM, et al. Safety and efficacy of imatinib cessation for CML patients with stable undetectable minimal residual disease: results from the TWISTER study. </w:t>
      </w:r>
      <w:r w:rsidRPr="00AB61BF">
        <w:rPr>
          <w:rFonts w:asciiTheme="minorHAnsi" w:hAnsiTheme="minorHAnsi"/>
          <w:i/>
        </w:rPr>
        <w:t>Blood</w:t>
      </w:r>
      <w:r w:rsidRPr="00AB61BF">
        <w:rPr>
          <w:rFonts w:asciiTheme="minorHAnsi" w:hAnsiTheme="minorHAnsi"/>
        </w:rPr>
        <w:t xml:space="preserve">. </w:t>
      </w:r>
      <w:r w:rsidRPr="00AB61BF">
        <w:rPr>
          <w:rFonts w:asciiTheme="minorHAnsi" w:hAnsiTheme="minorHAnsi"/>
          <w:b/>
        </w:rPr>
        <w:t>122</w:t>
      </w:r>
      <w:r w:rsidRPr="00AB61BF">
        <w:rPr>
          <w:rFonts w:asciiTheme="minorHAnsi" w:hAnsiTheme="minorHAnsi"/>
        </w:rPr>
        <w:t>, 515-22 (2013).</w:t>
      </w:r>
    </w:p>
  </w:endnote>
  <w:endnote w:id="22">
    <w:p w14:paraId="69413DCA"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Fefer A, et al. Disappearance of Ph1-positive cells in four patients with chronic granulocytic leukemia after chemotherapy, irradiation and marrow transplantation from an identical twin. </w:t>
      </w:r>
      <w:r w:rsidRPr="00AB61BF">
        <w:rPr>
          <w:rFonts w:asciiTheme="minorHAnsi" w:hAnsiTheme="minorHAnsi"/>
          <w:i/>
        </w:rPr>
        <w:t>N Engl J Med</w:t>
      </w:r>
      <w:r w:rsidRPr="00AB61BF">
        <w:rPr>
          <w:rFonts w:asciiTheme="minorHAnsi" w:hAnsiTheme="minorHAnsi"/>
        </w:rPr>
        <w:t xml:space="preserve">.  </w:t>
      </w:r>
      <w:r w:rsidRPr="00AB61BF">
        <w:rPr>
          <w:rFonts w:asciiTheme="minorHAnsi" w:hAnsiTheme="minorHAnsi"/>
          <w:b/>
        </w:rPr>
        <w:t>300</w:t>
      </w:r>
      <w:r w:rsidRPr="00AB61BF">
        <w:rPr>
          <w:rFonts w:asciiTheme="minorHAnsi" w:hAnsiTheme="minorHAnsi"/>
        </w:rPr>
        <w:t>, 333-337 (1979).</w:t>
      </w:r>
    </w:p>
  </w:endnote>
  <w:endnote w:id="23">
    <w:p w14:paraId="06EC509E"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Goldman JM, et al. Marrow transplantation for patients in the chronic phase of chronic granulocytic leukaemia. </w:t>
      </w:r>
      <w:r w:rsidRPr="00AB61BF">
        <w:rPr>
          <w:rFonts w:asciiTheme="minorHAnsi" w:hAnsiTheme="minorHAnsi"/>
          <w:i/>
        </w:rPr>
        <w:t>Lancet</w:t>
      </w:r>
      <w:r w:rsidRPr="00AB61BF">
        <w:rPr>
          <w:rFonts w:asciiTheme="minorHAnsi" w:hAnsiTheme="minorHAnsi"/>
        </w:rPr>
        <w:t xml:space="preserve">. </w:t>
      </w:r>
      <w:r w:rsidRPr="00AB61BF">
        <w:rPr>
          <w:rFonts w:asciiTheme="minorHAnsi" w:hAnsiTheme="minorHAnsi"/>
          <w:b/>
        </w:rPr>
        <w:t>320</w:t>
      </w:r>
      <w:r w:rsidRPr="00AB61BF">
        <w:rPr>
          <w:rFonts w:asciiTheme="minorHAnsi" w:hAnsiTheme="minorHAnsi"/>
        </w:rPr>
        <w:t>, 623-5 (1982).</w:t>
      </w:r>
    </w:p>
  </w:endnote>
  <w:endnote w:id="24">
    <w:p w14:paraId="32DD75E5"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Beatty PG, Ash R, Hows JM &amp; McGlave PB. The use of unrelated bone marrow donors in the treatment of patients with chronic myelogenous leukemia: experience of four marrow transplant centers. </w:t>
      </w:r>
      <w:r w:rsidRPr="00AB61BF">
        <w:rPr>
          <w:rFonts w:asciiTheme="minorHAnsi" w:hAnsiTheme="minorHAnsi"/>
          <w:i/>
        </w:rPr>
        <w:t>Bone Marrow Transplant</w:t>
      </w:r>
      <w:r w:rsidRPr="00AB61BF">
        <w:rPr>
          <w:rFonts w:asciiTheme="minorHAnsi" w:hAnsiTheme="minorHAnsi"/>
        </w:rPr>
        <w:t xml:space="preserve">. </w:t>
      </w:r>
      <w:r w:rsidRPr="00AB61BF">
        <w:rPr>
          <w:rFonts w:asciiTheme="minorHAnsi" w:hAnsiTheme="minorHAnsi"/>
          <w:b/>
        </w:rPr>
        <w:t>4</w:t>
      </w:r>
      <w:r w:rsidRPr="00AB61BF">
        <w:rPr>
          <w:rFonts w:asciiTheme="minorHAnsi" w:hAnsiTheme="minorHAnsi"/>
        </w:rPr>
        <w:t>, 287-90 (1989).</w:t>
      </w:r>
    </w:p>
  </w:endnote>
  <w:endnote w:id="25">
    <w:p w14:paraId="7500AA61"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w:t>
      </w:r>
      <w:r w:rsidRPr="00AB61BF">
        <w:rPr>
          <w:rFonts w:asciiTheme="minorHAnsi" w:hAnsiTheme="minorHAnsi"/>
          <w:lang w:val="en-US"/>
        </w:rPr>
        <w:t xml:space="preserve">Goldman JM &amp; Mackinnon S. Bone marrow transplantation for chronic myeloid leukaemia using matched unrelated donors. </w:t>
      </w:r>
      <w:r w:rsidRPr="00AB61BF">
        <w:rPr>
          <w:rFonts w:asciiTheme="minorHAnsi" w:hAnsiTheme="minorHAnsi" w:cs="Arial"/>
          <w:i/>
          <w:color w:val="262626"/>
          <w:lang w:val="en-US"/>
        </w:rPr>
        <w:t>Bone Marrow Transplant</w:t>
      </w:r>
      <w:r w:rsidRPr="00AB61BF">
        <w:rPr>
          <w:rFonts w:asciiTheme="minorHAnsi" w:hAnsiTheme="minorHAnsi" w:cs="Arial"/>
          <w:color w:val="262626"/>
          <w:lang w:val="en-US"/>
        </w:rPr>
        <w:t xml:space="preserve">. </w:t>
      </w:r>
      <w:r w:rsidRPr="00AB61BF">
        <w:rPr>
          <w:rFonts w:asciiTheme="minorHAnsi" w:hAnsiTheme="minorHAnsi" w:cs="Arial"/>
          <w:lang w:val="en-US"/>
        </w:rPr>
        <w:t xml:space="preserve">Suppl </w:t>
      </w:r>
      <w:r w:rsidRPr="00AB61BF">
        <w:rPr>
          <w:rFonts w:asciiTheme="minorHAnsi" w:hAnsiTheme="minorHAnsi" w:cs="Arial"/>
          <w:b/>
          <w:lang w:val="en-US"/>
        </w:rPr>
        <w:t>4</w:t>
      </w:r>
      <w:r w:rsidRPr="00AB61BF">
        <w:rPr>
          <w:rFonts w:asciiTheme="minorHAnsi" w:hAnsiTheme="minorHAnsi" w:cs="Arial"/>
          <w:lang w:val="en-US"/>
        </w:rPr>
        <w:t>, 38-9 (1989).</w:t>
      </w:r>
    </w:p>
  </w:endnote>
  <w:endnote w:id="26">
    <w:p w14:paraId="3595436D"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Apperley JF, et al. Bone marrow transplantation for patients with chronic myeloid leukaemia: T-cell depletion with Campath-1 reduces the incidence of graft-versus-host disease but may increase the risk of leukaemic relapse. </w:t>
      </w:r>
      <w:r w:rsidRPr="00AB61BF">
        <w:rPr>
          <w:rFonts w:asciiTheme="minorHAnsi" w:hAnsiTheme="minorHAnsi"/>
          <w:i/>
        </w:rPr>
        <w:t>Bone Marrow Transplant</w:t>
      </w:r>
      <w:r w:rsidRPr="00AB61BF">
        <w:rPr>
          <w:rFonts w:asciiTheme="minorHAnsi" w:hAnsiTheme="minorHAnsi"/>
        </w:rPr>
        <w:t xml:space="preserve">. </w:t>
      </w:r>
      <w:r w:rsidRPr="00AB61BF">
        <w:rPr>
          <w:rFonts w:asciiTheme="minorHAnsi" w:hAnsiTheme="minorHAnsi"/>
          <w:b/>
        </w:rPr>
        <w:t>1</w:t>
      </w:r>
      <w:r w:rsidRPr="00AB61BF">
        <w:rPr>
          <w:rFonts w:asciiTheme="minorHAnsi" w:hAnsiTheme="minorHAnsi"/>
        </w:rPr>
        <w:t>, 53-66 (1986).</w:t>
      </w:r>
    </w:p>
  </w:endnote>
  <w:endnote w:id="27">
    <w:p w14:paraId="3A486D90"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Kolb HJ, et al. Donor leukocyte transfusions for treatment of recurrent chronic myelogenous leukemia in marrow transplant patients. </w:t>
      </w:r>
      <w:r w:rsidRPr="00AB61BF">
        <w:rPr>
          <w:rFonts w:asciiTheme="minorHAnsi" w:hAnsiTheme="minorHAnsi"/>
          <w:i/>
        </w:rPr>
        <w:t>Blood</w:t>
      </w:r>
      <w:r w:rsidRPr="00AB61BF">
        <w:rPr>
          <w:rFonts w:asciiTheme="minorHAnsi" w:hAnsiTheme="minorHAnsi"/>
        </w:rPr>
        <w:t xml:space="preserve">. </w:t>
      </w:r>
      <w:r w:rsidRPr="00AB61BF">
        <w:rPr>
          <w:rFonts w:asciiTheme="minorHAnsi" w:hAnsiTheme="minorHAnsi"/>
          <w:b/>
        </w:rPr>
        <w:t>76</w:t>
      </w:r>
      <w:r w:rsidRPr="00AB61BF">
        <w:rPr>
          <w:rFonts w:asciiTheme="minorHAnsi" w:hAnsiTheme="minorHAnsi"/>
        </w:rPr>
        <w:t>, 2462-5 (1990).</w:t>
      </w:r>
    </w:p>
  </w:endnote>
  <w:endnote w:id="28">
    <w:p w14:paraId="079FF34D"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Mackinnon S, et al. Adoptive immunotherapy evaluating escalating doses of donor leukocytes for relapse of chronic myeloid leukemia after bone marrow transplantation: separation of graft-versus-leukemia responses from graft-versus-host disease. </w:t>
      </w:r>
      <w:r w:rsidRPr="00AB61BF">
        <w:rPr>
          <w:rFonts w:asciiTheme="minorHAnsi" w:hAnsiTheme="minorHAnsi"/>
          <w:i/>
        </w:rPr>
        <w:t>Blood</w:t>
      </w:r>
      <w:r w:rsidRPr="00AB61BF">
        <w:rPr>
          <w:rFonts w:asciiTheme="minorHAnsi" w:hAnsiTheme="minorHAnsi"/>
        </w:rPr>
        <w:t xml:space="preserve">. </w:t>
      </w:r>
      <w:r w:rsidRPr="00AB61BF">
        <w:rPr>
          <w:rFonts w:asciiTheme="minorHAnsi" w:hAnsiTheme="minorHAnsi"/>
          <w:b/>
        </w:rPr>
        <w:t>86</w:t>
      </w:r>
      <w:r w:rsidRPr="00AB61BF">
        <w:rPr>
          <w:rFonts w:asciiTheme="minorHAnsi" w:hAnsiTheme="minorHAnsi"/>
        </w:rPr>
        <w:t>, 1261-8 (1995).</w:t>
      </w:r>
    </w:p>
  </w:endnote>
  <w:endnote w:id="29">
    <w:p w14:paraId="1E45771D"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Dazzi F, et al. Comparison of single-dose and escalating-dose regimens of donor lymphocyte infusion for relapse after allografting for chronic myeloid leukemia. </w:t>
      </w:r>
      <w:r w:rsidRPr="00AB61BF">
        <w:rPr>
          <w:rFonts w:asciiTheme="minorHAnsi" w:hAnsiTheme="minorHAnsi"/>
          <w:i/>
        </w:rPr>
        <w:t>Blood</w:t>
      </w:r>
      <w:r w:rsidRPr="00AB61BF">
        <w:rPr>
          <w:rFonts w:asciiTheme="minorHAnsi" w:hAnsiTheme="minorHAnsi"/>
        </w:rPr>
        <w:t>.</w:t>
      </w:r>
      <w:r w:rsidRPr="00AB61BF">
        <w:rPr>
          <w:rFonts w:asciiTheme="minorHAnsi" w:hAnsiTheme="minorHAnsi" w:cs="Arial"/>
          <w:u w:color="262626"/>
          <w:lang w:val="en-US"/>
        </w:rPr>
        <w:t xml:space="preserve"> </w:t>
      </w:r>
      <w:r w:rsidRPr="00AB61BF">
        <w:rPr>
          <w:rFonts w:asciiTheme="minorHAnsi" w:hAnsiTheme="minorHAnsi" w:cs="Arial"/>
          <w:b/>
          <w:u w:color="262626"/>
          <w:lang w:val="en-US"/>
        </w:rPr>
        <w:t>95</w:t>
      </w:r>
      <w:r w:rsidRPr="00AB61BF">
        <w:rPr>
          <w:rFonts w:asciiTheme="minorHAnsi" w:hAnsiTheme="minorHAnsi" w:cs="Arial"/>
          <w:u w:color="262626"/>
          <w:lang w:val="en-US"/>
        </w:rPr>
        <w:t>, 67-71 (2000).</w:t>
      </w:r>
    </w:p>
  </w:endnote>
  <w:endnote w:id="30">
    <w:p w14:paraId="69F75878"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Innes AJ, et al. Escalating-dose HLA-mismatched DLI is safe for the treatment of leukaemia relapse following alemtuzumab-based myeloablative allo-SCT. </w:t>
      </w:r>
      <w:r w:rsidRPr="00AB61BF">
        <w:rPr>
          <w:rFonts w:asciiTheme="minorHAnsi" w:hAnsiTheme="minorHAnsi"/>
          <w:i/>
        </w:rPr>
        <w:t>Bone Marrow Transplant</w:t>
      </w:r>
      <w:r w:rsidRPr="00AB61BF">
        <w:rPr>
          <w:rFonts w:asciiTheme="minorHAnsi" w:hAnsiTheme="minorHAnsi"/>
        </w:rPr>
        <w:t xml:space="preserve">. </w:t>
      </w:r>
      <w:r w:rsidRPr="00AB61BF">
        <w:rPr>
          <w:rFonts w:asciiTheme="minorHAnsi" w:hAnsiTheme="minorHAnsi"/>
          <w:b/>
        </w:rPr>
        <w:t>48</w:t>
      </w:r>
      <w:r w:rsidRPr="00AB61BF">
        <w:rPr>
          <w:rFonts w:asciiTheme="minorHAnsi" w:hAnsiTheme="minorHAnsi"/>
        </w:rPr>
        <w:t>, 1324-8 (2013).</w:t>
      </w:r>
    </w:p>
  </w:endnote>
  <w:endnote w:id="31">
    <w:p w14:paraId="5109D1A1"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Or R, et al. Nonmyeloablative allogeneic stem cell transplantation for the treatment of chronic myeloid leukemia in first chronic phase. </w:t>
      </w:r>
      <w:r w:rsidRPr="00AB61BF">
        <w:rPr>
          <w:rFonts w:asciiTheme="minorHAnsi" w:hAnsiTheme="minorHAnsi"/>
          <w:i/>
        </w:rPr>
        <w:t>Blood</w:t>
      </w:r>
      <w:r w:rsidRPr="00AB61BF">
        <w:rPr>
          <w:rFonts w:asciiTheme="minorHAnsi" w:hAnsiTheme="minorHAnsi"/>
        </w:rPr>
        <w:t xml:space="preserve">. </w:t>
      </w:r>
      <w:r w:rsidRPr="00AB61BF">
        <w:rPr>
          <w:rFonts w:asciiTheme="minorHAnsi" w:hAnsiTheme="minorHAnsi"/>
          <w:b/>
        </w:rPr>
        <w:t>101</w:t>
      </w:r>
      <w:r w:rsidRPr="00AB61BF">
        <w:rPr>
          <w:rFonts w:asciiTheme="minorHAnsi" w:hAnsiTheme="minorHAnsi"/>
        </w:rPr>
        <w:t>, 441-5 (2003).</w:t>
      </w:r>
    </w:p>
  </w:endnote>
  <w:endnote w:id="32">
    <w:p w14:paraId="00BBE5C2" w14:textId="77777777" w:rsidR="000E2B3F" w:rsidRPr="00AB61BF" w:rsidRDefault="000E2B3F" w:rsidP="00AB61BF">
      <w:pPr>
        <w:pStyle w:val="EndnoteText"/>
        <w:spacing w:line="360" w:lineRule="auto"/>
        <w:rPr>
          <w:rFonts w:asciiTheme="minorHAnsi" w:hAnsiTheme="minorHAnsi"/>
          <w:b/>
        </w:rPr>
      </w:pPr>
      <w:r w:rsidRPr="00AB61BF">
        <w:rPr>
          <w:rStyle w:val="EndnoteReference"/>
          <w:rFonts w:asciiTheme="minorHAnsi" w:hAnsiTheme="minorHAnsi"/>
        </w:rPr>
        <w:endnoteRef/>
      </w:r>
      <w:r w:rsidRPr="00AB61BF">
        <w:rPr>
          <w:rFonts w:asciiTheme="minorHAnsi" w:hAnsiTheme="minorHAnsi"/>
        </w:rPr>
        <w:t xml:space="preserve"> Crawley C, et al. Outcomes of reduced-intensity transplantation for chronic myeloid leukemia: an analysis of prognostic factors from the Chronic Leukemia Working Party of the EBMT. </w:t>
      </w:r>
      <w:r w:rsidRPr="00AB61BF">
        <w:rPr>
          <w:rFonts w:asciiTheme="minorHAnsi" w:hAnsiTheme="minorHAnsi"/>
          <w:i/>
        </w:rPr>
        <w:t>Blood</w:t>
      </w:r>
      <w:r w:rsidRPr="00AB61BF">
        <w:rPr>
          <w:rFonts w:asciiTheme="minorHAnsi" w:hAnsiTheme="minorHAnsi"/>
        </w:rPr>
        <w:t xml:space="preserve">. </w:t>
      </w:r>
      <w:r w:rsidRPr="00AB61BF">
        <w:rPr>
          <w:rFonts w:asciiTheme="minorHAnsi" w:hAnsiTheme="minorHAnsi"/>
          <w:b/>
        </w:rPr>
        <w:t>106</w:t>
      </w:r>
      <w:r w:rsidRPr="00AB61BF">
        <w:rPr>
          <w:rFonts w:asciiTheme="minorHAnsi" w:hAnsiTheme="minorHAnsi"/>
        </w:rPr>
        <w:t>, 2969-76 (2005).</w:t>
      </w:r>
    </w:p>
  </w:endnote>
  <w:endnote w:id="33">
    <w:p w14:paraId="4369F5E7"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Kebriaei P, et al. Long-term follow-up of allogeneic hematopoietic stem-cell transplantation with reduced-intensity conditioning for patients with chronic myeloid leukemia. </w:t>
      </w:r>
      <w:r w:rsidRPr="00AB61BF">
        <w:rPr>
          <w:rFonts w:asciiTheme="minorHAnsi" w:hAnsiTheme="minorHAnsi"/>
          <w:i/>
        </w:rPr>
        <w:t>Blood</w:t>
      </w:r>
      <w:r w:rsidRPr="00AB61BF">
        <w:rPr>
          <w:rFonts w:asciiTheme="minorHAnsi" w:hAnsiTheme="minorHAnsi"/>
        </w:rPr>
        <w:t xml:space="preserve">. </w:t>
      </w:r>
      <w:r w:rsidRPr="00AB61BF">
        <w:rPr>
          <w:rFonts w:asciiTheme="minorHAnsi" w:hAnsiTheme="minorHAnsi"/>
          <w:b/>
        </w:rPr>
        <w:t>110</w:t>
      </w:r>
      <w:r w:rsidRPr="00AB61BF">
        <w:rPr>
          <w:rFonts w:asciiTheme="minorHAnsi" w:hAnsiTheme="minorHAnsi"/>
        </w:rPr>
        <w:t>, 3456-62 (2007).</w:t>
      </w:r>
    </w:p>
  </w:endnote>
  <w:endnote w:id="34">
    <w:p w14:paraId="530B8220"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Gratwohl A, et al. Risk assessment for patients with chronic myeloid leukaemia before allogeneic blood or marrow transplantation. Chronic Leukemia Working Party of the European Group for Blood and Marrow Transplantation. </w:t>
      </w:r>
      <w:r w:rsidRPr="00AB61BF">
        <w:rPr>
          <w:rFonts w:asciiTheme="minorHAnsi" w:hAnsiTheme="minorHAnsi"/>
          <w:i/>
        </w:rPr>
        <w:t>Lancet</w:t>
      </w:r>
      <w:r w:rsidRPr="00AB61BF">
        <w:rPr>
          <w:rFonts w:asciiTheme="minorHAnsi" w:hAnsiTheme="minorHAnsi"/>
        </w:rPr>
        <w:t xml:space="preserve">. </w:t>
      </w:r>
      <w:r w:rsidRPr="00AB61BF">
        <w:rPr>
          <w:rFonts w:asciiTheme="minorHAnsi" w:hAnsiTheme="minorHAnsi"/>
          <w:b/>
        </w:rPr>
        <w:t>352</w:t>
      </w:r>
      <w:r w:rsidRPr="00AB61BF">
        <w:rPr>
          <w:rFonts w:asciiTheme="minorHAnsi" w:hAnsiTheme="minorHAnsi"/>
        </w:rPr>
        <w:t>, 1087-1092 (1998).</w:t>
      </w:r>
    </w:p>
  </w:endnote>
  <w:endnote w:id="35">
    <w:p w14:paraId="7B8BD772"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Gratwohl A, et al. Risk score for outcome after allogeneic hematopoietic stem cell transplantation: a retrospective analysis. </w:t>
      </w:r>
      <w:r w:rsidRPr="00AB61BF">
        <w:rPr>
          <w:rFonts w:asciiTheme="minorHAnsi" w:hAnsiTheme="minorHAnsi"/>
          <w:i/>
        </w:rPr>
        <w:t>Cancer</w:t>
      </w:r>
      <w:r w:rsidRPr="00AB61BF">
        <w:rPr>
          <w:rFonts w:asciiTheme="minorHAnsi" w:hAnsiTheme="minorHAnsi"/>
        </w:rPr>
        <w:t xml:space="preserve">. </w:t>
      </w:r>
      <w:r w:rsidRPr="00AB61BF">
        <w:rPr>
          <w:rFonts w:asciiTheme="minorHAnsi" w:hAnsiTheme="minorHAnsi"/>
          <w:b/>
        </w:rPr>
        <w:t>115</w:t>
      </w:r>
      <w:r w:rsidRPr="00AB61BF">
        <w:rPr>
          <w:rFonts w:asciiTheme="minorHAnsi" w:hAnsiTheme="minorHAnsi"/>
        </w:rPr>
        <w:t>, 4715-26 (2009).</w:t>
      </w:r>
    </w:p>
  </w:endnote>
  <w:endnote w:id="36">
    <w:p w14:paraId="3ED517BE"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Gratwohl A, Goldman J, Gluckman E &amp; Zwaan F. Effect of splenectomy before bone-marrow transplantation on survival in chronic granulocytic leukaemia. </w:t>
      </w:r>
      <w:r w:rsidRPr="00AB61BF">
        <w:rPr>
          <w:rFonts w:asciiTheme="minorHAnsi" w:hAnsiTheme="minorHAnsi"/>
          <w:i/>
        </w:rPr>
        <w:t>Lancet</w:t>
      </w:r>
      <w:r w:rsidRPr="00AB61BF">
        <w:rPr>
          <w:rFonts w:asciiTheme="minorHAnsi" w:hAnsiTheme="minorHAnsi"/>
        </w:rPr>
        <w:t xml:space="preserve">. </w:t>
      </w:r>
      <w:r w:rsidRPr="00AB61BF">
        <w:rPr>
          <w:rFonts w:asciiTheme="minorHAnsi" w:hAnsiTheme="minorHAnsi"/>
          <w:b/>
        </w:rPr>
        <w:t>326</w:t>
      </w:r>
      <w:r w:rsidRPr="00AB61BF">
        <w:rPr>
          <w:rFonts w:asciiTheme="minorHAnsi" w:hAnsiTheme="minorHAnsi"/>
        </w:rPr>
        <w:t>, 1290-1 (1985).</w:t>
      </w:r>
    </w:p>
  </w:endnote>
  <w:endnote w:id="37">
    <w:p w14:paraId="0FFC9A16"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Lin F, van Rhee F, Goldman JM &amp; Cross NC. Kinetics of increasing BCR-ABL transcript numbers in chronic myeloid leukemia patients who relapse after bone marrow transplantation. </w:t>
      </w:r>
      <w:r w:rsidRPr="00AB61BF">
        <w:rPr>
          <w:rFonts w:asciiTheme="minorHAnsi" w:hAnsiTheme="minorHAnsi"/>
          <w:i/>
        </w:rPr>
        <w:t>Blood</w:t>
      </w:r>
      <w:r w:rsidRPr="00AB61BF">
        <w:rPr>
          <w:rFonts w:asciiTheme="minorHAnsi" w:hAnsiTheme="minorHAnsi"/>
        </w:rPr>
        <w:t xml:space="preserve">. </w:t>
      </w:r>
      <w:r w:rsidRPr="00AB61BF">
        <w:rPr>
          <w:rFonts w:asciiTheme="minorHAnsi" w:hAnsiTheme="minorHAnsi"/>
          <w:b/>
        </w:rPr>
        <w:t>87</w:t>
      </w:r>
      <w:r w:rsidRPr="00AB61BF">
        <w:rPr>
          <w:rFonts w:asciiTheme="minorHAnsi" w:hAnsiTheme="minorHAnsi"/>
        </w:rPr>
        <w:t>, 4473-8 (1996).</w:t>
      </w:r>
    </w:p>
  </w:endnote>
  <w:endnote w:id="38">
    <w:p w14:paraId="68AFEB19"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Olavarria E, et al. Early detection of BCR-ABL transcripts by quantitative reverse transcriptase-polymerase chain reaction predicts outcome after allogeneic stem cell transplantation for chronic myeloid leukemia. </w:t>
      </w:r>
      <w:r w:rsidRPr="00AB61BF">
        <w:rPr>
          <w:rFonts w:asciiTheme="minorHAnsi" w:hAnsiTheme="minorHAnsi"/>
          <w:i/>
        </w:rPr>
        <w:t>Blood</w:t>
      </w:r>
      <w:r w:rsidRPr="00AB61BF">
        <w:rPr>
          <w:rFonts w:asciiTheme="minorHAnsi" w:hAnsiTheme="minorHAnsi"/>
        </w:rPr>
        <w:t xml:space="preserve">. </w:t>
      </w:r>
      <w:r w:rsidRPr="00AB61BF">
        <w:rPr>
          <w:rFonts w:asciiTheme="minorHAnsi" w:hAnsiTheme="minorHAnsi"/>
          <w:b/>
        </w:rPr>
        <w:t>97</w:t>
      </w:r>
      <w:r w:rsidRPr="00AB61BF">
        <w:rPr>
          <w:rFonts w:asciiTheme="minorHAnsi" w:hAnsiTheme="minorHAnsi"/>
        </w:rPr>
        <w:t>, 1560-5 (2001).</w:t>
      </w:r>
    </w:p>
  </w:endnote>
  <w:endnote w:id="39">
    <w:p w14:paraId="3FDB0542"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Hehlmann R. How I treat CML blast crisis. </w:t>
      </w:r>
      <w:r w:rsidRPr="00AB61BF">
        <w:rPr>
          <w:rFonts w:asciiTheme="minorHAnsi" w:hAnsiTheme="minorHAnsi"/>
          <w:i/>
        </w:rPr>
        <w:t>Blood</w:t>
      </w:r>
      <w:r w:rsidRPr="00AB61BF">
        <w:rPr>
          <w:rFonts w:asciiTheme="minorHAnsi" w:hAnsiTheme="minorHAnsi"/>
        </w:rPr>
        <w:t xml:space="preserve">. </w:t>
      </w:r>
      <w:r w:rsidRPr="00AB61BF">
        <w:rPr>
          <w:rFonts w:asciiTheme="minorHAnsi" w:hAnsiTheme="minorHAnsi"/>
          <w:b/>
        </w:rPr>
        <w:t>120</w:t>
      </w:r>
      <w:r w:rsidRPr="00AB61BF">
        <w:rPr>
          <w:rFonts w:asciiTheme="minorHAnsi" w:hAnsiTheme="minorHAnsi"/>
        </w:rPr>
        <w:t>, 737-47 (2012).</w:t>
      </w:r>
    </w:p>
  </w:endnote>
  <w:endnote w:id="40">
    <w:p w14:paraId="50659363"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Silver RT. The blast phase of chronic myeloid leukaemia. Best </w:t>
      </w:r>
      <w:r w:rsidRPr="00AB61BF">
        <w:rPr>
          <w:rFonts w:asciiTheme="minorHAnsi" w:hAnsiTheme="minorHAnsi"/>
          <w:i/>
        </w:rPr>
        <w:t>Pract Res Clin Haematol</w:t>
      </w:r>
      <w:r w:rsidRPr="00AB61BF">
        <w:rPr>
          <w:rFonts w:asciiTheme="minorHAnsi" w:hAnsiTheme="minorHAnsi"/>
        </w:rPr>
        <w:t xml:space="preserve">. </w:t>
      </w:r>
      <w:r w:rsidRPr="00AB61BF">
        <w:rPr>
          <w:rFonts w:asciiTheme="minorHAnsi" w:hAnsiTheme="minorHAnsi"/>
          <w:b/>
        </w:rPr>
        <w:t>22</w:t>
      </w:r>
      <w:r w:rsidRPr="00AB61BF">
        <w:rPr>
          <w:rFonts w:asciiTheme="minorHAnsi" w:hAnsiTheme="minorHAnsi"/>
        </w:rPr>
        <w:t>, 387-394 (2009).</w:t>
      </w:r>
    </w:p>
  </w:endnote>
  <w:endnote w:id="41">
    <w:p w14:paraId="63D411B5"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Kantarjian HM, et al. Imatinib mesylate (STI571) therapy for Philadelphia chromosome-positive chronic myelogenous leukemia in blast phase. </w:t>
      </w:r>
      <w:r w:rsidRPr="00AB61BF">
        <w:rPr>
          <w:rFonts w:asciiTheme="minorHAnsi" w:hAnsiTheme="minorHAnsi"/>
          <w:i/>
        </w:rPr>
        <w:t>Blood</w:t>
      </w:r>
      <w:r w:rsidRPr="00AB61BF">
        <w:rPr>
          <w:rFonts w:asciiTheme="minorHAnsi" w:hAnsiTheme="minorHAnsi"/>
        </w:rPr>
        <w:t xml:space="preserve">. </w:t>
      </w:r>
      <w:r w:rsidRPr="00AB61BF">
        <w:rPr>
          <w:rFonts w:asciiTheme="minorHAnsi" w:hAnsiTheme="minorHAnsi"/>
          <w:b/>
        </w:rPr>
        <w:t>99</w:t>
      </w:r>
      <w:r w:rsidRPr="00AB61BF">
        <w:rPr>
          <w:rFonts w:asciiTheme="minorHAnsi" w:hAnsiTheme="minorHAnsi"/>
        </w:rPr>
        <w:t>, 3547-53 (2002).</w:t>
      </w:r>
    </w:p>
  </w:endnote>
  <w:endnote w:id="42">
    <w:p w14:paraId="59B8374D"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w:t>
      </w:r>
      <w:r w:rsidRPr="00AB61BF">
        <w:rPr>
          <w:rFonts w:asciiTheme="minorHAnsi" w:hAnsiTheme="minorHAnsi" w:cs="Calibri"/>
          <w:lang w:val="en-US"/>
        </w:rPr>
        <w:t xml:space="preserve">Wadhwa J, et al. </w:t>
      </w:r>
      <w:r w:rsidRPr="00AB61BF">
        <w:rPr>
          <w:rFonts w:asciiTheme="minorHAnsi" w:hAnsiTheme="minorHAnsi" w:cs="Helvetica"/>
          <w:lang w:val="en-US"/>
        </w:rPr>
        <w:t xml:space="preserve">Factors affecting duration of survival after onset of blastic transformation of chronic myeloid leukemia. </w:t>
      </w:r>
      <w:r w:rsidRPr="00AB61BF">
        <w:rPr>
          <w:rFonts w:asciiTheme="minorHAnsi" w:hAnsiTheme="minorHAnsi" w:cs="Helvetica"/>
          <w:i/>
          <w:lang w:val="en-US"/>
        </w:rPr>
        <w:t>Blood</w:t>
      </w:r>
      <w:r w:rsidRPr="00AB61BF">
        <w:rPr>
          <w:rFonts w:asciiTheme="minorHAnsi" w:hAnsiTheme="minorHAnsi" w:cs="Helvetica"/>
          <w:lang w:val="en-US"/>
        </w:rPr>
        <w:t xml:space="preserve">. </w:t>
      </w:r>
      <w:r w:rsidRPr="00AB61BF">
        <w:rPr>
          <w:rFonts w:asciiTheme="minorHAnsi" w:hAnsiTheme="minorHAnsi" w:cs="Helvetica"/>
          <w:b/>
          <w:lang w:val="en-US"/>
        </w:rPr>
        <w:t>99</w:t>
      </w:r>
      <w:r w:rsidRPr="00AB61BF">
        <w:rPr>
          <w:rFonts w:asciiTheme="minorHAnsi" w:hAnsiTheme="minorHAnsi" w:cs="Helvetica"/>
          <w:lang w:val="en-US"/>
        </w:rPr>
        <w:t>, 2304-9 (2002).</w:t>
      </w:r>
    </w:p>
  </w:endnote>
  <w:endnote w:id="43">
    <w:p w14:paraId="0B2E6A0E"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Fruehauf S, et al. Imatinib combined with mitoxantrone/etoposide and cytarabine is an effective induction therapy for patients with chronic myeloid leukemia in myeloid blast crisis. </w:t>
      </w:r>
      <w:r w:rsidRPr="00AB61BF">
        <w:rPr>
          <w:rFonts w:asciiTheme="minorHAnsi" w:hAnsiTheme="minorHAnsi"/>
          <w:i/>
        </w:rPr>
        <w:t xml:space="preserve">Cancer. </w:t>
      </w:r>
      <w:r w:rsidRPr="00AB61BF">
        <w:rPr>
          <w:rFonts w:asciiTheme="minorHAnsi" w:hAnsiTheme="minorHAnsi"/>
          <w:b/>
        </w:rPr>
        <w:t>109</w:t>
      </w:r>
      <w:r w:rsidRPr="00AB61BF">
        <w:rPr>
          <w:rFonts w:asciiTheme="minorHAnsi" w:hAnsiTheme="minorHAnsi"/>
        </w:rPr>
        <w:t>, 1543-1549 (2007).</w:t>
      </w:r>
    </w:p>
  </w:endnote>
  <w:endnote w:id="44">
    <w:p w14:paraId="0EA74FD7"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Oki Y, et al. Phase II study of low-dose decitabine in combination with imatinib mesylate in patients with accelerated or myeloid blastic phase of chronic myelogenous leukemia. </w:t>
      </w:r>
      <w:r w:rsidRPr="00AB61BF">
        <w:rPr>
          <w:rFonts w:asciiTheme="minorHAnsi" w:hAnsiTheme="minorHAnsi"/>
          <w:i/>
        </w:rPr>
        <w:t>Cancer.</w:t>
      </w:r>
      <w:r w:rsidRPr="00AB61BF">
        <w:rPr>
          <w:rFonts w:asciiTheme="minorHAnsi" w:hAnsiTheme="minorHAnsi"/>
        </w:rPr>
        <w:t xml:space="preserve"> </w:t>
      </w:r>
      <w:r w:rsidRPr="00AB61BF">
        <w:rPr>
          <w:rFonts w:asciiTheme="minorHAnsi" w:hAnsiTheme="minorHAnsi"/>
          <w:i/>
        </w:rPr>
        <w:t xml:space="preserve"> </w:t>
      </w:r>
      <w:r w:rsidRPr="00AB61BF">
        <w:rPr>
          <w:rFonts w:asciiTheme="minorHAnsi" w:hAnsiTheme="minorHAnsi"/>
          <w:b/>
        </w:rPr>
        <w:t>109</w:t>
      </w:r>
      <w:r w:rsidRPr="00AB61BF">
        <w:rPr>
          <w:rFonts w:asciiTheme="minorHAnsi" w:hAnsiTheme="minorHAnsi"/>
        </w:rPr>
        <w:t>, 899-906 (2007).</w:t>
      </w:r>
    </w:p>
  </w:endnote>
  <w:endnote w:id="45">
    <w:p w14:paraId="43AE99C9"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Milojkovic D et al. Efficacy of combining dasatinib and FLAG-IDA for patients with chronic myeloid leukemia in blastic transformation. </w:t>
      </w:r>
      <w:r w:rsidRPr="00AB61BF">
        <w:rPr>
          <w:rFonts w:asciiTheme="minorHAnsi" w:hAnsiTheme="minorHAnsi"/>
          <w:i/>
          <w:lang w:val="da-DK"/>
        </w:rPr>
        <w:t>Haematologica</w:t>
      </w:r>
      <w:r w:rsidRPr="00AB61BF">
        <w:rPr>
          <w:rFonts w:asciiTheme="minorHAnsi" w:hAnsiTheme="minorHAnsi"/>
          <w:lang w:val="da-DK"/>
        </w:rPr>
        <w:t xml:space="preserve">. </w:t>
      </w:r>
      <w:r w:rsidRPr="00AB61BF">
        <w:rPr>
          <w:rFonts w:asciiTheme="minorHAnsi" w:hAnsiTheme="minorHAnsi"/>
          <w:b/>
          <w:lang w:val="da-DK"/>
        </w:rPr>
        <w:t>97</w:t>
      </w:r>
      <w:r w:rsidRPr="00AB61BF">
        <w:rPr>
          <w:rFonts w:asciiTheme="minorHAnsi" w:hAnsiTheme="minorHAnsi"/>
          <w:lang w:val="da-DK"/>
        </w:rPr>
        <w:t>, 473-4 (2012).</w:t>
      </w:r>
    </w:p>
  </w:endnote>
  <w:endnote w:id="46">
    <w:p w14:paraId="1C4E9415"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lang w:val="da-DK"/>
        </w:rPr>
        <w:t xml:space="preserve"> Khoury HJ, et al. </w:t>
      </w:r>
      <w:r w:rsidRPr="00AB61BF">
        <w:rPr>
          <w:rFonts w:asciiTheme="minorHAnsi" w:hAnsiTheme="minorHAnsi"/>
        </w:rPr>
        <w:t xml:space="preserve">Prognostic factors for outcomes in allogeneic transplantation for CML in the imatinib era: a CIBMTR analysis. </w:t>
      </w:r>
      <w:r w:rsidRPr="00AB61BF">
        <w:rPr>
          <w:rFonts w:asciiTheme="minorHAnsi" w:hAnsiTheme="minorHAnsi"/>
          <w:i/>
        </w:rPr>
        <w:t>Bone Marrow Transplant</w:t>
      </w:r>
      <w:r w:rsidRPr="00AB61BF">
        <w:rPr>
          <w:rFonts w:asciiTheme="minorHAnsi" w:hAnsiTheme="minorHAnsi"/>
        </w:rPr>
        <w:t xml:space="preserve">. </w:t>
      </w:r>
      <w:r w:rsidRPr="00AB61BF">
        <w:rPr>
          <w:rFonts w:asciiTheme="minorHAnsi" w:hAnsiTheme="minorHAnsi"/>
          <w:b/>
        </w:rPr>
        <w:t>47</w:t>
      </w:r>
      <w:r w:rsidRPr="00AB61BF">
        <w:rPr>
          <w:rFonts w:asciiTheme="minorHAnsi" w:hAnsiTheme="minorHAnsi"/>
        </w:rPr>
        <w:t>, 810-6 (2012).</w:t>
      </w:r>
    </w:p>
  </w:endnote>
  <w:endnote w:id="47">
    <w:p w14:paraId="0D9397DD"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w:t>
      </w:r>
      <w:hyperlink r:id="rId1" w:history="1">
        <w:r w:rsidRPr="00AB61BF">
          <w:rPr>
            <w:rFonts w:asciiTheme="minorHAnsi" w:hAnsiTheme="minorHAnsi" w:cs="Arial"/>
            <w:color w:val="262626"/>
            <w:lang w:val="en-US"/>
          </w:rPr>
          <w:t>Koreth J</w:t>
        </w:r>
      </w:hyperlink>
      <w:r w:rsidRPr="00AB61BF">
        <w:rPr>
          <w:rFonts w:asciiTheme="minorHAnsi" w:hAnsiTheme="minorHAnsi" w:cs="Arial"/>
          <w:lang w:val="en-US"/>
        </w:rPr>
        <w:t xml:space="preserve">, et al. </w:t>
      </w:r>
      <w:r w:rsidRPr="00AB61BF">
        <w:rPr>
          <w:rFonts w:asciiTheme="minorHAnsi" w:hAnsiTheme="minorHAnsi" w:cs="Arial"/>
          <w:bCs/>
          <w:lang w:val="en-US"/>
        </w:rPr>
        <w:t xml:space="preserve">Allogeneic stem cell transplantation for acute myeloid leukemia in first complete remission: systematic review and meta-analysis of prospective clinical trials. </w:t>
      </w:r>
      <w:r w:rsidRPr="00AB61BF">
        <w:rPr>
          <w:rFonts w:asciiTheme="minorHAnsi" w:hAnsiTheme="minorHAnsi" w:cs="Arial"/>
          <w:i/>
          <w:color w:val="262626"/>
          <w:lang w:val="es-ES"/>
        </w:rPr>
        <w:t>JAMA</w:t>
      </w:r>
      <w:r w:rsidRPr="00AB61BF">
        <w:rPr>
          <w:rFonts w:asciiTheme="minorHAnsi" w:hAnsiTheme="minorHAnsi" w:cs="Arial"/>
          <w:color w:val="262626"/>
          <w:lang w:val="es-ES"/>
        </w:rPr>
        <w:t>.</w:t>
      </w:r>
      <w:r w:rsidRPr="00AB61BF">
        <w:rPr>
          <w:rFonts w:asciiTheme="minorHAnsi" w:hAnsiTheme="minorHAnsi" w:cs="Arial"/>
          <w:lang w:val="es-ES"/>
        </w:rPr>
        <w:t xml:space="preserve"> </w:t>
      </w:r>
      <w:r w:rsidRPr="00AB61BF">
        <w:rPr>
          <w:rFonts w:asciiTheme="minorHAnsi" w:hAnsiTheme="minorHAnsi" w:cs="Arial"/>
          <w:b/>
          <w:lang w:val="es-ES"/>
        </w:rPr>
        <w:t>301</w:t>
      </w:r>
      <w:r w:rsidRPr="00AB61BF">
        <w:rPr>
          <w:rFonts w:asciiTheme="minorHAnsi" w:hAnsiTheme="minorHAnsi" w:cs="Arial"/>
          <w:lang w:val="es-ES"/>
        </w:rPr>
        <w:t>, 2349-61 (2009).</w:t>
      </w:r>
    </w:p>
  </w:endnote>
  <w:endnote w:id="48">
    <w:p w14:paraId="7235AF88"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lang w:val="es-ES"/>
        </w:rPr>
        <w:t xml:space="preserve"> </w:t>
      </w:r>
      <w:hyperlink r:id="rId2" w:history="1">
        <w:r w:rsidRPr="00AB61BF">
          <w:rPr>
            <w:rFonts w:asciiTheme="minorHAnsi" w:hAnsiTheme="minorHAnsi" w:cs="Arial"/>
            <w:color w:val="262626"/>
            <w:lang w:val="es-ES"/>
          </w:rPr>
          <w:t>Gupta V</w:t>
        </w:r>
      </w:hyperlink>
      <w:r w:rsidRPr="00AB61BF">
        <w:rPr>
          <w:rFonts w:asciiTheme="minorHAnsi" w:hAnsiTheme="minorHAnsi" w:cs="Arial"/>
          <w:lang w:val="es-ES"/>
        </w:rPr>
        <w:t xml:space="preserve">, et al. </w:t>
      </w:r>
      <w:r w:rsidRPr="00AB61BF">
        <w:rPr>
          <w:rFonts w:asciiTheme="minorHAnsi" w:hAnsiTheme="minorHAnsi" w:cs="Arial"/>
          <w:bCs/>
          <w:lang w:val="en-US"/>
        </w:rPr>
        <w:t xml:space="preserve">Comparable survival after HLA-well-matched unrelated or matched sibling donor transplantation for acute myeloid leukemia in first remission with unfavorable cytogenetics at diagnosis. </w:t>
      </w:r>
      <w:r w:rsidRPr="00AB61BF">
        <w:rPr>
          <w:rFonts w:asciiTheme="minorHAnsi" w:hAnsiTheme="minorHAnsi" w:cs="Arial"/>
          <w:i/>
          <w:color w:val="262626"/>
          <w:lang w:val="en-US"/>
        </w:rPr>
        <w:t>Blood</w:t>
      </w:r>
      <w:r w:rsidRPr="00AB61BF">
        <w:rPr>
          <w:rFonts w:asciiTheme="minorHAnsi" w:hAnsiTheme="minorHAnsi" w:cs="Arial"/>
          <w:color w:val="262626"/>
          <w:lang w:val="en-US"/>
        </w:rPr>
        <w:t>.</w:t>
      </w:r>
      <w:r w:rsidRPr="00AB61BF">
        <w:rPr>
          <w:rFonts w:asciiTheme="minorHAnsi" w:hAnsiTheme="minorHAnsi" w:cs="Arial"/>
          <w:lang w:val="en-US"/>
        </w:rPr>
        <w:t xml:space="preserve"> </w:t>
      </w:r>
      <w:r w:rsidRPr="00AB61BF">
        <w:rPr>
          <w:rFonts w:asciiTheme="minorHAnsi" w:hAnsiTheme="minorHAnsi" w:cs="Arial"/>
          <w:b/>
          <w:lang w:val="en-US"/>
        </w:rPr>
        <w:t>116</w:t>
      </w:r>
      <w:r w:rsidRPr="00AB61BF">
        <w:rPr>
          <w:rFonts w:asciiTheme="minorHAnsi" w:hAnsiTheme="minorHAnsi" w:cs="Arial"/>
          <w:lang w:val="en-US"/>
        </w:rPr>
        <w:t>, 1839-48 (2010).</w:t>
      </w:r>
    </w:p>
  </w:endnote>
  <w:endnote w:id="49">
    <w:p w14:paraId="109BE1BB"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Jiang Q, et al Imatinib mesylate versus allogeneic hematopoietic stem cell transplantation for patients with chronic myelogenous leukemia in the accelerated phase. </w:t>
      </w:r>
      <w:r w:rsidRPr="00AB61BF">
        <w:rPr>
          <w:rFonts w:asciiTheme="minorHAnsi" w:hAnsiTheme="minorHAnsi"/>
          <w:i/>
        </w:rPr>
        <w:t>Blood</w:t>
      </w:r>
      <w:r w:rsidRPr="00AB61BF">
        <w:rPr>
          <w:rFonts w:asciiTheme="minorHAnsi" w:hAnsiTheme="minorHAnsi"/>
        </w:rPr>
        <w:t xml:space="preserve">. </w:t>
      </w:r>
      <w:r w:rsidRPr="00AB61BF">
        <w:rPr>
          <w:rFonts w:asciiTheme="minorHAnsi" w:hAnsiTheme="minorHAnsi"/>
          <w:b/>
        </w:rPr>
        <w:t>117</w:t>
      </w:r>
      <w:r w:rsidRPr="00AB61BF">
        <w:rPr>
          <w:rFonts w:asciiTheme="minorHAnsi" w:hAnsiTheme="minorHAnsi"/>
        </w:rPr>
        <w:t>, 3032-40 (2011).</w:t>
      </w:r>
    </w:p>
  </w:endnote>
  <w:endnote w:id="50">
    <w:p w14:paraId="472F7702"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w:t>
      </w:r>
      <w:hyperlink r:id="rId3" w:history="1">
        <w:r w:rsidRPr="00AB61BF">
          <w:rPr>
            <w:rFonts w:asciiTheme="minorHAnsi" w:hAnsiTheme="minorHAnsi" w:cs="Arial"/>
            <w:color w:val="262626"/>
            <w:lang w:val="en-US"/>
          </w:rPr>
          <w:t>Ohanian M</w:t>
        </w:r>
      </w:hyperlink>
      <w:r w:rsidRPr="00AB61BF">
        <w:rPr>
          <w:rFonts w:asciiTheme="minorHAnsi" w:hAnsiTheme="minorHAnsi" w:cs="Arial"/>
          <w:lang w:val="en-US"/>
        </w:rPr>
        <w:t xml:space="preserve">, et al. </w:t>
      </w:r>
      <w:r w:rsidRPr="00AB61BF">
        <w:rPr>
          <w:rFonts w:asciiTheme="minorHAnsi" w:hAnsiTheme="minorHAnsi" w:cs="Arial"/>
          <w:bCs/>
          <w:lang w:val="en-US"/>
        </w:rPr>
        <w:t xml:space="preserve">Tyrosine kinase inhibitors as initial therapy for patients with chronic myeloid leukemia in accelerated phase. </w:t>
      </w:r>
      <w:r w:rsidRPr="00AB61BF">
        <w:rPr>
          <w:rFonts w:asciiTheme="minorHAnsi" w:hAnsiTheme="minorHAnsi" w:cs="Arial"/>
          <w:i/>
          <w:color w:val="262626"/>
          <w:lang w:val="en-US"/>
        </w:rPr>
        <w:t>Clin Lymphoma Myeloma Leuk</w:t>
      </w:r>
      <w:r w:rsidRPr="00AB61BF">
        <w:rPr>
          <w:rFonts w:asciiTheme="minorHAnsi" w:hAnsiTheme="minorHAnsi" w:cs="Arial"/>
          <w:color w:val="262626"/>
          <w:lang w:val="en-US"/>
        </w:rPr>
        <w:t>.</w:t>
      </w:r>
      <w:r w:rsidRPr="00AB61BF">
        <w:rPr>
          <w:rFonts w:asciiTheme="minorHAnsi" w:hAnsiTheme="minorHAnsi" w:cs="Arial"/>
          <w:lang w:val="en-US"/>
        </w:rPr>
        <w:t xml:space="preserve"> </w:t>
      </w:r>
      <w:r w:rsidRPr="00AB61BF">
        <w:rPr>
          <w:rFonts w:asciiTheme="minorHAnsi" w:hAnsiTheme="minorHAnsi" w:cs="Arial"/>
          <w:b/>
          <w:lang w:val="en-US"/>
        </w:rPr>
        <w:t>14</w:t>
      </w:r>
      <w:r w:rsidRPr="00AB61BF">
        <w:rPr>
          <w:rFonts w:asciiTheme="minorHAnsi" w:hAnsiTheme="minorHAnsi" w:cs="Arial"/>
          <w:lang w:val="en-US"/>
        </w:rPr>
        <w:t>, 155-162 (2014).</w:t>
      </w:r>
    </w:p>
  </w:endnote>
  <w:endnote w:id="51">
    <w:p w14:paraId="02F56AC9"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Cortes JE, et al. Four-Year (Yr) Follow-Up Of Patients (Pts) With Newly Diagnosed Chronic Myeloid Leukemia In Chronic Phase (CML-CP) Receiving Dasatinib Or Imatinib: Efficacy Based On Early Response. </w:t>
      </w:r>
      <w:r w:rsidRPr="00AB61BF">
        <w:rPr>
          <w:rFonts w:asciiTheme="minorHAnsi" w:hAnsiTheme="minorHAnsi"/>
          <w:i/>
        </w:rPr>
        <w:t>Blood</w:t>
      </w:r>
      <w:r w:rsidRPr="00AB61BF">
        <w:rPr>
          <w:rFonts w:asciiTheme="minorHAnsi" w:hAnsiTheme="minorHAnsi"/>
        </w:rPr>
        <w:t xml:space="preserve">. </w:t>
      </w:r>
      <w:r w:rsidRPr="00AB61BF">
        <w:rPr>
          <w:rFonts w:asciiTheme="minorHAnsi" w:hAnsiTheme="minorHAnsi"/>
          <w:b/>
        </w:rPr>
        <w:t>122</w:t>
      </w:r>
      <w:r w:rsidRPr="00AB61BF">
        <w:rPr>
          <w:rFonts w:asciiTheme="minorHAnsi" w:hAnsiTheme="minorHAnsi"/>
        </w:rPr>
        <w:t xml:space="preserve"> (ASH Annual meeting abstracts), Abstract 653 (2013).</w:t>
      </w:r>
    </w:p>
  </w:endnote>
  <w:endnote w:id="52">
    <w:p w14:paraId="1C0E5971"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Saglio G, et al. ENESTnd Update: Nilotinib (NIL) Vs Imatinib (IM) In Patients (pts) With Newly Diagnosed Chronic Myeloid Leukemia In Chronic Phase (CML-CP) and The Impact Of Early Molecular Response (EMR) and Sokal Risk At Diagnosis On Long-Term Outcomes. </w:t>
      </w:r>
      <w:r w:rsidRPr="00AB61BF">
        <w:rPr>
          <w:rFonts w:asciiTheme="minorHAnsi" w:hAnsiTheme="minorHAnsi"/>
          <w:i/>
        </w:rPr>
        <w:t>Blood</w:t>
      </w:r>
      <w:r w:rsidRPr="00AB61BF">
        <w:rPr>
          <w:rFonts w:asciiTheme="minorHAnsi" w:hAnsiTheme="minorHAnsi"/>
        </w:rPr>
        <w:t xml:space="preserve">. </w:t>
      </w:r>
      <w:r w:rsidRPr="00AB61BF">
        <w:rPr>
          <w:rFonts w:asciiTheme="minorHAnsi" w:hAnsiTheme="minorHAnsi"/>
          <w:b/>
        </w:rPr>
        <w:t>122</w:t>
      </w:r>
      <w:r w:rsidRPr="00AB61BF">
        <w:rPr>
          <w:rFonts w:asciiTheme="minorHAnsi" w:hAnsiTheme="minorHAnsi"/>
        </w:rPr>
        <w:t xml:space="preserve"> (ASH Annual meeting abstracts), Abstract 632 (2013).  </w:t>
      </w:r>
    </w:p>
  </w:endnote>
  <w:endnote w:id="53">
    <w:p w14:paraId="6D8A1546"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Shah NP, et al. Long-term outcome with dasatinib after imatinib failure in chronic-phase chronic myeloid leukemia: follow-up of a phase 3 study. </w:t>
      </w:r>
      <w:r w:rsidRPr="00AB61BF">
        <w:rPr>
          <w:rFonts w:asciiTheme="minorHAnsi" w:hAnsiTheme="minorHAnsi"/>
          <w:i/>
        </w:rPr>
        <w:t>Blood</w:t>
      </w:r>
      <w:r w:rsidRPr="00AB61BF">
        <w:rPr>
          <w:rFonts w:asciiTheme="minorHAnsi" w:hAnsiTheme="minorHAnsi"/>
        </w:rPr>
        <w:t xml:space="preserve">. </w:t>
      </w:r>
      <w:r w:rsidRPr="00AB61BF">
        <w:rPr>
          <w:rFonts w:asciiTheme="minorHAnsi" w:hAnsiTheme="minorHAnsi"/>
          <w:b/>
        </w:rPr>
        <w:t>123</w:t>
      </w:r>
      <w:r w:rsidRPr="00AB61BF">
        <w:rPr>
          <w:rFonts w:asciiTheme="minorHAnsi" w:hAnsiTheme="minorHAnsi"/>
        </w:rPr>
        <w:t>, 2317-24 (2014).</w:t>
      </w:r>
    </w:p>
  </w:endnote>
  <w:endnote w:id="54">
    <w:p w14:paraId="655F0B60"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Giles FJ, et al. Nilotinib in imatinib-resistant or imatinib-intolerant patients with chronic myeloid leukemia in chronic phase: 48-month follow-up results of a phase II study. </w:t>
      </w:r>
      <w:r w:rsidRPr="00AB61BF">
        <w:rPr>
          <w:rFonts w:asciiTheme="minorHAnsi" w:hAnsiTheme="minorHAnsi"/>
          <w:i/>
        </w:rPr>
        <w:t>Leukemia</w:t>
      </w:r>
      <w:r w:rsidRPr="00AB61BF">
        <w:rPr>
          <w:rFonts w:asciiTheme="minorHAnsi" w:hAnsiTheme="minorHAnsi"/>
        </w:rPr>
        <w:t xml:space="preserve">. </w:t>
      </w:r>
      <w:r w:rsidRPr="00AB61BF">
        <w:rPr>
          <w:rFonts w:asciiTheme="minorHAnsi" w:hAnsiTheme="minorHAnsi"/>
          <w:b/>
        </w:rPr>
        <w:t>27</w:t>
      </w:r>
      <w:r w:rsidRPr="00AB61BF">
        <w:rPr>
          <w:rFonts w:asciiTheme="minorHAnsi" w:hAnsiTheme="minorHAnsi"/>
        </w:rPr>
        <w:t>, 107-12 (2013).</w:t>
      </w:r>
    </w:p>
  </w:endnote>
  <w:endnote w:id="55">
    <w:p w14:paraId="0A443FEA"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Ibrahim AR, et al. Efficacy of tyrosine kinase inhibitors (TKIs) as third-line therapy in patients with chronic myeloid leukemia in chronic phase who have failed 2 prior lines of TKI therapy. </w:t>
      </w:r>
      <w:r w:rsidRPr="00AB61BF">
        <w:rPr>
          <w:rFonts w:asciiTheme="minorHAnsi" w:hAnsiTheme="minorHAnsi"/>
          <w:i/>
          <w:lang w:val="it-IT"/>
        </w:rPr>
        <w:t>Blood</w:t>
      </w:r>
      <w:r w:rsidRPr="00AB61BF">
        <w:rPr>
          <w:rFonts w:asciiTheme="minorHAnsi" w:hAnsiTheme="minorHAnsi"/>
          <w:lang w:val="it-IT"/>
        </w:rPr>
        <w:t xml:space="preserve">. </w:t>
      </w:r>
      <w:r w:rsidRPr="00AB61BF">
        <w:rPr>
          <w:rFonts w:asciiTheme="minorHAnsi" w:hAnsiTheme="minorHAnsi"/>
          <w:b/>
          <w:lang w:val="it-IT"/>
        </w:rPr>
        <w:t>116</w:t>
      </w:r>
      <w:r w:rsidRPr="00AB61BF">
        <w:rPr>
          <w:rFonts w:asciiTheme="minorHAnsi" w:hAnsiTheme="minorHAnsi"/>
          <w:lang w:val="it-IT"/>
        </w:rPr>
        <w:t>, 5497-500 (2010).</w:t>
      </w:r>
    </w:p>
  </w:endnote>
  <w:endnote w:id="56">
    <w:p w14:paraId="7754A5E8"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lang w:val="it-IT"/>
        </w:rPr>
        <w:t xml:space="preserve"> Russo Rossi A, et al. </w:t>
      </w:r>
      <w:r w:rsidRPr="00AB61BF">
        <w:rPr>
          <w:rFonts w:asciiTheme="minorHAnsi" w:hAnsiTheme="minorHAnsi"/>
        </w:rPr>
        <w:t xml:space="preserve">Outcome of 82 chronic myeloid leukemia patients treated with nilotinib or dasatinib after failure of two prior tyrosine kinase inhibitors. </w:t>
      </w:r>
      <w:r w:rsidRPr="00AB61BF">
        <w:rPr>
          <w:rFonts w:asciiTheme="minorHAnsi" w:hAnsiTheme="minorHAnsi"/>
          <w:i/>
        </w:rPr>
        <w:t>Haematologica</w:t>
      </w:r>
      <w:r w:rsidRPr="00AB61BF">
        <w:rPr>
          <w:rFonts w:asciiTheme="minorHAnsi" w:hAnsiTheme="minorHAnsi"/>
        </w:rPr>
        <w:t xml:space="preserve">. </w:t>
      </w:r>
      <w:r w:rsidRPr="00AB61BF">
        <w:rPr>
          <w:rFonts w:asciiTheme="minorHAnsi" w:hAnsiTheme="minorHAnsi"/>
          <w:b/>
        </w:rPr>
        <w:t>98</w:t>
      </w:r>
      <w:r w:rsidRPr="00AB61BF">
        <w:rPr>
          <w:rFonts w:asciiTheme="minorHAnsi" w:hAnsiTheme="minorHAnsi"/>
        </w:rPr>
        <w:t>, 399-403 (2013).</w:t>
      </w:r>
    </w:p>
  </w:endnote>
  <w:endnote w:id="57">
    <w:p w14:paraId="056DB470"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Lipton JH, et al. Comparative efficacy of tyrosine kinase inhibitor treatments in the third-line setting, for chronic-phase chronic myelogenous leukemia after failure of second-generation tyrosine kinase inhibitors. </w:t>
      </w:r>
      <w:r w:rsidRPr="00AB61BF">
        <w:rPr>
          <w:rFonts w:asciiTheme="minorHAnsi" w:hAnsiTheme="minorHAnsi"/>
          <w:i/>
        </w:rPr>
        <w:t>Leuk Res</w:t>
      </w:r>
      <w:r w:rsidRPr="00AB61BF">
        <w:rPr>
          <w:rFonts w:asciiTheme="minorHAnsi" w:hAnsiTheme="minorHAnsi"/>
        </w:rPr>
        <w:t xml:space="preserve">. </w:t>
      </w:r>
      <w:r w:rsidRPr="00AB61BF">
        <w:rPr>
          <w:rFonts w:asciiTheme="minorHAnsi" w:hAnsiTheme="minorHAnsi"/>
          <w:b/>
        </w:rPr>
        <w:t>39</w:t>
      </w:r>
      <w:r w:rsidRPr="00AB61BF">
        <w:rPr>
          <w:rFonts w:asciiTheme="minorHAnsi" w:hAnsiTheme="minorHAnsi"/>
        </w:rPr>
        <w:t>, 58-64 (2015).</w:t>
      </w:r>
    </w:p>
  </w:endnote>
  <w:endnote w:id="58">
    <w:p w14:paraId="5CAFE99A"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Milojkovic D, et al. Early prediction of success or failure of treatment with second-generation tyrosine kinase inhibitors in patients with chronic myeloid leukemia. </w:t>
      </w:r>
      <w:r w:rsidRPr="00AB61BF">
        <w:rPr>
          <w:rFonts w:asciiTheme="minorHAnsi" w:hAnsiTheme="minorHAnsi"/>
          <w:i/>
        </w:rPr>
        <w:t>Haematologica</w:t>
      </w:r>
      <w:r w:rsidRPr="00AB61BF">
        <w:rPr>
          <w:rFonts w:asciiTheme="minorHAnsi" w:hAnsiTheme="minorHAnsi"/>
        </w:rPr>
        <w:t xml:space="preserve">. </w:t>
      </w:r>
      <w:r w:rsidRPr="00AB61BF">
        <w:rPr>
          <w:rFonts w:asciiTheme="minorHAnsi" w:hAnsiTheme="minorHAnsi"/>
          <w:b/>
        </w:rPr>
        <w:t>95</w:t>
      </w:r>
      <w:r w:rsidRPr="00AB61BF">
        <w:rPr>
          <w:rFonts w:asciiTheme="minorHAnsi" w:hAnsiTheme="minorHAnsi"/>
        </w:rPr>
        <w:t>, 224-31 (2010).</w:t>
      </w:r>
    </w:p>
  </w:endnote>
  <w:endnote w:id="59">
    <w:p w14:paraId="63A1ACA2"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Cortes JE, et al. A phase 2 trial of ponatinib in Philadelphia chromosome-positive leukemias. </w:t>
      </w:r>
      <w:r w:rsidRPr="00AB61BF">
        <w:rPr>
          <w:rFonts w:asciiTheme="minorHAnsi" w:hAnsiTheme="minorHAnsi"/>
          <w:i/>
        </w:rPr>
        <w:t>N Engl J Med</w:t>
      </w:r>
      <w:r w:rsidRPr="00AB61BF">
        <w:rPr>
          <w:rFonts w:asciiTheme="minorHAnsi" w:hAnsiTheme="minorHAnsi"/>
        </w:rPr>
        <w:t xml:space="preserve">. </w:t>
      </w:r>
      <w:r w:rsidRPr="00AB61BF">
        <w:rPr>
          <w:rFonts w:asciiTheme="minorHAnsi" w:hAnsiTheme="minorHAnsi"/>
          <w:b/>
        </w:rPr>
        <w:t>369</w:t>
      </w:r>
      <w:r w:rsidRPr="00AB61BF">
        <w:rPr>
          <w:rFonts w:asciiTheme="minorHAnsi" w:hAnsiTheme="minorHAnsi"/>
        </w:rPr>
        <w:t>, 1783-96 (2013).</w:t>
      </w:r>
    </w:p>
  </w:endnote>
  <w:endnote w:id="60">
    <w:p w14:paraId="4C68AE13" w14:textId="77777777" w:rsidR="000E2B3F" w:rsidRPr="00AB61BF" w:rsidRDefault="000E2B3F" w:rsidP="00AB61BF">
      <w:pPr>
        <w:pStyle w:val="EndnoteText"/>
        <w:spacing w:line="360" w:lineRule="auto"/>
        <w:rPr>
          <w:rFonts w:asciiTheme="minorHAnsi" w:hAnsiTheme="minorHAnsi"/>
          <w:color w:val="31849B" w:themeColor="accent5" w:themeShade="BF"/>
        </w:rPr>
      </w:pPr>
      <w:r w:rsidRPr="00AB61BF">
        <w:rPr>
          <w:rStyle w:val="EndnoteReference"/>
          <w:rFonts w:asciiTheme="minorHAnsi" w:hAnsiTheme="minorHAnsi"/>
          <w:color w:val="31849B" w:themeColor="accent5" w:themeShade="BF"/>
        </w:rPr>
        <w:endnoteRef/>
      </w:r>
      <w:r w:rsidRPr="00AB61BF">
        <w:rPr>
          <w:rFonts w:asciiTheme="minorHAnsi" w:hAnsiTheme="minorHAnsi"/>
          <w:color w:val="31849B" w:themeColor="accent5" w:themeShade="BF"/>
        </w:rPr>
        <w:t xml:space="preserve"> Jabbour E, et al. Early response with dasatinib or imatinib in chronic myeloid leukemia: 3-year follow-up from a randomized phase 3 trial (DASISION). </w:t>
      </w:r>
      <w:r w:rsidRPr="00AB61BF">
        <w:rPr>
          <w:rFonts w:asciiTheme="minorHAnsi" w:hAnsiTheme="minorHAnsi"/>
          <w:i/>
          <w:color w:val="31849B" w:themeColor="accent5" w:themeShade="BF"/>
        </w:rPr>
        <w:t>Blood.</w:t>
      </w:r>
      <w:r w:rsidRPr="00AB61BF">
        <w:rPr>
          <w:rFonts w:asciiTheme="minorHAnsi" w:hAnsiTheme="minorHAnsi"/>
          <w:color w:val="31849B" w:themeColor="accent5" w:themeShade="BF"/>
        </w:rPr>
        <w:t xml:space="preserve"> </w:t>
      </w:r>
      <w:r w:rsidRPr="00AB61BF">
        <w:rPr>
          <w:rFonts w:asciiTheme="minorHAnsi" w:hAnsiTheme="minorHAnsi"/>
          <w:b/>
          <w:color w:val="31849B" w:themeColor="accent5" w:themeShade="BF"/>
        </w:rPr>
        <w:t>123</w:t>
      </w:r>
      <w:r w:rsidRPr="00AB61BF">
        <w:rPr>
          <w:rFonts w:asciiTheme="minorHAnsi" w:hAnsiTheme="minorHAnsi"/>
          <w:color w:val="31849B" w:themeColor="accent5" w:themeShade="BF"/>
        </w:rPr>
        <w:t>, 494-500 (2014).</w:t>
      </w:r>
    </w:p>
  </w:endnote>
  <w:endnote w:id="61">
    <w:p w14:paraId="66EAE5F8" w14:textId="77777777" w:rsidR="000E2B3F" w:rsidRPr="00AB61BF" w:rsidRDefault="000E2B3F" w:rsidP="00AB61BF">
      <w:pPr>
        <w:pStyle w:val="EndnoteText"/>
        <w:spacing w:line="360" w:lineRule="auto"/>
        <w:rPr>
          <w:rFonts w:asciiTheme="minorHAnsi" w:hAnsiTheme="minorHAnsi"/>
          <w:color w:val="31849B" w:themeColor="accent5" w:themeShade="BF"/>
        </w:rPr>
      </w:pPr>
      <w:r w:rsidRPr="00AB61BF">
        <w:rPr>
          <w:rStyle w:val="EndnoteReference"/>
          <w:rFonts w:asciiTheme="minorHAnsi" w:hAnsiTheme="minorHAnsi"/>
          <w:color w:val="31849B" w:themeColor="accent5" w:themeShade="BF"/>
        </w:rPr>
        <w:endnoteRef/>
      </w:r>
      <w:r w:rsidRPr="00AB61BF">
        <w:rPr>
          <w:rFonts w:asciiTheme="minorHAnsi" w:hAnsiTheme="minorHAnsi"/>
          <w:color w:val="31849B" w:themeColor="accent5" w:themeShade="BF"/>
        </w:rPr>
        <w:t xml:space="preserve"> Saglio G, et al. Nilotinib versus imatinib for newly diagnosed chronic myeloid leukemia. </w:t>
      </w:r>
      <w:r w:rsidRPr="00AB61BF">
        <w:rPr>
          <w:rFonts w:asciiTheme="minorHAnsi" w:hAnsiTheme="minorHAnsi"/>
          <w:i/>
          <w:color w:val="31849B" w:themeColor="accent5" w:themeShade="BF"/>
        </w:rPr>
        <w:t>N Engl J Med</w:t>
      </w:r>
      <w:r w:rsidRPr="00AB61BF">
        <w:rPr>
          <w:rFonts w:asciiTheme="minorHAnsi" w:hAnsiTheme="minorHAnsi"/>
          <w:color w:val="31849B" w:themeColor="accent5" w:themeShade="BF"/>
        </w:rPr>
        <w:t xml:space="preserve">. </w:t>
      </w:r>
      <w:r w:rsidRPr="00AB61BF">
        <w:rPr>
          <w:rFonts w:asciiTheme="minorHAnsi" w:hAnsiTheme="minorHAnsi"/>
          <w:b/>
          <w:color w:val="31849B" w:themeColor="accent5" w:themeShade="BF"/>
        </w:rPr>
        <w:t>362,</w:t>
      </w:r>
      <w:r w:rsidRPr="00AB61BF">
        <w:rPr>
          <w:rFonts w:asciiTheme="minorHAnsi" w:hAnsiTheme="minorHAnsi"/>
          <w:color w:val="31849B" w:themeColor="accent5" w:themeShade="BF"/>
        </w:rPr>
        <w:t xml:space="preserve"> 2251-9 (2010).</w:t>
      </w:r>
    </w:p>
  </w:endnote>
  <w:endnote w:id="62">
    <w:p w14:paraId="5C85377B" w14:textId="77777777" w:rsidR="000E2B3F" w:rsidRPr="00AB61BF" w:rsidRDefault="000E2B3F" w:rsidP="00AB61BF">
      <w:pPr>
        <w:pStyle w:val="EndnoteText"/>
        <w:spacing w:line="360" w:lineRule="auto"/>
        <w:rPr>
          <w:rFonts w:asciiTheme="minorHAnsi" w:hAnsiTheme="minorHAnsi"/>
          <w:color w:val="31849B" w:themeColor="accent5" w:themeShade="BF"/>
        </w:rPr>
      </w:pPr>
      <w:r w:rsidRPr="00AB61BF">
        <w:rPr>
          <w:rStyle w:val="EndnoteReference"/>
          <w:rFonts w:asciiTheme="minorHAnsi" w:hAnsiTheme="minorHAnsi"/>
          <w:color w:val="31849B" w:themeColor="accent5" w:themeShade="BF"/>
        </w:rPr>
        <w:endnoteRef/>
      </w:r>
      <w:r w:rsidRPr="00AB61BF">
        <w:rPr>
          <w:rFonts w:asciiTheme="minorHAnsi" w:hAnsiTheme="minorHAnsi"/>
          <w:color w:val="31849B" w:themeColor="accent5" w:themeShade="BF"/>
          <w:lang w:val="fr-CA"/>
        </w:rPr>
        <w:t xml:space="preserve"> Marin D, et al. </w:t>
      </w:r>
      <w:r w:rsidRPr="00AB61BF">
        <w:rPr>
          <w:rFonts w:asciiTheme="minorHAnsi" w:hAnsiTheme="minorHAnsi"/>
          <w:color w:val="31849B" w:themeColor="accent5" w:themeShade="BF"/>
        </w:rPr>
        <w:t xml:space="preserve">Adherence is the critical factor for achieving molecular responses in patients with chronic myeloid leukemia who achieve complete cytogenetic responses on imatinib. </w:t>
      </w:r>
      <w:r w:rsidRPr="00AB61BF">
        <w:rPr>
          <w:rFonts w:asciiTheme="minorHAnsi" w:hAnsiTheme="minorHAnsi"/>
          <w:i/>
          <w:color w:val="31849B" w:themeColor="accent5" w:themeShade="BF"/>
        </w:rPr>
        <w:t>J Clin Oncol</w:t>
      </w:r>
      <w:r w:rsidRPr="00AB61BF">
        <w:rPr>
          <w:rFonts w:asciiTheme="minorHAnsi" w:hAnsiTheme="minorHAnsi"/>
          <w:color w:val="31849B" w:themeColor="accent5" w:themeShade="BF"/>
        </w:rPr>
        <w:t xml:space="preserve">. </w:t>
      </w:r>
      <w:r w:rsidRPr="00AB61BF">
        <w:rPr>
          <w:rFonts w:asciiTheme="minorHAnsi" w:hAnsiTheme="minorHAnsi"/>
          <w:b/>
          <w:color w:val="31849B" w:themeColor="accent5" w:themeShade="BF"/>
        </w:rPr>
        <w:t>28</w:t>
      </w:r>
      <w:r w:rsidRPr="00AB61BF">
        <w:rPr>
          <w:rFonts w:asciiTheme="minorHAnsi" w:hAnsiTheme="minorHAnsi"/>
          <w:color w:val="31849B" w:themeColor="accent5" w:themeShade="BF"/>
        </w:rPr>
        <w:t>, 2381-8 (2010).</w:t>
      </w:r>
    </w:p>
  </w:endnote>
  <w:endnote w:id="63">
    <w:p w14:paraId="7DAE4218" w14:textId="77777777" w:rsidR="000E2B3F" w:rsidRPr="00AB61BF" w:rsidRDefault="000E2B3F" w:rsidP="00AB61BF">
      <w:pPr>
        <w:pStyle w:val="EndnoteText"/>
        <w:spacing w:line="360" w:lineRule="auto"/>
        <w:rPr>
          <w:rFonts w:asciiTheme="minorHAnsi" w:hAnsiTheme="minorHAnsi"/>
          <w:color w:val="31849B" w:themeColor="accent5" w:themeShade="BF"/>
          <w:lang w:val="en-US"/>
        </w:rPr>
      </w:pPr>
      <w:r w:rsidRPr="00AB61BF">
        <w:rPr>
          <w:rStyle w:val="EndnoteReference"/>
          <w:rFonts w:asciiTheme="minorHAnsi" w:hAnsiTheme="minorHAnsi"/>
          <w:color w:val="31849B" w:themeColor="accent5" w:themeShade="BF"/>
        </w:rPr>
        <w:endnoteRef/>
      </w:r>
      <w:r w:rsidRPr="00AB61BF">
        <w:rPr>
          <w:rFonts w:asciiTheme="minorHAnsi" w:hAnsiTheme="minorHAnsi"/>
          <w:color w:val="31849B" w:themeColor="accent5" w:themeShade="BF"/>
        </w:rPr>
        <w:t xml:space="preserve"> Eliasson L, Clifford S, Barber N, Marin D. Exploring chronic myeloid leukemia patients' reasons for not adhering to the oral anticancer drug imatinib as prescribed. </w:t>
      </w:r>
      <w:r w:rsidRPr="00AB61BF">
        <w:rPr>
          <w:rFonts w:asciiTheme="minorHAnsi" w:hAnsiTheme="minorHAnsi"/>
          <w:i/>
          <w:color w:val="31849B" w:themeColor="accent5" w:themeShade="BF"/>
        </w:rPr>
        <w:t>Leuk Res</w:t>
      </w:r>
      <w:r w:rsidRPr="00AB61BF">
        <w:rPr>
          <w:rFonts w:asciiTheme="minorHAnsi" w:hAnsiTheme="minorHAnsi"/>
          <w:color w:val="31849B" w:themeColor="accent5" w:themeShade="BF"/>
        </w:rPr>
        <w:t xml:space="preserve">. </w:t>
      </w:r>
      <w:r w:rsidRPr="00AB61BF">
        <w:rPr>
          <w:rFonts w:asciiTheme="minorHAnsi" w:hAnsiTheme="minorHAnsi"/>
          <w:b/>
          <w:color w:val="31849B" w:themeColor="accent5" w:themeShade="BF"/>
        </w:rPr>
        <w:t>35</w:t>
      </w:r>
      <w:r w:rsidRPr="00AB61BF">
        <w:rPr>
          <w:rFonts w:asciiTheme="minorHAnsi" w:hAnsiTheme="minorHAnsi"/>
          <w:color w:val="31849B" w:themeColor="accent5" w:themeShade="BF"/>
        </w:rPr>
        <w:t>, 626-30 (2011).</w:t>
      </w:r>
    </w:p>
  </w:endnote>
  <w:endnote w:id="64">
    <w:p w14:paraId="212A9FD0"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Zaucha JM, et al. Imatinib therapy prior to myeloablative allogeneic stem cell transplantation. </w:t>
      </w:r>
      <w:r w:rsidRPr="00AB61BF">
        <w:rPr>
          <w:rFonts w:asciiTheme="minorHAnsi" w:hAnsiTheme="minorHAnsi"/>
          <w:i/>
        </w:rPr>
        <w:t>Bone Marrow Transplant</w:t>
      </w:r>
      <w:r w:rsidRPr="00AB61BF">
        <w:rPr>
          <w:rFonts w:asciiTheme="minorHAnsi" w:hAnsiTheme="minorHAnsi"/>
        </w:rPr>
        <w:t xml:space="preserve">. </w:t>
      </w:r>
      <w:r w:rsidRPr="00AB61BF">
        <w:rPr>
          <w:rFonts w:asciiTheme="minorHAnsi" w:hAnsiTheme="minorHAnsi"/>
          <w:b/>
        </w:rPr>
        <w:t>36</w:t>
      </w:r>
      <w:r w:rsidRPr="00AB61BF">
        <w:rPr>
          <w:rFonts w:asciiTheme="minorHAnsi" w:hAnsiTheme="minorHAnsi"/>
        </w:rPr>
        <w:t>, 417-24 (2005).</w:t>
      </w:r>
    </w:p>
  </w:endnote>
  <w:endnote w:id="65">
    <w:p w14:paraId="7B41A33C"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Deininger M, et al. The effect of prior exposure to imatinib on transplant-related mortality. </w:t>
      </w:r>
      <w:r w:rsidRPr="00AB61BF">
        <w:rPr>
          <w:rFonts w:asciiTheme="minorHAnsi" w:hAnsiTheme="minorHAnsi"/>
          <w:i/>
        </w:rPr>
        <w:t>Haematologica</w:t>
      </w:r>
      <w:r w:rsidRPr="00AB61BF">
        <w:rPr>
          <w:rFonts w:asciiTheme="minorHAnsi" w:hAnsiTheme="minorHAnsi"/>
        </w:rPr>
        <w:t xml:space="preserve">. </w:t>
      </w:r>
      <w:r w:rsidRPr="00AB61BF">
        <w:rPr>
          <w:rFonts w:asciiTheme="minorHAnsi" w:hAnsiTheme="minorHAnsi"/>
          <w:b/>
        </w:rPr>
        <w:t>91</w:t>
      </w:r>
      <w:r w:rsidRPr="00AB61BF">
        <w:rPr>
          <w:rFonts w:asciiTheme="minorHAnsi" w:hAnsiTheme="minorHAnsi"/>
        </w:rPr>
        <w:t>, 452-9 (2006).</w:t>
      </w:r>
    </w:p>
  </w:endnote>
  <w:endnote w:id="66">
    <w:p w14:paraId="2020293D"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Lee SJ, et al. Impact of prior imatinib mesylate on the outcome of hematopoietic cell transplantation for chronic myeloid leukemia.</w:t>
      </w:r>
      <w:r w:rsidRPr="00AB61BF">
        <w:rPr>
          <w:rFonts w:asciiTheme="minorHAnsi" w:hAnsiTheme="minorHAnsi"/>
          <w:i/>
        </w:rPr>
        <w:t xml:space="preserve"> Blood</w:t>
      </w:r>
      <w:r w:rsidRPr="00AB61BF">
        <w:rPr>
          <w:rFonts w:asciiTheme="minorHAnsi" w:hAnsiTheme="minorHAnsi"/>
        </w:rPr>
        <w:t xml:space="preserve">. </w:t>
      </w:r>
      <w:r w:rsidRPr="00AB61BF">
        <w:rPr>
          <w:rFonts w:asciiTheme="minorHAnsi" w:hAnsiTheme="minorHAnsi"/>
          <w:b/>
        </w:rPr>
        <w:t>112</w:t>
      </w:r>
      <w:r w:rsidRPr="00AB61BF">
        <w:rPr>
          <w:rFonts w:asciiTheme="minorHAnsi" w:hAnsiTheme="minorHAnsi"/>
        </w:rPr>
        <w:t>, 3500-7 (2008).</w:t>
      </w:r>
    </w:p>
  </w:endnote>
  <w:endnote w:id="67">
    <w:p w14:paraId="0CDAC721"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Luo Y, et al. Reduced-intensity allogeneic transplantation combined with imatinib mesylate for chronic myeloid leukemia in first chronic phase. </w:t>
      </w:r>
      <w:r w:rsidRPr="00AB61BF">
        <w:rPr>
          <w:rFonts w:asciiTheme="minorHAnsi" w:hAnsiTheme="minorHAnsi"/>
          <w:i/>
        </w:rPr>
        <w:t>Leukemia</w:t>
      </w:r>
      <w:r w:rsidRPr="00AB61BF">
        <w:rPr>
          <w:rFonts w:asciiTheme="minorHAnsi" w:hAnsiTheme="minorHAnsi"/>
        </w:rPr>
        <w:t xml:space="preserve">. </w:t>
      </w:r>
      <w:r w:rsidRPr="00AB61BF">
        <w:rPr>
          <w:rFonts w:asciiTheme="minorHAnsi" w:hAnsiTheme="minorHAnsi"/>
          <w:b/>
        </w:rPr>
        <w:t>23</w:t>
      </w:r>
      <w:r w:rsidRPr="00AB61BF">
        <w:rPr>
          <w:rFonts w:asciiTheme="minorHAnsi" w:hAnsiTheme="minorHAnsi"/>
        </w:rPr>
        <w:t>, 1171-4 (2009).</w:t>
      </w:r>
    </w:p>
  </w:endnote>
  <w:endnote w:id="68">
    <w:p w14:paraId="4015F8C8"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Liu QF, et al. Long-term outcomes of HLA-matched sibling compared with mismatched related and unrelated donor hematopoietic stem cell transplantation for chronic phase chronic myelogenous leukemia: a single institution experience in China. </w:t>
      </w:r>
      <w:r w:rsidRPr="00AB61BF">
        <w:rPr>
          <w:rFonts w:asciiTheme="minorHAnsi" w:hAnsiTheme="minorHAnsi"/>
          <w:i/>
        </w:rPr>
        <w:t>Ann Hematol</w:t>
      </w:r>
      <w:r w:rsidRPr="00AB61BF">
        <w:rPr>
          <w:rFonts w:asciiTheme="minorHAnsi" w:hAnsiTheme="minorHAnsi"/>
        </w:rPr>
        <w:t xml:space="preserve">. </w:t>
      </w:r>
      <w:r w:rsidRPr="00AB61BF">
        <w:rPr>
          <w:rFonts w:asciiTheme="minorHAnsi" w:hAnsiTheme="minorHAnsi"/>
          <w:b/>
        </w:rPr>
        <w:t>90</w:t>
      </w:r>
      <w:r w:rsidRPr="00AB61BF">
        <w:rPr>
          <w:rFonts w:asciiTheme="minorHAnsi" w:hAnsiTheme="minorHAnsi"/>
        </w:rPr>
        <w:t>, 331-41 (2011).</w:t>
      </w:r>
    </w:p>
  </w:endnote>
  <w:endnote w:id="69">
    <w:p w14:paraId="25F5E88D"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Zheng C, et al. Comparison of unrelated cord blood transplantation and HLA-matched sibling hematopoietic stem cell transplantation for patients with chronic myeloid leukemia in advanced stage. Biol </w:t>
      </w:r>
      <w:r w:rsidRPr="00AB61BF">
        <w:rPr>
          <w:rFonts w:asciiTheme="minorHAnsi" w:hAnsiTheme="minorHAnsi"/>
          <w:i/>
        </w:rPr>
        <w:t>Blood Marrow Transplant</w:t>
      </w:r>
      <w:r w:rsidRPr="00AB61BF">
        <w:rPr>
          <w:rFonts w:asciiTheme="minorHAnsi" w:hAnsiTheme="minorHAnsi"/>
        </w:rPr>
        <w:t xml:space="preserve">. </w:t>
      </w:r>
      <w:r w:rsidRPr="00AB61BF">
        <w:rPr>
          <w:rFonts w:asciiTheme="minorHAnsi" w:hAnsiTheme="minorHAnsi"/>
          <w:b/>
        </w:rPr>
        <w:t>19</w:t>
      </w:r>
      <w:r w:rsidRPr="00AB61BF">
        <w:rPr>
          <w:rFonts w:asciiTheme="minorHAnsi" w:hAnsiTheme="minorHAnsi"/>
        </w:rPr>
        <w:t>, 1708-12 (2013).</w:t>
      </w:r>
    </w:p>
  </w:endnote>
  <w:endnote w:id="70">
    <w:p w14:paraId="65E71F2B"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Shimoni A, et al. Prior treatment with the tyrosine kinase inhibitors dasatinib and nilotinib allows stem cell transplantation (SCT) in a less advanced disease phase and does not increase SCT Toxicity in patients with chronic myelogenous leukemia and philadelphia positive acute lymphoblastic leukemia. </w:t>
      </w:r>
      <w:r w:rsidRPr="00AB61BF">
        <w:rPr>
          <w:rFonts w:asciiTheme="minorHAnsi" w:hAnsiTheme="minorHAnsi"/>
          <w:i/>
        </w:rPr>
        <w:t>Leukemia</w:t>
      </w:r>
      <w:r w:rsidRPr="00AB61BF">
        <w:rPr>
          <w:rFonts w:asciiTheme="minorHAnsi" w:hAnsiTheme="minorHAnsi"/>
        </w:rPr>
        <w:t xml:space="preserve">. </w:t>
      </w:r>
      <w:r w:rsidRPr="00AB61BF">
        <w:rPr>
          <w:rFonts w:asciiTheme="minorHAnsi" w:hAnsiTheme="minorHAnsi"/>
          <w:b/>
        </w:rPr>
        <w:t>23</w:t>
      </w:r>
      <w:r w:rsidRPr="00AB61BF">
        <w:rPr>
          <w:rFonts w:asciiTheme="minorHAnsi" w:hAnsiTheme="minorHAnsi"/>
        </w:rPr>
        <w:t>, 190-4 (2009).</w:t>
      </w:r>
    </w:p>
  </w:endnote>
  <w:endnote w:id="71">
    <w:p w14:paraId="6EA3AC6E"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Sanz J, et al. Single-unit umbilical cord blood transplantation from unrelated donors in adult patients with chronic myelogenous leukemia. </w:t>
      </w:r>
      <w:r w:rsidRPr="00AB61BF">
        <w:rPr>
          <w:rFonts w:asciiTheme="minorHAnsi" w:hAnsiTheme="minorHAnsi"/>
          <w:i/>
        </w:rPr>
        <w:t>Biol Blood Marrow Transplant</w:t>
      </w:r>
      <w:r w:rsidRPr="00AB61BF">
        <w:rPr>
          <w:rFonts w:asciiTheme="minorHAnsi" w:hAnsiTheme="minorHAnsi"/>
        </w:rPr>
        <w:t xml:space="preserve">. </w:t>
      </w:r>
      <w:r w:rsidRPr="00AB61BF">
        <w:rPr>
          <w:rFonts w:asciiTheme="minorHAnsi" w:hAnsiTheme="minorHAnsi"/>
          <w:b/>
        </w:rPr>
        <w:t>16</w:t>
      </w:r>
      <w:r w:rsidRPr="00AB61BF">
        <w:rPr>
          <w:rFonts w:asciiTheme="minorHAnsi" w:hAnsiTheme="minorHAnsi"/>
        </w:rPr>
        <w:t>, 1589-95 (2010).</w:t>
      </w:r>
    </w:p>
  </w:endnote>
  <w:endnote w:id="72">
    <w:p w14:paraId="181AE2D0"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Jabbour E, et al. Results of allogeneic hematopoietic stem cell transplantation for chronic myelogenous leukemia patients who failed tyrosine kinase inhibitors after developing BCR-ABL1 kinase domain mutations. </w:t>
      </w:r>
      <w:r w:rsidRPr="00AB61BF">
        <w:rPr>
          <w:rFonts w:asciiTheme="minorHAnsi" w:hAnsiTheme="minorHAnsi"/>
          <w:i/>
          <w:lang w:val="nl-NL"/>
        </w:rPr>
        <w:t>Blood</w:t>
      </w:r>
      <w:r w:rsidRPr="00AB61BF">
        <w:rPr>
          <w:rFonts w:asciiTheme="minorHAnsi" w:hAnsiTheme="minorHAnsi"/>
          <w:lang w:val="nl-NL"/>
        </w:rPr>
        <w:t xml:space="preserve">. </w:t>
      </w:r>
      <w:r w:rsidRPr="00AB61BF">
        <w:rPr>
          <w:rFonts w:asciiTheme="minorHAnsi" w:hAnsiTheme="minorHAnsi"/>
          <w:b/>
          <w:lang w:val="nl-NL"/>
        </w:rPr>
        <w:t>117</w:t>
      </w:r>
      <w:r w:rsidRPr="00AB61BF">
        <w:rPr>
          <w:rFonts w:asciiTheme="minorHAnsi" w:hAnsiTheme="minorHAnsi"/>
          <w:lang w:val="nl-NL"/>
        </w:rPr>
        <w:t>,3641-7 (2011).</w:t>
      </w:r>
    </w:p>
  </w:endnote>
  <w:endnote w:id="73">
    <w:p w14:paraId="5A7BF9F0"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lang w:val="nl-NL"/>
        </w:rPr>
        <w:t xml:space="preserve"> Warlick E, et al. Reduced intensity conditioning is superior to nonmyeloablative conditioning for older chronic myelogenous leukemia patients undergoing hematopoietic cell transplant during the tyrosine kinase inhibitor era.</w:t>
      </w:r>
      <w:r w:rsidRPr="00AB61BF">
        <w:rPr>
          <w:rFonts w:asciiTheme="minorHAnsi" w:hAnsiTheme="minorHAnsi"/>
          <w:i/>
          <w:lang w:val="nl-NL"/>
        </w:rPr>
        <w:t xml:space="preserve"> Blood</w:t>
      </w:r>
      <w:r w:rsidRPr="00AB61BF">
        <w:rPr>
          <w:rFonts w:asciiTheme="minorHAnsi" w:hAnsiTheme="minorHAnsi"/>
          <w:lang w:val="nl-NL"/>
        </w:rPr>
        <w:t xml:space="preserve">. </w:t>
      </w:r>
      <w:r w:rsidRPr="00AB61BF">
        <w:rPr>
          <w:rFonts w:asciiTheme="minorHAnsi" w:hAnsiTheme="minorHAnsi"/>
          <w:b/>
          <w:lang w:val="nl-NL"/>
        </w:rPr>
        <w:t>119</w:t>
      </w:r>
      <w:r w:rsidRPr="00AB61BF">
        <w:rPr>
          <w:rFonts w:asciiTheme="minorHAnsi" w:hAnsiTheme="minorHAnsi"/>
          <w:lang w:val="nl-NL"/>
        </w:rPr>
        <w:t>, 4083-90 (2012).</w:t>
      </w:r>
    </w:p>
  </w:endnote>
  <w:endnote w:id="74">
    <w:p w14:paraId="613044C0"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lang w:val="nl-NL"/>
        </w:rPr>
        <w:t xml:space="preserve"> Topcuoglu P, et al. </w:t>
      </w:r>
      <w:r w:rsidRPr="00AB61BF">
        <w:rPr>
          <w:rFonts w:asciiTheme="minorHAnsi" w:hAnsiTheme="minorHAnsi"/>
        </w:rPr>
        <w:t xml:space="preserve">Case-matched comparison with standard versus reduced intensity conditioning regimen in chronic myeloid leukemia patients. </w:t>
      </w:r>
      <w:r w:rsidRPr="00AB61BF">
        <w:rPr>
          <w:rFonts w:asciiTheme="minorHAnsi" w:hAnsiTheme="minorHAnsi"/>
          <w:i/>
          <w:lang w:val="sv-SE"/>
        </w:rPr>
        <w:t>Ann Hematol</w:t>
      </w:r>
      <w:r w:rsidRPr="00AB61BF">
        <w:rPr>
          <w:rFonts w:asciiTheme="minorHAnsi" w:hAnsiTheme="minorHAnsi"/>
          <w:lang w:val="sv-SE"/>
        </w:rPr>
        <w:t>.</w:t>
      </w:r>
      <w:r w:rsidRPr="00AB61BF">
        <w:rPr>
          <w:rFonts w:asciiTheme="minorHAnsi" w:hAnsiTheme="minorHAnsi"/>
          <w:b/>
          <w:lang w:val="sv-SE"/>
        </w:rPr>
        <w:t xml:space="preserve"> 91</w:t>
      </w:r>
      <w:r w:rsidRPr="00AB61BF">
        <w:rPr>
          <w:rFonts w:asciiTheme="minorHAnsi" w:hAnsiTheme="minorHAnsi"/>
          <w:lang w:val="sv-SE"/>
        </w:rPr>
        <w:t>, 577-86 (2012).</w:t>
      </w:r>
    </w:p>
  </w:endnote>
  <w:endnote w:id="75">
    <w:p w14:paraId="13CA6E6B"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lang w:val="sv-SE"/>
        </w:rPr>
        <w:t xml:space="preserve"> Zuckerman T, et al. </w:t>
      </w:r>
      <w:r w:rsidRPr="00AB61BF">
        <w:rPr>
          <w:rFonts w:asciiTheme="minorHAnsi" w:hAnsiTheme="minorHAnsi"/>
        </w:rPr>
        <w:t xml:space="preserve">Allogeneic stem cell transplantation for patients with chronic myeloid leukemia: risk stratified approach with a long-term follow-up. </w:t>
      </w:r>
      <w:r w:rsidRPr="00AB61BF">
        <w:rPr>
          <w:rFonts w:asciiTheme="minorHAnsi" w:hAnsiTheme="minorHAnsi"/>
          <w:i/>
        </w:rPr>
        <w:t>Am J Hematol</w:t>
      </w:r>
      <w:r w:rsidRPr="00AB61BF">
        <w:rPr>
          <w:rFonts w:asciiTheme="minorHAnsi" w:hAnsiTheme="minorHAnsi"/>
        </w:rPr>
        <w:t xml:space="preserve">. </w:t>
      </w:r>
      <w:r w:rsidRPr="00AB61BF">
        <w:rPr>
          <w:rFonts w:asciiTheme="minorHAnsi" w:hAnsiTheme="minorHAnsi"/>
          <w:b/>
        </w:rPr>
        <w:t>87</w:t>
      </w:r>
      <w:r w:rsidRPr="00AB61BF">
        <w:rPr>
          <w:rFonts w:asciiTheme="minorHAnsi" w:hAnsiTheme="minorHAnsi"/>
        </w:rPr>
        <w:t>, 875-9 (2012).</w:t>
      </w:r>
    </w:p>
  </w:endnote>
  <w:endnote w:id="76">
    <w:p w14:paraId="57FAAB3A"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Oyekunle A, et al. Outcome of allogeneic SCT in patients with chronic myeloid leukemia in the era of tyrosine kinase inhibitor therapy. </w:t>
      </w:r>
      <w:r w:rsidRPr="00AB61BF">
        <w:rPr>
          <w:rFonts w:asciiTheme="minorHAnsi" w:hAnsiTheme="minorHAnsi"/>
          <w:i/>
        </w:rPr>
        <w:t>Ann Hematol</w:t>
      </w:r>
      <w:r w:rsidRPr="00AB61BF">
        <w:rPr>
          <w:rFonts w:asciiTheme="minorHAnsi" w:hAnsiTheme="minorHAnsi"/>
        </w:rPr>
        <w:t xml:space="preserve">. </w:t>
      </w:r>
      <w:r w:rsidRPr="00AB61BF">
        <w:rPr>
          <w:rFonts w:asciiTheme="minorHAnsi" w:hAnsiTheme="minorHAnsi"/>
          <w:b/>
        </w:rPr>
        <w:t>92</w:t>
      </w:r>
      <w:r w:rsidRPr="00AB61BF">
        <w:rPr>
          <w:rFonts w:asciiTheme="minorHAnsi" w:hAnsiTheme="minorHAnsi"/>
        </w:rPr>
        <w:t>, 487-96 (2013).</w:t>
      </w:r>
    </w:p>
  </w:endnote>
  <w:endnote w:id="77">
    <w:p w14:paraId="4687BE4A"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Milojkovic D, et al. Prognostic significance of EBMT score for chronic myeloid leukaemia patients in the era of tyrosine kinase inhibitor therapy: a retrospective study from the chronic malignancy working party of the european group for blood and marrow transplantation (EBMT). Bone Marrow Transplantation 2014;</w:t>
      </w:r>
      <w:r w:rsidRPr="00AB61BF">
        <w:rPr>
          <w:rFonts w:asciiTheme="minorHAnsi" w:hAnsiTheme="minorHAnsi"/>
          <w:b/>
        </w:rPr>
        <w:t>49</w:t>
      </w:r>
      <w:r w:rsidRPr="00AB61BF">
        <w:rPr>
          <w:rFonts w:asciiTheme="minorHAnsi" w:hAnsiTheme="minorHAnsi"/>
        </w:rPr>
        <w:t xml:space="preserve">:S34-5  </w:t>
      </w:r>
    </w:p>
  </w:endnote>
  <w:endnote w:id="78">
    <w:p w14:paraId="609BFE23"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Krejci M, et al. Clinical outcomes and direct hospital costs of reduced-intensity allogeneic transplantation in chronic myeloid leukemia. </w:t>
      </w:r>
      <w:r w:rsidRPr="00AB61BF">
        <w:rPr>
          <w:rFonts w:asciiTheme="minorHAnsi" w:hAnsiTheme="minorHAnsi"/>
          <w:i/>
        </w:rPr>
        <w:t>Bone Marrow Transplant</w:t>
      </w:r>
      <w:r w:rsidRPr="00AB61BF">
        <w:rPr>
          <w:rFonts w:asciiTheme="minorHAnsi" w:hAnsiTheme="minorHAnsi"/>
        </w:rPr>
        <w:t xml:space="preserve">. </w:t>
      </w:r>
      <w:r w:rsidRPr="00AB61BF">
        <w:rPr>
          <w:rFonts w:asciiTheme="minorHAnsi" w:hAnsiTheme="minorHAnsi"/>
          <w:b/>
        </w:rPr>
        <w:t>38</w:t>
      </w:r>
      <w:r w:rsidRPr="00AB61BF">
        <w:rPr>
          <w:rFonts w:asciiTheme="minorHAnsi" w:hAnsiTheme="minorHAnsi"/>
        </w:rPr>
        <w:t xml:space="preserve">, 483-91 (2006). </w:t>
      </w:r>
    </w:p>
  </w:endnote>
  <w:endnote w:id="79">
    <w:p w14:paraId="5B717C13"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Saussele S, et al. Allogeneic hematopoietic stem cell transplantation (allo SCT) for chronic myeloid leukemia in the imatinib era: evaluation of its impact within a subgroup of the randomized German CML Study IV. </w:t>
      </w:r>
      <w:r w:rsidRPr="00AB61BF">
        <w:rPr>
          <w:rFonts w:asciiTheme="minorHAnsi" w:hAnsiTheme="minorHAnsi"/>
          <w:i/>
        </w:rPr>
        <w:t>Blood</w:t>
      </w:r>
      <w:r w:rsidRPr="00AB61BF">
        <w:rPr>
          <w:rFonts w:asciiTheme="minorHAnsi" w:hAnsiTheme="minorHAnsi"/>
        </w:rPr>
        <w:t xml:space="preserve">. </w:t>
      </w:r>
      <w:r w:rsidRPr="00AB61BF">
        <w:rPr>
          <w:rFonts w:asciiTheme="minorHAnsi" w:hAnsiTheme="minorHAnsi"/>
          <w:b/>
        </w:rPr>
        <w:t>115</w:t>
      </w:r>
      <w:r w:rsidRPr="00AB61BF">
        <w:rPr>
          <w:rFonts w:asciiTheme="minorHAnsi" w:hAnsiTheme="minorHAnsi"/>
        </w:rPr>
        <w:t>, 1880-5 (2010).</w:t>
      </w:r>
    </w:p>
  </w:endnote>
  <w:endnote w:id="80">
    <w:p w14:paraId="2BB1CC4E"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Or R, et al. Nonmyeloablative allogeneic stem cell transplantation for the treatment of chronic myeloid leukemia in first chronic phase. </w:t>
      </w:r>
      <w:r w:rsidRPr="00AB61BF">
        <w:rPr>
          <w:rFonts w:asciiTheme="minorHAnsi" w:hAnsiTheme="minorHAnsi"/>
          <w:i/>
        </w:rPr>
        <w:t>Blood</w:t>
      </w:r>
      <w:r w:rsidRPr="00AB61BF">
        <w:rPr>
          <w:rFonts w:asciiTheme="minorHAnsi" w:hAnsiTheme="minorHAnsi"/>
        </w:rPr>
        <w:t xml:space="preserve">. </w:t>
      </w:r>
      <w:r w:rsidRPr="00AB61BF">
        <w:rPr>
          <w:rFonts w:asciiTheme="minorHAnsi" w:hAnsiTheme="minorHAnsi"/>
          <w:b/>
        </w:rPr>
        <w:t>101</w:t>
      </w:r>
      <w:r w:rsidRPr="00AB61BF">
        <w:rPr>
          <w:rFonts w:asciiTheme="minorHAnsi" w:hAnsiTheme="minorHAnsi"/>
        </w:rPr>
        <w:t>, 441-5 (2003).</w:t>
      </w:r>
    </w:p>
  </w:endnote>
  <w:endnote w:id="81">
    <w:p w14:paraId="5EF79949"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Crawley C, et al. Outcomes of reduced-intensity transplantation for chronic myeloid leukemia: an analysis of prognostic factors from the Chronic Leukemia Working Party of the EBMT. </w:t>
      </w:r>
      <w:r w:rsidRPr="00AB61BF">
        <w:rPr>
          <w:rFonts w:asciiTheme="minorHAnsi" w:hAnsiTheme="minorHAnsi"/>
          <w:i/>
        </w:rPr>
        <w:t>Blood</w:t>
      </w:r>
      <w:r w:rsidRPr="00AB61BF">
        <w:rPr>
          <w:rFonts w:asciiTheme="minorHAnsi" w:hAnsiTheme="minorHAnsi"/>
        </w:rPr>
        <w:t xml:space="preserve">. </w:t>
      </w:r>
      <w:r w:rsidRPr="00AB61BF">
        <w:rPr>
          <w:rFonts w:asciiTheme="minorHAnsi" w:hAnsiTheme="minorHAnsi"/>
          <w:b/>
        </w:rPr>
        <w:t>106</w:t>
      </w:r>
      <w:r w:rsidRPr="00AB61BF">
        <w:rPr>
          <w:rFonts w:asciiTheme="minorHAnsi" w:hAnsiTheme="minorHAnsi"/>
        </w:rPr>
        <w:t>, 2969-76 (2005).</w:t>
      </w:r>
    </w:p>
  </w:endnote>
  <w:endnote w:id="82">
    <w:p w14:paraId="5BC07443"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Kebriaei P, et al. Long-term follow-up of allogeneic hematopoietic stem-cell transplantation with reduced-intensity conditioning for patients with chronic myeloid leukemia. </w:t>
      </w:r>
      <w:r w:rsidRPr="00AB61BF">
        <w:rPr>
          <w:rFonts w:asciiTheme="minorHAnsi" w:hAnsiTheme="minorHAnsi"/>
          <w:i/>
        </w:rPr>
        <w:t>Blood</w:t>
      </w:r>
      <w:r w:rsidRPr="00AB61BF">
        <w:rPr>
          <w:rFonts w:asciiTheme="minorHAnsi" w:hAnsiTheme="minorHAnsi"/>
        </w:rPr>
        <w:t xml:space="preserve">. </w:t>
      </w:r>
      <w:r w:rsidRPr="00AB61BF">
        <w:rPr>
          <w:rFonts w:asciiTheme="minorHAnsi" w:hAnsiTheme="minorHAnsi"/>
          <w:b/>
        </w:rPr>
        <w:t>110</w:t>
      </w:r>
      <w:r w:rsidRPr="00AB61BF">
        <w:rPr>
          <w:rFonts w:asciiTheme="minorHAnsi" w:hAnsiTheme="minorHAnsi"/>
        </w:rPr>
        <w:t>, 3456-62 (2007).</w:t>
      </w:r>
    </w:p>
  </w:endnote>
  <w:endnote w:id="83">
    <w:p w14:paraId="01391A04"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Kelemen E, Masszi T, Reményi P, Barta A &amp; Pálóczi K. Reduction in the frequency of transplant-related complications in patients with chronic myeloid leukemia undergoing BMT preconditioned with a new, non-myeloablative drug combination. </w:t>
      </w:r>
      <w:r w:rsidRPr="00AB61BF">
        <w:rPr>
          <w:rFonts w:asciiTheme="minorHAnsi" w:hAnsiTheme="minorHAnsi"/>
          <w:i/>
        </w:rPr>
        <w:t>Bone Marrow Transplant</w:t>
      </w:r>
      <w:r w:rsidRPr="00AB61BF">
        <w:rPr>
          <w:rFonts w:asciiTheme="minorHAnsi" w:hAnsiTheme="minorHAnsi"/>
        </w:rPr>
        <w:t xml:space="preserve">. </w:t>
      </w:r>
      <w:r w:rsidRPr="00AB61BF">
        <w:rPr>
          <w:rFonts w:asciiTheme="minorHAnsi" w:hAnsiTheme="minorHAnsi"/>
          <w:b/>
        </w:rPr>
        <w:t>21</w:t>
      </w:r>
      <w:r w:rsidRPr="00AB61BF">
        <w:rPr>
          <w:rFonts w:asciiTheme="minorHAnsi" w:hAnsiTheme="minorHAnsi"/>
        </w:rPr>
        <w:t>, 747-9 (1998).</w:t>
      </w:r>
    </w:p>
  </w:endnote>
  <w:endnote w:id="84">
    <w:p w14:paraId="06A7BF9B"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Barta A, et al. Remarkably reduced transplant-related complications by dibromomannitol non-myeloablative conditioning before allogeneic bone marrow transplantation in chronic myeloid leukemia. </w:t>
      </w:r>
      <w:r w:rsidRPr="00AB61BF">
        <w:rPr>
          <w:rFonts w:asciiTheme="minorHAnsi" w:hAnsiTheme="minorHAnsi"/>
          <w:i/>
        </w:rPr>
        <w:t>Acta Haematol</w:t>
      </w:r>
      <w:r w:rsidRPr="00AB61BF">
        <w:rPr>
          <w:rFonts w:asciiTheme="minorHAnsi" w:hAnsiTheme="minorHAnsi"/>
        </w:rPr>
        <w:t xml:space="preserve">. </w:t>
      </w:r>
      <w:r w:rsidRPr="00AB61BF">
        <w:rPr>
          <w:rFonts w:asciiTheme="minorHAnsi" w:hAnsiTheme="minorHAnsi"/>
          <w:b/>
        </w:rPr>
        <w:t>105</w:t>
      </w:r>
      <w:r w:rsidRPr="00AB61BF">
        <w:rPr>
          <w:rFonts w:asciiTheme="minorHAnsi" w:hAnsiTheme="minorHAnsi"/>
        </w:rPr>
        <w:t>, 64-70 (2001).</w:t>
      </w:r>
    </w:p>
  </w:endnote>
  <w:endnote w:id="85">
    <w:p w14:paraId="6C6E60F8"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Weisser M, et al. Reduced-intensity conditioning using TBI (8 Gy), fludarabine, cyclophosphamide and ATG in elderly CML patients provides excellent results especially when performed in the early course of the disease. </w:t>
      </w:r>
      <w:r w:rsidRPr="00AB61BF">
        <w:rPr>
          <w:rFonts w:asciiTheme="minorHAnsi" w:hAnsiTheme="minorHAnsi"/>
          <w:i/>
        </w:rPr>
        <w:t>Bone Marrow Transplant</w:t>
      </w:r>
      <w:r w:rsidRPr="00AB61BF">
        <w:rPr>
          <w:rFonts w:asciiTheme="minorHAnsi" w:hAnsiTheme="minorHAnsi"/>
        </w:rPr>
        <w:t xml:space="preserve">.  </w:t>
      </w:r>
      <w:r w:rsidRPr="00AB61BF">
        <w:rPr>
          <w:rFonts w:asciiTheme="minorHAnsi" w:hAnsiTheme="minorHAnsi"/>
          <w:b/>
        </w:rPr>
        <w:t>34</w:t>
      </w:r>
      <w:r w:rsidRPr="00AB61BF">
        <w:rPr>
          <w:rFonts w:asciiTheme="minorHAnsi" w:hAnsiTheme="minorHAnsi"/>
        </w:rPr>
        <w:t>, 1083-8 (2004).</w:t>
      </w:r>
    </w:p>
  </w:endnote>
  <w:endnote w:id="86">
    <w:p w14:paraId="618AF041"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Kerbauy FR, et al. Hematopoietic cell transplantation from HLA-identical sibling donors after low-dose radiation-based conditioning for treatment of CML. </w:t>
      </w:r>
      <w:r w:rsidRPr="00AB61BF">
        <w:rPr>
          <w:rFonts w:asciiTheme="minorHAnsi" w:hAnsiTheme="minorHAnsi"/>
          <w:i/>
        </w:rPr>
        <w:t>Leukemia</w:t>
      </w:r>
      <w:r w:rsidRPr="00AB61BF">
        <w:rPr>
          <w:rFonts w:asciiTheme="minorHAnsi" w:hAnsiTheme="minorHAnsi"/>
        </w:rPr>
        <w:t xml:space="preserve">. </w:t>
      </w:r>
      <w:r w:rsidRPr="00AB61BF">
        <w:rPr>
          <w:rFonts w:asciiTheme="minorHAnsi" w:hAnsiTheme="minorHAnsi"/>
          <w:b/>
        </w:rPr>
        <w:t>19</w:t>
      </w:r>
      <w:r w:rsidRPr="00AB61BF">
        <w:rPr>
          <w:rFonts w:asciiTheme="minorHAnsi" w:hAnsiTheme="minorHAnsi"/>
        </w:rPr>
        <w:t>, 990-7 (2005).</w:t>
      </w:r>
    </w:p>
  </w:endnote>
  <w:endnote w:id="87">
    <w:p w14:paraId="2A2FC641"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Ruiz-Argüelles GJ, et al. The early referral for reduced-intensity stem cell transplantation in patients with Ph1 (+) chronic myelogenous leukemia in chronic phase in the imatinib era: results of the Latin American Cooperative Oncohematology Group (LACOHG) prospective, multicenter study. </w:t>
      </w:r>
      <w:r w:rsidRPr="00AB61BF">
        <w:rPr>
          <w:rFonts w:asciiTheme="minorHAnsi" w:hAnsiTheme="minorHAnsi"/>
          <w:i/>
        </w:rPr>
        <w:t>Bone Marrow Transplant</w:t>
      </w:r>
      <w:r w:rsidRPr="00AB61BF">
        <w:rPr>
          <w:rFonts w:asciiTheme="minorHAnsi" w:hAnsiTheme="minorHAnsi"/>
        </w:rPr>
        <w:t xml:space="preserve">. </w:t>
      </w:r>
      <w:r w:rsidRPr="00AB61BF">
        <w:rPr>
          <w:rFonts w:asciiTheme="minorHAnsi" w:hAnsiTheme="minorHAnsi"/>
          <w:b/>
        </w:rPr>
        <w:t>36</w:t>
      </w:r>
      <w:r w:rsidRPr="00AB61BF">
        <w:rPr>
          <w:rFonts w:asciiTheme="minorHAnsi" w:hAnsiTheme="minorHAnsi"/>
        </w:rPr>
        <w:t>, 1043-7 (2005).</w:t>
      </w:r>
    </w:p>
  </w:endnote>
  <w:endnote w:id="88">
    <w:p w14:paraId="05D580E3"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Krejci M, et al. Clinical outcomes and direct hospital costs of reduced-intensity allogeneic transplantation in chronic myeloid leukemia. </w:t>
      </w:r>
      <w:r w:rsidRPr="00AB61BF">
        <w:rPr>
          <w:rFonts w:asciiTheme="minorHAnsi" w:hAnsiTheme="minorHAnsi"/>
          <w:i/>
        </w:rPr>
        <w:t>Bone Marrow Transplant</w:t>
      </w:r>
      <w:r w:rsidRPr="00AB61BF">
        <w:rPr>
          <w:rFonts w:asciiTheme="minorHAnsi" w:hAnsiTheme="minorHAnsi"/>
        </w:rPr>
        <w:t xml:space="preserve">. </w:t>
      </w:r>
      <w:r w:rsidRPr="00AB61BF">
        <w:rPr>
          <w:rFonts w:asciiTheme="minorHAnsi" w:hAnsiTheme="minorHAnsi"/>
          <w:b/>
        </w:rPr>
        <w:t>38</w:t>
      </w:r>
      <w:r w:rsidRPr="00AB61BF">
        <w:rPr>
          <w:rFonts w:asciiTheme="minorHAnsi" w:hAnsiTheme="minorHAnsi"/>
        </w:rPr>
        <w:t>, 483-91. (2006).</w:t>
      </w:r>
    </w:p>
  </w:endnote>
  <w:endnote w:id="89">
    <w:p w14:paraId="6ABE2CB3"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Faber E, et al. Reduced-intensity conditioning for allogeneic stem cell transplantation in patients with chronic myeloid leukemia is associated with better overall survival but inferior disease-free survival when compared with myeloablative conditioning - a retrospective study of the Czech National Hematopoietic Stem Cell Transplantation Registry. </w:t>
      </w:r>
      <w:r w:rsidRPr="00AB61BF">
        <w:rPr>
          <w:rFonts w:asciiTheme="minorHAnsi" w:hAnsiTheme="minorHAnsi"/>
          <w:i/>
        </w:rPr>
        <w:t>Neoplasma</w:t>
      </w:r>
      <w:r w:rsidRPr="00AB61BF">
        <w:rPr>
          <w:rFonts w:asciiTheme="minorHAnsi" w:hAnsiTheme="minorHAnsi"/>
        </w:rPr>
        <w:t xml:space="preserve">. </w:t>
      </w:r>
      <w:r w:rsidRPr="00AB61BF">
        <w:rPr>
          <w:rFonts w:asciiTheme="minorHAnsi" w:hAnsiTheme="minorHAnsi"/>
          <w:b/>
        </w:rPr>
        <w:t>54</w:t>
      </w:r>
      <w:r w:rsidRPr="00AB61BF">
        <w:rPr>
          <w:rFonts w:asciiTheme="minorHAnsi" w:hAnsiTheme="minorHAnsi"/>
        </w:rPr>
        <w:t>, 443-6 (2007).</w:t>
      </w:r>
    </w:p>
  </w:endnote>
  <w:endnote w:id="90">
    <w:p w14:paraId="1CC5BDA0"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Kebriaei P, et al. Long-term follow-up of allogeneic hematopoietic stem-cell transplantation with reduced-intensity conditioning for patients with chronic myeloid leukemia. Blood. 110, 3456-62 (2007). </w:t>
      </w:r>
    </w:p>
  </w:endnote>
  <w:endnote w:id="91">
    <w:p w14:paraId="69085A7F"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Olavarria E, et al. Posttransplantation imatinib as a strategy to postpone the requirement for immunotherapy in patients undergoing reduced-intensity allografts for chronic myeloid leukemia. </w:t>
      </w:r>
      <w:r w:rsidRPr="00AB61BF">
        <w:rPr>
          <w:rFonts w:asciiTheme="minorHAnsi" w:hAnsiTheme="minorHAnsi"/>
          <w:i/>
        </w:rPr>
        <w:t>Blood</w:t>
      </w:r>
      <w:r w:rsidRPr="00AB61BF">
        <w:rPr>
          <w:rFonts w:asciiTheme="minorHAnsi" w:hAnsiTheme="minorHAnsi"/>
        </w:rPr>
        <w:t>.</w:t>
      </w:r>
      <w:r w:rsidRPr="00AB61BF">
        <w:rPr>
          <w:rFonts w:asciiTheme="minorHAnsi" w:hAnsiTheme="minorHAnsi"/>
          <w:b/>
        </w:rPr>
        <w:t xml:space="preserve"> 110</w:t>
      </w:r>
      <w:r w:rsidRPr="00AB61BF">
        <w:rPr>
          <w:rFonts w:asciiTheme="minorHAnsi" w:hAnsiTheme="minorHAnsi"/>
        </w:rPr>
        <w:t xml:space="preserve">, 4614-7 (2007). </w:t>
      </w:r>
    </w:p>
  </w:endnote>
  <w:endnote w:id="92">
    <w:p w14:paraId="00849CE5"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Socié G, et al. Chronic graft-versus-host disease: long-term results from a randomized trial on graft-versus-host disease prophylaxis with or without anti-T-cell globulin ATG-Fresenius. </w:t>
      </w:r>
      <w:r w:rsidRPr="00AB61BF">
        <w:rPr>
          <w:rFonts w:asciiTheme="minorHAnsi" w:hAnsiTheme="minorHAnsi"/>
          <w:i/>
        </w:rPr>
        <w:t>Blood</w:t>
      </w:r>
      <w:r w:rsidRPr="00AB61BF">
        <w:rPr>
          <w:rFonts w:asciiTheme="minorHAnsi" w:hAnsiTheme="minorHAnsi"/>
        </w:rPr>
        <w:t xml:space="preserve">. </w:t>
      </w:r>
      <w:r w:rsidRPr="00AB61BF">
        <w:rPr>
          <w:rFonts w:asciiTheme="minorHAnsi" w:hAnsiTheme="minorHAnsi"/>
          <w:b/>
        </w:rPr>
        <w:t>117</w:t>
      </w:r>
      <w:r w:rsidRPr="00AB61BF">
        <w:rPr>
          <w:rFonts w:asciiTheme="minorHAnsi" w:hAnsiTheme="minorHAnsi"/>
        </w:rPr>
        <w:t>, 6375-82 (2011).</w:t>
      </w:r>
    </w:p>
  </w:endnote>
  <w:endnote w:id="93">
    <w:p w14:paraId="7A83C019"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Eapen M, et al. Long-Term Survival after Transplantation of Unrelated Donor Peripheral Blood or Bone Marrow Hematopoietic Cells for Hematologic Malignancy. </w:t>
      </w:r>
      <w:r w:rsidRPr="00AB61BF">
        <w:rPr>
          <w:rFonts w:asciiTheme="minorHAnsi" w:hAnsiTheme="minorHAnsi"/>
          <w:i/>
        </w:rPr>
        <w:t>Biol Blood Marrow Transplant</w:t>
      </w:r>
      <w:r w:rsidRPr="00AB61BF">
        <w:rPr>
          <w:rFonts w:asciiTheme="minorHAnsi" w:hAnsiTheme="minorHAnsi"/>
        </w:rPr>
        <w:t xml:space="preserve">. </w:t>
      </w:r>
      <w:r w:rsidRPr="00AB61BF">
        <w:rPr>
          <w:rFonts w:asciiTheme="minorHAnsi" w:hAnsiTheme="minorHAnsi"/>
          <w:b/>
        </w:rPr>
        <w:t>21</w:t>
      </w:r>
      <w:r w:rsidRPr="00AB61BF">
        <w:rPr>
          <w:rFonts w:asciiTheme="minorHAnsi" w:hAnsiTheme="minorHAnsi"/>
        </w:rPr>
        <w:t>, 55-9 (2015).</w:t>
      </w:r>
    </w:p>
  </w:endnote>
  <w:endnote w:id="94">
    <w:p w14:paraId="2B6D8728"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Anasetti C, et al. Peripheral-blood stem cells versus bone marrow from unrelated donors. </w:t>
      </w:r>
      <w:r w:rsidRPr="00AB61BF">
        <w:rPr>
          <w:rFonts w:asciiTheme="minorHAnsi" w:hAnsiTheme="minorHAnsi"/>
          <w:i/>
        </w:rPr>
        <w:t>N Engl J Med</w:t>
      </w:r>
      <w:r w:rsidRPr="00AB61BF">
        <w:rPr>
          <w:rFonts w:asciiTheme="minorHAnsi" w:hAnsiTheme="minorHAnsi"/>
        </w:rPr>
        <w:t xml:space="preserve">. </w:t>
      </w:r>
      <w:r w:rsidRPr="00AB61BF">
        <w:rPr>
          <w:rFonts w:asciiTheme="minorHAnsi" w:hAnsiTheme="minorHAnsi"/>
          <w:b/>
        </w:rPr>
        <w:t>367</w:t>
      </w:r>
      <w:r w:rsidRPr="00AB61BF">
        <w:rPr>
          <w:rFonts w:asciiTheme="minorHAnsi" w:hAnsiTheme="minorHAnsi"/>
        </w:rPr>
        <w:t>, 1487-96 (2012).</w:t>
      </w:r>
    </w:p>
  </w:endnote>
  <w:endnote w:id="95">
    <w:p w14:paraId="23E6C327"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Krejci M, et al. Clinical outcomes and direct hospital costs of reduced-intensity allogeneic transplantation in chronic myeloid leukemia. </w:t>
      </w:r>
      <w:r w:rsidRPr="00AB61BF">
        <w:rPr>
          <w:rFonts w:asciiTheme="minorHAnsi" w:hAnsiTheme="minorHAnsi"/>
          <w:i/>
        </w:rPr>
        <w:t>Bone Marrow Transplant</w:t>
      </w:r>
      <w:r w:rsidRPr="00AB61BF">
        <w:rPr>
          <w:rFonts w:asciiTheme="minorHAnsi" w:hAnsiTheme="minorHAnsi"/>
        </w:rPr>
        <w:t xml:space="preserve">. </w:t>
      </w:r>
      <w:r w:rsidRPr="00AB61BF">
        <w:rPr>
          <w:rFonts w:asciiTheme="minorHAnsi" w:hAnsiTheme="minorHAnsi"/>
          <w:b/>
        </w:rPr>
        <w:t>38</w:t>
      </w:r>
      <w:r w:rsidRPr="00AB61BF">
        <w:rPr>
          <w:rFonts w:asciiTheme="minorHAnsi" w:hAnsiTheme="minorHAnsi"/>
        </w:rPr>
        <w:t>, 483-91 (2006).</w:t>
      </w:r>
    </w:p>
  </w:endnote>
  <w:endnote w:id="96">
    <w:p w14:paraId="66D97CCB"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Lin F, van Rhee F, Goldman JM &amp; Cross NC. Kinetics of increasing BCR-ABL transcript numbers in chronic myeloid leukemia patients who relapse after bone marrow transplantation. </w:t>
      </w:r>
      <w:r w:rsidRPr="00AB61BF">
        <w:rPr>
          <w:rFonts w:asciiTheme="minorHAnsi" w:hAnsiTheme="minorHAnsi"/>
          <w:i/>
        </w:rPr>
        <w:t>Blood</w:t>
      </w:r>
      <w:r w:rsidRPr="00AB61BF">
        <w:rPr>
          <w:rFonts w:asciiTheme="minorHAnsi" w:hAnsiTheme="minorHAnsi"/>
        </w:rPr>
        <w:t xml:space="preserve">. </w:t>
      </w:r>
      <w:r w:rsidRPr="00AB61BF">
        <w:rPr>
          <w:rFonts w:asciiTheme="minorHAnsi" w:hAnsiTheme="minorHAnsi"/>
          <w:b/>
        </w:rPr>
        <w:t>87</w:t>
      </w:r>
      <w:r w:rsidRPr="00AB61BF">
        <w:rPr>
          <w:rFonts w:asciiTheme="minorHAnsi" w:hAnsiTheme="minorHAnsi"/>
        </w:rPr>
        <w:t>, 4473-8 (1996).</w:t>
      </w:r>
    </w:p>
  </w:endnote>
  <w:endnote w:id="97">
    <w:p w14:paraId="4095587B" w14:textId="77777777" w:rsidR="000E2B3F" w:rsidRPr="00AB61BF"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Kaeda J, et al. Serial measurement of BCR-ABL transcripts in the peripheral blood after allogeneic stem cell transplantation for chronic myeloid leukemia: an attempt to define patients who may not require further therapy. </w:t>
      </w:r>
      <w:r w:rsidRPr="00AB61BF">
        <w:rPr>
          <w:rFonts w:asciiTheme="minorHAnsi" w:hAnsiTheme="minorHAnsi"/>
          <w:i/>
        </w:rPr>
        <w:t>Blood</w:t>
      </w:r>
      <w:r w:rsidRPr="00AB61BF">
        <w:rPr>
          <w:rFonts w:asciiTheme="minorHAnsi" w:hAnsiTheme="minorHAnsi"/>
        </w:rPr>
        <w:t xml:space="preserve">. </w:t>
      </w:r>
      <w:r w:rsidRPr="00AB61BF">
        <w:rPr>
          <w:rFonts w:asciiTheme="minorHAnsi" w:hAnsiTheme="minorHAnsi"/>
          <w:b/>
        </w:rPr>
        <w:t>107</w:t>
      </w:r>
      <w:r w:rsidRPr="00AB61BF">
        <w:rPr>
          <w:rFonts w:asciiTheme="minorHAnsi" w:hAnsiTheme="minorHAnsi"/>
        </w:rPr>
        <w:t>, 4171-6 (2006).</w:t>
      </w:r>
    </w:p>
  </w:endnote>
  <w:endnote w:id="98">
    <w:p w14:paraId="3C702D44" w14:textId="77777777" w:rsidR="000E2B3F" w:rsidRPr="00C3533D" w:rsidRDefault="000E2B3F" w:rsidP="00AB61BF">
      <w:pPr>
        <w:pStyle w:val="EndnoteText"/>
        <w:spacing w:line="360" w:lineRule="auto"/>
        <w:rPr>
          <w:rFonts w:asciiTheme="minorHAnsi" w:hAnsiTheme="minorHAnsi"/>
        </w:rPr>
      </w:pPr>
      <w:r w:rsidRPr="00AB61BF">
        <w:rPr>
          <w:rStyle w:val="EndnoteReference"/>
          <w:rFonts w:asciiTheme="minorHAnsi" w:hAnsiTheme="minorHAnsi"/>
        </w:rPr>
        <w:endnoteRef/>
      </w:r>
      <w:r w:rsidRPr="00AB61BF">
        <w:rPr>
          <w:rFonts w:asciiTheme="minorHAnsi" w:hAnsiTheme="minorHAnsi"/>
        </w:rPr>
        <w:t xml:space="preserve"> Innes AJ, et al. The Majority of Patients Receiving Donor Lymphocyte Infusions for Relapsed Chronic Myeloid Leukemia Remain PCR Positive Despite Maintaining Long-Term Remission. </w:t>
      </w:r>
      <w:r w:rsidRPr="00AB61BF">
        <w:rPr>
          <w:rFonts w:asciiTheme="minorHAnsi" w:hAnsiTheme="minorHAnsi"/>
          <w:i/>
        </w:rPr>
        <w:t>Blood (ASH Annual Meeting Abstracts)</w:t>
      </w:r>
      <w:r w:rsidRPr="00AB61BF">
        <w:rPr>
          <w:rFonts w:asciiTheme="minorHAnsi" w:hAnsiTheme="minorHAnsi"/>
        </w:rPr>
        <w:t>.</w:t>
      </w:r>
      <w:r w:rsidRPr="00AB61BF">
        <w:rPr>
          <w:rFonts w:asciiTheme="minorHAnsi" w:hAnsiTheme="minorHAnsi"/>
          <w:b/>
        </w:rPr>
        <w:t xml:space="preserve"> 118</w:t>
      </w:r>
      <w:r w:rsidRPr="00AB61BF">
        <w:rPr>
          <w:rFonts w:asciiTheme="minorHAnsi" w:hAnsiTheme="minorHAnsi"/>
        </w:rPr>
        <w:t>, Abstract 4103 (2011).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Lucida Sans">
    <w:panose1 w:val="020B0602030504020204"/>
    <w:charset w:val="00"/>
    <w:family w:val="auto"/>
    <w:pitch w:val="variable"/>
    <w:sig w:usb0="00000003" w:usb1="00000000" w:usb2="00000000" w:usb3="00000000" w:csb0="00000001" w:csb1="00000000"/>
  </w:font>
  <w:font w:name="AdvTTe5c5f14d.B">
    <w:panose1 w:val="00000000000000000000"/>
    <w:charset w:val="00"/>
    <w:family w:val="roman"/>
    <w:notTrueType/>
    <w:pitch w:val="default"/>
    <w:sig w:usb0="00000003" w:usb1="00000000" w:usb2="00000000" w:usb3="00000000" w:csb0="00000001" w:csb1="00000000"/>
  </w:font>
  <w:font w:name="AdvTimes">
    <w:panose1 w:val="00000000000000000000"/>
    <w:charset w:val="00"/>
    <w:family w:val="auto"/>
    <w:notTrueType/>
    <w:pitch w:val="default"/>
    <w:sig w:usb0="00000003" w:usb1="00000000" w:usb2="00000000" w:usb3="00000000" w:csb0="00000001" w:csb1="00000000"/>
  </w:font>
  <w:font w:name="AdvOT863180fb">
    <w:panose1 w:val="00000000000000000000"/>
    <w:charset w:val="00"/>
    <w:family w:val="roman"/>
    <w:notTrueType/>
    <w:pitch w:val="default"/>
    <w:sig w:usb0="00000003" w:usb1="00000000" w:usb2="00000000" w:usb3="00000000" w:csb0="00000001" w:csb1="00000000"/>
  </w:font>
  <w:font w:name="AdvPS8E91">
    <w:panose1 w:val="00000000000000000000"/>
    <w:charset w:val="00"/>
    <w:family w:val="swiss"/>
    <w:notTrueType/>
    <w:pitch w:val="default"/>
    <w:sig w:usb0="00000003" w:usb1="00000000" w:usb2="00000000" w:usb3="00000000" w:csb0="00000001" w:csb1="00000000"/>
  </w:font>
  <w:font w:name="AdvP48BFAF">
    <w:panose1 w:val="00000000000000000000"/>
    <w:charset w:val="00"/>
    <w:family w:val="swiss"/>
    <w:notTrueType/>
    <w:pitch w:val="default"/>
    <w:sig w:usb0="00000003" w:usb1="00000000" w:usb2="00000000" w:usb3="00000000" w:csb0="00000001" w:csb1="00000000"/>
  </w:font>
  <w:font w:name="AdvTTb8864ccf.B">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1B31DB" w14:textId="77777777" w:rsidR="000E2B3F" w:rsidRDefault="000E2B3F" w:rsidP="005D6F01">
      <w:pPr>
        <w:spacing w:after="0" w:line="240" w:lineRule="auto"/>
      </w:pPr>
      <w:r>
        <w:separator/>
      </w:r>
    </w:p>
  </w:footnote>
  <w:footnote w:type="continuationSeparator" w:id="0">
    <w:p w14:paraId="6EF7AE96" w14:textId="77777777" w:rsidR="000E2B3F" w:rsidRDefault="000E2B3F" w:rsidP="005D6F0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3514B"/>
    <w:multiLevelType w:val="multilevel"/>
    <w:tmpl w:val="78363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70B"/>
    <w:rsid w:val="00007919"/>
    <w:rsid w:val="000111CA"/>
    <w:rsid w:val="0001770D"/>
    <w:rsid w:val="00020239"/>
    <w:rsid w:val="00031CDE"/>
    <w:rsid w:val="0003295C"/>
    <w:rsid w:val="00042B29"/>
    <w:rsid w:val="00043331"/>
    <w:rsid w:val="0004584F"/>
    <w:rsid w:val="000609F3"/>
    <w:rsid w:val="00065DE1"/>
    <w:rsid w:val="000802DC"/>
    <w:rsid w:val="0008090E"/>
    <w:rsid w:val="00083916"/>
    <w:rsid w:val="00095429"/>
    <w:rsid w:val="00097A9D"/>
    <w:rsid w:val="000C19AD"/>
    <w:rsid w:val="000C4366"/>
    <w:rsid w:val="000C5860"/>
    <w:rsid w:val="000D148F"/>
    <w:rsid w:val="000D701A"/>
    <w:rsid w:val="000E224C"/>
    <w:rsid w:val="000E2B3F"/>
    <w:rsid w:val="000F0123"/>
    <w:rsid w:val="000F658D"/>
    <w:rsid w:val="00101D36"/>
    <w:rsid w:val="00102EFE"/>
    <w:rsid w:val="0011035A"/>
    <w:rsid w:val="001111DD"/>
    <w:rsid w:val="0012037B"/>
    <w:rsid w:val="00135E31"/>
    <w:rsid w:val="00141043"/>
    <w:rsid w:val="001434AC"/>
    <w:rsid w:val="0015170B"/>
    <w:rsid w:val="0015577A"/>
    <w:rsid w:val="00167456"/>
    <w:rsid w:val="00187E8B"/>
    <w:rsid w:val="00194B4E"/>
    <w:rsid w:val="0019642D"/>
    <w:rsid w:val="001C0EED"/>
    <w:rsid w:val="001C2158"/>
    <w:rsid w:val="001C2A15"/>
    <w:rsid w:val="001C7B36"/>
    <w:rsid w:val="001D264B"/>
    <w:rsid w:val="001D49B8"/>
    <w:rsid w:val="001D4EBD"/>
    <w:rsid w:val="001F19A6"/>
    <w:rsid w:val="002166D7"/>
    <w:rsid w:val="002279F2"/>
    <w:rsid w:val="00235BA9"/>
    <w:rsid w:val="002441D8"/>
    <w:rsid w:val="002553F5"/>
    <w:rsid w:val="00284E15"/>
    <w:rsid w:val="00291B37"/>
    <w:rsid w:val="00294A69"/>
    <w:rsid w:val="002B6767"/>
    <w:rsid w:val="002C5083"/>
    <w:rsid w:val="002D1A25"/>
    <w:rsid w:val="002D2936"/>
    <w:rsid w:val="002E2407"/>
    <w:rsid w:val="003146A3"/>
    <w:rsid w:val="00331D8E"/>
    <w:rsid w:val="00334037"/>
    <w:rsid w:val="0034009A"/>
    <w:rsid w:val="00341DF6"/>
    <w:rsid w:val="00355438"/>
    <w:rsid w:val="00363CDE"/>
    <w:rsid w:val="003773A1"/>
    <w:rsid w:val="00380469"/>
    <w:rsid w:val="0038149E"/>
    <w:rsid w:val="003843B4"/>
    <w:rsid w:val="003858F1"/>
    <w:rsid w:val="00392801"/>
    <w:rsid w:val="003A0964"/>
    <w:rsid w:val="003A23CA"/>
    <w:rsid w:val="003B1F6C"/>
    <w:rsid w:val="003B284A"/>
    <w:rsid w:val="003B7470"/>
    <w:rsid w:val="003B7D1B"/>
    <w:rsid w:val="003D4989"/>
    <w:rsid w:val="003D60CE"/>
    <w:rsid w:val="003D6E57"/>
    <w:rsid w:val="003E4043"/>
    <w:rsid w:val="00404A01"/>
    <w:rsid w:val="00416F05"/>
    <w:rsid w:val="00431E4A"/>
    <w:rsid w:val="00440FAD"/>
    <w:rsid w:val="00464532"/>
    <w:rsid w:val="004654D4"/>
    <w:rsid w:val="0047133C"/>
    <w:rsid w:val="00481FE9"/>
    <w:rsid w:val="004943E0"/>
    <w:rsid w:val="004A4BAF"/>
    <w:rsid w:val="004A747A"/>
    <w:rsid w:val="004B3998"/>
    <w:rsid w:val="004B633B"/>
    <w:rsid w:val="004B6E02"/>
    <w:rsid w:val="004D3E10"/>
    <w:rsid w:val="004F0246"/>
    <w:rsid w:val="004F5CDD"/>
    <w:rsid w:val="00500190"/>
    <w:rsid w:val="005009CD"/>
    <w:rsid w:val="005039D7"/>
    <w:rsid w:val="00515C30"/>
    <w:rsid w:val="0052021F"/>
    <w:rsid w:val="00533341"/>
    <w:rsid w:val="005374E3"/>
    <w:rsid w:val="005432AD"/>
    <w:rsid w:val="00545E19"/>
    <w:rsid w:val="00551962"/>
    <w:rsid w:val="00552257"/>
    <w:rsid w:val="0055327D"/>
    <w:rsid w:val="00555B41"/>
    <w:rsid w:val="00562E37"/>
    <w:rsid w:val="00574B18"/>
    <w:rsid w:val="00576119"/>
    <w:rsid w:val="00583864"/>
    <w:rsid w:val="00586935"/>
    <w:rsid w:val="005915D6"/>
    <w:rsid w:val="005A292D"/>
    <w:rsid w:val="005B4A7B"/>
    <w:rsid w:val="005B5A92"/>
    <w:rsid w:val="005D0067"/>
    <w:rsid w:val="005D6F01"/>
    <w:rsid w:val="005D71D0"/>
    <w:rsid w:val="005F23AB"/>
    <w:rsid w:val="005F3711"/>
    <w:rsid w:val="005F439A"/>
    <w:rsid w:val="005F6002"/>
    <w:rsid w:val="005F67D0"/>
    <w:rsid w:val="0060427B"/>
    <w:rsid w:val="00605CC2"/>
    <w:rsid w:val="00614995"/>
    <w:rsid w:val="00616399"/>
    <w:rsid w:val="0061727B"/>
    <w:rsid w:val="006200B5"/>
    <w:rsid w:val="00623D74"/>
    <w:rsid w:val="0062457F"/>
    <w:rsid w:val="0063418A"/>
    <w:rsid w:val="0063497A"/>
    <w:rsid w:val="006370C4"/>
    <w:rsid w:val="00644CB5"/>
    <w:rsid w:val="00645ED6"/>
    <w:rsid w:val="006468AC"/>
    <w:rsid w:val="006474EF"/>
    <w:rsid w:val="006529C6"/>
    <w:rsid w:val="0065761E"/>
    <w:rsid w:val="00657FF7"/>
    <w:rsid w:val="006643FD"/>
    <w:rsid w:val="00664635"/>
    <w:rsid w:val="006727A5"/>
    <w:rsid w:val="00680663"/>
    <w:rsid w:val="006845B4"/>
    <w:rsid w:val="006A1F85"/>
    <w:rsid w:val="006A64E7"/>
    <w:rsid w:val="006B374D"/>
    <w:rsid w:val="006B37A1"/>
    <w:rsid w:val="006B5727"/>
    <w:rsid w:val="006B6EFE"/>
    <w:rsid w:val="006D1D63"/>
    <w:rsid w:val="006D2D2F"/>
    <w:rsid w:val="006D4E49"/>
    <w:rsid w:val="006D7F9E"/>
    <w:rsid w:val="006E38CE"/>
    <w:rsid w:val="006E420B"/>
    <w:rsid w:val="006E7BD6"/>
    <w:rsid w:val="006F3564"/>
    <w:rsid w:val="006F43B1"/>
    <w:rsid w:val="007315EB"/>
    <w:rsid w:val="0073380A"/>
    <w:rsid w:val="00734D42"/>
    <w:rsid w:val="007374D7"/>
    <w:rsid w:val="007412C5"/>
    <w:rsid w:val="00741552"/>
    <w:rsid w:val="00742F55"/>
    <w:rsid w:val="00746D92"/>
    <w:rsid w:val="00754F25"/>
    <w:rsid w:val="00757464"/>
    <w:rsid w:val="0076547F"/>
    <w:rsid w:val="00767B33"/>
    <w:rsid w:val="00775624"/>
    <w:rsid w:val="00781E44"/>
    <w:rsid w:val="0078248D"/>
    <w:rsid w:val="00784821"/>
    <w:rsid w:val="00784997"/>
    <w:rsid w:val="00793B59"/>
    <w:rsid w:val="007A27CA"/>
    <w:rsid w:val="007A36E2"/>
    <w:rsid w:val="007A7F6A"/>
    <w:rsid w:val="007C4767"/>
    <w:rsid w:val="007D2024"/>
    <w:rsid w:val="007D6110"/>
    <w:rsid w:val="007D767F"/>
    <w:rsid w:val="007E000F"/>
    <w:rsid w:val="007F6E8C"/>
    <w:rsid w:val="00804942"/>
    <w:rsid w:val="00805C1F"/>
    <w:rsid w:val="0081190B"/>
    <w:rsid w:val="00811B39"/>
    <w:rsid w:val="008150FC"/>
    <w:rsid w:val="0082174C"/>
    <w:rsid w:val="00835323"/>
    <w:rsid w:val="0083538C"/>
    <w:rsid w:val="0084149B"/>
    <w:rsid w:val="008553C4"/>
    <w:rsid w:val="008553CC"/>
    <w:rsid w:val="00855DB2"/>
    <w:rsid w:val="00856F69"/>
    <w:rsid w:val="00865997"/>
    <w:rsid w:val="0088620A"/>
    <w:rsid w:val="00893A00"/>
    <w:rsid w:val="00893E48"/>
    <w:rsid w:val="00897D53"/>
    <w:rsid w:val="008A7E37"/>
    <w:rsid w:val="008B1475"/>
    <w:rsid w:val="008D2AB9"/>
    <w:rsid w:val="008E568C"/>
    <w:rsid w:val="009008CC"/>
    <w:rsid w:val="00905E75"/>
    <w:rsid w:val="00923D9F"/>
    <w:rsid w:val="00924DB5"/>
    <w:rsid w:val="00935A86"/>
    <w:rsid w:val="00941950"/>
    <w:rsid w:val="009475A4"/>
    <w:rsid w:val="00947659"/>
    <w:rsid w:val="00957CC6"/>
    <w:rsid w:val="00974F6B"/>
    <w:rsid w:val="00981B6F"/>
    <w:rsid w:val="0099140E"/>
    <w:rsid w:val="009932C9"/>
    <w:rsid w:val="00996FD8"/>
    <w:rsid w:val="009971C3"/>
    <w:rsid w:val="009A2027"/>
    <w:rsid w:val="009A4009"/>
    <w:rsid w:val="009B1B81"/>
    <w:rsid w:val="009B35AA"/>
    <w:rsid w:val="009C1274"/>
    <w:rsid w:val="009D353E"/>
    <w:rsid w:val="009E534D"/>
    <w:rsid w:val="009F7EAD"/>
    <w:rsid w:val="00A06CEA"/>
    <w:rsid w:val="00A07A4C"/>
    <w:rsid w:val="00A16CAD"/>
    <w:rsid w:val="00A2063A"/>
    <w:rsid w:val="00A20CA7"/>
    <w:rsid w:val="00A21124"/>
    <w:rsid w:val="00A2344D"/>
    <w:rsid w:val="00A368B4"/>
    <w:rsid w:val="00A407CD"/>
    <w:rsid w:val="00A47732"/>
    <w:rsid w:val="00A478A6"/>
    <w:rsid w:val="00A66C6D"/>
    <w:rsid w:val="00A71BDB"/>
    <w:rsid w:val="00A757C6"/>
    <w:rsid w:val="00A77604"/>
    <w:rsid w:val="00A810A4"/>
    <w:rsid w:val="00AA78B7"/>
    <w:rsid w:val="00AB4169"/>
    <w:rsid w:val="00AB61BF"/>
    <w:rsid w:val="00AC4623"/>
    <w:rsid w:val="00AC5EFF"/>
    <w:rsid w:val="00AD0286"/>
    <w:rsid w:val="00AD506A"/>
    <w:rsid w:val="00AD690D"/>
    <w:rsid w:val="00AF366D"/>
    <w:rsid w:val="00B023C3"/>
    <w:rsid w:val="00B031F1"/>
    <w:rsid w:val="00B06D86"/>
    <w:rsid w:val="00B11630"/>
    <w:rsid w:val="00B16A07"/>
    <w:rsid w:val="00B368C1"/>
    <w:rsid w:val="00B36BC6"/>
    <w:rsid w:val="00B473E8"/>
    <w:rsid w:val="00B677E2"/>
    <w:rsid w:val="00B7110A"/>
    <w:rsid w:val="00B762E9"/>
    <w:rsid w:val="00B821F9"/>
    <w:rsid w:val="00B8388B"/>
    <w:rsid w:val="00B84AD2"/>
    <w:rsid w:val="00B91B61"/>
    <w:rsid w:val="00B958B4"/>
    <w:rsid w:val="00B96836"/>
    <w:rsid w:val="00BA2800"/>
    <w:rsid w:val="00BA30E7"/>
    <w:rsid w:val="00BB744A"/>
    <w:rsid w:val="00BC3936"/>
    <w:rsid w:val="00BC4364"/>
    <w:rsid w:val="00BD6F00"/>
    <w:rsid w:val="00BE3A9A"/>
    <w:rsid w:val="00BF256E"/>
    <w:rsid w:val="00C0128F"/>
    <w:rsid w:val="00C01CB9"/>
    <w:rsid w:val="00C04F97"/>
    <w:rsid w:val="00C071DE"/>
    <w:rsid w:val="00C11898"/>
    <w:rsid w:val="00C12397"/>
    <w:rsid w:val="00C17004"/>
    <w:rsid w:val="00C326D9"/>
    <w:rsid w:val="00C3533D"/>
    <w:rsid w:val="00C47D3C"/>
    <w:rsid w:val="00C50BEA"/>
    <w:rsid w:val="00C72013"/>
    <w:rsid w:val="00C73A9D"/>
    <w:rsid w:val="00C82986"/>
    <w:rsid w:val="00C856AE"/>
    <w:rsid w:val="00C94415"/>
    <w:rsid w:val="00C951E4"/>
    <w:rsid w:val="00C97F9B"/>
    <w:rsid w:val="00CA25C2"/>
    <w:rsid w:val="00CA562E"/>
    <w:rsid w:val="00CA581B"/>
    <w:rsid w:val="00CB079C"/>
    <w:rsid w:val="00CC4ADD"/>
    <w:rsid w:val="00CD1203"/>
    <w:rsid w:val="00CD1A5E"/>
    <w:rsid w:val="00CD7274"/>
    <w:rsid w:val="00CD7391"/>
    <w:rsid w:val="00CE1520"/>
    <w:rsid w:val="00CE5050"/>
    <w:rsid w:val="00CF09C6"/>
    <w:rsid w:val="00CF4BCA"/>
    <w:rsid w:val="00CF695B"/>
    <w:rsid w:val="00D009BD"/>
    <w:rsid w:val="00D04E22"/>
    <w:rsid w:val="00D101D6"/>
    <w:rsid w:val="00D215A4"/>
    <w:rsid w:val="00D24194"/>
    <w:rsid w:val="00D32B91"/>
    <w:rsid w:val="00D33B6C"/>
    <w:rsid w:val="00D33CDE"/>
    <w:rsid w:val="00D43674"/>
    <w:rsid w:val="00D525EF"/>
    <w:rsid w:val="00D57480"/>
    <w:rsid w:val="00D65231"/>
    <w:rsid w:val="00D653CA"/>
    <w:rsid w:val="00D65CF3"/>
    <w:rsid w:val="00D73F9A"/>
    <w:rsid w:val="00D77CA3"/>
    <w:rsid w:val="00D808A1"/>
    <w:rsid w:val="00D837CF"/>
    <w:rsid w:val="00D90900"/>
    <w:rsid w:val="00D92CEF"/>
    <w:rsid w:val="00DA252C"/>
    <w:rsid w:val="00DB241D"/>
    <w:rsid w:val="00DB2E6C"/>
    <w:rsid w:val="00DB4EEA"/>
    <w:rsid w:val="00DE142A"/>
    <w:rsid w:val="00DE27E5"/>
    <w:rsid w:val="00DF088C"/>
    <w:rsid w:val="00DF5A73"/>
    <w:rsid w:val="00E11045"/>
    <w:rsid w:val="00E13B84"/>
    <w:rsid w:val="00E16805"/>
    <w:rsid w:val="00E2692C"/>
    <w:rsid w:val="00E322D3"/>
    <w:rsid w:val="00E35F98"/>
    <w:rsid w:val="00E369B9"/>
    <w:rsid w:val="00E447B2"/>
    <w:rsid w:val="00E44A0A"/>
    <w:rsid w:val="00E461B6"/>
    <w:rsid w:val="00E464EA"/>
    <w:rsid w:val="00E52A80"/>
    <w:rsid w:val="00E60AD6"/>
    <w:rsid w:val="00E61DD0"/>
    <w:rsid w:val="00E65FAD"/>
    <w:rsid w:val="00E7175A"/>
    <w:rsid w:val="00E72B7D"/>
    <w:rsid w:val="00E73527"/>
    <w:rsid w:val="00E74F54"/>
    <w:rsid w:val="00E765AE"/>
    <w:rsid w:val="00E82039"/>
    <w:rsid w:val="00E8512D"/>
    <w:rsid w:val="00E869E2"/>
    <w:rsid w:val="00E86F4A"/>
    <w:rsid w:val="00EA68BC"/>
    <w:rsid w:val="00EB4D29"/>
    <w:rsid w:val="00EB6919"/>
    <w:rsid w:val="00EB772A"/>
    <w:rsid w:val="00ED4325"/>
    <w:rsid w:val="00EE4C21"/>
    <w:rsid w:val="00EE5990"/>
    <w:rsid w:val="00EF1878"/>
    <w:rsid w:val="00F02C74"/>
    <w:rsid w:val="00F26390"/>
    <w:rsid w:val="00F30EC2"/>
    <w:rsid w:val="00F31B36"/>
    <w:rsid w:val="00F33555"/>
    <w:rsid w:val="00F40464"/>
    <w:rsid w:val="00F408C9"/>
    <w:rsid w:val="00F40FB8"/>
    <w:rsid w:val="00F4429B"/>
    <w:rsid w:val="00F5076D"/>
    <w:rsid w:val="00F528FC"/>
    <w:rsid w:val="00F54972"/>
    <w:rsid w:val="00F5743C"/>
    <w:rsid w:val="00F6245D"/>
    <w:rsid w:val="00F67F6C"/>
    <w:rsid w:val="00F70A0A"/>
    <w:rsid w:val="00F712B9"/>
    <w:rsid w:val="00F732CF"/>
    <w:rsid w:val="00F74E5D"/>
    <w:rsid w:val="00F77C5F"/>
    <w:rsid w:val="00F848D7"/>
    <w:rsid w:val="00F86936"/>
    <w:rsid w:val="00F927D8"/>
    <w:rsid w:val="00F96666"/>
    <w:rsid w:val="00F969AC"/>
    <w:rsid w:val="00FA2A82"/>
    <w:rsid w:val="00FA31D0"/>
    <w:rsid w:val="00FA520C"/>
    <w:rsid w:val="00FA5535"/>
    <w:rsid w:val="00FA57B9"/>
    <w:rsid w:val="00FA585B"/>
    <w:rsid w:val="00FA6659"/>
    <w:rsid w:val="00FB0AB6"/>
    <w:rsid w:val="00FC3099"/>
    <w:rsid w:val="00FC4F6C"/>
    <w:rsid w:val="00FD38C5"/>
    <w:rsid w:val="00FE4284"/>
    <w:rsid w:val="00FE6DBE"/>
    <w:rsid w:val="00FF00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D9CA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92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rsid w:val="005D6F01"/>
    <w:rPr>
      <w:rFonts w:cs="Times New Roman"/>
      <w:vertAlign w:val="superscript"/>
    </w:rPr>
  </w:style>
  <w:style w:type="paragraph" w:styleId="EndnoteText">
    <w:name w:val="endnote text"/>
    <w:basedOn w:val="Normal"/>
    <w:link w:val="EndnoteTextChar"/>
    <w:uiPriority w:val="99"/>
    <w:rsid w:val="005D6F01"/>
    <w:pPr>
      <w:spacing w:after="0" w:line="240" w:lineRule="auto"/>
    </w:pPr>
    <w:rPr>
      <w:sz w:val="20"/>
      <w:szCs w:val="20"/>
    </w:rPr>
  </w:style>
  <w:style w:type="character" w:customStyle="1" w:styleId="EndnoteTextChar">
    <w:name w:val="Endnote Text Char"/>
    <w:basedOn w:val="DefaultParagraphFont"/>
    <w:link w:val="EndnoteText"/>
    <w:uiPriority w:val="99"/>
    <w:locked/>
    <w:rsid w:val="005D6F01"/>
    <w:rPr>
      <w:sz w:val="20"/>
    </w:rPr>
  </w:style>
  <w:style w:type="character" w:styleId="CommentReference">
    <w:name w:val="annotation reference"/>
    <w:basedOn w:val="DefaultParagraphFont"/>
    <w:uiPriority w:val="99"/>
    <w:semiHidden/>
    <w:rsid w:val="006F3564"/>
    <w:rPr>
      <w:rFonts w:cs="Times New Roman"/>
      <w:sz w:val="16"/>
    </w:rPr>
  </w:style>
  <w:style w:type="paragraph" w:styleId="CommentText">
    <w:name w:val="annotation text"/>
    <w:basedOn w:val="Normal"/>
    <w:link w:val="CommentTextChar"/>
    <w:uiPriority w:val="99"/>
    <w:semiHidden/>
    <w:rsid w:val="006F356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6F3564"/>
    <w:rPr>
      <w:sz w:val="20"/>
    </w:rPr>
  </w:style>
  <w:style w:type="paragraph" w:styleId="CommentSubject">
    <w:name w:val="annotation subject"/>
    <w:basedOn w:val="CommentText"/>
    <w:next w:val="CommentText"/>
    <w:link w:val="CommentSubjectChar"/>
    <w:uiPriority w:val="99"/>
    <w:semiHidden/>
    <w:rsid w:val="006F3564"/>
    <w:rPr>
      <w:b/>
      <w:bCs/>
    </w:rPr>
  </w:style>
  <w:style w:type="character" w:customStyle="1" w:styleId="CommentSubjectChar">
    <w:name w:val="Comment Subject Char"/>
    <w:basedOn w:val="CommentTextChar"/>
    <w:link w:val="CommentSubject"/>
    <w:uiPriority w:val="99"/>
    <w:semiHidden/>
    <w:locked/>
    <w:rsid w:val="006F3564"/>
    <w:rPr>
      <w:b/>
      <w:sz w:val="20"/>
    </w:rPr>
  </w:style>
  <w:style w:type="paragraph" w:styleId="BalloonText">
    <w:name w:val="Balloon Text"/>
    <w:basedOn w:val="Normal"/>
    <w:link w:val="BalloonTextChar"/>
    <w:uiPriority w:val="99"/>
    <w:semiHidden/>
    <w:rsid w:val="006F35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3564"/>
    <w:rPr>
      <w:rFonts w:ascii="Tahoma" w:hAnsi="Tahoma"/>
      <w:sz w:val="16"/>
    </w:rPr>
  </w:style>
  <w:style w:type="paragraph" w:styleId="Header">
    <w:name w:val="header"/>
    <w:basedOn w:val="Normal"/>
    <w:link w:val="HeaderChar"/>
    <w:uiPriority w:val="99"/>
    <w:rsid w:val="00897D53"/>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897D53"/>
    <w:rPr>
      <w:rFonts w:cs="Times New Roman"/>
    </w:rPr>
  </w:style>
  <w:style w:type="paragraph" w:styleId="Footer">
    <w:name w:val="footer"/>
    <w:basedOn w:val="Normal"/>
    <w:link w:val="FooterChar"/>
    <w:uiPriority w:val="99"/>
    <w:rsid w:val="00897D53"/>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897D53"/>
    <w:rPr>
      <w:rFonts w:cs="Times New Roman"/>
    </w:rPr>
  </w:style>
  <w:style w:type="paragraph" w:styleId="Revision">
    <w:name w:val="Revision"/>
    <w:hidden/>
    <w:uiPriority w:val="99"/>
    <w:semiHidden/>
    <w:rsid w:val="006D7F9E"/>
  </w:style>
  <w:style w:type="table" w:styleId="TableGrid">
    <w:name w:val="Table Grid"/>
    <w:basedOn w:val="TableNormal"/>
    <w:uiPriority w:val="59"/>
    <w:locked/>
    <w:rsid w:val="000E2B3F"/>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92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rsid w:val="005D6F01"/>
    <w:rPr>
      <w:rFonts w:cs="Times New Roman"/>
      <w:vertAlign w:val="superscript"/>
    </w:rPr>
  </w:style>
  <w:style w:type="paragraph" w:styleId="EndnoteText">
    <w:name w:val="endnote text"/>
    <w:basedOn w:val="Normal"/>
    <w:link w:val="EndnoteTextChar"/>
    <w:uiPriority w:val="99"/>
    <w:rsid w:val="005D6F01"/>
    <w:pPr>
      <w:spacing w:after="0" w:line="240" w:lineRule="auto"/>
    </w:pPr>
    <w:rPr>
      <w:sz w:val="20"/>
      <w:szCs w:val="20"/>
    </w:rPr>
  </w:style>
  <w:style w:type="character" w:customStyle="1" w:styleId="EndnoteTextChar">
    <w:name w:val="Endnote Text Char"/>
    <w:basedOn w:val="DefaultParagraphFont"/>
    <w:link w:val="EndnoteText"/>
    <w:uiPriority w:val="99"/>
    <w:locked/>
    <w:rsid w:val="005D6F01"/>
    <w:rPr>
      <w:sz w:val="20"/>
    </w:rPr>
  </w:style>
  <w:style w:type="character" w:styleId="CommentReference">
    <w:name w:val="annotation reference"/>
    <w:basedOn w:val="DefaultParagraphFont"/>
    <w:uiPriority w:val="99"/>
    <w:semiHidden/>
    <w:rsid w:val="006F3564"/>
    <w:rPr>
      <w:rFonts w:cs="Times New Roman"/>
      <w:sz w:val="16"/>
    </w:rPr>
  </w:style>
  <w:style w:type="paragraph" w:styleId="CommentText">
    <w:name w:val="annotation text"/>
    <w:basedOn w:val="Normal"/>
    <w:link w:val="CommentTextChar"/>
    <w:uiPriority w:val="99"/>
    <w:semiHidden/>
    <w:rsid w:val="006F356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6F3564"/>
    <w:rPr>
      <w:sz w:val="20"/>
    </w:rPr>
  </w:style>
  <w:style w:type="paragraph" w:styleId="CommentSubject">
    <w:name w:val="annotation subject"/>
    <w:basedOn w:val="CommentText"/>
    <w:next w:val="CommentText"/>
    <w:link w:val="CommentSubjectChar"/>
    <w:uiPriority w:val="99"/>
    <w:semiHidden/>
    <w:rsid w:val="006F3564"/>
    <w:rPr>
      <w:b/>
      <w:bCs/>
    </w:rPr>
  </w:style>
  <w:style w:type="character" w:customStyle="1" w:styleId="CommentSubjectChar">
    <w:name w:val="Comment Subject Char"/>
    <w:basedOn w:val="CommentTextChar"/>
    <w:link w:val="CommentSubject"/>
    <w:uiPriority w:val="99"/>
    <w:semiHidden/>
    <w:locked/>
    <w:rsid w:val="006F3564"/>
    <w:rPr>
      <w:b/>
      <w:sz w:val="20"/>
    </w:rPr>
  </w:style>
  <w:style w:type="paragraph" w:styleId="BalloonText">
    <w:name w:val="Balloon Text"/>
    <w:basedOn w:val="Normal"/>
    <w:link w:val="BalloonTextChar"/>
    <w:uiPriority w:val="99"/>
    <w:semiHidden/>
    <w:rsid w:val="006F35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3564"/>
    <w:rPr>
      <w:rFonts w:ascii="Tahoma" w:hAnsi="Tahoma"/>
      <w:sz w:val="16"/>
    </w:rPr>
  </w:style>
  <w:style w:type="paragraph" w:styleId="Header">
    <w:name w:val="header"/>
    <w:basedOn w:val="Normal"/>
    <w:link w:val="HeaderChar"/>
    <w:uiPriority w:val="99"/>
    <w:rsid w:val="00897D53"/>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897D53"/>
    <w:rPr>
      <w:rFonts w:cs="Times New Roman"/>
    </w:rPr>
  </w:style>
  <w:style w:type="paragraph" w:styleId="Footer">
    <w:name w:val="footer"/>
    <w:basedOn w:val="Normal"/>
    <w:link w:val="FooterChar"/>
    <w:uiPriority w:val="99"/>
    <w:rsid w:val="00897D53"/>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897D53"/>
    <w:rPr>
      <w:rFonts w:cs="Times New Roman"/>
    </w:rPr>
  </w:style>
  <w:style w:type="paragraph" w:styleId="Revision">
    <w:name w:val="Revision"/>
    <w:hidden/>
    <w:uiPriority w:val="99"/>
    <w:semiHidden/>
    <w:rsid w:val="006D7F9E"/>
  </w:style>
  <w:style w:type="table" w:styleId="TableGrid">
    <w:name w:val="Table Grid"/>
    <w:basedOn w:val="TableNormal"/>
    <w:uiPriority w:val="59"/>
    <w:locked/>
    <w:rsid w:val="000E2B3F"/>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986619">
      <w:marLeft w:val="0"/>
      <w:marRight w:val="0"/>
      <w:marTop w:val="0"/>
      <w:marBottom w:val="0"/>
      <w:divBdr>
        <w:top w:val="none" w:sz="0" w:space="0" w:color="auto"/>
        <w:left w:val="none" w:sz="0" w:space="0" w:color="auto"/>
        <w:bottom w:val="none" w:sz="0" w:space="0" w:color="auto"/>
        <w:right w:val="none" w:sz="0" w:space="0" w:color="auto"/>
      </w:divBdr>
      <w:divsChild>
        <w:div w:id="1561986620">
          <w:marLeft w:val="0"/>
          <w:marRight w:val="1"/>
          <w:marTop w:val="0"/>
          <w:marBottom w:val="0"/>
          <w:divBdr>
            <w:top w:val="none" w:sz="0" w:space="0" w:color="auto"/>
            <w:left w:val="none" w:sz="0" w:space="0" w:color="auto"/>
            <w:bottom w:val="none" w:sz="0" w:space="0" w:color="auto"/>
            <w:right w:val="none" w:sz="0" w:space="0" w:color="auto"/>
          </w:divBdr>
          <w:divsChild>
            <w:div w:id="1561986614">
              <w:marLeft w:val="0"/>
              <w:marRight w:val="0"/>
              <w:marTop w:val="0"/>
              <w:marBottom w:val="0"/>
              <w:divBdr>
                <w:top w:val="none" w:sz="0" w:space="0" w:color="auto"/>
                <w:left w:val="none" w:sz="0" w:space="0" w:color="auto"/>
                <w:bottom w:val="none" w:sz="0" w:space="0" w:color="auto"/>
                <w:right w:val="none" w:sz="0" w:space="0" w:color="auto"/>
              </w:divBdr>
              <w:divsChild>
                <w:div w:id="1561986613">
                  <w:marLeft w:val="0"/>
                  <w:marRight w:val="1"/>
                  <w:marTop w:val="0"/>
                  <w:marBottom w:val="0"/>
                  <w:divBdr>
                    <w:top w:val="none" w:sz="0" w:space="0" w:color="auto"/>
                    <w:left w:val="none" w:sz="0" w:space="0" w:color="auto"/>
                    <w:bottom w:val="none" w:sz="0" w:space="0" w:color="auto"/>
                    <w:right w:val="none" w:sz="0" w:space="0" w:color="auto"/>
                  </w:divBdr>
                  <w:divsChild>
                    <w:div w:id="1561986616">
                      <w:marLeft w:val="0"/>
                      <w:marRight w:val="0"/>
                      <w:marTop w:val="0"/>
                      <w:marBottom w:val="0"/>
                      <w:divBdr>
                        <w:top w:val="none" w:sz="0" w:space="0" w:color="auto"/>
                        <w:left w:val="none" w:sz="0" w:space="0" w:color="auto"/>
                        <w:bottom w:val="none" w:sz="0" w:space="0" w:color="auto"/>
                        <w:right w:val="none" w:sz="0" w:space="0" w:color="auto"/>
                      </w:divBdr>
                      <w:divsChild>
                        <w:div w:id="1561986612">
                          <w:marLeft w:val="0"/>
                          <w:marRight w:val="0"/>
                          <w:marTop w:val="0"/>
                          <w:marBottom w:val="0"/>
                          <w:divBdr>
                            <w:top w:val="none" w:sz="0" w:space="0" w:color="auto"/>
                            <w:left w:val="none" w:sz="0" w:space="0" w:color="auto"/>
                            <w:bottom w:val="none" w:sz="0" w:space="0" w:color="auto"/>
                            <w:right w:val="none" w:sz="0" w:space="0" w:color="auto"/>
                          </w:divBdr>
                          <w:divsChild>
                            <w:div w:id="1561986615">
                              <w:marLeft w:val="0"/>
                              <w:marRight w:val="0"/>
                              <w:marTop w:val="120"/>
                              <w:marBottom w:val="360"/>
                              <w:divBdr>
                                <w:top w:val="none" w:sz="0" w:space="0" w:color="auto"/>
                                <w:left w:val="none" w:sz="0" w:space="0" w:color="auto"/>
                                <w:bottom w:val="none" w:sz="0" w:space="0" w:color="auto"/>
                                <w:right w:val="none" w:sz="0" w:space="0" w:color="auto"/>
                              </w:divBdr>
                              <w:divsChild>
                                <w:div w:id="1561986618">
                                  <w:marLeft w:val="420"/>
                                  <w:marRight w:val="0"/>
                                  <w:marTop w:val="0"/>
                                  <w:marBottom w:val="0"/>
                                  <w:divBdr>
                                    <w:top w:val="none" w:sz="0" w:space="0" w:color="auto"/>
                                    <w:left w:val="none" w:sz="0" w:space="0" w:color="auto"/>
                                    <w:bottom w:val="none" w:sz="0" w:space="0" w:color="auto"/>
                                    <w:right w:val="none" w:sz="0" w:space="0" w:color="auto"/>
                                  </w:divBdr>
                                  <w:divsChild>
                                    <w:div w:id="156198661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emf"/><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image" Target="media/image2.emf"/></Relationships>
</file>

<file path=word/_rels/endnotes.xml.rels><?xml version="1.0" encoding="UTF-8" standalone="yes"?>
<Relationships xmlns="http://schemas.openxmlformats.org/package/2006/relationships"><Relationship Id="rId1" Type="http://schemas.openxmlformats.org/officeDocument/2006/relationships/hyperlink" Target="http://www.ncbi.nlm.nih.gov/pubmed/?term=Koreth%20J%5BAuthor%5D&amp;cauthor=true&amp;cauthor_uid=19509382" TargetMode="External"/><Relationship Id="rId2" Type="http://schemas.openxmlformats.org/officeDocument/2006/relationships/hyperlink" Target="http://www.ncbi.nlm.nih.gov/pubmed/?term=Gupta%20V%5BAuthor%5D&amp;cauthor=true&amp;cauthor_uid=20538804" TargetMode="External"/><Relationship Id="rId3" Type="http://schemas.openxmlformats.org/officeDocument/2006/relationships/hyperlink" Target="http://www.ncbi.nlm.nih.gov/pubmed/?term=Ohanian%20M%5BAuthor%5D&amp;cauthor=true&amp;cauthor_uid=243322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97610530-FE44-CD46-9331-6E23FC324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7808</Words>
  <Characters>42476</Characters>
  <Application>Microsoft Macintosh Word</Application>
  <DocSecurity>0</DocSecurity>
  <Lines>801</Lines>
  <Paragraphs>328</Paragraphs>
  <ScaleCrop>false</ScaleCrop>
  <HeadingPairs>
    <vt:vector size="2" baseType="variant">
      <vt:variant>
        <vt:lpstr>Title</vt:lpstr>
      </vt:variant>
      <vt:variant>
        <vt:i4>1</vt:i4>
      </vt:variant>
    </vt:vector>
  </HeadingPairs>
  <TitlesOfParts>
    <vt:vector size="1" baseType="lpstr">
      <vt:lpstr>Title -  Allogeneic Transplantation for CML in the TKI era: striking the right balance</vt:lpstr>
    </vt:vector>
  </TitlesOfParts>
  <Company>Imperial College</Company>
  <LinksUpToDate>false</LinksUpToDate>
  <CharactersWithSpaces>49956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  Allogeneic Transplantation for CML in the TKI era: striking the right balance</dc:title>
  <dc:creator>Andrew</dc:creator>
  <cp:lastModifiedBy>Andrew Innes</cp:lastModifiedBy>
  <cp:revision>3</cp:revision>
  <cp:lastPrinted>2015-05-20T19:35:00Z</cp:lastPrinted>
  <dcterms:created xsi:type="dcterms:W3CDTF">2017-10-29T21:12:00Z</dcterms:created>
  <dcterms:modified xsi:type="dcterms:W3CDTF">2017-10-29T21:13:00Z</dcterms:modified>
</cp:coreProperties>
</file>