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BCD33A" w14:textId="77777777" w:rsidR="00A245CD" w:rsidRPr="005F75A9" w:rsidRDefault="00653C1E" w:rsidP="005F75A9">
      <w:pPr>
        <w:bidi w:val="0"/>
        <w:spacing w:after="0" w:line="240" w:lineRule="auto"/>
        <w:ind w:right="-188"/>
        <w:jc w:val="both"/>
        <w:rPr>
          <w:rFonts w:asciiTheme="minorHAnsi" w:hAnsiTheme="minorHAnsi" w:cs="Times New Roman"/>
          <w:b/>
          <w:i/>
          <w:sz w:val="24"/>
          <w:szCs w:val="24"/>
        </w:rPr>
        <w:pPrChange w:id="0" w:author="Adcock, Ian M" w:date="2017-06-21T08:27:00Z">
          <w:pPr>
            <w:bidi w:val="0"/>
            <w:spacing w:after="0"/>
            <w:ind w:right="-188"/>
            <w:jc w:val="both"/>
          </w:pPr>
        </w:pPrChange>
      </w:pPr>
      <w:r w:rsidRPr="005F75A9">
        <w:rPr>
          <w:rFonts w:asciiTheme="minorHAnsi" w:hAnsiTheme="minorHAnsi" w:cs="Times New Roman"/>
          <w:b/>
          <w:i/>
          <w:sz w:val="24"/>
          <w:szCs w:val="24"/>
        </w:rPr>
        <w:t>In Vitro Effects o</w:t>
      </w:r>
      <w:r w:rsidR="00A245CD" w:rsidRPr="005F75A9">
        <w:rPr>
          <w:rFonts w:asciiTheme="minorHAnsi" w:hAnsiTheme="minorHAnsi" w:cs="Times New Roman"/>
          <w:b/>
          <w:i/>
          <w:sz w:val="24"/>
          <w:szCs w:val="24"/>
        </w:rPr>
        <w:t xml:space="preserve">f Water Pipe Smoke Condensate On the Endocytosis Activity of Type II Alveolar Epithelial Cells (A549)  </w:t>
      </w:r>
    </w:p>
    <w:p w14:paraId="39005547" w14:textId="77777777" w:rsidR="00A245CD" w:rsidRPr="005F75A9" w:rsidRDefault="00A245CD" w:rsidP="005F75A9">
      <w:pPr>
        <w:bidi w:val="0"/>
        <w:spacing w:after="0" w:line="240" w:lineRule="auto"/>
        <w:ind w:right="-188"/>
        <w:jc w:val="both"/>
        <w:rPr>
          <w:rFonts w:asciiTheme="minorHAnsi" w:hAnsiTheme="minorHAnsi" w:cs="Times New Roman"/>
          <w:i/>
          <w:sz w:val="24"/>
          <w:szCs w:val="24"/>
        </w:rPr>
        <w:pPrChange w:id="1" w:author="Adcock, Ian M" w:date="2017-06-21T08:27:00Z">
          <w:pPr>
            <w:bidi w:val="0"/>
            <w:spacing w:after="0"/>
            <w:ind w:right="-188"/>
            <w:jc w:val="both"/>
          </w:pPr>
        </w:pPrChange>
      </w:pPr>
    </w:p>
    <w:p w14:paraId="5CD44C59" w14:textId="4E3DBA22" w:rsidR="00A245CD" w:rsidRPr="005F75A9" w:rsidRDefault="00A245CD" w:rsidP="005F75A9">
      <w:pPr>
        <w:bidi w:val="0"/>
        <w:spacing w:after="0" w:line="240" w:lineRule="auto"/>
        <w:ind w:right="-188"/>
        <w:jc w:val="both"/>
        <w:rPr>
          <w:rFonts w:asciiTheme="minorHAnsi" w:hAnsiTheme="minorHAnsi" w:cs="Times New Roman"/>
          <w:b/>
          <w:bCs/>
          <w:i/>
          <w:iCs/>
          <w:sz w:val="24"/>
          <w:szCs w:val="24"/>
          <w:vertAlign w:val="superscript"/>
        </w:rPr>
        <w:pPrChange w:id="2" w:author="Adcock, Ian M" w:date="2017-06-21T08:27:00Z">
          <w:pPr>
            <w:bidi w:val="0"/>
            <w:spacing w:after="0" w:line="240" w:lineRule="auto"/>
            <w:ind w:right="-188"/>
            <w:jc w:val="both"/>
          </w:pPr>
        </w:pPrChange>
      </w:pPr>
      <w:r w:rsidRPr="005F75A9">
        <w:rPr>
          <w:rFonts w:asciiTheme="minorHAnsi" w:hAnsiTheme="minorHAnsi" w:cs="Times New Roman"/>
          <w:b/>
          <w:bCs/>
          <w:i/>
          <w:iCs/>
          <w:sz w:val="24"/>
          <w:szCs w:val="24"/>
        </w:rPr>
        <w:t>Esmaeil Mortaz</w:t>
      </w:r>
      <w:r w:rsidRPr="005F75A9">
        <w:rPr>
          <w:rFonts w:asciiTheme="minorHAnsi" w:hAnsiTheme="minorHAnsi" w:cs="Times New Roman"/>
          <w:b/>
          <w:bCs/>
          <w:i/>
          <w:iCs/>
          <w:sz w:val="24"/>
          <w:szCs w:val="24"/>
          <w:vertAlign w:val="superscript"/>
        </w:rPr>
        <w:t>1,</w:t>
      </w:r>
      <w:r w:rsidR="00653C1E" w:rsidRPr="005F75A9">
        <w:rPr>
          <w:rFonts w:asciiTheme="minorHAnsi" w:hAnsiTheme="minorHAnsi" w:cs="Times New Roman"/>
          <w:b/>
          <w:bCs/>
          <w:i/>
          <w:iCs/>
          <w:sz w:val="24"/>
          <w:szCs w:val="24"/>
          <w:vertAlign w:val="superscript"/>
        </w:rPr>
        <w:t>2</w:t>
      </w:r>
      <w:r w:rsidRPr="005F75A9">
        <w:rPr>
          <w:rFonts w:asciiTheme="minorHAnsi" w:hAnsiTheme="minorHAnsi" w:cs="Times New Roman"/>
          <w:b/>
          <w:bCs/>
          <w:i/>
          <w:iCs/>
          <w:sz w:val="24"/>
          <w:szCs w:val="24"/>
        </w:rPr>
        <w:t>, Shamila D. Alipoor</w:t>
      </w:r>
      <w:r w:rsidR="00653C1E" w:rsidRPr="005F75A9">
        <w:rPr>
          <w:rFonts w:asciiTheme="minorHAnsi" w:hAnsiTheme="minorHAnsi" w:cs="Times New Roman"/>
          <w:b/>
          <w:bCs/>
          <w:i/>
          <w:iCs/>
          <w:sz w:val="24"/>
          <w:szCs w:val="24"/>
          <w:vertAlign w:val="superscript"/>
        </w:rPr>
        <w:t>1,3</w:t>
      </w:r>
      <w:r w:rsidRPr="005F75A9">
        <w:rPr>
          <w:rFonts w:asciiTheme="minorHAnsi" w:hAnsiTheme="minorHAnsi" w:cs="Times New Roman"/>
          <w:b/>
          <w:bCs/>
          <w:i/>
          <w:iCs/>
          <w:sz w:val="24"/>
          <w:szCs w:val="24"/>
        </w:rPr>
        <w:t>,</w:t>
      </w:r>
      <w:r w:rsidR="00653C1E" w:rsidRPr="005F75A9">
        <w:rPr>
          <w:rFonts w:asciiTheme="minorHAnsi" w:hAnsiTheme="minorHAnsi" w:cs="Times New Roman"/>
          <w:b/>
          <w:bCs/>
          <w:i/>
          <w:iCs/>
          <w:sz w:val="24"/>
          <w:szCs w:val="24"/>
        </w:rPr>
        <w:t xml:space="preserve"> </w:t>
      </w:r>
      <w:r w:rsidRPr="005F75A9">
        <w:rPr>
          <w:rFonts w:asciiTheme="minorHAnsi" w:hAnsiTheme="minorHAnsi" w:cs="Times New Roman"/>
          <w:b/>
          <w:bCs/>
          <w:i/>
          <w:iCs/>
          <w:sz w:val="24"/>
          <w:szCs w:val="24"/>
        </w:rPr>
        <w:t>Marwan El-Sabban</w:t>
      </w:r>
      <w:r w:rsidR="00653C1E" w:rsidRPr="005F75A9">
        <w:rPr>
          <w:rFonts w:asciiTheme="minorHAnsi" w:hAnsiTheme="minorHAnsi" w:cs="Times New Roman"/>
          <w:b/>
          <w:bCs/>
          <w:i/>
          <w:iCs/>
          <w:sz w:val="24"/>
          <w:szCs w:val="24"/>
          <w:vertAlign w:val="superscript"/>
        </w:rPr>
        <w:t>4</w:t>
      </w:r>
      <w:r w:rsidR="00653C1E" w:rsidRPr="005F75A9">
        <w:rPr>
          <w:rFonts w:asciiTheme="minorHAnsi" w:hAnsiTheme="minorHAnsi" w:cs="Times New Roman"/>
          <w:b/>
          <w:bCs/>
          <w:i/>
          <w:iCs/>
          <w:sz w:val="24"/>
          <w:szCs w:val="24"/>
        </w:rPr>
        <w:t xml:space="preserve">, </w:t>
      </w:r>
      <w:r w:rsidRPr="005F75A9">
        <w:rPr>
          <w:rFonts w:asciiTheme="minorHAnsi" w:hAnsiTheme="minorHAnsi" w:cs="Times New Roman"/>
          <w:b/>
          <w:bCs/>
          <w:i/>
          <w:iCs/>
          <w:sz w:val="24"/>
          <w:szCs w:val="24"/>
        </w:rPr>
        <w:t>Johan Garssen</w:t>
      </w:r>
      <w:r w:rsidR="00653C1E" w:rsidRPr="005F75A9">
        <w:rPr>
          <w:rFonts w:asciiTheme="minorHAnsi" w:hAnsiTheme="minorHAnsi" w:cs="Times New Roman"/>
          <w:b/>
          <w:bCs/>
          <w:i/>
          <w:iCs/>
          <w:sz w:val="24"/>
          <w:szCs w:val="24"/>
          <w:vertAlign w:val="superscript"/>
        </w:rPr>
        <w:t>2</w:t>
      </w:r>
      <w:r w:rsidRPr="005F75A9">
        <w:rPr>
          <w:rFonts w:asciiTheme="minorHAnsi" w:hAnsiTheme="minorHAnsi" w:cs="Times New Roman"/>
          <w:b/>
          <w:bCs/>
          <w:i/>
          <w:iCs/>
          <w:sz w:val="24"/>
          <w:szCs w:val="24"/>
          <w:vertAlign w:val="superscript"/>
        </w:rPr>
        <w:t>,5</w:t>
      </w:r>
      <w:r w:rsidRPr="005F75A9">
        <w:rPr>
          <w:rFonts w:asciiTheme="minorHAnsi" w:hAnsiTheme="minorHAnsi" w:cs="Times New Roman"/>
          <w:b/>
          <w:bCs/>
          <w:i/>
          <w:iCs/>
          <w:sz w:val="24"/>
          <w:szCs w:val="24"/>
        </w:rPr>
        <w:t>, and Ian M. Adcock</w:t>
      </w:r>
      <w:r w:rsidRPr="005F75A9">
        <w:rPr>
          <w:rFonts w:asciiTheme="minorHAnsi" w:hAnsiTheme="minorHAnsi" w:cs="Times New Roman"/>
          <w:b/>
          <w:bCs/>
          <w:i/>
          <w:iCs/>
          <w:sz w:val="24"/>
          <w:szCs w:val="24"/>
          <w:vertAlign w:val="superscript"/>
        </w:rPr>
        <w:t>6</w:t>
      </w:r>
    </w:p>
    <w:p w14:paraId="5781DE14" w14:textId="77777777" w:rsidR="00A245CD" w:rsidRPr="005F75A9" w:rsidRDefault="00A245CD" w:rsidP="005F75A9">
      <w:pPr>
        <w:bidi w:val="0"/>
        <w:spacing w:after="0" w:line="240" w:lineRule="auto"/>
        <w:ind w:right="-188"/>
        <w:jc w:val="both"/>
        <w:rPr>
          <w:rFonts w:asciiTheme="minorHAnsi" w:hAnsiTheme="minorHAnsi" w:cs="Times New Roman"/>
          <w:i/>
          <w:iCs/>
          <w:sz w:val="24"/>
          <w:szCs w:val="24"/>
        </w:rPr>
        <w:pPrChange w:id="3" w:author="Adcock, Ian M" w:date="2017-06-21T08:27:00Z">
          <w:pPr>
            <w:bidi w:val="0"/>
            <w:spacing w:after="0" w:line="240" w:lineRule="auto"/>
            <w:ind w:right="-188"/>
            <w:jc w:val="both"/>
          </w:pPr>
        </w:pPrChange>
      </w:pPr>
    </w:p>
    <w:p w14:paraId="2C3186C0" w14:textId="16FA7110" w:rsidR="00A245CD" w:rsidRPr="005F75A9" w:rsidRDefault="00B802FA" w:rsidP="005F75A9">
      <w:pPr>
        <w:pStyle w:val="Default"/>
        <w:jc w:val="both"/>
        <w:rPr>
          <w:rFonts w:asciiTheme="minorHAnsi" w:hAnsiTheme="minorHAnsi"/>
          <w:i/>
          <w:iCs/>
        </w:rPr>
        <w:pPrChange w:id="4" w:author="Adcock, Ian M" w:date="2017-06-21T08:27:00Z">
          <w:pPr>
            <w:pStyle w:val="Default"/>
            <w:jc w:val="both"/>
          </w:pPr>
        </w:pPrChange>
      </w:pPr>
      <w:r w:rsidRPr="005F75A9">
        <w:rPr>
          <w:rFonts w:asciiTheme="minorHAnsi" w:hAnsiTheme="minorHAnsi"/>
          <w:i/>
          <w:iCs/>
          <w:vertAlign w:val="superscript"/>
        </w:rPr>
        <w:t>1</w:t>
      </w:r>
      <w:r w:rsidR="00653C1E" w:rsidRPr="005F75A9">
        <w:rPr>
          <w:rFonts w:asciiTheme="minorHAnsi" w:hAnsiTheme="minorHAnsi"/>
          <w:i/>
          <w:iCs/>
        </w:rPr>
        <w:t>Clinical Tuberculosis and Epidemiology Research Center, National Research Institute of Tuberculosis and Lung Diseases (NRITLD), Shahid Beheshti University of Medical Sciences, Tehran, Iran</w:t>
      </w:r>
      <w:r w:rsidRPr="005F75A9">
        <w:rPr>
          <w:rFonts w:asciiTheme="minorHAnsi" w:hAnsiTheme="minorHAnsi"/>
          <w:i/>
          <w:iCs/>
        </w:rPr>
        <w:t>,</w:t>
      </w:r>
      <w:r w:rsidR="005F75A9">
        <w:rPr>
          <w:rFonts w:asciiTheme="minorHAnsi" w:hAnsiTheme="minorHAnsi"/>
          <w:i/>
          <w:iCs/>
        </w:rPr>
        <w:t xml:space="preserve"> </w:t>
      </w:r>
      <w:r w:rsidR="00653C1E" w:rsidRPr="005F75A9">
        <w:rPr>
          <w:rFonts w:asciiTheme="minorHAnsi" w:hAnsiTheme="minorHAnsi"/>
          <w:i/>
          <w:iCs/>
          <w:vertAlign w:val="superscript"/>
        </w:rPr>
        <w:t>2</w:t>
      </w:r>
      <w:r w:rsidR="00653C1E" w:rsidRPr="005F75A9">
        <w:rPr>
          <w:rFonts w:asciiTheme="minorHAnsi" w:hAnsiTheme="minorHAnsi"/>
          <w:i/>
          <w:iCs/>
        </w:rPr>
        <w:t xml:space="preserve">Division </w:t>
      </w:r>
      <w:r w:rsidRPr="005F75A9">
        <w:rPr>
          <w:rFonts w:asciiTheme="minorHAnsi" w:hAnsiTheme="minorHAnsi"/>
          <w:i/>
          <w:iCs/>
        </w:rPr>
        <w:t xml:space="preserve">of Pharmacology, Faculty of Science, Utrecht Institute for Pharmaceutical Sciences, Utrecht University, Utrecht, Netherlands, </w:t>
      </w:r>
      <w:r w:rsidR="00653C1E" w:rsidRPr="005F75A9">
        <w:rPr>
          <w:rFonts w:asciiTheme="minorHAnsi" w:hAnsiTheme="minorHAnsi"/>
          <w:i/>
          <w:iCs/>
          <w:vertAlign w:val="superscript"/>
          <w:lang w:val="en-GB"/>
        </w:rPr>
        <w:t>3</w:t>
      </w:r>
      <w:r w:rsidR="00A245CD" w:rsidRPr="005F75A9">
        <w:rPr>
          <w:rFonts w:asciiTheme="minorHAnsi" w:hAnsiTheme="minorHAnsi"/>
          <w:i/>
          <w:iCs/>
          <w:lang w:val="en-GB"/>
        </w:rPr>
        <w:t>Institute of Medical Biotechnology, Molecular Medicine Department, National Institute of Genetic Engineering  and Biotechnology( NIGEB), Tehran, Iran</w:t>
      </w:r>
      <w:r w:rsidR="00653C1E" w:rsidRPr="005F75A9">
        <w:rPr>
          <w:rFonts w:asciiTheme="minorHAnsi" w:hAnsiTheme="minorHAnsi"/>
          <w:i/>
          <w:iCs/>
          <w:lang w:val="en-GB"/>
        </w:rPr>
        <w:t>,</w:t>
      </w:r>
      <w:r w:rsidR="00A245CD" w:rsidRPr="005F75A9">
        <w:rPr>
          <w:rFonts w:asciiTheme="minorHAnsi" w:hAnsiTheme="minorHAnsi"/>
          <w:i/>
          <w:iCs/>
          <w:lang w:val="en-GB"/>
        </w:rPr>
        <w:t xml:space="preserve"> </w:t>
      </w:r>
      <w:r w:rsidR="00653C1E" w:rsidRPr="005F75A9">
        <w:rPr>
          <w:rFonts w:asciiTheme="minorHAnsi" w:hAnsiTheme="minorHAnsi"/>
          <w:i/>
          <w:iCs/>
          <w:vertAlign w:val="superscript"/>
        </w:rPr>
        <w:t>4</w:t>
      </w:r>
      <w:r w:rsidR="00A245CD" w:rsidRPr="005F75A9">
        <w:rPr>
          <w:rFonts w:asciiTheme="minorHAnsi" w:hAnsiTheme="minorHAnsi"/>
          <w:i/>
          <w:iCs/>
        </w:rPr>
        <w:t>Department of Anatomy, Cell Biology and Physiological Sciences, Faculty of Medicine, American University of Beirut, Beirut, Lebanon.</w:t>
      </w:r>
      <w:r w:rsidR="005F75A9">
        <w:rPr>
          <w:rFonts w:asciiTheme="minorHAnsi" w:hAnsiTheme="minorHAnsi"/>
          <w:i/>
          <w:iCs/>
        </w:rPr>
        <w:t xml:space="preserve"> </w:t>
      </w:r>
      <w:r w:rsidR="00A245CD" w:rsidRPr="005F75A9">
        <w:rPr>
          <w:rFonts w:asciiTheme="minorHAnsi" w:eastAsia="Times New Roman" w:hAnsiTheme="minorHAnsi"/>
          <w:i/>
          <w:iCs/>
          <w:vertAlign w:val="superscript"/>
          <w:lang w:val="en-GB"/>
        </w:rPr>
        <w:t>5</w:t>
      </w:r>
      <w:r w:rsidR="00A245CD" w:rsidRPr="005F75A9">
        <w:rPr>
          <w:rFonts w:asciiTheme="minorHAnsi" w:eastAsia="Times New Roman" w:hAnsiTheme="minorHAnsi"/>
          <w:i/>
          <w:iCs/>
          <w:lang w:val="en-GB"/>
        </w:rPr>
        <w:t>Nutricia Research Centre for Specialized Nutrition, Utrecht, The Netherlands,</w:t>
      </w:r>
      <w:r w:rsidR="005F75A9">
        <w:rPr>
          <w:rFonts w:asciiTheme="minorHAnsi" w:eastAsia="Times New Roman" w:hAnsiTheme="minorHAnsi"/>
          <w:i/>
          <w:iCs/>
          <w:lang w:val="en-GB"/>
        </w:rPr>
        <w:t xml:space="preserve"> </w:t>
      </w:r>
      <w:r w:rsidR="00A245CD" w:rsidRPr="005F75A9">
        <w:rPr>
          <w:rFonts w:asciiTheme="minorHAnsi" w:hAnsiTheme="minorHAnsi"/>
          <w:i/>
          <w:iCs/>
          <w:color w:val="auto"/>
          <w:vertAlign w:val="superscript"/>
          <w:lang w:val="en-GB" w:bidi="fa-IR"/>
        </w:rPr>
        <w:t>6</w:t>
      </w:r>
      <w:r w:rsidR="00A245CD" w:rsidRPr="005F75A9">
        <w:rPr>
          <w:rFonts w:asciiTheme="minorHAnsi" w:hAnsiTheme="minorHAnsi"/>
          <w:i/>
          <w:iCs/>
          <w:lang w:val="en-GB"/>
        </w:rPr>
        <w:t xml:space="preserve">Cell and Molecular Biology Group, Airways Disease Section, National Heart and Lung Institute, Imperial College London, Dovehouse Street, London, UK </w:t>
      </w:r>
    </w:p>
    <w:p w14:paraId="030B334B" w14:textId="77777777" w:rsidR="00A245CD" w:rsidRPr="005F75A9" w:rsidRDefault="00A245CD" w:rsidP="005F75A9">
      <w:pPr>
        <w:pStyle w:val="Default"/>
        <w:jc w:val="both"/>
        <w:rPr>
          <w:rFonts w:asciiTheme="minorHAnsi" w:hAnsiTheme="minorHAnsi"/>
          <w:bCs/>
        </w:rPr>
        <w:pPrChange w:id="5" w:author="Adcock, Ian M" w:date="2017-06-21T08:27:00Z">
          <w:pPr>
            <w:pStyle w:val="Default"/>
            <w:spacing w:line="276" w:lineRule="auto"/>
            <w:jc w:val="both"/>
          </w:pPr>
        </w:pPrChange>
      </w:pPr>
    </w:p>
    <w:p w14:paraId="165C219F" w14:textId="7B4A97AB" w:rsidR="005F75A9" w:rsidRDefault="00A245CD" w:rsidP="005F75A9">
      <w:pPr>
        <w:pStyle w:val="Default"/>
        <w:jc w:val="both"/>
        <w:rPr>
          <w:rFonts w:asciiTheme="minorHAnsi" w:hAnsiTheme="minorHAnsi" w:cs="Arial"/>
          <w:iCs/>
        </w:rPr>
        <w:pPrChange w:id="6" w:author="Adcock, Ian M" w:date="2017-06-21T08:27:00Z">
          <w:pPr>
            <w:pStyle w:val="Default"/>
            <w:spacing w:after="240" w:line="276" w:lineRule="auto"/>
            <w:jc w:val="both"/>
          </w:pPr>
        </w:pPrChange>
      </w:pPr>
      <w:r w:rsidRPr="005F75A9">
        <w:rPr>
          <w:rFonts w:asciiTheme="minorHAnsi" w:hAnsiTheme="minorHAnsi" w:cs="Arial"/>
          <w:b/>
          <w:iCs/>
        </w:rPr>
        <w:t>Background</w:t>
      </w:r>
      <w:r w:rsidRPr="005F75A9">
        <w:rPr>
          <w:rFonts w:asciiTheme="minorHAnsi" w:hAnsiTheme="minorHAnsi" w:cs="Arial"/>
          <w:bCs/>
          <w:iCs/>
        </w:rPr>
        <w:t>:</w:t>
      </w:r>
      <w:r w:rsidRPr="005F75A9">
        <w:rPr>
          <w:rFonts w:asciiTheme="minorHAnsi" w:hAnsiTheme="minorHAnsi" w:cs="Arial"/>
          <w:iCs/>
        </w:rPr>
        <w:t xml:space="preserve"> Tuberculosis (TB) is a major global health problem and poses immense </w:t>
      </w:r>
      <w:r w:rsidR="00586636" w:rsidRPr="005F75A9">
        <w:rPr>
          <w:rFonts w:asciiTheme="minorHAnsi" w:hAnsiTheme="minorHAnsi" w:cs="Arial"/>
          <w:iCs/>
        </w:rPr>
        <w:t xml:space="preserve">healthcare </w:t>
      </w:r>
      <w:r w:rsidRPr="005F75A9">
        <w:rPr>
          <w:rFonts w:asciiTheme="minorHAnsi" w:hAnsiTheme="minorHAnsi" w:cs="Arial"/>
          <w:iCs/>
        </w:rPr>
        <w:t xml:space="preserve">threats </w:t>
      </w:r>
      <w:r w:rsidR="00586636" w:rsidRPr="005F75A9">
        <w:rPr>
          <w:rFonts w:asciiTheme="minorHAnsi" w:hAnsiTheme="minorHAnsi" w:cs="Arial"/>
          <w:iCs/>
        </w:rPr>
        <w:t>in</w:t>
      </w:r>
      <w:r w:rsidRPr="005F75A9">
        <w:rPr>
          <w:rFonts w:asciiTheme="minorHAnsi" w:hAnsiTheme="minorHAnsi" w:cs="Arial"/>
          <w:iCs/>
        </w:rPr>
        <w:t xml:space="preserve"> many populations</w:t>
      </w:r>
      <w:r w:rsidR="00586636" w:rsidRPr="005F75A9">
        <w:rPr>
          <w:rFonts w:asciiTheme="minorHAnsi" w:hAnsiTheme="minorHAnsi" w:cs="Arial"/>
          <w:iCs/>
        </w:rPr>
        <w:t xml:space="preserve"> which is enhanced by </w:t>
      </w:r>
      <w:r w:rsidRPr="005F75A9">
        <w:rPr>
          <w:rFonts w:asciiTheme="minorHAnsi" w:hAnsiTheme="minorHAnsi" w:cs="Arial"/>
          <w:iCs/>
        </w:rPr>
        <w:t>tobacco smok</w:t>
      </w:r>
      <w:r w:rsidR="00586636" w:rsidRPr="005F75A9">
        <w:rPr>
          <w:rFonts w:asciiTheme="minorHAnsi" w:hAnsiTheme="minorHAnsi" w:cs="Arial"/>
          <w:iCs/>
        </w:rPr>
        <w:t>ing</w:t>
      </w:r>
      <w:r w:rsidRPr="005F75A9">
        <w:rPr>
          <w:rFonts w:asciiTheme="minorHAnsi" w:hAnsiTheme="minorHAnsi" w:cs="Arial"/>
          <w:iCs/>
        </w:rPr>
        <w:t>.  Water</w:t>
      </w:r>
      <w:r w:rsidR="00586636" w:rsidRPr="005F75A9">
        <w:rPr>
          <w:rFonts w:asciiTheme="minorHAnsi" w:hAnsiTheme="minorHAnsi" w:cs="Arial"/>
          <w:iCs/>
        </w:rPr>
        <w:t>-</w:t>
      </w:r>
      <w:r w:rsidRPr="005F75A9">
        <w:rPr>
          <w:rFonts w:asciiTheme="minorHAnsi" w:hAnsiTheme="minorHAnsi" w:cs="Arial"/>
          <w:iCs/>
        </w:rPr>
        <w:t>pipe smoking has become an increasing problem not only in Middle Eastern countries but also globally as it is considered by users as safer than cigarettes. The presence of high levels of toxic substances in water-pipe smoke may predispos</w:t>
      </w:r>
      <w:r w:rsidR="00586636" w:rsidRPr="005F75A9">
        <w:rPr>
          <w:rFonts w:asciiTheme="minorHAnsi" w:hAnsiTheme="minorHAnsi" w:cs="Arial"/>
          <w:iCs/>
        </w:rPr>
        <w:t xml:space="preserve">e towards the </w:t>
      </w:r>
      <w:r w:rsidRPr="005F75A9">
        <w:rPr>
          <w:rFonts w:asciiTheme="minorHAnsi" w:hAnsiTheme="minorHAnsi" w:cs="Arial"/>
          <w:iCs/>
        </w:rPr>
        <w:t>enhance</w:t>
      </w:r>
      <w:r w:rsidR="00586636" w:rsidRPr="005F75A9">
        <w:rPr>
          <w:rFonts w:asciiTheme="minorHAnsi" w:hAnsiTheme="minorHAnsi" w:cs="Arial"/>
          <w:iCs/>
        </w:rPr>
        <w:t>d</w:t>
      </w:r>
      <w:r w:rsidRPr="005F75A9">
        <w:rPr>
          <w:rFonts w:asciiTheme="minorHAnsi" w:hAnsiTheme="minorHAnsi" w:cs="Arial"/>
          <w:iCs/>
        </w:rPr>
        <w:t xml:space="preserve"> incidence of pulmonary disorders in water</w:t>
      </w:r>
      <w:r w:rsidR="00586636" w:rsidRPr="005F75A9">
        <w:rPr>
          <w:rFonts w:asciiTheme="minorHAnsi" w:hAnsiTheme="minorHAnsi" w:cs="Arial"/>
          <w:iCs/>
        </w:rPr>
        <w:t>-</w:t>
      </w:r>
      <w:r w:rsidRPr="005F75A9">
        <w:rPr>
          <w:rFonts w:asciiTheme="minorHAnsi" w:hAnsiTheme="minorHAnsi" w:cs="Arial"/>
          <w:iCs/>
        </w:rPr>
        <w:t xml:space="preserve">pipe smokers.  For example, uncontrolled macropinocytosis in alveolar epithelial cells following exposure to water-pipe smoke may predispose subjects to pulmonary infection. Here, we studied the effects of water-pipe condense (WPC) on the internalization of mycobacterium Bovis (BCG) by macropinocytosis in </w:t>
      </w:r>
      <w:commentRangeStart w:id="7"/>
      <w:r w:rsidR="00961B44" w:rsidRPr="005F75A9">
        <w:rPr>
          <w:rFonts w:asciiTheme="minorHAnsi" w:hAnsiTheme="minorHAnsi" w:cs="Arial"/>
          <w:iCs/>
        </w:rPr>
        <w:t>t</w:t>
      </w:r>
      <w:r w:rsidRPr="005F75A9">
        <w:rPr>
          <w:rFonts w:asciiTheme="minorHAnsi" w:hAnsiTheme="minorHAnsi" w:cs="Arial"/>
          <w:iCs/>
        </w:rPr>
        <w:t>ype II alveolar epithelial cells (A549</w:t>
      </w:r>
      <w:commentRangeEnd w:id="7"/>
      <w:r w:rsidR="00961B44" w:rsidRPr="005F75A9">
        <w:rPr>
          <w:rStyle w:val="CommentReference"/>
          <w:rFonts w:asciiTheme="minorHAnsi" w:hAnsiTheme="minorHAnsi" w:cs="Arial"/>
          <w:color w:val="auto"/>
          <w:sz w:val="24"/>
          <w:szCs w:val="24"/>
          <w:lang w:bidi="fa-IR"/>
        </w:rPr>
        <w:commentReference w:id="7"/>
      </w:r>
      <w:r w:rsidRPr="005F75A9">
        <w:rPr>
          <w:rFonts w:asciiTheme="minorHAnsi" w:hAnsiTheme="minorHAnsi" w:cs="Arial"/>
          <w:iCs/>
        </w:rPr>
        <w:t xml:space="preserve">). </w:t>
      </w:r>
      <w:r w:rsidR="00586636" w:rsidRPr="005F75A9">
        <w:rPr>
          <w:rFonts w:asciiTheme="minorHAnsi" w:hAnsiTheme="minorHAnsi" w:cs="Arial"/>
          <w:iCs/>
        </w:rPr>
        <w:t xml:space="preserve"> </w:t>
      </w:r>
    </w:p>
    <w:p w14:paraId="19003CD4" w14:textId="1F13AA83" w:rsidR="005F75A9" w:rsidRDefault="00A245CD" w:rsidP="005F75A9">
      <w:pPr>
        <w:pStyle w:val="Default"/>
        <w:jc w:val="both"/>
        <w:rPr>
          <w:rFonts w:asciiTheme="minorHAnsi" w:hAnsiTheme="minorHAnsi"/>
        </w:rPr>
        <w:pPrChange w:id="8" w:author="Adcock, Ian M" w:date="2017-06-21T08:27:00Z">
          <w:pPr>
            <w:pStyle w:val="Default"/>
            <w:spacing w:after="240" w:line="276" w:lineRule="auto"/>
            <w:jc w:val="both"/>
          </w:pPr>
        </w:pPrChange>
      </w:pPr>
      <w:r w:rsidRPr="005F75A9">
        <w:rPr>
          <w:rFonts w:asciiTheme="minorHAnsi" w:hAnsiTheme="minorHAnsi"/>
          <w:b/>
        </w:rPr>
        <w:t>Methods</w:t>
      </w:r>
      <w:r w:rsidRPr="005F75A9">
        <w:rPr>
          <w:rFonts w:asciiTheme="minorHAnsi" w:hAnsiTheme="minorHAnsi"/>
        </w:rPr>
        <w:t xml:space="preserve">: </w:t>
      </w:r>
      <w:r w:rsidRPr="005F75A9">
        <w:rPr>
          <w:rFonts w:asciiTheme="minorHAnsi" w:hAnsiTheme="minorHAnsi"/>
          <w:iCs/>
        </w:rPr>
        <w:t xml:space="preserve">A549 cells were treated by WPC (4mg/ml) for 24, 48, 72 and 96 hours.  </w:t>
      </w:r>
      <w:r w:rsidR="00586636" w:rsidRPr="005F75A9">
        <w:rPr>
          <w:rFonts w:asciiTheme="minorHAnsi" w:hAnsiTheme="minorHAnsi"/>
          <w:iCs/>
        </w:rPr>
        <w:t>C</w:t>
      </w:r>
      <w:r w:rsidRPr="005F75A9">
        <w:rPr>
          <w:rFonts w:asciiTheme="minorHAnsi" w:hAnsiTheme="minorHAnsi"/>
          <w:bCs/>
          <w:iCs/>
        </w:rPr>
        <w:t xml:space="preserve">ell </w:t>
      </w:r>
      <w:r w:rsidR="00961B44" w:rsidRPr="005F75A9">
        <w:rPr>
          <w:rFonts w:asciiTheme="minorHAnsi" w:hAnsiTheme="minorHAnsi"/>
          <w:bCs/>
          <w:iCs/>
        </w:rPr>
        <w:t>viability</w:t>
      </w:r>
      <w:r w:rsidRPr="005F75A9">
        <w:rPr>
          <w:rFonts w:asciiTheme="minorHAnsi" w:hAnsiTheme="minorHAnsi"/>
          <w:bCs/>
          <w:iCs/>
        </w:rPr>
        <w:t xml:space="preserve"> was studied using </w:t>
      </w:r>
      <w:r w:rsidR="00586636" w:rsidRPr="005F75A9">
        <w:rPr>
          <w:rFonts w:asciiTheme="minorHAnsi" w:hAnsiTheme="minorHAnsi"/>
          <w:bCs/>
          <w:iCs/>
        </w:rPr>
        <w:t>the</w:t>
      </w:r>
      <w:r w:rsidRPr="005F75A9">
        <w:rPr>
          <w:rFonts w:asciiTheme="minorHAnsi" w:hAnsiTheme="minorHAnsi"/>
          <w:bCs/>
          <w:iCs/>
        </w:rPr>
        <w:t xml:space="preserve"> methyl </w:t>
      </w:r>
      <w:r w:rsidRPr="005F75A9">
        <w:rPr>
          <w:rFonts w:asciiTheme="minorHAnsi" w:hAnsiTheme="minorHAnsi"/>
          <w:iCs/>
        </w:rPr>
        <w:t>t</w:t>
      </w:r>
      <w:r w:rsidRPr="005F75A9">
        <w:rPr>
          <w:rFonts w:asciiTheme="minorHAnsi" w:hAnsiTheme="minorHAnsi"/>
          <w:bCs/>
          <w:iCs/>
        </w:rPr>
        <w:t>hiazolyldiphenyl-</w:t>
      </w:r>
      <w:r w:rsidRPr="005F75A9">
        <w:rPr>
          <w:rFonts w:asciiTheme="minorHAnsi" w:hAnsiTheme="minorHAnsi"/>
          <w:iCs/>
        </w:rPr>
        <w:t>t</w:t>
      </w:r>
      <w:r w:rsidRPr="005F75A9">
        <w:rPr>
          <w:rFonts w:asciiTheme="minorHAnsi" w:hAnsiTheme="minorHAnsi"/>
          <w:bCs/>
          <w:iCs/>
        </w:rPr>
        <w:t>etrazolium bromide (</w:t>
      </w:r>
      <w:r w:rsidRPr="005F75A9">
        <w:rPr>
          <w:rFonts w:asciiTheme="minorHAnsi" w:hAnsiTheme="minorHAnsi"/>
          <w:iCs/>
        </w:rPr>
        <w:t>MTT) assay.  Cells were exposed to FITC-Dextran (1mg/ml) (as a control) and FITC-BCG (MOI=10) for 20 min at 37</w:t>
      </w:r>
      <w:r w:rsidRPr="005F75A9">
        <w:rPr>
          <w:rStyle w:val="st"/>
          <w:rFonts w:asciiTheme="minorHAnsi" w:hAnsiTheme="minorHAnsi"/>
          <w:i/>
          <w:iCs/>
        </w:rPr>
        <w:t>°</w:t>
      </w:r>
      <w:r w:rsidRPr="005F75A9">
        <w:rPr>
          <w:rStyle w:val="Emphasis"/>
          <w:rFonts w:asciiTheme="minorHAnsi" w:hAnsiTheme="minorHAnsi"/>
          <w:i w:val="0"/>
          <w:iCs w:val="0"/>
        </w:rPr>
        <w:t>C before cells were</w:t>
      </w:r>
      <w:r w:rsidRPr="005F75A9">
        <w:rPr>
          <w:rStyle w:val="Emphasis"/>
          <w:rFonts w:asciiTheme="minorHAnsi" w:hAnsiTheme="minorHAnsi"/>
          <w:iCs w:val="0"/>
        </w:rPr>
        <w:t xml:space="preserve"> </w:t>
      </w:r>
      <w:r w:rsidRPr="005F75A9">
        <w:rPr>
          <w:rFonts w:asciiTheme="minorHAnsi" w:hAnsiTheme="minorHAnsi"/>
          <w:iCs/>
        </w:rPr>
        <w:t>collected and the uptake of BCG-FITC determined by flow cytometry.  Similar experiments were performed at 4</w:t>
      </w:r>
      <w:r w:rsidRPr="005F75A9">
        <w:rPr>
          <w:rStyle w:val="st"/>
          <w:rFonts w:asciiTheme="minorHAnsi" w:hAnsiTheme="minorHAnsi"/>
          <w:iCs/>
        </w:rPr>
        <w:t>°</w:t>
      </w:r>
      <w:r w:rsidRPr="005F75A9">
        <w:rPr>
          <w:rStyle w:val="Emphasis"/>
          <w:rFonts w:asciiTheme="minorHAnsi" w:hAnsiTheme="minorHAnsi"/>
          <w:iCs w:val="0"/>
        </w:rPr>
        <w:t xml:space="preserve">C </w:t>
      </w:r>
      <w:r w:rsidRPr="005F75A9">
        <w:rPr>
          <w:rStyle w:val="Emphasis"/>
          <w:rFonts w:asciiTheme="minorHAnsi" w:hAnsiTheme="minorHAnsi"/>
          <w:i w:val="0"/>
        </w:rPr>
        <w:t>as a control</w:t>
      </w:r>
      <w:r w:rsidRPr="005F75A9">
        <w:rPr>
          <w:rFonts w:asciiTheme="minorHAnsi" w:hAnsiTheme="minorHAnsi"/>
        </w:rPr>
        <w:t>.</w:t>
      </w:r>
      <w:r w:rsidR="00B802FA" w:rsidRPr="005F75A9">
        <w:rPr>
          <w:rFonts w:asciiTheme="minorHAnsi" w:hAnsiTheme="minorHAnsi"/>
        </w:rPr>
        <w:t xml:space="preserve"> </w:t>
      </w:r>
      <w:r w:rsidR="00586636" w:rsidRPr="005F75A9">
        <w:rPr>
          <w:rFonts w:asciiTheme="minorHAnsi" w:hAnsiTheme="minorHAnsi"/>
        </w:rPr>
        <w:t xml:space="preserve"> </w:t>
      </w:r>
    </w:p>
    <w:p w14:paraId="290D7F5B" w14:textId="364C2FBF" w:rsidR="005F75A9" w:rsidRDefault="00A245CD" w:rsidP="005F75A9">
      <w:pPr>
        <w:pStyle w:val="Default"/>
        <w:jc w:val="both"/>
        <w:rPr>
          <w:rFonts w:asciiTheme="minorHAnsi" w:hAnsiTheme="minorHAnsi"/>
        </w:rPr>
        <w:pPrChange w:id="9" w:author="Adcock, Ian M" w:date="2017-06-21T08:27:00Z">
          <w:pPr>
            <w:pStyle w:val="Default"/>
            <w:spacing w:after="240" w:line="276" w:lineRule="auto"/>
            <w:jc w:val="both"/>
          </w:pPr>
        </w:pPrChange>
      </w:pPr>
      <w:r w:rsidRPr="005F75A9">
        <w:rPr>
          <w:rFonts w:asciiTheme="minorHAnsi" w:hAnsiTheme="minorHAnsi"/>
          <w:b/>
        </w:rPr>
        <w:t>Results</w:t>
      </w:r>
      <w:r w:rsidRPr="005F75A9">
        <w:rPr>
          <w:rFonts w:asciiTheme="minorHAnsi" w:hAnsiTheme="minorHAnsi"/>
        </w:rPr>
        <w:t xml:space="preserve">: WPC (4mg/ml) </w:t>
      </w:r>
      <w:r w:rsidR="00586636" w:rsidRPr="005F75A9">
        <w:rPr>
          <w:rFonts w:asciiTheme="minorHAnsi" w:hAnsiTheme="minorHAnsi"/>
        </w:rPr>
        <w:t xml:space="preserve">induced a time-dependent increase in the uptake of BCG-FITC which reached significance </w:t>
      </w:r>
      <w:r w:rsidRPr="005F75A9">
        <w:rPr>
          <w:rFonts w:asciiTheme="minorHAnsi" w:hAnsiTheme="minorHAnsi"/>
        </w:rPr>
        <w:t xml:space="preserve">after 72 (1.4±0.2 fold, p&lt;0.05) and 96 (1.6±0.2 fold, p&lt;0.05) hours.  </w:t>
      </w:r>
      <w:commentRangeStart w:id="10"/>
      <w:r w:rsidRPr="005F75A9">
        <w:rPr>
          <w:rFonts w:asciiTheme="minorHAnsi" w:hAnsiTheme="minorHAnsi"/>
        </w:rPr>
        <w:t xml:space="preserve">WPC </w:t>
      </w:r>
      <w:commentRangeEnd w:id="10"/>
      <w:r w:rsidR="00961B44" w:rsidRPr="005F75A9">
        <w:rPr>
          <w:rStyle w:val="CommentReference"/>
          <w:rFonts w:asciiTheme="minorHAnsi" w:hAnsiTheme="minorHAnsi" w:cs="Arial"/>
          <w:color w:val="auto"/>
          <w:sz w:val="24"/>
          <w:szCs w:val="24"/>
          <w:lang w:bidi="fa-IR"/>
        </w:rPr>
        <w:commentReference w:id="10"/>
      </w:r>
      <w:r w:rsidRPr="005F75A9">
        <w:rPr>
          <w:rFonts w:asciiTheme="minorHAnsi" w:hAnsiTheme="minorHAnsi"/>
        </w:rPr>
        <w:t>also significantly increased the uptake of FITC-Dextran (2.9±0.3 fold, p</w:t>
      </w:r>
      <w:r w:rsidRPr="005F75A9">
        <w:rPr>
          <w:rFonts w:asciiTheme="minorHAnsi" w:hAnsiTheme="minorHAnsi"/>
        </w:rPr>
        <w:sym w:font="Symbol" w:char="F03C"/>
      </w:r>
      <w:r w:rsidRPr="005F75A9">
        <w:rPr>
          <w:rFonts w:asciiTheme="minorHAnsi" w:hAnsiTheme="minorHAnsi"/>
        </w:rPr>
        <w:t xml:space="preserve">0.05) after 96 hours.  WPC significantly decreased cell </w:t>
      </w:r>
      <w:r w:rsidR="00586636" w:rsidRPr="005F75A9">
        <w:rPr>
          <w:rFonts w:asciiTheme="minorHAnsi" w:hAnsiTheme="minorHAnsi"/>
        </w:rPr>
        <w:t>viability</w:t>
      </w:r>
      <w:r w:rsidRPr="005F75A9">
        <w:rPr>
          <w:rFonts w:asciiTheme="minorHAnsi" w:hAnsiTheme="minorHAnsi"/>
        </w:rPr>
        <w:t xml:space="preserve"> after 24 (84± 2%, p&lt;0.05), 48 (78±, 3%, p&lt;0.05), 72 (64± 2%, p&lt;0.05) and 96 hours (45±2%, p&lt;0.05).</w:t>
      </w:r>
      <w:r w:rsidR="00586636" w:rsidRPr="005F75A9">
        <w:rPr>
          <w:rFonts w:asciiTheme="minorHAnsi" w:hAnsiTheme="minorHAnsi"/>
        </w:rPr>
        <w:t xml:space="preserve">  </w:t>
      </w:r>
    </w:p>
    <w:p w14:paraId="5FBB78EB" w14:textId="72674097" w:rsidR="00793184" w:rsidRPr="005F75A9" w:rsidRDefault="00A245CD" w:rsidP="005F75A9">
      <w:pPr>
        <w:pStyle w:val="Default"/>
        <w:jc w:val="both"/>
        <w:rPr>
          <w:rFonts w:asciiTheme="minorHAnsi" w:hAnsiTheme="minorHAnsi" w:cs="Arial"/>
          <w:b/>
        </w:rPr>
        <w:pPrChange w:id="11" w:author="Adcock, Ian M" w:date="2017-06-21T08:27:00Z">
          <w:pPr>
            <w:pStyle w:val="Default"/>
            <w:spacing w:after="240" w:line="276" w:lineRule="auto"/>
            <w:jc w:val="both"/>
          </w:pPr>
        </w:pPrChange>
      </w:pPr>
      <w:r w:rsidRPr="005F75A9">
        <w:rPr>
          <w:rFonts w:asciiTheme="minorHAnsi" w:hAnsiTheme="minorHAnsi"/>
          <w:b/>
          <w:iCs/>
        </w:rPr>
        <w:t>Conclusion</w:t>
      </w:r>
      <w:r w:rsidRPr="005F75A9">
        <w:rPr>
          <w:rFonts w:asciiTheme="minorHAnsi" w:hAnsiTheme="minorHAnsi"/>
          <w:bCs/>
          <w:iCs/>
        </w:rPr>
        <w:t>:</w:t>
      </w:r>
      <w:r w:rsidRPr="005F75A9">
        <w:rPr>
          <w:rFonts w:asciiTheme="minorHAnsi" w:hAnsiTheme="minorHAnsi"/>
          <w:iCs/>
        </w:rPr>
        <w:t xml:space="preserve"> </w:t>
      </w:r>
      <w:r w:rsidR="00961B44" w:rsidRPr="005F75A9">
        <w:rPr>
          <w:rFonts w:asciiTheme="minorHAnsi" w:hAnsiTheme="minorHAnsi"/>
          <w:iCs/>
        </w:rPr>
        <w:t>Our in vitro data suggests possible harmful effects of WPC on the ability of lung epithelial cells to survive and to phagocytose mycobacterium. Further studies will be conducted to understanding of mechanism action of WPC.</w:t>
      </w:r>
      <w:r w:rsidRPr="005F75A9">
        <w:rPr>
          <w:rFonts w:asciiTheme="minorHAnsi" w:hAnsiTheme="minorHAnsi"/>
          <w:iCs/>
        </w:rPr>
        <w:t xml:space="preserve"> </w:t>
      </w:r>
      <w:bookmarkStart w:id="12" w:name="_GoBack"/>
      <w:bookmarkEnd w:id="12"/>
    </w:p>
    <w:sectPr w:rsidR="00793184" w:rsidRPr="005F75A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Adcock, Ian M" w:date="2016-10-31T07:18:00Z" w:initials="AIM">
    <w:p w14:paraId="0F32C6B0" w14:textId="77777777" w:rsidR="00961B44" w:rsidRDefault="00961B44">
      <w:pPr>
        <w:pStyle w:val="CommentText"/>
      </w:pPr>
      <w:r>
        <w:rPr>
          <w:rStyle w:val="CommentReference"/>
        </w:rPr>
        <w:annotationRef/>
      </w:r>
      <w:r>
        <w:rPr>
          <w:rFonts w:hint="cs"/>
          <w:rtl/>
        </w:rPr>
        <w:t>Just bear in mind that these are not the major target cell in vivo</w:t>
      </w:r>
    </w:p>
  </w:comment>
  <w:comment w:id="10" w:author="Adcock, Ian M" w:date="2016-10-31T07:22:00Z" w:initials="AIM">
    <w:p w14:paraId="29FD1220" w14:textId="77777777" w:rsidR="00961B44" w:rsidRDefault="00961B44">
      <w:pPr>
        <w:pStyle w:val="CommentText"/>
      </w:pPr>
      <w:r>
        <w:rPr>
          <w:rStyle w:val="CommentReference"/>
        </w:rPr>
        <w:annotationRef/>
      </w:r>
      <w:r>
        <w:rPr>
          <w:rFonts w:hint="cs"/>
          <w:rtl/>
        </w:rPr>
        <w:t xml:space="preserve">What was the effect of performing the experiment at 4°C?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F32C6B0" w15:done="0"/>
  <w15:commentEx w15:paraId="29FD122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cock, Ian M">
    <w15:presenceInfo w15:providerId="AD" w15:userId="S-1-5-21-243037206-41955558-561332275-192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visionView w:markup="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5CD"/>
    <w:rsid w:val="00586636"/>
    <w:rsid w:val="005F75A9"/>
    <w:rsid w:val="00653C1E"/>
    <w:rsid w:val="00793184"/>
    <w:rsid w:val="00961B44"/>
    <w:rsid w:val="00A245CD"/>
    <w:rsid w:val="00B80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06445"/>
  <w15:docId w15:val="{DF7986C2-3E14-4098-AC7A-4EEBE7336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5CD"/>
    <w:pPr>
      <w:bidi/>
    </w:pPr>
    <w:rPr>
      <w:rFonts w:ascii="Calibri" w:eastAsia="Calibri" w:hAnsi="Calibri" w:cs="Arial"/>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245C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t">
    <w:name w:val="st"/>
    <w:rsid w:val="00A245CD"/>
  </w:style>
  <w:style w:type="character" w:styleId="Emphasis">
    <w:name w:val="Emphasis"/>
    <w:basedOn w:val="DefaultParagraphFont"/>
    <w:uiPriority w:val="20"/>
    <w:qFormat/>
    <w:rsid w:val="00A245CD"/>
    <w:rPr>
      <w:i/>
      <w:iCs/>
    </w:rPr>
  </w:style>
  <w:style w:type="paragraph" w:styleId="BalloonText">
    <w:name w:val="Balloon Text"/>
    <w:basedOn w:val="Normal"/>
    <w:link w:val="BalloonTextChar"/>
    <w:uiPriority w:val="99"/>
    <w:semiHidden/>
    <w:unhideWhenUsed/>
    <w:rsid w:val="00A245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5CD"/>
    <w:rPr>
      <w:rFonts w:ascii="Tahoma" w:eastAsia="Calibri" w:hAnsi="Tahoma" w:cs="Tahoma"/>
      <w:sz w:val="16"/>
      <w:szCs w:val="16"/>
      <w:lang w:bidi="fa-IR"/>
    </w:rPr>
  </w:style>
  <w:style w:type="character" w:styleId="CommentReference">
    <w:name w:val="annotation reference"/>
    <w:basedOn w:val="DefaultParagraphFont"/>
    <w:uiPriority w:val="99"/>
    <w:semiHidden/>
    <w:unhideWhenUsed/>
    <w:rsid w:val="00961B44"/>
    <w:rPr>
      <w:sz w:val="16"/>
      <w:szCs w:val="16"/>
    </w:rPr>
  </w:style>
  <w:style w:type="paragraph" w:styleId="CommentText">
    <w:name w:val="annotation text"/>
    <w:basedOn w:val="Normal"/>
    <w:link w:val="CommentTextChar"/>
    <w:uiPriority w:val="99"/>
    <w:semiHidden/>
    <w:unhideWhenUsed/>
    <w:rsid w:val="00961B44"/>
    <w:pPr>
      <w:spacing w:line="240" w:lineRule="auto"/>
    </w:pPr>
    <w:rPr>
      <w:sz w:val="20"/>
      <w:szCs w:val="20"/>
    </w:rPr>
  </w:style>
  <w:style w:type="character" w:customStyle="1" w:styleId="CommentTextChar">
    <w:name w:val="Comment Text Char"/>
    <w:basedOn w:val="DefaultParagraphFont"/>
    <w:link w:val="CommentText"/>
    <w:uiPriority w:val="99"/>
    <w:semiHidden/>
    <w:rsid w:val="00961B44"/>
    <w:rPr>
      <w:rFonts w:ascii="Calibri" w:eastAsia="Calibri" w:hAnsi="Calibri" w:cs="Arial"/>
      <w:sz w:val="20"/>
      <w:szCs w:val="20"/>
      <w:lang w:bidi="fa-IR"/>
    </w:rPr>
  </w:style>
  <w:style w:type="paragraph" w:styleId="CommentSubject">
    <w:name w:val="annotation subject"/>
    <w:basedOn w:val="CommentText"/>
    <w:next w:val="CommentText"/>
    <w:link w:val="CommentSubjectChar"/>
    <w:uiPriority w:val="99"/>
    <w:semiHidden/>
    <w:unhideWhenUsed/>
    <w:rsid w:val="00961B44"/>
    <w:rPr>
      <w:b/>
      <w:bCs/>
    </w:rPr>
  </w:style>
  <w:style w:type="character" w:customStyle="1" w:styleId="CommentSubjectChar">
    <w:name w:val="Comment Subject Char"/>
    <w:basedOn w:val="CommentTextChar"/>
    <w:link w:val="CommentSubject"/>
    <w:uiPriority w:val="99"/>
    <w:semiHidden/>
    <w:rsid w:val="00961B44"/>
    <w:rPr>
      <w:rFonts w:ascii="Calibri" w:eastAsia="Calibri" w:hAnsi="Calibri" w:cs="Arial"/>
      <w:b/>
      <w:bCs/>
      <w:sz w:val="20"/>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357140">
      <w:bodyDiv w:val="1"/>
      <w:marLeft w:val="0"/>
      <w:marRight w:val="0"/>
      <w:marTop w:val="0"/>
      <w:marBottom w:val="0"/>
      <w:divBdr>
        <w:top w:val="none" w:sz="0" w:space="0" w:color="auto"/>
        <w:left w:val="none" w:sz="0" w:space="0" w:color="auto"/>
        <w:bottom w:val="none" w:sz="0" w:space="0" w:color="auto"/>
        <w:right w:val="none" w:sz="0" w:space="0" w:color="auto"/>
      </w:divBdr>
    </w:div>
    <w:div w:id="1281764751">
      <w:bodyDiv w:val="1"/>
      <w:marLeft w:val="0"/>
      <w:marRight w:val="0"/>
      <w:marTop w:val="0"/>
      <w:marBottom w:val="0"/>
      <w:divBdr>
        <w:top w:val="none" w:sz="0" w:space="0" w:color="auto"/>
        <w:left w:val="none" w:sz="0" w:space="0" w:color="auto"/>
        <w:bottom w:val="none" w:sz="0" w:space="0" w:color="auto"/>
        <w:right w:val="none" w:sz="0" w:space="0" w:color="auto"/>
      </w:divBdr>
      <w:divsChild>
        <w:div w:id="991759249">
          <w:marLeft w:val="0"/>
          <w:marRight w:val="0"/>
          <w:marTop w:val="0"/>
          <w:marBottom w:val="0"/>
          <w:divBdr>
            <w:top w:val="none" w:sz="0" w:space="0" w:color="auto"/>
            <w:left w:val="none" w:sz="0" w:space="0" w:color="auto"/>
            <w:bottom w:val="none" w:sz="0" w:space="0" w:color="auto"/>
            <w:right w:val="none" w:sz="0" w:space="0" w:color="auto"/>
          </w:divBdr>
        </w:div>
        <w:div w:id="1218976465">
          <w:marLeft w:val="0"/>
          <w:marRight w:val="0"/>
          <w:marTop w:val="0"/>
          <w:marBottom w:val="0"/>
          <w:divBdr>
            <w:top w:val="none" w:sz="0" w:space="0" w:color="auto"/>
            <w:left w:val="none" w:sz="0" w:space="0" w:color="auto"/>
            <w:bottom w:val="none" w:sz="0" w:space="0" w:color="auto"/>
            <w:right w:val="none" w:sz="0" w:space="0" w:color="auto"/>
          </w:divBdr>
        </w:div>
      </w:divsChild>
    </w:div>
    <w:div w:id="2106918076">
      <w:bodyDiv w:val="1"/>
      <w:marLeft w:val="0"/>
      <w:marRight w:val="0"/>
      <w:marTop w:val="0"/>
      <w:marBottom w:val="0"/>
      <w:divBdr>
        <w:top w:val="none" w:sz="0" w:space="0" w:color="auto"/>
        <w:left w:val="none" w:sz="0" w:space="0" w:color="auto"/>
        <w:bottom w:val="none" w:sz="0" w:space="0" w:color="auto"/>
        <w:right w:val="none" w:sz="0" w:space="0" w:color="auto"/>
      </w:divBdr>
      <w:divsChild>
        <w:div w:id="601765428">
          <w:marLeft w:val="0"/>
          <w:marRight w:val="0"/>
          <w:marTop w:val="0"/>
          <w:marBottom w:val="0"/>
          <w:divBdr>
            <w:top w:val="none" w:sz="0" w:space="0" w:color="auto"/>
            <w:left w:val="none" w:sz="0" w:space="0" w:color="auto"/>
            <w:bottom w:val="none" w:sz="0" w:space="0" w:color="auto"/>
            <w:right w:val="none" w:sz="0" w:space="0" w:color="auto"/>
          </w:divBdr>
        </w:div>
        <w:div w:id="73628342">
          <w:marLeft w:val="0"/>
          <w:marRight w:val="0"/>
          <w:marTop w:val="0"/>
          <w:marBottom w:val="0"/>
          <w:divBdr>
            <w:top w:val="none" w:sz="0" w:space="0" w:color="auto"/>
            <w:left w:val="none" w:sz="0" w:space="0" w:color="auto"/>
            <w:bottom w:val="none" w:sz="0" w:space="0" w:color="auto"/>
            <w:right w:val="none" w:sz="0" w:space="0" w:color="auto"/>
          </w:divBdr>
        </w:div>
        <w:div w:id="937759061">
          <w:marLeft w:val="0"/>
          <w:marRight w:val="0"/>
          <w:marTop w:val="0"/>
          <w:marBottom w:val="0"/>
          <w:divBdr>
            <w:top w:val="none" w:sz="0" w:space="0" w:color="auto"/>
            <w:left w:val="none" w:sz="0" w:space="0" w:color="auto"/>
            <w:bottom w:val="none" w:sz="0" w:space="0" w:color="auto"/>
            <w:right w:val="none" w:sz="0" w:space="0" w:color="auto"/>
          </w:divBdr>
        </w:div>
        <w:div w:id="1757248013">
          <w:marLeft w:val="0"/>
          <w:marRight w:val="0"/>
          <w:marTop w:val="0"/>
          <w:marBottom w:val="0"/>
          <w:divBdr>
            <w:top w:val="none" w:sz="0" w:space="0" w:color="auto"/>
            <w:left w:val="none" w:sz="0" w:space="0" w:color="auto"/>
            <w:bottom w:val="none" w:sz="0" w:space="0" w:color="auto"/>
            <w:right w:val="none" w:sz="0" w:space="0" w:color="auto"/>
          </w:divBdr>
        </w:div>
        <w:div w:id="1717045783">
          <w:marLeft w:val="0"/>
          <w:marRight w:val="0"/>
          <w:marTop w:val="0"/>
          <w:marBottom w:val="0"/>
          <w:divBdr>
            <w:top w:val="none" w:sz="0" w:space="0" w:color="auto"/>
            <w:left w:val="none" w:sz="0" w:space="0" w:color="auto"/>
            <w:bottom w:val="none" w:sz="0" w:space="0" w:color="auto"/>
            <w:right w:val="none" w:sz="0" w:space="0" w:color="auto"/>
          </w:divBdr>
        </w:div>
        <w:div w:id="252210118">
          <w:marLeft w:val="0"/>
          <w:marRight w:val="0"/>
          <w:marTop w:val="0"/>
          <w:marBottom w:val="0"/>
          <w:divBdr>
            <w:top w:val="none" w:sz="0" w:space="0" w:color="auto"/>
            <w:left w:val="none" w:sz="0" w:space="0" w:color="auto"/>
            <w:bottom w:val="none" w:sz="0" w:space="0" w:color="auto"/>
            <w:right w:val="none" w:sz="0" w:space="0" w:color="auto"/>
          </w:divBdr>
        </w:div>
        <w:div w:id="869300232">
          <w:marLeft w:val="0"/>
          <w:marRight w:val="0"/>
          <w:marTop w:val="0"/>
          <w:marBottom w:val="0"/>
          <w:divBdr>
            <w:top w:val="none" w:sz="0" w:space="0" w:color="auto"/>
            <w:left w:val="none" w:sz="0" w:space="0" w:color="auto"/>
            <w:bottom w:val="none" w:sz="0" w:space="0" w:color="auto"/>
            <w:right w:val="none" w:sz="0" w:space="0" w:color="auto"/>
          </w:divBdr>
        </w:div>
        <w:div w:id="1922904300">
          <w:marLeft w:val="0"/>
          <w:marRight w:val="0"/>
          <w:marTop w:val="0"/>
          <w:marBottom w:val="0"/>
          <w:divBdr>
            <w:top w:val="none" w:sz="0" w:space="0" w:color="auto"/>
            <w:left w:val="none" w:sz="0" w:space="0" w:color="auto"/>
            <w:bottom w:val="none" w:sz="0" w:space="0" w:color="auto"/>
            <w:right w:val="none" w:sz="0" w:space="0" w:color="auto"/>
          </w:divBdr>
        </w:div>
        <w:div w:id="1665477453">
          <w:marLeft w:val="0"/>
          <w:marRight w:val="0"/>
          <w:marTop w:val="0"/>
          <w:marBottom w:val="0"/>
          <w:divBdr>
            <w:top w:val="none" w:sz="0" w:space="0" w:color="auto"/>
            <w:left w:val="none" w:sz="0" w:space="0" w:color="auto"/>
            <w:bottom w:val="none" w:sz="0" w:space="0" w:color="auto"/>
            <w:right w:val="none" w:sz="0" w:space="0" w:color="auto"/>
          </w:divBdr>
        </w:div>
        <w:div w:id="1296058721">
          <w:marLeft w:val="0"/>
          <w:marRight w:val="0"/>
          <w:marTop w:val="0"/>
          <w:marBottom w:val="0"/>
          <w:divBdr>
            <w:top w:val="none" w:sz="0" w:space="0" w:color="auto"/>
            <w:left w:val="none" w:sz="0" w:space="0" w:color="auto"/>
            <w:bottom w:val="none" w:sz="0" w:space="0" w:color="auto"/>
            <w:right w:val="none" w:sz="0" w:space="0" w:color="auto"/>
          </w:divBdr>
        </w:div>
        <w:div w:id="505248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Words>
  <Characters>2518</Characters>
  <Application>Microsoft Office Word</Application>
  <DocSecurity>0</DocSecurity>
  <Lines>37</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Esmaeil</dc:creator>
  <cp:lastModifiedBy>Adcock, Ian M</cp:lastModifiedBy>
  <cp:revision>2</cp:revision>
  <dcterms:created xsi:type="dcterms:W3CDTF">2017-06-21T07:27:00Z</dcterms:created>
  <dcterms:modified xsi:type="dcterms:W3CDTF">2017-06-21T07:27:00Z</dcterms:modified>
</cp:coreProperties>
</file>