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a52885c10b38476f"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36c511c224c64abb" Type="http://schemas.microsoft.com/office/2007/relationships/ui/extensibility" Target="customUI/customUI14.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C36" w:rsidRPr="00D82CEE" w:rsidRDefault="00853C36" w:rsidP="00853C36">
      <w:pPr>
        <w:pBdr>
          <w:bottom w:val="single" w:sz="4" w:space="1" w:color="auto"/>
        </w:pBdr>
        <w:tabs>
          <w:tab w:val="left" w:pos="1620"/>
        </w:tabs>
        <w:autoSpaceDE w:val="0"/>
        <w:autoSpaceDN w:val="0"/>
        <w:adjustRightInd w:val="0"/>
        <w:spacing w:line="240" w:lineRule="atLeast"/>
        <w:jc w:val="both"/>
        <w:textAlignment w:val="center"/>
        <w:rPr>
          <w:rFonts w:cs="Times New Roman"/>
          <w:b/>
          <w:iCs/>
          <w:noProof/>
          <w:sz w:val="28"/>
          <w:szCs w:val="18"/>
        </w:rPr>
      </w:pPr>
      <w:r w:rsidRPr="00D82CEE">
        <w:rPr>
          <w:rFonts w:cs="Times New Roman"/>
          <w:b/>
          <w:iCs/>
          <w:noProof/>
          <w:sz w:val="28"/>
          <w:szCs w:val="18"/>
        </w:rPr>
        <w:t>Author Queries</w:t>
      </w:r>
    </w:p>
    <w:p w:rsidR="00853C36" w:rsidRPr="00D82CEE" w:rsidRDefault="00853C36" w:rsidP="00853C36">
      <w:pPr>
        <w:tabs>
          <w:tab w:val="left" w:pos="1620"/>
        </w:tabs>
        <w:autoSpaceDE w:val="0"/>
        <w:autoSpaceDN w:val="0"/>
        <w:adjustRightInd w:val="0"/>
        <w:spacing w:line="240" w:lineRule="atLeast"/>
        <w:jc w:val="both"/>
        <w:textAlignment w:val="center"/>
        <w:rPr>
          <w:rFonts w:cs="Times New Roman"/>
          <w:i/>
          <w:iCs/>
          <w:noProof/>
          <w:sz w:val="18"/>
          <w:szCs w:val="18"/>
        </w:rPr>
      </w:pPr>
    </w:p>
    <w:p w:rsidR="00853C36" w:rsidRPr="00D82CEE" w:rsidRDefault="00853C36" w:rsidP="00853C36">
      <w:pPr>
        <w:tabs>
          <w:tab w:val="left" w:pos="1620"/>
        </w:tabs>
        <w:autoSpaceDE w:val="0"/>
        <w:autoSpaceDN w:val="0"/>
        <w:adjustRightInd w:val="0"/>
        <w:spacing w:line="240" w:lineRule="atLeast"/>
        <w:jc w:val="both"/>
        <w:textAlignment w:val="center"/>
        <w:rPr>
          <w:rFonts w:cs="Times New Roman"/>
          <w:i/>
          <w:iCs/>
          <w:noProof/>
          <w:sz w:val="18"/>
          <w:szCs w:val="18"/>
        </w:rPr>
      </w:pPr>
      <w:r w:rsidRPr="00D82CEE">
        <w:rPr>
          <w:rFonts w:cs="Times New Roman"/>
          <w:i/>
          <w:iCs/>
          <w:noProof/>
          <w:sz w:val="18"/>
          <w:szCs w:val="18"/>
        </w:rPr>
        <w:t xml:space="preserve">Journal title: </w:t>
      </w:r>
      <w:r w:rsidRPr="00D82CEE">
        <w:rPr>
          <w:rFonts w:cs="Times New Roman"/>
          <w:noProof/>
          <w:sz w:val="18"/>
          <w:szCs w:val="18"/>
        </w:rPr>
        <w:tab/>
      </w:r>
      <w:r w:rsidR="005E6B08" w:rsidRPr="00D82CEE">
        <w:rPr>
          <w:rFonts w:cs="Times New Roman"/>
          <w:b/>
          <w:noProof/>
          <w:sz w:val="18"/>
          <w:szCs w:val="18"/>
        </w:rPr>
        <w:t>NRO</w:t>
      </w:r>
    </w:p>
    <w:p w:rsidR="00853C36" w:rsidRPr="00D82CEE" w:rsidRDefault="00853C36" w:rsidP="00853C36">
      <w:pPr>
        <w:tabs>
          <w:tab w:val="left" w:pos="1620"/>
        </w:tabs>
        <w:autoSpaceDE w:val="0"/>
        <w:autoSpaceDN w:val="0"/>
        <w:adjustRightInd w:val="0"/>
        <w:spacing w:before="120" w:line="240" w:lineRule="atLeast"/>
        <w:jc w:val="both"/>
        <w:textAlignment w:val="center"/>
        <w:rPr>
          <w:rFonts w:cs="Times New Roman"/>
          <w:b/>
          <w:bCs/>
          <w:noProof/>
          <w:spacing w:val="5"/>
          <w:sz w:val="18"/>
          <w:szCs w:val="18"/>
        </w:rPr>
      </w:pPr>
      <w:r w:rsidRPr="00D82CEE">
        <w:rPr>
          <w:rFonts w:cs="Times New Roman"/>
          <w:i/>
          <w:iCs/>
          <w:noProof/>
          <w:sz w:val="18"/>
          <w:szCs w:val="18"/>
        </w:rPr>
        <w:t xml:space="preserve">Article Number: </w:t>
      </w:r>
      <w:r w:rsidRPr="00D82CEE">
        <w:rPr>
          <w:rFonts w:cs="Times New Roman"/>
          <w:noProof/>
          <w:sz w:val="18"/>
          <w:szCs w:val="18"/>
        </w:rPr>
        <w:tab/>
      </w:r>
      <w:r w:rsidR="00D82CEE" w:rsidRPr="00D82CEE">
        <w:rPr>
          <w:rFonts w:cs="Times New Roman"/>
          <w:b/>
          <w:noProof/>
          <w:sz w:val="18"/>
          <w:szCs w:val="18"/>
        </w:rPr>
        <w:t>10.1177/1073858416673327</w:t>
      </w:r>
    </w:p>
    <w:p w:rsidR="00853C36" w:rsidRPr="00D82CEE" w:rsidRDefault="00853C36" w:rsidP="00853C36">
      <w:pPr>
        <w:autoSpaceDE w:val="0"/>
        <w:autoSpaceDN w:val="0"/>
        <w:adjustRightInd w:val="0"/>
        <w:spacing w:before="120" w:after="120" w:line="240" w:lineRule="atLeast"/>
        <w:jc w:val="both"/>
        <w:textAlignment w:val="center"/>
        <w:rPr>
          <w:rFonts w:cs="Times New Roman"/>
          <w:noProof/>
          <w:sz w:val="18"/>
          <w:szCs w:val="18"/>
        </w:rPr>
      </w:pPr>
      <w:r w:rsidRPr="00D82CEE">
        <w:rPr>
          <w:rFonts w:cs="Times New Roman"/>
          <w:noProof/>
          <w:sz w:val="18"/>
          <w:szCs w:val="18"/>
        </w:rPr>
        <w:t>Dear Author/Editor,</w:t>
      </w:r>
    </w:p>
    <w:p w:rsidR="00853C36" w:rsidRPr="00D82CEE" w:rsidRDefault="00853C36" w:rsidP="00853C36">
      <w:pPr>
        <w:autoSpaceDE w:val="0"/>
        <w:autoSpaceDN w:val="0"/>
        <w:adjustRightInd w:val="0"/>
        <w:spacing w:line="240" w:lineRule="atLeast"/>
        <w:jc w:val="both"/>
        <w:textAlignment w:val="center"/>
        <w:rPr>
          <w:rFonts w:cs="Times New Roman"/>
          <w:noProof/>
          <w:spacing w:val="-2"/>
          <w:sz w:val="18"/>
          <w:szCs w:val="18"/>
        </w:rPr>
      </w:pPr>
      <w:r w:rsidRPr="00D82CEE">
        <w:rPr>
          <w:rFonts w:cs="Times New Roman"/>
          <w:noProof/>
          <w:spacing w:val="-2"/>
          <w:sz w:val="18"/>
          <w:szCs w:val="18"/>
        </w:rPr>
        <w:t xml:space="preserve">Greetings, and thank you for publishing with </w:t>
      </w:r>
      <w:r w:rsidRPr="00D82CEE">
        <w:rPr>
          <w:rFonts w:cs="Times New Roman"/>
          <w:caps/>
          <w:noProof/>
          <w:spacing w:val="-2"/>
          <w:sz w:val="18"/>
          <w:szCs w:val="18"/>
        </w:rPr>
        <w:t>Sage</w:t>
      </w:r>
      <w:r w:rsidRPr="00D82CEE">
        <w:rPr>
          <w:rFonts w:cs="Times New Roman"/>
          <w:noProof/>
          <w:spacing w:val="-2"/>
          <w:sz w:val="18"/>
          <w:szCs w:val="18"/>
        </w:rPr>
        <w:t>. Your article has been copyedited, and we have a few queries for you. Please respond to these queries when you submit your changes to the Production Editor.</w:t>
      </w:r>
    </w:p>
    <w:p w:rsidR="00853C36" w:rsidRPr="00D82CEE" w:rsidRDefault="00853C36" w:rsidP="00853C36">
      <w:pPr>
        <w:autoSpaceDE w:val="0"/>
        <w:autoSpaceDN w:val="0"/>
        <w:adjustRightInd w:val="0"/>
        <w:spacing w:before="120" w:line="240" w:lineRule="atLeast"/>
        <w:jc w:val="both"/>
        <w:textAlignment w:val="center"/>
        <w:rPr>
          <w:rFonts w:cs="Times New Roman"/>
          <w:noProof/>
          <w:spacing w:val="-2"/>
          <w:sz w:val="18"/>
          <w:szCs w:val="18"/>
        </w:rPr>
      </w:pPr>
      <w:r w:rsidRPr="00D82CEE">
        <w:rPr>
          <w:rFonts w:cs="Times New Roman"/>
          <w:noProof/>
          <w:spacing w:val="-2"/>
          <w:sz w:val="18"/>
          <w:szCs w:val="18"/>
        </w:rPr>
        <w:t>Thank you for your time and effort.</w:t>
      </w:r>
    </w:p>
    <w:p w:rsidR="00AE1A81" w:rsidRPr="00D82CEE" w:rsidRDefault="00AE1A81" w:rsidP="00AE1A81">
      <w:pPr>
        <w:autoSpaceDE w:val="0"/>
        <w:autoSpaceDN w:val="0"/>
        <w:adjustRightInd w:val="0"/>
        <w:spacing w:before="120" w:line="240" w:lineRule="atLeast"/>
        <w:jc w:val="both"/>
        <w:textAlignment w:val="center"/>
        <w:rPr>
          <w:rFonts w:cs="Times New Roman"/>
          <w:noProof/>
          <w:spacing w:val="-2"/>
          <w:sz w:val="18"/>
          <w:szCs w:val="18"/>
        </w:rPr>
      </w:pPr>
      <w:r w:rsidRPr="00D82CEE">
        <w:rPr>
          <w:rFonts w:cs="Times New Roman"/>
          <w:noProof/>
          <w:spacing w:val="-2"/>
          <w:sz w:val="18"/>
          <w:szCs w:val="18"/>
        </w:rPr>
        <w:t>NOTE: Please answer the queries by editing within the article: follow the AQ hyperlink below and edit the text directly. Add a "New Comment" (in the "Review" tab), if the correction cannot be done directly or for further queries.</w:t>
      </w:r>
    </w:p>
    <w:p w:rsidR="00AE1A81" w:rsidRPr="00D82CEE" w:rsidRDefault="00AE1A81" w:rsidP="00AE1A81">
      <w:pPr>
        <w:autoSpaceDE w:val="0"/>
        <w:autoSpaceDN w:val="0"/>
        <w:adjustRightInd w:val="0"/>
        <w:spacing w:before="120" w:line="240" w:lineRule="atLeast"/>
        <w:jc w:val="both"/>
        <w:textAlignment w:val="center"/>
        <w:rPr>
          <w:rFonts w:cs="Times New Roman"/>
          <w:noProof/>
          <w:spacing w:val="-2"/>
          <w:sz w:val="18"/>
          <w:szCs w:val="18"/>
        </w:rPr>
      </w:pPr>
      <w:r w:rsidRPr="00D82CEE">
        <w:rPr>
          <w:rFonts w:cs="Times New Roman"/>
          <w:noProof/>
          <w:spacing w:val="-2"/>
          <w:sz w:val="18"/>
          <w:szCs w:val="18"/>
        </w:rPr>
        <w:t>Below, please tick the boxes to the right of the query, to indicate the query has been dealt with.</w:t>
      </w:r>
    </w:p>
    <w:p w:rsidR="00853C36" w:rsidRPr="00D82CEE" w:rsidRDefault="00853C36" w:rsidP="000B3D97">
      <w:pPr>
        <w:autoSpaceDE w:val="0"/>
        <w:autoSpaceDN w:val="0"/>
        <w:adjustRightInd w:val="0"/>
        <w:spacing w:before="120" w:line="400" w:lineRule="atLeast"/>
        <w:jc w:val="both"/>
        <w:textAlignment w:val="center"/>
        <w:rPr>
          <w:rFonts w:ascii="Times New Roman" w:hAnsi="Times New Roman"/>
          <w:b/>
          <w:noProof/>
          <w:spacing w:val="-2"/>
          <w:sz w:val="18"/>
          <w:szCs w:val="18"/>
        </w:rPr>
      </w:pPr>
      <w:r w:rsidRPr="00D82CEE">
        <w:rPr>
          <w:rFonts w:ascii="Times New Roman" w:hAnsi="Times New Roman"/>
          <w:noProof/>
          <w:spacing w:val="-2"/>
          <w:sz w:val="18"/>
          <w:szCs w:val="18"/>
        </w:rPr>
        <w:t>Please assist us by clarifying the following queries:</w:t>
      </w:r>
    </w:p>
    <w:tbl>
      <w:tblPr>
        <w:tblStyle w:val="TableGrid"/>
        <w:tblW w:w="5000" w:type="pct"/>
        <w:tblLook w:val="04A0"/>
      </w:tblPr>
      <w:tblGrid>
        <w:gridCol w:w="722"/>
        <w:gridCol w:w="8291"/>
        <w:gridCol w:w="680"/>
      </w:tblGrid>
      <w:tr w:rsidR="0008530D" w:rsidRPr="00847946" w:rsidTr="0008530D">
        <w:tc>
          <w:tcPr>
            <w:tcW w:w="372" w:type="pct"/>
            <w:vAlign w:val="center"/>
          </w:tcPr>
          <w:p w:rsidR="0008530D" w:rsidRPr="00847946" w:rsidRDefault="0008530D" w:rsidP="00847946">
            <w:pPr>
              <w:pStyle w:val="AQText"/>
              <w:rPr>
                <w:noProof/>
              </w:rPr>
            </w:pPr>
          </w:p>
        </w:tc>
        <w:tc>
          <w:tcPr>
            <w:tcW w:w="4277" w:type="pct"/>
            <w:vAlign w:val="center"/>
          </w:tcPr>
          <w:p w:rsidR="0008530D" w:rsidRPr="00847946" w:rsidRDefault="0008530D" w:rsidP="00847946">
            <w:pPr>
              <w:pStyle w:val="AQText"/>
              <w:rPr>
                <w:noProof/>
              </w:rPr>
            </w:pPr>
            <w:r w:rsidRPr="00847946">
              <w:rPr>
                <w:noProof/>
              </w:rPr>
              <w:t>Please confirm that all author information, including names, affiliations, sequence, and contact details, is correct.</w:t>
            </w:r>
          </w:p>
        </w:tc>
        <w:tc>
          <w:tcPr>
            <w:tcW w:w="351" w:type="pct"/>
          </w:tcPr>
          <w:p w:rsidR="0008530D" w:rsidRPr="00847946" w:rsidRDefault="0008530D" w:rsidP="0008530D">
            <w:pPr>
              <w:pStyle w:val="AQText"/>
              <w:jc w:val="center"/>
              <w:rPr>
                <w:noProof/>
              </w:rPr>
            </w:pPr>
            <w:r>
              <w:rPr>
                <w:noProof/>
              </w:rPr>
              <w:fldChar w:fldCharType="begin">
                <w:ffData>
                  <w:name w:val="Check1"/>
                  <w:enabled/>
                  <w:calcOnExit w:val="0"/>
                  <w:checkBox>
                    <w:sizeAuto/>
                    <w:default w:val="0"/>
                  </w:checkBox>
                </w:ffData>
              </w:fldChar>
            </w:r>
            <w:bookmarkStart w:id="0" w:name="Check1"/>
            <w:r>
              <w:rPr>
                <w:noProof/>
              </w:rPr>
              <w:instrText xml:space="preserve"> FORMCHECKBOX </w:instrText>
            </w:r>
            <w:r>
              <w:rPr>
                <w:noProof/>
              </w:rPr>
            </w:r>
            <w:r>
              <w:rPr>
                <w:noProof/>
              </w:rPr>
              <w:fldChar w:fldCharType="end"/>
            </w:r>
            <w:bookmarkEnd w:id="0"/>
          </w:p>
        </w:tc>
      </w:tr>
      <w:tr w:rsidR="0008530D" w:rsidRPr="00847946" w:rsidTr="0008530D">
        <w:tc>
          <w:tcPr>
            <w:tcW w:w="372" w:type="pct"/>
            <w:vAlign w:val="center"/>
          </w:tcPr>
          <w:p w:rsidR="0008530D" w:rsidRPr="00847946" w:rsidRDefault="0008530D" w:rsidP="00847946">
            <w:pPr>
              <w:pStyle w:val="AQText"/>
              <w:rPr>
                <w:noProof/>
              </w:rPr>
            </w:pPr>
          </w:p>
        </w:tc>
        <w:tc>
          <w:tcPr>
            <w:tcW w:w="4277" w:type="pct"/>
            <w:vAlign w:val="center"/>
          </w:tcPr>
          <w:p w:rsidR="0008530D" w:rsidRPr="00847946" w:rsidRDefault="0008530D" w:rsidP="00847946">
            <w:pPr>
              <w:pStyle w:val="AQText"/>
              <w:rPr>
                <w:noProof/>
              </w:rPr>
            </w:pPr>
            <w:r w:rsidRPr="00847946">
              <w:rPr>
                <w:noProof/>
              </w:rPr>
              <w:t>Please review the entire document for typographical errors, mathematical errors, and any other necessary corrections; check headings, tables, and figures.</w:t>
            </w:r>
          </w:p>
        </w:tc>
        <w:tc>
          <w:tcPr>
            <w:tcW w:w="351" w:type="pct"/>
          </w:tcPr>
          <w:p w:rsidR="0008530D" w:rsidRPr="00847946" w:rsidRDefault="0008530D" w:rsidP="0008530D">
            <w:pPr>
              <w:pStyle w:val="AQText"/>
              <w:jc w:val="center"/>
              <w:rPr>
                <w:noProof/>
              </w:rPr>
            </w:pPr>
            <w:r>
              <w:rPr>
                <w:noProof/>
              </w:rPr>
              <w:fldChar w:fldCharType="begin">
                <w:ffData>
                  <w:name w:val="Check2"/>
                  <w:enabled/>
                  <w:calcOnExit w:val="0"/>
                  <w:checkBox>
                    <w:sizeAuto/>
                    <w:default w:val="0"/>
                  </w:checkBox>
                </w:ffData>
              </w:fldChar>
            </w:r>
            <w:bookmarkStart w:id="1" w:name="Check2"/>
            <w:r>
              <w:rPr>
                <w:noProof/>
              </w:rPr>
              <w:instrText xml:space="preserve"> FORMCHECKBOX </w:instrText>
            </w:r>
            <w:r>
              <w:rPr>
                <w:noProof/>
              </w:rPr>
            </w:r>
            <w:r>
              <w:rPr>
                <w:noProof/>
              </w:rPr>
              <w:fldChar w:fldCharType="end"/>
            </w:r>
            <w:bookmarkEnd w:id="1"/>
          </w:p>
        </w:tc>
      </w:tr>
      <w:tr w:rsidR="0008530D" w:rsidRPr="00847946" w:rsidTr="0008530D">
        <w:tc>
          <w:tcPr>
            <w:tcW w:w="372" w:type="pct"/>
            <w:vAlign w:val="center"/>
          </w:tcPr>
          <w:p w:rsidR="0008530D" w:rsidRPr="00847946" w:rsidRDefault="0008530D" w:rsidP="00847946">
            <w:pPr>
              <w:pStyle w:val="AQText"/>
              <w:rPr>
                <w:noProof/>
              </w:rPr>
            </w:pPr>
          </w:p>
        </w:tc>
        <w:tc>
          <w:tcPr>
            <w:tcW w:w="4277" w:type="pct"/>
            <w:vAlign w:val="center"/>
          </w:tcPr>
          <w:p w:rsidR="0008530D" w:rsidRPr="00847946" w:rsidRDefault="0008530D" w:rsidP="00847946">
            <w:pPr>
              <w:pStyle w:val="AQText"/>
              <w:rPr>
                <w:noProof/>
              </w:rPr>
            </w:pPr>
            <w:r w:rsidRPr="00847946">
              <w:rPr>
                <w:noProof/>
              </w:rPr>
              <w:t>Please confirm you have reviewed this proof to your satisfaction and understand this is your final opportunity for review prior to publication.</w:t>
            </w:r>
          </w:p>
        </w:tc>
        <w:tc>
          <w:tcPr>
            <w:tcW w:w="351" w:type="pct"/>
          </w:tcPr>
          <w:p w:rsidR="0008530D" w:rsidRPr="00847946" w:rsidRDefault="0008530D" w:rsidP="0008530D">
            <w:pPr>
              <w:pStyle w:val="AQText"/>
              <w:jc w:val="center"/>
              <w:rPr>
                <w:noProof/>
              </w:rPr>
            </w:pPr>
            <w:r>
              <w:rPr>
                <w:noProof/>
              </w:rPr>
              <w:fldChar w:fldCharType="begin">
                <w:ffData>
                  <w:name w:val="Check3"/>
                  <w:enabled/>
                  <w:calcOnExit w:val="0"/>
                  <w:checkBox>
                    <w:sizeAuto/>
                    <w:default w:val="0"/>
                  </w:checkBox>
                </w:ffData>
              </w:fldChar>
            </w:r>
            <w:bookmarkStart w:id="2" w:name="Check3"/>
            <w:r>
              <w:rPr>
                <w:noProof/>
              </w:rPr>
              <w:instrText xml:space="preserve"> FORMCHECKBOX </w:instrText>
            </w:r>
            <w:r>
              <w:rPr>
                <w:noProof/>
              </w:rPr>
            </w:r>
            <w:r>
              <w:rPr>
                <w:noProof/>
              </w:rPr>
              <w:fldChar w:fldCharType="end"/>
            </w:r>
            <w:bookmarkEnd w:id="2"/>
          </w:p>
        </w:tc>
      </w:tr>
      <w:tr w:rsidR="0008530D" w:rsidRPr="00847946" w:rsidTr="0008530D">
        <w:tc>
          <w:tcPr>
            <w:tcW w:w="372" w:type="pct"/>
            <w:vAlign w:val="center"/>
          </w:tcPr>
          <w:p w:rsidR="0008530D" w:rsidRPr="00847946" w:rsidRDefault="0008530D" w:rsidP="00847946">
            <w:pPr>
              <w:pStyle w:val="AQText"/>
              <w:rPr>
                <w:noProof/>
              </w:rPr>
            </w:pPr>
          </w:p>
        </w:tc>
        <w:tc>
          <w:tcPr>
            <w:tcW w:w="4277" w:type="pct"/>
            <w:vAlign w:val="center"/>
          </w:tcPr>
          <w:p w:rsidR="0008530D" w:rsidRPr="00847946" w:rsidRDefault="0008530D" w:rsidP="00847946">
            <w:pPr>
              <w:pStyle w:val="AQText"/>
              <w:rPr>
                <w:noProof/>
              </w:rPr>
            </w:pPr>
            <w:r w:rsidRPr="00847946">
              <w:rPr>
                <w:noProof/>
              </w:rPr>
              <w:t>Please confirm that the Funding and Conflict of Interest statements are accurate.</w:t>
            </w:r>
          </w:p>
        </w:tc>
        <w:tc>
          <w:tcPr>
            <w:tcW w:w="351" w:type="pct"/>
          </w:tcPr>
          <w:p w:rsidR="0008530D" w:rsidRPr="00847946" w:rsidRDefault="0008530D" w:rsidP="0008530D">
            <w:pPr>
              <w:pStyle w:val="AQText"/>
              <w:jc w:val="center"/>
              <w:rPr>
                <w:noProof/>
              </w:rPr>
            </w:pPr>
            <w:r>
              <w:rPr>
                <w:noProof/>
              </w:rPr>
              <w:fldChar w:fldCharType="begin">
                <w:ffData>
                  <w:name w:val="Check4"/>
                  <w:enabled/>
                  <w:calcOnExit w:val="0"/>
                  <w:checkBox>
                    <w:sizeAuto/>
                    <w:default w:val="0"/>
                  </w:checkBox>
                </w:ffData>
              </w:fldChar>
            </w:r>
            <w:bookmarkStart w:id="3" w:name="Check4"/>
            <w:r>
              <w:rPr>
                <w:noProof/>
              </w:rPr>
              <w:instrText xml:space="preserve"> FORMCHECKBOX </w:instrText>
            </w:r>
            <w:r>
              <w:rPr>
                <w:noProof/>
              </w:rPr>
            </w:r>
            <w:r>
              <w:rPr>
                <w:noProof/>
              </w:rPr>
              <w:fldChar w:fldCharType="end"/>
            </w:r>
            <w:bookmarkEnd w:id="3"/>
          </w:p>
        </w:tc>
      </w:tr>
    </w:tbl>
    <w:p w:rsidR="00853C36" w:rsidRPr="00D82CEE" w:rsidRDefault="00853C36" w:rsidP="00D518A5">
      <w:pPr>
        <w:rPr>
          <w:noProof/>
        </w:rPr>
        <w:sectPr w:rsidR="00853C36" w:rsidRPr="00D82CEE" w:rsidSect="004D061A">
          <w:headerReference w:type="even" r:id="rId8"/>
          <w:headerReference w:type="default" r:id="rId9"/>
          <w:type w:val="oddPage"/>
          <w:pgSz w:w="11697" w:h="15661" w:code="166"/>
          <w:pgMar w:top="840" w:right="960" w:bottom="1200" w:left="1260" w:header="864" w:footer="1008" w:gutter="0"/>
          <w:cols w:space="240"/>
          <w:titlePg/>
          <w:docGrid w:linePitch="360"/>
        </w:sectPr>
      </w:pPr>
    </w:p>
    <w:p w:rsidR="00E26725" w:rsidRPr="00D82CEE" w:rsidRDefault="00332043" w:rsidP="004567F0">
      <w:pPr>
        <w:pStyle w:val="AT"/>
        <w:spacing w:after="600" w:line="240" w:lineRule="auto"/>
        <w:rPr>
          <w:noProof/>
          <w:color w:val="auto"/>
        </w:rPr>
      </w:pPr>
      <w:r>
        <w:rPr>
          <w:noProof/>
          <w:color w:val="auto"/>
        </w:rPr>
        <w:lastRenderedPageBreak/>
        <w:pict>
          <v:shapetype id="_x0000_t202" coordsize="21600,21600" o:spt="202" path="m,l,21600r21600,l21600,xe">
            <v:stroke joinstyle="miter"/>
            <v:path gradientshapeok="t" o:connecttype="rect"/>
          </v:shapetype>
          <v:shape id="Text Box 12" o:spid="_x0000_s1032" type="#_x0000_t202" style="position:absolute;margin-left:360.8pt;margin-top:-11.5pt;width:117.7pt;height:100.4pt;z-index:251659264;visibility:visible;mso-wrap-distance-left:19pt"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v:textbox style="mso-next-textbox:#Text Box 12" inset="0,,0">
              <w:txbxContent>
                <w:p w:rsidR="00867DC3" w:rsidRPr="00D82CEE" w:rsidRDefault="00867DC3" w:rsidP="00114C7D">
                  <w:pPr>
                    <w:pStyle w:val="imprint"/>
                  </w:pPr>
                  <w:r w:rsidRPr="00D82CEE">
                    <w:t>The Neuroscientist</w:t>
                  </w:r>
                </w:p>
                <w:p w:rsidR="00867DC3" w:rsidRPr="00D82CEE" w:rsidRDefault="00867DC3" w:rsidP="00114C7D">
                  <w:pPr>
                    <w:pStyle w:val="imprint"/>
                  </w:pPr>
                  <w:r w:rsidRPr="00D82CEE">
                    <w:t>1–</w:t>
                  </w:r>
                  <w:r w:rsidR="00C24A0E">
                    <w:t>9</w:t>
                  </w:r>
                </w:p>
                <w:p w:rsidR="00867DC3" w:rsidRPr="00D82CEE" w:rsidRDefault="00867DC3" w:rsidP="00114C7D">
                  <w:pPr>
                    <w:pStyle w:val="imprint"/>
                  </w:pPr>
                  <w:r w:rsidRPr="00D82CEE">
                    <w:t>© The Author(s) 2016</w:t>
                  </w:r>
                </w:p>
                <w:p w:rsidR="00867DC3" w:rsidRPr="00D82CEE" w:rsidRDefault="00867DC3" w:rsidP="00114C7D">
                  <w:pPr>
                    <w:pStyle w:val="imprint"/>
                  </w:pPr>
                  <w:r w:rsidRPr="00D82CEE">
                    <w:t>Reprints and permissions:</w:t>
                  </w:r>
                </w:p>
                <w:p w:rsidR="00867DC3" w:rsidRPr="00D82CEE" w:rsidRDefault="00867DC3" w:rsidP="00114C7D">
                  <w:pPr>
                    <w:pStyle w:val="imprint"/>
                  </w:pPr>
                  <w:r w:rsidRPr="00D82CEE">
                    <w:t>sagepub.com/journalsPermissions.nav</w:t>
                  </w:r>
                </w:p>
                <w:p w:rsidR="00867DC3" w:rsidRPr="00D82CEE" w:rsidRDefault="00867DC3" w:rsidP="00114C7D">
                  <w:pPr>
                    <w:pStyle w:val="imprint"/>
                  </w:pPr>
                  <w:r w:rsidRPr="00D82CEE">
                    <w:t>DOI: 10.1177/1073858416673327</w:t>
                  </w:r>
                </w:p>
                <w:p w:rsidR="00867DC3" w:rsidRPr="00D82CEE" w:rsidRDefault="00867DC3" w:rsidP="00114C7D">
                  <w:pPr>
                    <w:pStyle w:val="imprint"/>
                  </w:pPr>
                  <w:r w:rsidRPr="00D82CEE">
                    <w:t>nro.sagepub.com</w:t>
                  </w:r>
                </w:p>
                <w:p w:rsidR="00867DC3" w:rsidRPr="00D82CEE" w:rsidRDefault="00867DC3" w:rsidP="005E6B08">
                  <w:pPr>
                    <w:spacing w:after="0" w:line="240" w:lineRule="auto"/>
                    <w:ind w:left="-40" w:right="1860"/>
                    <w:jc w:val="right"/>
                    <w:rPr>
                      <w:rFonts w:ascii="Gill Sans" w:hAnsi="Gill Sans"/>
                      <w:sz w:val="14"/>
                      <w:szCs w:val="14"/>
                    </w:rPr>
                  </w:pPr>
                  <w:r w:rsidRPr="00D82CEE">
                    <w:rPr>
                      <w:rFonts w:ascii="Gill Sans" w:hAnsi="Gill Sans"/>
                      <w:noProof/>
                      <w:sz w:val="14"/>
                      <w:szCs w:val="14"/>
                    </w:rPr>
                    <w:drawing>
                      <wp:inline distT="0" distB="0" distL="0" distR="0">
                        <wp:extent cx="548640" cy="182880"/>
                        <wp:effectExtent l="19050" t="0" r="3810" b="0"/>
                        <wp:docPr id="2" name="Picture 36" descr="SAGE_NEW 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SAGE_NEW LOGO.tif"/>
                                <pic:cNvPicPr>
                                  <a:picLocks noChangeAspect="1" noChangeArrowheads="1"/>
                                </pic:cNvPicPr>
                              </pic:nvPicPr>
                              <pic:blipFill>
                                <a:blip r:embed="rId1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8640" cy="182880"/>
                                </a:xfrm>
                                <a:prstGeom prst="rect">
                                  <a:avLst/>
                                </a:prstGeom>
                                <a:noFill/>
                                <a:ln>
                                  <a:noFill/>
                                </a:ln>
                              </pic:spPr>
                            </pic:pic>
                          </a:graphicData>
                        </a:graphic>
                      </wp:inline>
                    </w:drawing>
                  </w:r>
                </w:p>
              </w:txbxContent>
            </v:textbox>
            <w10:wrap type="square"/>
          </v:shape>
        </w:pict>
      </w:r>
      <w:r>
        <w:rPr>
          <w:noProof/>
          <w:color w:val="auto"/>
        </w:rPr>
        <w:pict>
          <v:shape id="_x0000_s1028" type="#_x0000_t202" style="position:absolute;margin-left:246.3pt;margin-top:539pt;width:225.5pt;height:130.8pt;z-index:251658240;mso-position-vertical-relative:margin;mso-width-relative:margin;mso-height-relative:margin" stroked="f">
            <v:textbox style="mso-next-textbox:#_x0000_s1028" inset="0,12pt,0,0">
              <w:txbxContent>
                <w:p w:rsidR="00867DC3" w:rsidRPr="00D82CEE" w:rsidRDefault="00867DC3" w:rsidP="002B06D2">
                  <w:pPr>
                    <w:pStyle w:val="AF"/>
                    <w:spacing w:line="240" w:lineRule="auto"/>
                    <w:jc w:val="both"/>
                    <w:rPr>
                      <w:color w:val="auto"/>
                    </w:rPr>
                  </w:pPr>
                  <w:r w:rsidRPr="00D82CEE">
                    <w:rPr>
                      <w:color w:val="auto"/>
                      <w:vertAlign w:val="superscript"/>
                    </w:rPr>
                    <w:t>1</w:t>
                  </w:r>
                  <w:r w:rsidRPr="00D82CEE">
                    <w:rPr>
                      <w:color w:val="auto"/>
                    </w:rPr>
                    <w:t xml:space="preserve">Section of Vascular Surgery, Imperial College London, </w:t>
                  </w:r>
                  <w:r w:rsidRPr="00D82CEE">
                    <w:rPr>
                      <w:color w:val="auto"/>
                    </w:rPr>
                    <w:t>Charing Cross Hospital, London, UK</w:t>
                  </w:r>
                </w:p>
                <w:p w:rsidR="00867DC3" w:rsidRPr="00D82CEE" w:rsidRDefault="00867DC3" w:rsidP="002B06D2">
                  <w:pPr>
                    <w:pStyle w:val="AF"/>
                    <w:spacing w:line="240" w:lineRule="auto"/>
                    <w:jc w:val="both"/>
                    <w:rPr>
                      <w:color w:val="auto"/>
                    </w:rPr>
                  </w:pPr>
                  <w:r w:rsidRPr="00D82CEE">
                    <w:rPr>
                      <w:color w:val="auto"/>
                      <w:vertAlign w:val="superscript"/>
                    </w:rPr>
                    <w:t>2</w:t>
                  </w:r>
                  <w:r w:rsidRPr="00D82CEE">
                    <w:rPr>
                      <w:color w:val="auto"/>
                    </w:rPr>
                    <w:t>Computational &amp; Systems Medicine, Imperial College London, South Kensington Campus, London, UK</w:t>
                  </w:r>
                </w:p>
                <w:p w:rsidR="00867DC3" w:rsidRPr="00D82CEE" w:rsidRDefault="00867DC3" w:rsidP="002B06D2">
                  <w:pPr>
                    <w:pStyle w:val="AF"/>
                    <w:spacing w:line="240" w:lineRule="auto"/>
                    <w:jc w:val="both"/>
                    <w:rPr>
                      <w:color w:val="auto"/>
                    </w:rPr>
                  </w:pPr>
                  <w:r w:rsidRPr="00D82CEE">
                    <w:rPr>
                      <w:color w:val="auto"/>
                      <w:vertAlign w:val="superscript"/>
                    </w:rPr>
                    <w:t>3</w:t>
                  </w:r>
                  <w:r w:rsidRPr="00D82CEE">
                    <w:rPr>
                      <w:color w:val="auto"/>
                    </w:rPr>
                    <w:t>Department of Neurology, Imperial College Healthcare NHS Trust, Charing Cross Hospital, London, UK</w:t>
                  </w:r>
                </w:p>
                <w:p w:rsidR="00867DC3" w:rsidRPr="00D82CEE" w:rsidRDefault="00867DC3" w:rsidP="002B06D2">
                  <w:pPr>
                    <w:pStyle w:val="AF"/>
                    <w:spacing w:line="240" w:lineRule="auto"/>
                    <w:jc w:val="both"/>
                    <w:rPr>
                      <w:b/>
                      <w:color w:val="auto"/>
                    </w:rPr>
                  </w:pPr>
                </w:p>
                <w:p w:rsidR="00867DC3" w:rsidRPr="00D82CEE" w:rsidRDefault="00867DC3" w:rsidP="002B06D2">
                  <w:pPr>
                    <w:pStyle w:val="AF"/>
                    <w:spacing w:line="240" w:lineRule="auto"/>
                    <w:jc w:val="both"/>
                    <w:rPr>
                      <w:b/>
                      <w:color w:val="auto"/>
                    </w:rPr>
                  </w:pPr>
                  <w:r w:rsidRPr="00D82CEE">
                    <w:rPr>
                      <w:b/>
                      <w:color w:val="auto"/>
                    </w:rPr>
                    <w:t>Corresponding Author:</w:t>
                  </w:r>
                </w:p>
                <w:p w:rsidR="00867DC3" w:rsidRPr="00D82CEE" w:rsidRDefault="00867DC3" w:rsidP="002B06D2">
                  <w:pPr>
                    <w:pStyle w:val="AF"/>
                    <w:spacing w:line="240" w:lineRule="auto"/>
                    <w:jc w:val="both"/>
                    <w:rPr>
                      <w:color w:val="auto"/>
                    </w:rPr>
                  </w:pPr>
                  <w:r w:rsidRPr="00D82CEE">
                    <w:rPr>
                      <w:color w:val="auto"/>
                    </w:rPr>
                    <w:t>Alun H. Davies, Section of Vascular Surgery, Imperial College, 4 North, Charing Cross Hospital, Fulham Palace Road, London W6 8RF, UK.</w:t>
                  </w:r>
                </w:p>
                <w:p w:rsidR="00867DC3" w:rsidRPr="00D82CEE" w:rsidRDefault="00867DC3" w:rsidP="002B06D2">
                  <w:pPr>
                    <w:pStyle w:val="AF"/>
                    <w:spacing w:line="240" w:lineRule="auto"/>
                    <w:jc w:val="both"/>
                    <w:rPr>
                      <w:color w:val="auto"/>
                    </w:rPr>
                  </w:pPr>
                  <w:r w:rsidRPr="00D82CEE">
                    <w:rPr>
                      <w:color w:val="auto"/>
                    </w:rPr>
                    <w:t>Email: a.h.davies@imperial.ac.uk</w:t>
                  </w:r>
                </w:p>
              </w:txbxContent>
            </v:textbox>
            <w10:wrap type="topAndBottom" anchory="margin"/>
            <w10:anchorlock/>
          </v:shape>
        </w:pict>
      </w:r>
      <w:r w:rsidR="00D82CEE" w:rsidRPr="00D82CEE">
        <w:rPr>
          <w:noProof/>
          <w:color w:val="auto"/>
        </w:rPr>
        <w:t xml:space="preserve">Lessons from Metabonomics </w:t>
      </w:r>
      <w:r w:rsidR="00FD4A51">
        <w:rPr>
          <w:noProof/>
          <w:color w:val="auto"/>
        </w:rPr>
        <w:br/>
      </w:r>
      <w:r w:rsidR="00D82CEE" w:rsidRPr="00D82CEE">
        <w:rPr>
          <w:noProof/>
          <w:color w:val="auto"/>
        </w:rPr>
        <w:t>on the Neurobiology of Stroke</w:t>
      </w:r>
    </w:p>
    <w:p w:rsidR="00D82CEE" w:rsidRPr="00D82CEE" w:rsidRDefault="00D82CEE" w:rsidP="00081857">
      <w:pPr>
        <w:pStyle w:val="AU"/>
        <w:spacing w:line="240" w:lineRule="auto"/>
        <w:rPr>
          <w:noProof/>
          <w:color w:val="auto"/>
        </w:rPr>
      </w:pPr>
      <w:r w:rsidRPr="00D82CEE">
        <w:rPr>
          <w:noProof/>
          <w:color w:val="auto"/>
        </w:rPr>
        <w:t>Mahim I. Qureshi</w:t>
      </w:r>
      <w:r w:rsidRPr="00D82CEE">
        <w:rPr>
          <w:noProof/>
          <w:color w:val="auto"/>
          <w:vertAlign w:val="superscript"/>
        </w:rPr>
        <w:t>1,2</w:t>
      </w:r>
      <w:r w:rsidRPr="00D82CEE">
        <w:rPr>
          <w:noProof/>
          <w:color w:val="auto"/>
        </w:rPr>
        <w:t>, Panagiotis A. Vorkas</w:t>
      </w:r>
      <w:r w:rsidRPr="00D82CEE">
        <w:rPr>
          <w:noProof/>
          <w:color w:val="auto"/>
          <w:vertAlign w:val="superscript"/>
        </w:rPr>
        <w:t>2</w:t>
      </w:r>
      <w:r w:rsidRPr="00D82CEE">
        <w:rPr>
          <w:noProof/>
          <w:color w:val="auto"/>
        </w:rPr>
        <w:t xml:space="preserve">, </w:t>
      </w:r>
      <w:r w:rsidR="00F66F83">
        <w:rPr>
          <w:noProof/>
          <w:color w:val="auto"/>
        </w:rPr>
        <w:br/>
      </w:r>
      <w:r w:rsidRPr="00D82CEE">
        <w:rPr>
          <w:noProof/>
          <w:color w:val="auto"/>
        </w:rPr>
        <w:t>Alexander P. Coupland</w:t>
      </w:r>
      <w:r w:rsidRPr="00D82CEE">
        <w:rPr>
          <w:noProof/>
          <w:color w:val="auto"/>
          <w:vertAlign w:val="superscript"/>
        </w:rPr>
        <w:t>1</w:t>
      </w:r>
      <w:r w:rsidRPr="00D82CEE">
        <w:rPr>
          <w:noProof/>
          <w:color w:val="auto"/>
        </w:rPr>
        <w:t>, I. Harri Jenkins</w:t>
      </w:r>
      <w:r w:rsidRPr="00D82CEE">
        <w:rPr>
          <w:noProof/>
          <w:color w:val="auto"/>
          <w:vertAlign w:val="superscript"/>
        </w:rPr>
        <w:t>3</w:t>
      </w:r>
      <w:r w:rsidRPr="00D82CEE">
        <w:rPr>
          <w:noProof/>
          <w:color w:val="auto"/>
        </w:rPr>
        <w:t xml:space="preserve">, </w:t>
      </w:r>
      <w:r w:rsidR="00F66F83">
        <w:rPr>
          <w:noProof/>
          <w:color w:val="auto"/>
        </w:rPr>
        <w:br/>
      </w:r>
      <w:r w:rsidRPr="00D82CEE">
        <w:rPr>
          <w:noProof/>
          <w:color w:val="auto"/>
        </w:rPr>
        <w:t>Elaine Holmes</w:t>
      </w:r>
      <w:r w:rsidRPr="00D82CEE">
        <w:rPr>
          <w:noProof/>
          <w:color w:val="auto"/>
          <w:vertAlign w:val="superscript"/>
        </w:rPr>
        <w:t>2</w:t>
      </w:r>
      <w:r w:rsidRPr="00D82CEE">
        <w:rPr>
          <w:noProof/>
          <w:color w:val="auto"/>
        </w:rPr>
        <w:t>, and Alun H. Davies</w:t>
      </w:r>
      <w:r w:rsidRPr="00D82CEE">
        <w:rPr>
          <w:noProof/>
          <w:color w:val="auto"/>
          <w:vertAlign w:val="superscript"/>
        </w:rPr>
        <w:t>1</w:t>
      </w:r>
    </w:p>
    <w:p w:rsidR="00D82CEE" w:rsidRPr="00D82CEE" w:rsidRDefault="00D82CEE" w:rsidP="000201B5">
      <w:pPr>
        <w:pStyle w:val="ABKWH"/>
        <w:spacing w:before="600" w:line="240" w:lineRule="auto"/>
        <w:rPr>
          <w:noProof/>
          <w:color w:val="auto"/>
        </w:rPr>
      </w:pPr>
      <w:bookmarkStart w:id="4" w:name="WPHOME"/>
      <w:bookmarkStart w:id="5" w:name="_GoBack"/>
      <w:bookmarkStart w:id="6" w:name="RPSAF"/>
      <w:bookmarkEnd w:id="4"/>
      <w:bookmarkEnd w:id="5"/>
      <w:bookmarkEnd w:id="6"/>
      <w:r w:rsidRPr="00D82CEE">
        <w:rPr>
          <w:noProof/>
          <w:color w:val="auto"/>
        </w:rPr>
        <w:t>Abstract</w:t>
      </w:r>
    </w:p>
    <w:p w:rsidR="00D82CEE" w:rsidRPr="00D82CEE" w:rsidRDefault="00D82CEE" w:rsidP="00081857">
      <w:pPr>
        <w:pStyle w:val="ABKW"/>
        <w:spacing w:line="240" w:lineRule="auto"/>
        <w:rPr>
          <w:noProof/>
          <w:color w:val="auto"/>
        </w:rPr>
      </w:pPr>
      <w:r w:rsidRPr="00D82CEE">
        <w:rPr>
          <w:noProof/>
          <w:color w:val="auto"/>
        </w:rPr>
        <w:t xml:space="preserve">The application of metabonomic science to interrogate stroke permits the study of metabolite entities, small enough to cross the blood-brain barrier, that provide insight into neuronal dysfunction, and may serve as reservoirs of biomarker discovery. This systematic review examines the applicability of metabolic profiling in ischemic stroke research. Six human studies utilizing metabolic profiling to analyze biofluids from ischemic stroke patients have been included, employing </w:t>
      </w:r>
      <w:r w:rsidRPr="00D82CEE">
        <w:rPr>
          <w:noProof/>
          <w:color w:val="auto"/>
          <w:vertAlign w:val="superscript"/>
        </w:rPr>
        <w:t>1</w:t>
      </w:r>
      <w:r w:rsidRPr="00D82CEE">
        <w:rPr>
          <w:noProof/>
          <w:color w:val="auto"/>
        </w:rPr>
        <w:t>H-NMR and/or mass spectrometry to analyze plasma, serum, and/or urine in a targeted or untargeted fashion. Three are diagnostic studies, and one investigates prognostic biomarkers of stroke recurrence following transient ischemic attack. Two studies focus on metabolic distinguishers of depression or cognitive impairment following stroke. Identified biomarkers from blood and urine predominantly relate to homocysteine and folate, branched chain amino acid, and lipid metabolism. Statistical models are well fitted and reproducible, with excellent validation outcomes, demonstrating the feasibility of metabolic profiling to study a complex disorder with multicausal pathology, such as stroke.</w:t>
      </w:r>
    </w:p>
    <w:p w:rsidR="00D82CEE" w:rsidRPr="00D82CEE" w:rsidRDefault="00D82CEE" w:rsidP="004567F0">
      <w:pPr>
        <w:pStyle w:val="ABKWH"/>
        <w:spacing w:before="240" w:line="240" w:lineRule="auto"/>
        <w:rPr>
          <w:noProof/>
          <w:color w:val="auto"/>
        </w:rPr>
      </w:pPr>
      <w:r w:rsidRPr="00D82CEE">
        <w:rPr>
          <w:noProof/>
          <w:color w:val="auto"/>
        </w:rPr>
        <w:t>Keywords</w:t>
      </w:r>
    </w:p>
    <w:p w:rsidR="00D82CEE" w:rsidRDefault="00D82CEE" w:rsidP="00081857">
      <w:pPr>
        <w:pStyle w:val="ABKW"/>
        <w:spacing w:line="240" w:lineRule="auto"/>
        <w:rPr>
          <w:noProof/>
          <w:color w:val="auto"/>
        </w:rPr>
      </w:pPr>
      <w:r w:rsidRPr="00D82CEE">
        <w:rPr>
          <w:noProof/>
          <w:color w:val="auto"/>
        </w:rPr>
        <w:t>stroke, metabonomics, metabolomics, metabolic profiling, biomarker</w:t>
      </w:r>
    </w:p>
    <w:p w:rsidR="00284478" w:rsidRPr="00D82CEE" w:rsidRDefault="00284478" w:rsidP="00081857">
      <w:pPr>
        <w:pStyle w:val="ABKW"/>
        <w:spacing w:line="240" w:lineRule="auto"/>
        <w:rPr>
          <w:noProof/>
          <w:color w:val="auto"/>
        </w:rPr>
      </w:pPr>
    </w:p>
    <w:p w:rsidR="00284478" w:rsidRDefault="00284478" w:rsidP="00081857">
      <w:pPr>
        <w:pStyle w:val="H1"/>
        <w:spacing w:line="240" w:lineRule="auto"/>
        <w:rPr>
          <w:noProof/>
          <w:color w:val="auto"/>
        </w:rPr>
        <w:sectPr w:rsidR="00284478" w:rsidSect="00284478">
          <w:headerReference w:type="even" r:id="rId11"/>
          <w:headerReference w:type="default" r:id="rId12"/>
          <w:headerReference w:type="first" r:id="rId13"/>
          <w:type w:val="oddPage"/>
          <w:pgSz w:w="11697" w:h="15661" w:code="166"/>
          <w:pgMar w:top="840" w:right="960" w:bottom="960" w:left="1260" w:header="680" w:footer="960" w:gutter="0"/>
          <w:pgNumType w:start="1"/>
          <w:cols w:space="360"/>
          <w:titlePg/>
          <w:docGrid w:linePitch="360"/>
        </w:sectPr>
      </w:pPr>
    </w:p>
    <w:p w:rsidR="00D82CEE" w:rsidRPr="00D82CEE" w:rsidRDefault="00D82CEE" w:rsidP="006034C1">
      <w:pPr>
        <w:pStyle w:val="H1"/>
        <w:spacing w:before="0" w:line="240" w:lineRule="auto"/>
        <w:rPr>
          <w:noProof/>
          <w:color w:val="auto"/>
        </w:rPr>
      </w:pPr>
      <w:r w:rsidRPr="00D82CEE">
        <w:rPr>
          <w:noProof/>
          <w:color w:val="auto"/>
        </w:rPr>
        <w:lastRenderedPageBreak/>
        <w:t>Introduction</w:t>
      </w:r>
    </w:p>
    <w:p w:rsidR="00D82CEE" w:rsidRPr="00D82CEE" w:rsidRDefault="00D82CEE" w:rsidP="00081857">
      <w:pPr>
        <w:pStyle w:val="TEXT"/>
        <w:spacing w:line="240" w:lineRule="auto"/>
        <w:rPr>
          <w:noProof/>
          <w:color w:val="auto"/>
        </w:rPr>
      </w:pPr>
      <w:r w:rsidRPr="00D82CEE">
        <w:rPr>
          <w:noProof/>
          <w:color w:val="auto"/>
        </w:rPr>
        <w:t>Stroke is a leading cause of death and disability worldwide (Donnan and others 2008). Optimizing the management of stroke patients in the hyperacute setting carries the potential to significantly improve clinical outcomes. Despite the technological advancement of modern medicine, the diagnosis of acute stroke remains a challenging entity, subject to the expertise of the attending health care provider and the diagnostic resources available (Morgenstern and others 2004). Computed tomography is only 30% sensitive in the diagnosis of acute cerebral ischemia. Diffusion-weighted magnetic resonance imaging may confer greater sensitivity; however, it is time consuming, costly, of limited availability, and may not be feasible depending on the patient’s circumstances. There remains a clinical need to develop an objective test to confer rapid and accurate diagnostic discrimination of stroke to enable the provision of rapid therapy and better direct further investigation.</w:t>
      </w:r>
    </w:p>
    <w:p w:rsidR="00D82CEE" w:rsidRPr="00D82CEE" w:rsidRDefault="00D82CEE" w:rsidP="00081857">
      <w:pPr>
        <w:pStyle w:val="H2"/>
        <w:spacing w:line="240" w:lineRule="auto"/>
        <w:rPr>
          <w:noProof/>
          <w:color w:val="auto"/>
        </w:rPr>
      </w:pPr>
      <w:r w:rsidRPr="00D82CEE">
        <w:rPr>
          <w:noProof/>
          <w:color w:val="auto"/>
        </w:rPr>
        <w:t>Biomarkers of Stroke</w:t>
      </w:r>
    </w:p>
    <w:p w:rsidR="00D82CEE" w:rsidRPr="00D82CEE" w:rsidRDefault="00D82CEE" w:rsidP="00081857">
      <w:pPr>
        <w:pStyle w:val="TEXT"/>
        <w:spacing w:line="240" w:lineRule="auto"/>
        <w:rPr>
          <w:noProof/>
          <w:color w:val="auto"/>
        </w:rPr>
      </w:pPr>
      <w:r w:rsidRPr="00D82CEE">
        <w:rPr>
          <w:noProof/>
          <w:color w:val="auto"/>
        </w:rPr>
        <w:t xml:space="preserve">In the context of acute stroke, the ideal biomarker would permit accurate, rapid objective diagnosis of stroke, differentiate between hemorrhagic and ischemic stroke, and indicate short-term prognosis to dictate immediate management. A vast number of potential biomarkers of </w:t>
      </w:r>
      <w:r w:rsidRPr="00D82CEE">
        <w:rPr>
          <w:noProof/>
          <w:color w:val="auto"/>
        </w:rPr>
        <w:lastRenderedPageBreak/>
        <w:t>stroke have been investigated, but none have been incorporated into routine clinical practice (Whiteley and others 2008). Stroke is a heterogeneous condition afflicting a globally varied population and encompassing a wide array of causalities that include thrombosis, embolism, and hemorrhage. Thus, using a combination of biomarkers may be more feasible when the underlying pathology is so variable (Laskowitz and others 2009; Montaner and others 2008).</w:t>
      </w:r>
    </w:p>
    <w:p w:rsidR="00D82CEE" w:rsidRPr="00D82CEE" w:rsidRDefault="00D82CEE" w:rsidP="00081857">
      <w:pPr>
        <w:pStyle w:val="TEXTIND"/>
        <w:spacing w:line="240" w:lineRule="auto"/>
        <w:rPr>
          <w:noProof/>
          <w:color w:val="auto"/>
        </w:rPr>
      </w:pPr>
      <w:r w:rsidRPr="00D82CEE">
        <w:rPr>
          <w:noProof/>
          <w:color w:val="auto"/>
        </w:rPr>
        <w:t>Encasing this complexity is the impermeability of the blood-brain barrier, the disruption of which in the context of stroke is nonuniform and dependent on manifold factors that include the type and magnitude of stroke. This imposes a delay in the ability of neuronal and glial proteins to reach the peripheral circulation. More generalized markers may also be released in a variety of stroke mimic conditions, thus failing in specificity (Saenger and Christenson 2010).</w:t>
      </w:r>
    </w:p>
    <w:p w:rsidR="00D82CEE" w:rsidRPr="00D82CEE" w:rsidRDefault="00D82CEE" w:rsidP="00081857">
      <w:pPr>
        <w:pStyle w:val="H2"/>
        <w:spacing w:line="240" w:lineRule="auto"/>
        <w:rPr>
          <w:noProof/>
          <w:color w:val="auto"/>
        </w:rPr>
      </w:pPr>
      <w:r w:rsidRPr="00D82CEE">
        <w:rPr>
          <w:noProof/>
          <w:color w:val="auto"/>
        </w:rPr>
        <w:lastRenderedPageBreak/>
        <w:t>Systems Biology and Metabolic Phenotyping</w:t>
      </w:r>
    </w:p>
    <w:p w:rsidR="00D82CEE" w:rsidRPr="00D16C6D" w:rsidRDefault="00D82CEE" w:rsidP="00081857">
      <w:pPr>
        <w:pStyle w:val="TEXT"/>
        <w:spacing w:line="240" w:lineRule="auto"/>
        <w:rPr>
          <w:noProof/>
          <w:color w:val="auto"/>
          <w:spacing w:val="2"/>
        </w:rPr>
      </w:pPr>
      <w:r w:rsidRPr="00D16C6D">
        <w:rPr>
          <w:noProof/>
          <w:color w:val="auto"/>
          <w:spacing w:val="2"/>
        </w:rPr>
        <w:t>Systems biology describes a holistic and integrative approach to cognizing a physiological or pathological state by assessing the “net” biological effect imparted by the incumbent condition (Shalhoub and others 2014)—whether health, disease, or intervention. It is a hierarchical science, the tiers of which represent organizational levels including DNA (genomics), RNA (transcriptomics), proteins (proteomics) through to metabolites representing endpoints of metabolism (metabonomics). Statistical relationships between gene expression and protein levels can be weak and inconsistent, and indicative only of pathophysiological potential rather than phenotype. Mechanistic elucidation of one organizational level does not confer a systematic understanding of the next level, as it does not take account of feedback mechanisms or “external” influences (e.g., drugs, environment, context) (Shalhoub and others 2014). In short, proteomics and genomics in the majority of diseases do not provide tangible endpoints for diagnostic biomarkers (Lindon and others 2003).</w:t>
      </w:r>
    </w:p>
    <w:p w:rsidR="00D82CEE" w:rsidRPr="00727E07" w:rsidRDefault="00D82CEE" w:rsidP="00081857">
      <w:pPr>
        <w:pStyle w:val="TEXTIND"/>
        <w:spacing w:line="240" w:lineRule="auto"/>
        <w:rPr>
          <w:noProof/>
          <w:color w:val="auto"/>
          <w:spacing w:val="-2"/>
        </w:rPr>
      </w:pPr>
      <w:r w:rsidRPr="00727E07">
        <w:rPr>
          <w:noProof/>
          <w:color w:val="auto"/>
          <w:spacing w:val="-2"/>
        </w:rPr>
        <w:t>Metabonomics is defined as the quantitative measurement of the time-related multiparametric metabolic response of living systems to pathophysiological stimuli or genetic modification (Nicholson and others 1999). It is used synonymously with metabolomics or metabolic profiling and attempts to elucidate physiological or pathological pathways by rapid and comprehensive analysis of metabolic products, or metabolites, in biological specimens (Lindon and others 2003). Utilizing spectroscopic techniques—mass spectrometry (MS), usually coupled to some type of chromatographic separation (Fig. 1), and nuclear magnetic resonance (NMR) spectroscopy (Fig. 2)—metabonomics can quantify metabolites present in minute (femto- or picomolar) concentrations in biological samples. The advantages and disadvantages of each technique are summarized in Figure 3. Metabolites are small molecules (typically &lt;1 kDa) that can cross the blood-brain barrier more readily than proteins, and they are inherently more stable than RNA or DNA. Unlike genomic, transcriptomic, or proteomic substrates that are chemically uniform, metabolites comprise a vast range of chemically distinct entities: salts, acids, bases, lipids, and so on (Issaq and others 2008). Metabonomics can within the same analysis provide a signature of biomarkers of variable nature. Coupled with the inherent link between metabolic disturbance and brain ischemic injury (Lipton 1999), metabonomics offers a distinct diagnostic advantage in the context of acute stroke diagnostics over proteomics or transcriptomics. It is a prime example of translational research where meaningful outcomes are reliant on close collaboration between clinicians and scientists (Fig. 4).</w:t>
      </w:r>
    </w:p>
    <w:p w:rsidR="00CC7EB8" w:rsidRDefault="00CC7EB8" w:rsidP="00CC7EB8">
      <w:pPr>
        <w:pStyle w:val="CL"/>
        <w:spacing w:before="0" w:after="0"/>
        <w:rPr>
          <w:noProof/>
        </w:rPr>
      </w:pPr>
      <w:r>
        <w:rPr>
          <w:noProof/>
        </w:rPr>
        <w:drawing>
          <wp:inline distT="0" distB="0" distL="0" distR="0">
            <wp:extent cx="2894330" cy="1951120"/>
            <wp:effectExtent l="19050" t="0" r="1270" b="0"/>
            <wp:docPr id="1" name="Picture 1" descr="J:\NRO\NRO673327\FIG\ONLINE\CF\10.1177_1073858416673327-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NRO\NRO673327\FIG\ONLINE\CF\10.1177_1073858416673327-fig1.png"/>
                    <pic:cNvPicPr>
                      <a:picLocks noChangeAspect="1" noChangeArrowheads="1"/>
                    </pic:cNvPicPr>
                  </pic:nvPicPr>
                  <pic:blipFill>
                    <a:blip r:embed="rId14" cstate="print"/>
                    <a:srcRect/>
                    <a:stretch>
                      <a:fillRect/>
                    </a:stretch>
                  </pic:blipFill>
                  <pic:spPr bwMode="auto">
                    <a:xfrm>
                      <a:off x="0" y="0"/>
                      <a:ext cx="2894330" cy="1951120"/>
                    </a:xfrm>
                    <a:prstGeom prst="rect">
                      <a:avLst/>
                    </a:prstGeom>
                    <a:noFill/>
                    <a:ln w="9525">
                      <a:noFill/>
                      <a:miter lim="800000"/>
                      <a:headEnd/>
                      <a:tailEnd/>
                    </a:ln>
                  </pic:spPr>
                </pic:pic>
              </a:graphicData>
            </a:graphic>
          </wp:inline>
        </w:drawing>
      </w:r>
    </w:p>
    <w:p w:rsidR="00D82CEE" w:rsidRDefault="00D82CEE" w:rsidP="00CC7EB8">
      <w:pPr>
        <w:pStyle w:val="CPB"/>
        <w:spacing w:before="120" w:after="0" w:line="240" w:lineRule="auto"/>
        <w:rPr>
          <w:noProof/>
          <w:color w:val="auto"/>
        </w:rPr>
      </w:pPr>
      <w:r w:rsidRPr="007C266E">
        <w:rPr>
          <w:b/>
          <w:noProof/>
          <w:color w:val="auto"/>
        </w:rPr>
        <w:t>Figure 1.</w:t>
      </w:r>
      <w:r w:rsidR="007C266E" w:rsidRPr="007C266E">
        <w:rPr>
          <w:b/>
          <w:noProof/>
          <w:color w:val="auto"/>
        </w:rPr>
        <w:t xml:space="preserve"> </w:t>
      </w:r>
      <w:r w:rsidRPr="00D82CEE">
        <w:rPr>
          <w:noProof/>
          <w:color w:val="auto"/>
        </w:rPr>
        <w:t>Schematic demonstrating the process of mass spectrometry in metabonomics.</w:t>
      </w:r>
    </w:p>
    <w:p w:rsidR="00094C55" w:rsidRPr="00D82CEE" w:rsidRDefault="00094C55" w:rsidP="00094C55">
      <w:pPr>
        <w:pStyle w:val="TEXT"/>
        <w:rPr>
          <w:noProof/>
        </w:rPr>
      </w:pPr>
    </w:p>
    <w:p w:rsidR="00CC7EB8" w:rsidRDefault="00094C55" w:rsidP="00210CB1">
      <w:pPr>
        <w:pStyle w:val="CL"/>
        <w:spacing w:after="0"/>
        <w:rPr>
          <w:noProof/>
        </w:rPr>
      </w:pPr>
      <w:r>
        <w:rPr>
          <w:noProof/>
        </w:rPr>
        <w:drawing>
          <wp:inline distT="0" distB="0" distL="0" distR="0">
            <wp:extent cx="2894330" cy="2129359"/>
            <wp:effectExtent l="19050" t="0" r="1270" b="0"/>
            <wp:docPr id="3" name="Picture 2" descr="J:\NRO\NRO673327\FIG\ONLINE\CF\10.1177_1073858416673327-fig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NRO\NRO673327\FIG\ONLINE\CF\10.1177_1073858416673327-fig2.png"/>
                    <pic:cNvPicPr>
                      <a:picLocks noChangeAspect="1" noChangeArrowheads="1"/>
                    </pic:cNvPicPr>
                  </pic:nvPicPr>
                  <pic:blipFill>
                    <a:blip r:embed="rId15" cstate="print"/>
                    <a:srcRect/>
                    <a:stretch>
                      <a:fillRect/>
                    </a:stretch>
                  </pic:blipFill>
                  <pic:spPr bwMode="auto">
                    <a:xfrm>
                      <a:off x="0" y="0"/>
                      <a:ext cx="2894330" cy="2129359"/>
                    </a:xfrm>
                    <a:prstGeom prst="rect">
                      <a:avLst/>
                    </a:prstGeom>
                    <a:noFill/>
                    <a:ln w="9525">
                      <a:noFill/>
                      <a:miter lim="800000"/>
                      <a:headEnd/>
                      <a:tailEnd/>
                    </a:ln>
                  </pic:spPr>
                </pic:pic>
              </a:graphicData>
            </a:graphic>
          </wp:inline>
        </w:drawing>
      </w:r>
    </w:p>
    <w:p w:rsidR="00D82CEE" w:rsidRDefault="00D82CEE" w:rsidP="00E40EB6">
      <w:pPr>
        <w:pStyle w:val="CPB"/>
        <w:spacing w:before="120" w:after="0" w:line="240" w:lineRule="auto"/>
        <w:rPr>
          <w:noProof/>
          <w:color w:val="auto"/>
        </w:rPr>
      </w:pPr>
      <w:r w:rsidRPr="001A7CE4">
        <w:rPr>
          <w:b/>
          <w:noProof/>
          <w:color w:val="auto"/>
        </w:rPr>
        <w:t>Figure 2.</w:t>
      </w:r>
      <w:r w:rsidR="001A7CE4" w:rsidRPr="001A7CE4">
        <w:rPr>
          <w:b/>
          <w:noProof/>
          <w:color w:val="auto"/>
        </w:rPr>
        <w:t xml:space="preserve"> </w:t>
      </w:r>
      <w:r w:rsidRPr="00D82CEE">
        <w:rPr>
          <w:noProof/>
          <w:color w:val="auto"/>
        </w:rPr>
        <w:t>Nuclear magnetic resonance spectroscopy.</w:t>
      </w:r>
    </w:p>
    <w:p w:rsidR="00D571CA" w:rsidRPr="00D82CEE" w:rsidRDefault="00D571CA" w:rsidP="00D571CA">
      <w:pPr>
        <w:pStyle w:val="TEXT"/>
        <w:rPr>
          <w:noProof/>
        </w:rPr>
      </w:pPr>
    </w:p>
    <w:p w:rsidR="00CC7EB8" w:rsidRDefault="00C016BD" w:rsidP="00210CB1">
      <w:pPr>
        <w:pStyle w:val="CL"/>
        <w:spacing w:after="0"/>
        <w:rPr>
          <w:noProof/>
        </w:rPr>
      </w:pPr>
      <w:r>
        <w:rPr>
          <w:noProof/>
        </w:rPr>
        <w:drawing>
          <wp:inline distT="0" distB="0" distL="0" distR="0">
            <wp:extent cx="2894330" cy="2028505"/>
            <wp:effectExtent l="19050" t="0" r="1270" b="0"/>
            <wp:docPr id="4" name="Picture 3" descr="J:\NRO\NRO673327\FIG\ONLINE\CF\10.1177_1073858416673327-fi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NRO\NRO673327\FIG\ONLINE\CF\10.1177_1073858416673327-fig3.png"/>
                    <pic:cNvPicPr>
                      <a:picLocks noChangeAspect="1" noChangeArrowheads="1"/>
                    </pic:cNvPicPr>
                  </pic:nvPicPr>
                  <pic:blipFill>
                    <a:blip r:embed="rId16" cstate="print"/>
                    <a:srcRect/>
                    <a:stretch>
                      <a:fillRect/>
                    </a:stretch>
                  </pic:blipFill>
                  <pic:spPr bwMode="auto">
                    <a:xfrm>
                      <a:off x="0" y="0"/>
                      <a:ext cx="2894330" cy="2028505"/>
                    </a:xfrm>
                    <a:prstGeom prst="rect">
                      <a:avLst/>
                    </a:prstGeom>
                    <a:noFill/>
                    <a:ln w="9525">
                      <a:noFill/>
                      <a:miter lim="800000"/>
                      <a:headEnd/>
                      <a:tailEnd/>
                    </a:ln>
                  </pic:spPr>
                </pic:pic>
              </a:graphicData>
            </a:graphic>
          </wp:inline>
        </w:drawing>
      </w:r>
    </w:p>
    <w:p w:rsidR="00D82CEE" w:rsidRDefault="00D82CEE" w:rsidP="00D121D1">
      <w:pPr>
        <w:pStyle w:val="CPB"/>
        <w:spacing w:line="240" w:lineRule="auto"/>
        <w:rPr>
          <w:noProof/>
          <w:color w:val="auto"/>
        </w:rPr>
      </w:pPr>
      <w:r w:rsidRPr="00D121D1">
        <w:rPr>
          <w:b/>
          <w:noProof/>
          <w:color w:val="auto"/>
        </w:rPr>
        <w:t>Figure 3.</w:t>
      </w:r>
      <w:r w:rsidR="00D121D1" w:rsidRPr="00D121D1">
        <w:rPr>
          <w:b/>
          <w:noProof/>
          <w:color w:val="auto"/>
        </w:rPr>
        <w:t xml:space="preserve"> </w:t>
      </w:r>
      <w:r w:rsidRPr="00D82CEE">
        <w:rPr>
          <w:noProof/>
          <w:color w:val="auto"/>
        </w:rPr>
        <w:t>The advantages and disadvantages of mass spectrometry and nuclear magnetic resonance spectroscopy.</w:t>
      </w:r>
    </w:p>
    <w:p w:rsidR="00210CB1" w:rsidRPr="00D82CEE" w:rsidRDefault="00210CB1" w:rsidP="00D121D1">
      <w:pPr>
        <w:pStyle w:val="CPB"/>
        <w:spacing w:line="240" w:lineRule="auto"/>
        <w:rPr>
          <w:noProof/>
          <w:color w:val="auto"/>
        </w:rPr>
      </w:pPr>
    </w:p>
    <w:p w:rsidR="00CC7EB8" w:rsidRDefault="00210CB1" w:rsidP="00210CB1">
      <w:pPr>
        <w:pStyle w:val="CL"/>
        <w:spacing w:before="0" w:after="0"/>
        <w:rPr>
          <w:noProof/>
        </w:rPr>
      </w:pPr>
      <w:r>
        <w:rPr>
          <w:noProof/>
        </w:rPr>
        <w:drawing>
          <wp:inline distT="0" distB="0" distL="0" distR="0">
            <wp:extent cx="2658630" cy="2707574"/>
            <wp:effectExtent l="19050" t="0" r="8370" b="0"/>
            <wp:docPr id="5" name="Picture 4" descr="J:\NRO\NRO673327\FIG\ONLINE\CF\10.1177_1073858416673327-fig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J:\NRO\NRO673327\FIG\ONLINE\CF\10.1177_1073858416673327-fig4.png"/>
                    <pic:cNvPicPr>
                      <a:picLocks noChangeAspect="1" noChangeArrowheads="1"/>
                    </pic:cNvPicPr>
                  </pic:nvPicPr>
                  <pic:blipFill>
                    <a:blip r:embed="rId17" cstate="print"/>
                    <a:srcRect/>
                    <a:stretch>
                      <a:fillRect/>
                    </a:stretch>
                  </pic:blipFill>
                  <pic:spPr bwMode="auto">
                    <a:xfrm>
                      <a:off x="0" y="0"/>
                      <a:ext cx="2660915" cy="2709901"/>
                    </a:xfrm>
                    <a:prstGeom prst="rect">
                      <a:avLst/>
                    </a:prstGeom>
                    <a:noFill/>
                    <a:ln w="9525">
                      <a:noFill/>
                      <a:miter lim="800000"/>
                      <a:headEnd/>
                      <a:tailEnd/>
                    </a:ln>
                  </pic:spPr>
                </pic:pic>
              </a:graphicData>
            </a:graphic>
          </wp:inline>
        </w:drawing>
      </w:r>
    </w:p>
    <w:p w:rsidR="00D82CEE" w:rsidRPr="00D82CEE" w:rsidRDefault="00D82CEE" w:rsidP="00210CB1">
      <w:pPr>
        <w:pStyle w:val="CPB"/>
        <w:spacing w:before="120" w:after="0" w:line="240" w:lineRule="auto"/>
        <w:rPr>
          <w:noProof/>
          <w:color w:val="auto"/>
        </w:rPr>
      </w:pPr>
      <w:r w:rsidRPr="0045121A">
        <w:rPr>
          <w:b/>
          <w:noProof/>
          <w:color w:val="auto"/>
        </w:rPr>
        <w:t>Figure 4.</w:t>
      </w:r>
      <w:r w:rsidR="0045121A" w:rsidRPr="0045121A">
        <w:rPr>
          <w:b/>
          <w:noProof/>
          <w:color w:val="auto"/>
        </w:rPr>
        <w:t xml:space="preserve"> </w:t>
      </w:r>
      <w:r w:rsidRPr="00D82CEE">
        <w:rPr>
          <w:noProof/>
          <w:color w:val="auto"/>
        </w:rPr>
        <w:t>An example of the relative input of clinicians and scientists to produce meaningful outcomes in metabonomic studies.</w:t>
      </w:r>
    </w:p>
    <w:p w:rsidR="00D82CEE" w:rsidRPr="00D82CEE" w:rsidRDefault="00D82CEE" w:rsidP="00081857">
      <w:pPr>
        <w:pStyle w:val="H2"/>
        <w:spacing w:line="240" w:lineRule="auto"/>
        <w:rPr>
          <w:noProof/>
          <w:color w:val="auto"/>
        </w:rPr>
      </w:pPr>
      <w:r w:rsidRPr="00D82CEE">
        <w:rPr>
          <w:noProof/>
          <w:color w:val="auto"/>
        </w:rPr>
        <w:t>Metabonomics and Stroke</w:t>
      </w:r>
    </w:p>
    <w:p w:rsidR="00D82CEE" w:rsidRPr="00E64279" w:rsidRDefault="00D82CEE" w:rsidP="00081857">
      <w:pPr>
        <w:pStyle w:val="TEXT"/>
        <w:spacing w:line="240" w:lineRule="auto"/>
        <w:rPr>
          <w:noProof/>
          <w:color w:val="auto"/>
          <w:spacing w:val="-4"/>
        </w:rPr>
      </w:pPr>
      <w:r w:rsidRPr="00E64279">
        <w:rPr>
          <w:noProof/>
          <w:color w:val="auto"/>
          <w:spacing w:val="-4"/>
        </w:rPr>
        <w:t>The application of spectroscopic techniques to study the dynamic variation of neurological metabolites is demonstrated by early studies applying high-pressure liquid chromatography coupled with MS to quantify, for example, adenosine (Melani and others 1999) and hypoxantine (Hillered and others 1991) in rat stratium extracellular fluid. Due to the limited focus of these studies and absence of a systems biology outlook, they cannot be considered metabonomics, but demonstrate the utility of spectroscopic approaches in studying metabolic molecules.</w:t>
      </w:r>
    </w:p>
    <w:p w:rsidR="00D82CEE" w:rsidRPr="00571B75" w:rsidRDefault="00D82CEE" w:rsidP="00081857">
      <w:pPr>
        <w:pStyle w:val="TEXTIND"/>
        <w:spacing w:line="240" w:lineRule="auto"/>
        <w:rPr>
          <w:noProof/>
          <w:color w:val="auto"/>
          <w:spacing w:val="-2"/>
        </w:rPr>
      </w:pPr>
      <w:r w:rsidRPr="00571B75">
        <w:rPr>
          <w:noProof/>
          <w:color w:val="auto"/>
          <w:spacing w:val="-2"/>
        </w:rPr>
        <w:t>There has been a substantial increase in published studies evaluating neurobiological metabonomics in recent years. The extension of metabolic profiling to stroke research is a valid and necessary extension. Metabonomic animal studies of stroke have demonstrated biologically plausible derangement of metabolites in the context of cerebral ischemia (Gao and others 2013; Irie and others 2014; Wang and others 2014; Yang and others 2012; Zhu and others 2015). Human studies are subject to greater genetic variation (which may in turn influence metabolic profile) as well as the presence of metabolic confounders such as drugs, diet, and comorbidity. This review examines the metabolic perturbations in ischemic stroke by summarizing existing human metabonomic studies in this field.</w:t>
      </w:r>
    </w:p>
    <w:p w:rsidR="00D82CEE" w:rsidRPr="00D82CEE" w:rsidRDefault="00D82CEE" w:rsidP="00081857">
      <w:pPr>
        <w:pStyle w:val="H1"/>
        <w:spacing w:line="240" w:lineRule="auto"/>
        <w:rPr>
          <w:noProof/>
          <w:color w:val="auto"/>
        </w:rPr>
      </w:pPr>
      <w:r w:rsidRPr="00D82CEE">
        <w:rPr>
          <w:noProof/>
          <w:color w:val="auto"/>
        </w:rPr>
        <w:t>Methods</w:t>
      </w:r>
    </w:p>
    <w:p w:rsidR="00831CEE" w:rsidRDefault="00D82CEE" w:rsidP="00081857">
      <w:pPr>
        <w:pStyle w:val="TEXT"/>
        <w:spacing w:line="240" w:lineRule="auto"/>
        <w:rPr>
          <w:noProof/>
          <w:color w:val="auto"/>
          <w:spacing w:val="-2"/>
        </w:rPr>
      </w:pPr>
      <w:r w:rsidRPr="004404EE">
        <w:rPr>
          <w:noProof/>
          <w:color w:val="auto"/>
          <w:spacing w:val="-2"/>
        </w:rPr>
        <w:t xml:space="preserve">A systematic review adhering to the principles of Preferred Reporting Items for Systematic Review and Meta-Analyses (PRISMA) was performed. Medline and </w:t>
      </w:r>
      <w:r w:rsidR="00831CEE">
        <w:rPr>
          <w:noProof/>
          <w:color w:val="auto"/>
          <w:spacing w:val="-2"/>
        </w:rPr>
        <w:br w:type="textWrapping" w:clear="all"/>
      </w:r>
    </w:p>
    <w:p w:rsidR="00831CEE" w:rsidRDefault="00831CEE" w:rsidP="00831CEE">
      <w:pPr>
        <w:pStyle w:val="CL"/>
        <w:spacing w:before="0" w:after="0"/>
        <w:rPr>
          <w:noProof/>
        </w:rPr>
      </w:pPr>
      <w:r>
        <w:rPr>
          <w:noProof/>
        </w:rPr>
        <w:drawing>
          <wp:inline distT="0" distB="0" distL="0" distR="0">
            <wp:extent cx="2819914" cy="3170712"/>
            <wp:effectExtent l="19050" t="0" r="0" b="0"/>
            <wp:docPr id="6" name="Picture 5" descr="J:\NRO\NRO673327\FIG\ONLINE\CF\10.1177_1073858416673327-fig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NRO\NRO673327\FIG\ONLINE\CF\10.1177_1073858416673327-fig5.png"/>
                    <pic:cNvPicPr>
                      <a:picLocks noChangeAspect="1" noChangeArrowheads="1"/>
                    </pic:cNvPicPr>
                  </pic:nvPicPr>
                  <pic:blipFill>
                    <a:blip r:embed="rId18" cstate="print"/>
                    <a:srcRect/>
                    <a:stretch>
                      <a:fillRect/>
                    </a:stretch>
                  </pic:blipFill>
                  <pic:spPr bwMode="auto">
                    <a:xfrm>
                      <a:off x="0" y="0"/>
                      <a:ext cx="2820386" cy="3171243"/>
                    </a:xfrm>
                    <a:prstGeom prst="rect">
                      <a:avLst/>
                    </a:prstGeom>
                    <a:noFill/>
                    <a:ln w="9525">
                      <a:noFill/>
                      <a:miter lim="800000"/>
                      <a:headEnd/>
                      <a:tailEnd/>
                    </a:ln>
                  </pic:spPr>
                </pic:pic>
              </a:graphicData>
            </a:graphic>
          </wp:inline>
        </w:drawing>
      </w:r>
    </w:p>
    <w:p w:rsidR="00831CEE" w:rsidRPr="00D82CEE" w:rsidRDefault="00831CEE" w:rsidP="00831CEE">
      <w:pPr>
        <w:pStyle w:val="CPB"/>
        <w:spacing w:before="120" w:after="0" w:line="240" w:lineRule="auto"/>
        <w:rPr>
          <w:noProof/>
          <w:color w:val="auto"/>
        </w:rPr>
      </w:pPr>
      <w:r w:rsidRPr="00627605">
        <w:rPr>
          <w:b/>
          <w:noProof/>
          <w:color w:val="auto"/>
        </w:rPr>
        <w:t xml:space="preserve">Figure 5. </w:t>
      </w:r>
      <w:r w:rsidRPr="00D82CEE">
        <w:rPr>
          <w:noProof/>
          <w:color w:val="auto"/>
        </w:rPr>
        <w:t>PRISMA diagram showing selection process for included studies.</w:t>
      </w:r>
    </w:p>
    <w:p w:rsidR="00831CEE" w:rsidRDefault="00831CEE" w:rsidP="00081857">
      <w:pPr>
        <w:pStyle w:val="TEXT"/>
        <w:spacing w:line="240" w:lineRule="auto"/>
        <w:rPr>
          <w:noProof/>
          <w:color w:val="auto"/>
          <w:spacing w:val="-2"/>
        </w:rPr>
      </w:pPr>
    </w:p>
    <w:p w:rsidR="00D82CEE" w:rsidRPr="004404EE" w:rsidRDefault="00D82CEE" w:rsidP="00081857">
      <w:pPr>
        <w:pStyle w:val="TEXT"/>
        <w:spacing w:line="240" w:lineRule="auto"/>
        <w:rPr>
          <w:noProof/>
          <w:color w:val="auto"/>
          <w:spacing w:val="-2"/>
        </w:rPr>
      </w:pPr>
      <w:r w:rsidRPr="004404EE">
        <w:rPr>
          <w:noProof/>
          <w:color w:val="auto"/>
          <w:spacing w:val="-2"/>
        </w:rPr>
        <w:t>Embase databases were searched using the Ovid Portal on May 25, 2016, with no restrictions on date of study. The search string utilized was [(metabonomics OR metabolomics OR “metabolic profiling”) AND (stroke OR “cerebrovascular attack” OR CVA OR “cerebral ischemia”)]. Two authors (MIQ and APC) performed the search independently and compared results at each stage. The senior author (AHD) arbitrated any disagreements.</w:t>
      </w:r>
    </w:p>
    <w:p w:rsidR="00D82CEE" w:rsidRPr="00D82CEE" w:rsidRDefault="00D82CEE" w:rsidP="00081857">
      <w:pPr>
        <w:pStyle w:val="H2"/>
        <w:spacing w:line="240" w:lineRule="auto"/>
        <w:rPr>
          <w:noProof/>
          <w:color w:val="auto"/>
        </w:rPr>
      </w:pPr>
      <w:r w:rsidRPr="00D82CEE">
        <w:rPr>
          <w:noProof/>
          <w:color w:val="auto"/>
        </w:rPr>
        <w:t>Inclusion and Exclusion Criteria</w:t>
      </w:r>
    </w:p>
    <w:p w:rsidR="00D82CEE" w:rsidRPr="00D82CEE" w:rsidRDefault="00D82CEE" w:rsidP="00FA03D6">
      <w:pPr>
        <w:pStyle w:val="TEXT"/>
        <w:rPr>
          <w:noProof/>
          <w:color w:val="auto"/>
        </w:rPr>
      </w:pPr>
      <w:r w:rsidRPr="00D82CEE">
        <w:rPr>
          <w:noProof/>
          <w:color w:val="auto"/>
        </w:rPr>
        <w:t>All full-length English language articles utilizing MS or NMR spectroscopy for metabonomic analysis of biofluids from human stroke patients were included. The following types of studies were excluded:</w:t>
      </w:r>
    </w:p>
    <w:p w:rsidR="00D82CEE" w:rsidRPr="00D82CEE" w:rsidRDefault="00D82CEE" w:rsidP="004404EE">
      <w:pPr>
        <w:pStyle w:val="NL"/>
        <w:numPr>
          <w:ilvl w:val="0"/>
          <w:numId w:val="23"/>
        </w:numPr>
        <w:spacing w:line="240" w:lineRule="auto"/>
        <w:ind w:left="600"/>
        <w:rPr>
          <w:noProof/>
          <w:color w:val="auto"/>
        </w:rPr>
      </w:pPr>
      <w:r w:rsidRPr="00D82CEE">
        <w:rPr>
          <w:noProof/>
          <w:color w:val="auto"/>
        </w:rPr>
        <w:t>Studies subdividing patient groups according to traditional Oriental medicine (Chinese and Korean traditional medicine)</w:t>
      </w:r>
    </w:p>
    <w:p w:rsidR="00D82CEE" w:rsidRPr="00D82CEE" w:rsidRDefault="00D82CEE" w:rsidP="004404EE">
      <w:pPr>
        <w:pStyle w:val="NL"/>
        <w:numPr>
          <w:ilvl w:val="0"/>
          <w:numId w:val="23"/>
        </w:numPr>
        <w:spacing w:line="240" w:lineRule="auto"/>
        <w:ind w:left="600"/>
        <w:rPr>
          <w:noProof/>
          <w:color w:val="auto"/>
        </w:rPr>
      </w:pPr>
      <w:r w:rsidRPr="00D82CEE">
        <w:rPr>
          <w:noProof/>
          <w:color w:val="auto"/>
        </w:rPr>
        <w:t>Animal studies</w:t>
      </w:r>
    </w:p>
    <w:p w:rsidR="00D82CEE" w:rsidRPr="00D82CEE" w:rsidRDefault="00D82CEE" w:rsidP="004404EE">
      <w:pPr>
        <w:pStyle w:val="NL"/>
        <w:numPr>
          <w:ilvl w:val="0"/>
          <w:numId w:val="23"/>
        </w:numPr>
        <w:spacing w:line="240" w:lineRule="auto"/>
        <w:ind w:left="600"/>
        <w:rPr>
          <w:noProof/>
          <w:color w:val="auto"/>
        </w:rPr>
      </w:pPr>
      <w:r w:rsidRPr="00D82CEE">
        <w:rPr>
          <w:noProof/>
          <w:color w:val="auto"/>
        </w:rPr>
        <w:t>Abstracts of nonpublished studies</w:t>
      </w:r>
    </w:p>
    <w:p w:rsidR="00D82CEE" w:rsidRPr="00D82CEE" w:rsidRDefault="00D82CEE" w:rsidP="00081857">
      <w:pPr>
        <w:pStyle w:val="H1"/>
        <w:spacing w:line="240" w:lineRule="auto"/>
        <w:rPr>
          <w:noProof/>
          <w:color w:val="auto"/>
        </w:rPr>
      </w:pPr>
      <w:r w:rsidRPr="00D82CEE">
        <w:rPr>
          <w:noProof/>
          <w:color w:val="auto"/>
        </w:rPr>
        <w:t>Results</w:t>
      </w:r>
    </w:p>
    <w:p w:rsidR="00DD094C" w:rsidRDefault="00D82CEE" w:rsidP="00081857">
      <w:pPr>
        <w:pStyle w:val="TEXT"/>
        <w:spacing w:line="240" w:lineRule="auto"/>
        <w:rPr>
          <w:noProof/>
          <w:color w:val="auto"/>
        </w:rPr>
      </w:pPr>
      <w:r w:rsidRPr="00D82CEE">
        <w:rPr>
          <w:noProof/>
          <w:color w:val="auto"/>
        </w:rPr>
        <w:t xml:space="preserve">Following application of the search strategy and deduplication, 135 articles were screened, and 6 studies were included for summation analysis (Ding and others 2016; Jiang and others 2011; Jove and others 2015; Jung and others 2011; Kimberly and others 2013; Liu and others 2015) (Fig. 5). Table 1 depicts the characteristics </w:t>
      </w:r>
      <w:r w:rsidR="000B4C0C">
        <w:rPr>
          <w:noProof/>
          <w:color w:val="auto"/>
        </w:rPr>
        <w:br w:type="textWrapping" w:clear="all"/>
      </w:r>
    </w:p>
    <w:p w:rsidR="000B4C0C" w:rsidRDefault="000B4C0C" w:rsidP="000B4C0C">
      <w:pPr>
        <w:pStyle w:val="CPB"/>
        <w:spacing w:line="240" w:lineRule="auto"/>
        <w:rPr>
          <w:b/>
          <w:noProof/>
          <w:color w:val="auto"/>
        </w:rPr>
        <w:sectPr w:rsidR="000B4C0C" w:rsidSect="00284478">
          <w:type w:val="continuous"/>
          <w:pgSz w:w="11697" w:h="15661" w:code="166"/>
          <w:pgMar w:top="840" w:right="960" w:bottom="960" w:left="1260" w:header="680" w:footer="960" w:gutter="0"/>
          <w:pgNumType w:start="1"/>
          <w:cols w:num="2" w:space="360"/>
          <w:titlePg/>
          <w:docGrid w:linePitch="360"/>
        </w:sectPr>
      </w:pPr>
    </w:p>
    <w:p w:rsidR="000B4C0C" w:rsidRPr="00D82CEE" w:rsidRDefault="000B4C0C" w:rsidP="008967DA">
      <w:pPr>
        <w:pStyle w:val="CPB"/>
        <w:spacing w:before="0" w:line="240" w:lineRule="auto"/>
        <w:rPr>
          <w:noProof/>
          <w:color w:val="auto"/>
        </w:rPr>
      </w:pPr>
      <w:r w:rsidRPr="004F6903">
        <w:rPr>
          <w:b/>
          <w:noProof/>
          <w:color w:val="auto"/>
        </w:rPr>
        <w:t xml:space="preserve">Table 1. </w:t>
      </w:r>
      <w:r w:rsidRPr="00D82CEE">
        <w:rPr>
          <w:noProof/>
          <w:color w:val="auto"/>
        </w:rPr>
        <w:t>Studies Included for Qualitative Analysis.</w:t>
      </w:r>
    </w:p>
    <w:tbl>
      <w:tblPr>
        <w:tblStyle w:val="CFTABLE"/>
        <w:tblW w:w="5000" w:type="pct"/>
        <w:tblCellMar>
          <w:right w:w="80" w:type="dxa"/>
        </w:tblCellMar>
        <w:tblLook w:val="04A0"/>
      </w:tblPr>
      <w:tblGrid>
        <w:gridCol w:w="602"/>
        <w:gridCol w:w="482"/>
        <w:gridCol w:w="474"/>
        <w:gridCol w:w="976"/>
        <w:gridCol w:w="1087"/>
        <w:gridCol w:w="362"/>
        <w:gridCol w:w="1347"/>
        <w:gridCol w:w="343"/>
        <w:gridCol w:w="1297"/>
        <w:gridCol w:w="505"/>
        <w:gridCol w:w="1216"/>
        <w:gridCol w:w="845"/>
        <w:gridCol w:w="1327"/>
        <w:gridCol w:w="1447"/>
        <w:gridCol w:w="1631"/>
      </w:tblGrid>
      <w:tr w:rsidR="005F4CCE" w:rsidRPr="004307C7" w:rsidTr="00E911C1">
        <w:trPr>
          <w:cnfStyle w:val="100000000000"/>
        </w:trPr>
        <w:tc>
          <w:tcPr>
            <w:tcW w:w="216" w:type="pct"/>
            <w:vMerge w:val="restart"/>
            <w:vAlign w:val="bottom"/>
            <w:hideMark/>
          </w:tcPr>
          <w:p w:rsidR="000B4C0C" w:rsidRPr="004307C7" w:rsidRDefault="000B4C0C" w:rsidP="00705065">
            <w:pPr>
              <w:pStyle w:val="TCH"/>
              <w:spacing w:line="240" w:lineRule="auto"/>
              <w:rPr>
                <w:noProof/>
                <w:color w:val="auto"/>
                <w:sz w:val="14"/>
                <w:szCs w:val="14"/>
                <w:lang w:val="en-GB"/>
              </w:rPr>
            </w:pPr>
            <w:r w:rsidRPr="004307C7">
              <w:rPr>
                <w:noProof/>
                <w:color w:val="auto"/>
                <w:sz w:val="14"/>
                <w:szCs w:val="14"/>
                <w:lang w:val="en-GB"/>
              </w:rPr>
              <w:t>Author</w:t>
            </w:r>
          </w:p>
        </w:tc>
        <w:tc>
          <w:tcPr>
            <w:tcW w:w="173" w:type="pct"/>
            <w:vMerge w:val="restart"/>
            <w:vAlign w:val="bottom"/>
            <w:hideMark/>
          </w:tcPr>
          <w:p w:rsidR="000B4C0C" w:rsidRPr="004307C7" w:rsidRDefault="000B4C0C" w:rsidP="00705065">
            <w:pPr>
              <w:pStyle w:val="TCH"/>
              <w:spacing w:line="240" w:lineRule="auto"/>
              <w:jc w:val="center"/>
              <w:rPr>
                <w:noProof/>
                <w:color w:val="auto"/>
                <w:sz w:val="14"/>
                <w:szCs w:val="14"/>
                <w:lang w:val="en-GB"/>
              </w:rPr>
            </w:pPr>
            <w:r w:rsidRPr="004307C7">
              <w:rPr>
                <w:noProof/>
                <w:color w:val="auto"/>
                <w:sz w:val="14"/>
                <w:szCs w:val="14"/>
                <w:lang w:val="en-GB"/>
              </w:rPr>
              <w:t>Year</w:t>
            </w:r>
          </w:p>
        </w:tc>
        <w:tc>
          <w:tcPr>
            <w:tcW w:w="170" w:type="pct"/>
            <w:vMerge w:val="restart"/>
            <w:vAlign w:val="bottom"/>
            <w:hideMark/>
          </w:tcPr>
          <w:p w:rsidR="000B4C0C" w:rsidRPr="004307C7" w:rsidRDefault="000B4C0C" w:rsidP="00705065">
            <w:pPr>
              <w:pStyle w:val="TCH"/>
              <w:spacing w:line="240" w:lineRule="auto"/>
              <w:rPr>
                <w:noProof/>
                <w:color w:val="auto"/>
                <w:sz w:val="14"/>
                <w:szCs w:val="14"/>
                <w:lang w:val="en-GB"/>
              </w:rPr>
            </w:pPr>
            <w:r w:rsidRPr="004307C7">
              <w:rPr>
                <w:noProof/>
                <w:color w:val="auto"/>
                <w:sz w:val="14"/>
                <w:szCs w:val="14"/>
                <w:lang w:val="en-GB"/>
              </w:rPr>
              <w:t>Origin</w:t>
            </w:r>
          </w:p>
        </w:tc>
        <w:tc>
          <w:tcPr>
            <w:tcW w:w="1941" w:type="pct"/>
            <w:gridSpan w:val="6"/>
            <w:vAlign w:val="bottom"/>
            <w:hideMark/>
          </w:tcPr>
          <w:p w:rsidR="000B4C0C" w:rsidRPr="004307C7" w:rsidRDefault="000B4C0C" w:rsidP="00705065">
            <w:pPr>
              <w:pStyle w:val="TCH"/>
              <w:spacing w:line="240" w:lineRule="auto"/>
              <w:jc w:val="center"/>
              <w:rPr>
                <w:noProof/>
                <w:color w:val="auto"/>
                <w:sz w:val="14"/>
                <w:szCs w:val="14"/>
                <w:lang w:val="en-GB"/>
              </w:rPr>
            </w:pPr>
            <w:r w:rsidRPr="004307C7">
              <w:rPr>
                <w:noProof/>
                <w:color w:val="auto"/>
                <w:sz w:val="14"/>
                <w:szCs w:val="14"/>
                <w:lang w:val="en-GB"/>
              </w:rPr>
              <w:t>Subjects</w:t>
            </w:r>
          </w:p>
        </w:tc>
        <w:tc>
          <w:tcPr>
            <w:tcW w:w="181" w:type="pct"/>
            <w:vMerge w:val="restart"/>
            <w:vAlign w:val="bottom"/>
            <w:hideMark/>
          </w:tcPr>
          <w:p w:rsidR="000B4C0C" w:rsidRPr="004307C7" w:rsidRDefault="000B4C0C" w:rsidP="006D0F6D">
            <w:pPr>
              <w:pStyle w:val="TCH"/>
              <w:spacing w:line="240" w:lineRule="auto"/>
              <w:rPr>
                <w:noProof/>
                <w:color w:val="auto"/>
                <w:sz w:val="14"/>
                <w:szCs w:val="14"/>
                <w:lang w:val="en-GB"/>
              </w:rPr>
            </w:pPr>
            <w:r w:rsidRPr="004307C7">
              <w:rPr>
                <w:noProof/>
                <w:color w:val="auto"/>
                <w:sz w:val="14"/>
                <w:szCs w:val="14"/>
                <w:lang w:val="en-GB"/>
              </w:rPr>
              <w:t>Biofluid</w:t>
            </w:r>
          </w:p>
        </w:tc>
        <w:tc>
          <w:tcPr>
            <w:tcW w:w="436" w:type="pct"/>
            <w:vMerge w:val="restart"/>
            <w:vAlign w:val="bottom"/>
            <w:hideMark/>
          </w:tcPr>
          <w:p w:rsidR="000B4C0C" w:rsidRPr="004307C7" w:rsidRDefault="000B4C0C" w:rsidP="006D0F6D">
            <w:pPr>
              <w:pStyle w:val="TCH"/>
              <w:spacing w:line="240" w:lineRule="auto"/>
              <w:rPr>
                <w:noProof/>
                <w:color w:val="auto"/>
                <w:sz w:val="14"/>
                <w:szCs w:val="14"/>
                <w:lang w:val="en-GB"/>
              </w:rPr>
            </w:pPr>
            <w:r w:rsidRPr="004307C7">
              <w:rPr>
                <w:noProof/>
                <w:color w:val="auto"/>
                <w:sz w:val="14"/>
                <w:szCs w:val="14"/>
                <w:lang w:val="en-GB"/>
              </w:rPr>
              <w:t>Spectroscopic Technique</w:t>
            </w:r>
          </w:p>
        </w:tc>
        <w:tc>
          <w:tcPr>
            <w:tcW w:w="303" w:type="pct"/>
            <w:vMerge w:val="restart"/>
            <w:vAlign w:val="bottom"/>
            <w:hideMark/>
          </w:tcPr>
          <w:p w:rsidR="000B4C0C" w:rsidRPr="004307C7" w:rsidRDefault="000B4C0C" w:rsidP="006D0F6D">
            <w:pPr>
              <w:pStyle w:val="TCH"/>
              <w:spacing w:line="240" w:lineRule="auto"/>
              <w:rPr>
                <w:noProof/>
                <w:color w:val="auto"/>
                <w:sz w:val="14"/>
                <w:szCs w:val="14"/>
                <w:lang w:val="en-GB"/>
              </w:rPr>
            </w:pPr>
            <w:r w:rsidRPr="004307C7">
              <w:rPr>
                <w:noProof/>
                <w:color w:val="auto"/>
                <w:sz w:val="14"/>
                <w:szCs w:val="14"/>
                <w:lang w:val="en-GB"/>
              </w:rPr>
              <w:t>Targeted/</w:t>
            </w:r>
            <w:r w:rsidR="005F4CCE">
              <w:rPr>
                <w:noProof/>
                <w:color w:val="auto"/>
                <w:sz w:val="14"/>
                <w:szCs w:val="14"/>
                <w:lang w:val="en-GB"/>
              </w:rPr>
              <w:br/>
            </w:r>
            <w:r w:rsidRPr="004307C7">
              <w:rPr>
                <w:noProof/>
                <w:color w:val="auto"/>
                <w:sz w:val="14"/>
                <w:szCs w:val="14"/>
                <w:lang w:val="en-GB"/>
              </w:rPr>
              <w:t>Untargeted</w:t>
            </w:r>
          </w:p>
        </w:tc>
        <w:tc>
          <w:tcPr>
            <w:tcW w:w="476" w:type="pct"/>
            <w:vMerge w:val="restart"/>
            <w:vAlign w:val="bottom"/>
            <w:hideMark/>
          </w:tcPr>
          <w:p w:rsidR="000B4C0C" w:rsidRPr="004307C7" w:rsidRDefault="000B4C0C" w:rsidP="006D0F6D">
            <w:pPr>
              <w:pStyle w:val="TCH"/>
              <w:spacing w:line="240" w:lineRule="auto"/>
              <w:rPr>
                <w:noProof/>
                <w:color w:val="auto"/>
                <w:sz w:val="14"/>
                <w:szCs w:val="14"/>
                <w:lang w:val="en-GB"/>
              </w:rPr>
            </w:pPr>
            <w:r w:rsidRPr="004307C7">
              <w:rPr>
                <w:noProof/>
                <w:color w:val="auto"/>
                <w:sz w:val="14"/>
                <w:szCs w:val="14"/>
                <w:lang w:val="en-GB"/>
              </w:rPr>
              <w:t>Upregulated Biomarkers</w:t>
            </w:r>
          </w:p>
        </w:tc>
        <w:tc>
          <w:tcPr>
            <w:tcW w:w="519" w:type="pct"/>
            <w:vMerge w:val="restart"/>
            <w:vAlign w:val="bottom"/>
            <w:hideMark/>
          </w:tcPr>
          <w:p w:rsidR="000B4C0C" w:rsidRPr="004307C7" w:rsidRDefault="000B4C0C" w:rsidP="006D0F6D">
            <w:pPr>
              <w:pStyle w:val="TCH"/>
              <w:spacing w:line="240" w:lineRule="auto"/>
              <w:rPr>
                <w:noProof/>
                <w:color w:val="auto"/>
                <w:sz w:val="14"/>
                <w:szCs w:val="14"/>
                <w:lang w:val="en-GB"/>
              </w:rPr>
            </w:pPr>
            <w:r w:rsidRPr="004307C7">
              <w:rPr>
                <w:noProof/>
                <w:color w:val="auto"/>
                <w:sz w:val="14"/>
                <w:szCs w:val="14"/>
                <w:lang w:val="en-GB"/>
              </w:rPr>
              <w:t>Downregulated Biomarkers</w:t>
            </w:r>
          </w:p>
        </w:tc>
        <w:tc>
          <w:tcPr>
            <w:tcW w:w="585" w:type="pct"/>
            <w:vMerge w:val="restart"/>
            <w:vAlign w:val="bottom"/>
            <w:hideMark/>
          </w:tcPr>
          <w:p w:rsidR="000B4C0C" w:rsidRPr="004307C7" w:rsidRDefault="000B4C0C" w:rsidP="006D0F6D">
            <w:pPr>
              <w:pStyle w:val="TCH"/>
              <w:spacing w:line="240" w:lineRule="auto"/>
              <w:rPr>
                <w:noProof/>
                <w:color w:val="auto"/>
                <w:sz w:val="14"/>
                <w:szCs w:val="14"/>
                <w:lang w:val="en-GB"/>
              </w:rPr>
            </w:pPr>
            <w:r w:rsidRPr="004307C7">
              <w:rPr>
                <w:noProof/>
                <w:color w:val="auto"/>
                <w:sz w:val="14"/>
                <w:szCs w:val="14"/>
                <w:lang w:val="en-GB"/>
              </w:rPr>
              <w:t>Validation</w:t>
            </w:r>
          </w:p>
        </w:tc>
      </w:tr>
      <w:tr w:rsidR="006D4E5B" w:rsidRPr="004307C7" w:rsidTr="00E911C1">
        <w:tc>
          <w:tcPr>
            <w:tcW w:w="216" w:type="pct"/>
            <w:vMerge/>
            <w:tcBorders>
              <w:bottom w:val="single" w:sz="4" w:space="0" w:color="auto"/>
            </w:tcBorders>
            <w:vAlign w:val="bottom"/>
            <w:hideMark/>
          </w:tcPr>
          <w:p w:rsidR="000B4C0C" w:rsidRPr="004307C7" w:rsidRDefault="000B4C0C" w:rsidP="00705065">
            <w:pPr>
              <w:jc w:val="center"/>
              <w:rPr>
                <w:rFonts w:ascii="Times New Roman" w:eastAsia="Times New Roman" w:hAnsi="Times New Roman" w:cs="Times New Roman"/>
                <w:noProof/>
                <w:sz w:val="14"/>
                <w:szCs w:val="14"/>
                <w:lang w:val="en-GB"/>
              </w:rPr>
            </w:pPr>
          </w:p>
        </w:tc>
        <w:tc>
          <w:tcPr>
            <w:tcW w:w="173" w:type="pct"/>
            <w:vMerge/>
            <w:tcBorders>
              <w:bottom w:val="single" w:sz="4" w:space="0" w:color="auto"/>
            </w:tcBorders>
            <w:vAlign w:val="bottom"/>
            <w:hideMark/>
          </w:tcPr>
          <w:p w:rsidR="000B4C0C" w:rsidRPr="004307C7" w:rsidRDefault="000B4C0C" w:rsidP="00705065">
            <w:pPr>
              <w:jc w:val="center"/>
              <w:rPr>
                <w:rFonts w:ascii="Times New Roman" w:eastAsia="Times New Roman" w:hAnsi="Times New Roman" w:cs="Times New Roman"/>
                <w:noProof/>
                <w:sz w:val="14"/>
                <w:szCs w:val="14"/>
                <w:lang w:val="en-GB"/>
              </w:rPr>
            </w:pPr>
          </w:p>
        </w:tc>
        <w:tc>
          <w:tcPr>
            <w:tcW w:w="170" w:type="pct"/>
            <w:vMerge/>
            <w:tcBorders>
              <w:bottom w:val="single" w:sz="4" w:space="0" w:color="auto"/>
            </w:tcBorders>
            <w:vAlign w:val="bottom"/>
            <w:hideMark/>
          </w:tcPr>
          <w:p w:rsidR="000B4C0C" w:rsidRPr="004307C7" w:rsidRDefault="000B4C0C" w:rsidP="00705065">
            <w:pPr>
              <w:jc w:val="center"/>
              <w:rPr>
                <w:rFonts w:ascii="Times New Roman" w:eastAsia="Times New Roman" w:hAnsi="Times New Roman" w:cs="Times New Roman"/>
                <w:noProof/>
                <w:sz w:val="14"/>
                <w:szCs w:val="14"/>
                <w:lang w:val="en-GB"/>
              </w:rPr>
            </w:pPr>
          </w:p>
        </w:tc>
        <w:tc>
          <w:tcPr>
            <w:tcW w:w="350" w:type="pct"/>
            <w:tcBorders>
              <w:bottom w:val="single" w:sz="4" w:space="0" w:color="auto"/>
            </w:tcBorders>
            <w:vAlign w:val="bottom"/>
            <w:hideMark/>
          </w:tcPr>
          <w:p w:rsidR="000B4C0C" w:rsidRPr="004307C7" w:rsidRDefault="000B4C0C" w:rsidP="00705065">
            <w:pPr>
              <w:pStyle w:val="TCH"/>
              <w:spacing w:line="240" w:lineRule="auto"/>
              <w:rPr>
                <w:noProof/>
                <w:color w:val="auto"/>
                <w:sz w:val="14"/>
                <w:szCs w:val="14"/>
                <w:lang w:val="en-GB"/>
              </w:rPr>
            </w:pPr>
            <w:r w:rsidRPr="004307C7">
              <w:rPr>
                <w:noProof/>
                <w:color w:val="auto"/>
                <w:sz w:val="14"/>
                <w:szCs w:val="14"/>
                <w:lang w:val="en-GB"/>
              </w:rPr>
              <w:t>Stroke Patients</w:t>
            </w:r>
          </w:p>
        </w:tc>
        <w:tc>
          <w:tcPr>
            <w:tcW w:w="390" w:type="pct"/>
            <w:tcBorders>
              <w:bottom w:val="single" w:sz="4" w:space="0" w:color="auto"/>
            </w:tcBorders>
            <w:vAlign w:val="bottom"/>
            <w:hideMark/>
          </w:tcPr>
          <w:p w:rsidR="000B4C0C" w:rsidRPr="004307C7" w:rsidRDefault="000B4C0C" w:rsidP="00ED1E56">
            <w:pPr>
              <w:pStyle w:val="TCH"/>
              <w:spacing w:line="240" w:lineRule="auto"/>
              <w:rPr>
                <w:noProof/>
                <w:color w:val="auto"/>
                <w:sz w:val="14"/>
                <w:szCs w:val="14"/>
                <w:lang w:val="en-GB"/>
              </w:rPr>
            </w:pPr>
            <w:r w:rsidRPr="004307C7">
              <w:rPr>
                <w:noProof/>
                <w:color w:val="auto"/>
                <w:sz w:val="14"/>
                <w:szCs w:val="14"/>
                <w:lang w:val="en-GB"/>
              </w:rPr>
              <w:t>Time from Onset to Sampling</w:t>
            </w:r>
          </w:p>
        </w:tc>
        <w:tc>
          <w:tcPr>
            <w:tcW w:w="130" w:type="pct"/>
            <w:tcBorders>
              <w:bottom w:val="single" w:sz="4" w:space="0" w:color="auto"/>
            </w:tcBorders>
            <w:vAlign w:val="bottom"/>
            <w:hideMark/>
          </w:tcPr>
          <w:p w:rsidR="000B4C0C" w:rsidRPr="004307C7" w:rsidRDefault="000B4C0C" w:rsidP="00705065">
            <w:pPr>
              <w:pStyle w:val="TCH"/>
              <w:spacing w:line="240" w:lineRule="auto"/>
              <w:jc w:val="center"/>
              <w:rPr>
                <w:i/>
                <w:noProof/>
                <w:color w:val="auto"/>
                <w:sz w:val="14"/>
                <w:szCs w:val="14"/>
                <w:lang w:val="en-GB"/>
              </w:rPr>
            </w:pPr>
            <w:r w:rsidRPr="004307C7">
              <w:rPr>
                <w:i/>
                <w:noProof/>
                <w:color w:val="auto"/>
                <w:sz w:val="14"/>
                <w:szCs w:val="14"/>
                <w:lang w:val="en-GB"/>
              </w:rPr>
              <w:t>n</w:t>
            </w:r>
          </w:p>
        </w:tc>
        <w:tc>
          <w:tcPr>
            <w:tcW w:w="483" w:type="pct"/>
            <w:tcBorders>
              <w:bottom w:val="single" w:sz="4" w:space="0" w:color="auto"/>
            </w:tcBorders>
            <w:vAlign w:val="bottom"/>
            <w:hideMark/>
          </w:tcPr>
          <w:p w:rsidR="000B4C0C" w:rsidRPr="004307C7" w:rsidRDefault="000B4C0C" w:rsidP="006D0F6D">
            <w:pPr>
              <w:pStyle w:val="TCH"/>
              <w:spacing w:line="240" w:lineRule="auto"/>
              <w:rPr>
                <w:noProof/>
                <w:color w:val="auto"/>
                <w:sz w:val="14"/>
                <w:szCs w:val="14"/>
                <w:lang w:val="en-GB"/>
              </w:rPr>
            </w:pPr>
            <w:r w:rsidRPr="004307C7">
              <w:rPr>
                <w:noProof/>
                <w:color w:val="auto"/>
                <w:sz w:val="14"/>
                <w:szCs w:val="14"/>
                <w:lang w:val="en-GB"/>
              </w:rPr>
              <w:t>Controls</w:t>
            </w:r>
          </w:p>
        </w:tc>
        <w:tc>
          <w:tcPr>
            <w:tcW w:w="123" w:type="pct"/>
            <w:tcBorders>
              <w:bottom w:val="single" w:sz="4" w:space="0" w:color="auto"/>
            </w:tcBorders>
            <w:vAlign w:val="bottom"/>
            <w:hideMark/>
          </w:tcPr>
          <w:p w:rsidR="000B4C0C" w:rsidRPr="004307C7" w:rsidRDefault="000B4C0C" w:rsidP="00705065">
            <w:pPr>
              <w:pStyle w:val="TCH"/>
              <w:spacing w:line="240" w:lineRule="auto"/>
              <w:jc w:val="center"/>
              <w:rPr>
                <w:i/>
                <w:noProof/>
                <w:color w:val="auto"/>
                <w:sz w:val="14"/>
                <w:szCs w:val="14"/>
                <w:lang w:val="en-GB"/>
              </w:rPr>
            </w:pPr>
            <w:r w:rsidRPr="004307C7">
              <w:rPr>
                <w:i/>
                <w:noProof/>
                <w:color w:val="auto"/>
                <w:sz w:val="14"/>
                <w:szCs w:val="14"/>
                <w:lang w:val="en-GB"/>
              </w:rPr>
              <w:t>n</w:t>
            </w:r>
          </w:p>
        </w:tc>
        <w:tc>
          <w:tcPr>
            <w:tcW w:w="465" w:type="pct"/>
            <w:tcBorders>
              <w:bottom w:val="single" w:sz="4" w:space="0" w:color="auto"/>
            </w:tcBorders>
            <w:vAlign w:val="bottom"/>
            <w:hideMark/>
          </w:tcPr>
          <w:p w:rsidR="000B4C0C" w:rsidRPr="004307C7" w:rsidRDefault="000B4C0C" w:rsidP="006D0F6D">
            <w:pPr>
              <w:pStyle w:val="TCH"/>
              <w:spacing w:line="240" w:lineRule="auto"/>
              <w:rPr>
                <w:noProof/>
                <w:color w:val="auto"/>
                <w:sz w:val="14"/>
                <w:szCs w:val="14"/>
                <w:lang w:val="en-GB"/>
              </w:rPr>
            </w:pPr>
            <w:r w:rsidRPr="004307C7">
              <w:rPr>
                <w:noProof/>
                <w:color w:val="auto"/>
                <w:sz w:val="14"/>
                <w:szCs w:val="14"/>
                <w:lang w:val="en-GB"/>
              </w:rPr>
              <w:t>Exclusion Criteria</w:t>
            </w:r>
          </w:p>
        </w:tc>
        <w:tc>
          <w:tcPr>
            <w:tcW w:w="181" w:type="pct"/>
            <w:vMerge/>
            <w:tcBorders>
              <w:bottom w:val="single" w:sz="4" w:space="0" w:color="auto"/>
            </w:tcBorders>
            <w:vAlign w:val="bottom"/>
            <w:hideMark/>
          </w:tcPr>
          <w:p w:rsidR="000B4C0C" w:rsidRPr="004307C7" w:rsidRDefault="000B4C0C" w:rsidP="00705065">
            <w:pPr>
              <w:jc w:val="center"/>
              <w:rPr>
                <w:rFonts w:ascii="Times New Roman" w:eastAsia="Times New Roman" w:hAnsi="Times New Roman" w:cs="Times New Roman"/>
                <w:noProof/>
                <w:sz w:val="14"/>
                <w:szCs w:val="14"/>
                <w:lang w:val="en-GB"/>
              </w:rPr>
            </w:pPr>
          </w:p>
        </w:tc>
        <w:tc>
          <w:tcPr>
            <w:tcW w:w="436" w:type="pct"/>
            <w:vMerge/>
            <w:tcBorders>
              <w:bottom w:val="single" w:sz="4" w:space="0" w:color="auto"/>
            </w:tcBorders>
            <w:vAlign w:val="bottom"/>
            <w:hideMark/>
          </w:tcPr>
          <w:p w:rsidR="000B4C0C" w:rsidRPr="004307C7" w:rsidRDefault="000B4C0C" w:rsidP="00705065">
            <w:pPr>
              <w:jc w:val="center"/>
              <w:rPr>
                <w:rFonts w:ascii="Times New Roman" w:eastAsia="Times New Roman" w:hAnsi="Times New Roman" w:cs="Times New Roman"/>
                <w:noProof/>
                <w:sz w:val="14"/>
                <w:szCs w:val="14"/>
                <w:lang w:val="en-GB"/>
              </w:rPr>
            </w:pPr>
          </w:p>
        </w:tc>
        <w:tc>
          <w:tcPr>
            <w:tcW w:w="303" w:type="pct"/>
            <w:vMerge/>
            <w:tcBorders>
              <w:bottom w:val="single" w:sz="4" w:space="0" w:color="auto"/>
            </w:tcBorders>
            <w:vAlign w:val="bottom"/>
            <w:hideMark/>
          </w:tcPr>
          <w:p w:rsidR="000B4C0C" w:rsidRPr="004307C7" w:rsidRDefault="000B4C0C" w:rsidP="00705065">
            <w:pPr>
              <w:jc w:val="center"/>
              <w:rPr>
                <w:rFonts w:ascii="Times New Roman" w:eastAsia="Times New Roman" w:hAnsi="Times New Roman" w:cs="Times New Roman"/>
                <w:noProof/>
                <w:sz w:val="14"/>
                <w:szCs w:val="14"/>
                <w:lang w:val="en-GB"/>
              </w:rPr>
            </w:pPr>
          </w:p>
        </w:tc>
        <w:tc>
          <w:tcPr>
            <w:tcW w:w="476" w:type="pct"/>
            <w:vMerge/>
            <w:tcBorders>
              <w:bottom w:val="single" w:sz="4" w:space="0" w:color="auto"/>
            </w:tcBorders>
            <w:vAlign w:val="bottom"/>
            <w:hideMark/>
          </w:tcPr>
          <w:p w:rsidR="000B4C0C" w:rsidRPr="004307C7" w:rsidRDefault="000B4C0C" w:rsidP="00705065">
            <w:pPr>
              <w:jc w:val="center"/>
              <w:rPr>
                <w:rFonts w:ascii="Times New Roman" w:eastAsia="Times New Roman" w:hAnsi="Times New Roman" w:cs="Times New Roman"/>
                <w:noProof/>
                <w:sz w:val="14"/>
                <w:szCs w:val="14"/>
                <w:lang w:val="en-GB"/>
              </w:rPr>
            </w:pPr>
          </w:p>
        </w:tc>
        <w:tc>
          <w:tcPr>
            <w:tcW w:w="519" w:type="pct"/>
            <w:vMerge/>
            <w:tcBorders>
              <w:bottom w:val="single" w:sz="4" w:space="0" w:color="auto"/>
            </w:tcBorders>
            <w:vAlign w:val="bottom"/>
            <w:hideMark/>
          </w:tcPr>
          <w:p w:rsidR="000B4C0C" w:rsidRPr="004307C7" w:rsidRDefault="000B4C0C" w:rsidP="00705065">
            <w:pPr>
              <w:jc w:val="center"/>
              <w:rPr>
                <w:rFonts w:ascii="Times New Roman" w:eastAsia="Times New Roman" w:hAnsi="Times New Roman" w:cs="Times New Roman"/>
                <w:noProof/>
                <w:sz w:val="14"/>
                <w:szCs w:val="14"/>
                <w:lang w:val="en-GB"/>
              </w:rPr>
            </w:pPr>
          </w:p>
        </w:tc>
        <w:tc>
          <w:tcPr>
            <w:tcW w:w="585" w:type="pct"/>
            <w:vMerge/>
            <w:tcBorders>
              <w:bottom w:val="single" w:sz="4" w:space="0" w:color="auto"/>
            </w:tcBorders>
            <w:vAlign w:val="bottom"/>
            <w:hideMark/>
          </w:tcPr>
          <w:p w:rsidR="000B4C0C" w:rsidRPr="004307C7" w:rsidRDefault="000B4C0C" w:rsidP="00705065">
            <w:pPr>
              <w:jc w:val="center"/>
              <w:rPr>
                <w:rFonts w:ascii="Times New Roman" w:eastAsia="Times New Roman" w:hAnsi="Times New Roman" w:cs="Times New Roman"/>
                <w:noProof/>
                <w:sz w:val="14"/>
                <w:szCs w:val="14"/>
                <w:lang w:val="en-GB"/>
              </w:rPr>
            </w:pPr>
          </w:p>
        </w:tc>
      </w:tr>
      <w:tr w:rsidR="003B01FF" w:rsidRPr="004307C7" w:rsidTr="00E911C1">
        <w:tc>
          <w:tcPr>
            <w:tcW w:w="216" w:type="pct"/>
            <w:tcBorders>
              <w:top w:val="single" w:sz="4" w:space="0" w:color="auto"/>
              <w:bottom w:val="nil"/>
            </w:tcBorders>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Jung</w:t>
            </w:r>
          </w:p>
        </w:tc>
        <w:tc>
          <w:tcPr>
            <w:tcW w:w="173" w:type="pct"/>
            <w:tcBorders>
              <w:top w:val="single" w:sz="4" w:space="0" w:color="auto"/>
              <w:bottom w:val="nil"/>
            </w:tcBorders>
            <w:hideMark/>
          </w:tcPr>
          <w:p w:rsidR="000B4C0C" w:rsidRPr="004307C7" w:rsidRDefault="000B4C0C" w:rsidP="00BB4FD3">
            <w:pPr>
              <w:pStyle w:val="TT"/>
              <w:spacing w:line="240" w:lineRule="auto"/>
              <w:ind w:left="80" w:hanging="80"/>
              <w:jc w:val="center"/>
              <w:rPr>
                <w:noProof/>
                <w:color w:val="auto"/>
                <w:sz w:val="14"/>
                <w:szCs w:val="14"/>
                <w:lang w:val="en-GB"/>
              </w:rPr>
            </w:pPr>
            <w:r w:rsidRPr="004307C7">
              <w:rPr>
                <w:noProof/>
                <w:color w:val="auto"/>
                <w:sz w:val="14"/>
                <w:szCs w:val="14"/>
                <w:lang w:val="en-GB"/>
              </w:rPr>
              <w:t>2011</w:t>
            </w:r>
          </w:p>
        </w:tc>
        <w:tc>
          <w:tcPr>
            <w:tcW w:w="170" w:type="pct"/>
            <w:tcBorders>
              <w:top w:val="single" w:sz="4" w:space="0" w:color="auto"/>
              <w:bottom w:val="nil"/>
            </w:tcBorders>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Korea</w:t>
            </w:r>
          </w:p>
        </w:tc>
        <w:tc>
          <w:tcPr>
            <w:tcW w:w="350" w:type="pct"/>
            <w:tcBorders>
              <w:top w:val="single" w:sz="4" w:space="0" w:color="auto"/>
              <w:bottom w:val="nil"/>
            </w:tcBorders>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Cerebral infarction</w:t>
            </w:r>
          </w:p>
        </w:tc>
        <w:tc>
          <w:tcPr>
            <w:tcW w:w="390" w:type="pct"/>
            <w:tcBorders>
              <w:top w:val="single" w:sz="4" w:space="0" w:color="auto"/>
              <w:bottom w:val="nil"/>
            </w:tcBorders>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sym w:font="Symbol" w:char="F0A3"/>
            </w:r>
            <w:r w:rsidRPr="004307C7">
              <w:rPr>
                <w:noProof/>
                <w:color w:val="auto"/>
                <w:sz w:val="14"/>
                <w:szCs w:val="14"/>
                <w:lang w:val="en-GB"/>
              </w:rPr>
              <w:t>72 hours</w:t>
            </w:r>
          </w:p>
        </w:tc>
        <w:tc>
          <w:tcPr>
            <w:tcW w:w="130" w:type="pct"/>
            <w:tcBorders>
              <w:top w:val="single" w:sz="4" w:space="0" w:color="auto"/>
              <w:bottom w:val="nil"/>
            </w:tcBorders>
            <w:hideMark/>
          </w:tcPr>
          <w:p w:rsidR="000B4C0C" w:rsidRPr="004307C7" w:rsidRDefault="000B4C0C" w:rsidP="00BB4FD3">
            <w:pPr>
              <w:pStyle w:val="TT"/>
              <w:spacing w:line="240" w:lineRule="auto"/>
              <w:ind w:left="80" w:hanging="80"/>
              <w:jc w:val="center"/>
              <w:rPr>
                <w:i/>
                <w:noProof/>
                <w:color w:val="auto"/>
                <w:sz w:val="14"/>
                <w:szCs w:val="14"/>
                <w:lang w:val="en-GB"/>
              </w:rPr>
            </w:pPr>
            <w:r w:rsidRPr="004307C7">
              <w:rPr>
                <w:noProof/>
                <w:color w:val="auto"/>
                <w:sz w:val="14"/>
                <w:szCs w:val="14"/>
                <w:lang w:val="en-GB"/>
              </w:rPr>
              <w:t>54</w:t>
            </w:r>
          </w:p>
        </w:tc>
        <w:tc>
          <w:tcPr>
            <w:tcW w:w="483" w:type="pct"/>
            <w:tcBorders>
              <w:top w:val="single" w:sz="4" w:space="0" w:color="auto"/>
              <w:bottom w:val="nil"/>
            </w:tcBorders>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Healthy volunteers</w:t>
            </w:r>
          </w:p>
        </w:tc>
        <w:tc>
          <w:tcPr>
            <w:tcW w:w="123" w:type="pct"/>
            <w:tcBorders>
              <w:top w:val="single" w:sz="4" w:space="0" w:color="auto"/>
              <w:bottom w:val="nil"/>
            </w:tcBorders>
            <w:hideMark/>
          </w:tcPr>
          <w:p w:rsidR="000B4C0C" w:rsidRPr="004307C7" w:rsidRDefault="000B4C0C" w:rsidP="00BB4FD3">
            <w:pPr>
              <w:pStyle w:val="TT"/>
              <w:spacing w:line="240" w:lineRule="auto"/>
              <w:ind w:left="80" w:hanging="80"/>
              <w:jc w:val="center"/>
              <w:rPr>
                <w:i/>
                <w:noProof/>
                <w:color w:val="auto"/>
                <w:sz w:val="14"/>
                <w:szCs w:val="14"/>
                <w:lang w:val="en-GB"/>
              </w:rPr>
            </w:pPr>
            <w:r w:rsidRPr="004307C7">
              <w:rPr>
                <w:noProof/>
                <w:color w:val="auto"/>
                <w:sz w:val="14"/>
                <w:szCs w:val="14"/>
                <w:lang w:val="en-GB"/>
              </w:rPr>
              <w:t>47</w:t>
            </w:r>
          </w:p>
        </w:tc>
        <w:tc>
          <w:tcPr>
            <w:tcW w:w="465" w:type="pct"/>
            <w:tcBorders>
              <w:top w:val="single" w:sz="4" w:space="0" w:color="auto"/>
              <w:bottom w:val="nil"/>
            </w:tcBorders>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Diabetes</w:t>
            </w:r>
          </w:p>
        </w:tc>
        <w:tc>
          <w:tcPr>
            <w:tcW w:w="181" w:type="pct"/>
            <w:tcBorders>
              <w:top w:val="single" w:sz="4" w:space="0" w:color="auto"/>
              <w:bottom w:val="nil"/>
            </w:tcBorders>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Plasma</w:t>
            </w:r>
          </w:p>
        </w:tc>
        <w:tc>
          <w:tcPr>
            <w:tcW w:w="436" w:type="pct"/>
            <w:tcBorders>
              <w:top w:val="single" w:sz="4" w:space="0" w:color="auto"/>
              <w:bottom w:val="nil"/>
            </w:tcBorders>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H1-NMR</w:t>
            </w:r>
          </w:p>
        </w:tc>
        <w:tc>
          <w:tcPr>
            <w:tcW w:w="303" w:type="pct"/>
            <w:tcBorders>
              <w:top w:val="single" w:sz="4" w:space="0" w:color="auto"/>
              <w:bottom w:val="nil"/>
            </w:tcBorders>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Untargeted</w:t>
            </w:r>
          </w:p>
        </w:tc>
        <w:tc>
          <w:tcPr>
            <w:tcW w:w="476" w:type="pct"/>
            <w:tcBorders>
              <w:top w:val="single" w:sz="4" w:space="0" w:color="auto"/>
              <w:bottom w:val="nil"/>
            </w:tcBorders>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Lactate</w:t>
            </w:r>
          </w:p>
        </w:tc>
        <w:tc>
          <w:tcPr>
            <w:tcW w:w="519" w:type="pct"/>
            <w:tcBorders>
              <w:top w:val="single" w:sz="4" w:space="0" w:color="auto"/>
              <w:bottom w:val="nil"/>
            </w:tcBorders>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VLDL CH3</w:t>
            </w:r>
          </w:p>
        </w:tc>
        <w:tc>
          <w:tcPr>
            <w:tcW w:w="585" w:type="pct"/>
            <w:tcBorders>
              <w:top w:val="single" w:sz="4" w:space="0" w:color="auto"/>
              <w:bottom w:val="nil"/>
            </w:tcBorders>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Training and prediction sets randomly selected and repeated three times</w:t>
            </w:r>
          </w:p>
        </w:tc>
      </w:tr>
      <w:tr w:rsidR="003B01FF" w:rsidRPr="004307C7" w:rsidTr="00E911C1">
        <w:tc>
          <w:tcPr>
            <w:tcW w:w="216" w:type="pct"/>
            <w:tcBorders>
              <w:top w:val="nil"/>
            </w:tcBorders>
          </w:tcPr>
          <w:p w:rsidR="000B4C0C" w:rsidRPr="004307C7" w:rsidRDefault="000B4C0C" w:rsidP="00BB4FD3">
            <w:pPr>
              <w:pStyle w:val="TT"/>
              <w:spacing w:line="240" w:lineRule="auto"/>
              <w:ind w:left="80" w:hanging="80"/>
              <w:rPr>
                <w:noProof/>
                <w:color w:val="auto"/>
                <w:sz w:val="14"/>
                <w:szCs w:val="14"/>
                <w:lang w:val="en-GB"/>
              </w:rPr>
            </w:pPr>
          </w:p>
        </w:tc>
        <w:tc>
          <w:tcPr>
            <w:tcW w:w="173" w:type="pct"/>
            <w:tcBorders>
              <w:top w:val="nil"/>
            </w:tcBorders>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Borders>
              <w:top w:val="nil"/>
            </w:tcBorders>
          </w:tcPr>
          <w:p w:rsidR="000B4C0C" w:rsidRPr="004307C7" w:rsidRDefault="000B4C0C" w:rsidP="00BB4FD3">
            <w:pPr>
              <w:pStyle w:val="TT"/>
              <w:spacing w:line="240" w:lineRule="auto"/>
              <w:ind w:left="80" w:hanging="80"/>
              <w:rPr>
                <w:noProof/>
                <w:color w:val="auto"/>
                <w:sz w:val="14"/>
                <w:szCs w:val="14"/>
                <w:lang w:val="en-GB"/>
              </w:rPr>
            </w:pPr>
          </w:p>
        </w:tc>
        <w:tc>
          <w:tcPr>
            <w:tcW w:w="350" w:type="pct"/>
            <w:tcBorders>
              <w:top w:val="nil"/>
            </w:tcBorders>
          </w:tcPr>
          <w:p w:rsidR="000B4C0C" w:rsidRPr="004307C7" w:rsidRDefault="000B4C0C" w:rsidP="00BB4FD3">
            <w:pPr>
              <w:pStyle w:val="TT"/>
              <w:spacing w:line="240" w:lineRule="auto"/>
              <w:ind w:left="80" w:hanging="80"/>
              <w:rPr>
                <w:noProof/>
                <w:color w:val="auto"/>
                <w:sz w:val="14"/>
                <w:szCs w:val="14"/>
                <w:lang w:val="en-GB"/>
              </w:rPr>
            </w:pPr>
          </w:p>
        </w:tc>
        <w:tc>
          <w:tcPr>
            <w:tcW w:w="390" w:type="pct"/>
            <w:tcBorders>
              <w:top w:val="nil"/>
            </w:tcBorders>
          </w:tcPr>
          <w:p w:rsidR="000B4C0C" w:rsidRPr="004307C7" w:rsidRDefault="000B4C0C" w:rsidP="00BB4FD3">
            <w:pPr>
              <w:pStyle w:val="TT"/>
              <w:spacing w:line="240" w:lineRule="auto"/>
              <w:ind w:left="80" w:hanging="80"/>
              <w:rPr>
                <w:noProof/>
                <w:color w:val="auto"/>
                <w:sz w:val="14"/>
                <w:szCs w:val="14"/>
                <w:lang w:val="en-GB"/>
              </w:rPr>
            </w:pPr>
          </w:p>
        </w:tc>
        <w:tc>
          <w:tcPr>
            <w:tcW w:w="130" w:type="pct"/>
            <w:tcBorders>
              <w:top w:val="nil"/>
            </w:tcBorders>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Borders>
              <w:top w:val="nil"/>
            </w:tcBorders>
          </w:tcPr>
          <w:p w:rsidR="000B4C0C" w:rsidRPr="004307C7" w:rsidRDefault="000B4C0C" w:rsidP="00BB4FD3">
            <w:pPr>
              <w:pStyle w:val="TT"/>
              <w:spacing w:line="240" w:lineRule="auto"/>
              <w:ind w:left="80" w:hanging="80"/>
              <w:rPr>
                <w:noProof/>
                <w:color w:val="auto"/>
                <w:sz w:val="14"/>
                <w:szCs w:val="14"/>
                <w:lang w:val="en-GB"/>
              </w:rPr>
            </w:pPr>
          </w:p>
        </w:tc>
        <w:tc>
          <w:tcPr>
            <w:tcW w:w="123" w:type="pct"/>
            <w:tcBorders>
              <w:top w:val="nil"/>
            </w:tcBorders>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Borders>
              <w:top w:val="nil"/>
            </w:tcBorders>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Vascular disease</w:t>
            </w:r>
          </w:p>
        </w:tc>
        <w:tc>
          <w:tcPr>
            <w:tcW w:w="181" w:type="pct"/>
            <w:tcBorders>
              <w:top w:val="nil"/>
            </w:tcBorders>
          </w:tcPr>
          <w:p w:rsidR="000B4C0C" w:rsidRPr="004307C7" w:rsidRDefault="000B4C0C" w:rsidP="00BB4FD3">
            <w:pPr>
              <w:pStyle w:val="TT"/>
              <w:spacing w:line="240" w:lineRule="auto"/>
              <w:ind w:left="80" w:hanging="80"/>
              <w:rPr>
                <w:noProof/>
                <w:color w:val="auto"/>
                <w:sz w:val="14"/>
                <w:szCs w:val="14"/>
                <w:lang w:val="en-GB"/>
              </w:rPr>
            </w:pPr>
          </w:p>
        </w:tc>
        <w:tc>
          <w:tcPr>
            <w:tcW w:w="436" w:type="pct"/>
            <w:tcBorders>
              <w:top w:val="nil"/>
            </w:tcBorders>
          </w:tcPr>
          <w:p w:rsidR="000B4C0C" w:rsidRPr="004307C7" w:rsidRDefault="000B4C0C" w:rsidP="00BB4FD3">
            <w:pPr>
              <w:pStyle w:val="TT"/>
              <w:spacing w:line="240" w:lineRule="auto"/>
              <w:ind w:left="80" w:hanging="80"/>
              <w:rPr>
                <w:noProof/>
                <w:color w:val="auto"/>
                <w:sz w:val="14"/>
                <w:szCs w:val="14"/>
                <w:lang w:val="en-GB"/>
              </w:rPr>
            </w:pPr>
          </w:p>
        </w:tc>
        <w:tc>
          <w:tcPr>
            <w:tcW w:w="303" w:type="pct"/>
            <w:tcBorders>
              <w:top w:val="nil"/>
            </w:tcBorders>
          </w:tcPr>
          <w:p w:rsidR="000B4C0C" w:rsidRPr="004307C7" w:rsidRDefault="000B4C0C" w:rsidP="00BB4FD3">
            <w:pPr>
              <w:pStyle w:val="TT"/>
              <w:spacing w:line="240" w:lineRule="auto"/>
              <w:ind w:left="80" w:hanging="80"/>
              <w:rPr>
                <w:noProof/>
                <w:color w:val="auto"/>
                <w:sz w:val="14"/>
                <w:szCs w:val="14"/>
                <w:lang w:val="en-GB"/>
              </w:rPr>
            </w:pPr>
          </w:p>
        </w:tc>
        <w:tc>
          <w:tcPr>
            <w:tcW w:w="476" w:type="pct"/>
            <w:tcBorders>
              <w:top w:val="nil"/>
            </w:tcBorders>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Pyruvate</w:t>
            </w:r>
          </w:p>
        </w:tc>
        <w:tc>
          <w:tcPr>
            <w:tcW w:w="519" w:type="pct"/>
            <w:tcBorders>
              <w:top w:val="nil"/>
            </w:tcBorders>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LDL CH3</w:t>
            </w:r>
          </w:p>
        </w:tc>
        <w:tc>
          <w:tcPr>
            <w:tcW w:w="585" w:type="pct"/>
            <w:tcBorders>
              <w:top w:val="nil"/>
            </w:tcBorders>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Formate</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Valine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tcPr>
          <w:p w:rsidR="000B4C0C" w:rsidRPr="004307C7" w:rsidRDefault="000B4C0C" w:rsidP="00BB4FD3">
            <w:pPr>
              <w:pStyle w:val="TT"/>
              <w:spacing w:line="240" w:lineRule="auto"/>
              <w:ind w:left="80" w:hanging="80"/>
              <w:rPr>
                <w:noProof/>
                <w:color w:val="auto"/>
                <w:sz w:val="14"/>
                <w:szCs w:val="14"/>
                <w:lang w:val="en-GB"/>
              </w:rPr>
            </w:pP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Lipid CH2CH2C=C</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tcPr>
          <w:p w:rsidR="000B4C0C" w:rsidRPr="004307C7" w:rsidRDefault="000B4C0C" w:rsidP="00BB4FD3">
            <w:pPr>
              <w:pStyle w:val="TT"/>
              <w:spacing w:line="240" w:lineRule="auto"/>
              <w:ind w:left="80" w:hanging="80"/>
              <w:rPr>
                <w:noProof/>
                <w:color w:val="auto"/>
                <w:sz w:val="14"/>
                <w:szCs w:val="14"/>
                <w:lang w:val="en-GB"/>
              </w:rPr>
            </w:pP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Glutamine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tcPr>
          <w:p w:rsidR="000B4C0C" w:rsidRPr="004307C7" w:rsidRDefault="000B4C0C" w:rsidP="00BB4FD3">
            <w:pPr>
              <w:pStyle w:val="TT"/>
              <w:spacing w:line="240" w:lineRule="auto"/>
              <w:ind w:left="80" w:hanging="80"/>
              <w:rPr>
                <w:noProof/>
                <w:color w:val="auto"/>
                <w:sz w:val="14"/>
                <w:szCs w:val="14"/>
                <w:lang w:val="en-GB"/>
              </w:rPr>
            </w:pP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Methanol</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Urine</w:t>
            </w: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O-acetylcarnitine</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Citrate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Trimethylamine-NO-oxide</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Dimethylamine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Betaine</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Creatine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Carnitine</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Glycine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tcPr>
          <w:p w:rsidR="000B4C0C" w:rsidRPr="004307C7" w:rsidRDefault="000B4C0C" w:rsidP="00BB4FD3">
            <w:pPr>
              <w:pStyle w:val="TT"/>
              <w:spacing w:line="240" w:lineRule="auto"/>
              <w:ind w:left="80" w:hanging="80"/>
              <w:rPr>
                <w:noProof/>
                <w:color w:val="auto"/>
                <w:sz w:val="14"/>
                <w:szCs w:val="14"/>
                <w:lang w:val="en-GB"/>
              </w:rPr>
            </w:pP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Hippurate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Jiang</w:t>
            </w:r>
          </w:p>
        </w:tc>
        <w:tc>
          <w:tcPr>
            <w:tcW w:w="173" w:type="pct"/>
            <w:hideMark/>
          </w:tcPr>
          <w:p w:rsidR="000B4C0C" w:rsidRPr="004307C7" w:rsidRDefault="000B4C0C" w:rsidP="00BB4FD3">
            <w:pPr>
              <w:pStyle w:val="TT"/>
              <w:spacing w:line="240" w:lineRule="auto"/>
              <w:ind w:left="80" w:hanging="80"/>
              <w:jc w:val="center"/>
              <w:rPr>
                <w:noProof/>
                <w:color w:val="auto"/>
                <w:sz w:val="14"/>
                <w:szCs w:val="14"/>
                <w:lang w:val="en-GB"/>
              </w:rPr>
            </w:pPr>
            <w:r w:rsidRPr="004307C7">
              <w:rPr>
                <w:noProof/>
                <w:color w:val="auto"/>
                <w:sz w:val="14"/>
                <w:szCs w:val="14"/>
                <w:lang w:val="en-GB"/>
              </w:rPr>
              <w:t>2011</w:t>
            </w:r>
          </w:p>
        </w:tc>
        <w:tc>
          <w:tcPr>
            <w:tcW w:w="170"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China</w:t>
            </w:r>
          </w:p>
        </w:tc>
        <w:tc>
          <w:tcPr>
            <w:tcW w:w="350"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Cerebral infarction</w:t>
            </w:r>
          </w:p>
        </w:tc>
        <w:tc>
          <w:tcPr>
            <w:tcW w:w="390"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sym w:font="Symbol" w:char="F0A3"/>
            </w:r>
            <w:r w:rsidRPr="004307C7">
              <w:rPr>
                <w:noProof/>
                <w:color w:val="auto"/>
                <w:sz w:val="14"/>
                <w:szCs w:val="14"/>
                <w:lang w:val="en-GB"/>
              </w:rPr>
              <w:t>6 hours</w:t>
            </w:r>
          </w:p>
        </w:tc>
        <w:tc>
          <w:tcPr>
            <w:tcW w:w="130" w:type="pct"/>
            <w:hideMark/>
          </w:tcPr>
          <w:p w:rsidR="000B4C0C" w:rsidRPr="004307C7" w:rsidRDefault="000B4C0C" w:rsidP="00BB4FD3">
            <w:pPr>
              <w:pStyle w:val="TT"/>
              <w:spacing w:line="240" w:lineRule="auto"/>
              <w:ind w:left="80" w:hanging="80"/>
              <w:jc w:val="center"/>
              <w:rPr>
                <w:noProof/>
                <w:color w:val="auto"/>
                <w:sz w:val="14"/>
                <w:szCs w:val="14"/>
                <w:lang w:val="en-GB"/>
              </w:rPr>
            </w:pPr>
            <w:r w:rsidRPr="004307C7">
              <w:rPr>
                <w:noProof/>
                <w:color w:val="auto"/>
                <w:sz w:val="14"/>
                <w:szCs w:val="14"/>
                <w:lang w:val="en-GB"/>
              </w:rPr>
              <w:t>67</w:t>
            </w:r>
          </w:p>
        </w:tc>
        <w:tc>
          <w:tcPr>
            <w:tcW w:w="483"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Routine outpatient attendees</w:t>
            </w:r>
          </w:p>
        </w:tc>
        <w:tc>
          <w:tcPr>
            <w:tcW w:w="123" w:type="pct"/>
            <w:hideMark/>
          </w:tcPr>
          <w:p w:rsidR="000B4C0C" w:rsidRPr="004307C7" w:rsidRDefault="000B4C0C" w:rsidP="00BB4FD3">
            <w:pPr>
              <w:pStyle w:val="TT"/>
              <w:spacing w:line="240" w:lineRule="auto"/>
              <w:ind w:left="80" w:hanging="80"/>
              <w:jc w:val="center"/>
              <w:rPr>
                <w:noProof/>
                <w:color w:val="auto"/>
                <w:sz w:val="14"/>
                <w:szCs w:val="14"/>
                <w:lang w:val="en-GB"/>
              </w:rPr>
            </w:pPr>
            <w:r w:rsidRPr="004307C7">
              <w:rPr>
                <w:noProof/>
                <w:color w:val="auto"/>
                <w:sz w:val="14"/>
                <w:szCs w:val="14"/>
                <w:lang w:val="en-GB"/>
              </w:rPr>
              <w:t>62</w:t>
            </w: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Previous stroke</w:t>
            </w:r>
          </w:p>
        </w:tc>
        <w:tc>
          <w:tcPr>
            <w:tcW w:w="181"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Serum</w:t>
            </w:r>
          </w:p>
        </w:tc>
        <w:tc>
          <w:tcPr>
            <w:tcW w:w="43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Ultra–high-</w:t>
            </w:r>
            <w:r w:rsidR="00F54575">
              <w:rPr>
                <w:noProof/>
                <w:color w:val="auto"/>
                <w:sz w:val="14"/>
                <w:szCs w:val="14"/>
                <w:lang w:val="en-GB"/>
              </w:rPr>
              <w:br/>
            </w:r>
            <w:r w:rsidRPr="004307C7">
              <w:rPr>
                <w:noProof/>
                <w:color w:val="auto"/>
                <w:sz w:val="14"/>
                <w:szCs w:val="14"/>
                <w:lang w:val="en-GB"/>
              </w:rPr>
              <w:t>pressure liquid chromatography and time of flight MS (negative ionization mode)</w:t>
            </w:r>
          </w:p>
        </w:tc>
        <w:tc>
          <w:tcPr>
            <w:tcW w:w="303"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Untargeted</w:t>
            </w: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Cysteine</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Folic acid</w:t>
            </w:r>
          </w:p>
        </w:tc>
        <w:tc>
          <w:tcPr>
            <w:tcW w:w="58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 xml:space="preserve">Partial least square </w:t>
            </w:r>
            <w:r w:rsidRPr="004307C7">
              <w:rPr>
                <w:i/>
                <w:noProof/>
                <w:color w:val="auto"/>
                <w:sz w:val="14"/>
                <w:szCs w:val="14"/>
                <w:lang w:val="en-GB"/>
              </w:rPr>
              <w:t>k</w:t>
            </w:r>
            <w:r w:rsidRPr="004307C7">
              <w:rPr>
                <w:noProof/>
                <w:color w:val="auto"/>
                <w:sz w:val="14"/>
                <w:szCs w:val="14"/>
                <w:lang w:val="en-GB"/>
              </w:rPr>
              <w:t>-nearest neighbor (</w:t>
            </w:r>
            <w:r w:rsidRPr="004307C7">
              <w:rPr>
                <w:i/>
                <w:noProof/>
                <w:color w:val="auto"/>
                <w:sz w:val="14"/>
                <w:szCs w:val="14"/>
                <w:lang w:val="en-GB"/>
              </w:rPr>
              <w:t>k</w:t>
            </w:r>
            <w:r w:rsidRPr="004307C7">
              <w:rPr>
                <w:noProof/>
                <w:color w:val="auto"/>
                <w:sz w:val="14"/>
                <w:szCs w:val="14"/>
                <w:lang w:val="en-GB"/>
              </w:rPr>
              <w:t xml:space="preserve"> = 3); training and test division randomly carried out in 20 trials</w:t>
            </w: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Cancer</w:t>
            </w: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S-adenosyl homocysteine</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Tetrahydrofolate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Cardiac insufficiency</w:t>
            </w: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Oxidized glutathione</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Adenosine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Hepatosis</w:t>
            </w: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Hydroxyeicosate-traenoic acid</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Aldosterone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Renal failure</w:t>
            </w: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Hydroxyocta-decadienoic acid</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Deoxocathasterone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Respiratory failure</w:t>
            </w: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tcPr>
          <w:p w:rsidR="000B4C0C" w:rsidRPr="004307C7" w:rsidRDefault="000B4C0C" w:rsidP="00BB4FD3">
            <w:pPr>
              <w:pStyle w:val="TT"/>
              <w:spacing w:line="240" w:lineRule="auto"/>
              <w:ind w:left="80" w:hanging="80"/>
              <w:rPr>
                <w:noProof/>
                <w:color w:val="auto"/>
                <w:sz w:val="14"/>
                <w:szCs w:val="14"/>
                <w:lang w:val="en-GB"/>
              </w:rPr>
            </w:pP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Sucrose-6-phosphate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GI hemorrhage</w:t>
            </w: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tcPr>
          <w:p w:rsidR="000B4C0C" w:rsidRPr="004307C7" w:rsidRDefault="000B4C0C" w:rsidP="00BB4FD3">
            <w:pPr>
              <w:pStyle w:val="TT"/>
              <w:spacing w:line="240" w:lineRule="auto"/>
              <w:ind w:left="80" w:hanging="80"/>
              <w:rPr>
                <w:noProof/>
                <w:color w:val="auto"/>
                <w:sz w:val="14"/>
                <w:szCs w:val="14"/>
                <w:lang w:val="en-GB"/>
              </w:rPr>
            </w:pP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Betanin</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Kimberly</w:t>
            </w:r>
          </w:p>
        </w:tc>
        <w:tc>
          <w:tcPr>
            <w:tcW w:w="173" w:type="pct"/>
            <w:hideMark/>
          </w:tcPr>
          <w:p w:rsidR="000B4C0C" w:rsidRPr="004307C7" w:rsidRDefault="000B4C0C" w:rsidP="00BB4FD3">
            <w:pPr>
              <w:pStyle w:val="TT"/>
              <w:spacing w:line="240" w:lineRule="auto"/>
              <w:ind w:left="80" w:hanging="80"/>
              <w:jc w:val="center"/>
              <w:rPr>
                <w:noProof/>
                <w:color w:val="auto"/>
                <w:sz w:val="14"/>
                <w:szCs w:val="14"/>
                <w:lang w:val="en-GB"/>
              </w:rPr>
            </w:pPr>
            <w:r w:rsidRPr="004307C7">
              <w:rPr>
                <w:noProof/>
                <w:color w:val="auto"/>
                <w:sz w:val="14"/>
                <w:szCs w:val="14"/>
                <w:lang w:val="en-GB"/>
              </w:rPr>
              <w:t>2013</w:t>
            </w:r>
          </w:p>
        </w:tc>
        <w:tc>
          <w:tcPr>
            <w:tcW w:w="170"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USA</w:t>
            </w:r>
          </w:p>
        </w:tc>
        <w:tc>
          <w:tcPr>
            <w:tcW w:w="350"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Cardio-embolic stroke</w:t>
            </w:r>
          </w:p>
        </w:tc>
        <w:tc>
          <w:tcPr>
            <w:tcW w:w="390"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&lt;9 hours</w:t>
            </w:r>
          </w:p>
        </w:tc>
        <w:tc>
          <w:tcPr>
            <w:tcW w:w="130" w:type="pct"/>
            <w:hideMark/>
          </w:tcPr>
          <w:p w:rsidR="000B4C0C" w:rsidRPr="004307C7" w:rsidRDefault="000B4C0C" w:rsidP="00BB4FD3">
            <w:pPr>
              <w:pStyle w:val="TT"/>
              <w:spacing w:line="240" w:lineRule="auto"/>
              <w:ind w:left="80" w:hanging="80"/>
              <w:jc w:val="center"/>
              <w:rPr>
                <w:noProof/>
                <w:color w:val="auto"/>
                <w:sz w:val="14"/>
                <w:szCs w:val="14"/>
                <w:lang w:val="en-GB"/>
              </w:rPr>
            </w:pPr>
            <w:r w:rsidRPr="004307C7">
              <w:rPr>
                <w:noProof/>
                <w:color w:val="auto"/>
                <w:sz w:val="14"/>
                <w:szCs w:val="14"/>
                <w:lang w:val="en-GB"/>
              </w:rPr>
              <w:t>52</w:t>
            </w:r>
          </w:p>
        </w:tc>
        <w:tc>
          <w:tcPr>
            <w:tcW w:w="483"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TIA or nonstroke (acutely presenting patients)</w:t>
            </w:r>
          </w:p>
        </w:tc>
        <w:tc>
          <w:tcPr>
            <w:tcW w:w="123" w:type="pct"/>
            <w:hideMark/>
          </w:tcPr>
          <w:p w:rsidR="000B4C0C" w:rsidRPr="004307C7" w:rsidRDefault="000B4C0C" w:rsidP="00BB4FD3">
            <w:pPr>
              <w:pStyle w:val="TT"/>
              <w:spacing w:line="240" w:lineRule="auto"/>
              <w:ind w:left="80" w:hanging="80"/>
              <w:jc w:val="center"/>
              <w:rPr>
                <w:noProof/>
                <w:color w:val="auto"/>
                <w:sz w:val="14"/>
                <w:szCs w:val="14"/>
                <w:lang w:val="en-GB"/>
              </w:rPr>
            </w:pPr>
            <w:r w:rsidRPr="004307C7">
              <w:rPr>
                <w:noProof/>
                <w:color w:val="auto"/>
                <w:sz w:val="14"/>
                <w:szCs w:val="14"/>
                <w:lang w:val="en-GB"/>
              </w:rPr>
              <w:t>32</w:t>
            </w: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None stated</w:t>
            </w:r>
          </w:p>
        </w:tc>
        <w:tc>
          <w:tcPr>
            <w:tcW w:w="181"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Plasma</w:t>
            </w:r>
          </w:p>
        </w:tc>
        <w:tc>
          <w:tcPr>
            <w:tcW w:w="43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High-performance liquid chromatography</w:t>
            </w:r>
          </w:p>
        </w:tc>
        <w:tc>
          <w:tcPr>
            <w:tcW w:w="303"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Targeted</w:t>
            </w: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Glucose</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Leucine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HILIC MS</w:t>
            </w: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tcPr>
          <w:p w:rsidR="000B4C0C" w:rsidRPr="004307C7" w:rsidRDefault="000B4C0C" w:rsidP="00BB4FD3">
            <w:pPr>
              <w:pStyle w:val="TT"/>
              <w:spacing w:line="240" w:lineRule="auto"/>
              <w:ind w:left="80" w:hanging="80"/>
              <w:rPr>
                <w:noProof/>
                <w:color w:val="auto"/>
                <w:sz w:val="14"/>
                <w:szCs w:val="14"/>
                <w:lang w:val="en-GB"/>
              </w:rPr>
            </w:pP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Isoleucine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tcPr>
          <w:p w:rsidR="000B4C0C" w:rsidRPr="004307C7" w:rsidRDefault="000B4C0C" w:rsidP="00BB4FD3">
            <w:pPr>
              <w:pStyle w:val="TT"/>
              <w:spacing w:line="240" w:lineRule="auto"/>
              <w:ind w:left="80" w:hanging="80"/>
              <w:rPr>
                <w:noProof/>
                <w:color w:val="auto"/>
                <w:sz w:val="14"/>
                <w:szCs w:val="14"/>
                <w:lang w:val="en-GB"/>
              </w:rPr>
            </w:pP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Valine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Jove</w:t>
            </w:r>
          </w:p>
        </w:tc>
        <w:tc>
          <w:tcPr>
            <w:tcW w:w="173" w:type="pct"/>
            <w:hideMark/>
          </w:tcPr>
          <w:p w:rsidR="000B4C0C" w:rsidRPr="004307C7" w:rsidRDefault="000B4C0C" w:rsidP="00BB4FD3">
            <w:pPr>
              <w:pStyle w:val="TT"/>
              <w:spacing w:line="240" w:lineRule="auto"/>
              <w:ind w:left="80" w:hanging="80"/>
              <w:jc w:val="center"/>
              <w:rPr>
                <w:noProof/>
                <w:color w:val="auto"/>
                <w:sz w:val="14"/>
                <w:szCs w:val="14"/>
                <w:lang w:val="en-GB"/>
              </w:rPr>
            </w:pPr>
            <w:r w:rsidRPr="004307C7">
              <w:rPr>
                <w:noProof/>
                <w:color w:val="auto"/>
                <w:sz w:val="14"/>
                <w:szCs w:val="14"/>
                <w:lang w:val="en-GB"/>
              </w:rPr>
              <w:t>2015</w:t>
            </w:r>
          </w:p>
        </w:tc>
        <w:tc>
          <w:tcPr>
            <w:tcW w:w="170"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Spain</w:t>
            </w:r>
          </w:p>
        </w:tc>
        <w:tc>
          <w:tcPr>
            <w:tcW w:w="350"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Stroke following previous TIA</w:t>
            </w:r>
          </w:p>
        </w:tc>
        <w:tc>
          <w:tcPr>
            <w:tcW w:w="390"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sym w:font="Symbol" w:char="F0A3"/>
            </w:r>
            <w:r w:rsidRPr="004307C7">
              <w:rPr>
                <w:noProof/>
                <w:color w:val="auto"/>
                <w:sz w:val="14"/>
                <w:szCs w:val="14"/>
                <w:lang w:val="en-GB"/>
              </w:rPr>
              <w:t xml:space="preserve">24 hours of </w:t>
            </w:r>
            <w:r w:rsidR="00ED1E56">
              <w:rPr>
                <w:noProof/>
                <w:color w:val="auto"/>
                <w:sz w:val="14"/>
                <w:szCs w:val="14"/>
                <w:lang w:val="en-GB"/>
              </w:rPr>
              <w:br/>
            </w:r>
            <w:r w:rsidRPr="004307C7">
              <w:rPr>
                <w:noProof/>
                <w:color w:val="auto"/>
                <w:sz w:val="14"/>
                <w:szCs w:val="14"/>
                <w:lang w:val="en-GB"/>
              </w:rPr>
              <w:t>initial TIA</w:t>
            </w:r>
          </w:p>
        </w:tc>
        <w:tc>
          <w:tcPr>
            <w:tcW w:w="130" w:type="pct"/>
            <w:hideMark/>
          </w:tcPr>
          <w:p w:rsidR="000B4C0C" w:rsidRPr="004307C7" w:rsidRDefault="000B4C0C" w:rsidP="00BB4FD3">
            <w:pPr>
              <w:pStyle w:val="TT"/>
              <w:spacing w:line="240" w:lineRule="auto"/>
              <w:ind w:left="80" w:hanging="80"/>
              <w:jc w:val="center"/>
              <w:rPr>
                <w:noProof/>
                <w:color w:val="auto"/>
                <w:sz w:val="14"/>
                <w:szCs w:val="14"/>
                <w:lang w:val="en-GB"/>
              </w:rPr>
            </w:pPr>
            <w:r w:rsidRPr="004307C7">
              <w:rPr>
                <w:noProof/>
                <w:color w:val="auto"/>
                <w:sz w:val="14"/>
                <w:szCs w:val="14"/>
                <w:lang w:val="en-GB"/>
              </w:rPr>
              <w:t>35</w:t>
            </w:r>
          </w:p>
        </w:tc>
        <w:tc>
          <w:tcPr>
            <w:tcW w:w="483"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TIA patients that did not suffer subsequent stroke</w:t>
            </w:r>
          </w:p>
        </w:tc>
        <w:tc>
          <w:tcPr>
            <w:tcW w:w="123" w:type="pct"/>
            <w:hideMark/>
          </w:tcPr>
          <w:p w:rsidR="000B4C0C" w:rsidRPr="004307C7" w:rsidRDefault="000B4C0C" w:rsidP="00BB4FD3">
            <w:pPr>
              <w:pStyle w:val="TT"/>
              <w:spacing w:line="240" w:lineRule="auto"/>
              <w:ind w:left="80" w:hanging="80"/>
              <w:jc w:val="center"/>
              <w:rPr>
                <w:noProof/>
                <w:color w:val="auto"/>
                <w:sz w:val="14"/>
                <w:szCs w:val="14"/>
                <w:lang w:val="en-GB"/>
              </w:rPr>
            </w:pPr>
            <w:r w:rsidRPr="004307C7">
              <w:rPr>
                <w:noProof/>
                <w:color w:val="auto"/>
                <w:sz w:val="14"/>
                <w:szCs w:val="14"/>
                <w:lang w:val="en-GB"/>
              </w:rPr>
              <w:t>258</w:t>
            </w: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None stated</w:t>
            </w:r>
          </w:p>
        </w:tc>
        <w:tc>
          <w:tcPr>
            <w:tcW w:w="181"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Plasma</w:t>
            </w:r>
          </w:p>
        </w:tc>
        <w:tc>
          <w:tcPr>
            <w:tcW w:w="43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Liquid chromatography</w:t>
            </w:r>
          </w:p>
        </w:tc>
        <w:tc>
          <w:tcPr>
            <w:tcW w:w="303"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Untargeted</w:t>
            </w: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Myristoyl-ethanolamine</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1-Monopalmitin</w:t>
            </w:r>
          </w:p>
        </w:tc>
        <w:tc>
          <w:tcPr>
            <w:tcW w:w="58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Second cohort of patients</w:t>
            </w: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MS</w:t>
            </w: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tcPr>
          <w:p w:rsidR="000B4C0C" w:rsidRPr="004307C7" w:rsidRDefault="000B4C0C" w:rsidP="00BB4FD3">
            <w:pPr>
              <w:pStyle w:val="TT"/>
              <w:spacing w:line="240" w:lineRule="auto"/>
              <w:ind w:left="80" w:hanging="80"/>
              <w:rPr>
                <w:noProof/>
                <w:color w:val="auto"/>
                <w:sz w:val="14"/>
                <w:szCs w:val="14"/>
                <w:lang w:val="en-GB"/>
              </w:rPr>
            </w:pP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Dodecanoic acid</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tcPr>
          <w:p w:rsidR="000B4C0C" w:rsidRPr="004307C7" w:rsidRDefault="000B4C0C" w:rsidP="00BB4FD3">
            <w:pPr>
              <w:pStyle w:val="TT"/>
              <w:spacing w:line="240" w:lineRule="auto"/>
              <w:ind w:left="80" w:hanging="80"/>
              <w:rPr>
                <w:noProof/>
                <w:color w:val="auto"/>
                <w:sz w:val="14"/>
                <w:szCs w:val="14"/>
                <w:lang w:val="en-GB"/>
              </w:rPr>
            </w:pP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Mesoerythritol</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tcPr>
          <w:p w:rsidR="000B4C0C" w:rsidRPr="004307C7" w:rsidRDefault="000B4C0C" w:rsidP="00BB4FD3">
            <w:pPr>
              <w:pStyle w:val="TT"/>
              <w:spacing w:line="240" w:lineRule="auto"/>
              <w:ind w:left="80" w:hanging="80"/>
              <w:rPr>
                <w:noProof/>
                <w:color w:val="auto"/>
                <w:sz w:val="14"/>
                <w:szCs w:val="14"/>
                <w:lang w:val="en-GB"/>
              </w:rPr>
            </w:pP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Threonate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tcPr>
          <w:p w:rsidR="000B4C0C" w:rsidRPr="004307C7" w:rsidRDefault="000B4C0C" w:rsidP="00BB4FD3">
            <w:pPr>
              <w:pStyle w:val="TT"/>
              <w:spacing w:line="240" w:lineRule="auto"/>
              <w:ind w:left="80" w:hanging="80"/>
              <w:rPr>
                <w:noProof/>
                <w:color w:val="auto"/>
                <w:sz w:val="14"/>
                <w:szCs w:val="14"/>
                <w:lang w:val="en-GB"/>
              </w:rPr>
            </w:pP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Lysophosphatidyl-choline (LysoPC[16:0])</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Liu</w:t>
            </w:r>
          </w:p>
        </w:tc>
        <w:tc>
          <w:tcPr>
            <w:tcW w:w="173" w:type="pct"/>
            <w:hideMark/>
          </w:tcPr>
          <w:p w:rsidR="000B4C0C" w:rsidRPr="004307C7" w:rsidRDefault="000B4C0C" w:rsidP="00BB4FD3">
            <w:pPr>
              <w:pStyle w:val="TT"/>
              <w:spacing w:line="240" w:lineRule="auto"/>
              <w:ind w:left="80" w:hanging="80"/>
              <w:jc w:val="center"/>
              <w:rPr>
                <w:noProof/>
                <w:color w:val="auto"/>
                <w:sz w:val="14"/>
                <w:szCs w:val="14"/>
                <w:lang w:val="en-GB"/>
              </w:rPr>
            </w:pPr>
            <w:r w:rsidRPr="004307C7">
              <w:rPr>
                <w:noProof/>
                <w:color w:val="auto"/>
                <w:sz w:val="14"/>
                <w:szCs w:val="14"/>
                <w:lang w:val="en-GB"/>
              </w:rPr>
              <w:t>2015</w:t>
            </w:r>
          </w:p>
        </w:tc>
        <w:tc>
          <w:tcPr>
            <w:tcW w:w="170"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China</w:t>
            </w:r>
          </w:p>
        </w:tc>
        <w:tc>
          <w:tcPr>
            <w:tcW w:w="350"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Stroke or TIA</w:t>
            </w:r>
          </w:p>
        </w:tc>
        <w:tc>
          <w:tcPr>
            <w:tcW w:w="390"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Not stated</w:t>
            </w:r>
          </w:p>
        </w:tc>
        <w:tc>
          <w:tcPr>
            <w:tcW w:w="130" w:type="pct"/>
            <w:hideMark/>
          </w:tcPr>
          <w:p w:rsidR="000B4C0C" w:rsidRPr="004307C7" w:rsidRDefault="000B4C0C" w:rsidP="00BB4FD3">
            <w:pPr>
              <w:pStyle w:val="TT"/>
              <w:spacing w:line="240" w:lineRule="auto"/>
              <w:ind w:left="80" w:hanging="80"/>
              <w:jc w:val="center"/>
              <w:rPr>
                <w:noProof/>
                <w:color w:val="auto"/>
                <w:sz w:val="14"/>
                <w:szCs w:val="14"/>
                <w:lang w:val="en-GB"/>
              </w:rPr>
            </w:pPr>
            <w:r w:rsidRPr="004307C7">
              <w:rPr>
                <w:noProof/>
                <w:color w:val="auto"/>
                <w:sz w:val="14"/>
                <w:szCs w:val="14"/>
                <w:lang w:val="en-GB"/>
              </w:rPr>
              <w:t>60</w:t>
            </w:r>
          </w:p>
        </w:tc>
        <w:tc>
          <w:tcPr>
            <w:tcW w:w="483"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Healthy volunteers</w:t>
            </w:r>
          </w:p>
        </w:tc>
        <w:tc>
          <w:tcPr>
            <w:tcW w:w="123" w:type="pct"/>
            <w:hideMark/>
          </w:tcPr>
          <w:p w:rsidR="000B4C0C" w:rsidRPr="004307C7" w:rsidRDefault="000B4C0C" w:rsidP="00BB4FD3">
            <w:pPr>
              <w:pStyle w:val="TT"/>
              <w:spacing w:line="240" w:lineRule="auto"/>
              <w:ind w:left="80" w:hanging="80"/>
              <w:jc w:val="center"/>
              <w:rPr>
                <w:noProof/>
                <w:color w:val="auto"/>
                <w:sz w:val="14"/>
                <w:szCs w:val="14"/>
                <w:lang w:val="en-GB"/>
              </w:rPr>
            </w:pPr>
            <w:r w:rsidRPr="004307C7">
              <w:rPr>
                <w:noProof/>
                <w:color w:val="auto"/>
                <w:sz w:val="14"/>
                <w:szCs w:val="14"/>
                <w:lang w:val="en-GB"/>
              </w:rPr>
              <w:t>20</w:t>
            </w: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Prestroke cognitive impairment</w:t>
            </w:r>
          </w:p>
        </w:tc>
        <w:tc>
          <w:tcPr>
            <w:tcW w:w="181"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Serum</w:t>
            </w:r>
          </w:p>
        </w:tc>
        <w:tc>
          <w:tcPr>
            <w:tcW w:w="43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Ultra–high-pressure liquid chromatography and time of flight MS</w:t>
            </w: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Carnitine</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Citric acid</w:t>
            </w:r>
          </w:p>
        </w:tc>
        <w:tc>
          <w:tcPr>
            <w:tcW w:w="58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 xml:space="preserve">Separate training and </w:t>
            </w:r>
            <w:r w:rsidR="00F54575">
              <w:rPr>
                <w:noProof/>
                <w:color w:val="auto"/>
                <w:sz w:val="14"/>
                <w:szCs w:val="14"/>
                <w:lang w:val="en-GB"/>
              </w:rPr>
              <w:br/>
            </w:r>
            <w:r w:rsidRPr="004307C7">
              <w:rPr>
                <w:noProof/>
                <w:color w:val="auto"/>
                <w:sz w:val="14"/>
                <w:szCs w:val="14"/>
                <w:lang w:val="en-GB"/>
              </w:rPr>
              <w:t>test sets</w:t>
            </w: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Hemorrhagic stroke</w:t>
            </w: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Creatine</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Valine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Reduced consciousness</w:t>
            </w: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Glutamine</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Isoleucine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Aphasia or dysarthria</w:t>
            </w: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Proline</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Tryptophan</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Acute medical illness</w:t>
            </w: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N-acetyl-neuraminic acid</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LysoPCs</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Cancer</w:t>
            </w: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Hypoxantine</w:t>
            </w:r>
          </w:p>
        </w:tc>
        <w:tc>
          <w:tcPr>
            <w:tcW w:w="519" w:type="pct"/>
          </w:tcPr>
          <w:p w:rsidR="000B4C0C" w:rsidRPr="004307C7" w:rsidRDefault="000B4C0C" w:rsidP="00BB4FD3">
            <w:pPr>
              <w:pStyle w:val="TT"/>
              <w:spacing w:line="240" w:lineRule="auto"/>
              <w:ind w:left="80" w:hanging="80"/>
              <w:rPr>
                <w:noProof/>
                <w:color w:val="auto"/>
                <w:sz w:val="14"/>
                <w:szCs w:val="14"/>
                <w:lang w:val="en-GB"/>
              </w:rPr>
            </w:pP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Infection</w:t>
            </w: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Uric acid</w:t>
            </w:r>
          </w:p>
        </w:tc>
        <w:tc>
          <w:tcPr>
            <w:tcW w:w="519" w:type="pct"/>
          </w:tcPr>
          <w:p w:rsidR="000B4C0C" w:rsidRPr="004307C7" w:rsidRDefault="000B4C0C" w:rsidP="00BB4FD3">
            <w:pPr>
              <w:pStyle w:val="TT"/>
              <w:spacing w:line="240" w:lineRule="auto"/>
              <w:ind w:left="80" w:hanging="80"/>
              <w:rPr>
                <w:noProof/>
                <w:color w:val="auto"/>
                <w:sz w:val="14"/>
                <w:szCs w:val="14"/>
                <w:lang w:val="en-GB"/>
              </w:rPr>
            </w:pP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Tyrosine</w:t>
            </w:r>
          </w:p>
        </w:tc>
        <w:tc>
          <w:tcPr>
            <w:tcW w:w="519" w:type="pct"/>
          </w:tcPr>
          <w:p w:rsidR="000B4C0C" w:rsidRPr="004307C7" w:rsidRDefault="000B4C0C" w:rsidP="00BB4FD3">
            <w:pPr>
              <w:pStyle w:val="TT"/>
              <w:spacing w:line="240" w:lineRule="auto"/>
              <w:ind w:left="80" w:hanging="80"/>
              <w:rPr>
                <w:noProof/>
                <w:color w:val="auto"/>
                <w:sz w:val="14"/>
                <w:szCs w:val="14"/>
                <w:lang w:val="en-GB"/>
              </w:rPr>
            </w:pP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Kynureinine</w:t>
            </w:r>
          </w:p>
        </w:tc>
        <w:tc>
          <w:tcPr>
            <w:tcW w:w="519" w:type="pct"/>
          </w:tcPr>
          <w:p w:rsidR="000B4C0C" w:rsidRPr="004307C7" w:rsidRDefault="000B4C0C" w:rsidP="00BB4FD3">
            <w:pPr>
              <w:pStyle w:val="TT"/>
              <w:spacing w:line="240" w:lineRule="auto"/>
              <w:ind w:left="80" w:hanging="80"/>
              <w:rPr>
                <w:noProof/>
                <w:color w:val="auto"/>
                <w:sz w:val="14"/>
                <w:szCs w:val="14"/>
                <w:lang w:val="en-GB"/>
              </w:rPr>
            </w:pP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Phenylalanine</w:t>
            </w:r>
          </w:p>
        </w:tc>
        <w:tc>
          <w:tcPr>
            <w:tcW w:w="519" w:type="pct"/>
          </w:tcPr>
          <w:p w:rsidR="000B4C0C" w:rsidRPr="004307C7" w:rsidRDefault="000B4C0C" w:rsidP="00BB4FD3">
            <w:pPr>
              <w:pStyle w:val="TT"/>
              <w:spacing w:line="240" w:lineRule="auto"/>
              <w:ind w:left="80" w:hanging="80"/>
              <w:rPr>
                <w:noProof/>
                <w:color w:val="auto"/>
                <w:sz w:val="14"/>
                <w:szCs w:val="14"/>
                <w:lang w:val="en-GB"/>
              </w:rPr>
            </w:pP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Sphingosine-1-phosphate</w:t>
            </w:r>
          </w:p>
        </w:tc>
        <w:tc>
          <w:tcPr>
            <w:tcW w:w="519" w:type="pct"/>
          </w:tcPr>
          <w:p w:rsidR="000B4C0C" w:rsidRPr="004307C7" w:rsidRDefault="000B4C0C" w:rsidP="00BB4FD3">
            <w:pPr>
              <w:pStyle w:val="TT"/>
              <w:spacing w:line="240" w:lineRule="auto"/>
              <w:ind w:left="80" w:hanging="80"/>
              <w:rPr>
                <w:noProof/>
                <w:color w:val="auto"/>
                <w:sz w:val="14"/>
                <w:szCs w:val="14"/>
                <w:lang w:val="en-GB"/>
              </w:rPr>
            </w:pP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Palmitoylcarnitine</w:t>
            </w:r>
          </w:p>
        </w:tc>
        <w:tc>
          <w:tcPr>
            <w:tcW w:w="519" w:type="pct"/>
          </w:tcPr>
          <w:p w:rsidR="000B4C0C" w:rsidRPr="004307C7" w:rsidRDefault="000B4C0C" w:rsidP="00BB4FD3">
            <w:pPr>
              <w:pStyle w:val="TT"/>
              <w:spacing w:line="240" w:lineRule="auto"/>
              <w:ind w:left="80" w:hanging="80"/>
              <w:rPr>
                <w:noProof/>
                <w:color w:val="auto"/>
                <w:sz w:val="14"/>
                <w:szCs w:val="14"/>
                <w:lang w:val="en-GB"/>
              </w:rPr>
            </w:pP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Poststroke cognitive impairment</w:t>
            </w: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hideMark/>
          </w:tcPr>
          <w:p w:rsidR="000B4C0C" w:rsidRPr="004307C7" w:rsidRDefault="000B4C0C" w:rsidP="00BB4FD3">
            <w:pPr>
              <w:pStyle w:val="TT"/>
              <w:spacing w:line="240" w:lineRule="auto"/>
              <w:ind w:left="80" w:hanging="80"/>
              <w:jc w:val="center"/>
              <w:rPr>
                <w:noProof/>
                <w:color w:val="auto"/>
                <w:sz w:val="14"/>
                <w:szCs w:val="14"/>
                <w:lang w:val="en-GB"/>
              </w:rPr>
            </w:pPr>
            <w:r w:rsidRPr="004307C7">
              <w:rPr>
                <w:noProof/>
                <w:color w:val="auto"/>
                <w:sz w:val="14"/>
                <w:szCs w:val="14"/>
                <w:lang w:val="en-GB"/>
              </w:rPr>
              <w:t>30</w:t>
            </w:r>
          </w:p>
        </w:tc>
        <w:tc>
          <w:tcPr>
            <w:tcW w:w="483"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Poststroke without cognitive impairment</w:t>
            </w:r>
          </w:p>
        </w:tc>
        <w:tc>
          <w:tcPr>
            <w:tcW w:w="123" w:type="pct"/>
            <w:hideMark/>
          </w:tcPr>
          <w:p w:rsidR="000B4C0C" w:rsidRPr="004307C7" w:rsidRDefault="000B4C0C" w:rsidP="00BB4FD3">
            <w:pPr>
              <w:pStyle w:val="TT"/>
              <w:spacing w:line="240" w:lineRule="auto"/>
              <w:ind w:left="80" w:hanging="80"/>
              <w:jc w:val="center"/>
              <w:rPr>
                <w:noProof/>
                <w:color w:val="auto"/>
                <w:sz w:val="14"/>
                <w:szCs w:val="14"/>
                <w:lang w:val="en-GB"/>
              </w:rPr>
            </w:pPr>
            <w:r w:rsidRPr="004307C7">
              <w:rPr>
                <w:noProof/>
                <w:color w:val="auto"/>
                <w:sz w:val="14"/>
                <w:szCs w:val="14"/>
                <w:lang w:val="en-GB"/>
              </w:rPr>
              <w:t>30</w:t>
            </w: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Autoimmune disease</w:t>
            </w: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Carnitine</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Valine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Acute neurological illness</w:t>
            </w: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Glutamine</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Isoleucine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Psychiatric disorder</w:t>
            </w: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Uric acid</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Tryptophan</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Tyrosine</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LysoPCs</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Kynurenine</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Palmitoylcarnitine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Phenylalanine</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Stearoylcarnitine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Ding</w:t>
            </w:r>
          </w:p>
        </w:tc>
        <w:tc>
          <w:tcPr>
            <w:tcW w:w="173" w:type="pct"/>
            <w:hideMark/>
          </w:tcPr>
          <w:p w:rsidR="000B4C0C" w:rsidRPr="004307C7" w:rsidRDefault="000B4C0C" w:rsidP="00BB4FD3">
            <w:pPr>
              <w:pStyle w:val="TT"/>
              <w:spacing w:line="240" w:lineRule="auto"/>
              <w:ind w:left="80" w:hanging="80"/>
              <w:jc w:val="center"/>
              <w:rPr>
                <w:noProof/>
                <w:color w:val="auto"/>
                <w:sz w:val="14"/>
                <w:szCs w:val="14"/>
                <w:lang w:val="en-GB"/>
              </w:rPr>
            </w:pPr>
            <w:r w:rsidRPr="004307C7">
              <w:rPr>
                <w:noProof/>
                <w:color w:val="auto"/>
                <w:sz w:val="14"/>
                <w:szCs w:val="14"/>
                <w:lang w:val="en-GB"/>
              </w:rPr>
              <w:t>2016</w:t>
            </w:r>
          </w:p>
        </w:tc>
        <w:tc>
          <w:tcPr>
            <w:tcW w:w="170"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China</w:t>
            </w:r>
          </w:p>
        </w:tc>
        <w:tc>
          <w:tcPr>
            <w:tcW w:w="350"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Stroke</w:t>
            </w:r>
          </w:p>
        </w:tc>
        <w:tc>
          <w:tcPr>
            <w:tcW w:w="390"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&gt;14 days</w:t>
            </w:r>
          </w:p>
        </w:tc>
        <w:tc>
          <w:tcPr>
            <w:tcW w:w="130" w:type="pct"/>
            <w:hideMark/>
          </w:tcPr>
          <w:p w:rsidR="000B4C0C" w:rsidRPr="004307C7" w:rsidRDefault="000B4C0C" w:rsidP="00BB4FD3">
            <w:pPr>
              <w:pStyle w:val="TT"/>
              <w:spacing w:line="240" w:lineRule="auto"/>
              <w:ind w:left="80" w:hanging="80"/>
              <w:jc w:val="center"/>
              <w:rPr>
                <w:noProof/>
                <w:color w:val="auto"/>
                <w:sz w:val="14"/>
                <w:szCs w:val="14"/>
                <w:lang w:val="en-GB"/>
              </w:rPr>
            </w:pPr>
            <w:r w:rsidRPr="004307C7">
              <w:rPr>
                <w:noProof/>
                <w:color w:val="auto"/>
                <w:sz w:val="14"/>
                <w:szCs w:val="14"/>
                <w:lang w:val="en-GB"/>
              </w:rPr>
              <w:t>55</w:t>
            </w:r>
          </w:p>
        </w:tc>
        <w:tc>
          <w:tcPr>
            <w:tcW w:w="483"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Healthy volunteers</w:t>
            </w:r>
          </w:p>
        </w:tc>
        <w:tc>
          <w:tcPr>
            <w:tcW w:w="123" w:type="pct"/>
            <w:hideMark/>
          </w:tcPr>
          <w:p w:rsidR="000B4C0C" w:rsidRPr="004307C7" w:rsidRDefault="000B4C0C" w:rsidP="00BB4FD3">
            <w:pPr>
              <w:pStyle w:val="TT"/>
              <w:spacing w:line="240" w:lineRule="auto"/>
              <w:ind w:left="80" w:hanging="80"/>
              <w:jc w:val="center"/>
              <w:rPr>
                <w:noProof/>
                <w:color w:val="auto"/>
                <w:sz w:val="14"/>
                <w:szCs w:val="14"/>
                <w:lang w:val="en-GB"/>
              </w:rPr>
            </w:pPr>
            <w:r w:rsidRPr="004307C7">
              <w:rPr>
                <w:noProof/>
                <w:color w:val="auto"/>
                <w:sz w:val="14"/>
                <w:szCs w:val="14"/>
                <w:lang w:val="en-GB"/>
              </w:rPr>
              <w:t>32</w:t>
            </w: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Antidepressant</w:t>
            </w:r>
          </w:p>
        </w:tc>
        <w:tc>
          <w:tcPr>
            <w:tcW w:w="181"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Plasma</w:t>
            </w:r>
          </w:p>
        </w:tc>
        <w:tc>
          <w:tcPr>
            <w:tcW w:w="43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Gas chromatography</w:t>
            </w:r>
          </w:p>
        </w:tc>
        <w:tc>
          <w:tcPr>
            <w:tcW w:w="303"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Untargeted</w:t>
            </w: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Aspartic acid</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Palmitic acid</w:t>
            </w:r>
          </w:p>
        </w:tc>
        <w:tc>
          <w:tcPr>
            <w:tcW w:w="58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 xml:space="preserve">Separate training and </w:t>
            </w:r>
            <w:r w:rsidR="00781F1E">
              <w:rPr>
                <w:noProof/>
                <w:color w:val="auto"/>
                <w:sz w:val="14"/>
                <w:szCs w:val="14"/>
                <w:lang w:val="en-GB"/>
              </w:rPr>
              <w:br/>
            </w:r>
            <w:r w:rsidRPr="004307C7">
              <w:rPr>
                <w:noProof/>
                <w:color w:val="auto"/>
                <w:sz w:val="14"/>
                <w:szCs w:val="14"/>
                <w:lang w:val="en-GB"/>
              </w:rPr>
              <w:t>test sets</w:t>
            </w: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Mental health disorder</w:t>
            </w: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MS</w:t>
            </w: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tcPr>
          <w:p w:rsidR="000B4C0C" w:rsidRPr="004307C7" w:rsidRDefault="000B4C0C" w:rsidP="00BB4FD3">
            <w:pPr>
              <w:pStyle w:val="TT"/>
              <w:spacing w:line="240" w:lineRule="auto"/>
              <w:ind w:left="80" w:hanging="80"/>
              <w:rPr>
                <w:noProof/>
                <w:color w:val="auto"/>
                <w:sz w:val="14"/>
                <w:szCs w:val="14"/>
                <w:lang w:val="en-GB"/>
              </w:rPr>
            </w:pP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Stearic acid</w:t>
            </w:r>
          </w:p>
        </w:tc>
        <w:tc>
          <w:tcPr>
            <w:tcW w:w="58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Univariate statistical analysis</w:t>
            </w: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Alcohol excess</w:t>
            </w: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tcPr>
          <w:p w:rsidR="000B4C0C" w:rsidRPr="004307C7" w:rsidRDefault="000B4C0C" w:rsidP="00BB4FD3">
            <w:pPr>
              <w:pStyle w:val="TT"/>
              <w:spacing w:line="240" w:lineRule="auto"/>
              <w:ind w:left="80" w:hanging="80"/>
              <w:rPr>
                <w:noProof/>
                <w:color w:val="auto"/>
                <w:sz w:val="14"/>
                <w:szCs w:val="14"/>
                <w:lang w:val="en-GB"/>
              </w:rPr>
            </w:pP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Oleic acid</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Metabolism disorder</w:t>
            </w: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tcPr>
          <w:p w:rsidR="000B4C0C" w:rsidRPr="004307C7" w:rsidRDefault="000B4C0C" w:rsidP="00BB4FD3">
            <w:pPr>
              <w:pStyle w:val="TT"/>
              <w:spacing w:line="240" w:lineRule="auto"/>
              <w:ind w:left="80" w:hanging="80"/>
              <w:rPr>
                <w:noProof/>
                <w:color w:val="auto"/>
                <w:sz w:val="14"/>
                <w:szCs w:val="14"/>
                <w:lang w:val="en-GB"/>
              </w:rPr>
            </w:pP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Linoleic acid</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Diabetes</w:t>
            </w: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tcPr>
          <w:p w:rsidR="000B4C0C" w:rsidRPr="004307C7" w:rsidRDefault="000B4C0C" w:rsidP="00BB4FD3">
            <w:pPr>
              <w:pStyle w:val="TT"/>
              <w:spacing w:line="240" w:lineRule="auto"/>
              <w:ind w:left="80" w:hanging="80"/>
              <w:rPr>
                <w:noProof/>
                <w:color w:val="auto"/>
                <w:sz w:val="14"/>
                <w:szCs w:val="14"/>
                <w:lang w:val="en-GB"/>
              </w:rPr>
            </w:pP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Phenylalanine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Neurological illness</w:t>
            </w: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tcPr>
          <w:p w:rsidR="000B4C0C" w:rsidRPr="004307C7" w:rsidRDefault="000B4C0C" w:rsidP="00BB4FD3">
            <w:pPr>
              <w:pStyle w:val="TT"/>
              <w:spacing w:line="240" w:lineRule="auto"/>
              <w:ind w:left="80" w:hanging="80"/>
              <w:rPr>
                <w:noProof/>
                <w:color w:val="auto"/>
                <w:sz w:val="14"/>
                <w:szCs w:val="14"/>
                <w:lang w:val="en-GB"/>
              </w:rPr>
            </w:pP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Pyroglutamate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tcPr>
          <w:p w:rsidR="000B4C0C" w:rsidRPr="004307C7" w:rsidRDefault="000B4C0C" w:rsidP="00BB4FD3">
            <w:pPr>
              <w:pStyle w:val="TT"/>
              <w:spacing w:line="240" w:lineRule="auto"/>
              <w:ind w:left="80" w:hanging="80"/>
              <w:rPr>
                <w:noProof/>
                <w:color w:val="auto"/>
                <w:sz w:val="14"/>
                <w:szCs w:val="14"/>
                <w:lang w:val="en-GB"/>
              </w:rPr>
            </w:pP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Serine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tcPr>
          <w:p w:rsidR="000B4C0C" w:rsidRPr="004307C7" w:rsidRDefault="000B4C0C" w:rsidP="00BB4FD3">
            <w:pPr>
              <w:pStyle w:val="TT"/>
              <w:spacing w:line="240" w:lineRule="auto"/>
              <w:ind w:left="80" w:hanging="80"/>
              <w:rPr>
                <w:noProof/>
                <w:color w:val="auto"/>
                <w:sz w:val="14"/>
                <w:szCs w:val="14"/>
                <w:lang w:val="en-GB"/>
              </w:rPr>
            </w:pP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Proline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tcPr>
          <w:p w:rsidR="000B4C0C" w:rsidRPr="004307C7" w:rsidRDefault="000B4C0C" w:rsidP="00BB4FD3">
            <w:pPr>
              <w:pStyle w:val="TT"/>
              <w:spacing w:line="240" w:lineRule="auto"/>
              <w:ind w:left="80" w:hanging="80"/>
              <w:rPr>
                <w:noProof/>
                <w:color w:val="auto"/>
                <w:sz w:val="14"/>
                <w:szCs w:val="14"/>
                <w:lang w:val="en-GB"/>
              </w:rPr>
            </w:pP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Isoleucine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tcPr>
          <w:p w:rsidR="000B4C0C" w:rsidRPr="004307C7" w:rsidRDefault="000B4C0C" w:rsidP="00BB4FD3">
            <w:pPr>
              <w:pStyle w:val="TT"/>
              <w:spacing w:line="240" w:lineRule="auto"/>
              <w:ind w:left="80" w:hanging="80"/>
              <w:rPr>
                <w:noProof/>
                <w:color w:val="auto"/>
                <w:sz w:val="14"/>
                <w:szCs w:val="14"/>
                <w:lang w:val="en-GB"/>
              </w:rPr>
            </w:pP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Valine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Poststroke depressed patients</w:t>
            </w: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hideMark/>
          </w:tcPr>
          <w:p w:rsidR="000B4C0C" w:rsidRPr="004307C7" w:rsidRDefault="000B4C0C" w:rsidP="00BB4FD3">
            <w:pPr>
              <w:pStyle w:val="TT"/>
              <w:spacing w:line="240" w:lineRule="auto"/>
              <w:ind w:left="80" w:hanging="80"/>
              <w:jc w:val="center"/>
              <w:rPr>
                <w:noProof/>
                <w:color w:val="auto"/>
                <w:sz w:val="14"/>
                <w:szCs w:val="14"/>
                <w:lang w:val="en-GB"/>
              </w:rPr>
            </w:pPr>
            <w:r w:rsidRPr="004307C7">
              <w:rPr>
                <w:noProof/>
                <w:color w:val="auto"/>
                <w:sz w:val="14"/>
                <w:szCs w:val="14"/>
                <w:lang w:val="en-GB"/>
              </w:rPr>
              <w:t>28</w:t>
            </w:r>
          </w:p>
        </w:tc>
        <w:tc>
          <w:tcPr>
            <w:tcW w:w="483"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Poststroke nondepressed patients</w:t>
            </w:r>
          </w:p>
        </w:tc>
        <w:tc>
          <w:tcPr>
            <w:tcW w:w="123" w:type="pct"/>
            <w:hideMark/>
          </w:tcPr>
          <w:p w:rsidR="000B4C0C" w:rsidRPr="004307C7" w:rsidRDefault="000B4C0C" w:rsidP="00BB4FD3">
            <w:pPr>
              <w:pStyle w:val="TT"/>
              <w:spacing w:line="240" w:lineRule="auto"/>
              <w:ind w:left="80" w:hanging="80"/>
              <w:jc w:val="center"/>
              <w:rPr>
                <w:noProof/>
                <w:color w:val="auto"/>
                <w:sz w:val="14"/>
                <w:szCs w:val="14"/>
                <w:lang w:val="en-GB"/>
              </w:rPr>
            </w:pPr>
            <w:r w:rsidRPr="004307C7">
              <w:rPr>
                <w:noProof/>
                <w:color w:val="auto"/>
                <w:sz w:val="14"/>
                <w:szCs w:val="14"/>
                <w:lang w:val="en-GB"/>
              </w:rPr>
              <w:t>27</w:t>
            </w: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Palmitic acid</w:t>
            </w:r>
          </w:p>
        </w:tc>
        <w:tc>
          <w:tcPr>
            <w:tcW w:w="519"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Oxalate</w:t>
            </w: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Oleic acid</w:t>
            </w:r>
          </w:p>
        </w:tc>
        <w:tc>
          <w:tcPr>
            <w:tcW w:w="519" w:type="pct"/>
          </w:tcPr>
          <w:p w:rsidR="000B4C0C" w:rsidRPr="004307C7" w:rsidRDefault="000B4C0C" w:rsidP="00BB4FD3">
            <w:pPr>
              <w:pStyle w:val="TT"/>
              <w:spacing w:line="240" w:lineRule="auto"/>
              <w:ind w:left="80" w:hanging="80"/>
              <w:rPr>
                <w:noProof/>
                <w:color w:val="auto"/>
                <w:sz w:val="14"/>
                <w:szCs w:val="14"/>
                <w:lang w:val="en-GB"/>
              </w:rPr>
            </w:pP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Linoleic acid</w:t>
            </w:r>
          </w:p>
        </w:tc>
        <w:tc>
          <w:tcPr>
            <w:tcW w:w="519" w:type="pct"/>
          </w:tcPr>
          <w:p w:rsidR="000B4C0C" w:rsidRPr="004307C7" w:rsidRDefault="000B4C0C" w:rsidP="00BB4FD3">
            <w:pPr>
              <w:pStyle w:val="TT"/>
              <w:spacing w:line="240" w:lineRule="auto"/>
              <w:ind w:left="80" w:hanging="80"/>
              <w:rPr>
                <w:noProof/>
                <w:color w:val="auto"/>
                <w:sz w:val="14"/>
                <w:szCs w:val="14"/>
                <w:lang w:val="en-GB"/>
              </w:rPr>
            </w:pP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Proline</w:t>
            </w:r>
          </w:p>
        </w:tc>
        <w:tc>
          <w:tcPr>
            <w:tcW w:w="519" w:type="pct"/>
          </w:tcPr>
          <w:p w:rsidR="000B4C0C" w:rsidRPr="004307C7" w:rsidRDefault="000B4C0C" w:rsidP="00BB4FD3">
            <w:pPr>
              <w:pStyle w:val="TT"/>
              <w:spacing w:line="240" w:lineRule="auto"/>
              <w:ind w:left="80" w:hanging="80"/>
              <w:rPr>
                <w:noProof/>
                <w:color w:val="auto"/>
                <w:sz w:val="14"/>
                <w:szCs w:val="14"/>
                <w:lang w:val="en-GB"/>
              </w:rPr>
            </w:pP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Pyroglutamate</w:t>
            </w:r>
          </w:p>
        </w:tc>
        <w:tc>
          <w:tcPr>
            <w:tcW w:w="519" w:type="pct"/>
          </w:tcPr>
          <w:p w:rsidR="000B4C0C" w:rsidRPr="004307C7" w:rsidRDefault="000B4C0C" w:rsidP="00BB4FD3">
            <w:pPr>
              <w:pStyle w:val="TT"/>
              <w:spacing w:line="240" w:lineRule="auto"/>
              <w:ind w:left="80" w:hanging="80"/>
              <w:rPr>
                <w:noProof/>
                <w:color w:val="auto"/>
                <w:sz w:val="14"/>
                <w:szCs w:val="14"/>
                <w:lang w:val="en-GB"/>
              </w:rPr>
            </w:pP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r w:rsidR="006D4E5B" w:rsidRPr="004307C7" w:rsidTr="00E911C1">
        <w:tc>
          <w:tcPr>
            <w:tcW w:w="216" w:type="pct"/>
          </w:tcPr>
          <w:p w:rsidR="000B4C0C" w:rsidRPr="004307C7" w:rsidRDefault="000B4C0C" w:rsidP="00BB4FD3">
            <w:pPr>
              <w:pStyle w:val="TT"/>
              <w:spacing w:line="240" w:lineRule="auto"/>
              <w:ind w:left="80" w:hanging="80"/>
              <w:rPr>
                <w:noProof/>
                <w:color w:val="auto"/>
                <w:sz w:val="14"/>
                <w:szCs w:val="14"/>
                <w:lang w:val="en-GB"/>
              </w:rPr>
            </w:pPr>
          </w:p>
        </w:tc>
        <w:tc>
          <w:tcPr>
            <w:tcW w:w="17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170" w:type="pct"/>
          </w:tcPr>
          <w:p w:rsidR="000B4C0C" w:rsidRPr="004307C7" w:rsidRDefault="000B4C0C" w:rsidP="00BB4FD3">
            <w:pPr>
              <w:pStyle w:val="TT"/>
              <w:spacing w:line="240" w:lineRule="auto"/>
              <w:ind w:left="80" w:hanging="80"/>
              <w:rPr>
                <w:noProof/>
                <w:color w:val="auto"/>
                <w:sz w:val="14"/>
                <w:szCs w:val="14"/>
                <w:lang w:val="en-GB"/>
              </w:rPr>
            </w:pPr>
          </w:p>
        </w:tc>
        <w:tc>
          <w:tcPr>
            <w:tcW w:w="350" w:type="pct"/>
          </w:tcPr>
          <w:p w:rsidR="000B4C0C" w:rsidRPr="004307C7" w:rsidRDefault="000B4C0C" w:rsidP="00BB4FD3">
            <w:pPr>
              <w:pStyle w:val="TT"/>
              <w:spacing w:line="240" w:lineRule="auto"/>
              <w:ind w:left="80" w:hanging="80"/>
              <w:rPr>
                <w:noProof/>
                <w:color w:val="auto"/>
                <w:sz w:val="14"/>
                <w:szCs w:val="14"/>
                <w:lang w:val="en-GB"/>
              </w:rPr>
            </w:pPr>
          </w:p>
        </w:tc>
        <w:tc>
          <w:tcPr>
            <w:tcW w:w="390" w:type="pct"/>
          </w:tcPr>
          <w:p w:rsidR="000B4C0C" w:rsidRPr="004307C7" w:rsidRDefault="000B4C0C" w:rsidP="00BB4FD3">
            <w:pPr>
              <w:pStyle w:val="TT"/>
              <w:spacing w:line="240" w:lineRule="auto"/>
              <w:ind w:left="80" w:hanging="80"/>
              <w:rPr>
                <w:noProof/>
                <w:color w:val="auto"/>
                <w:sz w:val="14"/>
                <w:szCs w:val="14"/>
                <w:lang w:val="en-GB"/>
              </w:rPr>
            </w:pPr>
          </w:p>
        </w:tc>
        <w:tc>
          <w:tcPr>
            <w:tcW w:w="130"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83" w:type="pct"/>
          </w:tcPr>
          <w:p w:rsidR="000B4C0C" w:rsidRPr="004307C7" w:rsidRDefault="000B4C0C" w:rsidP="00BB4FD3">
            <w:pPr>
              <w:pStyle w:val="TT"/>
              <w:spacing w:line="240" w:lineRule="auto"/>
              <w:ind w:left="80" w:hanging="80"/>
              <w:rPr>
                <w:noProof/>
                <w:color w:val="auto"/>
                <w:sz w:val="14"/>
                <w:szCs w:val="14"/>
                <w:lang w:val="en-GB"/>
              </w:rPr>
            </w:pPr>
          </w:p>
        </w:tc>
        <w:tc>
          <w:tcPr>
            <w:tcW w:w="123" w:type="pct"/>
          </w:tcPr>
          <w:p w:rsidR="000B4C0C" w:rsidRPr="004307C7" w:rsidRDefault="000B4C0C" w:rsidP="00BB4FD3">
            <w:pPr>
              <w:pStyle w:val="TT"/>
              <w:spacing w:line="240" w:lineRule="auto"/>
              <w:ind w:left="80" w:hanging="80"/>
              <w:jc w:val="center"/>
              <w:rPr>
                <w:noProof/>
                <w:color w:val="auto"/>
                <w:sz w:val="14"/>
                <w:szCs w:val="14"/>
                <w:lang w:val="en-GB"/>
              </w:rPr>
            </w:pPr>
          </w:p>
        </w:tc>
        <w:tc>
          <w:tcPr>
            <w:tcW w:w="465" w:type="pct"/>
          </w:tcPr>
          <w:p w:rsidR="000B4C0C" w:rsidRPr="004307C7" w:rsidRDefault="000B4C0C" w:rsidP="00BB4FD3">
            <w:pPr>
              <w:pStyle w:val="TT"/>
              <w:spacing w:line="240" w:lineRule="auto"/>
              <w:ind w:left="80" w:hanging="80"/>
              <w:rPr>
                <w:noProof/>
                <w:color w:val="auto"/>
                <w:sz w:val="14"/>
                <w:szCs w:val="14"/>
                <w:lang w:val="en-GB"/>
              </w:rPr>
            </w:pPr>
          </w:p>
        </w:tc>
        <w:tc>
          <w:tcPr>
            <w:tcW w:w="181" w:type="pct"/>
          </w:tcPr>
          <w:p w:rsidR="000B4C0C" w:rsidRPr="004307C7" w:rsidRDefault="000B4C0C" w:rsidP="00BB4FD3">
            <w:pPr>
              <w:pStyle w:val="TT"/>
              <w:spacing w:line="240" w:lineRule="auto"/>
              <w:ind w:left="80" w:hanging="80"/>
              <w:rPr>
                <w:noProof/>
                <w:color w:val="auto"/>
                <w:sz w:val="14"/>
                <w:szCs w:val="14"/>
                <w:lang w:val="en-GB"/>
              </w:rPr>
            </w:pPr>
          </w:p>
        </w:tc>
        <w:tc>
          <w:tcPr>
            <w:tcW w:w="436" w:type="pct"/>
          </w:tcPr>
          <w:p w:rsidR="000B4C0C" w:rsidRPr="004307C7" w:rsidRDefault="000B4C0C" w:rsidP="00BB4FD3">
            <w:pPr>
              <w:pStyle w:val="TT"/>
              <w:spacing w:line="240" w:lineRule="auto"/>
              <w:ind w:left="80" w:hanging="80"/>
              <w:rPr>
                <w:noProof/>
                <w:color w:val="auto"/>
                <w:sz w:val="14"/>
                <w:szCs w:val="14"/>
                <w:lang w:val="en-GB"/>
              </w:rPr>
            </w:pPr>
          </w:p>
        </w:tc>
        <w:tc>
          <w:tcPr>
            <w:tcW w:w="303" w:type="pct"/>
          </w:tcPr>
          <w:p w:rsidR="000B4C0C" w:rsidRPr="004307C7" w:rsidRDefault="000B4C0C" w:rsidP="00BB4FD3">
            <w:pPr>
              <w:pStyle w:val="TT"/>
              <w:spacing w:line="240" w:lineRule="auto"/>
              <w:ind w:left="80" w:hanging="80"/>
              <w:rPr>
                <w:noProof/>
                <w:color w:val="auto"/>
                <w:sz w:val="14"/>
                <w:szCs w:val="14"/>
                <w:lang w:val="en-GB"/>
              </w:rPr>
            </w:pPr>
          </w:p>
        </w:tc>
        <w:tc>
          <w:tcPr>
            <w:tcW w:w="476" w:type="pct"/>
            <w:hideMark/>
          </w:tcPr>
          <w:p w:rsidR="000B4C0C" w:rsidRPr="004307C7" w:rsidRDefault="000B4C0C" w:rsidP="00BB4FD3">
            <w:pPr>
              <w:pStyle w:val="TT"/>
              <w:spacing w:line="240" w:lineRule="auto"/>
              <w:ind w:left="80" w:hanging="80"/>
              <w:rPr>
                <w:noProof/>
                <w:color w:val="auto"/>
                <w:sz w:val="14"/>
                <w:szCs w:val="14"/>
                <w:lang w:val="en-GB"/>
              </w:rPr>
            </w:pPr>
            <w:r w:rsidRPr="004307C7">
              <w:rPr>
                <w:noProof/>
                <w:color w:val="auto"/>
                <w:sz w:val="14"/>
                <w:szCs w:val="14"/>
                <w:lang w:val="en-GB"/>
              </w:rPr>
              <w:t>Rhamnose</w:t>
            </w:r>
          </w:p>
        </w:tc>
        <w:tc>
          <w:tcPr>
            <w:tcW w:w="519" w:type="pct"/>
          </w:tcPr>
          <w:p w:rsidR="000B4C0C" w:rsidRPr="004307C7" w:rsidRDefault="000B4C0C" w:rsidP="00BB4FD3">
            <w:pPr>
              <w:pStyle w:val="TT"/>
              <w:spacing w:line="240" w:lineRule="auto"/>
              <w:ind w:left="80" w:hanging="80"/>
              <w:rPr>
                <w:noProof/>
                <w:color w:val="auto"/>
                <w:sz w:val="14"/>
                <w:szCs w:val="14"/>
                <w:lang w:val="en-GB"/>
              </w:rPr>
            </w:pPr>
          </w:p>
        </w:tc>
        <w:tc>
          <w:tcPr>
            <w:tcW w:w="585" w:type="pct"/>
          </w:tcPr>
          <w:p w:rsidR="000B4C0C" w:rsidRPr="004307C7" w:rsidRDefault="000B4C0C" w:rsidP="00BB4FD3">
            <w:pPr>
              <w:pStyle w:val="TT"/>
              <w:spacing w:line="240" w:lineRule="auto"/>
              <w:ind w:left="80" w:hanging="80"/>
              <w:rPr>
                <w:noProof/>
                <w:color w:val="auto"/>
                <w:sz w:val="14"/>
                <w:szCs w:val="14"/>
                <w:lang w:val="en-GB"/>
              </w:rPr>
            </w:pPr>
          </w:p>
        </w:tc>
      </w:tr>
    </w:tbl>
    <w:p w:rsidR="000B4C0C" w:rsidRPr="009800EA" w:rsidRDefault="000B4C0C" w:rsidP="000B4C0C">
      <w:pPr>
        <w:pStyle w:val="CPSO"/>
        <w:spacing w:line="240" w:lineRule="auto"/>
        <w:rPr>
          <w:noProof/>
          <w:color w:val="auto"/>
          <w:sz w:val="14"/>
          <w:szCs w:val="14"/>
        </w:rPr>
      </w:pPr>
      <w:r w:rsidRPr="009800EA">
        <w:rPr>
          <w:noProof/>
          <w:color w:val="auto"/>
          <w:sz w:val="14"/>
          <w:szCs w:val="14"/>
        </w:rPr>
        <w:t>NMR = nuclear magnetic resonance; MS = mass spectrometry; HILIC MS = hydrophilic-interaction chromatography; TIA = transient ischemic attack.</w:t>
      </w:r>
    </w:p>
    <w:p w:rsidR="008967DA" w:rsidRPr="00D82CEE" w:rsidRDefault="008967DA" w:rsidP="000B4C0C">
      <w:pPr>
        <w:pStyle w:val="CPSO"/>
        <w:spacing w:line="240" w:lineRule="auto"/>
        <w:rPr>
          <w:noProof/>
          <w:color w:val="auto"/>
        </w:rPr>
      </w:pPr>
    </w:p>
    <w:p w:rsidR="000B4C0C" w:rsidRDefault="000B4C0C" w:rsidP="00081857">
      <w:pPr>
        <w:pStyle w:val="TEXT"/>
        <w:spacing w:line="240" w:lineRule="auto"/>
        <w:rPr>
          <w:noProof/>
          <w:color w:val="auto"/>
        </w:rPr>
        <w:sectPr w:rsidR="000B4C0C" w:rsidSect="008967DA">
          <w:headerReference w:type="even" r:id="rId19"/>
          <w:headerReference w:type="default" r:id="rId20"/>
          <w:headerReference w:type="first" r:id="rId21"/>
          <w:pgSz w:w="15661" w:h="11697" w:orient="landscape" w:code="166"/>
          <w:pgMar w:top="960" w:right="960" w:bottom="1260" w:left="840" w:header="680" w:footer="960" w:gutter="0"/>
          <w:pgNumType w:start="1"/>
          <w:cols w:space="360"/>
          <w:titlePg/>
          <w:docGrid w:linePitch="360"/>
        </w:sectPr>
      </w:pPr>
    </w:p>
    <w:p w:rsidR="00D82CEE" w:rsidRPr="00D82CEE" w:rsidRDefault="00D82CEE" w:rsidP="00081857">
      <w:pPr>
        <w:pStyle w:val="TEXT"/>
        <w:spacing w:line="240" w:lineRule="auto"/>
        <w:rPr>
          <w:noProof/>
          <w:color w:val="auto"/>
        </w:rPr>
      </w:pPr>
      <w:r w:rsidRPr="00D82CEE">
        <w:rPr>
          <w:noProof/>
          <w:color w:val="auto"/>
        </w:rPr>
        <w:t>of included studies and summarizes perturbations in the metabolites of stroke patients. Three studies aimed to determine diagnostic biomarkers of stroke (Jiang and others 2011; Jung and others 2011; Kimberly and others 2013), of which one was a targeted MS study (Kimberly and others 2013), and two were untargeted MS and NMR spectroscopy studies (Jiang and others 2011; Jung and others 2011). Only one study explored biomarkers depicting recurrent stroke risk following TIA using MS (Jove and others 2015). Two studies examined the metabolic consequences of depression (Ding and others 2016) or cognitive impairment poststroke using untargeted MS (Liu and others 2015). All included studies examined blood (plasma or serum) biomarkers, and one study also analyzed urinary metabolites using NMR spectroscopy (Jove and others 2015).</w:t>
      </w:r>
    </w:p>
    <w:p w:rsidR="00D82CEE" w:rsidRPr="00D82CEE" w:rsidRDefault="00D82CEE" w:rsidP="00081857">
      <w:pPr>
        <w:pStyle w:val="H2"/>
        <w:spacing w:line="240" w:lineRule="auto"/>
        <w:rPr>
          <w:noProof/>
          <w:color w:val="auto"/>
        </w:rPr>
      </w:pPr>
      <w:r w:rsidRPr="00D82CEE">
        <w:rPr>
          <w:noProof/>
          <w:color w:val="auto"/>
        </w:rPr>
        <w:t>Metabolic Biomarkers of Hyperacute Stroke</w:t>
      </w:r>
    </w:p>
    <w:p w:rsidR="00D82CEE" w:rsidRPr="00FA37EC" w:rsidRDefault="00D82CEE" w:rsidP="00081857">
      <w:pPr>
        <w:pStyle w:val="TEXT"/>
        <w:spacing w:line="240" w:lineRule="auto"/>
        <w:rPr>
          <w:noProof/>
          <w:color w:val="auto"/>
          <w:spacing w:val="-2"/>
        </w:rPr>
      </w:pPr>
      <w:r w:rsidRPr="00FA37EC">
        <w:rPr>
          <w:noProof/>
          <w:color w:val="auto"/>
          <w:spacing w:val="-2"/>
          <w:vertAlign w:val="superscript"/>
        </w:rPr>
        <w:t>1</w:t>
      </w:r>
      <w:r w:rsidRPr="00FA37EC">
        <w:rPr>
          <w:noProof/>
          <w:color w:val="auto"/>
          <w:spacing w:val="-2"/>
        </w:rPr>
        <w:t xml:space="preserve">H-NMR analysis of plasma and urine from 54 small vessel occlusion stroke patients compared with 47 age- and sex-matched healthy controls revealed significant differences in metabolites between the study groups (Jung and others 2011). Orthogonal Projection to Latent Structures Discriminant Analysis (OPLS-DA) revealed well-fitted models showing clear separation of stroke patients and healthy controls, with explained variability </w:t>
      </w:r>
      <w:r w:rsidRPr="00FA37EC">
        <w:rPr>
          <w:i/>
          <w:noProof/>
          <w:color w:val="auto"/>
          <w:spacing w:val="-2"/>
        </w:rPr>
        <w:t>R</w:t>
      </w:r>
      <w:r w:rsidRPr="00FA37EC">
        <w:rPr>
          <w:noProof/>
          <w:color w:val="auto"/>
          <w:spacing w:val="-2"/>
          <w:vertAlign w:val="superscript"/>
        </w:rPr>
        <w:t>2</w:t>
      </w:r>
      <w:r w:rsidRPr="00FA37EC">
        <w:rPr>
          <w:i/>
          <w:noProof/>
          <w:color w:val="auto"/>
          <w:spacing w:val="-2"/>
        </w:rPr>
        <w:t>Y</w:t>
      </w:r>
      <w:r w:rsidRPr="00FA37EC">
        <w:rPr>
          <w:noProof/>
          <w:color w:val="auto"/>
          <w:spacing w:val="-2"/>
        </w:rPr>
        <w:t xml:space="preserve"> = 0.914 and predicted variability </w:t>
      </w:r>
      <w:r w:rsidRPr="00FA37EC">
        <w:rPr>
          <w:i/>
          <w:noProof/>
          <w:color w:val="auto"/>
          <w:spacing w:val="-2"/>
        </w:rPr>
        <w:t>Q</w:t>
      </w:r>
      <w:r w:rsidRPr="00FA37EC">
        <w:rPr>
          <w:noProof/>
          <w:color w:val="auto"/>
          <w:spacing w:val="-2"/>
          <w:vertAlign w:val="superscript"/>
        </w:rPr>
        <w:t>2</w:t>
      </w:r>
      <w:r w:rsidRPr="00FA37EC">
        <w:rPr>
          <w:noProof/>
          <w:color w:val="auto"/>
          <w:spacing w:val="-2"/>
        </w:rPr>
        <w:t xml:space="preserve"> = 0.778 for plasma, and </w:t>
      </w:r>
      <w:r w:rsidRPr="00FA37EC">
        <w:rPr>
          <w:i/>
          <w:noProof/>
          <w:color w:val="auto"/>
          <w:spacing w:val="-2"/>
        </w:rPr>
        <w:t>R</w:t>
      </w:r>
      <w:r w:rsidRPr="00FA37EC">
        <w:rPr>
          <w:noProof/>
          <w:color w:val="auto"/>
          <w:spacing w:val="-2"/>
          <w:vertAlign w:val="superscript"/>
        </w:rPr>
        <w:t>2</w:t>
      </w:r>
      <w:r w:rsidRPr="00FA37EC">
        <w:rPr>
          <w:i/>
          <w:noProof/>
          <w:color w:val="auto"/>
          <w:spacing w:val="-2"/>
        </w:rPr>
        <w:t>Y</w:t>
      </w:r>
      <w:r w:rsidRPr="00FA37EC">
        <w:rPr>
          <w:noProof/>
          <w:color w:val="auto"/>
          <w:spacing w:val="-2"/>
        </w:rPr>
        <w:t xml:space="preserve"> = 0.928, </w:t>
      </w:r>
      <w:r w:rsidRPr="00FA37EC">
        <w:rPr>
          <w:i/>
          <w:noProof/>
          <w:color w:val="auto"/>
          <w:spacing w:val="-2"/>
        </w:rPr>
        <w:t>Q</w:t>
      </w:r>
      <w:r w:rsidRPr="00FA37EC">
        <w:rPr>
          <w:noProof/>
          <w:color w:val="auto"/>
          <w:spacing w:val="-2"/>
          <w:vertAlign w:val="superscript"/>
        </w:rPr>
        <w:t>2</w:t>
      </w:r>
      <w:r w:rsidRPr="00FA37EC">
        <w:rPr>
          <w:noProof/>
          <w:color w:val="auto"/>
          <w:spacing w:val="-2"/>
        </w:rPr>
        <w:t xml:space="preserve"> = 0.627, for urine. However, there were several disparities in the characteristics of the groups, as they were not matched for relevant risk factors such as previous TIA and hypertension. This study also excluded patients with concomitant vascular disease and diabetes—comorbidities present in a large proportion of stroke patients. Nonetheless, significantly elevated levels of lactate, pyruvate, and formate and decreased levels of VLDL and LDL CH</w:t>
      </w:r>
      <w:r w:rsidRPr="00FA37EC">
        <w:rPr>
          <w:noProof/>
          <w:color w:val="auto"/>
          <w:spacing w:val="-2"/>
          <w:vertAlign w:val="subscript"/>
        </w:rPr>
        <w:t>3</w:t>
      </w:r>
      <w:r w:rsidRPr="00FA37EC">
        <w:rPr>
          <w:noProof/>
          <w:color w:val="auto"/>
          <w:spacing w:val="-2"/>
        </w:rPr>
        <w:t>, valine, lipid CH</w:t>
      </w:r>
      <w:r w:rsidRPr="00FA37EC">
        <w:rPr>
          <w:noProof/>
          <w:color w:val="auto"/>
          <w:spacing w:val="-2"/>
          <w:vertAlign w:val="subscript"/>
        </w:rPr>
        <w:t>2</w:t>
      </w:r>
      <w:r w:rsidRPr="00FA37EC">
        <w:rPr>
          <w:noProof/>
          <w:color w:val="auto"/>
          <w:spacing w:val="-2"/>
        </w:rPr>
        <w:t>CH</w:t>
      </w:r>
      <w:r w:rsidRPr="00FA37EC">
        <w:rPr>
          <w:noProof/>
          <w:color w:val="auto"/>
          <w:spacing w:val="-2"/>
          <w:vertAlign w:val="subscript"/>
        </w:rPr>
        <w:t>2</w:t>
      </w:r>
      <w:r w:rsidRPr="00FA37EC">
        <w:rPr>
          <w:noProof/>
          <w:color w:val="auto"/>
          <w:spacing w:val="-2"/>
        </w:rPr>
        <w:t>C=C and 4-hydroxymethyl acetate were found in plasma of stroke patients. Analysis of urine revealed higher levels of O-acetylcarnitine, trimethylamine-</w:t>
      </w:r>
      <w:r w:rsidRPr="00FA37EC">
        <w:rPr>
          <w:i/>
          <w:noProof/>
          <w:color w:val="auto"/>
          <w:spacing w:val="-2"/>
        </w:rPr>
        <w:t>N</w:t>
      </w:r>
      <w:r w:rsidRPr="00FA37EC">
        <w:rPr>
          <w:noProof/>
          <w:color w:val="auto"/>
          <w:spacing w:val="-2"/>
        </w:rPr>
        <w:t>-oxide, betaine, and carnitine in stroke patients, and decreased concentrations of citrate, dimethylamine, creatine, glycine, and hippurate. External validation studies performed to test the reliability of the OPLS-DA models showed an average classification rate of 100% for stroke patients and 96% for healthy subjects (Jung and others 2011).</w:t>
      </w:r>
    </w:p>
    <w:p w:rsidR="00D82CEE" w:rsidRPr="00D82CEE" w:rsidRDefault="00D82CEE" w:rsidP="00081857">
      <w:pPr>
        <w:pStyle w:val="TEXTIND"/>
        <w:spacing w:line="240" w:lineRule="auto"/>
        <w:rPr>
          <w:noProof/>
          <w:color w:val="auto"/>
        </w:rPr>
      </w:pPr>
      <w:r w:rsidRPr="00D82CEE">
        <w:rPr>
          <w:noProof/>
          <w:color w:val="auto"/>
        </w:rPr>
        <w:t xml:space="preserve">The reduction in circulating levels of valine in hyperacute stroke patients as well as other branched chain amino acids (leucine, isoleucine) has been demonstrated in a targeted MS analysis of plasma (Kimberly and others 2013). Fifty-two patients with mild or severe ischemic, cardioembolic stroke were compared with 32 controls (patients presenting acutely with neurological symptoms but with a final diagnosis of TIA or nonstroke). The magnitude of reduction in plasma levels of branched chain amino acids correlated with size of infarct and clinical disability in stroke patients (Kimberly and others 2013). Multivariate statistical analysis showed that branch chain amino acids were discriminatory in separating stroke from nonstroke or TIA patients, though values of </w:t>
      </w:r>
      <w:r w:rsidRPr="00D82CEE">
        <w:rPr>
          <w:i/>
          <w:noProof/>
          <w:color w:val="auto"/>
        </w:rPr>
        <w:t>R</w:t>
      </w:r>
      <w:r w:rsidRPr="00D82CEE">
        <w:rPr>
          <w:noProof/>
          <w:color w:val="auto"/>
          <w:vertAlign w:val="superscript"/>
        </w:rPr>
        <w:t>2</w:t>
      </w:r>
      <w:r w:rsidRPr="00D82CEE">
        <w:rPr>
          <w:i/>
          <w:noProof/>
          <w:color w:val="auto"/>
        </w:rPr>
        <w:t>Y</w:t>
      </w:r>
      <w:r w:rsidRPr="00D82CEE">
        <w:rPr>
          <w:noProof/>
          <w:color w:val="auto"/>
        </w:rPr>
        <w:t xml:space="preserve"> and </w:t>
      </w:r>
      <w:r w:rsidRPr="00D82CEE">
        <w:rPr>
          <w:i/>
          <w:noProof/>
          <w:color w:val="auto"/>
        </w:rPr>
        <w:t>Q</w:t>
      </w:r>
      <w:r w:rsidRPr="00D82CEE">
        <w:rPr>
          <w:noProof/>
          <w:color w:val="auto"/>
          <w:vertAlign w:val="superscript"/>
        </w:rPr>
        <w:t xml:space="preserve">2 </w:t>
      </w:r>
      <w:r w:rsidRPr="00D82CEE">
        <w:rPr>
          <w:noProof/>
          <w:color w:val="auto"/>
        </w:rPr>
        <w:t>for PLS-DA models were not provided. Validation of the models was performed using cross-validation and permutation testing (</w:t>
      </w:r>
      <w:r w:rsidRPr="00D82CEE">
        <w:rPr>
          <w:i/>
          <w:noProof/>
          <w:color w:val="auto"/>
        </w:rPr>
        <w:t>P</w:t>
      </w:r>
      <w:r w:rsidRPr="00D82CEE">
        <w:rPr>
          <w:noProof/>
          <w:color w:val="auto"/>
        </w:rPr>
        <w:t xml:space="preserve"> &lt; 0.01). The significance levels of metabolites altered between stroke patients and controls were adjusted using Benjamini-Hochberg false discovery correction procedure (Kimberly and others 2013).</w:t>
      </w:r>
    </w:p>
    <w:p w:rsidR="00D82CEE" w:rsidRPr="00FA37EC" w:rsidRDefault="00D82CEE" w:rsidP="00081857">
      <w:pPr>
        <w:pStyle w:val="TEXTIND"/>
        <w:spacing w:line="240" w:lineRule="auto"/>
        <w:rPr>
          <w:noProof/>
          <w:color w:val="auto"/>
          <w:spacing w:val="-4"/>
        </w:rPr>
      </w:pPr>
      <w:r w:rsidRPr="00FA37EC">
        <w:rPr>
          <w:noProof/>
          <w:color w:val="auto"/>
          <w:spacing w:val="-4"/>
        </w:rPr>
        <w:t xml:space="preserve">Increased concentrations of cysteine, </w:t>
      </w:r>
      <w:r w:rsidR="00FA37EC">
        <w:rPr>
          <w:noProof/>
          <w:color w:val="auto"/>
          <w:spacing w:val="-4"/>
        </w:rPr>
        <w:br/>
      </w:r>
      <w:r w:rsidRPr="00FA37EC">
        <w:rPr>
          <w:noProof/>
          <w:color w:val="auto"/>
          <w:spacing w:val="-4"/>
        </w:rPr>
        <w:t>S-adenosyl homocysteine, oxidized glutathione, hydroxyeicosaetraenoic acid, and hydroxyoctadecadienoic acid, and decreased levels of folic acid, tetrahydrofolate, adenosine, aldosterone, deoxocathasterone, sucrose-6-phosphate, and betanin were revealed in an MS analysis of serum from 67 hyperacute stroke patients and 62 controls well matched for vascular risk factors (Jiang and others 2011). The OPLS-DA model acquired was well fitted and highly predictive (</w:t>
      </w:r>
      <w:r w:rsidRPr="00FA37EC">
        <w:rPr>
          <w:i/>
          <w:noProof/>
          <w:color w:val="auto"/>
          <w:spacing w:val="-4"/>
        </w:rPr>
        <w:t>R</w:t>
      </w:r>
      <w:r w:rsidRPr="00FA37EC">
        <w:rPr>
          <w:noProof/>
          <w:color w:val="auto"/>
          <w:spacing w:val="-4"/>
          <w:vertAlign w:val="superscript"/>
        </w:rPr>
        <w:t>2</w:t>
      </w:r>
      <w:r w:rsidRPr="00FA37EC">
        <w:rPr>
          <w:i/>
          <w:noProof/>
          <w:color w:val="auto"/>
          <w:spacing w:val="-4"/>
        </w:rPr>
        <w:t>Y</w:t>
      </w:r>
      <w:r w:rsidRPr="00FA37EC">
        <w:rPr>
          <w:noProof/>
          <w:color w:val="auto"/>
          <w:spacing w:val="-4"/>
        </w:rPr>
        <w:t xml:space="preserve"> = 0.998, </w:t>
      </w:r>
      <w:r w:rsidRPr="00FA37EC">
        <w:rPr>
          <w:i/>
          <w:noProof/>
          <w:color w:val="auto"/>
          <w:spacing w:val="-4"/>
        </w:rPr>
        <w:t>Q</w:t>
      </w:r>
      <w:r w:rsidRPr="00FA37EC">
        <w:rPr>
          <w:noProof/>
          <w:color w:val="auto"/>
          <w:spacing w:val="-4"/>
          <w:vertAlign w:val="superscript"/>
        </w:rPr>
        <w:t>2</w:t>
      </w:r>
      <w:r w:rsidRPr="00FA37EC">
        <w:rPr>
          <w:noProof/>
          <w:color w:val="auto"/>
          <w:spacing w:val="-4"/>
        </w:rPr>
        <w:t xml:space="preserve"> = 0.947). Statistical validation was performed by applying a K-nearest neighbor (KNN) algorithm to PLS models, in which the samples were divided into a training set (to create the model) and a test set (to evaluate reliability). The location of each test sample was analyzed according to the location of its three nearest neighbors (</w:t>
      </w:r>
      <w:r w:rsidRPr="00FA37EC">
        <w:rPr>
          <w:i/>
          <w:noProof/>
          <w:color w:val="auto"/>
          <w:spacing w:val="-4"/>
        </w:rPr>
        <w:t>k</w:t>
      </w:r>
      <w:r w:rsidRPr="00FA37EC">
        <w:rPr>
          <w:noProof/>
          <w:color w:val="auto"/>
          <w:spacing w:val="-4"/>
        </w:rPr>
        <w:t xml:space="preserve"> = 3), and the majority of class designations of the nearest neighbors was used to denote the identity of the test sample. This approach again revealed a prediction accuracy of 100% in discriminating stroke patients from controls.</w:t>
      </w:r>
    </w:p>
    <w:p w:rsidR="00D82CEE" w:rsidRPr="00D82CEE" w:rsidRDefault="00D82CEE" w:rsidP="00081857">
      <w:pPr>
        <w:pStyle w:val="TEXTIND"/>
        <w:spacing w:line="240" w:lineRule="auto"/>
        <w:rPr>
          <w:noProof/>
          <w:color w:val="auto"/>
        </w:rPr>
      </w:pPr>
      <w:r w:rsidRPr="00D82CEE">
        <w:rPr>
          <w:noProof/>
          <w:color w:val="auto"/>
        </w:rPr>
        <w:t>Jove and others compared plasma metabolic profiles of TIA patients that suffered an ischemic stroke within 1 year compared with TIA patients that did not develop subsequent ischemic stroke (Jove and others 2015). Following the application of Bonferroni testing to reduce the likelihood of false positives, the discrepancies in metabolic profiles related primarily to fatty acid metabolism. Furthermore, risk of early stroke recurrence could also be differentiated from late stroke recurrence. The metabolite lysophosphocholine 20:4 increased the sensitivity of the ABCD2 score from 64% to 67% to 71% (</w:t>
      </w:r>
      <w:r w:rsidRPr="00D82CEE">
        <w:rPr>
          <w:i/>
          <w:noProof/>
          <w:color w:val="auto"/>
        </w:rPr>
        <w:t>P</w:t>
      </w:r>
      <w:r w:rsidRPr="00D82CEE">
        <w:rPr>
          <w:noProof/>
          <w:color w:val="auto"/>
        </w:rPr>
        <w:t xml:space="preserve"> = 0.008), conferring clinical benefit (Jove and others 2015).</w:t>
      </w:r>
    </w:p>
    <w:p w:rsidR="00D82CEE" w:rsidRPr="00D82CEE" w:rsidRDefault="00D82CEE" w:rsidP="00081857">
      <w:pPr>
        <w:pStyle w:val="TEXTIND"/>
        <w:spacing w:line="240" w:lineRule="auto"/>
        <w:rPr>
          <w:noProof/>
          <w:color w:val="auto"/>
        </w:rPr>
      </w:pPr>
      <w:r w:rsidRPr="00D82CEE">
        <w:rPr>
          <w:noProof/>
          <w:color w:val="auto"/>
        </w:rPr>
        <w:t>Two recent Chinese studies have focused on the metabonomic consequences of common neurocognitive sequelae of stroke: depression (Ding and others 2016) and cognitive impairment (Liu and others 2015). Initial comparisons of stroke patients with healthy controls echoed the findings of preceding studies in demonstrating alterations of lipid metabolism and reduction of branched chain amino acids. Significant separation was also achieved between stroke patients based on the presence or absence of depression or cognitive impairment, with well-fitted and reproducible statistical models. Liu and others (2015) identified two metabolites, 3-indolepropionic acid and stearoyl-carnitine, that were significantly reduced in stroke patients but only in the presence of cognitive impairment. However, demographic data again did not include baseline cardiovascular risk factors or pertinent medications, and particularly in the absence of false positive correction, hard conclusions cannot yet be drawn from these data.</w:t>
      </w:r>
    </w:p>
    <w:p w:rsidR="00D82CEE" w:rsidRPr="00D82CEE" w:rsidRDefault="00D82CEE" w:rsidP="00081857">
      <w:pPr>
        <w:pStyle w:val="H1"/>
        <w:spacing w:line="240" w:lineRule="auto"/>
        <w:rPr>
          <w:noProof/>
          <w:color w:val="auto"/>
        </w:rPr>
      </w:pPr>
      <w:r w:rsidRPr="00D82CEE">
        <w:rPr>
          <w:noProof/>
          <w:color w:val="auto"/>
        </w:rPr>
        <w:t>Discussion</w:t>
      </w:r>
    </w:p>
    <w:p w:rsidR="00D82CEE" w:rsidRPr="00D82CEE" w:rsidRDefault="00D82CEE" w:rsidP="00081857">
      <w:pPr>
        <w:pStyle w:val="TEXT"/>
        <w:spacing w:line="240" w:lineRule="auto"/>
        <w:rPr>
          <w:noProof/>
          <w:color w:val="auto"/>
        </w:rPr>
      </w:pPr>
      <w:r w:rsidRPr="00D82CEE">
        <w:rPr>
          <w:noProof/>
          <w:color w:val="auto"/>
        </w:rPr>
        <w:t>This review demonstrates the feasibility of metabolic profiling to further current understanding of ischemic stroke and its potential in the delivery of clinically relevant diagnostic and prognostic biomarkers, both in urine and blood. Pathways highlighted by these studies predominantly relate to homocysteine and folate, branched chain amino acid, and lipid metabolism. The disparity in discovered biomarkers between studies may reflect the diversity of applied spectroscopic techniques, range of biofluid, differences in patient populations, disparate etiologies of stroke, and variation in sampling time due to chronological variability of permeability of the blood brain barrier poststroke.</w:t>
      </w:r>
    </w:p>
    <w:p w:rsidR="00D82CEE" w:rsidRPr="00D82CEE" w:rsidRDefault="00D82CEE" w:rsidP="00081857">
      <w:pPr>
        <w:pStyle w:val="TEXTIND"/>
        <w:spacing w:line="240" w:lineRule="auto"/>
        <w:rPr>
          <w:noProof/>
          <w:color w:val="auto"/>
        </w:rPr>
      </w:pPr>
      <w:r w:rsidRPr="00D82CEE">
        <w:rPr>
          <w:noProof/>
          <w:color w:val="auto"/>
        </w:rPr>
        <w:t>Homocysteine, a metabolite of S-adenosyl homocysteine, is a sulfur-containing amino acid synthesized from methionine (Ansari and others 2014). The regeneration of methionine from homocysteine is folate-dependent; thus, homocysteine levels are governed by genetic predisposition as well as folate and B-vitamin intake. Elevated levels of homocysteine have been associated with numerous medical disorders, including neurological disorders. As a proposed risk factor for stroke, homocysteine is hypothesized to induce oxidative injury to vascular endothelial cells, reduce the production of nitric oxide, enhance platelet adhesion to endothelial cells, and promote the growth of vascular smooth muscle cells (Jung and others 2011). Elevated homocysteine levels have been associated with poorer stroke outcomes in Chinese populations, where there is no folic acid nutritional fortification (Zhong and others 2014). However, retrospective studies have shown a stronger association between cardiovascular events and homocysteine levels than prospective studies (Homocysteine Studies Collaboration 2002). When considered with the finding that lowering homocysteine levels (e.g., with folic acid supplementation) does not appear to decrease the risk of ischemic stroke (Cacciapuoti 2013), it lends credence to the possibility of homocysteine as an acute-phase reactant.</w:t>
      </w:r>
    </w:p>
    <w:p w:rsidR="00D82CEE" w:rsidRPr="00D82CEE" w:rsidRDefault="00D82CEE" w:rsidP="00081857">
      <w:pPr>
        <w:pStyle w:val="TEXTIND"/>
        <w:spacing w:line="240" w:lineRule="auto"/>
        <w:rPr>
          <w:noProof/>
          <w:color w:val="auto"/>
        </w:rPr>
      </w:pPr>
      <w:r w:rsidRPr="00D82CEE">
        <w:rPr>
          <w:noProof/>
          <w:color w:val="auto"/>
        </w:rPr>
        <w:t>The relevance of branched chain amino acids metabolism in relation to stroke is difficult to gauge. The patient groups in Kimberly and others’ study were representative of real-life acute attendances (making it a phase 4 study), but it focused on cardioembolic stroke (Kimberly and others 2013). Predictably patients with stroke and severe stroke were more likely to suffer from diseases such as atrial fibrillation, and it remains to be seen whether the variation in branched chain amino acids are a consequence of stroke, or a reflection of patient comorbidities, as levels of branched chain amino acids have also been shown to decrease in heart disease (Huang and others 2011).</w:t>
      </w:r>
    </w:p>
    <w:p w:rsidR="00D82CEE" w:rsidRPr="00472E45" w:rsidRDefault="00D82CEE" w:rsidP="00081857">
      <w:pPr>
        <w:pStyle w:val="TEXTIND"/>
        <w:spacing w:line="240" w:lineRule="auto"/>
        <w:rPr>
          <w:noProof/>
          <w:color w:val="auto"/>
          <w:spacing w:val="-2"/>
        </w:rPr>
      </w:pPr>
      <w:r w:rsidRPr="00472E45">
        <w:rPr>
          <w:noProof/>
          <w:color w:val="auto"/>
          <w:spacing w:val="-2"/>
        </w:rPr>
        <w:t xml:space="preserve">The role of lipid metabolism is of interest in stroke research, due to the close association with atherosclerosis, the high lipid content of the central nervous system (CNS), and the ability of fatty acids to traverse the blood-brain barrier. Cerebral ischemia results in anaerobic metabolism and excess glutamate release, leading </w:t>
      </w:r>
      <w:r w:rsidR="00472E45">
        <w:rPr>
          <w:noProof/>
          <w:color w:val="auto"/>
          <w:spacing w:val="-2"/>
        </w:rPr>
        <w:br/>
      </w:r>
      <w:r w:rsidRPr="00472E45">
        <w:rPr>
          <w:noProof/>
          <w:color w:val="auto"/>
          <w:spacing w:val="-2"/>
        </w:rPr>
        <w:t>to activation of phospholipases/sphingomyelinases, phospholipid hydrolysis, ultimately hailing apoptopic or necrotic cell death (Adibhatla and Hatcher 2008). The association between ischemic stroke risk and fatty acid metabolism was highlighted by the prognostic stroke metabonomics study conducted by Jove and others (2015) demonstrating that markers of risk of stroke recurrence related primarily to fatty acid metabolism.</w:t>
      </w:r>
    </w:p>
    <w:p w:rsidR="00D82CEE" w:rsidRPr="00D82CEE" w:rsidRDefault="00D82CEE" w:rsidP="00081857">
      <w:pPr>
        <w:pStyle w:val="TEXTIND"/>
        <w:spacing w:line="240" w:lineRule="auto"/>
        <w:rPr>
          <w:noProof/>
          <w:color w:val="auto"/>
        </w:rPr>
      </w:pPr>
      <w:r w:rsidRPr="00D82CEE">
        <w:rPr>
          <w:noProof/>
          <w:color w:val="auto"/>
        </w:rPr>
        <w:t xml:space="preserve">Anandamide (AEA) is a long chain fatty acid, degraded by Fatty Acid Amide Hydrolase (FAAH), and linked with neuromodulatory effects in ischemic brain injury (Esposito and others 2014). Naccarato and others used MS to compare plasma concentrations of AEA, as well as palmitoylethanolamide and 2-arachidonoyl glycerol in patients with hyperacute ischemic stroke to well-matched healthy volunteers (Naccarato and others 2010). Despite the utilization of a spectroscopic technique to determine levels of metabolites, the fact that only three compounds were assessed and without the use of multivariate statistical analysis, it cannot be considered to be metabolic profiling or metabonomics. Nevertheless, the results lend credence to the important association of lipid metabolism in CNS disease mechanism. AEA was significantly elevated in stroke patients as compared to healthy controls (3.42 </w:t>
      </w:r>
      <w:r w:rsidRPr="00D82CEE">
        <w:rPr>
          <w:noProof/>
          <w:color w:val="auto"/>
        </w:rPr>
        <w:sym w:font="Symbol" w:char="F0B1"/>
      </w:r>
      <w:r w:rsidRPr="00D82CEE">
        <w:rPr>
          <w:noProof/>
          <w:color w:val="auto"/>
        </w:rPr>
        <w:t xml:space="preserve"> 2.71 pmol/lipid mg vs. 1.81 </w:t>
      </w:r>
      <w:r w:rsidRPr="00D82CEE">
        <w:rPr>
          <w:noProof/>
          <w:color w:val="auto"/>
        </w:rPr>
        <w:sym w:font="Symbol" w:char="F0B1"/>
      </w:r>
      <w:r w:rsidRPr="00D82CEE">
        <w:rPr>
          <w:noProof/>
          <w:color w:val="auto"/>
        </w:rPr>
        <w:t xml:space="preserve"> 1.53 pmol/lipid mg; </w:t>
      </w:r>
      <w:r w:rsidRPr="00D82CEE">
        <w:rPr>
          <w:i/>
          <w:noProof/>
          <w:color w:val="auto"/>
        </w:rPr>
        <w:t>P</w:t>
      </w:r>
      <w:r w:rsidRPr="00D82CEE">
        <w:rPr>
          <w:noProof/>
          <w:color w:val="auto"/>
        </w:rPr>
        <w:t xml:space="preserve"> &lt; 0.05). Furthermore, plasma AEA correlated positively with size of infarct, and degree of neurological impairment (Naccarato and others 2010). AEA acts locally in the CNS on CB1 (modulating the actions of GABA and glutamate, postulated to reduce NMDA-mediated excitotoxicity in the penumbra, induce hypothermia, and reduce edema; Hillard 2008) and centrally and peripherally on CB2 receptors (immunomodulatory role triggered 24–48 hours after the onset of stroke). CB1 knock-out mice develop significantly larger stroke volumes with greater disability (England and others 2015), but significant toxicity in relation to endocannabinoids has also been reported (Pellegrini-Giampietro and others 2009); therefore, the balance of beneficial and detrimental effects of AEA requires further investigation.</w:t>
      </w:r>
    </w:p>
    <w:p w:rsidR="00D82CEE" w:rsidRPr="00D82CEE" w:rsidRDefault="00D82CEE" w:rsidP="00081857">
      <w:pPr>
        <w:pStyle w:val="TEXTIND"/>
        <w:spacing w:line="240" w:lineRule="auto"/>
        <w:rPr>
          <w:noProof/>
          <w:color w:val="auto"/>
        </w:rPr>
      </w:pPr>
      <w:r w:rsidRPr="00D82CEE">
        <w:rPr>
          <w:noProof/>
          <w:color w:val="auto"/>
        </w:rPr>
        <w:t>Only one study examined the metabolic profile of urine, despite the relative ease of sample collection, abundant supply, and feasibility of repeat sampling. Notwithstanding these clinical benefits, the chemical composition of urine is highly variable within individuals depending on the timing of sampling. Potential urinary biomarkers of stroke are filtered twice—at the blood-brain barrier and Bowman’s capsule. The metabolic advantage is that unlike blood, urine content is not subject to homeostatic regulation, and future studies may result in new avenues of investigation yielded from urinary metabolites.</w:t>
      </w:r>
    </w:p>
    <w:p w:rsidR="00D82CEE" w:rsidRPr="00D82CEE" w:rsidRDefault="00D82CEE" w:rsidP="00081857">
      <w:pPr>
        <w:pStyle w:val="H2"/>
        <w:spacing w:line="240" w:lineRule="auto"/>
        <w:rPr>
          <w:noProof/>
          <w:color w:val="auto"/>
        </w:rPr>
      </w:pPr>
      <w:r w:rsidRPr="00D82CEE">
        <w:rPr>
          <w:noProof/>
          <w:color w:val="auto"/>
        </w:rPr>
        <w:t>Review Limitations</w:t>
      </w:r>
    </w:p>
    <w:p w:rsidR="00D82CEE" w:rsidRPr="00856021" w:rsidRDefault="00D82CEE" w:rsidP="00081857">
      <w:pPr>
        <w:pStyle w:val="TEXT"/>
        <w:spacing w:line="240" w:lineRule="auto"/>
        <w:rPr>
          <w:noProof/>
          <w:color w:val="auto"/>
          <w:spacing w:val="-4"/>
        </w:rPr>
      </w:pPr>
      <w:r w:rsidRPr="00856021">
        <w:rPr>
          <w:noProof/>
          <w:color w:val="auto"/>
          <w:spacing w:val="-4"/>
        </w:rPr>
        <w:t>This review included untargeted metabonomics studies comparing stroke patients with healthy volunteers or patients attending for routine outpatient appointments—as such they were Phase 1 and 2 diagnostic studies (Lumbreras and others 2008), and patient groups were not matched for vital characteristics, or stringent exclusion criteria imply that findings may not be translated into real-world practice. Stroke risk factors such as diabetes, hypertension, dyslipidemia, and arterial disease confer distinct metabolic profiles; it is not known whether groups matched for such characteristics would retain the significant metabolic distinctions implied by Phase 1 studies, particularly given the limited number of participants, as a small number of observations (samples) produce a large number of variables (metabolites). This results in an increased likelihood of Type I error (or a high false discovery rate), which can be statistically tempered through the application of, for example, the Benjamini-Hochberg procedure.</w:t>
      </w:r>
    </w:p>
    <w:p w:rsidR="00D82CEE" w:rsidRPr="00D82CEE" w:rsidRDefault="00D82CEE" w:rsidP="00081857">
      <w:pPr>
        <w:pStyle w:val="TEXTIND"/>
        <w:spacing w:line="240" w:lineRule="auto"/>
        <w:rPr>
          <w:noProof/>
          <w:color w:val="auto"/>
        </w:rPr>
      </w:pPr>
      <w:r w:rsidRPr="00D82CEE">
        <w:rPr>
          <w:noProof/>
          <w:color w:val="auto"/>
        </w:rPr>
        <w:t>Furthermore, the use of pertinent medications, such as statins, was not considered by investigators: these medications will both produce signals in the plasma/serum and also induce a physiological response that may be detected in the plasma metabolome. No included study elaborated on the timing of sample collection in relation to administration of hyperacute stroke therapy (such as thrombolysis or aspirin, which might distort metabolic profiles).</w:t>
      </w:r>
    </w:p>
    <w:p w:rsidR="00D82CEE" w:rsidRPr="00D82CEE" w:rsidRDefault="00D82CEE" w:rsidP="00081857">
      <w:pPr>
        <w:pStyle w:val="TEXTIND"/>
        <w:spacing w:line="240" w:lineRule="auto"/>
        <w:rPr>
          <w:noProof/>
          <w:color w:val="auto"/>
        </w:rPr>
      </w:pPr>
      <w:r w:rsidRPr="00D82CEE">
        <w:rPr>
          <w:noProof/>
          <w:color w:val="auto"/>
        </w:rPr>
        <w:t>The use of metabonomics as a research tool carries limitations common to diagnostic studies and systems biology studies, as well as those unique to metabolic profiling. Due to high throughput mechanisms, the cost per sample is low, but overhead maintenance and infrastructure demands are considerable (Shalhoub and others 2012). Variations in pre-analytic stages with regard to sample selection, collection, storage, and preparation can affect final results. Complex data interpretation techniques are required (Nicholson and Lindon 2008), and error can result from statistical overfitting of data (Lumbreras and others 2008), particularly with small sample sizes, although this can be mitigated by careful use of appropriate statistical validation. An appropriately adapted scoring system is required to gauge the quality of stroke metabonomics studies—prognostic as well as diagnostic.</w:t>
      </w:r>
    </w:p>
    <w:p w:rsidR="00D82CEE" w:rsidRPr="00D82CEE" w:rsidRDefault="00D82CEE" w:rsidP="00081857">
      <w:pPr>
        <w:pStyle w:val="H1"/>
        <w:spacing w:line="240" w:lineRule="auto"/>
        <w:rPr>
          <w:noProof/>
          <w:color w:val="auto"/>
        </w:rPr>
      </w:pPr>
      <w:r w:rsidRPr="00D82CEE">
        <w:rPr>
          <w:noProof/>
          <w:color w:val="auto"/>
        </w:rPr>
        <w:t>Conclusion</w:t>
      </w:r>
    </w:p>
    <w:p w:rsidR="00D82CEE" w:rsidRPr="00D82CEE" w:rsidRDefault="00D82CEE" w:rsidP="00081857">
      <w:pPr>
        <w:pStyle w:val="TEXT"/>
        <w:spacing w:line="240" w:lineRule="auto"/>
        <w:rPr>
          <w:noProof/>
          <w:color w:val="auto"/>
        </w:rPr>
      </w:pPr>
      <w:r w:rsidRPr="00D82CEE">
        <w:rPr>
          <w:noProof/>
          <w:color w:val="auto"/>
        </w:rPr>
        <w:t>Metabonomics offers a holistic overview of the physiological status of an individual and provides a feasible platform to study a complex disorder with multi-causal pathology. Despite the limited number of metabonomic stroke studies, current research spans etiological, diagnostic, and prognostic genres. Certain pathways are collectively enunciated, particularly relating to branched chain amino acid, homocysteine, folate, and lipid metabolism. In future, prospective high-quality studies with groups well matched for risk factors, stratified for stroke etiology, and with less stringent exclusion criteria are required for hyperacute biomarker delineation and improved understanding of the pathological processes that drive subtypes of stroke.</w:t>
      </w:r>
    </w:p>
    <w:p w:rsidR="00D82CEE" w:rsidRPr="00D82CEE" w:rsidRDefault="00D82CEE" w:rsidP="00081857">
      <w:pPr>
        <w:pStyle w:val="EH"/>
        <w:spacing w:line="240" w:lineRule="auto"/>
        <w:rPr>
          <w:noProof/>
          <w:color w:val="auto"/>
        </w:rPr>
      </w:pPr>
      <w:r w:rsidRPr="00D82CEE">
        <w:rPr>
          <w:noProof/>
          <w:color w:val="auto"/>
        </w:rPr>
        <w:t>Declaration of Conflicting Interests</w:t>
      </w:r>
    </w:p>
    <w:p w:rsidR="00D82CEE" w:rsidRPr="00D82CEE" w:rsidRDefault="00D82CEE" w:rsidP="00081857">
      <w:pPr>
        <w:pStyle w:val="AN"/>
        <w:spacing w:line="240" w:lineRule="auto"/>
        <w:rPr>
          <w:noProof/>
          <w:color w:val="auto"/>
        </w:rPr>
      </w:pPr>
      <w:r w:rsidRPr="00D82CEE">
        <w:rPr>
          <w:noProof/>
          <w:color w:val="auto"/>
        </w:rPr>
        <w:t>The author(s) declared no potential conflicts of interest with respect to the research, authorship, and/or publication of this article.</w:t>
      </w:r>
    </w:p>
    <w:p w:rsidR="00D82CEE" w:rsidRPr="00D82CEE" w:rsidRDefault="00D82CEE" w:rsidP="00081857">
      <w:pPr>
        <w:pStyle w:val="EH"/>
        <w:tabs>
          <w:tab w:val="left" w:pos="1355"/>
        </w:tabs>
        <w:spacing w:line="240" w:lineRule="auto"/>
        <w:rPr>
          <w:noProof/>
          <w:color w:val="auto"/>
        </w:rPr>
      </w:pPr>
      <w:r w:rsidRPr="00D82CEE">
        <w:rPr>
          <w:noProof/>
          <w:color w:val="auto"/>
        </w:rPr>
        <w:t>Funding</w:t>
      </w:r>
    </w:p>
    <w:p w:rsidR="00D82CEE" w:rsidRPr="00D82CEE" w:rsidRDefault="00D82CEE" w:rsidP="00081857">
      <w:pPr>
        <w:pStyle w:val="AN"/>
        <w:spacing w:line="240" w:lineRule="auto"/>
        <w:rPr>
          <w:noProof/>
          <w:color w:val="auto"/>
        </w:rPr>
      </w:pPr>
      <w:r w:rsidRPr="00D82CEE">
        <w:rPr>
          <w:noProof/>
          <w:color w:val="auto"/>
        </w:rPr>
        <w:t>The author(s) disclosed receipt of the following financial support for the research, authorship, and/or publication of this article: The research was supported by the National Institute for Health Research Biomedical Research Centre based at Imperial College Healthcare NHS Trust and Imperial College London. The views expressed are those of the authors and not necessarily those of the NHS, the NIHR, or the Department of Health. MIQ is grateful for funding received from the Circulation Foundation, Royal College of Surgeons/Dunhill Medical Trust Joint Fellowship, the Graham-Dixon Charitable Trust, the Rosetrees Trust, and Masons Medical Research Trust. All authors would like to acknowledge funding received from Imperial Private Healthcare.</w:t>
      </w:r>
    </w:p>
    <w:p w:rsidR="00D82CEE" w:rsidRPr="00D82CEE" w:rsidRDefault="00D82CEE" w:rsidP="00081857">
      <w:pPr>
        <w:pStyle w:val="EH"/>
        <w:spacing w:line="240" w:lineRule="auto"/>
        <w:rPr>
          <w:noProof/>
          <w:color w:val="auto"/>
        </w:rPr>
      </w:pPr>
      <w:r w:rsidRPr="00D82CEE">
        <w:rPr>
          <w:noProof/>
          <w:color w:val="auto"/>
        </w:rPr>
        <w:t>References</w:t>
      </w:r>
    </w:p>
    <w:p w:rsidR="00D82CEE" w:rsidRPr="00D82CEE" w:rsidRDefault="00D82CEE" w:rsidP="00081857">
      <w:pPr>
        <w:pStyle w:val="REF"/>
        <w:spacing w:line="240" w:lineRule="auto"/>
        <w:rPr>
          <w:noProof/>
          <w:color w:val="auto"/>
        </w:rPr>
      </w:pPr>
      <w:r w:rsidRPr="00D82CEE">
        <w:rPr>
          <w:noProof/>
          <w:color w:val="auto"/>
        </w:rPr>
        <w:t>Adibhatla RM, Hatcher JF. 2008. Altered lipid metabolism in brain injury and disorders. Subcell Biochem 49:241–68.</w:t>
      </w:r>
    </w:p>
    <w:p w:rsidR="00D82CEE" w:rsidRPr="00D82CEE" w:rsidRDefault="00D82CEE" w:rsidP="00081857">
      <w:pPr>
        <w:pStyle w:val="REF"/>
        <w:spacing w:line="240" w:lineRule="auto"/>
        <w:rPr>
          <w:noProof/>
          <w:color w:val="auto"/>
        </w:rPr>
      </w:pPr>
      <w:r w:rsidRPr="00D82CEE">
        <w:rPr>
          <w:noProof/>
          <w:color w:val="auto"/>
        </w:rPr>
        <w:t>Ansari R, Mahta A, Mallack E, Luo JJ. 2014. Hyperhomocysteinemia and neurologic disorders: a review. J Clin Neurol 10(4):281–8.</w:t>
      </w:r>
    </w:p>
    <w:p w:rsidR="00D82CEE" w:rsidRPr="00D82CEE" w:rsidRDefault="00D82CEE" w:rsidP="00081857">
      <w:pPr>
        <w:pStyle w:val="REF"/>
        <w:spacing w:line="240" w:lineRule="auto"/>
        <w:rPr>
          <w:noProof/>
          <w:color w:val="auto"/>
        </w:rPr>
      </w:pPr>
      <w:r w:rsidRPr="00D82CEE">
        <w:rPr>
          <w:noProof/>
          <w:color w:val="auto"/>
        </w:rPr>
        <w:t>Cacciapuoti F. 2013. Lowering homocysteine levels with folic acid and B-vitamins do not reduce early atherosclerosis, but could interfere with cognitive decline and Alzheimer’s disease. J Thromb Thrombolysis 36(3):258–62.</w:t>
      </w:r>
    </w:p>
    <w:p w:rsidR="00D82CEE" w:rsidRPr="00D82CEE" w:rsidRDefault="00D82CEE" w:rsidP="00081857">
      <w:pPr>
        <w:pStyle w:val="REF"/>
        <w:spacing w:line="240" w:lineRule="auto"/>
        <w:rPr>
          <w:noProof/>
          <w:color w:val="auto"/>
        </w:rPr>
      </w:pPr>
      <w:r w:rsidRPr="00D82CEE">
        <w:rPr>
          <w:noProof/>
          <w:color w:val="auto"/>
        </w:rPr>
        <w:t>Ding X, Liu R, Li W, Ni H, Liu Y, Wu D, and others. 2016. A metabonomic investigation on the biochemical perturbation in post-stroke patients with depressive disorder (PSD). Metab Brain Dis 31(2):279–87.</w:t>
      </w:r>
    </w:p>
    <w:p w:rsidR="00D82CEE" w:rsidRPr="00D82CEE" w:rsidRDefault="00D82CEE" w:rsidP="00081857">
      <w:pPr>
        <w:pStyle w:val="REF"/>
        <w:spacing w:line="240" w:lineRule="auto"/>
        <w:rPr>
          <w:noProof/>
          <w:color w:val="auto"/>
        </w:rPr>
      </w:pPr>
      <w:r w:rsidRPr="00D82CEE">
        <w:rPr>
          <w:noProof/>
          <w:color w:val="auto"/>
        </w:rPr>
        <w:t>Donnan GA, Fisher M, Macleod M, Davis SM. 2008. Stroke. Lancet 371(9624):1612–23.</w:t>
      </w:r>
    </w:p>
    <w:p w:rsidR="00D82CEE" w:rsidRPr="00472E45" w:rsidRDefault="00D82CEE" w:rsidP="00081857">
      <w:pPr>
        <w:pStyle w:val="REF"/>
        <w:spacing w:line="240" w:lineRule="auto"/>
        <w:rPr>
          <w:noProof/>
          <w:color w:val="auto"/>
          <w:spacing w:val="-4"/>
        </w:rPr>
      </w:pPr>
      <w:r w:rsidRPr="00472E45">
        <w:rPr>
          <w:noProof/>
          <w:color w:val="auto"/>
          <w:spacing w:val="-4"/>
        </w:rPr>
        <w:t>England TJ, Hind WH, Rasid NA, O’Sullivan SE. 2015. Cannabinoids in experimental stroke: a systematic review and meta-analysis. J Cereb Blood Flow Metab 35(3):348–58.</w:t>
      </w:r>
    </w:p>
    <w:p w:rsidR="00D82CEE" w:rsidRPr="00D82CEE" w:rsidRDefault="00D82CEE" w:rsidP="00081857">
      <w:pPr>
        <w:pStyle w:val="REF"/>
        <w:spacing w:line="240" w:lineRule="auto"/>
        <w:rPr>
          <w:noProof/>
          <w:color w:val="auto"/>
        </w:rPr>
      </w:pPr>
      <w:r w:rsidRPr="00D82CEE">
        <w:rPr>
          <w:noProof/>
          <w:color w:val="auto"/>
        </w:rPr>
        <w:t>Esposito E, Cordaro M, Cuzzocrea S. 2014. Roles of fatty acid ethanolamides (FAE) in traumatic and ischemic brain injury. Pharmacol Res 86:26–31.</w:t>
      </w:r>
    </w:p>
    <w:p w:rsidR="00D82CEE" w:rsidRPr="00D82CEE" w:rsidRDefault="00D82CEE" w:rsidP="00081857">
      <w:pPr>
        <w:pStyle w:val="REF"/>
        <w:spacing w:line="240" w:lineRule="auto"/>
        <w:rPr>
          <w:noProof/>
          <w:color w:val="auto"/>
        </w:rPr>
      </w:pPr>
      <w:r w:rsidRPr="00D82CEE">
        <w:rPr>
          <w:noProof/>
          <w:color w:val="auto"/>
        </w:rPr>
        <w:t>Gao J, Yang H, Chen J, Fang J, Chen C, Liang R, and others. 2013. Analysis of serum metabolites for the discovery of amino acid biomarkers and the effect of galangin on cerebral ischemia. Mol Biosyst 9(9):2311–21.</w:t>
      </w:r>
    </w:p>
    <w:p w:rsidR="00D82CEE" w:rsidRPr="00D82CEE" w:rsidRDefault="00D82CEE" w:rsidP="00081857">
      <w:pPr>
        <w:pStyle w:val="REF"/>
        <w:spacing w:line="240" w:lineRule="auto"/>
        <w:rPr>
          <w:noProof/>
          <w:color w:val="auto"/>
        </w:rPr>
      </w:pPr>
      <w:r w:rsidRPr="00D82CEE">
        <w:rPr>
          <w:noProof/>
          <w:color w:val="auto"/>
        </w:rPr>
        <w:t>Hillard CJ. 2008. Role of cannabinoids and endocannabinoids in cerebral ischemia. Curr Pharm Des 14(23):2347–61.</w:t>
      </w:r>
    </w:p>
    <w:p w:rsidR="00D82CEE" w:rsidRPr="00D82CEE" w:rsidRDefault="00D82CEE" w:rsidP="00081857">
      <w:pPr>
        <w:pStyle w:val="REF"/>
        <w:spacing w:line="240" w:lineRule="auto"/>
        <w:rPr>
          <w:noProof/>
          <w:color w:val="auto"/>
        </w:rPr>
      </w:pPr>
      <w:r w:rsidRPr="00D82CEE">
        <w:rPr>
          <w:noProof/>
          <w:color w:val="auto"/>
        </w:rPr>
        <w:t>Hillered L, Kotwica Z, Ungerstedt U. 1991. Interstitial and cerebrospinal fluid levels of energy-related metabolites after middle cerebral artery occlusion in rats. Res Exp Med (Berl) 191(3):219–25.</w:t>
      </w:r>
    </w:p>
    <w:p w:rsidR="00D82CEE" w:rsidRPr="00D82CEE" w:rsidRDefault="00D82CEE" w:rsidP="00081857">
      <w:pPr>
        <w:pStyle w:val="REF"/>
        <w:spacing w:line="240" w:lineRule="auto"/>
        <w:rPr>
          <w:noProof/>
          <w:color w:val="auto"/>
        </w:rPr>
      </w:pPr>
      <w:r w:rsidRPr="00D82CEE">
        <w:rPr>
          <w:noProof/>
          <w:color w:val="auto"/>
        </w:rPr>
        <w:t>Homocysteine Studies Collaboration. 2002. Homocysteine and risk of ischemic heart disease and stroke: a meta-analysis. JAMA 288(16):2015–22.</w:t>
      </w:r>
    </w:p>
    <w:p w:rsidR="00D82CEE" w:rsidRPr="008964BD" w:rsidRDefault="00D82CEE" w:rsidP="00081857">
      <w:pPr>
        <w:pStyle w:val="REF"/>
        <w:spacing w:line="240" w:lineRule="auto"/>
        <w:rPr>
          <w:noProof/>
          <w:color w:val="auto"/>
          <w:spacing w:val="-2"/>
        </w:rPr>
      </w:pPr>
      <w:r w:rsidRPr="008964BD">
        <w:rPr>
          <w:noProof/>
          <w:color w:val="auto"/>
          <w:spacing w:val="-2"/>
        </w:rPr>
        <w:t>Huang Y, Zhou M, Sun H, Wang Y. 2011. Branched-chain amino acid metabolism in heart disease: an epiphenomenon or a real culprit? Cardiovasc Res 90(2):220–3.</w:t>
      </w:r>
    </w:p>
    <w:p w:rsidR="00D82CEE" w:rsidRPr="00D82CEE" w:rsidRDefault="00D82CEE" w:rsidP="00081857">
      <w:pPr>
        <w:pStyle w:val="REF"/>
        <w:spacing w:line="240" w:lineRule="auto"/>
        <w:rPr>
          <w:noProof/>
          <w:color w:val="auto"/>
        </w:rPr>
      </w:pPr>
      <w:r w:rsidRPr="00D82CEE">
        <w:rPr>
          <w:noProof/>
          <w:color w:val="auto"/>
        </w:rPr>
        <w:t>Irie M, Fujimura Y, Yamato M, Miura D, Wariishi H. 2014. Integrated MALDI-MS imaging and LC-MS techniques for visualizing spatiotemporal metabolomic dynamics in a rat stroke model. Metabolomics 10(3):473–83.</w:t>
      </w:r>
    </w:p>
    <w:p w:rsidR="00D82CEE" w:rsidRPr="00D82CEE" w:rsidRDefault="00D82CEE" w:rsidP="00081857">
      <w:pPr>
        <w:pStyle w:val="REF"/>
        <w:spacing w:line="240" w:lineRule="auto"/>
        <w:rPr>
          <w:noProof/>
          <w:color w:val="auto"/>
        </w:rPr>
      </w:pPr>
      <w:r w:rsidRPr="00D82CEE">
        <w:rPr>
          <w:noProof/>
          <w:color w:val="auto"/>
        </w:rPr>
        <w:t>Issaq HJ, Abbott E, Veenstra TD. 2008. Utility of separation science in metabolomic studies. J Sep Sci 31(11):1936–47.</w:t>
      </w:r>
    </w:p>
    <w:p w:rsidR="00D82CEE" w:rsidRPr="00D82CEE" w:rsidRDefault="00D82CEE" w:rsidP="00081857">
      <w:pPr>
        <w:pStyle w:val="REF"/>
        <w:spacing w:line="240" w:lineRule="auto"/>
        <w:rPr>
          <w:noProof/>
          <w:color w:val="auto"/>
        </w:rPr>
      </w:pPr>
      <w:r w:rsidRPr="00D82CEE">
        <w:rPr>
          <w:noProof/>
          <w:color w:val="auto"/>
        </w:rPr>
        <w:t>Jiang Z, Sun J, Liang Q, Cai Y, Li S, Huang Y, and others. 2011. A metabonomic approach applied to predict patients with cerebral infarction. Talanta 84(2):298–304.</w:t>
      </w:r>
    </w:p>
    <w:p w:rsidR="00D82CEE" w:rsidRPr="00D82CEE" w:rsidRDefault="00D82CEE" w:rsidP="00081857">
      <w:pPr>
        <w:pStyle w:val="REF"/>
        <w:spacing w:line="240" w:lineRule="auto"/>
        <w:rPr>
          <w:noProof/>
          <w:color w:val="auto"/>
        </w:rPr>
      </w:pPr>
      <w:r w:rsidRPr="00D82CEE">
        <w:rPr>
          <w:noProof/>
          <w:color w:val="auto"/>
        </w:rPr>
        <w:t>Jove M, Mauri-Capdevila G, Suarez I, Cambray S, Sanahuja J, Quilez A, and others. 2015. Metabolomics predicts stroke recurrence after transient ischemic attack. Neurology 84(1):36–45.</w:t>
      </w:r>
    </w:p>
    <w:p w:rsidR="00D82CEE" w:rsidRPr="00D82CEE" w:rsidRDefault="00D82CEE" w:rsidP="00081857">
      <w:pPr>
        <w:pStyle w:val="REF"/>
        <w:spacing w:line="240" w:lineRule="auto"/>
        <w:rPr>
          <w:noProof/>
          <w:color w:val="auto"/>
        </w:rPr>
      </w:pPr>
      <w:r w:rsidRPr="00D82CEE">
        <w:rPr>
          <w:noProof/>
          <w:color w:val="auto"/>
        </w:rPr>
        <w:t>Jung JY, Lee HS, Kang DG, Kim NS, Cha MH, Bang OS, and others. 2011. 1H-NMR-based metabolomics study of cerebral infarction. Stroke 42(5):1282–8.</w:t>
      </w:r>
    </w:p>
    <w:p w:rsidR="00D82CEE" w:rsidRPr="00D82CEE" w:rsidRDefault="00D82CEE" w:rsidP="00081857">
      <w:pPr>
        <w:pStyle w:val="REF"/>
        <w:spacing w:line="240" w:lineRule="auto"/>
        <w:rPr>
          <w:noProof/>
          <w:color w:val="auto"/>
        </w:rPr>
      </w:pPr>
      <w:r w:rsidRPr="00D82CEE">
        <w:rPr>
          <w:noProof/>
          <w:color w:val="auto"/>
        </w:rPr>
        <w:t>Kimberly WT, Wang Y, Pham L, Furie KL, Gerszten RE. 2013. Metabolite profiling identifies a branched chain amino acid signature in acute cardioembolic stroke. Stroke 44(5):1389–95.</w:t>
      </w:r>
    </w:p>
    <w:p w:rsidR="00D82CEE" w:rsidRPr="00D82CEE" w:rsidRDefault="00D82CEE" w:rsidP="00081857">
      <w:pPr>
        <w:pStyle w:val="REF"/>
        <w:spacing w:line="240" w:lineRule="auto"/>
        <w:rPr>
          <w:noProof/>
          <w:color w:val="auto"/>
        </w:rPr>
      </w:pPr>
      <w:r w:rsidRPr="00D82CEE">
        <w:rPr>
          <w:noProof/>
          <w:color w:val="auto"/>
        </w:rPr>
        <w:t>Laskowitz DT, Kasner SE, Saver J, Remmel KS, Jauch EC. 2009. Clinical usefulness of a biomarker-based diagnostic test for acute stroke: the Biomarker Rapid Assessment in Ischemic Injury (BRAIN) study. Stroke 40(1):77–85.</w:t>
      </w:r>
    </w:p>
    <w:p w:rsidR="00D82CEE" w:rsidRPr="00D82CEE" w:rsidRDefault="00D82CEE" w:rsidP="00081857">
      <w:pPr>
        <w:pStyle w:val="REF"/>
        <w:spacing w:line="240" w:lineRule="auto"/>
        <w:rPr>
          <w:noProof/>
          <w:color w:val="auto"/>
        </w:rPr>
      </w:pPr>
      <w:r w:rsidRPr="00D82CEE">
        <w:rPr>
          <w:noProof/>
          <w:color w:val="auto"/>
        </w:rPr>
        <w:t>Lindon JC, Holmes E, Nicholson JK. 2003. So what’s the deal with metabonomics? Anal Chem 75(17):384A–91A.</w:t>
      </w:r>
    </w:p>
    <w:p w:rsidR="00D82CEE" w:rsidRPr="00D82CEE" w:rsidRDefault="00D82CEE" w:rsidP="00081857">
      <w:pPr>
        <w:pStyle w:val="REF"/>
        <w:spacing w:line="240" w:lineRule="auto"/>
        <w:rPr>
          <w:noProof/>
          <w:color w:val="auto"/>
        </w:rPr>
      </w:pPr>
      <w:r w:rsidRPr="00D82CEE">
        <w:rPr>
          <w:noProof/>
          <w:color w:val="auto"/>
        </w:rPr>
        <w:t>Lipton P. 1999. Ischemic cell death in brain neurons. Physiol Rev 79(4):1431–568.</w:t>
      </w:r>
    </w:p>
    <w:p w:rsidR="00D82CEE" w:rsidRPr="00D82CEE" w:rsidRDefault="00D82CEE" w:rsidP="00081857">
      <w:pPr>
        <w:pStyle w:val="REF"/>
        <w:spacing w:line="240" w:lineRule="auto"/>
        <w:rPr>
          <w:noProof/>
          <w:color w:val="auto"/>
        </w:rPr>
      </w:pPr>
      <w:r w:rsidRPr="00D82CEE">
        <w:rPr>
          <w:noProof/>
          <w:color w:val="auto"/>
        </w:rPr>
        <w:t>Liu M, Zhou K, Li H, Dong X, Tan G, Chai Y, and others. 2015. Potential of serum metabolites for diagnosing post-stroke cognitive impairment. Mol Biosyst 11(12):3287–96.</w:t>
      </w:r>
    </w:p>
    <w:p w:rsidR="00D82CEE" w:rsidRPr="00D82CEE" w:rsidRDefault="00D82CEE" w:rsidP="00081857">
      <w:pPr>
        <w:pStyle w:val="REF"/>
        <w:spacing w:line="240" w:lineRule="auto"/>
        <w:rPr>
          <w:noProof/>
          <w:color w:val="auto"/>
        </w:rPr>
      </w:pPr>
      <w:r w:rsidRPr="00D82CEE">
        <w:rPr>
          <w:noProof/>
          <w:color w:val="auto"/>
        </w:rPr>
        <w:t>Lumbreras B, Porta M, Marquez S, Pollan M, Parker LA, Hernandez-Aguado I. 2008. QUADOMICS: an adaptation of the Quality Assessment of Diagnostic Accuracy Assessment (QUADAS) for the evaluation of the methodological quality of studies on the diagnostic accuracy of “-omics”-based technologies. Clin Biochem 41(16–17):1316–25.</w:t>
      </w:r>
    </w:p>
    <w:p w:rsidR="00D82CEE" w:rsidRPr="008964BD" w:rsidRDefault="00D82CEE" w:rsidP="00081857">
      <w:pPr>
        <w:pStyle w:val="REF"/>
        <w:spacing w:line="240" w:lineRule="auto"/>
        <w:rPr>
          <w:noProof/>
          <w:color w:val="auto"/>
          <w:spacing w:val="-2"/>
        </w:rPr>
      </w:pPr>
      <w:r w:rsidRPr="008964BD">
        <w:rPr>
          <w:noProof/>
          <w:color w:val="auto"/>
          <w:spacing w:val="-2"/>
        </w:rPr>
        <w:t xml:space="preserve">Melani A, Pantoni L, Corsi C, Bianchi L, Monopoli A, Bertorelli R, and others. 1999. Striatal outflow of adenosine, excitatory amino acids, gamma-aminobutyric acid, and taurine in awake freely moving rats after middle cerebral </w:t>
      </w:r>
      <w:r w:rsidR="00CB68CF">
        <w:rPr>
          <w:noProof/>
          <w:color w:val="auto"/>
          <w:spacing w:val="-2"/>
        </w:rPr>
        <w:br w:type="column"/>
      </w:r>
      <w:r w:rsidRPr="008964BD">
        <w:rPr>
          <w:noProof/>
          <w:color w:val="auto"/>
          <w:spacing w:val="-2"/>
        </w:rPr>
        <w:t>artery occlusion: correlations with neurological deficit and histopathological damage. Stroke 30(11):2448–54.</w:t>
      </w:r>
    </w:p>
    <w:p w:rsidR="00D82CEE" w:rsidRPr="00D82CEE" w:rsidRDefault="00D82CEE" w:rsidP="00081857">
      <w:pPr>
        <w:pStyle w:val="REF"/>
        <w:spacing w:line="240" w:lineRule="auto"/>
        <w:rPr>
          <w:noProof/>
          <w:color w:val="auto"/>
        </w:rPr>
      </w:pPr>
      <w:r w:rsidRPr="00D82CEE">
        <w:rPr>
          <w:noProof/>
          <w:color w:val="auto"/>
        </w:rPr>
        <w:t>Montaner J, Perea-Gainza M, Delgado P, Ribo M, Chacon P, Rosell A, and others. 2008. Etiologic diagnosis of ischemic stroke subtypes with plasma biomarkers. Stroke 39(8):2280–7.</w:t>
      </w:r>
    </w:p>
    <w:p w:rsidR="00D82CEE" w:rsidRPr="00D82CEE" w:rsidRDefault="00D82CEE" w:rsidP="00081857">
      <w:pPr>
        <w:pStyle w:val="REF"/>
        <w:spacing w:line="240" w:lineRule="auto"/>
        <w:rPr>
          <w:noProof/>
          <w:color w:val="auto"/>
        </w:rPr>
      </w:pPr>
      <w:r w:rsidRPr="00D82CEE">
        <w:rPr>
          <w:noProof/>
          <w:color w:val="auto"/>
        </w:rPr>
        <w:t>Morgenstern LB, Lisabeth LD, Mecozzi AC, Smith MA, Longwell PJ, McFarling DA, and others. 2004. A population-based study of acute stroke and TIA diagnosis. Neurology 62(6):895–900.</w:t>
      </w:r>
    </w:p>
    <w:p w:rsidR="00D82CEE" w:rsidRPr="00D82CEE" w:rsidRDefault="00D82CEE" w:rsidP="00081857">
      <w:pPr>
        <w:pStyle w:val="REF"/>
        <w:spacing w:line="240" w:lineRule="auto"/>
        <w:rPr>
          <w:noProof/>
          <w:color w:val="auto"/>
        </w:rPr>
      </w:pPr>
      <w:r w:rsidRPr="00D82CEE">
        <w:rPr>
          <w:noProof/>
          <w:color w:val="auto"/>
        </w:rPr>
        <w:t>Naccarato M, Pizzuti D, Petrosino S, Simonetto M, Ferigo L, Grandi FC, and others. 2010. Possible anandamide and palmitoylethanolamide involvement in human stroke. Lipids Health Dis 9:47.</w:t>
      </w:r>
    </w:p>
    <w:p w:rsidR="00D82CEE" w:rsidRPr="00D82CEE" w:rsidRDefault="00D82CEE" w:rsidP="00081857">
      <w:pPr>
        <w:pStyle w:val="REF"/>
        <w:spacing w:line="240" w:lineRule="auto"/>
        <w:rPr>
          <w:noProof/>
          <w:color w:val="auto"/>
        </w:rPr>
      </w:pPr>
      <w:r w:rsidRPr="00D82CEE">
        <w:rPr>
          <w:noProof/>
          <w:color w:val="auto"/>
        </w:rPr>
        <w:t>Nicholson JK, Lindon JC. 2008. Systems biology: metabonomics. Nature 455(7216):1054–6.</w:t>
      </w:r>
    </w:p>
    <w:p w:rsidR="00D82CEE" w:rsidRPr="00D82CEE" w:rsidRDefault="00D82CEE" w:rsidP="00081857">
      <w:pPr>
        <w:pStyle w:val="REF"/>
        <w:spacing w:line="240" w:lineRule="auto"/>
        <w:rPr>
          <w:noProof/>
          <w:color w:val="auto"/>
        </w:rPr>
      </w:pPr>
      <w:r w:rsidRPr="00D82CEE">
        <w:rPr>
          <w:noProof/>
          <w:color w:val="auto"/>
        </w:rPr>
        <w:t>Nicholson JK, Lindon JC, Holmes E. 1999. “Metabonomics”: understanding the metabolic responses of living systems to pathophysiological stimuli via multivariate statistical analysis of biological NMR spectroscopic data. Xenobiotica 29(11):1181–9.</w:t>
      </w:r>
    </w:p>
    <w:p w:rsidR="00D82CEE" w:rsidRPr="00D82CEE" w:rsidRDefault="00D82CEE" w:rsidP="00081857">
      <w:pPr>
        <w:pStyle w:val="REF"/>
        <w:spacing w:line="240" w:lineRule="auto"/>
        <w:rPr>
          <w:noProof/>
          <w:color w:val="auto"/>
        </w:rPr>
      </w:pPr>
      <w:r w:rsidRPr="00D82CEE">
        <w:rPr>
          <w:noProof/>
          <w:color w:val="auto"/>
        </w:rPr>
        <w:t>Pellegrini-Giampietro DE, Mannaioni G, Bagetta G. 2009. Post-ischemic brain damage: the endocannabinoid system in the mechanisms of neuronal death. FEBS J 276(1):2–12.</w:t>
      </w:r>
    </w:p>
    <w:p w:rsidR="00D82CEE" w:rsidRPr="00D82CEE" w:rsidRDefault="00D82CEE" w:rsidP="00081857">
      <w:pPr>
        <w:pStyle w:val="REF"/>
        <w:spacing w:line="240" w:lineRule="auto"/>
        <w:rPr>
          <w:noProof/>
          <w:color w:val="auto"/>
        </w:rPr>
      </w:pPr>
      <w:r w:rsidRPr="00D82CEE">
        <w:rPr>
          <w:noProof/>
          <w:color w:val="auto"/>
        </w:rPr>
        <w:t>Saenger AK, Christenson RH. 2010. Stroke biomarkers: progress and challenges for diagnosis, prognosis, differentiation, and treatment. Clin Chem 56(1):21–33.</w:t>
      </w:r>
    </w:p>
    <w:p w:rsidR="00D82CEE" w:rsidRPr="00D82CEE" w:rsidRDefault="00D82CEE" w:rsidP="00081857">
      <w:pPr>
        <w:pStyle w:val="REF"/>
        <w:spacing w:line="240" w:lineRule="auto"/>
        <w:rPr>
          <w:noProof/>
          <w:color w:val="auto"/>
        </w:rPr>
      </w:pPr>
      <w:r w:rsidRPr="00D82CEE">
        <w:rPr>
          <w:noProof/>
          <w:color w:val="auto"/>
        </w:rPr>
        <w:t>Shalhoub J, Davies KJ, Hasan N, Thapar A, Sharma P, Davies AH. 2012. The utility of collaborative biobanks for cardiovascular research. Angiology 63(5):367–77.</w:t>
      </w:r>
    </w:p>
    <w:p w:rsidR="00D82CEE" w:rsidRPr="00D82CEE" w:rsidRDefault="00D82CEE" w:rsidP="00081857">
      <w:pPr>
        <w:pStyle w:val="REF"/>
        <w:spacing w:line="240" w:lineRule="auto"/>
        <w:rPr>
          <w:noProof/>
          <w:color w:val="auto"/>
        </w:rPr>
      </w:pPr>
      <w:r w:rsidRPr="00D82CEE">
        <w:rPr>
          <w:noProof/>
          <w:color w:val="auto"/>
        </w:rPr>
        <w:t>Shalhoub J, Sikkel MB, Davies KJ, Vorkas PA, Want EJ, Davies AH. 2014. Systems biology of human atherosclerosis. Vasc Endovascular Surg 48(1):5–17.</w:t>
      </w:r>
    </w:p>
    <w:p w:rsidR="00D82CEE" w:rsidRPr="00D82CEE" w:rsidRDefault="00D82CEE" w:rsidP="00081857">
      <w:pPr>
        <w:pStyle w:val="REF"/>
        <w:spacing w:line="240" w:lineRule="auto"/>
        <w:rPr>
          <w:noProof/>
          <w:color w:val="auto"/>
        </w:rPr>
      </w:pPr>
      <w:r w:rsidRPr="00D82CEE">
        <w:rPr>
          <w:noProof/>
          <w:color w:val="auto"/>
        </w:rPr>
        <w:t>Wang Y, Wang YG, Ma TF, Li M, Gu SL. 2014. Dynamic metabolites profile of cerebral ischemia/reperfusion revealed by (1)H NMR-based metabolomics contributes to potential biomarkers. Int J Clin Exp Pathol 7(7):4067–75.</w:t>
      </w:r>
    </w:p>
    <w:p w:rsidR="00D82CEE" w:rsidRPr="00D82CEE" w:rsidRDefault="00D82CEE" w:rsidP="00081857">
      <w:pPr>
        <w:pStyle w:val="REF"/>
        <w:spacing w:line="240" w:lineRule="auto"/>
        <w:rPr>
          <w:noProof/>
          <w:color w:val="auto"/>
        </w:rPr>
      </w:pPr>
      <w:r w:rsidRPr="00D82CEE">
        <w:rPr>
          <w:noProof/>
          <w:color w:val="auto"/>
        </w:rPr>
        <w:t>Whiteley W, Tseng MC, Sandercock P. 2008. Blood biomarkers in the diagnosis of ischemic stroke: a systematic review. Stroke 39(10):2902–9.</w:t>
      </w:r>
    </w:p>
    <w:p w:rsidR="00D82CEE" w:rsidRPr="00D82CEE" w:rsidRDefault="00D82CEE" w:rsidP="00081857">
      <w:pPr>
        <w:pStyle w:val="REF"/>
        <w:spacing w:line="240" w:lineRule="auto"/>
        <w:rPr>
          <w:noProof/>
          <w:color w:val="auto"/>
        </w:rPr>
      </w:pPr>
      <w:r w:rsidRPr="00D82CEE">
        <w:rPr>
          <w:noProof/>
          <w:color w:val="auto"/>
        </w:rPr>
        <w:t>Yang M, Wang S, Hao F, Li Y, Tang H, Shi X. 2012. NMR analysis of the rat neurochemical changes induced by middle cerebral artery occlusion. Talanta 88:136–44.</w:t>
      </w:r>
    </w:p>
    <w:p w:rsidR="00D82CEE" w:rsidRPr="00D82CEE" w:rsidRDefault="00D82CEE" w:rsidP="00081857">
      <w:pPr>
        <w:pStyle w:val="REF"/>
        <w:spacing w:line="240" w:lineRule="auto"/>
        <w:rPr>
          <w:noProof/>
          <w:color w:val="auto"/>
        </w:rPr>
      </w:pPr>
      <w:r w:rsidRPr="00D82CEE">
        <w:rPr>
          <w:noProof/>
          <w:color w:val="auto"/>
        </w:rPr>
        <w:t>Zhong C, Lv L, Liu C, Zhao L, Zhou M, Sun W, and others. 2014. High homocysteine and blood pressure related to poor outcome of acute ischemia stroke in Chinese population. PLoS One 9(9):e107498.</w:t>
      </w:r>
    </w:p>
    <w:p w:rsidR="00D82CEE" w:rsidRPr="00D82CEE" w:rsidRDefault="00D82CEE" w:rsidP="00081857">
      <w:pPr>
        <w:pStyle w:val="REF"/>
        <w:spacing w:line="240" w:lineRule="auto"/>
        <w:rPr>
          <w:noProof/>
          <w:color w:val="auto"/>
        </w:rPr>
      </w:pPr>
      <w:r w:rsidRPr="00D82CEE">
        <w:rPr>
          <w:noProof/>
          <w:color w:val="auto"/>
        </w:rPr>
        <w:t>Zhu Y, Guo Z, Zhang L, Zhang Y, Chen Y, Nan J, and others. 2015. System-wide assembly of pathways and modules hierarchically reveal metabolic mechanism of cerebral ischemia. Sci Rep 5:17068.</w:t>
      </w:r>
    </w:p>
    <w:sectPr w:rsidR="00D82CEE" w:rsidRPr="00D82CEE" w:rsidSect="00A542A8">
      <w:headerReference w:type="even" r:id="rId22"/>
      <w:headerReference w:type="default" r:id="rId23"/>
      <w:headerReference w:type="first" r:id="rId24"/>
      <w:pgSz w:w="11697" w:h="15661" w:code="166"/>
      <w:pgMar w:top="840" w:right="960" w:bottom="960" w:left="1260" w:header="680" w:footer="960" w:gutter="0"/>
      <w:pgNumType w:start="6"/>
      <w:cols w:num="2" w:space="36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67DC3" w:rsidRPr="00D82CEE" w:rsidRDefault="00867DC3" w:rsidP="002C0137">
      <w:pPr>
        <w:spacing w:after="0" w:line="240" w:lineRule="auto"/>
      </w:pPr>
      <w:r w:rsidRPr="00D82CEE">
        <w:separator/>
      </w:r>
    </w:p>
    <w:p w:rsidR="00867DC3" w:rsidRPr="00D82CEE" w:rsidRDefault="00867DC3"/>
  </w:endnote>
  <w:endnote w:type="continuationSeparator" w:id="0">
    <w:p w:rsidR="00867DC3" w:rsidRPr="00D82CEE" w:rsidRDefault="00867DC3" w:rsidP="002C0137">
      <w:pPr>
        <w:spacing w:after="0" w:line="240" w:lineRule="auto"/>
      </w:pPr>
      <w:r w:rsidRPr="00D82CEE">
        <w:continuationSeparator/>
      </w:r>
    </w:p>
    <w:p w:rsidR="00867DC3" w:rsidRPr="00D82CEE" w:rsidRDefault="00867DC3"/>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B0AD59DF-610C-4123-8A65-297DDF4CF0AA}"/>
    <w:embedBold r:id="rId2" w:fontKey="{7D195DCC-9A68-4ECC-87DC-3ABFE7F42CBE}"/>
    <w:embedItalic r:id="rId3" w:fontKey="{2CE88C28-71AD-4EE3-892B-26230A009B02}"/>
    <w:embedBoldItalic r:id="rId4" w:fontKey="{CCE4D8EB-4CC3-4DDA-BFFB-9B195B80B0BF}"/>
  </w:font>
  <w:font w:name="Cambria">
    <w:panose1 w:val="02040503050406030204"/>
    <w:charset w:val="00"/>
    <w:family w:val="roman"/>
    <w:pitch w:val="variable"/>
    <w:sig w:usb0="E00002FF" w:usb1="400004FF" w:usb2="00000000" w:usb3="00000000" w:csb0="0000019F" w:csb1="00000000"/>
    <w:embedRegular r:id="rId5" w:fontKey="{F6FC7BC0-93DA-42A2-B82D-A72CFFE398D4}"/>
    <w:embedBold r:id="rId6" w:fontKey="{0A1352ED-E34D-4E91-A7C4-53114AB235BB}"/>
    <w:embedItalic r:id="rId7" w:fontKey="{19059761-B05F-497B-A06A-1A26946D9C3D}"/>
    <w:embedBoldItalic r:id="rId8" w:fontKey="{849C13F3-8848-487B-AA02-A3E4EFF2DE52}"/>
  </w:font>
  <w:font w:name="Gill Sans">
    <w:altName w:val="DejaVu Sans Condensed"/>
    <w:charset w:val="00"/>
    <w:family w:val="auto"/>
    <w:pitch w:val="variable"/>
    <w:sig w:usb0="00000003" w:usb1="00000000" w:usb2="00000000" w:usb3="00000000" w:csb0="00000001" w:csb1="00000000"/>
    <w:embedRegular r:id="rId9" w:fontKey="{BB903F41-4E17-458F-AA95-7F69A8FD8BFA}"/>
    <w:embedBold r:id="rId10" w:fontKey="{CB453AA5-9F7C-4C3D-8852-5A73030CBFCD}"/>
    <w:embedItalic r:id="rId11" w:fontKey="{C8C11643-3B9B-42DB-ACA3-89E708823C1D}"/>
  </w:font>
  <w:font w:name="Tahoma">
    <w:panose1 w:val="020B0604030504040204"/>
    <w:charset w:val="00"/>
    <w:family w:val="swiss"/>
    <w:pitch w:val="variable"/>
    <w:sig w:usb0="E1002EFF" w:usb1="C000605B" w:usb2="00000029" w:usb3="00000000" w:csb0="000101FF" w:csb1="00000000"/>
    <w:embedRegular r:id="rId12" w:fontKey="{2A8707AE-53E9-4AFE-8E8E-A276B3A84608}"/>
  </w:font>
  <w:font w:name="Consolas">
    <w:panose1 w:val="020B0609020204030204"/>
    <w:charset w:val="00"/>
    <w:family w:val="modern"/>
    <w:pitch w:val="fixed"/>
    <w:sig w:usb0="E10002FF" w:usb1="4000FCFF" w:usb2="00000009" w:usb3="00000000" w:csb0="0000019F" w:csb1="00000000"/>
    <w:embedRegular r:id="rId13" w:fontKey="{1DCA5005-2373-4013-B556-BC44820F93E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67DC3" w:rsidRPr="00D82CEE" w:rsidRDefault="00867DC3" w:rsidP="002C0137">
      <w:pPr>
        <w:spacing w:after="0" w:line="240" w:lineRule="auto"/>
      </w:pPr>
      <w:r w:rsidRPr="00D82CEE">
        <w:separator/>
      </w:r>
    </w:p>
    <w:p w:rsidR="00867DC3" w:rsidRPr="00D82CEE" w:rsidRDefault="00867DC3"/>
  </w:footnote>
  <w:footnote w:type="continuationSeparator" w:id="0">
    <w:p w:rsidR="00867DC3" w:rsidRPr="00D82CEE" w:rsidRDefault="00867DC3" w:rsidP="002C0137">
      <w:pPr>
        <w:spacing w:after="0" w:line="240" w:lineRule="auto"/>
      </w:pPr>
      <w:r w:rsidRPr="00D82CEE">
        <w:continuationSeparator/>
      </w:r>
    </w:p>
    <w:p w:rsidR="00867DC3" w:rsidRPr="00D82CEE" w:rsidRDefault="00867DC3"/>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80" w:type="dxa"/>
      <w:tblBorders>
        <w:bottom w:val="single" w:sz="4" w:space="0" w:color="auto"/>
        <w:insideH w:val="single" w:sz="4" w:space="0" w:color="auto"/>
        <w:insideV w:val="single" w:sz="4" w:space="0" w:color="auto"/>
      </w:tblBorders>
      <w:tblLayout w:type="fixed"/>
      <w:tblCellMar>
        <w:left w:w="0" w:type="dxa"/>
        <w:right w:w="0" w:type="dxa"/>
      </w:tblCellMar>
      <w:tblLook w:val="0000"/>
    </w:tblPr>
    <w:tblGrid>
      <w:gridCol w:w="9480"/>
    </w:tblGrid>
    <w:tr w:rsidR="00867DC3" w:rsidRPr="00D82CEE" w:rsidTr="00E53839">
      <w:trPr>
        <w:trHeight w:val="270"/>
      </w:trPr>
      <w:tc>
        <w:tcPr>
          <w:tcW w:w="9480" w:type="dxa"/>
        </w:tcPr>
        <w:p w:rsidR="00867DC3" w:rsidRPr="00D82CEE" w:rsidRDefault="00332043" w:rsidP="002C0137">
          <w:pPr>
            <w:pStyle w:val="Header"/>
          </w:pPr>
          <w:r w:rsidRPr="00D82CEE">
            <w:rPr>
              <w:i w:val="0"/>
            </w:rPr>
            <w:fldChar w:fldCharType="begin"/>
          </w:r>
          <w:r w:rsidR="00867DC3" w:rsidRPr="00D82CEE">
            <w:rPr>
              <w:i w:val="0"/>
            </w:rPr>
            <w:instrText xml:space="preserve"> PAGE   \* MERGEFORMAT </w:instrText>
          </w:r>
          <w:r w:rsidRPr="00D82CEE">
            <w:rPr>
              <w:i w:val="0"/>
            </w:rPr>
            <w:fldChar w:fldCharType="separate"/>
          </w:r>
          <w:r w:rsidR="00867DC3" w:rsidRPr="00D82CEE">
            <w:rPr>
              <w:i w:val="0"/>
              <w:noProof/>
            </w:rPr>
            <w:t>12</w:t>
          </w:r>
          <w:r w:rsidRPr="00D82CEE">
            <w:rPr>
              <w:i w:val="0"/>
            </w:rPr>
            <w:fldChar w:fldCharType="end"/>
          </w:r>
          <w:r w:rsidR="00867DC3" w:rsidRPr="00D82CEE">
            <w:tab/>
            <w:t>Political Research Quarterly XX(X)</w:t>
          </w:r>
        </w:p>
      </w:tc>
    </w:tr>
  </w:tbl>
  <w:p w:rsidR="00867DC3" w:rsidRPr="00D82CEE" w:rsidRDefault="00867DC3" w:rsidP="002C0137">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80" w:type="dxa"/>
      <w:tblInd w:w="-9" w:type="dxa"/>
      <w:tblBorders>
        <w:bottom w:val="single" w:sz="4" w:space="0" w:color="auto"/>
        <w:insideH w:val="single" w:sz="4" w:space="0" w:color="auto"/>
        <w:insideV w:val="single" w:sz="4" w:space="0" w:color="auto"/>
      </w:tblBorders>
      <w:tblCellMar>
        <w:left w:w="0" w:type="dxa"/>
        <w:right w:w="0" w:type="dxa"/>
      </w:tblCellMar>
      <w:tblLook w:val="0000"/>
    </w:tblPr>
    <w:tblGrid>
      <w:gridCol w:w="9480"/>
    </w:tblGrid>
    <w:tr w:rsidR="004D1C33" w:rsidRPr="00D82CEE" w:rsidTr="00AD2E1C">
      <w:trPr>
        <w:trHeight w:val="270"/>
      </w:trPr>
      <w:tc>
        <w:tcPr>
          <w:tcW w:w="9480" w:type="dxa"/>
        </w:tcPr>
        <w:p w:rsidR="004D1C33" w:rsidRPr="00D82CEE" w:rsidRDefault="004D1C33" w:rsidP="000C7DBE">
          <w:pPr>
            <w:pStyle w:val="RRH"/>
          </w:pPr>
          <w:proofErr w:type="spellStart"/>
          <w:r w:rsidRPr="00D82CEE">
            <w:t>Qureshi</w:t>
          </w:r>
          <w:proofErr w:type="spellEnd"/>
          <w:r w:rsidRPr="00D82CEE">
            <w:t xml:space="preserve"> and others</w:t>
          </w:r>
          <w:r w:rsidRPr="00D82CEE">
            <w:cr/>
          </w:r>
          <w:r w:rsidRPr="00D82CEE">
            <w:tab/>
          </w:r>
          <w:r w:rsidR="00332043" w:rsidRPr="00D82CEE">
            <w:rPr>
              <w:rStyle w:val="Folio"/>
              <w:i w:val="0"/>
              <w:iCs/>
            </w:rPr>
            <w:fldChar w:fldCharType="begin"/>
          </w:r>
          <w:r w:rsidRPr="00D82CEE">
            <w:rPr>
              <w:rStyle w:val="Folio"/>
              <w:i w:val="0"/>
              <w:iCs/>
            </w:rPr>
            <w:instrText xml:space="preserve"> PAGE   \* MERGEFORMAT </w:instrText>
          </w:r>
          <w:r w:rsidR="00332043" w:rsidRPr="00D82CEE">
            <w:rPr>
              <w:rStyle w:val="Folio"/>
              <w:i w:val="0"/>
              <w:iCs/>
            </w:rPr>
            <w:fldChar w:fldCharType="separate"/>
          </w:r>
          <w:r w:rsidR="0008530D">
            <w:rPr>
              <w:rStyle w:val="Folio"/>
              <w:i w:val="0"/>
              <w:iCs/>
              <w:noProof/>
            </w:rPr>
            <w:t>7</w:t>
          </w:r>
          <w:r w:rsidR="00332043" w:rsidRPr="00D82CEE">
            <w:rPr>
              <w:rStyle w:val="Folio"/>
              <w:i w:val="0"/>
              <w:iCs/>
            </w:rPr>
            <w:fldChar w:fldCharType="end"/>
          </w:r>
        </w:p>
      </w:tc>
    </w:tr>
  </w:tbl>
  <w:p w:rsidR="004D1C33" w:rsidRPr="00D82CEE" w:rsidRDefault="004D1C33" w:rsidP="00C616D2">
    <w:pPr>
      <w:spacing w:after="0" w:line="240" w:lineRule="exact"/>
      <w:rPr>
        <w:sz w:val="20"/>
        <w:szCs w:val="20"/>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80" w:type="dxa"/>
      <w:tblBorders>
        <w:bottom w:val="single" w:sz="4" w:space="0" w:color="auto"/>
        <w:insideH w:val="single" w:sz="4" w:space="0" w:color="auto"/>
        <w:insideV w:val="single" w:sz="4" w:space="0" w:color="auto"/>
      </w:tblBorders>
      <w:tblLayout w:type="fixed"/>
      <w:tblCellMar>
        <w:left w:w="0" w:type="dxa"/>
        <w:right w:w="0" w:type="dxa"/>
      </w:tblCellMar>
      <w:tblLook w:val="0000"/>
    </w:tblPr>
    <w:tblGrid>
      <w:gridCol w:w="9480"/>
    </w:tblGrid>
    <w:tr w:rsidR="00A542A8" w:rsidRPr="00D82CEE" w:rsidTr="00802BD9">
      <w:trPr>
        <w:trHeight w:val="270"/>
      </w:trPr>
      <w:tc>
        <w:tcPr>
          <w:tcW w:w="9480" w:type="dxa"/>
        </w:tcPr>
        <w:p w:rsidR="00A542A8" w:rsidRPr="00D82CEE" w:rsidRDefault="00332043" w:rsidP="00802BD9">
          <w:pPr>
            <w:pStyle w:val="LRH"/>
          </w:pPr>
          <w:r w:rsidRPr="00D82CEE">
            <w:rPr>
              <w:rStyle w:val="Folio"/>
              <w:i w:val="0"/>
              <w:iCs/>
            </w:rPr>
            <w:fldChar w:fldCharType="begin"/>
          </w:r>
          <w:r w:rsidR="00A542A8" w:rsidRPr="00D82CEE">
            <w:rPr>
              <w:rStyle w:val="Folio"/>
              <w:i w:val="0"/>
              <w:iCs/>
            </w:rPr>
            <w:instrText xml:space="preserve"> PAGE   \* MERGEFORMAT </w:instrText>
          </w:r>
          <w:r w:rsidRPr="00D82CEE">
            <w:rPr>
              <w:rStyle w:val="Folio"/>
              <w:i w:val="0"/>
              <w:iCs/>
            </w:rPr>
            <w:fldChar w:fldCharType="separate"/>
          </w:r>
          <w:r w:rsidR="0008530D">
            <w:rPr>
              <w:rStyle w:val="Folio"/>
              <w:i w:val="0"/>
              <w:iCs/>
              <w:noProof/>
            </w:rPr>
            <w:t>6</w:t>
          </w:r>
          <w:r w:rsidRPr="00D82CEE">
            <w:rPr>
              <w:rStyle w:val="Folio"/>
              <w:i w:val="0"/>
              <w:iCs/>
            </w:rPr>
            <w:fldChar w:fldCharType="end"/>
          </w:r>
          <w:r w:rsidR="00A542A8" w:rsidRPr="00D82CEE">
            <w:tab/>
            <w:t>The Neuroscientist</w:t>
          </w:r>
        </w:p>
      </w:tc>
    </w:tr>
  </w:tbl>
  <w:p w:rsidR="00A542A8" w:rsidRPr="00D82CEE" w:rsidRDefault="00A542A8" w:rsidP="00A542A8">
    <w:pPr>
      <w:pStyle w:val="Header"/>
      <w:spacing w:line="240" w:lineRule="exact"/>
      <w:rPr>
        <w:sz w:val="20"/>
        <w:szCs w:val="20"/>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80" w:type="dxa"/>
      <w:tblInd w:w="-9" w:type="dxa"/>
      <w:tblBorders>
        <w:bottom w:val="single" w:sz="4" w:space="0" w:color="auto"/>
        <w:insideH w:val="single" w:sz="4" w:space="0" w:color="auto"/>
        <w:insideV w:val="single" w:sz="4" w:space="0" w:color="auto"/>
      </w:tblBorders>
      <w:tblCellMar>
        <w:left w:w="0" w:type="dxa"/>
        <w:right w:w="0" w:type="dxa"/>
      </w:tblCellMar>
      <w:tblLook w:val="0000"/>
    </w:tblPr>
    <w:tblGrid>
      <w:gridCol w:w="9480"/>
    </w:tblGrid>
    <w:tr w:rsidR="00867DC3" w:rsidRPr="00D82CEE" w:rsidTr="002C0137">
      <w:trPr>
        <w:trHeight w:val="270"/>
      </w:trPr>
      <w:tc>
        <w:tcPr>
          <w:tcW w:w="9480" w:type="dxa"/>
        </w:tcPr>
        <w:p w:rsidR="00867DC3" w:rsidRPr="00D82CEE" w:rsidRDefault="00867DC3" w:rsidP="002C0137">
          <w:pPr>
            <w:pStyle w:val="Header"/>
          </w:pPr>
          <w:proofErr w:type="spellStart"/>
          <w:r w:rsidRPr="00D82CEE">
            <w:t>Qureshi</w:t>
          </w:r>
          <w:proofErr w:type="spellEnd"/>
          <w:r w:rsidRPr="00D82CEE">
            <w:t xml:space="preserve"> and others</w:t>
          </w:r>
          <w:r w:rsidRPr="00D82CEE">
            <w:cr/>
          </w:r>
          <w:r w:rsidRPr="00D82CEE">
            <w:tab/>
          </w:r>
          <w:r w:rsidR="00332043" w:rsidRPr="00D82CEE">
            <w:rPr>
              <w:i w:val="0"/>
            </w:rPr>
            <w:fldChar w:fldCharType="begin"/>
          </w:r>
          <w:r w:rsidRPr="00D82CEE">
            <w:rPr>
              <w:i w:val="0"/>
            </w:rPr>
            <w:instrText xml:space="preserve"> PAGE   \* MERGEFORMAT </w:instrText>
          </w:r>
          <w:r w:rsidR="00332043" w:rsidRPr="00D82CEE">
            <w:rPr>
              <w:i w:val="0"/>
            </w:rPr>
            <w:fldChar w:fldCharType="separate"/>
          </w:r>
          <w:r w:rsidRPr="00D82CEE">
            <w:rPr>
              <w:i w:val="0"/>
              <w:noProof/>
            </w:rPr>
            <w:t>3</w:t>
          </w:r>
          <w:r w:rsidR="00332043" w:rsidRPr="00D82CEE">
            <w:rPr>
              <w:i w:val="0"/>
            </w:rPr>
            <w:fldChar w:fldCharType="end"/>
          </w:r>
        </w:p>
      </w:tc>
    </w:tr>
  </w:tbl>
  <w:p w:rsidR="00867DC3" w:rsidRPr="00D82CEE" w:rsidRDefault="00867DC3" w:rsidP="002C013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80" w:type="dxa"/>
      <w:tblBorders>
        <w:bottom w:val="single" w:sz="4" w:space="0" w:color="auto"/>
        <w:insideH w:val="single" w:sz="4" w:space="0" w:color="auto"/>
        <w:insideV w:val="single" w:sz="4" w:space="0" w:color="auto"/>
      </w:tblBorders>
      <w:tblLayout w:type="fixed"/>
      <w:tblCellMar>
        <w:left w:w="0" w:type="dxa"/>
        <w:right w:w="0" w:type="dxa"/>
      </w:tblCellMar>
      <w:tblLook w:val="0000"/>
    </w:tblPr>
    <w:tblGrid>
      <w:gridCol w:w="9480"/>
    </w:tblGrid>
    <w:tr w:rsidR="00867DC3" w:rsidRPr="00D82CEE" w:rsidTr="00AD2E1C">
      <w:trPr>
        <w:trHeight w:val="270"/>
      </w:trPr>
      <w:tc>
        <w:tcPr>
          <w:tcW w:w="9480" w:type="dxa"/>
        </w:tcPr>
        <w:p w:rsidR="00867DC3" w:rsidRPr="00D82CEE" w:rsidRDefault="00332043" w:rsidP="00D9726B">
          <w:pPr>
            <w:pStyle w:val="LRH"/>
          </w:pPr>
          <w:r w:rsidRPr="00D82CEE">
            <w:rPr>
              <w:rStyle w:val="Folio"/>
              <w:i w:val="0"/>
              <w:iCs/>
            </w:rPr>
            <w:fldChar w:fldCharType="begin"/>
          </w:r>
          <w:r w:rsidR="00867DC3" w:rsidRPr="00D82CEE">
            <w:rPr>
              <w:rStyle w:val="Folio"/>
              <w:i w:val="0"/>
              <w:iCs/>
            </w:rPr>
            <w:instrText xml:space="preserve"> PAGE   \* MERGEFORMAT </w:instrText>
          </w:r>
          <w:r w:rsidRPr="00D82CEE">
            <w:rPr>
              <w:rStyle w:val="Folio"/>
              <w:i w:val="0"/>
              <w:iCs/>
            </w:rPr>
            <w:fldChar w:fldCharType="separate"/>
          </w:r>
          <w:r w:rsidR="0008530D">
            <w:rPr>
              <w:rStyle w:val="Folio"/>
              <w:i w:val="0"/>
              <w:iCs/>
              <w:noProof/>
            </w:rPr>
            <w:t>2</w:t>
          </w:r>
          <w:r w:rsidRPr="00D82CEE">
            <w:rPr>
              <w:rStyle w:val="Folio"/>
              <w:i w:val="0"/>
              <w:iCs/>
            </w:rPr>
            <w:fldChar w:fldCharType="end"/>
          </w:r>
          <w:r w:rsidR="00867DC3" w:rsidRPr="00D82CEE">
            <w:tab/>
            <w:t>The Neuroscientist</w:t>
          </w:r>
        </w:p>
      </w:tc>
    </w:tr>
  </w:tbl>
  <w:p w:rsidR="00867DC3" w:rsidRPr="00D82CEE" w:rsidRDefault="00867DC3" w:rsidP="00904889">
    <w:pPr>
      <w:pStyle w:val="Header"/>
      <w:spacing w:line="240" w:lineRule="exact"/>
      <w:rPr>
        <w:sz w:val="20"/>
        <w:szCs w:val="20"/>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80" w:type="dxa"/>
      <w:tblInd w:w="-9" w:type="dxa"/>
      <w:tblBorders>
        <w:bottom w:val="single" w:sz="4" w:space="0" w:color="auto"/>
        <w:insideH w:val="single" w:sz="4" w:space="0" w:color="auto"/>
        <w:insideV w:val="single" w:sz="4" w:space="0" w:color="auto"/>
      </w:tblBorders>
      <w:tblCellMar>
        <w:left w:w="0" w:type="dxa"/>
        <w:right w:w="0" w:type="dxa"/>
      </w:tblCellMar>
      <w:tblLook w:val="0000"/>
    </w:tblPr>
    <w:tblGrid>
      <w:gridCol w:w="9480"/>
    </w:tblGrid>
    <w:tr w:rsidR="00867DC3" w:rsidRPr="00D82CEE" w:rsidTr="00AD2E1C">
      <w:trPr>
        <w:trHeight w:val="270"/>
      </w:trPr>
      <w:tc>
        <w:tcPr>
          <w:tcW w:w="9480" w:type="dxa"/>
        </w:tcPr>
        <w:p w:rsidR="00867DC3" w:rsidRPr="00D82CEE" w:rsidRDefault="00867DC3" w:rsidP="000C7DBE">
          <w:pPr>
            <w:pStyle w:val="RRH"/>
          </w:pPr>
          <w:proofErr w:type="spellStart"/>
          <w:r w:rsidRPr="00D82CEE">
            <w:t>Qureshi</w:t>
          </w:r>
          <w:proofErr w:type="spellEnd"/>
          <w:r w:rsidRPr="00D82CEE">
            <w:t xml:space="preserve"> and others</w:t>
          </w:r>
          <w:r w:rsidRPr="00D82CEE">
            <w:cr/>
          </w:r>
          <w:r w:rsidRPr="00D82CEE">
            <w:tab/>
          </w:r>
          <w:r w:rsidR="00332043" w:rsidRPr="00D82CEE">
            <w:rPr>
              <w:rStyle w:val="Folio"/>
              <w:i w:val="0"/>
              <w:iCs/>
            </w:rPr>
            <w:fldChar w:fldCharType="begin"/>
          </w:r>
          <w:r w:rsidRPr="00D82CEE">
            <w:rPr>
              <w:rStyle w:val="Folio"/>
              <w:i w:val="0"/>
              <w:iCs/>
            </w:rPr>
            <w:instrText xml:space="preserve"> PAGE   \* MERGEFORMAT </w:instrText>
          </w:r>
          <w:r w:rsidR="00332043" w:rsidRPr="00D82CEE">
            <w:rPr>
              <w:rStyle w:val="Folio"/>
              <w:i w:val="0"/>
              <w:iCs/>
            </w:rPr>
            <w:fldChar w:fldCharType="separate"/>
          </w:r>
          <w:r w:rsidR="0008530D">
            <w:rPr>
              <w:rStyle w:val="Folio"/>
              <w:i w:val="0"/>
              <w:iCs/>
              <w:noProof/>
            </w:rPr>
            <w:t>3</w:t>
          </w:r>
          <w:r w:rsidR="00332043" w:rsidRPr="00D82CEE">
            <w:rPr>
              <w:rStyle w:val="Folio"/>
              <w:i w:val="0"/>
              <w:iCs/>
            </w:rPr>
            <w:fldChar w:fldCharType="end"/>
          </w:r>
        </w:p>
      </w:tc>
    </w:tr>
  </w:tbl>
  <w:p w:rsidR="00867DC3" w:rsidRPr="00D82CEE" w:rsidRDefault="00867DC3" w:rsidP="00C616D2">
    <w:pPr>
      <w:spacing w:after="0" w:line="240" w:lineRule="exact"/>
      <w:rPr>
        <w:sz w:val="20"/>
        <w:szCs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80" w:type="dxa"/>
      <w:tblBorders>
        <w:bottom w:val="single" w:sz="4" w:space="0" w:color="auto"/>
        <w:insideH w:val="single" w:sz="4" w:space="0" w:color="auto"/>
        <w:insideV w:val="single" w:sz="4" w:space="0" w:color="auto"/>
      </w:tblBorders>
      <w:tblLayout w:type="fixed"/>
      <w:tblCellMar>
        <w:left w:w="0" w:type="dxa"/>
        <w:right w:w="0" w:type="dxa"/>
      </w:tblCellMar>
      <w:tblLook w:val="0000"/>
    </w:tblPr>
    <w:tblGrid>
      <w:gridCol w:w="9480"/>
    </w:tblGrid>
    <w:tr w:rsidR="00867DC3" w:rsidRPr="00D82CEE" w:rsidTr="00AD2E1C">
      <w:trPr>
        <w:trHeight w:val="300"/>
      </w:trPr>
      <w:tc>
        <w:tcPr>
          <w:tcW w:w="9480" w:type="dxa"/>
        </w:tcPr>
        <w:p w:rsidR="00867DC3" w:rsidRPr="00D82CEE" w:rsidRDefault="00867DC3" w:rsidP="00F931D3">
          <w:pPr>
            <w:pStyle w:val="TY"/>
          </w:pPr>
          <w:r w:rsidRPr="00D82CEE">
            <w:t>Review</w:t>
          </w:r>
        </w:p>
      </w:tc>
    </w:tr>
  </w:tbl>
  <w:p w:rsidR="00867DC3" w:rsidRPr="00D82CEE" w:rsidRDefault="00867DC3" w:rsidP="002C0137">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C33" w:rsidRPr="004D1C33" w:rsidRDefault="004D1C33" w:rsidP="004D1C33">
    <w:pPr>
      <w:pStyle w:val="Header"/>
      <w:rPr>
        <w:szCs w:val="20"/>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C33" w:rsidRPr="004D1C33" w:rsidRDefault="004D1C33" w:rsidP="004D1C33">
    <w:pPr>
      <w:pStyle w:val="Header"/>
      <w:rPr>
        <w:szCs w:val="20"/>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1C33" w:rsidRPr="004D1C33" w:rsidRDefault="004D1C33" w:rsidP="004D1C33">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480" w:type="dxa"/>
      <w:tblBorders>
        <w:bottom w:val="single" w:sz="4" w:space="0" w:color="auto"/>
        <w:insideH w:val="single" w:sz="4" w:space="0" w:color="auto"/>
        <w:insideV w:val="single" w:sz="4" w:space="0" w:color="auto"/>
      </w:tblBorders>
      <w:tblLayout w:type="fixed"/>
      <w:tblCellMar>
        <w:left w:w="0" w:type="dxa"/>
        <w:right w:w="0" w:type="dxa"/>
      </w:tblCellMar>
      <w:tblLook w:val="0000"/>
    </w:tblPr>
    <w:tblGrid>
      <w:gridCol w:w="9480"/>
    </w:tblGrid>
    <w:tr w:rsidR="004D1C33" w:rsidRPr="00D82CEE" w:rsidTr="00AD2E1C">
      <w:trPr>
        <w:trHeight w:val="270"/>
      </w:trPr>
      <w:tc>
        <w:tcPr>
          <w:tcW w:w="9480" w:type="dxa"/>
        </w:tcPr>
        <w:p w:rsidR="004D1C33" w:rsidRPr="00D82CEE" w:rsidRDefault="00332043" w:rsidP="00D9726B">
          <w:pPr>
            <w:pStyle w:val="LRH"/>
          </w:pPr>
          <w:r w:rsidRPr="00D82CEE">
            <w:rPr>
              <w:rStyle w:val="Folio"/>
              <w:i w:val="0"/>
              <w:iCs/>
            </w:rPr>
            <w:fldChar w:fldCharType="begin"/>
          </w:r>
          <w:r w:rsidR="004D1C33" w:rsidRPr="00D82CEE">
            <w:rPr>
              <w:rStyle w:val="Folio"/>
              <w:i w:val="0"/>
              <w:iCs/>
            </w:rPr>
            <w:instrText xml:space="preserve"> PAGE   \* MERGEFORMAT </w:instrText>
          </w:r>
          <w:r w:rsidRPr="00D82CEE">
            <w:rPr>
              <w:rStyle w:val="Folio"/>
              <w:i w:val="0"/>
              <w:iCs/>
            </w:rPr>
            <w:fldChar w:fldCharType="separate"/>
          </w:r>
          <w:r w:rsidR="0008530D">
            <w:rPr>
              <w:rStyle w:val="Folio"/>
              <w:i w:val="0"/>
              <w:iCs/>
              <w:noProof/>
            </w:rPr>
            <w:t>8</w:t>
          </w:r>
          <w:r w:rsidRPr="00D82CEE">
            <w:rPr>
              <w:rStyle w:val="Folio"/>
              <w:i w:val="0"/>
              <w:iCs/>
            </w:rPr>
            <w:fldChar w:fldCharType="end"/>
          </w:r>
          <w:r w:rsidR="004D1C33" w:rsidRPr="00D82CEE">
            <w:tab/>
            <w:t>The Neuroscientist</w:t>
          </w:r>
        </w:p>
      </w:tc>
    </w:tr>
  </w:tbl>
  <w:p w:rsidR="004D1C33" w:rsidRPr="00D82CEE" w:rsidRDefault="004D1C33" w:rsidP="00904889">
    <w:pPr>
      <w:pStyle w:val="Header"/>
      <w:spacing w:line="240" w:lineRule="exact"/>
      <w:rPr>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60AC0CC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3DFE95E6"/>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687CE1A4"/>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4146F12"/>
    <w:lvl w:ilvl="0">
      <w:start w:val="1"/>
      <w:numFmt w:val="decimal"/>
      <w:pStyle w:val="ListNumber2"/>
      <w:lvlText w:val="%1."/>
      <w:lvlJc w:val="left"/>
      <w:pPr>
        <w:tabs>
          <w:tab w:val="num" w:pos="720"/>
        </w:tabs>
        <w:ind w:left="720" w:hanging="360"/>
      </w:pPr>
    </w:lvl>
  </w:abstractNum>
  <w:abstractNum w:abstractNumId="4">
    <w:nsid w:val="FFFFFF80"/>
    <w:multiLevelType w:val="singleLevel"/>
    <w:tmpl w:val="5694DEE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B91CDB26"/>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A448EDB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2D4C1026"/>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F61C5088"/>
    <w:lvl w:ilvl="0">
      <w:start w:val="1"/>
      <w:numFmt w:val="decimal"/>
      <w:pStyle w:val="ListNumber"/>
      <w:lvlText w:val="%1."/>
      <w:lvlJc w:val="left"/>
      <w:pPr>
        <w:tabs>
          <w:tab w:val="num" w:pos="360"/>
        </w:tabs>
        <w:ind w:left="360" w:hanging="360"/>
      </w:pPr>
    </w:lvl>
  </w:abstractNum>
  <w:abstractNum w:abstractNumId="9">
    <w:nsid w:val="FFFFFF89"/>
    <w:multiLevelType w:val="singleLevel"/>
    <w:tmpl w:val="A718B13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2262C10"/>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nsid w:val="044E65C9"/>
    <w:multiLevelType w:val="hybridMultilevel"/>
    <w:tmpl w:val="5BC87CDC"/>
    <w:lvl w:ilvl="0" w:tplc="4B4E86B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342E2E"/>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67D7131"/>
    <w:multiLevelType w:val="hybridMultilevel"/>
    <w:tmpl w:val="73667B10"/>
    <w:lvl w:ilvl="0" w:tplc="4EC0A9AE">
      <w:start w:val="1"/>
      <w:numFmt w:val="lowerLetter"/>
      <w:pStyle w:val="L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7E2CB7"/>
    <w:multiLevelType w:val="hybridMultilevel"/>
    <w:tmpl w:val="79C2626E"/>
    <w:lvl w:ilvl="0" w:tplc="9D3CA91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FEB05D1"/>
    <w:multiLevelType w:val="hybridMultilevel"/>
    <w:tmpl w:val="AE5C8FA4"/>
    <w:lvl w:ilvl="0" w:tplc="FAC625AA">
      <w:start w:val="1"/>
      <w:numFmt w:val="decimal"/>
      <w:pStyle w:val="TNL"/>
      <w:lvlText w:val="%1)"/>
      <w:lvlJc w:val="left"/>
      <w:pPr>
        <w:ind w:left="965" w:hanging="360"/>
      </w:pPr>
    </w:lvl>
    <w:lvl w:ilvl="1" w:tplc="04090019" w:tentative="1">
      <w:start w:val="1"/>
      <w:numFmt w:val="lowerLetter"/>
      <w:lvlText w:val="%2."/>
      <w:lvlJc w:val="left"/>
      <w:pPr>
        <w:ind w:left="1685" w:hanging="360"/>
      </w:pPr>
    </w:lvl>
    <w:lvl w:ilvl="2" w:tplc="0409001B" w:tentative="1">
      <w:start w:val="1"/>
      <w:numFmt w:val="lowerRoman"/>
      <w:lvlText w:val="%3."/>
      <w:lvlJc w:val="right"/>
      <w:pPr>
        <w:ind w:left="2405" w:hanging="180"/>
      </w:pPr>
    </w:lvl>
    <w:lvl w:ilvl="3" w:tplc="0409000F" w:tentative="1">
      <w:start w:val="1"/>
      <w:numFmt w:val="decimal"/>
      <w:lvlText w:val="%4."/>
      <w:lvlJc w:val="left"/>
      <w:pPr>
        <w:ind w:left="3125" w:hanging="360"/>
      </w:pPr>
    </w:lvl>
    <w:lvl w:ilvl="4" w:tplc="04090019" w:tentative="1">
      <w:start w:val="1"/>
      <w:numFmt w:val="lowerLetter"/>
      <w:lvlText w:val="%5."/>
      <w:lvlJc w:val="left"/>
      <w:pPr>
        <w:ind w:left="3845" w:hanging="360"/>
      </w:pPr>
    </w:lvl>
    <w:lvl w:ilvl="5" w:tplc="0409001B" w:tentative="1">
      <w:start w:val="1"/>
      <w:numFmt w:val="lowerRoman"/>
      <w:lvlText w:val="%6."/>
      <w:lvlJc w:val="right"/>
      <w:pPr>
        <w:ind w:left="4565" w:hanging="180"/>
      </w:pPr>
    </w:lvl>
    <w:lvl w:ilvl="6" w:tplc="0409000F" w:tentative="1">
      <w:start w:val="1"/>
      <w:numFmt w:val="decimal"/>
      <w:lvlText w:val="%7."/>
      <w:lvlJc w:val="left"/>
      <w:pPr>
        <w:ind w:left="5285" w:hanging="360"/>
      </w:pPr>
    </w:lvl>
    <w:lvl w:ilvl="7" w:tplc="04090019" w:tentative="1">
      <w:start w:val="1"/>
      <w:numFmt w:val="lowerLetter"/>
      <w:lvlText w:val="%8."/>
      <w:lvlJc w:val="left"/>
      <w:pPr>
        <w:ind w:left="6005" w:hanging="360"/>
      </w:pPr>
    </w:lvl>
    <w:lvl w:ilvl="8" w:tplc="0409001B" w:tentative="1">
      <w:start w:val="1"/>
      <w:numFmt w:val="lowerRoman"/>
      <w:lvlText w:val="%9."/>
      <w:lvlJc w:val="right"/>
      <w:pPr>
        <w:ind w:left="6725" w:hanging="180"/>
      </w:pPr>
    </w:lvl>
  </w:abstractNum>
  <w:abstractNum w:abstractNumId="16">
    <w:nsid w:val="36830AAA"/>
    <w:multiLevelType w:val="hybridMultilevel"/>
    <w:tmpl w:val="6B82E298"/>
    <w:lvl w:ilvl="0" w:tplc="E1E81FA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42214A0"/>
    <w:multiLevelType w:val="hybridMultilevel"/>
    <w:tmpl w:val="D6B68C76"/>
    <w:lvl w:ilvl="0" w:tplc="AC6E7498">
      <w:start w:val="1"/>
      <w:numFmt w:val="bullet"/>
      <w:pStyle w:val="ULB"/>
      <w:lvlText w:val="•"/>
      <w:lvlJc w:val="left"/>
      <w:pPr>
        <w:ind w:left="1210" w:hanging="360"/>
      </w:pPr>
      <w:rPr>
        <w:rFonts w:ascii="Times New Roman" w:hAnsi="Times New Roman" w:cs="Times New Roman" w:hint="default"/>
      </w:rPr>
    </w:lvl>
    <w:lvl w:ilvl="1" w:tplc="04090003" w:tentative="1">
      <w:start w:val="1"/>
      <w:numFmt w:val="bullet"/>
      <w:lvlText w:val="o"/>
      <w:lvlJc w:val="left"/>
      <w:pPr>
        <w:ind w:left="1930" w:hanging="360"/>
      </w:pPr>
      <w:rPr>
        <w:rFonts w:ascii="Courier New" w:hAnsi="Courier New" w:cs="Courier New" w:hint="default"/>
      </w:rPr>
    </w:lvl>
    <w:lvl w:ilvl="2" w:tplc="04090005" w:tentative="1">
      <w:start w:val="1"/>
      <w:numFmt w:val="bullet"/>
      <w:lvlText w:val=""/>
      <w:lvlJc w:val="left"/>
      <w:pPr>
        <w:ind w:left="2650" w:hanging="360"/>
      </w:pPr>
      <w:rPr>
        <w:rFonts w:ascii="Wingdings" w:hAnsi="Wingdings" w:hint="default"/>
      </w:rPr>
    </w:lvl>
    <w:lvl w:ilvl="3" w:tplc="04090001" w:tentative="1">
      <w:start w:val="1"/>
      <w:numFmt w:val="bullet"/>
      <w:lvlText w:val=""/>
      <w:lvlJc w:val="left"/>
      <w:pPr>
        <w:ind w:left="3370" w:hanging="360"/>
      </w:pPr>
      <w:rPr>
        <w:rFonts w:ascii="Symbol" w:hAnsi="Symbol" w:hint="default"/>
      </w:rPr>
    </w:lvl>
    <w:lvl w:ilvl="4" w:tplc="04090003" w:tentative="1">
      <w:start w:val="1"/>
      <w:numFmt w:val="bullet"/>
      <w:lvlText w:val="o"/>
      <w:lvlJc w:val="left"/>
      <w:pPr>
        <w:ind w:left="4090" w:hanging="360"/>
      </w:pPr>
      <w:rPr>
        <w:rFonts w:ascii="Courier New" w:hAnsi="Courier New" w:cs="Courier New" w:hint="default"/>
      </w:rPr>
    </w:lvl>
    <w:lvl w:ilvl="5" w:tplc="04090005" w:tentative="1">
      <w:start w:val="1"/>
      <w:numFmt w:val="bullet"/>
      <w:lvlText w:val=""/>
      <w:lvlJc w:val="left"/>
      <w:pPr>
        <w:ind w:left="4810" w:hanging="360"/>
      </w:pPr>
      <w:rPr>
        <w:rFonts w:ascii="Wingdings" w:hAnsi="Wingdings" w:hint="default"/>
      </w:rPr>
    </w:lvl>
    <w:lvl w:ilvl="6" w:tplc="04090001" w:tentative="1">
      <w:start w:val="1"/>
      <w:numFmt w:val="bullet"/>
      <w:lvlText w:val=""/>
      <w:lvlJc w:val="left"/>
      <w:pPr>
        <w:ind w:left="5530" w:hanging="360"/>
      </w:pPr>
      <w:rPr>
        <w:rFonts w:ascii="Symbol" w:hAnsi="Symbol" w:hint="default"/>
      </w:rPr>
    </w:lvl>
    <w:lvl w:ilvl="7" w:tplc="04090003" w:tentative="1">
      <w:start w:val="1"/>
      <w:numFmt w:val="bullet"/>
      <w:lvlText w:val="o"/>
      <w:lvlJc w:val="left"/>
      <w:pPr>
        <w:ind w:left="6250" w:hanging="360"/>
      </w:pPr>
      <w:rPr>
        <w:rFonts w:ascii="Courier New" w:hAnsi="Courier New" w:cs="Courier New" w:hint="default"/>
      </w:rPr>
    </w:lvl>
    <w:lvl w:ilvl="8" w:tplc="04090005" w:tentative="1">
      <w:start w:val="1"/>
      <w:numFmt w:val="bullet"/>
      <w:lvlText w:val=""/>
      <w:lvlJc w:val="left"/>
      <w:pPr>
        <w:ind w:left="6970" w:hanging="360"/>
      </w:pPr>
      <w:rPr>
        <w:rFonts w:ascii="Wingdings" w:hAnsi="Wingdings" w:hint="default"/>
      </w:rPr>
    </w:lvl>
  </w:abstractNum>
  <w:abstractNum w:abstractNumId="18">
    <w:nsid w:val="4C0659E3"/>
    <w:multiLevelType w:val="hybridMultilevel"/>
    <w:tmpl w:val="2A86AA42"/>
    <w:lvl w:ilvl="0" w:tplc="AC6E7498">
      <w:start w:val="1"/>
      <w:numFmt w:val="bullet"/>
      <w:pStyle w:val="TBL"/>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EF01F77"/>
    <w:multiLevelType w:val="hybridMultilevel"/>
    <w:tmpl w:val="AD0C20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6FC3D4C"/>
    <w:multiLevelType w:val="hybridMultilevel"/>
    <w:tmpl w:val="BBFC3DEC"/>
    <w:lvl w:ilvl="0" w:tplc="CE58A766">
      <w:start w:val="1"/>
      <w:numFmt w:val="decimal"/>
      <w:lvlText w:val="%1."/>
      <w:lvlJc w:val="left"/>
      <w:pPr>
        <w:ind w:left="720" w:hanging="360"/>
      </w:pPr>
      <w:rPr>
        <w:rFont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nsid w:val="717B5917"/>
    <w:multiLevelType w:val="hybridMultilevel"/>
    <w:tmpl w:val="387AEBCE"/>
    <w:lvl w:ilvl="0" w:tplc="06AE9F94">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8BD2D02"/>
    <w:multiLevelType w:val="multilevel"/>
    <w:tmpl w:val="04090023"/>
    <w:styleLink w:val="ArticleSection"/>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pStyle w:val="Heading4"/>
      <w:lvlText w:val="(%4)"/>
      <w:lvlJc w:val="right"/>
      <w:pPr>
        <w:ind w:left="864" w:hanging="144"/>
      </w:pPr>
    </w:lvl>
    <w:lvl w:ilvl="4">
      <w:start w:val="1"/>
      <w:numFmt w:val="decimal"/>
      <w:pStyle w:val="Heading5"/>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pStyle w:val="Heading8"/>
      <w:lvlText w:val="%8."/>
      <w:lvlJc w:val="left"/>
      <w:pPr>
        <w:ind w:left="1440" w:hanging="432"/>
      </w:pPr>
    </w:lvl>
    <w:lvl w:ilvl="8">
      <w:start w:val="1"/>
      <w:numFmt w:val="lowerRoman"/>
      <w:pStyle w:val="Heading9"/>
      <w:lvlText w:val="%9."/>
      <w:lvlJc w:val="right"/>
      <w:pPr>
        <w:ind w:left="1584" w:hanging="144"/>
      </w:pPr>
    </w:lvl>
  </w:abstractNum>
  <w:num w:numId="1">
    <w:abstractNumId w:val="14"/>
  </w:num>
  <w:num w:numId="2">
    <w:abstractNumId w:val="13"/>
  </w:num>
  <w:num w:numId="3">
    <w:abstractNumId w:val="21"/>
  </w:num>
  <w:num w:numId="4">
    <w:abstractNumId w:val="11"/>
  </w:num>
  <w:num w:numId="5">
    <w:abstractNumId w:val="18"/>
  </w:num>
  <w:num w:numId="6">
    <w:abstractNumId w:val="15"/>
  </w:num>
  <w:num w:numId="7">
    <w:abstractNumId w:val="17"/>
  </w:num>
  <w:num w:numId="8">
    <w:abstractNumId w:val="10"/>
  </w:num>
  <w:num w:numId="9">
    <w:abstractNumId w:val="12"/>
  </w:num>
  <w:num w:numId="10">
    <w:abstractNumId w:val="22"/>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20"/>
  </w:num>
  <w:num w:numId="22">
    <w:abstractNumId w:val="19"/>
  </w:num>
  <w:num w:numId="23">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60"/>
  <w:embedTrueTypeFonts/>
  <w:mirrorMargins/>
  <w:hideSpellingErrors/>
  <w:proofState w:spelling="clean" w:grammar="clean"/>
  <w:trackRevisions/>
  <w:documentProtection w:edit="trackedChanges" w:formatting="1" w:enforcement="1" w:cryptProviderType="rsaFull" w:cryptAlgorithmClass="hash" w:cryptAlgorithmType="typeAny" w:cryptAlgorithmSid="4" w:cryptSpinCount="100000" w:hash="AdDjUUyqH+Jga5vi4KFV99STMww=" w:salt="1jelvV3jNa67fasdR4Yq9w=="/>
  <w:defaultTabStop w:val="720"/>
  <w:evenAndOddHeaders/>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rsids>
    <w:rsidRoot w:val="001F7D17"/>
    <w:rsid w:val="0000700C"/>
    <w:rsid w:val="000201B5"/>
    <w:rsid w:val="000209D5"/>
    <w:rsid w:val="00035F76"/>
    <w:rsid w:val="00041AD0"/>
    <w:rsid w:val="000462AB"/>
    <w:rsid w:val="00055463"/>
    <w:rsid w:val="000640B4"/>
    <w:rsid w:val="0007443B"/>
    <w:rsid w:val="00081857"/>
    <w:rsid w:val="00084749"/>
    <w:rsid w:val="0008530D"/>
    <w:rsid w:val="00094C55"/>
    <w:rsid w:val="000B2978"/>
    <w:rsid w:val="000B3D97"/>
    <w:rsid w:val="000B4C0C"/>
    <w:rsid w:val="000B6486"/>
    <w:rsid w:val="000C7DBE"/>
    <w:rsid w:val="000E5F5E"/>
    <w:rsid w:val="000F28F9"/>
    <w:rsid w:val="00114C7D"/>
    <w:rsid w:val="0012595B"/>
    <w:rsid w:val="00142669"/>
    <w:rsid w:val="00153565"/>
    <w:rsid w:val="00180654"/>
    <w:rsid w:val="00184472"/>
    <w:rsid w:val="001947FC"/>
    <w:rsid w:val="001A5C9B"/>
    <w:rsid w:val="001A63A3"/>
    <w:rsid w:val="001A7CE4"/>
    <w:rsid w:val="001D6E17"/>
    <w:rsid w:val="001F7D17"/>
    <w:rsid w:val="00200510"/>
    <w:rsid w:val="00201A22"/>
    <w:rsid w:val="00205825"/>
    <w:rsid w:val="0020699D"/>
    <w:rsid w:val="00210CB1"/>
    <w:rsid w:val="00216D94"/>
    <w:rsid w:val="00243479"/>
    <w:rsid w:val="002476B2"/>
    <w:rsid w:val="00252C66"/>
    <w:rsid w:val="00265C82"/>
    <w:rsid w:val="002665FF"/>
    <w:rsid w:val="00276FF6"/>
    <w:rsid w:val="00280DA9"/>
    <w:rsid w:val="00280F5B"/>
    <w:rsid w:val="00284478"/>
    <w:rsid w:val="002B06D2"/>
    <w:rsid w:val="002B0712"/>
    <w:rsid w:val="002B11A0"/>
    <w:rsid w:val="002C0137"/>
    <w:rsid w:val="002C2892"/>
    <w:rsid w:val="002C4538"/>
    <w:rsid w:val="002C74BE"/>
    <w:rsid w:val="003113DB"/>
    <w:rsid w:val="00311B6A"/>
    <w:rsid w:val="00315B75"/>
    <w:rsid w:val="00325938"/>
    <w:rsid w:val="00330B06"/>
    <w:rsid w:val="00332043"/>
    <w:rsid w:val="003378F6"/>
    <w:rsid w:val="0034402F"/>
    <w:rsid w:val="003553DA"/>
    <w:rsid w:val="00371232"/>
    <w:rsid w:val="00376DFB"/>
    <w:rsid w:val="0038748F"/>
    <w:rsid w:val="003930DA"/>
    <w:rsid w:val="003A32F8"/>
    <w:rsid w:val="003B01FF"/>
    <w:rsid w:val="003B235C"/>
    <w:rsid w:val="003C6EF6"/>
    <w:rsid w:val="003F0EDF"/>
    <w:rsid w:val="004267BB"/>
    <w:rsid w:val="004267DF"/>
    <w:rsid w:val="004307C7"/>
    <w:rsid w:val="004404EE"/>
    <w:rsid w:val="004416C1"/>
    <w:rsid w:val="00446784"/>
    <w:rsid w:val="0045121A"/>
    <w:rsid w:val="004567F0"/>
    <w:rsid w:val="00472E45"/>
    <w:rsid w:val="00477BCB"/>
    <w:rsid w:val="00480666"/>
    <w:rsid w:val="004844C2"/>
    <w:rsid w:val="004B3145"/>
    <w:rsid w:val="004C2686"/>
    <w:rsid w:val="004D061A"/>
    <w:rsid w:val="004D1C33"/>
    <w:rsid w:val="004D3653"/>
    <w:rsid w:val="004D7C0E"/>
    <w:rsid w:val="004F6903"/>
    <w:rsid w:val="005406CE"/>
    <w:rsid w:val="0055071C"/>
    <w:rsid w:val="005634D5"/>
    <w:rsid w:val="00571B75"/>
    <w:rsid w:val="00575880"/>
    <w:rsid w:val="005832D7"/>
    <w:rsid w:val="0059029B"/>
    <w:rsid w:val="0059521A"/>
    <w:rsid w:val="005A204B"/>
    <w:rsid w:val="005B3582"/>
    <w:rsid w:val="005C0656"/>
    <w:rsid w:val="005E6B08"/>
    <w:rsid w:val="005F4100"/>
    <w:rsid w:val="005F4CCE"/>
    <w:rsid w:val="006034C1"/>
    <w:rsid w:val="0061180E"/>
    <w:rsid w:val="006135BC"/>
    <w:rsid w:val="00620F64"/>
    <w:rsid w:val="00623186"/>
    <w:rsid w:val="006235C2"/>
    <w:rsid w:val="00624EBC"/>
    <w:rsid w:val="00627605"/>
    <w:rsid w:val="00647D42"/>
    <w:rsid w:val="0065061F"/>
    <w:rsid w:val="00657B03"/>
    <w:rsid w:val="00661342"/>
    <w:rsid w:val="006649E6"/>
    <w:rsid w:val="00693C89"/>
    <w:rsid w:val="006A30AF"/>
    <w:rsid w:val="006A79AA"/>
    <w:rsid w:val="006A7B8B"/>
    <w:rsid w:val="006D0F6D"/>
    <w:rsid w:val="006D4E5B"/>
    <w:rsid w:val="006E04DA"/>
    <w:rsid w:val="006E6A35"/>
    <w:rsid w:val="006F0C8E"/>
    <w:rsid w:val="00700AF0"/>
    <w:rsid w:val="00701F39"/>
    <w:rsid w:val="00705065"/>
    <w:rsid w:val="0071064E"/>
    <w:rsid w:val="00713BAF"/>
    <w:rsid w:val="007225D0"/>
    <w:rsid w:val="007259E2"/>
    <w:rsid w:val="00727E07"/>
    <w:rsid w:val="00736235"/>
    <w:rsid w:val="00742D54"/>
    <w:rsid w:val="00745DD8"/>
    <w:rsid w:val="00745EC2"/>
    <w:rsid w:val="00746DAB"/>
    <w:rsid w:val="00750E31"/>
    <w:rsid w:val="00762942"/>
    <w:rsid w:val="00762981"/>
    <w:rsid w:val="00781F1E"/>
    <w:rsid w:val="007B1F22"/>
    <w:rsid w:val="007B4C75"/>
    <w:rsid w:val="007C266E"/>
    <w:rsid w:val="007D4BAC"/>
    <w:rsid w:val="007E1212"/>
    <w:rsid w:val="007F2FEA"/>
    <w:rsid w:val="00831CEE"/>
    <w:rsid w:val="008352A6"/>
    <w:rsid w:val="00847946"/>
    <w:rsid w:val="00853C36"/>
    <w:rsid w:val="00856021"/>
    <w:rsid w:val="00867DC3"/>
    <w:rsid w:val="00871EA2"/>
    <w:rsid w:val="00884D67"/>
    <w:rsid w:val="00884FBA"/>
    <w:rsid w:val="008905F9"/>
    <w:rsid w:val="008964BD"/>
    <w:rsid w:val="008967DA"/>
    <w:rsid w:val="008A6584"/>
    <w:rsid w:val="008C0B88"/>
    <w:rsid w:val="008C1B21"/>
    <w:rsid w:val="008C3EC2"/>
    <w:rsid w:val="008D3C78"/>
    <w:rsid w:val="008E17A6"/>
    <w:rsid w:val="008E4DE9"/>
    <w:rsid w:val="008E54A5"/>
    <w:rsid w:val="008E578C"/>
    <w:rsid w:val="008E5F41"/>
    <w:rsid w:val="008E77AD"/>
    <w:rsid w:val="008F177F"/>
    <w:rsid w:val="008F2995"/>
    <w:rsid w:val="0090195C"/>
    <w:rsid w:val="00904527"/>
    <w:rsid w:val="00904889"/>
    <w:rsid w:val="00907467"/>
    <w:rsid w:val="009200BA"/>
    <w:rsid w:val="009224BC"/>
    <w:rsid w:val="00923E32"/>
    <w:rsid w:val="00933865"/>
    <w:rsid w:val="0096112C"/>
    <w:rsid w:val="00971993"/>
    <w:rsid w:val="009756E3"/>
    <w:rsid w:val="009800EA"/>
    <w:rsid w:val="009867DC"/>
    <w:rsid w:val="00990FF9"/>
    <w:rsid w:val="00991DDB"/>
    <w:rsid w:val="0099332E"/>
    <w:rsid w:val="009965A1"/>
    <w:rsid w:val="009B0436"/>
    <w:rsid w:val="009C33AC"/>
    <w:rsid w:val="009C7974"/>
    <w:rsid w:val="009D5B7B"/>
    <w:rsid w:val="009E0CBB"/>
    <w:rsid w:val="009E5020"/>
    <w:rsid w:val="009F1F2C"/>
    <w:rsid w:val="00A10F60"/>
    <w:rsid w:val="00A542A8"/>
    <w:rsid w:val="00A673A2"/>
    <w:rsid w:val="00A73974"/>
    <w:rsid w:val="00A76BDE"/>
    <w:rsid w:val="00A847E7"/>
    <w:rsid w:val="00A9156B"/>
    <w:rsid w:val="00AA0419"/>
    <w:rsid w:val="00AA7390"/>
    <w:rsid w:val="00AC6F11"/>
    <w:rsid w:val="00AD2E1C"/>
    <w:rsid w:val="00AE1A81"/>
    <w:rsid w:val="00AE7A11"/>
    <w:rsid w:val="00B21990"/>
    <w:rsid w:val="00B4350E"/>
    <w:rsid w:val="00B77504"/>
    <w:rsid w:val="00B84343"/>
    <w:rsid w:val="00B84571"/>
    <w:rsid w:val="00B94034"/>
    <w:rsid w:val="00B952A7"/>
    <w:rsid w:val="00BA5862"/>
    <w:rsid w:val="00BB1DFA"/>
    <w:rsid w:val="00BB4FD3"/>
    <w:rsid w:val="00BC0197"/>
    <w:rsid w:val="00BE0EF4"/>
    <w:rsid w:val="00BE27EE"/>
    <w:rsid w:val="00BE5044"/>
    <w:rsid w:val="00BE62CB"/>
    <w:rsid w:val="00BF5690"/>
    <w:rsid w:val="00C00981"/>
    <w:rsid w:val="00C016BD"/>
    <w:rsid w:val="00C211B8"/>
    <w:rsid w:val="00C24A0E"/>
    <w:rsid w:val="00C27A9E"/>
    <w:rsid w:val="00C42884"/>
    <w:rsid w:val="00C53845"/>
    <w:rsid w:val="00C54109"/>
    <w:rsid w:val="00C6005C"/>
    <w:rsid w:val="00C616D2"/>
    <w:rsid w:val="00C77BDB"/>
    <w:rsid w:val="00C87173"/>
    <w:rsid w:val="00C91D54"/>
    <w:rsid w:val="00C968F0"/>
    <w:rsid w:val="00CA4764"/>
    <w:rsid w:val="00CB4340"/>
    <w:rsid w:val="00CB4E21"/>
    <w:rsid w:val="00CB68CF"/>
    <w:rsid w:val="00CB7D18"/>
    <w:rsid w:val="00CC7EB8"/>
    <w:rsid w:val="00CF7A1E"/>
    <w:rsid w:val="00D121D1"/>
    <w:rsid w:val="00D16C6D"/>
    <w:rsid w:val="00D5105D"/>
    <w:rsid w:val="00D518A5"/>
    <w:rsid w:val="00D571CA"/>
    <w:rsid w:val="00D631CB"/>
    <w:rsid w:val="00D67FF9"/>
    <w:rsid w:val="00D82CEE"/>
    <w:rsid w:val="00D9536B"/>
    <w:rsid w:val="00D9726B"/>
    <w:rsid w:val="00DA6CD7"/>
    <w:rsid w:val="00DC2753"/>
    <w:rsid w:val="00DD094C"/>
    <w:rsid w:val="00DF7506"/>
    <w:rsid w:val="00E07DCA"/>
    <w:rsid w:val="00E118A9"/>
    <w:rsid w:val="00E13518"/>
    <w:rsid w:val="00E26725"/>
    <w:rsid w:val="00E40EB6"/>
    <w:rsid w:val="00E41245"/>
    <w:rsid w:val="00E47376"/>
    <w:rsid w:val="00E53839"/>
    <w:rsid w:val="00E64279"/>
    <w:rsid w:val="00E65EB9"/>
    <w:rsid w:val="00E67142"/>
    <w:rsid w:val="00E822E2"/>
    <w:rsid w:val="00E911C1"/>
    <w:rsid w:val="00EA0124"/>
    <w:rsid w:val="00EC09B2"/>
    <w:rsid w:val="00ED1E56"/>
    <w:rsid w:val="00ED2AA8"/>
    <w:rsid w:val="00ED3CDA"/>
    <w:rsid w:val="00EE2D5E"/>
    <w:rsid w:val="00EF6FE4"/>
    <w:rsid w:val="00F20B6E"/>
    <w:rsid w:val="00F23022"/>
    <w:rsid w:val="00F50FDC"/>
    <w:rsid w:val="00F54575"/>
    <w:rsid w:val="00F545FB"/>
    <w:rsid w:val="00F61D3E"/>
    <w:rsid w:val="00F66F83"/>
    <w:rsid w:val="00F772D8"/>
    <w:rsid w:val="00F84DC5"/>
    <w:rsid w:val="00F931D3"/>
    <w:rsid w:val="00F93976"/>
    <w:rsid w:val="00FA03D6"/>
    <w:rsid w:val="00FA37EC"/>
    <w:rsid w:val="00FB43FA"/>
    <w:rsid w:val="00FD1A09"/>
    <w:rsid w:val="00FD4A51"/>
    <w:rsid w:val="00FE6A46"/>
    <w:rsid w:val="00FF2518"/>
    <w:rsid w:val="00FF59E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19" w:unhideWhenUsed="0"/>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9" w:unhideWhenUsed="0"/>
    <w:lsdException w:name="Strong" w:semiHidden="0" w:uiPriority="19" w:unhideWhenUsed="0"/>
    <w:lsdException w:name="Emphasis" w:semiHidden="0" w:uiPriority="20" w:unhideWhenUsed="0"/>
    <w:lsdException w:name="Table Grid" w:semiHidden="0" w:uiPriority="59" w:unhideWhenUsed="0"/>
    <w:lsdException w:name="Placeholder Text" w:unhideWhenUsed="0"/>
    <w:lsdException w:name="No Spacing" w:semiHidden="0" w:uiPriority="1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1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19" w:unhideWhenUsed="0"/>
    <w:lsdException w:name="Subtle Reference" w:semiHidden="0" w:uiPriority="19" w:unhideWhenUsed="0"/>
    <w:lsdException w:name="Intense Reference" w:semiHidden="0" w:uiPriority="19" w:unhideWhenUsed="0"/>
    <w:lsdException w:name="Book Title" w:semiHidden="0" w:uiPriority="19" w:unhideWhenUsed="0"/>
    <w:lsdException w:name="Bibliography" w:uiPriority="37"/>
    <w:lsdException w:name="TOC Heading" w:uiPriority="39" w:qFormat="1"/>
  </w:latentStyles>
  <w:style w:type="paragraph" w:default="1" w:styleId="Normal">
    <w:name w:val="Normal"/>
    <w:uiPriority w:val="19"/>
    <w:rsid w:val="00657B03"/>
  </w:style>
  <w:style w:type="paragraph" w:styleId="Heading1">
    <w:name w:val="heading 1"/>
    <w:basedOn w:val="Normal"/>
    <w:next w:val="Normal"/>
    <w:link w:val="Heading1Char"/>
    <w:uiPriority w:val="19"/>
    <w:rsid w:val="008F2995"/>
    <w:pPr>
      <w:keepNext/>
      <w:keepLines/>
      <w:numPr>
        <w:numId w:val="10"/>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8F2995"/>
    <w:pPr>
      <w:keepNext/>
      <w:keepLines/>
      <w:numPr>
        <w:ilvl w:val="1"/>
        <w:numId w:val="10"/>
      </w:numPr>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8F2995"/>
    <w:pPr>
      <w:keepNext/>
      <w:keepLines/>
      <w:numPr>
        <w:ilvl w:val="2"/>
        <w:numId w:val="10"/>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8F2995"/>
    <w:pPr>
      <w:keepNext/>
      <w:keepLines/>
      <w:numPr>
        <w:ilvl w:val="3"/>
        <w:numId w:val="10"/>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8F2995"/>
    <w:pPr>
      <w:keepNext/>
      <w:keepLines/>
      <w:numPr>
        <w:ilvl w:val="4"/>
        <w:numId w:val="10"/>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8F2995"/>
    <w:pPr>
      <w:keepNext/>
      <w:keepLines/>
      <w:numPr>
        <w:ilvl w:val="5"/>
        <w:numId w:val="10"/>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F2995"/>
    <w:pPr>
      <w:keepNext/>
      <w:keepLines/>
      <w:numPr>
        <w:ilvl w:val="6"/>
        <w:numId w:val="10"/>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F2995"/>
    <w:pPr>
      <w:keepNext/>
      <w:keepLines/>
      <w:numPr>
        <w:ilvl w:val="7"/>
        <w:numId w:val="10"/>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F2995"/>
    <w:pPr>
      <w:keepNext/>
      <w:keepLines/>
      <w:numPr>
        <w:ilvl w:val="8"/>
        <w:numId w:val="10"/>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uiPriority w:val="99"/>
    <w:qFormat/>
    <w:rsid w:val="00E67142"/>
    <w:pPr>
      <w:spacing w:after="0" w:line="240" w:lineRule="exact"/>
      <w:jc w:val="both"/>
    </w:pPr>
    <w:rPr>
      <w:rFonts w:ascii="Times New Roman" w:eastAsia="Times New Roman" w:hAnsi="Times New Roman" w:cs="Times New Roman"/>
      <w:color w:val="000000" w:themeColor="text1"/>
      <w:sz w:val="20"/>
      <w:szCs w:val="24"/>
    </w:rPr>
  </w:style>
  <w:style w:type="paragraph" w:customStyle="1" w:styleId="TEXTIND">
    <w:name w:val="TEXT IND"/>
    <w:uiPriority w:val="99"/>
    <w:qFormat/>
    <w:rsid w:val="00E67142"/>
    <w:pPr>
      <w:spacing w:after="0" w:line="240" w:lineRule="exact"/>
      <w:ind w:firstLine="240"/>
      <w:jc w:val="both"/>
    </w:pPr>
    <w:rPr>
      <w:rFonts w:ascii="Times New Roman" w:eastAsia="Times New Roman" w:hAnsi="Times New Roman" w:cs="Times New Roman"/>
      <w:color w:val="000000" w:themeColor="text1"/>
      <w:sz w:val="20"/>
      <w:szCs w:val="24"/>
    </w:rPr>
  </w:style>
  <w:style w:type="paragraph" w:customStyle="1" w:styleId="TNL">
    <w:name w:val="TNL"/>
    <w:uiPriority w:val="99"/>
    <w:rsid w:val="00E67142"/>
    <w:pPr>
      <w:numPr>
        <w:numId w:val="6"/>
      </w:numPr>
      <w:spacing w:after="0" w:line="220" w:lineRule="exact"/>
    </w:pPr>
    <w:rPr>
      <w:rFonts w:ascii="Gill Sans" w:eastAsia="Times New Roman" w:hAnsi="Gill Sans" w:cs="Times New Roman"/>
      <w:color w:val="000000" w:themeColor="text1"/>
      <w:sz w:val="18"/>
      <w:szCs w:val="24"/>
    </w:rPr>
  </w:style>
  <w:style w:type="paragraph" w:customStyle="1" w:styleId="TT">
    <w:name w:val="TT"/>
    <w:uiPriority w:val="99"/>
    <w:rsid w:val="00E67142"/>
    <w:pPr>
      <w:spacing w:after="0" w:line="220" w:lineRule="exact"/>
    </w:pPr>
    <w:rPr>
      <w:rFonts w:ascii="Gill Sans" w:eastAsia="Times New Roman" w:hAnsi="Gill Sans" w:cs="Times New Roman"/>
      <w:color w:val="000000" w:themeColor="text1"/>
      <w:sz w:val="18"/>
      <w:szCs w:val="24"/>
    </w:rPr>
  </w:style>
  <w:style w:type="paragraph" w:customStyle="1" w:styleId="TY">
    <w:name w:val="TY"/>
    <w:basedOn w:val="Header"/>
    <w:uiPriority w:val="99"/>
    <w:rsid w:val="00F931D3"/>
    <w:pPr>
      <w:tabs>
        <w:tab w:val="clear" w:pos="9480"/>
        <w:tab w:val="right" w:pos="9040"/>
      </w:tabs>
    </w:pPr>
    <w:rPr>
      <w:sz w:val="20"/>
      <w:szCs w:val="20"/>
    </w:rPr>
  </w:style>
  <w:style w:type="paragraph" w:customStyle="1" w:styleId="UL">
    <w:name w:val="UL"/>
    <w:uiPriority w:val="99"/>
    <w:qFormat/>
    <w:rsid w:val="0038748F"/>
    <w:pPr>
      <w:spacing w:before="240" w:after="240" w:line="240" w:lineRule="exact"/>
      <w:ind w:left="240"/>
      <w:contextualSpacing/>
      <w:jc w:val="both"/>
    </w:pPr>
    <w:rPr>
      <w:rFonts w:ascii="Times New Roman" w:eastAsia="Times New Roman" w:hAnsi="Times New Roman" w:cs="Times New Roman"/>
      <w:color w:val="000000" w:themeColor="text1"/>
      <w:sz w:val="20"/>
      <w:szCs w:val="24"/>
    </w:rPr>
  </w:style>
  <w:style w:type="paragraph" w:customStyle="1" w:styleId="ULB">
    <w:name w:val="ULB"/>
    <w:uiPriority w:val="99"/>
    <w:rsid w:val="00E67142"/>
    <w:pPr>
      <w:numPr>
        <w:numId w:val="7"/>
      </w:numPr>
      <w:spacing w:after="0" w:line="240" w:lineRule="exact"/>
      <w:jc w:val="both"/>
    </w:pPr>
    <w:rPr>
      <w:rFonts w:ascii="Times New Roman" w:eastAsia="Times New Roman" w:hAnsi="Times New Roman" w:cs="Times New Roman"/>
      <w:color w:val="000000" w:themeColor="text1"/>
      <w:sz w:val="20"/>
      <w:szCs w:val="24"/>
    </w:rPr>
  </w:style>
  <w:style w:type="paragraph" w:customStyle="1" w:styleId="ULT">
    <w:name w:val="ULT"/>
    <w:uiPriority w:val="99"/>
    <w:rsid w:val="00E67142"/>
    <w:pPr>
      <w:spacing w:after="0" w:line="240" w:lineRule="exact"/>
      <w:ind w:left="490" w:hanging="245"/>
      <w:jc w:val="both"/>
    </w:pPr>
    <w:rPr>
      <w:rFonts w:ascii="Times New Roman" w:eastAsia="Times New Roman" w:hAnsi="Times New Roman" w:cs="Times New Roman"/>
      <w:color w:val="000000" w:themeColor="text1"/>
      <w:sz w:val="20"/>
      <w:szCs w:val="24"/>
    </w:rPr>
  </w:style>
  <w:style w:type="paragraph" w:customStyle="1" w:styleId="ABKW">
    <w:name w:val="ABKW"/>
    <w:uiPriority w:val="99"/>
    <w:rsid w:val="00E67142"/>
    <w:pPr>
      <w:spacing w:after="0" w:line="240" w:lineRule="exact"/>
      <w:jc w:val="both"/>
    </w:pPr>
    <w:rPr>
      <w:rFonts w:ascii="Gill Sans" w:eastAsia="Times New Roman" w:hAnsi="Gill Sans" w:cs="Times New Roman"/>
      <w:color w:val="000000" w:themeColor="text1"/>
      <w:sz w:val="20"/>
      <w:szCs w:val="24"/>
    </w:rPr>
  </w:style>
  <w:style w:type="paragraph" w:customStyle="1" w:styleId="ABKWH">
    <w:name w:val="ABKWH"/>
    <w:uiPriority w:val="99"/>
    <w:rsid w:val="00E67142"/>
    <w:pPr>
      <w:spacing w:before="720" w:after="0" w:line="240" w:lineRule="exact"/>
    </w:pPr>
    <w:rPr>
      <w:rFonts w:ascii="Gill Sans" w:eastAsia="Times New Roman" w:hAnsi="Gill Sans" w:cs="Times New Roman"/>
      <w:b/>
      <w:color w:val="000000" w:themeColor="text1"/>
      <w:sz w:val="20"/>
      <w:szCs w:val="24"/>
    </w:rPr>
  </w:style>
  <w:style w:type="paragraph" w:customStyle="1" w:styleId="AN">
    <w:name w:val="AN"/>
    <w:uiPriority w:val="99"/>
    <w:rsid w:val="00330B06"/>
    <w:pPr>
      <w:spacing w:after="240" w:line="220" w:lineRule="exact"/>
      <w:jc w:val="both"/>
    </w:pPr>
    <w:rPr>
      <w:rFonts w:ascii="Times New Roman" w:eastAsia="Times New Roman" w:hAnsi="Times New Roman" w:cs="Times New Roman"/>
      <w:color w:val="000000" w:themeColor="text1"/>
      <w:sz w:val="18"/>
      <w:szCs w:val="24"/>
    </w:rPr>
  </w:style>
  <w:style w:type="paragraph" w:customStyle="1" w:styleId="AS">
    <w:name w:val="AS"/>
    <w:uiPriority w:val="99"/>
    <w:rsid w:val="00E67142"/>
    <w:pPr>
      <w:spacing w:after="360" w:line="360" w:lineRule="exact"/>
    </w:pPr>
    <w:rPr>
      <w:rFonts w:ascii="Gill Sans" w:eastAsia="Times New Roman" w:hAnsi="Gill Sans" w:cs="Times New Roman"/>
      <w:b/>
      <w:color w:val="000000" w:themeColor="text1"/>
      <w:sz w:val="32"/>
      <w:szCs w:val="24"/>
    </w:rPr>
  </w:style>
  <w:style w:type="paragraph" w:customStyle="1" w:styleId="AT">
    <w:name w:val="AT"/>
    <w:uiPriority w:val="99"/>
    <w:rsid w:val="00693C89"/>
    <w:pPr>
      <w:spacing w:after="360" w:line="400" w:lineRule="exact"/>
    </w:pPr>
    <w:rPr>
      <w:rFonts w:ascii="Gill Sans" w:eastAsia="Times New Roman" w:hAnsi="Gill Sans" w:cs="Times New Roman"/>
      <w:b/>
      <w:color w:val="000000" w:themeColor="text1"/>
      <w:sz w:val="36"/>
      <w:szCs w:val="24"/>
    </w:rPr>
  </w:style>
  <w:style w:type="paragraph" w:customStyle="1" w:styleId="AU">
    <w:name w:val="AU"/>
    <w:uiPriority w:val="99"/>
    <w:rsid w:val="00E67142"/>
    <w:pPr>
      <w:spacing w:before="360" w:after="0" w:line="280" w:lineRule="exact"/>
    </w:pPr>
    <w:rPr>
      <w:rFonts w:ascii="Gill Sans" w:eastAsia="Times New Roman" w:hAnsi="Gill Sans" w:cs="Times New Roman"/>
      <w:b/>
      <w:color w:val="000000" w:themeColor="text1"/>
      <w:sz w:val="24"/>
      <w:szCs w:val="24"/>
    </w:rPr>
  </w:style>
  <w:style w:type="paragraph" w:styleId="BalloonText">
    <w:name w:val="Balloon Text"/>
    <w:basedOn w:val="Normal"/>
    <w:link w:val="BalloonTextChar"/>
    <w:uiPriority w:val="99"/>
    <w:semiHidden/>
    <w:unhideWhenUsed/>
    <w:rsid w:val="004267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267DF"/>
    <w:rPr>
      <w:rFonts w:ascii="Tahoma" w:hAnsi="Tahoma" w:cs="Tahoma"/>
      <w:sz w:val="16"/>
      <w:szCs w:val="16"/>
    </w:rPr>
  </w:style>
  <w:style w:type="paragraph" w:customStyle="1" w:styleId="CL">
    <w:name w:val="CL"/>
    <w:basedOn w:val="Normal"/>
    <w:uiPriority w:val="99"/>
    <w:rsid w:val="00700AF0"/>
    <w:pPr>
      <w:pBdr>
        <w:top w:val="single" w:sz="4" w:space="6" w:color="auto"/>
        <w:left w:val="single" w:sz="4" w:space="0" w:color="auto"/>
        <w:bottom w:val="single" w:sz="4" w:space="6" w:color="auto"/>
        <w:right w:val="single" w:sz="4" w:space="0" w:color="auto"/>
      </w:pBdr>
      <w:spacing w:before="120" w:after="120" w:line="240" w:lineRule="auto"/>
      <w:jc w:val="center"/>
    </w:pPr>
    <w:rPr>
      <w:rFonts w:ascii="Times New Roman" w:eastAsia="Times New Roman" w:hAnsi="Times New Roman" w:cs="Times New Roman"/>
      <w:color w:val="000000" w:themeColor="text1"/>
      <w:sz w:val="20"/>
      <w:szCs w:val="24"/>
    </w:rPr>
  </w:style>
  <w:style w:type="paragraph" w:customStyle="1" w:styleId="EH">
    <w:name w:val="EH"/>
    <w:link w:val="EHChar"/>
    <w:rsid w:val="00E67142"/>
    <w:pPr>
      <w:spacing w:before="360" w:after="60" w:line="240" w:lineRule="exact"/>
    </w:pPr>
    <w:rPr>
      <w:rFonts w:ascii="Gill Sans" w:eastAsia="Times New Roman" w:hAnsi="Gill Sans" w:cs="Times New Roman"/>
      <w:b/>
      <w:color w:val="000000" w:themeColor="text1"/>
      <w:sz w:val="20"/>
      <w:szCs w:val="24"/>
    </w:rPr>
  </w:style>
  <w:style w:type="character" w:styleId="Emphasis">
    <w:name w:val="Emphasis"/>
    <w:basedOn w:val="DefaultParagraphFont"/>
    <w:uiPriority w:val="19"/>
    <w:rsid w:val="004267DF"/>
    <w:rPr>
      <w:i/>
      <w:iCs/>
    </w:rPr>
  </w:style>
  <w:style w:type="paragraph" w:styleId="Footer">
    <w:name w:val="footer"/>
    <w:basedOn w:val="Normal"/>
    <w:link w:val="FooterChar"/>
    <w:uiPriority w:val="99"/>
    <w:unhideWhenUsed/>
    <w:rsid w:val="004267DF"/>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7B03"/>
  </w:style>
  <w:style w:type="paragraph" w:customStyle="1" w:styleId="H1">
    <w:name w:val="H1"/>
    <w:uiPriority w:val="99"/>
    <w:qFormat/>
    <w:rsid w:val="00E67142"/>
    <w:pPr>
      <w:spacing w:before="360" w:after="120" w:line="280" w:lineRule="exact"/>
    </w:pPr>
    <w:rPr>
      <w:rFonts w:ascii="Gill Sans" w:eastAsia="Times New Roman" w:hAnsi="Gill Sans" w:cs="Times New Roman"/>
      <w:b/>
      <w:color w:val="000000" w:themeColor="text1"/>
      <w:sz w:val="24"/>
      <w:szCs w:val="24"/>
    </w:rPr>
  </w:style>
  <w:style w:type="paragraph" w:styleId="Header">
    <w:name w:val="header"/>
    <w:link w:val="HeaderChar"/>
    <w:uiPriority w:val="99"/>
    <w:unhideWhenUsed/>
    <w:rsid w:val="00EC09B2"/>
    <w:pPr>
      <w:tabs>
        <w:tab w:val="right" w:pos="9480"/>
      </w:tabs>
      <w:spacing w:after="0" w:line="240" w:lineRule="auto"/>
    </w:pPr>
    <w:rPr>
      <w:rFonts w:ascii="Gill Sans" w:hAnsi="Gill Sans"/>
      <w:i/>
    </w:rPr>
  </w:style>
  <w:style w:type="character" w:customStyle="1" w:styleId="HeaderChar">
    <w:name w:val="Header Char"/>
    <w:basedOn w:val="DefaultParagraphFont"/>
    <w:link w:val="Header"/>
    <w:uiPriority w:val="99"/>
    <w:rsid w:val="00EC09B2"/>
    <w:rPr>
      <w:rFonts w:ascii="Gill Sans" w:hAnsi="Gill Sans"/>
      <w:i/>
    </w:rPr>
  </w:style>
  <w:style w:type="paragraph" w:styleId="ListParagraph">
    <w:name w:val="List Paragraph"/>
    <w:basedOn w:val="Normal"/>
    <w:uiPriority w:val="34"/>
    <w:qFormat/>
    <w:rsid w:val="004267DF"/>
    <w:pPr>
      <w:ind w:left="720"/>
      <w:contextualSpacing/>
    </w:pPr>
  </w:style>
  <w:style w:type="paragraph" w:styleId="Quote">
    <w:name w:val="Quote"/>
    <w:basedOn w:val="Normal"/>
    <w:next w:val="Normal"/>
    <w:link w:val="QuoteChar"/>
    <w:uiPriority w:val="19"/>
    <w:rsid w:val="004267DF"/>
    <w:rPr>
      <w:i/>
      <w:iCs/>
      <w:color w:val="000000" w:themeColor="text1"/>
    </w:rPr>
  </w:style>
  <w:style w:type="character" w:customStyle="1" w:styleId="QuoteChar">
    <w:name w:val="Quote Char"/>
    <w:basedOn w:val="DefaultParagraphFont"/>
    <w:link w:val="Quote"/>
    <w:uiPriority w:val="19"/>
    <w:rsid w:val="00657B03"/>
    <w:rPr>
      <w:i/>
      <w:iCs/>
      <w:color w:val="000000" w:themeColor="text1"/>
    </w:rPr>
  </w:style>
  <w:style w:type="paragraph" w:customStyle="1" w:styleId="REF">
    <w:name w:val="REF"/>
    <w:uiPriority w:val="99"/>
    <w:rsid w:val="00E67142"/>
    <w:pPr>
      <w:spacing w:after="0" w:line="220" w:lineRule="exact"/>
      <w:ind w:left="280" w:hanging="280"/>
      <w:jc w:val="both"/>
    </w:pPr>
    <w:rPr>
      <w:rFonts w:ascii="Times New Roman" w:eastAsia="Times New Roman" w:hAnsi="Times New Roman" w:cs="Times New Roman"/>
      <w:color w:val="000000" w:themeColor="text1"/>
      <w:sz w:val="18"/>
      <w:szCs w:val="24"/>
    </w:rPr>
  </w:style>
  <w:style w:type="paragraph" w:styleId="Title">
    <w:name w:val="Title"/>
    <w:basedOn w:val="Normal"/>
    <w:next w:val="Normal"/>
    <w:link w:val="TitleChar"/>
    <w:uiPriority w:val="19"/>
    <w:rsid w:val="004267D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9"/>
    <w:rsid w:val="00657B03"/>
    <w:rPr>
      <w:rFonts w:asciiTheme="majorHAnsi" w:eastAsiaTheme="majorEastAsia" w:hAnsiTheme="majorHAnsi" w:cstheme="majorBidi"/>
      <w:color w:val="17365D" w:themeColor="text2" w:themeShade="BF"/>
      <w:spacing w:val="5"/>
      <w:kern w:val="28"/>
      <w:sz w:val="52"/>
      <w:szCs w:val="52"/>
    </w:rPr>
  </w:style>
  <w:style w:type="paragraph" w:customStyle="1" w:styleId="AF">
    <w:name w:val="AF"/>
    <w:link w:val="AFChar"/>
    <w:rsid w:val="00D631CB"/>
    <w:pPr>
      <w:pBdr>
        <w:top w:val="single" w:sz="4" w:space="1" w:color="auto"/>
      </w:pBdr>
      <w:spacing w:after="0" w:line="200" w:lineRule="exact"/>
    </w:pPr>
    <w:rPr>
      <w:rFonts w:ascii="Gill Sans" w:eastAsia="Times New Roman" w:hAnsi="Gill Sans" w:cs="Times New Roman"/>
      <w:color w:val="000000" w:themeColor="text1"/>
      <w:sz w:val="16"/>
      <w:szCs w:val="24"/>
    </w:rPr>
  </w:style>
  <w:style w:type="paragraph" w:customStyle="1" w:styleId="BL">
    <w:name w:val="BL"/>
    <w:uiPriority w:val="99"/>
    <w:qFormat/>
    <w:rsid w:val="0099332E"/>
    <w:pPr>
      <w:spacing w:before="240" w:after="240" w:line="240" w:lineRule="exact"/>
      <w:ind w:left="480" w:hanging="240"/>
      <w:contextualSpacing/>
      <w:jc w:val="both"/>
    </w:pPr>
    <w:rPr>
      <w:rFonts w:ascii="Times New Roman" w:eastAsia="Times New Roman" w:hAnsi="Times New Roman" w:cs="Times New Roman"/>
      <w:color w:val="000000" w:themeColor="text1"/>
      <w:sz w:val="20"/>
      <w:szCs w:val="24"/>
    </w:rPr>
  </w:style>
  <w:style w:type="paragraph" w:customStyle="1" w:styleId="BRA">
    <w:name w:val="BRA"/>
    <w:uiPriority w:val="99"/>
    <w:qFormat/>
    <w:rsid w:val="00E67142"/>
    <w:pPr>
      <w:spacing w:before="360" w:after="0" w:line="220" w:lineRule="exact"/>
    </w:pPr>
    <w:rPr>
      <w:rFonts w:ascii="Gill Sans" w:eastAsia="Times New Roman" w:hAnsi="Gill Sans" w:cs="Times New Roman"/>
      <w:color w:val="000000" w:themeColor="text1"/>
      <w:sz w:val="18"/>
      <w:szCs w:val="24"/>
    </w:rPr>
  </w:style>
  <w:style w:type="paragraph" w:customStyle="1" w:styleId="BRAF">
    <w:name w:val="BRAF"/>
    <w:uiPriority w:val="99"/>
    <w:rsid w:val="00E67142"/>
    <w:pPr>
      <w:spacing w:after="0" w:line="200" w:lineRule="exact"/>
    </w:pPr>
    <w:rPr>
      <w:rFonts w:ascii="Gill Sans" w:eastAsia="Times New Roman" w:hAnsi="Gill Sans" w:cs="Times New Roman"/>
      <w:color w:val="000000" w:themeColor="text1"/>
      <w:sz w:val="16"/>
      <w:szCs w:val="24"/>
    </w:rPr>
  </w:style>
  <w:style w:type="paragraph" w:customStyle="1" w:styleId="BRD">
    <w:name w:val="BRD"/>
    <w:uiPriority w:val="99"/>
    <w:rsid w:val="00E67142"/>
    <w:pPr>
      <w:spacing w:before="240" w:after="240" w:line="220" w:lineRule="exact"/>
    </w:pPr>
    <w:rPr>
      <w:rFonts w:ascii="Gill Sans" w:eastAsia="Times New Roman" w:hAnsi="Gill Sans" w:cs="Times New Roman"/>
      <w:color w:val="000000" w:themeColor="text1"/>
      <w:sz w:val="18"/>
      <w:szCs w:val="24"/>
    </w:rPr>
  </w:style>
  <w:style w:type="paragraph" w:customStyle="1" w:styleId="BRE">
    <w:name w:val="BRE"/>
    <w:uiPriority w:val="99"/>
    <w:rsid w:val="00E67142"/>
    <w:pPr>
      <w:spacing w:after="0" w:line="220" w:lineRule="exact"/>
      <w:ind w:left="240" w:right="240"/>
      <w:jc w:val="both"/>
    </w:pPr>
    <w:rPr>
      <w:rFonts w:ascii="Times New Roman" w:eastAsia="Times New Roman" w:hAnsi="Times New Roman" w:cs="Times New Roman"/>
      <w:color w:val="000000" w:themeColor="text1"/>
      <w:sz w:val="18"/>
      <w:szCs w:val="24"/>
    </w:rPr>
  </w:style>
  <w:style w:type="paragraph" w:customStyle="1" w:styleId="BRREF">
    <w:name w:val="BRREF"/>
    <w:uiPriority w:val="99"/>
    <w:rsid w:val="00E67142"/>
    <w:pPr>
      <w:spacing w:after="0" w:line="220" w:lineRule="exact"/>
      <w:ind w:left="280" w:hanging="280"/>
      <w:jc w:val="both"/>
    </w:pPr>
    <w:rPr>
      <w:rFonts w:ascii="Times New Roman" w:eastAsia="Times New Roman" w:hAnsi="Times New Roman" w:cs="Times New Roman"/>
      <w:color w:val="000000" w:themeColor="text1"/>
      <w:sz w:val="18"/>
      <w:szCs w:val="24"/>
    </w:rPr>
  </w:style>
  <w:style w:type="paragraph" w:customStyle="1" w:styleId="BRT">
    <w:name w:val="BRT"/>
    <w:uiPriority w:val="99"/>
    <w:rsid w:val="00E67142"/>
    <w:pPr>
      <w:spacing w:after="0" w:line="240" w:lineRule="exact"/>
      <w:jc w:val="both"/>
    </w:pPr>
    <w:rPr>
      <w:rFonts w:ascii="Times New Roman" w:eastAsia="Times New Roman" w:hAnsi="Times New Roman" w:cs="Times New Roman"/>
      <w:color w:val="000000" w:themeColor="text1"/>
      <w:sz w:val="20"/>
      <w:szCs w:val="24"/>
    </w:rPr>
  </w:style>
  <w:style w:type="paragraph" w:customStyle="1" w:styleId="BRTI">
    <w:name w:val="BRTI"/>
    <w:uiPriority w:val="99"/>
    <w:rsid w:val="00E67142"/>
    <w:pPr>
      <w:spacing w:after="0" w:line="240" w:lineRule="exact"/>
      <w:ind w:firstLine="240"/>
      <w:jc w:val="both"/>
    </w:pPr>
    <w:rPr>
      <w:rFonts w:ascii="Times New Roman" w:eastAsia="Times New Roman" w:hAnsi="Times New Roman" w:cs="Times New Roman"/>
      <w:color w:val="000000" w:themeColor="text1"/>
      <w:sz w:val="20"/>
      <w:szCs w:val="24"/>
    </w:rPr>
  </w:style>
  <w:style w:type="paragraph" w:customStyle="1" w:styleId="CP">
    <w:name w:val="CP"/>
    <w:uiPriority w:val="99"/>
    <w:rsid w:val="00E67142"/>
    <w:pPr>
      <w:spacing w:before="240" w:after="240" w:line="220" w:lineRule="exact"/>
      <w:jc w:val="both"/>
    </w:pPr>
    <w:rPr>
      <w:rFonts w:ascii="Gill Sans" w:eastAsia="Times New Roman" w:hAnsi="Gill Sans" w:cs="Times New Roman"/>
      <w:color w:val="000000" w:themeColor="text1"/>
      <w:sz w:val="18"/>
      <w:szCs w:val="24"/>
    </w:rPr>
  </w:style>
  <w:style w:type="paragraph" w:customStyle="1" w:styleId="CPB">
    <w:name w:val="CPB"/>
    <w:uiPriority w:val="99"/>
    <w:rsid w:val="005832D7"/>
    <w:pPr>
      <w:spacing w:before="240" w:after="120" w:line="220" w:lineRule="exact"/>
      <w:jc w:val="both"/>
    </w:pPr>
    <w:rPr>
      <w:rFonts w:ascii="Gill Sans" w:eastAsia="Times New Roman" w:hAnsi="Gill Sans" w:cs="Times New Roman"/>
      <w:color w:val="000000" w:themeColor="text1"/>
      <w:sz w:val="18"/>
      <w:szCs w:val="24"/>
    </w:rPr>
  </w:style>
  <w:style w:type="paragraph" w:customStyle="1" w:styleId="CPSO">
    <w:name w:val="CPSO"/>
    <w:uiPriority w:val="99"/>
    <w:rsid w:val="00E67142"/>
    <w:pPr>
      <w:spacing w:after="0" w:line="200" w:lineRule="exact"/>
      <w:jc w:val="both"/>
    </w:pPr>
    <w:rPr>
      <w:rFonts w:ascii="Gill Sans" w:eastAsia="Times New Roman" w:hAnsi="Gill Sans" w:cs="Times New Roman"/>
      <w:color w:val="000000" w:themeColor="text1"/>
      <w:sz w:val="16"/>
      <w:szCs w:val="24"/>
    </w:rPr>
  </w:style>
  <w:style w:type="paragraph" w:customStyle="1" w:styleId="DI">
    <w:name w:val="DI"/>
    <w:uiPriority w:val="99"/>
    <w:rsid w:val="009F1F2C"/>
    <w:pPr>
      <w:spacing w:before="240" w:after="240" w:line="240" w:lineRule="exact"/>
      <w:ind w:left="420" w:hanging="180"/>
      <w:contextualSpacing/>
      <w:jc w:val="both"/>
    </w:pPr>
    <w:rPr>
      <w:rFonts w:ascii="Times New Roman" w:eastAsia="Times New Roman" w:hAnsi="Times New Roman" w:cs="Times New Roman"/>
      <w:color w:val="000000" w:themeColor="text1"/>
      <w:sz w:val="20"/>
      <w:szCs w:val="24"/>
    </w:rPr>
  </w:style>
  <w:style w:type="paragraph" w:customStyle="1" w:styleId="DOI">
    <w:name w:val="DOI"/>
    <w:basedOn w:val="Normal"/>
    <w:uiPriority w:val="99"/>
    <w:qFormat/>
    <w:rsid w:val="00E67142"/>
    <w:pPr>
      <w:spacing w:before="120" w:after="120" w:line="240" w:lineRule="exact"/>
      <w:ind w:firstLine="240"/>
      <w:jc w:val="both"/>
    </w:pPr>
    <w:rPr>
      <w:rFonts w:ascii="Times New Roman" w:eastAsia="Times New Roman" w:hAnsi="Times New Roman" w:cs="Times New Roman"/>
      <w:color w:val="7030A0"/>
      <w:sz w:val="20"/>
      <w:szCs w:val="24"/>
    </w:rPr>
  </w:style>
  <w:style w:type="paragraph" w:customStyle="1" w:styleId="DR">
    <w:name w:val="DR"/>
    <w:uiPriority w:val="99"/>
    <w:rsid w:val="00990FF9"/>
    <w:pPr>
      <w:spacing w:before="240" w:after="0" w:line="220" w:lineRule="exact"/>
    </w:pPr>
    <w:rPr>
      <w:rFonts w:ascii="Gill Sans" w:eastAsia="Times New Roman" w:hAnsi="Gill Sans" w:cs="Times New Roman"/>
      <w:color w:val="000000" w:themeColor="text1"/>
      <w:sz w:val="19"/>
      <w:szCs w:val="24"/>
    </w:rPr>
  </w:style>
  <w:style w:type="paragraph" w:customStyle="1" w:styleId="EN">
    <w:name w:val="EN"/>
    <w:uiPriority w:val="99"/>
    <w:rsid w:val="00E67142"/>
    <w:pPr>
      <w:spacing w:after="0" w:line="240" w:lineRule="exact"/>
      <w:jc w:val="right"/>
    </w:pPr>
    <w:rPr>
      <w:rFonts w:ascii="Times New Roman" w:eastAsia="Times New Roman" w:hAnsi="Times New Roman" w:cs="Times New Roman"/>
      <w:color w:val="000000" w:themeColor="text1"/>
      <w:sz w:val="20"/>
      <w:szCs w:val="24"/>
    </w:rPr>
  </w:style>
  <w:style w:type="paragraph" w:customStyle="1" w:styleId="EQ">
    <w:name w:val="EQ"/>
    <w:uiPriority w:val="99"/>
    <w:rsid w:val="008F177F"/>
    <w:pPr>
      <w:tabs>
        <w:tab w:val="center" w:pos="2280"/>
        <w:tab w:val="right" w:pos="4560"/>
      </w:tabs>
      <w:spacing w:after="0" w:line="240" w:lineRule="auto"/>
      <w:jc w:val="center"/>
    </w:pPr>
    <w:rPr>
      <w:rFonts w:ascii="Times New Roman" w:eastAsia="Times New Roman" w:hAnsi="Times New Roman" w:cs="Times New Roman"/>
      <w:color w:val="000000" w:themeColor="text1"/>
      <w:sz w:val="20"/>
      <w:szCs w:val="24"/>
    </w:rPr>
  </w:style>
  <w:style w:type="paragraph" w:customStyle="1" w:styleId="EX">
    <w:name w:val="EX"/>
    <w:uiPriority w:val="99"/>
    <w:qFormat/>
    <w:rsid w:val="00184472"/>
    <w:pPr>
      <w:spacing w:before="240" w:after="240" w:line="220" w:lineRule="exact"/>
      <w:ind w:left="240"/>
      <w:contextualSpacing/>
      <w:jc w:val="both"/>
    </w:pPr>
    <w:rPr>
      <w:rFonts w:ascii="Times New Roman" w:eastAsia="Times New Roman" w:hAnsi="Times New Roman" w:cs="Times New Roman"/>
      <w:color w:val="000000" w:themeColor="text1"/>
      <w:sz w:val="18"/>
      <w:szCs w:val="24"/>
    </w:rPr>
  </w:style>
  <w:style w:type="paragraph" w:customStyle="1" w:styleId="H2">
    <w:name w:val="H2"/>
    <w:uiPriority w:val="99"/>
    <w:qFormat/>
    <w:rsid w:val="00E67142"/>
    <w:pPr>
      <w:spacing w:before="360" w:after="120" w:line="280" w:lineRule="exact"/>
    </w:pPr>
    <w:rPr>
      <w:rFonts w:ascii="Gill Sans" w:eastAsia="Times New Roman" w:hAnsi="Gill Sans" w:cs="Times New Roman"/>
      <w:i/>
      <w:color w:val="000000" w:themeColor="text1"/>
      <w:sz w:val="24"/>
      <w:szCs w:val="24"/>
    </w:rPr>
  </w:style>
  <w:style w:type="paragraph" w:customStyle="1" w:styleId="H3">
    <w:name w:val="H3"/>
    <w:uiPriority w:val="99"/>
    <w:qFormat/>
    <w:rsid w:val="00252C66"/>
    <w:pPr>
      <w:spacing w:before="240" w:after="0" w:line="240" w:lineRule="exact"/>
      <w:jc w:val="both"/>
    </w:pPr>
    <w:rPr>
      <w:rFonts w:ascii="Times New Roman" w:eastAsia="Times New Roman" w:hAnsi="Times New Roman" w:cs="Times New Roman"/>
      <w:color w:val="000000" w:themeColor="text1"/>
      <w:sz w:val="20"/>
      <w:szCs w:val="24"/>
    </w:rPr>
  </w:style>
  <w:style w:type="paragraph" w:customStyle="1" w:styleId="H4">
    <w:name w:val="H4"/>
    <w:uiPriority w:val="99"/>
    <w:qFormat/>
    <w:rsid w:val="00252C66"/>
    <w:pPr>
      <w:spacing w:after="0" w:line="240" w:lineRule="exact"/>
      <w:ind w:firstLine="240"/>
      <w:jc w:val="both"/>
    </w:pPr>
    <w:rPr>
      <w:rFonts w:ascii="Times New Roman" w:eastAsia="Times New Roman" w:hAnsi="Times New Roman" w:cs="Times New Roman"/>
      <w:color w:val="000000" w:themeColor="text1"/>
      <w:sz w:val="20"/>
      <w:szCs w:val="24"/>
    </w:rPr>
  </w:style>
  <w:style w:type="paragraph" w:customStyle="1" w:styleId="H4IN">
    <w:name w:val="H4 IN"/>
    <w:uiPriority w:val="99"/>
    <w:rsid w:val="00E67142"/>
    <w:pPr>
      <w:spacing w:before="240" w:after="0" w:line="240" w:lineRule="exact"/>
      <w:ind w:firstLine="240"/>
    </w:pPr>
    <w:rPr>
      <w:rFonts w:ascii="Gill Sans" w:eastAsia="Times New Roman" w:hAnsi="Gill Sans" w:cs="Times New Roman"/>
      <w:i/>
      <w:color w:val="000000" w:themeColor="text1"/>
      <w:sz w:val="20"/>
      <w:szCs w:val="24"/>
    </w:rPr>
  </w:style>
  <w:style w:type="paragraph" w:customStyle="1" w:styleId="imprint">
    <w:name w:val="imprint"/>
    <w:basedOn w:val="Normal"/>
    <w:uiPriority w:val="19"/>
    <w:rsid w:val="00114C7D"/>
    <w:pPr>
      <w:spacing w:after="0" w:line="180" w:lineRule="exact"/>
    </w:pPr>
    <w:rPr>
      <w:rFonts w:ascii="Gill Sans" w:hAnsi="Gill Sans"/>
      <w:sz w:val="14"/>
      <w:szCs w:val="14"/>
    </w:rPr>
  </w:style>
  <w:style w:type="paragraph" w:customStyle="1" w:styleId="LL">
    <w:name w:val="LL"/>
    <w:uiPriority w:val="99"/>
    <w:qFormat/>
    <w:rsid w:val="00BE27EE"/>
    <w:pPr>
      <w:numPr>
        <w:numId w:val="2"/>
      </w:numPr>
      <w:spacing w:before="240" w:after="240" w:line="240" w:lineRule="exact"/>
      <w:contextualSpacing/>
      <w:jc w:val="both"/>
    </w:pPr>
    <w:rPr>
      <w:rFonts w:ascii="Times New Roman" w:eastAsia="Times New Roman" w:hAnsi="Times New Roman" w:cs="Times New Roman"/>
      <w:color w:val="000000" w:themeColor="text1"/>
      <w:sz w:val="20"/>
      <w:szCs w:val="24"/>
    </w:rPr>
  </w:style>
  <w:style w:type="paragraph" w:customStyle="1" w:styleId="ML">
    <w:name w:val="ML"/>
    <w:uiPriority w:val="99"/>
    <w:rsid w:val="00E67142"/>
    <w:pPr>
      <w:spacing w:after="0" w:line="240" w:lineRule="exact"/>
      <w:ind w:left="490" w:hanging="245"/>
    </w:pPr>
    <w:rPr>
      <w:rFonts w:ascii="Times New Roman" w:eastAsia="Times New Roman" w:hAnsi="Times New Roman" w:cs="Times New Roman"/>
      <w:color w:val="000000" w:themeColor="text1"/>
      <w:sz w:val="20"/>
      <w:szCs w:val="24"/>
    </w:rPr>
  </w:style>
  <w:style w:type="paragraph" w:customStyle="1" w:styleId="NL">
    <w:name w:val="NL"/>
    <w:uiPriority w:val="99"/>
    <w:qFormat/>
    <w:rsid w:val="0099332E"/>
    <w:pPr>
      <w:spacing w:before="240" w:after="240" w:line="240" w:lineRule="exact"/>
      <w:ind w:left="480" w:hanging="240"/>
      <w:contextualSpacing/>
      <w:jc w:val="both"/>
    </w:pPr>
    <w:rPr>
      <w:rFonts w:ascii="Times New Roman" w:eastAsia="Times New Roman" w:hAnsi="Times New Roman" w:cs="Times New Roman"/>
      <w:color w:val="000000" w:themeColor="text1"/>
      <w:sz w:val="20"/>
      <w:szCs w:val="24"/>
    </w:rPr>
  </w:style>
  <w:style w:type="paragraph" w:customStyle="1" w:styleId="NNUM">
    <w:name w:val="NNUM"/>
    <w:uiPriority w:val="99"/>
    <w:rsid w:val="0099332E"/>
    <w:pPr>
      <w:spacing w:after="0" w:line="220" w:lineRule="exact"/>
      <w:ind w:left="360" w:hanging="360"/>
      <w:jc w:val="both"/>
    </w:pPr>
    <w:rPr>
      <w:rFonts w:ascii="Times New Roman" w:eastAsia="Times New Roman" w:hAnsi="Times New Roman" w:cs="Times New Roman"/>
      <w:color w:val="000000" w:themeColor="text1"/>
      <w:sz w:val="18"/>
      <w:szCs w:val="24"/>
    </w:rPr>
  </w:style>
  <w:style w:type="paragraph" w:customStyle="1" w:styleId="OQ">
    <w:name w:val="OQ"/>
    <w:uiPriority w:val="99"/>
    <w:rsid w:val="00E67142"/>
    <w:pPr>
      <w:spacing w:after="240" w:line="220" w:lineRule="exact"/>
      <w:ind w:left="245"/>
      <w:jc w:val="both"/>
    </w:pPr>
    <w:rPr>
      <w:rFonts w:ascii="Times New Roman" w:eastAsia="Times New Roman" w:hAnsi="Times New Roman" w:cs="Times New Roman"/>
      <w:color w:val="000000" w:themeColor="text1"/>
      <w:sz w:val="18"/>
      <w:szCs w:val="24"/>
    </w:rPr>
  </w:style>
  <w:style w:type="paragraph" w:customStyle="1" w:styleId="PO">
    <w:name w:val="PO"/>
    <w:uiPriority w:val="99"/>
    <w:rsid w:val="00E67142"/>
    <w:pPr>
      <w:spacing w:after="0" w:line="240" w:lineRule="exact"/>
      <w:ind w:left="240"/>
      <w:jc w:val="both"/>
    </w:pPr>
    <w:rPr>
      <w:rFonts w:ascii="Times New Roman" w:eastAsia="Times New Roman" w:hAnsi="Times New Roman" w:cs="Times New Roman"/>
      <w:color w:val="000000" w:themeColor="text1"/>
      <w:sz w:val="20"/>
      <w:szCs w:val="24"/>
    </w:rPr>
  </w:style>
  <w:style w:type="paragraph" w:customStyle="1" w:styleId="PX">
    <w:name w:val="PX"/>
    <w:uiPriority w:val="99"/>
    <w:rsid w:val="00E67142"/>
    <w:pPr>
      <w:spacing w:after="0" w:line="220" w:lineRule="exact"/>
      <w:ind w:left="245" w:right="240" w:firstLine="202"/>
      <w:jc w:val="both"/>
    </w:pPr>
    <w:rPr>
      <w:rFonts w:ascii="Times New Roman" w:eastAsia="Times New Roman" w:hAnsi="Times New Roman" w:cs="Times New Roman"/>
      <w:color w:val="000000" w:themeColor="text1"/>
      <w:sz w:val="18"/>
      <w:szCs w:val="24"/>
    </w:rPr>
  </w:style>
  <w:style w:type="paragraph" w:customStyle="1" w:styleId="QS">
    <w:name w:val="QS"/>
    <w:uiPriority w:val="99"/>
    <w:rsid w:val="007259E2"/>
    <w:pPr>
      <w:spacing w:after="0" w:line="200" w:lineRule="exact"/>
      <w:jc w:val="right"/>
    </w:pPr>
    <w:rPr>
      <w:rFonts w:ascii="Times New Roman" w:eastAsia="Times New Roman" w:hAnsi="Times New Roman" w:cs="Times New Roman"/>
      <w:color w:val="000000" w:themeColor="text1"/>
      <w:sz w:val="18"/>
      <w:szCs w:val="24"/>
    </w:rPr>
  </w:style>
  <w:style w:type="paragraph" w:customStyle="1" w:styleId="SI">
    <w:name w:val="SI"/>
    <w:uiPriority w:val="99"/>
    <w:rsid w:val="00E67142"/>
    <w:pPr>
      <w:spacing w:after="0" w:line="240" w:lineRule="exact"/>
      <w:jc w:val="right"/>
    </w:pPr>
    <w:rPr>
      <w:rFonts w:ascii="Times New Roman" w:eastAsia="Times New Roman" w:hAnsi="Times New Roman" w:cs="Times New Roman"/>
      <w:color w:val="000000" w:themeColor="text1"/>
      <w:sz w:val="20"/>
      <w:szCs w:val="24"/>
    </w:rPr>
  </w:style>
  <w:style w:type="paragraph" w:customStyle="1" w:styleId="SIAF">
    <w:name w:val="SI AF"/>
    <w:uiPriority w:val="99"/>
    <w:rsid w:val="00E67142"/>
    <w:pPr>
      <w:spacing w:after="0" w:line="240" w:lineRule="exact"/>
      <w:jc w:val="right"/>
    </w:pPr>
    <w:rPr>
      <w:rFonts w:ascii="Times New Roman" w:eastAsia="Times New Roman" w:hAnsi="Times New Roman" w:cs="Times New Roman"/>
      <w:i/>
      <w:color w:val="000000" w:themeColor="text1"/>
      <w:sz w:val="20"/>
      <w:szCs w:val="24"/>
    </w:rPr>
  </w:style>
  <w:style w:type="paragraph" w:customStyle="1" w:styleId="TBL">
    <w:name w:val="TBL"/>
    <w:uiPriority w:val="99"/>
    <w:rsid w:val="00280F5B"/>
    <w:pPr>
      <w:numPr>
        <w:numId w:val="5"/>
      </w:numPr>
      <w:spacing w:after="0" w:line="220" w:lineRule="exact"/>
      <w:ind w:left="180" w:hanging="180"/>
    </w:pPr>
    <w:rPr>
      <w:rFonts w:ascii="Gill Sans" w:eastAsia="Times New Roman" w:hAnsi="Gill Sans" w:cs="Times New Roman"/>
      <w:color w:val="000000" w:themeColor="text1"/>
      <w:sz w:val="18"/>
      <w:szCs w:val="24"/>
    </w:rPr>
  </w:style>
  <w:style w:type="paragraph" w:customStyle="1" w:styleId="TCH">
    <w:name w:val="TCH"/>
    <w:uiPriority w:val="99"/>
    <w:rsid w:val="008C1B21"/>
    <w:pPr>
      <w:spacing w:before="20" w:after="20" w:line="220" w:lineRule="exact"/>
    </w:pPr>
    <w:rPr>
      <w:rFonts w:ascii="Gill Sans" w:eastAsia="Times New Roman" w:hAnsi="Gill Sans" w:cs="Times New Roman"/>
      <w:color w:val="000000" w:themeColor="text1"/>
      <w:sz w:val="18"/>
      <w:szCs w:val="24"/>
    </w:rPr>
  </w:style>
  <w:style w:type="character" w:customStyle="1" w:styleId="AQ">
    <w:name w:val="AQ"/>
    <w:uiPriority w:val="19"/>
    <w:rsid w:val="005C0656"/>
    <w:rPr>
      <w:rFonts w:ascii="Gill Sans" w:hAnsi="Gill Sans"/>
      <w:b/>
      <w:color w:val="FF0000"/>
      <w:bdr w:val="none" w:sz="0" w:space="0" w:color="auto"/>
      <w:shd w:val="clear" w:color="auto" w:fill="FFF21F"/>
    </w:rPr>
  </w:style>
  <w:style w:type="paragraph" w:customStyle="1" w:styleId="TEMPLATE">
    <w:name w:val="TEMPLATE"/>
    <w:basedOn w:val="AT"/>
    <w:uiPriority w:val="19"/>
    <w:rsid w:val="00E26725"/>
    <w:rPr>
      <w:sz w:val="32"/>
    </w:rPr>
  </w:style>
  <w:style w:type="paragraph" w:customStyle="1" w:styleId="AQText">
    <w:name w:val="AQ_Text"/>
    <w:basedOn w:val="Normal"/>
    <w:uiPriority w:val="19"/>
    <w:rsid w:val="00700AF0"/>
    <w:pPr>
      <w:spacing w:after="0" w:line="180" w:lineRule="exact"/>
    </w:pPr>
    <w:rPr>
      <w:rFonts w:ascii="Times New Roman" w:eastAsia="Calibri" w:hAnsi="Times New Roman" w:cs="Times New Roman"/>
      <w:sz w:val="16"/>
      <w:szCs w:val="16"/>
      <w:lang w:val="en-IN" w:eastAsia="en-IN"/>
    </w:rPr>
  </w:style>
  <w:style w:type="table" w:styleId="TableGrid">
    <w:name w:val="Table Grid"/>
    <w:basedOn w:val="TableNormal"/>
    <w:uiPriority w:val="59"/>
    <w:rsid w:val="00700AF0"/>
    <w:pPr>
      <w:spacing w:after="0" w:line="240" w:lineRule="auto"/>
    </w:pPr>
    <w:rPr>
      <w:rFonts w:ascii="Calibri" w:eastAsia="Times New Roman"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3Character">
    <w:name w:val="H3 Character"/>
    <w:basedOn w:val="DefaultParagraphFont"/>
    <w:uiPriority w:val="19"/>
    <w:rsid w:val="005F4100"/>
    <w:rPr>
      <w:rFonts w:ascii="Gill Sans" w:hAnsi="Gill Sans"/>
      <w:i/>
      <w:noProof/>
    </w:rPr>
  </w:style>
  <w:style w:type="table" w:customStyle="1" w:styleId="CFTABLE">
    <w:name w:val="CFTABLE"/>
    <w:basedOn w:val="TableNormal"/>
    <w:uiPriority w:val="99"/>
    <w:qFormat/>
    <w:rsid w:val="00736235"/>
    <w:pPr>
      <w:spacing w:after="0" w:line="240" w:lineRule="auto"/>
    </w:pPr>
    <w:rPr>
      <w:rFonts w:ascii="Gill Sans" w:hAnsi="Gill Sans"/>
      <w:sz w:val="18"/>
    </w:rPr>
    <w:tblPr>
      <w:tblInd w:w="0" w:type="dxa"/>
      <w:tblBorders>
        <w:top w:val="single" w:sz="4" w:space="0" w:color="auto"/>
        <w:bottom w:val="single" w:sz="4" w:space="0" w:color="auto"/>
      </w:tblBorders>
      <w:tblCellMar>
        <w:top w:w="0" w:type="dxa"/>
        <w:left w:w="0" w:type="dxa"/>
        <w:bottom w:w="0" w:type="dxa"/>
        <w:right w:w="0" w:type="dxa"/>
      </w:tblCellMar>
    </w:tblPr>
    <w:tblStylePr w:type="firstRow">
      <w:tblPr/>
      <w:tcPr>
        <w:tcBorders>
          <w:top w:val="single" w:sz="4" w:space="0" w:color="auto"/>
          <w:left w:val="nil"/>
          <w:bottom w:val="single" w:sz="4" w:space="0" w:color="auto"/>
          <w:right w:val="nil"/>
          <w:insideH w:val="nil"/>
          <w:insideV w:val="nil"/>
          <w:tl2br w:val="nil"/>
          <w:tr2bl w:val="nil"/>
        </w:tcBorders>
      </w:tcPr>
    </w:tblStylePr>
  </w:style>
  <w:style w:type="character" w:customStyle="1" w:styleId="BOLD">
    <w:name w:val="BOLD"/>
    <w:basedOn w:val="DefaultParagraphFont"/>
    <w:qFormat/>
    <w:rsid w:val="00F84DC5"/>
    <w:rPr>
      <w:rFonts w:cs="Times New Roman"/>
      <w:b/>
      <w:color w:val="000000"/>
      <w:spacing w:val="-2"/>
      <w:sz w:val="18"/>
      <w:szCs w:val="18"/>
    </w:rPr>
  </w:style>
  <w:style w:type="character" w:customStyle="1" w:styleId="BOLDITALIC">
    <w:name w:val="BOLDITALIC"/>
    <w:basedOn w:val="DefaultParagraphFont"/>
    <w:qFormat/>
    <w:rsid w:val="00F84DC5"/>
    <w:rPr>
      <w:b/>
      <w:i/>
    </w:rPr>
  </w:style>
  <w:style w:type="character" w:customStyle="1" w:styleId="ITALIC">
    <w:name w:val="ITALIC"/>
    <w:basedOn w:val="DefaultParagraphFont"/>
    <w:qFormat/>
    <w:rsid w:val="00F84DC5"/>
    <w:rPr>
      <w:i/>
    </w:rPr>
  </w:style>
  <w:style w:type="character" w:customStyle="1" w:styleId="SUB">
    <w:name w:val="SUB"/>
    <w:basedOn w:val="DefaultParagraphFont"/>
    <w:qFormat/>
    <w:rsid w:val="00F84DC5"/>
    <w:rPr>
      <w:dstrike w:val="0"/>
      <w:vertAlign w:val="subscript"/>
    </w:rPr>
  </w:style>
  <w:style w:type="character" w:customStyle="1" w:styleId="SUP">
    <w:name w:val="SUP"/>
    <w:basedOn w:val="DefaultParagraphFont"/>
    <w:qFormat/>
    <w:rsid w:val="00F84DC5"/>
    <w:rPr>
      <w:dstrike w:val="0"/>
      <w:vertAlign w:val="superscript"/>
    </w:rPr>
  </w:style>
  <w:style w:type="paragraph" w:customStyle="1" w:styleId="OP">
    <w:name w:val="OP"/>
    <w:basedOn w:val="Normal"/>
    <w:uiPriority w:val="19"/>
    <w:rsid w:val="001A5C9B"/>
    <w:pPr>
      <w:spacing w:before="480" w:after="0" w:line="240" w:lineRule="exact"/>
      <w:jc w:val="both"/>
    </w:pPr>
    <w:rPr>
      <w:rFonts w:ascii="Times New Roman" w:eastAsia="Times New Roman" w:hAnsi="Times New Roman" w:cs="Times New Roman"/>
      <w:sz w:val="20"/>
      <w:szCs w:val="24"/>
    </w:rPr>
  </w:style>
  <w:style w:type="character" w:customStyle="1" w:styleId="CPBCharacter">
    <w:name w:val="CPB Character"/>
    <w:basedOn w:val="DefaultParagraphFont"/>
    <w:uiPriority w:val="1"/>
    <w:rsid w:val="00907467"/>
    <w:rPr>
      <w:rFonts w:ascii="Gill Sans" w:hAnsi="Gill Sans"/>
      <w:b/>
    </w:rPr>
  </w:style>
  <w:style w:type="character" w:customStyle="1" w:styleId="H4Character">
    <w:name w:val="H4 Character"/>
    <w:basedOn w:val="H3Character"/>
    <w:uiPriority w:val="19"/>
    <w:rsid w:val="00907467"/>
    <w:rPr>
      <w:rFonts w:ascii="Gill Sans" w:hAnsi="Gill Sans"/>
      <w:i/>
      <w:noProof/>
      <w:sz w:val="20"/>
    </w:rPr>
  </w:style>
  <w:style w:type="paragraph" w:customStyle="1" w:styleId="H2stock">
    <w:name w:val="H2 stock"/>
    <w:basedOn w:val="Normal"/>
    <w:uiPriority w:val="19"/>
    <w:rsid w:val="00907467"/>
    <w:pPr>
      <w:spacing w:after="120" w:line="280" w:lineRule="exact"/>
    </w:pPr>
    <w:rPr>
      <w:rFonts w:ascii="Gill Sans" w:eastAsia="Calibri" w:hAnsi="Gill Sans" w:cs="Times New Roman"/>
      <w:i/>
      <w:sz w:val="24"/>
      <w:szCs w:val="20"/>
    </w:rPr>
  </w:style>
  <w:style w:type="paragraph" w:customStyle="1" w:styleId="H3stock">
    <w:name w:val="H3 stock"/>
    <w:basedOn w:val="Normal"/>
    <w:uiPriority w:val="19"/>
    <w:rsid w:val="00907467"/>
    <w:pPr>
      <w:spacing w:after="0" w:line="240" w:lineRule="exact"/>
      <w:jc w:val="both"/>
    </w:pPr>
    <w:rPr>
      <w:rFonts w:ascii="Times New Roman" w:eastAsia="Calibri" w:hAnsi="Times New Roman" w:cs="Times New Roman"/>
      <w:sz w:val="20"/>
      <w:szCs w:val="20"/>
    </w:rPr>
  </w:style>
  <w:style w:type="paragraph" w:customStyle="1" w:styleId="AFF">
    <w:name w:val="AFF"/>
    <w:basedOn w:val="Normal"/>
    <w:uiPriority w:val="19"/>
    <w:rsid w:val="00907467"/>
    <w:pPr>
      <w:spacing w:after="0" w:line="240" w:lineRule="exact"/>
      <w:jc w:val="both"/>
    </w:pPr>
    <w:rPr>
      <w:rFonts w:ascii="Gill Sans" w:eastAsia="Times New Roman" w:hAnsi="Gill Sans" w:cs="Times New Roman"/>
      <w:sz w:val="16"/>
      <w:szCs w:val="24"/>
    </w:rPr>
  </w:style>
  <w:style w:type="character" w:customStyle="1" w:styleId="BGCharacter">
    <w:name w:val="BG Character"/>
    <w:basedOn w:val="DefaultParagraphFont"/>
    <w:uiPriority w:val="1"/>
    <w:rsid w:val="00907467"/>
    <w:rPr>
      <w:rFonts w:ascii="Times New Roman" w:hAnsi="Times New Roman"/>
      <w:b/>
      <w:lang w:val="en-GB"/>
    </w:rPr>
  </w:style>
  <w:style w:type="paragraph" w:customStyle="1" w:styleId="TTH">
    <w:name w:val="TTH"/>
    <w:basedOn w:val="Normal"/>
    <w:qFormat/>
    <w:rsid w:val="00907467"/>
    <w:pPr>
      <w:tabs>
        <w:tab w:val="left" w:pos="99"/>
      </w:tabs>
      <w:spacing w:after="0"/>
      <w:ind w:left="270" w:right="180" w:hanging="270"/>
    </w:pPr>
    <w:rPr>
      <w:rFonts w:ascii="Gill Sans" w:eastAsia="Calibri" w:hAnsi="Gill Sans" w:cs="Times New Roman"/>
      <w:sz w:val="18"/>
      <w:szCs w:val="20"/>
    </w:rPr>
  </w:style>
  <w:style w:type="paragraph" w:customStyle="1" w:styleId="TTI">
    <w:name w:val="TTI"/>
    <w:basedOn w:val="TTH"/>
    <w:qFormat/>
    <w:rsid w:val="00907467"/>
    <w:pPr>
      <w:ind w:left="240" w:right="0" w:firstLine="0"/>
    </w:pPr>
  </w:style>
  <w:style w:type="paragraph" w:customStyle="1" w:styleId="AQTEXT0">
    <w:name w:val="AQ_TEXT"/>
    <w:basedOn w:val="Normal"/>
    <w:qFormat/>
    <w:rsid w:val="00907467"/>
    <w:pPr>
      <w:spacing w:after="0" w:line="240" w:lineRule="exact"/>
      <w:jc w:val="both"/>
    </w:pPr>
    <w:rPr>
      <w:rFonts w:ascii="Times New Roman" w:eastAsia="Times New Roman" w:hAnsi="Times New Roman" w:cs="Times New Roman"/>
      <w:sz w:val="16"/>
      <w:szCs w:val="16"/>
    </w:rPr>
  </w:style>
  <w:style w:type="numbering" w:styleId="111111">
    <w:name w:val="Outline List 2"/>
    <w:basedOn w:val="NoList"/>
    <w:uiPriority w:val="99"/>
    <w:semiHidden/>
    <w:unhideWhenUsed/>
    <w:rsid w:val="008F2995"/>
    <w:pPr>
      <w:numPr>
        <w:numId w:val="8"/>
      </w:numPr>
    </w:pPr>
  </w:style>
  <w:style w:type="numbering" w:styleId="1ai">
    <w:name w:val="Outline List 1"/>
    <w:basedOn w:val="NoList"/>
    <w:uiPriority w:val="99"/>
    <w:semiHidden/>
    <w:unhideWhenUsed/>
    <w:rsid w:val="008F2995"/>
    <w:pPr>
      <w:numPr>
        <w:numId w:val="9"/>
      </w:numPr>
    </w:pPr>
  </w:style>
  <w:style w:type="character" w:customStyle="1" w:styleId="Heading1Char">
    <w:name w:val="Heading 1 Char"/>
    <w:basedOn w:val="DefaultParagraphFont"/>
    <w:link w:val="Heading1"/>
    <w:uiPriority w:val="19"/>
    <w:rsid w:val="008F299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semiHidden/>
    <w:rsid w:val="008F299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semiHidden/>
    <w:rsid w:val="008F299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8F299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8F299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8F299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8F299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F2995"/>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F2995"/>
    <w:rPr>
      <w:rFonts w:asciiTheme="majorHAnsi" w:eastAsiaTheme="majorEastAsia" w:hAnsiTheme="majorHAnsi" w:cstheme="majorBidi"/>
      <w:i/>
      <w:iCs/>
      <w:color w:val="404040" w:themeColor="text1" w:themeTint="BF"/>
      <w:sz w:val="20"/>
      <w:szCs w:val="20"/>
    </w:rPr>
  </w:style>
  <w:style w:type="numbering" w:styleId="ArticleSection">
    <w:name w:val="Outline List 3"/>
    <w:basedOn w:val="NoList"/>
    <w:uiPriority w:val="99"/>
    <w:semiHidden/>
    <w:unhideWhenUsed/>
    <w:rsid w:val="008F2995"/>
    <w:pPr>
      <w:numPr>
        <w:numId w:val="10"/>
      </w:numPr>
    </w:pPr>
  </w:style>
  <w:style w:type="paragraph" w:styleId="Bibliography">
    <w:name w:val="Bibliography"/>
    <w:basedOn w:val="Normal"/>
    <w:next w:val="Normal"/>
    <w:uiPriority w:val="37"/>
    <w:semiHidden/>
    <w:unhideWhenUsed/>
    <w:rsid w:val="008F2995"/>
  </w:style>
  <w:style w:type="paragraph" w:styleId="BlockText">
    <w:name w:val="Block Text"/>
    <w:basedOn w:val="Normal"/>
    <w:uiPriority w:val="99"/>
    <w:semiHidden/>
    <w:unhideWhenUsed/>
    <w:rsid w:val="008F2995"/>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eastAsiaTheme="minorEastAsia"/>
      <w:i/>
      <w:iCs/>
      <w:color w:val="4F81BD" w:themeColor="accent1"/>
    </w:rPr>
  </w:style>
  <w:style w:type="paragraph" w:styleId="BodyText">
    <w:name w:val="Body Text"/>
    <w:basedOn w:val="Normal"/>
    <w:link w:val="BodyTextChar"/>
    <w:uiPriority w:val="99"/>
    <w:semiHidden/>
    <w:unhideWhenUsed/>
    <w:rsid w:val="008F2995"/>
    <w:pPr>
      <w:spacing w:after="120"/>
    </w:pPr>
  </w:style>
  <w:style w:type="character" w:customStyle="1" w:styleId="BodyTextChar">
    <w:name w:val="Body Text Char"/>
    <w:basedOn w:val="DefaultParagraphFont"/>
    <w:link w:val="BodyText"/>
    <w:uiPriority w:val="99"/>
    <w:semiHidden/>
    <w:rsid w:val="008F2995"/>
  </w:style>
  <w:style w:type="paragraph" w:styleId="BodyText2">
    <w:name w:val="Body Text 2"/>
    <w:basedOn w:val="Normal"/>
    <w:link w:val="BodyText2Char"/>
    <w:uiPriority w:val="99"/>
    <w:semiHidden/>
    <w:unhideWhenUsed/>
    <w:rsid w:val="008F2995"/>
    <w:pPr>
      <w:spacing w:after="120" w:line="480" w:lineRule="auto"/>
    </w:pPr>
  </w:style>
  <w:style w:type="character" w:customStyle="1" w:styleId="BodyText2Char">
    <w:name w:val="Body Text 2 Char"/>
    <w:basedOn w:val="DefaultParagraphFont"/>
    <w:link w:val="BodyText2"/>
    <w:uiPriority w:val="99"/>
    <w:semiHidden/>
    <w:rsid w:val="008F2995"/>
  </w:style>
  <w:style w:type="paragraph" w:styleId="BodyText3">
    <w:name w:val="Body Text 3"/>
    <w:basedOn w:val="Normal"/>
    <w:link w:val="BodyText3Char"/>
    <w:uiPriority w:val="99"/>
    <w:semiHidden/>
    <w:unhideWhenUsed/>
    <w:rsid w:val="008F2995"/>
    <w:pPr>
      <w:spacing w:after="120"/>
    </w:pPr>
    <w:rPr>
      <w:sz w:val="16"/>
      <w:szCs w:val="16"/>
    </w:rPr>
  </w:style>
  <w:style w:type="character" w:customStyle="1" w:styleId="BodyText3Char">
    <w:name w:val="Body Text 3 Char"/>
    <w:basedOn w:val="DefaultParagraphFont"/>
    <w:link w:val="BodyText3"/>
    <w:uiPriority w:val="99"/>
    <w:semiHidden/>
    <w:rsid w:val="008F2995"/>
    <w:rPr>
      <w:sz w:val="16"/>
      <w:szCs w:val="16"/>
    </w:rPr>
  </w:style>
  <w:style w:type="paragraph" w:styleId="BodyTextFirstIndent">
    <w:name w:val="Body Text First Indent"/>
    <w:basedOn w:val="BodyText"/>
    <w:link w:val="BodyTextFirstIndentChar"/>
    <w:uiPriority w:val="99"/>
    <w:semiHidden/>
    <w:unhideWhenUsed/>
    <w:rsid w:val="008F2995"/>
    <w:pPr>
      <w:spacing w:after="200"/>
      <w:ind w:firstLine="360"/>
    </w:pPr>
  </w:style>
  <w:style w:type="character" w:customStyle="1" w:styleId="BodyTextFirstIndentChar">
    <w:name w:val="Body Text First Indent Char"/>
    <w:basedOn w:val="BodyTextChar"/>
    <w:link w:val="BodyTextFirstIndent"/>
    <w:uiPriority w:val="99"/>
    <w:semiHidden/>
    <w:rsid w:val="008F2995"/>
  </w:style>
  <w:style w:type="paragraph" w:styleId="BodyTextIndent">
    <w:name w:val="Body Text Indent"/>
    <w:basedOn w:val="Normal"/>
    <w:link w:val="BodyTextIndentChar"/>
    <w:uiPriority w:val="99"/>
    <w:semiHidden/>
    <w:unhideWhenUsed/>
    <w:rsid w:val="008F2995"/>
    <w:pPr>
      <w:spacing w:after="120"/>
      <w:ind w:left="360"/>
    </w:pPr>
  </w:style>
  <w:style w:type="character" w:customStyle="1" w:styleId="BodyTextIndentChar">
    <w:name w:val="Body Text Indent Char"/>
    <w:basedOn w:val="DefaultParagraphFont"/>
    <w:link w:val="BodyTextIndent"/>
    <w:uiPriority w:val="99"/>
    <w:semiHidden/>
    <w:rsid w:val="008F2995"/>
  </w:style>
  <w:style w:type="paragraph" w:styleId="BodyTextFirstIndent2">
    <w:name w:val="Body Text First Indent 2"/>
    <w:basedOn w:val="BodyTextIndent"/>
    <w:link w:val="BodyTextFirstIndent2Char"/>
    <w:uiPriority w:val="99"/>
    <w:semiHidden/>
    <w:unhideWhenUsed/>
    <w:rsid w:val="008F2995"/>
    <w:pPr>
      <w:spacing w:after="200"/>
      <w:ind w:firstLine="360"/>
    </w:pPr>
  </w:style>
  <w:style w:type="character" w:customStyle="1" w:styleId="BodyTextFirstIndent2Char">
    <w:name w:val="Body Text First Indent 2 Char"/>
    <w:basedOn w:val="BodyTextIndentChar"/>
    <w:link w:val="BodyTextFirstIndent2"/>
    <w:uiPriority w:val="99"/>
    <w:semiHidden/>
    <w:rsid w:val="008F2995"/>
  </w:style>
  <w:style w:type="paragraph" w:styleId="BodyTextIndent2">
    <w:name w:val="Body Text Indent 2"/>
    <w:basedOn w:val="Normal"/>
    <w:link w:val="BodyTextIndent2Char"/>
    <w:uiPriority w:val="99"/>
    <w:semiHidden/>
    <w:unhideWhenUsed/>
    <w:rsid w:val="008F2995"/>
    <w:pPr>
      <w:spacing w:after="120" w:line="480" w:lineRule="auto"/>
      <w:ind w:left="360"/>
    </w:pPr>
  </w:style>
  <w:style w:type="character" w:customStyle="1" w:styleId="BodyTextIndent2Char">
    <w:name w:val="Body Text Indent 2 Char"/>
    <w:basedOn w:val="DefaultParagraphFont"/>
    <w:link w:val="BodyTextIndent2"/>
    <w:uiPriority w:val="99"/>
    <w:semiHidden/>
    <w:rsid w:val="008F2995"/>
  </w:style>
  <w:style w:type="paragraph" w:styleId="BodyTextIndent3">
    <w:name w:val="Body Text Indent 3"/>
    <w:basedOn w:val="Normal"/>
    <w:link w:val="BodyTextIndent3Char"/>
    <w:uiPriority w:val="99"/>
    <w:semiHidden/>
    <w:unhideWhenUsed/>
    <w:rsid w:val="008F2995"/>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8F2995"/>
    <w:rPr>
      <w:sz w:val="16"/>
      <w:szCs w:val="16"/>
    </w:rPr>
  </w:style>
  <w:style w:type="character" w:styleId="BookTitle">
    <w:name w:val="Book Title"/>
    <w:basedOn w:val="DefaultParagraphFont"/>
    <w:uiPriority w:val="19"/>
    <w:rsid w:val="008F2995"/>
    <w:rPr>
      <w:b/>
      <w:bCs/>
      <w:smallCaps/>
      <w:spacing w:val="5"/>
    </w:rPr>
  </w:style>
  <w:style w:type="paragraph" w:styleId="Caption">
    <w:name w:val="caption"/>
    <w:basedOn w:val="Normal"/>
    <w:next w:val="Normal"/>
    <w:uiPriority w:val="35"/>
    <w:semiHidden/>
    <w:unhideWhenUsed/>
    <w:qFormat/>
    <w:rsid w:val="008F2995"/>
    <w:pPr>
      <w:spacing w:line="240" w:lineRule="auto"/>
    </w:pPr>
    <w:rPr>
      <w:b/>
      <w:bCs/>
      <w:color w:val="4F81BD" w:themeColor="accent1"/>
      <w:sz w:val="18"/>
      <w:szCs w:val="18"/>
    </w:rPr>
  </w:style>
  <w:style w:type="paragraph" w:styleId="Closing">
    <w:name w:val="Closing"/>
    <w:basedOn w:val="Normal"/>
    <w:link w:val="ClosingChar"/>
    <w:uiPriority w:val="99"/>
    <w:semiHidden/>
    <w:unhideWhenUsed/>
    <w:rsid w:val="008F2995"/>
    <w:pPr>
      <w:spacing w:after="0" w:line="240" w:lineRule="auto"/>
      <w:ind w:left="4320"/>
    </w:pPr>
  </w:style>
  <w:style w:type="character" w:customStyle="1" w:styleId="ClosingChar">
    <w:name w:val="Closing Char"/>
    <w:basedOn w:val="DefaultParagraphFont"/>
    <w:link w:val="Closing"/>
    <w:uiPriority w:val="99"/>
    <w:semiHidden/>
    <w:rsid w:val="008F2995"/>
  </w:style>
  <w:style w:type="table" w:customStyle="1" w:styleId="ColorfulGrid1">
    <w:name w:val="Colorful Grid1"/>
    <w:basedOn w:val="TableNormal"/>
    <w:uiPriority w:val="73"/>
    <w:rsid w:val="008F299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8F299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8F299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8F299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8F299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8F299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8F2995"/>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ColorfulList1">
    <w:name w:val="Colorful List1"/>
    <w:basedOn w:val="TableNormal"/>
    <w:uiPriority w:val="72"/>
    <w:rsid w:val="008F299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8F299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8F299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8F299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8F299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8F299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8F2995"/>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customStyle="1" w:styleId="ColorfulShading1">
    <w:name w:val="Colorful Shading1"/>
    <w:basedOn w:val="TableNormal"/>
    <w:uiPriority w:val="71"/>
    <w:rsid w:val="008F2995"/>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8F2995"/>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8F2995"/>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8F2995"/>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8F2995"/>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8F2995"/>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8F2995"/>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8F2995"/>
    <w:rPr>
      <w:sz w:val="16"/>
      <w:szCs w:val="16"/>
    </w:rPr>
  </w:style>
  <w:style w:type="paragraph" w:styleId="CommentText">
    <w:name w:val="annotation text"/>
    <w:basedOn w:val="Normal"/>
    <w:link w:val="CommentTextChar"/>
    <w:uiPriority w:val="99"/>
    <w:semiHidden/>
    <w:unhideWhenUsed/>
    <w:rsid w:val="008F2995"/>
    <w:pPr>
      <w:spacing w:line="240" w:lineRule="auto"/>
    </w:pPr>
    <w:rPr>
      <w:sz w:val="20"/>
      <w:szCs w:val="20"/>
    </w:rPr>
  </w:style>
  <w:style w:type="character" w:customStyle="1" w:styleId="CommentTextChar">
    <w:name w:val="Comment Text Char"/>
    <w:basedOn w:val="DefaultParagraphFont"/>
    <w:link w:val="CommentText"/>
    <w:uiPriority w:val="99"/>
    <w:semiHidden/>
    <w:rsid w:val="008F2995"/>
    <w:rPr>
      <w:sz w:val="20"/>
      <w:szCs w:val="20"/>
    </w:rPr>
  </w:style>
  <w:style w:type="paragraph" w:styleId="CommentSubject">
    <w:name w:val="annotation subject"/>
    <w:basedOn w:val="CommentText"/>
    <w:next w:val="CommentText"/>
    <w:link w:val="CommentSubjectChar"/>
    <w:uiPriority w:val="99"/>
    <w:semiHidden/>
    <w:unhideWhenUsed/>
    <w:rsid w:val="008F2995"/>
    <w:rPr>
      <w:b/>
      <w:bCs/>
    </w:rPr>
  </w:style>
  <w:style w:type="character" w:customStyle="1" w:styleId="CommentSubjectChar">
    <w:name w:val="Comment Subject Char"/>
    <w:basedOn w:val="CommentTextChar"/>
    <w:link w:val="CommentSubject"/>
    <w:uiPriority w:val="99"/>
    <w:semiHidden/>
    <w:rsid w:val="008F2995"/>
    <w:rPr>
      <w:b/>
      <w:bCs/>
      <w:sz w:val="20"/>
      <w:szCs w:val="20"/>
    </w:rPr>
  </w:style>
  <w:style w:type="table" w:customStyle="1" w:styleId="DarkList1">
    <w:name w:val="Dark List1"/>
    <w:basedOn w:val="TableNormal"/>
    <w:uiPriority w:val="70"/>
    <w:rsid w:val="008F299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8F299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8F299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8F299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8F299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8F299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8F2995"/>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ate">
    <w:name w:val="Date"/>
    <w:basedOn w:val="Normal"/>
    <w:next w:val="Normal"/>
    <w:link w:val="DateChar"/>
    <w:uiPriority w:val="99"/>
    <w:semiHidden/>
    <w:unhideWhenUsed/>
    <w:rsid w:val="008F2995"/>
  </w:style>
  <w:style w:type="character" w:customStyle="1" w:styleId="DateChar">
    <w:name w:val="Date Char"/>
    <w:basedOn w:val="DefaultParagraphFont"/>
    <w:link w:val="Date"/>
    <w:uiPriority w:val="99"/>
    <w:semiHidden/>
    <w:rsid w:val="008F2995"/>
  </w:style>
  <w:style w:type="paragraph" w:styleId="DocumentMap">
    <w:name w:val="Document Map"/>
    <w:basedOn w:val="Normal"/>
    <w:link w:val="DocumentMapChar"/>
    <w:uiPriority w:val="99"/>
    <w:semiHidden/>
    <w:unhideWhenUsed/>
    <w:rsid w:val="008F2995"/>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8F2995"/>
    <w:rPr>
      <w:rFonts w:ascii="Tahoma" w:hAnsi="Tahoma" w:cs="Tahoma"/>
      <w:sz w:val="16"/>
      <w:szCs w:val="16"/>
    </w:rPr>
  </w:style>
  <w:style w:type="paragraph" w:styleId="E-mailSignature">
    <w:name w:val="E-mail Signature"/>
    <w:basedOn w:val="Normal"/>
    <w:link w:val="E-mailSignatureChar"/>
    <w:uiPriority w:val="99"/>
    <w:semiHidden/>
    <w:unhideWhenUsed/>
    <w:rsid w:val="008F2995"/>
    <w:pPr>
      <w:spacing w:after="0" w:line="240" w:lineRule="auto"/>
    </w:pPr>
  </w:style>
  <w:style w:type="character" w:customStyle="1" w:styleId="E-mailSignatureChar">
    <w:name w:val="E-mail Signature Char"/>
    <w:basedOn w:val="DefaultParagraphFont"/>
    <w:link w:val="E-mailSignature"/>
    <w:uiPriority w:val="99"/>
    <w:semiHidden/>
    <w:rsid w:val="008F2995"/>
  </w:style>
  <w:style w:type="character" w:styleId="EndnoteReference">
    <w:name w:val="endnote reference"/>
    <w:basedOn w:val="DefaultParagraphFont"/>
    <w:uiPriority w:val="99"/>
    <w:semiHidden/>
    <w:unhideWhenUsed/>
    <w:rsid w:val="008F2995"/>
    <w:rPr>
      <w:vertAlign w:val="superscript"/>
    </w:rPr>
  </w:style>
  <w:style w:type="paragraph" w:styleId="EndnoteText">
    <w:name w:val="endnote text"/>
    <w:basedOn w:val="Normal"/>
    <w:link w:val="EndnoteTextChar"/>
    <w:uiPriority w:val="99"/>
    <w:semiHidden/>
    <w:unhideWhenUsed/>
    <w:rsid w:val="008F299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F2995"/>
    <w:rPr>
      <w:sz w:val="20"/>
      <w:szCs w:val="20"/>
    </w:rPr>
  </w:style>
  <w:style w:type="paragraph" w:styleId="EnvelopeAddress">
    <w:name w:val="envelope address"/>
    <w:basedOn w:val="Normal"/>
    <w:uiPriority w:val="99"/>
    <w:semiHidden/>
    <w:unhideWhenUsed/>
    <w:rsid w:val="008F2995"/>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F2995"/>
    <w:pPr>
      <w:spacing w:after="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8F2995"/>
    <w:rPr>
      <w:color w:val="800080" w:themeColor="followedHyperlink"/>
      <w:u w:val="single"/>
    </w:rPr>
  </w:style>
  <w:style w:type="character" w:styleId="FootnoteReference">
    <w:name w:val="footnote reference"/>
    <w:basedOn w:val="DefaultParagraphFont"/>
    <w:uiPriority w:val="99"/>
    <w:semiHidden/>
    <w:unhideWhenUsed/>
    <w:rsid w:val="008F2995"/>
    <w:rPr>
      <w:vertAlign w:val="superscript"/>
    </w:rPr>
  </w:style>
  <w:style w:type="paragraph" w:styleId="FootnoteText">
    <w:name w:val="footnote text"/>
    <w:basedOn w:val="Normal"/>
    <w:link w:val="FootnoteTextChar"/>
    <w:uiPriority w:val="99"/>
    <w:semiHidden/>
    <w:unhideWhenUsed/>
    <w:rsid w:val="008F299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F2995"/>
    <w:rPr>
      <w:sz w:val="20"/>
      <w:szCs w:val="20"/>
    </w:rPr>
  </w:style>
  <w:style w:type="character" w:styleId="HTMLAcronym">
    <w:name w:val="HTML Acronym"/>
    <w:basedOn w:val="DefaultParagraphFont"/>
    <w:uiPriority w:val="99"/>
    <w:semiHidden/>
    <w:unhideWhenUsed/>
    <w:rsid w:val="008F2995"/>
  </w:style>
  <w:style w:type="paragraph" w:styleId="HTMLAddress">
    <w:name w:val="HTML Address"/>
    <w:basedOn w:val="Normal"/>
    <w:link w:val="HTMLAddressChar"/>
    <w:uiPriority w:val="99"/>
    <w:semiHidden/>
    <w:unhideWhenUsed/>
    <w:rsid w:val="008F2995"/>
    <w:pPr>
      <w:spacing w:after="0" w:line="240" w:lineRule="auto"/>
    </w:pPr>
    <w:rPr>
      <w:i/>
      <w:iCs/>
    </w:rPr>
  </w:style>
  <w:style w:type="character" w:customStyle="1" w:styleId="HTMLAddressChar">
    <w:name w:val="HTML Address Char"/>
    <w:basedOn w:val="DefaultParagraphFont"/>
    <w:link w:val="HTMLAddress"/>
    <w:uiPriority w:val="99"/>
    <w:semiHidden/>
    <w:rsid w:val="008F2995"/>
    <w:rPr>
      <w:i/>
      <w:iCs/>
    </w:rPr>
  </w:style>
  <w:style w:type="character" w:styleId="HTMLCite">
    <w:name w:val="HTML Cite"/>
    <w:basedOn w:val="DefaultParagraphFont"/>
    <w:uiPriority w:val="99"/>
    <w:semiHidden/>
    <w:unhideWhenUsed/>
    <w:rsid w:val="008F2995"/>
    <w:rPr>
      <w:i/>
      <w:iCs/>
    </w:rPr>
  </w:style>
  <w:style w:type="character" w:styleId="HTMLCode">
    <w:name w:val="HTML Code"/>
    <w:basedOn w:val="DefaultParagraphFont"/>
    <w:uiPriority w:val="99"/>
    <w:semiHidden/>
    <w:unhideWhenUsed/>
    <w:rsid w:val="008F2995"/>
    <w:rPr>
      <w:rFonts w:ascii="Consolas" w:hAnsi="Consolas" w:cs="Consolas"/>
      <w:sz w:val="20"/>
      <w:szCs w:val="20"/>
    </w:rPr>
  </w:style>
  <w:style w:type="character" w:styleId="HTMLDefinition">
    <w:name w:val="HTML Definition"/>
    <w:basedOn w:val="DefaultParagraphFont"/>
    <w:uiPriority w:val="99"/>
    <w:semiHidden/>
    <w:unhideWhenUsed/>
    <w:rsid w:val="008F2995"/>
    <w:rPr>
      <w:i/>
      <w:iCs/>
    </w:rPr>
  </w:style>
  <w:style w:type="character" w:styleId="HTMLKeyboard">
    <w:name w:val="HTML Keyboard"/>
    <w:basedOn w:val="DefaultParagraphFont"/>
    <w:uiPriority w:val="99"/>
    <w:semiHidden/>
    <w:unhideWhenUsed/>
    <w:rsid w:val="008F2995"/>
    <w:rPr>
      <w:rFonts w:ascii="Consolas" w:hAnsi="Consolas" w:cs="Consolas"/>
      <w:sz w:val="20"/>
      <w:szCs w:val="20"/>
    </w:rPr>
  </w:style>
  <w:style w:type="paragraph" w:styleId="HTMLPreformatted">
    <w:name w:val="HTML Preformatted"/>
    <w:basedOn w:val="Normal"/>
    <w:link w:val="HTMLPreformattedChar"/>
    <w:uiPriority w:val="99"/>
    <w:semiHidden/>
    <w:unhideWhenUsed/>
    <w:rsid w:val="008F2995"/>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8F2995"/>
    <w:rPr>
      <w:rFonts w:ascii="Consolas" w:hAnsi="Consolas" w:cs="Consolas"/>
      <w:sz w:val="20"/>
      <w:szCs w:val="20"/>
    </w:rPr>
  </w:style>
  <w:style w:type="character" w:styleId="HTMLSample">
    <w:name w:val="HTML Sample"/>
    <w:basedOn w:val="DefaultParagraphFont"/>
    <w:uiPriority w:val="99"/>
    <w:semiHidden/>
    <w:unhideWhenUsed/>
    <w:rsid w:val="008F2995"/>
    <w:rPr>
      <w:rFonts w:ascii="Consolas" w:hAnsi="Consolas" w:cs="Consolas"/>
      <w:sz w:val="24"/>
      <w:szCs w:val="24"/>
    </w:rPr>
  </w:style>
  <w:style w:type="character" w:styleId="HTMLTypewriter">
    <w:name w:val="HTML Typewriter"/>
    <w:basedOn w:val="DefaultParagraphFont"/>
    <w:uiPriority w:val="99"/>
    <w:semiHidden/>
    <w:unhideWhenUsed/>
    <w:rsid w:val="008F2995"/>
    <w:rPr>
      <w:rFonts w:ascii="Consolas" w:hAnsi="Consolas" w:cs="Consolas"/>
      <w:sz w:val="20"/>
      <w:szCs w:val="20"/>
    </w:rPr>
  </w:style>
  <w:style w:type="character" w:styleId="HTMLVariable">
    <w:name w:val="HTML Variable"/>
    <w:basedOn w:val="DefaultParagraphFont"/>
    <w:uiPriority w:val="99"/>
    <w:semiHidden/>
    <w:unhideWhenUsed/>
    <w:rsid w:val="008F2995"/>
    <w:rPr>
      <w:i/>
      <w:iCs/>
    </w:rPr>
  </w:style>
  <w:style w:type="character" w:styleId="Hyperlink">
    <w:name w:val="Hyperlink"/>
    <w:basedOn w:val="DefaultParagraphFont"/>
    <w:uiPriority w:val="99"/>
    <w:semiHidden/>
    <w:unhideWhenUsed/>
    <w:rsid w:val="008F2995"/>
    <w:rPr>
      <w:color w:val="0000FF" w:themeColor="hyperlink"/>
      <w:u w:val="single"/>
    </w:rPr>
  </w:style>
  <w:style w:type="paragraph" w:styleId="Index1">
    <w:name w:val="index 1"/>
    <w:basedOn w:val="Normal"/>
    <w:next w:val="Normal"/>
    <w:autoRedefine/>
    <w:uiPriority w:val="99"/>
    <w:semiHidden/>
    <w:unhideWhenUsed/>
    <w:rsid w:val="008F2995"/>
    <w:pPr>
      <w:spacing w:after="0" w:line="240" w:lineRule="auto"/>
      <w:ind w:left="220" w:hanging="220"/>
    </w:pPr>
  </w:style>
  <w:style w:type="paragraph" w:styleId="Index2">
    <w:name w:val="index 2"/>
    <w:basedOn w:val="Normal"/>
    <w:next w:val="Normal"/>
    <w:autoRedefine/>
    <w:uiPriority w:val="99"/>
    <w:semiHidden/>
    <w:unhideWhenUsed/>
    <w:rsid w:val="008F2995"/>
    <w:pPr>
      <w:spacing w:after="0" w:line="240" w:lineRule="auto"/>
      <w:ind w:left="440" w:hanging="220"/>
    </w:pPr>
  </w:style>
  <w:style w:type="paragraph" w:styleId="Index3">
    <w:name w:val="index 3"/>
    <w:basedOn w:val="Normal"/>
    <w:next w:val="Normal"/>
    <w:autoRedefine/>
    <w:uiPriority w:val="99"/>
    <w:semiHidden/>
    <w:unhideWhenUsed/>
    <w:rsid w:val="008F2995"/>
    <w:pPr>
      <w:spacing w:after="0" w:line="240" w:lineRule="auto"/>
      <w:ind w:left="660" w:hanging="220"/>
    </w:pPr>
  </w:style>
  <w:style w:type="paragraph" w:styleId="Index4">
    <w:name w:val="index 4"/>
    <w:basedOn w:val="Normal"/>
    <w:next w:val="Normal"/>
    <w:autoRedefine/>
    <w:uiPriority w:val="99"/>
    <w:semiHidden/>
    <w:unhideWhenUsed/>
    <w:rsid w:val="008F2995"/>
    <w:pPr>
      <w:spacing w:after="0" w:line="240" w:lineRule="auto"/>
      <w:ind w:left="880" w:hanging="220"/>
    </w:pPr>
  </w:style>
  <w:style w:type="paragraph" w:styleId="Index5">
    <w:name w:val="index 5"/>
    <w:basedOn w:val="Normal"/>
    <w:next w:val="Normal"/>
    <w:autoRedefine/>
    <w:uiPriority w:val="99"/>
    <w:semiHidden/>
    <w:unhideWhenUsed/>
    <w:rsid w:val="008F2995"/>
    <w:pPr>
      <w:spacing w:after="0" w:line="240" w:lineRule="auto"/>
      <w:ind w:left="1100" w:hanging="220"/>
    </w:pPr>
  </w:style>
  <w:style w:type="paragraph" w:styleId="Index6">
    <w:name w:val="index 6"/>
    <w:basedOn w:val="Normal"/>
    <w:next w:val="Normal"/>
    <w:autoRedefine/>
    <w:uiPriority w:val="99"/>
    <w:semiHidden/>
    <w:unhideWhenUsed/>
    <w:rsid w:val="008F2995"/>
    <w:pPr>
      <w:spacing w:after="0" w:line="240" w:lineRule="auto"/>
      <w:ind w:left="1320" w:hanging="220"/>
    </w:pPr>
  </w:style>
  <w:style w:type="paragraph" w:styleId="Index7">
    <w:name w:val="index 7"/>
    <w:basedOn w:val="Normal"/>
    <w:next w:val="Normal"/>
    <w:autoRedefine/>
    <w:uiPriority w:val="99"/>
    <w:semiHidden/>
    <w:unhideWhenUsed/>
    <w:rsid w:val="008F2995"/>
    <w:pPr>
      <w:spacing w:after="0" w:line="240" w:lineRule="auto"/>
      <w:ind w:left="1540" w:hanging="220"/>
    </w:pPr>
  </w:style>
  <w:style w:type="paragraph" w:styleId="Index8">
    <w:name w:val="index 8"/>
    <w:basedOn w:val="Normal"/>
    <w:next w:val="Normal"/>
    <w:autoRedefine/>
    <w:uiPriority w:val="99"/>
    <w:semiHidden/>
    <w:unhideWhenUsed/>
    <w:rsid w:val="008F2995"/>
    <w:pPr>
      <w:spacing w:after="0" w:line="240" w:lineRule="auto"/>
      <w:ind w:left="1760" w:hanging="220"/>
    </w:pPr>
  </w:style>
  <w:style w:type="paragraph" w:styleId="Index9">
    <w:name w:val="index 9"/>
    <w:basedOn w:val="Normal"/>
    <w:next w:val="Normal"/>
    <w:autoRedefine/>
    <w:uiPriority w:val="99"/>
    <w:semiHidden/>
    <w:unhideWhenUsed/>
    <w:rsid w:val="008F2995"/>
    <w:pPr>
      <w:spacing w:after="0" w:line="240" w:lineRule="auto"/>
      <w:ind w:left="1980" w:hanging="220"/>
    </w:pPr>
  </w:style>
  <w:style w:type="paragraph" w:styleId="IndexHeading">
    <w:name w:val="index heading"/>
    <w:basedOn w:val="Normal"/>
    <w:next w:val="Index1"/>
    <w:uiPriority w:val="99"/>
    <w:semiHidden/>
    <w:unhideWhenUsed/>
    <w:rsid w:val="008F2995"/>
    <w:rPr>
      <w:rFonts w:asciiTheme="majorHAnsi" w:eastAsiaTheme="majorEastAsia" w:hAnsiTheme="majorHAnsi" w:cstheme="majorBidi"/>
      <w:b/>
      <w:bCs/>
    </w:rPr>
  </w:style>
  <w:style w:type="character" w:styleId="IntenseEmphasis">
    <w:name w:val="Intense Emphasis"/>
    <w:basedOn w:val="DefaultParagraphFont"/>
    <w:uiPriority w:val="19"/>
    <w:rsid w:val="008F2995"/>
    <w:rPr>
      <w:b/>
      <w:bCs/>
      <w:i/>
      <w:iCs/>
      <w:color w:val="4F81BD" w:themeColor="accent1"/>
    </w:rPr>
  </w:style>
  <w:style w:type="paragraph" w:styleId="IntenseQuote">
    <w:name w:val="Intense Quote"/>
    <w:basedOn w:val="Normal"/>
    <w:next w:val="Normal"/>
    <w:link w:val="IntenseQuoteChar"/>
    <w:uiPriority w:val="19"/>
    <w:rsid w:val="008F299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19"/>
    <w:rsid w:val="008F2995"/>
    <w:rPr>
      <w:b/>
      <w:bCs/>
      <w:i/>
      <w:iCs/>
      <w:color w:val="4F81BD" w:themeColor="accent1"/>
    </w:rPr>
  </w:style>
  <w:style w:type="character" w:styleId="IntenseReference">
    <w:name w:val="Intense Reference"/>
    <w:basedOn w:val="DefaultParagraphFont"/>
    <w:uiPriority w:val="19"/>
    <w:rsid w:val="008F2995"/>
    <w:rPr>
      <w:b/>
      <w:bCs/>
      <w:smallCaps/>
      <w:color w:val="C0504D" w:themeColor="accent2"/>
      <w:spacing w:val="5"/>
      <w:u w:val="single"/>
    </w:rPr>
  </w:style>
  <w:style w:type="table" w:customStyle="1" w:styleId="LightGrid1">
    <w:name w:val="Light Grid1"/>
    <w:basedOn w:val="TableNormal"/>
    <w:uiPriority w:val="62"/>
    <w:rsid w:val="008F299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LightGrid-Accent11">
    <w:name w:val="Light Grid - Accent 11"/>
    <w:basedOn w:val="TableNormal"/>
    <w:uiPriority w:val="62"/>
    <w:rsid w:val="008F299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8F299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8F299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8F299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8F299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8F299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customStyle="1" w:styleId="LightList1">
    <w:name w:val="Light List1"/>
    <w:basedOn w:val="TableNormal"/>
    <w:uiPriority w:val="61"/>
    <w:rsid w:val="008F2995"/>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LightList-Accent11">
    <w:name w:val="Light List - Accent 11"/>
    <w:basedOn w:val="TableNormal"/>
    <w:uiPriority w:val="61"/>
    <w:rsid w:val="008F2995"/>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8F2995"/>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8F2995"/>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8F2995"/>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8F2995"/>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8F299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customStyle="1" w:styleId="LightShading1">
    <w:name w:val="Light Shading1"/>
    <w:basedOn w:val="TableNormal"/>
    <w:uiPriority w:val="60"/>
    <w:rsid w:val="008F2995"/>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8F2995"/>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8F2995"/>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8F2995"/>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8F2995"/>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8F2995"/>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8F2995"/>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character" w:styleId="LineNumber">
    <w:name w:val="line number"/>
    <w:basedOn w:val="DefaultParagraphFont"/>
    <w:uiPriority w:val="99"/>
    <w:semiHidden/>
    <w:unhideWhenUsed/>
    <w:rsid w:val="008F2995"/>
  </w:style>
  <w:style w:type="paragraph" w:styleId="List">
    <w:name w:val="List"/>
    <w:basedOn w:val="Normal"/>
    <w:uiPriority w:val="99"/>
    <w:semiHidden/>
    <w:unhideWhenUsed/>
    <w:rsid w:val="008F2995"/>
    <w:pPr>
      <w:ind w:left="360" w:hanging="360"/>
      <w:contextualSpacing/>
    </w:pPr>
  </w:style>
  <w:style w:type="paragraph" w:styleId="List2">
    <w:name w:val="List 2"/>
    <w:basedOn w:val="Normal"/>
    <w:uiPriority w:val="99"/>
    <w:semiHidden/>
    <w:unhideWhenUsed/>
    <w:rsid w:val="008F2995"/>
    <w:pPr>
      <w:ind w:left="720" w:hanging="360"/>
      <w:contextualSpacing/>
    </w:pPr>
  </w:style>
  <w:style w:type="paragraph" w:styleId="List3">
    <w:name w:val="List 3"/>
    <w:basedOn w:val="Normal"/>
    <w:uiPriority w:val="99"/>
    <w:semiHidden/>
    <w:unhideWhenUsed/>
    <w:rsid w:val="008F2995"/>
    <w:pPr>
      <w:ind w:left="1080" w:hanging="360"/>
      <w:contextualSpacing/>
    </w:pPr>
  </w:style>
  <w:style w:type="paragraph" w:styleId="List4">
    <w:name w:val="List 4"/>
    <w:basedOn w:val="Normal"/>
    <w:uiPriority w:val="99"/>
    <w:semiHidden/>
    <w:unhideWhenUsed/>
    <w:rsid w:val="008F2995"/>
    <w:pPr>
      <w:ind w:left="1440" w:hanging="360"/>
      <w:contextualSpacing/>
    </w:pPr>
  </w:style>
  <w:style w:type="paragraph" w:styleId="List5">
    <w:name w:val="List 5"/>
    <w:basedOn w:val="Normal"/>
    <w:uiPriority w:val="99"/>
    <w:semiHidden/>
    <w:unhideWhenUsed/>
    <w:rsid w:val="008F2995"/>
    <w:pPr>
      <w:ind w:left="1800" w:hanging="360"/>
      <w:contextualSpacing/>
    </w:pPr>
  </w:style>
  <w:style w:type="paragraph" w:styleId="ListBullet">
    <w:name w:val="List Bullet"/>
    <w:basedOn w:val="Normal"/>
    <w:uiPriority w:val="99"/>
    <w:semiHidden/>
    <w:unhideWhenUsed/>
    <w:rsid w:val="008F2995"/>
    <w:pPr>
      <w:numPr>
        <w:numId w:val="11"/>
      </w:numPr>
      <w:contextualSpacing/>
    </w:pPr>
  </w:style>
  <w:style w:type="paragraph" w:styleId="ListBullet2">
    <w:name w:val="List Bullet 2"/>
    <w:basedOn w:val="Normal"/>
    <w:uiPriority w:val="99"/>
    <w:semiHidden/>
    <w:unhideWhenUsed/>
    <w:rsid w:val="008F2995"/>
    <w:pPr>
      <w:numPr>
        <w:numId w:val="12"/>
      </w:numPr>
      <w:contextualSpacing/>
    </w:pPr>
  </w:style>
  <w:style w:type="paragraph" w:styleId="ListBullet3">
    <w:name w:val="List Bullet 3"/>
    <w:basedOn w:val="Normal"/>
    <w:uiPriority w:val="99"/>
    <w:semiHidden/>
    <w:unhideWhenUsed/>
    <w:rsid w:val="008F2995"/>
    <w:pPr>
      <w:numPr>
        <w:numId w:val="13"/>
      </w:numPr>
      <w:contextualSpacing/>
    </w:pPr>
  </w:style>
  <w:style w:type="paragraph" w:styleId="ListBullet4">
    <w:name w:val="List Bullet 4"/>
    <w:basedOn w:val="Normal"/>
    <w:uiPriority w:val="99"/>
    <w:semiHidden/>
    <w:unhideWhenUsed/>
    <w:rsid w:val="008F2995"/>
    <w:pPr>
      <w:numPr>
        <w:numId w:val="14"/>
      </w:numPr>
      <w:contextualSpacing/>
    </w:pPr>
  </w:style>
  <w:style w:type="paragraph" w:styleId="ListBullet5">
    <w:name w:val="List Bullet 5"/>
    <w:basedOn w:val="Normal"/>
    <w:uiPriority w:val="99"/>
    <w:semiHidden/>
    <w:unhideWhenUsed/>
    <w:rsid w:val="008F2995"/>
    <w:pPr>
      <w:numPr>
        <w:numId w:val="15"/>
      </w:numPr>
      <w:contextualSpacing/>
    </w:pPr>
  </w:style>
  <w:style w:type="paragraph" w:styleId="ListContinue">
    <w:name w:val="List Continue"/>
    <w:basedOn w:val="Normal"/>
    <w:uiPriority w:val="99"/>
    <w:semiHidden/>
    <w:unhideWhenUsed/>
    <w:rsid w:val="008F2995"/>
    <w:pPr>
      <w:spacing w:after="120"/>
      <w:ind w:left="360"/>
      <w:contextualSpacing/>
    </w:pPr>
  </w:style>
  <w:style w:type="paragraph" w:styleId="ListContinue2">
    <w:name w:val="List Continue 2"/>
    <w:basedOn w:val="Normal"/>
    <w:uiPriority w:val="99"/>
    <w:semiHidden/>
    <w:unhideWhenUsed/>
    <w:rsid w:val="008F2995"/>
    <w:pPr>
      <w:spacing w:after="120"/>
      <w:ind w:left="720"/>
      <w:contextualSpacing/>
    </w:pPr>
  </w:style>
  <w:style w:type="paragraph" w:styleId="ListContinue3">
    <w:name w:val="List Continue 3"/>
    <w:basedOn w:val="Normal"/>
    <w:uiPriority w:val="99"/>
    <w:semiHidden/>
    <w:unhideWhenUsed/>
    <w:rsid w:val="008F2995"/>
    <w:pPr>
      <w:spacing w:after="120"/>
      <w:ind w:left="1080"/>
      <w:contextualSpacing/>
    </w:pPr>
  </w:style>
  <w:style w:type="paragraph" w:styleId="ListContinue4">
    <w:name w:val="List Continue 4"/>
    <w:basedOn w:val="Normal"/>
    <w:uiPriority w:val="99"/>
    <w:semiHidden/>
    <w:unhideWhenUsed/>
    <w:rsid w:val="008F2995"/>
    <w:pPr>
      <w:spacing w:after="120"/>
      <w:ind w:left="1440"/>
      <w:contextualSpacing/>
    </w:pPr>
  </w:style>
  <w:style w:type="paragraph" w:styleId="ListContinue5">
    <w:name w:val="List Continue 5"/>
    <w:basedOn w:val="Normal"/>
    <w:uiPriority w:val="99"/>
    <w:semiHidden/>
    <w:unhideWhenUsed/>
    <w:rsid w:val="008F2995"/>
    <w:pPr>
      <w:spacing w:after="120"/>
      <w:ind w:left="1800"/>
      <w:contextualSpacing/>
    </w:pPr>
  </w:style>
  <w:style w:type="paragraph" w:styleId="ListNumber">
    <w:name w:val="List Number"/>
    <w:basedOn w:val="Normal"/>
    <w:uiPriority w:val="99"/>
    <w:semiHidden/>
    <w:unhideWhenUsed/>
    <w:rsid w:val="008F2995"/>
    <w:pPr>
      <w:numPr>
        <w:numId w:val="16"/>
      </w:numPr>
      <w:contextualSpacing/>
    </w:pPr>
  </w:style>
  <w:style w:type="paragraph" w:styleId="ListNumber2">
    <w:name w:val="List Number 2"/>
    <w:basedOn w:val="Normal"/>
    <w:uiPriority w:val="99"/>
    <w:semiHidden/>
    <w:unhideWhenUsed/>
    <w:rsid w:val="008F2995"/>
    <w:pPr>
      <w:numPr>
        <w:numId w:val="17"/>
      </w:numPr>
      <w:contextualSpacing/>
    </w:pPr>
  </w:style>
  <w:style w:type="paragraph" w:styleId="ListNumber3">
    <w:name w:val="List Number 3"/>
    <w:basedOn w:val="Normal"/>
    <w:uiPriority w:val="99"/>
    <w:semiHidden/>
    <w:unhideWhenUsed/>
    <w:rsid w:val="008F2995"/>
    <w:pPr>
      <w:numPr>
        <w:numId w:val="18"/>
      </w:numPr>
      <w:contextualSpacing/>
    </w:pPr>
  </w:style>
  <w:style w:type="paragraph" w:styleId="ListNumber4">
    <w:name w:val="List Number 4"/>
    <w:basedOn w:val="Normal"/>
    <w:uiPriority w:val="99"/>
    <w:semiHidden/>
    <w:unhideWhenUsed/>
    <w:rsid w:val="008F2995"/>
    <w:pPr>
      <w:numPr>
        <w:numId w:val="19"/>
      </w:numPr>
      <w:contextualSpacing/>
    </w:pPr>
  </w:style>
  <w:style w:type="paragraph" w:styleId="ListNumber5">
    <w:name w:val="List Number 5"/>
    <w:basedOn w:val="Normal"/>
    <w:uiPriority w:val="99"/>
    <w:semiHidden/>
    <w:unhideWhenUsed/>
    <w:rsid w:val="008F2995"/>
    <w:pPr>
      <w:numPr>
        <w:numId w:val="20"/>
      </w:numPr>
      <w:contextualSpacing/>
    </w:pPr>
  </w:style>
  <w:style w:type="paragraph" w:styleId="MacroText">
    <w:name w:val="macro"/>
    <w:link w:val="MacroTextChar"/>
    <w:uiPriority w:val="99"/>
    <w:semiHidden/>
    <w:unhideWhenUsed/>
    <w:rsid w:val="008F2995"/>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MacroTextChar">
    <w:name w:val="Macro Text Char"/>
    <w:basedOn w:val="DefaultParagraphFont"/>
    <w:link w:val="MacroText"/>
    <w:uiPriority w:val="99"/>
    <w:semiHidden/>
    <w:rsid w:val="008F2995"/>
    <w:rPr>
      <w:rFonts w:ascii="Consolas" w:hAnsi="Consolas" w:cs="Consolas"/>
      <w:sz w:val="20"/>
      <w:szCs w:val="20"/>
    </w:rPr>
  </w:style>
  <w:style w:type="table" w:customStyle="1" w:styleId="MediumGrid11">
    <w:name w:val="Medium Grid 11"/>
    <w:basedOn w:val="TableNormal"/>
    <w:uiPriority w:val="67"/>
    <w:rsid w:val="008F299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8F299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8F299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8F299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8F299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8F299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8F299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MediumGrid21">
    <w:name w:val="Medium Grid 21"/>
    <w:basedOn w:val="TableNormal"/>
    <w:uiPriority w:val="68"/>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MediumGrid31">
    <w:name w:val="Medium Grid 31"/>
    <w:basedOn w:val="TableNormal"/>
    <w:uiPriority w:val="69"/>
    <w:rsid w:val="008F299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8F299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8F299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8F299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8F299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8F299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8F2995"/>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MediumList11">
    <w:name w:val="Medium List 11"/>
    <w:basedOn w:val="TableNormal"/>
    <w:uiPriority w:val="65"/>
    <w:rsid w:val="008F2995"/>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MediumList1-Accent11">
    <w:name w:val="Medium List 1 - Accent 11"/>
    <w:basedOn w:val="TableNormal"/>
    <w:uiPriority w:val="65"/>
    <w:rsid w:val="008F2995"/>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8F2995"/>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8F2995"/>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8F2995"/>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8F2995"/>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8F2995"/>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MediumList21">
    <w:name w:val="Medium List 21"/>
    <w:basedOn w:val="TableNormal"/>
    <w:uiPriority w:val="66"/>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8F2995"/>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MediumShading11">
    <w:name w:val="Medium Shading 11"/>
    <w:basedOn w:val="TableNormal"/>
    <w:uiPriority w:val="63"/>
    <w:rsid w:val="008F2995"/>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8F2995"/>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8F2995"/>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8F2995"/>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8F2995"/>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F2995"/>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8F2995"/>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MediumShading21">
    <w:name w:val="Medium Shading 21"/>
    <w:basedOn w:val="TableNormal"/>
    <w:uiPriority w:val="64"/>
    <w:rsid w:val="008F299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Shading2-Accent11">
    <w:name w:val="Medium Shading 2 - Accent 11"/>
    <w:basedOn w:val="TableNormal"/>
    <w:uiPriority w:val="64"/>
    <w:rsid w:val="008F299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8F299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8F299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8F299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8F299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8F2995"/>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8F2995"/>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F2995"/>
    <w:rPr>
      <w:rFonts w:asciiTheme="majorHAnsi" w:eastAsiaTheme="majorEastAsia" w:hAnsiTheme="majorHAnsi" w:cstheme="majorBidi"/>
      <w:sz w:val="24"/>
      <w:szCs w:val="24"/>
      <w:shd w:val="pct20" w:color="auto" w:fill="auto"/>
    </w:rPr>
  </w:style>
  <w:style w:type="paragraph" w:styleId="NoSpacing">
    <w:name w:val="No Spacing"/>
    <w:uiPriority w:val="19"/>
    <w:rsid w:val="008F2995"/>
    <w:pPr>
      <w:spacing w:after="0" w:line="240" w:lineRule="auto"/>
    </w:pPr>
  </w:style>
  <w:style w:type="paragraph" w:styleId="NormalWeb">
    <w:name w:val="Normal (Web)"/>
    <w:basedOn w:val="Normal"/>
    <w:uiPriority w:val="99"/>
    <w:semiHidden/>
    <w:unhideWhenUsed/>
    <w:rsid w:val="008F2995"/>
    <w:rPr>
      <w:rFonts w:ascii="Times New Roman" w:hAnsi="Times New Roman" w:cs="Times New Roman"/>
      <w:sz w:val="24"/>
      <w:szCs w:val="24"/>
    </w:rPr>
  </w:style>
  <w:style w:type="paragraph" w:styleId="NormalIndent">
    <w:name w:val="Normal Indent"/>
    <w:basedOn w:val="Normal"/>
    <w:uiPriority w:val="99"/>
    <w:semiHidden/>
    <w:unhideWhenUsed/>
    <w:rsid w:val="008F2995"/>
    <w:pPr>
      <w:ind w:left="720"/>
    </w:pPr>
  </w:style>
  <w:style w:type="paragraph" w:styleId="NoteHeading">
    <w:name w:val="Note Heading"/>
    <w:basedOn w:val="Normal"/>
    <w:next w:val="Normal"/>
    <w:link w:val="NoteHeadingChar"/>
    <w:uiPriority w:val="99"/>
    <w:semiHidden/>
    <w:unhideWhenUsed/>
    <w:rsid w:val="008F2995"/>
    <w:pPr>
      <w:spacing w:after="0" w:line="240" w:lineRule="auto"/>
    </w:pPr>
  </w:style>
  <w:style w:type="character" w:customStyle="1" w:styleId="NoteHeadingChar">
    <w:name w:val="Note Heading Char"/>
    <w:basedOn w:val="DefaultParagraphFont"/>
    <w:link w:val="NoteHeading"/>
    <w:uiPriority w:val="99"/>
    <w:semiHidden/>
    <w:rsid w:val="008F2995"/>
  </w:style>
  <w:style w:type="character" w:styleId="PageNumber">
    <w:name w:val="page number"/>
    <w:basedOn w:val="DefaultParagraphFont"/>
    <w:uiPriority w:val="99"/>
    <w:semiHidden/>
    <w:unhideWhenUsed/>
    <w:rsid w:val="008F2995"/>
  </w:style>
  <w:style w:type="character" w:styleId="PlaceholderText">
    <w:name w:val="Placeholder Text"/>
    <w:basedOn w:val="DefaultParagraphFont"/>
    <w:uiPriority w:val="99"/>
    <w:semiHidden/>
    <w:rsid w:val="008F2995"/>
    <w:rPr>
      <w:color w:val="808080"/>
    </w:rPr>
  </w:style>
  <w:style w:type="paragraph" w:styleId="PlainText">
    <w:name w:val="Plain Text"/>
    <w:basedOn w:val="Normal"/>
    <w:link w:val="PlainTextChar"/>
    <w:uiPriority w:val="99"/>
    <w:semiHidden/>
    <w:unhideWhenUsed/>
    <w:rsid w:val="008F2995"/>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8F2995"/>
    <w:rPr>
      <w:rFonts w:ascii="Consolas" w:hAnsi="Consolas" w:cs="Consolas"/>
      <w:sz w:val="21"/>
      <w:szCs w:val="21"/>
    </w:rPr>
  </w:style>
  <w:style w:type="paragraph" w:styleId="Salutation">
    <w:name w:val="Salutation"/>
    <w:basedOn w:val="Normal"/>
    <w:next w:val="Normal"/>
    <w:link w:val="SalutationChar"/>
    <w:uiPriority w:val="99"/>
    <w:semiHidden/>
    <w:unhideWhenUsed/>
    <w:rsid w:val="008F2995"/>
  </w:style>
  <w:style w:type="character" w:customStyle="1" w:styleId="SalutationChar">
    <w:name w:val="Salutation Char"/>
    <w:basedOn w:val="DefaultParagraphFont"/>
    <w:link w:val="Salutation"/>
    <w:uiPriority w:val="99"/>
    <w:semiHidden/>
    <w:rsid w:val="008F2995"/>
  </w:style>
  <w:style w:type="paragraph" w:styleId="Signature">
    <w:name w:val="Signature"/>
    <w:basedOn w:val="Normal"/>
    <w:link w:val="SignatureChar"/>
    <w:uiPriority w:val="99"/>
    <w:semiHidden/>
    <w:unhideWhenUsed/>
    <w:rsid w:val="008F2995"/>
    <w:pPr>
      <w:spacing w:after="0" w:line="240" w:lineRule="auto"/>
      <w:ind w:left="4320"/>
    </w:pPr>
  </w:style>
  <w:style w:type="character" w:customStyle="1" w:styleId="SignatureChar">
    <w:name w:val="Signature Char"/>
    <w:basedOn w:val="DefaultParagraphFont"/>
    <w:link w:val="Signature"/>
    <w:uiPriority w:val="99"/>
    <w:semiHidden/>
    <w:rsid w:val="008F2995"/>
  </w:style>
  <w:style w:type="character" w:styleId="Strong">
    <w:name w:val="Strong"/>
    <w:basedOn w:val="DefaultParagraphFont"/>
    <w:uiPriority w:val="19"/>
    <w:rsid w:val="008F2995"/>
    <w:rPr>
      <w:b/>
      <w:bCs/>
    </w:rPr>
  </w:style>
  <w:style w:type="paragraph" w:styleId="Subtitle">
    <w:name w:val="Subtitle"/>
    <w:basedOn w:val="Normal"/>
    <w:next w:val="Normal"/>
    <w:link w:val="SubtitleChar"/>
    <w:uiPriority w:val="19"/>
    <w:rsid w:val="008F299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9"/>
    <w:rsid w:val="008F2995"/>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rsid w:val="008F2995"/>
    <w:rPr>
      <w:i/>
      <w:iCs/>
      <w:color w:val="808080" w:themeColor="text1" w:themeTint="7F"/>
    </w:rPr>
  </w:style>
  <w:style w:type="character" w:styleId="SubtleReference">
    <w:name w:val="Subtle Reference"/>
    <w:basedOn w:val="DefaultParagraphFont"/>
    <w:uiPriority w:val="19"/>
    <w:rsid w:val="008F2995"/>
    <w:rPr>
      <w:smallCaps/>
      <w:color w:val="C0504D" w:themeColor="accent2"/>
      <w:u w:val="single"/>
    </w:rPr>
  </w:style>
  <w:style w:type="table" w:styleId="Table3Deffects1">
    <w:name w:val="Table 3D effects 1"/>
    <w:basedOn w:val="TableNormal"/>
    <w:uiPriority w:val="99"/>
    <w:semiHidden/>
    <w:unhideWhenUsed/>
    <w:rsid w:val="008F2995"/>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8F2995"/>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8F2995"/>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8F299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8F2995"/>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8F2995"/>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8F2995"/>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8F2995"/>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8F2995"/>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8F2995"/>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8F2995"/>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8F2995"/>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8F2995"/>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8F2995"/>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8F2995"/>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8F299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8F2995"/>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rsid w:val="008F299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8F2995"/>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8F2995"/>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8F2995"/>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8F2995"/>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8F2995"/>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8F2995"/>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8F2995"/>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8F2995"/>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8F2995"/>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8F2995"/>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8F2995"/>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8F2995"/>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8F2995"/>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8F2995"/>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8F2995"/>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8F2995"/>
    <w:pPr>
      <w:spacing w:after="0"/>
      <w:ind w:left="220" w:hanging="220"/>
    </w:pPr>
  </w:style>
  <w:style w:type="paragraph" w:styleId="TableofFigures">
    <w:name w:val="table of figures"/>
    <w:basedOn w:val="Normal"/>
    <w:next w:val="Normal"/>
    <w:uiPriority w:val="99"/>
    <w:semiHidden/>
    <w:unhideWhenUsed/>
    <w:rsid w:val="008F2995"/>
    <w:pPr>
      <w:spacing w:after="0"/>
    </w:pPr>
  </w:style>
  <w:style w:type="table" w:styleId="TableProfessional">
    <w:name w:val="Table Professional"/>
    <w:basedOn w:val="TableNormal"/>
    <w:uiPriority w:val="99"/>
    <w:semiHidden/>
    <w:unhideWhenUsed/>
    <w:rsid w:val="008F2995"/>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8F2995"/>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8F2995"/>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8F2995"/>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8F2995"/>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8F2995"/>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8F29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unhideWhenUsed/>
    <w:rsid w:val="008F2995"/>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8F2995"/>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8F2995"/>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8F2995"/>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8F2995"/>
    <w:pPr>
      <w:spacing w:after="100"/>
    </w:pPr>
  </w:style>
  <w:style w:type="paragraph" w:styleId="TOC2">
    <w:name w:val="toc 2"/>
    <w:basedOn w:val="Normal"/>
    <w:next w:val="Normal"/>
    <w:autoRedefine/>
    <w:uiPriority w:val="39"/>
    <w:semiHidden/>
    <w:unhideWhenUsed/>
    <w:rsid w:val="008F2995"/>
    <w:pPr>
      <w:spacing w:after="100"/>
      <w:ind w:left="220"/>
    </w:pPr>
  </w:style>
  <w:style w:type="paragraph" w:styleId="TOC3">
    <w:name w:val="toc 3"/>
    <w:basedOn w:val="Normal"/>
    <w:next w:val="Normal"/>
    <w:autoRedefine/>
    <w:uiPriority w:val="39"/>
    <w:semiHidden/>
    <w:unhideWhenUsed/>
    <w:rsid w:val="008F2995"/>
    <w:pPr>
      <w:spacing w:after="100"/>
      <w:ind w:left="440"/>
    </w:pPr>
  </w:style>
  <w:style w:type="paragraph" w:styleId="TOC4">
    <w:name w:val="toc 4"/>
    <w:basedOn w:val="Normal"/>
    <w:next w:val="Normal"/>
    <w:autoRedefine/>
    <w:uiPriority w:val="39"/>
    <w:semiHidden/>
    <w:unhideWhenUsed/>
    <w:rsid w:val="008F2995"/>
    <w:pPr>
      <w:spacing w:after="100"/>
      <w:ind w:left="660"/>
    </w:pPr>
  </w:style>
  <w:style w:type="paragraph" w:styleId="TOC5">
    <w:name w:val="toc 5"/>
    <w:basedOn w:val="Normal"/>
    <w:next w:val="Normal"/>
    <w:autoRedefine/>
    <w:uiPriority w:val="39"/>
    <w:semiHidden/>
    <w:unhideWhenUsed/>
    <w:rsid w:val="008F2995"/>
    <w:pPr>
      <w:spacing w:after="100"/>
      <w:ind w:left="880"/>
    </w:pPr>
  </w:style>
  <w:style w:type="paragraph" w:styleId="TOC6">
    <w:name w:val="toc 6"/>
    <w:basedOn w:val="Normal"/>
    <w:next w:val="Normal"/>
    <w:autoRedefine/>
    <w:uiPriority w:val="39"/>
    <w:semiHidden/>
    <w:unhideWhenUsed/>
    <w:rsid w:val="008F2995"/>
    <w:pPr>
      <w:spacing w:after="100"/>
      <w:ind w:left="1100"/>
    </w:pPr>
  </w:style>
  <w:style w:type="paragraph" w:styleId="TOC7">
    <w:name w:val="toc 7"/>
    <w:basedOn w:val="Normal"/>
    <w:next w:val="Normal"/>
    <w:autoRedefine/>
    <w:uiPriority w:val="39"/>
    <w:semiHidden/>
    <w:unhideWhenUsed/>
    <w:rsid w:val="008F2995"/>
    <w:pPr>
      <w:spacing w:after="100"/>
      <w:ind w:left="1320"/>
    </w:pPr>
  </w:style>
  <w:style w:type="paragraph" w:styleId="TOC8">
    <w:name w:val="toc 8"/>
    <w:basedOn w:val="Normal"/>
    <w:next w:val="Normal"/>
    <w:autoRedefine/>
    <w:uiPriority w:val="39"/>
    <w:semiHidden/>
    <w:unhideWhenUsed/>
    <w:rsid w:val="008F2995"/>
    <w:pPr>
      <w:spacing w:after="100"/>
      <w:ind w:left="1540"/>
    </w:pPr>
  </w:style>
  <w:style w:type="paragraph" w:styleId="TOC9">
    <w:name w:val="toc 9"/>
    <w:basedOn w:val="Normal"/>
    <w:next w:val="Normal"/>
    <w:autoRedefine/>
    <w:uiPriority w:val="39"/>
    <w:semiHidden/>
    <w:unhideWhenUsed/>
    <w:rsid w:val="008F2995"/>
    <w:pPr>
      <w:spacing w:after="100"/>
      <w:ind w:left="1760"/>
    </w:pPr>
  </w:style>
  <w:style w:type="paragraph" w:styleId="TOCHeading">
    <w:name w:val="TOC Heading"/>
    <w:basedOn w:val="Heading1"/>
    <w:next w:val="Normal"/>
    <w:uiPriority w:val="39"/>
    <w:semiHidden/>
    <w:unhideWhenUsed/>
    <w:qFormat/>
    <w:rsid w:val="008F2995"/>
    <w:pPr>
      <w:numPr>
        <w:numId w:val="0"/>
      </w:numPr>
      <w:outlineLvl w:val="9"/>
    </w:pPr>
  </w:style>
  <w:style w:type="paragraph" w:customStyle="1" w:styleId="LRH">
    <w:name w:val="LRH"/>
    <w:basedOn w:val="Header"/>
    <w:uiPriority w:val="99"/>
    <w:qFormat/>
    <w:rsid w:val="00D9726B"/>
    <w:rPr>
      <w:sz w:val="20"/>
      <w:szCs w:val="20"/>
    </w:rPr>
  </w:style>
  <w:style w:type="paragraph" w:customStyle="1" w:styleId="RRH">
    <w:name w:val="RRH"/>
    <w:basedOn w:val="Header"/>
    <w:uiPriority w:val="99"/>
    <w:qFormat/>
    <w:rsid w:val="000C7DBE"/>
    <w:rPr>
      <w:sz w:val="20"/>
      <w:szCs w:val="20"/>
    </w:rPr>
  </w:style>
  <w:style w:type="character" w:customStyle="1" w:styleId="Folio">
    <w:name w:val="Folio"/>
    <w:basedOn w:val="DefaultParagraphFont"/>
    <w:uiPriority w:val="1"/>
    <w:rsid w:val="00041AD0"/>
    <w:rPr>
      <w:rFonts w:ascii="Gill Sans" w:hAnsi="Gill Sans"/>
    </w:rPr>
  </w:style>
  <w:style w:type="paragraph" w:customStyle="1" w:styleId="TCHR">
    <w:name w:val="TCH_R"/>
    <w:basedOn w:val="Normal"/>
    <w:uiPriority w:val="19"/>
    <w:rsid w:val="00035F76"/>
    <w:pPr>
      <w:pBdr>
        <w:top w:val="single" w:sz="4" w:space="1" w:color="auto"/>
        <w:bottom w:val="single" w:sz="4" w:space="1" w:color="auto"/>
      </w:pBdr>
      <w:spacing w:before="20" w:after="20" w:line="240" w:lineRule="exact"/>
    </w:pPr>
    <w:rPr>
      <w:rFonts w:ascii="Gill Sans" w:eastAsia="Times New Roman" w:hAnsi="Gill Sans" w:cs="Times New Roman"/>
      <w:color w:val="000000" w:themeColor="text1"/>
      <w:sz w:val="18"/>
      <w:szCs w:val="24"/>
    </w:rPr>
  </w:style>
  <w:style w:type="character" w:customStyle="1" w:styleId="AFChar">
    <w:name w:val="AF Char"/>
    <w:link w:val="AF"/>
    <w:locked/>
    <w:rsid w:val="00D82CEE"/>
    <w:rPr>
      <w:rFonts w:ascii="Gill Sans" w:eastAsia="Times New Roman" w:hAnsi="Gill Sans" w:cs="Times New Roman"/>
      <w:color w:val="000000" w:themeColor="text1"/>
      <w:sz w:val="16"/>
      <w:szCs w:val="24"/>
    </w:rPr>
  </w:style>
  <w:style w:type="character" w:customStyle="1" w:styleId="EHChar">
    <w:name w:val="EH Char"/>
    <w:link w:val="EH"/>
    <w:locked/>
    <w:rsid w:val="00D82CEE"/>
    <w:rPr>
      <w:rFonts w:ascii="Gill Sans" w:eastAsia="Times New Roman" w:hAnsi="Gill Sans" w:cs="Times New Roman"/>
      <w:b/>
      <w:color w:val="000000" w:themeColor="text1"/>
      <w:sz w:val="20"/>
      <w:szCs w:val="24"/>
    </w:rPr>
  </w:style>
  <w:style w:type="paragraph" w:customStyle="1" w:styleId="IN">
    <w:name w:val="IN"/>
    <w:basedOn w:val="Normal"/>
    <w:uiPriority w:val="99"/>
    <w:rsid w:val="00D82CEE"/>
    <w:pPr>
      <w:spacing w:after="0" w:line="240" w:lineRule="auto"/>
    </w:pPr>
    <w:rPr>
      <w:rFonts w:ascii="Times New Roman" w:eastAsia="Times New Roman" w:hAnsi="Times New Roman" w:cs="Times New Roman"/>
      <w:sz w:val="24"/>
      <w:szCs w:val="24"/>
    </w:rPr>
  </w:style>
  <w:style w:type="paragraph" w:customStyle="1" w:styleId="INFL">
    <w:name w:val="IN FL"/>
    <w:basedOn w:val="Normal"/>
    <w:uiPriority w:val="99"/>
    <w:rsid w:val="00D82CEE"/>
    <w:pPr>
      <w:spacing w:after="0" w:line="240" w:lineRule="auto"/>
    </w:pPr>
    <w:rPr>
      <w:rFonts w:ascii="Times New Roman" w:eastAsia="Times New Roman" w:hAnsi="Times New Roman" w:cs="Times New Roman"/>
      <w:sz w:val="24"/>
      <w:szCs w:val="24"/>
    </w:rPr>
  </w:style>
  <w:style w:type="paragraph" w:customStyle="1" w:styleId="OPIN">
    <w:name w:val="OP IN"/>
    <w:basedOn w:val="Normal"/>
    <w:uiPriority w:val="99"/>
    <w:rsid w:val="00D82CEE"/>
    <w:pPr>
      <w:spacing w:after="0" w:line="240" w:lineRule="auto"/>
    </w:pPr>
    <w:rPr>
      <w:rFonts w:ascii="Times New Roman" w:eastAsia="Times New Roman" w:hAnsi="Times New Roman" w:cs="Times New Roman"/>
      <w:sz w:val="24"/>
      <w:szCs w:val="24"/>
    </w:rPr>
  </w:style>
  <w:style w:type="paragraph" w:customStyle="1" w:styleId="OUT">
    <w:name w:val="OUT"/>
    <w:basedOn w:val="Normal"/>
    <w:uiPriority w:val="99"/>
    <w:rsid w:val="00D82CEE"/>
    <w:pPr>
      <w:spacing w:after="0" w:line="240" w:lineRule="auto"/>
    </w:pPr>
    <w:rPr>
      <w:rFonts w:ascii="Times New Roman" w:eastAsia="Times New Roman" w:hAnsi="Times New Roman" w:cs="Times New Roman"/>
      <w:sz w:val="24"/>
      <w:szCs w:val="24"/>
    </w:rPr>
  </w:style>
  <w:style w:type="paragraph" w:customStyle="1" w:styleId="OUTFL">
    <w:name w:val="OUT FL"/>
    <w:basedOn w:val="Normal"/>
    <w:uiPriority w:val="99"/>
    <w:rsid w:val="00D82CEE"/>
    <w:pPr>
      <w:spacing w:after="0" w:line="240" w:lineRule="auto"/>
    </w:pPr>
    <w:rPr>
      <w:rFonts w:ascii="Times New Roman" w:eastAsia="Times New Roman" w:hAnsi="Times New Roman" w:cs="Times New Roman"/>
      <w:sz w:val="24"/>
      <w:szCs w:val="24"/>
    </w:rPr>
  </w:style>
  <w:style w:type="paragraph" w:customStyle="1" w:styleId="OUTIN">
    <w:name w:val="OUT IN"/>
    <w:basedOn w:val="Normal"/>
    <w:uiPriority w:val="99"/>
    <w:rsid w:val="00D82CEE"/>
    <w:pPr>
      <w:spacing w:after="0" w:line="240" w:lineRule="auto"/>
    </w:pPr>
    <w:rPr>
      <w:rFonts w:ascii="Times New Roman" w:eastAsia="Times New Roman" w:hAnsi="Times New Roman" w:cs="Times New Roman"/>
      <w:sz w:val="24"/>
      <w:szCs w:val="24"/>
    </w:rPr>
  </w:style>
  <w:style w:type="paragraph" w:customStyle="1" w:styleId="OUTINFL">
    <w:name w:val="OUT IN FL"/>
    <w:basedOn w:val="Normal"/>
    <w:uiPriority w:val="99"/>
    <w:rsid w:val="00D82CEE"/>
    <w:pPr>
      <w:spacing w:after="0" w:line="240" w:lineRule="auto"/>
    </w:pPr>
    <w:rPr>
      <w:rFonts w:ascii="Times New Roman" w:eastAsia="Times New Roman" w:hAnsi="Times New Roman" w:cs="Times New Roman"/>
      <w:sz w:val="24"/>
      <w:szCs w:val="24"/>
    </w:rPr>
  </w:style>
  <w:style w:type="paragraph" w:customStyle="1" w:styleId="RefNumDouble">
    <w:name w:val="Ref Num Double"/>
    <w:basedOn w:val="Normal"/>
    <w:uiPriority w:val="99"/>
    <w:rsid w:val="00D82CEE"/>
    <w:pPr>
      <w:spacing w:after="0" w:line="240" w:lineRule="auto"/>
    </w:pPr>
    <w:rPr>
      <w:rFonts w:ascii="Times New Roman" w:eastAsia="Times New Roman" w:hAnsi="Times New Roman" w:cs="Times New Roman"/>
      <w:sz w:val="24"/>
      <w:szCs w:val="24"/>
    </w:rPr>
  </w:style>
  <w:style w:type="paragraph" w:customStyle="1" w:styleId="RefNumSingle">
    <w:name w:val="Ref Num Single"/>
    <w:basedOn w:val="Normal"/>
    <w:uiPriority w:val="99"/>
    <w:rsid w:val="00D82CEE"/>
    <w:pPr>
      <w:spacing w:after="0" w:line="240" w:lineRule="auto"/>
    </w:pPr>
    <w:rPr>
      <w:rFonts w:ascii="Times New Roman" w:eastAsia="Times New Roman" w:hAnsi="Times New Roman" w:cs="Times New Roman"/>
      <w:sz w:val="24"/>
      <w:szCs w:val="24"/>
    </w:rPr>
  </w:style>
  <w:style w:type="paragraph" w:customStyle="1" w:styleId="SUBNL">
    <w:name w:val="SUB NL"/>
    <w:uiPriority w:val="99"/>
    <w:qFormat/>
    <w:rsid w:val="00D82CEE"/>
    <w:pPr>
      <w:spacing w:after="0" w:line="240" w:lineRule="auto"/>
    </w:pPr>
    <w:rPr>
      <w:rFonts w:ascii="Times New Roman" w:eastAsia="Times New Roman" w:hAnsi="Times New Roman" w:cs="Times New Roman"/>
      <w:color w:val="666633"/>
      <w:sz w:val="24"/>
      <w:szCs w:val="24"/>
    </w:rPr>
  </w:style>
  <w:style w:type="paragraph" w:customStyle="1" w:styleId="SUBBL">
    <w:name w:val="SUB BL"/>
    <w:next w:val="BL"/>
    <w:uiPriority w:val="99"/>
    <w:qFormat/>
    <w:rsid w:val="00D82CEE"/>
    <w:pPr>
      <w:spacing w:after="0" w:line="240" w:lineRule="auto"/>
    </w:pPr>
    <w:rPr>
      <w:rFonts w:ascii="Times New Roman" w:eastAsia="Times New Roman" w:hAnsi="Times New Roman" w:cs="Times New Roman"/>
      <w:color w:val="666633"/>
      <w:sz w:val="24"/>
      <w:szCs w:val="24"/>
    </w:rPr>
  </w:style>
  <w:style w:type="paragraph" w:customStyle="1" w:styleId="TSUBNL">
    <w:name w:val="TSUBNL"/>
    <w:uiPriority w:val="99"/>
    <w:qFormat/>
    <w:rsid w:val="00D82CEE"/>
    <w:pPr>
      <w:spacing w:after="0" w:line="240" w:lineRule="auto"/>
    </w:pPr>
    <w:rPr>
      <w:rFonts w:ascii="Times New Roman" w:eastAsia="Times New Roman" w:hAnsi="Times New Roman" w:cs="Times New Roman"/>
      <w:color w:val="666633"/>
      <w:sz w:val="24"/>
      <w:szCs w:val="24"/>
    </w:rPr>
  </w:style>
  <w:style w:type="paragraph" w:customStyle="1" w:styleId="TSUBBL">
    <w:name w:val="TSUBBL"/>
    <w:uiPriority w:val="99"/>
    <w:qFormat/>
    <w:rsid w:val="00D82CEE"/>
    <w:pPr>
      <w:spacing w:after="0" w:line="240" w:lineRule="auto"/>
    </w:pPr>
    <w:rPr>
      <w:rFonts w:ascii="Times New Roman" w:eastAsia="Times New Roman" w:hAnsi="Times New Roman" w:cs="Times New Roman"/>
      <w:color w:val="666633"/>
      <w:sz w:val="24"/>
      <w:szCs w:val="24"/>
    </w:rPr>
  </w:style>
</w:styles>
</file>

<file path=word/webSettings.xml><?xml version="1.0" encoding="utf-8"?>
<w:webSettings xmlns:r="http://schemas.openxmlformats.org/officeDocument/2006/relationships" xmlns:w="http://schemas.openxmlformats.org/wordprocessingml/2006/main">
  <w:divs>
    <w:div w:id="2063095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image" Target="media/image6.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5.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eader" Target="header1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eader" Target="header10.xml"/><Relationship Id="rId10" Type="http://schemas.openxmlformats.org/officeDocument/2006/relationships/image" Target="media/image1.png"/><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header" Target="header9.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commands>
    <command idMso="FileSaveAs" enabled="false"/>
    <command idMso="FileSaveAsWord97_2003" enabled="false"/>
    <command idMso="FileSaveAsOtherFormats" enabled="false"/>
    <command idMso="FileSaveAsWordDocx" enabled="false"/>
    <command idMso="FileSaveAsWordDotx" enabled="false"/>
    <command idMso="FileSaveAsHtml" enabled="false"/>
    <command idMso="FileSaveAsWebPage" enabled="false"/>
    <command idMso="FileSaveAsPdfOrXps" enabled="false"/>
    <command idMso="FileSaveAsWordOpenDocumentText" enabled="false"/>
    <command idMso="FileSaveAsMenu" enabled="false"/>
    <command idMso="FileSendMenu" enabled="false"/>
    <command idMso="SelectAll" enabled="false"/>
  </commands>
</customUI>
</file>

<file path=customUI/customUI14.xml><?xml version="1.0" encoding="utf-8"?>
<customUI xmlns="http://schemas.microsoft.com/office/2009/07/customui">
  <commands>
    <command idMso="FileSaveAs" enabled="false"/>
    <command idMso="SelectAll" enabled="false"/>
  </commands>
  <backstage>
    <tab idMso="TabSave" visible="false"/>
    <tab idMso="TabShare" visible="false"/>
    <tab idMso="TabPublish" visible="false"/>
  </backstage>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51DDDC-F66C-4902-8C51-99FF95779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13</Pages>
  <Words>5626</Words>
  <Characters>32070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senthil</dc:creator>
  <cp:lastModifiedBy>sarojini_cm306</cp:lastModifiedBy>
  <cp:revision>75</cp:revision>
  <cp:lastPrinted>2013-07-10T10:32:00Z</cp:lastPrinted>
  <dcterms:created xsi:type="dcterms:W3CDTF">2016-09-27T10:27:00Z</dcterms:created>
  <dcterms:modified xsi:type="dcterms:W3CDTF">2016-09-27T11:50:00Z</dcterms:modified>
</cp:coreProperties>
</file>