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7C" w:rsidRPr="00BD420A" w:rsidRDefault="00097A7C" w:rsidP="00097A7C">
      <w:pPr>
        <w:rPr>
          <w:b/>
          <w:sz w:val="28"/>
          <w:szCs w:val="28"/>
        </w:rPr>
      </w:pPr>
      <w:r w:rsidRPr="00BD420A">
        <w:rPr>
          <w:b/>
          <w:sz w:val="28"/>
          <w:szCs w:val="28"/>
        </w:rPr>
        <w:t xml:space="preserve">True resistant hypertension following observed drug ingestion: </w:t>
      </w:r>
      <w:r>
        <w:rPr>
          <w:b/>
          <w:sz w:val="28"/>
          <w:szCs w:val="28"/>
        </w:rPr>
        <w:t>a</w:t>
      </w:r>
      <w:r w:rsidRPr="00BD420A">
        <w:rPr>
          <w:b/>
          <w:sz w:val="28"/>
          <w:szCs w:val="28"/>
        </w:rPr>
        <w:t xml:space="preserve"> systematic evaluation</w:t>
      </w:r>
    </w:p>
    <w:p w:rsidR="00097A7C" w:rsidRDefault="00097A7C" w:rsidP="00097A7C">
      <w:pPr>
        <w:spacing w:line="480" w:lineRule="auto"/>
        <w:rPr>
          <w:b/>
        </w:rPr>
      </w:pPr>
    </w:p>
    <w:p w:rsidR="00097A7C" w:rsidRDefault="00097A7C" w:rsidP="00097A7C"/>
    <w:p w:rsidR="00097A7C" w:rsidRDefault="00097A7C" w:rsidP="00097A7C"/>
    <w:p w:rsidR="00097A7C" w:rsidRDefault="00097A7C" w:rsidP="00097A7C"/>
    <w:p w:rsidR="00097A7C" w:rsidRDefault="00097A7C" w:rsidP="00097A7C"/>
    <w:p w:rsidR="00097A7C" w:rsidRPr="00012508" w:rsidRDefault="00097A7C" w:rsidP="00097A7C">
      <w:pPr>
        <w:rPr>
          <w:vertAlign w:val="superscript"/>
        </w:rPr>
      </w:pPr>
      <w:r w:rsidRPr="00012508">
        <w:t>Jill Bunker</w:t>
      </w:r>
      <w:r>
        <w:t>, MSc</w:t>
      </w:r>
      <w:proofErr w:type="gramStart"/>
      <w:r>
        <w:t>,</w:t>
      </w:r>
      <w:r w:rsidRPr="00012508">
        <w:rPr>
          <w:vertAlign w:val="superscript"/>
        </w:rPr>
        <w:t>2</w:t>
      </w:r>
      <w:proofErr w:type="gramEnd"/>
      <w:r>
        <w:rPr>
          <w:vertAlign w:val="superscript"/>
        </w:rPr>
        <w:t xml:space="preserve"> </w:t>
      </w:r>
      <w:r w:rsidRPr="00012508">
        <w:t xml:space="preserve"> Choon-Lan Chang</w:t>
      </w:r>
      <w:r>
        <w:t>, PhD,</w:t>
      </w:r>
      <w:r w:rsidRPr="00012508">
        <w:rPr>
          <w:vertAlign w:val="superscript"/>
        </w:rPr>
        <w:t>1</w:t>
      </w:r>
      <w:r w:rsidRPr="00012508">
        <w:t xml:space="preserve"> Neil Chapman</w:t>
      </w:r>
      <w:r>
        <w:t>, FRCP,</w:t>
      </w:r>
      <w:r w:rsidRPr="00012508">
        <w:rPr>
          <w:vertAlign w:val="superscript"/>
        </w:rPr>
        <w:t>2</w:t>
      </w:r>
      <w:r>
        <w:rPr>
          <w:vertAlign w:val="superscript"/>
        </w:rPr>
        <w:t xml:space="preserve">  </w:t>
      </w:r>
      <w:r w:rsidRPr="00012508">
        <w:t xml:space="preserve"> Neil Poulter</w:t>
      </w:r>
      <w:r>
        <w:t>, FMedSci,</w:t>
      </w:r>
      <w:r>
        <w:rPr>
          <w:vertAlign w:val="superscript"/>
        </w:rPr>
        <w:t>3</w:t>
      </w:r>
      <w:r w:rsidRPr="00012508">
        <w:t xml:space="preserve"> Simon Thom</w:t>
      </w:r>
      <w:r>
        <w:t>, FRCP,</w:t>
      </w:r>
      <w:r w:rsidRPr="00C0033C">
        <w:rPr>
          <w:vertAlign w:val="superscript"/>
        </w:rPr>
        <w:t>1</w:t>
      </w:r>
      <w:r>
        <w:t xml:space="preserve"> Lucy Thornton-Jones, BSc,</w:t>
      </w:r>
      <w:r w:rsidRPr="00583080">
        <w:rPr>
          <w:vertAlign w:val="superscript"/>
        </w:rPr>
        <w:t>2</w:t>
      </w:r>
      <w:r>
        <w:rPr>
          <w:i/>
          <w:vertAlign w:val="superscript"/>
        </w:rPr>
        <w:t xml:space="preserve"> </w:t>
      </w:r>
      <w:r w:rsidRPr="00012508">
        <w:t xml:space="preserve"> Peter Sever</w:t>
      </w:r>
      <w:r>
        <w:t>, FRCP,</w:t>
      </w:r>
      <w:r w:rsidRPr="00012508">
        <w:rPr>
          <w:vertAlign w:val="superscript"/>
        </w:rPr>
        <w:t>1</w:t>
      </w:r>
    </w:p>
    <w:p w:rsidR="00097A7C" w:rsidRDefault="00097A7C" w:rsidP="00097A7C"/>
    <w:p w:rsidR="00097A7C" w:rsidRPr="004A6CEC" w:rsidRDefault="00097A7C" w:rsidP="00097A7C">
      <w:r>
        <w:t>International Centre for Circulatory Health, National Heart and Lung Institute, Imperial College London - Hammersmith Campus, Translational and Experimental Medicine Building</w:t>
      </w:r>
      <w:proofErr w:type="gramStart"/>
      <w:r>
        <w:t>,  Du</w:t>
      </w:r>
      <w:proofErr w:type="gramEnd"/>
      <w:r>
        <w:t xml:space="preserve"> Cane Road, London W12 ONN, UK</w:t>
      </w:r>
      <w:r>
        <w:rPr>
          <w:vertAlign w:val="superscript"/>
        </w:rPr>
        <w:t>1</w:t>
      </w:r>
      <w:r>
        <w:rPr>
          <w:vertAlign w:val="subscript"/>
        </w:rPr>
        <w:t xml:space="preserve">, </w:t>
      </w:r>
      <w:bookmarkStart w:id="0" w:name="_GoBack"/>
      <w:bookmarkEnd w:id="0"/>
      <w:r>
        <w:t xml:space="preserve"> Imperial College Healthcare NHS Trust, International Centre for Circulatory Health, Hammersmith Hospital , Du Cane Road, London W12 ONN, UK.</w:t>
      </w:r>
      <w:r>
        <w:rPr>
          <w:vertAlign w:val="superscript"/>
        </w:rPr>
        <w:t xml:space="preserve">2 </w:t>
      </w:r>
      <w:r w:rsidRPr="00B72821">
        <w:t xml:space="preserve">Imperial Clinical </w:t>
      </w:r>
      <w:r>
        <w:t>T</w:t>
      </w:r>
      <w:r w:rsidRPr="004A6CEC">
        <w:t>rials Unit</w:t>
      </w:r>
      <w:r>
        <w:t>, Imperial College London, Stadium House, 68 Wood Lane, London W12 7RH, UK</w:t>
      </w:r>
      <w:r>
        <w:rPr>
          <w:vertAlign w:val="superscript"/>
        </w:rPr>
        <w:t>3</w:t>
      </w:r>
      <w:r>
        <w:t xml:space="preserve"> </w:t>
      </w:r>
    </w:p>
    <w:p w:rsidR="00097A7C" w:rsidRDefault="00097A7C" w:rsidP="00097A7C">
      <w:pPr>
        <w:spacing w:line="480" w:lineRule="auto"/>
        <w:rPr>
          <w:b/>
        </w:rPr>
      </w:pPr>
    </w:p>
    <w:p w:rsidR="00097A7C" w:rsidRDefault="00097A7C" w:rsidP="00097A7C">
      <w:pPr>
        <w:spacing w:line="480" w:lineRule="auto"/>
        <w:rPr>
          <w:b/>
        </w:rPr>
      </w:pPr>
    </w:p>
    <w:p w:rsidR="00097A7C" w:rsidRDefault="00097A7C" w:rsidP="00097A7C">
      <w:pPr>
        <w:spacing w:line="480" w:lineRule="auto"/>
        <w:rPr>
          <w:b/>
        </w:rPr>
      </w:pPr>
    </w:p>
    <w:p w:rsidR="00097A7C" w:rsidRDefault="00097A7C" w:rsidP="00097A7C">
      <w:r>
        <w:rPr>
          <w:b/>
        </w:rPr>
        <w:t xml:space="preserve">Corresponding Author:  </w:t>
      </w:r>
      <w:r>
        <w:t>Professor Peter Sever, International Centre for Circulatory Health, National Heart and Lung Institute, Imperial College London - Hammersmith Campus, Translational and Experimental Medicine Building, Du Cane Road, London W12 ONN, UK.</w:t>
      </w:r>
    </w:p>
    <w:p w:rsidR="00097A7C" w:rsidRDefault="00097A7C" w:rsidP="00097A7C">
      <w:r>
        <w:t xml:space="preserve">Email: </w:t>
      </w:r>
      <w:hyperlink r:id="rId8" w:history="1">
        <w:r w:rsidRPr="005A4285">
          <w:rPr>
            <w:rStyle w:val="Hyperlink"/>
          </w:rPr>
          <w:t>p.sever@imperial.ac.uk</w:t>
        </w:r>
      </w:hyperlink>
    </w:p>
    <w:p w:rsidR="00097A7C" w:rsidRDefault="00097A7C" w:rsidP="00097A7C">
      <w:r>
        <w:t>Tel: +44 (0)207 594 1100</w:t>
      </w:r>
    </w:p>
    <w:p w:rsidR="00097A7C" w:rsidRDefault="00097A7C" w:rsidP="00097A7C"/>
    <w:p w:rsidR="00097A7C" w:rsidRDefault="00097A7C" w:rsidP="00097A7C"/>
    <w:p w:rsidR="00097A7C" w:rsidRDefault="00097A7C" w:rsidP="00097A7C">
      <w:pPr>
        <w:rPr>
          <w:b/>
        </w:rPr>
      </w:pPr>
      <w:r>
        <w:rPr>
          <w:b/>
        </w:rPr>
        <w:t>Key Words</w:t>
      </w:r>
    </w:p>
    <w:p w:rsidR="00097A7C" w:rsidRDefault="00097A7C" w:rsidP="00097A7C">
      <w:r>
        <w:t>Resistant hypertension, observed drug ingestion, medicine adherence</w:t>
      </w:r>
    </w:p>
    <w:p w:rsidR="00097A7C" w:rsidRDefault="00097A7C" w:rsidP="00097A7C">
      <w:pPr>
        <w:rPr>
          <w:b/>
        </w:rPr>
      </w:pPr>
    </w:p>
    <w:p w:rsidR="00097A7C" w:rsidRDefault="00097A7C" w:rsidP="00097A7C">
      <w:pPr>
        <w:rPr>
          <w:b/>
        </w:rPr>
      </w:pPr>
    </w:p>
    <w:p w:rsidR="00097A7C" w:rsidRDefault="00097A7C" w:rsidP="00097A7C">
      <w:pPr>
        <w:rPr>
          <w:b/>
        </w:rPr>
      </w:pPr>
      <w:r w:rsidRPr="00E27B39">
        <w:rPr>
          <w:b/>
        </w:rPr>
        <w:t xml:space="preserve">Word </w:t>
      </w:r>
      <w:r>
        <w:rPr>
          <w:b/>
        </w:rPr>
        <w:t>C</w:t>
      </w:r>
      <w:r w:rsidRPr="00E27B39">
        <w:rPr>
          <w:b/>
        </w:rPr>
        <w:t>ount</w:t>
      </w:r>
    </w:p>
    <w:p w:rsidR="00097A7C" w:rsidRDefault="00097A7C" w:rsidP="00097A7C">
      <w:r>
        <w:t>2258 (text)</w:t>
      </w:r>
    </w:p>
    <w:p w:rsidR="00097A7C" w:rsidRDefault="00097A7C" w:rsidP="00097A7C"/>
    <w:p w:rsidR="00097A7C" w:rsidRDefault="00097A7C" w:rsidP="00097A7C">
      <w:pPr>
        <w:rPr>
          <w:b/>
        </w:rPr>
      </w:pPr>
    </w:p>
    <w:p w:rsidR="00097A7C" w:rsidRDefault="00097A7C" w:rsidP="00097A7C">
      <w:pPr>
        <w:rPr>
          <w:b/>
        </w:rPr>
      </w:pPr>
      <w:r>
        <w:rPr>
          <w:b/>
        </w:rPr>
        <w:t>Running Title</w:t>
      </w:r>
    </w:p>
    <w:p w:rsidR="00097A7C" w:rsidRPr="00583080" w:rsidRDefault="00097A7C" w:rsidP="00097A7C">
      <w:r w:rsidRPr="00583080">
        <w:t>Drug compliance in resistant hypertension</w:t>
      </w:r>
    </w:p>
    <w:p w:rsidR="00097A7C" w:rsidRDefault="00097A7C" w:rsidP="00097A7C"/>
    <w:p w:rsidR="00097A7C" w:rsidRPr="00E27B39" w:rsidRDefault="00097A7C" w:rsidP="00097A7C"/>
    <w:p w:rsidR="00097A7C" w:rsidRDefault="00097A7C" w:rsidP="00097A7C">
      <w:pPr>
        <w:rPr>
          <w:b/>
        </w:rPr>
      </w:pPr>
    </w:p>
    <w:p w:rsidR="00097A7C" w:rsidRDefault="00097A7C" w:rsidP="00097A7C">
      <w:pPr>
        <w:spacing w:line="480" w:lineRule="auto"/>
        <w:rPr>
          <w:b/>
        </w:rPr>
      </w:pPr>
    </w:p>
    <w:p w:rsidR="00097A7C" w:rsidRDefault="00097A7C" w:rsidP="00097A7C">
      <w:pPr>
        <w:rPr>
          <w:b/>
        </w:rPr>
      </w:pPr>
      <w:r>
        <w:rPr>
          <w:b/>
        </w:rPr>
        <w:br w:type="page"/>
      </w:r>
    </w:p>
    <w:p w:rsidR="00097A7C" w:rsidRDefault="00097A7C" w:rsidP="00097A7C">
      <w:pPr>
        <w:spacing w:line="480" w:lineRule="auto"/>
        <w:rPr>
          <w:b/>
        </w:rPr>
      </w:pPr>
      <w:r>
        <w:rPr>
          <w:b/>
        </w:rPr>
        <w:lastRenderedPageBreak/>
        <w:t>Abstract</w:t>
      </w:r>
    </w:p>
    <w:p w:rsidR="00097A7C" w:rsidRPr="003872A6" w:rsidRDefault="00097A7C" w:rsidP="00097A7C">
      <w:pPr>
        <w:spacing w:line="480" w:lineRule="auto"/>
        <w:rPr>
          <w:b/>
        </w:rPr>
      </w:pPr>
      <w:r w:rsidRPr="003872A6">
        <w:rPr>
          <w:b/>
        </w:rPr>
        <w:t>Aims</w:t>
      </w:r>
    </w:p>
    <w:p w:rsidR="00097A7C" w:rsidRDefault="00097A7C" w:rsidP="00097A7C">
      <w:pPr>
        <w:spacing w:line="480" w:lineRule="auto"/>
      </w:pPr>
      <w:r>
        <w:t>Treatment resistant hypertension is common.  We investigated what proportion of such patients resulted from poor drug adherence.</w:t>
      </w:r>
    </w:p>
    <w:p w:rsidR="00097A7C" w:rsidRDefault="00097A7C" w:rsidP="00097A7C">
      <w:pPr>
        <w:spacing w:line="480" w:lineRule="auto"/>
      </w:pPr>
    </w:p>
    <w:p w:rsidR="00097A7C" w:rsidRPr="003872A6" w:rsidRDefault="00097A7C" w:rsidP="00097A7C">
      <w:pPr>
        <w:spacing w:line="480" w:lineRule="auto"/>
        <w:rPr>
          <w:b/>
        </w:rPr>
      </w:pPr>
      <w:r w:rsidRPr="003872A6">
        <w:rPr>
          <w:b/>
        </w:rPr>
        <w:t>Methods</w:t>
      </w:r>
    </w:p>
    <w:p w:rsidR="00097A7C" w:rsidRDefault="00097A7C" w:rsidP="00097A7C">
      <w:pPr>
        <w:spacing w:line="480" w:lineRule="auto"/>
      </w:pPr>
      <w:r>
        <w:t>In 102 patients with uncontrolled BP, baseline BP measurements were followed by observed ingestion of their usual medications. BP was measured every 10 minutes, for up to 6 hours, followed by 24 hour ambulatory monitoring (ABPM).  Further readings were obtained at a follow- up clinic.</w:t>
      </w:r>
    </w:p>
    <w:p w:rsidR="00097A7C" w:rsidRDefault="00097A7C" w:rsidP="00097A7C">
      <w:pPr>
        <w:spacing w:line="480" w:lineRule="auto"/>
      </w:pPr>
    </w:p>
    <w:p w:rsidR="00097A7C" w:rsidRPr="003872A6" w:rsidRDefault="00097A7C" w:rsidP="00097A7C">
      <w:pPr>
        <w:spacing w:line="480" w:lineRule="auto"/>
        <w:rPr>
          <w:b/>
        </w:rPr>
      </w:pPr>
      <w:r w:rsidRPr="003872A6">
        <w:rPr>
          <w:b/>
        </w:rPr>
        <w:t>Results</w:t>
      </w:r>
    </w:p>
    <w:p w:rsidR="00097A7C" w:rsidRDefault="00097A7C" w:rsidP="00097A7C">
      <w:pPr>
        <w:spacing w:line="480" w:lineRule="auto"/>
      </w:pPr>
      <w:r>
        <w:t>Median BPs were 170/91 mmHg</w:t>
      </w:r>
      <w:r w:rsidRPr="009863C7">
        <w:t xml:space="preserve"> </w:t>
      </w:r>
      <w:r>
        <w:t>at referral, 153/84 mmHg prior to, and 142/79 mmHg after, drug ingestion. Median daytime ABPM over the following 24 hours was 142/80 mmHg.  Median BP at final follow-up clinic visit was 147/79 mmHg. The cumulative number of patients achieving a goal of &lt;140/90 mmHg in clinic or &lt;135/85 mmHg mean on ABPM was 57 (56%), with a further 9 (9%) controlled at the final follow up clinic visit. Thus 65% of patients achieved a systolic BP &lt; 140 mmHg at any point immediately prior to, or after, drug ingestion; the residual 35% were considered true resistant hypertensives.</w:t>
      </w:r>
    </w:p>
    <w:p w:rsidR="00097A7C" w:rsidRDefault="00097A7C" w:rsidP="00097A7C">
      <w:pPr>
        <w:spacing w:line="480" w:lineRule="auto"/>
      </w:pPr>
    </w:p>
    <w:p w:rsidR="00097A7C" w:rsidRDefault="00097A7C" w:rsidP="00097A7C">
      <w:pPr>
        <w:rPr>
          <w:b/>
        </w:rPr>
      </w:pPr>
      <w:r w:rsidRPr="00FE4C08">
        <w:rPr>
          <w:b/>
        </w:rPr>
        <w:t>Conclusion</w:t>
      </w:r>
    </w:p>
    <w:p w:rsidR="00097A7C" w:rsidRDefault="00097A7C" w:rsidP="00097A7C">
      <w:pPr>
        <w:rPr>
          <w:b/>
        </w:rPr>
      </w:pPr>
    </w:p>
    <w:p w:rsidR="00097A7C" w:rsidRDefault="00097A7C" w:rsidP="00097A7C">
      <w:pPr>
        <w:spacing w:line="480" w:lineRule="auto"/>
      </w:pPr>
      <w:r>
        <w:t xml:space="preserve">Among patients with suspected resistant hypertension, a minority were truly treatment resistant following observed drug ingestion and BP monitoring.  </w:t>
      </w:r>
    </w:p>
    <w:p w:rsidR="00097A7C" w:rsidRDefault="00097A7C" w:rsidP="00097A7C">
      <w:pPr>
        <w:spacing w:line="480" w:lineRule="auto"/>
      </w:pPr>
    </w:p>
    <w:p w:rsidR="00097A7C" w:rsidRDefault="00097A7C" w:rsidP="00097A7C">
      <w:pPr>
        <w:spacing w:line="480" w:lineRule="auto"/>
      </w:pPr>
    </w:p>
    <w:p w:rsidR="00097A7C" w:rsidRDefault="00097A7C" w:rsidP="00097A7C">
      <w:pPr>
        <w:spacing w:line="480" w:lineRule="auto"/>
      </w:pPr>
    </w:p>
    <w:p w:rsidR="00097A7C" w:rsidRDefault="00097A7C" w:rsidP="00097A7C">
      <w:pPr>
        <w:spacing w:line="480" w:lineRule="auto"/>
      </w:pPr>
    </w:p>
    <w:p w:rsidR="00097A7C" w:rsidRDefault="00097A7C" w:rsidP="00097A7C">
      <w:pPr>
        <w:spacing w:line="480" w:lineRule="auto"/>
      </w:pPr>
    </w:p>
    <w:p w:rsidR="00097A7C" w:rsidRPr="006F1F70" w:rsidRDefault="00097A7C" w:rsidP="00097A7C">
      <w:pPr>
        <w:spacing w:line="480" w:lineRule="auto"/>
        <w:rPr>
          <w:b/>
        </w:rPr>
      </w:pPr>
      <w:r>
        <w:rPr>
          <w:b/>
        </w:rPr>
        <w:t>I</w:t>
      </w:r>
      <w:r w:rsidRPr="006F1F70">
        <w:rPr>
          <w:b/>
        </w:rPr>
        <w:t>ntroduction</w:t>
      </w:r>
    </w:p>
    <w:p w:rsidR="00097A7C" w:rsidRDefault="00097A7C" w:rsidP="00097A7C">
      <w:pPr>
        <w:spacing w:after="240" w:line="480" w:lineRule="auto"/>
      </w:pPr>
      <w:r w:rsidRPr="006F1F70">
        <w:t xml:space="preserve">High blood pressure </w:t>
      </w:r>
      <w:r>
        <w:t xml:space="preserve">(BP) </w:t>
      </w:r>
      <w:r w:rsidRPr="006F1F70">
        <w:t>is a major cause of cardiovascular disease, accounting for approximately two thirds of all strokes and half of all heart disease.</w:t>
      </w:r>
      <w:r>
        <w:rPr>
          <w:vertAlign w:val="superscript"/>
        </w:rPr>
        <w:t xml:space="preserve">1 </w:t>
      </w:r>
      <w:r w:rsidRPr="006F1F70">
        <w:t xml:space="preserve">  </w:t>
      </w:r>
      <w:proofErr w:type="gramStart"/>
      <w:r w:rsidRPr="006F1F70">
        <w:t>Whilst</w:t>
      </w:r>
      <w:proofErr w:type="gramEnd"/>
      <w:r w:rsidRPr="006F1F70">
        <w:t xml:space="preserve"> effective pharmacotherapy has been available for </w:t>
      </w:r>
      <w:r>
        <w:t>the last few decades</w:t>
      </w:r>
      <w:r w:rsidRPr="006F1F70">
        <w:t>,</w:t>
      </w:r>
      <w:r>
        <w:t xml:space="preserve"> control is not achieved in a significant proportion of treated patients.  Recent </w:t>
      </w:r>
      <w:r w:rsidRPr="006F1F70">
        <w:t xml:space="preserve">reports from the Health Survey for England show that, of those on treatment, about </w:t>
      </w:r>
      <w:r>
        <w:t>63</w:t>
      </w:r>
      <w:r w:rsidRPr="006F1F70">
        <w:t>% will achieve blood pressures of &lt;140/90 mmHg.</w:t>
      </w:r>
      <w:r>
        <w:rPr>
          <w:vertAlign w:val="superscript"/>
        </w:rPr>
        <w:t xml:space="preserve">2  </w:t>
      </w:r>
      <w:r>
        <w:t xml:space="preserve">Although some of </w:t>
      </w:r>
      <w:r w:rsidRPr="006F1F70">
        <w:t>the</w:t>
      </w:r>
      <w:r>
        <w:t xml:space="preserve"> remaining</w:t>
      </w:r>
      <w:r w:rsidRPr="006F1F70">
        <w:t xml:space="preserve"> patients </w:t>
      </w:r>
      <w:r>
        <w:t xml:space="preserve">may have white coat hypertension, unrecognised secondary causes, or be </w:t>
      </w:r>
      <w:r w:rsidRPr="006F1F70">
        <w:t>sub</w:t>
      </w:r>
      <w:r>
        <w:t>-</w:t>
      </w:r>
      <w:r w:rsidRPr="006F1F70">
        <w:t>optimally treated</w:t>
      </w:r>
      <w:r>
        <w:t xml:space="preserve">, a proportion remain with so-called resistant hypertension even after specialist </w:t>
      </w:r>
      <w:r w:rsidRPr="006F1F70">
        <w:t>investigation and treatment</w:t>
      </w:r>
      <w:r>
        <w:t>.</w:t>
      </w:r>
    </w:p>
    <w:p w:rsidR="00097A7C" w:rsidRDefault="00097A7C" w:rsidP="00097A7C">
      <w:pPr>
        <w:spacing w:after="240" w:line="480" w:lineRule="auto"/>
        <w:ind w:firstLine="720"/>
      </w:pPr>
      <w:r w:rsidRPr="006F1F70">
        <w:t>Tru</w:t>
      </w:r>
      <w:r>
        <w:t>e</w:t>
      </w:r>
      <w:r w:rsidRPr="006F1F70">
        <w:t xml:space="preserve"> resistant hypertensive patients are </w:t>
      </w:r>
      <w:r>
        <w:t xml:space="preserve">defined as </w:t>
      </w:r>
      <w:r w:rsidRPr="006F1F70">
        <w:t xml:space="preserve">those who fail to achieve </w:t>
      </w:r>
      <w:r>
        <w:t xml:space="preserve">BP </w:t>
      </w:r>
      <w:r w:rsidRPr="006F1F70">
        <w:t>&lt;140/90 mmHg whilst receiving 3 or more antihypertensive drugs, in maximal or best tolerated doses, one of which should be a diuretic</w:t>
      </w:r>
      <w:r>
        <w:t xml:space="preserve">, after exclusion </w:t>
      </w:r>
      <w:r w:rsidRPr="006F1F70">
        <w:t xml:space="preserve">of secondary </w:t>
      </w:r>
      <w:r>
        <w:t xml:space="preserve">causes of hypertension. The </w:t>
      </w:r>
      <w:r w:rsidRPr="006F1F70">
        <w:t xml:space="preserve">precise </w:t>
      </w:r>
      <w:r>
        <w:t xml:space="preserve">prevalence of resistant hypertension is uncertain but is estimated to be up to </w:t>
      </w:r>
      <w:r w:rsidRPr="006F1F70">
        <w:t>30%</w:t>
      </w:r>
      <w:proofErr w:type="gramStart"/>
      <w:r>
        <w:t>,</w:t>
      </w:r>
      <w:r>
        <w:rPr>
          <w:vertAlign w:val="superscript"/>
        </w:rPr>
        <w:t>3</w:t>
      </w:r>
      <w:proofErr w:type="gramEnd"/>
      <w:r w:rsidRPr="006F1F70">
        <w:t xml:space="preserve"> </w:t>
      </w:r>
      <w:r>
        <w:t xml:space="preserve"> </w:t>
      </w:r>
      <w:r w:rsidRPr="006F1F70">
        <w:t xml:space="preserve">and </w:t>
      </w:r>
      <w:r>
        <w:t xml:space="preserve">consequently both </w:t>
      </w:r>
      <w:r w:rsidRPr="006F1F70">
        <w:t>the American Heart Association</w:t>
      </w:r>
      <w:r>
        <w:rPr>
          <w:vertAlign w:val="superscript"/>
        </w:rPr>
        <w:t>4</w:t>
      </w:r>
      <w:r w:rsidRPr="006F1F70">
        <w:t xml:space="preserve"> and the National Institute for Health and Clinical Excellence</w:t>
      </w:r>
      <w:r>
        <w:rPr>
          <w:vertAlign w:val="superscript"/>
        </w:rPr>
        <w:t>5</w:t>
      </w:r>
      <w:r w:rsidRPr="006F1F70">
        <w:t xml:space="preserve"> suggest that there is a need for further research into th</w:t>
      </w:r>
      <w:r>
        <w:t>e</w:t>
      </w:r>
      <w:r w:rsidRPr="006F1F70">
        <w:t xml:space="preserve"> </w:t>
      </w:r>
      <w:r>
        <w:t>condition</w:t>
      </w:r>
      <w:r w:rsidRPr="006F1F70">
        <w:t>.</w:t>
      </w:r>
    </w:p>
    <w:p w:rsidR="00097A7C" w:rsidRPr="007873CA" w:rsidRDefault="00097A7C" w:rsidP="00097A7C">
      <w:pPr>
        <w:spacing w:after="240" w:line="480" w:lineRule="auto"/>
        <w:ind w:firstLine="720"/>
      </w:pPr>
      <w:r>
        <w:t>Given that hypertension is the greatest single contributor to the risk of cardiovascular morbidity and mortality</w:t>
      </w:r>
      <w:proofErr w:type="gramStart"/>
      <w:r>
        <w:t>,</w:t>
      </w:r>
      <w:r>
        <w:rPr>
          <w:vertAlign w:val="superscript"/>
        </w:rPr>
        <w:t>6,7</w:t>
      </w:r>
      <w:proofErr w:type="gramEnd"/>
      <w:r>
        <w:rPr>
          <w:vertAlign w:val="superscript"/>
        </w:rPr>
        <w:t xml:space="preserve"> </w:t>
      </w:r>
      <w:r>
        <w:t xml:space="preserve"> it is perhaps not surprising that poorly controlled BP is associated with a more than two-fold increase in cardiovascular morbidity  over a relatively short observation period of 4 years, when compared with controlled patients.</w:t>
      </w:r>
      <w:r w:rsidRPr="004D6BF1">
        <w:rPr>
          <w:vertAlign w:val="superscript"/>
        </w:rPr>
        <w:t>8</w:t>
      </w:r>
      <w:r>
        <w:rPr>
          <w:vertAlign w:val="superscript"/>
        </w:rPr>
        <w:t xml:space="preserve"> </w:t>
      </w:r>
    </w:p>
    <w:p w:rsidR="00097A7C" w:rsidRDefault="00097A7C" w:rsidP="00097A7C">
      <w:pPr>
        <w:spacing w:after="240" w:line="480" w:lineRule="auto"/>
        <w:ind w:firstLine="720"/>
      </w:pPr>
      <w:r>
        <w:lastRenderedPageBreak/>
        <w:t xml:space="preserve">The results of an earlier evaluation of data from our own clinic </w:t>
      </w:r>
      <w:r w:rsidRPr="006F1F70">
        <w:t xml:space="preserve">suggest that poor drug </w:t>
      </w:r>
      <w:r>
        <w:t>adherence</w:t>
      </w:r>
      <w:r w:rsidRPr="006F1F70">
        <w:t xml:space="preserve"> is a major contributor to apparent drug resistant hypertension</w:t>
      </w:r>
      <w:proofErr w:type="gramStart"/>
      <w:r>
        <w:t>,</w:t>
      </w:r>
      <w:r w:rsidRPr="00FE2735">
        <w:rPr>
          <w:vertAlign w:val="superscript"/>
        </w:rPr>
        <w:t>9</w:t>
      </w:r>
      <w:proofErr w:type="gramEnd"/>
      <w:r>
        <w:t xml:space="preserve"> although </w:t>
      </w:r>
      <w:r w:rsidRPr="006F1F70">
        <w:t xml:space="preserve">individual patients </w:t>
      </w:r>
      <w:r>
        <w:t xml:space="preserve">often </w:t>
      </w:r>
      <w:r w:rsidRPr="006F1F70">
        <w:t>den</w:t>
      </w:r>
      <w:r>
        <w:t>y non-adherence</w:t>
      </w:r>
      <w:r w:rsidRPr="006F1F70">
        <w:t>.</w:t>
      </w:r>
      <w:r>
        <w:t xml:space="preserve">  We have now extended our initial observations to include over 100 patients with apparently resistant hypertension who were referred for observed drug ingestion and prolonged BP measurement to evaluate adherence with therapy.</w:t>
      </w:r>
    </w:p>
    <w:p w:rsidR="00097A7C" w:rsidRDefault="00097A7C" w:rsidP="00097A7C">
      <w:pPr>
        <w:spacing w:after="240" w:line="480" w:lineRule="auto"/>
        <w:ind w:firstLine="720"/>
      </w:pPr>
    </w:p>
    <w:p w:rsidR="00097A7C" w:rsidRPr="006F1F70" w:rsidRDefault="00097A7C" w:rsidP="00097A7C">
      <w:pPr>
        <w:spacing w:line="480" w:lineRule="auto"/>
        <w:rPr>
          <w:b/>
        </w:rPr>
      </w:pPr>
      <w:r w:rsidRPr="006F1F70">
        <w:rPr>
          <w:b/>
        </w:rPr>
        <w:t>Methods</w:t>
      </w:r>
    </w:p>
    <w:p w:rsidR="000523E0" w:rsidRDefault="00097A7C" w:rsidP="00097A7C">
      <w:pPr>
        <w:spacing w:line="480" w:lineRule="auto"/>
      </w:pPr>
      <w:r>
        <w:t>P</w:t>
      </w:r>
      <w:r w:rsidRPr="006F1F70">
        <w:t>atients</w:t>
      </w:r>
      <w:r>
        <w:t xml:space="preserve"> with uncontrolled hypertension</w:t>
      </w:r>
      <w:r w:rsidRPr="006F1F70">
        <w:t xml:space="preserve"> </w:t>
      </w:r>
      <w:r>
        <w:t>referred by family practitioners, hospital physicians and cardiologists</w:t>
      </w:r>
      <w:r w:rsidRPr="006F1F70" w:rsidDel="000144B4">
        <w:t xml:space="preserve"> </w:t>
      </w:r>
      <w:r>
        <w:t xml:space="preserve">to the </w:t>
      </w:r>
      <w:proofErr w:type="spellStart"/>
      <w:r w:rsidRPr="006F1F70">
        <w:t>Peart</w:t>
      </w:r>
      <w:proofErr w:type="spellEnd"/>
      <w:r w:rsidRPr="006F1F70">
        <w:t>-Rose Hypertension Clinic at St Mary Hospital</w:t>
      </w:r>
      <w:r>
        <w:t xml:space="preserve"> underwent </w:t>
      </w:r>
      <w:r w:rsidRPr="00C71ECE">
        <w:t xml:space="preserve">comprehensive investigations to eliminate secondary causes of hypertension. </w:t>
      </w:r>
      <w:r w:rsidR="000523E0">
        <w:t xml:space="preserve"> </w:t>
      </w:r>
      <w:proofErr w:type="gramStart"/>
      <w:r>
        <w:t>W</w:t>
      </w:r>
      <w:r w:rsidRPr="00C71ECE">
        <w:t xml:space="preserve">here appropriate, antihypertensive drug doses </w:t>
      </w:r>
      <w:r>
        <w:t xml:space="preserve">were adjusted and </w:t>
      </w:r>
      <w:r w:rsidRPr="00C71ECE">
        <w:t>additional drug</w:t>
      </w:r>
      <w:r>
        <w:t xml:space="preserve">s added </w:t>
      </w:r>
      <w:r w:rsidRPr="00C71ECE">
        <w:t xml:space="preserve">according to guidelines </w:t>
      </w:r>
      <w:r>
        <w:t xml:space="preserve">to try and </w:t>
      </w:r>
      <w:r w:rsidRPr="00C71ECE">
        <w:t>achieve BP control</w:t>
      </w:r>
      <w:r>
        <w:t xml:space="preserve"> to &lt;140/90 mmHg</w:t>
      </w:r>
      <w:r w:rsidRPr="00C71ECE">
        <w:t>.</w:t>
      </w:r>
      <w:proofErr w:type="gramEnd"/>
      <w:r>
        <w:t xml:space="preserve">  All drugs were administered once daily except for a very small number of patients who were receiving doxazosin, standard formulation, twice daily </w:t>
      </w:r>
      <w:r w:rsidR="000523E0">
        <w:t xml:space="preserve"> </w:t>
      </w:r>
    </w:p>
    <w:p w:rsidR="00097A7C" w:rsidRDefault="00097A7C" w:rsidP="00097A7C">
      <w:pPr>
        <w:spacing w:line="480" w:lineRule="auto"/>
      </w:pPr>
      <w:r>
        <w:t xml:space="preserve">(n=4). All other patients on doxazosin, receiving either the standard formulation or the XL formulation were taking the drug once daily. </w:t>
      </w:r>
      <w:r w:rsidRPr="00C71ECE">
        <w:t xml:space="preserve"> 134 patients</w:t>
      </w:r>
      <w:r>
        <w:t xml:space="preserve"> whose BP remained uncontrolled, after drug revision, were referred for an assessment of adherence in </w:t>
      </w:r>
      <w:r w:rsidRPr="006F1F70">
        <w:t xml:space="preserve">a specialist nurse-led clinic where drugs were administered under </w:t>
      </w:r>
      <w:r>
        <w:t xml:space="preserve">direct </w:t>
      </w:r>
      <w:r w:rsidRPr="006F1F70">
        <w:t>observation, and the patients</w:t>
      </w:r>
      <w:r>
        <w:t>’ BPs were recorded</w:t>
      </w:r>
      <w:r w:rsidRPr="006F1F70">
        <w:t xml:space="preserve"> for up to 30 hours</w:t>
      </w:r>
      <w:r>
        <w:t xml:space="preserve"> (up to 6 hours in clinic followed by 24 hour ambulatory BP monitoring [ABPM])</w:t>
      </w:r>
      <w:r w:rsidRPr="006F1F70">
        <w:t>.</w:t>
      </w:r>
      <w:r>
        <w:t xml:space="preserve">  All patients </w:t>
      </w:r>
      <w:r w:rsidRPr="00C71ECE">
        <w:t>asserted regular adherence with their medications</w:t>
      </w:r>
      <w:r>
        <w:t xml:space="preserve"> and, o</w:t>
      </w:r>
      <w:r w:rsidRPr="00C71ECE">
        <w:t xml:space="preserve">f those with prior ambulatory </w:t>
      </w:r>
      <w:r>
        <w:t>or home BP</w:t>
      </w:r>
      <w:r w:rsidRPr="00C71ECE">
        <w:t xml:space="preserve"> records, &gt;90% had no evidence or minimal evidence of a white coat response.  </w:t>
      </w:r>
    </w:p>
    <w:p w:rsidR="00097A7C" w:rsidRDefault="00097A7C" w:rsidP="00097A7C">
      <w:pPr>
        <w:spacing w:line="480" w:lineRule="auto"/>
      </w:pPr>
    </w:p>
    <w:p w:rsidR="00097A7C" w:rsidRDefault="00097A7C" w:rsidP="00097A7C">
      <w:pPr>
        <w:spacing w:line="480" w:lineRule="auto"/>
        <w:ind w:firstLine="720"/>
      </w:pPr>
      <w:r>
        <w:t>These p</w:t>
      </w:r>
      <w:r w:rsidRPr="006F1F70">
        <w:t xml:space="preserve">atients were </w:t>
      </w:r>
      <w:r>
        <w:t>instructed</w:t>
      </w:r>
      <w:r w:rsidRPr="006F1F70">
        <w:t xml:space="preserve"> to omit their morning medications and </w:t>
      </w:r>
      <w:r>
        <w:t xml:space="preserve">to </w:t>
      </w:r>
      <w:r w:rsidRPr="006F1F70">
        <w:t>arrive in the clinic between 9</w:t>
      </w:r>
      <w:r>
        <w:t>.00</w:t>
      </w:r>
      <w:r w:rsidRPr="006F1F70">
        <w:t xml:space="preserve"> and 10</w:t>
      </w:r>
      <w:r>
        <w:t>.00</w:t>
      </w:r>
      <w:r w:rsidRPr="006F1F70">
        <w:t xml:space="preserve">am. </w:t>
      </w:r>
      <w:r>
        <w:t xml:space="preserve"> </w:t>
      </w:r>
      <w:r w:rsidRPr="006F1F70">
        <w:t>B</w:t>
      </w:r>
      <w:r>
        <w:t>aseline BP</w:t>
      </w:r>
      <w:r w:rsidRPr="006F1F70">
        <w:t xml:space="preserve"> w</w:t>
      </w:r>
      <w:r>
        <w:t>as</w:t>
      </w:r>
      <w:r w:rsidRPr="006F1F70">
        <w:t xml:space="preserve"> recorded using standardised techniques </w:t>
      </w:r>
      <w:r>
        <w:t>with</w:t>
      </w:r>
      <w:r w:rsidRPr="006F1F70">
        <w:t xml:space="preserve"> an automated monitor (Welch</w:t>
      </w:r>
      <w:r>
        <w:t xml:space="preserve"> </w:t>
      </w:r>
      <w:proofErr w:type="spellStart"/>
      <w:r w:rsidRPr="006F1F70">
        <w:t>Allyn</w:t>
      </w:r>
      <w:proofErr w:type="spellEnd"/>
      <w:r w:rsidRPr="006F1F70">
        <w:t xml:space="preserve"> or </w:t>
      </w:r>
      <w:proofErr w:type="spellStart"/>
      <w:r w:rsidRPr="006F1F70">
        <w:t>Dynamap</w:t>
      </w:r>
      <w:proofErr w:type="spellEnd"/>
      <w:r w:rsidRPr="006F1F70">
        <w:t>)</w:t>
      </w:r>
      <w:r>
        <w:t xml:space="preserve"> or</w:t>
      </w:r>
      <w:r w:rsidRPr="006F1F70">
        <w:t>,</w:t>
      </w:r>
      <w:r>
        <w:t xml:space="preserve"> in patients with atrial fibrillation, a manual </w:t>
      </w:r>
      <w:r>
        <w:lastRenderedPageBreak/>
        <w:t>sphygmomanometer.  D</w:t>
      </w:r>
      <w:r w:rsidRPr="006F1F70">
        <w:t xml:space="preserve">rugs were </w:t>
      </w:r>
      <w:r>
        <w:t xml:space="preserve">then </w:t>
      </w:r>
      <w:r w:rsidRPr="006F1F70">
        <w:t xml:space="preserve">administered </w:t>
      </w:r>
      <w:r>
        <w:t xml:space="preserve">under supervision and careful direct observation by a specialist nurse, after which </w:t>
      </w:r>
      <w:r w:rsidRPr="006F1F70">
        <w:t>B</w:t>
      </w:r>
      <w:r>
        <w:t>P</w:t>
      </w:r>
      <w:r w:rsidRPr="006F1F70">
        <w:t xml:space="preserve">s were recorded at 10 minute intervals for 2-6 hours.  </w:t>
      </w:r>
      <w:r>
        <w:t>T</w:t>
      </w:r>
      <w:r w:rsidRPr="006F1F70">
        <w:t xml:space="preserve">he initial administration </w:t>
      </w:r>
      <w:r>
        <w:t>usually</w:t>
      </w:r>
      <w:r w:rsidRPr="006F1F70">
        <w:t xml:space="preserve"> consisted of giving 2 drugs (</w:t>
      </w:r>
      <w:r>
        <w:t>typically a</w:t>
      </w:r>
      <w:r w:rsidRPr="006F1F70">
        <w:t xml:space="preserve"> calcium channel blocker and </w:t>
      </w:r>
      <w:r>
        <w:t xml:space="preserve">an </w:t>
      </w:r>
      <w:r w:rsidRPr="006F1F70">
        <w:t xml:space="preserve">angiotensin converting enzyme inhibitor </w:t>
      </w:r>
      <w:r>
        <w:t>or angiotensin receptor blocker</w:t>
      </w:r>
      <w:r w:rsidRPr="006F1F70">
        <w:t>), with additional medications (</w:t>
      </w:r>
      <w:r>
        <w:t xml:space="preserve">e.g., </w:t>
      </w:r>
      <w:r w:rsidRPr="006F1F70">
        <w:t>diuretics, beta</w:t>
      </w:r>
      <w:r>
        <w:t>-blockers, alpha-blockers</w:t>
      </w:r>
      <w:r w:rsidRPr="006F1F70">
        <w:t>) administered at intervals over the ensuing 4</w:t>
      </w:r>
      <w:r>
        <w:t>-</w:t>
      </w:r>
      <w:r w:rsidRPr="006F1F70">
        <w:t xml:space="preserve">6 hours depending on </w:t>
      </w:r>
      <w:r>
        <w:t>the BP</w:t>
      </w:r>
      <w:r w:rsidRPr="006F1F70">
        <w:t xml:space="preserve"> response.  </w:t>
      </w:r>
      <w:r>
        <w:t xml:space="preserve">In order to avoid precipitous falls in BP in patients who had hitherto been poorly compliant, those </w:t>
      </w:r>
      <w:r w:rsidRPr="006F1F70">
        <w:t xml:space="preserve">patients </w:t>
      </w:r>
      <w:r>
        <w:t xml:space="preserve">prescribed </w:t>
      </w:r>
      <w:r w:rsidRPr="006F1F70">
        <w:t>high doses of the alpha blocker</w:t>
      </w:r>
      <w:r>
        <w:t>,</w:t>
      </w:r>
      <w:r w:rsidRPr="006F1F70">
        <w:t xml:space="preserve"> doxazosin, </w:t>
      </w:r>
      <w:r>
        <w:t xml:space="preserve">received a maximum dose of 4mg of </w:t>
      </w:r>
      <w:r w:rsidRPr="006F1F70">
        <w:t>the</w:t>
      </w:r>
      <w:r>
        <w:t xml:space="preserve"> long acting formulation. </w:t>
      </w:r>
      <w:r w:rsidRPr="006F1F70">
        <w:t xml:space="preserve">At the end of the </w:t>
      </w:r>
      <w:r>
        <w:t xml:space="preserve">within-clinic </w:t>
      </w:r>
      <w:r w:rsidRPr="006F1F70">
        <w:t xml:space="preserve">observation period, </w:t>
      </w:r>
      <w:r>
        <w:t xml:space="preserve">most </w:t>
      </w:r>
      <w:r w:rsidRPr="006F1F70">
        <w:t xml:space="preserve">patients were fitted with an </w:t>
      </w:r>
      <w:r>
        <w:t>ABPM device (</w:t>
      </w:r>
      <w:proofErr w:type="spellStart"/>
      <w:r w:rsidRPr="006F1F70">
        <w:t>Spacelabs</w:t>
      </w:r>
      <w:proofErr w:type="spellEnd"/>
      <w:r w:rsidRPr="006F1F70">
        <w:t xml:space="preserve"> 902</w:t>
      </w:r>
      <w:r>
        <w:t>0</w:t>
      </w:r>
      <w:r w:rsidRPr="006F1F70">
        <w:t>7).</w:t>
      </w:r>
      <w:r>
        <w:t xml:space="preserve"> </w:t>
      </w:r>
      <w:r w:rsidR="000523E0">
        <w:t xml:space="preserve"> </w:t>
      </w:r>
      <w:r>
        <w:t>Patients were informed of the findings of the study. Many were returned to their referring physicians for further management. A number of patients were reviewed on a subsequent occasion</w:t>
      </w:r>
      <w:r w:rsidR="000523E0">
        <w:t xml:space="preserve"> </w:t>
      </w:r>
      <w:r>
        <w:t>(on average 3-6 months following the observed drug ingestion)</w:t>
      </w:r>
      <w:proofErr w:type="gramStart"/>
      <w:r>
        <w:t>,  at</w:t>
      </w:r>
      <w:proofErr w:type="gramEnd"/>
      <w:r>
        <w:t xml:space="preserve"> which time conventional  clinic blood pressure readings were obtained. </w:t>
      </w:r>
    </w:p>
    <w:p w:rsidR="00097A7C" w:rsidRDefault="00097A7C" w:rsidP="00097A7C">
      <w:pPr>
        <w:spacing w:line="480" w:lineRule="auto"/>
      </w:pPr>
    </w:p>
    <w:p w:rsidR="00097A7C" w:rsidRPr="006F1F70" w:rsidRDefault="00097A7C" w:rsidP="00097A7C">
      <w:pPr>
        <w:spacing w:line="480" w:lineRule="auto"/>
        <w:rPr>
          <w:b/>
        </w:rPr>
      </w:pPr>
      <w:r w:rsidRPr="006F1F70">
        <w:rPr>
          <w:b/>
        </w:rPr>
        <w:t>Results</w:t>
      </w:r>
    </w:p>
    <w:p w:rsidR="00097A7C" w:rsidRDefault="00097A7C" w:rsidP="00097A7C">
      <w:pPr>
        <w:spacing w:after="240" w:line="480" w:lineRule="auto"/>
      </w:pPr>
      <w:r>
        <w:t>Of the 134 patients with uncontrolled hypertension referred for observed drug ingestion, 32 were excluded for reasons including not meeting the criteria for resistant hypertension, having already taken their medication on the day of attendance or lack of referral BP data (Figure 1). Table 1</w:t>
      </w:r>
      <w:r w:rsidRPr="006F1F70">
        <w:t xml:space="preserve"> shows the demographics of the </w:t>
      </w:r>
      <w:r>
        <w:t xml:space="preserve">remaining 102 </w:t>
      </w:r>
      <w:r w:rsidRPr="006F1F70">
        <w:t xml:space="preserve">patients </w:t>
      </w:r>
      <w:r>
        <w:t xml:space="preserve">included in these analyses. They were </w:t>
      </w:r>
      <w:r w:rsidRPr="006F1F70">
        <w:t>58% female</w:t>
      </w:r>
      <w:r>
        <w:t>,</w:t>
      </w:r>
      <w:r w:rsidRPr="006F1F70">
        <w:t xml:space="preserve"> of varying ethnicity</w:t>
      </w:r>
      <w:r>
        <w:t xml:space="preserve"> and had a mean </w:t>
      </w:r>
      <w:r w:rsidRPr="006F1F70">
        <w:t xml:space="preserve">age </w:t>
      </w:r>
      <w:r>
        <w:t xml:space="preserve">of </w:t>
      </w:r>
      <w:r w:rsidRPr="006F1F70">
        <w:t xml:space="preserve">58 years. The median number of drugs taken at referral </w:t>
      </w:r>
      <w:r>
        <w:t xml:space="preserve">for observed drug ingestion </w:t>
      </w:r>
      <w:r w:rsidRPr="006F1F70">
        <w:t>was 5</w:t>
      </w:r>
      <w:r>
        <w:t xml:space="preserve"> (</w:t>
      </w:r>
      <w:r w:rsidRPr="006F1F70">
        <w:t>range 3-7</w:t>
      </w:r>
      <w:r>
        <w:t xml:space="preserve">) which included </w:t>
      </w:r>
      <w:r w:rsidRPr="00723B9D">
        <w:t>spironolactone</w:t>
      </w:r>
      <w:r>
        <w:t xml:space="preserve"> in 43 (42%) patients.  After observed drug administration and the period of in-clinic BP monitoring, </w:t>
      </w:r>
      <w:r w:rsidRPr="000400FC">
        <w:t>ABPM recordings were made</w:t>
      </w:r>
      <w:r>
        <w:t xml:space="preserve"> on</w:t>
      </w:r>
      <w:r w:rsidRPr="000400FC">
        <w:t xml:space="preserve"> 87 (85.3%) patients</w:t>
      </w:r>
      <w:r>
        <w:t>.  Of the remainder, 6 had atrial fibrillation, 4 blood pressures were too low, 3 technical failures, 2 reasons unknown.</w:t>
      </w:r>
    </w:p>
    <w:p w:rsidR="00097A7C" w:rsidRDefault="00097A7C" w:rsidP="00097A7C">
      <w:pPr>
        <w:spacing w:after="240" w:line="480" w:lineRule="auto"/>
        <w:ind w:firstLine="720"/>
        <w:rPr>
          <w:color w:val="000000" w:themeColor="text1"/>
        </w:rPr>
      </w:pPr>
      <w:r w:rsidRPr="006F1F70">
        <w:lastRenderedPageBreak/>
        <w:t xml:space="preserve">Table 2 shows the median (range) BP values at the </w:t>
      </w:r>
      <w:r>
        <w:t>various</w:t>
      </w:r>
      <w:r w:rsidRPr="006F1F70">
        <w:t xml:space="preserve"> time points in the </w:t>
      </w:r>
      <w:r w:rsidRPr="00AE2555">
        <w:t xml:space="preserve">study.  </w:t>
      </w:r>
      <w:r>
        <w:t xml:space="preserve">Baseline BPs on the day of observed drug ingestion were substantially lower than those recorded </w:t>
      </w:r>
      <w:r>
        <w:rPr>
          <w:color w:val="000000" w:themeColor="text1"/>
        </w:rPr>
        <w:t xml:space="preserve">at the time of referral and there was </w:t>
      </w:r>
      <w:r w:rsidRPr="006F1F70">
        <w:rPr>
          <w:color w:val="000000" w:themeColor="text1"/>
        </w:rPr>
        <w:t xml:space="preserve">a further reduction </w:t>
      </w:r>
      <w:r>
        <w:rPr>
          <w:color w:val="000000" w:themeColor="text1"/>
        </w:rPr>
        <w:t xml:space="preserve">after drug administration (Figure </w:t>
      </w:r>
      <w:r w:rsidRPr="006F1F70">
        <w:rPr>
          <w:color w:val="000000" w:themeColor="text1"/>
        </w:rPr>
        <w:t>2)</w:t>
      </w:r>
      <w:r>
        <w:rPr>
          <w:color w:val="000000" w:themeColor="text1"/>
        </w:rPr>
        <w:t xml:space="preserve">; this fall in BP was </w:t>
      </w:r>
      <w:r w:rsidRPr="006F1F70">
        <w:rPr>
          <w:color w:val="000000" w:themeColor="text1"/>
        </w:rPr>
        <w:t xml:space="preserve">maintained </w:t>
      </w:r>
      <w:r>
        <w:rPr>
          <w:color w:val="000000" w:themeColor="text1"/>
        </w:rPr>
        <w:t xml:space="preserve">during the subsequent </w:t>
      </w:r>
      <w:r w:rsidRPr="006F1F70">
        <w:rPr>
          <w:color w:val="000000" w:themeColor="text1"/>
        </w:rPr>
        <w:t xml:space="preserve">ABPM </w:t>
      </w:r>
      <w:r>
        <w:rPr>
          <w:color w:val="000000" w:themeColor="text1"/>
        </w:rPr>
        <w:t>recording</w:t>
      </w:r>
      <w:r w:rsidRPr="006F1F70">
        <w:rPr>
          <w:color w:val="000000" w:themeColor="text1"/>
        </w:rPr>
        <w:t xml:space="preserve">.  </w:t>
      </w:r>
    </w:p>
    <w:p w:rsidR="00097A7C" w:rsidRDefault="00097A7C" w:rsidP="00097A7C">
      <w:pPr>
        <w:spacing w:after="240" w:line="480" w:lineRule="auto"/>
        <w:ind w:firstLine="720"/>
        <w:rPr>
          <w:color w:val="000000" w:themeColor="text1"/>
        </w:rPr>
      </w:pPr>
      <w:r>
        <w:rPr>
          <w:color w:val="000000" w:themeColor="text1"/>
        </w:rPr>
        <w:t>In 26</w:t>
      </w:r>
      <w:r w:rsidRPr="006F1F70">
        <w:rPr>
          <w:color w:val="000000" w:themeColor="text1"/>
        </w:rPr>
        <w:t xml:space="preserve"> </w:t>
      </w:r>
      <w:r>
        <w:rPr>
          <w:color w:val="000000" w:themeColor="text1"/>
        </w:rPr>
        <w:t xml:space="preserve">of the 102 patients </w:t>
      </w:r>
      <w:r w:rsidRPr="006F1F70">
        <w:rPr>
          <w:color w:val="000000" w:themeColor="text1"/>
        </w:rPr>
        <w:t>(</w:t>
      </w:r>
      <w:r>
        <w:rPr>
          <w:color w:val="000000" w:themeColor="text1"/>
        </w:rPr>
        <w:t>25.5</w:t>
      </w:r>
      <w:r w:rsidRPr="006F1F70">
        <w:rPr>
          <w:color w:val="000000" w:themeColor="text1"/>
        </w:rPr>
        <w:t>%)</w:t>
      </w:r>
      <w:r>
        <w:rPr>
          <w:color w:val="000000" w:themeColor="text1"/>
        </w:rPr>
        <w:t xml:space="preserve"> included in the analyses</w:t>
      </w:r>
      <w:r w:rsidRPr="006F1F70">
        <w:rPr>
          <w:color w:val="000000" w:themeColor="text1"/>
        </w:rPr>
        <w:t xml:space="preserve">, </w:t>
      </w:r>
      <w:r>
        <w:rPr>
          <w:color w:val="000000" w:themeColor="text1"/>
        </w:rPr>
        <w:t xml:space="preserve">the baseline systolic BP (SBP) had fallen to &lt;140 mmHg even prior to drug administration; </w:t>
      </w:r>
      <w:r w:rsidRPr="00AE2555">
        <w:t xml:space="preserve">25 (24.5%) had </w:t>
      </w:r>
      <w:r>
        <w:t>BP</w:t>
      </w:r>
      <w:r w:rsidRPr="00AE2555">
        <w:t xml:space="preserve"> &lt;140/90 mmHg</w:t>
      </w:r>
      <w:r>
        <w:t>.</w:t>
      </w:r>
      <w:r w:rsidRPr="00E06299">
        <w:rPr>
          <w:color w:val="FF0000"/>
        </w:rPr>
        <w:t xml:space="preserve"> </w:t>
      </w:r>
      <w:r w:rsidRPr="00AE2555">
        <w:t xml:space="preserve">  Of the 97 </w:t>
      </w:r>
      <w:r>
        <w:t xml:space="preserve">patients </w:t>
      </w:r>
      <w:r w:rsidRPr="00AE2555">
        <w:t xml:space="preserve">with </w:t>
      </w:r>
      <w:r>
        <w:t xml:space="preserve">readings </w:t>
      </w:r>
      <w:r w:rsidRPr="00AE2555">
        <w:t>avail</w:t>
      </w:r>
      <w:r>
        <w:t>able following observed drug ingestion 45</w:t>
      </w:r>
      <w:r w:rsidRPr="006F1F70">
        <w:t xml:space="preserve"> (</w:t>
      </w:r>
      <w:r>
        <w:t>46.4</w:t>
      </w:r>
      <w:r w:rsidRPr="006F1F70">
        <w:t>%)</w:t>
      </w:r>
      <w:r>
        <w:t xml:space="preserve"> </w:t>
      </w:r>
      <w:r w:rsidRPr="006F1F70">
        <w:t xml:space="preserve">had </w:t>
      </w:r>
      <w:r>
        <w:t>SBPs</w:t>
      </w:r>
      <w:r w:rsidRPr="006F1F70">
        <w:t xml:space="preserve"> &lt;140 mmHg</w:t>
      </w:r>
      <w:r>
        <w:t xml:space="preserve"> and 44.3%</w:t>
      </w:r>
      <w:r w:rsidRPr="006F1F70">
        <w:t xml:space="preserve"> </w:t>
      </w:r>
      <w:r>
        <w:t>had BP &lt;140/90 mmHg.  Median daytime ambulatory SBP was &lt;140 mmHg in 46% of these patients who underwent ABPM</w:t>
      </w:r>
      <w:r w:rsidRPr="006F1F70">
        <w:t xml:space="preserve">. </w:t>
      </w:r>
      <w:r>
        <w:t xml:space="preserve">BP measurements from subsequent clinic follow-up appointments are available for 73 patients </w:t>
      </w:r>
      <w:r>
        <w:rPr>
          <w:color w:val="000000" w:themeColor="text1"/>
        </w:rPr>
        <w:t xml:space="preserve">(in most cases between 3 and 6 </w:t>
      </w:r>
      <w:r w:rsidR="000523E0">
        <w:rPr>
          <w:color w:val="000000" w:themeColor="text1"/>
        </w:rPr>
        <w:t xml:space="preserve">months </w:t>
      </w:r>
      <w:r w:rsidR="000523E0" w:rsidRPr="006F1F70">
        <w:rPr>
          <w:color w:val="000000" w:themeColor="text1"/>
        </w:rPr>
        <w:t>after</w:t>
      </w:r>
      <w:r>
        <w:rPr>
          <w:color w:val="000000" w:themeColor="text1"/>
        </w:rPr>
        <w:t xml:space="preserve"> the observed drug ingestion); the median of the most recent clinic </w:t>
      </w:r>
      <w:r w:rsidR="000523E0">
        <w:rPr>
          <w:color w:val="000000" w:themeColor="text1"/>
        </w:rPr>
        <w:t>readings has</w:t>
      </w:r>
      <w:r>
        <w:rPr>
          <w:color w:val="000000" w:themeColor="text1"/>
        </w:rPr>
        <w:t xml:space="preserve"> been taken as the final clinic </w:t>
      </w:r>
      <w:r w:rsidR="000523E0">
        <w:rPr>
          <w:color w:val="000000" w:themeColor="text1"/>
        </w:rPr>
        <w:t xml:space="preserve">reading.  </w:t>
      </w:r>
      <w:r>
        <w:rPr>
          <w:color w:val="000000" w:themeColor="text1"/>
        </w:rPr>
        <w:t xml:space="preserve">BP readings </w:t>
      </w:r>
      <w:r w:rsidRPr="006F1F70">
        <w:rPr>
          <w:color w:val="000000" w:themeColor="text1"/>
        </w:rPr>
        <w:t>show a return to higher levels in a</w:t>
      </w:r>
      <w:r>
        <w:rPr>
          <w:color w:val="000000" w:themeColor="text1"/>
        </w:rPr>
        <w:t>pproximately half the</w:t>
      </w:r>
      <w:r w:rsidRPr="006F1F70">
        <w:rPr>
          <w:color w:val="000000" w:themeColor="text1"/>
        </w:rPr>
        <w:t xml:space="preserve"> patients</w:t>
      </w:r>
      <w:r>
        <w:rPr>
          <w:color w:val="000000" w:themeColor="text1"/>
        </w:rPr>
        <w:t>,</w:t>
      </w:r>
      <w:r w:rsidRPr="006F1F70">
        <w:rPr>
          <w:color w:val="000000" w:themeColor="text1"/>
        </w:rPr>
        <w:t xml:space="preserve"> but a further fall </w:t>
      </w:r>
      <w:r w:rsidR="000523E0" w:rsidRPr="006F1F70">
        <w:rPr>
          <w:color w:val="000000" w:themeColor="text1"/>
        </w:rPr>
        <w:t xml:space="preserve">in </w:t>
      </w:r>
      <w:r w:rsidR="000523E0">
        <w:rPr>
          <w:color w:val="000000" w:themeColor="text1"/>
        </w:rPr>
        <w:t>the</w:t>
      </w:r>
      <w:r>
        <w:rPr>
          <w:color w:val="000000" w:themeColor="text1"/>
        </w:rPr>
        <w:t xml:space="preserve"> remainder. </w:t>
      </w:r>
    </w:p>
    <w:p w:rsidR="00097A7C" w:rsidRDefault="00097A7C" w:rsidP="00097A7C">
      <w:pPr>
        <w:spacing w:after="240" w:line="480" w:lineRule="auto"/>
        <w:ind w:firstLine="720"/>
      </w:pPr>
      <w:r>
        <w:rPr>
          <w:color w:val="000000" w:themeColor="text1"/>
        </w:rPr>
        <w:t xml:space="preserve">Overall, </w:t>
      </w:r>
      <w:r>
        <w:t xml:space="preserve">a total of 66 (65%) out of </w:t>
      </w:r>
      <w:r w:rsidR="000523E0">
        <w:t>102 patients</w:t>
      </w:r>
      <w:r>
        <w:t xml:space="preserve"> had SBP</w:t>
      </w:r>
      <w:r w:rsidRPr="006F1F70">
        <w:t xml:space="preserve"> controlled </w:t>
      </w:r>
      <w:r>
        <w:t xml:space="preserve">to &lt;140 mmHg </w:t>
      </w:r>
      <w:r w:rsidRPr="006F1F70">
        <w:t xml:space="preserve">at some </w:t>
      </w:r>
      <w:r>
        <w:t>time point</w:t>
      </w:r>
      <w:r w:rsidRPr="006F1F70">
        <w:t xml:space="preserve"> </w:t>
      </w:r>
      <w:r>
        <w:t>after referral for observed drug ingestion (either immediately prior to or after observed drug ingestion, on subsequent daytime ABPM or at the final clinic appointment).  This we believe is likely to reflect previous</w:t>
      </w:r>
      <w:r w:rsidRPr="006F1F70">
        <w:t xml:space="preserve"> poor </w:t>
      </w:r>
      <w:r>
        <w:t>adherence in these patients</w:t>
      </w:r>
      <w:r w:rsidRPr="006F1F70">
        <w:t xml:space="preserve">. </w:t>
      </w:r>
      <w:r>
        <w:t xml:space="preserve"> </w:t>
      </w:r>
      <w:r w:rsidRPr="006F1F70">
        <w:t>The residual patients</w:t>
      </w:r>
      <w:r>
        <w:t xml:space="preserve"> (36, 35%) may be considered </w:t>
      </w:r>
      <w:r w:rsidRPr="006F1F70">
        <w:t>truly resistant</w:t>
      </w:r>
      <w:r>
        <w:t xml:space="preserve"> but </w:t>
      </w:r>
      <w:r w:rsidRPr="006F1F70">
        <w:t>represent a minori</w:t>
      </w:r>
      <w:r>
        <w:t>ty of those originally referred.</w:t>
      </w:r>
      <w:r w:rsidRPr="006F1F70">
        <w:t xml:space="preserve"> </w:t>
      </w:r>
      <w:r>
        <w:t xml:space="preserve">Of those patients controlled at some point following drug ingestion, there </w:t>
      </w:r>
      <w:r w:rsidR="000523E0">
        <w:t>were fewer</w:t>
      </w:r>
      <w:r>
        <w:t xml:space="preserve"> Asians and slightly more whites than predicted from the baseline demographics (table 3).</w:t>
      </w:r>
    </w:p>
    <w:p w:rsidR="00097A7C" w:rsidRDefault="00097A7C" w:rsidP="00097A7C">
      <w:pPr>
        <w:spacing w:after="240" w:line="480" w:lineRule="auto"/>
        <w:ind w:firstLine="720"/>
      </w:pPr>
    </w:p>
    <w:p w:rsidR="00097A7C" w:rsidRPr="006F1F70" w:rsidRDefault="00097A7C" w:rsidP="00097A7C">
      <w:pPr>
        <w:keepNext/>
        <w:spacing w:after="240"/>
        <w:rPr>
          <w:b/>
        </w:rPr>
      </w:pPr>
      <w:r w:rsidRPr="006F1F70">
        <w:rPr>
          <w:b/>
        </w:rPr>
        <w:lastRenderedPageBreak/>
        <w:t>Discussion</w:t>
      </w:r>
    </w:p>
    <w:p w:rsidR="00097A7C" w:rsidRPr="006F1F70" w:rsidRDefault="00097A7C" w:rsidP="00097A7C">
      <w:pPr>
        <w:spacing w:after="240" w:line="480" w:lineRule="auto"/>
      </w:pPr>
      <w:r w:rsidRPr="006F1F70">
        <w:t xml:space="preserve">One of the commonest reasons for referral to </w:t>
      </w:r>
      <w:r>
        <w:t>a specialist hypertension clinic</w:t>
      </w:r>
      <w:r w:rsidRPr="006F1F70">
        <w:t xml:space="preserve"> is poorly controlled hypertension.  </w:t>
      </w:r>
      <w:r>
        <w:t xml:space="preserve">Initially, </w:t>
      </w:r>
      <w:r w:rsidRPr="006F1F70">
        <w:t xml:space="preserve">many patients </w:t>
      </w:r>
      <w:r>
        <w:t xml:space="preserve">referred to our clinic </w:t>
      </w:r>
      <w:r w:rsidRPr="006F1F70">
        <w:t xml:space="preserve">were deemed to require further alteration of treatment and </w:t>
      </w:r>
      <w:r>
        <w:t>it wa</w:t>
      </w:r>
      <w:r w:rsidRPr="006F1F70">
        <w:t xml:space="preserve">s only after </w:t>
      </w:r>
      <w:r>
        <w:t>continued poor BP control</w:t>
      </w:r>
      <w:r w:rsidRPr="006F1F70">
        <w:t xml:space="preserve"> </w:t>
      </w:r>
      <w:r>
        <w:t xml:space="preserve">following </w:t>
      </w:r>
      <w:r w:rsidRPr="006F1F70">
        <w:t>such modification</w:t>
      </w:r>
      <w:r>
        <w:t xml:space="preserve"> </w:t>
      </w:r>
      <w:r w:rsidRPr="006F1F70">
        <w:t xml:space="preserve">that </w:t>
      </w:r>
      <w:r>
        <w:t>patients were eligible for an assessment of adherence by BP monitoring after observed drug ingestion</w:t>
      </w:r>
      <w:r w:rsidRPr="006F1F70">
        <w:t xml:space="preserve">.  </w:t>
      </w:r>
      <w:r>
        <w:t>In this study we have demonstrated that</w:t>
      </w:r>
      <w:r w:rsidRPr="000406EC">
        <w:t xml:space="preserve"> </w:t>
      </w:r>
      <w:r>
        <w:t>BP is controlled in the majority of these patients when they are observed to take their medications, suggesting that non-adherence is a significant cause of apparent resistant hypertension.</w:t>
      </w:r>
    </w:p>
    <w:p w:rsidR="00097A7C" w:rsidRDefault="00097A7C" w:rsidP="00097A7C">
      <w:pPr>
        <w:spacing w:after="240" w:line="480" w:lineRule="auto"/>
        <w:ind w:firstLine="720"/>
        <w:rPr>
          <w:color w:val="000000" w:themeColor="text1"/>
        </w:rPr>
      </w:pPr>
      <w:r w:rsidRPr="006F1F70">
        <w:t xml:space="preserve">The fall in </w:t>
      </w:r>
      <w:r>
        <w:t>BP</w:t>
      </w:r>
      <w:r w:rsidRPr="006F1F70">
        <w:t xml:space="preserve"> from the time of referral </w:t>
      </w:r>
      <w:r>
        <w:t>for observed drug ingestion to the baseline readings immediately prior to drug administration i</w:t>
      </w:r>
      <w:r w:rsidRPr="006F1F70">
        <w:t xml:space="preserve">s best explained by poorly </w:t>
      </w:r>
      <w:r>
        <w:t>adherent</w:t>
      </w:r>
      <w:r w:rsidRPr="006F1F70">
        <w:t xml:space="preserve"> patients</w:t>
      </w:r>
      <w:r>
        <w:t xml:space="preserve"> deciding to take some or all of their tablets when </w:t>
      </w:r>
      <w:r w:rsidRPr="006F1F70">
        <w:t>understanding the nature of th</w:t>
      </w:r>
      <w:r>
        <w:t>e procedure to be embarked upon, although r</w:t>
      </w:r>
      <w:r w:rsidRPr="00296A5C">
        <w:t xml:space="preserve">egression to the mean could </w:t>
      </w:r>
      <w:r>
        <w:t xml:space="preserve">also </w:t>
      </w:r>
      <w:r w:rsidRPr="00296A5C">
        <w:t xml:space="preserve">have contributed to this fall.  </w:t>
      </w:r>
      <w:r>
        <w:t>Of those whose BP fell</w:t>
      </w:r>
      <w:r w:rsidRPr="006F1F70">
        <w:t xml:space="preserve"> on ABPM monitoring</w:t>
      </w:r>
      <w:r>
        <w:t xml:space="preserve"> after observed drug ingestion (</w:t>
      </w:r>
      <w:r w:rsidRPr="006F1F70">
        <w:t>compared with</w:t>
      </w:r>
      <w:r>
        <w:t xml:space="preserve"> BPs measured immediately before and after ingestion), a white coat effect could have contributed in a minority although the likelihood of significant white coat hypertension had been</w:t>
      </w:r>
      <w:r w:rsidRPr="006F1F70">
        <w:t xml:space="preserve"> </w:t>
      </w:r>
      <w:r>
        <w:t>reduc</w:t>
      </w:r>
      <w:r w:rsidRPr="006F1F70">
        <w:t>ed b</w:t>
      </w:r>
      <w:r>
        <w:t xml:space="preserve">y prior investigation in most </w:t>
      </w:r>
      <w:r w:rsidRPr="006F1F70">
        <w:t>patients</w:t>
      </w:r>
      <w:r>
        <w:t>; the observed BP reduction probably reflects the delayed onset of action of drugs (particularly long-acting ones) administered under observation.</w:t>
      </w:r>
      <w:r w:rsidRPr="006F1F70">
        <w:t xml:space="preserve"> </w:t>
      </w:r>
      <w:r>
        <w:t>On average,</w:t>
      </w:r>
      <w:r w:rsidRPr="006F1F70">
        <w:t xml:space="preserve"> </w:t>
      </w:r>
      <w:r>
        <w:t xml:space="preserve">there was </w:t>
      </w:r>
      <w:r w:rsidRPr="006F1F70">
        <w:t xml:space="preserve">a substantial </w:t>
      </w:r>
      <w:r>
        <w:t xml:space="preserve">BP </w:t>
      </w:r>
      <w:r w:rsidRPr="006F1F70">
        <w:t xml:space="preserve">reduction </w:t>
      </w:r>
      <w:r>
        <w:t>following referral for observed drug ingestion with 46</w:t>
      </w:r>
      <w:r w:rsidRPr="006F1F70">
        <w:t xml:space="preserve">% of the </w:t>
      </w:r>
      <w:r>
        <w:t xml:space="preserve">102 patients included in these analyses </w:t>
      </w:r>
      <w:r w:rsidRPr="006F1F70">
        <w:t>achiev</w:t>
      </w:r>
      <w:r>
        <w:t>ing</w:t>
      </w:r>
      <w:r w:rsidRPr="006F1F70">
        <w:t xml:space="preserve"> a</w:t>
      </w:r>
      <w:r>
        <w:t>n SBP &lt;140mmHg by the end of the period of observation after drug ingestion</w:t>
      </w:r>
      <w:r w:rsidRPr="006F1F70">
        <w:t>.</w:t>
      </w:r>
      <w:r>
        <w:t xml:space="preserve"> For those patients with available BP r</w:t>
      </w:r>
      <w:r>
        <w:rPr>
          <w:color w:val="000000" w:themeColor="text1"/>
        </w:rPr>
        <w:t>eadings at subsequent clinic visits, BP</w:t>
      </w:r>
      <w:r w:rsidRPr="006F1F70">
        <w:rPr>
          <w:color w:val="000000" w:themeColor="text1"/>
        </w:rPr>
        <w:t xml:space="preserve"> return</w:t>
      </w:r>
      <w:r>
        <w:rPr>
          <w:color w:val="000000" w:themeColor="text1"/>
        </w:rPr>
        <w:t>ed</w:t>
      </w:r>
      <w:r w:rsidRPr="006F1F70">
        <w:rPr>
          <w:color w:val="000000" w:themeColor="text1"/>
        </w:rPr>
        <w:t xml:space="preserve"> to higher levels in a substantial number of patients</w:t>
      </w:r>
      <w:r>
        <w:rPr>
          <w:color w:val="000000" w:themeColor="text1"/>
        </w:rPr>
        <w:t xml:space="preserve"> (best explained by a return to poor adherence)</w:t>
      </w:r>
      <w:r w:rsidRPr="006F1F70">
        <w:rPr>
          <w:color w:val="000000" w:themeColor="text1"/>
        </w:rPr>
        <w:t xml:space="preserve"> but a further fall in others</w:t>
      </w:r>
      <w:r>
        <w:rPr>
          <w:color w:val="000000" w:themeColor="text1"/>
        </w:rPr>
        <w:t xml:space="preserve"> (possibly reflecting improved adherence following careful discussion of the results with individual patients). Overall, therefore, </w:t>
      </w:r>
      <w:r>
        <w:t xml:space="preserve">a total of 66 out of 102 (65%) </w:t>
      </w:r>
      <w:r w:rsidRPr="006F1F70">
        <w:t>pa</w:t>
      </w:r>
      <w:r>
        <w:t>tients had SBP</w:t>
      </w:r>
      <w:r w:rsidRPr="006F1F70">
        <w:t xml:space="preserve"> controlled </w:t>
      </w:r>
      <w:r>
        <w:t xml:space="preserve">to &lt;140 mmHg </w:t>
      </w:r>
      <w:r w:rsidRPr="006F1F70">
        <w:t xml:space="preserve">at some </w:t>
      </w:r>
      <w:r>
        <w:t>time point</w:t>
      </w:r>
      <w:r w:rsidRPr="006F1F70">
        <w:t xml:space="preserve"> </w:t>
      </w:r>
      <w:r>
        <w:t xml:space="preserve">after referral for </w:t>
      </w:r>
      <w:r>
        <w:lastRenderedPageBreak/>
        <w:t xml:space="preserve">observed drug ingestion. </w:t>
      </w:r>
      <w:r w:rsidR="000523E0">
        <w:t xml:space="preserve"> </w:t>
      </w:r>
      <w:r>
        <w:t>Many ethnic groups were represented among</w:t>
      </w:r>
      <w:r w:rsidR="000523E0">
        <w:t>st this hypertensive population</w:t>
      </w:r>
      <w:r>
        <w:t xml:space="preserve">. </w:t>
      </w:r>
      <w:r w:rsidR="000523E0">
        <w:t xml:space="preserve"> </w:t>
      </w:r>
      <w:r>
        <w:t>Although the differences are small there was some evidence that there were more whites and fewer Asian patients who obtained blood pressure control, perhaps implying that there may be some ethnic differences in adherence to drug therapy in this group of patients.</w:t>
      </w:r>
    </w:p>
    <w:p w:rsidR="00097A7C" w:rsidRPr="0083518B" w:rsidRDefault="00097A7C" w:rsidP="00097A7C">
      <w:pPr>
        <w:spacing w:after="240" w:line="480" w:lineRule="auto"/>
        <w:ind w:firstLine="720"/>
      </w:pPr>
      <w:r w:rsidRPr="006F1F70">
        <w:t>The implications of these findings are substantial.  There remains high residual morbidity and</w:t>
      </w:r>
      <w:r>
        <w:t xml:space="preserve"> </w:t>
      </w:r>
      <w:r w:rsidRPr="006F1F70">
        <w:t>mortality from cardiovascular complications of hypertension in uncontrolled patient</w:t>
      </w:r>
      <w:r>
        <w:t>s</w:t>
      </w:r>
      <w:r w:rsidRPr="006F1F70">
        <w:t>.</w:t>
      </w:r>
      <w:r w:rsidRPr="003C052C">
        <w:rPr>
          <w:vertAlign w:val="superscript"/>
        </w:rPr>
        <w:t>8</w:t>
      </w:r>
      <w:r w:rsidRPr="007873CA">
        <w:t xml:space="preserve"> </w:t>
      </w:r>
      <w:r>
        <w:t xml:space="preserve">  </w:t>
      </w:r>
      <w:proofErr w:type="gramStart"/>
      <w:r>
        <w:t>T</w:t>
      </w:r>
      <w:r w:rsidRPr="006F1F70">
        <w:t>he</w:t>
      </w:r>
      <w:proofErr w:type="gramEnd"/>
      <w:r w:rsidRPr="006F1F70">
        <w:t xml:space="preserve"> economic consequences of uncontrolled hypertension, the increased frequency of visits to general practitioners, referrals to specialists and further (often unwa</w:t>
      </w:r>
      <w:r>
        <w:t>rranted) investigations consume</w:t>
      </w:r>
      <w:r w:rsidRPr="006F1F70">
        <w:t xml:space="preserve"> substantial resources and funding in a</w:t>
      </w:r>
      <w:r>
        <w:t>n already</w:t>
      </w:r>
      <w:r w:rsidRPr="006F1F70">
        <w:t xml:space="preserve"> economically challenged healthcare system.</w:t>
      </w:r>
      <w:r>
        <w:t xml:space="preserve"> </w:t>
      </w:r>
      <w:r w:rsidRPr="00D54E8B">
        <w:t>Improvement in adherence to antihypertensive drugs, in general, could lead to health care savings</w:t>
      </w:r>
      <w:r>
        <w:t xml:space="preserve"> in the UK </w:t>
      </w:r>
      <w:r w:rsidRPr="00D54E8B">
        <w:t>in excess of £390</w:t>
      </w:r>
      <w:r>
        <w:t xml:space="preserve"> million per year.</w:t>
      </w:r>
      <w:r w:rsidRPr="00FE2735">
        <w:rPr>
          <w:vertAlign w:val="superscript"/>
        </w:rPr>
        <w:t>10</w:t>
      </w:r>
      <w:r w:rsidRPr="007873CA">
        <w:rPr>
          <w:vertAlign w:val="superscript"/>
        </w:rPr>
        <w:t xml:space="preserve"> </w:t>
      </w:r>
    </w:p>
    <w:p w:rsidR="00097A7C" w:rsidRDefault="00097A7C" w:rsidP="00097A7C">
      <w:pPr>
        <w:spacing w:after="240" w:line="480" w:lineRule="auto"/>
        <w:ind w:firstLine="720"/>
        <w:rPr>
          <w:vertAlign w:val="superscript"/>
        </w:rPr>
      </w:pPr>
      <w:r>
        <w:t xml:space="preserve">Recently there was enthusiasm for treatment of </w:t>
      </w:r>
      <w:r w:rsidRPr="006F1F70">
        <w:t xml:space="preserve">patients </w:t>
      </w:r>
      <w:r>
        <w:t xml:space="preserve">with apparent drug resistant hypertension with </w:t>
      </w:r>
      <w:r w:rsidRPr="006F1F70">
        <w:t xml:space="preserve">renal </w:t>
      </w:r>
      <w:r>
        <w:t>sympathetic denervation,</w:t>
      </w:r>
      <w:r w:rsidRPr="001541A8">
        <w:rPr>
          <w:vertAlign w:val="superscript"/>
        </w:rPr>
        <w:t>11</w:t>
      </w:r>
      <w:r>
        <w:t xml:space="preserve"> following early promising results.</w:t>
      </w:r>
      <w:r w:rsidRPr="007C5D2B">
        <w:rPr>
          <w:vertAlign w:val="superscript"/>
        </w:rPr>
        <w:t>12</w:t>
      </w:r>
      <w:r>
        <w:rPr>
          <w:vertAlign w:val="superscript"/>
        </w:rPr>
        <w:t xml:space="preserve">   </w:t>
      </w:r>
      <w:r>
        <w:t>In light of our results, and another small study that demonstrated no benefit of renal denervation on BP in resistant hypertension when medicines adherence was properly taken into account by witnessed antihypertensive drug taking,</w:t>
      </w:r>
      <w:r w:rsidRPr="007C5D2B">
        <w:rPr>
          <w:vertAlign w:val="superscript"/>
        </w:rPr>
        <w:t>1</w:t>
      </w:r>
      <w:r>
        <w:rPr>
          <w:vertAlign w:val="superscript"/>
        </w:rPr>
        <w:t>3</w:t>
      </w:r>
      <w:r>
        <w:t xml:space="preserve"> it is highly likely that many patients in these trials were non-adherent to their medications and changes in adherence behaviour following the intervention may have contributed to the initial favourable results, which have not been borne out in subsequent investigations.</w:t>
      </w:r>
      <w:r w:rsidRPr="007F6535">
        <w:rPr>
          <w:vertAlign w:val="superscript"/>
        </w:rPr>
        <w:t>1</w:t>
      </w:r>
      <w:r>
        <w:rPr>
          <w:vertAlign w:val="superscript"/>
        </w:rPr>
        <w:t>4</w:t>
      </w:r>
      <w:r>
        <w:t xml:space="preserve">  The issue of medicine adherence is being addressed in ongoing trials of the technique but in the meantime there is a moratorium on the procedure outside the context of clinical trials in the UK.</w:t>
      </w:r>
      <w:r w:rsidRPr="007F6535">
        <w:rPr>
          <w:vertAlign w:val="superscript"/>
        </w:rPr>
        <w:t>1</w:t>
      </w:r>
      <w:r>
        <w:rPr>
          <w:vertAlign w:val="superscript"/>
        </w:rPr>
        <w:t>5</w:t>
      </w:r>
    </w:p>
    <w:p w:rsidR="00097A7C" w:rsidRDefault="00097A7C" w:rsidP="00097A7C">
      <w:pPr>
        <w:tabs>
          <w:tab w:val="left" w:pos="4111"/>
        </w:tabs>
        <w:spacing w:after="240" w:line="480" w:lineRule="auto"/>
      </w:pPr>
      <w:r>
        <w:t xml:space="preserve">               </w:t>
      </w:r>
      <w:r w:rsidRPr="006F1F70">
        <w:t xml:space="preserve">The </w:t>
      </w:r>
      <w:r>
        <w:t xml:space="preserve">more general </w:t>
      </w:r>
      <w:r w:rsidRPr="006F1F70">
        <w:t xml:space="preserve">issue of poor </w:t>
      </w:r>
      <w:r>
        <w:t>adherence</w:t>
      </w:r>
      <w:r w:rsidRPr="006F1F70">
        <w:t xml:space="preserve"> deserves more extensive study </w:t>
      </w:r>
      <w:r>
        <w:t>than possible in this report.</w:t>
      </w:r>
      <w:r w:rsidRPr="006F1F70">
        <w:t xml:space="preserve"> </w:t>
      </w:r>
      <w:r>
        <w:t xml:space="preserve"> The prevalence of poor adherence in many medical disorders is high and the health </w:t>
      </w:r>
      <w:r>
        <w:lastRenderedPageBreak/>
        <w:t xml:space="preserve">care consequences of treatment failure are considerable, both in terms of financial costs and residual morbidity and mortality.  Triggers for poor adherence include inadequate patient education and lack of understanding, regimen complexity, the stigma of multiple drug therapy, denial and other poorly understood psychological reasons. </w:t>
      </w:r>
    </w:p>
    <w:p w:rsidR="00097A7C" w:rsidRPr="006F1F70" w:rsidRDefault="00097A7C" w:rsidP="00097A7C">
      <w:pPr>
        <w:spacing w:after="240" w:line="480" w:lineRule="auto"/>
      </w:pPr>
    </w:p>
    <w:p w:rsidR="00097A7C" w:rsidRPr="006F1F70" w:rsidRDefault="00097A7C" w:rsidP="00097A7C">
      <w:pPr>
        <w:spacing w:after="240" w:line="480" w:lineRule="auto"/>
        <w:rPr>
          <w:b/>
        </w:rPr>
      </w:pPr>
      <w:r w:rsidRPr="006F1F70">
        <w:rPr>
          <w:b/>
        </w:rPr>
        <w:t>Limitations of this study</w:t>
      </w:r>
    </w:p>
    <w:p w:rsidR="00097A7C" w:rsidRDefault="00097A7C" w:rsidP="00097A7C">
      <w:pPr>
        <w:spacing w:after="240" w:line="480" w:lineRule="auto"/>
      </w:pPr>
      <w:r w:rsidRPr="006F1F70">
        <w:t>Referral of patients for</w:t>
      </w:r>
      <w:r>
        <w:t xml:space="preserve"> observed drug ingestion</w:t>
      </w:r>
      <w:r w:rsidRPr="006F1F70">
        <w:t xml:space="preserve"> necessitated an explanation to the patients as to </w:t>
      </w:r>
      <w:r>
        <w:t xml:space="preserve">the nature of the </w:t>
      </w:r>
      <w:r w:rsidRPr="006F1F70">
        <w:t>procedure</w:t>
      </w:r>
      <w:r>
        <w:t>; this</w:t>
      </w:r>
      <w:r w:rsidRPr="006F1F70">
        <w:t xml:space="preserve"> clearly </w:t>
      </w:r>
      <w:r>
        <w:t xml:space="preserve">may have </w:t>
      </w:r>
      <w:r w:rsidRPr="006F1F70">
        <w:t>had an impact on patients</w:t>
      </w:r>
      <w:r>
        <w:t>’</w:t>
      </w:r>
      <w:r w:rsidRPr="006F1F70">
        <w:t xml:space="preserve"> </w:t>
      </w:r>
      <w:r>
        <w:t>adherence</w:t>
      </w:r>
      <w:r w:rsidRPr="006F1F70">
        <w:t xml:space="preserve"> with drug treatment between referral and </w:t>
      </w:r>
      <w:r>
        <w:t>observed</w:t>
      </w:r>
      <w:r w:rsidRPr="006F1F70">
        <w:t xml:space="preserve"> drug ingestion.  Nevertheless, </w:t>
      </w:r>
      <w:r>
        <w:t xml:space="preserve">the majority still </w:t>
      </w:r>
      <w:r w:rsidRPr="006F1F70">
        <w:t>had high</w:t>
      </w:r>
      <w:r>
        <w:t xml:space="preserve"> baseline BP readings on the day of observed drug ingestion and </w:t>
      </w:r>
      <w:r w:rsidRPr="006F1F70">
        <w:t xml:space="preserve">we endeavoured to mimic usual drug administration during the procedure.  </w:t>
      </w:r>
    </w:p>
    <w:p w:rsidR="00097A7C" w:rsidRDefault="00097A7C" w:rsidP="00097A7C">
      <w:pPr>
        <w:spacing w:after="240" w:line="480" w:lineRule="auto"/>
        <w:ind w:firstLine="720"/>
      </w:pPr>
      <w:r>
        <w:t>Our findings</w:t>
      </w:r>
      <w:r w:rsidRPr="006F1F70">
        <w:t xml:space="preserve"> </w:t>
      </w:r>
      <w:r>
        <w:t xml:space="preserve">are likely to have underestimated the prevalence of non-adherence </w:t>
      </w:r>
      <w:r w:rsidRPr="006F1F70">
        <w:t xml:space="preserve">because the maximal benefits </w:t>
      </w:r>
      <w:r>
        <w:t>of many drugs (</w:t>
      </w:r>
      <w:r w:rsidRPr="006F1F70">
        <w:t xml:space="preserve">particularly </w:t>
      </w:r>
      <w:r>
        <w:t xml:space="preserve">those which are </w:t>
      </w:r>
      <w:r w:rsidRPr="006F1F70">
        <w:t>long</w:t>
      </w:r>
      <w:r>
        <w:t>-</w:t>
      </w:r>
      <w:r w:rsidRPr="006F1F70">
        <w:t>acting</w:t>
      </w:r>
      <w:r>
        <w:t>)</w:t>
      </w:r>
      <w:r w:rsidRPr="006F1F70">
        <w:t xml:space="preserve"> are not seen for several days or weeks following </w:t>
      </w:r>
      <w:r>
        <w:t xml:space="preserve">initiation and therefore </w:t>
      </w:r>
      <w:r w:rsidRPr="006F1F70">
        <w:t xml:space="preserve">their </w:t>
      </w:r>
      <w:r>
        <w:t xml:space="preserve">full effect may not have been observed in the relatively short observation period (up to 30 hours) in this study. </w:t>
      </w:r>
    </w:p>
    <w:p w:rsidR="00097A7C" w:rsidRPr="009E2D9F" w:rsidRDefault="00097A7C" w:rsidP="00097A7C">
      <w:pPr>
        <w:spacing w:after="240" w:line="480" w:lineRule="auto"/>
        <w:ind w:firstLine="720"/>
        <w:rPr>
          <w:vertAlign w:val="superscript"/>
        </w:rPr>
      </w:pPr>
      <w:r>
        <w:t xml:space="preserve">Less than one </w:t>
      </w:r>
      <w:r w:rsidR="000523E0">
        <w:t>third of</w:t>
      </w:r>
      <w:r>
        <w:t xml:space="preserve"> the patients in this study were taking spironolactone.  </w:t>
      </w:r>
      <w:r w:rsidRPr="006F1F70">
        <w:t xml:space="preserve">We have previously shown </w:t>
      </w:r>
      <w:r>
        <w:t xml:space="preserve">in </w:t>
      </w:r>
      <w:r w:rsidRPr="006F1F70">
        <w:t>an extensive study that spironolactone is extremely effective in poorly controlled hypertensives</w:t>
      </w:r>
      <w:r>
        <w:t>,</w:t>
      </w:r>
      <w:r>
        <w:rPr>
          <w:vertAlign w:val="superscript"/>
        </w:rPr>
        <w:t>16</w:t>
      </w:r>
      <w:r>
        <w:t xml:space="preserve"> and this has recently been confirmed in a randomised controlled trial.</w:t>
      </w:r>
      <w:r w:rsidRPr="007C5D2B">
        <w:rPr>
          <w:vertAlign w:val="superscript"/>
        </w:rPr>
        <w:t>17</w:t>
      </w:r>
      <w:r>
        <w:rPr>
          <w:vertAlign w:val="superscript"/>
        </w:rPr>
        <w:t xml:space="preserve">  </w:t>
      </w:r>
      <w:r>
        <w:t>M</w:t>
      </w:r>
      <w:r w:rsidRPr="006F1F70">
        <w:t>ore patients</w:t>
      </w:r>
      <w:r>
        <w:t xml:space="preserve"> might</w:t>
      </w:r>
      <w:r w:rsidRPr="006F1F70">
        <w:t xml:space="preserve"> have been controlled if spironolactone had been included </w:t>
      </w:r>
      <w:r>
        <w:t xml:space="preserve">routinely </w:t>
      </w:r>
      <w:r w:rsidRPr="006F1F70">
        <w:t xml:space="preserve">in </w:t>
      </w:r>
      <w:r>
        <w:t xml:space="preserve">patients’ drug regimens; however, in </w:t>
      </w:r>
      <w:r w:rsidRPr="006F1F70">
        <w:t xml:space="preserve">many patients this had previously had been tried but withdrawn because of intolerance.  </w:t>
      </w:r>
    </w:p>
    <w:p w:rsidR="00097A7C" w:rsidRPr="006F1F70" w:rsidRDefault="00097A7C" w:rsidP="00097A7C">
      <w:pPr>
        <w:spacing w:after="240" w:line="480" w:lineRule="auto"/>
      </w:pPr>
    </w:p>
    <w:p w:rsidR="00097A7C" w:rsidRPr="006F1F70" w:rsidRDefault="00097A7C" w:rsidP="00097A7C">
      <w:pPr>
        <w:spacing w:after="240" w:line="480" w:lineRule="auto"/>
        <w:rPr>
          <w:b/>
        </w:rPr>
      </w:pPr>
      <w:r w:rsidRPr="006F1F70">
        <w:rPr>
          <w:b/>
        </w:rPr>
        <w:lastRenderedPageBreak/>
        <w:t>Strengths</w:t>
      </w:r>
      <w:r>
        <w:rPr>
          <w:b/>
        </w:rPr>
        <w:t xml:space="preserve"> of the study</w:t>
      </w:r>
    </w:p>
    <w:p w:rsidR="00097A7C" w:rsidRDefault="00097A7C" w:rsidP="00097A7C">
      <w:pPr>
        <w:spacing w:after="240" w:line="480" w:lineRule="auto"/>
      </w:pPr>
      <w:r w:rsidRPr="006F1F70">
        <w:t>This is the fir</w:t>
      </w:r>
      <w:r>
        <w:t>st</w:t>
      </w:r>
      <w:r w:rsidRPr="006F1F70">
        <w:t xml:space="preserve"> systematic observation </w:t>
      </w:r>
      <w:r>
        <w:t xml:space="preserve">to investigate </w:t>
      </w:r>
      <w:r w:rsidRPr="006F1F70">
        <w:t xml:space="preserve">the impact of observed drug ingestion </w:t>
      </w:r>
      <w:r>
        <w:t xml:space="preserve">on BP responses in patients with apparent resistant </w:t>
      </w:r>
      <w:r w:rsidRPr="006F1F70">
        <w:t>hypertensi</w:t>
      </w:r>
      <w:r>
        <w:t xml:space="preserve">on.  Our previous pilot study </w:t>
      </w:r>
      <w:r>
        <w:rPr>
          <w:vertAlign w:val="superscript"/>
        </w:rPr>
        <w:t>9</w:t>
      </w:r>
      <w:r>
        <w:t xml:space="preserve"> only included a </w:t>
      </w:r>
      <w:r w:rsidRPr="006F1F70">
        <w:t xml:space="preserve">small number of patients and it was felt important to </w:t>
      </w:r>
      <w:r>
        <w:t xml:space="preserve">extend </w:t>
      </w:r>
      <w:r w:rsidRPr="006F1F70">
        <w:t xml:space="preserve">the </w:t>
      </w:r>
      <w:r>
        <w:t>observations</w:t>
      </w:r>
      <w:r w:rsidRPr="006F1F70">
        <w:t xml:space="preserve"> with </w:t>
      </w:r>
      <w:r>
        <w:t xml:space="preserve">greater </w:t>
      </w:r>
      <w:r w:rsidRPr="006F1F70">
        <w:t>numbers</w:t>
      </w:r>
      <w:r>
        <w:t xml:space="preserve"> to arrive at a robust conclusion</w:t>
      </w:r>
      <w:r w:rsidRPr="006F1F70">
        <w:t xml:space="preserve">. </w:t>
      </w:r>
      <w:r>
        <w:t xml:space="preserve"> Our observations</w:t>
      </w:r>
      <w:r w:rsidRPr="006F1F70">
        <w:t xml:space="preserve"> will hopefully dissuade physicians from referring patients for extensive investigations</w:t>
      </w:r>
      <w:r>
        <w:t xml:space="preserve"> and invasive treatments</w:t>
      </w:r>
      <w:r w:rsidRPr="006F1F70">
        <w:t xml:space="preserve"> without </w:t>
      </w:r>
      <w:r>
        <w:t xml:space="preserve">a detailed assessment of medicines adherence, including </w:t>
      </w:r>
      <w:r w:rsidRPr="006F1F70">
        <w:t>observed drug ingestion.</w:t>
      </w:r>
    </w:p>
    <w:p w:rsidR="00097A7C" w:rsidRDefault="00097A7C" w:rsidP="00097A7C">
      <w:pPr>
        <w:spacing w:after="240" w:line="480" w:lineRule="auto"/>
        <w:ind w:firstLine="720"/>
      </w:pPr>
      <w:r>
        <w:t>The availability of sensitive assays for antihypertensive drugs and their metabolites in urine has only become available recently and we have no observations in these reported patients.  However, our recent clinical experience shows that approximately 50% of patients with apparent resistant hypertension, when urine tested for all prescribed drugs, have either no drug or metabolite present, or test positive for a fraction of the prescribed drugs.  These independent findings strongly support our current observations and the conclusions drawn from their findings.</w:t>
      </w:r>
    </w:p>
    <w:p w:rsidR="00097A7C" w:rsidRDefault="00097A7C" w:rsidP="00097A7C">
      <w:pPr>
        <w:spacing w:after="240" w:line="480" w:lineRule="auto"/>
        <w:ind w:firstLine="720"/>
      </w:pPr>
    </w:p>
    <w:p w:rsidR="00097A7C" w:rsidRDefault="00097A7C" w:rsidP="00097A7C">
      <w:pPr>
        <w:spacing w:after="240" w:line="480" w:lineRule="auto"/>
        <w:rPr>
          <w:b/>
        </w:rPr>
      </w:pPr>
    </w:p>
    <w:p w:rsidR="00097A7C" w:rsidRDefault="00097A7C" w:rsidP="00097A7C">
      <w:pPr>
        <w:spacing w:after="240" w:line="480" w:lineRule="auto"/>
        <w:rPr>
          <w:b/>
        </w:rPr>
      </w:pPr>
      <w:r w:rsidRPr="007873CA">
        <w:rPr>
          <w:b/>
        </w:rPr>
        <w:t>Conclusions</w:t>
      </w:r>
    </w:p>
    <w:p w:rsidR="00097A7C" w:rsidRDefault="00097A7C" w:rsidP="00097A7C">
      <w:pPr>
        <w:spacing w:after="240" w:line="480" w:lineRule="auto"/>
      </w:pPr>
      <w:r>
        <w:t xml:space="preserve">Among patients with apparent resistant hypertension, the majority achieve control when observed to take their usual medications suggesting that non-adherence is a major cause of poor BP control. </w:t>
      </w:r>
      <w:r w:rsidR="000523E0">
        <w:t xml:space="preserve"> </w:t>
      </w:r>
      <w:r w:rsidRPr="006F1F70">
        <w:t>F</w:t>
      </w:r>
      <w:r>
        <w:t xml:space="preserve">urther study is required into the </w:t>
      </w:r>
      <w:r w:rsidRPr="006F1F70">
        <w:t xml:space="preserve">psychological and other factors leading to poor </w:t>
      </w:r>
      <w:r>
        <w:t xml:space="preserve">adherence. </w:t>
      </w:r>
      <w:r w:rsidR="000523E0">
        <w:t xml:space="preserve"> </w:t>
      </w:r>
      <w:r>
        <w:t>Patients and their physicians need to be educated and innovative solutions to the problem need to be sought.</w:t>
      </w:r>
    </w:p>
    <w:p w:rsidR="00097A7C" w:rsidRDefault="00097A7C" w:rsidP="00097A7C">
      <w:pPr>
        <w:spacing w:line="480" w:lineRule="auto"/>
        <w:rPr>
          <w:b/>
        </w:rPr>
      </w:pPr>
    </w:p>
    <w:p w:rsidR="00097A7C" w:rsidRPr="003908CB" w:rsidRDefault="00097A7C" w:rsidP="00097A7C">
      <w:pPr>
        <w:spacing w:line="480" w:lineRule="auto"/>
        <w:rPr>
          <w:b/>
        </w:rPr>
      </w:pPr>
      <w:r w:rsidRPr="003908CB">
        <w:rPr>
          <w:b/>
        </w:rPr>
        <w:lastRenderedPageBreak/>
        <w:t>Conflict of interest</w:t>
      </w:r>
    </w:p>
    <w:p w:rsidR="00097A7C" w:rsidRDefault="00097A7C" w:rsidP="00097A7C">
      <w:pPr>
        <w:spacing w:line="480" w:lineRule="auto"/>
      </w:pPr>
      <w:r>
        <w:t>The authors have no conflicts of interest to report.</w:t>
      </w:r>
    </w:p>
    <w:p w:rsidR="00097A7C" w:rsidRDefault="00097A7C" w:rsidP="00097A7C">
      <w:pPr>
        <w:spacing w:line="480" w:lineRule="auto"/>
      </w:pPr>
    </w:p>
    <w:p w:rsidR="00097A7C" w:rsidRPr="009C60CB" w:rsidRDefault="00097A7C" w:rsidP="00097A7C">
      <w:pPr>
        <w:spacing w:line="480" w:lineRule="auto"/>
        <w:rPr>
          <w:b/>
        </w:rPr>
      </w:pPr>
      <w:r w:rsidRPr="009C60CB">
        <w:rPr>
          <w:b/>
        </w:rPr>
        <w:t>Acknowledgments</w:t>
      </w:r>
    </w:p>
    <w:p w:rsidR="00097A7C" w:rsidRDefault="00097A7C" w:rsidP="00097A7C">
      <w:pPr>
        <w:spacing w:line="480" w:lineRule="auto"/>
      </w:pPr>
      <w:r>
        <w:t>The authors gratefully acknowledge support from the Biomedical Research Council Award to Imperial College Healthcare NHS Trust.  PS and NP are recipients of NIHR Senior Investigator Awards.  The Foundation for Circulatory Health and the Luff Foundation contributed to work presented in this report.</w:t>
      </w:r>
    </w:p>
    <w:p w:rsidR="00097A7C" w:rsidRDefault="00097A7C" w:rsidP="00097A7C">
      <w:r>
        <w:br w:type="page"/>
      </w:r>
    </w:p>
    <w:p w:rsidR="00097A7C" w:rsidRPr="009C60CB" w:rsidRDefault="00097A7C" w:rsidP="00097A7C">
      <w:pPr>
        <w:spacing w:line="480" w:lineRule="auto"/>
        <w:rPr>
          <w:b/>
        </w:rPr>
      </w:pPr>
      <w:r w:rsidRPr="009C60CB">
        <w:rPr>
          <w:b/>
        </w:rPr>
        <w:lastRenderedPageBreak/>
        <w:t>References</w:t>
      </w:r>
    </w:p>
    <w:p w:rsidR="00097A7C" w:rsidRPr="00977785" w:rsidRDefault="00097A7C" w:rsidP="00097A7C">
      <w:pPr>
        <w:pStyle w:val="ListParagraph"/>
        <w:numPr>
          <w:ilvl w:val="0"/>
          <w:numId w:val="5"/>
        </w:numPr>
        <w:spacing w:line="480" w:lineRule="auto"/>
        <w:rPr>
          <w:rFonts w:cstheme="minorHAnsi"/>
        </w:rPr>
      </w:pPr>
      <w:proofErr w:type="spellStart"/>
      <w:r w:rsidRPr="00977785">
        <w:rPr>
          <w:rFonts w:cstheme="minorHAnsi"/>
        </w:rPr>
        <w:t>Myat</w:t>
      </w:r>
      <w:proofErr w:type="spellEnd"/>
      <w:r w:rsidRPr="00977785">
        <w:rPr>
          <w:rFonts w:cstheme="minorHAnsi"/>
        </w:rPr>
        <w:t xml:space="preserve"> A, Redwood SR, Qureshi AC, et al.  Resistant Hypertension.  </w:t>
      </w:r>
      <w:r w:rsidRPr="00977785">
        <w:rPr>
          <w:rFonts w:cstheme="minorHAnsi"/>
          <w:i/>
        </w:rPr>
        <w:t>BMJ</w:t>
      </w:r>
      <w:r w:rsidRPr="00977785">
        <w:rPr>
          <w:rFonts w:cstheme="minorHAnsi"/>
        </w:rPr>
        <w:t xml:space="preserve"> 2012</w:t>
      </w:r>
      <w:proofErr w:type="gramStart"/>
      <w:r w:rsidRPr="00977785">
        <w:rPr>
          <w:rFonts w:cstheme="minorHAnsi"/>
        </w:rPr>
        <w:t>;345</w:t>
      </w:r>
      <w:proofErr w:type="gramEnd"/>
      <w:r w:rsidRPr="00977785">
        <w:rPr>
          <w:rFonts w:cstheme="minorHAnsi"/>
        </w:rPr>
        <w:t>;e7473.</w:t>
      </w:r>
    </w:p>
    <w:p w:rsidR="00097A7C" w:rsidRPr="00022F5A" w:rsidRDefault="00097A7C" w:rsidP="00097A7C">
      <w:pPr>
        <w:spacing w:line="480" w:lineRule="auto"/>
        <w:rPr>
          <w:rFonts w:cstheme="minorHAnsi"/>
        </w:rPr>
      </w:pPr>
    </w:p>
    <w:p w:rsidR="00097A7C" w:rsidRDefault="00097A7C" w:rsidP="00097A7C">
      <w:pPr>
        <w:spacing w:line="480" w:lineRule="auto"/>
        <w:ind w:left="360"/>
        <w:rPr>
          <w:rFonts w:cstheme="minorHAnsi"/>
        </w:rPr>
      </w:pPr>
      <w:r>
        <w:rPr>
          <w:rFonts w:cstheme="minorHAnsi"/>
        </w:rPr>
        <w:t xml:space="preserve">2.   </w:t>
      </w:r>
      <w:r w:rsidRPr="00583080">
        <w:rPr>
          <w:rFonts w:cstheme="minorHAnsi"/>
        </w:rPr>
        <w:t xml:space="preserve">Falaschetti E, </w:t>
      </w:r>
      <w:proofErr w:type="spellStart"/>
      <w:r w:rsidRPr="00583080">
        <w:rPr>
          <w:rFonts w:cstheme="minorHAnsi"/>
        </w:rPr>
        <w:t>Mindell</w:t>
      </w:r>
      <w:proofErr w:type="spellEnd"/>
      <w:r w:rsidRPr="00583080">
        <w:rPr>
          <w:rFonts w:cstheme="minorHAnsi"/>
        </w:rPr>
        <w:t xml:space="preserve"> J, Knott C, Poulter N. Hypertension management in England: a serial </w:t>
      </w:r>
    </w:p>
    <w:p w:rsidR="00097A7C" w:rsidRPr="00583080" w:rsidRDefault="00097A7C" w:rsidP="00097A7C">
      <w:pPr>
        <w:spacing w:line="480" w:lineRule="auto"/>
        <w:ind w:left="360"/>
        <w:rPr>
          <w:highlight w:val="yellow"/>
        </w:rPr>
      </w:pPr>
      <w:proofErr w:type="gramStart"/>
      <w:r w:rsidRPr="00583080">
        <w:rPr>
          <w:rFonts w:cstheme="minorHAnsi"/>
        </w:rPr>
        <w:t>cross-sectional</w:t>
      </w:r>
      <w:proofErr w:type="gramEnd"/>
      <w:r w:rsidRPr="00583080">
        <w:rPr>
          <w:rFonts w:cstheme="minorHAnsi"/>
        </w:rPr>
        <w:t xml:space="preserve"> study from 1994 to 2011. </w:t>
      </w:r>
      <w:r w:rsidRPr="00583080">
        <w:rPr>
          <w:rFonts w:cs="Shaker2Lancet-BoldItalic"/>
          <w:bCs/>
          <w:i/>
          <w:iCs/>
        </w:rPr>
        <w:t xml:space="preserve">Lancet </w:t>
      </w:r>
      <w:r w:rsidRPr="00583080">
        <w:rPr>
          <w:rFonts w:eastAsia="Shaker2Lancet-Bold" w:cs="Shaker2Lancet-Bold"/>
          <w:bCs/>
        </w:rPr>
        <w:t>2014; 383:1912-1919</w:t>
      </w:r>
    </w:p>
    <w:p w:rsidR="00097A7C" w:rsidRPr="006C527D" w:rsidRDefault="00097A7C" w:rsidP="00097A7C">
      <w:pPr>
        <w:spacing w:line="480" w:lineRule="auto"/>
        <w:ind w:left="-76"/>
        <w:rPr>
          <w:highlight w:val="yellow"/>
        </w:rPr>
      </w:pPr>
    </w:p>
    <w:p w:rsidR="00097A7C" w:rsidRPr="00583080" w:rsidRDefault="00097A7C" w:rsidP="00097A7C">
      <w:pPr>
        <w:spacing w:line="480" w:lineRule="auto"/>
        <w:ind w:left="360"/>
        <w:rPr>
          <w:rFonts w:cstheme="minorHAnsi"/>
        </w:rPr>
      </w:pPr>
      <w:r>
        <w:rPr>
          <w:rFonts w:cstheme="minorHAnsi"/>
        </w:rPr>
        <w:t>3.</w:t>
      </w:r>
      <w:r>
        <w:rPr>
          <w:rFonts w:cstheme="minorHAnsi"/>
        </w:rPr>
        <w:tab/>
      </w:r>
      <w:proofErr w:type="spellStart"/>
      <w:r w:rsidRPr="00583080">
        <w:rPr>
          <w:rFonts w:cstheme="minorHAnsi"/>
        </w:rPr>
        <w:t>Fagard</w:t>
      </w:r>
      <w:proofErr w:type="spellEnd"/>
      <w:r w:rsidRPr="00583080">
        <w:rPr>
          <w:rFonts w:cstheme="minorHAnsi"/>
        </w:rPr>
        <w:t xml:space="preserve"> RH.  </w:t>
      </w:r>
      <w:proofErr w:type="gramStart"/>
      <w:r w:rsidRPr="00583080">
        <w:rPr>
          <w:rFonts w:cstheme="minorHAnsi"/>
        </w:rPr>
        <w:t>Resistant Hypertension.</w:t>
      </w:r>
      <w:proofErr w:type="gramEnd"/>
      <w:r w:rsidRPr="00583080">
        <w:rPr>
          <w:rFonts w:cstheme="minorHAnsi"/>
        </w:rPr>
        <w:t xml:space="preserve">  </w:t>
      </w:r>
      <w:r w:rsidRPr="00583080">
        <w:rPr>
          <w:rFonts w:cstheme="minorHAnsi"/>
          <w:i/>
        </w:rPr>
        <w:t>Heart</w:t>
      </w:r>
      <w:r w:rsidRPr="00583080">
        <w:rPr>
          <w:rFonts w:cstheme="minorHAnsi"/>
        </w:rPr>
        <w:t xml:space="preserve"> 2012</w:t>
      </w:r>
      <w:proofErr w:type="gramStart"/>
      <w:r w:rsidRPr="00583080">
        <w:rPr>
          <w:rFonts w:cstheme="minorHAnsi"/>
        </w:rPr>
        <w:t>;98:254</w:t>
      </w:r>
      <w:proofErr w:type="gramEnd"/>
      <w:r w:rsidRPr="00583080">
        <w:rPr>
          <w:rFonts w:cstheme="minorHAnsi"/>
        </w:rPr>
        <w:t>-261.</w:t>
      </w:r>
    </w:p>
    <w:p w:rsidR="00097A7C" w:rsidRPr="00022F5A" w:rsidRDefault="00097A7C" w:rsidP="00097A7C">
      <w:pPr>
        <w:spacing w:line="480" w:lineRule="auto"/>
        <w:rPr>
          <w:rFonts w:cstheme="minorHAnsi"/>
        </w:rPr>
      </w:pPr>
    </w:p>
    <w:p w:rsidR="00097A7C" w:rsidRPr="00583080" w:rsidRDefault="00097A7C" w:rsidP="00097A7C">
      <w:pPr>
        <w:spacing w:line="480" w:lineRule="auto"/>
        <w:ind w:left="360"/>
        <w:rPr>
          <w:rFonts w:cstheme="minorHAnsi"/>
        </w:rPr>
      </w:pPr>
      <w:r>
        <w:rPr>
          <w:rFonts w:cstheme="minorHAnsi"/>
        </w:rPr>
        <w:t>4.</w:t>
      </w:r>
      <w:r>
        <w:rPr>
          <w:rFonts w:cstheme="minorHAnsi"/>
        </w:rPr>
        <w:tab/>
      </w:r>
      <w:r w:rsidRPr="00583080">
        <w:rPr>
          <w:rFonts w:cstheme="minorHAnsi"/>
        </w:rPr>
        <w:t xml:space="preserve">Calhoun DA, Jones D, </w:t>
      </w:r>
      <w:proofErr w:type="spellStart"/>
      <w:r w:rsidRPr="00583080">
        <w:rPr>
          <w:rFonts w:cstheme="minorHAnsi"/>
        </w:rPr>
        <w:t>Textor</w:t>
      </w:r>
      <w:proofErr w:type="spellEnd"/>
      <w:r w:rsidRPr="00583080">
        <w:rPr>
          <w:rFonts w:cstheme="minorHAnsi"/>
        </w:rPr>
        <w:t xml:space="preserve"> S, et al.    Resistant hypertension; diagnosis, evaluation, and treatment: A scientific statement from the American Heart Association Professorial Education Committee of the Council for High Blood Pressure Research.   </w:t>
      </w:r>
      <w:r w:rsidRPr="00583080">
        <w:rPr>
          <w:rFonts w:cstheme="minorHAnsi"/>
          <w:i/>
        </w:rPr>
        <w:t>Circulation</w:t>
      </w:r>
      <w:r w:rsidRPr="00583080">
        <w:rPr>
          <w:rFonts w:cstheme="minorHAnsi"/>
        </w:rPr>
        <w:t xml:space="preserve"> 2008</w:t>
      </w:r>
      <w:proofErr w:type="gramStart"/>
      <w:r w:rsidRPr="00583080">
        <w:rPr>
          <w:rFonts w:cstheme="minorHAnsi"/>
        </w:rPr>
        <w:t>;117:e510</w:t>
      </w:r>
      <w:proofErr w:type="gramEnd"/>
      <w:r w:rsidRPr="00583080">
        <w:rPr>
          <w:rFonts w:cstheme="minorHAnsi"/>
        </w:rPr>
        <w:t>-526.</w:t>
      </w:r>
    </w:p>
    <w:p w:rsidR="00097A7C" w:rsidRPr="00022F5A" w:rsidRDefault="00097A7C" w:rsidP="00097A7C">
      <w:pPr>
        <w:spacing w:line="480" w:lineRule="auto"/>
        <w:rPr>
          <w:rFonts w:cstheme="minorHAnsi"/>
        </w:rPr>
      </w:pPr>
    </w:p>
    <w:p w:rsidR="00097A7C" w:rsidRPr="00583080" w:rsidRDefault="00097A7C" w:rsidP="00097A7C">
      <w:pPr>
        <w:spacing w:line="480" w:lineRule="auto"/>
        <w:ind w:left="360"/>
        <w:rPr>
          <w:rStyle w:val="Hyperlink"/>
          <w:rFonts w:cstheme="minorHAnsi"/>
        </w:rPr>
      </w:pPr>
      <w:r>
        <w:rPr>
          <w:rFonts w:cstheme="minorHAnsi"/>
        </w:rPr>
        <w:t>5.</w:t>
      </w:r>
      <w:r>
        <w:rPr>
          <w:rFonts w:cstheme="minorHAnsi"/>
        </w:rPr>
        <w:tab/>
      </w:r>
      <w:r w:rsidRPr="00583080">
        <w:rPr>
          <w:rFonts w:cstheme="minorHAnsi"/>
        </w:rPr>
        <w:t xml:space="preserve">NICE Guidelines [CG127], Hypertension: clinical management of primary hypertension in adults. CG127, August 2011.  </w:t>
      </w:r>
      <w:hyperlink r:id="rId9" w:history="1">
        <w:r w:rsidRPr="00583080">
          <w:rPr>
            <w:rStyle w:val="Hyperlink"/>
            <w:rFonts w:cstheme="minorHAnsi"/>
          </w:rPr>
          <w:t>www.nice.org.uk/guidance/cg127</w:t>
        </w:r>
      </w:hyperlink>
    </w:p>
    <w:p w:rsidR="00097A7C" w:rsidRPr="00022F5A" w:rsidRDefault="00097A7C" w:rsidP="00097A7C">
      <w:pPr>
        <w:spacing w:line="480" w:lineRule="auto"/>
        <w:rPr>
          <w:rFonts w:cstheme="minorHAnsi"/>
        </w:rPr>
      </w:pPr>
    </w:p>
    <w:p w:rsidR="00097A7C" w:rsidRPr="00022F5A" w:rsidRDefault="00097A7C" w:rsidP="00097A7C">
      <w:pPr>
        <w:pStyle w:val="ListParagraph"/>
        <w:rPr>
          <w:rFonts w:cstheme="minorHAnsi"/>
        </w:rPr>
      </w:pPr>
    </w:p>
    <w:p w:rsidR="00097A7C" w:rsidRPr="00583080" w:rsidRDefault="00097A7C" w:rsidP="00097A7C">
      <w:pPr>
        <w:spacing w:line="480" w:lineRule="auto"/>
        <w:ind w:left="360"/>
        <w:rPr>
          <w:rFonts w:cstheme="minorHAnsi"/>
        </w:rPr>
      </w:pPr>
      <w:r>
        <w:rPr>
          <w:rFonts w:cstheme="minorHAnsi"/>
        </w:rPr>
        <w:t>6.</w:t>
      </w:r>
      <w:r>
        <w:rPr>
          <w:rFonts w:cstheme="minorHAnsi"/>
        </w:rPr>
        <w:tab/>
      </w:r>
      <w:r w:rsidRPr="00583080">
        <w:rPr>
          <w:rFonts w:cstheme="minorHAnsi"/>
        </w:rPr>
        <w:t xml:space="preserve">Kearney PM, </w:t>
      </w:r>
      <w:proofErr w:type="spellStart"/>
      <w:r w:rsidRPr="00583080">
        <w:rPr>
          <w:rFonts w:cstheme="minorHAnsi"/>
        </w:rPr>
        <w:t>Whelton</w:t>
      </w:r>
      <w:proofErr w:type="spellEnd"/>
      <w:r w:rsidRPr="00583080">
        <w:rPr>
          <w:rFonts w:cstheme="minorHAnsi"/>
        </w:rPr>
        <w:t xml:space="preserve"> M, Reynolds K, et al.  Global burden of hypertension: analysis of worldwide data.   </w:t>
      </w:r>
      <w:r w:rsidRPr="00583080">
        <w:rPr>
          <w:rFonts w:cstheme="minorHAnsi"/>
          <w:i/>
        </w:rPr>
        <w:t xml:space="preserve">Lancet </w:t>
      </w:r>
      <w:r w:rsidRPr="00583080">
        <w:rPr>
          <w:rFonts w:cstheme="minorHAnsi"/>
        </w:rPr>
        <w:t>2005:365</w:t>
      </w:r>
      <w:proofErr w:type="gramStart"/>
      <w:r w:rsidRPr="00583080">
        <w:rPr>
          <w:rFonts w:cstheme="minorHAnsi"/>
        </w:rPr>
        <w:t>;217</w:t>
      </w:r>
      <w:proofErr w:type="gramEnd"/>
      <w:r w:rsidRPr="00583080">
        <w:rPr>
          <w:rFonts w:cstheme="minorHAnsi"/>
        </w:rPr>
        <w:t>-223.</w:t>
      </w:r>
    </w:p>
    <w:p w:rsidR="00097A7C" w:rsidRPr="00022F5A" w:rsidRDefault="00097A7C" w:rsidP="00097A7C">
      <w:pPr>
        <w:spacing w:line="480" w:lineRule="auto"/>
        <w:rPr>
          <w:rFonts w:cstheme="minorHAnsi"/>
        </w:rPr>
      </w:pPr>
    </w:p>
    <w:p w:rsidR="00097A7C" w:rsidRPr="00022F5A" w:rsidRDefault="00097A7C" w:rsidP="00097A7C">
      <w:pPr>
        <w:pStyle w:val="ListParagraph"/>
        <w:rPr>
          <w:rFonts w:cstheme="minorHAnsi"/>
        </w:rPr>
      </w:pPr>
    </w:p>
    <w:p w:rsidR="00097A7C" w:rsidRPr="00583080" w:rsidRDefault="00097A7C" w:rsidP="00097A7C">
      <w:pPr>
        <w:spacing w:line="480" w:lineRule="auto"/>
        <w:ind w:left="360"/>
        <w:rPr>
          <w:rFonts w:cstheme="minorHAnsi"/>
        </w:rPr>
      </w:pPr>
      <w:r>
        <w:rPr>
          <w:rFonts w:cstheme="minorHAnsi"/>
        </w:rPr>
        <w:t>7.</w:t>
      </w:r>
      <w:r>
        <w:rPr>
          <w:rFonts w:cstheme="minorHAnsi"/>
        </w:rPr>
        <w:tab/>
      </w:r>
      <w:r w:rsidRPr="00583080">
        <w:rPr>
          <w:rFonts w:cstheme="minorHAnsi"/>
        </w:rPr>
        <w:t xml:space="preserve">Go AS, </w:t>
      </w:r>
      <w:proofErr w:type="spellStart"/>
      <w:r w:rsidRPr="00583080">
        <w:rPr>
          <w:rFonts w:cstheme="minorHAnsi"/>
        </w:rPr>
        <w:t>Mozaffarian</w:t>
      </w:r>
      <w:proofErr w:type="spellEnd"/>
      <w:r w:rsidRPr="00583080">
        <w:rPr>
          <w:rFonts w:cstheme="minorHAnsi"/>
        </w:rPr>
        <w:t xml:space="preserve"> D, Roger VL, </w:t>
      </w:r>
      <w:r w:rsidRPr="00583080">
        <w:rPr>
          <w:rFonts w:cstheme="minorHAnsi"/>
          <w:i/>
        </w:rPr>
        <w:t>et al</w:t>
      </w:r>
      <w:r w:rsidRPr="00583080">
        <w:rPr>
          <w:rFonts w:cstheme="minorHAnsi"/>
        </w:rPr>
        <w:t xml:space="preserve"> on behalf of the American Heart Association Statistics Committee and Stroke Statistics Subcommittee.   Heart disease and stroke statistics – 2014 update: A report from the American Heart Association.  </w:t>
      </w:r>
      <w:r w:rsidRPr="00583080">
        <w:rPr>
          <w:rFonts w:cstheme="minorHAnsi"/>
          <w:i/>
        </w:rPr>
        <w:t>Circulation</w:t>
      </w:r>
      <w:r w:rsidRPr="00583080">
        <w:rPr>
          <w:rFonts w:cstheme="minorHAnsi"/>
        </w:rPr>
        <w:t xml:space="preserve"> 2013:129</w:t>
      </w:r>
      <w:proofErr w:type="gramStart"/>
      <w:r w:rsidRPr="00583080">
        <w:rPr>
          <w:rFonts w:cstheme="minorHAnsi"/>
        </w:rPr>
        <w:t>;e28</w:t>
      </w:r>
      <w:proofErr w:type="gramEnd"/>
      <w:r w:rsidRPr="00583080">
        <w:rPr>
          <w:rFonts w:cstheme="minorHAnsi"/>
        </w:rPr>
        <w:t xml:space="preserve">-e292.  </w:t>
      </w:r>
    </w:p>
    <w:p w:rsidR="00097A7C" w:rsidRPr="00022F5A" w:rsidRDefault="00097A7C" w:rsidP="00097A7C">
      <w:pPr>
        <w:spacing w:line="480" w:lineRule="auto"/>
        <w:rPr>
          <w:rFonts w:cstheme="minorHAnsi"/>
        </w:rPr>
      </w:pPr>
    </w:p>
    <w:p w:rsidR="00097A7C" w:rsidRPr="00583080" w:rsidRDefault="00097A7C" w:rsidP="00097A7C">
      <w:pPr>
        <w:spacing w:line="480" w:lineRule="auto"/>
        <w:ind w:left="360"/>
        <w:rPr>
          <w:rFonts w:cstheme="minorHAnsi"/>
        </w:rPr>
      </w:pPr>
      <w:r>
        <w:rPr>
          <w:rFonts w:cstheme="minorHAnsi"/>
        </w:rPr>
        <w:lastRenderedPageBreak/>
        <w:t>8.</w:t>
      </w:r>
      <w:r>
        <w:rPr>
          <w:rFonts w:cstheme="minorHAnsi"/>
        </w:rPr>
        <w:tab/>
      </w:r>
      <w:proofErr w:type="spellStart"/>
      <w:r w:rsidRPr="00583080">
        <w:rPr>
          <w:rFonts w:cstheme="minorHAnsi"/>
        </w:rPr>
        <w:t>Tsioufis</w:t>
      </w:r>
      <w:proofErr w:type="spellEnd"/>
      <w:r w:rsidRPr="00583080">
        <w:rPr>
          <w:rFonts w:cstheme="minorHAnsi"/>
        </w:rPr>
        <w:t xml:space="preserve"> C, </w:t>
      </w:r>
      <w:proofErr w:type="spellStart"/>
      <w:r w:rsidRPr="00583080">
        <w:rPr>
          <w:rFonts w:cstheme="minorHAnsi"/>
        </w:rPr>
        <w:t>Kasiakogias</w:t>
      </w:r>
      <w:proofErr w:type="spellEnd"/>
      <w:r w:rsidRPr="00583080">
        <w:rPr>
          <w:rFonts w:cstheme="minorHAnsi"/>
        </w:rPr>
        <w:t xml:space="preserve"> A, </w:t>
      </w:r>
      <w:proofErr w:type="spellStart"/>
      <w:r w:rsidRPr="00583080">
        <w:rPr>
          <w:rFonts w:cstheme="minorHAnsi"/>
        </w:rPr>
        <w:t>Kordalis</w:t>
      </w:r>
      <w:proofErr w:type="spellEnd"/>
      <w:r w:rsidRPr="00583080">
        <w:rPr>
          <w:rFonts w:cstheme="minorHAnsi"/>
        </w:rPr>
        <w:t xml:space="preserve"> A, et al.  Dynamic resistant hypertension patterns as predictors of cardiovascular morbidity: a 4-year prospective study.  </w:t>
      </w:r>
      <w:r w:rsidRPr="00583080">
        <w:rPr>
          <w:rFonts w:cstheme="minorHAnsi"/>
          <w:i/>
        </w:rPr>
        <w:t xml:space="preserve">J </w:t>
      </w:r>
      <w:proofErr w:type="spellStart"/>
      <w:r w:rsidRPr="00583080">
        <w:rPr>
          <w:rFonts w:cstheme="minorHAnsi"/>
          <w:i/>
        </w:rPr>
        <w:t>Hypertens</w:t>
      </w:r>
      <w:proofErr w:type="spellEnd"/>
      <w:r w:rsidRPr="00583080">
        <w:rPr>
          <w:rFonts w:cstheme="minorHAnsi"/>
        </w:rPr>
        <w:t xml:space="preserve"> 2014:32</w:t>
      </w:r>
      <w:proofErr w:type="gramStart"/>
      <w:r w:rsidRPr="00583080">
        <w:rPr>
          <w:rFonts w:cstheme="minorHAnsi"/>
        </w:rPr>
        <w:t>;415</w:t>
      </w:r>
      <w:proofErr w:type="gramEnd"/>
      <w:r w:rsidRPr="00583080">
        <w:rPr>
          <w:rFonts w:cstheme="minorHAnsi"/>
        </w:rPr>
        <w:t>-422.</w:t>
      </w:r>
    </w:p>
    <w:p w:rsidR="00097A7C" w:rsidRDefault="00097A7C" w:rsidP="00097A7C">
      <w:pPr>
        <w:spacing w:line="480" w:lineRule="auto"/>
        <w:rPr>
          <w:rFonts w:cstheme="minorHAnsi"/>
        </w:rPr>
      </w:pPr>
    </w:p>
    <w:p w:rsidR="00097A7C" w:rsidRPr="00583080" w:rsidRDefault="00097A7C" w:rsidP="00097A7C">
      <w:pPr>
        <w:spacing w:line="480" w:lineRule="auto"/>
        <w:ind w:left="360"/>
        <w:rPr>
          <w:rFonts w:cstheme="minorHAnsi"/>
        </w:rPr>
      </w:pPr>
      <w:r>
        <w:rPr>
          <w:rFonts w:cstheme="minorHAnsi"/>
        </w:rPr>
        <w:t>9.</w:t>
      </w:r>
      <w:r>
        <w:rPr>
          <w:rFonts w:cstheme="minorHAnsi"/>
        </w:rPr>
        <w:tab/>
      </w:r>
      <w:r w:rsidRPr="00583080">
        <w:rPr>
          <w:rFonts w:cstheme="minorHAnsi"/>
        </w:rPr>
        <w:t xml:space="preserve">Bunker J, Callister W, </w:t>
      </w:r>
      <w:proofErr w:type="gramStart"/>
      <w:r w:rsidRPr="00583080">
        <w:rPr>
          <w:rFonts w:cstheme="minorHAnsi"/>
        </w:rPr>
        <w:t>Chang</w:t>
      </w:r>
      <w:proofErr w:type="gramEnd"/>
      <w:r w:rsidRPr="00583080">
        <w:rPr>
          <w:rFonts w:cstheme="minorHAnsi"/>
        </w:rPr>
        <w:t xml:space="preserve"> C-L, Sever PS.  How common is true resistant hypertension</w:t>
      </w:r>
      <w:r w:rsidRPr="00583080">
        <w:rPr>
          <w:rFonts w:cstheme="minorHAnsi"/>
          <w:i/>
        </w:rPr>
        <w:t xml:space="preserve">?  J Hum </w:t>
      </w:r>
      <w:proofErr w:type="spellStart"/>
      <w:r w:rsidRPr="00583080">
        <w:rPr>
          <w:rFonts w:cstheme="minorHAnsi"/>
          <w:i/>
        </w:rPr>
        <w:t>Hypertens</w:t>
      </w:r>
      <w:proofErr w:type="spellEnd"/>
      <w:r w:rsidRPr="00583080">
        <w:rPr>
          <w:rFonts w:cstheme="minorHAnsi"/>
        </w:rPr>
        <w:t xml:space="preserve"> 2011</w:t>
      </w:r>
      <w:proofErr w:type="gramStart"/>
      <w:r w:rsidRPr="00583080">
        <w:rPr>
          <w:rFonts w:cstheme="minorHAnsi"/>
        </w:rPr>
        <w:t>;25</w:t>
      </w:r>
      <w:proofErr w:type="gramEnd"/>
      <w:r w:rsidRPr="00583080">
        <w:rPr>
          <w:rFonts w:cstheme="minorHAnsi"/>
        </w:rPr>
        <w:t>(2):137-140.</w:t>
      </w:r>
    </w:p>
    <w:p w:rsidR="00097A7C" w:rsidRPr="00022F5A" w:rsidRDefault="00097A7C" w:rsidP="00097A7C">
      <w:pPr>
        <w:spacing w:line="480" w:lineRule="auto"/>
        <w:rPr>
          <w:rFonts w:cstheme="minorHAnsi"/>
        </w:rPr>
      </w:pPr>
    </w:p>
    <w:p w:rsidR="00097A7C" w:rsidRPr="00583080" w:rsidRDefault="00097A7C" w:rsidP="00097A7C">
      <w:pPr>
        <w:spacing w:line="480" w:lineRule="auto"/>
        <w:ind w:left="360"/>
        <w:rPr>
          <w:rFonts w:ascii="Arial" w:hAnsi="Arial" w:cs="Arial"/>
          <w:color w:val="0000FF" w:themeColor="hyperlink"/>
          <w:sz w:val="19"/>
          <w:szCs w:val="19"/>
          <w:u w:val="single"/>
        </w:rPr>
      </w:pPr>
      <w:r>
        <w:rPr>
          <w:rFonts w:cstheme="minorHAnsi"/>
        </w:rPr>
        <w:t>10.</w:t>
      </w:r>
      <w:r>
        <w:rPr>
          <w:rFonts w:cstheme="minorHAnsi"/>
        </w:rPr>
        <w:tab/>
      </w:r>
      <w:proofErr w:type="spellStart"/>
      <w:r w:rsidRPr="00583080">
        <w:rPr>
          <w:rFonts w:cstheme="minorHAnsi"/>
        </w:rPr>
        <w:t>Trueman</w:t>
      </w:r>
      <w:proofErr w:type="spellEnd"/>
      <w:r w:rsidRPr="00583080">
        <w:rPr>
          <w:rFonts w:cstheme="minorHAnsi"/>
        </w:rPr>
        <w:t xml:space="preserve"> P, Taylor DG, </w:t>
      </w:r>
      <w:proofErr w:type="spellStart"/>
      <w:r w:rsidRPr="00583080">
        <w:rPr>
          <w:rFonts w:cstheme="minorHAnsi"/>
        </w:rPr>
        <w:t>Lowson</w:t>
      </w:r>
      <w:proofErr w:type="spellEnd"/>
      <w:r w:rsidRPr="00583080">
        <w:rPr>
          <w:rFonts w:cstheme="minorHAnsi"/>
        </w:rPr>
        <w:t xml:space="preserve"> K et al.  Evaluation of the </w:t>
      </w:r>
      <w:proofErr w:type="gramStart"/>
      <w:r w:rsidRPr="00583080">
        <w:rPr>
          <w:rFonts w:cstheme="minorHAnsi"/>
        </w:rPr>
        <w:t>scale,</w:t>
      </w:r>
      <w:proofErr w:type="gramEnd"/>
      <w:r w:rsidRPr="00583080">
        <w:rPr>
          <w:rFonts w:cstheme="minorHAnsi"/>
        </w:rPr>
        <w:t xml:space="preserve"> causes and costs of waste medicines. Report of DH funded national project. </w:t>
      </w:r>
      <w:hyperlink r:id="rId10" w:history="1">
        <w:r w:rsidRPr="00583080">
          <w:rPr>
            <w:rStyle w:val="Hyperlink"/>
            <w:rFonts w:ascii="Arial" w:hAnsi="Arial" w:cs="Arial"/>
            <w:sz w:val="19"/>
            <w:szCs w:val="19"/>
          </w:rPr>
          <w:t>http://discovery.ucl.ac.uk/id/eprint/1350234</w:t>
        </w:r>
      </w:hyperlink>
    </w:p>
    <w:p w:rsidR="00097A7C" w:rsidRDefault="00097A7C" w:rsidP="00097A7C">
      <w:pPr>
        <w:spacing w:line="480" w:lineRule="auto"/>
        <w:rPr>
          <w:rFonts w:cstheme="minorHAnsi"/>
        </w:rPr>
      </w:pPr>
    </w:p>
    <w:p w:rsidR="00097A7C" w:rsidRPr="00583080" w:rsidRDefault="00097A7C" w:rsidP="00097A7C">
      <w:pPr>
        <w:spacing w:line="480" w:lineRule="auto"/>
        <w:ind w:left="360"/>
        <w:rPr>
          <w:rFonts w:cstheme="minorHAnsi"/>
        </w:rPr>
      </w:pPr>
      <w:r>
        <w:rPr>
          <w:rFonts w:cstheme="minorHAnsi"/>
        </w:rPr>
        <w:t>11.</w:t>
      </w:r>
      <w:r>
        <w:rPr>
          <w:rFonts w:cstheme="minorHAnsi"/>
        </w:rPr>
        <w:tab/>
      </w:r>
      <w:proofErr w:type="spellStart"/>
      <w:r w:rsidRPr="00583080">
        <w:rPr>
          <w:rFonts w:cstheme="minorHAnsi"/>
        </w:rPr>
        <w:t>Schlaich</w:t>
      </w:r>
      <w:proofErr w:type="spellEnd"/>
      <w:r w:rsidRPr="00583080">
        <w:rPr>
          <w:rFonts w:cstheme="minorHAnsi"/>
        </w:rPr>
        <w:t xml:space="preserve"> MP, </w:t>
      </w:r>
      <w:proofErr w:type="spellStart"/>
      <w:r w:rsidRPr="00583080">
        <w:rPr>
          <w:rFonts w:cstheme="minorHAnsi"/>
        </w:rPr>
        <w:t>Schmieder</w:t>
      </w:r>
      <w:proofErr w:type="spellEnd"/>
      <w:r w:rsidRPr="00583080">
        <w:rPr>
          <w:rFonts w:cstheme="minorHAnsi"/>
        </w:rPr>
        <w:t xml:space="preserve"> RE, </w:t>
      </w:r>
      <w:proofErr w:type="spellStart"/>
      <w:r w:rsidRPr="00583080">
        <w:rPr>
          <w:rFonts w:cstheme="minorHAnsi"/>
        </w:rPr>
        <w:t>Bakris</w:t>
      </w:r>
      <w:proofErr w:type="spellEnd"/>
      <w:r w:rsidRPr="00583080">
        <w:rPr>
          <w:rFonts w:cstheme="minorHAnsi"/>
        </w:rPr>
        <w:t xml:space="preserve"> G, </w:t>
      </w:r>
      <w:r w:rsidRPr="00583080">
        <w:rPr>
          <w:rFonts w:cstheme="minorHAnsi"/>
          <w:i/>
        </w:rPr>
        <w:t xml:space="preserve">et al.  </w:t>
      </w:r>
      <w:proofErr w:type="gramStart"/>
      <w:r w:rsidRPr="00583080">
        <w:rPr>
          <w:rFonts w:cstheme="minorHAnsi"/>
        </w:rPr>
        <w:t>International Expert Consensus</w:t>
      </w:r>
      <w:r w:rsidRPr="00583080">
        <w:rPr>
          <w:rFonts w:cstheme="minorHAnsi"/>
          <w:i/>
        </w:rPr>
        <w:t xml:space="preserve"> </w:t>
      </w:r>
      <w:r w:rsidRPr="00583080">
        <w:rPr>
          <w:rFonts w:cstheme="minorHAnsi"/>
        </w:rPr>
        <w:t>Statement.</w:t>
      </w:r>
      <w:proofErr w:type="gramEnd"/>
      <w:r w:rsidRPr="00583080">
        <w:rPr>
          <w:rFonts w:cstheme="minorHAnsi"/>
        </w:rPr>
        <w:t xml:space="preserve">  </w:t>
      </w:r>
      <w:proofErr w:type="gramStart"/>
      <w:r w:rsidRPr="00583080">
        <w:rPr>
          <w:rFonts w:cstheme="minorHAnsi"/>
        </w:rPr>
        <w:t>Percutaneous transluminal renal denervation for the treatment of resistant hypertension.</w:t>
      </w:r>
      <w:proofErr w:type="gramEnd"/>
      <w:r w:rsidRPr="00583080">
        <w:rPr>
          <w:rFonts w:cstheme="minorHAnsi"/>
        </w:rPr>
        <w:t xml:space="preserve">   </w:t>
      </w:r>
      <w:r w:rsidRPr="00583080">
        <w:rPr>
          <w:rFonts w:cstheme="minorHAnsi"/>
          <w:i/>
        </w:rPr>
        <w:t>JACC</w:t>
      </w:r>
      <w:r w:rsidRPr="00583080">
        <w:rPr>
          <w:rFonts w:cstheme="minorHAnsi"/>
        </w:rPr>
        <w:t xml:space="preserve"> 2013</w:t>
      </w:r>
      <w:proofErr w:type="gramStart"/>
      <w:r w:rsidRPr="00583080">
        <w:rPr>
          <w:rFonts w:cstheme="minorHAnsi"/>
        </w:rPr>
        <w:t>;62:2031</w:t>
      </w:r>
      <w:proofErr w:type="gramEnd"/>
      <w:r w:rsidRPr="00583080">
        <w:rPr>
          <w:rFonts w:cstheme="minorHAnsi"/>
        </w:rPr>
        <w:t xml:space="preserve">-2034.  </w:t>
      </w:r>
    </w:p>
    <w:p w:rsidR="00097A7C" w:rsidRDefault="00097A7C" w:rsidP="00097A7C">
      <w:pPr>
        <w:spacing w:line="480" w:lineRule="auto"/>
        <w:rPr>
          <w:rFonts w:cstheme="minorHAnsi"/>
        </w:rPr>
      </w:pPr>
    </w:p>
    <w:p w:rsidR="00097A7C" w:rsidRPr="00583080" w:rsidRDefault="00097A7C" w:rsidP="00097A7C">
      <w:pPr>
        <w:spacing w:line="480" w:lineRule="auto"/>
        <w:ind w:left="360"/>
        <w:rPr>
          <w:rFonts w:cstheme="minorHAnsi"/>
        </w:rPr>
      </w:pPr>
      <w:r>
        <w:rPr>
          <w:rFonts w:cstheme="minorHAnsi"/>
        </w:rPr>
        <w:t>12.</w:t>
      </w:r>
      <w:r>
        <w:rPr>
          <w:rFonts w:cstheme="minorHAnsi"/>
        </w:rPr>
        <w:tab/>
      </w:r>
      <w:proofErr w:type="spellStart"/>
      <w:r w:rsidRPr="00583080">
        <w:rPr>
          <w:rFonts w:cstheme="minorHAnsi"/>
        </w:rPr>
        <w:t>Esler</w:t>
      </w:r>
      <w:proofErr w:type="spellEnd"/>
      <w:r w:rsidRPr="00583080">
        <w:rPr>
          <w:rFonts w:cstheme="minorHAnsi"/>
        </w:rPr>
        <w:t xml:space="preserve"> MD, Krum H, </w:t>
      </w:r>
      <w:proofErr w:type="spellStart"/>
      <w:r w:rsidRPr="00583080">
        <w:rPr>
          <w:rFonts w:cstheme="minorHAnsi"/>
        </w:rPr>
        <w:t>Schlaich</w:t>
      </w:r>
      <w:proofErr w:type="spellEnd"/>
      <w:r w:rsidRPr="00583080">
        <w:rPr>
          <w:rFonts w:cstheme="minorHAnsi"/>
        </w:rPr>
        <w:t xml:space="preserve"> M, et al.  Renal sympathetic denervation for treatment of drug-resistant hypertension: one-year results from the Symplicity HTN-2 randomised, controlled trial.  </w:t>
      </w:r>
      <w:r w:rsidRPr="00583080">
        <w:rPr>
          <w:rFonts w:cstheme="minorHAnsi"/>
          <w:i/>
        </w:rPr>
        <w:t>Circulation</w:t>
      </w:r>
      <w:r w:rsidRPr="00583080">
        <w:rPr>
          <w:rFonts w:cstheme="minorHAnsi"/>
        </w:rPr>
        <w:t xml:space="preserve"> 2012</w:t>
      </w:r>
      <w:proofErr w:type="gramStart"/>
      <w:r w:rsidRPr="00583080">
        <w:rPr>
          <w:rFonts w:cstheme="minorHAnsi"/>
        </w:rPr>
        <w:t>;126:2976</w:t>
      </w:r>
      <w:proofErr w:type="gramEnd"/>
      <w:r w:rsidRPr="00583080">
        <w:rPr>
          <w:rFonts w:cstheme="minorHAnsi"/>
        </w:rPr>
        <w:t>-2982.</w:t>
      </w:r>
    </w:p>
    <w:p w:rsidR="00097A7C" w:rsidRDefault="00097A7C" w:rsidP="00097A7C">
      <w:pPr>
        <w:spacing w:line="480" w:lineRule="auto"/>
        <w:rPr>
          <w:rFonts w:cstheme="minorHAnsi"/>
        </w:rPr>
      </w:pPr>
    </w:p>
    <w:p w:rsidR="00097A7C" w:rsidRDefault="00097A7C" w:rsidP="00097A7C">
      <w:pPr>
        <w:spacing w:line="480" w:lineRule="auto"/>
        <w:ind w:left="360"/>
        <w:rPr>
          <w:rFonts w:cstheme="minorHAnsi"/>
        </w:rPr>
      </w:pPr>
      <w:r>
        <w:rPr>
          <w:rFonts w:cstheme="minorHAnsi"/>
        </w:rPr>
        <w:t>13.</w:t>
      </w:r>
      <w:r>
        <w:rPr>
          <w:rFonts w:cstheme="minorHAnsi"/>
        </w:rPr>
        <w:tab/>
      </w:r>
      <w:proofErr w:type="spellStart"/>
      <w:r w:rsidRPr="00583080">
        <w:rPr>
          <w:rFonts w:cstheme="minorHAnsi"/>
        </w:rPr>
        <w:t>Fadl-Elmula</w:t>
      </w:r>
      <w:proofErr w:type="spellEnd"/>
      <w:r w:rsidRPr="00583080">
        <w:rPr>
          <w:rFonts w:cstheme="minorHAnsi"/>
        </w:rPr>
        <w:t xml:space="preserve"> FEM, Hoffman P, </w:t>
      </w:r>
      <w:proofErr w:type="spellStart"/>
      <w:r w:rsidRPr="00583080">
        <w:rPr>
          <w:rFonts w:cstheme="minorHAnsi"/>
        </w:rPr>
        <w:t>Fossum</w:t>
      </w:r>
      <w:proofErr w:type="spellEnd"/>
      <w:r w:rsidRPr="00583080">
        <w:rPr>
          <w:rFonts w:cstheme="minorHAnsi"/>
        </w:rPr>
        <w:t xml:space="preserve"> E, et al.  Renal sympathetic denervation in patients with treatment-resistant hypertension after witnessed intake of medication before qualifying ambulatory blood pressure.  </w:t>
      </w:r>
      <w:proofErr w:type="spellStart"/>
      <w:r w:rsidRPr="00583080">
        <w:rPr>
          <w:rFonts w:cstheme="minorHAnsi"/>
          <w:i/>
        </w:rPr>
        <w:t>Hypertens</w:t>
      </w:r>
      <w:proofErr w:type="spellEnd"/>
      <w:r w:rsidRPr="00583080">
        <w:rPr>
          <w:rFonts w:cstheme="minorHAnsi"/>
        </w:rPr>
        <w:t xml:space="preserve"> 2013</w:t>
      </w:r>
      <w:proofErr w:type="gramStart"/>
      <w:r w:rsidRPr="00583080">
        <w:rPr>
          <w:rFonts w:cstheme="minorHAnsi"/>
        </w:rPr>
        <w:t>;62:526</w:t>
      </w:r>
      <w:proofErr w:type="gramEnd"/>
      <w:r w:rsidRPr="00583080">
        <w:rPr>
          <w:rFonts w:cstheme="minorHAnsi"/>
        </w:rPr>
        <w:t>-532.</w:t>
      </w:r>
    </w:p>
    <w:p w:rsidR="00097A7C" w:rsidRDefault="00097A7C" w:rsidP="00097A7C">
      <w:pPr>
        <w:spacing w:line="480" w:lineRule="auto"/>
        <w:ind w:left="360"/>
        <w:rPr>
          <w:rFonts w:cstheme="minorHAnsi"/>
        </w:rPr>
      </w:pPr>
    </w:p>
    <w:p w:rsidR="00097A7C" w:rsidRDefault="00097A7C" w:rsidP="00097A7C">
      <w:pPr>
        <w:pStyle w:val="details1"/>
        <w:shd w:val="clear" w:color="auto" w:fill="FFFFFF"/>
        <w:spacing w:line="480" w:lineRule="auto"/>
        <w:ind w:left="360"/>
        <w:rPr>
          <w:rFonts w:asciiTheme="minorHAnsi" w:hAnsiTheme="minorHAnsi" w:cstheme="minorHAnsi"/>
          <w:sz w:val="24"/>
          <w:szCs w:val="24"/>
        </w:rPr>
      </w:pPr>
      <w:r>
        <w:rPr>
          <w:rFonts w:asciiTheme="minorHAnsi" w:hAnsiTheme="minorHAnsi" w:cstheme="minorHAnsi"/>
          <w:sz w:val="24"/>
          <w:szCs w:val="24"/>
        </w:rPr>
        <w:t>14.</w:t>
      </w:r>
      <w:r>
        <w:rPr>
          <w:rFonts w:asciiTheme="minorHAnsi" w:hAnsiTheme="minorHAnsi" w:cstheme="minorHAnsi"/>
          <w:sz w:val="24"/>
          <w:szCs w:val="24"/>
        </w:rPr>
        <w:tab/>
      </w:r>
      <w:r w:rsidRPr="00022F5A">
        <w:rPr>
          <w:rFonts w:asciiTheme="minorHAnsi" w:hAnsiTheme="minorHAnsi" w:cstheme="minorHAnsi"/>
          <w:sz w:val="24"/>
          <w:szCs w:val="24"/>
        </w:rPr>
        <w:t xml:space="preserve">Bhatt DL, </w:t>
      </w:r>
      <w:proofErr w:type="spellStart"/>
      <w:r w:rsidRPr="00022F5A">
        <w:rPr>
          <w:rFonts w:asciiTheme="minorHAnsi" w:hAnsiTheme="minorHAnsi" w:cstheme="minorHAnsi"/>
          <w:sz w:val="24"/>
          <w:szCs w:val="24"/>
        </w:rPr>
        <w:t>Kandzari</w:t>
      </w:r>
      <w:proofErr w:type="spellEnd"/>
      <w:r w:rsidRPr="00022F5A">
        <w:rPr>
          <w:rFonts w:asciiTheme="minorHAnsi" w:hAnsiTheme="minorHAnsi" w:cstheme="minorHAnsi"/>
          <w:sz w:val="24"/>
          <w:szCs w:val="24"/>
        </w:rPr>
        <w:t xml:space="preserve"> DE, O'Neill WW, </w:t>
      </w:r>
      <w:r>
        <w:rPr>
          <w:rFonts w:asciiTheme="minorHAnsi" w:hAnsiTheme="minorHAnsi" w:cstheme="minorHAnsi"/>
          <w:sz w:val="24"/>
          <w:szCs w:val="24"/>
        </w:rPr>
        <w:t>et al</w:t>
      </w:r>
      <w:r w:rsidRPr="00022F5A">
        <w:rPr>
          <w:rFonts w:asciiTheme="minorHAnsi" w:hAnsiTheme="minorHAnsi" w:cstheme="minorHAnsi"/>
          <w:sz w:val="24"/>
          <w:szCs w:val="24"/>
        </w:rPr>
        <w:t xml:space="preserve">; </w:t>
      </w:r>
      <w:r w:rsidRPr="003C4002">
        <w:rPr>
          <w:rFonts w:asciiTheme="minorHAnsi" w:hAnsiTheme="minorHAnsi" w:cstheme="minorHAnsi"/>
          <w:bCs/>
          <w:sz w:val="24"/>
          <w:szCs w:val="24"/>
        </w:rPr>
        <w:t>SYMPLICITY</w:t>
      </w:r>
      <w:r w:rsidRPr="00022F5A">
        <w:rPr>
          <w:rFonts w:asciiTheme="minorHAnsi" w:hAnsiTheme="minorHAnsi" w:cstheme="minorHAnsi"/>
          <w:sz w:val="24"/>
          <w:szCs w:val="24"/>
        </w:rPr>
        <w:t xml:space="preserve"> HTN-</w:t>
      </w:r>
      <w:r w:rsidRPr="00022F5A">
        <w:rPr>
          <w:rFonts w:asciiTheme="minorHAnsi" w:hAnsiTheme="minorHAnsi" w:cstheme="minorHAnsi"/>
          <w:b/>
          <w:bCs/>
          <w:sz w:val="24"/>
          <w:szCs w:val="24"/>
        </w:rPr>
        <w:t>3</w:t>
      </w:r>
      <w:r w:rsidRPr="00022F5A">
        <w:rPr>
          <w:rFonts w:asciiTheme="minorHAnsi" w:hAnsiTheme="minorHAnsi" w:cstheme="minorHAnsi"/>
          <w:sz w:val="24"/>
          <w:szCs w:val="24"/>
        </w:rPr>
        <w:t xml:space="preserve"> Investigators.</w:t>
      </w:r>
      <w:r>
        <w:rPr>
          <w:rFonts w:asciiTheme="minorHAnsi" w:hAnsiTheme="minorHAnsi" w:cstheme="minorHAnsi"/>
          <w:sz w:val="24"/>
          <w:szCs w:val="24"/>
        </w:rPr>
        <w:t xml:space="preserve">  </w:t>
      </w:r>
      <w:hyperlink r:id="rId11" w:history="1">
        <w:proofErr w:type="gramStart"/>
        <w:r w:rsidRPr="00BD420A">
          <w:rPr>
            <w:rFonts w:asciiTheme="minorHAnsi" w:hAnsiTheme="minorHAnsi" w:cstheme="minorHAnsi"/>
            <w:color w:val="000000" w:themeColor="text1"/>
            <w:sz w:val="24"/>
            <w:szCs w:val="24"/>
          </w:rPr>
          <w:t xml:space="preserve">A controlled trial of </w:t>
        </w:r>
        <w:r w:rsidRPr="00BD420A">
          <w:rPr>
            <w:rFonts w:asciiTheme="minorHAnsi" w:hAnsiTheme="minorHAnsi" w:cstheme="minorHAnsi"/>
            <w:bCs/>
            <w:color w:val="000000" w:themeColor="text1"/>
            <w:sz w:val="24"/>
            <w:szCs w:val="24"/>
          </w:rPr>
          <w:t>renal</w:t>
        </w:r>
        <w:r w:rsidRPr="00BD420A">
          <w:rPr>
            <w:rFonts w:asciiTheme="minorHAnsi" w:hAnsiTheme="minorHAnsi" w:cstheme="minorHAnsi"/>
            <w:color w:val="000000" w:themeColor="text1"/>
            <w:sz w:val="24"/>
            <w:szCs w:val="24"/>
          </w:rPr>
          <w:t xml:space="preserve"> </w:t>
        </w:r>
        <w:r w:rsidRPr="00BD420A">
          <w:rPr>
            <w:rFonts w:asciiTheme="minorHAnsi" w:hAnsiTheme="minorHAnsi" w:cstheme="minorHAnsi"/>
            <w:bCs/>
            <w:color w:val="000000" w:themeColor="text1"/>
            <w:sz w:val="24"/>
            <w:szCs w:val="24"/>
          </w:rPr>
          <w:t>denervation</w:t>
        </w:r>
        <w:r w:rsidRPr="00BD420A">
          <w:rPr>
            <w:rFonts w:asciiTheme="minorHAnsi" w:hAnsiTheme="minorHAnsi" w:cstheme="minorHAnsi"/>
            <w:color w:val="000000" w:themeColor="text1"/>
            <w:sz w:val="24"/>
            <w:szCs w:val="24"/>
          </w:rPr>
          <w:t xml:space="preserve"> for resistant hypertension.</w:t>
        </w:r>
        <w:proofErr w:type="gramEnd"/>
      </w:hyperlink>
      <w:r>
        <w:rPr>
          <w:rFonts w:asciiTheme="minorHAnsi" w:hAnsiTheme="minorHAnsi" w:cstheme="minorHAnsi"/>
          <w:color w:val="000000" w:themeColor="text1"/>
          <w:sz w:val="24"/>
          <w:szCs w:val="24"/>
        </w:rPr>
        <w:t xml:space="preserve">  </w:t>
      </w:r>
      <w:r w:rsidRPr="00022F5A">
        <w:rPr>
          <w:rFonts w:asciiTheme="minorHAnsi" w:hAnsiTheme="minorHAnsi" w:cstheme="minorHAnsi"/>
          <w:sz w:val="24"/>
          <w:szCs w:val="24"/>
        </w:rPr>
        <w:t xml:space="preserve"> </w:t>
      </w:r>
      <w:r w:rsidRPr="00BD420A">
        <w:rPr>
          <w:rStyle w:val="jrnl"/>
          <w:rFonts w:asciiTheme="minorHAnsi" w:hAnsiTheme="minorHAnsi" w:cstheme="minorHAnsi"/>
          <w:i/>
          <w:sz w:val="24"/>
          <w:szCs w:val="24"/>
        </w:rPr>
        <w:t xml:space="preserve">N </w:t>
      </w:r>
      <w:proofErr w:type="spellStart"/>
      <w:r w:rsidRPr="00BD420A">
        <w:rPr>
          <w:rStyle w:val="jrnl"/>
          <w:rFonts w:asciiTheme="minorHAnsi" w:hAnsiTheme="minorHAnsi" w:cstheme="minorHAnsi"/>
          <w:i/>
          <w:sz w:val="24"/>
          <w:szCs w:val="24"/>
        </w:rPr>
        <w:t>Engl</w:t>
      </w:r>
      <w:proofErr w:type="spellEnd"/>
      <w:r w:rsidRPr="00BD420A">
        <w:rPr>
          <w:rStyle w:val="jrnl"/>
          <w:rFonts w:asciiTheme="minorHAnsi" w:hAnsiTheme="minorHAnsi" w:cstheme="minorHAnsi"/>
          <w:i/>
          <w:sz w:val="24"/>
          <w:szCs w:val="24"/>
        </w:rPr>
        <w:t xml:space="preserve"> J Med</w:t>
      </w:r>
      <w:r w:rsidRPr="00022F5A">
        <w:rPr>
          <w:rFonts w:asciiTheme="minorHAnsi" w:hAnsiTheme="minorHAnsi" w:cstheme="minorHAnsi"/>
          <w:sz w:val="24"/>
          <w:szCs w:val="24"/>
        </w:rPr>
        <w:t>.</w:t>
      </w:r>
      <w:r>
        <w:rPr>
          <w:rFonts w:asciiTheme="minorHAnsi" w:hAnsiTheme="minorHAnsi" w:cstheme="minorHAnsi"/>
          <w:sz w:val="24"/>
          <w:szCs w:val="24"/>
        </w:rPr>
        <w:t xml:space="preserve"> </w:t>
      </w:r>
      <w:r w:rsidRPr="00022F5A">
        <w:rPr>
          <w:rFonts w:asciiTheme="minorHAnsi" w:hAnsiTheme="minorHAnsi" w:cstheme="minorHAnsi"/>
          <w:sz w:val="24"/>
          <w:szCs w:val="24"/>
        </w:rPr>
        <w:t>2014</w:t>
      </w:r>
      <w:proofErr w:type="gramStart"/>
      <w:r w:rsidRPr="00022F5A">
        <w:rPr>
          <w:rFonts w:asciiTheme="minorHAnsi" w:hAnsiTheme="minorHAnsi" w:cstheme="minorHAnsi"/>
          <w:sz w:val="24"/>
          <w:szCs w:val="24"/>
        </w:rPr>
        <w:t>;370</w:t>
      </w:r>
      <w:proofErr w:type="gramEnd"/>
      <w:r w:rsidRPr="00022F5A">
        <w:rPr>
          <w:rFonts w:asciiTheme="minorHAnsi" w:hAnsiTheme="minorHAnsi" w:cstheme="minorHAnsi"/>
          <w:sz w:val="24"/>
          <w:szCs w:val="24"/>
        </w:rPr>
        <w:t>(15):1393-</w:t>
      </w:r>
      <w:r>
        <w:rPr>
          <w:rFonts w:asciiTheme="minorHAnsi" w:hAnsiTheme="minorHAnsi" w:cstheme="minorHAnsi"/>
          <w:sz w:val="24"/>
          <w:szCs w:val="24"/>
        </w:rPr>
        <w:t>1</w:t>
      </w:r>
      <w:r w:rsidRPr="00022F5A">
        <w:rPr>
          <w:rFonts w:asciiTheme="minorHAnsi" w:hAnsiTheme="minorHAnsi" w:cstheme="minorHAnsi"/>
          <w:sz w:val="24"/>
          <w:szCs w:val="24"/>
        </w:rPr>
        <w:t xml:space="preserve">401. </w:t>
      </w:r>
      <w:proofErr w:type="spellStart"/>
      <w:proofErr w:type="gramStart"/>
      <w:r w:rsidRPr="00022F5A">
        <w:rPr>
          <w:rFonts w:asciiTheme="minorHAnsi" w:hAnsiTheme="minorHAnsi" w:cstheme="minorHAnsi"/>
          <w:sz w:val="24"/>
          <w:szCs w:val="24"/>
        </w:rPr>
        <w:t>doi</w:t>
      </w:r>
      <w:proofErr w:type="spellEnd"/>
      <w:proofErr w:type="gramEnd"/>
      <w:r w:rsidRPr="00022F5A">
        <w:rPr>
          <w:rFonts w:asciiTheme="minorHAnsi" w:hAnsiTheme="minorHAnsi" w:cstheme="minorHAnsi"/>
          <w:sz w:val="24"/>
          <w:szCs w:val="24"/>
        </w:rPr>
        <w:t xml:space="preserve">: 10.1056/NEJMoa1402670. </w:t>
      </w:r>
      <w:proofErr w:type="spellStart"/>
      <w:r w:rsidRPr="00022F5A">
        <w:rPr>
          <w:rFonts w:asciiTheme="minorHAnsi" w:hAnsiTheme="minorHAnsi" w:cstheme="minorHAnsi"/>
          <w:sz w:val="24"/>
          <w:szCs w:val="24"/>
        </w:rPr>
        <w:t>Epub</w:t>
      </w:r>
      <w:proofErr w:type="spellEnd"/>
      <w:r w:rsidRPr="00022F5A">
        <w:rPr>
          <w:rFonts w:asciiTheme="minorHAnsi" w:hAnsiTheme="minorHAnsi" w:cstheme="minorHAnsi"/>
          <w:sz w:val="24"/>
          <w:szCs w:val="24"/>
        </w:rPr>
        <w:t xml:space="preserve"> 2014 Mar 29.</w:t>
      </w:r>
    </w:p>
    <w:p w:rsidR="00097A7C" w:rsidRPr="00583080" w:rsidRDefault="00097A7C" w:rsidP="00097A7C">
      <w:pPr>
        <w:spacing w:line="480" w:lineRule="auto"/>
        <w:ind w:left="360"/>
        <w:rPr>
          <w:rFonts w:cstheme="minorHAnsi"/>
        </w:rPr>
      </w:pPr>
      <w:r>
        <w:rPr>
          <w:rFonts w:cstheme="minorHAnsi"/>
        </w:rPr>
        <w:lastRenderedPageBreak/>
        <w:t>15.</w:t>
      </w:r>
      <w:r>
        <w:rPr>
          <w:rFonts w:cstheme="minorHAnsi"/>
        </w:rPr>
        <w:tab/>
      </w:r>
      <w:r w:rsidRPr="00583080">
        <w:rPr>
          <w:rFonts w:cstheme="minorHAnsi"/>
        </w:rPr>
        <w:t xml:space="preserve">JBS 2: Joint British Societies’ Guidelines on Prevention of Cardiovascular Disease in Clinical Practice.  </w:t>
      </w:r>
      <w:r w:rsidRPr="00583080">
        <w:rPr>
          <w:rFonts w:cstheme="minorHAnsi"/>
          <w:i/>
        </w:rPr>
        <w:t>Heart</w:t>
      </w:r>
      <w:r w:rsidRPr="00583080">
        <w:rPr>
          <w:rFonts w:cstheme="minorHAnsi"/>
        </w:rPr>
        <w:t xml:space="preserve"> 2005</w:t>
      </w:r>
      <w:proofErr w:type="gramStart"/>
      <w:r w:rsidRPr="00583080">
        <w:rPr>
          <w:rFonts w:cstheme="minorHAnsi"/>
        </w:rPr>
        <w:t>;91:suppl</w:t>
      </w:r>
      <w:proofErr w:type="gramEnd"/>
      <w:r w:rsidRPr="00583080">
        <w:rPr>
          <w:rFonts w:cstheme="minorHAnsi"/>
        </w:rPr>
        <w:t xml:space="preserve"> V:1-61. </w:t>
      </w:r>
      <w:hyperlink r:id="rId12" w:history="1">
        <w:r w:rsidRPr="00583080">
          <w:rPr>
            <w:rStyle w:val="Hyperlink"/>
            <w:rFonts w:cstheme="minorHAnsi"/>
          </w:rPr>
          <w:t>http://heart.bmj.com/content/91/suppl_5/v1.full.pdf+html</w:t>
        </w:r>
      </w:hyperlink>
      <w:r w:rsidRPr="00583080">
        <w:rPr>
          <w:rFonts w:cstheme="minorHAnsi"/>
        </w:rPr>
        <w:t xml:space="preserve">     </w:t>
      </w:r>
    </w:p>
    <w:p w:rsidR="00097A7C" w:rsidRPr="00022F5A" w:rsidRDefault="00097A7C" w:rsidP="00097A7C">
      <w:pPr>
        <w:spacing w:line="480" w:lineRule="auto"/>
        <w:rPr>
          <w:rFonts w:cstheme="minorHAnsi"/>
        </w:rPr>
      </w:pPr>
    </w:p>
    <w:p w:rsidR="00097A7C" w:rsidRPr="00583080" w:rsidRDefault="00097A7C" w:rsidP="00097A7C">
      <w:pPr>
        <w:spacing w:line="480" w:lineRule="auto"/>
        <w:ind w:left="360"/>
        <w:rPr>
          <w:rFonts w:cstheme="minorHAnsi"/>
        </w:rPr>
      </w:pPr>
      <w:r>
        <w:rPr>
          <w:rFonts w:cstheme="minorHAnsi"/>
        </w:rPr>
        <w:t>16.</w:t>
      </w:r>
      <w:r>
        <w:rPr>
          <w:rFonts w:cstheme="minorHAnsi"/>
        </w:rPr>
        <w:tab/>
      </w:r>
      <w:r w:rsidRPr="00583080">
        <w:rPr>
          <w:rFonts w:cstheme="minorHAnsi"/>
        </w:rPr>
        <w:t xml:space="preserve">Chapman N, Dobson J, Wilson S, et al.  </w:t>
      </w:r>
      <w:proofErr w:type="gramStart"/>
      <w:r w:rsidRPr="00583080">
        <w:rPr>
          <w:rFonts w:cstheme="minorHAnsi"/>
        </w:rPr>
        <w:t>Effect of spironolactone on blood pressure in subjects with resistant hypertension.</w:t>
      </w:r>
      <w:proofErr w:type="gramEnd"/>
      <w:r w:rsidRPr="00583080">
        <w:rPr>
          <w:rFonts w:cstheme="minorHAnsi"/>
        </w:rPr>
        <w:t xml:space="preserve">  </w:t>
      </w:r>
      <w:proofErr w:type="spellStart"/>
      <w:r w:rsidRPr="00583080">
        <w:rPr>
          <w:rFonts w:cstheme="minorHAnsi"/>
          <w:i/>
        </w:rPr>
        <w:t>Hypertens</w:t>
      </w:r>
      <w:proofErr w:type="spellEnd"/>
      <w:r w:rsidRPr="00583080">
        <w:rPr>
          <w:rFonts w:cstheme="minorHAnsi"/>
        </w:rPr>
        <w:t xml:space="preserve"> 2007</w:t>
      </w:r>
      <w:proofErr w:type="gramStart"/>
      <w:r w:rsidRPr="00583080">
        <w:rPr>
          <w:rFonts w:cstheme="minorHAnsi"/>
        </w:rPr>
        <w:t>;</w:t>
      </w:r>
      <w:r w:rsidRPr="00583080">
        <w:rPr>
          <w:rStyle w:val="ti2"/>
          <w:rFonts w:cstheme="minorHAnsi"/>
          <w:sz w:val="24"/>
          <w:szCs w:val="24"/>
        </w:rPr>
        <w:t>49</w:t>
      </w:r>
      <w:proofErr w:type="gramEnd"/>
      <w:r w:rsidRPr="00583080">
        <w:rPr>
          <w:rStyle w:val="ti2"/>
          <w:rFonts w:cstheme="minorHAnsi"/>
          <w:sz w:val="24"/>
          <w:szCs w:val="24"/>
        </w:rPr>
        <w:t>(4):839-845.</w:t>
      </w:r>
    </w:p>
    <w:p w:rsidR="00097A7C" w:rsidRDefault="00097A7C" w:rsidP="00097A7C">
      <w:pPr>
        <w:spacing w:line="480" w:lineRule="auto"/>
      </w:pPr>
    </w:p>
    <w:p w:rsidR="00097A7C" w:rsidRPr="00583080" w:rsidRDefault="00097A7C" w:rsidP="00097A7C">
      <w:pPr>
        <w:spacing w:line="480" w:lineRule="auto"/>
        <w:ind w:left="360"/>
        <w:rPr>
          <w:rFonts w:cstheme="minorHAnsi"/>
        </w:rPr>
      </w:pPr>
      <w:r>
        <w:rPr>
          <w:rFonts w:cstheme="minorHAnsi"/>
        </w:rPr>
        <w:t>17.</w:t>
      </w:r>
      <w:r>
        <w:rPr>
          <w:rFonts w:cstheme="minorHAnsi"/>
        </w:rPr>
        <w:tab/>
      </w:r>
      <w:r w:rsidRPr="00583080">
        <w:rPr>
          <w:rFonts w:cstheme="minorHAnsi"/>
        </w:rPr>
        <w:t xml:space="preserve">Williams B, MacDonald T, </w:t>
      </w:r>
      <w:proofErr w:type="spellStart"/>
      <w:r w:rsidRPr="00583080">
        <w:rPr>
          <w:rFonts w:cstheme="minorHAnsi"/>
        </w:rPr>
        <w:t>Morant</w:t>
      </w:r>
      <w:proofErr w:type="spellEnd"/>
      <w:r w:rsidRPr="00583080">
        <w:rPr>
          <w:rFonts w:cstheme="minorHAnsi"/>
        </w:rPr>
        <w:t xml:space="preserve"> S et al. Spironolactone versus placebo, bisoprolol, and doxazosin to determine the optimal treatment for drug-resistant hypertension (PATHWAY-2): a randomised, double-blind, crossover trial.  </w:t>
      </w:r>
      <w:r w:rsidRPr="00583080">
        <w:rPr>
          <w:rFonts w:cstheme="minorHAnsi"/>
          <w:i/>
        </w:rPr>
        <w:t>Lancet</w:t>
      </w:r>
      <w:r w:rsidRPr="00583080">
        <w:rPr>
          <w:rFonts w:cstheme="minorHAnsi"/>
        </w:rPr>
        <w:t xml:space="preserve"> 2015</w:t>
      </w:r>
      <w:proofErr w:type="gramStart"/>
      <w:r w:rsidRPr="00583080">
        <w:rPr>
          <w:rFonts w:cstheme="minorHAnsi"/>
        </w:rPr>
        <w:t>;386:2059</w:t>
      </w:r>
      <w:proofErr w:type="gramEnd"/>
      <w:r w:rsidRPr="00583080">
        <w:rPr>
          <w:rFonts w:cstheme="minorHAnsi"/>
        </w:rPr>
        <w:t>-2068.</w:t>
      </w:r>
    </w:p>
    <w:p w:rsidR="00097A7C" w:rsidRDefault="00097A7C" w:rsidP="00097A7C">
      <w:pPr>
        <w:spacing w:line="480" w:lineRule="auto"/>
        <w:rPr>
          <w:rFonts w:cstheme="minorHAnsi"/>
        </w:rPr>
      </w:pPr>
    </w:p>
    <w:p w:rsidR="00097A7C" w:rsidRPr="00022F5A" w:rsidRDefault="00097A7C" w:rsidP="00097A7C">
      <w:pPr>
        <w:pStyle w:val="details1"/>
        <w:shd w:val="clear" w:color="auto" w:fill="FFFFFF"/>
        <w:spacing w:line="480" w:lineRule="auto"/>
        <w:ind w:left="360"/>
        <w:rPr>
          <w:rFonts w:asciiTheme="minorHAnsi" w:hAnsiTheme="minorHAnsi" w:cstheme="minorHAnsi"/>
          <w:sz w:val="24"/>
          <w:szCs w:val="24"/>
        </w:rPr>
      </w:pPr>
    </w:p>
    <w:p w:rsidR="00097A7C" w:rsidRDefault="00097A7C" w:rsidP="00097A7C">
      <w:pPr>
        <w:spacing w:line="480" w:lineRule="auto"/>
      </w:pPr>
    </w:p>
    <w:p w:rsidR="00097A7C" w:rsidRDefault="00097A7C" w:rsidP="00097A7C">
      <w:pPr>
        <w:spacing w:line="480" w:lineRule="auto"/>
      </w:pPr>
    </w:p>
    <w:p w:rsidR="00097A7C" w:rsidRDefault="00097A7C" w:rsidP="00097A7C">
      <w:pPr>
        <w:spacing w:line="480" w:lineRule="auto"/>
      </w:pPr>
    </w:p>
    <w:p w:rsidR="00097A7C" w:rsidRDefault="00097A7C" w:rsidP="00097A7C">
      <w:r>
        <w:br w:type="page"/>
      </w:r>
    </w:p>
    <w:p w:rsidR="00097A7C" w:rsidRDefault="00097A7C" w:rsidP="00097A7C">
      <w:pPr>
        <w:rPr>
          <w:rFonts w:cstheme="minorHAnsi"/>
        </w:rPr>
      </w:pPr>
      <w:proofErr w:type="gramStart"/>
      <w:r w:rsidRPr="001B0829">
        <w:rPr>
          <w:rFonts w:cstheme="minorHAnsi"/>
          <w:b/>
        </w:rPr>
        <w:lastRenderedPageBreak/>
        <w:t>Table 1.</w:t>
      </w:r>
      <w:proofErr w:type="gramEnd"/>
      <w:r w:rsidRPr="001B0829">
        <w:rPr>
          <w:rFonts w:cstheme="minorHAnsi"/>
        </w:rPr>
        <w:t xml:space="preserve"> </w:t>
      </w:r>
      <w:r>
        <w:rPr>
          <w:rFonts w:cstheme="minorHAnsi"/>
        </w:rPr>
        <w:t xml:space="preserve">  </w:t>
      </w:r>
      <w:r w:rsidRPr="001B0829">
        <w:rPr>
          <w:rFonts w:cstheme="minorHAnsi"/>
        </w:rPr>
        <w:t xml:space="preserve">Characteristics of study population </w:t>
      </w:r>
    </w:p>
    <w:p w:rsidR="00097A7C" w:rsidRPr="001B0829" w:rsidRDefault="00097A7C" w:rsidP="00097A7C">
      <w:pPr>
        <w:rPr>
          <w:rFonts w:cstheme="minorHAnsi"/>
        </w:rPr>
      </w:pPr>
    </w:p>
    <w:p w:rsidR="00097A7C" w:rsidRPr="007873CA" w:rsidRDefault="00097A7C" w:rsidP="00097A7C"/>
    <w:tbl>
      <w:tblPr>
        <w:tblW w:w="7488" w:type="dxa"/>
        <w:tblInd w:w="392" w:type="dxa"/>
        <w:tblLook w:val="04A0" w:firstRow="1" w:lastRow="0" w:firstColumn="1" w:lastColumn="0" w:noHBand="0" w:noVBand="1"/>
      </w:tblPr>
      <w:tblGrid>
        <w:gridCol w:w="4819"/>
        <w:gridCol w:w="2669"/>
      </w:tblGrid>
      <w:tr w:rsidR="00097A7C" w:rsidRPr="000406EC" w:rsidTr="004A6CEC">
        <w:trPr>
          <w:trHeight w:val="342"/>
        </w:trPr>
        <w:tc>
          <w:tcPr>
            <w:tcW w:w="4819" w:type="dxa"/>
            <w:tcBorders>
              <w:top w:val="single" w:sz="4" w:space="0" w:color="auto"/>
              <w:left w:val="nil"/>
              <w:bottom w:val="single" w:sz="4" w:space="0" w:color="auto"/>
              <w:right w:val="nil"/>
            </w:tcBorders>
            <w:shd w:val="clear" w:color="auto" w:fill="auto"/>
            <w:noWrap/>
            <w:vAlign w:val="center"/>
            <w:hideMark/>
          </w:tcPr>
          <w:p w:rsidR="00097A7C" w:rsidRPr="007873CA" w:rsidRDefault="00097A7C" w:rsidP="004A6CEC">
            <w:pPr>
              <w:spacing w:before="240"/>
              <w:rPr>
                <w:rFonts w:eastAsia="Times New Roman" w:cs="Arial"/>
                <w:color w:val="000000"/>
                <w:lang w:eastAsia="en-GB"/>
              </w:rPr>
            </w:pPr>
          </w:p>
        </w:tc>
        <w:tc>
          <w:tcPr>
            <w:tcW w:w="2669" w:type="dxa"/>
            <w:tcBorders>
              <w:top w:val="single" w:sz="4" w:space="0" w:color="auto"/>
              <w:left w:val="nil"/>
              <w:bottom w:val="single" w:sz="4" w:space="0" w:color="auto"/>
              <w:right w:val="nil"/>
            </w:tcBorders>
            <w:shd w:val="clear" w:color="auto" w:fill="auto"/>
            <w:noWrap/>
            <w:vAlign w:val="bottom"/>
            <w:hideMark/>
          </w:tcPr>
          <w:p w:rsidR="00097A7C" w:rsidRPr="007873CA" w:rsidRDefault="00097A7C" w:rsidP="004A6CEC">
            <w:pPr>
              <w:spacing w:before="240"/>
              <w:jc w:val="center"/>
              <w:rPr>
                <w:rFonts w:eastAsia="Times New Roman" w:cs="Calibri"/>
                <w:b/>
                <w:color w:val="000000"/>
                <w:lang w:eastAsia="en-GB"/>
              </w:rPr>
            </w:pPr>
            <w:r w:rsidRPr="007873CA">
              <w:rPr>
                <w:rFonts w:eastAsia="Times New Roman" w:cs="Calibri"/>
                <w:b/>
                <w:color w:val="000000"/>
                <w:lang w:eastAsia="en-GB"/>
              </w:rPr>
              <w:t>Total (n=102)</w:t>
            </w:r>
          </w:p>
        </w:tc>
      </w:tr>
      <w:tr w:rsidR="00097A7C" w:rsidRPr="000406EC" w:rsidTr="004A6CEC">
        <w:trPr>
          <w:trHeight w:val="342"/>
        </w:trPr>
        <w:tc>
          <w:tcPr>
            <w:tcW w:w="4819" w:type="dxa"/>
            <w:tcBorders>
              <w:top w:val="single" w:sz="4" w:space="0" w:color="auto"/>
              <w:left w:val="nil"/>
              <w:bottom w:val="nil"/>
              <w:right w:val="nil"/>
            </w:tcBorders>
            <w:shd w:val="clear" w:color="auto" w:fill="auto"/>
            <w:noWrap/>
            <w:vAlign w:val="center"/>
            <w:hideMark/>
          </w:tcPr>
          <w:p w:rsidR="00097A7C" w:rsidRPr="007873CA" w:rsidRDefault="00097A7C" w:rsidP="004A6CEC">
            <w:pPr>
              <w:spacing w:before="240"/>
              <w:rPr>
                <w:rFonts w:eastAsia="Times New Roman" w:cs="Arial"/>
                <w:color w:val="000000"/>
                <w:lang w:eastAsia="en-GB"/>
              </w:rPr>
            </w:pPr>
            <w:r w:rsidRPr="007873CA">
              <w:rPr>
                <w:rFonts w:eastAsia="Times New Roman" w:cs="Arial"/>
                <w:color w:val="000000"/>
                <w:lang w:eastAsia="en-GB"/>
              </w:rPr>
              <w:t xml:space="preserve">Age, years, mean (range) </w:t>
            </w:r>
          </w:p>
        </w:tc>
        <w:tc>
          <w:tcPr>
            <w:tcW w:w="2669" w:type="dxa"/>
            <w:tcBorders>
              <w:top w:val="single" w:sz="4" w:space="0" w:color="auto"/>
              <w:left w:val="nil"/>
              <w:bottom w:val="nil"/>
              <w:right w:val="nil"/>
            </w:tcBorders>
            <w:shd w:val="clear" w:color="auto" w:fill="auto"/>
            <w:noWrap/>
            <w:vAlign w:val="bottom"/>
            <w:hideMark/>
          </w:tcPr>
          <w:p w:rsidR="00097A7C" w:rsidRPr="007873CA" w:rsidRDefault="00097A7C" w:rsidP="004A6CEC">
            <w:pPr>
              <w:spacing w:before="240"/>
              <w:jc w:val="center"/>
              <w:rPr>
                <w:rFonts w:eastAsia="Times New Roman" w:cs="Calibri"/>
                <w:color w:val="000000"/>
                <w:lang w:eastAsia="en-GB"/>
              </w:rPr>
            </w:pPr>
            <w:r w:rsidRPr="007873CA">
              <w:rPr>
                <w:rFonts w:eastAsia="Times New Roman" w:cs="Calibri"/>
                <w:color w:val="000000"/>
                <w:lang w:eastAsia="en-GB"/>
              </w:rPr>
              <w:t>57.8 (20-87)</w:t>
            </w:r>
          </w:p>
        </w:tc>
      </w:tr>
      <w:tr w:rsidR="00097A7C" w:rsidRPr="000406EC" w:rsidTr="004A6CEC">
        <w:trPr>
          <w:trHeight w:val="342"/>
        </w:trPr>
        <w:tc>
          <w:tcPr>
            <w:tcW w:w="4819" w:type="dxa"/>
            <w:tcBorders>
              <w:top w:val="nil"/>
              <w:left w:val="nil"/>
              <w:bottom w:val="nil"/>
              <w:right w:val="nil"/>
            </w:tcBorders>
            <w:shd w:val="clear" w:color="auto" w:fill="auto"/>
            <w:noWrap/>
            <w:vAlign w:val="center"/>
            <w:hideMark/>
          </w:tcPr>
          <w:p w:rsidR="00097A7C" w:rsidRPr="007873CA" w:rsidRDefault="00097A7C" w:rsidP="004A6CEC">
            <w:pPr>
              <w:spacing w:before="240"/>
              <w:rPr>
                <w:rFonts w:eastAsia="Times New Roman" w:cs="Arial"/>
                <w:color w:val="000000"/>
                <w:lang w:eastAsia="en-GB"/>
              </w:rPr>
            </w:pPr>
            <w:r w:rsidRPr="007873CA">
              <w:rPr>
                <w:rFonts w:eastAsia="Times New Roman" w:cs="Arial"/>
                <w:color w:val="000000"/>
                <w:lang w:eastAsia="en-GB"/>
              </w:rPr>
              <w:t xml:space="preserve">Female, n (%) </w:t>
            </w:r>
          </w:p>
        </w:tc>
        <w:tc>
          <w:tcPr>
            <w:tcW w:w="2669" w:type="dxa"/>
            <w:tcBorders>
              <w:top w:val="nil"/>
              <w:left w:val="nil"/>
              <w:bottom w:val="nil"/>
              <w:right w:val="nil"/>
            </w:tcBorders>
            <w:shd w:val="clear" w:color="auto" w:fill="auto"/>
            <w:noWrap/>
            <w:vAlign w:val="bottom"/>
            <w:hideMark/>
          </w:tcPr>
          <w:p w:rsidR="00097A7C" w:rsidRPr="007873CA" w:rsidRDefault="00097A7C" w:rsidP="004A6CEC">
            <w:pPr>
              <w:spacing w:before="240"/>
              <w:jc w:val="center"/>
              <w:rPr>
                <w:rFonts w:eastAsia="Times New Roman" w:cs="Calibri"/>
                <w:color w:val="000000"/>
                <w:lang w:eastAsia="en-GB"/>
              </w:rPr>
            </w:pPr>
            <w:r w:rsidRPr="007873CA">
              <w:rPr>
                <w:rFonts w:eastAsia="Times New Roman" w:cs="Calibri"/>
                <w:color w:val="000000"/>
                <w:lang w:eastAsia="en-GB"/>
              </w:rPr>
              <w:t>56 (54.9%)</w:t>
            </w:r>
          </w:p>
        </w:tc>
      </w:tr>
      <w:tr w:rsidR="00097A7C" w:rsidRPr="000406EC" w:rsidTr="004A6CEC">
        <w:trPr>
          <w:trHeight w:val="342"/>
        </w:trPr>
        <w:tc>
          <w:tcPr>
            <w:tcW w:w="4819" w:type="dxa"/>
            <w:tcBorders>
              <w:top w:val="nil"/>
              <w:left w:val="nil"/>
              <w:bottom w:val="nil"/>
              <w:right w:val="nil"/>
            </w:tcBorders>
            <w:shd w:val="clear" w:color="auto" w:fill="auto"/>
            <w:noWrap/>
            <w:vAlign w:val="center"/>
            <w:hideMark/>
          </w:tcPr>
          <w:p w:rsidR="00097A7C" w:rsidRPr="007873CA" w:rsidRDefault="00097A7C" w:rsidP="004A6CEC">
            <w:pPr>
              <w:spacing w:before="240"/>
              <w:rPr>
                <w:rFonts w:eastAsia="Times New Roman" w:cs="Arial"/>
                <w:color w:val="000000"/>
                <w:lang w:eastAsia="en-GB"/>
              </w:rPr>
            </w:pPr>
            <w:r w:rsidRPr="007873CA">
              <w:rPr>
                <w:rFonts w:eastAsia="Times New Roman" w:cs="Arial"/>
                <w:color w:val="000000"/>
                <w:lang w:eastAsia="en-GB"/>
              </w:rPr>
              <w:t>Ethnicity, n (</w:t>
            </w:r>
            <w:r>
              <w:rPr>
                <w:rFonts w:eastAsia="Times New Roman" w:cs="Arial"/>
                <w:color w:val="000000"/>
                <w:lang w:eastAsia="en-GB"/>
              </w:rPr>
              <w:t>%</w:t>
            </w:r>
            <w:r w:rsidRPr="007873CA">
              <w:rPr>
                <w:rFonts w:eastAsia="Times New Roman" w:cs="Arial"/>
                <w:color w:val="000000"/>
                <w:lang w:eastAsia="en-GB"/>
              </w:rPr>
              <w:t>)</w:t>
            </w:r>
          </w:p>
        </w:tc>
        <w:tc>
          <w:tcPr>
            <w:tcW w:w="2669" w:type="dxa"/>
            <w:tcBorders>
              <w:top w:val="nil"/>
              <w:left w:val="nil"/>
              <w:bottom w:val="nil"/>
              <w:right w:val="nil"/>
            </w:tcBorders>
            <w:shd w:val="clear" w:color="auto" w:fill="auto"/>
            <w:noWrap/>
            <w:vAlign w:val="bottom"/>
            <w:hideMark/>
          </w:tcPr>
          <w:p w:rsidR="00097A7C" w:rsidRPr="007873CA" w:rsidRDefault="00097A7C" w:rsidP="004A6CEC">
            <w:pPr>
              <w:spacing w:before="240"/>
              <w:jc w:val="center"/>
              <w:rPr>
                <w:rFonts w:eastAsia="Times New Roman" w:cs="Calibri"/>
                <w:color w:val="000000"/>
                <w:lang w:eastAsia="en-GB"/>
              </w:rPr>
            </w:pPr>
          </w:p>
        </w:tc>
      </w:tr>
      <w:tr w:rsidR="00097A7C" w:rsidRPr="000406EC" w:rsidTr="004A6CEC">
        <w:trPr>
          <w:trHeight w:val="342"/>
        </w:trPr>
        <w:tc>
          <w:tcPr>
            <w:tcW w:w="4819" w:type="dxa"/>
            <w:tcBorders>
              <w:top w:val="nil"/>
              <w:left w:val="nil"/>
              <w:bottom w:val="nil"/>
              <w:right w:val="nil"/>
            </w:tcBorders>
            <w:shd w:val="clear" w:color="auto" w:fill="auto"/>
            <w:noWrap/>
            <w:vAlign w:val="center"/>
            <w:hideMark/>
          </w:tcPr>
          <w:p w:rsidR="00097A7C" w:rsidRPr="007873CA" w:rsidRDefault="00097A7C" w:rsidP="004A6CEC">
            <w:pPr>
              <w:spacing w:before="240"/>
              <w:rPr>
                <w:rFonts w:eastAsia="Times New Roman" w:cs="Arial"/>
                <w:color w:val="000000"/>
                <w:lang w:eastAsia="en-GB"/>
              </w:rPr>
            </w:pPr>
            <w:r w:rsidRPr="007873CA">
              <w:rPr>
                <w:rFonts w:eastAsia="Times New Roman" w:cs="Arial"/>
                <w:color w:val="000000"/>
                <w:lang w:eastAsia="en-GB"/>
              </w:rPr>
              <w:t xml:space="preserve">         White</w:t>
            </w:r>
          </w:p>
        </w:tc>
        <w:tc>
          <w:tcPr>
            <w:tcW w:w="2669" w:type="dxa"/>
            <w:tcBorders>
              <w:top w:val="nil"/>
              <w:left w:val="nil"/>
              <w:bottom w:val="nil"/>
              <w:right w:val="nil"/>
            </w:tcBorders>
            <w:shd w:val="clear" w:color="auto" w:fill="auto"/>
            <w:noWrap/>
            <w:vAlign w:val="bottom"/>
            <w:hideMark/>
          </w:tcPr>
          <w:p w:rsidR="00097A7C" w:rsidRPr="007873CA" w:rsidRDefault="00097A7C" w:rsidP="004A6CEC">
            <w:pPr>
              <w:spacing w:before="240"/>
              <w:jc w:val="center"/>
              <w:rPr>
                <w:rFonts w:eastAsia="Times New Roman" w:cs="Calibri"/>
                <w:color w:val="000000"/>
                <w:lang w:eastAsia="en-GB"/>
              </w:rPr>
            </w:pPr>
            <w:r w:rsidRPr="007873CA">
              <w:rPr>
                <w:rFonts w:eastAsia="Times New Roman" w:cs="Calibri"/>
                <w:color w:val="000000"/>
                <w:lang w:eastAsia="en-GB"/>
              </w:rPr>
              <w:t>23 (22.6%)</w:t>
            </w:r>
          </w:p>
        </w:tc>
      </w:tr>
      <w:tr w:rsidR="00097A7C" w:rsidRPr="000406EC" w:rsidTr="004A6CEC">
        <w:trPr>
          <w:trHeight w:val="342"/>
        </w:trPr>
        <w:tc>
          <w:tcPr>
            <w:tcW w:w="4819" w:type="dxa"/>
            <w:tcBorders>
              <w:top w:val="nil"/>
              <w:left w:val="nil"/>
              <w:bottom w:val="nil"/>
              <w:right w:val="nil"/>
            </w:tcBorders>
            <w:shd w:val="clear" w:color="auto" w:fill="auto"/>
            <w:noWrap/>
            <w:vAlign w:val="center"/>
            <w:hideMark/>
          </w:tcPr>
          <w:p w:rsidR="00097A7C" w:rsidRPr="007873CA" w:rsidRDefault="00097A7C" w:rsidP="004A6CEC">
            <w:pPr>
              <w:spacing w:before="240"/>
              <w:rPr>
                <w:rFonts w:eastAsia="Times New Roman" w:cs="Arial"/>
                <w:color w:val="000000"/>
                <w:lang w:eastAsia="en-GB"/>
              </w:rPr>
            </w:pPr>
            <w:r w:rsidRPr="007873CA">
              <w:rPr>
                <w:rFonts w:eastAsia="Times New Roman" w:cs="Arial"/>
                <w:color w:val="000000"/>
                <w:lang w:eastAsia="en-GB"/>
              </w:rPr>
              <w:t xml:space="preserve">         Black</w:t>
            </w:r>
          </w:p>
        </w:tc>
        <w:tc>
          <w:tcPr>
            <w:tcW w:w="2669" w:type="dxa"/>
            <w:tcBorders>
              <w:top w:val="nil"/>
              <w:left w:val="nil"/>
              <w:bottom w:val="nil"/>
              <w:right w:val="nil"/>
            </w:tcBorders>
            <w:shd w:val="clear" w:color="auto" w:fill="auto"/>
            <w:noWrap/>
            <w:vAlign w:val="bottom"/>
            <w:hideMark/>
          </w:tcPr>
          <w:p w:rsidR="00097A7C" w:rsidRPr="007873CA" w:rsidRDefault="00097A7C" w:rsidP="004A6CEC">
            <w:pPr>
              <w:spacing w:before="240"/>
              <w:jc w:val="center"/>
              <w:rPr>
                <w:rFonts w:eastAsia="Times New Roman" w:cs="Calibri"/>
                <w:color w:val="000000"/>
                <w:lang w:eastAsia="en-GB"/>
              </w:rPr>
            </w:pPr>
            <w:r w:rsidRPr="007873CA">
              <w:rPr>
                <w:rFonts w:eastAsia="Times New Roman" w:cs="Calibri"/>
                <w:color w:val="000000"/>
                <w:lang w:eastAsia="en-GB"/>
              </w:rPr>
              <w:t>45 (44.1%)</w:t>
            </w:r>
          </w:p>
        </w:tc>
      </w:tr>
      <w:tr w:rsidR="00097A7C" w:rsidRPr="000406EC" w:rsidTr="004A6CEC">
        <w:trPr>
          <w:trHeight w:val="342"/>
        </w:trPr>
        <w:tc>
          <w:tcPr>
            <w:tcW w:w="4819" w:type="dxa"/>
            <w:tcBorders>
              <w:top w:val="nil"/>
              <w:left w:val="nil"/>
              <w:bottom w:val="nil"/>
              <w:right w:val="nil"/>
            </w:tcBorders>
            <w:shd w:val="clear" w:color="auto" w:fill="auto"/>
            <w:noWrap/>
            <w:vAlign w:val="center"/>
            <w:hideMark/>
          </w:tcPr>
          <w:p w:rsidR="00097A7C" w:rsidRPr="007873CA" w:rsidRDefault="00097A7C" w:rsidP="004A6CEC">
            <w:pPr>
              <w:spacing w:before="240"/>
              <w:rPr>
                <w:rFonts w:eastAsia="Times New Roman" w:cs="Arial"/>
                <w:color w:val="000000"/>
                <w:lang w:eastAsia="en-GB"/>
              </w:rPr>
            </w:pPr>
            <w:r w:rsidRPr="007873CA">
              <w:rPr>
                <w:rFonts w:eastAsia="Times New Roman" w:cs="Arial"/>
                <w:color w:val="000000"/>
                <w:lang w:eastAsia="en-GB"/>
              </w:rPr>
              <w:t xml:space="preserve">        Asian</w:t>
            </w:r>
          </w:p>
        </w:tc>
        <w:tc>
          <w:tcPr>
            <w:tcW w:w="2669" w:type="dxa"/>
            <w:tcBorders>
              <w:top w:val="nil"/>
              <w:left w:val="nil"/>
              <w:bottom w:val="nil"/>
              <w:right w:val="nil"/>
            </w:tcBorders>
            <w:shd w:val="clear" w:color="auto" w:fill="auto"/>
            <w:noWrap/>
            <w:vAlign w:val="bottom"/>
            <w:hideMark/>
          </w:tcPr>
          <w:p w:rsidR="00097A7C" w:rsidRPr="007873CA" w:rsidRDefault="00097A7C" w:rsidP="004A6CEC">
            <w:pPr>
              <w:spacing w:before="240"/>
              <w:jc w:val="center"/>
              <w:rPr>
                <w:rFonts w:eastAsia="Times New Roman" w:cs="Calibri"/>
                <w:color w:val="000000"/>
                <w:lang w:eastAsia="en-GB"/>
              </w:rPr>
            </w:pPr>
            <w:r w:rsidRPr="007873CA">
              <w:rPr>
                <w:rFonts w:eastAsia="Times New Roman" w:cs="Calibri"/>
                <w:color w:val="000000"/>
                <w:lang w:eastAsia="en-GB"/>
              </w:rPr>
              <w:t>23 (22.5%)</w:t>
            </w:r>
          </w:p>
        </w:tc>
      </w:tr>
      <w:tr w:rsidR="00097A7C" w:rsidRPr="000406EC" w:rsidTr="004A6CEC">
        <w:trPr>
          <w:trHeight w:val="342"/>
        </w:trPr>
        <w:tc>
          <w:tcPr>
            <w:tcW w:w="4819" w:type="dxa"/>
            <w:tcBorders>
              <w:top w:val="nil"/>
              <w:left w:val="nil"/>
              <w:right w:val="nil"/>
            </w:tcBorders>
            <w:shd w:val="clear" w:color="auto" w:fill="auto"/>
            <w:noWrap/>
            <w:vAlign w:val="center"/>
            <w:hideMark/>
          </w:tcPr>
          <w:p w:rsidR="00097A7C" w:rsidRPr="007873CA" w:rsidRDefault="00097A7C" w:rsidP="004A6CEC">
            <w:pPr>
              <w:spacing w:before="240"/>
              <w:rPr>
                <w:rFonts w:eastAsia="Times New Roman" w:cs="Arial"/>
                <w:lang w:eastAsia="en-GB"/>
              </w:rPr>
            </w:pPr>
            <w:r w:rsidRPr="007873CA">
              <w:rPr>
                <w:rFonts w:eastAsia="Times New Roman" w:cs="Arial"/>
                <w:lang w:eastAsia="en-GB"/>
              </w:rPr>
              <w:t xml:space="preserve">        Missing</w:t>
            </w:r>
          </w:p>
        </w:tc>
        <w:tc>
          <w:tcPr>
            <w:tcW w:w="2669" w:type="dxa"/>
            <w:tcBorders>
              <w:top w:val="nil"/>
              <w:left w:val="nil"/>
              <w:right w:val="nil"/>
            </w:tcBorders>
            <w:shd w:val="clear" w:color="auto" w:fill="auto"/>
            <w:noWrap/>
            <w:vAlign w:val="bottom"/>
            <w:hideMark/>
          </w:tcPr>
          <w:p w:rsidR="00097A7C" w:rsidRPr="007873CA" w:rsidRDefault="00097A7C" w:rsidP="004A6CEC">
            <w:pPr>
              <w:spacing w:before="240"/>
              <w:jc w:val="center"/>
              <w:rPr>
                <w:rFonts w:eastAsia="Times New Roman" w:cs="Calibri"/>
                <w:lang w:eastAsia="en-GB"/>
              </w:rPr>
            </w:pPr>
            <w:r w:rsidRPr="007873CA">
              <w:rPr>
                <w:rFonts w:eastAsia="Times New Roman" w:cs="Calibri"/>
                <w:lang w:eastAsia="en-GB"/>
              </w:rPr>
              <w:t>11 (10.8%)</w:t>
            </w:r>
          </w:p>
        </w:tc>
      </w:tr>
      <w:tr w:rsidR="00097A7C" w:rsidRPr="000406EC" w:rsidTr="004A6CEC">
        <w:trPr>
          <w:trHeight w:val="342"/>
        </w:trPr>
        <w:tc>
          <w:tcPr>
            <w:tcW w:w="4819" w:type="dxa"/>
            <w:tcBorders>
              <w:top w:val="nil"/>
              <w:left w:val="nil"/>
              <w:bottom w:val="single" w:sz="4" w:space="0" w:color="auto"/>
              <w:right w:val="nil"/>
            </w:tcBorders>
            <w:shd w:val="clear" w:color="auto" w:fill="auto"/>
            <w:noWrap/>
            <w:vAlign w:val="center"/>
            <w:hideMark/>
          </w:tcPr>
          <w:p w:rsidR="00097A7C" w:rsidRPr="007873CA" w:rsidRDefault="00097A7C" w:rsidP="004A6CEC">
            <w:pPr>
              <w:spacing w:before="240"/>
              <w:rPr>
                <w:rFonts w:eastAsia="Times New Roman" w:cs="Arial"/>
                <w:color w:val="000000"/>
                <w:lang w:eastAsia="en-GB"/>
              </w:rPr>
            </w:pPr>
            <w:r w:rsidRPr="007873CA">
              <w:rPr>
                <w:rFonts w:eastAsia="Times New Roman" w:cs="Arial"/>
                <w:color w:val="000000"/>
                <w:lang w:eastAsia="en-GB"/>
              </w:rPr>
              <w:t>Number of BP drugs at referral for observed drug ingestion, median (range)</w:t>
            </w:r>
          </w:p>
        </w:tc>
        <w:tc>
          <w:tcPr>
            <w:tcW w:w="2669" w:type="dxa"/>
            <w:tcBorders>
              <w:top w:val="nil"/>
              <w:left w:val="nil"/>
              <w:bottom w:val="single" w:sz="4" w:space="0" w:color="auto"/>
              <w:right w:val="nil"/>
            </w:tcBorders>
            <w:shd w:val="clear" w:color="auto" w:fill="auto"/>
            <w:noWrap/>
            <w:vAlign w:val="bottom"/>
            <w:hideMark/>
          </w:tcPr>
          <w:p w:rsidR="00097A7C" w:rsidRPr="007873CA" w:rsidRDefault="00097A7C" w:rsidP="004A6CEC">
            <w:pPr>
              <w:spacing w:before="240"/>
              <w:jc w:val="center"/>
              <w:rPr>
                <w:rFonts w:eastAsia="Times New Roman" w:cs="Calibri"/>
                <w:color w:val="000000"/>
                <w:lang w:eastAsia="en-GB"/>
              </w:rPr>
            </w:pPr>
            <w:r w:rsidRPr="007873CA">
              <w:rPr>
                <w:rFonts w:eastAsia="Times New Roman" w:cs="Calibri"/>
                <w:color w:val="000000"/>
                <w:lang w:eastAsia="en-GB"/>
              </w:rPr>
              <w:t>5 (3-7)</w:t>
            </w:r>
          </w:p>
        </w:tc>
      </w:tr>
    </w:tbl>
    <w:p w:rsidR="00097A7C" w:rsidRDefault="00097A7C" w:rsidP="00097A7C"/>
    <w:p w:rsidR="00097A7C" w:rsidRDefault="00097A7C" w:rsidP="00097A7C">
      <w:r>
        <w:t xml:space="preserve">       Drug classes</w:t>
      </w:r>
    </w:p>
    <w:p w:rsidR="00097A7C" w:rsidRDefault="00097A7C" w:rsidP="00097A7C">
      <w:r>
        <w:t xml:space="preserve">                Calcium channel blockers                                                98 (96%)</w:t>
      </w:r>
    </w:p>
    <w:p w:rsidR="00097A7C" w:rsidRDefault="00097A7C" w:rsidP="00097A7C">
      <w:r>
        <w:t xml:space="preserve">                Angiotensin converting enzyme inhibitors</w:t>
      </w:r>
    </w:p>
    <w:p w:rsidR="00097A7C" w:rsidRDefault="00097A7C" w:rsidP="00097A7C">
      <w:r>
        <w:t xml:space="preserve">            </w:t>
      </w:r>
      <w:proofErr w:type="gramStart"/>
      <w:r>
        <w:t>or</w:t>
      </w:r>
      <w:proofErr w:type="gramEnd"/>
      <w:r>
        <w:t xml:space="preserve"> Angiotensin receptor blockers                                       97 (95%)</w:t>
      </w:r>
    </w:p>
    <w:p w:rsidR="00097A7C" w:rsidRDefault="00097A7C" w:rsidP="00097A7C">
      <w:r>
        <w:t xml:space="preserve">                Diuretics-thiazide or thiazide like                                   85 (83%)</w:t>
      </w:r>
    </w:p>
    <w:p w:rsidR="00097A7C" w:rsidRDefault="00097A7C" w:rsidP="00097A7C">
      <w:r>
        <w:t xml:space="preserve">                Beta-blockers                                                                      49 (48%)</w:t>
      </w:r>
    </w:p>
    <w:p w:rsidR="00097A7C" w:rsidRDefault="00097A7C" w:rsidP="00097A7C">
      <w:r>
        <w:t xml:space="preserve">                Doxazosin                                                                            50 (49%)</w:t>
      </w:r>
    </w:p>
    <w:p w:rsidR="00097A7C" w:rsidRDefault="00097A7C" w:rsidP="00097A7C">
      <w:r>
        <w:t xml:space="preserve">                Spironolactone                                                                   32 (31%)</w:t>
      </w:r>
    </w:p>
    <w:p w:rsidR="00097A7C" w:rsidRPr="007873CA" w:rsidRDefault="00097A7C" w:rsidP="00097A7C">
      <w:r>
        <w:t xml:space="preserve">                Other                                                                                      4 (4%)</w:t>
      </w:r>
    </w:p>
    <w:p w:rsidR="00097A7C" w:rsidRPr="000F1EBF" w:rsidRDefault="00097A7C" w:rsidP="00097A7C">
      <w:pPr>
        <w:rPr>
          <w:rFonts w:ascii="Times New Roman" w:hAnsi="Times New Roman"/>
        </w:rPr>
      </w:pPr>
      <w:r>
        <w:rPr>
          <w:rFonts w:ascii="Times New Roman" w:hAnsi="Times New Roman"/>
        </w:rPr>
        <w:tab/>
      </w:r>
    </w:p>
    <w:p w:rsidR="00097A7C" w:rsidRDefault="00097A7C" w:rsidP="00097A7C"/>
    <w:p w:rsidR="00097A7C" w:rsidRDefault="00097A7C" w:rsidP="00097A7C">
      <w:r>
        <w:br w:type="page"/>
      </w:r>
    </w:p>
    <w:p w:rsidR="00097A7C" w:rsidRDefault="00097A7C" w:rsidP="00097A7C"/>
    <w:p w:rsidR="00097A7C" w:rsidRDefault="00097A7C" w:rsidP="00097A7C"/>
    <w:p w:rsidR="00097A7C" w:rsidRDefault="00097A7C" w:rsidP="00097A7C"/>
    <w:p w:rsidR="00097A7C" w:rsidRPr="001B0829" w:rsidRDefault="00097A7C" w:rsidP="00097A7C">
      <w:pPr>
        <w:autoSpaceDE w:val="0"/>
        <w:autoSpaceDN w:val="0"/>
        <w:adjustRightInd w:val="0"/>
        <w:rPr>
          <w:rFonts w:cstheme="minorHAnsi"/>
        </w:rPr>
      </w:pPr>
      <w:proofErr w:type="gramStart"/>
      <w:r w:rsidRPr="001B0829">
        <w:rPr>
          <w:rFonts w:cstheme="minorHAnsi"/>
          <w:b/>
        </w:rPr>
        <w:t>Table 2.</w:t>
      </w:r>
      <w:proofErr w:type="gramEnd"/>
      <w:r>
        <w:rPr>
          <w:rFonts w:cstheme="minorHAnsi"/>
        </w:rPr>
        <w:t xml:space="preserve">  </w:t>
      </w:r>
      <w:r w:rsidRPr="001B0829">
        <w:rPr>
          <w:rFonts w:cstheme="minorHAnsi"/>
        </w:rPr>
        <w:t xml:space="preserve"> </w:t>
      </w:r>
      <w:r>
        <w:rPr>
          <w:rFonts w:cstheme="minorHAnsi"/>
        </w:rPr>
        <w:t xml:space="preserve"> </w:t>
      </w:r>
      <w:r w:rsidRPr="001B0829">
        <w:rPr>
          <w:rFonts w:cstheme="minorHAnsi"/>
        </w:rPr>
        <w:t xml:space="preserve">Median (range) of blood pressures (mmHg) and heart rate (bpm) </w:t>
      </w:r>
      <w:r>
        <w:rPr>
          <w:rFonts w:cstheme="minorHAnsi"/>
        </w:rPr>
        <w:t>at</w:t>
      </w:r>
      <w:r w:rsidRPr="001B0829">
        <w:rPr>
          <w:rFonts w:cstheme="minorHAnsi"/>
        </w:rPr>
        <w:t xml:space="preserve"> different time-points during the study</w:t>
      </w:r>
    </w:p>
    <w:p w:rsidR="00097A7C" w:rsidRDefault="00097A7C" w:rsidP="00097A7C">
      <w:pPr>
        <w:autoSpaceDE w:val="0"/>
        <w:autoSpaceDN w:val="0"/>
        <w:adjustRightInd w:val="0"/>
        <w:rPr>
          <w:rFonts w:ascii="Times New Roman" w:hAnsi="Times New Roman"/>
        </w:rPr>
      </w:pPr>
    </w:p>
    <w:p w:rsidR="00097A7C" w:rsidRDefault="00097A7C" w:rsidP="00097A7C">
      <w:pPr>
        <w:autoSpaceDE w:val="0"/>
        <w:autoSpaceDN w:val="0"/>
        <w:adjustRightInd w:val="0"/>
        <w:rPr>
          <w:rFonts w:ascii="Times New Roman" w:hAnsi="Times New Roman"/>
        </w:rPr>
      </w:pPr>
    </w:p>
    <w:p w:rsidR="00097A7C" w:rsidRDefault="00097A7C" w:rsidP="00097A7C">
      <w:pPr>
        <w:autoSpaceDE w:val="0"/>
        <w:autoSpaceDN w:val="0"/>
        <w:adjustRightInd w:val="0"/>
        <w:rPr>
          <w:rFonts w:ascii="Times New Roman" w:hAnsi="Times New Roman"/>
        </w:rPr>
      </w:pPr>
    </w:p>
    <w:tbl>
      <w:tblPr>
        <w:tblW w:w="9913" w:type="dxa"/>
        <w:tblInd w:w="93" w:type="dxa"/>
        <w:tblLook w:val="04A0" w:firstRow="1" w:lastRow="0" w:firstColumn="1" w:lastColumn="0" w:noHBand="0" w:noVBand="1"/>
      </w:tblPr>
      <w:tblGrid>
        <w:gridCol w:w="4551"/>
        <w:gridCol w:w="709"/>
        <w:gridCol w:w="1701"/>
        <w:gridCol w:w="1418"/>
        <w:gridCol w:w="1534"/>
      </w:tblGrid>
      <w:tr w:rsidR="00097A7C" w:rsidRPr="00022F5A" w:rsidTr="004A6CEC">
        <w:trPr>
          <w:trHeight w:val="300"/>
        </w:trPr>
        <w:tc>
          <w:tcPr>
            <w:tcW w:w="4551" w:type="dxa"/>
            <w:tcBorders>
              <w:top w:val="single" w:sz="4" w:space="0" w:color="auto"/>
              <w:left w:val="nil"/>
              <w:bottom w:val="single" w:sz="4" w:space="0" w:color="auto"/>
              <w:right w:val="nil"/>
            </w:tcBorders>
            <w:shd w:val="clear" w:color="auto" w:fill="auto"/>
            <w:noWrap/>
            <w:vAlign w:val="center"/>
            <w:hideMark/>
          </w:tcPr>
          <w:p w:rsidR="00097A7C" w:rsidRPr="001D0A28" w:rsidRDefault="00097A7C" w:rsidP="004A6CEC">
            <w:pPr>
              <w:spacing w:before="240"/>
              <w:rPr>
                <w:rFonts w:eastAsia="Times New Roman" w:cstheme="minorHAnsi"/>
                <w:b/>
                <w:color w:val="000000"/>
                <w:sz w:val="22"/>
                <w:lang w:eastAsia="en-GB"/>
              </w:rPr>
            </w:pPr>
            <w:r w:rsidRPr="001D0A28">
              <w:rPr>
                <w:rFonts w:eastAsia="Times New Roman" w:cstheme="minorHAnsi"/>
                <w:b/>
                <w:color w:val="000000"/>
                <w:sz w:val="22"/>
                <w:lang w:eastAsia="en-GB"/>
              </w:rPr>
              <w:t>Time-point</w:t>
            </w:r>
          </w:p>
        </w:tc>
        <w:tc>
          <w:tcPr>
            <w:tcW w:w="709" w:type="dxa"/>
            <w:tcBorders>
              <w:top w:val="single" w:sz="4" w:space="0" w:color="auto"/>
              <w:left w:val="nil"/>
              <w:bottom w:val="single" w:sz="4" w:space="0" w:color="auto"/>
              <w:right w:val="nil"/>
            </w:tcBorders>
            <w:shd w:val="clear" w:color="auto" w:fill="auto"/>
            <w:noWrap/>
            <w:vAlign w:val="center"/>
            <w:hideMark/>
          </w:tcPr>
          <w:p w:rsidR="00097A7C" w:rsidRPr="001D0A28" w:rsidRDefault="00097A7C" w:rsidP="004A6CEC">
            <w:pPr>
              <w:spacing w:before="240"/>
              <w:jc w:val="center"/>
              <w:rPr>
                <w:rFonts w:eastAsia="Times New Roman" w:cstheme="minorHAnsi"/>
                <w:b/>
                <w:bCs/>
                <w:color w:val="000000"/>
                <w:sz w:val="22"/>
                <w:lang w:eastAsia="en-GB"/>
              </w:rPr>
            </w:pPr>
            <w:r w:rsidRPr="001D0A28">
              <w:rPr>
                <w:rFonts w:eastAsia="Times New Roman" w:cstheme="minorHAnsi"/>
                <w:b/>
                <w:bCs/>
                <w:color w:val="000000"/>
                <w:sz w:val="22"/>
                <w:lang w:eastAsia="en-GB"/>
              </w:rPr>
              <w:t>n</w:t>
            </w:r>
          </w:p>
        </w:tc>
        <w:tc>
          <w:tcPr>
            <w:tcW w:w="1701" w:type="dxa"/>
            <w:tcBorders>
              <w:top w:val="single" w:sz="4" w:space="0" w:color="auto"/>
              <w:left w:val="nil"/>
              <w:bottom w:val="single" w:sz="4" w:space="0" w:color="auto"/>
              <w:right w:val="nil"/>
            </w:tcBorders>
            <w:shd w:val="clear" w:color="auto" w:fill="auto"/>
            <w:vAlign w:val="center"/>
            <w:hideMark/>
          </w:tcPr>
          <w:p w:rsidR="00097A7C" w:rsidRPr="001D0A28" w:rsidRDefault="00097A7C" w:rsidP="004A6CEC">
            <w:pPr>
              <w:spacing w:before="240"/>
              <w:jc w:val="center"/>
              <w:rPr>
                <w:rFonts w:eastAsia="Times New Roman" w:cstheme="minorHAnsi"/>
                <w:b/>
                <w:bCs/>
                <w:color w:val="000000"/>
                <w:sz w:val="22"/>
                <w:lang w:eastAsia="en-GB"/>
              </w:rPr>
            </w:pPr>
            <w:r w:rsidRPr="001D0A28">
              <w:rPr>
                <w:rFonts w:eastAsia="Times New Roman" w:cstheme="minorHAnsi"/>
                <w:b/>
                <w:bCs/>
                <w:color w:val="000000"/>
                <w:sz w:val="22"/>
                <w:lang w:eastAsia="en-GB"/>
              </w:rPr>
              <w:t>SBP</w:t>
            </w:r>
          </w:p>
        </w:tc>
        <w:tc>
          <w:tcPr>
            <w:tcW w:w="1418" w:type="dxa"/>
            <w:tcBorders>
              <w:top w:val="single" w:sz="4" w:space="0" w:color="auto"/>
              <w:left w:val="nil"/>
              <w:bottom w:val="single" w:sz="4" w:space="0" w:color="auto"/>
              <w:right w:val="nil"/>
            </w:tcBorders>
            <w:shd w:val="clear" w:color="auto" w:fill="auto"/>
            <w:noWrap/>
            <w:vAlign w:val="center"/>
            <w:hideMark/>
          </w:tcPr>
          <w:p w:rsidR="00097A7C" w:rsidRPr="001D0A28" w:rsidRDefault="00097A7C" w:rsidP="004A6CEC">
            <w:pPr>
              <w:spacing w:before="240"/>
              <w:jc w:val="center"/>
              <w:rPr>
                <w:rFonts w:eastAsia="Times New Roman" w:cstheme="minorHAnsi"/>
                <w:b/>
                <w:bCs/>
                <w:color w:val="000000"/>
                <w:sz w:val="22"/>
                <w:lang w:eastAsia="en-GB"/>
              </w:rPr>
            </w:pPr>
            <w:r w:rsidRPr="001D0A28">
              <w:rPr>
                <w:rFonts w:eastAsia="Times New Roman" w:cstheme="minorHAnsi"/>
                <w:b/>
                <w:bCs/>
                <w:color w:val="000000"/>
                <w:sz w:val="22"/>
                <w:lang w:eastAsia="en-GB"/>
              </w:rPr>
              <w:t>DBP</w:t>
            </w:r>
          </w:p>
        </w:tc>
        <w:tc>
          <w:tcPr>
            <w:tcW w:w="1534" w:type="dxa"/>
            <w:tcBorders>
              <w:top w:val="single" w:sz="4" w:space="0" w:color="auto"/>
              <w:left w:val="nil"/>
              <w:bottom w:val="single" w:sz="4" w:space="0" w:color="auto"/>
              <w:right w:val="nil"/>
            </w:tcBorders>
            <w:shd w:val="clear" w:color="auto" w:fill="auto"/>
            <w:noWrap/>
            <w:vAlign w:val="center"/>
            <w:hideMark/>
          </w:tcPr>
          <w:p w:rsidR="00097A7C" w:rsidRPr="001D0A28" w:rsidRDefault="00097A7C" w:rsidP="004A6CEC">
            <w:pPr>
              <w:spacing w:before="240"/>
              <w:jc w:val="center"/>
              <w:rPr>
                <w:rFonts w:eastAsia="Times New Roman" w:cstheme="minorHAnsi"/>
                <w:b/>
                <w:bCs/>
                <w:color w:val="000000"/>
                <w:sz w:val="22"/>
                <w:lang w:eastAsia="en-GB"/>
              </w:rPr>
            </w:pPr>
            <w:r w:rsidRPr="001D0A28">
              <w:rPr>
                <w:rFonts w:eastAsia="Times New Roman" w:cstheme="minorHAnsi"/>
                <w:b/>
                <w:bCs/>
                <w:color w:val="000000"/>
                <w:sz w:val="22"/>
                <w:lang w:eastAsia="en-GB"/>
              </w:rPr>
              <w:t>Heart rate</w:t>
            </w:r>
          </w:p>
        </w:tc>
      </w:tr>
      <w:tr w:rsidR="00097A7C" w:rsidRPr="00022F5A" w:rsidTr="004A6CEC">
        <w:trPr>
          <w:trHeight w:val="300"/>
        </w:trPr>
        <w:tc>
          <w:tcPr>
            <w:tcW w:w="4551" w:type="dxa"/>
            <w:tcBorders>
              <w:top w:val="single" w:sz="4" w:space="0" w:color="auto"/>
              <w:left w:val="nil"/>
              <w:bottom w:val="nil"/>
              <w:right w:val="nil"/>
            </w:tcBorders>
            <w:shd w:val="clear" w:color="auto" w:fill="auto"/>
            <w:noWrap/>
            <w:vAlign w:val="center"/>
            <w:hideMark/>
          </w:tcPr>
          <w:p w:rsidR="00097A7C" w:rsidRPr="007873CA" w:rsidRDefault="00097A7C" w:rsidP="004A6CEC">
            <w:pPr>
              <w:spacing w:before="240"/>
              <w:rPr>
                <w:rFonts w:eastAsia="Times New Roman" w:cstheme="minorHAnsi"/>
                <w:b/>
                <w:color w:val="000000"/>
                <w:sz w:val="22"/>
                <w:lang w:eastAsia="en-GB"/>
              </w:rPr>
            </w:pPr>
            <w:r w:rsidRPr="007873CA">
              <w:rPr>
                <w:rFonts w:eastAsia="Times New Roman" w:cstheme="minorHAnsi"/>
                <w:b/>
                <w:color w:val="000000"/>
                <w:sz w:val="22"/>
                <w:lang w:eastAsia="en-GB"/>
              </w:rPr>
              <w:t>Referral from clinic for observed drug ingestion</w:t>
            </w:r>
          </w:p>
        </w:tc>
        <w:tc>
          <w:tcPr>
            <w:tcW w:w="709" w:type="dxa"/>
            <w:tcBorders>
              <w:top w:val="single" w:sz="4" w:space="0" w:color="auto"/>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102</w:t>
            </w:r>
          </w:p>
        </w:tc>
        <w:tc>
          <w:tcPr>
            <w:tcW w:w="1701" w:type="dxa"/>
            <w:tcBorders>
              <w:top w:val="single" w:sz="4" w:space="0" w:color="auto"/>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171.5 (143,223)</w:t>
            </w:r>
          </w:p>
        </w:tc>
        <w:tc>
          <w:tcPr>
            <w:tcW w:w="1418" w:type="dxa"/>
            <w:tcBorders>
              <w:top w:val="single" w:sz="4" w:space="0" w:color="auto"/>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91 (57, 128)</w:t>
            </w:r>
          </w:p>
        </w:tc>
        <w:tc>
          <w:tcPr>
            <w:tcW w:w="1534" w:type="dxa"/>
            <w:tcBorders>
              <w:top w:val="single" w:sz="4" w:space="0" w:color="auto"/>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78 (49, 139)</w:t>
            </w:r>
          </w:p>
        </w:tc>
      </w:tr>
      <w:tr w:rsidR="00097A7C" w:rsidRPr="00022F5A" w:rsidTr="004A6CEC">
        <w:trPr>
          <w:trHeight w:val="300"/>
        </w:trPr>
        <w:tc>
          <w:tcPr>
            <w:tcW w:w="4551" w:type="dxa"/>
            <w:tcBorders>
              <w:top w:val="nil"/>
              <w:left w:val="nil"/>
              <w:bottom w:val="nil"/>
              <w:right w:val="nil"/>
            </w:tcBorders>
            <w:shd w:val="clear" w:color="auto" w:fill="auto"/>
            <w:noWrap/>
            <w:vAlign w:val="center"/>
          </w:tcPr>
          <w:p w:rsidR="00097A7C" w:rsidRPr="007873CA" w:rsidRDefault="00097A7C" w:rsidP="004A6CEC">
            <w:pPr>
              <w:spacing w:before="240"/>
              <w:rPr>
                <w:rFonts w:eastAsia="Times New Roman" w:cstheme="minorHAnsi"/>
                <w:b/>
                <w:color w:val="000000"/>
                <w:sz w:val="22"/>
                <w:lang w:eastAsia="en-GB"/>
              </w:rPr>
            </w:pPr>
          </w:p>
        </w:tc>
        <w:tc>
          <w:tcPr>
            <w:tcW w:w="709"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701"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418"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534"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r>
      <w:tr w:rsidR="00097A7C" w:rsidRPr="00022F5A" w:rsidTr="004A6CEC">
        <w:trPr>
          <w:trHeight w:val="300"/>
        </w:trPr>
        <w:tc>
          <w:tcPr>
            <w:tcW w:w="4551" w:type="dxa"/>
            <w:tcBorders>
              <w:top w:val="nil"/>
              <w:left w:val="nil"/>
              <w:bottom w:val="nil"/>
              <w:right w:val="nil"/>
            </w:tcBorders>
            <w:shd w:val="clear" w:color="auto" w:fill="auto"/>
            <w:noWrap/>
            <w:vAlign w:val="center"/>
            <w:hideMark/>
          </w:tcPr>
          <w:p w:rsidR="00097A7C" w:rsidRPr="007873CA" w:rsidRDefault="00097A7C" w:rsidP="004A6CEC">
            <w:pPr>
              <w:spacing w:before="240"/>
              <w:rPr>
                <w:rFonts w:eastAsia="Times New Roman" w:cstheme="minorHAnsi"/>
                <w:b/>
                <w:color w:val="000000"/>
                <w:sz w:val="22"/>
                <w:lang w:eastAsia="en-GB"/>
              </w:rPr>
            </w:pPr>
            <w:r w:rsidRPr="007873CA">
              <w:rPr>
                <w:rFonts w:eastAsia="Times New Roman" w:cstheme="minorHAnsi"/>
                <w:b/>
                <w:color w:val="000000"/>
                <w:sz w:val="22"/>
                <w:lang w:eastAsia="en-GB"/>
              </w:rPr>
              <w:t>Baseline, prior to drug administration</w:t>
            </w:r>
          </w:p>
        </w:tc>
        <w:tc>
          <w:tcPr>
            <w:tcW w:w="709" w:type="dxa"/>
            <w:tcBorders>
              <w:top w:val="nil"/>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102</w:t>
            </w:r>
          </w:p>
        </w:tc>
        <w:tc>
          <w:tcPr>
            <w:tcW w:w="1701" w:type="dxa"/>
            <w:tcBorders>
              <w:top w:val="nil"/>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153 (105, 221)</w:t>
            </w:r>
          </w:p>
        </w:tc>
        <w:tc>
          <w:tcPr>
            <w:tcW w:w="1418" w:type="dxa"/>
            <w:tcBorders>
              <w:top w:val="nil"/>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84 (52, 131)</w:t>
            </w:r>
          </w:p>
        </w:tc>
        <w:tc>
          <w:tcPr>
            <w:tcW w:w="1534" w:type="dxa"/>
            <w:tcBorders>
              <w:top w:val="nil"/>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75 (42, 130)</w:t>
            </w:r>
          </w:p>
        </w:tc>
      </w:tr>
      <w:tr w:rsidR="00097A7C" w:rsidRPr="00022F5A" w:rsidTr="004A6CEC">
        <w:trPr>
          <w:trHeight w:val="300"/>
        </w:trPr>
        <w:tc>
          <w:tcPr>
            <w:tcW w:w="4551" w:type="dxa"/>
            <w:tcBorders>
              <w:top w:val="nil"/>
              <w:left w:val="nil"/>
              <w:bottom w:val="nil"/>
              <w:right w:val="nil"/>
            </w:tcBorders>
            <w:shd w:val="clear" w:color="auto" w:fill="auto"/>
            <w:noWrap/>
            <w:vAlign w:val="center"/>
            <w:hideMark/>
          </w:tcPr>
          <w:p w:rsidR="00097A7C" w:rsidRPr="007873CA" w:rsidRDefault="00097A7C" w:rsidP="004A6CEC">
            <w:pPr>
              <w:spacing w:before="240"/>
              <w:rPr>
                <w:rFonts w:eastAsia="Times New Roman" w:cstheme="minorHAnsi"/>
                <w:b/>
                <w:color w:val="000000"/>
                <w:sz w:val="22"/>
                <w:lang w:eastAsia="en-GB"/>
              </w:rPr>
            </w:pPr>
            <w:r w:rsidRPr="007873CA">
              <w:rPr>
                <w:rFonts w:eastAsia="Times New Roman" w:cstheme="minorHAnsi"/>
                <w:b/>
                <w:color w:val="000000"/>
                <w:sz w:val="22"/>
                <w:lang w:eastAsia="en-GB"/>
              </w:rPr>
              <w:t>After drug administration</w:t>
            </w:r>
          </w:p>
        </w:tc>
        <w:tc>
          <w:tcPr>
            <w:tcW w:w="709" w:type="dxa"/>
            <w:tcBorders>
              <w:top w:val="nil"/>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97</w:t>
            </w:r>
          </w:p>
        </w:tc>
        <w:tc>
          <w:tcPr>
            <w:tcW w:w="1701" w:type="dxa"/>
            <w:tcBorders>
              <w:top w:val="nil"/>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142 (87, 200)</w:t>
            </w:r>
          </w:p>
        </w:tc>
        <w:tc>
          <w:tcPr>
            <w:tcW w:w="1418" w:type="dxa"/>
            <w:tcBorders>
              <w:top w:val="nil"/>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79 (55, 122)</w:t>
            </w:r>
          </w:p>
        </w:tc>
        <w:tc>
          <w:tcPr>
            <w:tcW w:w="1534" w:type="dxa"/>
            <w:tcBorders>
              <w:top w:val="nil"/>
              <w:left w:val="nil"/>
              <w:bottom w:val="nil"/>
              <w:right w:val="nil"/>
            </w:tcBorders>
            <w:shd w:val="clear" w:color="auto" w:fill="auto"/>
            <w:noWrap/>
            <w:vAlign w:val="bottom"/>
            <w:hideMark/>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67 (39.97)</w:t>
            </w:r>
          </w:p>
        </w:tc>
      </w:tr>
      <w:tr w:rsidR="00097A7C" w:rsidRPr="00022F5A" w:rsidTr="004A6CEC">
        <w:trPr>
          <w:trHeight w:val="300"/>
        </w:trPr>
        <w:tc>
          <w:tcPr>
            <w:tcW w:w="4551" w:type="dxa"/>
            <w:tcBorders>
              <w:top w:val="nil"/>
              <w:left w:val="nil"/>
              <w:bottom w:val="nil"/>
              <w:right w:val="nil"/>
            </w:tcBorders>
            <w:shd w:val="clear" w:color="auto" w:fill="auto"/>
            <w:noWrap/>
            <w:vAlign w:val="center"/>
          </w:tcPr>
          <w:p w:rsidR="00097A7C" w:rsidRPr="007873CA" w:rsidRDefault="00097A7C" w:rsidP="004A6CEC">
            <w:pPr>
              <w:spacing w:before="240"/>
              <w:rPr>
                <w:rFonts w:eastAsia="Times New Roman" w:cstheme="minorHAnsi"/>
                <w:b/>
                <w:color w:val="000000"/>
                <w:sz w:val="22"/>
                <w:lang w:eastAsia="en-GB"/>
              </w:rPr>
            </w:pPr>
          </w:p>
        </w:tc>
        <w:tc>
          <w:tcPr>
            <w:tcW w:w="709"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701"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418"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534"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r>
      <w:tr w:rsidR="00097A7C" w:rsidRPr="00022F5A" w:rsidTr="004A6CEC">
        <w:trPr>
          <w:trHeight w:val="300"/>
        </w:trPr>
        <w:tc>
          <w:tcPr>
            <w:tcW w:w="4551" w:type="dxa"/>
            <w:tcBorders>
              <w:top w:val="nil"/>
              <w:left w:val="nil"/>
              <w:bottom w:val="nil"/>
              <w:right w:val="nil"/>
            </w:tcBorders>
            <w:shd w:val="clear" w:color="auto" w:fill="auto"/>
            <w:noWrap/>
            <w:vAlign w:val="center"/>
          </w:tcPr>
          <w:p w:rsidR="00097A7C" w:rsidRPr="007873CA" w:rsidRDefault="00097A7C" w:rsidP="004A6CEC">
            <w:pPr>
              <w:spacing w:before="240"/>
              <w:rPr>
                <w:rFonts w:eastAsia="Times New Roman" w:cstheme="minorHAnsi"/>
                <w:b/>
                <w:color w:val="000000"/>
                <w:sz w:val="22"/>
                <w:lang w:eastAsia="en-GB"/>
              </w:rPr>
            </w:pPr>
            <w:r w:rsidRPr="007873CA">
              <w:rPr>
                <w:rFonts w:eastAsia="Times New Roman" w:cstheme="minorHAnsi"/>
                <w:b/>
                <w:color w:val="000000"/>
                <w:sz w:val="22"/>
                <w:lang w:eastAsia="en-GB"/>
              </w:rPr>
              <w:t xml:space="preserve">ABPM </w:t>
            </w:r>
            <w:r>
              <w:rPr>
                <w:rFonts w:eastAsia="Times New Roman" w:cstheme="minorHAnsi"/>
                <w:b/>
                <w:color w:val="000000"/>
                <w:sz w:val="22"/>
                <w:lang w:eastAsia="en-GB"/>
              </w:rPr>
              <w:t>d</w:t>
            </w:r>
            <w:r w:rsidRPr="007873CA">
              <w:rPr>
                <w:rFonts w:eastAsia="Times New Roman" w:cstheme="minorHAnsi"/>
                <w:b/>
                <w:color w:val="000000"/>
                <w:sz w:val="22"/>
                <w:lang w:eastAsia="en-GB"/>
              </w:rPr>
              <w:t>ay-time</w:t>
            </w:r>
          </w:p>
        </w:tc>
        <w:tc>
          <w:tcPr>
            <w:tcW w:w="709"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87</w:t>
            </w:r>
          </w:p>
        </w:tc>
        <w:tc>
          <w:tcPr>
            <w:tcW w:w="1701"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142 (96, 207)</w:t>
            </w:r>
          </w:p>
        </w:tc>
        <w:tc>
          <w:tcPr>
            <w:tcW w:w="1418"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80 (52,113</w:t>
            </w:r>
          </w:p>
        </w:tc>
        <w:tc>
          <w:tcPr>
            <w:tcW w:w="1534"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71 (47,108)</w:t>
            </w:r>
          </w:p>
        </w:tc>
      </w:tr>
      <w:tr w:rsidR="00097A7C" w:rsidRPr="00022F5A" w:rsidTr="004A6CEC">
        <w:trPr>
          <w:trHeight w:val="300"/>
        </w:trPr>
        <w:tc>
          <w:tcPr>
            <w:tcW w:w="4551" w:type="dxa"/>
            <w:tcBorders>
              <w:top w:val="nil"/>
              <w:left w:val="nil"/>
              <w:bottom w:val="nil"/>
              <w:right w:val="nil"/>
            </w:tcBorders>
            <w:shd w:val="clear" w:color="auto" w:fill="auto"/>
            <w:noWrap/>
            <w:vAlign w:val="center"/>
          </w:tcPr>
          <w:p w:rsidR="00097A7C" w:rsidRPr="007873CA" w:rsidRDefault="00097A7C" w:rsidP="004A6CEC">
            <w:pPr>
              <w:spacing w:before="240"/>
              <w:rPr>
                <w:rFonts w:eastAsia="Times New Roman" w:cstheme="minorHAnsi"/>
                <w:b/>
                <w:color w:val="000000"/>
                <w:sz w:val="22"/>
                <w:lang w:eastAsia="en-GB"/>
              </w:rPr>
            </w:pPr>
            <w:r>
              <w:rPr>
                <w:rFonts w:eastAsia="Times New Roman" w:cstheme="minorHAnsi"/>
                <w:b/>
                <w:color w:val="000000"/>
                <w:sz w:val="22"/>
                <w:lang w:eastAsia="en-GB"/>
              </w:rPr>
              <w:t>ABPM n</w:t>
            </w:r>
            <w:r w:rsidRPr="007873CA">
              <w:rPr>
                <w:rFonts w:eastAsia="Times New Roman" w:cstheme="minorHAnsi"/>
                <w:b/>
                <w:color w:val="000000"/>
                <w:sz w:val="22"/>
                <w:lang w:eastAsia="en-GB"/>
              </w:rPr>
              <w:t>ight-time</w:t>
            </w:r>
          </w:p>
        </w:tc>
        <w:tc>
          <w:tcPr>
            <w:tcW w:w="709"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84</w:t>
            </w:r>
          </w:p>
        </w:tc>
        <w:tc>
          <w:tcPr>
            <w:tcW w:w="1701"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128 (89, 193)</w:t>
            </w:r>
          </w:p>
        </w:tc>
        <w:tc>
          <w:tcPr>
            <w:tcW w:w="1418"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70 (49.109)</w:t>
            </w:r>
          </w:p>
        </w:tc>
        <w:tc>
          <w:tcPr>
            <w:tcW w:w="1534"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67 (10,91)</w:t>
            </w:r>
          </w:p>
        </w:tc>
      </w:tr>
      <w:tr w:rsidR="00097A7C" w:rsidRPr="00022F5A" w:rsidTr="004A6CEC">
        <w:trPr>
          <w:trHeight w:val="300"/>
        </w:trPr>
        <w:tc>
          <w:tcPr>
            <w:tcW w:w="4551" w:type="dxa"/>
            <w:tcBorders>
              <w:top w:val="nil"/>
              <w:left w:val="nil"/>
              <w:bottom w:val="nil"/>
              <w:right w:val="nil"/>
            </w:tcBorders>
            <w:shd w:val="clear" w:color="auto" w:fill="auto"/>
            <w:noWrap/>
            <w:vAlign w:val="center"/>
          </w:tcPr>
          <w:p w:rsidR="00097A7C" w:rsidRPr="007873CA" w:rsidRDefault="00097A7C" w:rsidP="004A6CEC">
            <w:pPr>
              <w:spacing w:before="240"/>
              <w:rPr>
                <w:rFonts w:eastAsia="Times New Roman" w:cstheme="minorHAnsi"/>
                <w:b/>
                <w:color w:val="000000"/>
                <w:sz w:val="22"/>
                <w:lang w:eastAsia="en-GB"/>
              </w:rPr>
            </w:pPr>
          </w:p>
        </w:tc>
        <w:tc>
          <w:tcPr>
            <w:tcW w:w="709"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701"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418"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534" w:type="dxa"/>
            <w:tcBorders>
              <w:top w:val="nil"/>
              <w:left w:val="nil"/>
              <w:bottom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r>
      <w:tr w:rsidR="00097A7C" w:rsidRPr="00022F5A" w:rsidTr="004A6CEC">
        <w:trPr>
          <w:trHeight w:val="300"/>
        </w:trPr>
        <w:tc>
          <w:tcPr>
            <w:tcW w:w="4551" w:type="dxa"/>
            <w:tcBorders>
              <w:top w:val="nil"/>
              <w:left w:val="nil"/>
              <w:right w:val="nil"/>
            </w:tcBorders>
            <w:shd w:val="clear" w:color="auto" w:fill="auto"/>
            <w:noWrap/>
            <w:vAlign w:val="center"/>
          </w:tcPr>
          <w:p w:rsidR="00097A7C" w:rsidRPr="007873CA" w:rsidRDefault="00097A7C" w:rsidP="004A6CEC">
            <w:pPr>
              <w:spacing w:before="240"/>
              <w:rPr>
                <w:rFonts w:eastAsia="Times New Roman" w:cstheme="minorHAnsi"/>
                <w:b/>
                <w:color w:val="000000"/>
                <w:sz w:val="22"/>
                <w:lang w:eastAsia="en-GB"/>
              </w:rPr>
            </w:pPr>
            <w:r w:rsidRPr="007873CA">
              <w:rPr>
                <w:rFonts w:eastAsia="Times New Roman" w:cstheme="minorHAnsi"/>
                <w:b/>
                <w:sz w:val="22"/>
                <w:lang w:eastAsia="en-GB"/>
              </w:rPr>
              <w:t>Final clinic visit</w:t>
            </w:r>
          </w:p>
        </w:tc>
        <w:tc>
          <w:tcPr>
            <w:tcW w:w="709" w:type="dxa"/>
            <w:tcBorders>
              <w:top w:val="nil"/>
              <w:left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73</w:t>
            </w:r>
          </w:p>
        </w:tc>
        <w:tc>
          <w:tcPr>
            <w:tcW w:w="1701" w:type="dxa"/>
            <w:tcBorders>
              <w:top w:val="nil"/>
              <w:left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147 (115, 212)</w:t>
            </w:r>
          </w:p>
        </w:tc>
        <w:tc>
          <w:tcPr>
            <w:tcW w:w="1418" w:type="dxa"/>
            <w:tcBorders>
              <w:top w:val="nil"/>
              <w:left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79 (51, 119)</w:t>
            </w:r>
          </w:p>
        </w:tc>
        <w:tc>
          <w:tcPr>
            <w:tcW w:w="1534" w:type="dxa"/>
            <w:tcBorders>
              <w:top w:val="nil"/>
              <w:left w:val="nil"/>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r w:rsidRPr="001D0A28">
              <w:rPr>
                <w:rFonts w:eastAsia="Times New Roman" w:cstheme="minorHAnsi"/>
                <w:color w:val="000000"/>
                <w:sz w:val="22"/>
                <w:lang w:eastAsia="en-GB"/>
              </w:rPr>
              <w:t>78.5 (46, 137)</w:t>
            </w:r>
          </w:p>
        </w:tc>
      </w:tr>
      <w:tr w:rsidR="00097A7C" w:rsidRPr="00022F5A" w:rsidTr="004A6CEC">
        <w:trPr>
          <w:trHeight w:val="300"/>
        </w:trPr>
        <w:tc>
          <w:tcPr>
            <w:tcW w:w="4551" w:type="dxa"/>
            <w:tcBorders>
              <w:top w:val="nil"/>
              <w:left w:val="nil"/>
              <w:bottom w:val="single" w:sz="4" w:space="0" w:color="auto"/>
              <w:right w:val="nil"/>
            </w:tcBorders>
            <w:shd w:val="clear" w:color="auto" w:fill="auto"/>
            <w:noWrap/>
            <w:vAlign w:val="center"/>
          </w:tcPr>
          <w:p w:rsidR="00097A7C" w:rsidRPr="007873CA" w:rsidRDefault="00097A7C" w:rsidP="004A6CEC">
            <w:pPr>
              <w:spacing w:before="240"/>
              <w:rPr>
                <w:rFonts w:eastAsia="Times New Roman" w:cstheme="minorHAnsi"/>
                <w:b/>
                <w:color w:val="000000"/>
                <w:sz w:val="22"/>
                <w:lang w:eastAsia="en-GB"/>
              </w:rPr>
            </w:pPr>
          </w:p>
        </w:tc>
        <w:tc>
          <w:tcPr>
            <w:tcW w:w="709" w:type="dxa"/>
            <w:tcBorders>
              <w:top w:val="nil"/>
              <w:left w:val="nil"/>
              <w:bottom w:val="single" w:sz="4" w:space="0" w:color="auto"/>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701" w:type="dxa"/>
            <w:tcBorders>
              <w:top w:val="nil"/>
              <w:left w:val="nil"/>
              <w:bottom w:val="single" w:sz="4" w:space="0" w:color="auto"/>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418" w:type="dxa"/>
            <w:tcBorders>
              <w:top w:val="nil"/>
              <w:left w:val="nil"/>
              <w:bottom w:val="single" w:sz="4" w:space="0" w:color="auto"/>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c>
          <w:tcPr>
            <w:tcW w:w="1534" w:type="dxa"/>
            <w:tcBorders>
              <w:top w:val="nil"/>
              <w:left w:val="nil"/>
              <w:bottom w:val="single" w:sz="4" w:space="0" w:color="auto"/>
              <w:right w:val="nil"/>
            </w:tcBorders>
            <w:shd w:val="clear" w:color="auto" w:fill="auto"/>
            <w:noWrap/>
            <w:vAlign w:val="bottom"/>
          </w:tcPr>
          <w:p w:rsidR="00097A7C" w:rsidRPr="001D0A28" w:rsidRDefault="00097A7C" w:rsidP="004A6CEC">
            <w:pPr>
              <w:spacing w:before="240"/>
              <w:jc w:val="center"/>
              <w:rPr>
                <w:rFonts w:eastAsia="Times New Roman" w:cstheme="minorHAnsi"/>
                <w:color w:val="000000"/>
                <w:sz w:val="22"/>
                <w:lang w:eastAsia="en-GB"/>
              </w:rPr>
            </w:pPr>
          </w:p>
        </w:tc>
      </w:tr>
    </w:tbl>
    <w:p w:rsidR="00097A7C" w:rsidRPr="00022F5A" w:rsidRDefault="00097A7C" w:rsidP="00097A7C">
      <w:pPr>
        <w:autoSpaceDE w:val="0"/>
        <w:autoSpaceDN w:val="0"/>
        <w:adjustRightInd w:val="0"/>
        <w:rPr>
          <w:rFonts w:cstheme="minorHAnsi"/>
          <w:sz w:val="22"/>
          <w:szCs w:val="22"/>
        </w:rPr>
      </w:pPr>
    </w:p>
    <w:p w:rsidR="00097A7C" w:rsidRDefault="00097A7C" w:rsidP="00097A7C">
      <w:pPr>
        <w:autoSpaceDE w:val="0"/>
        <w:autoSpaceDN w:val="0"/>
        <w:adjustRightInd w:val="0"/>
        <w:rPr>
          <w:rStyle w:val="Emphasis"/>
          <w:rFonts w:cstheme="minorHAnsi"/>
          <w:b w:val="0"/>
          <w:i w:val="0"/>
          <w:color w:val="222222"/>
          <w:sz w:val="22"/>
          <w:szCs w:val="22"/>
        </w:rPr>
      </w:pPr>
      <w:r w:rsidRPr="00022F5A">
        <w:rPr>
          <w:rFonts w:cstheme="minorHAnsi"/>
          <w:sz w:val="22"/>
          <w:szCs w:val="22"/>
        </w:rPr>
        <w:t>Abbreviations: DBP, diastolic blood pressure; SBP, systolic blood pressure</w:t>
      </w:r>
      <w:r>
        <w:rPr>
          <w:rFonts w:cstheme="minorHAnsi"/>
          <w:sz w:val="22"/>
          <w:szCs w:val="22"/>
        </w:rPr>
        <w:t>;</w:t>
      </w:r>
      <w:r w:rsidRPr="00022F5A">
        <w:rPr>
          <w:rFonts w:cstheme="minorHAnsi"/>
          <w:sz w:val="22"/>
          <w:szCs w:val="22"/>
        </w:rPr>
        <w:t xml:space="preserve"> ABPM, </w:t>
      </w:r>
      <w:r w:rsidRPr="00503551">
        <w:rPr>
          <w:rStyle w:val="Emphasis"/>
          <w:rFonts w:cstheme="minorHAnsi"/>
          <w:b w:val="0"/>
          <w:i w:val="0"/>
          <w:color w:val="222222"/>
          <w:sz w:val="22"/>
          <w:szCs w:val="22"/>
        </w:rPr>
        <w:t>ambulatory blood pressure monitoring</w:t>
      </w:r>
      <w:r>
        <w:rPr>
          <w:rStyle w:val="Emphasis"/>
          <w:rFonts w:cstheme="minorHAnsi"/>
          <w:b w:val="0"/>
          <w:i w:val="0"/>
          <w:color w:val="222222"/>
          <w:sz w:val="22"/>
          <w:szCs w:val="22"/>
        </w:rPr>
        <w:t>; bpm, beats per minute.</w:t>
      </w:r>
    </w:p>
    <w:p w:rsidR="00097A7C" w:rsidRDefault="00097A7C" w:rsidP="00097A7C">
      <w:pPr>
        <w:autoSpaceDE w:val="0"/>
        <w:autoSpaceDN w:val="0"/>
        <w:adjustRightInd w:val="0"/>
        <w:rPr>
          <w:rStyle w:val="Emphasis"/>
          <w:rFonts w:cstheme="minorHAnsi"/>
          <w:b w:val="0"/>
          <w:i w:val="0"/>
          <w:color w:val="222222"/>
          <w:sz w:val="22"/>
          <w:szCs w:val="22"/>
        </w:rPr>
      </w:pPr>
    </w:p>
    <w:p w:rsidR="00097A7C" w:rsidRDefault="00097A7C" w:rsidP="00097A7C">
      <w:r>
        <w:t xml:space="preserve">Paired t-tests on within-subject </w:t>
      </w:r>
      <w:r w:rsidRPr="001577BB">
        <w:rPr>
          <w:b/>
        </w:rPr>
        <w:t>mean</w:t>
      </w:r>
      <w:r>
        <w:t xml:space="preserve"> differences:</w:t>
      </w:r>
    </w:p>
    <w:tbl>
      <w:tblPr>
        <w:tblStyle w:val="TableGrid"/>
        <w:tblW w:w="0" w:type="auto"/>
        <w:tblLook w:val="04A0" w:firstRow="1" w:lastRow="0" w:firstColumn="1" w:lastColumn="0" w:noHBand="0" w:noVBand="1"/>
      </w:tblPr>
      <w:tblGrid>
        <w:gridCol w:w="3080"/>
        <w:gridCol w:w="3081"/>
        <w:gridCol w:w="3081"/>
      </w:tblGrid>
      <w:tr w:rsidR="00097A7C" w:rsidTr="004A6CEC">
        <w:tc>
          <w:tcPr>
            <w:tcW w:w="3080" w:type="dxa"/>
          </w:tcPr>
          <w:p w:rsidR="00097A7C" w:rsidRPr="003B6638" w:rsidRDefault="00097A7C" w:rsidP="004A6CEC">
            <w:pPr>
              <w:rPr>
                <w:b/>
              </w:rPr>
            </w:pPr>
            <w:r w:rsidRPr="003B6638">
              <w:rPr>
                <w:b/>
              </w:rPr>
              <w:t>Comparisons</w:t>
            </w:r>
          </w:p>
        </w:tc>
        <w:tc>
          <w:tcPr>
            <w:tcW w:w="3081" w:type="dxa"/>
          </w:tcPr>
          <w:p w:rsidR="00097A7C" w:rsidRPr="003B6638" w:rsidRDefault="00097A7C" w:rsidP="004A6CEC">
            <w:pPr>
              <w:jc w:val="center"/>
              <w:rPr>
                <w:b/>
              </w:rPr>
            </w:pPr>
            <w:r w:rsidRPr="003B6638">
              <w:rPr>
                <w:b/>
              </w:rPr>
              <w:t>SBP</w:t>
            </w:r>
          </w:p>
        </w:tc>
        <w:tc>
          <w:tcPr>
            <w:tcW w:w="3081" w:type="dxa"/>
          </w:tcPr>
          <w:p w:rsidR="00097A7C" w:rsidRPr="003B6638" w:rsidRDefault="00097A7C" w:rsidP="004A6CEC">
            <w:pPr>
              <w:jc w:val="center"/>
              <w:rPr>
                <w:b/>
              </w:rPr>
            </w:pPr>
            <w:r w:rsidRPr="003B6638">
              <w:rPr>
                <w:b/>
              </w:rPr>
              <w:t>DBP</w:t>
            </w:r>
          </w:p>
        </w:tc>
      </w:tr>
      <w:tr w:rsidR="00097A7C" w:rsidTr="004A6CEC">
        <w:tc>
          <w:tcPr>
            <w:tcW w:w="3080" w:type="dxa"/>
          </w:tcPr>
          <w:p w:rsidR="00097A7C" w:rsidRDefault="00097A7C" w:rsidP="004A6CEC">
            <w:r>
              <w:t>Referral vs Baseline</w:t>
            </w:r>
          </w:p>
        </w:tc>
        <w:tc>
          <w:tcPr>
            <w:tcW w:w="3081" w:type="dxa"/>
          </w:tcPr>
          <w:p w:rsidR="00097A7C" w:rsidRDefault="00097A7C" w:rsidP="004A6CEC">
            <w:pPr>
              <w:jc w:val="center"/>
            </w:pPr>
            <w:r>
              <w:t>p&lt;0.0001</w:t>
            </w:r>
          </w:p>
        </w:tc>
        <w:tc>
          <w:tcPr>
            <w:tcW w:w="3081" w:type="dxa"/>
          </w:tcPr>
          <w:p w:rsidR="00097A7C" w:rsidRDefault="00097A7C" w:rsidP="004A6CEC">
            <w:pPr>
              <w:jc w:val="center"/>
            </w:pPr>
            <w:r>
              <w:t>p&lt;0.0001</w:t>
            </w:r>
          </w:p>
        </w:tc>
      </w:tr>
      <w:tr w:rsidR="00097A7C" w:rsidTr="004A6CEC">
        <w:tc>
          <w:tcPr>
            <w:tcW w:w="3080" w:type="dxa"/>
          </w:tcPr>
          <w:p w:rsidR="00097A7C" w:rsidRDefault="00097A7C" w:rsidP="004A6CEC">
            <w:r>
              <w:t>Baseline vs Post drug administration</w:t>
            </w:r>
          </w:p>
        </w:tc>
        <w:tc>
          <w:tcPr>
            <w:tcW w:w="3081" w:type="dxa"/>
          </w:tcPr>
          <w:p w:rsidR="00097A7C" w:rsidRDefault="00097A7C" w:rsidP="004A6CEC">
            <w:pPr>
              <w:jc w:val="center"/>
            </w:pPr>
            <w:r>
              <w:t>p&lt;0.0001</w:t>
            </w:r>
          </w:p>
        </w:tc>
        <w:tc>
          <w:tcPr>
            <w:tcW w:w="3081" w:type="dxa"/>
          </w:tcPr>
          <w:p w:rsidR="00097A7C" w:rsidRDefault="00097A7C" w:rsidP="004A6CEC">
            <w:pPr>
              <w:jc w:val="center"/>
            </w:pPr>
            <w:r>
              <w:t>p&lt;0.0001</w:t>
            </w:r>
          </w:p>
        </w:tc>
      </w:tr>
      <w:tr w:rsidR="00097A7C" w:rsidTr="004A6CEC">
        <w:tc>
          <w:tcPr>
            <w:tcW w:w="3080" w:type="dxa"/>
          </w:tcPr>
          <w:p w:rsidR="00097A7C" w:rsidRDefault="00097A7C" w:rsidP="004A6CEC">
            <w:r>
              <w:t>Baseline vs Daytime ABPM</w:t>
            </w:r>
          </w:p>
        </w:tc>
        <w:tc>
          <w:tcPr>
            <w:tcW w:w="3081" w:type="dxa"/>
          </w:tcPr>
          <w:p w:rsidR="00097A7C" w:rsidRDefault="00097A7C" w:rsidP="004A6CEC">
            <w:pPr>
              <w:jc w:val="center"/>
            </w:pPr>
            <w:r>
              <w:t>p&lt;0.0001</w:t>
            </w:r>
          </w:p>
        </w:tc>
        <w:tc>
          <w:tcPr>
            <w:tcW w:w="3081" w:type="dxa"/>
          </w:tcPr>
          <w:p w:rsidR="00097A7C" w:rsidRDefault="00097A7C" w:rsidP="004A6CEC">
            <w:pPr>
              <w:jc w:val="center"/>
            </w:pPr>
            <w:r>
              <w:t>p=0.003</w:t>
            </w:r>
          </w:p>
        </w:tc>
      </w:tr>
      <w:tr w:rsidR="00097A7C" w:rsidTr="004A6CEC">
        <w:tc>
          <w:tcPr>
            <w:tcW w:w="3080" w:type="dxa"/>
          </w:tcPr>
          <w:p w:rsidR="00097A7C" w:rsidRDefault="00097A7C" w:rsidP="004A6CEC">
            <w:r>
              <w:t xml:space="preserve">Post drug administration vs </w:t>
            </w:r>
          </w:p>
          <w:p w:rsidR="00097A7C" w:rsidRDefault="00097A7C" w:rsidP="004A6CEC">
            <w:r>
              <w:t>Final clinic visit</w:t>
            </w:r>
          </w:p>
        </w:tc>
        <w:tc>
          <w:tcPr>
            <w:tcW w:w="3081" w:type="dxa"/>
          </w:tcPr>
          <w:p w:rsidR="00097A7C" w:rsidRDefault="00097A7C" w:rsidP="004A6CEC">
            <w:pPr>
              <w:jc w:val="center"/>
            </w:pPr>
            <w:r>
              <w:t>p=0.07</w:t>
            </w:r>
          </w:p>
        </w:tc>
        <w:tc>
          <w:tcPr>
            <w:tcW w:w="3081" w:type="dxa"/>
          </w:tcPr>
          <w:p w:rsidR="00097A7C" w:rsidRDefault="00097A7C" w:rsidP="004A6CEC">
            <w:pPr>
              <w:jc w:val="center"/>
            </w:pPr>
            <w:r>
              <w:t>p=0.53</w:t>
            </w:r>
          </w:p>
        </w:tc>
      </w:tr>
    </w:tbl>
    <w:p w:rsidR="00097A7C" w:rsidRDefault="00097A7C" w:rsidP="00097A7C"/>
    <w:p w:rsidR="00097A7C" w:rsidRDefault="00097A7C" w:rsidP="00097A7C"/>
    <w:p w:rsidR="00097A7C" w:rsidRPr="00503551" w:rsidRDefault="00097A7C" w:rsidP="00097A7C">
      <w:pPr>
        <w:autoSpaceDE w:val="0"/>
        <w:autoSpaceDN w:val="0"/>
        <w:adjustRightInd w:val="0"/>
        <w:rPr>
          <w:rFonts w:cstheme="minorHAnsi"/>
          <w:b/>
          <w:i/>
          <w:sz w:val="22"/>
          <w:szCs w:val="22"/>
        </w:rPr>
      </w:pPr>
    </w:p>
    <w:p w:rsidR="00097A7C" w:rsidRDefault="00097A7C" w:rsidP="00097A7C">
      <w:pPr>
        <w:rPr>
          <w:rFonts w:cstheme="minorHAnsi"/>
        </w:rPr>
      </w:pPr>
      <w:r w:rsidRPr="00022F5A">
        <w:rPr>
          <w:rFonts w:cstheme="minorHAnsi"/>
          <w:sz w:val="22"/>
          <w:szCs w:val="22"/>
        </w:rPr>
        <w:br w:type="page"/>
      </w:r>
    </w:p>
    <w:p w:rsidR="00097A7C" w:rsidRDefault="00097A7C" w:rsidP="00097A7C"/>
    <w:p w:rsidR="00097A7C" w:rsidRPr="00361268" w:rsidRDefault="00097A7C" w:rsidP="00097A7C">
      <w:pPr>
        <w:rPr>
          <w:b/>
        </w:rPr>
      </w:pPr>
      <w:r w:rsidRPr="00361268">
        <w:rPr>
          <w:b/>
        </w:rPr>
        <w:t>Table 3</w:t>
      </w:r>
    </w:p>
    <w:p w:rsidR="00097A7C" w:rsidRPr="00361268" w:rsidRDefault="00097A7C" w:rsidP="00097A7C"/>
    <w:p w:rsidR="00097A7C" w:rsidRPr="00361268" w:rsidRDefault="00097A7C" w:rsidP="00097A7C">
      <w:r w:rsidRPr="00361268">
        <w:t>Ethnicity of patients controlled or not controlled at some time point during the study and follow up.</w:t>
      </w:r>
    </w:p>
    <w:p w:rsidR="00097A7C" w:rsidRPr="00361268" w:rsidRDefault="00097A7C" w:rsidP="00097A7C">
      <w:pPr>
        <w:rPr>
          <w:b/>
        </w:rPr>
      </w:pPr>
      <w:r w:rsidRPr="00361268">
        <w:t xml:space="preserve">                                                                 </w:t>
      </w:r>
      <w:r w:rsidRPr="00361268">
        <w:rPr>
          <w:b/>
        </w:rPr>
        <w:t>Controlled</w:t>
      </w:r>
      <w:r>
        <w:rPr>
          <w:b/>
        </w:rPr>
        <w:t xml:space="preserve"> (n)</w:t>
      </w:r>
      <w:r w:rsidRPr="00361268">
        <w:rPr>
          <w:b/>
        </w:rPr>
        <w:t xml:space="preserve">                </w:t>
      </w:r>
      <w:proofErr w:type="gramStart"/>
      <w:r w:rsidRPr="00361268">
        <w:rPr>
          <w:b/>
        </w:rPr>
        <w:t>Not</w:t>
      </w:r>
      <w:proofErr w:type="gramEnd"/>
      <w:r w:rsidRPr="00361268">
        <w:rPr>
          <w:b/>
        </w:rPr>
        <w:t xml:space="preserve"> controlled</w:t>
      </w:r>
      <w:r>
        <w:rPr>
          <w:b/>
        </w:rPr>
        <w:t xml:space="preserve"> (n)</w:t>
      </w:r>
    </w:p>
    <w:p w:rsidR="00097A7C" w:rsidRPr="00361268" w:rsidRDefault="00097A7C" w:rsidP="00097A7C">
      <w:r w:rsidRPr="00361268">
        <w:t>White                                                              17                                         6</w:t>
      </w:r>
    </w:p>
    <w:p w:rsidR="00097A7C" w:rsidRPr="00361268" w:rsidRDefault="00097A7C" w:rsidP="00097A7C">
      <w:r w:rsidRPr="00361268">
        <w:t xml:space="preserve">Black                                                               31                         </w:t>
      </w:r>
      <w:r w:rsidR="000523E0">
        <w:t xml:space="preserve"> </w:t>
      </w:r>
      <w:r w:rsidRPr="00361268">
        <w:t xml:space="preserve">              14</w:t>
      </w:r>
    </w:p>
    <w:p w:rsidR="00097A7C" w:rsidRPr="00361268" w:rsidRDefault="00097A7C" w:rsidP="00097A7C">
      <w:r w:rsidRPr="00361268">
        <w:t xml:space="preserve">Asian                                                               12                          </w:t>
      </w:r>
      <w:r w:rsidR="000523E0">
        <w:t xml:space="preserve"> </w:t>
      </w:r>
      <w:r w:rsidRPr="00361268">
        <w:t xml:space="preserve">             11</w:t>
      </w:r>
    </w:p>
    <w:p w:rsidR="00097A7C" w:rsidRPr="00361268" w:rsidRDefault="00097A7C" w:rsidP="00097A7C">
      <w:r w:rsidRPr="00361268">
        <w:t>Unknown                                                         6                                           5</w:t>
      </w:r>
    </w:p>
    <w:p w:rsidR="00097A7C" w:rsidRDefault="00097A7C" w:rsidP="00097A7C"/>
    <w:p w:rsidR="00097A7C" w:rsidRDefault="00097A7C" w:rsidP="00097A7C">
      <w:pPr>
        <w:rPr>
          <w:b/>
        </w:rPr>
      </w:pPr>
      <w:r>
        <w:rPr>
          <w:b/>
        </w:rPr>
        <w:br w:type="page"/>
      </w:r>
    </w:p>
    <w:p w:rsidR="00097A7C" w:rsidRPr="006C527D" w:rsidRDefault="00097A7C" w:rsidP="00097A7C">
      <w:pPr>
        <w:rPr>
          <w:b/>
        </w:rPr>
      </w:pPr>
      <w:r>
        <w:rPr>
          <w:b/>
        </w:rPr>
        <w:lastRenderedPageBreak/>
        <w:t>Figure Legend</w:t>
      </w:r>
    </w:p>
    <w:p w:rsidR="00097A7C" w:rsidRDefault="00097A7C" w:rsidP="00097A7C"/>
    <w:p w:rsidR="00097A7C" w:rsidRDefault="00097A7C" w:rsidP="00097A7C">
      <w:r w:rsidRPr="00D96218">
        <w:rPr>
          <w:b/>
        </w:rPr>
        <w:t>Figure 1</w:t>
      </w:r>
      <w:r>
        <w:t xml:space="preserve"> - Study profile</w:t>
      </w:r>
    </w:p>
    <w:p w:rsidR="00097A7C" w:rsidRDefault="00097A7C" w:rsidP="00097A7C"/>
    <w:p w:rsidR="00097A7C" w:rsidRDefault="00097A7C" w:rsidP="00097A7C">
      <w:r w:rsidRPr="00D96218">
        <w:rPr>
          <w:b/>
        </w:rPr>
        <w:t>Figure 2</w:t>
      </w:r>
      <w:r>
        <w:t xml:space="preserve"> - Distribution of blood pressures (median, interquartile range and maximum and minimum values excluding outliers) at various time points during the study.  SBP = systolic blood pressure, DBP = diastolic blood pressure. Statistical comparisons shown in Table 2</w:t>
      </w:r>
    </w:p>
    <w:p w:rsidR="00097A7C" w:rsidRDefault="00097A7C" w:rsidP="00097A7C"/>
    <w:p w:rsidR="00097A7C" w:rsidRPr="000E0731" w:rsidRDefault="00097A7C" w:rsidP="00097A7C"/>
    <w:p w:rsidR="00097A7C" w:rsidRPr="00183E58" w:rsidRDefault="00097A7C" w:rsidP="00097A7C">
      <w:pPr>
        <w:spacing w:line="480" w:lineRule="auto"/>
        <w:ind w:left="720" w:hanging="720"/>
        <w:rPr>
          <w:rFonts w:cstheme="minorHAnsi"/>
        </w:rPr>
      </w:pPr>
    </w:p>
    <w:p w:rsidR="002262D7" w:rsidRDefault="0081735A"/>
    <w:sectPr w:rsidR="002262D7" w:rsidSect="009C60CB">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735A">
      <w:r>
        <w:separator/>
      </w:r>
    </w:p>
  </w:endnote>
  <w:endnote w:type="continuationSeparator" w:id="0">
    <w:p w:rsidR="00000000" w:rsidRDefault="0081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aker2Lancet-BoldItalic">
    <w:panose1 w:val="00000000000000000000"/>
    <w:charset w:val="00"/>
    <w:family w:val="auto"/>
    <w:notTrueType/>
    <w:pitch w:val="default"/>
    <w:sig w:usb0="00000003" w:usb1="00000000" w:usb2="00000000" w:usb3="00000000" w:csb0="00000001" w:csb1="00000000"/>
  </w:font>
  <w:font w:name="Shaker2Lancet-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189402"/>
      <w:docPartObj>
        <w:docPartGallery w:val="Page Numbers (Bottom of Page)"/>
        <w:docPartUnique/>
      </w:docPartObj>
    </w:sdtPr>
    <w:sdtEndPr>
      <w:rPr>
        <w:noProof/>
        <w:sz w:val="20"/>
        <w:szCs w:val="20"/>
      </w:rPr>
    </w:sdtEndPr>
    <w:sdtContent>
      <w:p w:rsidR="000400FC" w:rsidRPr="006F1F70" w:rsidRDefault="000523E0">
        <w:pPr>
          <w:pStyle w:val="Footer"/>
          <w:jc w:val="right"/>
          <w:rPr>
            <w:sz w:val="20"/>
            <w:szCs w:val="20"/>
          </w:rPr>
        </w:pPr>
        <w:r w:rsidRPr="006F1F70">
          <w:rPr>
            <w:sz w:val="20"/>
            <w:szCs w:val="20"/>
          </w:rPr>
          <w:fldChar w:fldCharType="begin"/>
        </w:r>
        <w:r w:rsidRPr="006F1F70">
          <w:rPr>
            <w:sz w:val="20"/>
            <w:szCs w:val="20"/>
          </w:rPr>
          <w:instrText xml:space="preserve"> PAGE   \* MERGEFORMAT </w:instrText>
        </w:r>
        <w:r w:rsidRPr="006F1F70">
          <w:rPr>
            <w:sz w:val="20"/>
            <w:szCs w:val="20"/>
          </w:rPr>
          <w:fldChar w:fldCharType="separate"/>
        </w:r>
        <w:r w:rsidR="0081735A">
          <w:rPr>
            <w:noProof/>
            <w:sz w:val="20"/>
            <w:szCs w:val="20"/>
          </w:rPr>
          <w:t>4</w:t>
        </w:r>
        <w:r w:rsidRPr="006F1F70">
          <w:rPr>
            <w:noProof/>
            <w:sz w:val="20"/>
            <w:szCs w:val="20"/>
          </w:rPr>
          <w:fldChar w:fldCharType="end"/>
        </w:r>
      </w:p>
    </w:sdtContent>
  </w:sdt>
  <w:p w:rsidR="000400FC" w:rsidRDefault="00817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735A">
      <w:r>
        <w:separator/>
      </w:r>
    </w:p>
  </w:footnote>
  <w:footnote w:type="continuationSeparator" w:id="0">
    <w:p w:rsidR="00000000" w:rsidRDefault="00817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C61"/>
    <w:multiLevelType w:val="hybridMultilevel"/>
    <w:tmpl w:val="E118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42EA7"/>
    <w:multiLevelType w:val="hybridMultilevel"/>
    <w:tmpl w:val="430A5FA0"/>
    <w:lvl w:ilvl="0" w:tplc="E404FFFC">
      <w:start w:val="1"/>
      <w:numFmt w:val="decimal"/>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B51CAB"/>
    <w:multiLevelType w:val="hybridMultilevel"/>
    <w:tmpl w:val="493C155A"/>
    <w:lvl w:ilvl="0" w:tplc="83222826">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AB781B"/>
    <w:multiLevelType w:val="hybridMultilevel"/>
    <w:tmpl w:val="02F4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E44D70"/>
    <w:multiLevelType w:val="hybridMultilevel"/>
    <w:tmpl w:val="5B6A4DA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7C"/>
    <w:rsid w:val="000523E0"/>
    <w:rsid w:val="00097A7C"/>
    <w:rsid w:val="001E4A3A"/>
    <w:rsid w:val="0081735A"/>
    <w:rsid w:val="00D36D1C"/>
    <w:rsid w:val="00F00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A7C"/>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097A7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97A7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97A7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97A7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97A7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97A7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97A7C"/>
    <w:pPr>
      <w:spacing w:before="240" w:after="60"/>
      <w:outlineLvl w:val="6"/>
    </w:pPr>
  </w:style>
  <w:style w:type="paragraph" w:styleId="Heading8">
    <w:name w:val="heading 8"/>
    <w:basedOn w:val="Normal"/>
    <w:next w:val="Normal"/>
    <w:link w:val="Heading8Char"/>
    <w:uiPriority w:val="9"/>
    <w:semiHidden/>
    <w:unhideWhenUsed/>
    <w:qFormat/>
    <w:rsid w:val="00097A7C"/>
    <w:pPr>
      <w:spacing w:before="240" w:after="60"/>
      <w:outlineLvl w:val="7"/>
    </w:pPr>
    <w:rPr>
      <w:i/>
      <w:iCs/>
    </w:rPr>
  </w:style>
  <w:style w:type="paragraph" w:styleId="Heading9">
    <w:name w:val="heading 9"/>
    <w:basedOn w:val="Normal"/>
    <w:next w:val="Normal"/>
    <w:link w:val="Heading9Char"/>
    <w:uiPriority w:val="9"/>
    <w:semiHidden/>
    <w:unhideWhenUsed/>
    <w:qFormat/>
    <w:rsid w:val="00097A7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7C"/>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097A7C"/>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sid w:val="00097A7C"/>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rsid w:val="00097A7C"/>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097A7C"/>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097A7C"/>
    <w:rPr>
      <w:rFonts w:eastAsiaTheme="minorEastAsia" w:cs="Times New Roman"/>
      <w:b/>
      <w:bCs/>
    </w:rPr>
  </w:style>
  <w:style w:type="character" w:customStyle="1" w:styleId="Heading7Char">
    <w:name w:val="Heading 7 Char"/>
    <w:basedOn w:val="DefaultParagraphFont"/>
    <w:link w:val="Heading7"/>
    <w:uiPriority w:val="9"/>
    <w:semiHidden/>
    <w:rsid w:val="00097A7C"/>
    <w:rPr>
      <w:rFonts w:eastAsiaTheme="minorEastAsia" w:cs="Times New Roman"/>
      <w:sz w:val="24"/>
      <w:szCs w:val="24"/>
    </w:rPr>
  </w:style>
  <w:style w:type="character" w:customStyle="1" w:styleId="Heading8Char">
    <w:name w:val="Heading 8 Char"/>
    <w:basedOn w:val="DefaultParagraphFont"/>
    <w:link w:val="Heading8"/>
    <w:uiPriority w:val="9"/>
    <w:semiHidden/>
    <w:rsid w:val="00097A7C"/>
    <w:rPr>
      <w:rFonts w:eastAsiaTheme="minorEastAsia" w:cs="Times New Roman"/>
      <w:i/>
      <w:iCs/>
      <w:sz w:val="24"/>
      <w:szCs w:val="24"/>
    </w:rPr>
  </w:style>
  <w:style w:type="character" w:customStyle="1" w:styleId="Heading9Char">
    <w:name w:val="Heading 9 Char"/>
    <w:basedOn w:val="DefaultParagraphFont"/>
    <w:link w:val="Heading9"/>
    <w:uiPriority w:val="9"/>
    <w:semiHidden/>
    <w:rsid w:val="00097A7C"/>
    <w:rPr>
      <w:rFonts w:asciiTheme="majorHAnsi" w:eastAsiaTheme="majorEastAsia" w:hAnsiTheme="majorHAnsi" w:cs="Times New Roman"/>
    </w:rPr>
  </w:style>
  <w:style w:type="paragraph" w:styleId="Header">
    <w:name w:val="header"/>
    <w:basedOn w:val="Normal"/>
    <w:link w:val="HeaderChar"/>
    <w:uiPriority w:val="99"/>
    <w:unhideWhenUsed/>
    <w:rsid w:val="00097A7C"/>
    <w:pPr>
      <w:tabs>
        <w:tab w:val="center" w:pos="4513"/>
        <w:tab w:val="right" w:pos="9026"/>
      </w:tabs>
    </w:pPr>
  </w:style>
  <w:style w:type="character" w:customStyle="1" w:styleId="HeaderChar">
    <w:name w:val="Header Char"/>
    <w:basedOn w:val="DefaultParagraphFont"/>
    <w:link w:val="Header"/>
    <w:uiPriority w:val="99"/>
    <w:rsid w:val="00097A7C"/>
    <w:rPr>
      <w:rFonts w:eastAsiaTheme="minorEastAsia" w:cs="Times New Roman"/>
      <w:sz w:val="24"/>
      <w:szCs w:val="24"/>
    </w:rPr>
  </w:style>
  <w:style w:type="paragraph" w:styleId="Footer">
    <w:name w:val="footer"/>
    <w:basedOn w:val="Normal"/>
    <w:link w:val="FooterChar"/>
    <w:uiPriority w:val="99"/>
    <w:unhideWhenUsed/>
    <w:rsid w:val="00097A7C"/>
    <w:pPr>
      <w:tabs>
        <w:tab w:val="center" w:pos="4513"/>
        <w:tab w:val="right" w:pos="9026"/>
      </w:tabs>
    </w:pPr>
  </w:style>
  <w:style w:type="character" w:customStyle="1" w:styleId="FooterChar">
    <w:name w:val="Footer Char"/>
    <w:basedOn w:val="DefaultParagraphFont"/>
    <w:link w:val="Footer"/>
    <w:uiPriority w:val="99"/>
    <w:rsid w:val="00097A7C"/>
    <w:rPr>
      <w:rFonts w:eastAsiaTheme="minorEastAsia" w:cs="Times New Roman"/>
      <w:sz w:val="24"/>
      <w:szCs w:val="24"/>
    </w:rPr>
  </w:style>
  <w:style w:type="character" w:styleId="CommentReference">
    <w:name w:val="annotation reference"/>
    <w:basedOn w:val="DefaultParagraphFont"/>
    <w:uiPriority w:val="99"/>
    <w:semiHidden/>
    <w:unhideWhenUsed/>
    <w:rsid w:val="00097A7C"/>
    <w:rPr>
      <w:sz w:val="16"/>
      <w:szCs w:val="16"/>
    </w:rPr>
  </w:style>
  <w:style w:type="paragraph" w:styleId="CommentText">
    <w:name w:val="annotation text"/>
    <w:basedOn w:val="Normal"/>
    <w:link w:val="CommentTextChar"/>
    <w:uiPriority w:val="99"/>
    <w:semiHidden/>
    <w:unhideWhenUsed/>
    <w:rsid w:val="00097A7C"/>
    <w:rPr>
      <w:sz w:val="20"/>
      <w:szCs w:val="20"/>
    </w:rPr>
  </w:style>
  <w:style w:type="character" w:customStyle="1" w:styleId="CommentTextChar">
    <w:name w:val="Comment Text Char"/>
    <w:basedOn w:val="DefaultParagraphFont"/>
    <w:link w:val="CommentText"/>
    <w:uiPriority w:val="99"/>
    <w:semiHidden/>
    <w:rsid w:val="00097A7C"/>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097A7C"/>
    <w:rPr>
      <w:b/>
      <w:bCs/>
    </w:rPr>
  </w:style>
  <w:style w:type="character" w:customStyle="1" w:styleId="CommentSubjectChar">
    <w:name w:val="Comment Subject Char"/>
    <w:basedOn w:val="CommentTextChar"/>
    <w:link w:val="CommentSubject"/>
    <w:uiPriority w:val="99"/>
    <w:semiHidden/>
    <w:rsid w:val="00097A7C"/>
    <w:rPr>
      <w:rFonts w:eastAsiaTheme="minorEastAsia" w:cs="Times New Roman"/>
      <w:b/>
      <w:bCs/>
      <w:sz w:val="20"/>
      <w:szCs w:val="20"/>
    </w:rPr>
  </w:style>
  <w:style w:type="paragraph" w:styleId="BalloonText">
    <w:name w:val="Balloon Text"/>
    <w:basedOn w:val="Normal"/>
    <w:link w:val="BalloonTextChar"/>
    <w:uiPriority w:val="99"/>
    <w:semiHidden/>
    <w:unhideWhenUsed/>
    <w:rsid w:val="00097A7C"/>
    <w:rPr>
      <w:rFonts w:ascii="Tahoma" w:hAnsi="Tahoma" w:cs="Tahoma"/>
      <w:sz w:val="16"/>
      <w:szCs w:val="16"/>
    </w:rPr>
  </w:style>
  <w:style w:type="character" w:customStyle="1" w:styleId="BalloonTextChar">
    <w:name w:val="Balloon Text Char"/>
    <w:basedOn w:val="DefaultParagraphFont"/>
    <w:link w:val="BalloonText"/>
    <w:uiPriority w:val="99"/>
    <w:semiHidden/>
    <w:rsid w:val="00097A7C"/>
    <w:rPr>
      <w:rFonts w:ascii="Tahoma" w:eastAsiaTheme="minorEastAsia" w:hAnsi="Tahoma" w:cs="Tahoma"/>
      <w:sz w:val="16"/>
      <w:szCs w:val="16"/>
    </w:rPr>
  </w:style>
  <w:style w:type="character" w:styleId="Hyperlink">
    <w:name w:val="Hyperlink"/>
    <w:basedOn w:val="DefaultParagraphFont"/>
    <w:uiPriority w:val="99"/>
    <w:unhideWhenUsed/>
    <w:rsid w:val="00097A7C"/>
    <w:rPr>
      <w:color w:val="0000FF" w:themeColor="hyperlink"/>
      <w:u w:val="single"/>
    </w:rPr>
  </w:style>
  <w:style w:type="paragraph" w:styleId="Title">
    <w:name w:val="Title"/>
    <w:basedOn w:val="Normal"/>
    <w:next w:val="Normal"/>
    <w:link w:val="TitleChar"/>
    <w:uiPriority w:val="10"/>
    <w:qFormat/>
    <w:rsid w:val="00097A7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97A7C"/>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097A7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97A7C"/>
    <w:rPr>
      <w:rFonts w:asciiTheme="majorHAnsi" w:eastAsiaTheme="majorEastAsia" w:hAnsiTheme="majorHAnsi" w:cs="Times New Roman"/>
      <w:sz w:val="24"/>
      <w:szCs w:val="24"/>
    </w:rPr>
  </w:style>
  <w:style w:type="character" w:styleId="Strong">
    <w:name w:val="Strong"/>
    <w:basedOn w:val="DefaultParagraphFont"/>
    <w:uiPriority w:val="22"/>
    <w:qFormat/>
    <w:rsid w:val="00097A7C"/>
    <w:rPr>
      <w:b/>
      <w:bCs/>
    </w:rPr>
  </w:style>
  <w:style w:type="character" w:styleId="Emphasis">
    <w:name w:val="Emphasis"/>
    <w:basedOn w:val="DefaultParagraphFont"/>
    <w:uiPriority w:val="20"/>
    <w:qFormat/>
    <w:rsid w:val="00097A7C"/>
    <w:rPr>
      <w:rFonts w:asciiTheme="minorHAnsi" w:hAnsiTheme="minorHAnsi"/>
      <w:b/>
      <w:i/>
      <w:iCs/>
    </w:rPr>
  </w:style>
  <w:style w:type="paragraph" w:styleId="NoSpacing">
    <w:name w:val="No Spacing"/>
    <w:basedOn w:val="Normal"/>
    <w:uiPriority w:val="1"/>
    <w:qFormat/>
    <w:rsid w:val="00097A7C"/>
    <w:rPr>
      <w:szCs w:val="32"/>
    </w:rPr>
  </w:style>
  <w:style w:type="paragraph" w:styleId="ListParagraph">
    <w:name w:val="List Paragraph"/>
    <w:basedOn w:val="Normal"/>
    <w:uiPriority w:val="34"/>
    <w:qFormat/>
    <w:rsid w:val="00097A7C"/>
    <w:pPr>
      <w:ind w:left="720"/>
      <w:contextualSpacing/>
    </w:pPr>
  </w:style>
  <w:style w:type="paragraph" w:styleId="Quote">
    <w:name w:val="Quote"/>
    <w:basedOn w:val="Normal"/>
    <w:next w:val="Normal"/>
    <w:link w:val="QuoteChar"/>
    <w:uiPriority w:val="29"/>
    <w:qFormat/>
    <w:rsid w:val="00097A7C"/>
    <w:rPr>
      <w:i/>
    </w:rPr>
  </w:style>
  <w:style w:type="character" w:customStyle="1" w:styleId="QuoteChar">
    <w:name w:val="Quote Char"/>
    <w:basedOn w:val="DefaultParagraphFont"/>
    <w:link w:val="Quote"/>
    <w:uiPriority w:val="29"/>
    <w:rsid w:val="00097A7C"/>
    <w:rPr>
      <w:rFonts w:eastAsiaTheme="minorEastAsia" w:cs="Times New Roman"/>
      <w:i/>
      <w:sz w:val="24"/>
      <w:szCs w:val="24"/>
    </w:rPr>
  </w:style>
  <w:style w:type="paragraph" w:styleId="IntenseQuote">
    <w:name w:val="Intense Quote"/>
    <w:basedOn w:val="Normal"/>
    <w:next w:val="Normal"/>
    <w:link w:val="IntenseQuoteChar"/>
    <w:uiPriority w:val="30"/>
    <w:qFormat/>
    <w:rsid w:val="00097A7C"/>
    <w:pPr>
      <w:ind w:left="720" w:right="720"/>
    </w:pPr>
    <w:rPr>
      <w:b/>
      <w:i/>
      <w:szCs w:val="22"/>
    </w:rPr>
  </w:style>
  <w:style w:type="character" w:customStyle="1" w:styleId="IntenseQuoteChar">
    <w:name w:val="Intense Quote Char"/>
    <w:basedOn w:val="DefaultParagraphFont"/>
    <w:link w:val="IntenseQuote"/>
    <w:uiPriority w:val="30"/>
    <w:rsid w:val="00097A7C"/>
    <w:rPr>
      <w:rFonts w:eastAsiaTheme="minorEastAsia" w:cs="Times New Roman"/>
      <w:b/>
      <w:i/>
      <w:sz w:val="24"/>
    </w:rPr>
  </w:style>
  <w:style w:type="character" w:styleId="SubtleEmphasis">
    <w:name w:val="Subtle Emphasis"/>
    <w:uiPriority w:val="19"/>
    <w:qFormat/>
    <w:rsid w:val="00097A7C"/>
    <w:rPr>
      <w:i/>
      <w:color w:val="5A5A5A" w:themeColor="text1" w:themeTint="A5"/>
    </w:rPr>
  </w:style>
  <w:style w:type="character" w:styleId="IntenseEmphasis">
    <w:name w:val="Intense Emphasis"/>
    <w:basedOn w:val="DefaultParagraphFont"/>
    <w:uiPriority w:val="21"/>
    <w:qFormat/>
    <w:rsid w:val="00097A7C"/>
    <w:rPr>
      <w:b/>
      <w:i/>
      <w:sz w:val="24"/>
      <w:szCs w:val="24"/>
      <w:u w:val="single"/>
    </w:rPr>
  </w:style>
  <w:style w:type="character" w:styleId="SubtleReference">
    <w:name w:val="Subtle Reference"/>
    <w:basedOn w:val="DefaultParagraphFont"/>
    <w:uiPriority w:val="31"/>
    <w:qFormat/>
    <w:rsid w:val="00097A7C"/>
    <w:rPr>
      <w:sz w:val="24"/>
      <w:szCs w:val="24"/>
      <w:u w:val="single"/>
    </w:rPr>
  </w:style>
  <w:style w:type="character" w:styleId="IntenseReference">
    <w:name w:val="Intense Reference"/>
    <w:basedOn w:val="DefaultParagraphFont"/>
    <w:uiPriority w:val="32"/>
    <w:qFormat/>
    <w:rsid w:val="00097A7C"/>
    <w:rPr>
      <w:b/>
      <w:sz w:val="24"/>
      <w:u w:val="single"/>
    </w:rPr>
  </w:style>
  <w:style w:type="character" w:styleId="BookTitle">
    <w:name w:val="Book Title"/>
    <w:basedOn w:val="DefaultParagraphFont"/>
    <w:uiPriority w:val="33"/>
    <w:qFormat/>
    <w:rsid w:val="00097A7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97A7C"/>
    <w:pPr>
      <w:outlineLvl w:val="9"/>
    </w:pPr>
  </w:style>
  <w:style w:type="character" w:customStyle="1" w:styleId="ti2">
    <w:name w:val="ti2"/>
    <w:rsid w:val="00097A7C"/>
    <w:rPr>
      <w:sz w:val="22"/>
      <w:szCs w:val="22"/>
    </w:rPr>
  </w:style>
  <w:style w:type="paragraph" w:customStyle="1" w:styleId="title1">
    <w:name w:val="title1"/>
    <w:basedOn w:val="Normal"/>
    <w:rsid w:val="00097A7C"/>
    <w:rPr>
      <w:rFonts w:ascii="Times New Roman" w:eastAsia="Times New Roman" w:hAnsi="Times New Roman"/>
      <w:sz w:val="27"/>
      <w:szCs w:val="27"/>
      <w:lang w:eastAsia="en-GB"/>
    </w:rPr>
  </w:style>
  <w:style w:type="paragraph" w:customStyle="1" w:styleId="desc2">
    <w:name w:val="desc2"/>
    <w:basedOn w:val="Normal"/>
    <w:rsid w:val="00097A7C"/>
    <w:rPr>
      <w:rFonts w:ascii="Times New Roman" w:eastAsia="Times New Roman" w:hAnsi="Times New Roman"/>
      <w:sz w:val="26"/>
      <w:szCs w:val="26"/>
      <w:lang w:eastAsia="en-GB"/>
    </w:rPr>
  </w:style>
  <w:style w:type="paragraph" w:customStyle="1" w:styleId="details1">
    <w:name w:val="details1"/>
    <w:basedOn w:val="Normal"/>
    <w:rsid w:val="00097A7C"/>
    <w:rPr>
      <w:rFonts w:ascii="Times New Roman" w:eastAsia="Times New Roman" w:hAnsi="Times New Roman"/>
      <w:sz w:val="22"/>
      <w:szCs w:val="22"/>
      <w:lang w:eastAsia="en-GB"/>
    </w:rPr>
  </w:style>
  <w:style w:type="character" w:customStyle="1" w:styleId="jrnl">
    <w:name w:val="jrnl"/>
    <w:basedOn w:val="DefaultParagraphFont"/>
    <w:rsid w:val="00097A7C"/>
  </w:style>
  <w:style w:type="paragraph" w:styleId="Revision">
    <w:name w:val="Revision"/>
    <w:hidden/>
    <w:uiPriority w:val="99"/>
    <w:semiHidden/>
    <w:rsid w:val="00097A7C"/>
    <w:pPr>
      <w:spacing w:after="0" w:line="240" w:lineRule="auto"/>
    </w:pPr>
    <w:rPr>
      <w:rFonts w:eastAsiaTheme="minorEastAsia" w:cs="Times New Roman"/>
      <w:sz w:val="24"/>
      <w:szCs w:val="24"/>
    </w:rPr>
  </w:style>
  <w:style w:type="character" w:styleId="FollowedHyperlink">
    <w:name w:val="FollowedHyperlink"/>
    <w:basedOn w:val="DefaultParagraphFont"/>
    <w:uiPriority w:val="99"/>
    <w:semiHidden/>
    <w:unhideWhenUsed/>
    <w:rsid w:val="00097A7C"/>
    <w:rPr>
      <w:color w:val="800080" w:themeColor="followedHyperlink"/>
      <w:u w:val="single"/>
    </w:rPr>
  </w:style>
  <w:style w:type="character" w:customStyle="1" w:styleId="personname">
    <w:name w:val="person_name"/>
    <w:basedOn w:val="DefaultParagraphFont"/>
    <w:rsid w:val="00097A7C"/>
  </w:style>
  <w:style w:type="table" w:styleId="TableGrid">
    <w:name w:val="Table Grid"/>
    <w:basedOn w:val="TableNormal"/>
    <w:uiPriority w:val="59"/>
    <w:rsid w:val="0009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A7C"/>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097A7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97A7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97A7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97A7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97A7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97A7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97A7C"/>
    <w:pPr>
      <w:spacing w:before="240" w:after="60"/>
      <w:outlineLvl w:val="6"/>
    </w:pPr>
  </w:style>
  <w:style w:type="paragraph" w:styleId="Heading8">
    <w:name w:val="heading 8"/>
    <w:basedOn w:val="Normal"/>
    <w:next w:val="Normal"/>
    <w:link w:val="Heading8Char"/>
    <w:uiPriority w:val="9"/>
    <w:semiHidden/>
    <w:unhideWhenUsed/>
    <w:qFormat/>
    <w:rsid w:val="00097A7C"/>
    <w:pPr>
      <w:spacing w:before="240" w:after="60"/>
      <w:outlineLvl w:val="7"/>
    </w:pPr>
    <w:rPr>
      <w:i/>
      <w:iCs/>
    </w:rPr>
  </w:style>
  <w:style w:type="paragraph" w:styleId="Heading9">
    <w:name w:val="heading 9"/>
    <w:basedOn w:val="Normal"/>
    <w:next w:val="Normal"/>
    <w:link w:val="Heading9Char"/>
    <w:uiPriority w:val="9"/>
    <w:semiHidden/>
    <w:unhideWhenUsed/>
    <w:qFormat/>
    <w:rsid w:val="00097A7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7C"/>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097A7C"/>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sid w:val="00097A7C"/>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rsid w:val="00097A7C"/>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097A7C"/>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097A7C"/>
    <w:rPr>
      <w:rFonts w:eastAsiaTheme="minorEastAsia" w:cs="Times New Roman"/>
      <w:b/>
      <w:bCs/>
    </w:rPr>
  </w:style>
  <w:style w:type="character" w:customStyle="1" w:styleId="Heading7Char">
    <w:name w:val="Heading 7 Char"/>
    <w:basedOn w:val="DefaultParagraphFont"/>
    <w:link w:val="Heading7"/>
    <w:uiPriority w:val="9"/>
    <w:semiHidden/>
    <w:rsid w:val="00097A7C"/>
    <w:rPr>
      <w:rFonts w:eastAsiaTheme="minorEastAsia" w:cs="Times New Roman"/>
      <w:sz w:val="24"/>
      <w:szCs w:val="24"/>
    </w:rPr>
  </w:style>
  <w:style w:type="character" w:customStyle="1" w:styleId="Heading8Char">
    <w:name w:val="Heading 8 Char"/>
    <w:basedOn w:val="DefaultParagraphFont"/>
    <w:link w:val="Heading8"/>
    <w:uiPriority w:val="9"/>
    <w:semiHidden/>
    <w:rsid w:val="00097A7C"/>
    <w:rPr>
      <w:rFonts w:eastAsiaTheme="minorEastAsia" w:cs="Times New Roman"/>
      <w:i/>
      <w:iCs/>
      <w:sz w:val="24"/>
      <w:szCs w:val="24"/>
    </w:rPr>
  </w:style>
  <w:style w:type="character" w:customStyle="1" w:styleId="Heading9Char">
    <w:name w:val="Heading 9 Char"/>
    <w:basedOn w:val="DefaultParagraphFont"/>
    <w:link w:val="Heading9"/>
    <w:uiPriority w:val="9"/>
    <w:semiHidden/>
    <w:rsid w:val="00097A7C"/>
    <w:rPr>
      <w:rFonts w:asciiTheme="majorHAnsi" w:eastAsiaTheme="majorEastAsia" w:hAnsiTheme="majorHAnsi" w:cs="Times New Roman"/>
    </w:rPr>
  </w:style>
  <w:style w:type="paragraph" w:styleId="Header">
    <w:name w:val="header"/>
    <w:basedOn w:val="Normal"/>
    <w:link w:val="HeaderChar"/>
    <w:uiPriority w:val="99"/>
    <w:unhideWhenUsed/>
    <w:rsid w:val="00097A7C"/>
    <w:pPr>
      <w:tabs>
        <w:tab w:val="center" w:pos="4513"/>
        <w:tab w:val="right" w:pos="9026"/>
      </w:tabs>
    </w:pPr>
  </w:style>
  <w:style w:type="character" w:customStyle="1" w:styleId="HeaderChar">
    <w:name w:val="Header Char"/>
    <w:basedOn w:val="DefaultParagraphFont"/>
    <w:link w:val="Header"/>
    <w:uiPriority w:val="99"/>
    <w:rsid w:val="00097A7C"/>
    <w:rPr>
      <w:rFonts w:eastAsiaTheme="minorEastAsia" w:cs="Times New Roman"/>
      <w:sz w:val="24"/>
      <w:szCs w:val="24"/>
    </w:rPr>
  </w:style>
  <w:style w:type="paragraph" w:styleId="Footer">
    <w:name w:val="footer"/>
    <w:basedOn w:val="Normal"/>
    <w:link w:val="FooterChar"/>
    <w:uiPriority w:val="99"/>
    <w:unhideWhenUsed/>
    <w:rsid w:val="00097A7C"/>
    <w:pPr>
      <w:tabs>
        <w:tab w:val="center" w:pos="4513"/>
        <w:tab w:val="right" w:pos="9026"/>
      </w:tabs>
    </w:pPr>
  </w:style>
  <w:style w:type="character" w:customStyle="1" w:styleId="FooterChar">
    <w:name w:val="Footer Char"/>
    <w:basedOn w:val="DefaultParagraphFont"/>
    <w:link w:val="Footer"/>
    <w:uiPriority w:val="99"/>
    <w:rsid w:val="00097A7C"/>
    <w:rPr>
      <w:rFonts w:eastAsiaTheme="minorEastAsia" w:cs="Times New Roman"/>
      <w:sz w:val="24"/>
      <w:szCs w:val="24"/>
    </w:rPr>
  </w:style>
  <w:style w:type="character" w:styleId="CommentReference">
    <w:name w:val="annotation reference"/>
    <w:basedOn w:val="DefaultParagraphFont"/>
    <w:uiPriority w:val="99"/>
    <w:semiHidden/>
    <w:unhideWhenUsed/>
    <w:rsid w:val="00097A7C"/>
    <w:rPr>
      <w:sz w:val="16"/>
      <w:szCs w:val="16"/>
    </w:rPr>
  </w:style>
  <w:style w:type="paragraph" w:styleId="CommentText">
    <w:name w:val="annotation text"/>
    <w:basedOn w:val="Normal"/>
    <w:link w:val="CommentTextChar"/>
    <w:uiPriority w:val="99"/>
    <w:semiHidden/>
    <w:unhideWhenUsed/>
    <w:rsid w:val="00097A7C"/>
    <w:rPr>
      <w:sz w:val="20"/>
      <w:szCs w:val="20"/>
    </w:rPr>
  </w:style>
  <w:style w:type="character" w:customStyle="1" w:styleId="CommentTextChar">
    <w:name w:val="Comment Text Char"/>
    <w:basedOn w:val="DefaultParagraphFont"/>
    <w:link w:val="CommentText"/>
    <w:uiPriority w:val="99"/>
    <w:semiHidden/>
    <w:rsid w:val="00097A7C"/>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097A7C"/>
    <w:rPr>
      <w:b/>
      <w:bCs/>
    </w:rPr>
  </w:style>
  <w:style w:type="character" w:customStyle="1" w:styleId="CommentSubjectChar">
    <w:name w:val="Comment Subject Char"/>
    <w:basedOn w:val="CommentTextChar"/>
    <w:link w:val="CommentSubject"/>
    <w:uiPriority w:val="99"/>
    <w:semiHidden/>
    <w:rsid w:val="00097A7C"/>
    <w:rPr>
      <w:rFonts w:eastAsiaTheme="minorEastAsia" w:cs="Times New Roman"/>
      <w:b/>
      <w:bCs/>
      <w:sz w:val="20"/>
      <w:szCs w:val="20"/>
    </w:rPr>
  </w:style>
  <w:style w:type="paragraph" w:styleId="BalloonText">
    <w:name w:val="Balloon Text"/>
    <w:basedOn w:val="Normal"/>
    <w:link w:val="BalloonTextChar"/>
    <w:uiPriority w:val="99"/>
    <w:semiHidden/>
    <w:unhideWhenUsed/>
    <w:rsid w:val="00097A7C"/>
    <w:rPr>
      <w:rFonts w:ascii="Tahoma" w:hAnsi="Tahoma" w:cs="Tahoma"/>
      <w:sz w:val="16"/>
      <w:szCs w:val="16"/>
    </w:rPr>
  </w:style>
  <w:style w:type="character" w:customStyle="1" w:styleId="BalloonTextChar">
    <w:name w:val="Balloon Text Char"/>
    <w:basedOn w:val="DefaultParagraphFont"/>
    <w:link w:val="BalloonText"/>
    <w:uiPriority w:val="99"/>
    <w:semiHidden/>
    <w:rsid w:val="00097A7C"/>
    <w:rPr>
      <w:rFonts w:ascii="Tahoma" w:eastAsiaTheme="minorEastAsia" w:hAnsi="Tahoma" w:cs="Tahoma"/>
      <w:sz w:val="16"/>
      <w:szCs w:val="16"/>
    </w:rPr>
  </w:style>
  <w:style w:type="character" w:styleId="Hyperlink">
    <w:name w:val="Hyperlink"/>
    <w:basedOn w:val="DefaultParagraphFont"/>
    <w:uiPriority w:val="99"/>
    <w:unhideWhenUsed/>
    <w:rsid w:val="00097A7C"/>
    <w:rPr>
      <w:color w:val="0000FF" w:themeColor="hyperlink"/>
      <w:u w:val="single"/>
    </w:rPr>
  </w:style>
  <w:style w:type="paragraph" w:styleId="Title">
    <w:name w:val="Title"/>
    <w:basedOn w:val="Normal"/>
    <w:next w:val="Normal"/>
    <w:link w:val="TitleChar"/>
    <w:uiPriority w:val="10"/>
    <w:qFormat/>
    <w:rsid w:val="00097A7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97A7C"/>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097A7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97A7C"/>
    <w:rPr>
      <w:rFonts w:asciiTheme="majorHAnsi" w:eastAsiaTheme="majorEastAsia" w:hAnsiTheme="majorHAnsi" w:cs="Times New Roman"/>
      <w:sz w:val="24"/>
      <w:szCs w:val="24"/>
    </w:rPr>
  </w:style>
  <w:style w:type="character" w:styleId="Strong">
    <w:name w:val="Strong"/>
    <w:basedOn w:val="DefaultParagraphFont"/>
    <w:uiPriority w:val="22"/>
    <w:qFormat/>
    <w:rsid w:val="00097A7C"/>
    <w:rPr>
      <w:b/>
      <w:bCs/>
    </w:rPr>
  </w:style>
  <w:style w:type="character" w:styleId="Emphasis">
    <w:name w:val="Emphasis"/>
    <w:basedOn w:val="DefaultParagraphFont"/>
    <w:uiPriority w:val="20"/>
    <w:qFormat/>
    <w:rsid w:val="00097A7C"/>
    <w:rPr>
      <w:rFonts w:asciiTheme="minorHAnsi" w:hAnsiTheme="minorHAnsi"/>
      <w:b/>
      <w:i/>
      <w:iCs/>
    </w:rPr>
  </w:style>
  <w:style w:type="paragraph" w:styleId="NoSpacing">
    <w:name w:val="No Spacing"/>
    <w:basedOn w:val="Normal"/>
    <w:uiPriority w:val="1"/>
    <w:qFormat/>
    <w:rsid w:val="00097A7C"/>
    <w:rPr>
      <w:szCs w:val="32"/>
    </w:rPr>
  </w:style>
  <w:style w:type="paragraph" w:styleId="ListParagraph">
    <w:name w:val="List Paragraph"/>
    <w:basedOn w:val="Normal"/>
    <w:uiPriority w:val="34"/>
    <w:qFormat/>
    <w:rsid w:val="00097A7C"/>
    <w:pPr>
      <w:ind w:left="720"/>
      <w:contextualSpacing/>
    </w:pPr>
  </w:style>
  <w:style w:type="paragraph" w:styleId="Quote">
    <w:name w:val="Quote"/>
    <w:basedOn w:val="Normal"/>
    <w:next w:val="Normal"/>
    <w:link w:val="QuoteChar"/>
    <w:uiPriority w:val="29"/>
    <w:qFormat/>
    <w:rsid w:val="00097A7C"/>
    <w:rPr>
      <w:i/>
    </w:rPr>
  </w:style>
  <w:style w:type="character" w:customStyle="1" w:styleId="QuoteChar">
    <w:name w:val="Quote Char"/>
    <w:basedOn w:val="DefaultParagraphFont"/>
    <w:link w:val="Quote"/>
    <w:uiPriority w:val="29"/>
    <w:rsid w:val="00097A7C"/>
    <w:rPr>
      <w:rFonts w:eastAsiaTheme="minorEastAsia" w:cs="Times New Roman"/>
      <w:i/>
      <w:sz w:val="24"/>
      <w:szCs w:val="24"/>
    </w:rPr>
  </w:style>
  <w:style w:type="paragraph" w:styleId="IntenseQuote">
    <w:name w:val="Intense Quote"/>
    <w:basedOn w:val="Normal"/>
    <w:next w:val="Normal"/>
    <w:link w:val="IntenseQuoteChar"/>
    <w:uiPriority w:val="30"/>
    <w:qFormat/>
    <w:rsid w:val="00097A7C"/>
    <w:pPr>
      <w:ind w:left="720" w:right="720"/>
    </w:pPr>
    <w:rPr>
      <w:b/>
      <w:i/>
      <w:szCs w:val="22"/>
    </w:rPr>
  </w:style>
  <w:style w:type="character" w:customStyle="1" w:styleId="IntenseQuoteChar">
    <w:name w:val="Intense Quote Char"/>
    <w:basedOn w:val="DefaultParagraphFont"/>
    <w:link w:val="IntenseQuote"/>
    <w:uiPriority w:val="30"/>
    <w:rsid w:val="00097A7C"/>
    <w:rPr>
      <w:rFonts w:eastAsiaTheme="minorEastAsia" w:cs="Times New Roman"/>
      <w:b/>
      <w:i/>
      <w:sz w:val="24"/>
    </w:rPr>
  </w:style>
  <w:style w:type="character" w:styleId="SubtleEmphasis">
    <w:name w:val="Subtle Emphasis"/>
    <w:uiPriority w:val="19"/>
    <w:qFormat/>
    <w:rsid w:val="00097A7C"/>
    <w:rPr>
      <w:i/>
      <w:color w:val="5A5A5A" w:themeColor="text1" w:themeTint="A5"/>
    </w:rPr>
  </w:style>
  <w:style w:type="character" w:styleId="IntenseEmphasis">
    <w:name w:val="Intense Emphasis"/>
    <w:basedOn w:val="DefaultParagraphFont"/>
    <w:uiPriority w:val="21"/>
    <w:qFormat/>
    <w:rsid w:val="00097A7C"/>
    <w:rPr>
      <w:b/>
      <w:i/>
      <w:sz w:val="24"/>
      <w:szCs w:val="24"/>
      <w:u w:val="single"/>
    </w:rPr>
  </w:style>
  <w:style w:type="character" w:styleId="SubtleReference">
    <w:name w:val="Subtle Reference"/>
    <w:basedOn w:val="DefaultParagraphFont"/>
    <w:uiPriority w:val="31"/>
    <w:qFormat/>
    <w:rsid w:val="00097A7C"/>
    <w:rPr>
      <w:sz w:val="24"/>
      <w:szCs w:val="24"/>
      <w:u w:val="single"/>
    </w:rPr>
  </w:style>
  <w:style w:type="character" w:styleId="IntenseReference">
    <w:name w:val="Intense Reference"/>
    <w:basedOn w:val="DefaultParagraphFont"/>
    <w:uiPriority w:val="32"/>
    <w:qFormat/>
    <w:rsid w:val="00097A7C"/>
    <w:rPr>
      <w:b/>
      <w:sz w:val="24"/>
      <w:u w:val="single"/>
    </w:rPr>
  </w:style>
  <w:style w:type="character" w:styleId="BookTitle">
    <w:name w:val="Book Title"/>
    <w:basedOn w:val="DefaultParagraphFont"/>
    <w:uiPriority w:val="33"/>
    <w:qFormat/>
    <w:rsid w:val="00097A7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97A7C"/>
    <w:pPr>
      <w:outlineLvl w:val="9"/>
    </w:pPr>
  </w:style>
  <w:style w:type="character" w:customStyle="1" w:styleId="ti2">
    <w:name w:val="ti2"/>
    <w:rsid w:val="00097A7C"/>
    <w:rPr>
      <w:sz w:val="22"/>
      <w:szCs w:val="22"/>
    </w:rPr>
  </w:style>
  <w:style w:type="paragraph" w:customStyle="1" w:styleId="title1">
    <w:name w:val="title1"/>
    <w:basedOn w:val="Normal"/>
    <w:rsid w:val="00097A7C"/>
    <w:rPr>
      <w:rFonts w:ascii="Times New Roman" w:eastAsia="Times New Roman" w:hAnsi="Times New Roman"/>
      <w:sz w:val="27"/>
      <w:szCs w:val="27"/>
      <w:lang w:eastAsia="en-GB"/>
    </w:rPr>
  </w:style>
  <w:style w:type="paragraph" w:customStyle="1" w:styleId="desc2">
    <w:name w:val="desc2"/>
    <w:basedOn w:val="Normal"/>
    <w:rsid w:val="00097A7C"/>
    <w:rPr>
      <w:rFonts w:ascii="Times New Roman" w:eastAsia="Times New Roman" w:hAnsi="Times New Roman"/>
      <w:sz w:val="26"/>
      <w:szCs w:val="26"/>
      <w:lang w:eastAsia="en-GB"/>
    </w:rPr>
  </w:style>
  <w:style w:type="paragraph" w:customStyle="1" w:styleId="details1">
    <w:name w:val="details1"/>
    <w:basedOn w:val="Normal"/>
    <w:rsid w:val="00097A7C"/>
    <w:rPr>
      <w:rFonts w:ascii="Times New Roman" w:eastAsia="Times New Roman" w:hAnsi="Times New Roman"/>
      <w:sz w:val="22"/>
      <w:szCs w:val="22"/>
      <w:lang w:eastAsia="en-GB"/>
    </w:rPr>
  </w:style>
  <w:style w:type="character" w:customStyle="1" w:styleId="jrnl">
    <w:name w:val="jrnl"/>
    <w:basedOn w:val="DefaultParagraphFont"/>
    <w:rsid w:val="00097A7C"/>
  </w:style>
  <w:style w:type="paragraph" w:styleId="Revision">
    <w:name w:val="Revision"/>
    <w:hidden/>
    <w:uiPriority w:val="99"/>
    <w:semiHidden/>
    <w:rsid w:val="00097A7C"/>
    <w:pPr>
      <w:spacing w:after="0" w:line="240" w:lineRule="auto"/>
    </w:pPr>
    <w:rPr>
      <w:rFonts w:eastAsiaTheme="minorEastAsia" w:cs="Times New Roman"/>
      <w:sz w:val="24"/>
      <w:szCs w:val="24"/>
    </w:rPr>
  </w:style>
  <w:style w:type="character" w:styleId="FollowedHyperlink">
    <w:name w:val="FollowedHyperlink"/>
    <w:basedOn w:val="DefaultParagraphFont"/>
    <w:uiPriority w:val="99"/>
    <w:semiHidden/>
    <w:unhideWhenUsed/>
    <w:rsid w:val="00097A7C"/>
    <w:rPr>
      <w:color w:val="800080" w:themeColor="followedHyperlink"/>
      <w:u w:val="single"/>
    </w:rPr>
  </w:style>
  <w:style w:type="character" w:customStyle="1" w:styleId="personname">
    <w:name w:val="person_name"/>
    <w:basedOn w:val="DefaultParagraphFont"/>
    <w:rsid w:val="00097A7C"/>
  </w:style>
  <w:style w:type="table" w:styleId="TableGrid">
    <w:name w:val="Table Grid"/>
    <w:basedOn w:val="TableNormal"/>
    <w:uiPriority w:val="59"/>
    <w:rsid w:val="0009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ever@imperial.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eart.bmj.com/content/91/suppl_5/v1.full.pd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246789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iscovery.ucl.ac.uk/id/eprint/1350234" TargetMode="External"/><Relationship Id="rId4" Type="http://schemas.openxmlformats.org/officeDocument/2006/relationships/settings" Target="settings.xml"/><Relationship Id="rId9" Type="http://schemas.openxmlformats.org/officeDocument/2006/relationships/hyperlink" Target="http://www.nice.org.uk/guidance/cg1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18</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Yvonne M</dc:creator>
  <cp:lastModifiedBy>Green, Yvonne M</cp:lastModifiedBy>
  <cp:revision>2</cp:revision>
  <dcterms:created xsi:type="dcterms:W3CDTF">2016-08-31T14:59:00Z</dcterms:created>
  <dcterms:modified xsi:type="dcterms:W3CDTF">2016-09-15T12:43:00Z</dcterms:modified>
</cp:coreProperties>
</file>