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B15B5" w14:textId="77777777" w:rsidR="00B813A6" w:rsidRPr="00237DF4" w:rsidRDefault="00B813A6" w:rsidP="00B813A6">
      <w:pPr>
        <w:pStyle w:val="Heading1"/>
        <w:rPr>
          <w:sz w:val="32"/>
          <w:lang w:val="en-US"/>
        </w:rPr>
      </w:pPr>
      <w:bookmarkStart w:id="0" w:name="_GoBack"/>
      <w:bookmarkEnd w:id="0"/>
      <w:r w:rsidRPr="00B40E31">
        <w:rPr>
          <w:lang w:val="en-US"/>
        </w:rPr>
        <w:softHyphen/>
      </w:r>
      <w:r>
        <w:rPr>
          <w:lang w:val="en-US"/>
        </w:rPr>
        <w:t>U</w:t>
      </w:r>
      <w:r w:rsidRPr="00B40E31">
        <w:rPr>
          <w:lang w:val="en-US"/>
        </w:rPr>
        <w:t xml:space="preserve">nemployment in </w:t>
      </w:r>
      <w:r>
        <w:rPr>
          <w:lang w:val="en-US"/>
        </w:rPr>
        <w:t>chronic airflow obstruction</w:t>
      </w:r>
      <w:r w:rsidRPr="00B40E31">
        <w:rPr>
          <w:lang w:val="en-US"/>
        </w:rPr>
        <w:t xml:space="preserve"> around the world: Results from the BOLD study</w:t>
      </w:r>
    </w:p>
    <w:p w14:paraId="105C7D13" w14:textId="77777777" w:rsidR="00B813A6" w:rsidRPr="00B40E31" w:rsidRDefault="00B813A6" w:rsidP="00B813A6">
      <w:pPr>
        <w:rPr>
          <w:lang w:val="en-US"/>
        </w:rPr>
      </w:pPr>
    </w:p>
    <w:p w14:paraId="4736FDD8" w14:textId="77777777" w:rsidR="00B813A6" w:rsidRPr="00B40E31" w:rsidRDefault="00B813A6" w:rsidP="00B813A6">
      <w:pPr>
        <w:rPr>
          <w:lang w:val="en-US"/>
        </w:rPr>
      </w:pPr>
    </w:p>
    <w:p w14:paraId="23B52D4C" w14:textId="77777777" w:rsidR="00B813A6" w:rsidRPr="004D6318" w:rsidRDefault="00B813A6" w:rsidP="00B813A6">
      <w:pPr>
        <w:rPr>
          <w:lang w:val="en-US"/>
        </w:rPr>
      </w:pPr>
      <w:r w:rsidRPr="00B40E31">
        <w:rPr>
          <w:lang w:val="en-US"/>
        </w:rPr>
        <w:t>Running head: Unemployment in C</w:t>
      </w:r>
      <w:r>
        <w:rPr>
          <w:lang w:val="en-US"/>
        </w:rPr>
        <w:t>AO</w:t>
      </w:r>
    </w:p>
    <w:p w14:paraId="789790AD" w14:textId="77777777" w:rsidR="00B813A6" w:rsidRPr="00B40E31" w:rsidRDefault="00B813A6" w:rsidP="00B813A6">
      <w:pPr>
        <w:rPr>
          <w:lang w:val="en-US"/>
        </w:rPr>
      </w:pPr>
    </w:p>
    <w:p w14:paraId="69963568" w14:textId="3F7E436C" w:rsidR="00B813A6" w:rsidRPr="006C4613" w:rsidRDefault="00B813A6" w:rsidP="00B813A6">
      <w:pPr>
        <w:rPr>
          <w:rFonts w:ascii="Arial Narrow" w:hAnsi="Arial Narrow"/>
          <w:sz w:val="32"/>
          <w:lang w:val="en-US"/>
        </w:rPr>
      </w:pPr>
      <w:r w:rsidRPr="006C4613">
        <w:rPr>
          <w:rFonts w:ascii="Arial Narrow" w:hAnsi="Arial Narrow"/>
          <w:bCs/>
          <w:sz w:val="32"/>
          <w:lang w:val="en-US"/>
        </w:rPr>
        <w:t>Writing group</w:t>
      </w:r>
    </w:p>
    <w:p w14:paraId="428BBAA9" w14:textId="77777777" w:rsidR="00B813A6" w:rsidRDefault="00B813A6" w:rsidP="00B813A6">
      <w:pPr>
        <w:rPr>
          <w:lang w:val="en-US"/>
        </w:rPr>
      </w:pPr>
      <w:r w:rsidRPr="00237DF4">
        <w:rPr>
          <w:lang w:val="en-US"/>
        </w:rPr>
        <w:t>Rune Grønseth,</w:t>
      </w:r>
      <w:r>
        <w:rPr>
          <w:lang w:val="en-US"/>
        </w:rPr>
        <w:t xml:space="preserve"> MD PhD,</w:t>
      </w:r>
      <w:r w:rsidRPr="00237DF4">
        <w:rPr>
          <w:lang w:val="en-US"/>
        </w:rPr>
        <w:t xml:space="preserve"> </w:t>
      </w:r>
      <w:hyperlink r:id="rId4" w:history="1">
        <w:r w:rsidRPr="00237DF4">
          <w:rPr>
            <w:rStyle w:val="Hyperlink"/>
            <w:lang w:val="en-US"/>
          </w:rPr>
          <w:t>nielsenrune@me.com</w:t>
        </w:r>
      </w:hyperlink>
      <w:r w:rsidRPr="00237DF4">
        <w:rPr>
          <w:lang w:val="en-US"/>
        </w:rPr>
        <w:t xml:space="preserve">, Department of Thoracic Medicine, </w:t>
      </w:r>
      <w:proofErr w:type="spellStart"/>
      <w:r w:rsidRPr="00237DF4">
        <w:rPr>
          <w:lang w:val="en-US"/>
        </w:rPr>
        <w:t>Haukeland</w:t>
      </w:r>
      <w:proofErr w:type="spellEnd"/>
      <w:r w:rsidRPr="00237DF4">
        <w:rPr>
          <w:lang w:val="en-US"/>
        </w:rPr>
        <w:t xml:space="preserve"> Univ</w:t>
      </w:r>
      <w:r>
        <w:rPr>
          <w:lang w:val="en-US"/>
        </w:rPr>
        <w:t>ersity Hospital, Bergen, Norway</w:t>
      </w:r>
    </w:p>
    <w:p w14:paraId="0584C41C" w14:textId="77777777" w:rsidR="00B813A6" w:rsidRDefault="00B813A6" w:rsidP="00B813A6">
      <w:pPr>
        <w:rPr>
          <w:lang w:val="en-US"/>
        </w:rPr>
      </w:pPr>
      <w:r w:rsidRPr="00237DF4">
        <w:rPr>
          <w:lang w:val="en-US"/>
        </w:rPr>
        <w:t>Marta Erdal,</w:t>
      </w:r>
      <w:r>
        <w:rPr>
          <w:lang w:val="en-US"/>
        </w:rPr>
        <w:t xml:space="preserve"> MD,</w:t>
      </w:r>
      <w:r w:rsidRPr="00237DF4">
        <w:rPr>
          <w:lang w:val="en-US"/>
        </w:rPr>
        <w:t xml:space="preserve"> </w:t>
      </w:r>
      <w:hyperlink r:id="rId5" w:history="1">
        <w:r w:rsidRPr="00190564">
          <w:rPr>
            <w:rStyle w:val="Hyperlink"/>
            <w:lang w:val="en-US"/>
          </w:rPr>
          <w:t>marta.erdal@k2.uib.no</w:t>
        </w:r>
      </w:hyperlink>
      <w:r w:rsidRPr="00237DF4">
        <w:rPr>
          <w:lang w:val="en-US"/>
        </w:rPr>
        <w:t xml:space="preserve">, Department of Thoracic Medicine, </w:t>
      </w:r>
      <w:proofErr w:type="spellStart"/>
      <w:r w:rsidRPr="00237DF4">
        <w:rPr>
          <w:lang w:val="en-US"/>
        </w:rPr>
        <w:t>Haukeland</w:t>
      </w:r>
      <w:proofErr w:type="spellEnd"/>
      <w:r w:rsidRPr="00237DF4">
        <w:rPr>
          <w:lang w:val="en-US"/>
        </w:rPr>
        <w:t xml:space="preserve"> Univ</w:t>
      </w:r>
      <w:r>
        <w:rPr>
          <w:lang w:val="en-US"/>
        </w:rPr>
        <w:t>ersity Hospital, Department of Clinical Science, University of Bergen, Bergen, Norway</w:t>
      </w:r>
    </w:p>
    <w:p w14:paraId="51640A10" w14:textId="77777777" w:rsidR="00B813A6" w:rsidRDefault="00B813A6" w:rsidP="00B813A6">
      <w:pPr>
        <w:rPr>
          <w:lang w:val="en-US"/>
        </w:rPr>
      </w:pPr>
      <w:r w:rsidRPr="00237DF4">
        <w:rPr>
          <w:lang w:val="en-US"/>
        </w:rPr>
        <w:t>Wan C</w:t>
      </w:r>
      <w:r>
        <w:rPr>
          <w:lang w:val="en-US"/>
        </w:rPr>
        <w:t>.</w:t>
      </w:r>
      <w:r w:rsidRPr="00237DF4">
        <w:rPr>
          <w:lang w:val="en-US"/>
        </w:rPr>
        <w:t xml:space="preserve"> Tan,</w:t>
      </w:r>
      <w:r>
        <w:rPr>
          <w:lang w:val="en-US"/>
        </w:rPr>
        <w:t xml:space="preserve"> prof.,</w:t>
      </w:r>
      <w:r w:rsidRPr="00237DF4">
        <w:rPr>
          <w:lang w:val="en-US"/>
        </w:rPr>
        <w:t xml:space="preserve"> </w:t>
      </w:r>
      <w:hyperlink r:id="rId6" w:history="1">
        <w:r w:rsidRPr="00190564">
          <w:rPr>
            <w:rStyle w:val="Hyperlink"/>
            <w:lang w:val="en-US"/>
          </w:rPr>
          <w:t>wan.tan@hli.ubc.ca</w:t>
        </w:r>
      </w:hyperlink>
      <w:r w:rsidRPr="00237DF4">
        <w:rPr>
          <w:lang w:val="en-US"/>
        </w:rPr>
        <w:t>, UBC James Hogg Research Centre, St Paul's Hospital, Vancouver, British Columbia, Canada</w:t>
      </w:r>
    </w:p>
    <w:p w14:paraId="05E2E1E1" w14:textId="77777777" w:rsidR="00B813A6" w:rsidRDefault="00B813A6" w:rsidP="00B813A6">
      <w:pPr>
        <w:rPr>
          <w:lang w:val="en-US"/>
        </w:rPr>
      </w:pPr>
      <w:r w:rsidRPr="00237DF4">
        <w:rPr>
          <w:lang w:val="en-US"/>
        </w:rPr>
        <w:t xml:space="preserve">Daniel </w:t>
      </w:r>
      <w:r>
        <w:rPr>
          <w:lang w:val="en-US"/>
        </w:rPr>
        <w:t xml:space="preserve">O. </w:t>
      </w:r>
      <w:proofErr w:type="spellStart"/>
      <w:r w:rsidRPr="00237DF4">
        <w:rPr>
          <w:lang w:val="en-US"/>
        </w:rPr>
        <w:t>Obaseki</w:t>
      </w:r>
      <w:proofErr w:type="spellEnd"/>
      <w:r w:rsidRPr="00237DF4">
        <w:rPr>
          <w:lang w:val="en-US"/>
        </w:rPr>
        <w:t>,</w:t>
      </w:r>
      <w:r>
        <w:rPr>
          <w:lang w:val="en-US"/>
        </w:rPr>
        <w:t xml:space="preserve"> MD,</w:t>
      </w:r>
      <w:r w:rsidRPr="00237DF4">
        <w:rPr>
          <w:lang w:val="en-US"/>
        </w:rPr>
        <w:t xml:space="preserve"> </w:t>
      </w:r>
      <w:hyperlink r:id="rId7" w:history="1">
        <w:r w:rsidRPr="00237DF4">
          <w:rPr>
            <w:rStyle w:val="Hyperlink"/>
            <w:lang w:val="en-US"/>
          </w:rPr>
          <w:t>danseki@yahoo.com</w:t>
        </w:r>
      </w:hyperlink>
      <w:r w:rsidRPr="00237DF4">
        <w:rPr>
          <w:lang w:val="en-US"/>
        </w:rPr>
        <w:t xml:space="preserve">, Department of Medicine, </w:t>
      </w:r>
      <w:proofErr w:type="spellStart"/>
      <w:r w:rsidRPr="00237DF4">
        <w:rPr>
          <w:lang w:val="en-US"/>
        </w:rPr>
        <w:t>Obafemi</w:t>
      </w:r>
      <w:proofErr w:type="spellEnd"/>
      <w:r w:rsidRPr="00237DF4">
        <w:rPr>
          <w:lang w:val="en-US"/>
        </w:rPr>
        <w:t xml:space="preserve"> </w:t>
      </w:r>
      <w:proofErr w:type="spellStart"/>
      <w:r w:rsidRPr="00237DF4">
        <w:rPr>
          <w:lang w:val="en-US"/>
        </w:rPr>
        <w:t>Awolo</w:t>
      </w:r>
      <w:r>
        <w:rPr>
          <w:lang w:val="en-US"/>
        </w:rPr>
        <w:t>wo</w:t>
      </w:r>
      <w:proofErr w:type="spellEnd"/>
      <w:r>
        <w:rPr>
          <w:lang w:val="en-US"/>
        </w:rPr>
        <w:t xml:space="preserve"> University, Ile-Ife, Nigeria</w:t>
      </w:r>
    </w:p>
    <w:p w14:paraId="6C0034F3" w14:textId="77777777" w:rsidR="00B813A6" w:rsidRPr="0032701B" w:rsidRDefault="00B813A6" w:rsidP="00B813A6">
      <w:pPr>
        <w:rPr>
          <w:lang w:val="en-US"/>
        </w:rPr>
      </w:pPr>
      <w:r>
        <w:rPr>
          <w:lang w:val="en-US"/>
        </w:rPr>
        <w:t>Andre F. S. Amaral</w:t>
      </w:r>
      <w:r w:rsidRPr="0032701B">
        <w:rPr>
          <w:lang w:val="en-US"/>
        </w:rPr>
        <w:t xml:space="preserve">, </w:t>
      </w:r>
      <w:r>
        <w:rPr>
          <w:lang w:val="en-US"/>
        </w:rPr>
        <w:t xml:space="preserve">PhD, </w:t>
      </w:r>
      <w:hyperlink r:id="rId8" w:history="1">
        <w:r w:rsidRPr="0032701B">
          <w:rPr>
            <w:rFonts w:cs="Helvetica"/>
            <w:color w:val="386EFF"/>
            <w:u w:val="single" w:color="386EFF"/>
            <w:lang w:val="en-US"/>
          </w:rPr>
          <w:t>a.amaral@imperial.ac.uk</w:t>
        </w:r>
      </w:hyperlink>
      <w:r>
        <w:rPr>
          <w:lang w:val="en-US"/>
        </w:rPr>
        <w:t xml:space="preserve">, </w:t>
      </w:r>
      <w:r w:rsidRPr="0032701B">
        <w:rPr>
          <w:rFonts w:cs="Helvetica"/>
          <w:lang w:val="en-US"/>
        </w:rPr>
        <w:t>National Heart and Lung Institute, Imperial College London</w:t>
      </w:r>
      <w:r>
        <w:rPr>
          <w:rFonts w:cs="Helvetica"/>
          <w:lang w:val="en-US"/>
        </w:rPr>
        <w:t>, London, United Kingdom</w:t>
      </w:r>
    </w:p>
    <w:p w14:paraId="5EFC41AA" w14:textId="77777777" w:rsidR="00B813A6" w:rsidRDefault="00B813A6" w:rsidP="00B813A6">
      <w:pPr>
        <w:rPr>
          <w:lang w:val="en-US"/>
        </w:rPr>
      </w:pPr>
      <w:proofErr w:type="spellStart"/>
      <w:r w:rsidRPr="00237DF4">
        <w:rPr>
          <w:lang w:val="en-US"/>
        </w:rPr>
        <w:t>Thorarinn</w:t>
      </w:r>
      <w:proofErr w:type="spellEnd"/>
      <w:r w:rsidRPr="00237DF4">
        <w:rPr>
          <w:lang w:val="en-US"/>
        </w:rPr>
        <w:t xml:space="preserve"> Gislason, </w:t>
      </w:r>
      <w:r>
        <w:rPr>
          <w:lang w:val="en-US"/>
        </w:rPr>
        <w:t xml:space="preserve">prof., </w:t>
      </w:r>
      <w:hyperlink r:id="rId9" w:history="1">
        <w:r w:rsidRPr="00237DF4">
          <w:rPr>
            <w:rStyle w:val="Hyperlink"/>
            <w:lang w:val="en-US"/>
          </w:rPr>
          <w:t>thorarig@landspitali.is</w:t>
        </w:r>
      </w:hyperlink>
      <w:r w:rsidRPr="00237DF4">
        <w:rPr>
          <w:lang w:val="en-US"/>
        </w:rPr>
        <w:t xml:space="preserve">, </w:t>
      </w:r>
      <w:r>
        <w:rPr>
          <w:lang w:val="en-US"/>
        </w:rPr>
        <w:t xml:space="preserve">Faculty of Medicine, University of Iceland, </w:t>
      </w:r>
      <w:r w:rsidRPr="00237DF4">
        <w:rPr>
          <w:lang w:val="en-US"/>
        </w:rPr>
        <w:t xml:space="preserve">Dept. of Respiratory Medicine and Sleep, </w:t>
      </w:r>
      <w:proofErr w:type="spellStart"/>
      <w:r w:rsidRPr="00237DF4">
        <w:rPr>
          <w:lang w:val="en-US"/>
        </w:rPr>
        <w:t>Landspitali</w:t>
      </w:r>
      <w:proofErr w:type="spellEnd"/>
      <w:r w:rsidRPr="00237DF4">
        <w:rPr>
          <w:lang w:val="en-US"/>
        </w:rPr>
        <w:t xml:space="preserve"> University Hospita</w:t>
      </w:r>
      <w:r>
        <w:rPr>
          <w:lang w:val="en-US"/>
        </w:rPr>
        <w:t>l, Reykjavik, Iceland</w:t>
      </w:r>
    </w:p>
    <w:p w14:paraId="0E700C79" w14:textId="77777777" w:rsidR="00B813A6" w:rsidRDefault="00B813A6" w:rsidP="00B813A6">
      <w:pPr>
        <w:rPr>
          <w:lang w:val="en-US"/>
        </w:rPr>
      </w:pPr>
      <w:r w:rsidRPr="00237DF4">
        <w:rPr>
          <w:lang w:val="en-US"/>
        </w:rPr>
        <w:t>Sanjay K</w:t>
      </w:r>
      <w:r>
        <w:rPr>
          <w:lang w:val="en-US"/>
        </w:rPr>
        <w:t>.</w:t>
      </w:r>
      <w:r w:rsidRPr="00237DF4">
        <w:rPr>
          <w:lang w:val="en-US"/>
        </w:rPr>
        <w:t xml:space="preserve"> Juvekar,</w:t>
      </w:r>
      <w:r>
        <w:rPr>
          <w:lang w:val="en-US"/>
        </w:rPr>
        <w:t xml:space="preserve"> PhD,</w:t>
      </w:r>
      <w:r w:rsidRPr="00237DF4">
        <w:rPr>
          <w:lang w:val="en-US"/>
        </w:rPr>
        <w:t xml:space="preserve"> </w:t>
      </w:r>
      <w:hyperlink r:id="rId10" w:history="1">
        <w:r w:rsidRPr="00781507">
          <w:rPr>
            <w:rStyle w:val="Hyperlink"/>
            <w:color w:val="3366FF"/>
            <w:lang w:val="en-US"/>
          </w:rPr>
          <w:t>sanjay.juvekar@gmail.com</w:t>
        </w:r>
      </w:hyperlink>
      <w:r w:rsidRPr="00237DF4">
        <w:rPr>
          <w:lang w:val="en-US"/>
        </w:rPr>
        <w:t xml:space="preserve">, </w:t>
      </w:r>
      <w:proofErr w:type="spellStart"/>
      <w:r w:rsidRPr="00237DF4">
        <w:rPr>
          <w:lang w:val="en-US"/>
        </w:rPr>
        <w:t>Vadu</w:t>
      </w:r>
      <w:proofErr w:type="spellEnd"/>
      <w:r w:rsidRPr="00237DF4">
        <w:rPr>
          <w:lang w:val="en-US"/>
        </w:rPr>
        <w:t xml:space="preserve"> Health and Demographic Surveillance System, KEM Hospital Re</w:t>
      </w:r>
      <w:r>
        <w:rPr>
          <w:lang w:val="en-US"/>
        </w:rPr>
        <w:t>search Centre Pune, Pune, India</w:t>
      </w:r>
    </w:p>
    <w:p w14:paraId="7B9B3F24" w14:textId="77777777" w:rsidR="00B813A6" w:rsidRDefault="00B813A6" w:rsidP="00B813A6">
      <w:pPr>
        <w:rPr>
          <w:lang w:val="en-US"/>
        </w:rPr>
      </w:pPr>
      <w:r w:rsidRPr="00237DF4">
        <w:rPr>
          <w:lang w:val="en-US"/>
        </w:rPr>
        <w:t>Parvaiz A</w:t>
      </w:r>
      <w:r>
        <w:rPr>
          <w:lang w:val="en-US"/>
        </w:rPr>
        <w:t>.</w:t>
      </w:r>
      <w:r w:rsidRPr="00237DF4">
        <w:rPr>
          <w:lang w:val="en-US"/>
        </w:rPr>
        <w:t xml:space="preserve"> Koul, </w:t>
      </w:r>
      <w:r>
        <w:rPr>
          <w:lang w:val="en-US"/>
        </w:rPr>
        <w:t xml:space="preserve">prof., </w:t>
      </w:r>
      <w:hyperlink r:id="rId11" w:history="1">
        <w:r w:rsidRPr="00237DF4">
          <w:rPr>
            <w:rStyle w:val="Hyperlink"/>
            <w:lang w:val="en-US"/>
          </w:rPr>
          <w:t>parvaizk@gmail.com</w:t>
        </w:r>
      </w:hyperlink>
      <w:r w:rsidRPr="00237DF4">
        <w:rPr>
          <w:lang w:val="en-US"/>
        </w:rPr>
        <w:t xml:space="preserve">, Department of Internal &amp; Pulmonary Medicine, </w:t>
      </w:r>
      <w:proofErr w:type="spellStart"/>
      <w:r w:rsidRPr="00237DF4">
        <w:rPr>
          <w:lang w:val="en-US"/>
        </w:rPr>
        <w:t>SheriKashmir</w:t>
      </w:r>
      <w:proofErr w:type="spellEnd"/>
      <w:r w:rsidRPr="00237DF4">
        <w:rPr>
          <w:lang w:val="en-US"/>
        </w:rPr>
        <w:t xml:space="preserve"> Institute of Me</w:t>
      </w:r>
      <w:r>
        <w:rPr>
          <w:lang w:val="en-US"/>
        </w:rPr>
        <w:t>dical Sciences, Srinagar, India</w:t>
      </w:r>
    </w:p>
    <w:p w14:paraId="0DD24955" w14:textId="77777777" w:rsidR="00B813A6" w:rsidRDefault="00B813A6" w:rsidP="00B813A6">
      <w:pPr>
        <w:rPr>
          <w:lang w:val="en-US"/>
        </w:rPr>
      </w:pPr>
      <w:r w:rsidRPr="00237DF4">
        <w:rPr>
          <w:lang w:val="en-US"/>
        </w:rPr>
        <w:t xml:space="preserve">Michael Studnicka, </w:t>
      </w:r>
      <w:r>
        <w:rPr>
          <w:lang w:val="en-US"/>
        </w:rPr>
        <w:t xml:space="preserve">prof., </w:t>
      </w:r>
      <w:hyperlink r:id="rId12" w:history="1">
        <w:r w:rsidRPr="00237DF4">
          <w:rPr>
            <w:rStyle w:val="Hyperlink"/>
            <w:lang w:val="en-US"/>
          </w:rPr>
          <w:t>M.Studnicka@salk.at</w:t>
        </w:r>
      </w:hyperlink>
      <w:r w:rsidRPr="00237DF4">
        <w:rPr>
          <w:lang w:val="en-US"/>
        </w:rPr>
        <w:t>, Department of Pulmonary Medicine, Paracelsus Medica</w:t>
      </w:r>
      <w:r>
        <w:rPr>
          <w:lang w:val="en-US"/>
        </w:rPr>
        <w:t>l University, Salzburg, Austria</w:t>
      </w:r>
    </w:p>
    <w:p w14:paraId="57540217" w14:textId="77777777" w:rsidR="00B813A6" w:rsidRDefault="00B813A6" w:rsidP="00B813A6">
      <w:pPr>
        <w:rPr>
          <w:lang w:val="en-US"/>
        </w:rPr>
      </w:pPr>
      <w:r w:rsidRPr="00237DF4">
        <w:rPr>
          <w:lang w:val="en-US"/>
        </w:rPr>
        <w:t xml:space="preserve">Sundeep Salvi, </w:t>
      </w:r>
      <w:r>
        <w:rPr>
          <w:lang w:val="en-US"/>
        </w:rPr>
        <w:t xml:space="preserve">MD PhD, </w:t>
      </w:r>
      <w:hyperlink r:id="rId13" w:history="1">
        <w:r w:rsidRPr="00237DF4">
          <w:rPr>
            <w:rStyle w:val="Hyperlink"/>
            <w:lang w:val="en-US"/>
          </w:rPr>
          <w:t>ssalvi@crfindia.com</w:t>
        </w:r>
      </w:hyperlink>
      <w:r w:rsidRPr="00237DF4">
        <w:rPr>
          <w:lang w:val="en-US"/>
        </w:rPr>
        <w:t>, Chest Research Foundation, Chest R</w:t>
      </w:r>
      <w:r>
        <w:rPr>
          <w:lang w:val="en-US"/>
        </w:rPr>
        <w:t>esearch Foundation, Pune, India</w:t>
      </w:r>
    </w:p>
    <w:p w14:paraId="4CE11FBF" w14:textId="77777777" w:rsidR="00B813A6" w:rsidRDefault="00B813A6" w:rsidP="00B813A6">
      <w:pPr>
        <w:rPr>
          <w:lang w:val="en-US"/>
        </w:rPr>
      </w:pPr>
      <w:r>
        <w:rPr>
          <w:lang w:val="en-US"/>
        </w:rPr>
        <w:t xml:space="preserve">Peter Burney, prof., </w:t>
      </w:r>
      <w:r w:rsidRPr="005A28D6">
        <w:rPr>
          <w:rStyle w:val="Hyperlink"/>
          <w:lang w:val="en-US"/>
        </w:rPr>
        <w:t>p.burney@imperial.ac.uk</w:t>
      </w:r>
      <w:r w:rsidRPr="00AE531F">
        <w:rPr>
          <w:lang w:val="en-US"/>
        </w:rPr>
        <w:t>,</w:t>
      </w:r>
      <w:r>
        <w:rPr>
          <w:lang w:val="en-US"/>
        </w:rPr>
        <w:t xml:space="preserve"> </w:t>
      </w:r>
      <w:r w:rsidRPr="0032701B">
        <w:rPr>
          <w:rFonts w:cs="Helvetica"/>
          <w:lang w:val="en-US"/>
        </w:rPr>
        <w:t>National Heart and Lung Institute, Imperial College London</w:t>
      </w:r>
      <w:r>
        <w:rPr>
          <w:rFonts w:cs="Helvetica"/>
          <w:lang w:val="en-US"/>
        </w:rPr>
        <w:t>, London, United Kingdom</w:t>
      </w:r>
    </w:p>
    <w:p w14:paraId="738BB1BC" w14:textId="77777777" w:rsidR="00B813A6" w:rsidRDefault="00B813A6" w:rsidP="00B813A6">
      <w:pPr>
        <w:rPr>
          <w:lang w:val="en-US"/>
        </w:rPr>
      </w:pPr>
      <w:r w:rsidRPr="00237DF4">
        <w:rPr>
          <w:lang w:val="en-US"/>
        </w:rPr>
        <w:t>A</w:t>
      </w:r>
      <w:r>
        <w:rPr>
          <w:lang w:val="en-US"/>
        </w:rPr>
        <w:t>.</w:t>
      </w:r>
      <w:r w:rsidRPr="00237DF4">
        <w:rPr>
          <w:lang w:val="en-US"/>
        </w:rPr>
        <w:t xml:space="preserve"> Sonia Buist,</w:t>
      </w:r>
      <w:r>
        <w:rPr>
          <w:lang w:val="en-US"/>
        </w:rPr>
        <w:t xml:space="preserve"> prof.,</w:t>
      </w:r>
      <w:r w:rsidRPr="00237DF4">
        <w:rPr>
          <w:lang w:val="en-US"/>
        </w:rPr>
        <w:t xml:space="preserve"> </w:t>
      </w:r>
      <w:hyperlink r:id="rId14" w:history="1">
        <w:r w:rsidRPr="00237DF4">
          <w:rPr>
            <w:rStyle w:val="Hyperlink"/>
            <w:lang w:val="en-US"/>
          </w:rPr>
          <w:t>buists@ohsu.edu</w:t>
        </w:r>
      </w:hyperlink>
      <w:r w:rsidRPr="00237DF4">
        <w:rPr>
          <w:lang w:val="en-US"/>
        </w:rPr>
        <w:t>, Oregon H</w:t>
      </w:r>
      <w:r>
        <w:rPr>
          <w:lang w:val="en-US"/>
        </w:rPr>
        <w:t>ealth &amp; Science University,</w:t>
      </w:r>
      <w:r w:rsidRPr="00237DF4">
        <w:rPr>
          <w:lang w:val="en-US"/>
        </w:rPr>
        <w:t xml:space="preserve"> </w:t>
      </w:r>
      <w:r>
        <w:rPr>
          <w:lang w:val="en-US"/>
        </w:rPr>
        <w:t>Portland, Oregon, United States</w:t>
      </w:r>
    </w:p>
    <w:p w14:paraId="512E60D9" w14:textId="77777777" w:rsidR="00B813A6" w:rsidRDefault="00B813A6" w:rsidP="00B813A6">
      <w:pPr>
        <w:rPr>
          <w:lang w:val="en-US"/>
        </w:rPr>
      </w:pPr>
      <w:r w:rsidRPr="00237DF4">
        <w:rPr>
          <w:lang w:val="en-US"/>
        </w:rPr>
        <w:t>William M</w:t>
      </w:r>
      <w:r>
        <w:rPr>
          <w:lang w:val="en-US"/>
        </w:rPr>
        <w:t>.</w:t>
      </w:r>
      <w:r w:rsidRPr="00237DF4">
        <w:rPr>
          <w:lang w:val="en-US"/>
        </w:rPr>
        <w:t xml:space="preserve"> Vollmer, </w:t>
      </w:r>
      <w:r>
        <w:rPr>
          <w:lang w:val="en-US"/>
        </w:rPr>
        <w:t xml:space="preserve">prof., </w:t>
      </w:r>
      <w:hyperlink r:id="rId15" w:history="1">
        <w:r w:rsidRPr="00190564">
          <w:rPr>
            <w:rStyle w:val="Hyperlink"/>
            <w:lang w:val="en-US"/>
          </w:rPr>
          <w:t>william.vollmer@kpchr.org</w:t>
        </w:r>
      </w:hyperlink>
      <w:r w:rsidRPr="00237DF4">
        <w:rPr>
          <w:lang w:val="en-US"/>
        </w:rPr>
        <w:t>, Kaiser Permanente Center for Health Research, Portland, Oregon, United States</w:t>
      </w:r>
    </w:p>
    <w:p w14:paraId="7B463FDE" w14:textId="77777777" w:rsidR="00B813A6" w:rsidRDefault="00B813A6" w:rsidP="00B813A6">
      <w:pPr>
        <w:rPr>
          <w:lang w:val="en-US"/>
        </w:rPr>
      </w:pPr>
      <w:r w:rsidRPr="00237DF4">
        <w:rPr>
          <w:lang w:val="en-US"/>
        </w:rPr>
        <w:t xml:space="preserve">Ane Johannessen, </w:t>
      </w:r>
      <w:r>
        <w:rPr>
          <w:lang w:val="en-US"/>
        </w:rPr>
        <w:t xml:space="preserve">PhD, </w:t>
      </w:r>
      <w:hyperlink r:id="rId16" w:history="1">
        <w:r w:rsidRPr="00D752C5">
          <w:rPr>
            <w:rStyle w:val="Hyperlink"/>
            <w:lang w:val="en-US"/>
          </w:rPr>
          <w:t>ane.johannessen@</w:t>
        </w:r>
        <w:r w:rsidRPr="00CB324E">
          <w:rPr>
            <w:rStyle w:val="Hyperlink"/>
            <w:lang w:val="en-US"/>
          </w:rPr>
          <w:t>uib.no</w:t>
        </w:r>
      </w:hyperlink>
      <w:r w:rsidRPr="00237DF4">
        <w:rPr>
          <w:lang w:val="en-US"/>
        </w:rPr>
        <w:t xml:space="preserve">, </w:t>
      </w:r>
      <w:r>
        <w:rPr>
          <w:lang w:val="en-US"/>
        </w:rPr>
        <w:t>Centre for International Health, Department of Global Public Health and Primary Care</w:t>
      </w:r>
      <w:r w:rsidRPr="00237DF4">
        <w:rPr>
          <w:lang w:val="en-US"/>
        </w:rPr>
        <w:t xml:space="preserve">, University </w:t>
      </w:r>
      <w:r>
        <w:rPr>
          <w:lang w:val="en-US"/>
        </w:rPr>
        <w:t>of Bergen</w:t>
      </w:r>
      <w:r w:rsidRPr="00237DF4">
        <w:rPr>
          <w:lang w:val="en-US"/>
        </w:rPr>
        <w:t>, Bergen, Norway.</w:t>
      </w:r>
    </w:p>
    <w:p w14:paraId="510D1C16" w14:textId="77777777" w:rsidR="00B813A6" w:rsidRPr="00237DF4" w:rsidRDefault="00B813A6" w:rsidP="00B813A6">
      <w:pPr>
        <w:rPr>
          <w:lang w:val="en-US"/>
        </w:rPr>
      </w:pPr>
    </w:p>
    <w:p w14:paraId="7EFB5C51" w14:textId="77777777" w:rsidR="00B813A6" w:rsidRDefault="00B813A6" w:rsidP="00B813A6">
      <w:pPr>
        <w:rPr>
          <w:lang w:val="en-US"/>
        </w:rPr>
      </w:pPr>
      <w:r w:rsidRPr="00237DF4">
        <w:rPr>
          <w:b/>
          <w:bCs/>
          <w:lang w:val="en-US"/>
        </w:rPr>
        <w:t>Corresponding author:</w:t>
      </w:r>
    </w:p>
    <w:p w14:paraId="0C1197F3" w14:textId="77777777" w:rsidR="00B813A6" w:rsidRDefault="00B813A6" w:rsidP="00B813A6">
      <w:pPr>
        <w:rPr>
          <w:lang w:val="en-US"/>
        </w:rPr>
      </w:pPr>
      <w:r>
        <w:rPr>
          <w:lang w:val="en-US"/>
        </w:rPr>
        <w:t>Marta Erdal</w:t>
      </w:r>
      <w:r w:rsidRPr="00237DF4">
        <w:rPr>
          <w:lang w:val="en-US"/>
        </w:rPr>
        <w:t xml:space="preserve">, </w:t>
      </w:r>
      <w:hyperlink r:id="rId17" w:history="1">
        <w:r w:rsidRPr="00190564">
          <w:rPr>
            <w:rStyle w:val="Hyperlink"/>
            <w:lang w:val="en-US"/>
          </w:rPr>
          <w:t>marta.erdal@k2.uib.no</w:t>
        </w:r>
      </w:hyperlink>
      <w:r w:rsidRPr="00237DF4">
        <w:rPr>
          <w:lang w:val="en-US"/>
        </w:rPr>
        <w:t xml:space="preserve">, Department of Thoracic Medicine, </w:t>
      </w:r>
      <w:proofErr w:type="spellStart"/>
      <w:r w:rsidRPr="00237DF4">
        <w:rPr>
          <w:lang w:val="en-US"/>
        </w:rPr>
        <w:t>Haukeland</w:t>
      </w:r>
      <w:proofErr w:type="spellEnd"/>
      <w:r w:rsidRPr="00237DF4">
        <w:rPr>
          <w:lang w:val="en-US"/>
        </w:rPr>
        <w:t xml:space="preserve"> Univ</w:t>
      </w:r>
      <w:r>
        <w:rPr>
          <w:lang w:val="en-US"/>
        </w:rPr>
        <w:t>ersity Hospital, Bergen, Norway</w:t>
      </w:r>
    </w:p>
    <w:p w14:paraId="19FEF6F5" w14:textId="77777777" w:rsidR="00B813A6" w:rsidRDefault="00B813A6" w:rsidP="00B813A6">
      <w:pPr>
        <w:rPr>
          <w:lang w:val="en-US"/>
        </w:rPr>
      </w:pPr>
    </w:p>
    <w:p w14:paraId="6554D8E3" w14:textId="77777777" w:rsidR="00B813A6" w:rsidRDefault="00B813A6" w:rsidP="00B813A6">
      <w:pPr>
        <w:spacing w:line="360" w:lineRule="auto"/>
        <w:rPr>
          <w:b/>
          <w:lang w:val="en-US"/>
        </w:rPr>
      </w:pPr>
      <w:r>
        <w:rPr>
          <w:b/>
          <w:lang w:val="en-US"/>
        </w:rPr>
        <w:t xml:space="preserve">Take home message: </w:t>
      </w:r>
    </w:p>
    <w:p w14:paraId="03116C0A" w14:textId="77777777" w:rsidR="00B813A6" w:rsidRPr="009D5C65" w:rsidRDefault="00B813A6" w:rsidP="00B813A6">
      <w:pPr>
        <w:spacing w:line="360" w:lineRule="auto"/>
        <w:rPr>
          <w:lang w:val="en-US"/>
        </w:rPr>
      </w:pPr>
      <w:r>
        <w:rPr>
          <w:lang w:val="en-US"/>
        </w:rPr>
        <w:t>Chronic airflow obstruction increases risk of unemployment, and is a burden to welfare systems worldwide.</w:t>
      </w:r>
    </w:p>
    <w:p w14:paraId="4E6A5A81" w14:textId="77777777" w:rsidR="00B813A6" w:rsidRDefault="00B813A6" w:rsidP="00B813A6">
      <w:pPr>
        <w:rPr>
          <w:lang w:val="en-US"/>
        </w:rPr>
      </w:pPr>
    </w:p>
    <w:p w14:paraId="611EDA69" w14:textId="77777777" w:rsidR="00B813A6" w:rsidRDefault="00B813A6" w:rsidP="00B813A6">
      <w:pPr>
        <w:rPr>
          <w:lang w:val="en-US"/>
        </w:rPr>
      </w:pPr>
    </w:p>
    <w:p w14:paraId="77ADCCED" w14:textId="77777777" w:rsidR="00B813A6" w:rsidRDefault="00B813A6" w:rsidP="00B813A6">
      <w:pPr>
        <w:rPr>
          <w:rFonts w:ascii="Arial Narrow" w:eastAsiaTheme="majorEastAsia" w:hAnsi="Arial Narrow"/>
          <w:bCs/>
          <w:sz w:val="40"/>
          <w:szCs w:val="32"/>
          <w:lang w:val="en-US"/>
        </w:rPr>
      </w:pPr>
      <w:r>
        <w:rPr>
          <w:lang w:val="en-US"/>
        </w:rPr>
        <w:br w:type="page"/>
      </w:r>
    </w:p>
    <w:p w14:paraId="619B97AE" w14:textId="77777777" w:rsidR="00B813A6" w:rsidRPr="00B40E31" w:rsidRDefault="00B813A6" w:rsidP="00B813A6">
      <w:pPr>
        <w:pStyle w:val="Heading1"/>
        <w:rPr>
          <w:lang w:val="en-US"/>
        </w:rPr>
      </w:pPr>
      <w:r w:rsidRPr="006C4613">
        <w:rPr>
          <w:lang w:val="en-US"/>
        </w:rPr>
        <w:lastRenderedPageBreak/>
        <w:t>Abstract</w:t>
      </w:r>
    </w:p>
    <w:p w14:paraId="2916EA85" w14:textId="77777777" w:rsidR="00B813A6" w:rsidRPr="00B40E31" w:rsidRDefault="00B813A6" w:rsidP="00B813A6">
      <w:pPr>
        <w:rPr>
          <w:lang w:val="en-US"/>
        </w:rPr>
      </w:pPr>
    </w:p>
    <w:p w14:paraId="6F2FB0E7" w14:textId="77777777" w:rsidR="00B813A6" w:rsidRPr="009D5C65" w:rsidRDefault="00B813A6" w:rsidP="00B813A6">
      <w:pPr>
        <w:spacing w:line="360" w:lineRule="auto"/>
        <w:rPr>
          <w:lang w:val="en-US"/>
        </w:rPr>
      </w:pPr>
      <w:r w:rsidRPr="009D5C65">
        <w:rPr>
          <w:b/>
          <w:lang w:val="en-US"/>
        </w:rPr>
        <w:t>Objectives:</w:t>
      </w:r>
      <w:r w:rsidRPr="009D5C65">
        <w:rPr>
          <w:lang w:val="en-US"/>
        </w:rPr>
        <w:t xml:space="preserve"> </w:t>
      </w:r>
      <w:r>
        <w:rPr>
          <w:lang w:val="en-US"/>
        </w:rPr>
        <w:t>We aimed t</w:t>
      </w:r>
      <w:r w:rsidRPr="00A54122">
        <w:rPr>
          <w:lang w:val="en-US"/>
        </w:rPr>
        <w:t xml:space="preserve">o </w:t>
      </w:r>
      <w:r>
        <w:rPr>
          <w:lang w:val="en-US"/>
        </w:rPr>
        <w:t>examine associations between</w:t>
      </w:r>
      <w:r w:rsidRPr="00A54122">
        <w:rPr>
          <w:lang w:val="en-US"/>
        </w:rPr>
        <w:t xml:space="preserve"> </w:t>
      </w:r>
      <w:r w:rsidRPr="00171E1A">
        <w:rPr>
          <w:color w:val="000000" w:themeColor="text1"/>
          <w:lang w:val="en-US"/>
        </w:rPr>
        <w:t xml:space="preserve">chronic airflow obstruction </w:t>
      </w:r>
      <w:r>
        <w:rPr>
          <w:lang w:val="en-US"/>
        </w:rPr>
        <w:t>(CAO)</w:t>
      </w:r>
      <w:r w:rsidRPr="00A54122">
        <w:rPr>
          <w:lang w:val="en-US"/>
        </w:rPr>
        <w:t xml:space="preserve"> </w:t>
      </w:r>
      <w:r>
        <w:rPr>
          <w:lang w:val="en-US"/>
        </w:rPr>
        <w:t xml:space="preserve">and unemployment </w:t>
      </w:r>
      <w:r w:rsidRPr="00A54122">
        <w:rPr>
          <w:lang w:val="en-US"/>
        </w:rPr>
        <w:t>across the world</w:t>
      </w:r>
      <w:r>
        <w:rPr>
          <w:lang w:val="en-US"/>
        </w:rPr>
        <w:t>.</w:t>
      </w:r>
    </w:p>
    <w:p w14:paraId="13A27DCA" w14:textId="77777777" w:rsidR="00B813A6" w:rsidRPr="009D5C65" w:rsidRDefault="00B813A6" w:rsidP="00B813A6">
      <w:pPr>
        <w:spacing w:line="360" w:lineRule="auto"/>
        <w:rPr>
          <w:lang w:val="en-US"/>
        </w:rPr>
      </w:pPr>
      <w:r>
        <w:rPr>
          <w:b/>
          <w:lang w:val="en-US"/>
        </w:rPr>
        <w:t>Methods</w:t>
      </w:r>
      <w:r w:rsidRPr="009D5C65">
        <w:rPr>
          <w:b/>
          <w:lang w:val="en-US"/>
        </w:rPr>
        <w:t xml:space="preserve">: </w:t>
      </w:r>
      <w:r w:rsidRPr="009D5C65">
        <w:rPr>
          <w:lang w:val="en-US"/>
        </w:rPr>
        <w:t>Cross-sectional data from 26 sites in the Burden of Obstructive Lung Disease (BOLD) Study were used to analyze effect</w:t>
      </w:r>
      <w:r>
        <w:rPr>
          <w:lang w:val="en-US"/>
        </w:rPr>
        <w:t>s</w:t>
      </w:r>
      <w:r w:rsidRPr="009D5C65">
        <w:rPr>
          <w:lang w:val="en-US"/>
        </w:rPr>
        <w:t xml:space="preserve"> of </w:t>
      </w:r>
      <w:r>
        <w:rPr>
          <w:lang w:val="en-US"/>
        </w:rPr>
        <w:t>CAO</w:t>
      </w:r>
      <w:r w:rsidRPr="009D5C65">
        <w:rPr>
          <w:lang w:val="en-US"/>
        </w:rPr>
        <w:t xml:space="preserve"> on unemployment. </w:t>
      </w:r>
      <w:r>
        <w:rPr>
          <w:lang w:val="en-US"/>
        </w:rPr>
        <w:t>Odds ratios (OR) for unemployment in subjects 40-65 years old were estimated with</w:t>
      </w:r>
      <w:r w:rsidRPr="009D5C65">
        <w:rPr>
          <w:lang w:val="en-US"/>
        </w:rPr>
        <w:t xml:space="preserve"> </w:t>
      </w:r>
      <w:r w:rsidRPr="00B27DA7">
        <w:rPr>
          <w:lang w:val="en-US"/>
        </w:rPr>
        <w:t>multilevel mixed-effects generalized linear model with study site as random effect</w:t>
      </w:r>
      <w:r>
        <w:rPr>
          <w:lang w:val="en-US"/>
        </w:rPr>
        <w:t>. Site-by-site heterogeneity was assessed using individual participant data meta-analyses.</w:t>
      </w:r>
    </w:p>
    <w:p w14:paraId="5BC06933" w14:textId="77777777" w:rsidR="00B813A6" w:rsidRPr="009D5C65" w:rsidRDefault="00B813A6" w:rsidP="00B813A6">
      <w:pPr>
        <w:spacing w:line="360" w:lineRule="auto"/>
        <w:rPr>
          <w:lang w:val="en-US"/>
        </w:rPr>
      </w:pPr>
      <w:r>
        <w:rPr>
          <w:b/>
          <w:lang w:val="en-US"/>
        </w:rPr>
        <w:t>Results</w:t>
      </w:r>
      <w:r w:rsidRPr="009D5C65">
        <w:rPr>
          <w:b/>
          <w:lang w:val="en-US"/>
        </w:rPr>
        <w:t>:</w:t>
      </w:r>
      <w:r>
        <w:rPr>
          <w:lang w:val="en-US"/>
        </w:rPr>
        <w:t xml:space="preserve"> Of 1</w:t>
      </w:r>
      <w:r w:rsidRPr="009D5C65">
        <w:rPr>
          <w:lang w:val="en-US"/>
        </w:rPr>
        <w:t>8710 participants</w:t>
      </w:r>
      <w:r>
        <w:rPr>
          <w:lang w:val="en-US"/>
        </w:rPr>
        <w:t xml:space="preserve">, </w:t>
      </w:r>
      <w:r w:rsidRPr="009D5C65">
        <w:rPr>
          <w:lang w:val="en-US"/>
        </w:rPr>
        <w:t xml:space="preserve">11.3% </w:t>
      </w:r>
      <w:r>
        <w:rPr>
          <w:lang w:val="en-US"/>
        </w:rPr>
        <w:t>had</w:t>
      </w:r>
      <w:r w:rsidRPr="009D5C65">
        <w:rPr>
          <w:lang w:val="en-US"/>
        </w:rPr>
        <w:t xml:space="preserve"> </w:t>
      </w:r>
      <w:r>
        <w:rPr>
          <w:lang w:val="en-US"/>
        </w:rPr>
        <w:t>CAO</w:t>
      </w:r>
      <w:r w:rsidRPr="009D5C65">
        <w:rPr>
          <w:lang w:val="en-US"/>
        </w:rPr>
        <w:t xml:space="preserve">. </w:t>
      </w:r>
      <w:r>
        <w:rPr>
          <w:lang w:val="en-US"/>
        </w:rPr>
        <w:t xml:space="preserve">Ratio </w:t>
      </w:r>
      <w:r w:rsidRPr="00612DED">
        <w:rPr>
          <w:lang w:val="en-US"/>
        </w:rPr>
        <w:t>of unemploy</w:t>
      </w:r>
      <w:r>
        <w:rPr>
          <w:lang w:val="en-US"/>
        </w:rPr>
        <w:t>ed subjects with CAO divided by</w:t>
      </w:r>
      <w:r w:rsidRPr="00612DED">
        <w:rPr>
          <w:lang w:val="en-US"/>
        </w:rPr>
        <w:t xml:space="preserve"> </w:t>
      </w:r>
      <w:r>
        <w:rPr>
          <w:lang w:val="en-US"/>
        </w:rPr>
        <w:t>subjects</w:t>
      </w:r>
      <w:r w:rsidRPr="00612DED">
        <w:rPr>
          <w:lang w:val="en-US"/>
        </w:rPr>
        <w:t xml:space="preserve"> without CAO </w:t>
      </w:r>
      <w:r>
        <w:rPr>
          <w:lang w:val="en-US"/>
        </w:rPr>
        <w:t xml:space="preserve">showed large site discrepancies, though these were no longer significant after adjusting for age, sex, smoking and education. Site-adjusted </w:t>
      </w:r>
      <w:r w:rsidRPr="009D5C65">
        <w:rPr>
          <w:lang w:val="en-US"/>
        </w:rPr>
        <w:t xml:space="preserve">OR </w:t>
      </w:r>
      <w:r>
        <w:rPr>
          <w:lang w:val="en-US"/>
        </w:rPr>
        <w:t>for</w:t>
      </w:r>
      <w:r w:rsidRPr="009D5C65">
        <w:rPr>
          <w:lang w:val="en-US"/>
        </w:rPr>
        <w:t xml:space="preserve"> </w:t>
      </w:r>
      <w:r>
        <w:rPr>
          <w:lang w:val="en-US"/>
        </w:rPr>
        <w:t>unemployment</w:t>
      </w:r>
      <w:r w:rsidRPr="009D5C65">
        <w:rPr>
          <w:lang w:val="en-US"/>
        </w:rPr>
        <w:t xml:space="preserve"> </w:t>
      </w:r>
      <w:r w:rsidRPr="000F7D22">
        <w:rPr>
          <w:lang w:val="en-US"/>
        </w:rPr>
        <w:t>(95%</w:t>
      </w:r>
      <w:r>
        <w:rPr>
          <w:lang w:val="en-US"/>
        </w:rPr>
        <w:t>CI</w:t>
      </w:r>
      <w:r w:rsidRPr="000F7D22">
        <w:rPr>
          <w:lang w:val="en-US"/>
        </w:rPr>
        <w:t>)</w:t>
      </w:r>
      <w:r w:rsidRPr="009D5C65">
        <w:rPr>
          <w:lang w:val="en-US"/>
        </w:rPr>
        <w:t xml:space="preserve"> was 1.</w:t>
      </w:r>
      <w:r>
        <w:rPr>
          <w:lang w:val="en-US"/>
        </w:rPr>
        <w:t>79</w:t>
      </w:r>
      <w:r w:rsidRPr="009D5C65">
        <w:rPr>
          <w:lang w:val="en-US"/>
        </w:rPr>
        <w:t xml:space="preserve"> </w:t>
      </w:r>
      <w:r w:rsidRPr="000F7D22">
        <w:rPr>
          <w:lang w:val="en-US"/>
        </w:rPr>
        <w:t>(1.4</w:t>
      </w:r>
      <w:r>
        <w:rPr>
          <w:lang w:val="en-US"/>
        </w:rPr>
        <w:t>1,</w:t>
      </w:r>
      <w:r w:rsidRPr="000F7D22">
        <w:rPr>
          <w:lang w:val="en-US"/>
        </w:rPr>
        <w:t xml:space="preserve"> 2.</w:t>
      </w:r>
      <w:r>
        <w:rPr>
          <w:lang w:val="en-US"/>
        </w:rPr>
        <w:t>27</w:t>
      </w:r>
      <w:r w:rsidRPr="000F7D22">
        <w:rPr>
          <w:lang w:val="en-US"/>
        </w:rPr>
        <w:t xml:space="preserve">) for </w:t>
      </w:r>
      <w:r>
        <w:rPr>
          <w:lang w:val="en-US"/>
        </w:rPr>
        <w:t>CAO cases, decreasing to 1.43 (1.14, 1.79)</w:t>
      </w:r>
      <w:r w:rsidRPr="000F7D22">
        <w:rPr>
          <w:lang w:val="en-US"/>
        </w:rPr>
        <w:t xml:space="preserve"> </w:t>
      </w:r>
      <w:r>
        <w:rPr>
          <w:lang w:val="en-US"/>
        </w:rPr>
        <w:t xml:space="preserve">after adjusting for </w:t>
      </w:r>
      <w:proofErr w:type="spellStart"/>
      <w:r>
        <w:rPr>
          <w:lang w:val="en-US"/>
        </w:rPr>
        <w:t>sociodemographic</w:t>
      </w:r>
      <w:proofErr w:type="spellEnd"/>
      <w:r>
        <w:rPr>
          <w:lang w:val="en-US"/>
        </w:rPr>
        <w:t xml:space="preserve"> factors, comorbidities and forced vital capacity. Of other covariates that were associated with unemployment, age and education were important risk factors in high-income sites (OR (95%CI) 4.02 (3.53, 4.57) and 3.86 (2.80, 5.30) respectively), while female gender was important in low-to-middle-income sites (OR 3.23 (2.66, 3.91)). </w:t>
      </w:r>
    </w:p>
    <w:p w14:paraId="7F90B9EB" w14:textId="77777777" w:rsidR="00B813A6" w:rsidRPr="00862CAF" w:rsidRDefault="00B813A6" w:rsidP="00B813A6">
      <w:pPr>
        <w:spacing w:line="360" w:lineRule="auto"/>
        <w:rPr>
          <w:lang w:val="en-US"/>
        </w:rPr>
      </w:pPr>
      <w:r>
        <w:rPr>
          <w:b/>
          <w:lang w:val="en-US"/>
        </w:rPr>
        <w:t>Conclusions</w:t>
      </w:r>
      <w:r w:rsidRPr="009D5C65">
        <w:rPr>
          <w:b/>
          <w:lang w:val="en-US"/>
        </w:rPr>
        <w:t>:</w:t>
      </w:r>
      <w:r w:rsidRPr="009D5C65">
        <w:rPr>
          <w:lang w:val="en-US"/>
        </w:rPr>
        <w:t xml:space="preserve"> </w:t>
      </w:r>
      <w:r>
        <w:rPr>
          <w:lang w:val="en-US"/>
        </w:rPr>
        <w:t xml:space="preserve">In the global BOLD study, CAO was associated with increased levels of unemployment, even after adjusting for </w:t>
      </w:r>
      <w:proofErr w:type="spellStart"/>
      <w:r>
        <w:rPr>
          <w:lang w:val="en-US"/>
        </w:rPr>
        <w:t>sociodemographic</w:t>
      </w:r>
      <w:proofErr w:type="spellEnd"/>
      <w:r>
        <w:rPr>
          <w:lang w:val="en-US"/>
        </w:rPr>
        <w:t xml:space="preserve"> factors, comorbidities and lung function.</w:t>
      </w:r>
    </w:p>
    <w:p w14:paraId="6E3957E4" w14:textId="77777777" w:rsidR="00B813A6" w:rsidRDefault="00B813A6" w:rsidP="00B813A6">
      <w:pPr>
        <w:spacing w:line="360" w:lineRule="auto"/>
        <w:rPr>
          <w:lang w:val="en-US"/>
        </w:rPr>
      </w:pPr>
    </w:p>
    <w:p w14:paraId="28EDB8D8" w14:textId="77777777" w:rsidR="00B813A6" w:rsidRPr="00C51C3F" w:rsidRDefault="00B813A6" w:rsidP="00B813A6">
      <w:pPr>
        <w:spacing w:line="360" w:lineRule="auto"/>
        <w:rPr>
          <w:lang w:val="en-US"/>
        </w:rPr>
      </w:pPr>
      <w:r>
        <w:rPr>
          <w:lang w:val="en-US"/>
        </w:rPr>
        <w:t>Abstract word count: 200.</w:t>
      </w:r>
    </w:p>
    <w:p w14:paraId="42D9096A" w14:textId="77777777" w:rsidR="00B813A6" w:rsidRDefault="00B813A6" w:rsidP="00B813A6">
      <w:pPr>
        <w:rPr>
          <w:lang w:val="en-US"/>
        </w:rPr>
      </w:pPr>
    </w:p>
    <w:p w14:paraId="1B4B0446" w14:textId="5322D602" w:rsidR="00B813A6" w:rsidRPr="00F96318" w:rsidRDefault="00477A88" w:rsidP="00B813A6">
      <w:pPr>
        <w:spacing w:line="360" w:lineRule="auto"/>
        <w:rPr>
          <w:lang w:val="en-US"/>
        </w:rPr>
      </w:pPr>
      <w:r>
        <w:rPr>
          <w:lang w:val="en-US"/>
        </w:rPr>
        <w:t>Manuscript word count: 4072</w:t>
      </w:r>
      <w:r w:rsidR="003A3978">
        <w:rPr>
          <w:lang w:val="en-US"/>
        </w:rPr>
        <w:t>.</w:t>
      </w:r>
      <w:r w:rsidR="00B813A6">
        <w:rPr>
          <w:lang w:val="en-US"/>
        </w:rPr>
        <w:br w:type="page"/>
      </w:r>
    </w:p>
    <w:p w14:paraId="27EF9FF6" w14:textId="77777777" w:rsidR="00B813A6" w:rsidRDefault="00B813A6" w:rsidP="00B813A6">
      <w:pPr>
        <w:pStyle w:val="Heading1"/>
        <w:spacing w:line="360" w:lineRule="auto"/>
        <w:rPr>
          <w:lang w:val="en-US"/>
        </w:rPr>
      </w:pPr>
      <w:r>
        <w:rPr>
          <w:lang w:val="en-US"/>
        </w:rPr>
        <w:lastRenderedPageBreak/>
        <w:t>Introduction</w:t>
      </w:r>
    </w:p>
    <w:p w14:paraId="2ED8727D" w14:textId="77777777" w:rsidR="00B813A6" w:rsidRDefault="00B813A6" w:rsidP="00B813A6">
      <w:pPr>
        <w:spacing w:line="360" w:lineRule="auto"/>
        <w:rPr>
          <w:lang w:val="en-US"/>
        </w:rPr>
      </w:pPr>
      <w:r>
        <w:rPr>
          <w:lang w:val="en-US"/>
        </w:rPr>
        <w:t xml:space="preserve">Chronic Airflow Obstruction (CAO) is the primary characteristic of patients with Chronic Obstructive Pulmonary Disease (COPD) and affects up to one in five adults depending on where they live, according to data from the Burden of Obstructive Lung Disease (BOLD) Study </w:t>
      </w:r>
      <w:r>
        <w:fldChar w:fldCharType="begin"/>
      </w:r>
      <w:r w:rsidRPr="003A3978">
        <w:rPr>
          <w:lang w:val="en-US"/>
        </w:rPr>
        <w:instrText>ADDIN BEC{Buist et al., 2007, #80470}</w:instrText>
      </w:r>
      <w:r>
        <w:fldChar w:fldCharType="separate"/>
      </w:r>
      <w:r w:rsidRPr="003A3978">
        <w:rPr>
          <w:lang w:val="en-US"/>
        </w:rPr>
        <w:t>(1)</w:t>
      </w:r>
      <w:r>
        <w:fldChar w:fldCharType="end"/>
      </w:r>
      <w:r>
        <w:rPr>
          <w:lang w:val="en-US"/>
        </w:rPr>
        <w:t xml:space="preserve">. COPD is expected to keep its position as the third most important cause of death worldwide </w:t>
      </w:r>
      <w:r>
        <w:fldChar w:fldCharType="begin"/>
      </w:r>
      <w:r w:rsidRPr="003A3978">
        <w:rPr>
          <w:lang w:val="en-US"/>
        </w:rPr>
        <w:instrText>ADDIN BEC{The World Health Organization (WHO), 2013, #29456}</w:instrText>
      </w:r>
      <w:r>
        <w:fldChar w:fldCharType="separate"/>
      </w:r>
      <w:r w:rsidRPr="003A3978">
        <w:rPr>
          <w:lang w:val="en-US"/>
        </w:rPr>
        <w:t>(2)</w:t>
      </w:r>
      <w:r>
        <w:fldChar w:fldCharType="end"/>
      </w:r>
      <w:r>
        <w:rPr>
          <w:lang w:val="en-US"/>
        </w:rPr>
        <w:t xml:space="preserve">, and imposes a substantial burden on quality of life </w:t>
      </w:r>
      <w:r>
        <w:fldChar w:fldCharType="begin"/>
      </w:r>
      <w:r w:rsidRPr="003A3978">
        <w:rPr>
          <w:lang w:val="en-US"/>
        </w:rPr>
        <w:instrText>ADDIN BEC{</w:instrText>
      </w:r>
      <w:r w:rsidRPr="00F4098C">
        <w:rPr>
          <w:lang w:val="en-US"/>
        </w:rPr>
        <w:instrText>Janson et al., 2013, #61705}</w:instrText>
      </w:r>
      <w:r>
        <w:fldChar w:fldCharType="separate"/>
      </w:r>
      <w:r w:rsidRPr="003A3978">
        <w:rPr>
          <w:lang w:val="en-US"/>
        </w:rPr>
        <w:t>(3)</w:t>
      </w:r>
      <w:r>
        <w:fldChar w:fldCharType="end"/>
      </w:r>
      <w:r>
        <w:rPr>
          <w:lang w:val="en-US"/>
        </w:rPr>
        <w:t xml:space="preserve"> and healthcare </w:t>
      </w:r>
      <w:proofErr w:type="spellStart"/>
      <w:r>
        <w:rPr>
          <w:lang w:val="en-US"/>
        </w:rPr>
        <w:t>utilisation</w:t>
      </w:r>
      <w:proofErr w:type="spellEnd"/>
      <w:r>
        <w:rPr>
          <w:lang w:val="en-US"/>
        </w:rPr>
        <w:t xml:space="preserve"> </w:t>
      </w:r>
      <w:r>
        <w:fldChar w:fldCharType="begin"/>
      </w:r>
      <w:r w:rsidRPr="003A3978">
        <w:rPr>
          <w:lang w:val="en-US"/>
        </w:rPr>
        <w:instrText>ADDIN BEC{Grønseth and Jansson, 2014, #56735}</w:instrText>
      </w:r>
      <w:r>
        <w:fldChar w:fldCharType="separate"/>
      </w:r>
      <w:r w:rsidRPr="003A3978">
        <w:rPr>
          <w:lang w:val="en-US"/>
        </w:rPr>
        <w:t>(4)</w:t>
      </w:r>
      <w:r>
        <w:fldChar w:fldCharType="end"/>
      </w:r>
      <w:r w:rsidRPr="00B40E31">
        <w:rPr>
          <w:lang w:val="en-US"/>
        </w:rPr>
        <w:t xml:space="preserve">. So far, data on productivity-related burden of </w:t>
      </w:r>
      <w:r>
        <w:rPr>
          <w:lang w:val="en-US"/>
        </w:rPr>
        <w:t xml:space="preserve">CAO or </w:t>
      </w:r>
      <w:r w:rsidRPr="00B40E31">
        <w:rPr>
          <w:lang w:val="en-US"/>
        </w:rPr>
        <w:t xml:space="preserve">COPD have been scant </w:t>
      </w:r>
      <w:r>
        <w:fldChar w:fldCharType="begin"/>
      </w:r>
      <w:r w:rsidRPr="003A3978">
        <w:rPr>
          <w:lang w:val="en-US"/>
        </w:rPr>
        <w:instrText>ADDIN BEC{Grønseth and Jansson, 2014, #56735}</w:instrText>
      </w:r>
      <w:r>
        <w:fldChar w:fldCharType="separate"/>
      </w:r>
      <w:r w:rsidRPr="003A3978">
        <w:rPr>
          <w:lang w:val="en-US"/>
        </w:rPr>
        <w:t>(4)</w:t>
      </w:r>
      <w:r>
        <w:fldChar w:fldCharType="end"/>
      </w:r>
      <w:r w:rsidRPr="009D5C65">
        <w:rPr>
          <w:lang w:val="en-US"/>
        </w:rPr>
        <w:t>.</w:t>
      </w:r>
    </w:p>
    <w:p w14:paraId="40AD023F" w14:textId="77777777" w:rsidR="00B813A6" w:rsidRPr="00B40E31" w:rsidRDefault="00B813A6" w:rsidP="00B813A6">
      <w:pPr>
        <w:spacing w:line="360" w:lineRule="auto"/>
        <w:rPr>
          <w:lang w:val="en-US"/>
        </w:rPr>
      </w:pPr>
    </w:p>
    <w:p w14:paraId="483C06C0" w14:textId="77777777" w:rsidR="00B813A6" w:rsidRDefault="00B813A6" w:rsidP="00B813A6">
      <w:pPr>
        <w:spacing w:line="360" w:lineRule="auto"/>
        <w:rPr>
          <w:lang w:val="en-US"/>
        </w:rPr>
      </w:pPr>
      <w:r>
        <w:rPr>
          <w:lang w:val="en-US"/>
        </w:rPr>
        <w:t xml:space="preserve">Only three population-based studies have provided employment rates in CAO </w:t>
      </w:r>
      <w:r>
        <w:fldChar w:fldCharType="begin"/>
      </w:r>
      <w:r w:rsidRPr="003A3978">
        <w:rPr>
          <w:lang w:val="en-US"/>
        </w:rPr>
        <w:instrText>ADDIN BEC{Erdal et al., 2014, #55747, #28389; Jansson et al., 2013, #46625; Montes de Oca et al., 2011, #47550}</w:instrText>
      </w:r>
      <w:r>
        <w:fldChar w:fldCharType="separate"/>
      </w:r>
      <w:r w:rsidRPr="003A3978">
        <w:rPr>
          <w:lang w:val="en-US"/>
        </w:rPr>
        <w:t>(5–7)</w:t>
      </w:r>
      <w:r>
        <w:fldChar w:fldCharType="end"/>
      </w:r>
      <w:r>
        <w:rPr>
          <w:lang w:val="en-US"/>
        </w:rPr>
        <w:t xml:space="preserve">. Erdal et al. showed that 55% of individuals with CAO from a general Norwegian population were in a paid job, versus 87% of controls without CAO. However, controls were younger and had higher education, and the authors did not examine employment in multivariate analyses </w:t>
      </w:r>
      <w:r>
        <w:fldChar w:fldCharType="begin"/>
      </w:r>
      <w:r w:rsidRPr="003A3978">
        <w:rPr>
          <w:lang w:val="en-US"/>
        </w:rPr>
        <w:instrText>ADDIN BEC{Erdal et al., 2014, #55747}</w:instrText>
      </w:r>
      <w:r>
        <w:fldChar w:fldCharType="separate"/>
      </w:r>
      <w:r w:rsidRPr="003A3978">
        <w:rPr>
          <w:lang w:val="en-US"/>
        </w:rPr>
        <w:t>(5)</w:t>
      </w:r>
      <w:r>
        <w:fldChar w:fldCharType="end"/>
      </w:r>
      <w:r>
        <w:rPr>
          <w:lang w:val="en-US"/>
        </w:rPr>
        <w:t xml:space="preserve"> </w:t>
      </w:r>
      <w:proofErr w:type="spellStart"/>
      <w:r>
        <w:rPr>
          <w:lang w:val="en-US"/>
        </w:rPr>
        <w:t>Jansson</w:t>
      </w:r>
      <w:proofErr w:type="spellEnd"/>
      <w:r>
        <w:rPr>
          <w:lang w:val="en-US"/>
        </w:rPr>
        <w:t xml:space="preserve"> et al. examined CAO specific disability in northern Sweden, but did not include a control group and did not report employment rates </w:t>
      </w:r>
      <w:r>
        <w:fldChar w:fldCharType="begin"/>
      </w:r>
      <w:r w:rsidRPr="003A3978">
        <w:rPr>
          <w:lang w:val="en-US"/>
        </w:rPr>
        <w:instrText>ADDIN BEC{Jansson et al., 2013, #46625}</w:instrText>
      </w:r>
      <w:r>
        <w:fldChar w:fldCharType="separate"/>
      </w:r>
      <w:r w:rsidRPr="003A3978">
        <w:rPr>
          <w:lang w:val="en-US"/>
        </w:rPr>
        <w:t>(6)</w:t>
      </w:r>
      <w:r>
        <w:fldChar w:fldCharType="end"/>
      </w:r>
      <w:r>
        <w:rPr>
          <w:lang w:val="en-US"/>
        </w:rPr>
        <w:t xml:space="preserve">. In the PLATINO study carried out in five Latin-American countries, Montes de </w:t>
      </w:r>
      <w:proofErr w:type="spellStart"/>
      <w:r>
        <w:rPr>
          <w:lang w:val="en-US"/>
        </w:rPr>
        <w:t>Oca</w:t>
      </w:r>
      <w:proofErr w:type="spellEnd"/>
      <w:r>
        <w:rPr>
          <w:lang w:val="en-US"/>
        </w:rPr>
        <w:t xml:space="preserve"> et al. showed that the workforce participation amongst subjects with CAO was lower than in healthy subjects (41.8% vs 57.1%). However, in multivariable analyses they found that higher age, dyspnea, number of comorbid conditions, female gender and lower education were associated with unemployment, whereas CAO was only of borderline significance </w:t>
      </w:r>
      <w:r>
        <w:fldChar w:fldCharType="begin"/>
      </w:r>
      <w:r w:rsidRPr="003A3978">
        <w:rPr>
          <w:lang w:val="en-US"/>
        </w:rPr>
        <w:instrText>ADDIN BEC{Montes de Oca et al., 2011, #47550}</w:instrText>
      </w:r>
      <w:r>
        <w:fldChar w:fldCharType="separate"/>
      </w:r>
      <w:r w:rsidRPr="003A3978">
        <w:rPr>
          <w:lang w:val="en-US"/>
        </w:rPr>
        <w:t>(7)</w:t>
      </w:r>
      <w:r>
        <w:fldChar w:fldCharType="end"/>
      </w:r>
      <w:r>
        <w:rPr>
          <w:lang w:val="en-US"/>
        </w:rPr>
        <w:t>.</w:t>
      </w:r>
    </w:p>
    <w:p w14:paraId="41DBC1C0" w14:textId="77777777" w:rsidR="00B813A6" w:rsidRDefault="00B813A6" w:rsidP="00B813A6">
      <w:pPr>
        <w:spacing w:line="360" w:lineRule="auto"/>
        <w:rPr>
          <w:lang w:val="en-US"/>
        </w:rPr>
      </w:pPr>
    </w:p>
    <w:p w14:paraId="26A4BFF6" w14:textId="77777777" w:rsidR="00B813A6" w:rsidRDefault="00B813A6" w:rsidP="00B813A6">
      <w:pPr>
        <w:spacing w:line="360" w:lineRule="auto"/>
        <w:rPr>
          <w:lang w:val="en-US"/>
        </w:rPr>
      </w:pPr>
      <w:r>
        <w:rPr>
          <w:lang w:val="en-US"/>
        </w:rPr>
        <w:t xml:space="preserve">The Burden of Obstructive Lung Disease study is a large international study providing population-based estimates of prevalence and burden of CAO. One of the primary objectives of the BOLD study is to estimate disease burden in terms of activity limitation and economic impact </w:t>
      </w:r>
      <w:r>
        <w:fldChar w:fldCharType="begin"/>
      </w:r>
      <w:r w:rsidRPr="003A3978">
        <w:rPr>
          <w:lang w:val="en-US"/>
        </w:rPr>
        <w:instrText>ADDIN BEC{Buist et al., 2005, #93939}</w:instrText>
      </w:r>
      <w:r>
        <w:fldChar w:fldCharType="separate"/>
      </w:r>
      <w:r w:rsidRPr="003A3978">
        <w:rPr>
          <w:lang w:val="en-US"/>
        </w:rPr>
        <w:t>(8)</w:t>
      </w:r>
      <w:r>
        <w:fldChar w:fldCharType="end"/>
      </w:r>
      <w:r>
        <w:rPr>
          <w:lang w:val="en-US"/>
        </w:rPr>
        <w:t>. In the current analysis, we have compared estimates of employment status in BOLD participants with and without CAO across the world.</w:t>
      </w:r>
    </w:p>
    <w:p w14:paraId="196518B6" w14:textId="77777777" w:rsidR="00B813A6" w:rsidRDefault="00B813A6" w:rsidP="00B813A6">
      <w:pPr>
        <w:pStyle w:val="Heading1"/>
        <w:spacing w:line="360" w:lineRule="auto"/>
        <w:rPr>
          <w:lang w:val="en-US"/>
        </w:rPr>
      </w:pPr>
      <w:r>
        <w:rPr>
          <w:lang w:val="en-US"/>
        </w:rPr>
        <w:t>Methods</w:t>
      </w:r>
    </w:p>
    <w:p w14:paraId="5671B783" w14:textId="77777777" w:rsidR="00B813A6" w:rsidRDefault="00B813A6" w:rsidP="00B813A6">
      <w:pPr>
        <w:spacing w:line="360" w:lineRule="auto"/>
        <w:rPr>
          <w:lang w:val="en-US"/>
        </w:rPr>
      </w:pPr>
      <w:r w:rsidRPr="00B40E31">
        <w:rPr>
          <w:lang w:val="en-US"/>
        </w:rPr>
        <w:t xml:space="preserve">The BOLD protocol has been published previously </w:t>
      </w:r>
      <w:r>
        <w:fldChar w:fldCharType="begin"/>
      </w:r>
      <w:r w:rsidRPr="003A3978">
        <w:rPr>
          <w:lang w:val="en-US"/>
        </w:rPr>
        <w:instrText>ADDIN BEC{Buist et al., 2005, #93939}</w:instrText>
      </w:r>
      <w:r>
        <w:fldChar w:fldCharType="separate"/>
      </w:r>
      <w:r w:rsidRPr="003A3978">
        <w:rPr>
          <w:lang w:val="en-US"/>
        </w:rPr>
        <w:t>(8)</w:t>
      </w:r>
      <w:r>
        <w:fldChar w:fldCharType="end"/>
      </w:r>
      <w:r w:rsidRPr="00B40E31">
        <w:rPr>
          <w:lang w:val="en-US"/>
        </w:rPr>
        <w:t>.</w:t>
      </w:r>
      <w:r>
        <w:rPr>
          <w:lang w:val="en-US"/>
        </w:rPr>
        <w:t xml:space="preserve"> It was written in compliance with the Helsinki declaration and is approved by local ethics committees at all sites. All participants provided written consent. </w:t>
      </w:r>
    </w:p>
    <w:p w14:paraId="6399FBAC" w14:textId="77777777" w:rsidR="00B813A6" w:rsidRDefault="00B813A6" w:rsidP="00B813A6">
      <w:pPr>
        <w:spacing w:line="360" w:lineRule="auto"/>
        <w:rPr>
          <w:lang w:val="en-US"/>
        </w:rPr>
      </w:pPr>
    </w:p>
    <w:p w14:paraId="2558E295" w14:textId="77777777" w:rsidR="00B813A6" w:rsidRPr="00FE646B" w:rsidRDefault="00B813A6" w:rsidP="00B813A6">
      <w:pPr>
        <w:pStyle w:val="Heading2"/>
        <w:spacing w:line="360" w:lineRule="auto"/>
        <w:rPr>
          <w:rFonts w:ascii="Arial Narrow" w:hAnsi="Arial Narrow"/>
          <w:color w:val="auto"/>
          <w:sz w:val="28"/>
          <w:szCs w:val="28"/>
          <w:lang w:val="en-US"/>
        </w:rPr>
      </w:pPr>
      <w:r w:rsidRPr="00FE646B">
        <w:rPr>
          <w:rFonts w:ascii="Arial Narrow" w:hAnsi="Arial Narrow"/>
          <w:color w:val="auto"/>
          <w:sz w:val="28"/>
          <w:szCs w:val="28"/>
          <w:lang w:val="en-US"/>
        </w:rPr>
        <w:lastRenderedPageBreak/>
        <w:t>Population</w:t>
      </w:r>
    </w:p>
    <w:p w14:paraId="5DF93396" w14:textId="77777777" w:rsidR="00B813A6" w:rsidRPr="00B40E31" w:rsidRDefault="00B813A6" w:rsidP="00B813A6">
      <w:pPr>
        <w:spacing w:line="360" w:lineRule="auto"/>
        <w:rPr>
          <w:lang w:val="en-US"/>
        </w:rPr>
      </w:pPr>
      <w:r w:rsidRPr="00B40E31">
        <w:rPr>
          <w:lang w:val="en-US"/>
        </w:rPr>
        <w:t xml:space="preserve">All participating sites </w:t>
      </w:r>
      <w:r>
        <w:rPr>
          <w:lang w:val="en-US"/>
        </w:rPr>
        <w:t xml:space="preserve">were </w:t>
      </w:r>
      <w:r w:rsidRPr="00B40E31">
        <w:rPr>
          <w:lang w:val="en-US"/>
        </w:rPr>
        <w:t xml:space="preserve">recruited from well-defined administrative areas with the goal of providing </w:t>
      </w:r>
      <w:r>
        <w:rPr>
          <w:lang w:val="en-US"/>
        </w:rPr>
        <w:t>representative</w:t>
      </w:r>
      <w:r w:rsidRPr="00B40E31">
        <w:rPr>
          <w:lang w:val="en-US"/>
        </w:rPr>
        <w:t xml:space="preserve"> samples of</w:t>
      </w:r>
      <w:r>
        <w:rPr>
          <w:lang w:val="en-US"/>
        </w:rPr>
        <w:t xml:space="preserve"> the local population of </w:t>
      </w:r>
      <w:r w:rsidRPr="00B40E31">
        <w:rPr>
          <w:lang w:val="en-US"/>
        </w:rPr>
        <w:t>at least 600 non-institutionalized persons 40 years or older. The current report includes participants from 26 sites</w:t>
      </w:r>
      <w:r>
        <w:rPr>
          <w:lang w:val="en-US"/>
        </w:rPr>
        <w:t xml:space="preserve"> (see online supplement).</w:t>
      </w:r>
      <w:r w:rsidRPr="00B40E31">
        <w:rPr>
          <w:lang w:val="en-US"/>
        </w:rPr>
        <w:t xml:space="preserve"> Of 22,118 </w:t>
      </w:r>
      <w:r>
        <w:rPr>
          <w:lang w:val="en-US"/>
        </w:rPr>
        <w:t>participants</w:t>
      </w:r>
      <w:r w:rsidRPr="00B40E31">
        <w:rPr>
          <w:lang w:val="en-US"/>
        </w:rPr>
        <w:t xml:space="preserve"> providing interview data, 18,710 performed </w:t>
      </w:r>
      <w:r>
        <w:rPr>
          <w:lang w:val="en-US"/>
        </w:rPr>
        <w:t xml:space="preserve">acceptable </w:t>
      </w:r>
      <w:r w:rsidRPr="00B40E31">
        <w:rPr>
          <w:lang w:val="en-US"/>
        </w:rPr>
        <w:t xml:space="preserve">post-bronchodilator </w:t>
      </w:r>
      <w:proofErr w:type="spellStart"/>
      <w:r w:rsidRPr="00B40E31">
        <w:rPr>
          <w:lang w:val="en-US"/>
        </w:rPr>
        <w:t>spirometry</w:t>
      </w:r>
      <w:proofErr w:type="spellEnd"/>
      <w:r>
        <w:rPr>
          <w:lang w:val="en-US"/>
        </w:rPr>
        <w:t xml:space="preserve"> and were included in the descriptive part of the current analysis</w:t>
      </w:r>
      <w:r w:rsidRPr="00B40E31">
        <w:rPr>
          <w:lang w:val="en-US"/>
        </w:rPr>
        <w:t>.</w:t>
      </w:r>
      <w:r>
        <w:rPr>
          <w:lang w:val="en-US"/>
        </w:rPr>
        <w:t xml:space="preserve"> When analyzing risk for unemployment as outcome, however, all subjects aged 65 or older (defined here as retirees) and homemakers/caregivers were excluded.</w:t>
      </w:r>
      <w:r w:rsidRPr="00B40E31">
        <w:rPr>
          <w:lang w:val="en-US"/>
        </w:rPr>
        <w:t xml:space="preserve"> </w:t>
      </w:r>
      <w:r>
        <w:rPr>
          <w:lang w:val="en-US"/>
        </w:rPr>
        <w:t xml:space="preserve">After excluding these subjects, there were no CAO cases left in Tirana (Albania), so this </w:t>
      </w:r>
      <w:proofErr w:type="spellStart"/>
      <w:r>
        <w:rPr>
          <w:lang w:val="en-US"/>
        </w:rPr>
        <w:t>centre</w:t>
      </w:r>
      <w:proofErr w:type="spellEnd"/>
      <w:r>
        <w:rPr>
          <w:lang w:val="en-US"/>
        </w:rPr>
        <w:t xml:space="preserve"> is not part of the analyses assessing the effect of CAO on unemployment. </w:t>
      </w:r>
      <w:r w:rsidRPr="00B40E31">
        <w:rPr>
          <w:lang w:val="en-US"/>
        </w:rPr>
        <w:t>The online repository lists sampling strategy and response rates for all sites (E-table 1).</w:t>
      </w:r>
    </w:p>
    <w:p w14:paraId="3C3CE9F1" w14:textId="77777777" w:rsidR="00B813A6" w:rsidRPr="00B40E31" w:rsidRDefault="00B813A6" w:rsidP="00B813A6">
      <w:pPr>
        <w:spacing w:line="360" w:lineRule="auto"/>
        <w:rPr>
          <w:lang w:val="en-US"/>
        </w:rPr>
      </w:pPr>
    </w:p>
    <w:p w14:paraId="07E7A456" w14:textId="77777777" w:rsidR="00B813A6" w:rsidRPr="00B40E31" w:rsidRDefault="00B813A6" w:rsidP="00B813A6">
      <w:pPr>
        <w:pStyle w:val="Heading2"/>
        <w:spacing w:line="360" w:lineRule="auto"/>
        <w:rPr>
          <w:rFonts w:ascii="Arial Narrow" w:hAnsi="Arial Narrow"/>
          <w:color w:val="auto"/>
          <w:sz w:val="28"/>
          <w:szCs w:val="28"/>
          <w:lang w:val="en-US"/>
        </w:rPr>
      </w:pPr>
      <w:r w:rsidRPr="00B40E31">
        <w:rPr>
          <w:rFonts w:ascii="Arial Narrow" w:hAnsi="Arial Narrow"/>
          <w:color w:val="auto"/>
          <w:sz w:val="28"/>
          <w:szCs w:val="28"/>
          <w:lang w:val="en-US"/>
        </w:rPr>
        <w:t>Data collection</w:t>
      </w:r>
    </w:p>
    <w:p w14:paraId="5C982C4A" w14:textId="77777777" w:rsidR="00B813A6" w:rsidRPr="00B40E31" w:rsidRDefault="00B813A6" w:rsidP="00B813A6">
      <w:pPr>
        <w:spacing w:line="360" w:lineRule="auto"/>
        <w:rPr>
          <w:lang w:val="en-US"/>
        </w:rPr>
      </w:pPr>
      <w:r w:rsidRPr="00B40E31">
        <w:rPr>
          <w:lang w:val="en-US"/>
        </w:rPr>
        <w:t xml:space="preserve">The BOLD study is a cross-sectional study based on a structured, face-to-face interview using standardized questionnaires and pre/post bronchodilator </w:t>
      </w:r>
      <w:proofErr w:type="spellStart"/>
      <w:r w:rsidRPr="00B40E31">
        <w:rPr>
          <w:lang w:val="en-US"/>
        </w:rPr>
        <w:t>spirometry</w:t>
      </w:r>
      <w:proofErr w:type="spellEnd"/>
      <w:r w:rsidRPr="00B40E31">
        <w:rPr>
          <w:lang w:val="en-US"/>
        </w:rPr>
        <w:t xml:space="preserve">. All study coworkers were trained and certified </w:t>
      </w:r>
      <w:r>
        <w:rPr>
          <w:lang w:val="en-US"/>
        </w:rPr>
        <w:t>by</w:t>
      </w:r>
      <w:r w:rsidRPr="00B40E31">
        <w:rPr>
          <w:lang w:val="en-US"/>
        </w:rPr>
        <w:t xml:space="preserve"> BOLD coordinating centers</w:t>
      </w:r>
      <w:r>
        <w:rPr>
          <w:lang w:val="en-US"/>
        </w:rPr>
        <w:t>.</w:t>
      </w:r>
    </w:p>
    <w:p w14:paraId="54E803CC" w14:textId="77777777" w:rsidR="00B813A6" w:rsidRPr="00B40E31" w:rsidRDefault="00B813A6" w:rsidP="00B813A6">
      <w:pPr>
        <w:spacing w:line="360" w:lineRule="auto"/>
        <w:rPr>
          <w:lang w:val="en-US"/>
        </w:rPr>
      </w:pPr>
    </w:p>
    <w:p w14:paraId="63E69F0B" w14:textId="77777777" w:rsidR="00B813A6" w:rsidRPr="00B40E31" w:rsidRDefault="00B813A6" w:rsidP="00B813A6">
      <w:pPr>
        <w:spacing w:line="360" w:lineRule="auto"/>
        <w:rPr>
          <w:lang w:val="en-US"/>
        </w:rPr>
      </w:pPr>
      <w:r w:rsidRPr="00B40E31">
        <w:rPr>
          <w:lang w:val="en-US"/>
        </w:rPr>
        <w:t xml:space="preserve">The interviews gathered information on smoking habits, education, job status, self-reported comorbidities (hypertension, heart disease, diabetes, stroke, lung cancer), and respiratory symptoms (dyspnea, wheezing, chronic bronchitis). </w:t>
      </w:r>
    </w:p>
    <w:p w14:paraId="21706574" w14:textId="77777777" w:rsidR="00B813A6" w:rsidRPr="00B40E31" w:rsidRDefault="00B813A6" w:rsidP="00B813A6">
      <w:pPr>
        <w:spacing w:line="360" w:lineRule="auto"/>
        <w:rPr>
          <w:lang w:val="en-US"/>
        </w:rPr>
      </w:pPr>
    </w:p>
    <w:p w14:paraId="6FF0E1AA" w14:textId="77777777" w:rsidR="00B813A6" w:rsidRPr="00B40E31" w:rsidRDefault="00B813A6" w:rsidP="00B813A6">
      <w:pPr>
        <w:spacing w:line="360" w:lineRule="auto"/>
        <w:rPr>
          <w:lang w:val="en-US"/>
        </w:rPr>
      </w:pPr>
      <w:r w:rsidRPr="00B40E31">
        <w:rPr>
          <w:lang w:val="en-US"/>
        </w:rPr>
        <w:t>Participants indicated whether they worked for income at any time in the preceding year or if they</w:t>
      </w:r>
      <w:r>
        <w:rPr>
          <w:lang w:val="en-US"/>
        </w:rPr>
        <w:t xml:space="preserve"> served as full-time homemakers/</w:t>
      </w:r>
      <w:r w:rsidRPr="00B40E31">
        <w:rPr>
          <w:lang w:val="en-US"/>
        </w:rPr>
        <w:t xml:space="preserve">caregivers during that timeframe. </w:t>
      </w:r>
      <w:r>
        <w:rPr>
          <w:lang w:val="en-US"/>
        </w:rPr>
        <w:t>S</w:t>
      </w:r>
      <w:r w:rsidRPr="00694DB2">
        <w:rPr>
          <w:lang w:val="en-US"/>
        </w:rPr>
        <w:t>ince retirement was not formally captured under occupation, we excluded anyone aged 65 or older from analyses in</w:t>
      </w:r>
      <w:r>
        <w:rPr>
          <w:lang w:val="en-US"/>
        </w:rPr>
        <w:t>v</w:t>
      </w:r>
      <w:r w:rsidRPr="00694DB2">
        <w:rPr>
          <w:lang w:val="en-US"/>
        </w:rPr>
        <w:t xml:space="preserve">olving employment status. </w:t>
      </w:r>
      <w:r w:rsidRPr="00B40E31">
        <w:rPr>
          <w:lang w:val="en-US"/>
        </w:rPr>
        <w:t>All</w:t>
      </w:r>
      <w:r>
        <w:rPr>
          <w:lang w:val="en-US"/>
        </w:rPr>
        <w:t xml:space="preserve"> </w:t>
      </w:r>
      <w:r w:rsidRPr="00B40E31">
        <w:rPr>
          <w:lang w:val="en-US"/>
        </w:rPr>
        <w:t>other individuals not being categorized as working, homemakers/caregiver</w:t>
      </w:r>
      <w:r>
        <w:rPr>
          <w:lang w:val="en-US"/>
        </w:rPr>
        <w:t>s or retir</w:t>
      </w:r>
      <w:r w:rsidRPr="00B40E31">
        <w:rPr>
          <w:lang w:val="en-US"/>
        </w:rPr>
        <w:t>ees were defined as unemployed. The main outcome for the current study was a dichotomous employment status where retirees</w:t>
      </w:r>
      <w:r>
        <w:rPr>
          <w:lang w:val="en-US"/>
        </w:rPr>
        <w:t xml:space="preserve"> (65 years or older)</w:t>
      </w:r>
      <w:r w:rsidRPr="00B40E31">
        <w:rPr>
          <w:lang w:val="en-US"/>
        </w:rPr>
        <w:t xml:space="preserve"> and homemakers/caregivers were excluded.</w:t>
      </w:r>
    </w:p>
    <w:p w14:paraId="070E1E63" w14:textId="77777777" w:rsidR="00B813A6" w:rsidRPr="00B40E31" w:rsidRDefault="00B813A6" w:rsidP="00B813A6">
      <w:pPr>
        <w:spacing w:line="360" w:lineRule="auto"/>
        <w:rPr>
          <w:lang w:val="en-US"/>
        </w:rPr>
      </w:pPr>
    </w:p>
    <w:p w14:paraId="43B07788" w14:textId="77777777" w:rsidR="00B813A6" w:rsidRPr="00B40E31" w:rsidRDefault="00B813A6" w:rsidP="00B813A6">
      <w:pPr>
        <w:spacing w:line="360" w:lineRule="auto"/>
        <w:rPr>
          <w:lang w:val="en-US"/>
        </w:rPr>
      </w:pPr>
      <w:r w:rsidRPr="00B40E31">
        <w:rPr>
          <w:lang w:val="en-US"/>
        </w:rPr>
        <w:t xml:space="preserve">Never-smokers were individuals who had smoked </w:t>
      </w:r>
      <w:r>
        <w:rPr>
          <w:lang w:val="en-US"/>
        </w:rPr>
        <w:t>&lt;</w:t>
      </w:r>
      <w:r w:rsidRPr="00B40E31">
        <w:rPr>
          <w:lang w:val="en-US"/>
        </w:rPr>
        <w:t xml:space="preserve">20 packs of cigarettes during their lifetime, or </w:t>
      </w:r>
      <w:r>
        <w:rPr>
          <w:lang w:val="en-US"/>
        </w:rPr>
        <w:t>&lt;1</w:t>
      </w:r>
      <w:r w:rsidRPr="00B40E31">
        <w:rPr>
          <w:lang w:val="en-US"/>
        </w:rPr>
        <w:t xml:space="preserve"> cigarette daily for a year. Ex-smokers were those who reported an age at which they had stopped smoking. Education was categorized according to highest level of completed schooling and divided into </w:t>
      </w:r>
      <w:r>
        <w:rPr>
          <w:lang w:val="en-US"/>
        </w:rPr>
        <w:t xml:space="preserve">no schooling, </w:t>
      </w:r>
      <w:r w:rsidRPr="00B40E31">
        <w:rPr>
          <w:lang w:val="en-US"/>
        </w:rPr>
        <w:t xml:space="preserve">primary school, middle school, high school, </w:t>
      </w:r>
      <w:r>
        <w:rPr>
          <w:lang w:val="en-US"/>
        </w:rPr>
        <w:t xml:space="preserve">some </w:t>
      </w:r>
      <w:r w:rsidRPr="00B40E31">
        <w:rPr>
          <w:lang w:val="en-US"/>
        </w:rPr>
        <w:t xml:space="preserve">college, and </w:t>
      </w:r>
      <w:r>
        <w:rPr>
          <w:lang w:val="en-US"/>
        </w:rPr>
        <w:t>completed college/</w:t>
      </w:r>
      <w:r w:rsidRPr="00B40E31">
        <w:rPr>
          <w:lang w:val="en-US"/>
        </w:rPr>
        <w:t xml:space="preserve">university. </w:t>
      </w:r>
    </w:p>
    <w:p w14:paraId="63E685C1" w14:textId="77777777" w:rsidR="00B813A6" w:rsidRPr="00B40E31" w:rsidRDefault="00B813A6" w:rsidP="00B813A6">
      <w:pPr>
        <w:spacing w:line="360" w:lineRule="auto"/>
        <w:rPr>
          <w:lang w:val="en-US"/>
        </w:rPr>
      </w:pPr>
    </w:p>
    <w:p w14:paraId="1DA625CA" w14:textId="77777777" w:rsidR="00B813A6" w:rsidRDefault="00B813A6" w:rsidP="00B813A6">
      <w:pPr>
        <w:spacing w:line="360" w:lineRule="auto"/>
        <w:rPr>
          <w:lang w:val="en-US"/>
        </w:rPr>
      </w:pPr>
      <w:r w:rsidRPr="00B40E31">
        <w:rPr>
          <w:lang w:val="en-US"/>
        </w:rPr>
        <w:t>Dyspnea was defined using the modified Medical Research Council questions</w:t>
      </w:r>
      <w:r>
        <w:rPr>
          <w:lang w:val="en-US"/>
        </w:rPr>
        <w:t xml:space="preserve"> (</w:t>
      </w:r>
      <w:r w:rsidRPr="00B40E31">
        <w:rPr>
          <w:lang w:val="en-US"/>
        </w:rPr>
        <w:t>grade</w:t>
      </w:r>
      <w:r>
        <w:rPr>
          <w:lang w:val="en-US"/>
        </w:rPr>
        <w:t>s 0-</w:t>
      </w:r>
      <w:r w:rsidRPr="00B40E31">
        <w:rPr>
          <w:lang w:val="en-US"/>
        </w:rPr>
        <w:t>4</w:t>
      </w:r>
      <w:r>
        <w:rPr>
          <w:lang w:val="en-US"/>
        </w:rPr>
        <w:t>, see online supplement for details</w:t>
      </w:r>
      <w:r w:rsidRPr="00B40E31">
        <w:rPr>
          <w:lang w:val="en-US"/>
        </w:rPr>
        <w:t xml:space="preserve">) </w:t>
      </w:r>
      <w:r>
        <w:fldChar w:fldCharType="begin"/>
      </w:r>
      <w:r w:rsidRPr="003A3978">
        <w:rPr>
          <w:lang w:val="en-US"/>
        </w:rPr>
        <w:instrText>ADDIN BEC{Brooks, 1982, #62318}</w:instrText>
      </w:r>
      <w:r>
        <w:fldChar w:fldCharType="separate"/>
      </w:r>
      <w:r w:rsidRPr="003A3978">
        <w:rPr>
          <w:lang w:val="en-US"/>
        </w:rPr>
        <w:t>(9)</w:t>
      </w:r>
      <w:r>
        <w:fldChar w:fldCharType="end"/>
      </w:r>
      <w:r w:rsidRPr="00B40E31">
        <w:rPr>
          <w:lang w:val="en-US"/>
        </w:rPr>
        <w:t xml:space="preserve">. </w:t>
      </w:r>
      <w:r>
        <w:rPr>
          <w:lang w:val="en-US"/>
        </w:rPr>
        <w:t xml:space="preserve">Subjects reporting being unable to walk for reasons other than breathing problems were excluded from the dyspnea variable. </w:t>
      </w:r>
      <w:r w:rsidRPr="00B40E31">
        <w:rPr>
          <w:lang w:val="en-US"/>
        </w:rPr>
        <w:t xml:space="preserve">Wheezing was defined as attacks of wheezing associated with dyspnea </w:t>
      </w:r>
      <w:r>
        <w:rPr>
          <w:lang w:val="en-US"/>
        </w:rPr>
        <w:t xml:space="preserve">in </w:t>
      </w:r>
      <w:r w:rsidRPr="00B40E31">
        <w:rPr>
          <w:lang w:val="en-US"/>
        </w:rPr>
        <w:t xml:space="preserve">the last 12 months. Chronic bronchitis was defined as productive cough on </w:t>
      </w:r>
      <w:r w:rsidRPr="00615D75">
        <w:rPr>
          <w:lang w:val="en-US"/>
        </w:rPr>
        <w:t>mo</w:t>
      </w:r>
      <w:r>
        <w:rPr>
          <w:lang w:val="en-US"/>
        </w:rPr>
        <w:t>s</w:t>
      </w:r>
      <w:r w:rsidRPr="00615D75">
        <w:rPr>
          <w:lang w:val="en-US"/>
        </w:rPr>
        <w:t xml:space="preserve">t days </w:t>
      </w:r>
      <w:r>
        <w:rPr>
          <w:lang w:val="en-US"/>
        </w:rPr>
        <w:t>in</w:t>
      </w:r>
      <w:r w:rsidRPr="00615D75">
        <w:rPr>
          <w:lang w:val="en-US"/>
        </w:rPr>
        <w:t xml:space="preserve"> three mont</w:t>
      </w:r>
      <w:r>
        <w:rPr>
          <w:lang w:val="en-US"/>
        </w:rPr>
        <w:t>hs a year for at least two consecutive years.</w:t>
      </w:r>
    </w:p>
    <w:p w14:paraId="0A0486B6" w14:textId="77777777" w:rsidR="00B813A6" w:rsidRPr="00B40E31" w:rsidRDefault="00B813A6" w:rsidP="00B813A6">
      <w:pPr>
        <w:spacing w:line="360" w:lineRule="auto"/>
        <w:rPr>
          <w:lang w:val="en-US"/>
        </w:rPr>
      </w:pPr>
    </w:p>
    <w:p w14:paraId="6AB09CCD" w14:textId="77777777" w:rsidR="00B813A6" w:rsidRPr="00B40E31" w:rsidRDefault="00B813A6" w:rsidP="00B813A6">
      <w:pPr>
        <w:spacing w:line="360" w:lineRule="auto"/>
        <w:rPr>
          <w:lang w:val="en-US"/>
        </w:rPr>
      </w:pPr>
      <w:r w:rsidRPr="00B40E31">
        <w:rPr>
          <w:lang w:val="en-US"/>
        </w:rPr>
        <w:t>Post-bronchodilat</w:t>
      </w:r>
      <w:r>
        <w:rPr>
          <w:lang w:val="en-US"/>
        </w:rPr>
        <w:t>or</w:t>
      </w:r>
      <w:r w:rsidRPr="00B40E31">
        <w:rPr>
          <w:lang w:val="en-US"/>
        </w:rPr>
        <w:t xml:space="preserve"> </w:t>
      </w:r>
      <w:proofErr w:type="spellStart"/>
      <w:r w:rsidRPr="00B40E31">
        <w:rPr>
          <w:lang w:val="en-US"/>
        </w:rPr>
        <w:t>spirometry</w:t>
      </w:r>
      <w:proofErr w:type="spellEnd"/>
      <w:r w:rsidRPr="00B40E31">
        <w:rPr>
          <w:lang w:val="en-US"/>
        </w:rPr>
        <w:t xml:space="preserve"> was performed by a hand-held spirometer (</w:t>
      </w:r>
      <w:proofErr w:type="spellStart"/>
      <w:r>
        <w:rPr>
          <w:lang w:val="en-US"/>
        </w:rPr>
        <w:t>EasyOne</w:t>
      </w:r>
      <w:proofErr w:type="spellEnd"/>
      <w:r>
        <w:rPr>
          <w:lang w:val="en-US"/>
        </w:rPr>
        <w:t xml:space="preserve">, </w:t>
      </w:r>
      <w:proofErr w:type="spellStart"/>
      <w:r w:rsidRPr="005A6C8D">
        <w:rPr>
          <w:lang w:val="en-US"/>
        </w:rPr>
        <w:t>ndd</w:t>
      </w:r>
      <w:proofErr w:type="spellEnd"/>
      <w:r w:rsidRPr="005A6C8D">
        <w:rPr>
          <w:lang w:val="en-US"/>
        </w:rPr>
        <w:t xml:space="preserve"> </w:t>
      </w:r>
      <w:proofErr w:type="spellStart"/>
      <w:r w:rsidRPr="005A6C8D">
        <w:rPr>
          <w:lang w:val="en-US"/>
        </w:rPr>
        <w:t>Medizintechnik</w:t>
      </w:r>
      <w:proofErr w:type="spellEnd"/>
      <w:r w:rsidRPr="005A6C8D">
        <w:rPr>
          <w:lang w:val="en-US"/>
        </w:rPr>
        <w:t xml:space="preserve"> AG, Zürich, Switzerland)</w:t>
      </w:r>
      <w:r w:rsidRPr="00B40E31">
        <w:rPr>
          <w:lang w:val="en-US"/>
        </w:rPr>
        <w:t xml:space="preserve"> according to ATS standards </w:t>
      </w:r>
      <w:r>
        <w:fldChar w:fldCharType="begin"/>
      </w:r>
      <w:r w:rsidRPr="003A3978">
        <w:rPr>
          <w:lang w:val="en-US"/>
        </w:rPr>
        <w:instrText>ADDIN BEC{ATS, 1995, #17775}</w:instrText>
      </w:r>
      <w:r>
        <w:fldChar w:fldCharType="separate"/>
      </w:r>
      <w:r w:rsidRPr="003A3978">
        <w:rPr>
          <w:lang w:val="en-US"/>
        </w:rPr>
        <w:t>(10)</w:t>
      </w:r>
      <w:r>
        <w:fldChar w:fldCharType="end"/>
      </w:r>
      <w:r w:rsidRPr="00B40E31">
        <w:rPr>
          <w:lang w:val="en-US"/>
        </w:rPr>
        <w:t xml:space="preserve">, before and at least 15 minutes after inhalation of 200 mcg salbutamol through a large-volume spacer. For quality control, all individual maneuvers were reviewed by a pulmonary function reading </w:t>
      </w:r>
      <w:proofErr w:type="spellStart"/>
      <w:r w:rsidRPr="00B40E31">
        <w:rPr>
          <w:lang w:val="en-US"/>
        </w:rPr>
        <w:t>centre</w:t>
      </w:r>
      <w:proofErr w:type="spellEnd"/>
      <w:r w:rsidRPr="00B40E31">
        <w:rPr>
          <w:lang w:val="en-US"/>
        </w:rPr>
        <w:t xml:space="preserve">. </w:t>
      </w:r>
    </w:p>
    <w:p w14:paraId="147C5684" w14:textId="77777777" w:rsidR="00B813A6" w:rsidRPr="00B40E31" w:rsidRDefault="00B813A6" w:rsidP="00B813A6">
      <w:pPr>
        <w:spacing w:line="360" w:lineRule="auto"/>
        <w:rPr>
          <w:lang w:val="en-US"/>
        </w:rPr>
      </w:pPr>
    </w:p>
    <w:p w14:paraId="010FCAF7" w14:textId="77777777" w:rsidR="00B813A6" w:rsidRPr="00B40E31" w:rsidRDefault="00B813A6" w:rsidP="00B813A6">
      <w:pPr>
        <w:pStyle w:val="CommentText"/>
        <w:spacing w:line="360" w:lineRule="auto"/>
        <w:rPr>
          <w:lang w:val="en-US"/>
        </w:rPr>
      </w:pPr>
      <w:r w:rsidRPr="00B40E31">
        <w:rPr>
          <w:lang w:val="en-US"/>
        </w:rPr>
        <w:t>Predicted values of forced expiratory volume in one second (FEV</w:t>
      </w:r>
      <w:r w:rsidRPr="00B40E31">
        <w:rPr>
          <w:vertAlign w:val="subscript"/>
          <w:lang w:val="en-US"/>
        </w:rPr>
        <w:t>1</w:t>
      </w:r>
      <w:r w:rsidRPr="00B40E31">
        <w:rPr>
          <w:lang w:val="en-US"/>
        </w:rPr>
        <w:t>), forced vital cap</w:t>
      </w:r>
      <w:r>
        <w:rPr>
          <w:lang w:val="en-US"/>
        </w:rPr>
        <w:t>a</w:t>
      </w:r>
      <w:r w:rsidRPr="00B40E31">
        <w:rPr>
          <w:lang w:val="en-US"/>
        </w:rPr>
        <w:t>city (FVC) and FEV</w:t>
      </w:r>
      <w:r w:rsidRPr="00B40E31">
        <w:rPr>
          <w:vertAlign w:val="subscript"/>
          <w:lang w:val="en-US"/>
        </w:rPr>
        <w:t>1</w:t>
      </w:r>
      <w:r w:rsidRPr="00B40E31">
        <w:rPr>
          <w:lang w:val="en-US"/>
        </w:rPr>
        <w:t xml:space="preserve">/FVC were estimated from equations for Caucasians from the third </w:t>
      </w:r>
      <w:r w:rsidRPr="005A6C8D">
        <w:rPr>
          <w:lang w:val="en-US"/>
        </w:rPr>
        <w:t>National Health and Nutrition Examination Survey</w:t>
      </w:r>
      <w:r>
        <w:rPr>
          <w:lang w:val="en-US"/>
        </w:rPr>
        <w:t xml:space="preserve"> (NHANES-III) </w:t>
      </w:r>
      <w:r>
        <w:fldChar w:fldCharType="begin"/>
      </w:r>
      <w:r w:rsidRPr="003A3978">
        <w:rPr>
          <w:lang w:val="en-US"/>
        </w:rPr>
        <w:instrText>ADDIN BEC{Hankinson et al., 1999, #52060}</w:instrText>
      </w:r>
      <w:r>
        <w:fldChar w:fldCharType="separate"/>
      </w:r>
      <w:r w:rsidRPr="003A3978">
        <w:rPr>
          <w:lang w:val="en-US"/>
        </w:rPr>
        <w:t>(11)</w:t>
      </w:r>
      <w:r>
        <w:fldChar w:fldCharType="end"/>
      </w:r>
      <w:r>
        <w:rPr>
          <w:lang w:val="en-US"/>
        </w:rPr>
        <w:t xml:space="preserve">. </w:t>
      </w:r>
      <w:proofErr w:type="spellStart"/>
      <w:r>
        <w:rPr>
          <w:lang w:val="en-US"/>
        </w:rPr>
        <w:t>Spirometric</w:t>
      </w:r>
      <w:proofErr w:type="spellEnd"/>
      <w:r>
        <w:rPr>
          <w:lang w:val="en-US"/>
        </w:rPr>
        <w:t xml:space="preserve"> CAO was defined as post-bronchodilator FEV1/FVC &lt; lower limit of normal (LLN). </w:t>
      </w:r>
    </w:p>
    <w:p w14:paraId="55EA245F" w14:textId="77777777" w:rsidR="00B813A6" w:rsidRPr="00B40E31" w:rsidRDefault="00B813A6" w:rsidP="00B813A6">
      <w:pPr>
        <w:spacing w:line="360" w:lineRule="auto"/>
        <w:rPr>
          <w:lang w:val="en-US"/>
        </w:rPr>
      </w:pPr>
    </w:p>
    <w:p w14:paraId="128224A9" w14:textId="77777777" w:rsidR="00B813A6" w:rsidRPr="00B40E31" w:rsidRDefault="00B813A6" w:rsidP="00B813A6">
      <w:pPr>
        <w:pStyle w:val="Heading2"/>
        <w:spacing w:line="360" w:lineRule="auto"/>
        <w:rPr>
          <w:rFonts w:ascii="Arial Narrow" w:hAnsi="Arial Narrow"/>
          <w:color w:val="auto"/>
          <w:sz w:val="28"/>
          <w:szCs w:val="28"/>
          <w:lang w:val="en-US"/>
        </w:rPr>
      </w:pPr>
      <w:r w:rsidRPr="00B40E31">
        <w:rPr>
          <w:rFonts w:ascii="Arial Narrow" w:hAnsi="Arial Narrow"/>
          <w:color w:val="auto"/>
          <w:sz w:val="28"/>
          <w:szCs w:val="28"/>
          <w:lang w:val="en-US"/>
        </w:rPr>
        <w:t>Analysis</w:t>
      </w:r>
    </w:p>
    <w:p w14:paraId="25C525A9" w14:textId="77777777" w:rsidR="00B813A6" w:rsidRPr="00B40E31" w:rsidRDefault="00B813A6" w:rsidP="00B813A6">
      <w:pPr>
        <w:spacing w:line="360" w:lineRule="auto"/>
        <w:rPr>
          <w:lang w:val="en-US"/>
        </w:rPr>
      </w:pPr>
      <w:r w:rsidRPr="00B40E31">
        <w:rPr>
          <w:lang w:val="en-US"/>
        </w:rPr>
        <w:t xml:space="preserve">The sample size of the BOLD study was set to be able to provide robust </w:t>
      </w:r>
      <w:r>
        <w:rPr>
          <w:lang w:val="en-US"/>
        </w:rPr>
        <w:t>CAO</w:t>
      </w:r>
      <w:r w:rsidRPr="00B40E31">
        <w:rPr>
          <w:lang w:val="en-US"/>
        </w:rPr>
        <w:t xml:space="preserve"> prevalence estimates at the individual sites </w:t>
      </w:r>
      <w:r>
        <w:fldChar w:fldCharType="begin"/>
      </w:r>
      <w:r w:rsidRPr="003A3978">
        <w:rPr>
          <w:lang w:val="en-US"/>
        </w:rPr>
        <w:instrText>ADDIN BEC{Buist et al., 2005, #93939}</w:instrText>
      </w:r>
      <w:r>
        <w:fldChar w:fldCharType="separate"/>
      </w:r>
      <w:r w:rsidRPr="003A3978">
        <w:rPr>
          <w:lang w:val="en-US"/>
        </w:rPr>
        <w:t>(8)</w:t>
      </w:r>
      <w:r>
        <w:fldChar w:fldCharType="end"/>
      </w:r>
      <w:r w:rsidRPr="00B40E31">
        <w:rPr>
          <w:lang w:val="en-US"/>
        </w:rPr>
        <w:t xml:space="preserve">. No power calculations were performed </w:t>
      </w:r>
      <w:r w:rsidRPr="00B40E31">
        <w:rPr>
          <w:i/>
          <w:lang w:val="en-US"/>
        </w:rPr>
        <w:t>a priori</w:t>
      </w:r>
      <w:r w:rsidRPr="00B40E31">
        <w:rPr>
          <w:lang w:val="en-US"/>
        </w:rPr>
        <w:t xml:space="preserve"> for employment status. </w:t>
      </w:r>
    </w:p>
    <w:p w14:paraId="17429C10" w14:textId="77777777" w:rsidR="00B813A6" w:rsidRPr="00B40E31" w:rsidRDefault="00B813A6" w:rsidP="00B813A6">
      <w:pPr>
        <w:spacing w:line="360" w:lineRule="auto"/>
        <w:rPr>
          <w:lang w:val="en-US"/>
        </w:rPr>
      </w:pPr>
    </w:p>
    <w:p w14:paraId="7169D937" w14:textId="77777777" w:rsidR="00B813A6" w:rsidRDefault="00B813A6" w:rsidP="00B813A6">
      <w:pPr>
        <w:spacing w:line="360" w:lineRule="auto"/>
        <w:rPr>
          <w:lang w:val="en-US"/>
        </w:rPr>
      </w:pPr>
      <w:r w:rsidRPr="00B40E31">
        <w:rPr>
          <w:lang w:val="en-US"/>
        </w:rPr>
        <w:t xml:space="preserve">For unadjusted comparisons of individuals with and without </w:t>
      </w:r>
      <w:r>
        <w:rPr>
          <w:lang w:val="en-US"/>
        </w:rPr>
        <w:t>CAO</w:t>
      </w:r>
      <w:r w:rsidRPr="00B40E31">
        <w:rPr>
          <w:lang w:val="en-US"/>
        </w:rPr>
        <w:t>, we used Pearson chi-square</w:t>
      </w:r>
      <w:r>
        <w:rPr>
          <w:lang w:val="en-US"/>
        </w:rPr>
        <w:t xml:space="preserve"> (categorical variables) and t-tests (continuous variables)</w:t>
      </w:r>
      <w:r w:rsidRPr="00B40E31">
        <w:rPr>
          <w:lang w:val="en-US"/>
        </w:rPr>
        <w:t xml:space="preserve">. </w:t>
      </w:r>
      <w:r>
        <w:rPr>
          <w:lang w:val="en-US"/>
        </w:rPr>
        <w:t xml:space="preserve">To illustrate differences in unemployment and CAO in different parts of the world, we stratified descriptive analyses by high-income sites (Sydney, Salzburg, Vancouver, London, Tartu, Hannover, Reykjavik, Maastricht, Bergen, Krakow, Lisbon, Uppsala, Lexington) and low-to-middle-income sites (Guangzhou, Mumbai, Pune, Manila, </w:t>
      </w:r>
      <w:proofErr w:type="spellStart"/>
      <w:r w:rsidRPr="00053BAA">
        <w:rPr>
          <w:lang w:val="en-US"/>
        </w:rPr>
        <w:t>Nampicuan</w:t>
      </w:r>
      <w:proofErr w:type="spellEnd"/>
      <w:r w:rsidRPr="00053BAA">
        <w:rPr>
          <w:lang w:val="en-US"/>
        </w:rPr>
        <w:t xml:space="preserve"> </w:t>
      </w:r>
      <w:proofErr w:type="spellStart"/>
      <w:r w:rsidRPr="00053BAA">
        <w:rPr>
          <w:lang w:val="en-US"/>
        </w:rPr>
        <w:t>Talugtug</w:t>
      </w:r>
      <w:proofErr w:type="spellEnd"/>
      <w:r>
        <w:rPr>
          <w:lang w:val="en-US"/>
        </w:rPr>
        <w:t xml:space="preserve">, Annaba, Cape Town, Adana, Kashmir, Sousse, Ife, Fes). Income categories were based on the </w:t>
      </w:r>
      <w:r w:rsidRPr="005546EF">
        <w:rPr>
          <w:lang w:val="en-US"/>
        </w:rPr>
        <w:t>Gross National Income Per Capita of the country (GNIPC)</w:t>
      </w:r>
      <w:r>
        <w:rPr>
          <w:lang w:val="en-US"/>
        </w:rPr>
        <w:t>, with the cut point between low-to-middle income and high-income being GNIPC 10 000 US$</w:t>
      </w:r>
      <w:r w:rsidRPr="002A2327">
        <w:rPr>
          <w:lang w:val="en-US"/>
        </w:rPr>
        <w:t xml:space="preserve">. </w:t>
      </w:r>
      <w:r>
        <w:fldChar w:fldCharType="begin"/>
      </w:r>
      <w:r w:rsidRPr="003A3978">
        <w:rPr>
          <w:lang w:val="en-US"/>
        </w:rPr>
        <w:instrText>ADDIN BEC{Gnatiuc et al., 2015, #95121}</w:instrText>
      </w:r>
      <w:r>
        <w:fldChar w:fldCharType="separate"/>
      </w:r>
      <w:r w:rsidRPr="003A3978">
        <w:rPr>
          <w:lang w:val="en-US"/>
        </w:rPr>
        <w:t>(12)</w:t>
      </w:r>
      <w:r>
        <w:fldChar w:fldCharType="end"/>
      </w:r>
      <w:r w:rsidRPr="005A28D6">
        <w:rPr>
          <w:lang w:val="en-US"/>
        </w:rPr>
        <w:t>.</w:t>
      </w:r>
      <w:r>
        <w:rPr>
          <w:lang w:val="en-US"/>
        </w:rPr>
        <w:t xml:space="preserve">  We</w:t>
      </w:r>
      <w:r w:rsidRPr="0023621E">
        <w:rPr>
          <w:lang w:val="en-US"/>
        </w:rPr>
        <w:t xml:space="preserve"> </w:t>
      </w:r>
      <w:r>
        <w:rPr>
          <w:lang w:val="en-US"/>
        </w:rPr>
        <w:t xml:space="preserve">also </w:t>
      </w:r>
      <w:r w:rsidRPr="0023621E">
        <w:rPr>
          <w:lang w:val="en-US"/>
        </w:rPr>
        <w:t xml:space="preserve">calculated </w:t>
      </w:r>
      <w:r>
        <w:rPr>
          <w:lang w:val="en-US"/>
        </w:rPr>
        <w:t xml:space="preserve">a risk ratio for unemployment associated with CAO as the </w:t>
      </w:r>
      <w:r w:rsidRPr="0023621E">
        <w:rPr>
          <w:lang w:val="en-US"/>
        </w:rPr>
        <w:t xml:space="preserve">prevalence of unemployment </w:t>
      </w:r>
      <w:r>
        <w:rPr>
          <w:lang w:val="en-US"/>
        </w:rPr>
        <w:t>in CAO-</w:t>
      </w:r>
      <w:r w:rsidRPr="0023621E">
        <w:rPr>
          <w:lang w:val="en-US"/>
        </w:rPr>
        <w:t xml:space="preserve">subjects </w:t>
      </w:r>
      <w:r>
        <w:rPr>
          <w:lang w:val="en-US"/>
        </w:rPr>
        <w:t>divided by</w:t>
      </w:r>
      <w:r w:rsidRPr="0023621E">
        <w:rPr>
          <w:lang w:val="en-US"/>
        </w:rPr>
        <w:t xml:space="preserve"> </w:t>
      </w:r>
      <w:r>
        <w:rPr>
          <w:lang w:val="en-US"/>
        </w:rPr>
        <w:t xml:space="preserve">the </w:t>
      </w:r>
      <w:r w:rsidRPr="0023621E">
        <w:rPr>
          <w:lang w:val="en-US"/>
        </w:rPr>
        <w:t xml:space="preserve">prevalence of unemployment </w:t>
      </w:r>
      <w:r>
        <w:rPr>
          <w:lang w:val="en-US"/>
        </w:rPr>
        <w:t>in non-</w:t>
      </w:r>
      <w:r w:rsidRPr="0023621E">
        <w:rPr>
          <w:lang w:val="en-US"/>
        </w:rPr>
        <w:t>CAO</w:t>
      </w:r>
      <w:r>
        <w:rPr>
          <w:lang w:val="en-US"/>
        </w:rPr>
        <w:t xml:space="preserve"> subjects</w:t>
      </w:r>
      <w:r w:rsidRPr="00FF330D">
        <w:rPr>
          <w:color w:val="000000" w:themeColor="text1"/>
          <w:lang w:val="en-US"/>
        </w:rPr>
        <w:t xml:space="preserve">, using a log-binomial generalized linear model (in Stata specified as </w:t>
      </w:r>
      <w:proofErr w:type="spellStart"/>
      <w:r w:rsidRPr="00FF330D">
        <w:rPr>
          <w:i/>
          <w:color w:val="000000" w:themeColor="text1"/>
          <w:lang w:val="en-US"/>
        </w:rPr>
        <w:t>glm</w:t>
      </w:r>
      <w:proofErr w:type="spellEnd"/>
      <w:r w:rsidRPr="00FF330D">
        <w:rPr>
          <w:color w:val="000000" w:themeColor="text1"/>
          <w:lang w:val="en-US"/>
        </w:rPr>
        <w:t xml:space="preserve"> with </w:t>
      </w:r>
      <w:proofErr w:type="spellStart"/>
      <w:r w:rsidRPr="00FF330D">
        <w:rPr>
          <w:i/>
          <w:color w:val="000000" w:themeColor="text1"/>
          <w:lang w:val="en-US"/>
        </w:rPr>
        <w:t>fam</w:t>
      </w:r>
      <w:proofErr w:type="spellEnd"/>
      <w:r w:rsidRPr="00FF330D">
        <w:rPr>
          <w:i/>
          <w:color w:val="000000" w:themeColor="text1"/>
          <w:lang w:val="en-US"/>
        </w:rPr>
        <w:t>(bin)</w:t>
      </w:r>
      <w:r w:rsidRPr="00FF330D">
        <w:rPr>
          <w:color w:val="000000" w:themeColor="text1"/>
          <w:lang w:val="en-US"/>
        </w:rPr>
        <w:t xml:space="preserve"> and </w:t>
      </w:r>
      <w:r w:rsidRPr="00FF330D">
        <w:rPr>
          <w:i/>
          <w:color w:val="000000" w:themeColor="text1"/>
          <w:lang w:val="en-US"/>
        </w:rPr>
        <w:t>link(log)</w:t>
      </w:r>
      <w:r w:rsidRPr="00FF330D">
        <w:rPr>
          <w:color w:val="000000" w:themeColor="text1"/>
          <w:lang w:val="en-US"/>
        </w:rPr>
        <w:t xml:space="preserve">). </w:t>
      </w:r>
      <w:r w:rsidRPr="0023621E">
        <w:rPr>
          <w:lang w:val="en-US"/>
        </w:rPr>
        <w:t>A</w:t>
      </w:r>
      <w:r>
        <w:rPr>
          <w:lang w:val="en-US"/>
        </w:rPr>
        <w:t xml:space="preserve"> risk</w:t>
      </w:r>
      <w:r w:rsidRPr="0023621E">
        <w:rPr>
          <w:lang w:val="en-US"/>
        </w:rPr>
        <w:t xml:space="preserve"> ratio </w:t>
      </w:r>
      <w:r>
        <w:rPr>
          <w:lang w:val="en-US"/>
        </w:rPr>
        <w:t>&gt;</w:t>
      </w:r>
      <w:r w:rsidRPr="0023621E">
        <w:rPr>
          <w:lang w:val="en-US"/>
        </w:rPr>
        <w:t xml:space="preserve">1 indicates higher </w:t>
      </w:r>
      <w:r>
        <w:rPr>
          <w:lang w:val="en-US"/>
        </w:rPr>
        <w:t xml:space="preserve">risk of </w:t>
      </w:r>
      <w:r w:rsidRPr="0023621E">
        <w:rPr>
          <w:lang w:val="en-US"/>
        </w:rPr>
        <w:lastRenderedPageBreak/>
        <w:t xml:space="preserve">unemployment </w:t>
      </w:r>
      <w:r>
        <w:rPr>
          <w:lang w:val="en-US"/>
        </w:rPr>
        <w:t>associated with</w:t>
      </w:r>
      <w:r w:rsidRPr="0023621E">
        <w:rPr>
          <w:lang w:val="en-US"/>
        </w:rPr>
        <w:t xml:space="preserve"> CAO, while a ratio </w:t>
      </w:r>
      <w:r>
        <w:rPr>
          <w:lang w:val="en-US"/>
        </w:rPr>
        <w:t>&lt;</w:t>
      </w:r>
      <w:r w:rsidRPr="0023621E">
        <w:rPr>
          <w:lang w:val="en-US"/>
        </w:rPr>
        <w:t xml:space="preserve">1 indicates lower </w:t>
      </w:r>
      <w:r>
        <w:rPr>
          <w:lang w:val="en-US"/>
        </w:rPr>
        <w:t xml:space="preserve">risk of </w:t>
      </w:r>
      <w:r w:rsidRPr="0023621E">
        <w:rPr>
          <w:lang w:val="en-US"/>
        </w:rPr>
        <w:t xml:space="preserve">unemployment </w:t>
      </w:r>
      <w:r>
        <w:rPr>
          <w:lang w:val="en-US"/>
        </w:rPr>
        <w:t>associated with</w:t>
      </w:r>
      <w:r w:rsidRPr="0023621E">
        <w:rPr>
          <w:lang w:val="en-US"/>
        </w:rPr>
        <w:t xml:space="preserve"> CAO.</w:t>
      </w:r>
      <w:r>
        <w:rPr>
          <w:lang w:val="en-US"/>
        </w:rPr>
        <w:t xml:space="preserve"> To illustrate gender differences in CAO status across sites, we tabulated study sites and CAO status, stratified by gender.</w:t>
      </w:r>
    </w:p>
    <w:p w14:paraId="04BF1728" w14:textId="77777777" w:rsidR="00B813A6" w:rsidRDefault="00B813A6" w:rsidP="00B813A6">
      <w:pPr>
        <w:pStyle w:val="CommentText"/>
        <w:spacing w:line="360" w:lineRule="auto"/>
        <w:rPr>
          <w:lang w:val="en-US"/>
        </w:rPr>
      </w:pPr>
      <w:r w:rsidRPr="00B40E31">
        <w:rPr>
          <w:lang w:val="en-US"/>
        </w:rPr>
        <w:t xml:space="preserve">Multivariable analyses for the pooled data-set were conducted using </w:t>
      </w:r>
      <w:r w:rsidRPr="005546EF">
        <w:rPr>
          <w:lang w:val="en-US"/>
        </w:rPr>
        <w:t>multilevel mixed-effects generalized linear model</w:t>
      </w:r>
      <w:r>
        <w:rPr>
          <w:lang w:val="en-US"/>
        </w:rPr>
        <w:t xml:space="preserve"> (see online supplement for details). An alternative approach would be a fixed-effect model. The difference to the chosen mixed-effects approach, would be that the latter treats the sites as a random sample of all possible sites, whereas the former would tend to focus more exclusively on the sites that were included in the study. The BOLD sites are in some sense a random sample of sites more broadly to which we wish to make an inference. </w:t>
      </w:r>
    </w:p>
    <w:p w14:paraId="31E81CE5" w14:textId="77777777" w:rsidR="00B813A6" w:rsidRPr="00B40E31" w:rsidRDefault="00B813A6" w:rsidP="00B813A6">
      <w:pPr>
        <w:pStyle w:val="CommentText"/>
        <w:spacing w:line="360" w:lineRule="auto"/>
        <w:rPr>
          <w:lang w:val="en-US"/>
        </w:rPr>
      </w:pPr>
      <w:r w:rsidRPr="00B40E31">
        <w:rPr>
          <w:lang w:val="en-US"/>
        </w:rPr>
        <w:t xml:space="preserve">The main predictor variable was </w:t>
      </w:r>
      <w:proofErr w:type="spellStart"/>
      <w:r w:rsidRPr="00B40E31">
        <w:rPr>
          <w:lang w:val="en-US"/>
        </w:rPr>
        <w:t>spirometric</w:t>
      </w:r>
      <w:proofErr w:type="spellEnd"/>
      <w:r w:rsidRPr="00B40E31">
        <w:rPr>
          <w:lang w:val="en-US"/>
        </w:rPr>
        <w:t xml:space="preserve"> </w:t>
      </w:r>
      <w:r>
        <w:rPr>
          <w:lang w:val="en-US"/>
        </w:rPr>
        <w:t>CAO</w:t>
      </w:r>
      <w:r w:rsidRPr="00B40E31">
        <w:rPr>
          <w:lang w:val="en-US"/>
        </w:rPr>
        <w:t xml:space="preserve">. </w:t>
      </w:r>
      <w:r w:rsidRPr="001E0DA0">
        <w:rPr>
          <w:lang w:val="en-US"/>
        </w:rPr>
        <w:t xml:space="preserve">We fitted 5 mixed models, all adjusting for site as a cluster level variable. We first identified the total effect of CAO on unemployment in a model with no </w:t>
      </w:r>
      <w:r w:rsidRPr="00FF330D">
        <w:rPr>
          <w:color w:val="000000" w:themeColor="text1"/>
          <w:lang w:val="en-US"/>
        </w:rPr>
        <w:t>additional covariates included (Model 1). Model 2 added demographic variables (age, gend</w:t>
      </w:r>
      <w:r w:rsidRPr="001E0DA0">
        <w:rPr>
          <w:lang w:val="en-US"/>
        </w:rPr>
        <w:t xml:space="preserve">er, education) and smoking habits. Model 2 was extended into Model 3 by adding </w:t>
      </w:r>
      <w:r w:rsidRPr="00B40E31">
        <w:rPr>
          <w:lang w:val="en-US"/>
        </w:rPr>
        <w:t>comorbidities</w:t>
      </w:r>
      <w:r>
        <w:rPr>
          <w:lang w:val="en-US"/>
        </w:rPr>
        <w:t>.</w:t>
      </w:r>
      <w:r w:rsidRPr="00B40E31">
        <w:rPr>
          <w:lang w:val="en-US"/>
        </w:rPr>
        <w:t xml:space="preserve"> </w:t>
      </w:r>
      <w:r>
        <w:rPr>
          <w:lang w:val="en-US"/>
        </w:rPr>
        <w:t xml:space="preserve">Model 4 included FVC in addition to Model 3 covariates. As our multivariable analyses include height, age, and gender, which are the main components when using percent of predicted values, we thus chose to analyze lung function in terms of absolute values. In addition, a recent publication from the ECRHS-III study has indicated that FVC in absolute values (lung size) is able to explain most of the difference in symptom burden between men and </w:t>
      </w:r>
      <w:r w:rsidRPr="008F721D">
        <w:rPr>
          <w:lang w:val="en-US"/>
        </w:rPr>
        <w:t xml:space="preserve">women </w:t>
      </w:r>
      <w:r w:rsidRPr="008F721D">
        <w:fldChar w:fldCharType="begin"/>
      </w:r>
      <w:r w:rsidRPr="003A3978">
        <w:rPr>
          <w:lang w:val="en-US"/>
        </w:rPr>
        <w:instrText>ADDIN BEC{Ekström et al., 2017, #33826}</w:instrText>
      </w:r>
      <w:r w:rsidRPr="008F721D">
        <w:fldChar w:fldCharType="separate"/>
      </w:r>
      <w:r w:rsidRPr="003A3978">
        <w:rPr>
          <w:lang w:val="en-US"/>
        </w:rPr>
        <w:t>(13)</w:t>
      </w:r>
      <w:r w:rsidRPr="008F721D">
        <w:fldChar w:fldCharType="end"/>
      </w:r>
      <w:r w:rsidRPr="008F721D">
        <w:rPr>
          <w:lang w:val="en-US"/>
        </w:rPr>
        <w:t xml:space="preserve">. </w:t>
      </w:r>
      <w:r>
        <w:rPr>
          <w:lang w:val="en-US"/>
        </w:rPr>
        <w:t xml:space="preserve">FVC is a robust indicator of lung disease, especially when obstruction is already taken into account. In the online supplement, we also included a model 5 with respiratory </w:t>
      </w:r>
      <w:r w:rsidRPr="00B40E31">
        <w:rPr>
          <w:lang w:val="en-US"/>
        </w:rPr>
        <w:t>symptoms</w:t>
      </w:r>
      <w:r>
        <w:rPr>
          <w:lang w:val="en-US"/>
        </w:rPr>
        <w:t xml:space="preserve"> in addition to the Model 4 covariates</w:t>
      </w:r>
      <w:r w:rsidRPr="00B40E31">
        <w:rPr>
          <w:lang w:val="en-US"/>
        </w:rPr>
        <w:t xml:space="preserve">. </w:t>
      </w:r>
      <w:r>
        <w:rPr>
          <w:lang w:val="en-US"/>
        </w:rPr>
        <w:t xml:space="preserve">For details on comorbidities and symptoms, please see online supplement. </w:t>
      </w:r>
      <w:r w:rsidRPr="00FF330D">
        <w:rPr>
          <w:color w:val="000000" w:themeColor="text1"/>
          <w:lang w:val="en-US"/>
        </w:rPr>
        <w:t xml:space="preserve">Covariates added in each model were added not as independent risk factors for unemployment, but as potential confounding or mediating factors influencing the effect of CAO on unemployment. </w:t>
      </w:r>
      <w:r w:rsidDel="00FB0342">
        <w:rPr>
          <w:lang w:val="en-US"/>
        </w:rPr>
        <w:t>Models 2</w:t>
      </w:r>
      <w:r>
        <w:rPr>
          <w:lang w:val="en-US"/>
        </w:rPr>
        <w:t>-</w:t>
      </w:r>
      <w:r w:rsidDel="00FB0342">
        <w:rPr>
          <w:lang w:val="en-US"/>
        </w:rPr>
        <w:t>5 were also performed separately for high-income sites and for low-to-middle-</w:t>
      </w:r>
      <w:r w:rsidRPr="00F90820" w:rsidDel="00FB0342">
        <w:rPr>
          <w:lang w:val="en-US"/>
        </w:rPr>
        <w:t>income</w:t>
      </w:r>
      <w:r w:rsidDel="00FB0342">
        <w:rPr>
          <w:lang w:val="en-US"/>
        </w:rPr>
        <w:t xml:space="preserve"> sites. </w:t>
      </w:r>
    </w:p>
    <w:p w14:paraId="30A93BFC" w14:textId="77777777" w:rsidR="00B813A6" w:rsidRPr="00B40E31" w:rsidRDefault="00B813A6" w:rsidP="00B813A6">
      <w:pPr>
        <w:pStyle w:val="CommentText"/>
        <w:spacing w:line="360" w:lineRule="auto"/>
        <w:rPr>
          <w:lang w:val="en-US"/>
        </w:rPr>
      </w:pPr>
    </w:p>
    <w:p w14:paraId="676EEE43" w14:textId="77777777" w:rsidR="00B813A6" w:rsidRPr="00B93A89" w:rsidRDefault="00B813A6" w:rsidP="00B813A6">
      <w:pPr>
        <w:pStyle w:val="CommentText"/>
        <w:spacing w:line="360" w:lineRule="auto"/>
        <w:rPr>
          <w:lang w:val="en-US"/>
        </w:rPr>
      </w:pPr>
      <w:r>
        <w:rPr>
          <w:lang w:val="en-US"/>
        </w:rPr>
        <w:t xml:space="preserve">In individual participant data meta-analyses, we estimated </w:t>
      </w:r>
      <w:r w:rsidRPr="00B40E31">
        <w:rPr>
          <w:lang w:val="en-US"/>
        </w:rPr>
        <w:t xml:space="preserve">site-specific </w:t>
      </w:r>
      <w:r>
        <w:rPr>
          <w:lang w:val="en-US"/>
        </w:rPr>
        <w:t xml:space="preserve">and overall OR </w:t>
      </w:r>
      <w:r w:rsidRPr="00B40E31">
        <w:rPr>
          <w:lang w:val="en-US"/>
        </w:rPr>
        <w:t xml:space="preserve">for </w:t>
      </w:r>
      <w:r>
        <w:rPr>
          <w:lang w:val="en-US"/>
        </w:rPr>
        <w:t>CAO</w:t>
      </w:r>
      <w:r w:rsidRPr="00B40E31">
        <w:rPr>
          <w:lang w:val="en-US"/>
        </w:rPr>
        <w:t xml:space="preserve"> on unemployment in forest plots</w:t>
      </w:r>
      <w:r>
        <w:rPr>
          <w:lang w:val="en-US"/>
        </w:rPr>
        <w:t xml:space="preserve">, with increasing adjustment corresponding to models 1 to 5 described above (except for the site adjustment). The STATA command used was </w:t>
      </w:r>
      <w:proofErr w:type="spellStart"/>
      <w:r w:rsidRPr="00EB2879">
        <w:rPr>
          <w:i/>
          <w:lang w:val="en-US"/>
        </w:rPr>
        <w:t>ipdmetan</w:t>
      </w:r>
      <w:proofErr w:type="spellEnd"/>
      <w:r>
        <w:rPr>
          <w:lang w:val="en-US"/>
        </w:rPr>
        <w:t xml:space="preserve"> which performs a two-stage individual participant data meta-analysis using the inverse-variance method. Unlike traditional meta-analysis, the individual participant data meta-analysis in </w:t>
      </w:r>
      <w:proofErr w:type="spellStart"/>
      <w:r w:rsidRPr="00EB2879">
        <w:rPr>
          <w:i/>
          <w:lang w:val="en-US"/>
        </w:rPr>
        <w:t>ipdmetan</w:t>
      </w:r>
      <w:proofErr w:type="spellEnd"/>
      <w:r>
        <w:rPr>
          <w:lang w:val="en-US"/>
        </w:rPr>
        <w:t xml:space="preserve"> fits a specified model to the data of one site at a time, making use of all individual participants within the sites. The two-stage approach derives aggregate data in each site separately and then combines these in a traditional meta-analysis model. The I</w:t>
      </w:r>
      <w:r>
        <w:rPr>
          <w:vertAlign w:val="superscript"/>
          <w:lang w:val="en-US"/>
        </w:rPr>
        <w:t>2</w:t>
      </w:r>
      <w:r>
        <w:rPr>
          <w:lang w:val="en-US"/>
        </w:rPr>
        <w:t xml:space="preserve"> statistic was reported to display the </w:t>
      </w:r>
      <w:r>
        <w:rPr>
          <w:lang w:val="en-US"/>
        </w:rPr>
        <w:lastRenderedPageBreak/>
        <w:t xml:space="preserve">percentage of total variation across sites which was due to true site-by-site heterogeneity rather than what would be expected by chance alone (for more details, see online supplement) </w:t>
      </w:r>
      <w:r>
        <w:fldChar w:fldCharType="begin"/>
      </w:r>
      <w:r w:rsidRPr="003A3978">
        <w:rPr>
          <w:lang w:val="en-US"/>
        </w:rPr>
        <w:instrText>ADDIN BEC{Higgins et al., 2003, #1558}</w:instrText>
      </w:r>
      <w:r>
        <w:fldChar w:fldCharType="separate"/>
      </w:r>
      <w:r w:rsidRPr="003A3978">
        <w:rPr>
          <w:lang w:val="en-US"/>
        </w:rPr>
        <w:t>(14)</w:t>
      </w:r>
      <w:r>
        <w:fldChar w:fldCharType="end"/>
      </w:r>
      <w:r w:rsidRPr="009F3259">
        <w:rPr>
          <w:lang w:val="en-US"/>
        </w:rPr>
        <w:t>.</w:t>
      </w:r>
      <w:r>
        <w:rPr>
          <w:lang w:val="en-US"/>
        </w:rPr>
        <w:t xml:space="preserve"> </w:t>
      </w:r>
    </w:p>
    <w:p w14:paraId="25B777A1" w14:textId="77777777" w:rsidR="00B813A6" w:rsidRDefault="00B813A6" w:rsidP="00B813A6">
      <w:pPr>
        <w:pStyle w:val="CommentText"/>
        <w:spacing w:line="360" w:lineRule="auto"/>
        <w:rPr>
          <w:lang w:val="en-US"/>
        </w:rPr>
      </w:pPr>
    </w:p>
    <w:p w14:paraId="0A751590" w14:textId="77777777" w:rsidR="00B813A6" w:rsidRDefault="00B813A6" w:rsidP="00B813A6">
      <w:pPr>
        <w:pStyle w:val="CommentText"/>
        <w:spacing w:line="360" w:lineRule="auto"/>
        <w:rPr>
          <w:lang w:val="en-US"/>
        </w:rPr>
      </w:pPr>
      <w:r w:rsidRPr="003665C7">
        <w:rPr>
          <w:lang w:val="en-US"/>
        </w:rPr>
        <w:t>All analyses were performed using Stata SE</w:t>
      </w:r>
      <w:r>
        <w:rPr>
          <w:lang w:val="en-US"/>
        </w:rPr>
        <w:t xml:space="preserve"> version 14 for Macintosh OSX (</w:t>
      </w:r>
      <w:r w:rsidRPr="003665C7">
        <w:rPr>
          <w:lang w:val="en-US"/>
        </w:rPr>
        <w:t>Stata Corp, College Station, TX, USA).</w:t>
      </w:r>
    </w:p>
    <w:p w14:paraId="48C8E005" w14:textId="77777777" w:rsidR="00B813A6" w:rsidRDefault="00B813A6" w:rsidP="00B813A6">
      <w:pPr>
        <w:pStyle w:val="CommentText"/>
        <w:spacing w:line="360" w:lineRule="auto"/>
        <w:rPr>
          <w:lang w:val="en-US"/>
        </w:rPr>
      </w:pPr>
    </w:p>
    <w:p w14:paraId="5D470E2F" w14:textId="77777777" w:rsidR="00B813A6" w:rsidRPr="003D2E6C" w:rsidRDefault="00B813A6" w:rsidP="00B813A6">
      <w:pPr>
        <w:pStyle w:val="Heading1"/>
        <w:spacing w:line="360" w:lineRule="auto"/>
        <w:rPr>
          <w:lang w:val="en-US"/>
        </w:rPr>
      </w:pPr>
      <w:r>
        <w:rPr>
          <w:lang w:val="en-US"/>
        </w:rPr>
        <w:t>Results</w:t>
      </w:r>
    </w:p>
    <w:p w14:paraId="09F81045" w14:textId="77777777" w:rsidR="00B813A6" w:rsidRDefault="00B813A6" w:rsidP="00B813A6">
      <w:pPr>
        <w:spacing w:line="360" w:lineRule="auto"/>
        <w:rPr>
          <w:lang w:val="en-US"/>
        </w:rPr>
      </w:pPr>
      <w:r w:rsidRPr="00B40E31">
        <w:rPr>
          <w:lang w:val="en-US"/>
        </w:rPr>
        <w:t>Of 18,710 participants</w:t>
      </w:r>
      <w:r w:rsidRPr="00B40E31">
        <w:rPr>
          <w:rStyle w:val="CommentReference"/>
          <w:lang w:val="en-US"/>
        </w:rPr>
        <w:t>,</w:t>
      </w:r>
      <w:r w:rsidRPr="00B40E31">
        <w:rPr>
          <w:lang w:val="en-US"/>
        </w:rPr>
        <w:t xml:space="preserve"> 2,123 (11.3%) had </w:t>
      </w:r>
      <w:r>
        <w:rPr>
          <w:lang w:val="en-US"/>
        </w:rPr>
        <w:t>CAO</w:t>
      </w:r>
      <w:r w:rsidRPr="00B40E31">
        <w:rPr>
          <w:lang w:val="en-US"/>
        </w:rPr>
        <w:t xml:space="preserve">. </w:t>
      </w:r>
      <w:r>
        <w:rPr>
          <w:lang w:val="en-US"/>
        </w:rPr>
        <w:t>Compared to subjects without CAO, those with CAO</w:t>
      </w:r>
      <w:r w:rsidRPr="00B40E31">
        <w:rPr>
          <w:lang w:val="en-US"/>
        </w:rPr>
        <w:t xml:space="preserve"> were older, had lower education, more smoking</w:t>
      </w:r>
      <w:r>
        <w:rPr>
          <w:lang w:val="en-US"/>
        </w:rPr>
        <w:t xml:space="preserve"> exposure,</w:t>
      </w:r>
      <w:r w:rsidRPr="00B40E31">
        <w:rPr>
          <w:lang w:val="en-US"/>
        </w:rPr>
        <w:t xml:space="preserve"> more comorbidities</w:t>
      </w:r>
      <w:r>
        <w:rPr>
          <w:lang w:val="en-US"/>
        </w:rPr>
        <w:t>, more respiratory symptoms, and substantially lower FEV1 (Table 1)</w:t>
      </w:r>
      <w:r w:rsidRPr="00B40E31">
        <w:rPr>
          <w:lang w:val="en-US"/>
        </w:rPr>
        <w:t xml:space="preserve">. </w:t>
      </w:r>
      <w:r>
        <w:rPr>
          <w:lang w:val="en-US"/>
        </w:rPr>
        <w:t xml:space="preserve">Overall, CAO was more common in men than in women. However, site-specific prevalence estimates stratified by gender showed that for some centers the gender ratio was reversed (e-Table 2). </w:t>
      </w:r>
      <w:r w:rsidRPr="00627C4A">
        <w:rPr>
          <w:lang w:val="en-US"/>
        </w:rPr>
        <w:t>Excluding those aged 65 and older,</w:t>
      </w:r>
      <w:r>
        <w:rPr>
          <w:lang w:val="en-US"/>
        </w:rPr>
        <w:t xml:space="preserve"> 36.7</w:t>
      </w:r>
      <w:r w:rsidRPr="00B40E31">
        <w:rPr>
          <w:lang w:val="en-US"/>
        </w:rPr>
        <w:t xml:space="preserve">% of participants with </w:t>
      </w:r>
      <w:r>
        <w:rPr>
          <w:lang w:val="en-US"/>
        </w:rPr>
        <w:t>CAO</w:t>
      </w:r>
      <w:r w:rsidRPr="00B40E31">
        <w:rPr>
          <w:lang w:val="en-US"/>
        </w:rPr>
        <w:t xml:space="preserve"> reported paid work the preceding year, whereas </w:t>
      </w:r>
      <w:r>
        <w:rPr>
          <w:lang w:val="en-US"/>
        </w:rPr>
        <w:t>53.2</w:t>
      </w:r>
      <w:r w:rsidRPr="00B40E31">
        <w:rPr>
          <w:lang w:val="en-US"/>
        </w:rPr>
        <w:t xml:space="preserve">% of participants without </w:t>
      </w:r>
      <w:r>
        <w:rPr>
          <w:lang w:val="en-US"/>
        </w:rPr>
        <w:t>CAO</w:t>
      </w:r>
      <w:r w:rsidRPr="00B40E31">
        <w:rPr>
          <w:lang w:val="en-US"/>
        </w:rPr>
        <w:t xml:space="preserve"> had paid work the preceding year.</w:t>
      </w:r>
    </w:p>
    <w:p w14:paraId="0C94EFD3" w14:textId="77777777" w:rsidR="00B813A6" w:rsidRDefault="00B813A6" w:rsidP="00B813A6">
      <w:pPr>
        <w:spacing w:line="360" w:lineRule="auto"/>
        <w:rPr>
          <w:lang w:val="en-US"/>
        </w:rPr>
      </w:pPr>
    </w:p>
    <w:p w14:paraId="48C13370" w14:textId="77777777" w:rsidR="00B813A6" w:rsidRDefault="00B813A6" w:rsidP="00B813A6">
      <w:pPr>
        <w:spacing w:line="360" w:lineRule="auto"/>
        <w:rPr>
          <w:lang w:val="en-US"/>
        </w:rPr>
      </w:pPr>
    </w:p>
    <w:p w14:paraId="36DF3BF6" w14:textId="77777777" w:rsidR="00B813A6" w:rsidRPr="00294FBF" w:rsidRDefault="00B813A6" w:rsidP="00B813A6">
      <w:pPr>
        <w:rPr>
          <w:lang w:val="en-US"/>
        </w:rPr>
      </w:pPr>
      <w:r w:rsidRPr="00531909">
        <w:rPr>
          <w:rFonts w:cs="Cambria"/>
          <w:b/>
          <w:lang w:val="en-US"/>
        </w:rPr>
        <w:t>Table 1</w:t>
      </w:r>
      <w:r>
        <w:rPr>
          <w:rFonts w:cs="Cambria"/>
          <w:b/>
          <w:lang w:val="en-US"/>
        </w:rPr>
        <w:t>.</w:t>
      </w:r>
      <w:r w:rsidRPr="00531909">
        <w:rPr>
          <w:rFonts w:cs="Cambria"/>
          <w:b/>
          <w:lang w:val="en-US"/>
        </w:rPr>
        <w:t xml:space="preserve"> Study participant characteristics in the Burden of Obstructive Lung Disease study (BOLD) by </w:t>
      </w:r>
      <w:r>
        <w:rPr>
          <w:rFonts w:cs="Cambria"/>
          <w:b/>
          <w:lang w:val="en-US"/>
        </w:rPr>
        <w:t>chronic airflow obstruction (CAO</w:t>
      </w:r>
      <w:r w:rsidRPr="002826A8">
        <w:rPr>
          <w:rFonts w:cs="Cambria"/>
          <w:b/>
          <w:color w:val="000000" w:themeColor="text1"/>
          <w:lang w:val="en-US"/>
        </w:rPr>
        <w:t>), proportion with 95% confidence intervals for categorical variables and mean with stan</w:t>
      </w:r>
      <w:r w:rsidRPr="00531909">
        <w:rPr>
          <w:rFonts w:cs="Cambria"/>
          <w:b/>
          <w:lang w:val="en-US"/>
        </w:rPr>
        <w:t xml:space="preserve">dard deviation for continuous variables, N = 18 710 subjects from 26 study sites. </w:t>
      </w:r>
    </w:p>
    <w:tbl>
      <w:tblPr>
        <w:tblStyle w:val="TableGrid"/>
        <w:tblW w:w="8505" w:type="dxa"/>
        <w:tblLook w:val="04A0" w:firstRow="1" w:lastRow="0" w:firstColumn="1" w:lastColumn="0" w:noHBand="0" w:noVBand="1"/>
      </w:tblPr>
      <w:tblGrid>
        <w:gridCol w:w="3402"/>
        <w:gridCol w:w="1701"/>
        <w:gridCol w:w="1843"/>
        <w:gridCol w:w="1559"/>
      </w:tblGrid>
      <w:tr w:rsidR="00B813A6" w:rsidRPr="00DC69D3" w14:paraId="46724C4C" w14:textId="77777777" w:rsidTr="00B813A6">
        <w:tc>
          <w:tcPr>
            <w:tcW w:w="3402" w:type="dxa"/>
          </w:tcPr>
          <w:p w14:paraId="2D0C11E7" w14:textId="77777777" w:rsidR="00B813A6" w:rsidRPr="00D85AD9" w:rsidRDefault="00B813A6" w:rsidP="00B813A6">
            <w:pPr>
              <w:rPr>
                <w:sz w:val="20"/>
                <w:lang w:val="en-US"/>
              </w:rPr>
            </w:pPr>
          </w:p>
        </w:tc>
        <w:tc>
          <w:tcPr>
            <w:tcW w:w="1701" w:type="dxa"/>
          </w:tcPr>
          <w:p w14:paraId="431793F9" w14:textId="77777777" w:rsidR="00B813A6" w:rsidRPr="00DC69D3" w:rsidRDefault="00B813A6" w:rsidP="00B813A6">
            <w:pPr>
              <w:jc w:val="center"/>
              <w:rPr>
                <w:sz w:val="20"/>
                <w:lang w:val="en-US"/>
              </w:rPr>
            </w:pPr>
            <w:proofErr w:type="spellStart"/>
            <w:r w:rsidRPr="00DC69D3">
              <w:rPr>
                <w:sz w:val="20"/>
                <w:lang w:val="en-US"/>
              </w:rPr>
              <w:t>Spirometric</w:t>
            </w:r>
            <w:proofErr w:type="spellEnd"/>
            <w:r w:rsidRPr="00DC69D3">
              <w:rPr>
                <w:sz w:val="20"/>
                <w:lang w:val="en-US"/>
              </w:rPr>
              <w:t xml:space="preserve"> </w:t>
            </w:r>
            <w:r>
              <w:rPr>
                <w:sz w:val="20"/>
                <w:lang w:val="en-US"/>
              </w:rPr>
              <w:t>CAO</w:t>
            </w:r>
          </w:p>
        </w:tc>
        <w:tc>
          <w:tcPr>
            <w:tcW w:w="1843" w:type="dxa"/>
          </w:tcPr>
          <w:p w14:paraId="7A94951D" w14:textId="77777777" w:rsidR="00B813A6" w:rsidRPr="00DC69D3" w:rsidRDefault="00B813A6" w:rsidP="00B813A6">
            <w:pPr>
              <w:tabs>
                <w:tab w:val="left" w:pos="459"/>
              </w:tabs>
              <w:jc w:val="center"/>
              <w:rPr>
                <w:sz w:val="20"/>
                <w:lang w:val="en-US"/>
              </w:rPr>
            </w:pPr>
            <w:r w:rsidRPr="00DC69D3">
              <w:rPr>
                <w:sz w:val="20"/>
                <w:lang w:val="en-US"/>
              </w:rPr>
              <w:t xml:space="preserve">No </w:t>
            </w:r>
            <w:proofErr w:type="spellStart"/>
            <w:r w:rsidRPr="00DC69D3">
              <w:rPr>
                <w:sz w:val="20"/>
                <w:lang w:val="en-US"/>
              </w:rPr>
              <w:t>spirometric</w:t>
            </w:r>
            <w:proofErr w:type="spellEnd"/>
          </w:p>
          <w:p w14:paraId="31297BB0" w14:textId="77777777" w:rsidR="00B813A6" w:rsidRPr="00DC69D3" w:rsidRDefault="00B813A6" w:rsidP="00B813A6">
            <w:pPr>
              <w:tabs>
                <w:tab w:val="left" w:pos="459"/>
              </w:tabs>
              <w:jc w:val="center"/>
              <w:rPr>
                <w:sz w:val="20"/>
                <w:lang w:val="en-US"/>
              </w:rPr>
            </w:pPr>
            <w:r>
              <w:rPr>
                <w:sz w:val="20"/>
                <w:lang w:val="en-US"/>
              </w:rPr>
              <w:t>CAO</w:t>
            </w:r>
          </w:p>
        </w:tc>
        <w:tc>
          <w:tcPr>
            <w:tcW w:w="1559" w:type="dxa"/>
          </w:tcPr>
          <w:p w14:paraId="1F7AD60C" w14:textId="77777777" w:rsidR="00B813A6" w:rsidRPr="00DC69D3" w:rsidRDefault="00B813A6" w:rsidP="00B813A6">
            <w:pPr>
              <w:jc w:val="center"/>
              <w:rPr>
                <w:sz w:val="20"/>
                <w:lang w:val="en-US"/>
              </w:rPr>
            </w:pPr>
            <w:r w:rsidRPr="00DC69D3">
              <w:rPr>
                <w:sz w:val="20"/>
                <w:lang w:val="en-US"/>
              </w:rPr>
              <w:t>Total</w:t>
            </w:r>
          </w:p>
        </w:tc>
      </w:tr>
      <w:tr w:rsidR="00B813A6" w:rsidRPr="00DC69D3" w14:paraId="6D17AD02" w14:textId="77777777" w:rsidTr="00B813A6">
        <w:tc>
          <w:tcPr>
            <w:tcW w:w="3402" w:type="dxa"/>
          </w:tcPr>
          <w:p w14:paraId="29E5D375" w14:textId="77777777" w:rsidR="00B813A6" w:rsidRPr="00DC69D3" w:rsidRDefault="00B813A6" w:rsidP="00B813A6">
            <w:pPr>
              <w:rPr>
                <w:sz w:val="20"/>
                <w:lang w:val="en-US"/>
              </w:rPr>
            </w:pPr>
            <w:r w:rsidRPr="00DC69D3">
              <w:rPr>
                <w:sz w:val="20"/>
                <w:lang w:val="en-US"/>
              </w:rPr>
              <w:t>N</w:t>
            </w:r>
          </w:p>
        </w:tc>
        <w:tc>
          <w:tcPr>
            <w:tcW w:w="1701" w:type="dxa"/>
          </w:tcPr>
          <w:p w14:paraId="70EDECCB" w14:textId="77777777" w:rsidR="00B813A6" w:rsidRPr="00DC69D3" w:rsidRDefault="00B813A6" w:rsidP="00B813A6">
            <w:pPr>
              <w:jc w:val="center"/>
              <w:rPr>
                <w:sz w:val="20"/>
                <w:lang w:val="en-US"/>
              </w:rPr>
            </w:pPr>
            <w:r w:rsidRPr="00DC69D3">
              <w:rPr>
                <w:sz w:val="20"/>
                <w:lang w:val="en-US"/>
              </w:rPr>
              <w:t>2123</w:t>
            </w:r>
          </w:p>
        </w:tc>
        <w:tc>
          <w:tcPr>
            <w:tcW w:w="1843" w:type="dxa"/>
          </w:tcPr>
          <w:p w14:paraId="72A217E9" w14:textId="77777777" w:rsidR="00B813A6" w:rsidRPr="00DC69D3" w:rsidRDefault="00B813A6" w:rsidP="00B813A6">
            <w:pPr>
              <w:jc w:val="center"/>
              <w:rPr>
                <w:sz w:val="20"/>
                <w:lang w:val="en-US"/>
              </w:rPr>
            </w:pPr>
            <w:r w:rsidRPr="00DC69D3">
              <w:rPr>
                <w:sz w:val="20"/>
                <w:lang w:val="en-US"/>
              </w:rPr>
              <w:t>16587</w:t>
            </w:r>
          </w:p>
        </w:tc>
        <w:tc>
          <w:tcPr>
            <w:tcW w:w="1559" w:type="dxa"/>
          </w:tcPr>
          <w:p w14:paraId="4F7C42B3" w14:textId="77777777" w:rsidR="00B813A6" w:rsidRPr="00DC69D3" w:rsidRDefault="00B813A6" w:rsidP="00B813A6">
            <w:pPr>
              <w:jc w:val="center"/>
              <w:rPr>
                <w:sz w:val="20"/>
                <w:lang w:val="en-US"/>
              </w:rPr>
            </w:pPr>
            <w:r w:rsidRPr="00DC69D3">
              <w:rPr>
                <w:sz w:val="20"/>
                <w:lang w:val="en-US"/>
              </w:rPr>
              <w:t>18710</w:t>
            </w:r>
          </w:p>
        </w:tc>
      </w:tr>
      <w:tr w:rsidR="00B813A6" w:rsidRPr="00DC69D3" w14:paraId="3471E6EF" w14:textId="77777777" w:rsidTr="00B813A6">
        <w:tc>
          <w:tcPr>
            <w:tcW w:w="3402" w:type="dxa"/>
          </w:tcPr>
          <w:p w14:paraId="405519B7" w14:textId="77777777" w:rsidR="00B813A6" w:rsidRPr="00DC69D3" w:rsidRDefault="00B813A6" w:rsidP="00B813A6">
            <w:pPr>
              <w:rPr>
                <w:sz w:val="20"/>
                <w:lang w:val="en-US"/>
              </w:rPr>
            </w:pPr>
            <w:r w:rsidRPr="00DC69D3">
              <w:rPr>
                <w:sz w:val="20"/>
                <w:lang w:val="en-US"/>
              </w:rPr>
              <w:t xml:space="preserve">Female </w:t>
            </w:r>
            <w:r>
              <w:rPr>
                <w:sz w:val="20"/>
                <w:lang w:val="en-US"/>
              </w:rPr>
              <w:t>gender</w:t>
            </w:r>
            <w:r w:rsidRPr="00DC69D3">
              <w:rPr>
                <w:sz w:val="20"/>
                <w:lang w:val="en-US"/>
              </w:rPr>
              <w:t>, %</w:t>
            </w:r>
          </w:p>
        </w:tc>
        <w:tc>
          <w:tcPr>
            <w:tcW w:w="1701" w:type="dxa"/>
          </w:tcPr>
          <w:p w14:paraId="1BC86237" w14:textId="77777777" w:rsidR="00B813A6" w:rsidRPr="00DC69D3" w:rsidRDefault="00B813A6" w:rsidP="00B813A6">
            <w:pPr>
              <w:jc w:val="center"/>
              <w:rPr>
                <w:sz w:val="20"/>
                <w:lang w:val="en-US"/>
              </w:rPr>
            </w:pPr>
            <w:r w:rsidRPr="00DC69D3">
              <w:rPr>
                <w:sz w:val="20"/>
                <w:lang w:val="en-US"/>
              </w:rPr>
              <w:t>46.4</w:t>
            </w:r>
            <w:r>
              <w:rPr>
                <w:sz w:val="20"/>
                <w:lang w:val="en-US"/>
              </w:rPr>
              <w:t xml:space="preserve"> </w:t>
            </w:r>
            <w:r w:rsidRPr="002826A8">
              <w:rPr>
                <w:color w:val="000000" w:themeColor="text1"/>
                <w:sz w:val="20"/>
                <w:lang w:val="en-US"/>
              </w:rPr>
              <w:t>(44.2, 48.5)</w:t>
            </w:r>
          </w:p>
        </w:tc>
        <w:tc>
          <w:tcPr>
            <w:tcW w:w="1843" w:type="dxa"/>
          </w:tcPr>
          <w:p w14:paraId="716C9E8F" w14:textId="77777777" w:rsidR="00B813A6" w:rsidRPr="00DC69D3" w:rsidRDefault="00B813A6" w:rsidP="00B813A6">
            <w:pPr>
              <w:jc w:val="center"/>
              <w:rPr>
                <w:sz w:val="20"/>
                <w:lang w:val="en-US"/>
              </w:rPr>
            </w:pPr>
            <w:r>
              <w:rPr>
                <w:sz w:val="20"/>
                <w:lang w:val="en-US"/>
              </w:rPr>
              <w:t xml:space="preserve">51.9 </w:t>
            </w:r>
            <w:r w:rsidRPr="002826A8">
              <w:rPr>
                <w:color w:val="000000" w:themeColor="text1"/>
                <w:sz w:val="20"/>
                <w:lang w:val="en-US"/>
              </w:rPr>
              <w:t>(51.1, 52.6)</w:t>
            </w:r>
          </w:p>
        </w:tc>
        <w:tc>
          <w:tcPr>
            <w:tcW w:w="1559" w:type="dxa"/>
          </w:tcPr>
          <w:p w14:paraId="6F0BD832" w14:textId="77777777" w:rsidR="00B813A6" w:rsidRPr="00DC69D3" w:rsidRDefault="00B813A6" w:rsidP="00B813A6">
            <w:pPr>
              <w:jc w:val="center"/>
              <w:rPr>
                <w:sz w:val="20"/>
                <w:lang w:val="en-US"/>
              </w:rPr>
            </w:pPr>
            <w:r w:rsidRPr="00DC69D3">
              <w:rPr>
                <w:sz w:val="20"/>
                <w:lang w:val="en-US"/>
              </w:rPr>
              <w:t>51.3</w:t>
            </w:r>
            <w:r>
              <w:rPr>
                <w:sz w:val="20"/>
                <w:lang w:val="en-US"/>
              </w:rPr>
              <w:t xml:space="preserve"> </w:t>
            </w:r>
            <w:r w:rsidRPr="002826A8">
              <w:rPr>
                <w:color w:val="000000" w:themeColor="text1"/>
                <w:sz w:val="20"/>
                <w:lang w:val="en-US"/>
              </w:rPr>
              <w:t>(50.5, 52.0)</w:t>
            </w:r>
          </w:p>
        </w:tc>
      </w:tr>
      <w:tr w:rsidR="00B813A6" w:rsidRPr="00CD225A" w14:paraId="320512AC" w14:textId="77777777" w:rsidTr="00B813A6">
        <w:tc>
          <w:tcPr>
            <w:tcW w:w="3402" w:type="dxa"/>
          </w:tcPr>
          <w:p w14:paraId="10B5208A" w14:textId="77777777" w:rsidR="00B813A6" w:rsidRPr="00CD225A" w:rsidRDefault="00B813A6" w:rsidP="00B813A6">
            <w:pPr>
              <w:rPr>
                <w:sz w:val="20"/>
              </w:rPr>
            </w:pPr>
            <w:r w:rsidRPr="00DC69D3">
              <w:rPr>
                <w:sz w:val="20"/>
                <w:lang w:val="en-US"/>
              </w:rPr>
              <w:t xml:space="preserve">Age, </w:t>
            </w:r>
            <w:r w:rsidRPr="00CD225A">
              <w:rPr>
                <w:sz w:val="20"/>
              </w:rPr>
              <w:t>mean (SD)</w:t>
            </w:r>
            <w:r>
              <w:rPr>
                <w:sz w:val="20"/>
              </w:rPr>
              <w:t xml:space="preserve"> years</w:t>
            </w:r>
          </w:p>
        </w:tc>
        <w:tc>
          <w:tcPr>
            <w:tcW w:w="1701" w:type="dxa"/>
          </w:tcPr>
          <w:p w14:paraId="0FAE0D13" w14:textId="77777777" w:rsidR="00B813A6" w:rsidRPr="00CD225A" w:rsidRDefault="00B813A6" w:rsidP="00B813A6">
            <w:pPr>
              <w:jc w:val="center"/>
              <w:rPr>
                <w:sz w:val="20"/>
              </w:rPr>
            </w:pPr>
            <w:r w:rsidRPr="00CD225A">
              <w:rPr>
                <w:sz w:val="20"/>
              </w:rPr>
              <w:t>60.7 (11.9)</w:t>
            </w:r>
          </w:p>
        </w:tc>
        <w:tc>
          <w:tcPr>
            <w:tcW w:w="1843" w:type="dxa"/>
          </w:tcPr>
          <w:p w14:paraId="23385B8F" w14:textId="77777777" w:rsidR="00B813A6" w:rsidRPr="00CD225A" w:rsidRDefault="00B813A6" w:rsidP="00B813A6">
            <w:pPr>
              <w:jc w:val="center"/>
              <w:rPr>
                <w:sz w:val="20"/>
              </w:rPr>
            </w:pPr>
            <w:r w:rsidRPr="00CD225A">
              <w:rPr>
                <w:sz w:val="20"/>
              </w:rPr>
              <w:t>55.2 (11.0)</w:t>
            </w:r>
          </w:p>
        </w:tc>
        <w:tc>
          <w:tcPr>
            <w:tcW w:w="1559" w:type="dxa"/>
          </w:tcPr>
          <w:p w14:paraId="441D45A1" w14:textId="77777777" w:rsidR="00B813A6" w:rsidRPr="00CD225A" w:rsidRDefault="00B813A6" w:rsidP="00B813A6">
            <w:pPr>
              <w:jc w:val="center"/>
              <w:rPr>
                <w:sz w:val="20"/>
              </w:rPr>
            </w:pPr>
            <w:r w:rsidRPr="00CD225A">
              <w:rPr>
                <w:sz w:val="20"/>
              </w:rPr>
              <w:t>55.8 (11.3)</w:t>
            </w:r>
          </w:p>
        </w:tc>
      </w:tr>
      <w:tr w:rsidR="00B813A6" w:rsidRPr="00CD225A" w14:paraId="1E96BE9B" w14:textId="77777777" w:rsidTr="00B813A6">
        <w:tc>
          <w:tcPr>
            <w:tcW w:w="3402" w:type="dxa"/>
          </w:tcPr>
          <w:p w14:paraId="07AA1A84" w14:textId="77777777" w:rsidR="00B813A6" w:rsidRPr="00CD225A" w:rsidRDefault="00B813A6" w:rsidP="00B813A6">
            <w:pPr>
              <w:rPr>
                <w:sz w:val="20"/>
              </w:rPr>
            </w:pPr>
            <w:r w:rsidRPr="00CD225A">
              <w:rPr>
                <w:sz w:val="20"/>
              </w:rPr>
              <w:t>Smoking habit</w:t>
            </w:r>
          </w:p>
        </w:tc>
        <w:tc>
          <w:tcPr>
            <w:tcW w:w="1701" w:type="dxa"/>
          </w:tcPr>
          <w:p w14:paraId="23C7FF1D" w14:textId="77777777" w:rsidR="00B813A6" w:rsidRPr="00CD225A" w:rsidRDefault="00B813A6" w:rsidP="00B813A6">
            <w:pPr>
              <w:jc w:val="center"/>
              <w:rPr>
                <w:sz w:val="20"/>
              </w:rPr>
            </w:pPr>
          </w:p>
        </w:tc>
        <w:tc>
          <w:tcPr>
            <w:tcW w:w="1843" w:type="dxa"/>
          </w:tcPr>
          <w:p w14:paraId="4A92C81D" w14:textId="77777777" w:rsidR="00B813A6" w:rsidRPr="00CD225A" w:rsidRDefault="00B813A6" w:rsidP="00B813A6">
            <w:pPr>
              <w:jc w:val="center"/>
              <w:rPr>
                <w:sz w:val="20"/>
              </w:rPr>
            </w:pPr>
          </w:p>
        </w:tc>
        <w:tc>
          <w:tcPr>
            <w:tcW w:w="1559" w:type="dxa"/>
          </w:tcPr>
          <w:p w14:paraId="7C13CC6F" w14:textId="77777777" w:rsidR="00B813A6" w:rsidRPr="00CD225A" w:rsidRDefault="00B813A6" w:rsidP="00B813A6">
            <w:pPr>
              <w:jc w:val="center"/>
              <w:rPr>
                <w:sz w:val="20"/>
              </w:rPr>
            </w:pPr>
          </w:p>
        </w:tc>
      </w:tr>
      <w:tr w:rsidR="00B813A6" w:rsidRPr="00CD225A" w14:paraId="71FDBEE4" w14:textId="77777777" w:rsidTr="00B813A6">
        <w:tc>
          <w:tcPr>
            <w:tcW w:w="3402" w:type="dxa"/>
          </w:tcPr>
          <w:p w14:paraId="181AF297" w14:textId="77777777" w:rsidR="00B813A6" w:rsidRPr="00CD225A" w:rsidRDefault="00B813A6" w:rsidP="00B813A6">
            <w:pPr>
              <w:rPr>
                <w:sz w:val="20"/>
              </w:rPr>
            </w:pPr>
            <w:r>
              <w:rPr>
                <w:sz w:val="20"/>
              </w:rPr>
              <w:tab/>
              <w:t>N</w:t>
            </w:r>
            <w:r w:rsidRPr="00CD225A">
              <w:rPr>
                <w:sz w:val="20"/>
              </w:rPr>
              <w:t>ever-smoker, %</w:t>
            </w:r>
          </w:p>
        </w:tc>
        <w:tc>
          <w:tcPr>
            <w:tcW w:w="1701" w:type="dxa"/>
          </w:tcPr>
          <w:p w14:paraId="5CD939C2" w14:textId="77777777" w:rsidR="00B813A6" w:rsidRPr="00CD225A" w:rsidRDefault="00B813A6" w:rsidP="00B813A6">
            <w:pPr>
              <w:jc w:val="center"/>
              <w:rPr>
                <w:sz w:val="20"/>
              </w:rPr>
            </w:pPr>
            <w:r w:rsidRPr="00CD225A">
              <w:rPr>
                <w:sz w:val="20"/>
              </w:rPr>
              <w:t>33.9</w:t>
            </w:r>
            <w:r>
              <w:rPr>
                <w:sz w:val="20"/>
              </w:rPr>
              <w:t xml:space="preserve"> </w:t>
            </w:r>
            <w:r w:rsidRPr="002826A8">
              <w:rPr>
                <w:color w:val="000000" w:themeColor="text1"/>
                <w:sz w:val="20"/>
              </w:rPr>
              <w:t>(32.0, 36.0)</w:t>
            </w:r>
          </w:p>
        </w:tc>
        <w:tc>
          <w:tcPr>
            <w:tcW w:w="1843" w:type="dxa"/>
          </w:tcPr>
          <w:p w14:paraId="1489BC71" w14:textId="77777777" w:rsidR="00B813A6" w:rsidRPr="00CD225A" w:rsidRDefault="00B813A6" w:rsidP="00B813A6">
            <w:pPr>
              <w:jc w:val="center"/>
              <w:rPr>
                <w:sz w:val="20"/>
              </w:rPr>
            </w:pPr>
            <w:r w:rsidRPr="00CD225A">
              <w:rPr>
                <w:sz w:val="20"/>
              </w:rPr>
              <w:t>57.2</w:t>
            </w:r>
            <w:r>
              <w:rPr>
                <w:sz w:val="20"/>
              </w:rPr>
              <w:t xml:space="preserve"> </w:t>
            </w:r>
            <w:r w:rsidRPr="002826A8">
              <w:rPr>
                <w:color w:val="000000" w:themeColor="text1"/>
                <w:sz w:val="20"/>
              </w:rPr>
              <w:t>(56.4, 58.0)</w:t>
            </w:r>
          </w:p>
        </w:tc>
        <w:tc>
          <w:tcPr>
            <w:tcW w:w="1559" w:type="dxa"/>
          </w:tcPr>
          <w:p w14:paraId="030F0349" w14:textId="77777777" w:rsidR="00B813A6" w:rsidRPr="00CD225A" w:rsidRDefault="00B813A6" w:rsidP="00B813A6">
            <w:pPr>
              <w:jc w:val="center"/>
              <w:rPr>
                <w:sz w:val="20"/>
              </w:rPr>
            </w:pPr>
            <w:r w:rsidRPr="00CD225A">
              <w:rPr>
                <w:sz w:val="20"/>
              </w:rPr>
              <w:t>54.</w:t>
            </w:r>
            <w:r w:rsidRPr="002826A8">
              <w:rPr>
                <w:color w:val="000000" w:themeColor="text1"/>
                <w:sz w:val="20"/>
              </w:rPr>
              <w:t>6 (53.8, 55.3)</w:t>
            </w:r>
          </w:p>
        </w:tc>
      </w:tr>
      <w:tr w:rsidR="00B813A6" w:rsidRPr="00CD225A" w14:paraId="3F7D6CAB" w14:textId="77777777" w:rsidTr="00B813A6">
        <w:tc>
          <w:tcPr>
            <w:tcW w:w="3402" w:type="dxa"/>
          </w:tcPr>
          <w:p w14:paraId="2E911396" w14:textId="77777777" w:rsidR="00B813A6" w:rsidRPr="00CD225A" w:rsidRDefault="00B813A6" w:rsidP="00B813A6">
            <w:pPr>
              <w:rPr>
                <w:sz w:val="20"/>
              </w:rPr>
            </w:pPr>
            <w:r>
              <w:rPr>
                <w:sz w:val="20"/>
              </w:rPr>
              <w:tab/>
              <w:t>E</w:t>
            </w:r>
            <w:r w:rsidRPr="00CD225A">
              <w:rPr>
                <w:sz w:val="20"/>
              </w:rPr>
              <w:t>x-smoker, %</w:t>
            </w:r>
          </w:p>
        </w:tc>
        <w:tc>
          <w:tcPr>
            <w:tcW w:w="1701" w:type="dxa"/>
          </w:tcPr>
          <w:p w14:paraId="0EA93B7C" w14:textId="77777777" w:rsidR="00B813A6" w:rsidRPr="00CD225A" w:rsidRDefault="00B813A6" w:rsidP="00B813A6">
            <w:pPr>
              <w:jc w:val="center"/>
              <w:rPr>
                <w:sz w:val="20"/>
              </w:rPr>
            </w:pPr>
            <w:r w:rsidRPr="00CD225A">
              <w:rPr>
                <w:sz w:val="20"/>
              </w:rPr>
              <w:t>31.</w:t>
            </w:r>
            <w:r w:rsidRPr="002826A8">
              <w:rPr>
                <w:color w:val="000000" w:themeColor="text1"/>
                <w:sz w:val="20"/>
              </w:rPr>
              <w:t>0 (29.1, 33.0)</w:t>
            </w:r>
          </w:p>
        </w:tc>
        <w:tc>
          <w:tcPr>
            <w:tcW w:w="1843" w:type="dxa"/>
          </w:tcPr>
          <w:p w14:paraId="0D5BBD4C" w14:textId="77777777" w:rsidR="00B813A6" w:rsidRPr="00CD225A" w:rsidRDefault="00B813A6" w:rsidP="00B813A6">
            <w:pPr>
              <w:jc w:val="center"/>
              <w:rPr>
                <w:sz w:val="20"/>
              </w:rPr>
            </w:pPr>
            <w:r w:rsidRPr="00CD225A">
              <w:rPr>
                <w:sz w:val="20"/>
              </w:rPr>
              <w:t>23.</w:t>
            </w:r>
            <w:r w:rsidRPr="002826A8">
              <w:rPr>
                <w:color w:val="000000" w:themeColor="text1"/>
                <w:sz w:val="20"/>
              </w:rPr>
              <w:t>9 (23.2, 24.5)</w:t>
            </w:r>
          </w:p>
        </w:tc>
        <w:tc>
          <w:tcPr>
            <w:tcW w:w="1559" w:type="dxa"/>
          </w:tcPr>
          <w:p w14:paraId="1379B765" w14:textId="77777777" w:rsidR="00B813A6" w:rsidRPr="00CD225A" w:rsidRDefault="00B813A6" w:rsidP="00B813A6">
            <w:pPr>
              <w:jc w:val="center"/>
              <w:rPr>
                <w:sz w:val="20"/>
              </w:rPr>
            </w:pPr>
            <w:r>
              <w:rPr>
                <w:sz w:val="20"/>
              </w:rPr>
              <w:t xml:space="preserve"> </w:t>
            </w:r>
            <w:r w:rsidRPr="00CD225A">
              <w:rPr>
                <w:sz w:val="20"/>
              </w:rPr>
              <w:t>24.7</w:t>
            </w:r>
            <w:r>
              <w:rPr>
                <w:sz w:val="20"/>
              </w:rPr>
              <w:t xml:space="preserve"> </w:t>
            </w:r>
            <w:r w:rsidRPr="002826A8">
              <w:rPr>
                <w:color w:val="000000" w:themeColor="text1"/>
                <w:sz w:val="20"/>
              </w:rPr>
              <w:t>(24.1, 25.3)</w:t>
            </w:r>
          </w:p>
        </w:tc>
      </w:tr>
      <w:tr w:rsidR="00B813A6" w:rsidRPr="00CD225A" w14:paraId="0CCF987B" w14:textId="77777777" w:rsidTr="00B813A6">
        <w:tc>
          <w:tcPr>
            <w:tcW w:w="3402" w:type="dxa"/>
          </w:tcPr>
          <w:p w14:paraId="49BEA0D4" w14:textId="77777777" w:rsidR="00B813A6" w:rsidRPr="00CD225A" w:rsidRDefault="00B813A6" w:rsidP="00B813A6">
            <w:pPr>
              <w:rPr>
                <w:sz w:val="20"/>
              </w:rPr>
            </w:pPr>
            <w:r>
              <w:rPr>
                <w:sz w:val="20"/>
              </w:rPr>
              <w:tab/>
              <w:t>C</w:t>
            </w:r>
            <w:r w:rsidRPr="00CD225A">
              <w:rPr>
                <w:sz w:val="20"/>
              </w:rPr>
              <w:t>urrent smoker, %</w:t>
            </w:r>
          </w:p>
        </w:tc>
        <w:tc>
          <w:tcPr>
            <w:tcW w:w="1701" w:type="dxa"/>
          </w:tcPr>
          <w:p w14:paraId="312CD483" w14:textId="77777777" w:rsidR="00B813A6" w:rsidRPr="00CD225A" w:rsidRDefault="00B813A6" w:rsidP="00B813A6">
            <w:pPr>
              <w:jc w:val="center"/>
              <w:rPr>
                <w:sz w:val="20"/>
              </w:rPr>
            </w:pPr>
            <w:r w:rsidRPr="00CD225A">
              <w:rPr>
                <w:sz w:val="20"/>
              </w:rPr>
              <w:t>35.1</w:t>
            </w:r>
            <w:r>
              <w:rPr>
                <w:sz w:val="20"/>
              </w:rPr>
              <w:t xml:space="preserve"> </w:t>
            </w:r>
            <w:r w:rsidRPr="002826A8">
              <w:rPr>
                <w:color w:val="000000" w:themeColor="text1"/>
                <w:sz w:val="20"/>
              </w:rPr>
              <w:t>(33.1, 37.1)</w:t>
            </w:r>
          </w:p>
        </w:tc>
        <w:tc>
          <w:tcPr>
            <w:tcW w:w="1843" w:type="dxa"/>
          </w:tcPr>
          <w:p w14:paraId="1FE163DC" w14:textId="77777777" w:rsidR="00B813A6" w:rsidRPr="00CD225A" w:rsidRDefault="00B813A6" w:rsidP="00B813A6">
            <w:pPr>
              <w:rPr>
                <w:sz w:val="20"/>
              </w:rPr>
            </w:pPr>
            <w:r>
              <w:rPr>
                <w:sz w:val="20"/>
              </w:rPr>
              <w:t xml:space="preserve">    </w:t>
            </w:r>
            <w:r w:rsidRPr="00CD225A">
              <w:rPr>
                <w:sz w:val="20"/>
              </w:rPr>
              <w:t>18.9</w:t>
            </w:r>
            <w:r>
              <w:rPr>
                <w:sz w:val="20"/>
              </w:rPr>
              <w:t xml:space="preserve"> </w:t>
            </w:r>
            <w:r w:rsidRPr="002826A8">
              <w:rPr>
                <w:color w:val="000000" w:themeColor="text1"/>
                <w:sz w:val="20"/>
              </w:rPr>
              <w:t>(18.4, 19.5)</w:t>
            </w:r>
          </w:p>
        </w:tc>
        <w:tc>
          <w:tcPr>
            <w:tcW w:w="1559" w:type="dxa"/>
          </w:tcPr>
          <w:p w14:paraId="24C0A03A" w14:textId="77777777" w:rsidR="00B813A6" w:rsidRPr="00CD225A" w:rsidRDefault="00B813A6" w:rsidP="00B813A6">
            <w:pPr>
              <w:jc w:val="center"/>
              <w:rPr>
                <w:sz w:val="20"/>
              </w:rPr>
            </w:pPr>
            <w:r w:rsidRPr="00CD225A">
              <w:rPr>
                <w:sz w:val="20"/>
              </w:rPr>
              <w:t>20.8</w:t>
            </w:r>
            <w:r>
              <w:rPr>
                <w:sz w:val="20"/>
              </w:rPr>
              <w:t xml:space="preserve"> </w:t>
            </w:r>
            <w:r w:rsidRPr="002826A8">
              <w:rPr>
                <w:color w:val="000000" w:themeColor="text1"/>
                <w:sz w:val="20"/>
              </w:rPr>
              <w:t>(20.2, 21.4)</w:t>
            </w:r>
          </w:p>
        </w:tc>
      </w:tr>
      <w:tr w:rsidR="00B813A6" w:rsidRPr="00CD225A" w14:paraId="7C39FFCD" w14:textId="77777777" w:rsidTr="00B813A6">
        <w:tc>
          <w:tcPr>
            <w:tcW w:w="3402" w:type="dxa"/>
          </w:tcPr>
          <w:p w14:paraId="13195E22" w14:textId="77777777" w:rsidR="00B813A6" w:rsidRPr="00CD225A" w:rsidRDefault="00B813A6" w:rsidP="00B813A6">
            <w:pPr>
              <w:rPr>
                <w:sz w:val="20"/>
              </w:rPr>
            </w:pPr>
            <w:r w:rsidRPr="00CD225A">
              <w:rPr>
                <w:sz w:val="20"/>
              </w:rPr>
              <w:t>Education</w:t>
            </w:r>
          </w:p>
        </w:tc>
        <w:tc>
          <w:tcPr>
            <w:tcW w:w="1701" w:type="dxa"/>
          </w:tcPr>
          <w:p w14:paraId="4F3D01B6" w14:textId="77777777" w:rsidR="00B813A6" w:rsidRPr="00CD225A" w:rsidRDefault="00B813A6" w:rsidP="00B813A6">
            <w:pPr>
              <w:jc w:val="center"/>
              <w:rPr>
                <w:sz w:val="20"/>
              </w:rPr>
            </w:pPr>
          </w:p>
        </w:tc>
        <w:tc>
          <w:tcPr>
            <w:tcW w:w="1843" w:type="dxa"/>
          </w:tcPr>
          <w:p w14:paraId="72778845" w14:textId="77777777" w:rsidR="00B813A6" w:rsidRPr="00CD225A" w:rsidRDefault="00B813A6" w:rsidP="00B813A6">
            <w:pPr>
              <w:jc w:val="center"/>
              <w:rPr>
                <w:sz w:val="20"/>
              </w:rPr>
            </w:pPr>
          </w:p>
        </w:tc>
        <w:tc>
          <w:tcPr>
            <w:tcW w:w="1559" w:type="dxa"/>
          </w:tcPr>
          <w:p w14:paraId="6EB3A125" w14:textId="77777777" w:rsidR="00B813A6" w:rsidRPr="00CD225A" w:rsidRDefault="00B813A6" w:rsidP="00B813A6">
            <w:pPr>
              <w:jc w:val="center"/>
              <w:rPr>
                <w:sz w:val="20"/>
              </w:rPr>
            </w:pPr>
          </w:p>
        </w:tc>
      </w:tr>
      <w:tr w:rsidR="00B813A6" w:rsidRPr="00CD225A" w14:paraId="6D5F725E" w14:textId="77777777" w:rsidTr="00B813A6">
        <w:tc>
          <w:tcPr>
            <w:tcW w:w="3402" w:type="dxa"/>
          </w:tcPr>
          <w:p w14:paraId="581742F3" w14:textId="77777777" w:rsidR="00B813A6" w:rsidRPr="00CD225A" w:rsidRDefault="00B813A6" w:rsidP="00B813A6">
            <w:pPr>
              <w:rPr>
                <w:sz w:val="20"/>
              </w:rPr>
            </w:pPr>
            <w:r>
              <w:rPr>
                <w:sz w:val="20"/>
              </w:rPr>
              <w:tab/>
              <w:t xml:space="preserve">None, </w:t>
            </w:r>
            <w:r w:rsidRPr="00CD225A">
              <w:rPr>
                <w:sz w:val="20"/>
              </w:rPr>
              <w:t>%</w:t>
            </w:r>
          </w:p>
        </w:tc>
        <w:tc>
          <w:tcPr>
            <w:tcW w:w="1701" w:type="dxa"/>
          </w:tcPr>
          <w:p w14:paraId="0F703846" w14:textId="77777777" w:rsidR="00B813A6" w:rsidRPr="00CD225A" w:rsidRDefault="00B813A6" w:rsidP="00B813A6">
            <w:pPr>
              <w:jc w:val="center"/>
              <w:rPr>
                <w:sz w:val="20"/>
              </w:rPr>
            </w:pPr>
            <w:r w:rsidRPr="00CD225A">
              <w:rPr>
                <w:sz w:val="20"/>
              </w:rPr>
              <w:t>14.7</w:t>
            </w:r>
            <w:r>
              <w:rPr>
                <w:sz w:val="20"/>
              </w:rPr>
              <w:t xml:space="preserve"> </w:t>
            </w:r>
            <w:r w:rsidRPr="002826A8">
              <w:rPr>
                <w:color w:val="000000" w:themeColor="text1"/>
                <w:sz w:val="20"/>
              </w:rPr>
              <w:t>(13. 2, 16.3)</w:t>
            </w:r>
          </w:p>
        </w:tc>
        <w:tc>
          <w:tcPr>
            <w:tcW w:w="1843" w:type="dxa"/>
          </w:tcPr>
          <w:p w14:paraId="5F2BA0A8" w14:textId="77777777" w:rsidR="00B813A6" w:rsidRPr="00CD225A" w:rsidRDefault="00B813A6" w:rsidP="00B813A6">
            <w:pPr>
              <w:jc w:val="center"/>
              <w:rPr>
                <w:sz w:val="20"/>
              </w:rPr>
            </w:pPr>
            <w:r w:rsidRPr="00CD225A">
              <w:rPr>
                <w:sz w:val="20"/>
              </w:rPr>
              <w:t>12.1</w:t>
            </w:r>
            <w:r>
              <w:rPr>
                <w:sz w:val="20"/>
              </w:rPr>
              <w:t xml:space="preserve"> </w:t>
            </w:r>
            <w:r w:rsidRPr="002826A8">
              <w:rPr>
                <w:color w:val="000000" w:themeColor="text1"/>
                <w:sz w:val="20"/>
              </w:rPr>
              <w:t>(11.6, 12.6)</w:t>
            </w:r>
          </w:p>
        </w:tc>
        <w:tc>
          <w:tcPr>
            <w:tcW w:w="1559" w:type="dxa"/>
          </w:tcPr>
          <w:p w14:paraId="27BF34F5" w14:textId="77777777" w:rsidR="00B813A6" w:rsidRPr="00CD225A" w:rsidRDefault="00B813A6" w:rsidP="00B813A6">
            <w:pPr>
              <w:jc w:val="center"/>
              <w:rPr>
                <w:sz w:val="20"/>
              </w:rPr>
            </w:pPr>
            <w:r w:rsidRPr="00CD225A">
              <w:rPr>
                <w:sz w:val="20"/>
              </w:rPr>
              <w:t>12.4</w:t>
            </w:r>
            <w:r>
              <w:rPr>
                <w:sz w:val="20"/>
              </w:rPr>
              <w:t xml:space="preserve"> </w:t>
            </w:r>
            <w:r w:rsidRPr="002826A8">
              <w:rPr>
                <w:color w:val="000000" w:themeColor="text1"/>
                <w:sz w:val="20"/>
              </w:rPr>
              <w:t>(11.9, 12.9)</w:t>
            </w:r>
          </w:p>
        </w:tc>
      </w:tr>
      <w:tr w:rsidR="00B813A6" w:rsidRPr="00CD225A" w14:paraId="2CE9E990" w14:textId="77777777" w:rsidTr="00B813A6">
        <w:tc>
          <w:tcPr>
            <w:tcW w:w="3402" w:type="dxa"/>
          </w:tcPr>
          <w:p w14:paraId="01B3786A" w14:textId="77777777" w:rsidR="00B813A6" w:rsidRPr="00CD225A" w:rsidRDefault="00B813A6" w:rsidP="00B813A6">
            <w:pPr>
              <w:rPr>
                <w:sz w:val="20"/>
              </w:rPr>
            </w:pPr>
            <w:r>
              <w:rPr>
                <w:sz w:val="20"/>
              </w:rPr>
              <w:tab/>
              <w:t>Pr</w:t>
            </w:r>
            <w:r w:rsidRPr="00CD225A">
              <w:rPr>
                <w:sz w:val="20"/>
              </w:rPr>
              <w:t>imary</w:t>
            </w:r>
            <w:r>
              <w:rPr>
                <w:sz w:val="20"/>
              </w:rPr>
              <w:t xml:space="preserve"> school, </w:t>
            </w:r>
            <w:r w:rsidRPr="00CD225A">
              <w:rPr>
                <w:sz w:val="20"/>
              </w:rPr>
              <w:t>%</w:t>
            </w:r>
          </w:p>
        </w:tc>
        <w:tc>
          <w:tcPr>
            <w:tcW w:w="1701" w:type="dxa"/>
          </w:tcPr>
          <w:p w14:paraId="5D1F1C26" w14:textId="77777777" w:rsidR="00B813A6" w:rsidRPr="00CD225A" w:rsidRDefault="00B813A6" w:rsidP="00B813A6">
            <w:pPr>
              <w:jc w:val="center"/>
              <w:rPr>
                <w:sz w:val="20"/>
              </w:rPr>
            </w:pPr>
            <w:r w:rsidRPr="00CD225A">
              <w:rPr>
                <w:sz w:val="20"/>
              </w:rPr>
              <w:t>21.7</w:t>
            </w:r>
            <w:r>
              <w:rPr>
                <w:sz w:val="20"/>
              </w:rPr>
              <w:t xml:space="preserve"> </w:t>
            </w:r>
            <w:r w:rsidRPr="002826A8">
              <w:rPr>
                <w:color w:val="000000" w:themeColor="text1"/>
                <w:sz w:val="20"/>
              </w:rPr>
              <w:t>(20.0, 23.5)</w:t>
            </w:r>
          </w:p>
        </w:tc>
        <w:tc>
          <w:tcPr>
            <w:tcW w:w="1843" w:type="dxa"/>
          </w:tcPr>
          <w:p w14:paraId="0D87CD01" w14:textId="77777777" w:rsidR="00B813A6" w:rsidRPr="00CD225A" w:rsidRDefault="00B813A6" w:rsidP="00B813A6">
            <w:pPr>
              <w:jc w:val="center"/>
              <w:rPr>
                <w:sz w:val="20"/>
              </w:rPr>
            </w:pPr>
            <w:r w:rsidRPr="00CD225A">
              <w:rPr>
                <w:sz w:val="20"/>
              </w:rPr>
              <w:t>15.7</w:t>
            </w:r>
            <w:r>
              <w:rPr>
                <w:sz w:val="20"/>
              </w:rPr>
              <w:t xml:space="preserve"> </w:t>
            </w:r>
            <w:r w:rsidRPr="002826A8">
              <w:rPr>
                <w:color w:val="000000" w:themeColor="text1"/>
                <w:sz w:val="20"/>
              </w:rPr>
              <w:t>(15.2, 16.3)</w:t>
            </w:r>
          </w:p>
        </w:tc>
        <w:tc>
          <w:tcPr>
            <w:tcW w:w="1559" w:type="dxa"/>
          </w:tcPr>
          <w:p w14:paraId="2DD058C3" w14:textId="77777777" w:rsidR="00B813A6" w:rsidRPr="00CD225A" w:rsidRDefault="00B813A6" w:rsidP="00B813A6">
            <w:pPr>
              <w:jc w:val="center"/>
              <w:rPr>
                <w:sz w:val="20"/>
              </w:rPr>
            </w:pPr>
            <w:r w:rsidRPr="00CD225A">
              <w:rPr>
                <w:sz w:val="20"/>
              </w:rPr>
              <w:t>16.4</w:t>
            </w:r>
            <w:r>
              <w:rPr>
                <w:sz w:val="20"/>
              </w:rPr>
              <w:t xml:space="preserve"> </w:t>
            </w:r>
            <w:r w:rsidRPr="002826A8">
              <w:rPr>
                <w:color w:val="000000" w:themeColor="text1"/>
                <w:sz w:val="20"/>
              </w:rPr>
              <w:t>(15.9, 16.9)</w:t>
            </w:r>
          </w:p>
        </w:tc>
      </w:tr>
      <w:tr w:rsidR="00B813A6" w:rsidRPr="00CD225A" w14:paraId="41941B72" w14:textId="77777777" w:rsidTr="00B813A6">
        <w:tc>
          <w:tcPr>
            <w:tcW w:w="3402" w:type="dxa"/>
          </w:tcPr>
          <w:p w14:paraId="24B2000C" w14:textId="77777777" w:rsidR="00B813A6" w:rsidRPr="00CD225A" w:rsidRDefault="00B813A6" w:rsidP="00B813A6">
            <w:pPr>
              <w:rPr>
                <w:sz w:val="20"/>
              </w:rPr>
            </w:pPr>
            <w:r>
              <w:rPr>
                <w:sz w:val="20"/>
              </w:rPr>
              <w:tab/>
              <w:t>M</w:t>
            </w:r>
            <w:r w:rsidRPr="00CD225A">
              <w:rPr>
                <w:sz w:val="20"/>
              </w:rPr>
              <w:t>iddle</w:t>
            </w:r>
            <w:r>
              <w:rPr>
                <w:sz w:val="20"/>
              </w:rPr>
              <w:t xml:space="preserve"> school, </w:t>
            </w:r>
            <w:r w:rsidRPr="00CD225A">
              <w:rPr>
                <w:sz w:val="20"/>
              </w:rPr>
              <w:t>%</w:t>
            </w:r>
          </w:p>
        </w:tc>
        <w:tc>
          <w:tcPr>
            <w:tcW w:w="1701" w:type="dxa"/>
          </w:tcPr>
          <w:p w14:paraId="5BB891D1" w14:textId="77777777" w:rsidR="00B813A6" w:rsidRPr="00CD225A" w:rsidRDefault="00B813A6" w:rsidP="00B813A6">
            <w:pPr>
              <w:jc w:val="center"/>
              <w:rPr>
                <w:sz w:val="20"/>
              </w:rPr>
            </w:pPr>
            <w:r w:rsidRPr="00CD225A">
              <w:rPr>
                <w:sz w:val="20"/>
              </w:rPr>
              <w:t>17.</w:t>
            </w:r>
            <w:r w:rsidRPr="002826A8">
              <w:rPr>
                <w:color w:val="000000" w:themeColor="text1"/>
                <w:sz w:val="20"/>
              </w:rPr>
              <w:t>0 (15.5, 18.7)</w:t>
            </w:r>
          </w:p>
        </w:tc>
        <w:tc>
          <w:tcPr>
            <w:tcW w:w="1843" w:type="dxa"/>
          </w:tcPr>
          <w:p w14:paraId="52BEE760" w14:textId="77777777" w:rsidR="00B813A6" w:rsidRPr="00CD225A" w:rsidRDefault="00B813A6" w:rsidP="00B813A6">
            <w:pPr>
              <w:jc w:val="center"/>
              <w:rPr>
                <w:sz w:val="20"/>
              </w:rPr>
            </w:pPr>
            <w:r w:rsidRPr="00CD225A">
              <w:rPr>
                <w:sz w:val="20"/>
              </w:rPr>
              <w:t>16.0</w:t>
            </w:r>
            <w:r>
              <w:rPr>
                <w:sz w:val="20"/>
              </w:rPr>
              <w:t xml:space="preserve"> </w:t>
            </w:r>
            <w:r w:rsidRPr="002826A8">
              <w:rPr>
                <w:color w:val="000000" w:themeColor="text1"/>
                <w:sz w:val="20"/>
              </w:rPr>
              <w:t>(15.5, 16.6)</w:t>
            </w:r>
          </w:p>
        </w:tc>
        <w:tc>
          <w:tcPr>
            <w:tcW w:w="1559" w:type="dxa"/>
          </w:tcPr>
          <w:p w14:paraId="00BF2FA9" w14:textId="77777777" w:rsidR="00B813A6" w:rsidRPr="00CD225A" w:rsidRDefault="00B813A6" w:rsidP="00B813A6">
            <w:pPr>
              <w:jc w:val="center"/>
              <w:rPr>
                <w:sz w:val="20"/>
              </w:rPr>
            </w:pPr>
            <w:r w:rsidRPr="00CD225A">
              <w:rPr>
                <w:sz w:val="20"/>
              </w:rPr>
              <w:t>16.1</w:t>
            </w:r>
            <w:r>
              <w:rPr>
                <w:sz w:val="20"/>
              </w:rPr>
              <w:t xml:space="preserve"> </w:t>
            </w:r>
            <w:r w:rsidRPr="002826A8">
              <w:rPr>
                <w:color w:val="000000" w:themeColor="text1"/>
                <w:sz w:val="20"/>
              </w:rPr>
              <w:t>(15.6, 16.7)</w:t>
            </w:r>
          </w:p>
        </w:tc>
      </w:tr>
      <w:tr w:rsidR="00B813A6" w:rsidRPr="00CD225A" w14:paraId="74091882" w14:textId="77777777" w:rsidTr="00B813A6">
        <w:tc>
          <w:tcPr>
            <w:tcW w:w="3402" w:type="dxa"/>
          </w:tcPr>
          <w:p w14:paraId="69EDAEF7" w14:textId="77777777" w:rsidR="00B813A6" w:rsidRPr="00CD225A" w:rsidRDefault="00B813A6" w:rsidP="00B813A6">
            <w:pPr>
              <w:rPr>
                <w:sz w:val="20"/>
              </w:rPr>
            </w:pPr>
            <w:r>
              <w:rPr>
                <w:sz w:val="20"/>
              </w:rPr>
              <w:tab/>
              <w:t>H</w:t>
            </w:r>
            <w:r w:rsidRPr="00CD225A">
              <w:rPr>
                <w:sz w:val="20"/>
              </w:rPr>
              <w:t>igh</w:t>
            </w:r>
            <w:r>
              <w:rPr>
                <w:sz w:val="20"/>
              </w:rPr>
              <w:t xml:space="preserve"> school, </w:t>
            </w:r>
            <w:r w:rsidRPr="00CD225A">
              <w:rPr>
                <w:sz w:val="20"/>
              </w:rPr>
              <w:t>%</w:t>
            </w:r>
          </w:p>
        </w:tc>
        <w:tc>
          <w:tcPr>
            <w:tcW w:w="1701" w:type="dxa"/>
          </w:tcPr>
          <w:p w14:paraId="5E5E3B21" w14:textId="77777777" w:rsidR="00B813A6" w:rsidRPr="00CD225A" w:rsidRDefault="00B813A6" w:rsidP="00B813A6">
            <w:pPr>
              <w:jc w:val="center"/>
              <w:rPr>
                <w:sz w:val="20"/>
              </w:rPr>
            </w:pPr>
            <w:r w:rsidRPr="00CD225A">
              <w:rPr>
                <w:sz w:val="20"/>
              </w:rPr>
              <w:t>24.7</w:t>
            </w:r>
            <w:r>
              <w:rPr>
                <w:sz w:val="20"/>
              </w:rPr>
              <w:t xml:space="preserve"> </w:t>
            </w:r>
            <w:r w:rsidRPr="002826A8">
              <w:rPr>
                <w:color w:val="000000" w:themeColor="text1"/>
                <w:sz w:val="20"/>
              </w:rPr>
              <w:t>(22.9, 26.6)</w:t>
            </w:r>
          </w:p>
        </w:tc>
        <w:tc>
          <w:tcPr>
            <w:tcW w:w="1843" w:type="dxa"/>
          </w:tcPr>
          <w:p w14:paraId="600F556D" w14:textId="77777777" w:rsidR="00B813A6" w:rsidRPr="00CD225A" w:rsidRDefault="00B813A6" w:rsidP="00B813A6">
            <w:pPr>
              <w:jc w:val="center"/>
              <w:rPr>
                <w:sz w:val="20"/>
              </w:rPr>
            </w:pPr>
            <w:r w:rsidRPr="00CD225A">
              <w:rPr>
                <w:sz w:val="20"/>
              </w:rPr>
              <w:t>26.2</w:t>
            </w:r>
            <w:r>
              <w:rPr>
                <w:sz w:val="20"/>
              </w:rPr>
              <w:t xml:space="preserve"> </w:t>
            </w:r>
            <w:r w:rsidRPr="002826A8">
              <w:rPr>
                <w:color w:val="000000" w:themeColor="text1"/>
                <w:sz w:val="20"/>
              </w:rPr>
              <w:t>(25.5, 26.8)</w:t>
            </w:r>
          </w:p>
        </w:tc>
        <w:tc>
          <w:tcPr>
            <w:tcW w:w="1559" w:type="dxa"/>
          </w:tcPr>
          <w:p w14:paraId="474D1AC7" w14:textId="77777777" w:rsidR="00B813A6" w:rsidRPr="00CD225A" w:rsidRDefault="00B813A6" w:rsidP="00B813A6">
            <w:pPr>
              <w:jc w:val="center"/>
              <w:rPr>
                <w:sz w:val="20"/>
              </w:rPr>
            </w:pPr>
            <w:r w:rsidRPr="00CD225A">
              <w:rPr>
                <w:sz w:val="20"/>
              </w:rPr>
              <w:t>26.0</w:t>
            </w:r>
            <w:r>
              <w:rPr>
                <w:sz w:val="20"/>
              </w:rPr>
              <w:t xml:space="preserve"> </w:t>
            </w:r>
            <w:r w:rsidRPr="002826A8">
              <w:rPr>
                <w:color w:val="000000" w:themeColor="text1"/>
                <w:sz w:val="20"/>
              </w:rPr>
              <w:t>(25.4, 26.6)</w:t>
            </w:r>
          </w:p>
        </w:tc>
      </w:tr>
      <w:tr w:rsidR="00B813A6" w:rsidRPr="00CD225A" w14:paraId="66609FB4" w14:textId="77777777" w:rsidTr="00B813A6">
        <w:tc>
          <w:tcPr>
            <w:tcW w:w="3402" w:type="dxa"/>
          </w:tcPr>
          <w:p w14:paraId="1BFE39BA" w14:textId="77777777" w:rsidR="00B813A6" w:rsidRPr="00CD225A" w:rsidRDefault="00B813A6" w:rsidP="00B813A6">
            <w:pPr>
              <w:rPr>
                <w:sz w:val="20"/>
              </w:rPr>
            </w:pPr>
            <w:r>
              <w:rPr>
                <w:sz w:val="20"/>
              </w:rPr>
              <w:tab/>
              <w:t xml:space="preserve">Some college, </w:t>
            </w:r>
            <w:r w:rsidRPr="00CD225A">
              <w:rPr>
                <w:sz w:val="20"/>
              </w:rPr>
              <w:t>%</w:t>
            </w:r>
          </w:p>
        </w:tc>
        <w:tc>
          <w:tcPr>
            <w:tcW w:w="1701" w:type="dxa"/>
          </w:tcPr>
          <w:p w14:paraId="02F949D9" w14:textId="77777777" w:rsidR="00B813A6" w:rsidRPr="00CD225A" w:rsidRDefault="00B813A6" w:rsidP="00B813A6">
            <w:pPr>
              <w:jc w:val="center"/>
              <w:rPr>
                <w:sz w:val="20"/>
              </w:rPr>
            </w:pPr>
            <w:r w:rsidRPr="00CD225A">
              <w:rPr>
                <w:sz w:val="20"/>
              </w:rPr>
              <w:t>11.</w:t>
            </w:r>
            <w:r w:rsidRPr="002826A8">
              <w:rPr>
                <w:color w:val="000000" w:themeColor="text1"/>
                <w:sz w:val="20"/>
              </w:rPr>
              <w:t>1 (9.8, 12.5)</w:t>
            </w:r>
          </w:p>
        </w:tc>
        <w:tc>
          <w:tcPr>
            <w:tcW w:w="1843" w:type="dxa"/>
          </w:tcPr>
          <w:p w14:paraId="3092C2EE" w14:textId="77777777" w:rsidR="00B813A6" w:rsidRPr="00CD225A" w:rsidRDefault="00B813A6" w:rsidP="00B813A6">
            <w:pPr>
              <w:jc w:val="center"/>
              <w:rPr>
                <w:sz w:val="20"/>
              </w:rPr>
            </w:pPr>
            <w:r w:rsidRPr="00CD225A">
              <w:rPr>
                <w:sz w:val="20"/>
              </w:rPr>
              <w:t>12.8</w:t>
            </w:r>
            <w:r>
              <w:rPr>
                <w:sz w:val="20"/>
              </w:rPr>
              <w:t xml:space="preserve"> </w:t>
            </w:r>
            <w:r w:rsidRPr="002826A8">
              <w:rPr>
                <w:color w:val="000000" w:themeColor="text1"/>
                <w:sz w:val="20"/>
              </w:rPr>
              <w:t>(12.3, 13.4)</w:t>
            </w:r>
          </w:p>
        </w:tc>
        <w:tc>
          <w:tcPr>
            <w:tcW w:w="1559" w:type="dxa"/>
          </w:tcPr>
          <w:p w14:paraId="094CE7AD" w14:textId="77777777" w:rsidR="00B813A6" w:rsidRPr="00CD225A" w:rsidRDefault="00B813A6" w:rsidP="00B813A6">
            <w:pPr>
              <w:jc w:val="center"/>
              <w:rPr>
                <w:sz w:val="20"/>
              </w:rPr>
            </w:pPr>
            <w:r w:rsidRPr="00CD225A">
              <w:rPr>
                <w:sz w:val="20"/>
              </w:rPr>
              <w:t>12.6</w:t>
            </w:r>
            <w:r>
              <w:rPr>
                <w:sz w:val="20"/>
              </w:rPr>
              <w:t xml:space="preserve"> </w:t>
            </w:r>
            <w:r w:rsidRPr="002826A8">
              <w:rPr>
                <w:color w:val="000000" w:themeColor="text1"/>
                <w:sz w:val="20"/>
              </w:rPr>
              <w:t>(12.2, 13.1)</w:t>
            </w:r>
          </w:p>
        </w:tc>
      </w:tr>
      <w:tr w:rsidR="00B813A6" w:rsidRPr="00CD225A" w14:paraId="3D1EFB79" w14:textId="77777777" w:rsidTr="00B813A6">
        <w:tc>
          <w:tcPr>
            <w:tcW w:w="3402" w:type="dxa"/>
          </w:tcPr>
          <w:p w14:paraId="23DB9DA6" w14:textId="77777777" w:rsidR="00B813A6" w:rsidRPr="00CD225A" w:rsidRDefault="00B813A6" w:rsidP="00B813A6">
            <w:pPr>
              <w:rPr>
                <w:sz w:val="20"/>
              </w:rPr>
            </w:pPr>
            <w:r>
              <w:rPr>
                <w:sz w:val="20"/>
              </w:rPr>
              <w:tab/>
              <w:t xml:space="preserve">College/university, </w:t>
            </w:r>
            <w:r w:rsidRPr="00CD225A">
              <w:rPr>
                <w:sz w:val="20"/>
              </w:rPr>
              <w:t>%</w:t>
            </w:r>
          </w:p>
        </w:tc>
        <w:tc>
          <w:tcPr>
            <w:tcW w:w="1701" w:type="dxa"/>
          </w:tcPr>
          <w:p w14:paraId="3B3BBA4E" w14:textId="77777777" w:rsidR="00B813A6" w:rsidRPr="00CD225A" w:rsidRDefault="00B813A6" w:rsidP="00B813A6">
            <w:pPr>
              <w:jc w:val="center"/>
              <w:rPr>
                <w:sz w:val="20"/>
              </w:rPr>
            </w:pPr>
            <w:r w:rsidRPr="00CD225A">
              <w:rPr>
                <w:sz w:val="20"/>
              </w:rPr>
              <w:t>10.9</w:t>
            </w:r>
            <w:r>
              <w:rPr>
                <w:sz w:val="20"/>
              </w:rPr>
              <w:t xml:space="preserve"> </w:t>
            </w:r>
            <w:r w:rsidRPr="002826A8">
              <w:rPr>
                <w:color w:val="000000" w:themeColor="text1"/>
                <w:sz w:val="20"/>
              </w:rPr>
              <w:t>(9.6, 12.3)</w:t>
            </w:r>
          </w:p>
        </w:tc>
        <w:tc>
          <w:tcPr>
            <w:tcW w:w="1843" w:type="dxa"/>
          </w:tcPr>
          <w:p w14:paraId="7D67035F" w14:textId="77777777" w:rsidR="00B813A6" w:rsidRPr="00CD225A" w:rsidRDefault="00B813A6" w:rsidP="00B813A6">
            <w:pPr>
              <w:jc w:val="center"/>
              <w:rPr>
                <w:sz w:val="20"/>
              </w:rPr>
            </w:pPr>
            <w:r w:rsidRPr="00CD225A">
              <w:rPr>
                <w:sz w:val="20"/>
              </w:rPr>
              <w:t>17.2</w:t>
            </w:r>
            <w:r>
              <w:rPr>
                <w:sz w:val="20"/>
              </w:rPr>
              <w:t xml:space="preserve"> </w:t>
            </w:r>
            <w:r w:rsidRPr="002826A8">
              <w:rPr>
                <w:color w:val="000000" w:themeColor="text1"/>
                <w:sz w:val="20"/>
              </w:rPr>
              <w:t>(16.6, 17.8)</w:t>
            </w:r>
          </w:p>
        </w:tc>
        <w:tc>
          <w:tcPr>
            <w:tcW w:w="1559" w:type="dxa"/>
          </w:tcPr>
          <w:p w14:paraId="73F946D3" w14:textId="77777777" w:rsidR="00B813A6" w:rsidRPr="00CD225A" w:rsidRDefault="00B813A6" w:rsidP="00B813A6">
            <w:pPr>
              <w:jc w:val="center"/>
              <w:rPr>
                <w:sz w:val="20"/>
              </w:rPr>
            </w:pPr>
            <w:r w:rsidRPr="00CD225A">
              <w:rPr>
                <w:sz w:val="20"/>
              </w:rPr>
              <w:t>16.5</w:t>
            </w:r>
            <w:r>
              <w:rPr>
                <w:sz w:val="20"/>
              </w:rPr>
              <w:t xml:space="preserve"> </w:t>
            </w:r>
            <w:r w:rsidRPr="002826A8">
              <w:rPr>
                <w:color w:val="000000" w:themeColor="text1"/>
                <w:sz w:val="20"/>
              </w:rPr>
              <w:t>(15.9, 17.0)</w:t>
            </w:r>
          </w:p>
        </w:tc>
      </w:tr>
      <w:tr w:rsidR="00B813A6" w:rsidRPr="00CD225A" w14:paraId="0259E4D4" w14:textId="77777777" w:rsidTr="00B813A6">
        <w:tc>
          <w:tcPr>
            <w:tcW w:w="3402" w:type="dxa"/>
          </w:tcPr>
          <w:p w14:paraId="68A21D4F" w14:textId="77777777" w:rsidR="00B813A6" w:rsidRPr="00CD225A" w:rsidRDefault="00B813A6" w:rsidP="00B813A6">
            <w:pPr>
              <w:rPr>
                <w:sz w:val="20"/>
              </w:rPr>
            </w:pPr>
            <w:r w:rsidRPr="00CD225A">
              <w:rPr>
                <w:sz w:val="20"/>
              </w:rPr>
              <w:t>Job status</w:t>
            </w:r>
          </w:p>
        </w:tc>
        <w:tc>
          <w:tcPr>
            <w:tcW w:w="1701" w:type="dxa"/>
          </w:tcPr>
          <w:p w14:paraId="2E4B3D10" w14:textId="77777777" w:rsidR="00B813A6" w:rsidRPr="00CD225A" w:rsidRDefault="00B813A6" w:rsidP="00B813A6">
            <w:pPr>
              <w:jc w:val="center"/>
              <w:rPr>
                <w:sz w:val="20"/>
              </w:rPr>
            </w:pPr>
          </w:p>
        </w:tc>
        <w:tc>
          <w:tcPr>
            <w:tcW w:w="1843" w:type="dxa"/>
          </w:tcPr>
          <w:p w14:paraId="17724EBB" w14:textId="77777777" w:rsidR="00B813A6" w:rsidRPr="00CD225A" w:rsidRDefault="00B813A6" w:rsidP="00B813A6">
            <w:pPr>
              <w:jc w:val="center"/>
              <w:rPr>
                <w:sz w:val="20"/>
              </w:rPr>
            </w:pPr>
          </w:p>
        </w:tc>
        <w:tc>
          <w:tcPr>
            <w:tcW w:w="1559" w:type="dxa"/>
          </w:tcPr>
          <w:p w14:paraId="17430D17" w14:textId="77777777" w:rsidR="00B813A6" w:rsidRPr="00CD225A" w:rsidRDefault="00B813A6" w:rsidP="00B813A6">
            <w:pPr>
              <w:jc w:val="center"/>
              <w:rPr>
                <w:sz w:val="20"/>
              </w:rPr>
            </w:pPr>
          </w:p>
        </w:tc>
      </w:tr>
      <w:tr w:rsidR="00B813A6" w:rsidRPr="00CD225A" w14:paraId="725F9124" w14:textId="77777777" w:rsidTr="00B813A6">
        <w:tc>
          <w:tcPr>
            <w:tcW w:w="3402" w:type="dxa"/>
          </w:tcPr>
          <w:p w14:paraId="4DAC58B4" w14:textId="77777777" w:rsidR="00B813A6" w:rsidRPr="00CD225A" w:rsidRDefault="00B813A6" w:rsidP="00B813A6">
            <w:pPr>
              <w:rPr>
                <w:sz w:val="20"/>
              </w:rPr>
            </w:pPr>
            <w:r>
              <w:rPr>
                <w:sz w:val="20"/>
              </w:rPr>
              <w:tab/>
              <w:t xml:space="preserve">Paid work, </w:t>
            </w:r>
            <w:r w:rsidRPr="00CD225A">
              <w:rPr>
                <w:sz w:val="20"/>
              </w:rPr>
              <w:t>%</w:t>
            </w:r>
          </w:p>
        </w:tc>
        <w:tc>
          <w:tcPr>
            <w:tcW w:w="1701" w:type="dxa"/>
          </w:tcPr>
          <w:p w14:paraId="67D3DA5E" w14:textId="77777777" w:rsidR="00B813A6" w:rsidRPr="00CD225A" w:rsidRDefault="00B813A6" w:rsidP="00B813A6">
            <w:pPr>
              <w:jc w:val="center"/>
              <w:rPr>
                <w:sz w:val="20"/>
              </w:rPr>
            </w:pPr>
            <w:r>
              <w:rPr>
                <w:sz w:val="20"/>
              </w:rPr>
              <w:t>36.</w:t>
            </w:r>
            <w:r w:rsidRPr="002826A8">
              <w:rPr>
                <w:color w:val="000000" w:themeColor="text1"/>
                <w:sz w:val="20"/>
              </w:rPr>
              <w:t>7 (34.7, 38.8)</w:t>
            </w:r>
          </w:p>
        </w:tc>
        <w:tc>
          <w:tcPr>
            <w:tcW w:w="1843" w:type="dxa"/>
          </w:tcPr>
          <w:p w14:paraId="456D24FC" w14:textId="77777777" w:rsidR="00B813A6" w:rsidRPr="00CD225A" w:rsidRDefault="00B813A6" w:rsidP="00B813A6">
            <w:pPr>
              <w:jc w:val="center"/>
              <w:rPr>
                <w:sz w:val="20"/>
              </w:rPr>
            </w:pPr>
            <w:r>
              <w:rPr>
                <w:sz w:val="20"/>
              </w:rPr>
              <w:t>53.</w:t>
            </w:r>
            <w:r w:rsidRPr="002826A8">
              <w:rPr>
                <w:color w:val="000000" w:themeColor="text1"/>
                <w:sz w:val="20"/>
              </w:rPr>
              <w:t>2 (52.4, 53.9)</w:t>
            </w:r>
          </w:p>
        </w:tc>
        <w:tc>
          <w:tcPr>
            <w:tcW w:w="1559" w:type="dxa"/>
          </w:tcPr>
          <w:p w14:paraId="0730B36A" w14:textId="77777777" w:rsidR="00B813A6" w:rsidRPr="00CD225A" w:rsidRDefault="00B813A6" w:rsidP="00B813A6">
            <w:pPr>
              <w:jc w:val="center"/>
              <w:rPr>
                <w:sz w:val="20"/>
              </w:rPr>
            </w:pPr>
            <w:r>
              <w:rPr>
                <w:sz w:val="20"/>
              </w:rPr>
              <w:t xml:space="preserve">51.3 </w:t>
            </w:r>
            <w:r w:rsidRPr="002826A8">
              <w:rPr>
                <w:color w:val="000000" w:themeColor="text1"/>
                <w:sz w:val="20"/>
              </w:rPr>
              <w:t>(50.6, 52.0)</w:t>
            </w:r>
          </w:p>
        </w:tc>
      </w:tr>
      <w:tr w:rsidR="00B813A6" w:rsidRPr="00CD225A" w14:paraId="77540F28" w14:textId="77777777" w:rsidTr="00B813A6">
        <w:tc>
          <w:tcPr>
            <w:tcW w:w="3402" w:type="dxa"/>
          </w:tcPr>
          <w:p w14:paraId="575015A7" w14:textId="77777777" w:rsidR="00B813A6" w:rsidRPr="00CD225A" w:rsidRDefault="00B813A6" w:rsidP="00B813A6">
            <w:pPr>
              <w:rPr>
                <w:sz w:val="20"/>
              </w:rPr>
            </w:pPr>
            <w:r w:rsidRPr="00CD225A">
              <w:rPr>
                <w:sz w:val="20"/>
              </w:rPr>
              <w:tab/>
            </w:r>
            <w:r>
              <w:rPr>
                <w:sz w:val="20"/>
              </w:rPr>
              <w:t>H</w:t>
            </w:r>
            <w:r w:rsidRPr="00CD225A">
              <w:rPr>
                <w:sz w:val="20"/>
              </w:rPr>
              <w:t>omemaker</w:t>
            </w:r>
            <w:r>
              <w:rPr>
                <w:sz w:val="20"/>
              </w:rPr>
              <w:t xml:space="preserve">/caregiver, </w:t>
            </w:r>
            <w:r w:rsidRPr="00CD225A">
              <w:rPr>
                <w:sz w:val="20"/>
              </w:rPr>
              <w:t>%</w:t>
            </w:r>
          </w:p>
        </w:tc>
        <w:tc>
          <w:tcPr>
            <w:tcW w:w="1701" w:type="dxa"/>
          </w:tcPr>
          <w:p w14:paraId="365B8002" w14:textId="77777777" w:rsidR="00B813A6" w:rsidRPr="00CD225A" w:rsidRDefault="00B813A6" w:rsidP="00B813A6">
            <w:pPr>
              <w:jc w:val="center"/>
              <w:rPr>
                <w:sz w:val="20"/>
              </w:rPr>
            </w:pPr>
            <w:r>
              <w:rPr>
                <w:sz w:val="20"/>
              </w:rPr>
              <w:t xml:space="preserve">14.8 </w:t>
            </w:r>
            <w:r w:rsidRPr="002826A8">
              <w:rPr>
                <w:color w:val="000000" w:themeColor="text1"/>
                <w:sz w:val="20"/>
              </w:rPr>
              <w:t>(13.3, 16.4)</w:t>
            </w:r>
          </w:p>
        </w:tc>
        <w:tc>
          <w:tcPr>
            <w:tcW w:w="1843" w:type="dxa"/>
          </w:tcPr>
          <w:p w14:paraId="6F4AAC7B" w14:textId="77777777" w:rsidR="00B813A6" w:rsidRPr="00CD225A" w:rsidRDefault="00B813A6" w:rsidP="00B813A6">
            <w:pPr>
              <w:jc w:val="center"/>
              <w:rPr>
                <w:sz w:val="20"/>
              </w:rPr>
            </w:pPr>
            <w:r w:rsidRPr="00CD225A">
              <w:rPr>
                <w:sz w:val="20"/>
              </w:rPr>
              <w:t>13.5</w:t>
            </w:r>
            <w:r>
              <w:rPr>
                <w:sz w:val="20"/>
              </w:rPr>
              <w:t xml:space="preserve"> </w:t>
            </w:r>
            <w:r w:rsidRPr="002826A8">
              <w:rPr>
                <w:color w:val="000000" w:themeColor="text1"/>
                <w:sz w:val="20"/>
              </w:rPr>
              <w:t>(13.0, 14.0)</w:t>
            </w:r>
          </w:p>
        </w:tc>
        <w:tc>
          <w:tcPr>
            <w:tcW w:w="1559" w:type="dxa"/>
          </w:tcPr>
          <w:p w14:paraId="1EC7F022" w14:textId="77777777" w:rsidR="00B813A6" w:rsidRPr="00CD225A" w:rsidRDefault="00B813A6" w:rsidP="00B813A6">
            <w:pPr>
              <w:jc w:val="center"/>
              <w:rPr>
                <w:sz w:val="20"/>
              </w:rPr>
            </w:pPr>
            <w:r w:rsidRPr="00CD225A">
              <w:rPr>
                <w:sz w:val="20"/>
              </w:rPr>
              <w:t>13.7</w:t>
            </w:r>
            <w:r>
              <w:rPr>
                <w:sz w:val="20"/>
              </w:rPr>
              <w:t xml:space="preserve"> </w:t>
            </w:r>
            <w:r w:rsidRPr="002826A8">
              <w:rPr>
                <w:color w:val="000000" w:themeColor="text1"/>
                <w:sz w:val="20"/>
              </w:rPr>
              <w:t>(13.2, 14.1)</w:t>
            </w:r>
          </w:p>
        </w:tc>
      </w:tr>
      <w:tr w:rsidR="00B813A6" w:rsidRPr="00CD225A" w14:paraId="6679A005" w14:textId="77777777" w:rsidTr="00B813A6">
        <w:tc>
          <w:tcPr>
            <w:tcW w:w="3402" w:type="dxa"/>
          </w:tcPr>
          <w:p w14:paraId="6ED66452" w14:textId="77777777" w:rsidR="00B813A6" w:rsidRPr="00CD225A" w:rsidRDefault="00B813A6" w:rsidP="00B813A6">
            <w:pPr>
              <w:rPr>
                <w:sz w:val="20"/>
              </w:rPr>
            </w:pPr>
            <w:r w:rsidRPr="00CD225A">
              <w:rPr>
                <w:sz w:val="20"/>
              </w:rPr>
              <w:tab/>
            </w:r>
            <w:r>
              <w:rPr>
                <w:sz w:val="20"/>
              </w:rPr>
              <w:t xml:space="preserve">Unemployed, </w:t>
            </w:r>
            <w:r w:rsidRPr="00CD225A">
              <w:rPr>
                <w:sz w:val="20"/>
              </w:rPr>
              <w:t>%</w:t>
            </w:r>
          </w:p>
        </w:tc>
        <w:tc>
          <w:tcPr>
            <w:tcW w:w="1701" w:type="dxa"/>
          </w:tcPr>
          <w:p w14:paraId="31D3821F" w14:textId="77777777" w:rsidR="00B813A6" w:rsidRPr="00CD225A" w:rsidRDefault="00B813A6" w:rsidP="00B813A6">
            <w:pPr>
              <w:jc w:val="center"/>
              <w:rPr>
                <w:sz w:val="20"/>
              </w:rPr>
            </w:pPr>
            <w:r>
              <w:rPr>
                <w:sz w:val="20"/>
              </w:rPr>
              <w:t>19</w:t>
            </w:r>
            <w:r w:rsidRPr="00CD225A">
              <w:rPr>
                <w:sz w:val="20"/>
              </w:rPr>
              <w:t>.6</w:t>
            </w:r>
            <w:r>
              <w:rPr>
                <w:sz w:val="20"/>
              </w:rPr>
              <w:t xml:space="preserve"> </w:t>
            </w:r>
            <w:r w:rsidRPr="002826A8">
              <w:rPr>
                <w:color w:val="000000" w:themeColor="text1"/>
                <w:sz w:val="20"/>
              </w:rPr>
              <w:t>(18.0, 21.4)</w:t>
            </w:r>
          </w:p>
        </w:tc>
        <w:tc>
          <w:tcPr>
            <w:tcW w:w="1843" w:type="dxa"/>
          </w:tcPr>
          <w:p w14:paraId="1A339B22" w14:textId="77777777" w:rsidR="00B813A6" w:rsidRPr="00CD225A" w:rsidRDefault="00B813A6" w:rsidP="00B813A6">
            <w:pPr>
              <w:jc w:val="center"/>
              <w:rPr>
                <w:sz w:val="20"/>
              </w:rPr>
            </w:pPr>
            <w:r w:rsidRPr="00CD225A">
              <w:rPr>
                <w:sz w:val="20"/>
              </w:rPr>
              <w:t>1</w:t>
            </w:r>
            <w:r>
              <w:rPr>
                <w:sz w:val="20"/>
              </w:rPr>
              <w:t>6</w:t>
            </w:r>
            <w:r w:rsidRPr="00CD225A">
              <w:rPr>
                <w:sz w:val="20"/>
              </w:rPr>
              <w:t>.</w:t>
            </w:r>
            <w:r>
              <w:rPr>
                <w:sz w:val="20"/>
              </w:rPr>
              <w:t xml:space="preserve">2 </w:t>
            </w:r>
            <w:r w:rsidRPr="002826A8">
              <w:rPr>
                <w:color w:val="000000" w:themeColor="text1"/>
                <w:sz w:val="20"/>
              </w:rPr>
              <w:t>(15.6, 16.8)</w:t>
            </w:r>
          </w:p>
        </w:tc>
        <w:tc>
          <w:tcPr>
            <w:tcW w:w="1559" w:type="dxa"/>
          </w:tcPr>
          <w:p w14:paraId="48D31FD9" w14:textId="77777777" w:rsidR="00B813A6" w:rsidRPr="00CD225A" w:rsidRDefault="00B813A6" w:rsidP="00B813A6">
            <w:pPr>
              <w:jc w:val="center"/>
              <w:rPr>
                <w:sz w:val="20"/>
              </w:rPr>
            </w:pPr>
            <w:r w:rsidRPr="00CD225A">
              <w:rPr>
                <w:sz w:val="20"/>
              </w:rPr>
              <w:t>1</w:t>
            </w:r>
            <w:r>
              <w:rPr>
                <w:sz w:val="20"/>
              </w:rPr>
              <w:t>6</w:t>
            </w:r>
            <w:r w:rsidRPr="00CD225A">
              <w:rPr>
                <w:sz w:val="20"/>
              </w:rPr>
              <w:t>.</w:t>
            </w:r>
            <w:r w:rsidRPr="002826A8">
              <w:rPr>
                <w:color w:val="000000" w:themeColor="text1"/>
                <w:sz w:val="20"/>
              </w:rPr>
              <w:t>6 (16.1, 17.1)</w:t>
            </w:r>
          </w:p>
        </w:tc>
      </w:tr>
      <w:tr w:rsidR="00B813A6" w:rsidRPr="00CD225A" w14:paraId="64CF314C" w14:textId="77777777" w:rsidTr="00B813A6">
        <w:tc>
          <w:tcPr>
            <w:tcW w:w="3402" w:type="dxa"/>
          </w:tcPr>
          <w:p w14:paraId="62FCD800" w14:textId="77777777" w:rsidR="00B813A6" w:rsidRPr="00CD225A" w:rsidRDefault="00B813A6" w:rsidP="00B813A6">
            <w:pPr>
              <w:rPr>
                <w:sz w:val="20"/>
              </w:rPr>
            </w:pPr>
            <w:r>
              <w:rPr>
                <w:sz w:val="20"/>
              </w:rPr>
              <w:tab/>
              <w:t xml:space="preserve">Above retirement age, </w:t>
            </w:r>
            <w:r w:rsidRPr="00CD225A">
              <w:rPr>
                <w:sz w:val="20"/>
              </w:rPr>
              <w:t>%</w:t>
            </w:r>
          </w:p>
        </w:tc>
        <w:tc>
          <w:tcPr>
            <w:tcW w:w="1701" w:type="dxa"/>
          </w:tcPr>
          <w:p w14:paraId="18F75F54" w14:textId="77777777" w:rsidR="00B813A6" w:rsidRPr="00CD225A" w:rsidRDefault="00B813A6" w:rsidP="00B813A6">
            <w:pPr>
              <w:jc w:val="center"/>
              <w:rPr>
                <w:sz w:val="20"/>
              </w:rPr>
            </w:pPr>
            <w:r w:rsidRPr="00CD225A">
              <w:rPr>
                <w:sz w:val="20"/>
              </w:rPr>
              <w:t>2</w:t>
            </w:r>
            <w:r>
              <w:rPr>
                <w:sz w:val="20"/>
              </w:rPr>
              <w:t>8</w:t>
            </w:r>
            <w:r w:rsidRPr="00CD225A">
              <w:rPr>
                <w:sz w:val="20"/>
              </w:rPr>
              <w:t>.</w:t>
            </w:r>
            <w:r w:rsidRPr="002826A8">
              <w:rPr>
                <w:color w:val="000000" w:themeColor="text1"/>
                <w:sz w:val="20"/>
              </w:rPr>
              <w:t>9 (27.0, 30.8)</w:t>
            </w:r>
          </w:p>
        </w:tc>
        <w:tc>
          <w:tcPr>
            <w:tcW w:w="1843" w:type="dxa"/>
          </w:tcPr>
          <w:p w14:paraId="6510DF7F" w14:textId="77777777" w:rsidR="00B813A6" w:rsidRPr="00CD225A" w:rsidRDefault="00B813A6" w:rsidP="00B813A6">
            <w:pPr>
              <w:jc w:val="center"/>
              <w:rPr>
                <w:sz w:val="20"/>
              </w:rPr>
            </w:pPr>
            <w:r>
              <w:rPr>
                <w:sz w:val="20"/>
              </w:rPr>
              <w:t xml:space="preserve">17.1 </w:t>
            </w:r>
            <w:r w:rsidRPr="002826A8">
              <w:rPr>
                <w:color w:val="000000" w:themeColor="text1"/>
                <w:sz w:val="20"/>
              </w:rPr>
              <w:t>(16.6, 17.7)</w:t>
            </w:r>
          </w:p>
        </w:tc>
        <w:tc>
          <w:tcPr>
            <w:tcW w:w="1559" w:type="dxa"/>
          </w:tcPr>
          <w:p w14:paraId="535AFE00" w14:textId="77777777" w:rsidR="00B813A6" w:rsidRPr="00CD225A" w:rsidRDefault="00B813A6" w:rsidP="00B813A6">
            <w:pPr>
              <w:jc w:val="center"/>
              <w:rPr>
                <w:sz w:val="20"/>
              </w:rPr>
            </w:pPr>
            <w:r>
              <w:rPr>
                <w:sz w:val="20"/>
              </w:rPr>
              <w:t xml:space="preserve">18.5 </w:t>
            </w:r>
            <w:r w:rsidRPr="002826A8">
              <w:rPr>
                <w:color w:val="000000" w:themeColor="text1"/>
                <w:sz w:val="20"/>
              </w:rPr>
              <w:t>(17.9, 19.0)</w:t>
            </w:r>
          </w:p>
        </w:tc>
      </w:tr>
      <w:tr w:rsidR="00B813A6" w:rsidRPr="00CD225A" w14:paraId="49400C2E" w14:textId="77777777" w:rsidTr="00B813A6">
        <w:tc>
          <w:tcPr>
            <w:tcW w:w="3402" w:type="dxa"/>
          </w:tcPr>
          <w:p w14:paraId="7BA30EA4" w14:textId="77777777" w:rsidR="00B813A6" w:rsidRPr="00CD225A" w:rsidRDefault="00B813A6" w:rsidP="00B813A6">
            <w:pPr>
              <w:rPr>
                <w:sz w:val="20"/>
              </w:rPr>
            </w:pPr>
            <w:r w:rsidRPr="00CD225A">
              <w:rPr>
                <w:sz w:val="20"/>
              </w:rPr>
              <w:t>Lung function</w:t>
            </w:r>
          </w:p>
        </w:tc>
        <w:tc>
          <w:tcPr>
            <w:tcW w:w="1701" w:type="dxa"/>
          </w:tcPr>
          <w:p w14:paraId="3975A835" w14:textId="77777777" w:rsidR="00B813A6" w:rsidRPr="00CD225A" w:rsidRDefault="00B813A6" w:rsidP="00B813A6">
            <w:pPr>
              <w:jc w:val="center"/>
              <w:rPr>
                <w:sz w:val="20"/>
              </w:rPr>
            </w:pPr>
          </w:p>
        </w:tc>
        <w:tc>
          <w:tcPr>
            <w:tcW w:w="1843" w:type="dxa"/>
          </w:tcPr>
          <w:p w14:paraId="71C2D231" w14:textId="77777777" w:rsidR="00B813A6" w:rsidRPr="00CD225A" w:rsidRDefault="00B813A6" w:rsidP="00B813A6">
            <w:pPr>
              <w:jc w:val="center"/>
              <w:rPr>
                <w:sz w:val="20"/>
              </w:rPr>
            </w:pPr>
          </w:p>
        </w:tc>
        <w:tc>
          <w:tcPr>
            <w:tcW w:w="1559" w:type="dxa"/>
          </w:tcPr>
          <w:p w14:paraId="5A0692F1" w14:textId="77777777" w:rsidR="00B813A6" w:rsidRPr="00CD225A" w:rsidRDefault="00B813A6" w:rsidP="00B813A6">
            <w:pPr>
              <w:jc w:val="center"/>
              <w:rPr>
                <w:sz w:val="20"/>
              </w:rPr>
            </w:pPr>
          </w:p>
        </w:tc>
      </w:tr>
      <w:tr w:rsidR="00B813A6" w:rsidRPr="00CD225A" w14:paraId="3E205130" w14:textId="77777777" w:rsidTr="00B813A6">
        <w:tc>
          <w:tcPr>
            <w:tcW w:w="3402" w:type="dxa"/>
          </w:tcPr>
          <w:p w14:paraId="39201861" w14:textId="77777777" w:rsidR="00B813A6" w:rsidRPr="00CD225A" w:rsidRDefault="00B813A6" w:rsidP="00B813A6">
            <w:pPr>
              <w:rPr>
                <w:sz w:val="20"/>
              </w:rPr>
            </w:pPr>
            <w:r w:rsidRPr="00CD225A">
              <w:rPr>
                <w:sz w:val="20"/>
              </w:rPr>
              <w:tab/>
              <w:t>FVC % predicted, mean (SD)</w:t>
            </w:r>
          </w:p>
        </w:tc>
        <w:tc>
          <w:tcPr>
            <w:tcW w:w="1701" w:type="dxa"/>
          </w:tcPr>
          <w:p w14:paraId="1F5408A6" w14:textId="77777777" w:rsidR="00B813A6" w:rsidRPr="00CD225A" w:rsidRDefault="00B813A6" w:rsidP="00B813A6">
            <w:pPr>
              <w:jc w:val="center"/>
              <w:rPr>
                <w:sz w:val="20"/>
              </w:rPr>
            </w:pPr>
            <w:r w:rsidRPr="00CD225A">
              <w:rPr>
                <w:sz w:val="20"/>
              </w:rPr>
              <w:t>89.2 (21.8)</w:t>
            </w:r>
          </w:p>
        </w:tc>
        <w:tc>
          <w:tcPr>
            <w:tcW w:w="1843" w:type="dxa"/>
          </w:tcPr>
          <w:p w14:paraId="75DC7FC0" w14:textId="77777777" w:rsidR="00B813A6" w:rsidRPr="00CD225A" w:rsidRDefault="00B813A6" w:rsidP="00B813A6">
            <w:pPr>
              <w:jc w:val="center"/>
              <w:rPr>
                <w:sz w:val="20"/>
              </w:rPr>
            </w:pPr>
            <w:r w:rsidRPr="00CD225A">
              <w:rPr>
                <w:sz w:val="20"/>
              </w:rPr>
              <w:t>90.3 (16.1)</w:t>
            </w:r>
          </w:p>
        </w:tc>
        <w:tc>
          <w:tcPr>
            <w:tcW w:w="1559" w:type="dxa"/>
          </w:tcPr>
          <w:p w14:paraId="271DD27A" w14:textId="77777777" w:rsidR="00B813A6" w:rsidRPr="00CD225A" w:rsidRDefault="00B813A6" w:rsidP="00B813A6">
            <w:pPr>
              <w:jc w:val="center"/>
              <w:rPr>
                <w:sz w:val="20"/>
              </w:rPr>
            </w:pPr>
            <w:r w:rsidRPr="00CD225A">
              <w:rPr>
                <w:sz w:val="20"/>
              </w:rPr>
              <w:t>90.2 (16.9)</w:t>
            </w:r>
          </w:p>
        </w:tc>
      </w:tr>
      <w:tr w:rsidR="00B813A6" w:rsidRPr="00CD225A" w14:paraId="3C276668" w14:textId="77777777" w:rsidTr="00B813A6">
        <w:tc>
          <w:tcPr>
            <w:tcW w:w="3402" w:type="dxa"/>
          </w:tcPr>
          <w:p w14:paraId="78D7611F" w14:textId="77777777" w:rsidR="00B813A6" w:rsidRPr="00CD225A" w:rsidRDefault="00B813A6" w:rsidP="00B813A6">
            <w:pPr>
              <w:rPr>
                <w:sz w:val="20"/>
              </w:rPr>
            </w:pPr>
            <w:r w:rsidRPr="00CD225A">
              <w:rPr>
                <w:sz w:val="20"/>
              </w:rPr>
              <w:tab/>
              <w:t>FEV1 % predicted, mean (SD)</w:t>
            </w:r>
          </w:p>
        </w:tc>
        <w:tc>
          <w:tcPr>
            <w:tcW w:w="1701" w:type="dxa"/>
          </w:tcPr>
          <w:p w14:paraId="79B5D56C" w14:textId="77777777" w:rsidR="00B813A6" w:rsidRPr="00CD225A" w:rsidRDefault="00B813A6" w:rsidP="00B813A6">
            <w:pPr>
              <w:jc w:val="center"/>
              <w:rPr>
                <w:sz w:val="20"/>
              </w:rPr>
            </w:pPr>
            <w:r w:rsidRPr="00CD225A">
              <w:rPr>
                <w:sz w:val="20"/>
              </w:rPr>
              <w:t>69.2 (21.4)</w:t>
            </w:r>
          </w:p>
        </w:tc>
        <w:tc>
          <w:tcPr>
            <w:tcW w:w="1843" w:type="dxa"/>
          </w:tcPr>
          <w:p w14:paraId="4FC9977B" w14:textId="77777777" w:rsidR="00B813A6" w:rsidRPr="00CD225A" w:rsidRDefault="00B813A6" w:rsidP="00B813A6">
            <w:pPr>
              <w:jc w:val="center"/>
              <w:rPr>
                <w:sz w:val="20"/>
              </w:rPr>
            </w:pPr>
            <w:r w:rsidRPr="00CD225A">
              <w:rPr>
                <w:sz w:val="20"/>
              </w:rPr>
              <w:t>92.0 (16.7)</w:t>
            </w:r>
          </w:p>
        </w:tc>
        <w:tc>
          <w:tcPr>
            <w:tcW w:w="1559" w:type="dxa"/>
          </w:tcPr>
          <w:p w14:paraId="03C51E48" w14:textId="77777777" w:rsidR="00B813A6" w:rsidRPr="00CD225A" w:rsidRDefault="00B813A6" w:rsidP="00B813A6">
            <w:pPr>
              <w:jc w:val="center"/>
              <w:rPr>
                <w:sz w:val="20"/>
              </w:rPr>
            </w:pPr>
            <w:r w:rsidRPr="00CD225A">
              <w:rPr>
                <w:sz w:val="20"/>
              </w:rPr>
              <w:t>89.4 (18.7)</w:t>
            </w:r>
          </w:p>
        </w:tc>
      </w:tr>
      <w:tr w:rsidR="00B813A6" w:rsidRPr="00CD225A" w14:paraId="4BE1D585" w14:textId="77777777" w:rsidTr="00B813A6">
        <w:tc>
          <w:tcPr>
            <w:tcW w:w="3402" w:type="dxa"/>
          </w:tcPr>
          <w:p w14:paraId="4E906ABD" w14:textId="77777777" w:rsidR="00B813A6" w:rsidRPr="00CD225A" w:rsidRDefault="00B813A6" w:rsidP="00B813A6">
            <w:pPr>
              <w:rPr>
                <w:sz w:val="20"/>
              </w:rPr>
            </w:pPr>
            <w:r w:rsidRPr="00CD225A">
              <w:rPr>
                <w:sz w:val="20"/>
              </w:rPr>
              <w:lastRenderedPageBreak/>
              <w:t>Self-reported doctor’s diagnosis</w:t>
            </w:r>
          </w:p>
        </w:tc>
        <w:tc>
          <w:tcPr>
            <w:tcW w:w="1701" w:type="dxa"/>
          </w:tcPr>
          <w:p w14:paraId="155BAF07" w14:textId="77777777" w:rsidR="00B813A6" w:rsidRPr="00CD225A" w:rsidRDefault="00B813A6" w:rsidP="00B813A6">
            <w:pPr>
              <w:jc w:val="center"/>
              <w:rPr>
                <w:sz w:val="20"/>
              </w:rPr>
            </w:pPr>
          </w:p>
        </w:tc>
        <w:tc>
          <w:tcPr>
            <w:tcW w:w="1843" w:type="dxa"/>
          </w:tcPr>
          <w:p w14:paraId="79565543" w14:textId="77777777" w:rsidR="00B813A6" w:rsidRPr="00CD225A" w:rsidRDefault="00B813A6" w:rsidP="00B813A6">
            <w:pPr>
              <w:jc w:val="center"/>
              <w:rPr>
                <w:sz w:val="20"/>
              </w:rPr>
            </w:pPr>
          </w:p>
        </w:tc>
        <w:tc>
          <w:tcPr>
            <w:tcW w:w="1559" w:type="dxa"/>
          </w:tcPr>
          <w:p w14:paraId="0011F49D" w14:textId="77777777" w:rsidR="00B813A6" w:rsidRPr="00CD225A" w:rsidRDefault="00B813A6" w:rsidP="00B813A6">
            <w:pPr>
              <w:jc w:val="center"/>
              <w:rPr>
                <w:sz w:val="20"/>
              </w:rPr>
            </w:pPr>
          </w:p>
        </w:tc>
      </w:tr>
      <w:tr w:rsidR="00B813A6" w:rsidRPr="00CD225A" w14:paraId="653AD069" w14:textId="77777777" w:rsidTr="00B813A6">
        <w:tc>
          <w:tcPr>
            <w:tcW w:w="3402" w:type="dxa"/>
          </w:tcPr>
          <w:p w14:paraId="31C928C9" w14:textId="77777777" w:rsidR="00B813A6" w:rsidRPr="00CD225A" w:rsidRDefault="00B813A6" w:rsidP="00B813A6">
            <w:pPr>
              <w:rPr>
                <w:sz w:val="20"/>
              </w:rPr>
            </w:pPr>
            <w:r>
              <w:rPr>
                <w:sz w:val="20"/>
              </w:rPr>
              <w:tab/>
              <w:t xml:space="preserve">COPD, </w:t>
            </w:r>
            <w:r w:rsidRPr="00CD225A">
              <w:rPr>
                <w:sz w:val="20"/>
              </w:rPr>
              <w:t>%</w:t>
            </w:r>
          </w:p>
        </w:tc>
        <w:tc>
          <w:tcPr>
            <w:tcW w:w="1701" w:type="dxa"/>
          </w:tcPr>
          <w:p w14:paraId="0D2E637D" w14:textId="77777777" w:rsidR="00B813A6" w:rsidRPr="00CD225A" w:rsidRDefault="00B813A6" w:rsidP="00B813A6">
            <w:pPr>
              <w:jc w:val="center"/>
              <w:rPr>
                <w:sz w:val="20"/>
              </w:rPr>
            </w:pPr>
            <w:r w:rsidRPr="00CD225A">
              <w:rPr>
                <w:sz w:val="20"/>
              </w:rPr>
              <w:t>15.</w:t>
            </w:r>
            <w:r w:rsidRPr="002826A8">
              <w:rPr>
                <w:color w:val="000000" w:themeColor="text1"/>
                <w:sz w:val="20"/>
              </w:rPr>
              <w:t>3 (13.8, 16.9)</w:t>
            </w:r>
          </w:p>
        </w:tc>
        <w:tc>
          <w:tcPr>
            <w:tcW w:w="1843" w:type="dxa"/>
          </w:tcPr>
          <w:p w14:paraId="47AB7C4A" w14:textId="77777777" w:rsidR="00B813A6" w:rsidRPr="00CD225A" w:rsidRDefault="00B813A6" w:rsidP="00B813A6">
            <w:pPr>
              <w:jc w:val="center"/>
              <w:rPr>
                <w:sz w:val="20"/>
              </w:rPr>
            </w:pPr>
            <w:r w:rsidRPr="00CD225A">
              <w:rPr>
                <w:sz w:val="20"/>
              </w:rPr>
              <w:t>2.4</w:t>
            </w:r>
            <w:r>
              <w:rPr>
                <w:sz w:val="20"/>
              </w:rPr>
              <w:t xml:space="preserve"> </w:t>
            </w:r>
            <w:r w:rsidRPr="002826A8">
              <w:rPr>
                <w:color w:val="000000" w:themeColor="text1"/>
                <w:sz w:val="20"/>
              </w:rPr>
              <w:t>(2.2, 2.6)</w:t>
            </w:r>
          </w:p>
        </w:tc>
        <w:tc>
          <w:tcPr>
            <w:tcW w:w="1559" w:type="dxa"/>
          </w:tcPr>
          <w:p w14:paraId="18CC0079" w14:textId="77777777" w:rsidR="00B813A6" w:rsidRPr="00CD225A" w:rsidRDefault="00B813A6" w:rsidP="00B813A6">
            <w:pPr>
              <w:jc w:val="center"/>
              <w:rPr>
                <w:sz w:val="20"/>
              </w:rPr>
            </w:pPr>
            <w:r w:rsidRPr="00CD225A">
              <w:rPr>
                <w:sz w:val="20"/>
              </w:rPr>
              <w:t>3.9</w:t>
            </w:r>
            <w:r>
              <w:rPr>
                <w:sz w:val="20"/>
              </w:rPr>
              <w:t xml:space="preserve"> </w:t>
            </w:r>
            <w:r w:rsidRPr="002826A8">
              <w:rPr>
                <w:color w:val="000000" w:themeColor="text1"/>
                <w:sz w:val="20"/>
              </w:rPr>
              <w:t>(3.6, 4.2)</w:t>
            </w:r>
          </w:p>
        </w:tc>
      </w:tr>
      <w:tr w:rsidR="00B813A6" w:rsidRPr="00CD225A" w14:paraId="173F8E0A" w14:textId="77777777" w:rsidTr="00B813A6">
        <w:tc>
          <w:tcPr>
            <w:tcW w:w="3402" w:type="dxa"/>
          </w:tcPr>
          <w:p w14:paraId="1C5A3DAA" w14:textId="77777777" w:rsidR="00B813A6" w:rsidRPr="00CD225A" w:rsidRDefault="00B813A6" w:rsidP="00B813A6">
            <w:pPr>
              <w:rPr>
                <w:sz w:val="20"/>
              </w:rPr>
            </w:pPr>
            <w:r w:rsidRPr="00CD225A">
              <w:rPr>
                <w:sz w:val="20"/>
              </w:rPr>
              <w:tab/>
            </w:r>
            <w:r>
              <w:rPr>
                <w:sz w:val="20"/>
              </w:rPr>
              <w:t xml:space="preserve">Hypertension, </w:t>
            </w:r>
            <w:r w:rsidRPr="00CD225A">
              <w:rPr>
                <w:sz w:val="20"/>
              </w:rPr>
              <w:t>%</w:t>
            </w:r>
          </w:p>
        </w:tc>
        <w:tc>
          <w:tcPr>
            <w:tcW w:w="1701" w:type="dxa"/>
          </w:tcPr>
          <w:p w14:paraId="4CFC5D5A" w14:textId="77777777" w:rsidR="00B813A6" w:rsidRPr="00CD225A" w:rsidRDefault="00B813A6" w:rsidP="00B813A6">
            <w:pPr>
              <w:jc w:val="center"/>
              <w:rPr>
                <w:sz w:val="20"/>
              </w:rPr>
            </w:pPr>
            <w:r w:rsidRPr="00CD225A">
              <w:rPr>
                <w:sz w:val="20"/>
              </w:rPr>
              <w:t>32.9</w:t>
            </w:r>
            <w:r>
              <w:rPr>
                <w:sz w:val="20"/>
              </w:rPr>
              <w:t xml:space="preserve"> </w:t>
            </w:r>
            <w:r w:rsidRPr="002826A8">
              <w:rPr>
                <w:color w:val="000000" w:themeColor="text1"/>
                <w:sz w:val="20"/>
              </w:rPr>
              <w:t>(30.9, 34.9)</w:t>
            </w:r>
          </w:p>
        </w:tc>
        <w:tc>
          <w:tcPr>
            <w:tcW w:w="1843" w:type="dxa"/>
          </w:tcPr>
          <w:p w14:paraId="08962130" w14:textId="77777777" w:rsidR="00B813A6" w:rsidRPr="00CD225A" w:rsidRDefault="00B813A6" w:rsidP="00B813A6">
            <w:pPr>
              <w:jc w:val="center"/>
              <w:rPr>
                <w:sz w:val="20"/>
              </w:rPr>
            </w:pPr>
            <w:r w:rsidRPr="00CD225A">
              <w:rPr>
                <w:sz w:val="20"/>
              </w:rPr>
              <w:t>26.2</w:t>
            </w:r>
            <w:r>
              <w:rPr>
                <w:sz w:val="20"/>
              </w:rPr>
              <w:t xml:space="preserve"> </w:t>
            </w:r>
            <w:r w:rsidRPr="002826A8">
              <w:rPr>
                <w:color w:val="000000" w:themeColor="text1"/>
                <w:sz w:val="20"/>
              </w:rPr>
              <w:t>(25.6, 26.9)</w:t>
            </w:r>
          </w:p>
        </w:tc>
        <w:tc>
          <w:tcPr>
            <w:tcW w:w="1559" w:type="dxa"/>
          </w:tcPr>
          <w:p w14:paraId="0283D99A" w14:textId="77777777" w:rsidR="00B813A6" w:rsidRPr="00CD225A" w:rsidRDefault="00B813A6" w:rsidP="00B813A6">
            <w:pPr>
              <w:jc w:val="center"/>
              <w:rPr>
                <w:sz w:val="20"/>
              </w:rPr>
            </w:pPr>
            <w:r w:rsidRPr="00CD225A">
              <w:rPr>
                <w:sz w:val="20"/>
              </w:rPr>
              <w:t>27.0</w:t>
            </w:r>
            <w:r>
              <w:rPr>
                <w:sz w:val="20"/>
              </w:rPr>
              <w:t xml:space="preserve"> </w:t>
            </w:r>
            <w:r w:rsidRPr="002826A8">
              <w:rPr>
                <w:color w:val="000000" w:themeColor="text1"/>
                <w:sz w:val="20"/>
              </w:rPr>
              <w:t>(26.3, 27.6)</w:t>
            </w:r>
          </w:p>
        </w:tc>
      </w:tr>
      <w:tr w:rsidR="00B813A6" w:rsidRPr="00CD225A" w14:paraId="7F591533" w14:textId="77777777" w:rsidTr="00B813A6">
        <w:tc>
          <w:tcPr>
            <w:tcW w:w="3402" w:type="dxa"/>
          </w:tcPr>
          <w:p w14:paraId="7C38C5BC" w14:textId="77777777" w:rsidR="00B813A6" w:rsidRPr="00CD225A" w:rsidRDefault="00B813A6" w:rsidP="00B813A6">
            <w:pPr>
              <w:rPr>
                <w:sz w:val="20"/>
              </w:rPr>
            </w:pPr>
            <w:r>
              <w:rPr>
                <w:sz w:val="20"/>
              </w:rPr>
              <w:tab/>
              <w:t xml:space="preserve">Heart disease, </w:t>
            </w:r>
            <w:r w:rsidRPr="00CD225A">
              <w:rPr>
                <w:sz w:val="20"/>
              </w:rPr>
              <w:t>%</w:t>
            </w:r>
          </w:p>
        </w:tc>
        <w:tc>
          <w:tcPr>
            <w:tcW w:w="1701" w:type="dxa"/>
          </w:tcPr>
          <w:p w14:paraId="2906C5AB" w14:textId="77777777" w:rsidR="00B813A6" w:rsidRPr="00CD225A" w:rsidRDefault="00B813A6" w:rsidP="00B813A6">
            <w:pPr>
              <w:jc w:val="center"/>
              <w:rPr>
                <w:sz w:val="20"/>
              </w:rPr>
            </w:pPr>
            <w:r w:rsidRPr="00CD225A">
              <w:rPr>
                <w:sz w:val="20"/>
              </w:rPr>
              <w:t>14.</w:t>
            </w:r>
            <w:r w:rsidRPr="002826A8">
              <w:rPr>
                <w:color w:val="000000" w:themeColor="text1"/>
                <w:sz w:val="20"/>
              </w:rPr>
              <w:t>3 (12.9, 15.9)</w:t>
            </w:r>
          </w:p>
        </w:tc>
        <w:tc>
          <w:tcPr>
            <w:tcW w:w="1843" w:type="dxa"/>
          </w:tcPr>
          <w:p w14:paraId="03D9FB14" w14:textId="77777777" w:rsidR="00B813A6" w:rsidRPr="00CD225A" w:rsidRDefault="00B813A6" w:rsidP="00B813A6">
            <w:pPr>
              <w:jc w:val="center"/>
              <w:rPr>
                <w:sz w:val="20"/>
              </w:rPr>
            </w:pPr>
            <w:r w:rsidRPr="00CD225A">
              <w:rPr>
                <w:sz w:val="20"/>
              </w:rPr>
              <w:t>10.0</w:t>
            </w:r>
            <w:r>
              <w:rPr>
                <w:sz w:val="20"/>
              </w:rPr>
              <w:t xml:space="preserve"> </w:t>
            </w:r>
            <w:r w:rsidRPr="002826A8">
              <w:rPr>
                <w:color w:val="000000" w:themeColor="text1"/>
                <w:sz w:val="20"/>
              </w:rPr>
              <w:t>(9.5, 10.4)</w:t>
            </w:r>
          </w:p>
        </w:tc>
        <w:tc>
          <w:tcPr>
            <w:tcW w:w="1559" w:type="dxa"/>
          </w:tcPr>
          <w:p w14:paraId="5C81EC74" w14:textId="77777777" w:rsidR="00B813A6" w:rsidRPr="00CD225A" w:rsidRDefault="00B813A6" w:rsidP="00B813A6">
            <w:pPr>
              <w:jc w:val="center"/>
              <w:rPr>
                <w:sz w:val="20"/>
              </w:rPr>
            </w:pPr>
            <w:r w:rsidRPr="00CD225A">
              <w:rPr>
                <w:sz w:val="20"/>
              </w:rPr>
              <w:t>10.</w:t>
            </w:r>
            <w:r w:rsidRPr="002826A8">
              <w:rPr>
                <w:color w:val="000000" w:themeColor="text1"/>
                <w:sz w:val="20"/>
              </w:rPr>
              <w:t>5 (10.0, 10.9)</w:t>
            </w:r>
          </w:p>
        </w:tc>
      </w:tr>
      <w:tr w:rsidR="00B813A6" w:rsidRPr="00CD225A" w14:paraId="2C3F89A2" w14:textId="77777777" w:rsidTr="00B813A6">
        <w:tc>
          <w:tcPr>
            <w:tcW w:w="3402" w:type="dxa"/>
          </w:tcPr>
          <w:p w14:paraId="178F376C" w14:textId="77777777" w:rsidR="00B813A6" w:rsidRPr="00CD225A" w:rsidRDefault="00B813A6" w:rsidP="00B813A6">
            <w:pPr>
              <w:rPr>
                <w:sz w:val="20"/>
              </w:rPr>
            </w:pPr>
            <w:r>
              <w:rPr>
                <w:sz w:val="20"/>
              </w:rPr>
              <w:tab/>
              <w:t xml:space="preserve">Diabetes, </w:t>
            </w:r>
            <w:r w:rsidRPr="00CD225A">
              <w:rPr>
                <w:sz w:val="20"/>
              </w:rPr>
              <w:t>%</w:t>
            </w:r>
          </w:p>
        </w:tc>
        <w:tc>
          <w:tcPr>
            <w:tcW w:w="1701" w:type="dxa"/>
          </w:tcPr>
          <w:p w14:paraId="6C4DE14E" w14:textId="77777777" w:rsidR="00B813A6" w:rsidRPr="00CD225A" w:rsidRDefault="00B813A6" w:rsidP="00B813A6">
            <w:pPr>
              <w:jc w:val="center"/>
              <w:rPr>
                <w:sz w:val="20"/>
              </w:rPr>
            </w:pPr>
            <w:r w:rsidRPr="00CD225A">
              <w:rPr>
                <w:sz w:val="20"/>
              </w:rPr>
              <w:t>7.2</w:t>
            </w:r>
            <w:r>
              <w:rPr>
                <w:sz w:val="20"/>
              </w:rPr>
              <w:t xml:space="preserve"> </w:t>
            </w:r>
            <w:r w:rsidRPr="002826A8">
              <w:rPr>
                <w:color w:val="000000" w:themeColor="text1"/>
                <w:sz w:val="20"/>
              </w:rPr>
              <w:t>(6.1, 8.3)</w:t>
            </w:r>
          </w:p>
        </w:tc>
        <w:tc>
          <w:tcPr>
            <w:tcW w:w="1843" w:type="dxa"/>
          </w:tcPr>
          <w:p w14:paraId="02C95A96" w14:textId="77777777" w:rsidR="00B813A6" w:rsidRPr="00CD225A" w:rsidRDefault="00B813A6" w:rsidP="00B813A6">
            <w:pPr>
              <w:jc w:val="center"/>
              <w:rPr>
                <w:sz w:val="20"/>
              </w:rPr>
            </w:pPr>
            <w:r w:rsidRPr="00CD225A">
              <w:rPr>
                <w:sz w:val="20"/>
              </w:rPr>
              <w:t>7.</w:t>
            </w:r>
            <w:r w:rsidRPr="002826A8">
              <w:rPr>
                <w:color w:val="000000" w:themeColor="text1"/>
                <w:sz w:val="20"/>
              </w:rPr>
              <w:t>5 (7.1, 7.9)</w:t>
            </w:r>
          </w:p>
        </w:tc>
        <w:tc>
          <w:tcPr>
            <w:tcW w:w="1559" w:type="dxa"/>
          </w:tcPr>
          <w:p w14:paraId="01A4D9AE" w14:textId="77777777" w:rsidR="00B813A6" w:rsidRPr="00CD225A" w:rsidRDefault="00B813A6" w:rsidP="00B813A6">
            <w:pPr>
              <w:jc w:val="center"/>
              <w:rPr>
                <w:sz w:val="20"/>
              </w:rPr>
            </w:pPr>
            <w:r w:rsidRPr="00CD225A">
              <w:rPr>
                <w:sz w:val="20"/>
              </w:rPr>
              <w:t>7.5</w:t>
            </w:r>
            <w:r>
              <w:rPr>
                <w:sz w:val="20"/>
              </w:rPr>
              <w:t xml:space="preserve"> </w:t>
            </w:r>
            <w:r w:rsidRPr="002826A8">
              <w:rPr>
                <w:color w:val="000000" w:themeColor="text1"/>
                <w:sz w:val="20"/>
              </w:rPr>
              <w:t>(7.1, 7.9)</w:t>
            </w:r>
          </w:p>
        </w:tc>
      </w:tr>
      <w:tr w:rsidR="00B813A6" w:rsidRPr="00CD225A" w14:paraId="33889D16" w14:textId="77777777" w:rsidTr="00B813A6">
        <w:tc>
          <w:tcPr>
            <w:tcW w:w="3402" w:type="dxa"/>
          </w:tcPr>
          <w:p w14:paraId="1C8FD6C7" w14:textId="77777777" w:rsidR="00B813A6" w:rsidRPr="00CD225A" w:rsidRDefault="00B813A6" w:rsidP="00B813A6">
            <w:pPr>
              <w:rPr>
                <w:sz w:val="20"/>
              </w:rPr>
            </w:pPr>
            <w:r>
              <w:rPr>
                <w:sz w:val="20"/>
              </w:rPr>
              <w:tab/>
              <w:t xml:space="preserve">Stroke, </w:t>
            </w:r>
            <w:r w:rsidRPr="00CD225A">
              <w:rPr>
                <w:sz w:val="20"/>
              </w:rPr>
              <w:t>%</w:t>
            </w:r>
          </w:p>
        </w:tc>
        <w:tc>
          <w:tcPr>
            <w:tcW w:w="1701" w:type="dxa"/>
          </w:tcPr>
          <w:p w14:paraId="552F4933" w14:textId="77777777" w:rsidR="00B813A6" w:rsidRPr="00CD225A" w:rsidRDefault="00B813A6" w:rsidP="00B813A6">
            <w:pPr>
              <w:jc w:val="center"/>
              <w:rPr>
                <w:sz w:val="20"/>
              </w:rPr>
            </w:pPr>
            <w:r w:rsidRPr="00CD225A">
              <w:rPr>
                <w:sz w:val="20"/>
              </w:rPr>
              <w:t>3.1</w:t>
            </w:r>
            <w:r>
              <w:rPr>
                <w:sz w:val="20"/>
              </w:rPr>
              <w:t xml:space="preserve"> </w:t>
            </w:r>
            <w:r w:rsidRPr="002826A8">
              <w:rPr>
                <w:color w:val="000000" w:themeColor="text1"/>
                <w:sz w:val="20"/>
              </w:rPr>
              <w:t>(2.4, 3.9)</w:t>
            </w:r>
          </w:p>
        </w:tc>
        <w:tc>
          <w:tcPr>
            <w:tcW w:w="1843" w:type="dxa"/>
          </w:tcPr>
          <w:p w14:paraId="121814DE" w14:textId="77777777" w:rsidR="00B813A6" w:rsidRPr="00CD225A" w:rsidRDefault="00B813A6" w:rsidP="00B813A6">
            <w:pPr>
              <w:jc w:val="center"/>
              <w:rPr>
                <w:sz w:val="20"/>
              </w:rPr>
            </w:pPr>
            <w:r w:rsidRPr="00CD225A">
              <w:rPr>
                <w:sz w:val="20"/>
              </w:rPr>
              <w:t>1.</w:t>
            </w:r>
            <w:r w:rsidRPr="002826A8">
              <w:rPr>
                <w:color w:val="000000" w:themeColor="text1"/>
                <w:sz w:val="20"/>
              </w:rPr>
              <w:t>9 (1.7, 2.1)</w:t>
            </w:r>
          </w:p>
        </w:tc>
        <w:tc>
          <w:tcPr>
            <w:tcW w:w="1559" w:type="dxa"/>
          </w:tcPr>
          <w:p w14:paraId="40E530A9" w14:textId="77777777" w:rsidR="00B813A6" w:rsidRPr="00CD225A" w:rsidRDefault="00B813A6" w:rsidP="00B813A6">
            <w:pPr>
              <w:jc w:val="center"/>
              <w:rPr>
                <w:sz w:val="20"/>
              </w:rPr>
            </w:pPr>
            <w:r w:rsidRPr="00CD225A">
              <w:rPr>
                <w:sz w:val="20"/>
              </w:rPr>
              <w:t>2.0</w:t>
            </w:r>
            <w:r>
              <w:rPr>
                <w:sz w:val="20"/>
              </w:rPr>
              <w:t xml:space="preserve"> </w:t>
            </w:r>
            <w:r w:rsidRPr="002826A8">
              <w:rPr>
                <w:color w:val="000000" w:themeColor="text1"/>
                <w:sz w:val="20"/>
              </w:rPr>
              <w:t>(1.8, 2.2)</w:t>
            </w:r>
          </w:p>
        </w:tc>
      </w:tr>
      <w:tr w:rsidR="00B813A6" w:rsidRPr="00CD225A" w14:paraId="70490FD0" w14:textId="77777777" w:rsidTr="00B813A6">
        <w:tc>
          <w:tcPr>
            <w:tcW w:w="3402" w:type="dxa"/>
          </w:tcPr>
          <w:p w14:paraId="1AFF18BB" w14:textId="77777777" w:rsidR="00B813A6" w:rsidRPr="00CD225A" w:rsidRDefault="00B813A6" w:rsidP="00B813A6">
            <w:pPr>
              <w:rPr>
                <w:sz w:val="20"/>
              </w:rPr>
            </w:pPr>
            <w:r>
              <w:rPr>
                <w:sz w:val="20"/>
              </w:rPr>
              <w:tab/>
              <w:t xml:space="preserve">Lung cancer, </w:t>
            </w:r>
            <w:r w:rsidRPr="00CD225A">
              <w:rPr>
                <w:sz w:val="20"/>
              </w:rPr>
              <w:t>%</w:t>
            </w:r>
          </w:p>
        </w:tc>
        <w:tc>
          <w:tcPr>
            <w:tcW w:w="1701" w:type="dxa"/>
          </w:tcPr>
          <w:p w14:paraId="47647934" w14:textId="77777777" w:rsidR="00B813A6" w:rsidRPr="00CD225A" w:rsidRDefault="00B813A6" w:rsidP="00B813A6">
            <w:pPr>
              <w:jc w:val="center"/>
              <w:rPr>
                <w:sz w:val="20"/>
              </w:rPr>
            </w:pPr>
            <w:r w:rsidRPr="00CD225A">
              <w:rPr>
                <w:sz w:val="20"/>
              </w:rPr>
              <w:t>0.7</w:t>
            </w:r>
            <w:r>
              <w:rPr>
                <w:sz w:val="20"/>
              </w:rPr>
              <w:t xml:space="preserve"> </w:t>
            </w:r>
            <w:r w:rsidRPr="002826A8">
              <w:rPr>
                <w:color w:val="000000" w:themeColor="text1"/>
                <w:sz w:val="20"/>
              </w:rPr>
              <w:t>(0.4, 1.1)</w:t>
            </w:r>
          </w:p>
        </w:tc>
        <w:tc>
          <w:tcPr>
            <w:tcW w:w="1843" w:type="dxa"/>
          </w:tcPr>
          <w:p w14:paraId="748A8D5D" w14:textId="77777777" w:rsidR="00B813A6" w:rsidRPr="00CD225A" w:rsidRDefault="00B813A6" w:rsidP="00B813A6">
            <w:pPr>
              <w:jc w:val="center"/>
              <w:rPr>
                <w:sz w:val="20"/>
              </w:rPr>
            </w:pPr>
            <w:r w:rsidRPr="00CD225A">
              <w:rPr>
                <w:sz w:val="20"/>
              </w:rPr>
              <w:t>0.2</w:t>
            </w:r>
            <w:r>
              <w:rPr>
                <w:sz w:val="20"/>
              </w:rPr>
              <w:t xml:space="preserve"> </w:t>
            </w:r>
            <w:r w:rsidRPr="002826A8">
              <w:rPr>
                <w:color w:val="000000" w:themeColor="text1"/>
                <w:sz w:val="20"/>
              </w:rPr>
              <w:t>(0.1, 0.3)</w:t>
            </w:r>
          </w:p>
        </w:tc>
        <w:tc>
          <w:tcPr>
            <w:tcW w:w="1559" w:type="dxa"/>
          </w:tcPr>
          <w:p w14:paraId="025E21F3" w14:textId="77777777" w:rsidR="00B813A6" w:rsidRPr="00CD225A" w:rsidRDefault="00B813A6" w:rsidP="00B813A6">
            <w:pPr>
              <w:jc w:val="center"/>
              <w:rPr>
                <w:sz w:val="20"/>
              </w:rPr>
            </w:pPr>
            <w:r w:rsidRPr="00CD225A">
              <w:rPr>
                <w:sz w:val="20"/>
              </w:rPr>
              <w:t>0.3</w:t>
            </w:r>
            <w:r w:rsidRPr="002826A8">
              <w:rPr>
                <w:color w:val="000000" w:themeColor="text1"/>
                <w:sz w:val="20"/>
              </w:rPr>
              <w:t xml:space="preserve"> (0.2, 0.3)</w:t>
            </w:r>
          </w:p>
        </w:tc>
      </w:tr>
      <w:tr w:rsidR="00B813A6" w:rsidRPr="00CD225A" w14:paraId="5E5BCBCA" w14:textId="77777777" w:rsidTr="00B813A6">
        <w:tc>
          <w:tcPr>
            <w:tcW w:w="3402" w:type="dxa"/>
          </w:tcPr>
          <w:p w14:paraId="3DF082AB" w14:textId="77777777" w:rsidR="00B813A6" w:rsidRPr="00CD225A" w:rsidRDefault="00B813A6" w:rsidP="00B813A6">
            <w:pPr>
              <w:rPr>
                <w:sz w:val="20"/>
              </w:rPr>
            </w:pPr>
            <w:r w:rsidRPr="00CD225A">
              <w:rPr>
                <w:sz w:val="20"/>
              </w:rPr>
              <w:t>Dyspnea</w:t>
            </w:r>
          </w:p>
        </w:tc>
        <w:tc>
          <w:tcPr>
            <w:tcW w:w="1701" w:type="dxa"/>
          </w:tcPr>
          <w:p w14:paraId="4ED1BE73" w14:textId="77777777" w:rsidR="00B813A6" w:rsidRPr="00CD225A" w:rsidRDefault="00B813A6" w:rsidP="00B813A6">
            <w:pPr>
              <w:jc w:val="center"/>
              <w:rPr>
                <w:sz w:val="20"/>
              </w:rPr>
            </w:pPr>
          </w:p>
        </w:tc>
        <w:tc>
          <w:tcPr>
            <w:tcW w:w="1843" w:type="dxa"/>
          </w:tcPr>
          <w:p w14:paraId="5F8423EF" w14:textId="77777777" w:rsidR="00B813A6" w:rsidRPr="00CD225A" w:rsidRDefault="00B813A6" w:rsidP="00B813A6">
            <w:pPr>
              <w:jc w:val="center"/>
              <w:rPr>
                <w:sz w:val="20"/>
              </w:rPr>
            </w:pPr>
          </w:p>
        </w:tc>
        <w:tc>
          <w:tcPr>
            <w:tcW w:w="1559" w:type="dxa"/>
          </w:tcPr>
          <w:p w14:paraId="6B635FB6" w14:textId="77777777" w:rsidR="00B813A6" w:rsidRPr="00CD225A" w:rsidRDefault="00B813A6" w:rsidP="00B813A6">
            <w:pPr>
              <w:jc w:val="center"/>
              <w:rPr>
                <w:sz w:val="20"/>
              </w:rPr>
            </w:pPr>
          </w:p>
        </w:tc>
      </w:tr>
      <w:tr w:rsidR="00B813A6" w:rsidRPr="00CD225A" w14:paraId="208AA621" w14:textId="77777777" w:rsidTr="00B813A6">
        <w:tc>
          <w:tcPr>
            <w:tcW w:w="3402" w:type="dxa"/>
          </w:tcPr>
          <w:p w14:paraId="02A5FC32" w14:textId="77777777" w:rsidR="00B813A6" w:rsidRPr="00CD225A" w:rsidRDefault="00B813A6" w:rsidP="00B813A6">
            <w:pPr>
              <w:rPr>
                <w:sz w:val="20"/>
              </w:rPr>
            </w:pPr>
            <w:r>
              <w:rPr>
                <w:sz w:val="20"/>
              </w:rPr>
              <w:tab/>
              <w:t xml:space="preserve">mMRC 0, </w:t>
            </w:r>
            <w:r w:rsidRPr="00CD225A">
              <w:rPr>
                <w:sz w:val="20"/>
              </w:rPr>
              <w:t>%</w:t>
            </w:r>
          </w:p>
        </w:tc>
        <w:tc>
          <w:tcPr>
            <w:tcW w:w="1701" w:type="dxa"/>
          </w:tcPr>
          <w:p w14:paraId="34C8CEA6" w14:textId="77777777" w:rsidR="00B813A6" w:rsidRPr="00CD225A" w:rsidRDefault="00B813A6" w:rsidP="00B813A6">
            <w:pPr>
              <w:jc w:val="center"/>
              <w:rPr>
                <w:sz w:val="20"/>
              </w:rPr>
            </w:pPr>
            <w:r w:rsidRPr="00CD225A">
              <w:rPr>
                <w:sz w:val="20"/>
              </w:rPr>
              <w:t>55.8</w:t>
            </w:r>
            <w:r>
              <w:rPr>
                <w:sz w:val="20"/>
              </w:rPr>
              <w:t xml:space="preserve"> </w:t>
            </w:r>
            <w:r w:rsidRPr="002826A8">
              <w:rPr>
                <w:color w:val="000000" w:themeColor="text1"/>
                <w:sz w:val="20"/>
              </w:rPr>
              <w:t>(53.5, 58.0)</w:t>
            </w:r>
          </w:p>
        </w:tc>
        <w:tc>
          <w:tcPr>
            <w:tcW w:w="1843" w:type="dxa"/>
          </w:tcPr>
          <w:p w14:paraId="16AC90E6" w14:textId="77777777" w:rsidR="00B813A6" w:rsidRPr="00CD225A" w:rsidRDefault="00B813A6" w:rsidP="00B813A6">
            <w:pPr>
              <w:jc w:val="center"/>
              <w:rPr>
                <w:sz w:val="20"/>
              </w:rPr>
            </w:pPr>
            <w:r w:rsidRPr="00CD225A">
              <w:rPr>
                <w:sz w:val="20"/>
              </w:rPr>
              <w:t>78.8</w:t>
            </w:r>
            <w:r>
              <w:rPr>
                <w:sz w:val="20"/>
              </w:rPr>
              <w:t xml:space="preserve"> </w:t>
            </w:r>
            <w:r w:rsidRPr="002826A8">
              <w:rPr>
                <w:color w:val="000000" w:themeColor="text1"/>
                <w:sz w:val="20"/>
              </w:rPr>
              <w:t>(78.1, 79.4)</w:t>
            </w:r>
          </w:p>
        </w:tc>
        <w:tc>
          <w:tcPr>
            <w:tcW w:w="1559" w:type="dxa"/>
          </w:tcPr>
          <w:p w14:paraId="753F82D2" w14:textId="77777777" w:rsidR="00B813A6" w:rsidRPr="00CD225A" w:rsidRDefault="00B813A6" w:rsidP="00B813A6">
            <w:pPr>
              <w:jc w:val="center"/>
              <w:rPr>
                <w:sz w:val="20"/>
              </w:rPr>
            </w:pPr>
            <w:r w:rsidRPr="00CD225A">
              <w:rPr>
                <w:sz w:val="20"/>
              </w:rPr>
              <w:t>7</w:t>
            </w:r>
            <w:r>
              <w:rPr>
                <w:sz w:val="20"/>
              </w:rPr>
              <w:t>6</w:t>
            </w:r>
            <w:r w:rsidRPr="00CD225A">
              <w:rPr>
                <w:sz w:val="20"/>
              </w:rPr>
              <w:t>.2</w:t>
            </w:r>
            <w:r>
              <w:rPr>
                <w:sz w:val="20"/>
              </w:rPr>
              <w:t xml:space="preserve"> </w:t>
            </w:r>
            <w:r w:rsidRPr="002826A8">
              <w:rPr>
                <w:color w:val="000000" w:themeColor="text1"/>
                <w:sz w:val="20"/>
              </w:rPr>
              <w:t>(75.6, 76.9)</w:t>
            </w:r>
          </w:p>
        </w:tc>
      </w:tr>
      <w:tr w:rsidR="00B813A6" w:rsidRPr="00CD225A" w14:paraId="0F46C321" w14:textId="77777777" w:rsidTr="00B813A6">
        <w:tc>
          <w:tcPr>
            <w:tcW w:w="3402" w:type="dxa"/>
          </w:tcPr>
          <w:p w14:paraId="021412F0" w14:textId="77777777" w:rsidR="00B813A6" w:rsidRPr="00CD225A" w:rsidRDefault="00B813A6" w:rsidP="00B813A6">
            <w:pPr>
              <w:rPr>
                <w:sz w:val="20"/>
              </w:rPr>
            </w:pPr>
            <w:r>
              <w:rPr>
                <w:sz w:val="20"/>
              </w:rPr>
              <w:tab/>
              <w:t xml:space="preserve">mMRC 1, </w:t>
            </w:r>
            <w:r w:rsidRPr="00CD225A">
              <w:rPr>
                <w:sz w:val="20"/>
              </w:rPr>
              <w:t>%</w:t>
            </w:r>
          </w:p>
        </w:tc>
        <w:tc>
          <w:tcPr>
            <w:tcW w:w="1701" w:type="dxa"/>
          </w:tcPr>
          <w:p w14:paraId="57273796" w14:textId="77777777" w:rsidR="00B813A6" w:rsidRPr="00CD225A" w:rsidRDefault="00B813A6" w:rsidP="00B813A6">
            <w:pPr>
              <w:jc w:val="center"/>
              <w:rPr>
                <w:sz w:val="20"/>
              </w:rPr>
            </w:pPr>
            <w:r w:rsidRPr="00CD225A">
              <w:rPr>
                <w:sz w:val="20"/>
              </w:rPr>
              <w:t>17.1</w:t>
            </w:r>
            <w:r>
              <w:rPr>
                <w:sz w:val="20"/>
              </w:rPr>
              <w:t xml:space="preserve"> </w:t>
            </w:r>
            <w:r w:rsidRPr="002826A8">
              <w:rPr>
                <w:color w:val="000000" w:themeColor="text1"/>
                <w:sz w:val="20"/>
              </w:rPr>
              <w:t>(15.5, 18.9)</w:t>
            </w:r>
          </w:p>
        </w:tc>
        <w:tc>
          <w:tcPr>
            <w:tcW w:w="1843" w:type="dxa"/>
          </w:tcPr>
          <w:p w14:paraId="168C4A64" w14:textId="77777777" w:rsidR="00B813A6" w:rsidRPr="00CD225A" w:rsidRDefault="00B813A6" w:rsidP="00B813A6">
            <w:pPr>
              <w:jc w:val="center"/>
              <w:rPr>
                <w:sz w:val="20"/>
              </w:rPr>
            </w:pPr>
            <w:r w:rsidRPr="00CD225A">
              <w:rPr>
                <w:sz w:val="20"/>
              </w:rPr>
              <w:t>12.1</w:t>
            </w:r>
            <w:r>
              <w:rPr>
                <w:sz w:val="20"/>
              </w:rPr>
              <w:t xml:space="preserve"> </w:t>
            </w:r>
            <w:r w:rsidRPr="002826A8">
              <w:rPr>
                <w:color w:val="000000" w:themeColor="text1"/>
                <w:sz w:val="20"/>
              </w:rPr>
              <w:t>(11.6, 12.6)</w:t>
            </w:r>
          </w:p>
        </w:tc>
        <w:tc>
          <w:tcPr>
            <w:tcW w:w="1559" w:type="dxa"/>
          </w:tcPr>
          <w:p w14:paraId="1F0EA117" w14:textId="77777777" w:rsidR="00B813A6" w:rsidRPr="00CD225A" w:rsidRDefault="00B813A6" w:rsidP="00B813A6">
            <w:pPr>
              <w:jc w:val="center"/>
              <w:rPr>
                <w:sz w:val="20"/>
              </w:rPr>
            </w:pPr>
            <w:r w:rsidRPr="00CD225A">
              <w:rPr>
                <w:sz w:val="20"/>
              </w:rPr>
              <w:t>12.7</w:t>
            </w:r>
            <w:r>
              <w:rPr>
                <w:sz w:val="20"/>
              </w:rPr>
              <w:t xml:space="preserve"> </w:t>
            </w:r>
            <w:r w:rsidRPr="002826A8">
              <w:rPr>
                <w:color w:val="000000" w:themeColor="text1"/>
                <w:sz w:val="20"/>
              </w:rPr>
              <w:t>(12.2, 13.2)</w:t>
            </w:r>
          </w:p>
        </w:tc>
      </w:tr>
      <w:tr w:rsidR="00B813A6" w:rsidRPr="00CD225A" w14:paraId="0745C4E0" w14:textId="77777777" w:rsidTr="00B813A6">
        <w:tc>
          <w:tcPr>
            <w:tcW w:w="3402" w:type="dxa"/>
          </w:tcPr>
          <w:p w14:paraId="28B87F50" w14:textId="77777777" w:rsidR="00B813A6" w:rsidRPr="00CD225A" w:rsidRDefault="00B813A6" w:rsidP="00B813A6">
            <w:pPr>
              <w:rPr>
                <w:sz w:val="20"/>
              </w:rPr>
            </w:pPr>
            <w:r>
              <w:rPr>
                <w:sz w:val="20"/>
              </w:rPr>
              <w:tab/>
              <w:t xml:space="preserve">mMRC 2, </w:t>
            </w:r>
            <w:r w:rsidRPr="00CD225A">
              <w:rPr>
                <w:sz w:val="20"/>
              </w:rPr>
              <w:t>%</w:t>
            </w:r>
          </w:p>
        </w:tc>
        <w:tc>
          <w:tcPr>
            <w:tcW w:w="1701" w:type="dxa"/>
          </w:tcPr>
          <w:p w14:paraId="48F8EDFD" w14:textId="77777777" w:rsidR="00B813A6" w:rsidRPr="00CD225A" w:rsidRDefault="00B813A6" w:rsidP="00B813A6">
            <w:pPr>
              <w:jc w:val="center"/>
              <w:rPr>
                <w:sz w:val="20"/>
              </w:rPr>
            </w:pPr>
            <w:r w:rsidRPr="00CD225A">
              <w:rPr>
                <w:sz w:val="20"/>
              </w:rPr>
              <w:t>13.2</w:t>
            </w:r>
            <w:r>
              <w:rPr>
                <w:sz w:val="20"/>
              </w:rPr>
              <w:t xml:space="preserve"> </w:t>
            </w:r>
            <w:r w:rsidRPr="002826A8">
              <w:rPr>
                <w:color w:val="000000" w:themeColor="text1"/>
                <w:sz w:val="20"/>
              </w:rPr>
              <w:t>(11.7, 14.8)</w:t>
            </w:r>
          </w:p>
        </w:tc>
        <w:tc>
          <w:tcPr>
            <w:tcW w:w="1843" w:type="dxa"/>
          </w:tcPr>
          <w:p w14:paraId="10CED928" w14:textId="77777777" w:rsidR="00B813A6" w:rsidRPr="00CD225A" w:rsidRDefault="00B813A6" w:rsidP="00B813A6">
            <w:pPr>
              <w:jc w:val="center"/>
              <w:rPr>
                <w:sz w:val="20"/>
              </w:rPr>
            </w:pPr>
            <w:r w:rsidRPr="00CD225A">
              <w:rPr>
                <w:sz w:val="20"/>
              </w:rPr>
              <w:t>5.6</w:t>
            </w:r>
            <w:r>
              <w:rPr>
                <w:sz w:val="20"/>
              </w:rPr>
              <w:t xml:space="preserve"> </w:t>
            </w:r>
            <w:r w:rsidRPr="002826A8">
              <w:rPr>
                <w:color w:val="000000" w:themeColor="text1"/>
                <w:sz w:val="20"/>
              </w:rPr>
              <w:t>(5.2, 5.9)</w:t>
            </w:r>
          </w:p>
        </w:tc>
        <w:tc>
          <w:tcPr>
            <w:tcW w:w="1559" w:type="dxa"/>
          </w:tcPr>
          <w:p w14:paraId="6A6D89A1" w14:textId="77777777" w:rsidR="00B813A6" w:rsidRPr="00CD225A" w:rsidRDefault="00B813A6" w:rsidP="00B813A6">
            <w:pPr>
              <w:jc w:val="center"/>
              <w:rPr>
                <w:sz w:val="20"/>
              </w:rPr>
            </w:pPr>
            <w:r w:rsidRPr="00CD225A">
              <w:rPr>
                <w:sz w:val="20"/>
              </w:rPr>
              <w:t>6.4</w:t>
            </w:r>
            <w:r>
              <w:rPr>
                <w:sz w:val="20"/>
              </w:rPr>
              <w:t xml:space="preserve"> </w:t>
            </w:r>
            <w:r w:rsidRPr="002826A8">
              <w:rPr>
                <w:color w:val="000000" w:themeColor="text1"/>
                <w:sz w:val="20"/>
              </w:rPr>
              <w:t>(6.1, 6.8)</w:t>
            </w:r>
          </w:p>
        </w:tc>
      </w:tr>
      <w:tr w:rsidR="00B813A6" w:rsidRPr="00CD225A" w14:paraId="1E171CD9" w14:textId="77777777" w:rsidTr="00B813A6">
        <w:tc>
          <w:tcPr>
            <w:tcW w:w="3402" w:type="dxa"/>
          </w:tcPr>
          <w:p w14:paraId="1A9E819F" w14:textId="77777777" w:rsidR="00B813A6" w:rsidRPr="00CD225A" w:rsidRDefault="00B813A6" w:rsidP="00B813A6">
            <w:pPr>
              <w:rPr>
                <w:sz w:val="20"/>
              </w:rPr>
            </w:pPr>
            <w:r>
              <w:rPr>
                <w:sz w:val="20"/>
              </w:rPr>
              <w:tab/>
              <w:t xml:space="preserve">mMRC 3, </w:t>
            </w:r>
            <w:r w:rsidRPr="00CD225A">
              <w:rPr>
                <w:sz w:val="20"/>
              </w:rPr>
              <w:t>%</w:t>
            </w:r>
          </w:p>
        </w:tc>
        <w:tc>
          <w:tcPr>
            <w:tcW w:w="1701" w:type="dxa"/>
          </w:tcPr>
          <w:p w14:paraId="4DDF65BC" w14:textId="77777777" w:rsidR="00B813A6" w:rsidRPr="00CD225A" w:rsidRDefault="00B813A6" w:rsidP="00B813A6">
            <w:pPr>
              <w:jc w:val="center"/>
              <w:rPr>
                <w:sz w:val="20"/>
              </w:rPr>
            </w:pPr>
            <w:r w:rsidRPr="00CD225A">
              <w:rPr>
                <w:sz w:val="20"/>
              </w:rPr>
              <w:t>8.5</w:t>
            </w:r>
            <w:r>
              <w:rPr>
                <w:sz w:val="20"/>
              </w:rPr>
              <w:t xml:space="preserve"> </w:t>
            </w:r>
            <w:r w:rsidRPr="002826A8">
              <w:rPr>
                <w:color w:val="000000" w:themeColor="text1"/>
                <w:sz w:val="20"/>
              </w:rPr>
              <w:t>(7.3, 9.8)</w:t>
            </w:r>
          </w:p>
        </w:tc>
        <w:tc>
          <w:tcPr>
            <w:tcW w:w="1843" w:type="dxa"/>
          </w:tcPr>
          <w:p w14:paraId="0E4EC740" w14:textId="77777777" w:rsidR="00B813A6" w:rsidRPr="00CD225A" w:rsidRDefault="00B813A6" w:rsidP="00B813A6">
            <w:pPr>
              <w:jc w:val="center"/>
              <w:rPr>
                <w:sz w:val="20"/>
              </w:rPr>
            </w:pPr>
            <w:r w:rsidRPr="00CD225A">
              <w:rPr>
                <w:sz w:val="20"/>
              </w:rPr>
              <w:t>2.</w:t>
            </w:r>
            <w:r w:rsidRPr="002826A8">
              <w:rPr>
                <w:color w:val="000000" w:themeColor="text1"/>
                <w:sz w:val="20"/>
              </w:rPr>
              <w:t>7 (2.5, 3.0)</w:t>
            </w:r>
          </w:p>
        </w:tc>
        <w:tc>
          <w:tcPr>
            <w:tcW w:w="1559" w:type="dxa"/>
          </w:tcPr>
          <w:p w14:paraId="7F3E8F94" w14:textId="77777777" w:rsidR="00B813A6" w:rsidRPr="00CD225A" w:rsidRDefault="00B813A6" w:rsidP="00B813A6">
            <w:pPr>
              <w:jc w:val="center"/>
              <w:rPr>
                <w:sz w:val="20"/>
              </w:rPr>
            </w:pPr>
            <w:r w:rsidRPr="00CD225A">
              <w:rPr>
                <w:sz w:val="20"/>
              </w:rPr>
              <w:t>3.</w:t>
            </w:r>
            <w:r w:rsidRPr="002826A8">
              <w:rPr>
                <w:color w:val="000000" w:themeColor="text1"/>
                <w:sz w:val="20"/>
              </w:rPr>
              <w:t>3 (3.1, 3.6)</w:t>
            </w:r>
          </w:p>
        </w:tc>
      </w:tr>
      <w:tr w:rsidR="00B813A6" w:rsidRPr="00CD225A" w14:paraId="64200E86" w14:textId="77777777" w:rsidTr="00B813A6">
        <w:tc>
          <w:tcPr>
            <w:tcW w:w="3402" w:type="dxa"/>
          </w:tcPr>
          <w:p w14:paraId="77BA82E0" w14:textId="77777777" w:rsidR="00B813A6" w:rsidRPr="00CD225A" w:rsidRDefault="00B813A6" w:rsidP="00B813A6">
            <w:pPr>
              <w:rPr>
                <w:sz w:val="20"/>
              </w:rPr>
            </w:pPr>
            <w:r>
              <w:rPr>
                <w:sz w:val="20"/>
              </w:rPr>
              <w:tab/>
              <w:t xml:space="preserve">mMRC 4, </w:t>
            </w:r>
            <w:r w:rsidRPr="00CD225A">
              <w:rPr>
                <w:sz w:val="20"/>
              </w:rPr>
              <w:t>%</w:t>
            </w:r>
          </w:p>
        </w:tc>
        <w:tc>
          <w:tcPr>
            <w:tcW w:w="1701" w:type="dxa"/>
          </w:tcPr>
          <w:p w14:paraId="493BC79B" w14:textId="77777777" w:rsidR="00B813A6" w:rsidRPr="00CD225A" w:rsidRDefault="00B813A6" w:rsidP="00B813A6">
            <w:pPr>
              <w:jc w:val="center"/>
              <w:rPr>
                <w:sz w:val="20"/>
              </w:rPr>
            </w:pPr>
            <w:r w:rsidRPr="00CD225A">
              <w:rPr>
                <w:sz w:val="20"/>
              </w:rPr>
              <w:t>5.5</w:t>
            </w:r>
            <w:r>
              <w:rPr>
                <w:sz w:val="20"/>
              </w:rPr>
              <w:t xml:space="preserve"> </w:t>
            </w:r>
            <w:r w:rsidRPr="002826A8">
              <w:rPr>
                <w:color w:val="000000" w:themeColor="text1"/>
                <w:sz w:val="20"/>
              </w:rPr>
              <w:t>(4.5, 6.6)</w:t>
            </w:r>
          </w:p>
        </w:tc>
        <w:tc>
          <w:tcPr>
            <w:tcW w:w="1843" w:type="dxa"/>
          </w:tcPr>
          <w:p w14:paraId="15656572" w14:textId="77777777" w:rsidR="00B813A6" w:rsidRPr="00CD225A" w:rsidRDefault="00B813A6" w:rsidP="00B813A6">
            <w:pPr>
              <w:jc w:val="center"/>
              <w:rPr>
                <w:sz w:val="20"/>
              </w:rPr>
            </w:pPr>
            <w:r w:rsidRPr="00CD225A">
              <w:rPr>
                <w:sz w:val="20"/>
              </w:rPr>
              <w:t>0.</w:t>
            </w:r>
            <w:r w:rsidRPr="002826A8">
              <w:rPr>
                <w:color w:val="000000" w:themeColor="text1"/>
                <w:sz w:val="20"/>
              </w:rPr>
              <w:t>9 (0.7, 1.0)</w:t>
            </w:r>
          </w:p>
        </w:tc>
        <w:tc>
          <w:tcPr>
            <w:tcW w:w="1559" w:type="dxa"/>
          </w:tcPr>
          <w:p w14:paraId="6DF17B9C" w14:textId="77777777" w:rsidR="00B813A6" w:rsidRPr="00CD225A" w:rsidRDefault="00B813A6" w:rsidP="00B813A6">
            <w:pPr>
              <w:jc w:val="center"/>
              <w:rPr>
                <w:sz w:val="20"/>
              </w:rPr>
            </w:pPr>
            <w:r w:rsidRPr="00CD225A">
              <w:rPr>
                <w:sz w:val="20"/>
              </w:rPr>
              <w:t>1.4</w:t>
            </w:r>
            <w:r>
              <w:rPr>
                <w:sz w:val="20"/>
              </w:rPr>
              <w:t xml:space="preserve"> </w:t>
            </w:r>
            <w:r w:rsidRPr="002826A8">
              <w:rPr>
                <w:color w:val="000000" w:themeColor="text1"/>
                <w:sz w:val="20"/>
              </w:rPr>
              <w:t>(1.2, 1.6)</w:t>
            </w:r>
          </w:p>
        </w:tc>
      </w:tr>
      <w:tr w:rsidR="00B813A6" w:rsidRPr="00CD225A" w14:paraId="34634A6F" w14:textId="77777777" w:rsidTr="00B813A6">
        <w:tc>
          <w:tcPr>
            <w:tcW w:w="3402" w:type="dxa"/>
          </w:tcPr>
          <w:p w14:paraId="3CDA1873" w14:textId="77777777" w:rsidR="00B813A6" w:rsidRPr="00D85AD9" w:rsidRDefault="00B813A6" w:rsidP="00B813A6">
            <w:pPr>
              <w:rPr>
                <w:sz w:val="20"/>
                <w:lang w:val="en-US"/>
              </w:rPr>
            </w:pPr>
            <w:r w:rsidRPr="00D85AD9">
              <w:rPr>
                <w:sz w:val="20"/>
                <w:lang w:val="en-US"/>
              </w:rPr>
              <w:t>A</w:t>
            </w:r>
            <w:r>
              <w:rPr>
                <w:sz w:val="20"/>
                <w:lang w:val="en-US"/>
              </w:rPr>
              <w:t xml:space="preserve">ttack of wheezing 12 months, </w:t>
            </w:r>
            <w:r w:rsidRPr="00D85AD9">
              <w:rPr>
                <w:sz w:val="20"/>
                <w:lang w:val="en-US"/>
              </w:rPr>
              <w:t>%</w:t>
            </w:r>
          </w:p>
        </w:tc>
        <w:tc>
          <w:tcPr>
            <w:tcW w:w="1701" w:type="dxa"/>
          </w:tcPr>
          <w:p w14:paraId="15E8D197" w14:textId="77777777" w:rsidR="00B813A6" w:rsidRPr="00CD225A" w:rsidRDefault="00B813A6" w:rsidP="00B813A6">
            <w:pPr>
              <w:jc w:val="center"/>
              <w:rPr>
                <w:sz w:val="20"/>
              </w:rPr>
            </w:pPr>
            <w:r w:rsidRPr="00CD225A">
              <w:rPr>
                <w:sz w:val="20"/>
              </w:rPr>
              <w:t>22.3</w:t>
            </w:r>
            <w:r>
              <w:rPr>
                <w:sz w:val="20"/>
              </w:rPr>
              <w:t xml:space="preserve"> </w:t>
            </w:r>
            <w:r w:rsidRPr="002826A8">
              <w:rPr>
                <w:color w:val="000000" w:themeColor="text1"/>
                <w:sz w:val="20"/>
              </w:rPr>
              <w:t>(20.6, 24.1)</w:t>
            </w:r>
          </w:p>
        </w:tc>
        <w:tc>
          <w:tcPr>
            <w:tcW w:w="1843" w:type="dxa"/>
          </w:tcPr>
          <w:p w14:paraId="1FBD5138" w14:textId="77777777" w:rsidR="00B813A6" w:rsidRPr="00CD225A" w:rsidRDefault="00B813A6" w:rsidP="00B813A6">
            <w:pPr>
              <w:jc w:val="center"/>
              <w:rPr>
                <w:sz w:val="20"/>
              </w:rPr>
            </w:pPr>
            <w:r w:rsidRPr="00CD225A">
              <w:rPr>
                <w:sz w:val="20"/>
              </w:rPr>
              <w:t>6.</w:t>
            </w:r>
            <w:r w:rsidRPr="002826A8">
              <w:rPr>
                <w:color w:val="000000" w:themeColor="text1"/>
                <w:sz w:val="20"/>
              </w:rPr>
              <w:t>3 (5.9, 6.6)</w:t>
            </w:r>
          </w:p>
        </w:tc>
        <w:tc>
          <w:tcPr>
            <w:tcW w:w="1559" w:type="dxa"/>
          </w:tcPr>
          <w:p w14:paraId="3CE19022" w14:textId="77777777" w:rsidR="00B813A6" w:rsidRPr="00CD225A" w:rsidRDefault="00B813A6" w:rsidP="00B813A6">
            <w:pPr>
              <w:jc w:val="center"/>
              <w:rPr>
                <w:sz w:val="20"/>
              </w:rPr>
            </w:pPr>
            <w:r w:rsidRPr="00CD225A">
              <w:rPr>
                <w:sz w:val="20"/>
              </w:rPr>
              <w:t>8.1</w:t>
            </w:r>
            <w:r>
              <w:rPr>
                <w:sz w:val="20"/>
              </w:rPr>
              <w:t xml:space="preserve"> </w:t>
            </w:r>
            <w:r w:rsidRPr="002826A8">
              <w:rPr>
                <w:color w:val="000000" w:themeColor="text1"/>
                <w:sz w:val="20"/>
              </w:rPr>
              <w:t>(7.7, 8.5)</w:t>
            </w:r>
          </w:p>
        </w:tc>
      </w:tr>
      <w:tr w:rsidR="00B813A6" w:rsidRPr="00CD225A" w14:paraId="4C20B7D1" w14:textId="77777777" w:rsidTr="00B813A6">
        <w:tc>
          <w:tcPr>
            <w:tcW w:w="3402" w:type="dxa"/>
          </w:tcPr>
          <w:p w14:paraId="602B553F" w14:textId="77777777" w:rsidR="00B813A6" w:rsidRPr="00CD225A" w:rsidRDefault="00B813A6" w:rsidP="00B813A6">
            <w:pPr>
              <w:rPr>
                <w:sz w:val="20"/>
              </w:rPr>
            </w:pPr>
            <w:r>
              <w:rPr>
                <w:sz w:val="20"/>
              </w:rPr>
              <w:t xml:space="preserve">Chronic bronchitis, </w:t>
            </w:r>
            <w:r w:rsidRPr="00CD225A">
              <w:rPr>
                <w:sz w:val="20"/>
              </w:rPr>
              <w:t>%</w:t>
            </w:r>
          </w:p>
        </w:tc>
        <w:tc>
          <w:tcPr>
            <w:tcW w:w="1701" w:type="dxa"/>
          </w:tcPr>
          <w:p w14:paraId="79723251" w14:textId="77777777" w:rsidR="00B813A6" w:rsidRPr="00CD225A" w:rsidRDefault="00B813A6" w:rsidP="00B813A6">
            <w:pPr>
              <w:jc w:val="center"/>
              <w:rPr>
                <w:sz w:val="20"/>
              </w:rPr>
            </w:pPr>
            <w:r w:rsidRPr="00CD225A">
              <w:rPr>
                <w:sz w:val="20"/>
              </w:rPr>
              <w:t>15</w:t>
            </w:r>
            <w:r>
              <w:rPr>
                <w:sz w:val="20"/>
              </w:rPr>
              <w:t>.</w:t>
            </w:r>
            <w:r w:rsidRPr="00CD225A">
              <w:rPr>
                <w:sz w:val="20"/>
              </w:rPr>
              <w:t>4</w:t>
            </w:r>
            <w:r>
              <w:rPr>
                <w:sz w:val="20"/>
              </w:rPr>
              <w:t xml:space="preserve"> </w:t>
            </w:r>
            <w:r w:rsidRPr="002826A8">
              <w:rPr>
                <w:color w:val="000000" w:themeColor="text1"/>
                <w:sz w:val="20"/>
              </w:rPr>
              <w:t>(13.9, 17.0)</w:t>
            </w:r>
          </w:p>
        </w:tc>
        <w:tc>
          <w:tcPr>
            <w:tcW w:w="1843" w:type="dxa"/>
          </w:tcPr>
          <w:p w14:paraId="2D0144DD" w14:textId="77777777" w:rsidR="00B813A6" w:rsidRPr="00CD225A" w:rsidRDefault="00B813A6" w:rsidP="00B813A6">
            <w:pPr>
              <w:jc w:val="center"/>
              <w:rPr>
                <w:sz w:val="20"/>
              </w:rPr>
            </w:pPr>
            <w:r w:rsidRPr="00CD225A">
              <w:rPr>
                <w:sz w:val="20"/>
              </w:rPr>
              <w:t>5.1</w:t>
            </w:r>
            <w:r>
              <w:rPr>
                <w:sz w:val="20"/>
              </w:rPr>
              <w:t xml:space="preserve"> </w:t>
            </w:r>
            <w:r w:rsidRPr="002826A8">
              <w:rPr>
                <w:color w:val="000000" w:themeColor="text1"/>
                <w:sz w:val="20"/>
              </w:rPr>
              <w:t>(4.8, 5.5)</w:t>
            </w:r>
          </w:p>
        </w:tc>
        <w:tc>
          <w:tcPr>
            <w:tcW w:w="1559" w:type="dxa"/>
          </w:tcPr>
          <w:p w14:paraId="24BB9A71" w14:textId="77777777" w:rsidR="00B813A6" w:rsidRPr="00CD225A" w:rsidRDefault="00B813A6" w:rsidP="00B813A6">
            <w:pPr>
              <w:jc w:val="center"/>
              <w:rPr>
                <w:sz w:val="20"/>
              </w:rPr>
            </w:pPr>
            <w:r w:rsidRPr="00CD225A">
              <w:rPr>
                <w:sz w:val="20"/>
              </w:rPr>
              <w:t>6.</w:t>
            </w:r>
            <w:r w:rsidRPr="002826A8">
              <w:rPr>
                <w:color w:val="000000" w:themeColor="text1"/>
                <w:sz w:val="20"/>
              </w:rPr>
              <w:t>3 (5.9, 6.6)</w:t>
            </w:r>
          </w:p>
        </w:tc>
      </w:tr>
    </w:tbl>
    <w:p w14:paraId="1E38B3CE" w14:textId="77777777" w:rsidR="00B813A6" w:rsidRDefault="00B813A6" w:rsidP="00B813A6">
      <w:pPr>
        <w:rPr>
          <w:sz w:val="16"/>
          <w:lang w:val="en-US"/>
        </w:rPr>
      </w:pPr>
      <w:r w:rsidRPr="00D85AD9">
        <w:rPr>
          <w:sz w:val="16"/>
          <w:lang w:val="en-US"/>
        </w:rPr>
        <w:t xml:space="preserve">All comparisons between </w:t>
      </w:r>
      <w:r>
        <w:rPr>
          <w:sz w:val="16"/>
          <w:lang w:val="en-US"/>
        </w:rPr>
        <w:t>CAO</w:t>
      </w:r>
      <w:r w:rsidRPr="00D85AD9">
        <w:rPr>
          <w:sz w:val="16"/>
          <w:lang w:val="en-US"/>
        </w:rPr>
        <w:t xml:space="preserve"> and non-</w:t>
      </w:r>
      <w:r>
        <w:rPr>
          <w:sz w:val="16"/>
          <w:lang w:val="en-US"/>
        </w:rPr>
        <w:t>CAO</w:t>
      </w:r>
      <w:r w:rsidRPr="00D85AD9">
        <w:rPr>
          <w:sz w:val="16"/>
          <w:lang w:val="en-US"/>
        </w:rPr>
        <w:t xml:space="preserve"> were significant (p&lt;0.01, Pearson chi square test for categorical variables, t test for continuous variables) exc</w:t>
      </w:r>
      <w:r>
        <w:rPr>
          <w:sz w:val="16"/>
          <w:lang w:val="en-US"/>
        </w:rPr>
        <w:t xml:space="preserve">ept for self-reported diabetes. </w:t>
      </w:r>
      <w:r w:rsidRPr="002D7338">
        <w:rPr>
          <w:sz w:val="16"/>
          <w:lang w:val="en-US"/>
        </w:rPr>
        <w:t>Missing data:</w:t>
      </w:r>
      <w:r>
        <w:rPr>
          <w:sz w:val="16"/>
          <w:lang w:val="en-US"/>
        </w:rPr>
        <w:t xml:space="preserve"> </w:t>
      </w:r>
      <w:r w:rsidRPr="00D85AD9">
        <w:rPr>
          <w:sz w:val="16"/>
          <w:lang w:val="en-US"/>
        </w:rPr>
        <w:t xml:space="preserve">Smoking habits - 11 individuals (1 </w:t>
      </w:r>
      <w:r>
        <w:rPr>
          <w:sz w:val="16"/>
          <w:lang w:val="en-US"/>
        </w:rPr>
        <w:t>CAO</w:t>
      </w:r>
      <w:r w:rsidRPr="00D85AD9">
        <w:rPr>
          <w:sz w:val="16"/>
          <w:lang w:val="en-US"/>
        </w:rPr>
        <w:t>, 10 non-</w:t>
      </w:r>
      <w:r>
        <w:rPr>
          <w:sz w:val="16"/>
          <w:lang w:val="en-US"/>
        </w:rPr>
        <w:t>CAO</w:t>
      </w:r>
      <w:r w:rsidRPr="00D85AD9">
        <w:rPr>
          <w:sz w:val="16"/>
          <w:lang w:val="en-US"/>
        </w:rPr>
        <w:t>)</w:t>
      </w:r>
      <w:r>
        <w:rPr>
          <w:sz w:val="16"/>
          <w:lang w:val="en-US"/>
        </w:rPr>
        <w:t>; e</w:t>
      </w:r>
      <w:r w:rsidRPr="00D85AD9">
        <w:rPr>
          <w:sz w:val="16"/>
          <w:lang w:val="en-US"/>
        </w:rPr>
        <w:t xml:space="preserve">ducation – 25 individuals (4 </w:t>
      </w:r>
      <w:r>
        <w:rPr>
          <w:sz w:val="16"/>
          <w:lang w:val="en-US"/>
        </w:rPr>
        <w:t>CAO</w:t>
      </w:r>
      <w:r w:rsidRPr="00D85AD9">
        <w:rPr>
          <w:sz w:val="16"/>
          <w:lang w:val="en-US"/>
        </w:rPr>
        <w:t>, 21 non-</w:t>
      </w:r>
      <w:r>
        <w:rPr>
          <w:sz w:val="16"/>
          <w:lang w:val="en-US"/>
        </w:rPr>
        <w:t>CAO); h</w:t>
      </w:r>
      <w:r w:rsidRPr="00D85AD9">
        <w:rPr>
          <w:sz w:val="16"/>
          <w:lang w:val="en-US"/>
        </w:rPr>
        <w:t xml:space="preserve">ypertension, diabetes, stroke, lung cancer, heart disease – 1 individual (1 </w:t>
      </w:r>
      <w:r>
        <w:rPr>
          <w:sz w:val="16"/>
          <w:lang w:val="en-US"/>
        </w:rPr>
        <w:t>CAO</w:t>
      </w:r>
      <w:r w:rsidRPr="00D85AD9">
        <w:rPr>
          <w:sz w:val="16"/>
          <w:lang w:val="en-US"/>
        </w:rPr>
        <w:t>)</w:t>
      </w:r>
      <w:r>
        <w:rPr>
          <w:sz w:val="16"/>
          <w:lang w:val="en-US"/>
        </w:rPr>
        <w:t>; d</w:t>
      </w:r>
      <w:r w:rsidRPr="002D7338">
        <w:rPr>
          <w:sz w:val="16"/>
          <w:lang w:val="en-US"/>
        </w:rPr>
        <w:t>yspnea – 183</w:t>
      </w:r>
      <w:r>
        <w:rPr>
          <w:sz w:val="16"/>
          <w:lang w:val="en-US"/>
        </w:rPr>
        <w:t>4</w:t>
      </w:r>
      <w:r w:rsidRPr="002D7338">
        <w:rPr>
          <w:sz w:val="16"/>
          <w:lang w:val="en-US"/>
        </w:rPr>
        <w:t xml:space="preserve"> missing (258 </w:t>
      </w:r>
      <w:r>
        <w:rPr>
          <w:sz w:val="16"/>
          <w:lang w:val="en-US"/>
        </w:rPr>
        <w:t>CAO</w:t>
      </w:r>
      <w:r w:rsidRPr="002D7338">
        <w:rPr>
          <w:sz w:val="16"/>
          <w:lang w:val="en-US"/>
        </w:rPr>
        <w:t>, 1576 non-</w:t>
      </w:r>
      <w:r>
        <w:rPr>
          <w:sz w:val="16"/>
          <w:lang w:val="en-US"/>
        </w:rPr>
        <w:t>CAO</w:t>
      </w:r>
      <w:r w:rsidRPr="002D7338">
        <w:rPr>
          <w:sz w:val="16"/>
          <w:lang w:val="en-US"/>
        </w:rPr>
        <w:t>) – mostly because of other reasons of trouble walking</w:t>
      </w:r>
      <w:r>
        <w:rPr>
          <w:sz w:val="16"/>
          <w:lang w:val="en-US"/>
        </w:rPr>
        <w:t>; w</w:t>
      </w:r>
      <w:r w:rsidRPr="002D7338">
        <w:rPr>
          <w:sz w:val="16"/>
          <w:lang w:val="en-US"/>
        </w:rPr>
        <w:t>heezing –</w:t>
      </w:r>
      <w:r>
        <w:rPr>
          <w:sz w:val="16"/>
          <w:lang w:val="en-US"/>
        </w:rPr>
        <w:t xml:space="preserve"> 11 missing (2 CAO, 9 non-CAO); </w:t>
      </w:r>
      <w:r w:rsidRPr="002D7338">
        <w:rPr>
          <w:sz w:val="16"/>
          <w:lang w:val="en-US"/>
        </w:rPr>
        <w:t>Chronic bronchitis – none missing</w:t>
      </w:r>
      <w:r>
        <w:rPr>
          <w:sz w:val="16"/>
          <w:lang w:val="en-US"/>
        </w:rPr>
        <w:t>.</w:t>
      </w:r>
    </w:p>
    <w:p w14:paraId="0056A860" w14:textId="77777777" w:rsidR="00B813A6" w:rsidRDefault="00B813A6" w:rsidP="00B813A6">
      <w:pPr>
        <w:rPr>
          <w:sz w:val="16"/>
          <w:szCs w:val="16"/>
          <w:lang w:val="en-US"/>
        </w:rPr>
      </w:pPr>
    </w:p>
    <w:p w14:paraId="178629BE" w14:textId="77777777" w:rsidR="00B813A6" w:rsidRDefault="00B813A6" w:rsidP="00B813A6">
      <w:pPr>
        <w:rPr>
          <w:sz w:val="16"/>
          <w:szCs w:val="16"/>
          <w:lang w:val="en-US"/>
        </w:rPr>
      </w:pPr>
    </w:p>
    <w:p w14:paraId="10FC20B7" w14:textId="77777777" w:rsidR="00B813A6" w:rsidRDefault="00B813A6" w:rsidP="00B813A6">
      <w:pPr>
        <w:rPr>
          <w:sz w:val="16"/>
          <w:szCs w:val="16"/>
          <w:lang w:val="en-US"/>
        </w:rPr>
      </w:pPr>
    </w:p>
    <w:p w14:paraId="337FC14A" w14:textId="77777777" w:rsidR="00B813A6" w:rsidRPr="00CC5433" w:rsidRDefault="00B813A6" w:rsidP="00B813A6">
      <w:pPr>
        <w:pStyle w:val="p3"/>
        <w:spacing w:line="360" w:lineRule="auto"/>
        <w:rPr>
          <w:sz w:val="24"/>
          <w:szCs w:val="24"/>
          <w:lang w:val="en-US"/>
        </w:rPr>
      </w:pPr>
    </w:p>
    <w:p w14:paraId="4726F161" w14:textId="77777777" w:rsidR="00B813A6" w:rsidRPr="00B419C6" w:rsidRDefault="00B813A6" w:rsidP="00B813A6">
      <w:pPr>
        <w:spacing w:line="360" w:lineRule="auto"/>
        <w:rPr>
          <w:color w:val="000000" w:themeColor="text1"/>
          <w:lang w:val="en-US"/>
        </w:rPr>
      </w:pPr>
      <w:r>
        <w:rPr>
          <w:lang w:val="en-US"/>
        </w:rPr>
        <w:t xml:space="preserve">Figure 1 shows that more men than women reported current paid employment in both high- and low-to-middle income countries, but the difference </w:t>
      </w:r>
      <w:r w:rsidRPr="00B419C6">
        <w:rPr>
          <w:color w:val="000000" w:themeColor="text1"/>
          <w:lang w:val="en-US"/>
        </w:rPr>
        <w:t xml:space="preserve">was larger </w:t>
      </w:r>
      <w:r>
        <w:rPr>
          <w:lang w:val="en-US"/>
        </w:rPr>
        <w:t>in low-to-middle income countries. This appeared to be explained by a substantial proportion of female unpaid homemakers/caregivers in low-to-middle-income countries</w:t>
      </w:r>
      <w:r w:rsidRPr="00B419C6">
        <w:rPr>
          <w:color w:val="000000" w:themeColor="text1"/>
          <w:lang w:val="en-US"/>
        </w:rPr>
        <w:t xml:space="preserve">. More details on gender differences in employment status are given in e-Table 3. </w:t>
      </w:r>
    </w:p>
    <w:p w14:paraId="3C06FCD1" w14:textId="77777777" w:rsidR="00B813A6" w:rsidRDefault="00B813A6" w:rsidP="00B813A6">
      <w:pPr>
        <w:spacing w:line="360" w:lineRule="auto"/>
        <w:rPr>
          <w:lang w:val="en-US"/>
        </w:rPr>
      </w:pPr>
    </w:p>
    <w:p w14:paraId="731DAAF3" w14:textId="77777777" w:rsidR="00B813A6" w:rsidRDefault="00B813A6" w:rsidP="00B813A6">
      <w:pPr>
        <w:spacing w:line="360" w:lineRule="auto"/>
        <w:rPr>
          <w:lang w:val="en-US"/>
        </w:rPr>
      </w:pPr>
      <w:r>
        <w:rPr>
          <w:lang w:val="en-US"/>
        </w:rPr>
        <w:t>Table 2</w:t>
      </w:r>
      <w:r w:rsidRPr="006708DE">
        <w:rPr>
          <w:lang w:val="en-US"/>
        </w:rPr>
        <w:t xml:space="preserve"> </w:t>
      </w:r>
      <w:r w:rsidRPr="00B40E31">
        <w:rPr>
          <w:lang w:val="en-US"/>
        </w:rPr>
        <w:t xml:space="preserve">shows unemployment by </w:t>
      </w:r>
      <w:r>
        <w:rPr>
          <w:lang w:val="en-US"/>
        </w:rPr>
        <w:t>CAO</w:t>
      </w:r>
      <w:r w:rsidRPr="00B40E31">
        <w:rPr>
          <w:lang w:val="en-US"/>
        </w:rPr>
        <w:t>-status in each study site</w:t>
      </w:r>
      <w:r>
        <w:rPr>
          <w:lang w:val="en-US"/>
        </w:rPr>
        <w:t>, excluding homemakers, caregivers, and retirees (subjects aged 65 years and older)</w:t>
      </w:r>
      <w:r w:rsidRPr="00B40E31">
        <w:rPr>
          <w:lang w:val="en-US"/>
        </w:rPr>
        <w:t xml:space="preserve">. </w:t>
      </w:r>
      <w:r>
        <w:rPr>
          <w:lang w:val="en-US"/>
        </w:rPr>
        <w:t>Despite a wide variation in unemployment rates by site, there was</w:t>
      </w:r>
      <w:r w:rsidRPr="00010579">
        <w:rPr>
          <w:lang w:val="en-US"/>
        </w:rPr>
        <w:t xml:space="preserve"> a fairly consistent pattern of higher unemployment among individuals with CAO</w:t>
      </w:r>
      <w:r>
        <w:rPr>
          <w:lang w:val="en-US"/>
        </w:rPr>
        <w:t xml:space="preserve"> </w:t>
      </w:r>
      <w:r w:rsidRPr="00010579">
        <w:rPr>
          <w:lang w:val="en-US"/>
        </w:rPr>
        <w:t xml:space="preserve">in high-income </w:t>
      </w:r>
      <w:r>
        <w:rPr>
          <w:lang w:val="en-US"/>
        </w:rPr>
        <w:t>sites</w:t>
      </w:r>
      <w:r w:rsidRPr="00010579">
        <w:rPr>
          <w:lang w:val="en-US"/>
        </w:rPr>
        <w:t xml:space="preserve">.  </w:t>
      </w:r>
      <w:r>
        <w:rPr>
          <w:lang w:val="en-US"/>
        </w:rPr>
        <w:t>T</w:t>
      </w:r>
      <w:r w:rsidRPr="00010579">
        <w:rPr>
          <w:lang w:val="en-US"/>
        </w:rPr>
        <w:t>his pattern was less clear in the low-to-middle-income sites</w:t>
      </w:r>
      <w:r>
        <w:rPr>
          <w:lang w:val="en-US"/>
        </w:rPr>
        <w:t xml:space="preserve">. </w:t>
      </w:r>
    </w:p>
    <w:p w14:paraId="543421FD" w14:textId="77777777" w:rsidR="00B813A6" w:rsidRDefault="00B813A6" w:rsidP="00B813A6">
      <w:pPr>
        <w:rPr>
          <w:rFonts w:cs="Cambria"/>
          <w:b/>
          <w:lang w:val="en-US"/>
        </w:rPr>
      </w:pPr>
    </w:p>
    <w:p w14:paraId="6F08CE89" w14:textId="77777777" w:rsidR="00B813A6" w:rsidRDefault="00B813A6" w:rsidP="00B813A6">
      <w:pPr>
        <w:rPr>
          <w:rFonts w:cs="Cambria"/>
          <w:b/>
          <w:lang w:val="en-US"/>
        </w:rPr>
      </w:pPr>
      <w:r>
        <w:rPr>
          <w:rFonts w:cs="Cambria"/>
          <w:b/>
          <w:lang w:val="en-US"/>
        </w:rPr>
        <w:t>Table 2</w:t>
      </w:r>
      <w:r w:rsidRPr="00B419C6">
        <w:rPr>
          <w:rFonts w:cs="Cambria"/>
          <w:b/>
          <w:color w:val="000000" w:themeColor="text1"/>
          <w:lang w:val="en-US"/>
        </w:rPr>
        <w:t>:</w:t>
      </w:r>
      <w:r w:rsidRPr="00B419C6" w:rsidDel="00527335">
        <w:rPr>
          <w:rFonts w:cs="Cambria"/>
          <w:b/>
          <w:color w:val="000000" w:themeColor="text1"/>
          <w:lang w:val="en-US"/>
        </w:rPr>
        <w:t xml:space="preserve"> </w:t>
      </w:r>
      <w:r w:rsidRPr="00B419C6">
        <w:rPr>
          <w:rFonts w:cs="Cambria"/>
          <w:b/>
          <w:color w:val="000000" w:themeColor="text1"/>
          <w:lang w:val="en-US"/>
        </w:rPr>
        <w:t xml:space="preserve">Unemployment rates: </w:t>
      </w:r>
      <w:r>
        <w:rPr>
          <w:rFonts w:cs="Cambria"/>
          <w:b/>
          <w:lang w:val="en-US"/>
        </w:rPr>
        <w:t>Prevalence of unemployment</w:t>
      </w:r>
      <w:r w:rsidRPr="00ED36BD">
        <w:rPr>
          <w:rFonts w:cs="Cambria"/>
          <w:b/>
          <w:lang w:val="en-US"/>
        </w:rPr>
        <w:t xml:space="preserve"> by site </w:t>
      </w:r>
      <w:r w:rsidRPr="00B419C6">
        <w:rPr>
          <w:rFonts w:cs="Cambria"/>
          <w:b/>
          <w:color w:val="000000" w:themeColor="text1"/>
          <w:lang w:val="en-US"/>
        </w:rPr>
        <w:t xml:space="preserve">and </w:t>
      </w:r>
      <w:proofErr w:type="spellStart"/>
      <w:r w:rsidRPr="00B419C6">
        <w:rPr>
          <w:rFonts w:cs="Cambria"/>
          <w:b/>
          <w:color w:val="000000" w:themeColor="text1"/>
          <w:lang w:val="en-US"/>
        </w:rPr>
        <w:t>spirometric</w:t>
      </w:r>
      <w:proofErr w:type="spellEnd"/>
      <w:r w:rsidRPr="00B419C6">
        <w:rPr>
          <w:rFonts w:cs="Cambria"/>
          <w:b/>
          <w:color w:val="000000" w:themeColor="text1"/>
          <w:lang w:val="en-US"/>
        </w:rPr>
        <w:t xml:space="preserve"> </w:t>
      </w:r>
      <w:r w:rsidRPr="00ED36BD">
        <w:rPr>
          <w:rFonts w:cs="Cambria"/>
          <w:b/>
          <w:lang w:val="en-US"/>
        </w:rPr>
        <w:t>CAO status</w:t>
      </w:r>
      <w:r>
        <w:rPr>
          <w:rFonts w:cs="Cambria"/>
          <w:b/>
          <w:lang w:val="en-US"/>
        </w:rPr>
        <w:t xml:space="preserve">. </w:t>
      </w:r>
    </w:p>
    <w:p w14:paraId="3FE83FA0" w14:textId="77777777" w:rsidR="00B813A6" w:rsidRPr="00ED36BD" w:rsidRDefault="00B813A6" w:rsidP="00B813A6">
      <w:pPr>
        <w:rPr>
          <w:rFonts w:cs="Cambria"/>
          <w:b/>
          <w:lang w:val="en-US"/>
        </w:rPr>
      </w:pPr>
      <w:r>
        <w:rPr>
          <w:rFonts w:cs="Cambria"/>
          <w:b/>
          <w:lang w:val="en-US"/>
        </w:rPr>
        <w:t>N = 11 675*.</w:t>
      </w:r>
    </w:p>
    <w:tbl>
      <w:tblPr>
        <w:tblStyle w:val="TableGrid"/>
        <w:tblW w:w="0" w:type="auto"/>
        <w:tblLayout w:type="fixed"/>
        <w:tblLook w:val="04A0" w:firstRow="1" w:lastRow="0" w:firstColumn="1" w:lastColumn="0" w:noHBand="0" w:noVBand="1"/>
      </w:tblPr>
      <w:tblGrid>
        <w:gridCol w:w="2977"/>
        <w:gridCol w:w="992"/>
        <w:gridCol w:w="1276"/>
        <w:gridCol w:w="992"/>
        <w:gridCol w:w="2947"/>
      </w:tblGrid>
      <w:tr w:rsidR="00B813A6" w:rsidRPr="00E811A9" w14:paraId="4835A627" w14:textId="77777777" w:rsidTr="00B813A6">
        <w:tc>
          <w:tcPr>
            <w:tcW w:w="2977" w:type="dxa"/>
          </w:tcPr>
          <w:p w14:paraId="4BDDBFA8" w14:textId="77777777" w:rsidR="00B813A6" w:rsidRDefault="00B813A6" w:rsidP="00B813A6">
            <w:pPr>
              <w:rPr>
                <w:rFonts w:cs="Cambria"/>
                <w:b/>
                <w:sz w:val="20"/>
                <w:szCs w:val="20"/>
                <w:lang w:val="en-US"/>
              </w:rPr>
            </w:pPr>
          </w:p>
        </w:tc>
        <w:tc>
          <w:tcPr>
            <w:tcW w:w="992" w:type="dxa"/>
          </w:tcPr>
          <w:p w14:paraId="150E6467" w14:textId="77777777" w:rsidR="00B813A6" w:rsidRPr="00B419C6" w:rsidRDefault="00B813A6" w:rsidP="00B813A6">
            <w:pPr>
              <w:jc w:val="center"/>
              <w:rPr>
                <w:rFonts w:cs="Cambria"/>
                <w:b/>
                <w:color w:val="000000" w:themeColor="text1"/>
                <w:sz w:val="20"/>
                <w:szCs w:val="20"/>
                <w:lang w:val="en-US"/>
              </w:rPr>
            </w:pPr>
          </w:p>
        </w:tc>
        <w:tc>
          <w:tcPr>
            <w:tcW w:w="2268" w:type="dxa"/>
            <w:gridSpan w:val="2"/>
          </w:tcPr>
          <w:p w14:paraId="642E8B1F" w14:textId="77777777" w:rsidR="00B813A6" w:rsidRDefault="00B813A6" w:rsidP="00B813A6">
            <w:pPr>
              <w:jc w:val="center"/>
              <w:rPr>
                <w:rFonts w:cs="Cambria"/>
                <w:b/>
                <w:sz w:val="20"/>
                <w:szCs w:val="20"/>
                <w:lang w:val="en-US"/>
              </w:rPr>
            </w:pPr>
            <w:r w:rsidRPr="00B419C6">
              <w:rPr>
                <w:rFonts w:cs="Cambria"/>
                <w:b/>
                <w:color w:val="000000" w:themeColor="text1"/>
                <w:sz w:val="20"/>
                <w:szCs w:val="20"/>
                <w:lang w:val="en-US"/>
              </w:rPr>
              <w:t>Unemployment (%)</w:t>
            </w:r>
          </w:p>
        </w:tc>
        <w:tc>
          <w:tcPr>
            <w:tcW w:w="2947" w:type="dxa"/>
          </w:tcPr>
          <w:p w14:paraId="689C1DF1" w14:textId="77777777" w:rsidR="00B813A6" w:rsidRDefault="00B813A6" w:rsidP="00B813A6">
            <w:pPr>
              <w:jc w:val="center"/>
              <w:rPr>
                <w:rFonts w:cs="Cambria"/>
                <w:b/>
                <w:sz w:val="20"/>
                <w:szCs w:val="20"/>
                <w:lang w:val="en-US"/>
              </w:rPr>
            </w:pPr>
          </w:p>
        </w:tc>
      </w:tr>
      <w:tr w:rsidR="00B813A6" w:rsidRPr="00E811A9" w14:paraId="45CF02DA" w14:textId="77777777" w:rsidTr="00B813A6">
        <w:tc>
          <w:tcPr>
            <w:tcW w:w="2977" w:type="dxa"/>
          </w:tcPr>
          <w:p w14:paraId="4D340CD2" w14:textId="77777777" w:rsidR="00B813A6" w:rsidRPr="00FA335D" w:rsidRDefault="00B813A6" w:rsidP="00B813A6">
            <w:pPr>
              <w:rPr>
                <w:rFonts w:cs="Cambria"/>
                <w:b/>
                <w:sz w:val="20"/>
                <w:szCs w:val="20"/>
                <w:lang w:val="en-US"/>
              </w:rPr>
            </w:pPr>
            <w:r>
              <w:rPr>
                <w:rFonts w:cs="Cambria"/>
                <w:b/>
                <w:sz w:val="20"/>
                <w:szCs w:val="20"/>
                <w:lang w:val="en-US"/>
              </w:rPr>
              <w:t>Site</w:t>
            </w:r>
          </w:p>
        </w:tc>
        <w:tc>
          <w:tcPr>
            <w:tcW w:w="992" w:type="dxa"/>
          </w:tcPr>
          <w:p w14:paraId="60DCA848" w14:textId="77777777" w:rsidR="00B813A6" w:rsidRPr="00B419C6" w:rsidDel="003B4C2A" w:rsidRDefault="00B813A6" w:rsidP="00B813A6">
            <w:pPr>
              <w:jc w:val="center"/>
              <w:rPr>
                <w:rFonts w:cs="Cambria"/>
                <w:b/>
                <w:color w:val="000000" w:themeColor="text1"/>
                <w:sz w:val="20"/>
                <w:szCs w:val="20"/>
                <w:lang w:val="en-US"/>
              </w:rPr>
            </w:pPr>
            <w:r w:rsidRPr="00B419C6">
              <w:rPr>
                <w:rFonts w:cs="Cambria"/>
                <w:b/>
                <w:color w:val="000000" w:themeColor="text1"/>
                <w:sz w:val="20"/>
                <w:szCs w:val="20"/>
                <w:lang w:val="en-US"/>
              </w:rPr>
              <w:t>N</w:t>
            </w:r>
          </w:p>
        </w:tc>
        <w:tc>
          <w:tcPr>
            <w:tcW w:w="1276" w:type="dxa"/>
          </w:tcPr>
          <w:p w14:paraId="0C30C3C0" w14:textId="77777777" w:rsidR="00B813A6" w:rsidRDefault="00B813A6" w:rsidP="00B813A6">
            <w:pPr>
              <w:jc w:val="center"/>
              <w:rPr>
                <w:rFonts w:cs="Cambria"/>
                <w:b/>
                <w:sz w:val="20"/>
                <w:szCs w:val="20"/>
                <w:lang w:val="en-US"/>
              </w:rPr>
            </w:pPr>
            <w:r>
              <w:rPr>
                <w:rFonts w:cs="Cambria"/>
                <w:b/>
                <w:sz w:val="20"/>
                <w:szCs w:val="20"/>
                <w:lang w:val="en-US"/>
              </w:rPr>
              <w:t xml:space="preserve">CAO  </w:t>
            </w:r>
          </w:p>
        </w:tc>
        <w:tc>
          <w:tcPr>
            <w:tcW w:w="992" w:type="dxa"/>
          </w:tcPr>
          <w:p w14:paraId="45D25E50" w14:textId="77777777" w:rsidR="00B813A6" w:rsidRDefault="00B813A6" w:rsidP="00B813A6">
            <w:pPr>
              <w:jc w:val="center"/>
              <w:rPr>
                <w:rFonts w:cs="Cambria"/>
                <w:b/>
                <w:sz w:val="20"/>
                <w:szCs w:val="20"/>
                <w:lang w:val="en-US"/>
              </w:rPr>
            </w:pPr>
            <w:r>
              <w:rPr>
                <w:rFonts w:cs="Cambria"/>
                <w:b/>
                <w:sz w:val="20"/>
                <w:szCs w:val="20"/>
                <w:lang w:val="en-US"/>
              </w:rPr>
              <w:t xml:space="preserve">No </w:t>
            </w:r>
          </w:p>
          <w:p w14:paraId="3278FA6E" w14:textId="77777777" w:rsidR="00B813A6" w:rsidRDefault="00B813A6" w:rsidP="00B813A6">
            <w:pPr>
              <w:jc w:val="center"/>
              <w:rPr>
                <w:rFonts w:cs="Cambria"/>
                <w:b/>
                <w:sz w:val="20"/>
                <w:szCs w:val="20"/>
                <w:lang w:val="en-US"/>
              </w:rPr>
            </w:pPr>
            <w:r>
              <w:rPr>
                <w:rFonts w:cs="Cambria"/>
                <w:b/>
                <w:sz w:val="20"/>
                <w:szCs w:val="20"/>
                <w:lang w:val="en-US"/>
              </w:rPr>
              <w:t>CAO</w:t>
            </w:r>
          </w:p>
        </w:tc>
        <w:tc>
          <w:tcPr>
            <w:tcW w:w="2947" w:type="dxa"/>
          </w:tcPr>
          <w:p w14:paraId="662C1FDB" w14:textId="77777777" w:rsidR="00B813A6" w:rsidRPr="00B419C6" w:rsidRDefault="00B813A6" w:rsidP="00B813A6">
            <w:pPr>
              <w:jc w:val="center"/>
              <w:rPr>
                <w:rFonts w:cs="Cambria"/>
                <w:b/>
                <w:color w:val="000000" w:themeColor="text1"/>
                <w:sz w:val="20"/>
                <w:szCs w:val="20"/>
                <w:lang w:val="en-US"/>
              </w:rPr>
            </w:pPr>
            <w:r w:rsidRPr="00B419C6">
              <w:rPr>
                <w:rFonts w:cs="Cambria"/>
                <w:b/>
                <w:color w:val="000000" w:themeColor="text1"/>
                <w:sz w:val="20"/>
                <w:szCs w:val="20"/>
                <w:lang w:val="en-US"/>
              </w:rPr>
              <w:t>Crude Risk Ratio (95%CI)**</w:t>
            </w:r>
          </w:p>
        </w:tc>
      </w:tr>
      <w:tr w:rsidR="00B813A6" w:rsidRPr="00E811A9" w14:paraId="02DA1A61" w14:textId="77777777" w:rsidTr="00B813A6">
        <w:tc>
          <w:tcPr>
            <w:tcW w:w="2977" w:type="dxa"/>
          </w:tcPr>
          <w:p w14:paraId="31AD4D6C" w14:textId="77777777" w:rsidR="00B813A6" w:rsidRPr="00FA335D" w:rsidRDefault="00B813A6" w:rsidP="00B813A6">
            <w:pPr>
              <w:rPr>
                <w:rFonts w:cs="Cambria"/>
                <w:sz w:val="20"/>
                <w:szCs w:val="20"/>
                <w:lang w:val="en-US"/>
              </w:rPr>
            </w:pPr>
            <w:r w:rsidRPr="00E7523F">
              <w:rPr>
                <w:rFonts w:cs="Cambria"/>
                <w:b/>
                <w:sz w:val="20"/>
                <w:szCs w:val="20"/>
                <w:lang w:val="en-US"/>
              </w:rPr>
              <w:t>HIGH INCOME</w:t>
            </w:r>
          </w:p>
        </w:tc>
        <w:tc>
          <w:tcPr>
            <w:tcW w:w="992" w:type="dxa"/>
          </w:tcPr>
          <w:p w14:paraId="607FF51C" w14:textId="77777777" w:rsidR="00B813A6" w:rsidRPr="00B419C6" w:rsidRDefault="00B813A6" w:rsidP="00B813A6">
            <w:pPr>
              <w:jc w:val="center"/>
              <w:rPr>
                <w:rFonts w:cs="Cambria"/>
                <w:color w:val="000000" w:themeColor="text1"/>
                <w:sz w:val="20"/>
                <w:szCs w:val="20"/>
                <w:lang w:val="en-US"/>
              </w:rPr>
            </w:pPr>
          </w:p>
        </w:tc>
        <w:tc>
          <w:tcPr>
            <w:tcW w:w="1276" w:type="dxa"/>
          </w:tcPr>
          <w:p w14:paraId="27EB1AF3" w14:textId="77777777" w:rsidR="00B813A6" w:rsidRPr="00FA335D" w:rsidRDefault="00B813A6" w:rsidP="00B813A6">
            <w:pPr>
              <w:jc w:val="center"/>
              <w:rPr>
                <w:rFonts w:cs="Cambria"/>
                <w:sz w:val="20"/>
                <w:szCs w:val="20"/>
                <w:lang w:val="en-US"/>
              </w:rPr>
            </w:pPr>
          </w:p>
        </w:tc>
        <w:tc>
          <w:tcPr>
            <w:tcW w:w="992" w:type="dxa"/>
          </w:tcPr>
          <w:p w14:paraId="0175A5B6" w14:textId="77777777" w:rsidR="00B813A6" w:rsidRPr="00FA335D" w:rsidRDefault="00B813A6" w:rsidP="00B813A6">
            <w:pPr>
              <w:jc w:val="center"/>
              <w:rPr>
                <w:rFonts w:cs="Cambria"/>
                <w:sz w:val="20"/>
                <w:szCs w:val="20"/>
                <w:lang w:val="en-US"/>
              </w:rPr>
            </w:pPr>
          </w:p>
        </w:tc>
        <w:tc>
          <w:tcPr>
            <w:tcW w:w="2947" w:type="dxa"/>
          </w:tcPr>
          <w:p w14:paraId="1962EAE5" w14:textId="77777777" w:rsidR="00B813A6" w:rsidRPr="00B419C6" w:rsidRDefault="00B813A6" w:rsidP="00B813A6">
            <w:pPr>
              <w:jc w:val="center"/>
              <w:rPr>
                <w:rFonts w:cs="Cambria"/>
                <w:color w:val="000000" w:themeColor="text1"/>
                <w:sz w:val="20"/>
                <w:szCs w:val="20"/>
                <w:lang w:val="en-US"/>
              </w:rPr>
            </w:pPr>
          </w:p>
        </w:tc>
      </w:tr>
      <w:tr w:rsidR="00B813A6" w:rsidRPr="00E811A9" w14:paraId="60E5972A" w14:textId="77777777" w:rsidTr="00B813A6">
        <w:tc>
          <w:tcPr>
            <w:tcW w:w="2977" w:type="dxa"/>
          </w:tcPr>
          <w:p w14:paraId="0432A949" w14:textId="77777777" w:rsidR="00B813A6" w:rsidRPr="00FA335D" w:rsidRDefault="00B813A6" w:rsidP="00B813A6">
            <w:pPr>
              <w:rPr>
                <w:rFonts w:cs="Cambria"/>
                <w:sz w:val="20"/>
                <w:szCs w:val="20"/>
                <w:lang w:val="en-US"/>
              </w:rPr>
            </w:pPr>
            <w:r w:rsidRPr="00FA335D">
              <w:rPr>
                <w:rFonts w:cs="Cambria"/>
                <w:sz w:val="20"/>
                <w:szCs w:val="20"/>
                <w:lang w:val="en-US"/>
              </w:rPr>
              <w:t>Bergen, Norway</w:t>
            </w:r>
          </w:p>
        </w:tc>
        <w:tc>
          <w:tcPr>
            <w:tcW w:w="992" w:type="dxa"/>
          </w:tcPr>
          <w:p w14:paraId="26950D88"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397</w:t>
            </w:r>
          </w:p>
        </w:tc>
        <w:tc>
          <w:tcPr>
            <w:tcW w:w="1276" w:type="dxa"/>
          </w:tcPr>
          <w:p w14:paraId="3F34EF7A" w14:textId="77777777" w:rsidR="00B813A6" w:rsidRPr="00FA335D" w:rsidRDefault="00B813A6" w:rsidP="00B813A6">
            <w:pPr>
              <w:jc w:val="center"/>
              <w:rPr>
                <w:rFonts w:cs="Cambria"/>
                <w:sz w:val="20"/>
                <w:szCs w:val="20"/>
                <w:lang w:val="en-US"/>
              </w:rPr>
            </w:pPr>
            <w:r>
              <w:rPr>
                <w:rFonts w:cs="Cambria"/>
                <w:sz w:val="20"/>
                <w:szCs w:val="20"/>
                <w:lang w:val="en-US"/>
              </w:rPr>
              <w:t>20.0</w:t>
            </w:r>
          </w:p>
        </w:tc>
        <w:tc>
          <w:tcPr>
            <w:tcW w:w="992" w:type="dxa"/>
          </w:tcPr>
          <w:p w14:paraId="6CD402CB" w14:textId="77777777" w:rsidR="00B813A6" w:rsidRPr="00FA335D" w:rsidRDefault="00B813A6" w:rsidP="00B813A6">
            <w:pPr>
              <w:jc w:val="center"/>
              <w:rPr>
                <w:rFonts w:cs="Cambria"/>
                <w:sz w:val="20"/>
                <w:szCs w:val="20"/>
                <w:lang w:val="en-US"/>
              </w:rPr>
            </w:pPr>
            <w:r>
              <w:rPr>
                <w:rFonts w:cs="Cambria"/>
                <w:sz w:val="20"/>
                <w:szCs w:val="20"/>
                <w:lang w:val="en-US"/>
              </w:rPr>
              <w:t>9.5</w:t>
            </w:r>
          </w:p>
        </w:tc>
        <w:tc>
          <w:tcPr>
            <w:tcW w:w="2947" w:type="dxa"/>
          </w:tcPr>
          <w:p w14:paraId="1C7C2008"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2.1 (1.0, 4.2)</w:t>
            </w:r>
          </w:p>
        </w:tc>
      </w:tr>
      <w:tr w:rsidR="00B813A6" w:rsidRPr="00FA335D" w14:paraId="3A7EEA6A" w14:textId="77777777" w:rsidTr="00B813A6">
        <w:tc>
          <w:tcPr>
            <w:tcW w:w="2977" w:type="dxa"/>
          </w:tcPr>
          <w:p w14:paraId="62E5124D" w14:textId="77777777" w:rsidR="00B813A6" w:rsidRPr="00FA335D" w:rsidRDefault="00B813A6" w:rsidP="00B813A6">
            <w:pPr>
              <w:rPr>
                <w:rFonts w:cs="Cambria"/>
                <w:sz w:val="20"/>
                <w:szCs w:val="20"/>
                <w:lang w:val="en-US"/>
              </w:rPr>
            </w:pPr>
            <w:r w:rsidRPr="00FA335D">
              <w:rPr>
                <w:rFonts w:cs="Cambria"/>
                <w:sz w:val="20"/>
                <w:szCs w:val="20"/>
                <w:lang w:val="en-US"/>
              </w:rPr>
              <w:t>Hannover, Germany</w:t>
            </w:r>
          </w:p>
        </w:tc>
        <w:tc>
          <w:tcPr>
            <w:tcW w:w="992" w:type="dxa"/>
          </w:tcPr>
          <w:p w14:paraId="08FC1155"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361</w:t>
            </w:r>
          </w:p>
        </w:tc>
        <w:tc>
          <w:tcPr>
            <w:tcW w:w="1276" w:type="dxa"/>
          </w:tcPr>
          <w:p w14:paraId="493198EF" w14:textId="77777777" w:rsidR="00B813A6" w:rsidRPr="00FA335D" w:rsidRDefault="00B813A6" w:rsidP="00B813A6">
            <w:pPr>
              <w:jc w:val="center"/>
              <w:rPr>
                <w:rFonts w:cs="Cambria"/>
                <w:sz w:val="20"/>
                <w:szCs w:val="20"/>
                <w:lang w:val="en-US"/>
              </w:rPr>
            </w:pPr>
            <w:r>
              <w:rPr>
                <w:rFonts w:cs="Cambria"/>
                <w:sz w:val="20"/>
                <w:szCs w:val="20"/>
                <w:lang w:val="en-US"/>
              </w:rPr>
              <w:t>25.0</w:t>
            </w:r>
          </w:p>
        </w:tc>
        <w:tc>
          <w:tcPr>
            <w:tcW w:w="992" w:type="dxa"/>
          </w:tcPr>
          <w:p w14:paraId="0EC4E55D" w14:textId="77777777" w:rsidR="00B813A6" w:rsidRPr="00FA335D" w:rsidRDefault="00B813A6" w:rsidP="00B813A6">
            <w:pPr>
              <w:jc w:val="center"/>
              <w:rPr>
                <w:rFonts w:cs="Cambria"/>
                <w:sz w:val="20"/>
                <w:szCs w:val="20"/>
                <w:lang w:val="en-US"/>
              </w:rPr>
            </w:pPr>
            <w:r>
              <w:rPr>
                <w:rFonts w:cs="Cambria"/>
                <w:sz w:val="20"/>
                <w:szCs w:val="20"/>
                <w:lang w:val="en-US"/>
              </w:rPr>
              <w:t>20.8</w:t>
            </w:r>
          </w:p>
        </w:tc>
        <w:tc>
          <w:tcPr>
            <w:tcW w:w="2947" w:type="dxa"/>
          </w:tcPr>
          <w:p w14:paraId="329FE0C6"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1.2 (0.6, 2.5)</w:t>
            </w:r>
          </w:p>
        </w:tc>
      </w:tr>
      <w:tr w:rsidR="00B813A6" w:rsidRPr="00FA335D" w14:paraId="03D3E5D8" w14:textId="77777777" w:rsidTr="00B813A6">
        <w:tc>
          <w:tcPr>
            <w:tcW w:w="2977" w:type="dxa"/>
          </w:tcPr>
          <w:p w14:paraId="31F3C039" w14:textId="77777777" w:rsidR="00B813A6" w:rsidRPr="00FA335D" w:rsidRDefault="00B813A6" w:rsidP="00B813A6">
            <w:pPr>
              <w:rPr>
                <w:rFonts w:cs="Cambria"/>
                <w:sz w:val="20"/>
                <w:szCs w:val="20"/>
                <w:lang w:val="en-US"/>
              </w:rPr>
            </w:pPr>
            <w:r w:rsidRPr="00FA335D">
              <w:rPr>
                <w:rFonts w:cs="Cambria"/>
                <w:sz w:val="20"/>
                <w:szCs w:val="20"/>
                <w:lang w:val="en-US"/>
              </w:rPr>
              <w:t>Krakow, Poland</w:t>
            </w:r>
          </w:p>
        </w:tc>
        <w:tc>
          <w:tcPr>
            <w:tcW w:w="992" w:type="dxa"/>
          </w:tcPr>
          <w:p w14:paraId="6F220AC5"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350</w:t>
            </w:r>
          </w:p>
        </w:tc>
        <w:tc>
          <w:tcPr>
            <w:tcW w:w="1276" w:type="dxa"/>
          </w:tcPr>
          <w:p w14:paraId="08040D06" w14:textId="77777777" w:rsidR="00B813A6" w:rsidRPr="00FA335D" w:rsidRDefault="00B813A6" w:rsidP="00B813A6">
            <w:pPr>
              <w:jc w:val="center"/>
              <w:rPr>
                <w:rFonts w:cs="Cambria"/>
                <w:sz w:val="20"/>
                <w:szCs w:val="20"/>
                <w:lang w:val="en-US"/>
              </w:rPr>
            </w:pPr>
            <w:r>
              <w:rPr>
                <w:rFonts w:cs="Cambria"/>
                <w:sz w:val="20"/>
                <w:szCs w:val="20"/>
                <w:lang w:val="en-US"/>
              </w:rPr>
              <w:t>57.9</w:t>
            </w:r>
          </w:p>
        </w:tc>
        <w:tc>
          <w:tcPr>
            <w:tcW w:w="992" w:type="dxa"/>
          </w:tcPr>
          <w:p w14:paraId="1E74508F" w14:textId="77777777" w:rsidR="00B813A6" w:rsidRPr="00FA335D" w:rsidRDefault="00B813A6" w:rsidP="00B813A6">
            <w:pPr>
              <w:jc w:val="center"/>
              <w:rPr>
                <w:rFonts w:cs="Cambria"/>
                <w:sz w:val="20"/>
                <w:szCs w:val="20"/>
                <w:lang w:val="en-US"/>
              </w:rPr>
            </w:pPr>
            <w:r>
              <w:rPr>
                <w:rFonts w:cs="Cambria"/>
                <w:sz w:val="20"/>
                <w:szCs w:val="20"/>
                <w:lang w:val="en-US"/>
              </w:rPr>
              <w:t>41.4</w:t>
            </w:r>
          </w:p>
        </w:tc>
        <w:tc>
          <w:tcPr>
            <w:tcW w:w="2947" w:type="dxa"/>
          </w:tcPr>
          <w:p w14:paraId="6F434C52"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1.4 (1.0, 1.9)</w:t>
            </w:r>
          </w:p>
        </w:tc>
      </w:tr>
      <w:tr w:rsidR="00B813A6" w:rsidRPr="00FA335D" w14:paraId="5BDC0A89" w14:textId="77777777" w:rsidTr="00B813A6">
        <w:tc>
          <w:tcPr>
            <w:tcW w:w="2977" w:type="dxa"/>
          </w:tcPr>
          <w:p w14:paraId="73255347" w14:textId="77777777" w:rsidR="00B813A6" w:rsidRPr="00FA335D" w:rsidRDefault="00B813A6" w:rsidP="00B813A6">
            <w:pPr>
              <w:rPr>
                <w:rFonts w:cs="Cambria"/>
                <w:sz w:val="20"/>
                <w:szCs w:val="20"/>
                <w:lang w:val="en-US"/>
              </w:rPr>
            </w:pPr>
            <w:r w:rsidRPr="00FA335D">
              <w:rPr>
                <w:rFonts w:cs="Cambria"/>
                <w:sz w:val="20"/>
                <w:szCs w:val="20"/>
                <w:lang w:val="en-US"/>
              </w:rPr>
              <w:t>Lexington, USA</w:t>
            </w:r>
          </w:p>
        </w:tc>
        <w:tc>
          <w:tcPr>
            <w:tcW w:w="992" w:type="dxa"/>
          </w:tcPr>
          <w:p w14:paraId="79F8B364"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305</w:t>
            </w:r>
          </w:p>
        </w:tc>
        <w:tc>
          <w:tcPr>
            <w:tcW w:w="1276" w:type="dxa"/>
          </w:tcPr>
          <w:p w14:paraId="5506F30C" w14:textId="77777777" w:rsidR="00B813A6" w:rsidRPr="00FA335D" w:rsidRDefault="00B813A6" w:rsidP="00B813A6">
            <w:pPr>
              <w:jc w:val="center"/>
              <w:rPr>
                <w:rFonts w:cs="Cambria"/>
                <w:sz w:val="20"/>
                <w:szCs w:val="20"/>
                <w:lang w:val="en-US"/>
              </w:rPr>
            </w:pPr>
            <w:r>
              <w:rPr>
                <w:rFonts w:cs="Cambria"/>
                <w:sz w:val="20"/>
                <w:szCs w:val="20"/>
                <w:lang w:val="en-US"/>
              </w:rPr>
              <w:t>61.0</w:t>
            </w:r>
          </w:p>
        </w:tc>
        <w:tc>
          <w:tcPr>
            <w:tcW w:w="992" w:type="dxa"/>
          </w:tcPr>
          <w:p w14:paraId="06A6E69C" w14:textId="77777777" w:rsidR="00B813A6" w:rsidRPr="00FA335D" w:rsidRDefault="00B813A6" w:rsidP="00B813A6">
            <w:pPr>
              <w:jc w:val="center"/>
              <w:rPr>
                <w:rFonts w:cs="Cambria"/>
                <w:sz w:val="20"/>
                <w:szCs w:val="20"/>
                <w:lang w:val="en-US"/>
              </w:rPr>
            </w:pPr>
            <w:r>
              <w:rPr>
                <w:rFonts w:cs="Cambria"/>
                <w:sz w:val="20"/>
                <w:szCs w:val="20"/>
                <w:lang w:val="en-US"/>
              </w:rPr>
              <w:t>27.7</w:t>
            </w:r>
          </w:p>
        </w:tc>
        <w:tc>
          <w:tcPr>
            <w:tcW w:w="2947" w:type="dxa"/>
          </w:tcPr>
          <w:p w14:paraId="4BE99A94"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2.2 (1.6, 3.0)</w:t>
            </w:r>
          </w:p>
        </w:tc>
      </w:tr>
      <w:tr w:rsidR="00B813A6" w:rsidRPr="00FA335D" w14:paraId="1581CF13" w14:textId="77777777" w:rsidTr="00B813A6">
        <w:tc>
          <w:tcPr>
            <w:tcW w:w="2977" w:type="dxa"/>
          </w:tcPr>
          <w:p w14:paraId="238D23C1" w14:textId="77777777" w:rsidR="00B813A6" w:rsidRPr="00FA335D" w:rsidRDefault="00B813A6" w:rsidP="00B813A6">
            <w:pPr>
              <w:rPr>
                <w:rFonts w:cs="Cambria"/>
                <w:sz w:val="20"/>
                <w:szCs w:val="20"/>
                <w:lang w:val="en-US"/>
              </w:rPr>
            </w:pPr>
            <w:r w:rsidRPr="00FA335D">
              <w:rPr>
                <w:rFonts w:cs="Cambria"/>
                <w:sz w:val="20"/>
                <w:szCs w:val="20"/>
                <w:lang w:val="en-US"/>
              </w:rPr>
              <w:t>Lisbon, Portugal</w:t>
            </w:r>
          </w:p>
        </w:tc>
        <w:tc>
          <w:tcPr>
            <w:tcW w:w="992" w:type="dxa"/>
          </w:tcPr>
          <w:p w14:paraId="78A171DC"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320</w:t>
            </w:r>
          </w:p>
        </w:tc>
        <w:tc>
          <w:tcPr>
            <w:tcW w:w="1276" w:type="dxa"/>
          </w:tcPr>
          <w:p w14:paraId="649A0173" w14:textId="77777777" w:rsidR="00B813A6" w:rsidRPr="00FA335D" w:rsidRDefault="00B813A6" w:rsidP="00B813A6">
            <w:pPr>
              <w:jc w:val="center"/>
              <w:rPr>
                <w:rFonts w:cs="Cambria"/>
                <w:sz w:val="20"/>
                <w:szCs w:val="20"/>
                <w:lang w:val="en-US"/>
              </w:rPr>
            </w:pPr>
            <w:r>
              <w:rPr>
                <w:rFonts w:cs="Cambria"/>
                <w:sz w:val="20"/>
                <w:szCs w:val="20"/>
                <w:lang w:val="en-US"/>
              </w:rPr>
              <w:t>53.9</w:t>
            </w:r>
          </w:p>
        </w:tc>
        <w:tc>
          <w:tcPr>
            <w:tcW w:w="992" w:type="dxa"/>
          </w:tcPr>
          <w:p w14:paraId="033694CA" w14:textId="77777777" w:rsidR="00B813A6" w:rsidRPr="00FA335D" w:rsidRDefault="00B813A6" w:rsidP="00B813A6">
            <w:pPr>
              <w:jc w:val="center"/>
              <w:rPr>
                <w:rFonts w:cs="Cambria"/>
                <w:sz w:val="20"/>
                <w:szCs w:val="20"/>
                <w:lang w:val="en-US"/>
              </w:rPr>
            </w:pPr>
            <w:r>
              <w:rPr>
                <w:rFonts w:cs="Cambria"/>
                <w:sz w:val="20"/>
                <w:szCs w:val="20"/>
                <w:lang w:val="en-US"/>
              </w:rPr>
              <w:t>39.8</w:t>
            </w:r>
          </w:p>
        </w:tc>
        <w:tc>
          <w:tcPr>
            <w:tcW w:w="2947" w:type="dxa"/>
          </w:tcPr>
          <w:p w14:paraId="5FF6AE19"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1.4 (0.9, 2.0)</w:t>
            </w:r>
          </w:p>
        </w:tc>
      </w:tr>
      <w:tr w:rsidR="00B813A6" w:rsidRPr="00FA335D" w14:paraId="054E23C6" w14:textId="77777777" w:rsidTr="00B813A6">
        <w:tc>
          <w:tcPr>
            <w:tcW w:w="2977" w:type="dxa"/>
          </w:tcPr>
          <w:p w14:paraId="2FF1DC27" w14:textId="77777777" w:rsidR="00B813A6" w:rsidRPr="00FA335D" w:rsidRDefault="00B813A6" w:rsidP="00B813A6">
            <w:pPr>
              <w:rPr>
                <w:rFonts w:cs="Cambria"/>
                <w:sz w:val="20"/>
                <w:szCs w:val="20"/>
                <w:lang w:val="en-US"/>
              </w:rPr>
            </w:pPr>
            <w:r w:rsidRPr="00FA335D">
              <w:rPr>
                <w:rFonts w:cs="Cambria"/>
                <w:sz w:val="20"/>
                <w:szCs w:val="20"/>
                <w:lang w:val="en-US"/>
              </w:rPr>
              <w:t>London, UK</w:t>
            </w:r>
          </w:p>
        </w:tc>
        <w:tc>
          <w:tcPr>
            <w:tcW w:w="992" w:type="dxa"/>
          </w:tcPr>
          <w:p w14:paraId="6C978C3F"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427</w:t>
            </w:r>
          </w:p>
        </w:tc>
        <w:tc>
          <w:tcPr>
            <w:tcW w:w="1276" w:type="dxa"/>
          </w:tcPr>
          <w:p w14:paraId="0CEC430D" w14:textId="77777777" w:rsidR="00B813A6" w:rsidRPr="00FA335D" w:rsidRDefault="00B813A6" w:rsidP="00B813A6">
            <w:pPr>
              <w:jc w:val="center"/>
              <w:rPr>
                <w:rFonts w:cs="Cambria"/>
                <w:sz w:val="20"/>
                <w:szCs w:val="20"/>
                <w:lang w:val="en-US"/>
              </w:rPr>
            </w:pPr>
            <w:r>
              <w:rPr>
                <w:rFonts w:cs="Cambria"/>
                <w:sz w:val="20"/>
                <w:szCs w:val="20"/>
                <w:lang w:val="en-US"/>
              </w:rPr>
              <w:t>40.4</w:t>
            </w:r>
          </w:p>
        </w:tc>
        <w:tc>
          <w:tcPr>
            <w:tcW w:w="992" w:type="dxa"/>
          </w:tcPr>
          <w:p w14:paraId="5ED50E6E" w14:textId="77777777" w:rsidR="00B813A6" w:rsidRPr="00FA335D" w:rsidRDefault="00B813A6" w:rsidP="00B813A6">
            <w:pPr>
              <w:jc w:val="center"/>
              <w:rPr>
                <w:rFonts w:cs="Cambria"/>
                <w:sz w:val="20"/>
                <w:szCs w:val="20"/>
                <w:lang w:val="en-US"/>
              </w:rPr>
            </w:pPr>
            <w:r>
              <w:rPr>
                <w:rFonts w:cs="Cambria"/>
                <w:sz w:val="20"/>
                <w:szCs w:val="20"/>
                <w:lang w:val="en-US"/>
              </w:rPr>
              <w:t>24.3</w:t>
            </w:r>
          </w:p>
        </w:tc>
        <w:tc>
          <w:tcPr>
            <w:tcW w:w="2947" w:type="dxa"/>
          </w:tcPr>
          <w:p w14:paraId="2E978175"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1.7 (1.1, 2.4)</w:t>
            </w:r>
          </w:p>
        </w:tc>
      </w:tr>
      <w:tr w:rsidR="00B813A6" w:rsidRPr="00FA335D" w14:paraId="5ED27EFF" w14:textId="77777777" w:rsidTr="00B813A6">
        <w:tc>
          <w:tcPr>
            <w:tcW w:w="2977" w:type="dxa"/>
          </w:tcPr>
          <w:p w14:paraId="21BF143C" w14:textId="77777777" w:rsidR="00B813A6" w:rsidRPr="00FA335D" w:rsidRDefault="00B813A6" w:rsidP="00B813A6">
            <w:pPr>
              <w:rPr>
                <w:rFonts w:cs="Cambria"/>
                <w:sz w:val="20"/>
                <w:szCs w:val="20"/>
                <w:lang w:val="en-US"/>
              </w:rPr>
            </w:pPr>
            <w:r w:rsidRPr="00FA335D">
              <w:rPr>
                <w:rFonts w:cs="Cambria"/>
                <w:sz w:val="20"/>
                <w:szCs w:val="20"/>
                <w:lang w:val="en-US"/>
              </w:rPr>
              <w:t>Maastricht, Netherlands</w:t>
            </w:r>
          </w:p>
        </w:tc>
        <w:tc>
          <w:tcPr>
            <w:tcW w:w="992" w:type="dxa"/>
          </w:tcPr>
          <w:p w14:paraId="3A780934"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396</w:t>
            </w:r>
          </w:p>
        </w:tc>
        <w:tc>
          <w:tcPr>
            <w:tcW w:w="1276" w:type="dxa"/>
          </w:tcPr>
          <w:p w14:paraId="2A05EDB4" w14:textId="77777777" w:rsidR="00B813A6" w:rsidRPr="00FA335D" w:rsidRDefault="00B813A6" w:rsidP="00B813A6">
            <w:pPr>
              <w:jc w:val="center"/>
              <w:rPr>
                <w:rFonts w:cs="Cambria"/>
                <w:sz w:val="20"/>
                <w:szCs w:val="20"/>
                <w:lang w:val="en-US"/>
              </w:rPr>
            </w:pPr>
            <w:r>
              <w:rPr>
                <w:rFonts w:cs="Cambria"/>
                <w:sz w:val="20"/>
                <w:szCs w:val="20"/>
                <w:lang w:val="en-US"/>
              </w:rPr>
              <w:t>31.3</w:t>
            </w:r>
          </w:p>
        </w:tc>
        <w:tc>
          <w:tcPr>
            <w:tcW w:w="992" w:type="dxa"/>
          </w:tcPr>
          <w:p w14:paraId="407CD5C0" w14:textId="77777777" w:rsidR="00B813A6" w:rsidRPr="00FA335D" w:rsidRDefault="00B813A6" w:rsidP="00B813A6">
            <w:pPr>
              <w:jc w:val="center"/>
              <w:rPr>
                <w:rFonts w:cs="Cambria"/>
                <w:sz w:val="20"/>
                <w:szCs w:val="20"/>
                <w:lang w:val="en-US"/>
              </w:rPr>
            </w:pPr>
            <w:r>
              <w:rPr>
                <w:rFonts w:cs="Cambria"/>
                <w:sz w:val="20"/>
                <w:szCs w:val="20"/>
                <w:lang w:val="en-US"/>
              </w:rPr>
              <w:t>20.4</w:t>
            </w:r>
          </w:p>
        </w:tc>
        <w:tc>
          <w:tcPr>
            <w:tcW w:w="2947" w:type="dxa"/>
          </w:tcPr>
          <w:p w14:paraId="10210BE8"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1.5 (1.0, 2.3)</w:t>
            </w:r>
          </w:p>
        </w:tc>
      </w:tr>
      <w:tr w:rsidR="00B813A6" w:rsidRPr="00FA335D" w14:paraId="791FBD0A" w14:textId="77777777" w:rsidTr="00B813A6">
        <w:tc>
          <w:tcPr>
            <w:tcW w:w="2977" w:type="dxa"/>
          </w:tcPr>
          <w:p w14:paraId="4C5EF3EC" w14:textId="77777777" w:rsidR="00B813A6" w:rsidRPr="00FA335D" w:rsidRDefault="00B813A6" w:rsidP="00B813A6">
            <w:pPr>
              <w:rPr>
                <w:rFonts w:cs="Cambria"/>
                <w:sz w:val="20"/>
                <w:szCs w:val="20"/>
                <w:lang w:val="en-US"/>
              </w:rPr>
            </w:pPr>
            <w:r w:rsidRPr="00FA335D">
              <w:rPr>
                <w:rFonts w:cs="Cambria"/>
                <w:sz w:val="20"/>
                <w:szCs w:val="20"/>
                <w:lang w:val="en-US"/>
              </w:rPr>
              <w:t>Reykjavik, Iceland</w:t>
            </w:r>
          </w:p>
        </w:tc>
        <w:tc>
          <w:tcPr>
            <w:tcW w:w="992" w:type="dxa"/>
          </w:tcPr>
          <w:p w14:paraId="71C0852A"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557</w:t>
            </w:r>
          </w:p>
        </w:tc>
        <w:tc>
          <w:tcPr>
            <w:tcW w:w="1276" w:type="dxa"/>
          </w:tcPr>
          <w:p w14:paraId="01C193B3" w14:textId="77777777" w:rsidR="00B813A6" w:rsidRPr="00FA335D" w:rsidRDefault="00B813A6" w:rsidP="00B813A6">
            <w:pPr>
              <w:jc w:val="center"/>
              <w:rPr>
                <w:rFonts w:cs="Cambria"/>
                <w:sz w:val="20"/>
                <w:szCs w:val="20"/>
                <w:lang w:val="en-US"/>
              </w:rPr>
            </w:pPr>
            <w:r>
              <w:rPr>
                <w:rFonts w:cs="Cambria"/>
                <w:sz w:val="20"/>
                <w:szCs w:val="20"/>
                <w:lang w:val="en-US"/>
              </w:rPr>
              <w:t>14.0</w:t>
            </w:r>
          </w:p>
        </w:tc>
        <w:tc>
          <w:tcPr>
            <w:tcW w:w="992" w:type="dxa"/>
          </w:tcPr>
          <w:p w14:paraId="7A4BDBD1" w14:textId="77777777" w:rsidR="00B813A6" w:rsidRPr="00FA335D" w:rsidRDefault="00B813A6" w:rsidP="00B813A6">
            <w:pPr>
              <w:jc w:val="center"/>
              <w:rPr>
                <w:rFonts w:cs="Cambria"/>
                <w:sz w:val="20"/>
                <w:szCs w:val="20"/>
                <w:lang w:val="en-US"/>
              </w:rPr>
            </w:pPr>
            <w:r>
              <w:rPr>
                <w:rFonts w:cs="Cambria"/>
                <w:sz w:val="20"/>
                <w:szCs w:val="20"/>
                <w:lang w:val="en-US"/>
              </w:rPr>
              <w:t>3.3</w:t>
            </w:r>
          </w:p>
        </w:tc>
        <w:tc>
          <w:tcPr>
            <w:tcW w:w="2947" w:type="dxa"/>
          </w:tcPr>
          <w:p w14:paraId="4B3CDE0F"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4.2 (1.8, 10.1)</w:t>
            </w:r>
          </w:p>
        </w:tc>
      </w:tr>
      <w:tr w:rsidR="00B813A6" w:rsidRPr="00FA335D" w14:paraId="385C51D7" w14:textId="77777777" w:rsidTr="00B813A6">
        <w:tc>
          <w:tcPr>
            <w:tcW w:w="2977" w:type="dxa"/>
          </w:tcPr>
          <w:p w14:paraId="51A40F6F" w14:textId="77777777" w:rsidR="00B813A6" w:rsidRPr="00FA335D" w:rsidRDefault="00B813A6" w:rsidP="00B813A6">
            <w:pPr>
              <w:rPr>
                <w:rFonts w:cs="Cambria"/>
                <w:sz w:val="20"/>
                <w:szCs w:val="20"/>
                <w:lang w:val="en-US"/>
              </w:rPr>
            </w:pPr>
            <w:r w:rsidRPr="00FA335D">
              <w:rPr>
                <w:rFonts w:cs="Cambria"/>
                <w:sz w:val="20"/>
                <w:szCs w:val="20"/>
                <w:lang w:val="en-US"/>
              </w:rPr>
              <w:t>Salzburg, Austria</w:t>
            </w:r>
          </w:p>
        </w:tc>
        <w:tc>
          <w:tcPr>
            <w:tcW w:w="992" w:type="dxa"/>
          </w:tcPr>
          <w:p w14:paraId="1DF0F742"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860</w:t>
            </w:r>
          </w:p>
        </w:tc>
        <w:tc>
          <w:tcPr>
            <w:tcW w:w="1276" w:type="dxa"/>
          </w:tcPr>
          <w:p w14:paraId="404A61F6" w14:textId="77777777" w:rsidR="00B813A6" w:rsidRPr="00FA335D" w:rsidRDefault="00B813A6" w:rsidP="00B813A6">
            <w:pPr>
              <w:jc w:val="center"/>
              <w:rPr>
                <w:rFonts w:cs="Cambria"/>
                <w:sz w:val="20"/>
                <w:szCs w:val="20"/>
                <w:lang w:val="en-US"/>
              </w:rPr>
            </w:pPr>
            <w:r>
              <w:rPr>
                <w:rFonts w:cs="Cambria"/>
                <w:sz w:val="20"/>
                <w:szCs w:val="20"/>
                <w:lang w:val="en-US"/>
              </w:rPr>
              <w:t>35.2</w:t>
            </w:r>
          </w:p>
        </w:tc>
        <w:tc>
          <w:tcPr>
            <w:tcW w:w="992" w:type="dxa"/>
          </w:tcPr>
          <w:p w14:paraId="009D030C" w14:textId="77777777" w:rsidR="00B813A6" w:rsidRPr="00FA335D" w:rsidRDefault="00B813A6" w:rsidP="00B813A6">
            <w:pPr>
              <w:jc w:val="center"/>
              <w:rPr>
                <w:rFonts w:cs="Cambria"/>
                <w:sz w:val="20"/>
                <w:szCs w:val="20"/>
                <w:lang w:val="en-US"/>
              </w:rPr>
            </w:pPr>
            <w:r>
              <w:rPr>
                <w:rFonts w:cs="Cambria"/>
                <w:sz w:val="20"/>
                <w:szCs w:val="20"/>
                <w:lang w:val="en-US"/>
              </w:rPr>
              <w:t>25.4</w:t>
            </w:r>
          </w:p>
        </w:tc>
        <w:tc>
          <w:tcPr>
            <w:tcW w:w="2947" w:type="dxa"/>
          </w:tcPr>
          <w:p w14:paraId="228A8D52"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1.4 (1.1, 1.8)</w:t>
            </w:r>
          </w:p>
        </w:tc>
      </w:tr>
      <w:tr w:rsidR="00B813A6" w:rsidRPr="00FA335D" w14:paraId="5186F87A" w14:textId="77777777" w:rsidTr="00B813A6">
        <w:tc>
          <w:tcPr>
            <w:tcW w:w="2977" w:type="dxa"/>
          </w:tcPr>
          <w:p w14:paraId="48BC7C49" w14:textId="77777777" w:rsidR="00B813A6" w:rsidRPr="00FA335D" w:rsidRDefault="00B813A6" w:rsidP="00B813A6">
            <w:pPr>
              <w:rPr>
                <w:rFonts w:cs="Cambria"/>
                <w:sz w:val="20"/>
                <w:szCs w:val="20"/>
                <w:lang w:val="en-US"/>
              </w:rPr>
            </w:pPr>
            <w:r w:rsidRPr="00FA335D">
              <w:rPr>
                <w:rFonts w:cs="Cambria"/>
                <w:sz w:val="20"/>
                <w:szCs w:val="20"/>
                <w:lang w:val="en-US"/>
              </w:rPr>
              <w:lastRenderedPageBreak/>
              <w:t>Sydney, Australia</w:t>
            </w:r>
          </w:p>
        </w:tc>
        <w:tc>
          <w:tcPr>
            <w:tcW w:w="992" w:type="dxa"/>
          </w:tcPr>
          <w:p w14:paraId="01F8D025"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339</w:t>
            </w:r>
          </w:p>
        </w:tc>
        <w:tc>
          <w:tcPr>
            <w:tcW w:w="1276" w:type="dxa"/>
          </w:tcPr>
          <w:p w14:paraId="4155C3D4" w14:textId="77777777" w:rsidR="00B813A6" w:rsidRPr="00FA335D" w:rsidRDefault="00B813A6" w:rsidP="00B813A6">
            <w:pPr>
              <w:jc w:val="center"/>
              <w:rPr>
                <w:rFonts w:cs="Cambria"/>
                <w:sz w:val="20"/>
                <w:szCs w:val="20"/>
                <w:lang w:val="en-US"/>
              </w:rPr>
            </w:pPr>
            <w:r>
              <w:rPr>
                <w:rFonts w:cs="Cambria"/>
                <w:sz w:val="20"/>
                <w:szCs w:val="20"/>
                <w:lang w:val="en-US"/>
              </w:rPr>
              <w:t>20.0</w:t>
            </w:r>
          </w:p>
        </w:tc>
        <w:tc>
          <w:tcPr>
            <w:tcW w:w="992" w:type="dxa"/>
          </w:tcPr>
          <w:p w14:paraId="12467230" w14:textId="77777777" w:rsidR="00B813A6" w:rsidRPr="00FA335D" w:rsidRDefault="00B813A6" w:rsidP="00B813A6">
            <w:pPr>
              <w:jc w:val="center"/>
              <w:rPr>
                <w:rFonts w:cs="Cambria"/>
                <w:sz w:val="20"/>
                <w:szCs w:val="20"/>
                <w:lang w:val="en-US"/>
              </w:rPr>
            </w:pPr>
            <w:r>
              <w:rPr>
                <w:rFonts w:cs="Cambria"/>
                <w:sz w:val="20"/>
                <w:szCs w:val="20"/>
                <w:lang w:val="en-US"/>
              </w:rPr>
              <w:t>15.3</w:t>
            </w:r>
          </w:p>
        </w:tc>
        <w:tc>
          <w:tcPr>
            <w:tcW w:w="2947" w:type="dxa"/>
          </w:tcPr>
          <w:p w14:paraId="33976192"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1.3 (0.6, 3.0)</w:t>
            </w:r>
          </w:p>
        </w:tc>
      </w:tr>
      <w:tr w:rsidR="00B813A6" w:rsidRPr="00FA335D" w14:paraId="37F30E74" w14:textId="77777777" w:rsidTr="00B813A6">
        <w:tc>
          <w:tcPr>
            <w:tcW w:w="2977" w:type="dxa"/>
          </w:tcPr>
          <w:p w14:paraId="41F74360" w14:textId="77777777" w:rsidR="00B813A6" w:rsidRPr="00FA335D" w:rsidRDefault="00B813A6" w:rsidP="00B813A6">
            <w:pPr>
              <w:rPr>
                <w:rFonts w:cs="Cambria"/>
                <w:sz w:val="20"/>
                <w:szCs w:val="20"/>
                <w:lang w:val="en-US"/>
              </w:rPr>
            </w:pPr>
            <w:r w:rsidRPr="00FA335D">
              <w:rPr>
                <w:rFonts w:cs="Cambria"/>
                <w:sz w:val="20"/>
                <w:szCs w:val="20"/>
                <w:lang w:val="en-US"/>
              </w:rPr>
              <w:t>Tartu, Estonia</w:t>
            </w:r>
          </w:p>
        </w:tc>
        <w:tc>
          <w:tcPr>
            <w:tcW w:w="992" w:type="dxa"/>
          </w:tcPr>
          <w:p w14:paraId="45E098A9"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348</w:t>
            </w:r>
          </w:p>
        </w:tc>
        <w:tc>
          <w:tcPr>
            <w:tcW w:w="1276" w:type="dxa"/>
          </w:tcPr>
          <w:p w14:paraId="544D5C9E" w14:textId="77777777" w:rsidR="00B813A6" w:rsidRPr="00FA335D" w:rsidRDefault="00B813A6" w:rsidP="00B813A6">
            <w:pPr>
              <w:jc w:val="center"/>
              <w:rPr>
                <w:rFonts w:cs="Cambria"/>
                <w:sz w:val="20"/>
                <w:szCs w:val="20"/>
                <w:lang w:val="en-US"/>
              </w:rPr>
            </w:pPr>
            <w:r>
              <w:rPr>
                <w:rFonts w:cs="Cambria"/>
                <w:sz w:val="20"/>
                <w:szCs w:val="20"/>
                <w:lang w:val="en-US"/>
              </w:rPr>
              <w:t>20.0</w:t>
            </w:r>
          </w:p>
        </w:tc>
        <w:tc>
          <w:tcPr>
            <w:tcW w:w="992" w:type="dxa"/>
          </w:tcPr>
          <w:p w14:paraId="36E6EF58" w14:textId="77777777" w:rsidR="00B813A6" w:rsidRPr="00FA335D" w:rsidRDefault="00B813A6" w:rsidP="00B813A6">
            <w:pPr>
              <w:jc w:val="center"/>
              <w:rPr>
                <w:rFonts w:cs="Cambria"/>
                <w:sz w:val="20"/>
                <w:szCs w:val="20"/>
                <w:lang w:val="en-US"/>
              </w:rPr>
            </w:pPr>
            <w:r>
              <w:rPr>
                <w:rFonts w:cs="Cambria"/>
                <w:sz w:val="20"/>
                <w:szCs w:val="20"/>
                <w:lang w:val="en-US"/>
              </w:rPr>
              <w:t>7.8</w:t>
            </w:r>
          </w:p>
        </w:tc>
        <w:tc>
          <w:tcPr>
            <w:tcW w:w="2947" w:type="dxa"/>
          </w:tcPr>
          <w:p w14:paraId="5478C38E"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2.6 (0.9, 7.5)</w:t>
            </w:r>
          </w:p>
        </w:tc>
      </w:tr>
      <w:tr w:rsidR="00B813A6" w:rsidRPr="00FA335D" w14:paraId="114C84BD" w14:textId="77777777" w:rsidTr="00B813A6">
        <w:tc>
          <w:tcPr>
            <w:tcW w:w="2977" w:type="dxa"/>
          </w:tcPr>
          <w:p w14:paraId="027E5940" w14:textId="77777777" w:rsidR="00B813A6" w:rsidRPr="00FA335D" w:rsidRDefault="00B813A6" w:rsidP="00B813A6">
            <w:pPr>
              <w:rPr>
                <w:rFonts w:cs="Cambria"/>
                <w:sz w:val="20"/>
                <w:szCs w:val="20"/>
                <w:lang w:val="en-US"/>
              </w:rPr>
            </w:pPr>
            <w:r w:rsidRPr="00FA335D">
              <w:rPr>
                <w:rFonts w:cs="Cambria"/>
                <w:sz w:val="20"/>
                <w:szCs w:val="20"/>
                <w:lang w:val="en-US"/>
              </w:rPr>
              <w:t>Uppsala, Sweden</w:t>
            </w:r>
          </w:p>
        </w:tc>
        <w:tc>
          <w:tcPr>
            <w:tcW w:w="992" w:type="dxa"/>
          </w:tcPr>
          <w:p w14:paraId="4432AF50"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371</w:t>
            </w:r>
          </w:p>
        </w:tc>
        <w:tc>
          <w:tcPr>
            <w:tcW w:w="1276" w:type="dxa"/>
          </w:tcPr>
          <w:p w14:paraId="677C5958" w14:textId="77777777" w:rsidR="00B813A6" w:rsidRPr="00FA335D" w:rsidRDefault="00B813A6" w:rsidP="00B813A6">
            <w:pPr>
              <w:jc w:val="center"/>
              <w:rPr>
                <w:rFonts w:cs="Cambria"/>
                <w:sz w:val="20"/>
                <w:szCs w:val="20"/>
                <w:lang w:val="en-US"/>
              </w:rPr>
            </w:pPr>
            <w:r>
              <w:rPr>
                <w:rFonts w:cs="Cambria"/>
                <w:sz w:val="20"/>
                <w:szCs w:val="20"/>
                <w:lang w:val="en-US"/>
              </w:rPr>
              <w:t>23.8</w:t>
            </w:r>
          </w:p>
        </w:tc>
        <w:tc>
          <w:tcPr>
            <w:tcW w:w="992" w:type="dxa"/>
          </w:tcPr>
          <w:p w14:paraId="287C682D" w14:textId="77777777" w:rsidR="00B813A6" w:rsidRPr="00FA335D" w:rsidRDefault="00B813A6" w:rsidP="00B813A6">
            <w:pPr>
              <w:jc w:val="center"/>
              <w:rPr>
                <w:rFonts w:cs="Cambria"/>
                <w:sz w:val="20"/>
                <w:szCs w:val="20"/>
                <w:lang w:val="en-US"/>
              </w:rPr>
            </w:pPr>
            <w:r>
              <w:rPr>
                <w:rFonts w:cs="Cambria"/>
                <w:sz w:val="20"/>
                <w:szCs w:val="20"/>
                <w:lang w:val="en-US"/>
              </w:rPr>
              <w:t>6.0</w:t>
            </w:r>
          </w:p>
        </w:tc>
        <w:tc>
          <w:tcPr>
            <w:tcW w:w="2947" w:type="dxa"/>
          </w:tcPr>
          <w:p w14:paraId="47B54CB5"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4.0 (1.7, 9.5)</w:t>
            </w:r>
          </w:p>
        </w:tc>
      </w:tr>
      <w:tr w:rsidR="00B813A6" w:rsidRPr="00FA335D" w14:paraId="40944169" w14:textId="77777777" w:rsidTr="00B813A6">
        <w:tc>
          <w:tcPr>
            <w:tcW w:w="2977" w:type="dxa"/>
          </w:tcPr>
          <w:p w14:paraId="3F8CF6FD" w14:textId="77777777" w:rsidR="00B813A6" w:rsidRPr="00FA335D" w:rsidRDefault="00B813A6" w:rsidP="00B813A6">
            <w:pPr>
              <w:rPr>
                <w:rFonts w:cs="Cambria"/>
                <w:sz w:val="20"/>
                <w:szCs w:val="20"/>
                <w:lang w:val="en-US"/>
              </w:rPr>
            </w:pPr>
            <w:r w:rsidRPr="00FA335D">
              <w:rPr>
                <w:rFonts w:cs="Cambria"/>
                <w:sz w:val="20"/>
                <w:szCs w:val="20"/>
                <w:lang w:val="en-US"/>
              </w:rPr>
              <w:t>Vancouver, Canada</w:t>
            </w:r>
          </w:p>
        </w:tc>
        <w:tc>
          <w:tcPr>
            <w:tcW w:w="992" w:type="dxa"/>
          </w:tcPr>
          <w:p w14:paraId="1DEC27D2"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594</w:t>
            </w:r>
          </w:p>
        </w:tc>
        <w:tc>
          <w:tcPr>
            <w:tcW w:w="1276" w:type="dxa"/>
          </w:tcPr>
          <w:p w14:paraId="07C069F3" w14:textId="77777777" w:rsidR="00B813A6" w:rsidRPr="00FA335D" w:rsidRDefault="00B813A6" w:rsidP="00B813A6">
            <w:pPr>
              <w:jc w:val="center"/>
              <w:rPr>
                <w:rFonts w:cs="Cambria"/>
                <w:sz w:val="20"/>
                <w:szCs w:val="20"/>
                <w:lang w:val="en-US"/>
              </w:rPr>
            </w:pPr>
            <w:r>
              <w:rPr>
                <w:rFonts w:cs="Cambria"/>
                <w:sz w:val="20"/>
                <w:szCs w:val="20"/>
                <w:lang w:val="en-US"/>
              </w:rPr>
              <w:t>21.8</w:t>
            </w:r>
          </w:p>
        </w:tc>
        <w:tc>
          <w:tcPr>
            <w:tcW w:w="992" w:type="dxa"/>
          </w:tcPr>
          <w:p w14:paraId="7BAD4DC4" w14:textId="77777777" w:rsidR="00B813A6" w:rsidRPr="00FA335D" w:rsidRDefault="00B813A6" w:rsidP="00B813A6">
            <w:pPr>
              <w:jc w:val="center"/>
              <w:rPr>
                <w:rFonts w:cs="Cambria"/>
                <w:sz w:val="20"/>
                <w:szCs w:val="20"/>
                <w:lang w:val="en-US"/>
              </w:rPr>
            </w:pPr>
            <w:r>
              <w:rPr>
                <w:rFonts w:cs="Cambria"/>
                <w:sz w:val="20"/>
                <w:szCs w:val="20"/>
                <w:lang w:val="en-US"/>
              </w:rPr>
              <w:t>11.5</w:t>
            </w:r>
          </w:p>
        </w:tc>
        <w:tc>
          <w:tcPr>
            <w:tcW w:w="2947" w:type="dxa"/>
          </w:tcPr>
          <w:p w14:paraId="428D44C6"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1.9 (1.1, 3.3)</w:t>
            </w:r>
          </w:p>
        </w:tc>
      </w:tr>
      <w:tr w:rsidR="00B813A6" w:rsidRPr="00FA335D" w14:paraId="72DA4C3C" w14:textId="77777777" w:rsidTr="00B813A6">
        <w:tc>
          <w:tcPr>
            <w:tcW w:w="2977" w:type="dxa"/>
          </w:tcPr>
          <w:p w14:paraId="129E3F0D" w14:textId="77777777" w:rsidR="00B813A6" w:rsidRPr="00FA335D" w:rsidRDefault="00B813A6" w:rsidP="00B813A6">
            <w:pPr>
              <w:rPr>
                <w:rFonts w:cs="Cambria"/>
                <w:sz w:val="20"/>
                <w:szCs w:val="20"/>
                <w:lang w:val="en-US"/>
              </w:rPr>
            </w:pPr>
            <w:r w:rsidRPr="00E7523F">
              <w:rPr>
                <w:rFonts w:cs="Cambria"/>
                <w:b/>
                <w:sz w:val="20"/>
                <w:szCs w:val="20"/>
                <w:lang w:val="en-US"/>
              </w:rPr>
              <w:t>LOW</w:t>
            </w:r>
            <w:r>
              <w:rPr>
                <w:rFonts w:cs="Cambria"/>
                <w:b/>
                <w:sz w:val="20"/>
                <w:szCs w:val="20"/>
                <w:lang w:val="en-US"/>
              </w:rPr>
              <w:t>-TO-MIDDLE</w:t>
            </w:r>
            <w:r w:rsidRPr="00E7523F">
              <w:rPr>
                <w:rFonts w:cs="Cambria"/>
                <w:b/>
                <w:sz w:val="20"/>
                <w:szCs w:val="20"/>
                <w:lang w:val="en-US"/>
              </w:rPr>
              <w:t xml:space="preserve"> INCOME</w:t>
            </w:r>
          </w:p>
        </w:tc>
        <w:tc>
          <w:tcPr>
            <w:tcW w:w="992" w:type="dxa"/>
          </w:tcPr>
          <w:p w14:paraId="5BE58A65" w14:textId="77777777" w:rsidR="00B813A6" w:rsidRPr="00B419C6" w:rsidRDefault="00B813A6" w:rsidP="00B813A6">
            <w:pPr>
              <w:jc w:val="center"/>
              <w:rPr>
                <w:rFonts w:cs="Cambria"/>
                <w:color w:val="000000" w:themeColor="text1"/>
                <w:sz w:val="20"/>
                <w:szCs w:val="20"/>
                <w:lang w:val="en-US"/>
              </w:rPr>
            </w:pPr>
          </w:p>
        </w:tc>
        <w:tc>
          <w:tcPr>
            <w:tcW w:w="1276" w:type="dxa"/>
          </w:tcPr>
          <w:p w14:paraId="0FFB3922" w14:textId="77777777" w:rsidR="00B813A6" w:rsidRPr="00FA335D" w:rsidRDefault="00B813A6" w:rsidP="00B813A6">
            <w:pPr>
              <w:jc w:val="center"/>
              <w:rPr>
                <w:rFonts w:cs="Cambria"/>
                <w:sz w:val="20"/>
                <w:szCs w:val="20"/>
                <w:lang w:val="en-US"/>
              </w:rPr>
            </w:pPr>
          </w:p>
        </w:tc>
        <w:tc>
          <w:tcPr>
            <w:tcW w:w="992" w:type="dxa"/>
          </w:tcPr>
          <w:p w14:paraId="33CB8B2B" w14:textId="77777777" w:rsidR="00B813A6" w:rsidRPr="00FA335D" w:rsidRDefault="00B813A6" w:rsidP="00B813A6">
            <w:pPr>
              <w:jc w:val="center"/>
              <w:rPr>
                <w:rFonts w:cs="Cambria"/>
                <w:sz w:val="20"/>
                <w:szCs w:val="20"/>
                <w:lang w:val="en-US"/>
              </w:rPr>
            </w:pPr>
          </w:p>
        </w:tc>
        <w:tc>
          <w:tcPr>
            <w:tcW w:w="2947" w:type="dxa"/>
          </w:tcPr>
          <w:p w14:paraId="22A6C4D8" w14:textId="77777777" w:rsidR="00B813A6" w:rsidRPr="00B419C6" w:rsidRDefault="00B813A6" w:rsidP="00B813A6">
            <w:pPr>
              <w:jc w:val="center"/>
              <w:rPr>
                <w:rFonts w:cs="Cambria"/>
                <w:color w:val="000000" w:themeColor="text1"/>
                <w:sz w:val="20"/>
                <w:szCs w:val="20"/>
                <w:lang w:val="en-US"/>
              </w:rPr>
            </w:pPr>
          </w:p>
        </w:tc>
      </w:tr>
      <w:tr w:rsidR="00B813A6" w:rsidRPr="00FA335D" w14:paraId="5AC33897" w14:textId="77777777" w:rsidTr="00B813A6">
        <w:trPr>
          <w:trHeight w:val="236"/>
        </w:trPr>
        <w:tc>
          <w:tcPr>
            <w:tcW w:w="2977" w:type="dxa"/>
          </w:tcPr>
          <w:p w14:paraId="3BAB9BB9" w14:textId="77777777" w:rsidR="00B813A6" w:rsidRPr="00FA335D" w:rsidRDefault="00B813A6" w:rsidP="00B813A6">
            <w:pPr>
              <w:rPr>
                <w:rFonts w:cs="Cambria"/>
                <w:sz w:val="20"/>
                <w:szCs w:val="20"/>
                <w:lang w:val="en-US"/>
              </w:rPr>
            </w:pPr>
            <w:r w:rsidRPr="00FA335D">
              <w:rPr>
                <w:rFonts w:cs="Cambria"/>
                <w:sz w:val="20"/>
                <w:szCs w:val="20"/>
                <w:lang w:val="en-US"/>
              </w:rPr>
              <w:t>Adana, Turkey</w:t>
            </w:r>
          </w:p>
        </w:tc>
        <w:tc>
          <w:tcPr>
            <w:tcW w:w="992" w:type="dxa"/>
          </w:tcPr>
          <w:p w14:paraId="4181E0D9"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487</w:t>
            </w:r>
          </w:p>
        </w:tc>
        <w:tc>
          <w:tcPr>
            <w:tcW w:w="1276" w:type="dxa"/>
          </w:tcPr>
          <w:p w14:paraId="2E9BBA1A" w14:textId="77777777" w:rsidR="00B813A6" w:rsidRPr="00FA335D" w:rsidRDefault="00B813A6" w:rsidP="00B813A6">
            <w:pPr>
              <w:jc w:val="center"/>
              <w:rPr>
                <w:rFonts w:cs="Cambria"/>
                <w:sz w:val="20"/>
                <w:szCs w:val="20"/>
                <w:lang w:val="en-US"/>
              </w:rPr>
            </w:pPr>
            <w:r>
              <w:rPr>
                <w:rFonts w:cs="Cambria"/>
                <w:sz w:val="20"/>
                <w:szCs w:val="20"/>
                <w:lang w:val="en-US"/>
              </w:rPr>
              <w:t>41.1</w:t>
            </w:r>
          </w:p>
        </w:tc>
        <w:tc>
          <w:tcPr>
            <w:tcW w:w="992" w:type="dxa"/>
          </w:tcPr>
          <w:p w14:paraId="273F460C" w14:textId="77777777" w:rsidR="00B813A6" w:rsidRPr="00FA335D" w:rsidRDefault="00B813A6" w:rsidP="00B813A6">
            <w:pPr>
              <w:jc w:val="center"/>
              <w:rPr>
                <w:rFonts w:cs="Cambria"/>
                <w:sz w:val="20"/>
                <w:szCs w:val="20"/>
                <w:lang w:val="en-US"/>
              </w:rPr>
            </w:pPr>
            <w:r>
              <w:rPr>
                <w:rFonts w:cs="Cambria"/>
                <w:sz w:val="20"/>
                <w:szCs w:val="20"/>
                <w:lang w:val="en-US"/>
              </w:rPr>
              <w:t>45.4</w:t>
            </w:r>
          </w:p>
        </w:tc>
        <w:tc>
          <w:tcPr>
            <w:tcW w:w="2947" w:type="dxa"/>
          </w:tcPr>
          <w:p w14:paraId="416F0297"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0.9 (0.7, 1.2)</w:t>
            </w:r>
          </w:p>
        </w:tc>
      </w:tr>
      <w:tr w:rsidR="00B813A6" w:rsidRPr="00FA335D" w14:paraId="5C64D5A9" w14:textId="77777777" w:rsidTr="00B813A6">
        <w:tc>
          <w:tcPr>
            <w:tcW w:w="2977" w:type="dxa"/>
          </w:tcPr>
          <w:p w14:paraId="0E5EDB9D" w14:textId="77777777" w:rsidR="00B813A6" w:rsidRPr="00FA335D" w:rsidRDefault="00B813A6" w:rsidP="00B813A6">
            <w:pPr>
              <w:rPr>
                <w:rFonts w:cs="Cambria"/>
                <w:sz w:val="20"/>
                <w:szCs w:val="20"/>
                <w:lang w:val="en-US"/>
              </w:rPr>
            </w:pPr>
            <w:r w:rsidRPr="00FA335D">
              <w:rPr>
                <w:rFonts w:cs="Cambria"/>
                <w:sz w:val="20"/>
                <w:szCs w:val="20"/>
                <w:lang w:val="en-US"/>
              </w:rPr>
              <w:t xml:space="preserve">Annaba, </w:t>
            </w:r>
            <w:proofErr w:type="spellStart"/>
            <w:r w:rsidRPr="00FA335D">
              <w:rPr>
                <w:rFonts w:cs="Cambria"/>
                <w:sz w:val="20"/>
                <w:szCs w:val="20"/>
                <w:lang w:val="en-US"/>
              </w:rPr>
              <w:t>Algerie</w:t>
            </w:r>
            <w:proofErr w:type="spellEnd"/>
          </w:p>
        </w:tc>
        <w:tc>
          <w:tcPr>
            <w:tcW w:w="992" w:type="dxa"/>
          </w:tcPr>
          <w:p w14:paraId="681BD8F2"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408</w:t>
            </w:r>
          </w:p>
        </w:tc>
        <w:tc>
          <w:tcPr>
            <w:tcW w:w="1276" w:type="dxa"/>
          </w:tcPr>
          <w:p w14:paraId="0F5E9DA0" w14:textId="77777777" w:rsidR="00B813A6" w:rsidRPr="00FA335D" w:rsidRDefault="00B813A6" w:rsidP="00B813A6">
            <w:pPr>
              <w:jc w:val="center"/>
              <w:rPr>
                <w:rFonts w:cs="Cambria"/>
                <w:sz w:val="20"/>
                <w:szCs w:val="20"/>
                <w:lang w:val="en-US"/>
              </w:rPr>
            </w:pPr>
            <w:r>
              <w:rPr>
                <w:rFonts w:cs="Cambria"/>
                <w:sz w:val="20"/>
                <w:szCs w:val="20"/>
                <w:lang w:val="en-US"/>
              </w:rPr>
              <w:t>50.0</w:t>
            </w:r>
          </w:p>
        </w:tc>
        <w:tc>
          <w:tcPr>
            <w:tcW w:w="992" w:type="dxa"/>
          </w:tcPr>
          <w:p w14:paraId="3BD1B135" w14:textId="77777777" w:rsidR="00B813A6" w:rsidRPr="00FA335D" w:rsidRDefault="00B813A6" w:rsidP="00B813A6">
            <w:pPr>
              <w:jc w:val="center"/>
              <w:rPr>
                <w:rFonts w:cs="Cambria"/>
                <w:sz w:val="20"/>
                <w:szCs w:val="20"/>
                <w:lang w:val="en-US"/>
              </w:rPr>
            </w:pPr>
            <w:r>
              <w:rPr>
                <w:rFonts w:cs="Cambria"/>
                <w:sz w:val="20"/>
                <w:szCs w:val="20"/>
                <w:lang w:val="en-US"/>
              </w:rPr>
              <w:t>24.6</w:t>
            </w:r>
          </w:p>
        </w:tc>
        <w:tc>
          <w:tcPr>
            <w:tcW w:w="2947" w:type="dxa"/>
          </w:tcPr>
          <w:p w14:paraId="76880CED"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2.0 (1.2, 3.3)</w:t>
            </w:r>
          </w:p>
        </w:tc>
      </w:tr>
      <w:tr w:rsidR="00B813A6" w:rsidRPr="00FA335D" w14:paraId="0ED02CBE" w14:textId="77777777" w:rsidTr="00B813A6">
        <w:tc>
          <w:tcPr>
            <w:tcW w:w="2977" w:type="dxa"/>
          </w:tcPr>
          <w:p w14:paraId="23658E16" w14:textId="77777777" w:rsidR="00B813A6" w:rsidRPr="00FA335D" w:rsidRDefault="00B813A6" w:rsidP="00B813A6">
            <w:pPr>
              <w:rPr>
                <w:rFonts w:cs="Cambria"/>
                <w:sz w:val="20"/>
                <w:szCs w:val="20"/>
                <w:lang w:val="en-US"/>
              </w:rPr>
            </w:pPr>
            <w:r w:rsidRPr="00FA335D">
              <w:rPr>
                <w:rFonts w:cs="Cambria"/>
                <w:sz w:val="20"/>
                <w:szCs w:val="20"/>
                <w:lang w:val="en-US"/>
              </w:rPr>
              <w:t>Cape Town, South Africa</w:t>
            </w:r>
          </w:p>
        </w:tc>
        <w:tc>
          <w:tcPr>
            <w:tcW w:w="992" w:type="dxa"/>
          </w:tcPr>
          <w:p w14:paraId="0A08A5BB"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510</w:t>
            </w:r>
          </w:p>
        </w:tc>
        <w:tc>
          <w:tcPr>
            <w:tcW w:w="1276" w:type="dxa"/>
          </w:tcPr>
          <w:p w14:paraId="08CAB235" w14:textId="77777777" w:rsidR="00B813A6" w:rsidRPr="00FA335D" w:rsidRDefault="00B813A6" w:rsidP="00B813A6">
            <w:pPr>
              <w:jc w:val="center"/>
              <w:rPr>
                <w:rFonts w:cs="Cambria"/>
                <w:sz w:val="20"/>
                <w:szCs w:val="20"/>
                <w:lang w:val="en-US"/>
              </w:rPr>
            </w:pPr>
            <w:r>
              <w:rPr>
                <w:rFonts w:cs="Cambria"/>
                <w:sz w:val="20"/>
                <w:szCs w:val="20"/>
                <w:lang w:val="en-US"/>
              </w:rPr>
              <w:t>52.2</w:t>
            </w:r>
          </w:p>
        </w:tc>
        <w:tc>
          <w:tcPr>
            <w:tcW w:w="992" w:type="dxa"/>
          </w:tcPr>
          <w:p w14:paraId="6323425D" w14:textId="77777777" w:rsidR="00B813A6" w:rsidRPr="00FA335D" w:rsidRDefault="00B813A6" w:rsidP="00B813A6">
            <w:pPr>
              <w:jc w:val="center"/>
              <w:rPr>
                <w:rFonts w:cs="Cambria"/>
                <w:sz w:val="20"/>
                <w:szCs w:val="20"/>
                <w:lang w:val="en-US"/>
              </w:rPr>
            </w:pPr>
            <w:r>
              <w:rPr>
                <w:rFonts w:cs="Cambria"/>
                <w:sz w:val="20"/>
                <w:szCs w:val="20"/>
                <w:lang w:val="en-US"/>
              </w:rPr>
              <w:t>33.5</w:t>
            </w:r>
          </w:p>
        </w:tc>
        <w:tc>
          <w:tcPr>
            <w:tcW w:w="2947" w:type="dxa"/>
          </w:tcPr>
          <w:p w14:paraId="5AB5E2F1"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1.6 (1.2, 2.0)</w:t>
            </w:r>
          </w:p>
        </w:tc>
      </w:tr>
      <w:tr w:rsidR="00B813A6" w:rsidRPr="00FA335D" w14:paraId="61CFF363" w14:textId="77777777" w:rsidTr="00B813A6">
        <w:tc>
          <w:tcPr>
            <w:tcW w:w="2977" w:type="dxa"/>
          </w:tcPr>
          <w:p w14:paraId="63512BCB" w14:textId="77777777" w:rsidR="00B813A6" w:rsidRPr="00FA335D" w:rsidRDefault="00B813A6" w:rsidP="00B813A6">
            <w:pPr>
              <w:rPr>
                <w:rFonts w:cs="Cambria"/>
                <w:sz w:val="20"/>
                <w:szCs w:val="20"/>
                <w:lang w:val="en-US"/>
              </w:rPr>
            </w:pPr>
            <w:r w:rsidRPr="00FA335D">
              <w:rPr>
                <w:rFonts w:cs="Cambria"/>
                <w:sz w:val="20"/>
                <w:szCs w:val="20"/>
                <w:lang w:val="en-US"/>
              </w:rPr>
              <w:t>Fes, Morocco</w:t>
            </w:r>
          </w:p>
        </w:tc>
        <w:tc>
          <w:tcPr>
            <w:tcW w:w="992" w:type="dxa"/>
          </w:tcPr>
          <w:p w14:paraId="3C0A027B"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335</w:t>
            </w:r>
          </w:p>
        </w:tc>
        <w:tc>
          <w:tcPr>
            <w:tcW w:w="1276" w:type="dxa"/>
          </w:tcPr>
          <w:p w14:paraId="670E0C90" w14:textId="77777777" w:rsidR="00B813A6" w:rsidRPr="00FA335D" w:rsidRDefault="00B813A6" w:rsidP="00B813A6">
            <w:pPr>
              <w:jc w:val="center"/>
              <w:rPr>
                <w:rFonts w:cs="Cambria"/>
                <w:sz w:val="20"/>
                <w:szCs w:val="20"/>
                <w:lang w:val="en-US"/>
              </w:rPr>
            </w:pPr>
            <w:r>
              <w:rPr>
                <w:rFonts w:cs="Cambria"/>
                <w:sz w:val="20"/>
                <w:szCs w:val="20"/>
                <w:lang w:val="en-US"/>
              </w:rPr>
              <w:t>41.7</w:t>
            </w:r>
          </w:p>
        </w:tc>
        <w:tc>
          <w:tcPr>
            <w:tcW w:w="992" w:type="dxa"/>
          </w:tcPr>
          <w:p w14:paraId="2104CF06" w14:textId="77777777" w:rsidR="00B813A6" w:rsidRPr="00FA335D" w:rsidRDefault="00B813A6" w:rsidP="00B813A6">
            <w:pPr>
              <w:jc w:val="center"/>
              <w:rPr>
                <w:rFonts w:cs="Cambria"/>
                <w:sz w:val="20"/>
                <w:szCs w:val="20"/>
                <w:lang w:val="en-US"/>
              </w:rPr>
            </w:pPr>
            <w:r>
              <w:rPr>
                <w:rFonts w:cs="Cambria"/>
                <w:sz w:val="20"/>
                <w:szCs w:val="20"/>
                <w:lang w:val="en-US"/>
              </w:rPr>
              <w:t>53.7</w:t>
            </w:r>
          </w:p>
        </w:tc>
        <w:tc>
          <w:tcPr>
            <w:tcW w:w="2947" w:type="dxa"/>
          </w:tcPr>
          <w:p w14:paraId="5086E36F"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0.8 (0.5, 1.3)</w:t>
            </w:r>
          </w:p>
        </w:tc>
      </w:tr>
      <w:tr w:rsidR="00B813A6" w:rsidRPr="00FA335D" w14:paraId="2B35243F" w14:textId="77777777" w:rsidTr="00B813A6">
        <w:tc>
          <w:tcPr>
            <w:tcW w:w="2977" w:type="dxa"/>
          </w:tcPr>
          <w:p w14:paraId="01B9038C" w14:textId="77777777" w:rsidR="00B813A6" w:rsidRPr="00FA335D" w:rsidRDefault="00B813A6" w:rsidP="00B813A6">
            <w:pPr>
              <w:rPr>
                <w:rFonts w:cs="Cambria"/>
                <w:sz w:val="20"/>
                <w:szCs w:val="20"/>
                <w:lang w:val="en-US"/>
              </w:rPr>
            </w:pPr>
            <w:r w:rsidRPr="00FA335D">
              <w:rPr>
                <w:rFonts w:cs="Cambria"/>
                <w:sz w:val="20"/>
                <w:szCs w:val="20"/>
                <w:lang w:val="en-US"/>
              </w:rPr>
              <w:t>Guangzhou, China</w:t>
            </w:r>
          </w:p>
        </w:tc>
        <w:tc>
          <w:tcPr>
            <w:tcW w:w="992" w:type="dxa"/>
          </w:tcPr>
          <w:p w14:paraId="31C9B886"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359</w:t>
            </w:r>
          </w:p>
        </w:tc>
        <w:tc>
          <w:tcPr>
            <w:tcW w:w="1276" w:type="dxa"/>
          </w:tcPr>
          <w:p w14:paraId="22B8BC09" w14:textId="77777777" w:rsidR="00B813A6" w:rsidRPr="00FA335D" w:rsidRDefault="00B813A6" w:rsidP="00B813A6">
            <w:pPr>
              <w:jc w:val="center"/>
              <w:rPr>
                <w:rFonts w:cs="Cambria"/>
                <w:sz w:val="20"/>
                <w:szCs w:val="20"/>
                <w:lang w:val="en-US"/>
              </w:rPr>
            </w:pPr>
            <w:r>
              <w:rPr>
                <w:rFonts w:cs="Cambria"/>
                <w:sz w:val="20"/>
                <w:szCs w:val="20"/>
                <w:lang w:val="en-US"/>
              </w:rPr>
              <w:t>35.7</w:t>
            </w:r>
          </w:p>
        </w:tc>
        <w:tc>
          <w:tcPr>
            <w:tcW w:w="992" w:type="dxa"/>
          </w:tcPr>
          <w:p w14:paraId="24125719" w14:textId="77777777" w:rsidR="00B813A6" w:rsidRPr="00FA335D" w:rsidRDefault="00B813A6" w:rsidP="00B813A6">
            <w:pPr>
              <w:jc w:val="center"/>
              <w:rPr>
                <w:rFonts w:cs="Cambria"/>
                <w:sz w:val="20"/>
                <w:szCs w:val="20"/>
                <w:lang w:val="en-US"/>
              </w:rPr>
            </w:pPr>
            <w:r>
              <w:rPr>
                <w:rFonts w:cs="Cambria"/>
                <w:sz w:val="20"/>
                <w:szCs w:val="20"/>
                <w:lang w:val="en-US"/>
              </w:rPr>
              <w:t>49.9</w:t>
            </w:r>
          </w:p>
        </w:tc>
        <w:tc>
          <w:tcPr>
            <w:tcW w:w="2947" w:type="dxa"/>
          </w:tcPr>
          <w:p w14:paraId="6EA42BE7"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0.7 (0.4, 1.5)</w:t>
            </w:r>
          </w:p>
        </w:tc>
      </w:tr>
      <w:tr w:rsidR="00B813A6" w:rsidRPr="00FA335D" w14:paraId="44473FE6" w14:textId="77777777" w:rsidTr="00B813A6">
        <w:tc>
          <w:tcPr>
            <w:tcW w:w="2977" w:type="dxa"/>
          </w:tcPr>
          <w:p w14:paraId="30BC4AF2" w14:textId="77777777" w:rsidR="00B813A6" w:rsidRPr="00FA335D" w:rsidRDefault="00B813A6" w:rsidP="00B813A6">
            <w:pPr>
              <w:rPr>
                <w:rFonts w:cs="Cambria"/>
                <w:sz w:val="20"/>
                <w:szCs w:val="20"/>
                <w:lang w:val="en-US"/>
              </w:rPr>
            </w:pPr>
            <w:r>
              <w:rPr>
                <w:rFonts w:cs="Cambria"/>
                <w:sz w:val="20"/>
                <w:szCs w:val="20"/>
                <w:lang w:val="en-US"/>
              </w:rPr>
              <w:t>Ile-I</w:t>
            </w:r>
            <w:r w:rsidRPr="00FA335D">
              <w:rPr>
                <w:rFonts w:cs="Cambria"/>
                <w:sz w:val="20"/>
                <w:szCs w:val="20"/>
                <w:lang w:val="en-US"/>
              </w:rPr>
              <w:t>fe, Nigeria</w:t>
            </w:r>
          </w:p>
        </w:tc>
        <w:tc>
          <w:tcPr>
            <w:tcW w:w="992" w:type="dxa"/>
          </w:tcPr>
          <w:p w14:paraId="4293F962"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667</w:t>
            </w:r>
          </w:p>
        </w:tc>
        <w:tc>
          <w:tcPr>
            <w:tcW w:w="1276" w:type="dxa"/>
          </w:tcPr>
          <w:p w14:paraId="41D30BC7" w14:textId="77777777" w:rsidR="00B813A6" w:rsidRPr="00FA335D" w:rsidRDefault="00B813A6" w:rsidP="00B813A6">
            <w:pPr>
              <w:jc w:val="center"/>
              <w:rPr>
                <w:rFonts w:cs="Cambria"/>
                <w:sz w:val="20"/>
                <w:szCs w:val="20"/>
                <w:lang w:val="en-US"/>
              </w:rPr>
            </w:pPr>
            <w:r>
              <w:rPr>
                <w:rFonts w:cs="Cambria"/>
                <w:sz w:val="20"/>
                <w:szCs w:val="20"/>
                <w:lang w:val="en-US"/>
              </w:rPr>
              <w:t>5.1</w:t>
            </w:r>
          </w:p>
        </w:tc>
        <w:tc>
          <w:tcPr>
            <w:tcW w:w="992" w:type="dxa"/>
          </w:tcPr>
          <w:p w14:paraId="5877AFB4" w14:textId="77777777" w:rsidR="00B813A6" w:rsidRPr="00FA335D" w:rsidRDefault="00B813A6" w:rsidP="00B813A6">
            <w:pPr>
              <w:jc w:val="center"/>
              <w:rPr>
                <w:rFonts w:cs="Cambria"/>
                <w:sz w:val="20"/>
                <w:szCs w:val="20"/>
                <w:lang w:val="en-US"/>
              </w:rPr>
            </w:pPr>
            <w:r>
              <w:rPr>
                <w:rFonts w:cs="Cambria"/>
                <w:sz w:val="20"/>
                <w:szCs w:val="20"/>
                <w:lang w:val="en-US"/>
              </w:rPr>
              <w:t>7.6</w:t>
            </w:r>
          </w:p>
        </w:tc>
        <w:tc>
          <w:tcPr>
            <w:tcW w:w="2947" w:type="dxa"/>
          </w:tcPr>
          <w:p w14:paraId="029C6123"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0.7 (0.2, 2.7)</w:t>
            </w:r>
          </w:p>
        </w:tc>
      </w:tr>
      <w:tr w:rsidR="00B813A6" w:rsidRPr="00FA335D" w14:paraId="6AD56CF5" w14:textId="77777777" w:rsidTr="00B813A6">
        <w:tc>
          <w:tcPr>
            <w:tcW w:w="2977" w:type="dxa"/>
          </w:tcPr>
          <w:p w14:paraId="7C6B3FA2" w14:textId="77777777" w:rsidR="00B813A6" w:rsidRPr="00FA335D" w:rsidRDefault="00B813A6" w:rsidP="00B813A6">
            <w:pPr>
              <w:rPr>
                <w:rFonts w:cs="Cambria"/>
                <w:sz w:val="20"/>
                <w:szCs w:val="20"/>
                <w:lang w:val="en-US"/>
              </w:rPr>
            </w:pPr>
            <w:r>
              <w:rPr>
                <w:rFonts w:cs="Cambria"/>
                <w:sz w:val="20"/>
                <w:szCs w:val="20"/>
                <w:lang w:val="en-US"/>
              </w:rPr>
              <w:t>Kashmir</w:t>
            </w:r>
            <w:r w:rsidRPr="00FA335D">
              <w:rPr>
                <w:rFonts w:cs="Cambria"/>
                <w:sz w:val="20"/>
                <w:szCs w:val="20"/>
                <w:lang w:val="en-US"/>
              </w:rPr>
              <w:t>, India</w:t>
            </w:r>
          </w:p>
        </w:tc>
        <w:tc>
          <w:tcPr>
            <w:tcW w:w="992" w:type="dxa"/>
          </w:tcPr>
          <w:p w14:paraId="39751BF8"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366</w:t>
            </w:r>
          </w:p>
        </w:tc>
        <w:tc>
          <w:tcPr>
            <w:tcW w:w="1276" w:type="dxa"/>
          </w:tcPr>
          <w:p w14:paraId="5CBEC525" w14:textId="77777777" w:rsidR="00B813A6" w:rsidRPr="00FA335D" w:rsidRDefault="00B813A6" w:rsidP="00B813A6">
            <w:pPr>
              <w:jc w:val="center"/>
              <w:rPr>
                <w:rFonts w:cs="Cambria"/>
                <w:sz w:val="20"/>
                <w:szCs w:val="20"/>
                <w:lang w:val="en-US"/>
              </w:rPr>
            </w:pPr>
            <w:r>
              <w:rPr>
                <w:rFonts w:cs="Cambria"/>
                <w:sz w:val="20"/>
                <w:szCs w:val="20"/>
                <w:lang w:val="en-US"/>
              </w:rPr>
              <w:t>7.6</w:t>
            </w:r>
          </w:p>
        </w:tc>
        <w:tc>
          <w:tcPr>
            <w:tcW w:w="992" w:type="dxa"/>
          </w:tcPr>
          <w:p w14:paraId="1D9E044B" w14:textId="77777777" w:rsidR="00B813A6" w:rsidRPr="00FA335D" w:rsidRDefault="00B813A6" w:rsidP="00B813A6">
            <w:pPr>
              <w:jc w:val="center"/>
              <w:rPr>
                <w:rFonts w:cs="Cambria"/>
                <w:sz w:val="20"/>
                <w:szCs w:val="20"/>
                <w:lang w:val="en-US"/>
              </w:rPr>
            </w:pPr>
            <w:r>
              <w:rPr>
                <w:rFonts w:cs="Cambria"/>
                <w:sz w:val="20"/>
                <w:szCs w:val="20"/>
                <w:lang w:val="en-US"/>
              </w:rPr>
              <w:t>1.3</w:t>
            </w:r>
          </w:p>
        </w:tc>
        <w:tc>
          <w:tcPr>
            <w:tcW w:w="2947" w:type="dxa"/>
          </w:tcPr>
          <w:p w14:paraId="521781A5"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5.8 (1.5, 22.9)</w:t>
            </w:r>
          </w:p>
        </w:tc>
      </w:tr>
      <w:tr w:rsidR="00B813A6" w:rsidRPr="00FA335D" w14:paraId="7FB41B44" w14:textId="77777777" w:rsidTr="00B813A6">
        <w:tc>
          <w:tcPr>
            <w:tcW w:w="2977" w:type="dxa"/>
          </w:tcPr>
          <w:p w14:paraId="18C1E0ED" w14:textId="77777777" w:rsidR="00B813A6" w:rsidRPr="00FA335D" w:rsidRDefault="00B813A6" w:rsidP="00B813A6">
            <w:pPr>
              <w:rPr>
                <w:rFonts w:cs="Cambria"/>
                <w:sz w:val="20"/>
                <w:szCs w:val="20"/>
                <w:lang w:val="en-US"/>
              </w:rPr>
            </w:pPr>
            <w:r w:rsidRPr="00FA335D">
              <w:rPr>
                <w:rFonts w:cs="Cambria"/>
                <w:sz w:val="20"/>
                <w:szCs w:val="20"/>
                <w:lang w:val="en-US"/>
              </w:rPr>
              <w:t>Manila, Philippines</w:t>
            </w:r>
          </w:p>
        </w:tc>
        <w:tc>
          <w:tcPr>
            <w:tcW w:w="992" w:type="dxa"/>
          </w:tcPr>
          <w:p w14:paraId="60DEA98E"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594</w:t>
            </w:r>
          </w:p>
        </w:tc>
        <w:tc>
          <w:tcPr>
            <w:tcW w:w="1276" w:type="dxa"/>
          </w:tcPr>
          <w:p w14:paraId="591B9509" w14:textId="77777777" w:rsidR="00B813A6" w:rsidRPr="00FA335D" w:rsidRDefault="00B813A6" w:rsidP="00B813A6">
            <w:pPr>
              <w:jc w:val="center"/>
              <w:rPr>
                <w:rFonts w:cs="Cambria"/>
                <w:sz w:val="20"/>
                <w:szCs w:val="20"/>
                <w:lang w:val="en-US"/>
              </w:rPr>
            </w:pPr>
            <w:r>
              <w:rPr>
                <w:rFonts w:cs="Cambria"/>
                <w:sz w:val="20"/>
                <w:szCs w:val="20"/>
                <w:lang w:val="en-US"/>
              </w:rPr>
              <w:t>10.3</w:t>
            </w:r>
          </w:p>
        </w:tc>
        <w:tc>
          <w:tcPr>
            <w:tcW w:w="992" w:type="dxa"/>
          </w:tcPr>
          <w:p w14:paraId="12315C0E" w14:textId="77777777" w:rsidR="00B813A6" w:rsidRPr="00FA335D" w:rsidRDefault="00B813A6" w:rsidP="00B813A6">
            <w:pPr>
              <w:jc w:val="center"/>
              <w:rPr>
                <w:rFonts w:cs="Cambria"/>
                <w:sz w:val="20"/>
                <w:szCs w:val="20"/>
                <w:lang w:val="en-US"/>
              </w:rPr>
            </w:pPr>
            <w:r>
              <w:rPr>
                <w:rFonts w:cs="Cambria"/>
                <w:sz w:val="20"/>
                <w:szCs w:val="20"/>
                <w:lang w:val="en-US"/>
              </w:rPr>
              <w:t>19.5</w:t>
            </w:r>
          </w:p>
        </w:tc>
        <w:tc>
          <w:tcPr>
            <w:tcW w:w="2947" w:type="dxa"/>
          </w:tcPr>
          <w:p w14:paraId="0AA53A24"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0.5 (0.2, 1.4)</w:t>
            </w:r>
          </w:p>
        </w:tc>
      </w:tr>
      <w:tr w:rsidR="00B813A6" w:rsidRPr="00FA335D" w14:paraId="437D1F57" w14:textId="77777777" w:rsidTr="00B813A6">
        <w:tc>
          <w:tcPr>
            <w:tcW w:w="2977" w:type="dxa"/>
          </w:tcPr>
          <w:p w14:paraId="3B86F5A4" w14:textId="77777777" w:rsidR="00B813A6" w:rsidRPr="00FA335D" w:rsidRDefault="00B813A6" w:rsidP="00B813A6">
            <w:pPr>
              <w:rPr>
                <w:rFonts w:cs="Cambria"/>
                <w:sz w:val="20"/>
                <w:szCs w:val="20"/>
                <w:lang w:val="en-US"/>
              </w:rPr>
            </w:pPr>
            <w:r w:rsidRPr="00FA335D">
              <w:rPr>
                <w:rFonts w:cs="Cambria"/>
                <w:sz w:val="20"/>
                <w:szCs w:val="20"/>
                <w:lang w:val="en-US"/>
              </w:rPr>
              <w:t>Mumbai, India</w:t>
            </w:r>
          </w:p>
        </w:tc>
        <w:tc>
          <w:tcPr>
            <w:tcW w:w="992" w:type="dxa"/>
          </w:tcPr>
          <w:p w14:paraId="438A6AD2"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250</w:t>
            </w:r>
          </w:p>
        </w:tc>
        <w:tc>
          <w:tcPr>
            <w:tcW w:w="1276" w:type="dxa"/>
          </w:tcPr>
          <w:p w14:paraId="3030D6C0" w14:textId="77777777" w:rsidR="00B813A6" w:rsidRPr="00FA335D" w:rsidRDefault="00B813A6" w:rsidP="00B813A6">
            <w:pPr>
              <w:jc w:val="center"/>
              <w:rPr>
                <w:rFonts w:cs="Cambria"/>
                <w:sz w:val="20"/>
                <w:szCs w:val="20"/>
                <w:lang w:val="en-US"/>
              </w:rPr>
            </w:pPr>
            <w:r>
              <w:rPr>
                <w:rFonts w:cs="Cambria"/>
                <w:sz w:val="20"/>
                <w:szCs w:val="20"/>
                <w:lang w:val="en-US"/>
              </w:rPr>
              <w:t>17.7</w:t>
            </w:r>
          </w:p>
        </w:tc>
        <w:tc>
          <w:tcPr>
            <w:tcW w:w="992" w:type="dxa"/>
          </w:tcPr>
          <w:p w14:paraId="5CAB6322" w14:textId="77777777" w:rsidR="00B813A6" w:rsidRPr="00FA335D" w:rsidRDefault="00B813A6" w:rsidP="00B813A6">
            <w:pPr>
              <w:jc w:val="center"/>
              <w:rPr>
                <w:rFonts w:cs="Cambria"/>
                <w:sz w:val="20"/>
                <w:szCs w:val="20"/>
                <w:lang w:val="en-US"/>
              </w:rPr>
            </w:pPr>
            <w:r>
              <w:rPr>
                <w:rFonts w:cs="Cambria"/>
                <w:sz w:val="20"/>
                <w:szCs w:val="20"/>
                <w:lang w:val="en-US"/>
              </w:rPr>
              <w:t>10.3</w:t>
            </w:r>
          </w:p>
        </w:tc>
        <w:tc>
          <w:tcPr>
            <w:tcW w:w="2947" w:type="dxa"/>
          </w:tcPr>
          <w:p w14:paraId="3606F1F5"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1.7 (0.6, 5.1)</w:t>
            </w:r>
          </w:p>
        </w:tc>
      </w:tr>
      <w:tr w:rsidR="00B813A6" w:rsidRPr="00FA335D" w14:paraId="2A217594" w14:textId="77777777" w:rsidTr="00B813A6">
        <w:tc>
          <w:tcPr>
            <w:tcW w:w="2977" w:type="dxa"/>
          </w:tcPr>
          <w:p w14:paraId="3228368E" w14:textId="77777777" w:rsidR="00B813A6" w:rsidRPr="00FA335D" w:rsidRDefault="00B813A6" w:rsidP="00B813A6">
            <w:pPr>
              <w:rPr>
                <w:rFonts w:cs="Cambria"/>
                <w:sz w:val="20"/>
                <w:szCs w:val="20"/>
                <w:lang w:val="en-US"/>
              </w:rPr>
            </w:pPr>
            <w:proofErr w:type="spellStart"/>
            <w:r w:rsidRPr="00FA335D">
              <w:rPr>
                <w:rFonts w:cs="Cambria"/>
                <w:sz w:val="20"/>
                <w:szCs w:val="20"/>
                <w:lang w:val="en-US"/>
              </w:rPr>
              <w:t>Nampicuan</w:t>
            </w:r>
            <w:proofErr w:type="spellEnd"/>
            <w:r w:rsidRPr="00FA335D">
              <w:rPr>
                <w:rFonts w:cs="Cambria"/>
                <w:sz w:val="20"/>
                <w:szCs w:val="20"/>
                <w:lang w:val="en-US"/>
              </w:rPr>
              <w:t xml:space="preserve"> </w:t>
            </w:r>
            <w:proofErr w:type="spellStart"/>
            <w:r w:rsidRPr="00FA335D">
              <w:rPr>
                <w:rFonts w:cs="Cambria"/>
                <w:sz w:val="20"/>
                <w:szCs w:val="20"/>
                <w:lang w:val="en-US"/>
              </w:rPr>
              <w:t>Talugtug</w:t>
            </w:r>
            <w:proofErr w:type="spellEnd"/>
            <w:r w:rsidRPr="00FA335D">
              <w:rPr>
                <w:rFonts w:cs="Cambria"/>
                <w:sz w:val="20"/>
                <w:szCs w:val="20"/>
                <w:lang w:val="en-US"/>
              </w:rPr>
              <w:t>, Philippines</w:t>
            </w:r>
          </w:p>
        </w:tc>
        <w:tc>
          <w:tcPr>
            <w:tcW w:w="992" w:type="dxa"/>
          </w:tcPr>
          <w:p w14:paraId="4BC1B948"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493</w:t>
            </w:r>
          </w:p>
        </w:tc>
        <w:tc>
          <w:tcPr>
            <w:tcW w:w="1276" w:type="dxa"/>
          </w:tcPr>
          <w:p w14:paraId="61EDD4DF" w14:textId="77777777" w:rsidR="00B813A6" w:rsidRPr="00FA335D" w:rsidRDefault="00B813A6" w:rsidP="00B813A6">
            <w:pPr>
              <w:jc w:val="center"/>
              <w:rPr>
                <w:rFonts w:cs="Cambria"/>
                <w:sz w:val="20"/>
                <w:szCs w:val="20"/>
                <w:lang w:val="en-US"/>
              </w:rPr>
            </w:pPr>
            <w:r>
              <w:rPr>
                <w:rFonts w:cs="Cambria"/>
                <w:sz w:val="20"/>
                <w:szCs w:val="20"/>
                <w:lang w:val="en-US"/>
              </w:rPr>
              <w:t>23.2</w:t>
            </w:r>
          </w:p>
        </w:tc>
        <w:tc>
          <w:tcPr>
            <w:tcW w:w="992" w:type="dxa"/>
          </w:tcPr>
          <w:p w14:paraId="7C0C676B" w14:textId="77777777" w:rsidR="00B813A6" w:rsidRPr="00FA335D" w:rsidRDefault="00B813A6" w:rsidP="00B813A6">
            <w:pPr>
              <w:jc w:val="center"/>
              <w:rPr>
                <w:rFonts w:cs="Cambria"/>
                <w:sz w:val="20"/>
                <w:szCs w:val="20"/>
                <w:lang w:val="en-US"/>
              </w:rPr>
            </w:pPr>
            <w:r>
              <w:rPr>
                <w:rFonts w:cs="Cambria"/>
                <w:sz w:val="20"/>
                <w:szCs w:val="20"/>
                <w:lang w:val="en-US"/>
              </w:rPr>
              <w:t>14.7</w:t>
            </w:r>
          </w:p>
        </w:tc>
        <w:tc>
          <w:tcPr>
            <w:tcW w:w="2947" w:type="dxa"/>
          </w:tcPr>
          <w:p w14:paraId="02E8701B"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1.6 (0.9, 2.7)</w:t>
            </w:r>
          </w:p>
        </w:tc>
      </w:tr>
      <w:tr w:rsidR="00B813A6" w:rsidRPr="00FA335D" w14:paraId="462089A1" w14:textId="77777777" w:rsidTr="00B813A6">
        <w:tc>
          <w:tcPr>
            <w:tcW w:w="2977" w:type="dxa"/>
          </w:tcPr>
          <w:p w14:paraId="60A88A54" w14:textId="77777777" w:rsidR="00B813A6" w:rsidRPr="00FA335D" w:rsidRDefault="00B813A6" w:rsidP="00B813A6">
            <w:pPr>
              <w:rPr>
                <w:rFonts w:cs="Cambria"/>
                <w:sz w:val="20"/>
                <w:szCs w:val="20"/>
                <w:lang w:val="en-US"/>
              </w:rPr>
            </w:pPr>
            <w:r w:rsidRPr="00FA335D">
              <w:rPr>
                <w:rFonts w:cs="Cambria"/>
                <w:sz w:val="20"/>
                <w:szCs w:val="20"/>
                <w:lang w:val="en-US"/>
              </w:rPr>
              <w:t>Pune, India</w:t>
            </w:r>
          </w:p>
        </w:tc>
        <w:tc>
          <w:tcPr>
            <w:tcW w:w="992" w:type="dxa"/>
          </w:tcPr>
          <w:p w14:paraId="3CCFA802"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671</w:t>
            </w:r>
          </w:p>
        </w:tc>
        <w:tc>
          <w:tcPr>
            <w:tcW w:w="1276" w:type="dxa"/>
          </w:tcPr>
          <w:p w14:paraId="056D395C" w14:textId="77777777" w:rsidR="00B813A6" w:rsidRPr="00FA335D" w:rsidRDefault="00B813A6" w:rsidP="00B813A6">
            <w:pPr>
              <w:jc w:val="center"/>
              <w:rPr>
                <w:rFonts w:cs="Cambria"/>
                <w:sz w:val="20"/>
                <w:szCs w:val="20"/>
                <w:lang w:val="en-US"/>
              </w:rPr>
            </w:pPr>
            <w:r>
              <w:rPr>
                <w:rFonts w:cs="Cambria"/>
                <w:sz w:val="20"/>
                <w:szCs w:val="20"/>
                <w:lang w:val="en-US"/>
              </w:rPr>
              <w:t>6.5</w:t>
            </w:r>
          </w:p>
        </w:tc>
        <w:tc>
          <w:tcPr>
            <w:tcW w:w="992" w:type="dxa"/>
          </w:tcPr>
          <w:p w14:paraId="4A3E2FB9" w14:textId="77777777" w:rsidR="00B813A6" w:rsidRPr="00FA335D" w:rsidRDefault="00B813A6" w:rsidP="00B813A6">
            <w:pPr>
              <w:jc w:val="center"/>
              <w:rPr>
                <w:rFonts w:cs="Cambria"/>
                <w:sz w:val="20"/>
                <w:szCs w:val="20"/>
                <w:lang w:val="en-US"/>
              </w:rPr>
            </w:pPr>
            <w:r>
              <w:rPr>
                <w:rFonts w:cs="Cambria"/>
                <w:sz w:val="20"/>
                <w:szCs w:val="20"/>
                <w:lang w:val="en-US"/>
              </w:rPr>
              <w:t>4.1</w:t>
            </w:r>
          </w:p>
        </w:tc>
        <w:tc>
          <w:tcPr>
            <w:tcW w:w="2947" w:type="dxa"/>
          </w:tcPr>
          <w:p w14:paraId="4EB9B9FA"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1.6 (0.4, 6.4)</w:t>
            </w:r>
          </w:p>
        </w:tc>
      </w:tr>
      <w:tr w:rsidR="00B813A6" w:rsidRPr="00FA335D" w14:paraId="09B22DF0" w14:textId="77777777" w:rsidTr="00B813A6">
        <w:tc>
          <w:tcPr>
            <w:tcW w:w="2977" w:type="dxa"/>
          </w:tcPr>
          <w:p w14:paraId="694CCF36" w14:textId="77777777" w:rsidR="00B813A6" w:rsidRPr="00FA335D" w:rsidRDefault="00B813A6" w:rsidP="00B813A6">
            <w:pPr>
              <w:rPr>
                <w:rFonts w:cs="Cambria"/>
                <w:sz w:val="20"/>
                <w:szCs w:val="20"/>
                <w:lang w:val="en-US"/>
              </w:rPr>
            </w:pPr>
            <w:r w:rsidRPr="00FA335D">
              <w:rPr>
                <w:rFonts w:cs="Cambria"/>
                <w:sz w:val="20"/>
                <w:szCs w:val="20"/>
                <w:lang w:val="en-US"/>
              </w:rPr>
              <w:t>Sousse, Tunisia</w:t>
            </w:r>
          </w:p>
        </w:tc>
        <w:tc>
          <w:tcPr>
            <w:tcW w:w="992" w:type="dxa"/>
          </w:tcPr>
          <w:p w14:paraId="42B62FC5"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390</w:t>
            </w:r>
          </w:p>
        </w:tc>
        <w:tc>
          <w:tcPr>
            <w:tcW w:w="1276" w:type="dxa"/>
          </w:tcPr>
          <w:p w14:paraId="62537AA5" w14:textId="77777777" w:rsidR="00B813A6" w:rsidRPr="00FA335D" w:rsidRDefault="00B813A6" w:rsidP="00B813A6">
            <w:pPr>
              <w:jc w:val="center"/>
              <w:rPr>
                <w:rFonts w:cs="Cambria"/>
                <w:sz w:val="20"/>
                <w:szCs w:val="20"/>
                <w:lang w:val="en-US"/>
              </w:rPr>
            </w:pPr>
            <w:r>
              <w:rPr>
                <w:rFonts w:cs="Cambria"/>
                <w:sz w:val="20"/>
                <w:szCs w:val="20"/>
                <w:lang w:val="en-US"/>
              </w:rPr>
              <w:t>53.3</w:t>
            </w:r>
          </w:p>
        </w:tc>
        <w:tc>
          <w:tcPr>
            <w:tcW w:w="992" w:type="dxa"/>
          </w:tcPr>
          <w:p w14:paraId="3795033A" w14:textId="77777777" w:rsidR="00B813A6" w:rsidRPr="00FA335D" w:rsidRDefault="00B813A6" w:rsidP="00B813A6">
            <w:pPr>
              <w:jc w:val="center"/>
              <w:rPr>
                <w:rFonts w:cs="Cambria"/>
                <w:sz w:val="20"/>
                <w:szCs w:val="20"/>
                <w:lang w:val="en-US"/>
              </w:rPr>
            </w:pPr>
            <w:r>
              <w:rPr>
                <w:rFonts w:cs="Cambria"/>
                <w:sz w:val="20"/>
                <w:szCs w:val="20"/>
                <w:lang w:val="en-US"/>
              </w:rPr>
              <w:t>46.1</w:t>
            </w:r>
          </w:p>
        </w:tc>
        <w:tc>
          <w:tcPr>
            <w:tcW w:w="2947" w:type="dxa"/>
          </w:tcPr>
          <w:p w14:paraId="6AA9A880"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1.2 (0.7, 1.9)</w:t>
            </w:r>
          </w:p>
        </w:tc>
      </w:tr>
      <w:tr w:rsidR="00B813A6" w:rsidRPr="00FA335D" w14:paraId="73FB37A4" w14:textId="77777777" w:rsidTr="00B813A6">
        <w:tc>
          <w:tcPr>
            <w:tcW w:w="2977" w:type="dxa"/>
          </w:tcPr>
          <w:p w14:paraId="13991832" w14:textId="77777777" w:rsidR="00B813A6" w:rsidRPr="00FA335D" w:rsidRDefault="00B813A6" w:rsidP="00B813A6">
            <w:pPr>
              <w:rPr>
                <w:rFonts w:cs="Cambria"/>
                <w:sz w:val="20"/>
                <w:szCs w:val="20"/>
                <w:lang w:val="en-US"/>
              </w:rPr>
            </w:pPr>
            <w:r w:rsidRPr="00FA335D">
              <w:rPr>
                <w:rFonts w:cs="Cambria"/>
                <w:sz w:val="20"/>
                <w:szCs w:val="20"/>
                <w:lang w:val="en-US"/>
              </w:rPr>
              <w:t>Tirana, Albania</w:t>
            </w:r>
          </w:p>
        </w:tc>
        <w:tc>
          <w:tcPr>
            <w:tcW w:w="992" w:type="dxa"/>
          </w:tcPr>
          <w:p w14:paraId="7341FEFE"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520</w:t>
            </w:r>
          </w:p>
        </w:tc>
        <w:tc>
          <w:tcPr>
            <w:tcW w:w="1276" w:type="dxa"/>
          </w:tcPr>
          <w:p w14:paraId="45E04564" w14:textId="77777777" w:rsidR="00B813A6" w:rsidRPr="00FA335D" w:rsidRDefault="00B813A6" w:rsidP="00B813A6">
            <w:pPr>
              <w:jc w:val="center"/>
              <w:rPr>
                <w:rFonts w:cs="Cambria"/>
                <w:sz w:val="20"/>
                <w:szCs w:val="20"/>
                <w:lang w:val="en-US"/>
              </w:rPr>
            </w:pPr>
            <w:r>
              <w:rPr>
                <w:rFonts w:cs="Cambria"/>
                <w:sz w:val="20"/>
                <w:szCs w:val="20"/>
                <w:lang w:val="en-US"/>
              </w:rPr>
              <w:t>0.0</w:t>
            </w:r>
          </w:p>
        </w:tc>
        <w:tc>
          <w:tcPr>
            <w:tcW w:w="992" w:type="dxa"/>
          </w:tcPr>
          <w:p w14:paraId="47D2F58E" w14:textId="77777777" w:rsidR="00B813A6" w:rsidRPr="00FA335D" w:rsidRDefault="00B813A6" w:rsidP="00B813A6">
            <w:pPr>
              <w:jc w:val="center"/>
              <w:rPr>
                <w:rFonts w:cs="Cambria"/>
                <w:sz w:val="20"/>
                <w:szCs w:val="20"/>
                <w:lang w:val="en-US"/>
              </w:rPr>
            </w:pPr>
            <w:r>
              <w:rPr>
                <w:rFonts w:cs="Cambria"/>
                <w:sz w:val="20"/>
                <w:szCs w:val="20"/>
                <w:lang w:val="en-US"/>
              </w:rPr>
              <w:t>5.0</w:t>
            </w:r>
          </w:p>
        </w:tc>
        <w:tc>
          <w:tcPr>
            <w:tcW w:w="2947" w:type="dxa"/>
          </w:tcPr>
          <w:p w14:paraId="03231577" w14:textId="77777777" w:rsidR="00B813A6" w:rsidRPr="00B419C6" w:rsidRDefault="00B813A6" w:rsidP="00B813A6">
            <w:pPr>
              <w:jc w:val="center"/>
              <w:rPr>
                <w:rFonts w:cs="Cambria"/>
                <w:color w:val="000000" w:themeColor="text1"/>
                <w:sz w:val="20"/>
                <w:szCs w:val="20"/>
                <w:lang w:val="en-US"/>
              </w:rPr>
            </w:pPr>
            <w:r w:rsidRPr="00B419C6">
              <w:rPr>
                <w:rFonts w:cs="Cambria"/>
                <w:color w:val="000000" w:themeColor="text1"/>
                <w:sz w:val="20"/>
                <w:szCs w:val="20"/>
                <w:lang w:val="en-US"/>
              </w:rPr>
              <w:t>-</w:t>
            </w:r>
          </w:p>
        </w:tc>
      </w:tr>
    </w:tbl>
    <w:p w14:paraId="07927E61" w14:textId="77777777" w:rsidR="00B813A6" w:rsidRPr="001918E9" w:rsidRDefault="00B813A6" w:rsidP="00B813A6">
      <w:pPr>
        <w:pStyle w:val="Heading2"/>
        <w:rPr>
          <w:rFonts w:asciiTheme="minorHAnsi" w:hAnsiTheme="minorHAnsi"/>
          <w:b w:val="0"/>
          <w:bCs w:val="0"/>
          <w:color w:val="auto"/>
          <w:sz w:val="16"/>
          <w:szCs w:val="16"/>
          <w:lang w:val="en-US" w:eastAsia="en-US"/>
        </w:rPr>
      </w:pPr>
      <w:r>
        <w:rPr>
          <w:rFonts w:asciiTheme="minorHAnsi" w:hAnsiTheme="minorHAnsi"/>
          <w:b w:val="0"/>
          <w:bCs w:val="0"/>
          <w:color w:val="auto"/>
          <w:sz w:val="16"/>
          <w:szCs w:val="16"/>
          <w:lang w:val="en-US" w:eastAsia="en-US"/>
        </w:rPr>
        <w:t>*</w:t>
      </w:r>
      <w:r w:rsidRPr="001918E9">
        <w:rPr>
          <w:rFonts w:asciiTheme="minorHAnsi" w:hAnsiTheme="minorHAnsi"/>
          <w:b w:val="0"/>
          <w:bCs w:val="0"/>
          <w:color w:val="auto"/>
          <w:sz w:val="16"/>
          <w:szCs w:val="16"/>
          <w:lang w:val="en-US" w:eastAsia="en-US"/>
        </w:rPr>
        <w:t>Retirees (age limit defined as 65 years old) and homemakers/caregivers were excluded from the analysis.</w:t>
      </w:r>
      <w:r>
        <w:rPr>
          <w:rFonts w:asciiTheme="minorHAnsi" w:hAnsiTheme="minorHAnsi"/>
          <w:b w:val="0"/>
          <w:bCs w:val="0"/>
          <w:color w:val="auto"/>
          <w:sz w:val="16"/>
          <w:szCs w:val="16"/>
          <w:lang w:val="en-US" w:eastAsia="en-US"/>
        </w:rPr>
        <w:t xml:space="preserve"> **Ratio is calculated based on prevalence of unemployment among subjects with CAO divided upon prevalence of unemployment among subjects without CAO. A ratio above 1 indicates higher unemployment prevalence among CAO subjects than among non-CAO subjects, while a ratio below 1 indicates lower unemployment prevalence among CAO subjects. </w:t>
      </w:r>
    </w:p>
    <w:p w14:paraId="1A06F3BB" w14:textId="77777777" w:rsidR="00B813A6" w:rsidRDefault="00B813A6" w:rsidP="00B813A6">
      <w:pPr>
        <w:rPr>
          <w:lang w:val="en-US"/>
        </w:rPr>
      </w:pPr>
    </w:p>
    <w:p w14:paraId="17C11205" w14:textId="77777777" w:rsidR="00B813A6" w:rsidRPr="00B40E31" w:rsidRDefault="00B813A6" w:rsidP="00B813A6">
      <w:pPr>
        <w:spacing w:line="360" w:lineRule="auto"/>
        <w:rPr>
          <w:lang w:val="en-US"/>
        </w:rPr>
      </w:pPr>
    </w:p>
    <w:p w14:paraId="64DD0F6C" w14:textId="77777777" w:rsidR="00B813A6" w:rsidRDefault="00B813A6" w:rsidP="00B813A6">
      <w:pPr>
        <w:spacing w:line="360" w:lineRule="auto"/>
        <w:rPr>
          <w:lang w:val="en-US"/>
        </w:rPr>
      </w:pPr>
    </w:p>
    <w:p w14:paraId="0FA598A0" w14:textId="77777777" w:rsidR="00B813A6" w:rsidRPr="0025268C" w:rsidRDefault="00B813A6" w:rsidP="00B813A6">
      <w:pPr>
        <w:spacing w:line="360" w:lineRule="auto"/>
        <w:rPr>
          <w:color w:val="000000" w:themeColor="text1"/>
          <w:lang w:val="en-US"/>
        </w:rPr>
      </w:pPr>
      <w:r w:rsidRPr="00B40E31">
        <w:rPr>
          <w:lang w:val="en-US"/>
        </w:rPr>
        <w:t>In multivariable analyses</w:t>
      </w:r>
      <w:r>
        <w:rPr>
          <w:lang w:val="en-US"/>
        </w:rPr>
        <w:t>,</w:t>
      </w:r>
      <w:r w:rsidRPr="00B40E31">
        <w:rPr>
          <w:lang w:val="en-US"/>
        </w:rPr>
        <w:t xml:space="preserve"> we </w:t>
      </w:r>
      <w:r>
        <w:rPr>
          <w:lang w:val="en-US"/>
        </w:rPr>
        <w:t>assessed</w:t>
      </w:r>
      <w:r w:rsidRPr="00B40E31">
        <w:rPr>
          <w:lang w:val="en-US"/>
        </w:rPr>
        <w:t xml:space="preserve"> the </w:t>
      </w:r>
      <w:r>
        <w:rPr>
          <w:lang w:val="en-US"/>
        </w:rPr>
        <w:t>odds ratio</w:t>
      </w:r>
      <w:r w:rsidRPr="00B40E31">
        <w:rPr>
          <w:lang w:val="en-US"/>
        </w:rPr>
        <w:t xml:space="preserve"> </w:t>
      </w:r>
      <w:r>
        <w:rPr>
          <w:lang w:val="en-US"/>
        </w:rPr>
        <w:t xml:space="preserve">(OR) </w:t>
      </w:r>
      <w:r w:rsidRPr="00B40E31">
        <w:rPr>
          <w:lang w:val="en-US"/>
        </w:rPr>
        <w:t>of being unemployed</w:t>
      </w:r>
      <w:r>
        <w:rPr>
          <w:lang w:val="en-US"/>
        </w:rPr>
        <w:t xml:space="preserve"> by CAO status and an increasing number of covariates </w:t>
      </w:r>
      <w:r w:rsidRPr="00B40E31">
        <w:rPr>
          <w:lang w:val="en-US"/>
        </w:rPr>
        <w:t xml:space="preserve">(Table </w:t>
      </w:r>
      <w:r>
        <w:rPr>
          <w:lang w:val="en-US"/>
        </w:rPr>
        <w:t>3</w:t>
      </w:r>
      <w:r w:rsidRPr="00B40E31">
        <w:rPr>
          <w:lang w:val="en-US"/>
        </w:rPr>
        <w:t xml:space="preserve">). The first model showed that when we adjusted for site, the </w:t>
      </w:r>
      <w:r>
        <w:rPr>
          <w:lang w:val="en-US"/>
        </w:rPr>
        <w:t>O</w:t>
      </w:r>
      <w:r w:rsidRPr="00B40E31">
        <w:rPr>
          <w:lang w:val="en-US"/>
        </w:rPr>
        <w:t>R (95% confidence interval (CI)) of being unemployed was 1.</w:t>
      </w:r>
      <w:r>
        <w:rPr>
          <w:lang w:val="en-US"/>
        </w:rPr>
        <w:t>79</w:t>
      </w:r>
      <w:r w:rsidRPr="00B40E31">
        <w:rPr>
          <w:lang w:val="en-US"/>
        </w:rPr>
        <w:t xml:space="preserve"> (1.</w:t>
      </w:r>
      <w:r>
        <w:rPr>
          <w:lang w:val="en-US"/>
        </w:rPr>
        <w:t>41,</w:t>
      </w:r>
      <w:r w:rsidRPr="00B40E31">
        <w:rPr>
          <w:lang w:val="en-US"/>
        </w:rPr>
        <w:t xml:space="preserve"> </w:t>
      </w:r>
      <w:r>
        <w:rPr>
          <w:lang w:val="en-US"/>
        </w:rPr>
        <w:t>2.27</w:t>
      </w:r>
      <w:r w:rsidRPr="00B40E31">
        <w:rPr>
          <w:lang w:val="en-US"/>
        </w:rPr>
        <w:t xml:space="preserve">) for </w:t>
      </w:r>
      <w:r>
        <w:rPr>
          <w:lang w:val="en-US"/>
        </w:rPr>
        <w:t>participants</w:t>
      </w:r>
      <w:r w:rsidRPr="00B40E31">
        <w:rPr>
          <w:lang w:val="en-US"/>
        </w:rPr>
        <w:t xml:space="preserve"> with </w:t>
      </w:r>
      <w:r>
        <w:rPr>
          <w:lang w:val="en-US"/>
        </w:rPr>
        <w:t>CAO</w:t>
      </w:r>
      <w:r w:rsidRPr="00B40E31">
        <w:rPr>
          <w:lang w:val="en-US"/>
        </w:rPr>
        <w:t xml:space="preserve">. </w:t>
      </w:r>
      <w:r>
        <w:rPr>
          <w:lang w:val="en-US"/>
        </w:rPr>
        <w:t xml:space="preserve">Adding the </w:t>
      </w:r>
      <w:r w:rsidRPr="00B40E31">
        <w:rPr>
          <w:lang w:val="en-US"/>
        </w:rPr>
        <w:t xml:space="preserve">traditional confounders </w:t>
      </w:r>
      <w:r>
        <w:rPr>
          <w:lang w:val="en-US"/>
        </w:rPr>
        <w:t>gender</w:t>
      </w:r>
      <w:r w:rsidRPr="00B40E31">
        <w:rPr>
          <w:lang w:val="en-US"/>
        </w:rPr>
        <w:t>, age, smoking habits and education</w:t>
      </w:r>
      <w:r>
        <w:rPr>
          <w:lang w:val="en-US"/>
        </w:rPr>
        <w:t xml:space="preserve"> in model 2</w:t>
      </w:r>
      <w:r w:rsidRPr="00B40E31">
        <w:rPr>
          <w:lang w:val="en-US"/>
        </w:rPr>
        <w:t xml:space="preserve"> </w:t>
      </w:r>
      <w:r>
        <w:rPr>
          <w:lang w:val="en-US"/>
        </w:rPr>
        <w:t xml:space="preserve">decreased the OR for </w:t>
      </w:r>
      <w:r w:rsidRPr="00B40E31">
        <w:rPr>
          <w:lang w:val="en-US"/>
        </w:rPr>
        <w:t xml:space="preserve">unemployment in </w:t>
      </w:r>
      <w:r>
        <w:rPr>
          <w:lang w:val="en-US"/>
        </w:rPr>
        <w:t>participants with CAO</w:t>
      </w:r>
      <w:r w:rsidRPr="00B40E31">
        <w:rPr>
          <w:lang w:val="en-US"/>
        </w:rPr>
        <w:t xml:space="preserve"> (</w:t>
      </w:r>
      <w:r>
        <w:rPr>
          <w:lang w:val="en-US"/>
        </w:rPr>
        <w:t>OR</w:t>
      </w:r>
      <w:r w:rsidRPr="00B40E31">
        <w:rPr>
          <w:lang w:val="en-US"/>
        </w:rPr>
        <w:t xml:space="preserve"> reduction from 1.</w:t>
      </w:r>
      <w:r>
        <w:rPr>
          <w:lang w:val="en-US"/>
        </w:rPr>
        <w:t>79</w:t>
      </w:r>
      <w:r w:rsidRPr="00B40E31">
        <w:rPr>
          <w:lang w:val="en-US"/>
        </w:rPr>
        <w:t xml:space="preserve"> to 1.</w:t>
      </w:r>
      <w:r>
        <w:rPr>
          <w:lang w:val="en-US"/>
        </w:rPr>
        <w:t>44</w:t>
      </w:r>
      <w:r w:rsidRPr="00B40E31">
        <w:rPr>
          <w:lang w:val="en-US"/>
        </w:rPr>
        <w:t xml:space="preserve">), </w:t>
      </w:r>
      <w:r>
        <w:rPr>
          <w:lang w:val="en-US"/>
        </w:rPr>
        <w:t>but the effect remained statistically significant</w:t>
      </w:r>
      <w:r w:rsidRPr="00B40E31">
        <w:rPr>
          <w:lang w:val="en-US"/>
        </w:rPr>
        <w:t xml:space="preserve">. </w:t>
      </w:r>
      <w:r>
        <w:rPr>
          <w:lang w:val="en-US"/>
        </w:rPr>
        <w:t xml:space="preserve">Further addition of </w:t>
      </w:r>
      <w:r w:rsidRPr="00B40E31">
        <w:rPr>
          <w:lang w:val="en-US"/>
        </w:rPr>
        <w:t>comorbidities</w:t>
      </w:r>
      <w:r>
        <w:rPr>
          <w:lang w:val="en-US"/>
        </w:rPr>
        <w:t xml:space="preserve"> (model 3) and FVC (model 4) </w:t>
      </w:r>
      <w:r w:rsidRPr="00B40E31">
        <w:rPr>
          <w:lang w:val="en-US"/>
        </w:rPr>
        <w:t xml:space="preserve">had </w:t>
      </w:r>
      <w:r>
        <w:rPr>
          <w:lang w:val="en-US"/>
        </w:rPr>
        <w:t>little</w:t>
      </w:r>
      <w:r w:rsidRPr="00B40E31">
        <w:rPr>
          <w:lang w:val="en-US"/>
        </w:rPr>
        <w:t xml:space="preserve"> effect on the </w:t>
      </w:r>
      <w:r>
        <w:rPr>
          <w:lang w:val="en-US"/>
        </w:rPr>
        <w:t xml:space="preserve">association between </w:t>
      </w:r>
      <w:r w:rsidRPr="00B40E31">
        <w:rPr>
          <w:lang w:val="en-US"/>
        </w:rPr>
        <w:t xml:space="preserve">unemployment </w:t>
      </w:r>
      <w:r>
        <w:rPr>
          <w:lang w:val="en-US"/>
        </w:rPr>
        <w:t>and</w:t>
      </w:r>
      <w:r w:rsidRPr="00B40E31">
        <w:rPr>
          <w:lang w:val="en-US"/>
        </w:rPr>
        <w:t xml:space="preserve"> </w:t>
      </w:r>
      <w:r>
        <w:rPr>
          <w:lang w:val="en-US"/>
        </w:rPr>
        <w:t>CAO, even when these variables themselves were significantly associated with unemployment: the presence of comorbidities and declining FVC were all associated with increased odds of being unemployed</w:t>
      </w:r>
      <w:r w:rsidRPr="00B40E31">
        <w:rPr>
          <w:lang w:val="en-US"/>
        </w:rPr>
        <w:t>.</w:t>
      </w:r>
      <w:r>
        <w:rPr>
          <w:lang w:val="en-US"/>
        </w:rPr>
        <w:t xml:space="preserve"> </w:t>
      </w:r>
      <w:r w:rsidRPr="0025268C">
        <w:rPr>
          <w:color w:val="000000" w:themeColor="text1"/>
          <w:lang w:val="en-US"/>
        </w:rPr>
        <w:t xml:space="preserve">Table 3 shows that excess unemployment among those with CAO is partially explained by sex, age, smoking, and education, but not explained additionally by comorbidities and FVC. </w:t>
      </w:r>
      <w:r>
        <w:rPr>
          <w:lang w:val="en-US"/>
        </w:rPr>
        <w:t>When r</w:t>
      </w:r>
      <w:r w:rsidRPr="00B40E31">
        <w:rPr>
          <w:lang w:val="en-US"/>
        </w:rPr>
        <w:t>espiratory symptoms</w:t>
      </w:r>
      <w:r>
        <w:rPr>
          <w:lang w:val="en-US"/>
        </w:rPr>
        <w:t xml:space="preserve"> were added (e-Table </w:t>
      </w:r>
      <w:r w:rsidRPr="00322BA6">
        <w:rPr>
          <w:color w:val="000000" w:themeColor="text1"/>
          <w:lang w:val="en-US"/>
        </w:rPr>
        <w:t>4</w:t>
      </w:r>
      <w:r>
        <w:rPr>
          <w:lang w:val="en-US"/>
        </w:rPr>
        <w:t>) these were also significantly associated with unemployment and appeared to explain some of the effects of CAO.</w:t>
      </w:r>
      <w:r w:rsidRPr="00B40E31">
        <w:rPr>
          <w:lang w:val="en-US"/>
        </w:rPr>
        <w:t xml:space="preserve"> </w:t>
      </w:r>
      <w:r>
        <w:rPr>
          <w:lang w:val="en-US"/>
        </w:rPr>
        <w:t>In this model, the odds ratio for CAO independent of reported symptoms fell to 1.26 (95%CI: 1.00, 1.57</w:t>
      </w:r>
      <w:r w:rsidRPr="0025268C">
        <w:rPr>
          <w:color w:val="000000" w:themeColor="text1"/>
          <w:lang w:val="en-US"/>
        </w:rPr>
        <w:t xml:space="preserve">). Substituting self-reported COPD for LLN-defined CAO in our analyses increased the odds ratio of not being in paid work (95% CI) from 1.43 (1.14, 1.79) to 3.31 (2.17, 5.05) (additional analysis, data not shown). However, while the prevalence of </w:t>
      </w:r>
      <w:proofErr w:type="spellStart"/>
      <w:r w:rsidRPr="0025268C">
        <w:rPr>
          <w:color w:val="000000" w:themeColor="text1"/>
          <w:lang w:val="en-US"/>
        </w:rPr>
        <w:t>spirometry</w:t>
      </w:r>
      <w:proofErr w:type="spellEnd"/>
      <w:r w:rsidRPr="0025268C">
        <w:rPr>
          <w:color w:val="000000" w:themeColor="text1"/>
          <w:lang w:val="en-US"/>
        </w:rPr>
        <w:t xml:space="preserve">-defined CAO was 11.3% in BOLD, the prevalence of self-reported COPD was only 1.2%, and while </w:t>
      </w:r>
      <w:r w:rsidRPr="0025268C">
        <w:rPr>
          <w:color w:val="000000" w:themeColor="text1"/>
          <w:lang w:val="en-US"/>
        </w:rPr>
        <w:lastRenderedPageBreak/>
        <w:t xml:space="preserve">36.7% of the </w:t>
      </w:r>
      <w:proofErr w:type="spellStart"/>
      <w:r w:rsidRPr="0025268C">
        <w:rPr>
          <w:color w:val="000000" w:themeColor="text1"/>
          <w:lang w:val="en-US"/>
        </w:rPr>
        <w:t>spirometry</w:t>
      </w:r>
      <w:proofErr w:type="spellEnd"/>
      <w:r w:rsidRPr="0025268C">
        <w:rPr>
          <w:color w:val="000000" w:themeColor="text1"/>
          <w:lang w:val="en-US"/>
        </w:rPr>
        <w:t xml:space="preserve">-defined participants with CAO were in paid employment, the corresponding figure for the self-reported COPD cases was only 25% (results not shown). </w:t>
      </w:r>
    </w:p>
    <w:p w14:paraId="5EDCE54D" w14:textId="77777777" w:rsidR="00B813A6" w:rsidRDefault="00B813A6" w:rsidP="00B813A6">
      <w:pPr>
        <w:spacing w:line="360" w:lineRule="auto"/>
        <w:rPr>
          <w:lang w:val="en-US"/>
        </w:rPr>
      </w:pPr>
    </w:p>
    <w:p w14:paraId="5B559722" w14:textId="77777777" w:rsidR="00B813A6" w:rsidRDefault="00B813A6" w:rsidP="00B813A6">
      <w:pPr>
        <w:spacing w:line="360" w:lineRule="auto"/>
        <w:rPr>
          <w:lang w:val="en-US"/>
        </w:rPr>
      </w:pPr>
      <w:r w:rsidRPr="008865E7">
        <w:rPr>
          <w:lang w:val="en-US"/>
        </w:rPr>
        <w:t xml:space="preserve">To examine how </w:t>
      </w:r>
      <w:r>
        <w:rPr>
          <w:lang w:val="en-US"/>
        </w:rPr>
        <w:t xml:space="preserve">the observed associations varied by country income, we performed multivariable analyses separately for high-income and low-to-middle-income sites (Table 4). CAO was a significant risk factor for unemployment in all models in high-income sites, but not in low-to-middle-income sites. </w:t>
      </w:r>
      <w:r w:rsidRPr="008865E7">
        <w:rPr>
          <w:lang w:val="en-US"/>
        </w:rPr>
        <w:t xml:space="preserve">While </w:t>
      </w:r>
      <w:r>
        <w:rPr>
          <w:lang w:val="en-US"/>
        </w:rPr>
        <w:t xml:space="preserve">age and </w:t>
      </w:r>
      <w:r w:rsidRPr="008865E7">
        <w:rPr>
          <w:lang w:val="en-US"/>
        </w:rPr>
        <w:t xml:space="preserve">lower education </w:t>
      </w:r>
      <w:r>
        <w:rPr>
          <w:lang w:val="en-US"/>
        </w:rPr>
        <w:t>were</w:t>
      </w:r>
      <w:r w:rsidRPr="008865E7">
        <w:rPr>
          <w:lang w:val="en-US"/>
        </w:rPr>
        <w:t xml:space="preserve"> </w:t>
      </w:r>
      <w:r>
        <w:rPr>
          <w:lang w:val="en-US"/>
        </w:rPr>
        <w:t>important</w:t>
      </w:r>
      <w:r w:rsidRPr="008865E7">
        <w:rPr>
          <w:lang w:val="en-US"/>
        </w:rPr>
        <w:t xml:space="preserve"> </w:t>
      </w:r>
      <w:r>
        <w:rPr>
          <w:lang w:val="en-US"/>
        </w:rPr>
        <w:t>risk factors</w:t>
      </w:r>
      <w:r w:rsidRPr="008865E7">
        <w:rPr>
          <w:lang w:val="en-US"/>
        </w:rPr>
        <w:t xml:space="preserve"> for unemployment in high-income sites, female gender was </w:t>
      </w:r>
      <w:r>
        <w:rPr>
          <w:lang w:val="en-US"/>
        </w:rPr>
        <w:t>the</w:t>
      </w:r>
      <w:r w:rsidRPr="008865E7">
        <w:rPr>
          <w:lang w:val="en-US"/>
        </w:rPr>
        <w:t xml:space="preserve"> </w:t>
      </w:r>
      <w:r>
        <w:rPr>
          <w:lang w:val="en-US"/>
        </w:rPr>
        <w:t>most pronounced</w:t>
      </w:r>
      <w:r w:rsidRPr="008865E7">
        <w:rPr>
          <w:lang w:val="en-US"/>
        </w:rPr>
        <w:t xml:space="preserve"> </w:t>
      </w:r>
      <w:r>
        <w:rPr>
          <w:lang w:val="en-US"/>
        </w:rPr>
        <w:t>risk factor</w:t>
      </w:r>
      <w:r w:rsidRPr="008865E7">
        <w:rPr>
          <w:lang w:val="en-US"/>
        </w:rPr>
        <w:t xml:space="preserve"> for unemployment in low-to-middle income sites. </w:t>
      </w:r>
      <w:r>
        <w:rPr>
          <w:lang w:val="en-US"/>
        </w:rPr>
        <w:t xml:space="preserve">To further depict the gender variation in job status, we created e-Table 3 that shows the prevalence of job status categories among men and women in each site. This table points out that nearly no country had more women than men in paid work (with Lexington, Lisbon and Ile-Ife as the only three exceptions). Further on, focusing on the low-to-middle-income sites, this table demonstrates that the difference between the genders having the job status “unemployed” were in some sites very high with the mean difference being 46.1% more women than men unemployed. There were some sites having more men than women unemployed, but these were few (Annaba, Cape Town, Kashmir, Mumbai, and Pune), and the mean difference was low (5.5%). In model 5, dyspnea also was an important risk factor for unemployment in high-income sites together with age and education (e-Table </w:t>
      </w:r>
      <w:r w:rsidRPr="00B813A6">
        <w:rPr>
          <w:color w:val="000000" w:themeColor="text1"/>
          <w:lang w:val="en-US"/>
        </w:rPr>
        <w:t>4</w:t>
      </w:r>
      <w:r>
        <w:rPr>
          <w:lang w:val="en-US"/>
        </w:rPr>
        <w:t>).</w:t>
      </w:r>
    </w:p>
    <w:p w14:paraId="7D93DD39" w14:textId="77777777" w:rsidR="00B813A6" w:rsidRDefault="00B813A6" w:rsidP="00B813A6">
      <w:pPr>
        <w:spacing w:line="360" w:lineRule="auto"/>
        <w:rPr>
          <w:lang w:val="en-US"/>
        </w:rPr>
      </w:pPr>
    </w:p>
    <w:p w14:paraId="2C9AC6CC" w14:textId="77777777" w:rsidR="00B813A6" w:rsidRDefault="00B813A6" w:rsidP="00B813A6">
      <w:pPr>
        <w:spacing w:line="360" w:lineRule="auto"/>
        <w:rPr>
          <w:lang w:val="en-US"/>
        </w:rPr>
        <w:sectPr w:rsidR="00B813A6" w:rsidSect="00B462D0">
          <w:pgSz w:w="11900" w:h="16840"/>
          <w:pgMar w:top="1417" w:right="1417" w:bottom="1417" w:left="1417" w:header="708" w:footer="708" w:gutter="0"/>
          <w:cols w:space="708"/>
          <w:docGrid w:linePitch="360"/>
        </w:sectPr>
      </w:pPr>
    </w:p>
    <w:p w14:paraId="48C959F3" w14:textId="77777777" w:rsidR="00B813A6" w:rsidRDefault="00B813A6" w:rsidP="00B813A6">
      <w:pPr>
        <w:pStyle w:val="Heading2"/>
        <w:rPr>
          <w:lang w:val="en-US"/>
        </w:rPr>
      </w:pPr>
      <w:r w:rsidRPr="00F45D75">
        <w:rPr>
          <w:rFonts w:asciiTheme="minorHAnsi" w:hAnsiTheme="minorHAnsi" w:cs="Cambria"/>
          <w:color w:val="auto"/>
          <w:sz w:val="22"/>
          <w:szCs w:val="22"/>
          <w:lang w:val="en-US"/>
        </w:rPr>
        <w:lastRenderedPageBreak/>
        <w:t xml:space="preserve">Table </w:t>
      </w:r>
      <w:r>
        <w:rPr>
          <w:rFonts w:asciiTheme="minorHAnsi" w:hAnsiTheme="minorHAnsi" w:cs="Cambria"/>
          <w:color w:val="auto"/>
          <w:sz w:val="22"/>
          <w:szCs w:val="22"/>
          <w:lang w:val="en-US"/>
        </w:rPr>
        <w:t>3</w:t>
      </w:r>
      <w:r w:rsidRPr="00F45D75">
        <w:rPr>
          <w:rFonts w:asciiTheme="minorHAnsi" w:hAnsiTheme="minorHAnsi" w:cs="Cambria"/>
          <w:color w:val="auto"/>
          <w:sz w:val="22"/>
          <w:szCs w:val="22"/>
          <w:lang w:val="en-US"/>
        </w:rPr>
        <w:t xml:space="preserve">: Odds ratios (OR) with 95% confidence intervals (95%CI) for unemployment for LLN-defined </w:t>
      </w:r>
      <w:r>
        <w:rPr>
          <w:rFonts w:asciiTheme="minorHAnsi" w:hAnsiTheme="minorHAnsi" w:cs="Cambria"/>
          <w:color w:val="auto"/>
          <w:sz w:val="22"/>
          <w:szCs w:val="22"/>
          <w:lang w:val="en-US"/>
        </w:rPr>
        <w:t>CAO and other risk factors</w:t>
      </w:r>
      <w:r w:rsidRPr="00F45D75">
        <w:rPr>
          <w:rFonts w:asciiTheme="minorHAnsi" w:hAnsiTheme="minorHAnsi" w:cs="Cambria"/>
          <w:color w:val="auto"/>
          <w:sz w:val="22"/>
          <w:szCs w:val="22"/>
          <w:lang w:val="en-US"/>
        </w:rPr>
        <w:t xml:space="preserve">, with increasing degree of adjustment (demographic </w:t>
      </w:r>
      <w:r>
        <w:rPr>
          <w:rFonts w:asciiTheme="minorHAnsi" w:hAnsiTheme="minorHAnsi" w:cs="Cambria"/>
          <w:color w:val="auto"/>
          <w:sz w:val="22"/>
          <w:szCs w:val="22"/>
          <w:lang w:val="en-US"/>
        </w:rPr>
        <w:t xml:space="preserve">characteristics, comorbidities and </w:t>
      </w:r>
      <w:r w:rsidRPr="00F45D75">
        <w:rPr>
          <w:rFonts w:asciiTheme="minorHAnsi" w:hAnsiTheme="minorHAnsi" w:cs="Cambria"/>
          <w:color w:val="auto"/>
          <w:sz w:val="22"/>
          <w:szCs w:val="22"/>
          <w:lang w:val="en-US"/>
        </w:rPr>
        <w:t>FVC*)</w:t>
      </w:r>
      <w:r>
        <w:rPr>
          <w:rFonts w:asciiTheme="minorHAnsi" w:hAnsiTheme="minorHAnsi" w:cs="Cambria"/>
          <w:color w:val="auto"/>
          <w:sz w:val="22"/>
          <w:szCs w:val="22"/>
          <w:lang w:val="en-US"/>
        </w:rPr>
        <w:t>. N = 11 675**</w:t>
      </w:r>
      <w:r w:rsidRPr="00F45D75">
        <w:rPr>
          <w:rFonts w:asciiTheme="minorHAnsi" w:hAnsiTheme="minorHAnsi" w:cs="Cambria"/>
          <w:color w:val="auto"/>
          <w:sz w:val="22"/>
          <w:szCs w:val="22"/>
          <w:lang w:val="en-US"/>
        </w:rPr>
        <w:t>.</w:t>
      </w:r>
    </w:p>
    <w:tbl>
      <w:tblPr>
        <w:tblW w:w="0" w:type="auto"/>
        <w:tblLayout w:type="fixed"/>
        <w:tblLook w:val="0000" w:firstRow="0" w:lastRow="0" w:firstColumn="0" w:lastColumn="0" w:noHBand="0" w:noVBand="0"/>
      </w:tblPr>
      <w:tblGrid>
        <w:gridCol w:w="3227"/>
        <w:gridCol w:w="1771"/>
        <w:gridCol w:w="1772"/>
        <w:gridCol w:w="1772"/>
        <w:gridCol w:w="1772"/>
      </w:tblGrid>
      <w:tr w:rsidR="00B813A6" w:rsidRPr="00453A8B" w14:paraId="3163FB12" w14:textId="77777777" w:rsidTr="00B813A6">
        <w:tc>
          <w:tcPr>
            <w:tcW w:w="3227" w:type="dxa"/>
            <w:tcBorders>
              <w:top w:val="single" w:sz="4" w:space="0" w:color="auto"/>
              <w:left w:val="nil"/>
              <w:bottom w:val="single" w:sz="4" w:space="0" w:color="auto"/>
              <w:right w:val="nil"/>
            </w:tcBorders>
          </w:tcPr>
          <w:p w14:paraId="6F8C90F2" w14:textId="77777777" w:rsidR="00B813A6" w:rsidRPr="00453A8B" w:rsidRDefault="00B813A6" w:rsidP="00B813A6">
            <w:pPr>
              <w:widowControl w:val="0"/>
              <w:autoSpaceDE w:val="0"/>
              <w:autoSpaceDN w:val="0"/>
              <w:adjustRightInd w:val="0"/>
              <w:rPr>
                <w:b/>
                <w:sz w:val="20"/>
                <w:szCs w:val="20"/>
                <w:lang w:val="en-US"/>
              </w:rPr>
            </w:pPr>
          </w:p>
        </w:tc>
        <w:tc>
          <w:tcPr>
            <w:tcW w:w="1771" w:type="dxa"/>
            <w:tcBorders>
              <w:top w:val="single" w:sz="4" w:space="0" w:color="auto"/>
              <w:left w:val="nil"/>
              <w:bottom w:val="single" w:sz="4" w:space="0" w:color="auto"/>
              <w:right w:val="nil"/>
            </w:tcBorders>
          </w:tcPr>
          <w:p w14:paraId="7EA193AA" w14:textId="77777777" w:rsidR="00B813A6" w:rsidRPr="00453A8B" w:rsidRDefault="00B813A6" w:rsidP="00B813A6">
            <w:pPr>
              <w:widowControl w:val="0"/>
              <w:autoSpaceDE w:val="0"/>
              <w:autoSpaceDN w:val="0"/>
              <w:adjustRightInd w:val="0"/>
              <w:jc w:val="center"/>
              <w:rPr>
                <w:b/>
                <w:sz w:val="20"/>
                <w:szCs w:val="20"/>
                <w:lang w:val="en-US"/>
              </w:rPr>
            </w:pPr>
            <w:r w:rsidRPr="00453A8B">
              <w:rPr>
                <w:b/>
                <w:sz w:val="20"/>
                <w:szCs w:val="20"/>
                <w:lang w:val="en-US"/>
              </w:rPr>
              <w:t>Model 1</w:t>
            </w:r>
          </w:p>
        </w:tc>
        <w:tc>
          <w:tcPr>
            <w:tcW w:w="1772" w:type="dxa"/>
            <w:tcBorders>
              <w:top w:val="single" w:sz="4" w:space="0" w:color="auto"/>
              <w:left w:val="nil"/>
              <w:bottom w:val="single" w:sz="4" w:space="0" w:color="auto"/>
              <w:right w:val="nil"/>
            </w:tcBorders>
          </w:tcPr>
          <w:p w14:paraId="17AAD56D" w14:textId="77777777" w:rsidR="00B813A6" w:rsidRPr="00453A8B" w:rsidRDefault="00B813A6" w:rsidP="00B813A6">
            <w:pPr>
              <w:widowControl w:val="0"/>
              <w:autoSpaceDE w:val="0"/>
              <w:autoSpaceDN w:val="0"/>
              <w:adjustRightInd w:val="0"/>
              <w:jc w:val="center"/>
              <w:rPr>
                <w:b/>
                <w:sz w:val="20"/>
                <w:szCs w:val="20"/>
                <w:lang w:val="en-US"/>
              </w:rPr>
            </w:pPr>
            <w:r w:rsidRPr="00453A8B">
              <w:rPr>
                <w:b/>
                <w:sz w:val="20"/>
                <w:szCs w:val="20"/>
                <w:lang w:val="en-US"/>
              </w:rPr>
              <w:t>Model 2</w:t>
            </w:r>
          </w:p>
        </w:tc>
        <w:tc>
          <w:tcPr>
            <w:tcW w:w="1772" w:type="dxa"/>
            <w:tcBorders>
              <w:top w:val="single" w:sz="4" w:space="0" w:color="auto"/>
              <w:left w:val="nil"/>
              <w:bottom w:val="single" w:sz="4" w:space="0" w:color="auto"/>
              <w:right w:val="nil"/>
            </w:tcBorders>
          </w:tcPr>
          <w:p w14:paraId="0FCA6309" w14:textId="77777777" w:rsidR="00B813A6" w:rsidRPr="00453A8B" w:rsidRDefault="00B813A6" w:rsidP="00B813A6">
            <w:pPr>
              <w:widowControl w:val="0"/>
              <w:autoSpaceDE w:val="0"/>
              <w:autoSpaceDN w:val="0"/>
              <w:adjustRightInd w:val="0"/>
              <w:jc w:val="center"/>
              <w:rPr>
                <w:b/>
                <w:sz w:val="20"/>
                <w:szCs w:val="20"/>
                <w:lang w:val="en-US"/>
              </w:rPr>
            </w:pPr>
            <w:r w:rsidRPr="00453A8B">
              <w:rPr>
                <w:b/>
                <w:sz w:val="20"/>
                <w:szCs w:val="20"/>
                <w:lang w:val="en-US"/>
              </w:rPr>
              <w:t>Model 3</w:t>
            </w:r>
          </w:p>
        </w:tc>
        <w:tc>
          <w:tcPr>
            <w:tcW w:w="1772" w:type="dxa"/>
            <w:tcBorders>
              <w:top w:val="single" w:sz="4" w:space="0" w:color="auto"/>
              <w:left w:val="nil"/>
              <w:bottom w:val="single" w:sz="4" w:space="0" w:color="auto"/>
              <w:right w:val="nil"/>
            </w:tcBorders>
          </w:tcPr>
          <w:p w14:paraId="6245F8BB" w14:textId="77777777" w:rsidR="00B813A6" w:rsidRPr="00453A8B" w:rsidRDefault="00B813A6" w:rsidP="00B813A6">
            <w:pPr>
              <w:widowControl w:val="0"/>
              <w:autoSpaceDE w:val="0"/>
              <w:autoSpaceDN w:val="0"/>
              <w:adjustRightInd w:val="0"/>
              <w:jc w:val="center"/>
              <w:rPr>
                <w:b/>
                <w:sz w:val="20"/>
                <w:szCs w:val="20"/>
                <w:lang w:val="en-US"/>
              </w:rPr>
            </w:pPr>
            <w:r w:rsidRPr="00453A8B">
              <w:rPr>
                <w:b/>
                <w:sz w:val="20"/>
                <w:szCs w:val="20"/>
                <w:lang w:val="en-US"/>
              </w:rPr>
              <w:t>Model 4</w:t>
            </w:r>
          </w:p>
        </w:tc>
      </w:tr>
      <w:tr w:rsidR="00B813A6" w:rsidRPr="00B7111F" w14:paraId="6159013F" w14:textId="77777777" w:rsidTr="00B813A6">
        <w:tc>
          <w:tcPr>
            <w:tcW w:w="3227" w:type="dxa"/>
            <w:tcBorders>
              <w:top w:val="single" w:sz="4" w:space="0" w:color="auto"/>
              <w:left w:val="nil"/>
              <w:bottom w:val="single" w:sz="4" w:space="0" w:color="auto"/>
              <w:right w:val="nil"/>
            </w:tcBorders>
          </w:tcPr>
          <w:p w14:paraId="63A3B2E9" w14:textId="77777777" w:rsidR="00B813A6" w:rsidRPr="00453A8B" w:rsidRDefault="00B813A6" w:rsidP="00B813A6">
            <w:pPr>
              <w:widowControl w:val="0"/>
              <w:autoSpaceDE w:val="0"/>
              <w:autoSpaceDN w:val="0"/>
              <w:adjustRightInd w:val="0"/>
              <w:rPr>
                <w:sz w:val="20"/>
                <w:szCs w:val="20"/>
                <w:lang w:val="en-US"/>
              </w:rPr>
            </w:pPr>
            <w:proofErr w:type="spellStart"/>
            <w:r w:rsidRPr="00453A8B">
              <w:rPr>
                <w:sz w:val="20"/>
                <w:szCs w:val="20"/>
                <w:lang w:val="en-US"/>
              </w:rPr>
              <w:t>Spirometric</w:t>
            </w:r>
            <w:proofErr w:type="spellEnd"/>
            <w:r w:rsidRPr="00453A8B">
              <w:rPr>
                <w:sz w:val="20"/>
                <w:szCs w:val="20"/>
                <w:lang w:val="en-US"/>
              </w:rPr>
              <w:t xml:space="preserve"> </w:t>
            </w:r>
            <w:r>
              <w:rPr>
                <w:sz w:val="20"/>
                <w:szCs w:val="20"/>
                <w:lang w:val="en-US"/>
              </w:rPr>
              <w:t>CAO</w:t>
            </w:r>
          </w:p>
        </w:tc>
        <w:tc>
          <w:tcPr>
            <w:tcW w:w="1771" w:type="dxa"/>
            <w:tcBorders>
              <w:top w:val="single" w:sz="4" w:space="0" w:color="auto"/>
              <w:left w:val="nil"/>
              <w:bottom w:val="single" w:sz="4" w:space="0" w:color="auto"/>
              <w:right w:val="nil"/>
            </w:tcBorders>
          </w:tcPr>
          <w:p w14:paraId="1A137887" w14:textId="77777777" w:rsidR="00B813A6" w:rsidRPr="00453A8B" w:rsidRDefault="00B813A6" w:rsidP="00B813A6">
            <w:pPr>
              <w:widowControl w:val="0"/>
              <w:autoSpaceDE w:val="0"/>
              <w:autoSpaceDN w:val="0"/>
              <w:adjustRightInd w:val="0"/>
              <w:jc w:val="center"/>
              <w:rPr>
                <w:sz w:val="20"/>
                <w:szCs w:val="20"/>
                <w:lang w:val="en-US"/>
              </w:rPr>
            </w:pPr>
            <w:r w:rsidRPr="00453A8B">
              <w:rPr>
                <w:sz w:val="20"/>
                <w:szCs w:val="20"/>
                <w:lang w:val="en-US"/>
              </w:rPr>
              <w:t>1.</w:t>
            </w:r>
            <w:r>
              <w:rPr>
                <w:sz w:val="20"/>
                <w:szCs w:val="20"/>
                <w:lang w:val="en-US"/>
              </w:rPr>
              <w:t>79</w:t>
            </w:r>
            <w:r w:rsidRPr="00453A8B">
              <w:rPr>
                <w:sz w:val="20"/>
                <w:szCs w:val="20"/>
                <w:lang w:val="en-US"/>
              </w:rPr>
              <w:t xml:space="preserve"> (1.4</w:t>
            </w:r>
            <w:r>
              <w:rPr>
                <w:sz w:val="20"/>
                <w:szCs w:val="20"/>
                <w:lang w:val="en-US"/>
              </w:rPr>
              <w:t>1</w:t>
            </w:r>
            <w:r w:rsidRPr="00453A8B">
              <w:rPr>
                <w:sz w:val="20"/>
                <w:szCs w:val="20"/>
                <w:lang w:val="en-US"/>
              </w:rPr>
              <w:t>, 2.</w:t>
            </w:r>
            <w:r>
              <w:rPr>
                <w:sz w:val="20"/>
                <w:szCs w:val="20"/>
                <w:lang w:val="en-US"/>
              </w:rPr>
              <w:t>27</w:t>
            </w:r>
            <w:r w:rsidRPr="00453A8B">
              <w:rPr>
                <w:sz w:val="20"/>
                <w:szCs w:val="20"/>
                <w:lang w:val="en-US"/>
              </w:rPr>
              <w:t>)</w:t>
            </w:r>
          </w:p>
        </w:tc>
        <w:tc>
          <w:tcPr>
            <w:tcW w:w="1772" w:type="dxa"/>
            <w:tcBorders>
              <w:top w:val="single" w:sz="4" w:space="0" w:color="auto"/>
              <w:left w:val="nil"/>
              <w:bottom w:val="single" w:sz="4" w:space="0" w:color="auto"/>
              <w:right w:val="nil"/>
            </w:tcBorders>
          </w:tcPr>
          <w:p w14:paraId="78038B63" w14:textId="77777777" w:rsidR="00B813A6" w:rsidRPr="00453A8B" w:rsidRDefault="00B813A6" w:rsidP="00B813A6">
            <w:pPr>
              <w:widowControl w:val="0"/>
              <w:autoSpaceDE w:val="0"/>
              <w:autoSpaceDN w:val="0"/>
              <w:adjustRightInd w:val="0"/>
              <w:jc w:val="center"/>
              <w:rPr>
                <w:sz w:val="20"/>
                <w:szCs w:val="20"/>
                <w:lang w:val="en-US"/>
              </w:rPr>
            </w:pPr>
            <w:r w:rsidRPr="00453A8B">
              <w:rPr>
                <w:sz w:val="20"/>
                <w:szCs w:val="20"/>
                <w:lang w:val="en-US"/>
              </w:rPr>
              <w:t>1.44 (1.1</w:t>
            </w:r>
            <w:r>
              <w:rPr>
                <w:sz w:val="20"/>
                <w:szCs w:val="20"/>
                <w:lang w:val="en-US"/>
              </w:rPr>
              <w:t>5</w:t>
            </w:r>
            <w:r w:rsidRPr="00453A8B">
              <w:rPr>
                <w:sz w:val="20"/>
                <w:szCs w:val="20"/>
                <w:lang w:val="en-US"/>
              </w:rPr>
              <w:t>, 1.8</w:t>
            </w:r>
            <w:r>
              <w:rPr>
                <w:sz w:val="20"/>
                <w:szCs w:val="20"/>
                <w:lang w:val="en-US"/>
              </w:rPr>
              <w:t>1</w:t>
            </w:r>
            <w:r w:rsidRPr="00453A8B">
              <w:rPr>
                <w:sz w:val="20"/>
                <w:szCs w:val="20"/>
                <w:lang w:val="en-US"/>
              </w:rPr>
              <w:t>)</w:t>
            </w:r>
          </w:p>
        </w:tc>
        <w:tc>
          <w:tcPr>
            <w:tcW w:w="1772" w:type="dxa"/>
            <w:tcBorders>
              <w:top w:val="single" w:sz="4" w:space="0" w:color="auto"/>
              <w:left w:val="nil"/>
              <w:bottom w:val="single" w:sz="4" w:space="0" w:color="auto"/>
              <w:right w:val="nil"/>
            </w:tcBorders>
          </w:tcPr>
          <w:p w14:paraId="3B074595"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1.45 (1.15, 1.82</w:t>
            </w:r>
            <w:r w:rsidRPr="00453A8B">
              <w:rPr>
                <w:sz w:val="20"/>
                <w:szCs w:val="20"/>
                <w:lang w:val="en-US"/>
              </w:rPr>
              <w:t>)</w:t>
            </w:r>
          </w:p>
        </w:tc>
        <w:tc>
          <w:tcPr>
            <w:tcW w:w="1772" w:type="dxa"/>
            <w:tcBorders>
              <w:top w:val="single" w:sz="4" w:space="0" w:color="auto"/>
              <w:left w:val="nil"/>
              <w:bottom w:val="single" w:sz="4" w:space="0" w:color="auto"/>
              <w:right w:val="nil"/>
            </w:tcBorders>
          </w:tcPr>
          <w:p w14:paraId="21053F45"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1.43 (1.14, 1.79</w:t>
            </w:r>
            <w:r w:rsidRPr="00453A8B">
              <w:rPr>
                <w:sz w:val="20"/>
                <w:szCs w:val="20"/>
                <w:lang w:val="en-US"/>
              </w:rPr>
              <w:t>)</w:t>
            </w:r>
          </w:p>
        </w:tc>
      </w:tr>
      <w:tr w:rsidR="00B813A6" w:rsidRPr="00B7111F" w14:paraId="0E0B9372" w14:textId="77777777" w:rsidTr="00B813A6">
        <w:tc>
          <w:tcPr>
            <w:tcW w:w="3227" w:type="dxa"/>
            <w:tcBorders>
              <w:top w:val="single" w:sz="4" w:space="0" w:color="auto"/>
              <w:left w:val="nil"/>
              <w:bottom w:val="nil"/>
              <w:right w:val="nil"/>
            </w:tcBorders>
          </w:tcPr>
          <w:p w14:paraId="2E91BD28"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FVC, 10</w:t>
            </w:r>
            <w:r>
              <w:rPr>
                <w:sz w:val="20"/>
                <w:szCs w:val="20"/>
                <w:lang w:val="en-US"/>
              </w:rPr>
              <w:t xml:space="preserve"> percentage points</w:t>
            </w:r>
            <w:r w:rsidRPr="00453A8B">
              <w:rPr>
                <w:sz w:val="20"/>
                <w:szCs w:val="20"/>
                <w:lang w:val="en-US"/>
              </w:rPr>
              <w:t xml:space="preserve"> </w:t>
            </w:r>
            <w:r>
              <w:rPr>
                <w:sz w:val="20"/>
                <w:szCs w:val="20"/>
                <w:lang w:val="en-US"/>
              </w:rPr>
              <w:t>de</w:t>
            </w:r>
            <w:r w:rsidRPr="00453A8B">
              <w:rPr>
                <w:sz w:val="20"/>
                <w:szCs w:val="20"/>
                <w:lang w:val="en-US"/>
              </w:rPr>
              <w:t>crease in %predicted</w:t>
            </w:r>
          </w:p>
        </w:tc>
        <w:tc>
          <w:tcPr>
            <w:tcW w:w="1771" w:type="dxa"/>
            <w:tcBorders>
              <w:top w:val="single" w:sz="4" w:space="0" w:color="auto"/>
              <w:left w:val="nil"/>
              <w:bottom w:val="nil"/>
              <w:right w:val="nil"/>
            </w:tcBorders>
          </w:tcPr>
          <w:p w14:paraId="28127742"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bottom w:val="nil"/>
              <w:right w:val="nil"/>
            </w:tcBorders>
          </w:tcPr>
          <w:p w14:paraId="6775DCA4"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bottom w:val="nil"/>
              <w:right w:val="nil"/>
            </w:tcBorders>
          </w:tcPr>
          <w:p w14:paraId="2F9E6C3A"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bottom w:val="nil"/>
              <w:right w:val="nil"/>
            </w:tcBorders>
          </w:tcPr>
          <w:p w14:paraId="6BAAAF14"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1.08 (1.04, 1.12)</w:t>
            </w:r>
          </w:p>
        </w:tc>
      </w:tr>
      <w:tr w:rsidR="00B813A6" w:rsidRPr="00453A8B" w14:paraId="70F43860" w14:textId="77777777" w:rsidTr="00B813A6">
        <w:tc>
          <w:tcPr>
            <w:tcW w:w="3227" w:type="dxa"/>
            <w:tcBorders>
              <w:top w:val="single" w:sz="4" w:space="0" w:color="auto"/>
              <w:left w:val="nil"/>
              <w:bottom w:val="nil"/>
              <w:right w:val="nil"/>
            </w:tcBorders>
          </w:tcPr>
          <w:p w14:paraId="6D243595"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 xml:space="preserve">Female </w:t>
            </w:r>
            <w:r>
              <w:rPr>
                <w:sz w:val="20"/>
                <w:szCs w:val="20"/>
                <w:lang w:val="en-US"/>
              </w:rPr>
              <w:t>gender</w:t>
            </w:r>
          </w:p>
        </w:tc>
        <w:tc>
          <w:tcPr>
            <w:tcW w:w="1771" w:type="dxa"/>
            <w:tcBorders>
              <w:top w:val="single" w:sz="4" w:space="0" w:color="auto"/>
              <w:left w:val="nil"/>
              <w:bottom w:val="nil"/>
              <w:right w:val="nil"/>
            </w:tcBorders>
          </w:tcPr>
          <w:p w14:paraId="212885AC"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bottom w:val="nil"/>
              <w:right w:val="nil"/>
            </w:tcBorders>
          </w:tcPr>
          <w:p w14:paraId="2A9CEABB" w14:textId="77777777" w:rsidR="00B813A6" w:rsidRPr="00453A8B" w:rsidRDefault="00B813A6" w:rsidP="00B813A6">
            <w:pPr>
              <w:widowControl w:val="0"/>
              <w:autoSpaceDE w:val="0"/>
              <w:autoSpaceDN w:val="0"/>
              <w:adjustRightInd w:val="0"/>
              <w:jc w:val="center"/>
              <w:rPr>
                <w:sz w:val="20"/>
                <w:szCs w:val="20"/>
                <w:lang w:val="en-US"/>
              </w:rPr>
            </w:pPr>
            <w:r w:rsidRPr="00453A8B">
              <w:rPr>
                <w:sz w:val="20"/>
                <w:szCs w:val="20"/>
                <w:lang w:val="en-US"/>
              </w:rPr>
              <w:t>2.</w:t>
            </w:r>
            <w:r>
              <w:rPr>
                <w:sz w:val="20"/>
                <w:szCs w:val="20"/>
                <w:lang w:val="en-US"/>
              </w:rPr>
              <w:t>07</w:t>
            </w:r>
            <w:r w:rsidRPr="00453A8B">
              <w:rPr>
                <w:sz w:val="20"/>
                <w:szCs w:val="20"/>
                <w:lang w:val="en-US"/>
              </w:rPr>
              <w:t xml:space="preserve"> (1.8</w:t>
            </w:r>
            <w:r>
              <w:rPr>
                <w:sz w:val="20"/>
                <w:szCs w:val="20"/>
                <w:lang w:val="en-US"/>
              </w:rPr>
              <w:t>5</w:t>
            </w:r>
            <w:r w:rsidRPr="00453A8B">
              <w:rPr>
                <w:sz w:val="20"/>
                <w:szCs w:val="20"/>
                <w:lang w:val="en-US"/>
              </w:rPr>
              <w:t>, 2.3</w:t>
            </w:r>
            <w:r>
              <w:rPr>
                <w:sz w:val="20"/>
                <w:szCs w:val="20"/>
                <w:lang w:val="en-US"/>
              </w:rPr>
              <w:t>2</w:t>
            </w:r>
            <w:r w:rsidRPr="00453A8B">
              <w:rPr>
                <w:sz w:val="20"/>
                <w:szCs w:val="20"/>
                <w:lang w:val="en-US"/>
              </w:rPr>
              <w:t>)</w:t>
            </w:r>
          </w:p>
        </w:tc>
        <w:tc>
          <w:tcPr>
            <w:tcW w:w="1772" w:type="dxa"/>
            <w:tcBorders>
              <w:top w:val="single" w:sz="4" w:space="0" w:color="auto"/>
              <w:left w:val="nil"/>
              <w:bottom w:val="nil"/>
              <w:right w:val="nil"/>
            </w:tcBorders>
          </w:tcPr>
          <w:p w14:paraId="60E5DA34"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2.10 (1.87, 2.36</w:t>
            </w:r>
            <w:r w:rsidRPr="00453A8B">
              <w:rPr>
                <w:sz w:val="20"/>
                <w:szCs w:val="20"/>
                <w:lang w:val="en-US"/>
              </w:rPr>
              <w:t>)</w:t>
            </w:r>
          </w:p>
        </w:tc>
        <w:tc>
          <w:tcPr>
            <w:tcW w:w="1772" w:type="dxa"/>
            <w:tcBorders>
              <w:top w:val="single" w:sz="4" w:space="0" w:color="auto"/>
              <w:left w:val="nil"/>
              <w:bottom w:val="nil"/>
              <w:right w:val="nil"/>
            </w:tcBorders>
          </w:tcPr>
          <w:p w14:paraId="6CF0E7A9"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2.10 (1.87, 2.35</w:t>
            </w:r>
            <w:r w:rsidRPr="00453A8B">
              <w:rPr>
                <w:sz w:val="20"/>
                <w:szCs w:val="20"/>
                <w:lang w:val="en-US"/>
              </w:rPr>
              <w:t>)</w:t>
            </w:r>
          </w:p>
        </w:tc>
      </w:tr>
      <w:tr w:rsidR="00B813A6" w:rsidRPr="00453A8B" w14:paraId="36ECFFBD" w14:textId="77777777" w:rsidTr="00B813A6">
        <w:tc>
          <w:tcPr>
            <w:tcW w:w="3227" w:type="dxa"/>
            <w:tcBorders>
              <w:top w:val="nil"/>
              <w:left w:val="nil"/>
              <w:bottom w:val="nil"/>
              <w:right w:val="nil"/>
            </w:tcBorders>
          </w:tcPr>
          <w:p w14:paraId="6423AFFC"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Age, 10yrs increment</w:t>
            </w:r>
          </w:p>
        </w:tc>
        <w:tc>
          <w:tcPr>
            <w:tcW w:w="1771" w:type="dxa"/>
            <w:tcBorders>
              <w:top w:val="nil"/>
              <w:left w:val="nil"/>
              <w:bottom w:val="nil"/>
              <w:right w:val="nil"/>
            </w:tcBorders>
          </w:tcPr>
          <w:p w14:paraId="48235327"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0E39DBA2"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3.09</w:t>
            </w:r>
            <w:r w:rsidRPr="00453A8B">
              <w:rPr>
                <w:sz w:val="20"/>
                <w:szCs w:val="20"/>
                <w:lang w:val="en-US"/>
              </w:rPr>
              <w:t xml:space="preserve"> (</w:t>
            </w:r>
            <w:r>
              <w:rPr>
                <w:sz w:val="20"/>
                <w:szCs w:val="20"/>
                <w:lang w:val="en-US"/>
              </w:rPr>
              <w:t>2.85</w:t>
            </w:r>
            <w:r w:rsidRPr="00453A8B">
              <w:rPr>
                <w:sz w:val="20"/>
                <w:szCs w:val="20"/>
                <w:lang w:val="en-US"/>
              </w:rPr>
              <w:t xml:space="preserve">, </w:t>
            </w:r>
            <w:r>
              <w:rPr>
                <w:sz w:val="20"/>
                <w:szCs w:val="20"/>
                <w:lang w:val="en-US"/>
              </w:rPr>
              <w:t>3.35</w:t>
            </w:r>
            <w:r w:rsidRPr="00453A8B">
              <w:rPr>
                <w:sz w:val="20"/>
                <w:szCs w:val="20"/>
                <w:lang w:val="en-US"/>
              </w:rPr>
              <w:t>)</w:t>
            </w:r>
          </w:p>
        </w:tc>
        <w:tc>
          <w:tcPr>
            <w:tcW w:w="1772" w:type="dxa"/>
            <w:tcBorders>
              <w:top w:val="nil"/>
              <w:left w:val="nil"/>
              <w:bottom w:val="nil"/>
              <w:right w:val="nil"/>
            </w:tcBorders>
          </w:tcPr>
          <w:p w14:paraId="5CAB8EDF"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2.91 (2.68, 3.15</w:t>
            </w:r>
            <w:r w:rsidRPr="00453A8B">
              <w:rPr>
                <w:sz w:val="20"/>
                <w:szCs w:val="20"/>
                <w:lang w:val="en-US"/>
              </w:rPr>
              <w:t>)</w:t>
            </w:r>
          </w:p>
        </w:tc>
        <w:tc>
          <w:tcPr>
            <w:tcW w:w="1772" w:type="dxa"/>
            <w:tcBorders>
              <w:top w:val="nil"/>
              <w:left w:val="nil"/>
              <w:bottom w:val="nil"/>
              <w:right w:val="nil"/>
            </w:tcBorders>
          </w:tcPr>
          <w:p w14:paraId="3C94E39E"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2.90 (2.67, 3.15</w:t>
            </w:r>
            <w:r w:rsidRPr="00453A8B">
              <w:rPr>
                <w:sz w:val="20"/>
                <w:szCs w:val="20"/>
                <w:lang w:val="en-US"/>
              </w:rPr>
              <w:t>)</w:t>
            </w:r>
          </w:p>
        </w:tc>
      </w:tr>
      <w:tr w:rsidR="00B813A6" w:rsidRPr="00453A8B" w14:paraId="66D96F71" w14:textId="77777777" w:rsidTr="00B813A6">
        <w:tc>
          <w:tcPr>
            <w:tcW w:w="3227" w:type="dxa"/>
            <w:tcBorders>
              <w:top w:val="nil"/>
              <w:left w:val="nil"/>
              <w:bottom w:val="nil"/>
              <w:right w:val="nil"/>
            </w:tcBorders>
          </w:tcPr>
          <w:p w14:paraId="3D1BB93F" w14:textId="77777777" w:rsidR="00B813A6" w:rsidRPr="00453A8B" w:rsidRDefault="00B813A6" w:rsidP="00B813A6">
            <w:pPr>
              <w:widowControl w:val="0"/>
              <w:autoSpaceDE w:val="0"/>
              <w:autoSpaceDN w:val="0"/>
              <w:adjustRightInd w:val="0"/>
              <w:rPr>
                <w:sz w:val="20"/>
                <w:szCs w:val="20"/>
                <w:lang w:val="en-US"/>
              </w:rPr>
            </w:pPr>
            <w:r>
              <w:rPr>
                <w:sz w:val="20"/>
                <w:szCs w:val="20"/>
                <w:lang w:val="en-US"/>
              </w:rPr>
              <w:t>Smoking Status</w:t>
            </w:r>
          </w:p>
        </w:tc>
        <w:tc>
          <w:tcPr>
            <w:tcW w:w="1771" w:type="dxa"/>
            <w:tcBorders>
              <w:top w:val="nil"/>
              <w:left w:val="nil"/>
              <w:bottom w:val="nil"/>
              <w:right w:val="nil"/>
            </w:tcBorders>
          </w:tcPr>
          <w:p w14:paraId="6B9E7994"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39AB1ED9"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74CB3CE0" w14:textId="77777777" w:rsidR="00B813A6"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33EB599B" w14:textId="77777777" w:rsidR="00B813A6" w:rsidRDefault="00B813A6" w:rsidP="00B813A6">
            <w:pPr>
              <w:widowControl w:val="0"/>
              <w:autoSpaceDE w:val="0"/>
              <w:autoSpaceDN w:val="0"/>
              <w:adjustRightInd w:val="0"/>
              <w:jc w:val="center"/>
              <w:rPr>
                <w:sz w:val="20"/>
                <w:szCs w:val="20"/>
                <w:lang w:val="en-US"/>
              </w:rPr>
            </w:pPr>
          </w:p>
        </w:tc>
      </w:tr>
      <w:tr w:rsidR="00B813A6" w:rsidRPr="00453A8B" w14:paraId="280A39EF" w14:textId="77777777" w:rsidTr="00B813A6">
        <w:tc>
          <w:tcPr>
            <w:tcW w:w="3227" w:type="dxa"/>
            <w:tcBorders>
              <w:top w:val="nil"/>
              <w:left w:val="nil"/>
              <w:bottom w:val="nil"/>
              <w:right w:val="nil"/>
            </w:tcBorders>
          </w:tcPr>
          <w:p w14:paraId="3E951D9D" w14:textId="77777777" w:rsidR="00B813A6" w:rsidRPr="00453A8B" w:rsidRDefault="00B813A6" w:rsidP="00B813A6">
            <w:pPr>
              <w:widowControl w:val="0"/>
              <w:autoSpaceDE w:val="0"/>
              <w:autoSpaceDN w:val="0"/>
              <w:adjustRightInd w:val="0"/>
              <w:rPr>
                <w:sz w:val="20"/>
                <w:szCs w:val="20"/>
                <w:lang w:val="en-US"/>
              </w:rPr>
            </w:pPr>
            <w:r>
              <w:rPr>
                <w:sz w:val="20"/>
                <w:szCs w:val="20"/>
                <w:lang w:val="en-US"/>
              </w:rPr>
              <w:t xml:space="preserve">  </w:t>
            </w:r>
            <w:r w:rsidRPr="00453A8B">
              <w:rPr>
                <w:sz w:val="20"/>
                <w:szCs w:val="20"/>
                <w:lang w:val="en-US"/>
              </w:rPr>
              <w:t>Current-smoker</w:t>
            </w:r>
          </w:p>
        </w:tc>
        <w:tc>
          <w:tcPr>
            <w:tcW w:w="1771" w:type="dxa"/>
            <w:tcBorders>
              <w:top w:val="nil"/>
              <w:left w:val="nil"/>
              <w:bottom w:val="nil"/>
              <w:right w:val="nil"/>
            </w:tcBorders>
          </w:tcPr>
          <w:p w14:paraId="799DE886"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39EE4A60" w14:textId="77777777" w:rsidR="00B813A6" w:rsidRPr="00453A8B" w:rsidRDefault="00B813A6" w:rsidP="00B813A6">
            <w:pPr>
              <w:widowControl w:val="0"/>
              <w:autoSpaceDE w:val="0"/>
              <w:autoSpaceDN w:val="0"/>
              <w:adjustRightInd w:val="0"/>
              <w:jc w:val="center"/>
              <w:rPr>
                <w:sz w:val="20"/>
                <w:szCs w:val="20"/>
                <w:lang w:val="en-US"/>
              </w:rPr>
            </w:pPr>
            <w:r w:rsidRPr="00453A8B">
              <w:rPr>
                <w:sz w:val="20"/>
                <w:szCs w:val="20"/>
                <w:lang w:val="en-US"/>
              </w:rPr>
              <w:t>0.9</w:t>
            </w:r>
            <w:r>
              <w:rPr>
                <w:sz w:val="20"/>
                <w:szCs w:val="20"/>
                <w:lang w:val="en-US"/>
              </w:rPr>
              <w:t>6</w:t>
            </w:r>
            <w:r w:rsidRPr="00453A8B">
              <w:rPr>
                <w:sz w:val="20"/>
                <w:szCs w:val="20"/>
                <w:lang w:val="en-US"/>
              </w:rPr>
              <w:t xml:space="preserve"> (0.83, 1.</w:t>
            </w:r>
            <w:r>
              <w:rPr>
                <w:sz w:val="20"/>
                <w:szCs w:val="20"/>
                <w:lang w:val="en-US"/>
              </w:rPr>
              <w:t>10</w:t>
            </w:r>
            <w:r w:rsidRPr="00453A8B">
              <w:rPr>
                <w:sz w:val="20"/>
                <w:szCs w:val="20"/>
                <w:lang w:val="en-US"/>
              </w:rPr>
              <w:t>)</w:t>
            </w:r>
          </w:p>
        </w:tc>
        <w:tc>
          <w:tcPr>
            <w:tcW w:w="1772" w:type="dxa"/>
            <w:tcBorders>
              <w:top w:val="nil"/>
              <w:left w:val="nil"/>
              <w:bottom w:val="nil"/>
              <w:right w:val="nil"/>
            </w:tcBorders>
          </w:tcPr>
          <w:p w14:paraId="05A81BB9"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0.98 (0.85, 1.13</w:t>
            </w:r>
            <w:r w:rsidRPr="00453A8B">
              <w:rPr>
                <w:sz w:val="20"/>
                <w:szCs w:val="20"/>
                <w:lang w:val="en-US"/>
              </w:rPr>
              <w:t>)</w:t>
            </w:r>
          </w:p>
        </w:tc>
        <w:tc>
          <w:tcPr>
            <w:tcW w:w="1772" w:type="dxa"/>
            <w:tcBorders>
              <w:top w:val="nil"/>
              <w:left w:val="nil"/>
              <w:bottom w:val="nil"/>
              <w:right w:val="nil"/>
            </w:tcBorders>
          </w:tcPr>
          <w:p w14:paraId="1D3C2954"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0.98 (0.85, 1.13</w:t>
            </w:r>
            <w:r w:rsidRPr="00453A8B">
              <w:rPr>
                <w:sz w:val="20"/>
                <w:szCs w:val="20"/>
                <w:lang w:val="en-US"/>
              </w:rPr>
              <w:t>)</w:t>
            </w:r>
          </w:p>
        </w:tc>
      </w:tr>
      <w:tr w:rsidR="00B813A6" w:rsidRPr="00453A8B" w14:paraId="5ECB9599" w14:textId="77777777" w:rsidTr="00B813A6">
        <w:tc>
          <w:tcPr>
            <w:tcW w:w="3227" w:type="dxa"/>
            <w:tcBorders>
              <w:top w:val="nil"/>
              <w:left w:val="nil"/>
              <w:right w:val="nil"/>
            </w:tcBorders>
          </w:tcPr>
          <w:p w14:paraId="2B5D4511" w14:textId="77777777" w:rsidR="00B813A6" w:rsidRPr="00453A8B" w:rsidRDefault="00B813A6" w:rsidP="00B813A6">
            <w:pPr>
              <w:widowControl w:val="0"/>
              <w:autoSpaceDE w:val="0"/>
              <w:autoSpaceDN w:val="0"/>
              <w:adjustRightInd w:val="0"/>
              <w:rPr>
                <w:sz w:val="20"/>
                <w:szCs w:val="20"/>
                <w:lang w:val="en-US"/>
              </w:rPr>
            </w:pPr>
            <w:r>
              <w:rPr>
                <w:sz w:val="20"/>
                <w:szCs w:val="20"/>
                <w:lang w:val="en-US"/>
              </w:rPr>
              <w:t xml:space="preserve">   </w:t>
            </w:r>
            <w:r w:rsidRPr="00453A8B">
              <w:rPr>
                <w:sz w:val="20"/>
                <w:szCs w:val="20"/>
                <w:lang w:val="en-US"/>
              </w:rPr>
              <w:t>Ex-smoker</w:t>
            </w:r>
          </w:p>
        </w:tc>
        <w:tc>
          <w:tcPr>
            <w:tcW w:w="1771" w:type="dxa"/>
            <w:tcBorders>
              <w:top w:val="nil"/>
              <w:left w:val="nil"/>
              <w:right w:val="nil"/>
            </w:tcBorders>
          </w:tcPr>
          <w:p w14:paraId="342F5C57"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right w:val="nil"/>
            </w:tcBorders>
          </w:tcPr>
          <w:p w14:paraId="17F6542B" w14:textId="77777777" w:rsidR="00B813A6" w:rsidRPr="00453A8B" w:rsidRDefault="00B813A6" w:rsidP="00B813A6">
            <w:pPr>
              <w:widowControl w:val="0"/>
              <w:autoSpaceDE w:val="0"/>
              <w:autoSpaceDN w:val="0"/>
              <w:adjustRightInd w:val="0"/>
              <w:jc w:val="center"/>
              <w:rPr>
                <w:sz w:val="20"/>
                <w:szCs w:val="20"/>
                <w:lang w:val="en-US"/>
              </w:rPr>
            </w:pPr>
            <w:r w:rsidRPr="00453A8B">
              <w:rPr>
                <w:sz w:val="20"/>
                <w:szCs w:val="20"/>
                <w:lang w:val="en-US"/>
              </w:rPr>
              <w:t>1.1</w:t>
            </w:r>
            <w:r>
              <w:rPr>
                <w:sz w:val="20"/>
                <w:szCs w:val="20"/>
                <w:lang w:val="en-US"/>
              </w:rPr>
              <w:t>5</w:t>
            </w:r>
            <w:r w:rsidRPr="00453A8B">
              <w:rPr>
                <w:sz w:val="20"/>
                <w:szCs w:val="20"/>
                <w:lang w:val="en-US"/>
              </w:rPr>
              <w:t xml:space="preserve"> (1.0</w:t>
            </w:r>
            <w:r>
              <w:rPr>
                <w:sz w:val="20"/>
                <w:szCs w:val="20"/>
                <w:lang w:val="en-US"/>
              </w:rPr>
              <w:t>1</w:t>
            </w:r>
            <w:r w:rsidRPr="00453A8B">
              <w:rPr>
                <w:sz w:val="20"/>
                <w:szCs w:val="20"/>
                <w:lang w:val="en-US"/>
              </w:rPr>
              <w:t>, 1.3</w:t>
            </w:r>
            <w:r>
              <w:rPr>
                <w:sz w:val="20"/>
                <w:szCs w:val="20"/>
                <w:lang w:val="en-US"/>
              </w:rPr>
              <w:t>2</w:t>
            </w:r>
            <w:r w:rsidRPr="00453A8B">
              <w:rPr>
                <w:sz w:val="20"/>
                <w:szCs w:val="20"/>
                <w:lang w:val="en-US"/>
              </w:rPr>
              <w:t>)</w:t>
            </w:r>
          </w:p>
        </w:tc>
        <w:tc>
          <w:tcPr>
            <w:tcW w:w="1772" w:type="dxa"/>
            <w:tcBorders>
              <w:top w:val="nil"/>
              <w:left w:val="nil"/>
              <w:right w:val="nil"/>
            </w:tcBorders>
          </w:tcPr>
          <w:p w14:paraId="6007B1F0"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1.13 (0.99, 1.30</w:t>
            </w:r>
            <w:r w:rsidRPr="00453A8B">
              <w:rPr>
                <w:sz w:val="20"/>
                <w:szCs w:val="20"/>
                <w:lang w:val="en-US"/>
              </w:rPr>
              <w:t>)</w:t>
            </w:r>
          </w:p>
        </w:tc>
        <w:tc>
          <w:tcPr>
            <w:tcW w:w="1772" w:type="dxa"/>
            <w:tcBorders>
              <w:top w:val="nil"/>
              <w:left w:val="nil"/>
              <w:right w:val="nil"/>
            </w:tcBorders>
          </w:tcPr>
          <w:p w14:paraId="2242267F"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1.14 (0.99, 1.30</w:t>
            </w:r>
            <w:r w:rsidRPr="00453A8B">
              <w:rPr>
                <w:sz w:val="20"/>
                <w:szCs w:val="20"/>
                <w:lang w:val="en-US"/>
              </w:rPr>
              <w:t>)</w:t>
            </w:r>
          </w:p>
        </w:tc>
      </w:tr>
      <w:tr w:rsidR="00B813A6" w:rsidRPr="00453A8B" w14:paraId="550C214A" w14:textId="77777777" w:rsidTr="00B813A6">
        <w:tc>
          <w:tcPr>
            <w:tcW w:w="3227" w:type="dxa"/>
            <w:tcBorders>
              <w:top w:val="single" w:sz="4" w:space="0" w:color="auto"/>
              <w:left w:val="nil"/>
              <w:right w:val="nil"/>
            </w:tcBorders>
          </w:tcPr>
          <w:p w14:paraId="43370904" w14:textId="77777777" w:rsidR="00B813A6" w:rsidRPr="00453A8B" w:rsidRDefault="00B813A6" w:rsidP="00B813A6">
            <w:pPr>
              <w:widowControl w:val="0"/>
              <w:autoSpaceDE w:val="0"/>
              <w:autoSpaceDN w:val="0"/>
              <w:adjustRightInd w:val="0"/>
              <w:rPr>
                <w:sz w:val="20"/>
                <w:szCs w:val="20"/>
                <w:lang w:val="en-US"/>
              </w:rPr>
            </w:pPr>
            <w:r>
              <w:rPr>
                <w:sz w:val="20"/>
                <w:szCs w:val="20"/>
                <w:lang w:val="en-US"/>
              </w:rPr>
              <w:t>Education</w:t>
            </w:r>
          </w:p>
        </w:tc>
        <w:tc>
          <w:tcPr>
            <w:tcW w:w="1771" w:type="dxa"/>
            <w:tcBorders>
              <w:top w:val="single" w:sz="4" w:space="0" w:color="auto"/>
              <w:left w:val="nil"/>
              <w:right w:val="nil"/>
            </w:tcBorders>
          </w:tcPr>
          <w:p w14:paraId="3161B0A7"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right w:val="nil"/>
            </w:tcBorders>
          </w:tcPr>
          <w:p w14:paraId="0BC2B41D"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right w:val="nil"/>
            </w:tcBorders>
          </w:tcPr>
          <w:p w14:paraId="47846DEA" w14:textId="77777777" w:rsidR="00B813A6"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right w:val="nil"/>
            </w:tcBorders>
          </w:tcPr>
          <w:p w14:paraId="3E797862" w14:textId="77777777" w:rsidR="00B813A6" w:rsidRDefault="00B813A6" w:rsidP="00B813A6">
            <w:pPr>
              <w:widowControl w:val="0"/>
              <w:autoSpaceDE w:val="0"/>
              <w:autoSpaceDN w:val="0"/>
              <w:adjustRightInd w:val="0"/>
              <w:jc w:val="center"/>
              <w:rPr>
                <w:sz w:val="20"/>
                <w:szCs w:val="20"/>
                <w:lang w:val="en-US"/>
              </w:rPr>
            </w:pPr>
          </w:p>
        </w:tc>
      </w:tr>
      <w:tr w:rsidR="00B813A6" w:rsidRPr="00453A8B" w14:paraId="4AB99BF9" w14:textId="77777777" w:rsidTr="00B813A6">
        <w:tc>
          <w:tcPr>
            <w:tcW w:w="3227" w:type="dxa"/>
            <w:tcBorders>
              <w:left w:val="nil"/>
              <w:bottom w:val="nil"/>
              <w:right w:val="nil"/>
            </w:tcBorders>
          </w:tcPr>
          <w:p w14:paraId="4D65FDFB" w14:textId="77777777" w:rsidR="00B813A6" w:rsidRPr="00453A8B" w:rsidRDefault="00B813A6" w:rsidP="00B813A6">
            <w:pPr>
              <w:widowControl w:val="0"/>
              <w:autoSpaceDE w:val="0"/>
              <w:autoSpaceDN w:val="0"/>
              <w:adjustRightInd w:val="0"/>
              <w:rPr>
                <w:sz w:val="20"/>
                <w:szCs w:val="20"/>
                <w:lang w:val="en-US"/>
              </w:rPr>
            </w:pPr>
            <w:r>
              <w:rPr>
                <w:sz w:val="20"/>
                <w:szCs w:val="20"/>
                <w:lang w:val="en-US"/>
              </w:rPr>
              <w:t xml:space="preserve">   </w:t>
            </w:r>
            <w:r w:rsidRPr="00453A8B">
              <w:rPr>
                <w:sz w:val="20"/>
                <w:szCs w:val="20"/>
                <w:lang w:val="en-US"/>
              </w:rPr>
              <w:t>Some college</w:t>
            </w:r>
          </w:p>
        </w:tc>
        <w:tc>
          <w:tcPr>
            <w:tcW w:w="1771" w:type="dxa"/>
            <w:tcBorders>
              <w:left w:val="nil"/>
              <w:bottom w:val="nil"/>
              <w:right w:val="nil"/>
            </w:tcBorders>
          </w:tcPr>
          <w:p w14:paraId="5CCD67D0"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left w:val="nil"/>
              <w:bottom w:val="nil"/>
              <w:right w:val="nil"/>
            </w:tcBorders>
          </w:tcPr>
          <w:p w14:paraId="4F148A67" w14:textId="77777777" w:rsidR="00B813A6" w:rsidRPr="00453A8B" w:rsidRDefault="00B813A6" w:rsidP="00B813A6">
            <w:pPr>
              <w:widowControl w:val="0"/>
              <w:autoSpaceDE w:val="0"/>
              <w:autoSpaceDN w:val="0"/>
              <w:adjustRightInd w:val="0"/>
              <w:jc w:val="center"/>
              <w:rPr>
                <w:sz w:val="20"/>
                <w:szCs w:val="20"/>
                <w:lang w:val="en-US"/>
              </w:rPr>
            </w:pPr>
            <w:r w:rsidRPr="00453A8B">
              <w:rPr>
                <w:sz w:val="20"/>
                <w:szCs w:val="20"/>
                <w:lang w:val="en-US"/>
              </w:rPr>
              <w:t>1.5</w:t>
            </w:r>
            <w:r>
              <w:rPr>
                <w:sz w:val="20"/>
                <w:szCs w:val="20"/>
                <w:lang w:val="en-US"/>
              </w:rPr>
              <w:t>1</w:t>
            </w:r>
            <w:r w:rsidRPr="00453A8B">
              <w:rPr>
                <w:sz w:val="20"/>
                <w:szCs w:val="20"/>
                <w:lang w:val="en-US"/>
              </w:rPr>
              <w:t xml:space="preserve"> (1.23, 1.8</w:t>
            </w:r>
            <w:r>
              <w:rPr>
                <w:sz w:val="20"/>
                <w:szCs w:val="20"/>
                <w:lang w:val="en-US"/>
              </w:rPr>
              <w:t>5</w:t>
            </w:r>
            <w:r w:rsidRPr="00453A8B">
              <w:rPr>
                <w:sz w:val="20"/>
                <w:szCs w:val="20"/>
                <w:lang w:val="en-US"/>
              </w:rPr>
              <w:t>)</w:t>
            </w:r>
          </w:p>
        </w:tc>
        <w:tc>
          <w:tcPr>
            <w:tcW w:w="1772" w:type="dxa"/>
            <w:tcBorders>
              <w:left w:val="nil"/>
              <w:bottom w:val="nil"/>
              <w:right w:val="nil"/>
            </w:tcBorders>
          </w:tcPr>
          <w:p w14:paraId="620E6436"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1.49 (1.22, 1.84</w:t>
            </w:r>
            <w:r w:rsidRPr="00453A8B">
              <w:rPr>
                <w:sz w:val="20"/>
                <w:szCs w:val="20"/>
                <w:lang w:val="en-US"/>
              </w:rPr>
              <w:t>)</w:t>
            </w:r>
          </w:p>
        </w:tc>
        <w:tc>
          <w:tcPr>
            <w:tcW w:w="1772" w:type="dxa"/>
            <w:tcBorders>
              <w:left w:val="nil"/>
              <w:bottom w:val="nil"/>
              <w:right w:val="nil"/>
            </w:tcBorders>
          </w:tcPr>
          <w:p w14:paraId="5D2760CE"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1.49 (1.21, 1.83</w:t>
            </w:r>
            <w:r w:rsidRPr="00453A8B">
              <w:rPr>
                <w:sz w:val="20"/>
                <w:szCs w:val="20"/>
                <w:lang w:val="en-US"/>
              </w:rPr>
              <w:t>)</w:t>
            </w:r>
          </w:p>
        </w:tc>
      </w:tr>
      <w:tr w:rsidR="00B813A6" w:rsidRPr="00453A8B" w14:paraId="197187F0" w14:textId="77777777" w:rsidTr="00B813A6">
        <w:tc>
          <w:tcPr>
            <w:tcW w:w="3227" w:type="dxa"/>
            <w:tcBorders>
              <w:top w:val="nil"/>
              <w:left w:val="nil"/>
              <w:bottom w:val="nil"/>
              <w:right w:val="nil"/>
            </w:tcBorders>
          </w:tcPr>
          <w:p w14:paraId="4DA170D4" w14:textId="77777777" w:rsidR="00B813A6" w:rsidRPr="00453A8B" w:rsidRDefault="00B813A6" w:rsidP="00B813A6">
            <w:pPr>
              <w:widowControl w:val="0"/>
              <w:autoSpaceDE w:val="0"/>
              <w:autoSpaceDN w:val="0"/>
              <w:adjustRightInd w:val="0"/>
              <w:rPr>
                <w:sz w:val="20"/>
                <w:szCs w:val="20"/>
                <w:lang w:val="en-US"/>
              </w:rPr>
            </w:pPr>
            <w:r>
              <w:rPr>
                <w:sz w:val="20"/>
                <w:szCs w:val="20"/>
                <w:lang w:val="en-US"/>
              </w:rPr>
              <w:t xml:space="preserve">   </w:t>
            </w:r>
            <w:r w:rsidRPr="00453A8B">
              <w:rPr>
                <w:sz w:val="20"/>
                <w:szCs w:val="20"/>
                <w:lang w:val="en-US"/>
              </w:rPr>
              <w:t>High school</w:t>
            </w:r>
          </w:p>
        </w:tc>
        <w:tc>
          <w:tcPr>
            <w:tcW w:w="1771" w:type="dxa"/>
            <w:tcBorders>
              <w:top w:val="nil"/>
              <w:left w:val="nil"/>
              <w:bottom w:val="nil"/>
              <w:right w:val="nil"/>
            </w:tcBorders>
          </w:tcPr>
          <w:p w14:paraId="457258E5"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4EC927E6" w14:textId="77777777" w:rsidR="00B813A6" w:rsidRPr="00453A8B" w:rsidRDefault="00B813A6" w:rsidP="00B813A6">
            <w:pPr>
              <w:widowControl w:val="0"/>
              <w:autoSpaceDE w:val="0"/>
              <w:autoSpaceDN w:val="0"/>
              <w:adjustRightInd w:val="0"/>
              <w:jc w:val="center"/>
              <w:rPr>
                <w:sz w:val="20"/>
                <w:szCs w:val="20"/>
                <w:lang w:val="en-US"/>
              </w:rPr>
            </w:pPr>
            <w:r w:rsidRPr="00453A8B">
              <w:rPr>
                <w:sz w:val="20"/>
                <w:szCs w:val="20"/>
                <w:lang w:val="en-US"/>
              </w:rPr>
              <w:t>2.0</w:t>
            </w:r>
            <w:r>
              <w:rPr>
                <w:sz w:val="20"/>
                <w:szCs w:val="20"/>
                <w:lang w:val="en-US"/>
              </w:rPr>
              <w:t>3</w:t>
            </w:r>
            <w:r w:rsidRPr="00453A8B">
              <w:rPr>
                <w:sz w:val="20"/>
                <w:szCs w:val="20"/>
                <w:lang w:val="en-US"/>
              </w:rPr>
              <w:t xml:space="preserve"> (1.7</w:t>
            </w:r>
            <w:r>
              <w:rPr>
                <w:sz w:val="20"/>
                <w:szCs w:val="20"/>
                <w:lang w:val="en-US"/>
              </w:rPr>
              <w:t>1</w:t>
            </w:r>
            <w:r w:rsidRPr="00453A8B">
              <w:rPr>
                <w:sz w:val="20"/>
                <w:szCs w:val="20"/>
                <w:lang w:val="en-US"/>
              </w:rPr>
              <w:t>, 2.42)</w:t>
            </w:r>
          </w:p>
        </w:tc>
        <w:tc>
          <w:tcPr>
            <w:tcW w:w="1772" w:type="dxa"/>
            <w:tcBorders>
              <w:top w:val="nil"/>
              <w:left w:val="nil"/>
              <w:bottom w:val="nil"/>
              <w:right w:val="nil"/>
            </w:tcBorders>
          </w:tcPr>
          <w:p w14:paraId="160C932D"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2.02 (1.69, 2.41</w:t>
            </w:r>
            <w:r w:rsidRPr="00453A8B">
              <w:rPr>
                <w:sz w:val="20"/>
                <w:szCs w:val="20"/>
                <w:lang w:val="en-US"/>
              </w:rPr>
              <w:t>)</w:t>
            </w:r>
          </w:p>
        </w:tc>
        <w:tc>
          <w:tcPr>
            <w:tcW w:w="1772" w:type="dxa"/>
            <w:tcBorders>
              <w:top w:val="nil"/>
              <w:left w:val="nil"/>
              <w:bottom w:val="nil"/>
              <w:right w:val="nil"/>
            </w:tcBorders>
          </w:tcPr>
          <w:p w14:paraId="7B76D90B"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2.01 (1.68, 2.39</w:t>
            </w:r>
            <w:r w:rsidRPr="00453A8B">
              <w:rPr>
                <w:sz w:val="20"/>
                <w:szCs w:val="20"/>
                <w:lang w:val="en-US"/>
              </w:rPr>
              <w:t>)</w:t>
            </w:r>
          </w:p>
        </w:tc>
      </w:tr>
      <w:tr w:rsidR="00B813A6" w:rsidRPr="00453A8B" w14:paraId="05AE5D65" w14:textId="77777777" w:rsidTr="00B813A6">
        <w:tc>
          <w:tcPr>
            <w:tcW w:w="3227" w:type="dxa"/>
            <w:tcBorders>
              <w:top w:val="nil"/>
              <w:left w:val="nil"/>
              <w:bottom w:val="nil"/>
              <w:right w:val="nil"/>
            </w:tcBorders>
          </w:tcPr>
          <w:p w14:paraId="3378CF4A" w14:textId="77777777" w:rsidR="00B813A6" w:rsidRPr="00453A8B" w:rsidRDefault="00B813A6" w:rsidP="00B813A6">
            <w:pPr>
              <w:widowControl w:val="0"/>
              <w:autoSpaceDE w:val="0"/>
              <w:autoSpaceDN w:val="0"/>
              <w:adjustRightInd w:val="0"/>
              <w:rPr>
                <w:sz w:val="20"/>
                <w:szCs w:val="20"/>
                <w:lang w:val="en-US"/>
              </w:rPr>
            </w:pPr>
            <w:r>
              <w:rPr>
                <w:sz w:val="20"/>
                <w:szCs w:val="20"/>
                <w:lang w:val="en-US"/>
              </w:rPr>
              <w:t xml:space="preserve">   </w:t>
            </w:r>
            <w:r w:rsidRPr="00453A8B">
              <w:rPr>
                <w:sz w:val="20"/>
                <w:szCs w:val="20"/>
                <w:lang w:val="en-US"/>
              </w:rPr>
              <w:t>Middle school</w:t>
            </w:r>
          </w:p>
        </w:tc>
        <w:tc>
          <w:tcPr>
            <w:tcW w:w="1771" w:type="dxa"/>
            <w:tcBorders>
              <w:top w:val="nil"/>
              <w:left w:val="nil"/>
              <w:bottom w:val="nil"/>
              <w:right w:val="nil"/>
            </w:tcBorders>
          </w:tcPr>
          <w:p w14:paraId="3CB52033"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0BA127F6" w14:textId="77777777" w:rsidR="00B813A6" w:rsidRPr="00453A8B" w:rsidRDefault="00B813A6" w:rsidP="00B813A6">
            <w:pPr>
              <w:widowControl w:val="0"/>
              <w:autoSpaceDE w:val="0"/>
              <w:autoSpaceDN w:val="0"/>
              <w:adjustRightInd w:val="0"/>
              <w:jc w:val="center"/>
              <w:rPr>
                <w:sz w:val="20"/>
                <w:szCs w:val="20"/>
                <w:lang w:val="en-US"/>
              </w:rPr>
            </w:pPr>
            <w:r w:rsidRPr="00453A8B">
              <w:rPr>
                <w:sz w:val="20"/>
                <w:szCs w:val="20"/>
                <w:lang w:val="en-US"/>
              </w:rPr>
              <w:t>2.2</w:t>
            </w:r>
            <w:r>
              <w:rPr>
                <w:sz w:val="20"/>
                <w:szCs w:val="20"/>
                <w:lang w:val="en-US"/>
              </w:rPr>
              <w:t>4</w:t>
            </w:r>
            <w:r w:rsidRPr="00453A8B">
              <w:rPr>
                <w:sz w:val="20"/>
                <w:szCs w:val="20"/>
                <w:lang w:val="en-US"/>
              </w:rPr>
              <w:t xml:space="preserve"> (1.8</w:t>
            </w:r>
            <w:r>
              <w:rPr>
                <w:sz w:val="20"/>
                <w:szCs w:val="20"/>
                <w:lang w:val="en-US"/>
              </w:rPr>
              <w:t>3</w:t>
            </w:r>
            <w:r w:rsidRPr="00453A8B">
              <w:rPr>
                <w:sz w:val="20"/>
                <w:szCs w:val="20"/>
                <w:lang w:val="en-US"/>
              </w:rPr>
              <w:t>, 2.7</w:t>
            </w:r>
            <w:r>
              <w:rPr>
                <w:sz w:val="20"/>
                <w:szCs w:val="20"/>
                <w:lang w:val="en-US"/>
              </w:rPr>
              <w:t>3</w:t>
            </w:r>
            <w:r w:rsidRPr="00453A8B">
              <w:rPr>
                <w:sz w:val="20"/>
                <w:szCs w:val="20"/>
                <w:lang w:val="en-US"/>
              </w:rPr>
              <w:t>)</w:t>
            </w:r>
          </w:p>
        </w:tc>
        <w:tc>
          <w:tcPr>
            <w:tcW w:w="1772" w:type="dxa"/>
            <w:tcBorders>
              <w:top w:val="nil"/>
              <w:left w:val="nil"/>
              <w:bottom w:val="nil"/>
              <w:right w:val="nil"/>
            </w:tcBorders>
          </w:tcPr>
          <w:p w14:paraId="4086BD44"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2.20 (1.80, 2.69</w:t>
            </w:r>
            <w:r w:rsidRPr="00453A8B">
              <w:rPr>
                <w:sz w:val="20"/>
                <w:szCs w:val="20"/>
                <w:lang w:val="en-US"/>
              </w:rPr>
              <w:t>)</w:t>
            </w:r>
          </w:p>
        </w:tc>
        <w:tc>
          <w:tcPr>
            <w:tcW w:w="1772" w:type="dxa"/>
            <w:tcBorders>
              <w:top w:val="nil"/>
              <w:left w:val="nil"/>
              <w:bottom w:val="nil"/>
              <w:right w:val="nil"/>
            </w:tcBorders>
          </w:tcPr>
          <w:p w14:paraId="0C17BCB0"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2.18 (1.79, 2.67</w:t>
            </w:r>
            <w:r w:rsidRPr="00453A8B">
              <w:rPr>
                <w:sz w:val="20"/>
                <w:szCs w:val="20"/>
                <w:lang w:val="en-US"/>
              </w:rPr>
              <w:t>)</w:t>
            </w:r>
          </w:p>
        </w:tc>
      </w:tr>
      <w:tr w:rsidR="00B813A6" w:rsidRPr="00453A8B" w14:paraId="7642356C" w14:textId="77777777" w:rsidTr="00B813A6">
        <w:tc>
          <w:tcPr>
            <w:tcW w:w="3227" w:type="dxa"/>
            <w:tcBorders>
              <w:top w:val="nil"/>
              <w:left w:val="nil"/>
              <w:bottom w:val="nil"/>
              <w:right w:val="nil"/>
            </w:tcBorders>
          </w:tcPr>
          <w:p w14:paraId="0D419AAD" w14:textId="77777777" w:rsidR="00B813A6" w:rsidRPr="00453A8B" w:rsidRDefault="00B813A6" w:rsidP="00B813A6">
            <w:pPr>
              <w:widowControl w:val="0"/>
              <w:autoSpaceDE w:val="0"/>
              <w:autoSpaceDN w:val="0"/>
              <w:adjustRightInd w:val="0"/>
              <w:rPr>
                <w:sz w:val="20"/>
                <w:szCs w:val="20"/>
                <w:lang w:val="en-US"/>
              </w:rPr>
            </w:pPr>
            <w:r>
              <w:rPr>
                <w:sz w:val="20"/>
                <w:szCs w:val="20"/>
                <w:lang w:val="en-US"/>
              </w:rPr>
              <w:t xml:space="preserve">   </w:t>
            </w:r>
            <w:r w:rsidRPr="00453A8B">
              <w:rPr>
                <w:sz w:val="20"/>
                <w:szCs w:val="20"/>
                <w:lang w:val="en-US"/>
              </w:rPr>
              <w:t>Primary school</w:t>
            </w:r>
          </w:p>
        </w:tc>
        <w:tc>
          <w:tcPr>
            <w:tcW w:w="1771" w:type="dxa"/>
            <w:tcBorders>
              <w:top w:val="nil"/>
              <w:left w:val="nil"/>
              <w:bottom w:val="nil"/>
              <w:right w:val="nil"/>
            </w:tcBorders>
          </w:tcPr>
          <w:p w14:paraId="28D78E0E"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70717331" w14:textId="77777777" w:rsidR="00B813A6" w:rsidRPr="00453A8B" w:rsidRDefault="00B813A6" w:rsidP="00B813A6">
            <w:pPr>
              <w:widowControl w:val="0"/>
              <w:autoSpaceDE w:val="0"/>
              <w:autoSpaceDN w:val="0"/>
              <w:adjustRightInd w:val="0"/>
              <w:jc w:val="center"/>
              <w:rPr>
                <w:sz w:val="20"/>
                <w:szCs w:val="20"/>
                <w:lang w:val="en-US"/>
              </w:rPr>
            </w:pPr>
            <w:r w:rsidRPr="00453A8B">
              <w:rPr>
                <w:sz w:val="20"/>
                <w:szCs w:val="20"/>
                <w:lang w:val="en-US"/>
              </w:rPr>
              <w:t>2.</w:t>
            </w:r>
            <w:r>
              <w:rPr>
                <w:sz w:val="20"/>
                <w:szCs w:val="20"/>
                <w:lang w:val="en-US"/>
              </w:rPr>
              <w:t>78</w:t>
            </w:r>
            <w:r w:rsidRPr="00453A8B">
              <w:rPr>
                <w:sz w:val="20"/>
                <w:szCs w:val="20"/>
                <w:lang w:val="en-US"/>
              </w:rPr>
              <w:t xml:space="preserve"> (2.</w:t>
            </w:r>
            <w:r>
              <w:rPr>
                <w:sz w:val="20"/>
                <w:szCs w:val="20"/>
                <w:lang w:val="en-US"/>
              </w:rPr>
              <w:t>2</w:t>
            </w:r>
            <w:r w:rsidRPr="00453A8B">
              <w:rPr>
                <w:sz w:val="20"/>
                <w:szCs w:val="20"/>
                <w:lang w:val="en-US"/>
              </w:rPr>
              <w:t>7, 3.</w:t>
            </w:r>
            <w:r>
              <w:rPr>
                <w:sz w:val="20"/>
                <w:szCs w:val="20"/>
                <w:lang w:val="en-US"/>
              </w:rPr>
              <w:t>41</w:t>
            </w:r>
            <w:r w:rsidRPr="00453A8B">
              <w:rPr>
                <w:sz w:val="20"/>
                <w:szCs w:val="20"/>
                <w:lang w:val="en-US"/>
              </w:rPr>
              <w:t>)</w:t>
            </w:r>
          </w:p>
        </w:tc>
        <w:tc>
          <w:tcPr>
            <w:tcW w:w="1772" w:type="dxa"/>
            <w:tcBorders>
              <w:top w:val="nil"/>
              <w:left w:val="nil"/>
              <w:bottom w:val="nil"/>
              <w:right w:val="nil"/>
            </w:tcBorders>
          </w:tcPr>
          <w:p w14:paraId="4B5D2346"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2.76 (2.25</w:t>
            </w:r>
            <w:r w:rsidRPr="00453A8B">
              <w:rPr>
                <w:sz w:val="20"/>
                <w:szCs w:val="20"/>
                <w:lang w:val="en-US"/>
              </w:rPr>
              <w:t xml:space="preserve">, </w:t>
            </w:r>
            <w:r>
              <w:rPr>
                <w:sz w:val="20"/>
                <w:szCs w:val="20"/>
                <w:lang w:val="en-US"/>
              </w:rPr>
              <w:t>3.39</w:t>
            </w:r>
            <w:r w:rsidRPr="00453A8B">
              <w:rPr>
                <w:sz w:val="20"/>
                <w:szCs w:val="20"/>
                <w:lang w:val="en-US"/>
              </w:rPr>
              <w:t>)</w:t>
            </w:r>
          </w:p>
        </w:tc>
        <w:tc>
          <w:tcPr>
            <w:tcW w:w="1772" w:type="dxa"/>
            <w:tcBorders>
              <w:top w:val="nil"/>
              <w:left w:val="nil"/>
              <w:bottom w:val="nil"/>
              <w:right w:val="nil"/>
            </w:tcBorders>
          </w:tcPr>
          <w:p w14:paraId="4F1F13AA"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2.72 (2.22</w:t>
            </w:r>
            <w:r w:rsidRPr="00453A8B">
              <w:rPr>
                <w:sz w:val="20"/>
                <w:szCs w:val="20"/>
                <w:lang w:val="en-US"/>
              </w:rPr>
              <w:t xml:space="preserve">, </w:t>
            </w:r>
            <w:r>
              <w:rPr>
                <w:sz w:val="20"/>
                <w:szCs w:val="20"/>
                <w:lang w:val="en-US"/>
              </w:rPr>
              <w:t>3.35</w:t>
            </w:r>
            <w:r w:rsidRPr="00453A8B">
              <w:rPr>
                <w:sz w:val="20"/>
                <w:szCs w:val="20"/>
                <w:lang w:val="en-US"/>
              </w:rPr>
              <w:t>)</w:t>
            </w:r>
          </w:p>
        </w:tc>
      </w:tr>
      <w:tr w:rsidR="00B813A6" w:rsidRPr="00453A8B" w14:paraId="3F6FFDD8" w14:textId="77777777" w:rsidTr="00B813A6">
        <w:tc>
          <w:tcPr>
            <w:tcW w:w="3227" w:type="dxa"/>
            <w:tcBorders>
              <w:top w:val="nil"/>
              <w:left w:val="nil"/>
              <w:bottom w:val="single" w:sz="4" w:space="0" w:color="auto"/>
              <w:right w:val="nil"/>
            </w:tcBorders>
          </w:tcPr>
          <w:p w14:paraId="65087A2D" w14:textId="77777777" w:rsidR="00B813A6" w:rsidRPr="00453A8B" w:rsidRDefault="00B813A6" w:rsidP="00B813A6">
            <w:pPr>
              <w:widowControl w:val="0"/>
              <w:autoSpaceDE w:val="0"/>
              <w:autoSpaceDN w:val="0"/>
              <w:adjustRightInd w:val="0"/>
              <w:rPr>
                <w:sz w:val="20"/>
                <w:szCs w:val="20"/>
                <w:lang w:val="en-US"/>
              </w:rPr>
            </w:pPr>
            <w:r>
              <w:rPr>
                <w:sz w:val="20"/>
                <w:szCs w:val="20"/>
                <w:lang w:val="en-US"/>
              </w:rPr>
              <w:t xml:space="preserve">   </w:t>
            </w:r>
            <w:r w:rsidRPr="00453A8B">
              <w:rPr>
                <w:sz w:val="20"/>
                <w:szCs w:val="20"/>
                <w:lang w:val="en-US"/>
              </w:rPr>
              <w:t>No education</w:t>
            </w:r>
          </w:p>
        </w:tc>
        <w:tc>
          <w:tcPr>
            <w:tcW w:w="1771" w:type="dxa"/>
            <w:tcBorders>
              <w:top w:val="nil"/>
              <w:left w:val="nil"/>
              <w:bottom w:val="single" w:sz="4" w:space="0" w:color="auto"/>
              <w:right w:val="nil"/>
            </w:tcBorders>
          </w:tcPr>
          <w:p w14:paraId="1143F9A0"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single" w:sz="4" w:space="0" w:color="auto"/>
              <w:right w:val="nil"/>
            </w:tcBorders>
          </w:tcPr>
          <w:p w14:paraId="77CC2A77" w14:textId="77777777" w:rsidR="00B813A6" w:rsidRPr="00453A8B" w:rsidRDefault="00B813A6" w:rsidP="00B813A6">
            <w:pPr>
              <w:widowControl w:val="0"/>
              <w:autoSpaceDE w:val="0"/>
              <w:autoSpaceDN w:val="0"/>
              <w:adjustRightInd w:val="0"/>
              <w:jc w:val="center"/>
              <w:rPr>
                <w:sz w:val="20"/>
                <w:szCs w:val="20"/>
                <w:lang w:val="en-US"/>
              </w:rPr>
            </w:pPr>
            <w:r w:rsidRPr="00453A8B">
              <w:rPr>
                <w:sz w:val="20"/>
                <w:szCs w:val="20"/>
                <w:lang w:val="en-US"/>
              </w:rPr>
              <w:t>2.</w:t>
            </w:r>
            <w:r>
              <w:rPr>
                <w:sz w:val="20"/>
                <w:szCs w:val="20"/>
                <w:lang w:val="en-US"/>
              </w:rPr>
              <w:t>73</w:t>
            </w:r>
            <w:r w:rsidRPr="00453A8B">
              <w:rPr>
                <w:sz w:val="20"/>
                <w:szCs w:val="20"/>
                <w:lang w:val="en-US"/>
              </w:rPr>
              <w:t xml:space="preserve"> (</w:t>
            </w:r>
            <w:r>
              <w:rPr>
                <w:sz w:val="20"/>
                <w:szCs w:val="20"/>
                <w:lang w:val="en-US"/>
              </w:rPr>
              <w:t>2.09</w:t>
            </w:r>
            <w:r w:rsidRPr="00453A8B">
              <w:rPr>
                <w:sz w:val="20"/>
                <w:szCs w:val="20"/>
                <w:lang w:val="en-US"/>
              </w:rPr>
              <w:t>, 3.</w:t>
            </w:r>
            <w:r>
              <w:rPr>
                <w:sz w:val="20"/>
                <w:szCs w:val="20"/>
                <w:lang w:val="en-US"/>
              </w:rPr>
              <w:t>57</w:t>
            </w:r>
            <w:r w:rsidRPr="00453A8B">
              <w:rPr>
                <w:sz w:val="20"/>
                <w:szCs w:val="20"/>
                <w:lang w:val="en-US"/>
              </w:rPr>
              <w:t>)</w:t>
            </w:r>
          </w:p>
        </w:tc>
        <w:tc>
          <w:tcPr>
            <w:tcW w:w="1772" w:type="dxa"/>
            <w:tcBorders>
              <w:top w:val="nil"/>
              <w:left w:val="nil"/>
              <w:bottom w:val="single" w:sz="4" w:space="0" w:color="auto"/>
              <w:right w:val="nil"/>
            </w:tcBorders>
          </w:tcPr>
          <w:p w14:paraId="6E861209"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2.69</w:t>
            </w:r>
            <w:r w:rsidRPr="00453A8B">
              <w:rPr>
                <w:sz w:val="20"/>
                <w:szCs w:val="20"/>
                <w:lang w:val="en-US"/>
              </w:rPr>
              <w:t xml:space="preserve"> (</w:t>
            </w:r>
            <w:r>
              <w:rPr>
                <w:sz w:val="20"/>
                <w:szCs w:val="20"/>
                <w:lang w:val="en-US"/>
              </w:rPr>
              <w:t>2.05, 3.51</w:t>
            </w:r>
            <w:r w:rsidRPr="00453A8B">
              <w:rPr>
                <w:sz w:val="20"/>
                <w:szCs w:val="20"/>
                <w:lang w:val="en-US"/>
              </w:rPr>
              <w:t>)</w:t>
            </w:r>
          </w:p>
        </w:tc>
        <w:tc>
          <w:tcPr>
            <w:tcW w:w="1772" w:type="dxa"/>
            <w:tcBorders>
              <w:top w:val="nil"/>
              <w:left w:val="nil"/>
              <w:bottom w:val="single" w:sz="4" w:space="0" w:color="auto"/>
              <w:right w:val="nil"/>
            </w:tcBorders>
          </w:tcPr>
          <w:p w14:paraId="286ED862"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2.66</w:t>
            </w:r>
            <w:r w:rsidRPr="00453A8B">
              <w:rPr>
                <w:sz w:val="20"/>
                <w:szCs w:val="20"/>
                <w:lang w:val="en-US"/>
              </w:rPr>
              <w:t xml:space="preserve"> (</w:t>
            </w:r>
            <w:r>
              <w:rPr>
                <w:sz w:val="20"/>
                <w:szCs w:val="20"/>
                <w:lang w:val="en-US"/>
              </w:rPr>
              <w:t>2.03, 3.49</w:t>
            </w:r>
            <w:r w:rsidRPr="00453A8B">
              <w:rPr>
                <w:sz w:val="20"/>
                <w:szCs w:val="20"/>
                <w:lang w:val="en-US"/>
              </w:rPr>
              <w:t>)</w:t>
            </w:r>
          </w:p>
        </w:tc>
      </w:tr>
      <w:tr w:rsidR="00B813A6" w:rsidRPr="00453A8B" w14:paraId="16C2D4BE" w14:textId="77777777" w:rsidTr="00B813A6">
        <w:tc>
          <w:tcPr>
            <w:tcW w:w="3227" w:type="dxa"/>
            <w:tcBorders>
              <w:top w:val="single" w:sz="4" w:space="0" w:color="auto"/>
              <w:left w:val="nil"/>
              <w:bottom w:val="nil"/>
              <w:right w:val="nil"/>
            </w:tcBorders>
          </w:tcPr>
          <w:p w14:paraId="466A23EE"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Hypertension</w:t>
            </w:r>
          </w:p>
        </w:tc>
        <w:tc>
          <w:tcPr>
            <w:tcW w:w="1771" w:type="dxa"/>
            <w:tcBorders>
              <w:top w:val="single" w:sz="4" w:space="0" w:color="auto"/>
              <w:left w:val="nil"/>
              <w:bottom w:val="nil"/>
              <w:right w:val="nil"/>
            </w:tcBorders>
          </w:tcPr>
          <w:p w14:paraId="70F140D8"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bottom w:val="nil"/>
              <w:right w:val="nil"/>
            </w:tcBorders>
          </w:tcPr>
          <w:p w14:paraId="72518112"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bottom w:val="nil"/>
              <w:right w:val="nil"/>
            </w:tcBorders>
          </w:tcPr>
          <w:p w14:paraId="3BD1913E"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1.29 (1.13, 1.46)</w:t>
            </w:r>
          </w:p>
        </w:tc>
        <w:tc>
          <w:tcPr>
            <w:tcW w:w="1772" w:type="dxa"/>
            <w:tcBorders>
              <w:top w:val="single" w:sz="4" w:space="0" w:color="auto"/>
              <w:left w:val="nil"/>
              <w:bottom w:val="nil"/>
              <w:right w:val="nil"/>
            </w:tcBorders>
          </w:tcPr>
          <w:p w14:paraId="71BDBB2E"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1.26 (1.10, 1.43)</w:t>
            </w:r>
          </w:p>
        </w:tc>
      </w:tr>
      <w:tr w:rsidR="00B813A6" w:rsidRPr="00453A8B" w14:paraId="0A910B81" w14:textId="77777777" w:rsidTr="00B813A6">
        <w:tc>
          <w:tcPr>
            <w:tcW w:w="3227" w:type="dxa"/>
            <w:tcBorders>
              <w:top w:val="nil"/>
              <w:left w:val="nil"/>
              <w:bottom w:val="nil"/>
              <w:right w:val="nil"/>
            </w:tcBorders>
          </w:tcPr>
          <w:p w14:paraId="4B682868"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Heart disease</w:t>
            </w:r>
          </w:p>
        </w:tc>
        <w:tc>
          <w:tcPr>
            <w:tcW w:w="1771" w:type="dxa"/>
            <w:tcBorders>
              <w:top w:val="nil"/>
              <w:left w:val="nil"/>
              <w:bottom w:val="nil"/>
              <w:right w:val="nil"/>
            </w:tcBorders>
          </w:tcPr>
          <w:p w14:paraId="75E2FE23"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203C752F"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4A685847"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1.54 (1.27, 1.86)</w:t>
            </w:r>
          </w:p>
        </w:tc>
        <w:tc>
          <w:tcPr>
            <w:tcW w:w="1772" w:type="dxa"/>
            <w:tcBorders>
              <w:top w:val="nil"/>
              <w:left w:val="nil"/>
              <w:bottom w:val="nil"/>
              <w:right w:val="nil"/>
            </w:tcBorders>
          </w:tcPr>
          <w:p w14:paraId="200F6B38"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1.51 (1.25, 1.83)</w:t>
            </w:r>
          </w:p>
        </w:tc>
      </w:tr>
      <w:tr w:rsidR="00B813A6" w:rsidRPr="00453A8B" w14:paraId="454B3D96" w14:textId="77777777" w:rsidTr="00B813A6">
        <w:tc>
          <w:tcPr>
            <w:tcW w:w="3227" w:type="dxa"/>
            <w:tcBorders>
              <w:top w:val="nil"/>
              <w:left w:val="nil"/>
              <w:bottom w:val="nil"/>
              <w:right w:val="nil"/>
            </w:tcBorders>
          </w:tcPr>
          <w:p w14:paraId="79730444"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Diabetes</w:t>
            </w:r>
          </w:p>
        </w:tc>
        <w:tc>
          <w:tcPr>
            <w:tcW w:w="1771" w:type="dxa"/>
            <w:tcBorders>
              <w:top w:val="nil"/>
              <w:left w:val="nil"/>
              <w:bottom w:val="nil"/>
              <w:right w:val="nil"/>
            </w:tcBorders>
          </w:tcPr>
          <w:p w14:paraId="4C778B94"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213295BE"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2CA75FDC"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1.51 (1.23</w:t>
            </w:r>
            <w:r w:rsidRPr="00453A8B">
              <w:rPr>
                <w:sz w:val="20"/>
                <w:szCs w:val="20"/>
                <w:lang w:val="en-US"/>
              </w:rPr>
              <w:t>,</w:t>
            </w:r>
            <w:r>
              <w:rPr>
                <w:sz w:val="20"/>
                <w:szCs w:val="20"/>
                <w:lang w:val="en-US"/>
              </w:rPr>
              <w:t xml:space="preserve"> 1.85)</w:t>
            </w:r>
          </w:p>
        </w:tc>
        <w:tc>
          <w:tcPr>
            <w:tcW w:w="1772" w:type="dxa"/>
            <w:tcBorders>
              <w:top w:val="nil"/>
              <w:left w:val="nil"/>
              <w:bottom w:val="nil"/>
              <w:right w:val="nil"/>
            </w:tcBorders>
          </w:tcPr>
          <w:p w14:paraId="2C15397D"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1.47 (1.19</w:t>
            </w:r>
            <w:r w:rsidRPr="00453A8B">
              <w:rPr>
                <w:sz w:val="20"/>
                <w:szCs w:val="20"/>
                <w:lang w:val="en-US"/>
              </w:rPr>
              <w:t>,</w:t>
            </w:r>
            <w:r>
              <w:rPr>
                <w:sz w:val="20"/>
                <w:szCs w:val="20"/>
                <w:lang w:val="en-US"/>
              </w:rPr>
              <w:t xml:space="preserve"> 1.80)</w:t>
            </w:r>
          </w:p>
        </w:tc>
      </w:tr>
      <w:tr w:rsidR="00B813A6" w:rsidRPr="00453A8B" w14:paraId="6F0E6E64" w14:textId="77777777" w:rsidTr="00B813A6">
        <w:tc>
          <w:tcPr>
            <w:tcW w:w="3227" w:type="dxa"/>
            <w:tcBorders>
              <w:top w:val="nil"/>
              <w:left w:val="nil"/>
              <w:bottom w:val="nil"/>
              <w:right w:val="nil"/>
            </w:tcBorders>
          </w:tcPr>
          <w:p w14:paraId="728680C6"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Stroke</w:t>
            </w:r>
          </w:p>
        </w:tc>
        <w:tc>
          <w:tcPr>
            <w:tcW w:w="1771" w:type="dxa"/>
            <w:tcBorders>
              <w:top w:val="nil"/>
              <w:left w:val="nil"/>
              <w:bottom w:val="nil"/>
              <w:right w:val="nil"/>
            </w:tcBorders>
          </w:tcPr>
          <w:p w14:paraId="2D07319A"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0806BC96"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057D7F97"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1.82 (1.16</w:t>
            </w:r>
            <w:r w:rsidRPr="00453A8B">
              <w:rPr>
                <w:sz w:val="20"/>
                <w:szCs w:val="20"/>
                <w:lang w:val="en-US"/>
              </w:rPr>
              <w:t>,</w:t>
            </w:r>
            <w:r>
              <w:rPr>
                <w:sz w:val="20"/>
                <w:szCs w:val="20"/>
                <w:lang w:val="en-US"/>
              </w:rPr>
              <w:t xml:space="preserve"> 2.86)</w:t>
            </w:r>
          </w:p>
        </w:tc>
        <w:tc>
          <w:tcPr>
            <w:tcW w:w="1772" w:type="dxa"/>
            <w:tcBorders>
              <w:top w:val="nil"/>
              <w:left w:val="nil"/>
              <w:bottom w:val="nil"/>
              <w:right w:val="nil"/>
            </w:tcBorders>
          </w:tcPr>
          <w:p w14:paraId="3A948711"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1.80 (1.15</w:t>
            </w:r>
            <w:r w:rsidRPr="00453A8B">
              <w:rPr>
                <w:sz w:val="20"/>
                <w:szCs w:val="20"/>
                <w:lang w:val="en-US"/>
              </w:rPr>
              <w:t>,</w:t>
            </w:r>
            <w:r>
              <w:rPr>
                <w:sz w:val="20"/>
                <w:szCs w:val="20"/>
                <w:lang w:val="en-US"/>
              </w:rPr>
              <w:t xml:space="preserve"> 2.83)</w:t>
            </w:r>
          </w:p>
        </w:tc>
      </w:tr>
      <w:tr w:rsidR="00B813A6" w:rsidRPr="00B94AA3" w14:paraId="59EDE399" w14:textId="77777777" w:rsidTr="00B813A6">
        <w:tc>
          <w:tcPr>
            <w:tcW w:w="3227" w:type="dxa"/>
            <w:tcBorders>
              <w:top w:val="nil"/>
              <w:left w:val="nil"/>
              <w:bottom w:val="single" w:sz="4" w:space="0" w:color="auto"/>
              <w:right w:val="nil"/>
            </w:tcBorders>
          </w:tcPr>
          <w:p w14:paraId="17ADDCA7"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Lung Cancer</w:t>
            </w:r>
          </w:p>
        </w:tc>
        <w:tc>
          <w:tcPr>
            <w:tcW w:w="1771" w:type="dxa"/>
            <w:tcBorders>
              <w:top w:val="nil"/>
              <w:left w:val="nil"/>
              <w:bottom w:val="single" w:sz="4" w:space="0" w:color="auto"/>
              <w:right w:val="nil"/>
            </w:tcBorders>
          </w:tcPr>
          <w:p w14:paraId="03F6C2EC"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single" w:sz="4" w:space="0" w:color="auto"/>
              <w:right w:val="nil"/>
            </w:tcBorders>
          </w:tcPr>
          <w:p w14:paraId="2CA07974"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single" w:sz="4" w:space="0" w:color="auto"/>
              <w:right w:val="nil"/>
            </w:tcBorders>
          </w:tcPr>
          <w:p w14:paraId="236026F1"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2.34 (0.81</w:t>
            </w:r>
            <w:r w:rsidRPr="00453A8B">
              <w:rPr>
                <w:sz w:val="20"/>
                <w:szCs w:val="20"/>
                <w:lang w:val="en-US"/>
              </w:rPr>
              <w:t>,</w:t>
            </w:r>
            <w:r>
              <w:rPr>
                <w:sz w:val="20"/>
                <w:szCs w:val="20"/>
                <w:lang w:val="en-US"/>
              </w:rPr>
              <w:t xml:space="preserve"> 6.76)</w:t>
            </w:r>
          </w:p>
        </w:tc>
        <w:tc>
          <w:tcPr>
            <w:tcW w:w="1772" w:type="dxa"/>
            <w:tcBorders>
              <w:top w:val="nil"/>
              <w:left w:val="nil"/>
              <w:bottom w:val="single" w:sz="4" w:space="0" w:color="auto"/>
              <w:right w:val="nil"/>
            </w:tcBorders>
          </w:tcPr>
          <w:p w14:paraId="3AC2B030"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2.38 (0.82</w:t>
            </w:r>
            <w:r w:rsidRPr="00453A8B">
              <w:rPr>
                <w:sz w:val="20"/>
                <w:szCs w:val="20"/>
                <w:lang w:val="en-US"/>
              </w:rPr>
              <w:t>,</w:t>
            </w:r>
            <w:r>
              <w:rPr>
                <w:sz w:val="20"/>
                <w:szCs w:val="20"/>
                <w:lang w:val="en-US"/>
              </w:rPr>
              <w:t xml:space="preserve"> 6.93)</w:t>
            </w:r>
          </w:p>
        </w:tc>
      </w:tr>
    </w:tbl>
    <w:p w14:paraId="16414D56" w14:textId="77777777" w:rsidR="00B813A6" w:rsidRPr="00CD70D8" w:rsidRDefault="00B813A6" w:rsidP="00B813A6">
      <w:pPr>
        <w:widowControl w:val="0"/>
        <w:autoSpaceDE w:val="0"/>
        <w:autoSpaceDN w:val="0"/>
        <w:adjustRightInd w:val="0"/>
        <w:rPr>
          <w:sz w:val="16"/>
          <w:szCs w:val="16"/>
          <w:lang w:val="en-US"/>
        </w:rPr>
      </w:pPr>
      <w:r>
        <w:rPr>
          <w:sz w:val="16"/>
          <w:szCs w:val="16"/>
          <w:lang w:val="en-US"/>
        </w:rPr>
        <w:t>*</w:t>
      </w:r>
      <w:r w:rsidRPr="001B21CB">
        <w:rPr>
          <w:sz w:val="16"/>
          <w:szCs w:val="16"/>
          <w:lang w:val="en-US"/>
        </w:rPr>
        <w:t xml:space="preserve">Adjustment variables: no fixed effects (model 1); age, gender, education and smoking (model 2); model 2 adjustment + comorbidities (model 3); model 3 adjustment + FVC (model 4).   All five models were fit using multilevel mixed-effects generalized linear model with study site included as random effect to account for within site clustering. </w:t>
      </w:r>
      <w:r w:rsidRPr="00CD70D8">
        <w:rPr>
          <w:sz w:val="16"/>
          <w:szCs w:val="16"/>
          <w:lang w:val="en-US"/>
        </w:rPr>
        <w:t>Reference values</w:t>
      </w:r>
      <w:r>
        <w:rPr>
          <w:sz w:val="16"/>
          <w:szCs w:val="16"/>
          <w:lang w:val="en-US"/>
        </w:rPr>
        <w:t xml:space="preserve"> for categorical variables</w:t>
      </w:r>
      <w:r w:rsidRPr="00CD70D8">
        <w:rPr>
          <w:sz w:val="16"/>
          <w:szCs w:val="16"/>
          <w:lang w:val="en-US"/>
        </w:rPr>
        <w:t xml:space="preserve">: </w:t>
      </w:r>
      <w:r>
        <w:rPr>
          <w:sz w:val="16"/>
          <w:szCs w:val="16"/>
          <w:lang w:val="en-US"/>
        </w:rPr>
        <w:t xml:space="preserve">no CAO, </w:t>
      </w:r>
      <w:r w:rsidRPr="00CD70D8">
        <w:rPr>
          <w:sz w:val="16"/>
          <w:szCs w:val="16"/>
          <w:lang w:val="en-US"/>
        </w:rPr>
        <w:t xml:space="preserve">males, never-smokers, university education, </w:t>
      </w:r>
      <w:r>
        <w:rPr>
          <w:sz w:val="16"/>
          <w:szCs w:val="16"/>
          <w:lang w:val="en-US"/>
        </w:rPr>
        <w:t xml:space="preserve">no hypertension, no heart disease, no diabetes, no stroke, no lung cancer. **Retirees (age limit defined as 65 years old) and homemakers/caregivers were excluded from the analysis. </w:t>
      </w:r>
    </w:p>
    <w:p w14:paraId="62408D2B" w14:textId="77777777" w:rsidR="00B813A6" w:rsidRDefault="00B813A6" w:rsidP="00B813A6">
      <w:pPr>
        <w:rPr>
          <w:sz w:val="16"/>
          <w:szCs w:val="16"/>
          <w:lang w:val="en-US"/>
        </w:rPr>
      </w:pPr>
      <w:r>
        <w:rPr>
          <w:sz w:val="16"/>
          <w:szCs w:val="16"/>
          <w:lang w:val="en-US"/>
        </w:rPr>
        <w:br w:type="page"/>
      </w:r>
    </w:p>
    <w:p w14:paraId="61749BE9" w14:textId="77777777" w:rsidR="00B813A6" w:rsidRDefault="00B813A6" w:rsidP="00B813A6">
      <w:pPr>
        <w:pStyle w:val="p3"/>
        <w:spacing w:line="360" w:lineRule="auto"/>
        <w:rPr>
          <w:rStyle w:val="s3"/>
          <w:sz w:val="24"/>
          <w:szCs w:val="24"/>
          <w:lang w:val="en-US"/>
        </w:rPr>
        <w:sectPr w:rsidR="00B813A6" w:rsidSect="00B462D0">
          <w:pgSz w:w="16840" w:h="11900" w:orient="landscape"/>
          <w:pgMar w:top="1417" w:right="1417" w:bottom="1417" w:left="1417" w:header="708" w:footer="708" w:gutter="0"/>
          <w:cols w:space="708"/>
          <w:docGrid w:linePitch="360"/>
        </w:sectPr>
      </w:pPr>
    </w:p>
    <w:p w14:paraId="518E2C0F" w14:textId="77777777" w:rsidR="00B813A6" w:rsidRPr="00F45D75" w:rsidRDefault="00B813A6" w:rsidP="00B813A6">
      <w:pPr>
        <w:pStyle w:val="Heading2"/>
        <w:rPr>
          <w:rFonts w:asciiTheme="minorHAnsi" w:hAnsiTheme="minorHAnsi" w:cs="Cambria"/>
          <w:color w:val="auto"/>
          <w:sz w:val="22"/>
          <w:szCs w:val="22"/>
          <w:lang w:val="en-US"/>
        </w:rPr>
      </w:pPr>
      <w:r w:rsidRPr="00F45D75">
        <w:rPr>
          <w:rFonts w:asciiTheme="minorHAnsi" w:hAnsiTheme="minorHAnsi" w:cs="Cambria"/>
          <w:color w:val="auto"/>
          <w:sz w:val="22"/>
          <w:szCs w:val="22"/>
          <w:lang w:val="en-US"/>
        </w:rPr>
        <w:lastRenderedPageBreak/>
        <w:t xml:space="preserve">Table </w:t>
      </w:r>
      <w:r>
        <w:rPr>
          <w:rFonts w:asciiTheme="minorHAnsi" w:hAnsiTheme="minorHAnsi" w:cs="Cambria"/>
          <w:color w:val="auto"/>
          <w:sz w:val="22"/>
          <w:szCs w:val="22"/>
          <w:lang w:val="en-US"/>
        </w:rPr>
        <w:t>4</w:t>
      </w:r>
      <w:r w:rsidRPr="00F45D75">
        <w:rPr>
          <w:rFonts w:asciiTheme="minorHAnsi" w:hAnsiTheme="minorHAnsi" w:cs="Cambria"/>
          <w:color w:val="auto"/>
          <w:sz w:val="22"/>
          <w:szCs w:val="22"/>
          <w:lang w:val="en-US"/>
        </w:rPr>
        <w:t xml:space="preserve">: Odds ratios (OR) with 95% confidence intervals (95%CI) for unemployment for </w:t>
      </w:r>
      <w:r>
        <w:rPr>
          <w:rFonts w:asciiTheme="minorHAnsi" w:hAnsiTheme="minorHAnsi" w:cs="Cambria"/>
          <w:color w:val="auto"/>
          <w:sz w:val="22"/>
          <w:szCs w:val="22"/>
          <w:lang w:val="en-US"/>
        </w:rPr>
        <w:t>CAO and other risk factors</w:t>
      </w:r>
      <w:r w:rsidRPr="00F45D75">
        <w:rPr>
          <w:rFonts w:asciiTheme="minorHAnsi" w:hAnsiTheme="minorHAnsi" w:cs="Cambria"/>
          <w:color w:val="auto"/>
          <w:sz w:val="22"/>
          <w:szCs w:val="22"/>
          <w:lang w:val="en-US"/>
        </w:rPr>
        <w:t xml:space="preserve">, </w:t>
      </w:r>
      <w:r>
        <w:rPr>
          <w:rFonts w:asciiTheme="minorHAnsi" w:hAnsiTheme="minorHAnsi" w:cs="Cambria"/>
          <w:color w:val="auto"/>
          <w:sz w:val="22"/>
          <w:szCs w:val="22"/>
          <w:lang w:val="en-US"/>
        </w:rPr>
        <w:t xml:space="preserve">stratified by country income category, </w:t>
      </w:r>
      <w:r w:rsidRPr="00F45D75">
        <w:rPr>
          <w:rFonts w:asciiTheme="minorHAnsi" w:hAnsiTheme="minorHAnsi" w:cs="Cambria"/>
          <w:color w:val="auto"/>
          <w:sz w:val="22"/>
          <w:szCs w:val="22"/>
          <w:lang w:val="en-US"/>
        </w:rPr>
        <w:t>with increasing degree of adjustment (demographic characteristics, comorbidities</w:t>
      </w:r>
      <w:r>
        <w:rPr>
          <w:rFonts w:asciiTheme="minorHAnsi" w:hAnsiTheme="minorHAnsi" w:cs="Cambria"/>
          <w:color w:val="auto"/>
          <w:sz w:val="22"/>
          <w:szCs w:val="22"/>
          <w:lang w:val="en-US"/>
        </w:rPr>
        <w:t xml:space="preserve"> and</w:t>
      </w:r>
      <w:r w:rsidRPr="00F45D75">
        <w:rPr>
          <w:rFonts w:asciiTheme="minorHAnsi" w:hAnsiTheme="minorHAnsi" w:cs="Cambria"/>
          <w:color w:val="auto"/>
          <w:sz w:val="22"/>
          <w:szCs w:val="22"/>
          <w:lang w:val="en-US"/>
        </w:rPr>
        <w:t xml:space="preserve"> </w:t>
      </w:r>
      <w:r>
        <w:rPr>
          <w:rFonts w:asciiTheme="minorHAnsi" w:hAnsiTheme="minorHAnsi" w:cs="Cambria"/>
          <w:color w:val="auto"/>
          <w:sz w:val="22"/>
          <w:szCs w:val="22"/>
          <w:lang w:val="en-US"/>
        </w:rPr>
        <w:t>FVC</w:t>
      </w:r>
      <w:r w:rsidRPr="00F45D75">
        <w:rPr>
          <w:rFonts w:asciiTheme="minorHAnsi" w:hAnsiTheme="minorHAnsi" w:cs="Cambria"/>
          <w:color w:val="auto"/>
          <w:sz w:val="22"/>
          <w:szCs w:val="22"/>
          <w:lang w:val="en-US"/>
        </w:rPr>
        <w:t>*)</w:t>
      </w:r>
      <w:r>
        <w:rPr>
          <w:rFonts w:asciiTheme="minorHAnsi" w:hAnsiTheme="minorHAnsi" w:cs="Cambria"/>
          <w:color w:val="auto"/>
          <w:sz w:val="22"/>
          <w:szCs w:val="22"/>
          <w:lang w:val="en-US"/>
        </w:rPr>
        <w:t>. N = 11 675**</w:t>
      </w:r>
      <w:r w:rsidRPr="00F45D75">
        <w:rPr>
          <w:rFonts w:asciiTheme="minorHAnsi" w:hAnsiTheme="minorHAnsi" w:cs="Cambria"/>
          <w:color w:val="auto"/>
          <w:sz w:val="22"/>
          <w:szCs w:val="22"/>
          <w:lang w:val="en-US"/>
        </w:rPr>
        <w:t>.</w:t>
      </w:r>
    </w:p>
    <w:p w14:paraId="563D234C" w14:textId="77777777" w:rsidR="00B813A6" w:rsidRDefault="00B813A6" w:rsidP="00B813A6">
      <w:pPr>
        <w:rPr>
          <w:lang w:val="en-US"/>
        </w:rPr>
      </w:pPr>
    </w:p>
    <w:tbl>
      <w:tblPr>
        <w:tblW w:w="0" w:type="auto"/>
        <w:tblLayout w:type="fixed"/>
        <w:tblLook w:val="0000" w:firstRow="0" w:lastRow="0" w:firstColumn="0" w:lastColumn="0" w:noHBand="0" w:noVBand="0"/>
      </w:tblPr>
      <w:tblGrid>
        <w:gridCol w:w="3227"/>
        <w:gridCol w:w="1772"/>
        <w:gridCol w:w="1772"/>
        <w:gridCol w:w="1772"/>
        <w:gridCol w:w="1772"/>
        <w:gridCol w:w="1772"/>
        <w:gridCol w:w="1772"/>
      </w:tblGrid>
      <w:tr w:rsidR="00B813A6" w:rsidRPr="00453A8B" w14:paraId="3F77B99C" w14:textId="77777777" w:rsidTr="00B813A6">
        <w:tc>
          <w:tcPr>
            <w:tcW w:w="3227" w:type="dxa"/>
            <w:tcBorders>
              <w:top w:val="single" w:sz="4" w:space="0" w:color="auto"/>
              <w:left w:val="nil"/>
              <w:bottom w:val="single" w:sz="4" w:space="0" w:color="auto"/>
              <w:right w:val="nil"/>
            </w:tcBorders>
          </w:tcPr>
          <w:p w14:paraId="02801160" w14:textId="77777777" w:rsidR="00B813A6" w:rsidRPr="00453A8B" w:rsidRDefault="00B813A6" w:rsidP="00B813A6">
            <w:pPr>
              <w:widowControl w:val="0"/>
              <w:autoSpaceDE w:val="0"/>
              <w:autoSpaceDN w:val="0"/>
              <w:adjustRightInd w:val="0"/>
              <w:rPr>
                <w:b/>
                <w:sz w:val="20"/>
                <w:szCs w:val="20"/>
                <w:lang w:val="en-US"/>
              </w:rPr>
            </w:pPr>
          </w:p>
        </w:tc>
        <w:tc>
          <w:tcPr>
            <w:tcW w:w="1772" w:type="dxa"/>
            <w:tcBorders>
              <w:top w:val="single" w:sz="4" w:space="0" w:color="auto"/>
              <w:left w:val="nil"/>
              <w:bottom w:val="single" w:sz="4" w:space="0" w:color="auto"/>
              <w:right w:val="nil"/>
            </w:tcBorders>
          </w:tcPr>
          <w:p w14:paraId="06273F89" w14:textId="77777777" w:rsidR="00B813A6" w:rsidRPr="00453A8B" w:rsidRDefault="00B813A6" w:rsidP="00B813A6">
            <w:pPr>
              <w:widowControl w:val="0"/>
              <w:autoSpaceDE w:val="0"/>
              <w:autoSpaceDN w:val="0"/>
              <w:adjustRightInd w:val="0"/>
              <w:jc w:val="center"/>
              <w:rPr>
                <w:b/>
                <w:sz w:val="20"/>
                <w:szCs w:val="20"/>
                <w:lang w:val="en-US"/>
              </w:rPr>
            </w:pPr>
            <w:r>
              <w:rPr>
                <w:b/>
                <w:sz w:val="20"/>
                <w:szCs w:val="20"/>
                <w:lang w:val="en-US"/>
              </w:rPr>
              <w:t>High income</w:t>
            </w:r>
          </w:p>
        </w:tc>
        <w:tc>
          <w:tcPr>
            <w:tcW w:w="1772" w:type="dxa"/>
            <w:tcBorders>
              <w:top w:val="single" w:sz="4" w:space="0" w:color="auto"/>
              <w:left w:val="nil"/>
              <w:bottom w:val="single" w:sz="4" w:space="0" w:color="auto"/>
              <w:right w:val="nil"/>
            </w:tcBorders>
          </w:tcPr>
          <w:p w14:paraId="2ABD0BF7" w14:textId="77777777" w:rsidR="00B813A6" w:rsidRPr="00453A8B" w:rsidRDefault="00B813A6" w:rsidP="00B813A6">
            <w:pPr>
              <w:widowControl w:val="0"/>
              <w:autoSpaceDE w:val="0"/>
              <w:autoSpaceDN w:val="0"/>
              <w:adjustRightInd w:val="0"/>
              <w:jc w:val="center"/>
              <w:rPr>
                <w:b/>
                <w:sz w:val="20"/>
                <w:szCs w:val="20"/>
                <w:lang w:val="en-US"/>
              </w:rPr>
            </w:pPr>
            <w:r>
              <w:rPr>
                <w:b/>
                <w:sz w:val="20"/>
                <w:szCs w:val="20"/>
                <w:lang w:val="en-US"/>
              </w:rPr>
              <w:t>Low to middle income</w:t>
            </w:r>
          </w:p>
        </w:tc>
        <w:tc>
          <w:tcPr>
            <w:tcW w:w="1772" w:type="dxa"/>
            <w:tcBorders>
              <w:top w:val="single" w:sz="4" w:space="0" w:color="auto"/>
              <w:left w:val="nil"/>
              <w:bottom w:val="single" w:sz="4" w:space="0" w:color="auto"/>
              <w:right w:val="nil"/>
            </w:tcBorders>
          </w:tcPr>
          <w:p w14:paraId="3180DF1C" w14:textId="77777777" w:rsidR="00B813A6" w:rsidRPr="00453A8B" w:rsidRDefault="00B813A6" w:rsidP="00B813A6">
            <w:pPr>
              <w:widowControl w:val="0"/>
              <w:autoSpaceDE w:val="0"/>
              <w:autoSpaceDN w:val="0"/>
              <w:adjustRightInd w:val="0"/>
              <w:jc w:val="center"/>
              <w:rPr>
                <w:b/>
                <w:sz w:val="20"/>
                <w:szCs w:val="20"/>
                <w:lang w:val="en-US"/>
              </w:rPr>
            </w:pPr>
            <w:r>
              <w:rPr>
                <w:b/>
                <w:sz w:val="20"/>
                <w:szCs w:val="20"/>
                <w:lang w:val="en-US"/>
              </w:rPr>
              <w:t>High income</w:t>
            </w:r>
          </w:p>
        </w:tc>
        <w:tc>
          <w:tcPr>
            <w:tcW w:w="1772" w:type="dxa"/>
            <w:tcBorders>
              <w:top w:val="single" w:sz="4" w:space="0" w:color="auto"/>
              <w:left w:val="nil"/>
              <w:bottom w:val="single" w:sz="4" w:space="0" w:color="auto"/>
              <w:right w:val="nil"/>
            </w:tcBorders>
          </w:tcPr>
          <w:p w14:paraId="37FBFE57" w14:textId="77777777" w:rsidR="00B813A6" w:rsidRPr="00453A8B" w:rsidRDefault="00B813A6" w:rsidP="00B813A6">
            <w:pPr>
              <w:widowControl w:val="0"/>
              <w:autoSpaceDE w:val="0"/>
              <w:autoSpaceDN w:val="0"/>
              <w:adjustRightInd w:val="0"/>
              <w:jc w:val="center"/>
              <w:rPr>
                <w:b/>
                <w:sz w:val="20"/>
                <w:szCs w:val="20"/>
                <w:lang w:val="en-US"/>
              </w:rPr>
            </w:pPr>
            <w:r>
              <w:rPr>
                <w:b/>
                <w:sz w:val="20"/>
                <w:szCs w:val="20"/>
                <w:lang w:val="en-US"/>
              </w:rPr>
              <w:t>Low to middle income</w:t>
            </w:r>
          </w:p>
        </w:tc>
        <w:tc>
          <w:tcPr>
            <w:tcW w:w="1772" w:type="dxa"/>
            <w:tcBorders>
              <w:top w:val="single" w:sz="4" w:space="0" w:color="auto"/>
              <w:left w:val="nil"/>
              <w:bottom w:val="single" w:sz="4" w:space="0" w:color="auto"/>
              <w:right w:val="nil"/>
            </w:tcBorders>
          </w:tcPr>
          <w:p w14:paraId="59592489" w14:textId="77777777" w:rsidR="00B813A6" w:rsidRPr="00453A8B" w:rsidRDefault="00B813A6" w:rsidP="00B813A6">
            <w:pPr>
              <w:widowControl w:val="0"/>
              <w:autoSpaceDE w:val="0"/>
              <w:autoSpaceDN w:val="0"/>
              <w:adjustRightInd w:val="0"/>
              <w:jc w:val="center"/>
              <w:rPr>
                <w:b/>
                <w:sz w:val="20"/>
                <w:szCs w:val="20"/>
                <w:lang w:val="en-US"/>
              </w:rPr>
            </w:pPr>
            <w:r>
              <w:rPr>
                <w:b/>
                <w:sz w:val="20"/>
                <w:szCs w:val="20"/>
                <w:lang w:val="en-US"/>
              </w:rPr>
              <w:t>High income</w:t>
            </w:r>
          </w:p>
        </w:tc>
        <w:tc>
          <w:tcPr>
            <w:tcW w:w="1772" w:type="dxa"/>
            <w:tcBorders>
              <w:top w:val="single" w:sz="4" w:space="0" w:color="auto"/>
              <w:left w:val="nil"/>
              <w:bottom w:val="single" w:sz="4" w:space="0" w:color="auto"/>
              <w:right w:val="nil"/>
            </w:tcBorders>
          </w:tcPr>
          <w:p w14:paraId="4BDB8485" w14:textId="77777777" w:rsidR="00B813A6" w:rsidRPr="00453A8B" w:rsidRDefault="00B813A6" w:rsidP="00B813A6">
            <w:pPr>
              <w:widowControl w:val="0"/>
              <w:autoSpaceDE w:val="0"/>
              <w:autoSpaceDN w:val="0"/>
              <w:adjustRightInd w:val="0"/>
              <w:jc w:val="center"/>
              <w:rPr>
                <w:b/>
                <w:sz w:val="20"/>
                <w:szCs w:val="20"/>
                <w:lang w:val="en-US"/>
              </w:rPr>
            </w:pPr>
            <w:r>
              <w:rPr>
                <w:b/>
                <w:sz w:val="20"/>
                <w:szCs w:val="20"/>
                <w:lang w:val="en-US"/>
              </w:rPr>
              <w:t>Low to middle income</w:t>
            </w:r>
          </w:p>
        </w:tc>
      </w:tr>
      <w:tr w:rsidR="00B813A6" w:rsidRPr="00453A8B" w14:paraId="2D119770" w14:textId="77777777" w:rsidTr="00B813A6">
        <w:tc>
          <w:tcPr>
            <w:tcW w:w="3227" w:type="dxa"/>
            <w:tcBorders>
              <w:top w:val="single" w:sz="4" w:space="0" w:color="auto"/>
              <w:left w:val="nil"/>
              <w:bottom w:val="single" w:sz="4" w:space="0" w:color="auto"/>
              <w:right w:val="nil"/>
            </w:tcBorders>
          </w:tcPr>
          <w:p w14:paraId="6F186099" w14:textId="77777777" w:rsidR="00B813A6" w:rsidRPr="00453A8B" w:rsidRDefault="00B813A6" w:rsidP="00B813A6">
            <w:pPr>
              <w:widowControl w:val="0"/>
              <w:autoSpaceDE w:val="0"/>
              <w:autoSpaceDN w:val="0"/>
              <w:adjustRightInd w:val="0"/>
              <w:rPr>
                <w:b/>
                <w:sz w:val="20"/>
                <w:szCs w:val="20"/>
                <w:lang w:val="en-US"/>
              </w:rPr>
            </w:pPr>
          </w:p>
        </w:tc>
        <w:tc>
          <w:tcPr>
            <w:tcW w:w="1772" w:type="dxa"/>
            <w:tcBorders>
              <w:top w:val="single" w:sz="4" w:space="0" w:color="auto"/>
              <w:left w:val="nil"/>
              <w:bottom w:val="single" w:sz="4" w:space="0" w:color="auto"/>
              <w:right w:val="nil"/>
            </w:tcBorders>
          </w:tcPr>
          <w:p w14:paraId="153EC000" w14:textId="77777777" w:rsidR="00B813A6" w:rsidRPr="00453A8B" w:rsidRDefault="00B813A6" w:rsidP="00B813A6">
            <w:pPr>
              <w:widowControl w:val="0"/>
              <w:autoSpaceDE w:val="0"/>
              <w:autoSpaceDN w:val="0"/>
              <w:adjustRightInd w:val="0"/>
              <w:jc w:val="center"/>
              <w:rPr>
                <w:b/>
                <w:sz w:val="20"/>
                <w:szCs w:val="20"/>
                <w:lang w:val="en-US"/>
              </w:rPr>
            </w:pPr>
            <w:r>
              <w:rPr>
                <w:b/>
                <w:sz w:val="20"/>
                <w:szCs w:val="20"/>
                <w:lang w:val="en-US"/>
              </w:rPr>
              <w:t>Model 2</w:t>
            </w:r>
          </w:p>
        </w:tc>
        <w:tc>
          <w:tcPr>
            <w:tcW w:w="1772" w:type="dxa"/>
            <w:tcBorders>
              <w:top w:val="single" w:sz="4" w:space="0" w:color="auto"/>
              <w:left w:val="nil"/>
              <w:bottom w:val="single" w:sz="4" w:space="0" w:color="auto"/>
              <w:right w:val="nil"/>
            </w:tcBorders>
          </w:tcPr>
          <w:p w14:paraId="23588190" w14:textId="77777777" w:rsidR="00B813A6" w:rsidRPr="00453A8B" w:rsidRDefault="00B813A6" w:rsidP="00B813A6">
            <w:pPr>
              <w:widowControl w:val="0"/>
              <w:autoSpaceDE w:val="0"/>
              <w:autoSpaceDN w:val="0"/>
              <w:adjustRightInd w:val="0"/>
              <w:jc w:val="center"/>
              <w:rPr>
                <w:b/>
                <w:sz w:val="20"/>
                <w:szCs w:val="20"/>
                <w:lang w:val="en-US"/>
              </w:rPr>
            </w:pPr>
            <w:r w:rsidRPr="00453A8B">
              <w:rPr>
                <w:b/>
                <w:sz w:val="20"/>
                <w:szCs w:val="20"/>
                <w:lang w:val="en-US"/>
              </w:rPr>
              <w:t>Model 2</w:t>
            </w:r>
          </w:p>
        </w:tc>
        <w:tc>
          <w:tcPr>
            <w:tcW w:w="1772" w:type="dxa"/>
            <w:tcBorders>
              <w:top w:val="single" w:sz="4" w:space="0" w:color="auto"/>
              <w:left w:val="nil"/>
              <w:bottom w:val="single" w:sz="4" w:space="0" w:color="auto"/>
              <w:right w:val="nil"/>
            </w:tcBorders>
          </w:tcPr>
          <w:p w14:paraId="156F48AF" w14:textId="77777777" w:rsidR="00B813A6" w:rsidRPr="00453A8B" w:rsidRDefault="00B813A6" w:rsidP="00B813A6">
            <w:pPr>
              <w:widowControl w:val="0"/>
              <w:autoSpaceDE w:val="0"/>
              <w:autoSpaceDN w:val="0"/>
              <w:adjustRightInd w:val="0"/>
              <w:jc w:val="center"/>
              <w:rPr>
                <w:b/>
                <w:sz w:val="20"/>
                <w:szCs w:val="20"/>
                <w:lang w:val="en-US"/>
              </w:rPr>
            </w:pPr>
            <w:r w:rsidRPr="003A463B">
              <w:rPr>
                <w:b/>
                <w:sz w:val="20"/>
                <w:szCs w:val="20"/>
                <w:lang w:val="en-US"/>
              </w:rPr>
              <w:t>Model</w:t>
            </w:r>
            <w:r w:rsidRPr="00453A8B">
              <w:rPr>
                <w:b/>
                <w:sz w:val="20"/>
                <w:szCs w:val="20"/>
                <w:lang w:val="en-US"/>
              </w:rPr>
              <w:t xml:space="preserve"> 3</w:t>
            </w:r>
          </w:p>
        </w:tc>
        <w:tc>
          <w:tcPr>
            <w:tcW w:w="1772" w:type="dxa"/>
            <w:tcBorders>
              <w:top w:val="single" w:sz="4" w:space="0" w:color="auto"/>
              <w:left w:val="nil"/>
              <w:bottom w:val="single" w:sz="4" w:space="0" w:color="auto"/>
              <w:right w:val="nil"/>
            </w:tcBorders>
          </w:tcPr>
          <w:p w14:paraId="69440D1B" w14:textId="77777777" w:rsidR="00B813A6" w:rsidRPr="00453A8B" w:rsidRDefault="00B813A6" w:rsidP="00B813A6">
            <w:pPr>
              <w:widowControl w:val="0"/>
              <w:autoSpaceDE w:val="0"/>
              <w:autoSpaceDN w:val="0"/>
              <w:adjustRightInd w:val="0"/>
              <w:jc w:val="center"/>
              <w:rPr>
                <w:b/>
                <w:sz w:val="20"/>
                <w:szCs w:val="20"/>
                <w:lang w:val="en-US"/>
              </w:rPr>
            </w:pPr>
            <w:r>
              <w:rPr>
                <w:b/>
                <w:sz w:val="20"/>
                <w:szCs w:val="20"/>
                <w:lang w:val="en-US"/>
              </w:rPr>
              <w:t>Model 3</w:t>
            </w:r>
          </w:p>
        </w:tc>
        <w:tc>
          <w:tcPr>
            <w:tcW w:w="1772" w:type="dxa"/>
            <w:tcBorders>
              <w:top w:val="single" w:sz="4" w:space="0" w:color="auto"/>
              <w:left w:val="nil"/>
              <w:bottom w:val="single" w:sz="4" w:space="0" w:color="auto"/>
              <w:right w:val="nil"/>
            </w:tcBorders>
          </w:tcPr>
          <w:p w14:paraId="72B7B31A" w14:textId="77777777" w:rsidR="00B813A6" w:rsidRPr="00453A8B" w:rsidRDefault="00B813A6" w:rsidP="00B813A6">
            <w:pPr>
              <w:widowControl w:val="0"/>
              <w:autoSpaceDE w:val="0"/>
              <w:autoSpaceDN w:val="0"/>
              <w:adjustRightInd w:val="0"/>
              <w:jc w:val="center"/>
              <w:rPr>
                <w:b/>
                <w:sz w:val="20"/>
                <w:szCs w:val="20"/>
                <w:lang w:val="en-US"/>
              </w:rPr>
            </w:pPr>
            <w:r w:rsidRPr="00D629DE">
              <w:rPr>
                <w:b/>
                <w:sz w:val="20"/>
                <w:szCs w:val="20"/>
                <w:lang w:val="en-US"/>
              </w:rPr>
              <w:t>Model</w:t>
            </w:r>
            <w:r w:rsidRPr="00453A8B">
              <w:rPr>
                <w:b/>
                <w:sz w:val="20"/>
                <w:szCs w:val="20"/>
                <w:lang w:val="en-US"/>
              </w:rPr>
              <w:t xml:space="preserve"> </w:t>
            </w:r>
            <w:r>
              <w:rPr>
                <w:b/>
                <w:sz w:val="20"/>
                <w:szCs w:val="20"/>
                <w:lang w:val="en-US"/>
              </w:rPr>
              <w:t>4</w:t>
            </w:r>
          </w:p>
        </w:tc>
        <w:tc>
          <w:tcPr>
            <w:tcW w:w="1772" w:type="dxa"/>
            <w:tcBorders>
              <w:top w:val="single" w:sz="4" w:space="0" w:color="auto"/>
              <w:left w:val="nil"/>
              <w:bottom w:val="single" w:sz="4" w:space="0" w:color="auto"/>
              <w:right w:val="nil"/>
            </w:tcBorders>
          </w:tcPr>
          <w:p w14:paraId="0C5ED4AD" w14:textId="77777777" w:rsidR="00B813A6" w:rsidRPr="00453A8B" w:rsidRDefault="00B813A6" w:rsidP="00B813A6">
            <w:pPr>
              <w:widowControl w:val="0"/>
              <w:autoSpaceDE w:val="0"/>
              <w:autoSpaceDN w:val="0"/>
              <w:adjustRightInd w:val="0"/>
              <w:jc w:val="center"/>
              <w:rPr>
                <w:b/>
                <w:sz w:val="20"/>
                <w:szCs w:val="20"/>
                <w:lang w:val="en-US"/>
              </w:rPr>
            </w:pPr>
            <w:r>
              <w:rPr>
                <w:b/>
                <w:sz w:val="20"/>
                <w:szCs w:val="20"/>
                <w:lang w:val="en-US"/>
              </w:rPr>
              <w:t>Model 4</w:t>
            </w:r>
          </w:p>
        </w:tc>
      </w:tr>
      <w:tr w:rsidR="00B813A6" w:rsidRPr="00B7111F" w14:paraId="7839BF65" w14:textId="77777777" w:rsidTr="00B813A6">
        <w:tc>
          <w:tcPr>
            <w:tcW w:w="3227" w:type="dxa"/>
            <w:tcBorders>
              <w:top w:val="single" w:sz="4" w:space="0" w:color="auto"/>
              <w:left w:val="nil"/>
              <w:bottom w:val="single" w:sz="4" w:space="0" w:color="auto"/>
              <w:right w:val="nil"/>
            </w:tcBorders>
          </w:tcPr>
          <w:p w14:paraId="16EB6C12" w14:textId="77777777" w:rsidR="00B813A6" w:rsidRPr="00453A8B" w:rsidRDefault="00B813A6" w:rsidP="00B813A6">
            <w:pPr>
              <w:widowControl w:val="0"/>
              <w:autoSpaceDE w:val="0"/>
              <w:autoSpaceDN w:val="0"/>
              <w:adjustRightInd w:val="0"/>
              <w:rPr>
                <w:sz w:val="20"/>
                <w:szCs w:val="20"/>
                <w:lang w:val="en-US"/>
              </w:rPr>
            </w:pPr>
            <w:proofErr w:type="spellStart"/>
            <w:r w:rsidRPr="00453A8B">
              <w:rPr>
                <w:sz w:val="20"/>
                <w:szCs w:val="20"/>
                <w:lang w:val="en-US"/>
              </w:rPr>
              <w:t>Spirometric</w:t>
            </w:r>
            <w:proofErr w:type="spellEnd"/>
            <w:r w:rsidRPr="00453A8B">
              <w:rPr>
                <w:sz w:val="20"/>
                <w:szCs w:val="20"/>
                <w:lang w:val="en-US"/>
              </w:rPr>
              <w:t xml:space="preserve"> </w:t>
            </w:r>
            <w:r>
              <w:rPr>
                <w:sz w:val="20"/>
                <w:szCs w:val="20"/>
                <w:lang w:val="en-US"/>
              </w:rPr>
              <w:t>CAO</w:t>
            </w:r>
          </w:p>
        </w:tc>
        <w:tc>
          <w:tcPr>
            <w:tcW w:w="1772" w:type="dxa"/>
            <w:tcBorders>
              <w:top w:val="single" w:sz="4" w:space="0" w:color="auto"/>
              <w:left w:val="nil"/>
              <w:bottom w:val="single" w:sz="4" w:space="0" w:color="auto"/>
              <w:right w:val="nil"/>
            </w:tcBorders>
          </w:tcPr>
          <w:p w14:paraId="609DB3D9"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1.71 (1.17, 2.49)</w:t>
            </w:r>
          </w:p>
        </w:tc>
        <w:tc>
          <w:tcPr>
            <w:tcW w:w="1772" w:type="dxa"/>
            <w:tcBorders>
              <w:top w:val="single" w:sz="4" w:space="0" w:color="auto"/>
              <w:left w:val="nil"/>
              <w:bottom w:val="single" w:sz="4" w:space="0" w:color="auto"/>
              <w:right w:val="nil"/>
            </w:tcBorders>
          </w:tcPr>
          <w:p w14:paraId="1D096659"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1.16 (0.78, 1.73)</w:t>
            </w:r>
          </w:p>
        </w:tc>
        <w:tc>
          <w:tcPr>
            <w:tcW w:w="1772" w:type="dxa"/>
            <w:tcBorders>
              <w:top w:val="single" w:sz="4" w:space="0" w:color="auto"/>
              <w:left w:val="nil"/>
              <w:bottom w:val="single" w:sz="4" w:space="0" w:color="auto"/>
              <w:right w:val="nil"/>
            </w:tcBorders>
          </w:tcPr>
          <w:p w14:paraId="0CA827FF"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1.63 (1.16, 2.28)</w:t>
            </w:r>
          </w:p>
        </w:tc>
        <w:tc>
          <w:tcPr>
            <w:tcW w:w="1772" w:type="dxa"/>
            <w:tcBorders>
              <w:top w:val="single" w:sz="4" w:space="0" w:color="auto"/>
              <w:left w:val="nil"/>
              <w:bottom w:val="single" w:sz="4" w:space="0" w:color="auto"/>
              <w:right w:val="nil"/>
            </w:tcBorders>
          </w:tcPr>
          <w:p w14:paraId="2A1315F0"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1.18 (0.79, 1.76)</w:t>
            </w:r>
          </w:p>
        </w:tc>
        <w:tc>
          <w:tcPr>
            <w:tcW w:w="1772" w:type="dxa"/>
            <w:tcBorders>
              <w:top w:val="single" w:sz="4" w:space="0" w:color="auto"/>
              <w:left w:val="nil"/>
              <w:bottom w:val="single" w:sz="4" w:space="0" w:color="auto"/>
              <w:right w:val="nil"/>
            </w:tcBorders>
          </w:tcPr>
          <w:p w14:paraId="393D69C9"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1.68 (1.16, 2.45)</w:t>
            </w:r>
          </w:p>
        </w:tc>
        <w:tc>
          <w:tcPr>
            <w:tcW w:w="1772" w:type="dxa"/>
            <w:tcBorders>
              <w:top w:val="single" w:sz="4" w:space="0" w:color="auto"/>
              <w:left w:val="nil"/>
              <w:bottom w:val="single" w:sz="4" w:space="0" w:color="auto"/>
              <w:right w:val="nil"/>
            </w:tcBorders>
          </w:tcPr>
          <w:p w14:paraId="04101672"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1.15 (0.77, 1.71)</w:t>
            </w:r>
          </w:p>
        </w:tc>
      </w:tr>
      <w:tr w:rsidR="00B813A6" w:rsidRPr="00B7111F" w14:paraId="7D54F656" w14:textId="77777777" w:rsidTr="00B813A6">
        <w:tc>
          <w:tcPr>
            <w:tcW w:w="3227" w:type="dxa"/>
            <w:tcBorders>
              <w:top w:val="single" w:sz="4" w:space="0" w:color="auto"/>
              <w:left w:val="nil"/>
              <w:bottom w:val="single" w:sz="4" w:space="0" w:color="auto"/>
              <w:right w:val="nil"/>
            </w:tcBorders>
          </w:tcPr>
          <w:p w14:paraId="5A70776E" w14:textId="77777777" w:rsidR="00B813A6" w:rsidRPr="00453A8B" w:rsidRDefault="00B813A6" w:rsidP="00B813A6">
            <w:pPr>
              <w:widowControl w:val="0"/>
              <w:autoSpaceDE w:val="0"/>
              <w:autoSpaceDN w:val="0"/>
              <w:adjustRightInd w:val="0"/>
              <w:rPr>
                <w:sz w:val="20"/>
                <w:szCs w:val="20"/>
                <w:lang w:val="en-US"/>
              </w:rPr>
            </w:pPr>
            <w:r>
              <w:rPr>
                <w:sz w:val="20"/>
                <w:szCs w:val="20"/>
                <w:lang w:val="en-US"/>
              </w:rPr>
              <w:t>FVC, 10 percentage points de</w:t>
            </w:r>
            <w:r w:rsidRPr="00453A8B">
              <w:rPr>
                <w:sz w:val="20"/>
                <w:szCs w:val="20"/>
                <w:lang w:val="en-US"/>
              </w:rPr>
              <w:t>crease in %predicted</w:t>
            </w:r>
          </w:p>
        </w:tc>
        <w:tc>
          <w:tcPr>
            <w:tcW w:w="1772" w:type="dxa"/>
            <w:tcBorders>
              <w:top w:val="single" w:sz="4" w:space="0" w:color="auto"/>
              <w:left w:val="nil"/>
              <w:bottom w:val="single" w:sz="4" w:space="0" w:color="auto"/>
              <w:right w:val="nil"/>
            </w:tcBorders>
          </w:tcPr>
          <w:p w14:paraId="27A2ACFA" w14:textId="77777777" w:rsidR="00B813A6"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bottom w:val="single" w:sz="4" w:space="0" w:color="auto"/>
              <w:right w:val="nil"/>
            </w:tcBorders>
          </w:tcPr>
          <w:p w14:paraId="26D2A985" w14:textId="77777777" w:rsidR="00B813A6"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bottom w:val="single" w:sz="4" w:space="0" w:color="auto"/>
              <w:right w:val="nil"/>
            </w:tcBorders>
          </w:tcPr>
          <w:p w14:paraId="7ABE1DB8" w14:textId="77777777" w:rsidR="00B813A6"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bottom w:val="single" w:sz="4" w:space="0" w:color="auto"/>
              <w:right w:val="nil"/>
            </w:tcBorders>
          </w:tcPr>
          <w:p w14:paraId="6A8703D8" w14:textId="77777777" w:rsidR="00B813A6"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bottom w:val="single" w:sz="4" w:space="0" w:color="auto"/>
              <w:right w:val="nil"/>
            </w:tcBorders>
          </w:tcPr>
          <w:p w14:paraId="58AB53CD" w14:textId="77777777" w:rsidR="00B813A6" w:rsidRDefault="00B813A6" w:rsidP="00B813A6">
            <w:pPr>
              <w:widowControl w:val="0"/>
              <w:autoSpaceDE w:val="0"/>
              <w:autoSpaceDN w:val="0"/>
              <w:adjustRightInd w:val="0"/>
              <w:jc w:val="center"/>
              <w:rPr>
                <w:sz w:val="20"/>
                <w:szCs w:val="20"/>
                <w:lang w:val="en-US"/>
              </w:rPr>
            </w:pPr>
            <w:r>
              <w:rPr>
                <w:sz w:val="20"/>
                <w:szCs w:val="20"/>
                <w:lang w:val="en-US"/>
              </w:rPr>
              <w:t>1.09 (1.03, 1.15)</w:t>
            </w:r>
          </w:p>
        </w:tc>
        <w:tc>
          <w:tcPr>
            <w:tcW w:w="1772" w:type="dxa"/>
            <w:tcBorders>
              <w:top w:val="single" w:sz="4" w:space="0" w:color="auto"/>
              <w:left w:val="nil"/>
              <w:bottom w:val="single" w:sz="4" w:space="0" w:color="auto"/>
              <w:right w:val="nil"/>
            </w:tcBorders>
          </w:tcPr>
          <w:p w14:paraId="3FBAD39D" w14:textId="77777777" w:rsidR="00B813A6" w:rsidRDefault="00B813A6" w:rsidP="00B813A6">
            <w:pPr>
              <w:widowControl w:val="0"/>
              <w:autoSpaceDE w:val="0"/>
              <w:autoSpaceDN w:val="0"/>
              <w:adjustRightInd w:val="0"/>
              <w:jc w:val="center"/>
              <w:rPr>
                <w:sz w:val="20"/>
                <w:szCs w:val="20"/>
                <w:lang w:val="en-US"/>
              </w:rPr>
            </w:pPr>
            <w:r>
              <w:rPr>
                <w:sz w:val="20"/>
                <w:szCs w:val="20"/>
                <w:lang w:val="en-US"/>
              </w:rPr>
              <w:t>1.08 (1.02, 1.14)</w:t>
            </w:r>
          </w:p>
        </w:tc>
      </w:tr>
      <w:tr w:rsidR="00B813A6" w:rsidRPr="00453A8B" w14:paraId="24615A59" w14:textId="77777777" w:rsidTr="00B813A6">
        <w:tc>
          <w:tcPr>
            <w:tcW w:w="3227" w:type="dxa"/>
            <w:tcBorders>
              <w:top w:val="single" w:sz="4" w:space="0" w:color="auto"/>
              <w:left w:val="nil"/>
              <w:bottom w:val="nil"/>
              <w:right w:val="nil"/>
            </w:tcBorders>
          </w:tcPr>
          <w:p w14:paraId="3F7B4C4F"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 xml:space="preserve">Female </w:t>
            </w:r>
            <w:r>
              <w:rPr>
                <w:sz w:val="20"/>
                <w:szCs w:val="20"/>
                <w:lang w:val="en-US"/>
              </w:rPr>
              <w:t>gender</w:t>
            </w:r>
          </w:p>
        </w:tc>
        <w:tc>
          <w:tcPr>
            <w:tcW w:w="1772" w:type="dxa"/>
            <w:tcBorders>
              <w:top w:val="single" w:sz="4" w:space="0" w:color="auto"/>
              <w:left w:val="nil"/>
              <w:bottom w:val="nil"/>
              <w:right w:val="nil"/>
            </w:tcBorders>
          </w:tcPr>
          <w:p w14:paraId="782B5155"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1.36 (1.16, 1.59)</w:t>
            </w:r>
          </w:p>
        </w:tc>
        <w:tc>
          <w:tcPr>
            <w:tcW w:w="1772" w:type="dxa"/>
            <w:tcBorders>
              <w:top w:val="single" w:sz="4" w:space="0" w:color="auto"/>
              <w:left w:val="nil"/>
              <w:bottom w:val="nil"/>
              <w:right w:val="nil"/>
            </w:tcBorders>
          </w:tcPr>
          <w:p w14:paraId="30DC1387"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3.34 (2.76, 4.04)</w:t>
            </w:r>
          </w:p>
        </w:tc>
        <w:tc>
          <w:tcPr>
            <w:tcW w:w="1772" w:type="dxa"/>
            <w:tcBorders>
              <w:top w:val="single" w:sz="4" w:space="0" w:color="auto"/>
              <w:left w:val="nil"/>
              <w:bottom w:val="nil"/>
              <w:right w:val="nil"/>
            </w:tcBorders>
          </w:tcPr>
          <w:p w14:paraId="05E60062"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1.43 (1.23, 1.68)</w:t>
            </w:r>
          </w:p>
        </w:tc>
        <w:tc>
          <w:tcPr>
            <w:tcW w:w="1772" w:type="dxa"/>
            <w:tcBorders>
              <w:top w:val="single" w:sz="4" w:space="0" w:color="auto"/>
              <w:left w:val="nil"/>
              <w:bottom w:val="nil"/>
              <w:right w:val="nil"/>
            </w:tcBorders>
          </w:tcPr>
          <w:p w14:paraId="63A95703"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3.25 (2.68, 3.94)</w:t>
            </w:r>
          </w:p>
        </w:tc>
        <w:tc>
          <w:tcPr>
            <w:tcW w:w="1772" w:type="dxa"/>
            <w:tcBorders>
              <w:top w:val="single" w:sz="4" w:space="0" w:color="auto"/>
              <w:left w:val="nil"/>
              <w:bottom w:val="nil"/>
              <w:right w:val="nil"/>
            </w:tcBorders>
          </w:tcPr>
          <w:p w14:paraId="727BFCC2"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1.44 (1.23, 1.68)</w:t>
            </w:r>
          </w:p>
        </w:tc>
        <w:tc>
          <w:tcPr>
            <w:tcW w:w="1772" w:type="dxa"/>
            <w:tcBorders>
              <w:top w:val="single" w:sz="4" w:space="0" w:color="auto"/>
              <w:left w:val="nil"/>
              <w:bottom w:val="nil"/>
              <w:right w:val="nil"/>
            </w:tcBorders>
          </w:tcPr>
          <w:p w14:paraId="199C832F"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3.23 (2.66, 3.91)</w:t>
            </w:r>
          </w:p>
        </w:tc>
      </w:tr>
      <w:tr w:rsidR="00B813A6" w:rsidRPr="00453A8B" w14:paraId="57AEFD29" w14:textId="77777777" w:rsidTr="00B813A6">
        <w:tc>
          <w:tcPr>
            <w:tcW w:w="3227" w:type="dxa"/>
            <w:tcBorders>
              <w:top w:val="nil"/>
              <w:left w:val="nil"/>
              <w:bottom w:val="nil"/>
              <w:right w:val="nil"/>
            </w:tcBorders>
          </w:tcPr>
          <w:p w14:paraId="45D3CB9E"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Age, 10yrs increment</w:t>
            </w:r>
          </w:p>
        </w:tc>
        <w:tc>
          <w:tcPr>
            <w:tcW w:w="1772" w:type="dxa"/>
            <w:tcBorders>
              <w:top w:val="nil"/>
              <w:left w:val="nil"/>
              <w:bottom w:val="nil"/>
              <w:right w:val="nil"/>
            </w:tcBorders>
          </w:tcPr>
          <w:p w14:paraId="69374A95"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4.28 (3.77, 4.86)</w:t>
            </w:r>
          </w:p>
        </w:tc>
        <w:tc>
          <w:tcPr>
            <w:tcW w:w="1772" w:type="dxa"/>
            <w:tcBorders>
              <w:top w:val="nil"/>
              <w:left w:val="nil"/>
              <w:bottom w:val="nil"/>
              <w:right w:val="nil"/>
            </w:tcBorders>
          </w:tcPr>
          <w:p w14:paraId="09351C56"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2.31 (2.06, 2.59)</w:t>
            </w:r>
          </w:p>
        </w:tc>
        <w:tc>
          <w:tcPr>
            <w:tcW w:w="1772" w:type="dxa"/>
            <w:tcBorders>
              <w:top w:val="nil"/>
              <w:left w:val="nil"/>
              <w:bottom w:val="nil"/>
              <w:right w:val="nil"/>
            </w:tcBorders>
          </w:tcPr>
          <w:p w14:paraId="558CB96D"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4.04 (3.55, 4.59)</w:t>
            </w:r>
          </w:p>
        </w:tc>
        <w:tc>
          <w:tcPr>
            <w:tcW w:w="1772" w:type="dxa"/>
            <w:tcBorders>
              <w:top w:val="nil"/>
              <w:left w:val="nil"/>
              <w:bottom w:val="nil"/>
              <w:right w:val="nil"/>
            </w:tcBorders>
          </w:tcPr>
          <w:p w14:paraId="12B26E8E"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2.21 (1.96, 2.48)</w:t>
            </w:r>
          </w:p>
        </w:tc>
        <w:tc>
          <w:tcPr>
            <w:tcW w:w="1772" w:type="dxa"/>
            <w:tcBorders>
              <w:top w:val="nil"/>
              <w:left w:val="nil"/>
              <w:bottom w:val="nil"/>
              <w:right w:val="nil"/>
            </w:tcBorders>
          </w:tcPr>
          <w:p w14:paraId="6247FCE6"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4.02 (3.53, 4.57)</w:t>
            </w:r>
          </w:p>
        </w:tc>
        <w:tc>
          <w:tcPr>
            <w:tcW w:w="1772" w:type="dxa"/>
            <w:tcBorders>
              <w:top w:val="nil"/>
              <w:left w:val="nil"/>
              <w:bottom w:val="nil"/>
              <w:right w:val="nil"/>
            </w:tcBorders>
          </w:tcPr>
          <w:p w14:paraId="7EBDF00C"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2.20 (1.96, 2.47)</w:t>
            </w:r>
          </w:p>
        </w:tc>
      </w:tr>
      <w:tr w:rsidR="00B813A6" w:rsidRPr="00453A8B" w14:paraId="15047C1C" w14:textId="77777777" w:rsidTr="00B813A6">
        <w:tc>
          <w:tcPr>
            <w:tcW w:w="3227" w:type="dxa"/>
            <w:tcBorders>
              <w:top w:val="nil"/>
              <w:left w:val="nil"/>
              <w:bottom w:val="nil"/>
              <w:right w:val="nil"/>
            </w:tcBorders>
          </w:tcPr>
          <w:p w14:paraId="6F32F106"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Current-smoker</w:t>
            </w:r>
          </w:p>
        </w:tc>
        <w:tc>
          <w:tcPr>
            <w:tcW w:w="1772" w:type="dxa"/>
            <w:tcBorders>
              <w:top w:val="nil"/>
              <w:left w:val="nil"/>
              <w:bottom w:val="nil"/>
              <w:right w:val="nil"/>
            </w:tcBorders>
          </w:tcPr>
          <w:p w14:paraId="105558F0"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1.34 (1.09, 1.65)</w:t>
            </w:r>
          </w:p>
        </w:tc>
        <w:tc>
          <w:tcPr>
            <w:tcW w:w="1772" w:type="dxa"/>
            <w:tcBorders>
              <w:top w:val="nil"/>
              <w:left w:val="nil"/>
              <w:bottom w:val="nil"/>
              <w:right w:val="nil"/>
            </w:tcBorders>
          </w:tcPr>
          <w:p w14:paraId="35419614"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0.88 (0.72, 1.09)</w:t>
            </w:r>
          </w:p>
        </w:tc>
        <w:tc>
          <w:tcPr>
            <w:tcW w:w="1772" w:type="dxa"/>
            <w:tcBorders>
              <w:top w:val="nil"/>
              <w:left w:val="nil"/>
              <w:bottom w:val="nil"/>
              <w:right w:val="nil"/>
            </w:tcBorders>
          </w:tcPr>
          <w:p w14:paraId="30273B28"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1.36 (1.11, 1.68)</w:t>
            </w:r>
          </w:p>
        </w:tc>
        <w:tc>
          <w:tcPr>
            <w:tcW w:w="1772" w:type="dxa"/>
            <w:tcBorders>
              <w:top w:val="nil"/>
              <w:left w:val="nil"/>
              <w:bottom w:val="nil"/>
              <w:right w:val="nil"/>
            </w:tcBorders>
          </w:tcPr>
          <w:p w14:paraId="6C1548B7"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0.89 (0.72, 1.10)</w:t>
            </w:r>
          </w:p>
        </w:tc>
        <w:tc>
          <w:tcPr>
            <w:tcW w:w="1772" w:type="dxa"/>
            <w:tcBorders>
              <w:top w:val="nil"/>
              <w:left w:val="nil"/>
              <w:bottom w:val="nil"/>
              <w:right w:val="nil"/>
            </w:tcBorders>
          </w:tcPr>
          <w:p w14:paraId="079396DC"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1.36 (1.10, 1.67)</w:t>
            </w:r>
          </w:p>
        </w:tc>
        <w:tc>
          <w:tcPr>
            <w:tcW w:w="1772" w:type="dxa"/>
            <w:tcBorders>
              <w:top w:val="nil"/>
              <w:left w:val="nil"/>
              <w:bottom w:val="nil"/>
              <w:right w:val="nil"/>
            </w:tcBorders>
          </w:tcPr>
          <w:p w14:paraId="440F2B7F"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0.89 (0.72, 1.10)</w:t>
            </w:r>
          </w:p>
        </w:tc>
      </w:tr>
      <w:tr w:rsidR="00B813A6" w:rsidRPr="00453A8B" w14:paraId="54E58316" w14:textId="77777777" w:rsidTr="00B813A6">
        <w:tc>
          <w:tcPr>
            <w:tcW w:w="3227" w:type="dxa"/>
            <w:tcBorders>
              <w:top w:val="nil"/>
              <w:left w:val="nil"/>
              <w:bottom w:val="single" w:sz="4" w:space="0" w:color="auto"/>
              <w:right w:val="nil"/>
            </w:tcBorders>
          </w:tcPr>
          <w:p w14:paraId="6819F0E5"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Ex-smoker</w:t>
            </w:r>
          </w:p>
        </w:tc>
        <w:tc>
          <w:tcPr>
            <w:tcW w:w="1772" w:type="dxa"/>
            <w:tcBorders>
              <w:top w:val="nil"/>
              <w:left w:val="nil"/>
              <w:bottom w:val="single" w:sz="4" w:space="0" w:color="auto"/>
              <w:right w:val="nil"/>
            </w:tcBorders>
          </w:tcPr>
          <w:p w14:paraId="463B8045"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1.31 (1.09, 1.56)</w:t>
            </w:r>
          </w:p>
        </w:tc>
        <w:tc>
          <w:tcPr>
            <w:tcW w:w="1772" w:type="dxa"/>
            <w:tcBorders>
              <w:top w:val="nil"/>
              <w:left w:val="nil"/>
              <w:bottom w:val="single" w:sz="4" w:space="0" w:color="auto"/>
              <w:right w:val="nil"/>
            </w:tcBorders>
          </w:tcPr>
          <w:p w14:paraId="73B4B34D"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1.15 (0.90, 1.47)</w:t>
            </w:r>
          </w:p>
        </w:tc>
        <w:tc>
          <w:tcPr>
            <w:tcW w:w="1772" w:type="dxa"/>
            <w:tcBorders>
              <w:top w:val="nil"/>
              <w:left w:val="nil"/>
              <w:bottom w:val="single" w:sz="4" w:space="0" w:color="auto"/>
              <w:right w:val="nil"/>
            </w:tcBorders>
          </w:tcPr>
          <w:p w14:paraId="764F81D0"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1.28 (1.07, 1.53)</w:t>
            </w:r>
          </w:p>
        </w:tc>
        <w:tc>
          <w:tcPr>
            <w:tcW w:w="1772" w:type="dxa"/>
            <w:tcBorders>
              <w:top w:val="nil"/>
              <w:left w:val="nil"/>
              <w:bottom w:val="single" w:sz="4" w:space="0" w:color="auto"/>
              <w:right w:val="nil"/>
            </w:tcBorders>
          </w:tcPr>
          <w:p w14:paraId="6333F7AE"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1.13 (0.88, 1.44)</w:t>
            </w:r>
          </w:p>
        </w:tc>
        <w:tc>
          <w:tcPr>
            <w:tcW w:w="1772" w:type="dxa"/>
            <w:tcBorders>
              <w:top w:val="nil"/>
              <w:left w:val="nil"/>
              <w:bottom w:val="single" w:sz="4" w:space="0" w:color="auto"/>
              <w:right w:val="nil"/>
            </w:tcBorders>
          </w:tcPr>
          <w:p w14:paraId="5BB1B66F"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1.29 (1.08, 1.54)</w:t>
            </w:r>
          </w:p>
        </w:tc>
        <w:tc>
          <w:tcPr>
            <w:tcW w:w="1772" w:type="dxa"/>
            <w:tcBorders>
              <w:top w:val="nil"/>
              <w:left w:val="nil"/>
              <w:bottom w:val="single" w:sz="4" w:space="0" w:color="auto"/>
              <w:right w:val="nil"/>
            </w:tcBorders>
          </w:tcPr>
          <w:p w14:paraId="4BB0B390"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1.12 (0.88, 1.43)</w:t>
            </w:r>
          </w:p>
        </w:tc>
      </w:tr>
      <w:tr w:rsidR="00B813A6" w:rsidRPr="00453A8B" w14:paraId="1440505A" w14:textId="77777777" w:rsidTr="00B813A6">
        <w:tc>
          <w:tcPr>
            <w:tcW w:w="3227" w:type="dxa"/>
            <w:tcBorders>
              <w:top w:val="single" w:sz="4" w:space="0" w:color="auto"/>
              <w:left w:val="nil"/>
              <w:bottom w:val="nil"/>
              <w:right w:val="nil"/>
            </w:tcBorders>
          </w:tcPr>
          <w:p w14:paraId="03E2D2CA"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Some college</w:t>
            </w:r>
          </w:p>
        </w:tc>
        <w:tc>
          <w:tcPr>
            <w:tcW w:w="1772" w:type="dxa"/>
            <w:tcBorders>
              <w:top w:val="single" w:sz="4" w:space="0" w:color="auto"/>
              <w:left w:val="nil"/>
              <w:bottom w:val="nil"/>
              <w:right w:val="nil"/>
            </w:tcBorders>
          </w:tcPr>
          <w:p w14:paraId="2FBD4329"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1.85 (1.45, 2.38)</w:t>
            </w:r>
          </w:p>
        </w:tc>
        <w:tc>
          <w:tcPr>
            <w:tcW w:w="1772" w:type="dxa"/>
            <w:tcBorders>
              <w:top w:val="single" w:sz="4" w:space="0" w:color="auto"/>
              <w:left w:val="nil"/>
              <w:bottom w:val="nil"/>
              <w:right w:val="nil"/>
            </w:tcBorders>
          </w:tcPr>
          <w:p w14:paraId="0AC64314"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0.96 (0.60, 1.52)</w:t>
            </w:r>
          </w:p>
        </w:tc>
        <w:tc>
          <w:tcPr>
            <w:tcW w:w="1772" w:type="dxa"/>
            <w:tcBorders>
              <w:top w:val="single" w:sz="4" w:space="0" w:color="auto"/>
              <w:left w:val="nil"/>
              <w:bottom w:val="nil"/>
              <w:right w:val="nil"/>
            </w:tcBorders>
          </w:tcPr>
          <w:p w14:paraId="73081F2B"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1.83 (1.43, 2.36)</w:t>
            </w:r>
          </w:p>
        </w:tc>
        <w:tc>
          <w:tcPr>
            <w:tcW w:w="1772" w:type="dxa"/>
            <w:tcBorders>
              <w:top w:val="single" w:sz="4" w:space="0" w:color="auto"/>
              <w:left w:val="nil"/>
              <w:bottom w:val="nil"/>
              <w:right w:val="nil"/>
            </w:tcBorders>
          </w:tcPr>
          <w:p w14:paraId="19A0AAB6"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0.95 (0.60, 1.52)</w:t>
            </w:r>
          </w:p>
        </w:tc>
        <w:tc>
          <w:tcPr>
            <w:tcW w:w="1772" w:type="dxa"/>
            <w:tcBorders>
              <w:top w:val="single" w:sz="4" w:space="0" w:color="auto"/>
              <w:left w:val="nil"/>
              <w:bottom w:val="nil"/>
              <w:right w:val="nil"/>
            </w:tcBorders>
          </w:tcPr>
          <w:p w14:paraId="43C1C5C9"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1.83 (1.42, 2.35)</w:t>
            </w:r>
          </w:p>
        </w:tc>
        <w:tc>
          <w:tcPr>
            <w:tcW w:w="1772" w:type="dxa"/>
            <w:tcBorders>
              <w:top w:val="single" w:sz="4" w:space="0" w:color="auto"/>
              <w:left w:val="nil"/>
              <w:bottom w:val="nil"/>
              <w:right w:val="nil"/>
            </w:tcBorders>
          </w:tcPr>
          <w:p w14:paraId="7BCD764D"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0.97 (0.61, 1.54)</w:t>
            </w:r>
          </w:p>
        </w:tc>
      </w:tr>
      <w:tr w:rsidR="00B813A6" w:rsidRPr="00453A8B" w14:paraId="27A3C039" w14:textId="77777777" w:rsidTr="00B813A6">
        <w:tc>
          <w:tcPr>
            <w:tcW w:w="3227" w:type="dxa"/>
            <w:tcBorders>
              <w:top w:val="nil"/>
              <w:left w:val="nil"/>
              <w:bottom w:val="nil"/>
              <w:right w:val="nil"/>
            </w:tcBorders>
          </w:tcPr>
          <w:p w14:paraId="02574139"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High school</w:t>
            </w:r>
          </w:p>
        </w:tc>
        <w:tc>
          <w:tcPr>
            <w:tcW w:w="1772" w:type="dxa"/>
            <w:tcBorders>
              <w:top w:val="nil"/>
              <w:left w:val="nil"/>
              <w:bottom w:val="nil"/>
              <w:right w:val="nil"/>
            </w:tcBorders>
          </w:tcPr>
          <w:p w14:paraId="686DE7D8"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2.30 (1.84, 2.88)</w:t>
            </w:r>
          </w:p>
        </w:tc>
        <w:tc>
          <w:tcPr>
            <w:tcW w:w="1772" w:type="dxa"/>
            <w:tcBorders>
              <w:top w:val="nil"/>
              <w:left w:val="nil"/>
              <w:bottom w:val="nil"/>
              <w:right w:val="nil"/>
            </w:tcBorders>
          </w:tcPr>
          <w:p w14:paraId="5B6435E4"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1.26 (0.92, 1.73)</w:t>
            </w:r>
          </w:p>
        </w:tc>
        <w:tc>
          <w:tcPr>
            <w:tcW w:w="1772" w:type="dxa"/>
            <w:tcBorders>
              <w:top w:val="nil"/>
              <w:left w:val="nil"/>
              <w:bottom w:val="nil"/>
              <w:right w:val="nil"/>
            </w:tcBorders>
          </w:tcPr>
          <w:p w14:paraId="2E74564D"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2.27 (1.81, 2.84)</w:t>
            </w:r>
          </w:p>
        </w:tc>
        <w:tc>
          <w:tcPr>
            <w:tcW w:w="1772" w:type="dxa"/>
            <w:tcBorders>
              <w:top w:val="nil"/>
              <w:left w:val="nil"/>
              <w:bottom w:val="nil"/>
              <w:right w:val="nil"/>
            </w:tcBorders>
          </w:tcPr>
          <w:p w14:paraId="401FA615"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1.28 (0.93, 1.76)</w:t>
            </w:r>
          </w:p>
        </w:tc>
        <w:tc>
          <w:tcPr>
            <w:tcW w:w="1772" w:type="dxa"/>
            <w:tcBorders>
              <w:top w:val="nil"/>
              <w:left w:val="nil"/>
              <w:bottom w:val="nil"/>
              <w:right w:val="nil"/>
            </w:tcBorders>
          </w:tcPr>
          <w:p w14:paraId="193352DE"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2.24 (1.79, 2.81)</w:t>
            </w:r>
          </w:p>
        </w:tc>
        <w:tc>
          <w:tcPr>
            <w:tcW w:w="1772" w:type="dxa"/>
            <w:tcBorders>
              <w:top w:val="nil"/>
              <w:left w:val="nil"/>
              <w:bottom w:val="nil"/>
              <w:right w:val="nil"/>
            </w:tcBorders>
          </w:tcPr>
          <w:p w14:paraId="60FEBCF4"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1.30 (0.94, 1.78)</w:t>
            </w:r>
          </w:p>
        </w:tc>
      </w:tr>
      <w:tr w:rsidR="00B813A6" w:rsidRPr="00453A8B" w14:paraId="32E80180" w14:textId="77777777" w:rsidTr="00B813A6">
        <w:tc>
          <w:tcPr>
            <w:tcW w:w="3227" w:type="dxa"/>
            <w:tcBorders>
              <w:top w:val="nil"/>
              <w:left w:val="nil"/>
              <w:bottom w:val="nil"/>
              <w:right w:val="nil"/>
            </w:tcBorders>
          </w:tcPr>
          <w:p w14:paraId="50120D8B"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Middle school</w:t>
            </w:r>
          </w:p>
        </w:tc>
        <w:tc>
          <w:tcPr>
            <w:tcW w:w="1772" w:type="dxa"/>
            <w:tcBorders>
              <w:top w:val="nil"/>
              <w:left w:val="nil"/>
              <w:bottom w:val="nil"/>
              <w:right w:val="nil"/>
            </w:tcBorders>
          </w:tcPr>
          <w:p w14:paraId="5F9E683C"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3.65 (2.73, 4.87)</w:t>
            </w:r>
          </w:p>
        </w:tc>
        <w:tc>
          <w:tcPr>
            <w:tcW w:w="1772" w:type="dxa"/>
            <w:tcBorders>
              <w:top w:val="nil"/>
              <w:left w:val="nil"/>
              <w:bottom w:val="nil"/>
              <w:right w:val="nil"/>
            </w:tcBorders>
          </w:tcPr>
          <w:p w14:paraId="5B119E5C"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1.23 (0.89, 1.70)</w:t>
            </w:r>
          </w:p>
        </w:tc>
        <w:tc>
          <w:tcPr>
            <w:tcW w:w="1772" w:type="dxa"/>
            <w:tcBorders>
              <w:top w:val="nil"/>
              <w:left w:val="nil"/>
              <w:bottom w:val="nil"/>
              <w:right w:val="nil"/>
            </w:tcBorders>
          </w:tcPr>
          <w:p w14:paraId="4DF52416"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3.54 (2.64, 4.74)</w:t>
            </w:r>
          </w:p>
        </w:tc>
        <w:tc>
          <w:tcPr>
            <w:tcW w:w="1772" w:type="dxa"/>
            <w:tcBorders>
              <w:top w:val="nil"/>
              <w:left w:val="nil"/>
              <w:bottom w:val="nil"/>
              <w:right w:val="nil"/>
            </w:tcBorders>
          </w:tcPr>
          <w:p w14:paraId="507632B6"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1.26 (0.91, 1.74)</w:t>
            </w:r>
          </w:p>
        </w:tc>
        <w:tc>
          <w:tcPr>
            <w:tcW w:w="1772" w:type="dxa"/>
            <w:tcBorders>
              <w:top w:val="nil"/>
              <w:left w:val="nil"/>
              <w:bottom w:val="nil"/>
              <w:right w:val="nil"/>
            </w:tcBorders>
          </w:tcPr>
          <w:p w14:paraId="61845E56"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3.49 (2.60, 4.67)</w:t>
            </w:r>
          </w:p>
        </w:tc>
        <w:tc>
          <w:tcPr>
            <w:tcW w:w="1772" w:type="dxa"/>
            <w:tcBorders>
              <w:top w:val="nil"/>
              <w:left w:val="nil"/>
              <w:bottom w:val="nil"/>
              <w:right w:val="nil"/>
            </w:tcBorders>
          </w:tcPr>
          <w:p w14:paraId="2E23EA80"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1.26 (0.91, 1.75)</w:t>
            </w:r>
          </w:p>
        </w:tc>
      </w:tr>
      <w:tr w:rsidR="00B813A6" w:rsidRPr="00453A8B" w14:paraId="211FC0FF" w14:textId="77777777" w:rsidTr="00B813A6">
        <w:tc>
          <w:tcPr>
            <w:tcW w:w="3227" w:type="dxa"/>
            <w:tcBorders>
              <w:top w:val="nil"/>
              <w:left w:val="nil"/>
              <w:bottom w:val="nil"/>
              <w:right w:val="nil"/>
            </w:tcBorders>
          </w:tcPr>
          <w:p w14:paraId="098E4C8B"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Primary school</w:t>
            </w:r>
          </w:p>
        </w:tc>
        <w:tc>
          <w:tcPr>
            <w:tcW w:w="1772" w:type="dxa"/>
            <w:tcBorders>
              <w:top w:val="nil"/>
              <w:left w:val="nil"/>
              <w:bottom w:val="nil"/>
              <w:right w:val="nil"/>
            </w:tcBorders>
          </w:tcPr>
          <w:p w14:paraId="331B1716"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4.14 (3.02, 5.66)</w:t>
            </w:r>
          </w:p>
        </w:tc>
        <w:tc>
          <w:tcPr>
            <w:tcW w:w="1772" w:type="dxa"/>
            <w:tcBorders>
              <w:top w:val="nil"/>
              <w:left w:val="nil"/>
              <w:bottom w:val="nil"/>
              <w:right w:val="nil"/>
            </w:tcBorders>
          </w:tcPr>
          <w:p w14:paraId="31516F60"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1.52 (1.10, 2.10)</w:t>
            </w:r>
          </w:p>
        </w:tc>
        <w:tc>
          <w:tcPr>
            <w:tcW w:w="1772" w:type="dxa"/>
            <w:tcBorders>
              <w:top w:val="nil"/>
              <w:left w:val="nil"/>
              <w:bottom w:val="nil"/>
              <w:right w:val="nil"/>
            </w:tcBorders>
          </w:tcPr>
          <w:p w14:paraId="1C2A7B30"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3.90 (2.84, 5.37)</w:t>
            </w:r>
          </w:p>
        </w:tc>
        <w:tc>
          <w:tcPr>
            <w:tcW w:w="1772" w:type="dxa"/>
            <w:tcBorders>
              <w:top w:val="nil"/>
              <w:left w:val="nil"/>
              <w:bottom w:val="nil"/>
              <w:right w:val="nil"/>
            </w:tcBorders>
          </w:tcPr>
          <w:p w14:paraId="24C49497"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1.56 (1.13, 2.16)</w:t>
            </w:r>
          </w:p>
        </w:tc>
        <w:tc>
          <w:tcPr>
            <w:tcW w:w="1772" w:type="dxa"/>
            <w:tcBorders>
              <w:top w:val="nil"/>
              <w:left w:val="nil"/>
              <w:bottom w:val="nil"/>
              <w:right w:val="nil"/>
            </w:tcBorders>
          </w:tcPr>
          <w:p w14:paraId="24852885"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3.86 (2.80, 5.30)</w:t>
            </w:r>
          </w:p>
        </w:tc>
        <w:tc>
          <w:tcPr>
            <w:tcW w:w="1772" w:type="dxa"/>
            <w:tcBorders>
              <w:top w:val="nil"/>
              <w:left w:val="nil"/>
              <w:bottom w:val="nil"/>
              <w:right w:val="nil"/>
            </w:tcBorders>
          </w:tcPr>
          <w:p w14:paraId="23702A9E"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1.56 (1.13, 2.16)</w:t>
            </w:r>
          </w:p>
        </w:tc>
      </w:tr>
      <w:tr w:rsidR="00B813A6" w:rsidRPr="00453A8B" w14:paraId="761E0E06" w14:textId="77777777" w:rsidTr="00B813A6">
        <w:tc>
          <w:tcPr>
            <w:tcW w:w="3227" w:type="dxa"/>
            <w:tcBorders>
              <w:top w:val="nil"/>
              <w:left w:val="nil"/>
              <w:bottom w:val="single" w:sz="4" w:space="0" w:color="auto"/>
              <w:right w:val="nil"/>
            </w:tcBorders>
          </w:tcPr>
          <w:p w14:paraId="5A3BC90E"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No education</w:t>
            </w:r>
          </w:p>
        </w:tc>
        <w:tc>
          <w:tcPr>
            <w:tcW w:w="1772" w:type="dxa"/>
            <w:tcBorders>
              <w:top w:val="nil"/>
              <w:left w:val="nil"/>
              <w:bottom w:val="single" w:sz="4" w:space="0" w:color="auto"/>
              <w:right w:val="nil"/>
            </w:tcBorders>
          </w:tcPr>
          <w:p w14:paraId="429D16CC"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1.96 (0.61, 6.32)</w:t>
            </w:r>
          </w:p>
        </w:tc>
        <w:tc>
          <w:tcPr>
            <w:tcW w:w="1772" w:type="dxa"/>
            <w:tcBorders>
              <w:top w:val="nil"/>
              <w:left w:val="nil"/>
              <w:bottom w:val="single" w:sz="4" w:space="0" w:color="auto"/>
              <w:right w:val="nil"/>
            </w:tcBorders>
          </w:tcPr>
          <w:p w14:paraId="1F805B7D"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1.61 (1.13, 2.30)</w:t>
            </w:r>
          </w:p>
        </w:tc>
        <w:tc>
          <w:tcPr>
            <w:tcW w:w="1772" w:type="dxa"/>
            <w:tcBorders>
              <w:top w:val="nil"/>
              <w:left w:val="nil"/>
              <w:bottom w:val="single" w:sz="4" w:space="0" w:color="auto"/>
              <w:right w:val="nil"/>
            </w:tcBorders>
          </w:tcPr>
          <w:p w14:paraId="1A4299E9"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2.01 (0.62, 6.43)</w:t>
            </w:r>
          </w:p>
        </w:tc>
        <w:tc>
          <w:tcPr>
            <w:tcW w:w="1772" w:type="dxa"/>
            <w:tcBorders>
              <w:top w:val="nil"/>
              <w:left w:val="nil"/>
              <w:bottom w:val="single" w:sz="4" w:space="0" w:color="auto"/>
              <w:right w:val="nil"/>
            </w:tcBorders>
          </w:tcPr>
          <w:p w14:paraId="08174EC6"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1.64 (1.15, 2.34)</w:t>
            </w:r>
          </w:p>
        </w:tc>
        <w:tc>
          <w:tcPr>
            <w:tcW w:w="1772" w:type="dxa"/>
            <w:tcBorders>
              <w:top w:val="nil"/>
              <w:left w:val="nil"/>
              <w:bottom w:val="single" w:sz="4" w:space="0" w:color="auto"/>
              <w:right w:val="nil"/>
            </w:tcBorders>
          </w:tcPr>
          <w:p w14:paraId="0135AE37"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1.98 (0.61, 6.43)</w:t>
            </w:r>
          </w:p>
        </w:tc>
        <w:tc>
          <w:tcPr>
            <w:tcW w:w="1772" w:type="dxa"/>
            <w:tcBorders>
              <w:top w:val="nil"/>
              <w:left w:val="nil"/>
              <w:bottom w:val="single" w:sz="4" w:space="0" w:color="auto"/>
              <w:right w:val="nil"/>
            </w:tcBorders>
          </w:tcPr>
          <w:p w14:paraId="036934DF"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1.65 (1.15, 2.35)</w:t>
            </w:r>
          </w:p>
        </w:tc>
      </w:tr>
      <w:tr w:rsidR="00B813A6" w:rsidRPr="00453A8B" w14:paraId="4572BD7D" w14:textId="77777777" w:rsidTr="00B813A6">
        <w:tc>
          <w:tcPr>
            <w:tcW w:w="3227" w:type="dxa"/>
            <w:tcBorders>
              <w:top w:val="single" w:sz="4" w:space="0" w:color="auto"/>
              <w:left w:val="nil"/>
              <w:bottom w:val="nil"/>
              <w:right w:val="nil"/>
            </w:tcBorders>
          </w:tcPr>
          <w:p w14:paraId="7A0CFEA9"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Hypertension</w:t>
            </w:r>
          </w:p>
        </w:tc>
        <w:tc>
          <w:tcPr>
            <w:tcW w:w="1772" w:type="dxa"/>
            <w:tcBorders>
              <w:top w:val="single" w:sz="4" w:space="0" w:color="auto"/>
              <w:left w:val="nil"/>
              <w:bottom w:val="nil"/>
              <w:right w:val="nil"/>
            </w:tcBorders>
          </w:tcPr>
          <w:p w14:paraId="5F928B5C"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bottom w:val="nil"/>
              <w:right w:val="nil"/>
            </w:tcBorders>
          </w:tcPr>
          <w:p w14:paraId="13F92CE7"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single" w:sz="4" w:space="0" w:color="auto"/>
              <w:left w:val="nil"/>
              <w:bottom w:val="nil"/>
              <w:right w:val="nil"/>
            </w:tcBorders>
          </w:tcPr>
          <w:p w14:paraId="593C63A5"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1.25 (1.05, 1.49)</w:t>
            </w:r>
          </w:p>
        </w:tc>
        <w:tc>
          <w:tcPr>
            <w:tcW w:w="1772" w:type="dxa"/>
            <w:tcBorders>
              <w:top w:val="single" w:sz="4" w:space="0" w:color="auto"/>
              <w:left w:val="nil"/>
              <w:bottom w:val="nil"/>
              <w:right w:val="nil"/>
            </w:tcBorders>
          </w:tcPr>
          <w:p w14:paraId="7CC7A6F3"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1.25 (1.02, 1.53)</w:t>
            </w:r>
          </w:p>
        </w:tc>
        <w:tc>
          <w:tcPr>
            <w:tcW w:w="1772" w:type="dxa"/>
            <w:tcBorders>
              <w:top w:val="single" w:sz="4" w:space="0" w:color="auto"/>
              <w:left w:val="nil"/>
              <w:bottom w:val="nil"/>
              <w:right w:val="nil"/>
            </w:tcBorders>
          </w:tcPr>
          <w:p w14:paraId="125CBBB4"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1.22 (1.02, 1.45)</w:t>
            </w:r>
          </w:p>
        </w:tc>
        <w:tc>
          <w:tcPr>
            <w:tcW w:w="1772" w:type="dxa"/>
            <w:tcBorders>
              <w:top w:val="single" w:sz="4" w:space="0" w:color="auto"/>
              <w:left w:val="nil"/>
              <w:bottom w:val="nil"/>
              <w:right w:val="nil"/>
            </w:tcBorders>
          </w:tcPr>
          <w:p w14:paraId="0A99B2F3"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1.22 (0.99, 1.50)</w:t>
            </w:r>
          </w:p>
        </w:tc>
      </w:tr>
      <w:tr w:rsidR="00B813A6" w:rsidRPr="00453A8B" w14:paraId="3B274294" w14:textId="77777777" w:rsidTr="00B813A6">
        <w:tc>
          <w:tcPr>
            <w:tcW w:w="3227" w:type="dxa"/>
            <w:tcBorders>
              <w:top w:val="nil"/>
              <w:left w:val="nil"/>
              <w:bottom w:val="nil"/>
              <w:right w:val="nil"/>
            </w:tcBorders>
          </w:tcPr>
          <w:p w14:paraId="5DDC3A80"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Heart disease</w:t>
            </w:r>
          </w:p>
        </w:tc>
        <w:tc>
          <w:tcPr>
            <w:tcW w:w="1772" w:type="dxa"/>
            <w:tcBorders>
              <w:top w:val="nil"/>
              <w:left w:val="nil"/>
              <w:bottom w:val="nil"/>
              <w:right w:val="nil"/>
            </w:tcBorders>
          </w:tcPr>
          <w:p w14:paraId="64BD3563"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49B5FE97"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65F4C8B6"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1.56 (1.22, 2.00)</w:t>
            </w:r>
          </w:p>
        </w:tc>
        <w:tc>
          <w:tcPr>
            <w:tcW w:w="1772" w:type="dxa"/>
            <w:tcBorders>
              <w:top w:val="nil"/>
              <w:left w:val="nil"/>
              <w:bottom w:val="nil"/>
              <w:right w:val="nil"/>
            </w:tcBorders>
          </w:tcPr>
          <w:p w14:paraId="7AC4D07F"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1.20 (0.86, 1.67)</w:t>
            </w:r>
          </w:p>
        </w:tc>
        <w:tc>
          <w:tcPr>
            <w:tcW w:w="1772" w:type="dxa"/>
            <w:tcBorders>
              <w:top w:val="nil"/>
              <w:left w:val="nil"/>
              <w:bottom w:val="nil"/>
              <w:right w:val="nil"/>
            </w:tcBorders>
          </w:tcPr>
          <w:p w14:paraId="6B7F84EE"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1.53 (1.19, 1.96)</w:t>
            </w:r>
          </w:p>
        </w:tc>
        <w:tc>
          <w:tcPr>
            <w:tcW w:w="1772" w:type="dxa"/>
            <w:tcBorders>
              <w:top w:val="nil"/>
              <w:left w:val="nil"/>
              <w:bottom w:val="nil"/>
              <w:right w:val="nil"/>
            </w:tcBorders>
          </w:tcPr>
          <w:p w14:paraId="161B94C7"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1.18 (0.85, 1.64)</w:t>
            </w:r>
          </w:p>
        </w:tc>
      </w:tr>
      <w:tr w:rsidR="00B813A6" w:rsidRPr="00453A8B" w14:paraId="6E11375F" w14:textId="77777777" w:rsidTr="00B813A6">
        <w:tc>
          <w:tcPr>
            <w:tcW w:w="3227" w:type="dxa"/>
            <w:tcBorders>
              <w:top w:val="nil"/>
              <w:left w:val="nil"/>
              <w:bottom w:val="nil"/>
              <w:right w:val="nil"/>
            </w:tcBorders>
          </w:tcPr>
          <w:p w14:paraId="6C31E8A7"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Diabetes</w:t>
            </w:r>
          </w:p>
        </w:tc>
        <w:tc>
          <w:tcPr>
            <w:tcW w:w="1772" w:type="dxa"/>
            <w:tcBorders>
              <w:top w:val="nil"/>
              <w:left w:val="nil"/>
              <w:bottom w:val="nil"/>
              <w:right w:val="nil"/>
            </w:tcBorders>
          </w:tcPr>
          <w:p w14:paraId="51B7340C"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7C54810E"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50E7E7FA"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1.53 (1.14, 2.04)</w:t>
            </w:r>
          </w:p>
        </w:tc>
        <w:tc>
          <w:tcPr>
            <w:tcW w:w="1772" w:type="dxa"/>
            <w:tcBorders>
              <w:top w:val="nil"/>
              <w:left w:val="nil"/>
              <w:bottom w:val="nil"/>
              <w:right w:val="nil"/>
            </w:tcBorders>
          </w:tcPr>
          <w:p w14:paraId="6BBB3F41"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1.39 (1.01, 1.92)</w:t>
            </w:r>
          </w:p>
        </w:tc>
        <w:tc>
          <w:tcPr>
            <w:tcW w:w="1772" w:type="dxa"/>
            <w:tcBorders>
              <w:top w:val="nil"/>
              <w:left w:val="nil"/>
              <w:bottom w:val="nil"/>
              <w:right w:val="nil"/>
            </w:tcBorders>
          </w:tcPr>
          <w:p w14:paraId="09768DDD"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1.46 (1.09, 1.95)</w:t>
            </w:r>
          </w:p>
        </w:tc>
        <w:tc>
          <w:tcPr>
            <w:tcW w:w="1772" w:type="dxa"/>
            <w:tcBorders>
              <w:top w:val="nil"/>
              <w:left w:val="nil"/>
              <w:bottom w:val="nil"/>
              <w:right w:val="nil"/>
            </w:tcBorders>
          </w:tcPr>
          <w:p w14:paraId="242D0478"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1.38 (1.00, 1.91)</w:t>
            </w:r>
          </w:p>
        </w:tc>
      </w:tr>
      <w:tr w:rsidR="00B813A6" w:rsidRPr="00453A8B" w14:paraId="1DA3D9E5" w14:textId="77777777" w:rsidTr="00B813A6">
        <w:tc>
          <w:tcPr>
            <w:tcW w:w="3227" w:type="dxa"/>
            <w:tcBorders>
              <w:top w:val="nil"/>
              <w:left w:val="nil"/>
              <w:bottom w:val="nil"/>
              <w:right w:val="nil"/>
            </w:tcBorders>
          </w:tcPr>
          <w:p w14:paraId="2586382A"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Stroke</w:t>
            </w:r>
          </w:p>
        </w:tc>
        <w:tc>
          <w:tcPr>
            <w:tcW w:w="1772" w:type="dxa"/>
            <w:tcBorders>
              <w:top w:val="nil"/>
              <w:left w:val="nil"/>
              <w:bottom w:val="nil"/>
              <w:right w:val="nil"/>
            </w:tcBorders>
          </w:tcPr>
          <w:p w14:paraId="29257874"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1D8AC1C6"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nil"/>
              <w:right w:val="nil"/>
            </w:tcBorders>
          </w:tcPr>
          <w:p w14:paraId="6F389547"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2.17 (1.14, 4.13)</w:t>
            </w:r>
          </w:p>
        </w:tc>
        <w:tc>
          <w:tcPr>
            <w:tcW w:w="1772" w:type="dxa"/>
            <w:tcBorders>
              <w:top w:val="nil"/>
              <w:left w:val="nil"/>
              <w:bottom w:val="nil"/>
              <w:right w:val="nil"/>
            </w:tcBorders>
          </w:tcPr>
          <w:p w14:paraId="68C3C884"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1.58 (0.83, 3.02)</w:t>
            </w:r>
          </w:p>
        </w:tc>
        <w:tc>
          <w:tcPr>
            <w:tcW w:w="1772" w:type="dxa"/>
            <w:tcBorders>
              <w:top w:val="nil"/>
              <w:left w:val="nil"/>
              <w:bottom w:val="nil"/>
              <w:right w:val="nil"/>
            </w:tcBorders>
          </w:tcPr>
          <w:p w14:paraId="39F05661"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2.15 (1.13, 4.10)</w:t>
            </w:r>
          </w:p>
        </w:tc>
        <w:tc>
          <w:tcPr>
            <w:tcW w:w="1772" w:type="dxa"/>
            <w:tcBorders>
              <w:top w:val="nil"/>
              <w:left w:val="nil"/>
              <w:bottom w:val="nil"/>
              <w:right w:val="nil"/>
            </w:tcBorders>
          </w:tcPr>
          <w:p w14:paraId="542EACB1"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1.56 (0.82, 2.99)</w:t>
            </w:r>
          </w:p>
        </w:tc>
      </w:tr>
      <w:tr w:rsidR="00B813A6" w:rsidRPr="00124B69" w14:paraId="5D7A8900" w14:textId="77777777" w:rsidTr="00B813A6">
        <w:tc>
          <w:tcPr>
            <w:tcW w:w="3227" w:type="dxa"/>
            <w:tcBorders>
              <w:top w:val="nil"/>
              <w:left w:val="nil"/>
              <w:bottom w:val="single" w:sz="4" w:space="0" w:color="auto"/>
              <w:right w:val="nil"/>
            </w:tcBorders>
          </w:tcPr>
          <w:p w14:paraId="31EAE6A2" w14:textId="77777777" w:rsidR="00B813A6" w:rsidRPr="00453A8B" w:rsidRDefault="00B813A6" w:rsidP="00B813A6">
            <w:pPr>
              <w:widowControl w:val="0"/>
              <w:autoSpaceDE w:val="0"/>
              <w:autoSpaceDN w:val="0"/>
              <w:adjustRightInd w:val="0"/>
              <w:rPr>
                <w:sz w:val="20"/>
                <w:szCs w:val="20"/>
                <w:lang w:val="en-US"/>
              </w:rPr>
            </w:pPr>
            <w:r w:rsidRPr="00453A8B">
              <w:rPr>
                <w:sz w:val="20"/>
                <w:szCs w:val="20"/>
                <w:lang w:val="en-US"/>
              </w:rPr>
              <w:t>Lung Cancer</w:t>
            </w:r>
          </w:p>
        </w:tc>
        <w:tc>
          <w:tcPr>
            <w:tcW w:w="1772" w:type="dxa"/>
            <w:tcBorders>
              <w:top w:val="nil"/>
              <w:left w:val="nil"/>
              <w:bottom w:val="single" w:sz="4" w:space="0" w:color="auto"/>
              <w:right w:val="nil"/>
            </w:tcBorders>
          </w:tcPr>
          <w:p w14:paraId="1B9E906C"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single" w:sz="4" w:space="0" w:color="auto"/>
              <w:right w:val="nil"/>
            </w:tcBorders>
          </w:tcPr>
          <w:p w14:paraId="2D174239" w14:textId="77777777" w:rsidR="00B813A6" w:rsidRPr="00453A8B" w:rsidRDefault="00B813A6" w:rsidP="00B813A6">
            <w:pPr>
              <w:widowControl w:val="0"/>
              <w:autoSpaceDE w:val="0"/>
              <w:autoSpaceDN w:val="0"/>
              <w:adjustRightInd w:val="0"/>
              <w:jc w:val="center"/>
              <w:rPr>
                <w:sz w:val="20"/>
                <w:szCs w:val="20"/>
                <w:lang w:val="en-US"/>
              </w:rPr>
            </w:pPr>
          </w:p>
        </w:tc>
        <w:tc>
          <w:tcPr>
            <w:tcW w:w="1772" w:type="dxa"/>
            <w:tcBorders>
              <w:top w:val="nil"/>
              <w:left w:val="nil"/>
              <w:bottom w:val="single" w:sz="4" w:space="0" w:color="auto"/>
              <w:right w:val="nil"/>
            </w:tcBorders>
          </w:tcPr>
          <w:p w14:paraId="70544704"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2.87 (0.89, 9.30)</w:t>
            </w:r>
          </w:p>
        </w:tc>
        <w:tc>
          <w:tcPr>
            <w:tcW w:w="1772" w:type="dxa"/>
            <w:tcBorders>
              <w:top w:val="nil"/>
              <w:left w:val="nil"/>
              <w:bottom w:val="single" w:sz="4" w:space="0" w:color="auto"/>
              <w:right w:val="nil"/>
            </w:tcBorders>
          </w:tcPr>
          <w:p w14:paraId="6C355B23"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1.01 (0.04, 28.54)</w:t>
            </w:r>
          </w:p>
        </w:tc>
        <w:tc>
          <w:tcPr>
            <w:tcW w:w="1772" w:type="dxa"/>
            <w:tcBorders>
              <w:top w:val="nil"/>
              <w:left w:val="nil"/>
              <w:bottom w:val="single" w:sz="4" w:space="0" w:color="auto"/>
              <w:right w:val="nil"/>
            </w:tcBorders>
          </w:tcPr>
          <w:p w14:paraId="55F64320"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2.86 (0.89, 9.26)</w:t>
            </w:r>
          </w:p>
        </w:tc>
        <w:tc>
          <w:tcPr>
            <w:tcW w:w="1772" w:type="dxa"/>
            <w:tcBorders>
              <w:top w:val="nil"/>
              <w:left w:val="nil"/>
              <w:bottom w:val="single" w:sz="4" w:space="0" w:color="auto"/>
              <w:right w:val="nil"/>
            </w:tcBorders>
          </w:tcPr>
          <w:p w14:paraId="637A14BD" w14:textId="77777777" w:rsidR="00B813A6" w:rsidRPr="00453A8B" w:rsidRDefault="00B813A6" w:rsidP="00B813A6">
            <w:pPr>
              <w:widowControl w:val="0"/>
              <w:autoSpaceDE w:val="0"/>
              <w:autoSpaceDN w:val="0"/>
              <w:adjustRightInd w:val="0"/>
              <w:jc w:val="center"/>
              <w:rPr>
                <w:sz w:val="20"/>
                <w:szCs w:val="20"/>
                <w:lang w:val="en-US"/>
              </w:rPr>
            </w:pPr>
            <w:r>
              <w:rPr>
                <w:sz w:val="20"/>
                <w:szCs w:val="20"/>
                <w:lang w:val="en-US"/>
              </w:rPr>
              <w:t>1.03 (0.04, 28.37)</w:t>
            </w:r>
          </w:p>
        </w:tc>
      </w:tr>
    </w:tbl>
    <w:p w14:paraId="40E6A5E2" w14:textId="77777777" w:rsidR="00B813A6" w:rsidRDefault="00B813A6" w:rsidP="00B813A6">
      <w:pPr>
        <w:widowControl w:val="0"/>
        <w:autoSpaceDE w:val="0"/>
        <w:autoSpaceDN w:val="0"/>
        <w:adjustRightInd w:val="0"/>
        <w:rPr>
          <w:sz w:val="16"/>
          <w:szCs w:val="16"/>
          <w:lang w:val="en-US"/>
        </w:rPr>
      </w:pPr>
    </w:p>
    <w:p w14:paraId="6B76A39E" w14:textId="77777777" w:rsidR="00B813A6" w:rsidRDefault="00B813A6" w:rsidP="00B813A6">
      <w:pPr>
        <w:widowControl w:val="0"/>
        <w:autoSpaceDE w:val="0"/>
        <w:autoSpaceDN w:val="0"/>
        <w:adjustRightInd w:val="0"/>
        <w:rPr>
          <w:rStyle w:val="s3"/>
          <w:lang w:val="en-US"/>
        </w:rPr>
        <w:sectPr w:rsidR="00B813A6" w:rsidSect="00B462D0">
          <w:pgSz w:w="16840" w:h="11900" w:orient="landscape"/>
          <w:pgMar w:top="1417" w:right="1417" w:bottom="1417" w:left="1417" w:header="708" w:footer="708" w:gutter="0"/>
          <w:cols w:space="708"/>
          <w:docGrid w:linePitch="360"/>
        </w:sectPr>
      </w:pPr>
      <w:r>
        <w:rPr>
          <w:sz w:val="16"/>
          <w:szCs w:val="16"/>
          <w:lang w:val="en-US"/>
        </w:rPr>
        <w:t>*</w:t>
      </w:r>
      <w:r w:rsidRPr="001B21CB">
        <w:rPr>
          <w:sz w:val="16"/>
          <w:szCs w:val="16"/>
          <w:lang w:val="en-US"/>
        </w:rPr>
        <w:t xml:space="preserve">Adjustment variables: no fixed effects (model 1); age, gender, education and smoking (model 2); model 2 adjustment + comorbidities (model 3); model 3 adjustment + FVC (model 4).   All five models were fit using multilevel mixed-effects generalized linear model with study site included as random effect to account for within site clustering. </w:t>
      </w:r>
      <w:r>
        <w:rPr>
          <w:sz w:val="16"/>
          <w:szCs w:val="16"/>
          <w:lang w:val="en-US"/>
        </w:rPr>
        <w:t xml:space="preserve">Separate analyses performed for high-income-countries and low-to-middle-income-countries. </w:t>
      </w:r>
      <w:r w:rsidRPr="00CD70D8">
        <w:rPr>
          <w:sz w:val="16"/>
          <w:szCs w:val="16"/>
          <w:lang w:val="en-US"/>
        </w:rPr>
        <w:t>Reference values</w:t>
      </w:r>
      <w:r>
        <w:rPr>
          <w:sz w:val="16"/>
          <w:szCs w:val="16"/>
          <w:lang w:val="en-US"/>
        </w:rPr>
        <w:t xml:space="preserve"> for categorical variables</w:t>
      </w:r>
      <w:r w:rsidRPr="00CD70D8">
        <w:rPr>
          <w:sz w:val="16"/>
          <w:szCs w:val="16"/>
          <w:lang w:val="en-US"/>
        </w:rPr>
        <w:t xml:space="preserve">: </w:t>
      </w:r>
      <w:r>
        <w:rPr>
          <w:sz w:val="16"/>
          <w:szCs w:val="16"/>
          <w:lang w:val="en-US"/>
        </w:rPr>
        <w:t xml:space="preserve">no CAO, </w:t>
      </w:r>
      <w:r w:rsidRPr="00CD70D8">
        <w:rPr>
          <w:sz w:val="16"/>
          <w:szCs w:val="16"/>
          <w:lang w:val="en-US"/>
        </w:rPr>
        <w:t xml:space="preserve">males, never-smokers, university education, </w:t>
      </w:r>
      <w:r>
        <w:rPr>
          <w:sz w:val="16"/>
          <w:szCs w:val="16"/>
          <w:lang w:val="en-US"/>
        </w:rPr>
        <w:t>no hypertension, no heart disease, no diabetes, no stroke, no lung cancer. **Retirees (age limit defined as 65 years old) and homemakers/caregivers were excluded from the analysis</w:t>
      </w:r>
    </w:p>
    <w:p w14:paraId="416FE068" w14:textId="77777777" w:rsidR="00B813A6" w:rsidRPr="008C1EB0" w:rsidRDefault="00B813A6" w:rsidP="00B813A6">
      <w:pPr>
        <w:widowControl w:val="0"/>
        <w:autoSpaceDE w:val="0"/>
        <w:autoSpaceDN w:val="0"/>
        <w:adjustRightInd w:val="0"/>
        <w:spacing w:line="360" w:lineRule="auto"/>
        <w:rPr>
          <w:lang w:val="en-US"/>
        </w:rPr>
      </w:pPr>
      <w:r w:rsidRPr="00B40E31">
        <w:rPr>
          <w:lang w:val="en-US"/>
        </w:rPr>
        <w:lastRenderedPageBreak/>
        <w:t>T</w:t>
      </w:r>
      <w:r>
        <w:rPr>
          <w:lang w:val="en-US"/>
        </w:rPr>
        <w:t>o present the association between CAO and unemployment by site, and to examine site heterogeneity, we performed individual participant data meta-analyses with forest plots of ORs and overall I</w:t>
      </w:r>
      <w:r w:rsidRPr="00CF136A">
        <w:rPr>
          <w:vertAlign w:val="superscript"/>
          <w:lang w:val="en-US"/>
        </w:rPr>
        <w:t>2</w:t>
      </w:r>
      <w:r>
        <w:rPr>
          <w:lang w:val="en-US"/>
        </w:rPr>
        <w:t xml:space="preserve"> statistics (Figure 2, e-Figures 1-4). The overall OR (95%CI) for unemployment among CAO subjects after adjusting for gender, age, smoking, education, comorbidities and FVC (i.e., the equivalent of model 4, but without site adjustment) was 1.41 (1.18, 1.69) with site-by-site heterogeneity (I</w:t>
      </w:r>
      <w:r w:rsidRPr="005A28D6">
        <w:rPr>
          <w:vertAlign w:val="superscript"/>
          <w:lang w:val="en-US"/>
        </w:rPr>
        <w:t>2</w:t>
      </w:r>
      <w:r>
        <w:rPr>
          <w:lang w:val="en-US"/>
        </w:rPr>
        <w:t>) of 12.9%, p=0.279. Meta-analyses with covariates corresponding to models 1, 2, 3 and 5 are shown in the online supplement (e-Figures 1-4), and show that there is no significant site heterogeneity in the association between airflow obstruction and unemployment when adjusting for the covariates in models 2, 3 and 5. However, in crude analysis (model 1), there is significant site heterogeneity (I</w:t>
      </w:r>
      <w:r w:rsidRPr="005A28D6">
        <w:rPr>
          <w:vertAlign w:val="superscript"/>
          <w:lang w:val="en-US"/>
        </w:rPr>
        <w:t>2</w:t>
      </w:r>
      <w:r>
        <w:rPr>
          <w:lang w:val="en-US"/>
        </w:rPr>
        <w:t xml:space="preserve"> 49.1%, p=0.003). </w:t>
      </w:r>
    </w:p>
    <w:p w14:paraId="7C00C0EE" w14:textId="77777777" w:rsidR="00B813A6" w:rsidRPr="002E5E5C" w:rsidRDefault="00B813A6" w:rsidP="00B813A6">
      <w:pPr>
        <w:spacing w:line="360" w:lineRule="auto"/>
        <w:rPr>
          <w:lang w:val="en-US"/>
        </w:rPr>
      </w:pPr>
    </w:p>
    <w:p w14:paraId="43F671C8" w14:textId="77777777" w:rsidR="00B813A6" w:rsidRPr="00B40E31" w:rsidRDefault="00B813A6" w:rsidP="00B813A6">
      <w:pPr>
        <w:pStyle w:val="Heading1"/>
        <w:spacing w:line="360" w:lineRule="auto"/>
        <w:rPr>
          <w:lang w:val="en-US"/>
        </w:rPr>
      </w:pPr>
      <w:r w:rsidRPr="00B40E31">
        <w:rPr>
          <w:lang w:val="en-US"/>
        </w:rPr>
        <w:t>Discussion</w:t>
      </w:r>
    </w:p>
    <w:p w14:paraId="6077E14B" w14:textId="77777777" w:rsidR="00B813A6" w:rsidRDefault="00B813A6" w:rsidP="00B813A6">
      <w:pPr>
        <w:spacing w:line="360" w:lineRule="auto"/>
        <w:rPr>
          <w:lang w:val="en-US"/>
        </w:rPr>
      </w:pPr>
      <w:r w:rsidRPr="00D135DD">
        <w:rPr>
          <w:lang w:val="en-US"/>
        </w:rPr>
        <w:t xml:space="preserve">The </w:t>
      </w:r>
      <w:proofErr w:type="spellStart"/>
      <w:r w:rsidRPr="00D135DD">
        <w:rPr>
          <w:lang w:val="en-US"/>
        </w:rPr>
        <w:t>unweighted</w:t>
      </w:r>
      <w:proofErr w:type="spellEnd"/>
      <w:r w:rsidRPr="00D135DD">
        <w:rPr>
          <w:lang w:val="en-US"/>
        </w:rPr>
        <w:t xml:space="preserve"> prevalence of </w:t>
      </w:r>
      <w:proofErr w:type="spellStart"/>
      <w:r w:rsidRPr="00D135DD">
        <w:rPr>
          <w:lang w:val="en-US"/>
        </w:rPr>
        <w:t>spirometry</w:t>
      </w:r>
      <w:proofErr w:type="spellEnd"/>
      <w:r w:rsidRPr="00D135DD">
        <w:rPr>
          <w:lang w:val="en-US"/>
        </w:rPr>
        <w:t>-defined CAO was 11.3% in this sample of almost 19,000 participants from the global BOLD study. The association between CAO and unemployment varied across sites in crude analyses, but the</w:t>
      </w:r>
      <w:r>
        <w:rPr>
          <w:lang w:val="en-US"/>
        </w:rPr>
        <w:t xml:space="preserve"> site heterogeneity lost significance after adjustment for relevant covariates: CAO was an overall important risk factor for unemployment after adjusting for gender, age, smoking, education, comorbidities and even FVC. </w:t>
      </w:r>
      <w:r w:rsidRPr="0040398F">
        <w:rPr>
          <w:lang w:val="en-US"/>
        </w:rPr>
        <w:t>When looking at high</w:t>
      </w:r>
      <w:r>
        <w:rPr>
          <w:lang w:val="en-US"/>
        </w:rPr>
        <w:t xml:space="preserve">-income and low-to-middle-income sites separately, this association was </w:t>
      </w:r>
      <w:r w:rsidRPr="00452007">
        <w:rPr>
          <w:color w:val="000000" w:themeColor="text1"/>
          <w:lang w:val="en-US"/>
        </w:rPr>
        <w:t xml:space="preserve">only statistically significant </w:t>
      </w:r>
      <w:r>
        <w:rPr>
          <w:lang w:val="en-US"/>
        </w:rPr>
        <w:t xml:space="preserve">in high-income sites. Regarding other covariates, age and education were important risk factors for unemployment in high-income sites, while female gender was important for unemployment in low-to-middle-income sites.  </w:t>
      </w:r>
    </w:p>
    <w:p w14:paraId="720AD9B4" w14:textId="77777777" w:rsidR="00B813A6" w:rsidRPr="00B17877" w:rsidRDefault="00B813A6" w:rsidP="00B813A6">
      <w:pPr>
        <w:spacing w:line="360" w:lineRule="auto"/>
        <w:rPr>
          <w:color w:val="000000" w:themeColor="text1"/>
          <w:lang w:val="en-US"/>
        </w:rPr>
      </w:pPr>
      <w:r w:rsidRPr="00B17877">
        <w:rPr>
          <w:color w:val="000000" w:themeColor="text1"/>
          <w:lang w:val="en-US"/>
        </w:rPr>
        <w:t xml:space="preserve">Comparable population-based studies have previously observed similar prevalence rates of COPD as the CAO-rates found in the present study. The PLATINO-study found the prevalence to be within the range of 7.8% to 19.7 </w:t>
      </w:r>
      <w:r>
        <w:fldChar w:fldCharType="begin"/>
      </w:r>
      <w:r w:rsidRPr="003A3978">
        <w:rPr>
          <w:lang w:val="en-US"/>
        </w:rPr>
        <w:instrText>ADDIN BEC{Menezes et al., 2005, #72051}</w:instrText>
      </w:r>
      <w:r>
        <w:fldChar w:fldCharType="separate"/>
      </w:r>
      <w:r w:rsidRPr="003A3978">
        <w:rPr>
          <w:lang w:val="en-US"/>
        </w:rPr>
        <w:t>(15)</w:t>
      </w:r>
      <w:r>
        <w:fldChar w:fldCharType="end"/>
      </w:r>
      <w:r w:rsidRPr="00B17877">
        <w:rPr>
          <w:color w:val="000000" w:themeColor="text1"/>
          <w:lang w:val="en-US"/>
        </w:rPr>
        <w:t xml:space="preserve">, Hansen et al found the overall COPD prevalence in a Danish general population to be 12% </w:t>
      </w:r>
      <w:r>
        <w:fldChar w:fldCharType="begin"/>
      </w:r>
      <w:r w:rsidRPr="003A3978">
        <w:rPr>
          <w:lang w:val="en-US"/>
        </w:rPr>
        <w:instrText>ADDIN BEC{Hansen et al., 2008, #35182}</w:instrText>
      </w:r>
      <w:r>
        <w:fldChar w:fldCharType="separate"/>
      </w:r>
      <w:r w:rsidRPr="003A3978">
        <w:rPr>
          <w:lang w:val="en-US"/>
        </w:rPr>
        <w:t>(16)</w:t>
      </w:r>
      <w:r>
        <w:fldChar w:fldCharType="end"/>
      </w:r>
      <w:r w:rsidRPr="00B17877">
        <w:rPr>
          <w:color w:val="000000" w:themeColor="text1"/>
          <w:lang w:val="en-US"/>
        </w:rPr>
        <w:t xml:space="preserve">, and the systematic review by </w:t>
      </w:r>
      <w:proofErr w:type="spellStart"/>
      <w:r w:rsidRPr="00B17877">
        <w:rPr>
          <w:color w:val="000000" w:themeColor="text1"/>
          <w:lang w:val="en-US"/>
        </w:rPr>
        <w:t>Adeloye</w:t>
      </w:r>
      <w:proofErr w:type="spellEnd"/>
      <w:r w:rsidRPr="00B17877">
        <w:rPr>
          <w:color w:val="000000" w:themeColor="text1"/>
          <w:lang w:val="en-US"/>
        </w:rPr>
        <w:t xml:space="preserve"> et al found the global prevalence of population-based </w:t>
      </w:r>
      <w:proofErr w:type="spellStart"/>
      <w:r w:rsidRPr="00B17877">
        <w:rPr>
          <w:color w:val="000000" w:themeColor="text1"/>
          <w:lang w:val="en-US"/>
        </w:rPr>
        <w:t>spirometrically</w:t>
      </w:r>
      <w:proofErr w:type="spellEnd"/>
      <w:r w:rsidRPr="00B17877">
        <w:rPr>
          <w:color w:val="000000" w:themeColor="text1"/>
          <w:lang w:val="en-US"/>
        </w:rPr>
        <w:t xml:space="preserve"> defined COPD to be 11.7% </w:t>
      </w:r>
      <w:r>
        <w:fldChar w:fldCharType="begin"/>
      </w:r>
      <w:r w:rsidRPr="003A3978">
        <w:rPr>
          <w:lang w:val="en-US"/>
        </w:rPr>
        <w:instrText>ADDIN BEC{Adeloye et al., 2015, #51986}</w:instrText>
      </w:r>
      <w:r>
        <w:fldChar w:fldCharType="separate"/>
      </w:r>
      <w:r w:rsidRPr="003A3978">
        <w:rPr>
          <w:lang w:val="en-US"/>
        </w:rPr>
        <w:t>(17)</w:t>
      </w:r>
      <w:r>
        <w:fldChar w:fldCharType="end"/>
      </w:r>
      <w:r w:rsidRPr="00B17877">
        <w:rPr>
          <w:color w:val="000000" w:themeColor="text1"/>
          <w:lang w:val="en-US"/>
        </w:rPr>
        <w:t>.</w:t>
      </w:r>
    </w:p>
    <w:p w14:paraId="254EB7F7" w14:textId="77777777" w:rsidR="00B813A6" w:rsidRPr="00B17877" w:rsidRDefault="00B813A6" w:rsidP="00B813A6">
      <w:pPr>
        <w:spacing w:line="360" w:lineRule="auto"/>
        <w:rPr>
          <w:color w:val="000000" w:themeColor="text1"/>
          <w:lang w:val="en-US"/>
        </w:rPr>
      </w:pPr>
    </w:p>
    <w:p w14:paraId="57F45605" w14:textId="77777777" w:rsidR="00B813A6" w:rsidRPr="00B17877" w:rsidRDefault="00B813A6" w:rsidP="00B813A6">
      <w:pPr>
        <w:spacing w:line="360" w:lineRule="auto"/>
        <w:rPr>
          <w:color w:val="000000" w:themeColor="text1"/>
          <w:lang w:val="en-GB"/>
        </w:rPr>
      </w:pPr>
      <w:r w:rsidRPr="00B40E31">
        <w:rPr>
          <w:lang w:val="en-US"/>
        </w:rPr>
        <w:t xml:space="preserve">Only one multicenter study has previously provided population-based estimates of unemployment in </w:t>
      </w:r>
      <w:r>
        <w:rPr>
          <w:lang w:val="en-US"/>
        </w:rPr>
        <w:t>CAO</w:t>
      </w:r>
      <w:r w:rsidRPr="00B40E31">
        <w:rPr>
          <w:lang w:val="en-US"/>
        </w:rPr>
        <w:t xml:space="preserve">, identifying </w:t>
      </w:r>
      <w:r>
        <w:rPr>
          <w:lang w:val="en-US"/>
        </w:rPr>
        <w:t>CAO</w:t>
      </w:r>
      <w:r w:rsidRPr="00B40E31">
        <w:rPr>
          <w:lang w:val="en-US"/>
        </w:rPr>
        <w:t xml:space="preserve"> by </w:t>
      </w:r>
      <w:proofErr w:type="spellStart"/>
      <w:r w:rsidRPr="00B40E31">
        <w:rPr>
          <w:lang w:val="en-US"/>
        </w:rPr>
        <w:t>spirometry</w:t>
      </w:r>
      <w:proofErr w:type="spellEnd"/>
      <w:r w:rsidRPr="00B40E31">
        <w:rPr>
          <w:lang w:val="en-US"/>
        </w:rPr>
        <w:t xml:space="preserve">. </w:t>
      </w:r>
      <w:r>
        <w:rPr>
          <w:lang w:val="en-US"/>
        </w:rPr>
        <w:t>In accordance with our findings, t</w:t>
      </w:r>
      <w:r w:rsidRPr="00B40E31">
        <w:rPr>
          <w:lang w:val="en-US"/>
        </w:rPr>
        <w:t>he PLATINO study, carried out in five Latin-American c</w:t>
      </w:r>
      <w:r>
        <w:rPr>
          <w:lang w:val="en-US"/>
        </w:rPr>
        <w:t>ountries</w:t>
      </w:r>
      <w:r w:rsidRPr="00B40E31">
        <w:rPr>
          <w:lang w:val="en-US"/>
        </w:rPr>
        <w:t xml:space="preserve">, estimated that 41.8% of </w:t>
      </w:r>
      <w:r>
        <w:rPr>
          <w:lang w:val="en-US"/>
        </w:rPr>
        <w:t>participants with CAO</w:t>
      </w:r>
      <w:r w:rsidRPr="00B40E31">
        <w:rPr>
          <w:lang w:val="en-US"/>
        </w:rPr>
        <w:t xml:space="preserve"> and 57.1% of </w:t>
      </w:r>
      <w:r>
        <w:rPr>
          <w:lang w:val="en-US"/>
        </w:rPr>
        <w:t>those</w:t>
      </w:r>
      <w:r w:rsidRPr="00B40E31">
        <w:rPr>
          <w:lang w:val="en-US"/>
        </w:rPr>
        <w:t xml:space="preserve"> </w:t>
      </w:r>
      <w:r>
        <w:rPr>
          <w:lang w:val="en-US"/>
        </w:rPr>
        <w:t xml:space="preserve">without CAO </w:t>
      </w:r>
      <w:r w:rsidRPr="00B40E31">
        <w:rPr>
          <w:lang w:val="en-US"/>
        </w:rPr>
        <w:t xml:space="preserve">had a paid job the preceding year </w:t>
      </w:r>
      <w:r>
        <w:fldChar w:fldCharType="begin"/>
      </w:r>
      <w:r w:rsidRPr="003A3978">
        <w:rPr>
          <w:lang w:val="en-US"/>
        </w:rPr>
        <w:instrText>ADDIN BEC{Montes de Oca et al., 2011, #47550}</w:instrText>
      </w:r>
      <w:r>
        <w:fldChar w:fldCharType="separate"/>
      </w:r>
      <w:r w:rsidRPr="003A3978">
        <w:rPr>
          <w:lang w:val="en-US"/>
        </w:rPr>
        <w:t>(7)</w:t>
      </w:r>
      <w:r>
        <w:fldChar w:fldCharType="end"/>
      </w:r>
      <w:r w:rsidRPr="00B40E31">
        <w:rPr>
          <w:lang w:val="en-US"/>
        </w:rPr>
        <w:t xml:space="preserve">. In the multivariable analysis </w:t>
      </w:r>
      <w:r>
        <w:rPr>
          <w:lang w:val="en-US"/>
        </w:rPr>
        <w:t xml:space="preserve">of the PLATINO study </w:t>
      </w:r>
      <w:r w:rsidRPr="00B40E31">
        <w:rPr>
          <w:lang w:val="en-US"/>
        </w:rPr>
        <w:t xml:space="preserve">they found a borderline lower probability of paid work (odds ratio (95% CI) 0.83 (0.69 to 1.00)) for </w:t>
      </w:r>
      <w:r>
        <w:rPr>
          <w:lang w:val="en-US"/>
        </w:rPr>
        <w:t>CAO</w:t>
      </w:r>
      <w:r w:rsidRPr="00B40E31">
        <w:rPr>
          <w:lang w:val="en-US"/>
        </w:rPr>
        <w:t xml:space="preserve"> patients, and as in our study they </w:t>
      </w:r>
      <w:r w:rsidRPr="00B40E31">
        <w:rPr>
          <w:lang w:val="en-US"/>
        </w:rPr>
        <w:lastRenderedPageBreak/>
        <w:t xml:space="preserve">found significant effects of age, sex, education, dyspnea and comorbidities. </w:t>
      </w:r>
      <w:r w:rsidRPr="00B17877">
        <w:rPr>
          <w:color w:val="000000" w:themeColor="text1"/>
          <w:lang w:val="en-US"/>
        </w:rPr>
        <w:t xml:space="preserve">However, the PLATINO study adjusted for dyspnea in their main model, and this has probably reduced the effect of </w:t>
      </w:r>
      <w:proofErr w:type="spellStart"/>
      <w:r w:rsidRPr="00B17877">
        <w:rPr>
          <w:color w:val="000000" w:themeColor="text1"/>
          <w:lang w:val="en-US"/>
        </w:rPr>
        <w:t>spirometry</w:t>
      </w:r>
      <w:proofErr w:type="spellEnd"/>
      <w:r w:rsidRPr="00B17877">
        <w:rPr>
          <w:color w:val="000000" w:themeColor="text1"/>
          <w:lang w:val="en-US"/>
        </w:rPr>
        <w:t xml:space="preserve">-defined CAO on the probability of having paid work. We observed the same pattern in our study; while CAO was significantly associated with unemployment in our </w:t>
      </w:r>
      <w:r>
        <w:rPr>
          <w:lang w:val="en-US"/>
        </w:rPr>
        <w:t>main model with OR 1.43 (adjusting for gender, age, smoking, education, comorbidities and FVC), the OR decreased to 1.26 (although still remaining significant with 95%CI 1.00-1.57) after adding reported dyspnea and other respiratory symptoms</w:t>
      </w:r>
      <w:r w:rsidRPr="00B17877">
        <w:rPr>
          <w:color w:val="000000" w:themeColor="text1"/>
          <w:lang w:val="en-US"/>
        </w:rPr>
        <w:t xml:space="preserve">. In line with this, one may speculate that symptoms and severity of CAO would most likely explain the majority of unemployment, and that it would be better to study these disease aspects than the mere </w:t>
      </w:r>
      <w:proofErr w:type="spellStart"/>
      <w:r w:rsidRPr="00B17877">
        <w:rPr>
          <w:color w:val="000000" w:themeColor="text1"/>
          <w:lang w:val="en-US"/>
        </w:rPr>
        <w:t>spirometry</w:t>
      </w:r>
      <w:proofErr w:type="spellEnd"/>
      <w:r w:rsidRPr="00B17877">
        <w:rPr>
          <w:color w:val="000000" w:themeColor="text1"/>
          <w:lang w:val="en-US"/>
        </w:rPr>
        <w:t xml:space="preserve"> measurement. However, even after adjusting for </w:t>
      </w:r>
      <w:proofErr w:type="spellStart"/>
      <w:r w:rsidRPr="00B17877">
        <w:rPr>
          <w:color w:val="000000" w:themeColor="text1"/>
          <w:lang w:val="en-US"/>
        </w:rPr>
        <w:t>mMRC</w:t>
      </w:r>
      <w:proofErr w:type="spellEnd"/>
      <w:r w:rsidRPr="00B17877">
        <w:rPr>
          <w:color w:val="000000" w:themeColor="text1"/>
          <w:lang w:val="en-US"/>
        </w:rPr>
        <w:t xml:space="preserve">, </w:t>
      </w:r>
      <w:r w:rsidRPr="00B17877">
        <w:rPr>
          <w:color w:val="000000" w:themeColor="text1"/>
          <w:lang w:val="en-GB"/>
        </w:rPr>
        <w:t xml:space="preserve">wheezing together with dyspnoea, and symptoms of chronic bronchitis in our study, the effect of </w:t>
      </w:r>
      <w:proofErr w:type="spellStart"/>
      <w:r w:rsidRPr="00B17877">
        <w:rPr>
          <w:color w:val="000000" w:themeColor="text1"/>
          <w:lang w:val="en-GB"/>
        </w:rPr>
        <w:t>spirometry</w:t>
      </w:r>
      <w:proofErr w:type="spellEnd"/>
      <w:r w:rsidRPr="00B17877">
        <w:rPr>
          <w:color w:val="000000" w:themeColor="text1"/>
          <w:lang w:val="en-GB"/>
        </w:rPr>
        <w:t xml:space="preserve">-defined CAO on unemployment was still significant (model 5 online supplement). This suggests that there are other properties than the burden of current wheezing, </w:t>
      </w:r>
      <w:proofErr w:type="spellStart"/>
      <w:r w:rsidRPr="00B17877">
        <w:rPr>
          <w:color w:val="000000" w:themeColor="text1"/>
          <w:lang w:val="en-GB"/>
        </w:rPr>
        <w:t>dyspnea</w:t>
      </w:r>
      <w:proofErr w:type="spellEnd"/>
      <w:r w:rsidRPr="00B17877">
        <w:rPr>
          <w:color w:val="000000" w:themeColor="text1"/>
          <w:lang w:val="en-GB"/>
        </w:rPr>
        <w:t xml:space="preserve"> and bronchitis that leads to unemployment, and adding objectively measured CAO identifies the magnitude of these. For instance, the patient might experience other symptoms (e.g. asthenia), be a frequent </w:t>
      </w:r>
      <w:proofErr w:type="spellStart"/>
      <w:r w:rsidRPr="00B17877">
        <w:rPr>
          <w:color w:val="000000" w:themeColor="text1"/>
          <w:lang w:val="en-GB"/>
        </w:rPr>
        <w:t>exacerbator</w:t>
      </w:r>
      <w:proofErr w:type="spellEnd"/>
      <w:r w:rsidRPr="00B17877">
        <w:rPr>
          <w:color w:val="000000" w:themeColor="text1"/>
          <w:lang w:val="en-GB"/>
        </w:rPr>
        <w:t xml:space="preserve">, or there might be some degree of reporting bias. </w:t>
      </w:r>
    </w:p>
    <w:p w14:paraId="5394EF1B" w14:textId="77777777" w:rsidR="00B813A6" w:rsidRPr="00B17877" w:rsidRDefault="00B813A6" w:rsidP="00B813A6">
      <w:pPr>
        <w:spacing w:line="360" w:lineRule="auto"/>
        <w:rPr>
          <w:color w:val="000000" w:themeColor="text1"/>
          <w:lang w:val="en-GB"/>
        </w:rPr>
      </w:pPr>
    </w:p>
    <w:p w14:paraId="13A5D13A" w14:textId="77777777" w:rsidR="00B813A6" w:rsidRPr="00B17877" w:rsidRDefault="00B813A6" w:rsidP="00B813A6">
      <w:pPr>
        <w:spacing w:line="360" w:lineRule="auto"/>
        <w:rPr>
          <w:color w:val="000000" w:themeColor="text1"/>
          <w:lang w:val="en-US"/>
        </w:rPr>
      </w:pPr>
      <w:r>
        <w:rPr>
          <w:lang w:val="en-US"/>
        </w:rPr>
        <w:t>Other</w:t>
      </w:r>
      <w:r w:rsidRPr="00B40E31">
        <w:rPr>
          <w:lang w:val="en-US"/>
        </w:rPr>
        <w:t xml:space="preserve"> studies on workforce-participation in </w:t>
      </w:r>
      <w:r>
        <w:rPr>
          <w:lang w:val="en-US"/>
        </w:rPr>
        <w:t>CAO</w:t>
      </w:r>
      <w:r w:rsidRPr="00B40E31">
        <w:rPr>
          <w:lang w:val="en-US"/>
        </w:rPr>
        <w:t xml:space="preserve"> have been based on self-reported </w:t>
      </w:r>
      <w:r>
        <w:rPr>
          <w:lang w:val="en-US"/>
        </w:rPr>
        <w:t xml:space="preserve">COPD </w:t>
      </w:r>
      <w:r w:rsidRPr="00B40E31">
        <w:rPr>
          <w:lang w:val="en-US"/>
        </w:rPr>
        <w:t xml:space="preserve">diagnosis and not </w:t>
      </w:r>
      <w:proofErr w:type="spellStart"/>
      <w:r w:rsidRPr="00B40E31">
        <w:rPr>
          <w:lang w:val="en-US"/>
        </w:rPr>
        <w:t>spirometry</w:t>
      </w:r>
      <w:proofErr w:type="spellEnd"/>
      <w:r w:rsidRPr="00B40E31">
        <w:rPr>
          <w:lang w:val="en-US"/>
        </w:rPr>
        <w:t xml:space="preserve"> </w:t>
      </w:r>
      <w:r>
        <w:fldChar w:fldCharType="begin"/>
      </w:r>
      <w:r w:rsidRPr="003A3978">
        <w:rPr>
          <w:lang w:val="en-US"/>
        </w:rPr>
        <w:instrText>ADDIN BEC{Eisner et al., 2002, #81033; Sin et al., 2002, #59785; Thornton Snider et al., 2012, #45520; Wouters, 2003, #5; Yelin et al., 2006, #13265}</w:instrText>
      </w:r>
      <w:r>
        <w:fldChar w:fldCharType="separate"/>
      </w:r>
      <w:r w:rsidRPr="003A3978">
        <w:rPr>
          <w:lang w:val="en-US"/>
        </w:rPr>
        <w:t>(18–22)</w:t>
      </w:r>
      <w:r>
        <w:fldChar w:fldCharType="end"/>
      </w:r>
      <w:r w:rsidRPr="00B40E31">
        <w:rPr>
          <w:lang w:val="en-US"/>
        </w:rPr>
        <w:t xml:space="preserve">. Studies of self-reported </w:t>
      </w:r>
      <w:r>
        <w:rPr>
          <w:lang w:val="en-US"/>
        </w:rPr>
        <w:t xml:space="preserve">COPD </w:t>
      </w:r>
      <w:r w:rsidRPr="00B40E31">
        <w:rPr>
          <w:lang w:val="en-US"/>
        </w:rPr>
        <w:t>observe stronger association</w:t>
      </w:r>
      <w:r>
        <w:rPr>
          <w:lang w:val="en-US"/>
        </w:rPr>
        <w:t>s</w:t>
      </w:r>
      <w:r w:rsidRPr="00B40E31">
        <w:rPr>
          <w:lang w:val="en-US"/>
        </w:rPr>
        <w:t xml:space="preserve"> between the disease and p</w:t>
      </w:r>
      <w:r>
        <w:rPr>
          <w:lang w:val="en-US"/>
        </w:rPr>
        <w:t>articipation in the work place t</w:t>
      </w:r>
      <w:r w:rsidRPr="00B40E31">
        <w:rPr>
          <w:lang w:val="en-US"/>
        </w:rPr>
        <w:t xml:space="preserve">han the current study. This difference </w:t>
      </w:r>
      <w:r w:rsidRPr="00B17877">
        <w:rPr>
          <w:color w:val="000000" w:themeColor="text1"/>
          <w:lang w:val="en-US"/>
        </w:rPr>
        <w:t xml:space="preserve">might be due to a bias towards more severely affected patients in studies based on self-reports </w:t>
      </w:r>
      <w:r>
        <w:fldChar w:fldCharType="begin"/>
      </w:r>
      <w:r w:rsidRPr="003A3978">
        <w:rPr>
          <w:lang w:val="en-US"/>
        </w:rPr>
        <w:instrText>ADDIN BEC{Lindberg et al., 2006, #84935}</w:instrText>
      </w:r>
      <w:r>
        <w:fldChar w:fldCharType="separate"/>
      </w:r>
      <w:r w:rsidRPr="003A3978">
        <w:rPr>
          <w:lang w:val="en-US"/>
        </w:rPr>
        <w:t>(23)</w:t>
      </w:r>
      <w:r>
        <w:fldChar w:fldCharType="end"/>
      </w:r>
      <w:r w:rsidRPr="00B17877">
        <w:rPr>
          <w:color w:val="000000" w:themeColor="text1"/>
          <w:lang w:val="en-US"/>
        </w:rPr>
        <w:t xml:space="preserve">. Lamprecht and co-workers </w:t>
      </w:r>
      <w:r>
        <w:fldChar w:fldCharType="begin"/>
      </w:r>
      <w:r w:rsidRPr="003A3978">
        <w:rPr>
          <w:lang w:val="en-US"/>
        </w:rPr>
        <w:instrText>ADDIN BEC{Lamprecht et al., 2015, #64285}</w:instrText>
      </w:r>
      <w:r>
        <w:fldChar w:fldCharType="separate"/>
      </w:r>
      <w:r w:rsidRPr="003A3978">
        <w:rPr>
          <w:lang w:val="en-US"/>
        </w:rPr>
        <w:t>(24)</w:t>
      </w:r>
      <w:r>
        <w:fldChar w:fldCharType="end"/>
      </w:r>
      <w:r w:rsidRPr="00B17877">
        <w:rPr>
          <w:color w:val="000000" w:themeColor="text1"/>
          <w:lang w:val="en-US"/>
        </w:rPr>
        <w:t xml:space="preserve"> showed that over 80% of subjects with post-bronchodilator FEV1/FVC&lt;LLN were undiagnosed, and that less severe airflow obstruction was an important predictor lack of diagnosis.</w:t>
      </w:r>
    </w:p>
    <w:p w14:paraId="5B585F8E" w14:textId="77777777" w:rsidR="00B813A6" w:rsidRDefault="00B813A6" w:rsidP="00B813A6">
      <w:pPr>
        <w:spacing w:line="360" w:lineRule="auto"/>
        <w:rPr>
          <w:lang w:val="en-US"/>
        </w:rPr>
      </w:pPr>
      <w:r w:rsidRPr="00B40E31">
        <w:rPr>
          <w:lang w:val="en-US"/>
        </w:rPr>
        <w:t xml:space="preserve">The inclusion of un-diagnosed </w:t>
      </w:r>
      <w:r>
        <w:rPr>
          <w:lang w:val="en-US"/>
        </w:rPr>
        <w:t>CAO</w:t>
      </w:r>
      <w:r w:rsidRPr="00B40E31">
        <w:rPr>
          <w:lang w:val="en-US"/>
        </w:rPr>
        <w:t xml:space="preserve">-patients by state-of-the-art </w:t>
      </w:r>
      <w:proofErr w:type="spellStart"/>
      <w:r w:rsidRPr="00B40E31">
        <w:rPr>
          <w:lang w:val="en-US"/>
        </w:rPr>
        <w:t>spirometric</w:t>
      </w:r>
      <w:proofErr w:type="spellEnd"/>
      <w:r w:rsidRPr="00B40E31">
        <w:rPr>
          <w:lang w:val="en-US"/>
        </w:rPr>
        <w:t xml:space="preserve"> case-detection in </w:t>
      </w:r>
      <w:r>
        <w:rPr>
          <w:lang w:val="en-US"/>
        </w:rPr>
        <w:t>representative</w:t>
      </w:r>
      <w:r w:rsidRPr="00B40E31">
        <w:rPr>
          <w:lang w:val="en-US"/>
        </w:rPr>
        <w:t xml:space="preserve"> population-based samples is the main strength of the current study.</w:t>
      </w:r>
      <w:r>
        <w:rPr>
          <w:lang w:val="en-US"/>
        </w:rPr>
        <w:t xml:space="preserve"> All epidemiological studies are to some degree subject to selection bias, and the use of representative samples and mostly high cooperation rates (over half above 70%), reduce the likelihood of strong biases from selection. Furthermore, o</w:t>
      </w:r>
      <w:r w:rsidRPr="00B40E31">
        <w:rPr>
          <w:lang w:val="en-US"/>
        </w:rPr>
        <w:t>ur main outcome i</w:t>
      </w:r>
      <w:r>
        <w:rPr>
          <w:lang w:val="en-US"/>
        </w:rPr>
        <w:t xml:space="preserve">s </w:t>
      </w:r>
      <w:r w:rsidRPr="00B40E31">
        <w:rPr>
          <w:lang w:val="en-US"/>
        </w:rPr>
        <w:t xml:space="preserve">categorical and objective, and less prone to bias </w:t>
      </w:r>
      <w:r>
        <w:fldChar w:fldCharType="begin"/>
      </w:r>
      <w:r w:rsidRPr="003A3978">
        <w:rPr>
          <w:lang w:val="en-US"/>
        </w:rPr>
        <w:instrText>ADDIN BEC{Evans and Crawford, 1999, #129; Nielsen et al., 2008, #95033}</w:instrText>
      </w:r>
      <w:r>
        <w:fldChar w:fldCharType="separate"/>
      </w:r>
      <w:r w:rsidRPr="003A3978">
        <w:rPr>
          <w:lang w:val="en-US"/>
        </w:rPr>
        <w:t>(25, 26)</w:t>
      </w:r>
      <w:r>
        <w:fldChar w:fldCharType="end"/>
      </w:r>
      <w:r>
        <w:rPr>
          <w:lang w:val="en-US"/>
        </w:rPr>
        <w:t xml:space="preserve"> than reports of diagnoses, though some of the covariates may be more prone to recall bias. </w:t>
      </w:r>
      <w:r w:rsidRPr="00B40E31">
        <w:rPr>
          <w:lang w:val="en-US"/>
        </w:rPr>
        <w:t>In addition, we have used post-bronchodilator measurements, in accordance with international guidelines</w:t>
      </w:r>
      <w:r>
        <w:rPr>
          <w:lang w:val="en-US"/>
        </w:rPr>
        <w:t>, and we have a large sample size from a general global population with standardized data collection across sites</w:t>
      </w:r>
      <w:r w:rsidRPr="00B40E31">
        <w:rPr>
          <w:lang w:val="en-US"/>
        </w:rPr>
        <w:t xml:space="preserve">. </w:t>
      </w:r>
      <w:r>
        <w:rPr>
          <w:lang w:val="en-US"/>
        </w:rPr>
        <w:t>Also</w:t>
      </w:r>
      <w:r w:rsidRPr="00B40E31">
        <w:rPr>
          <w:lang w:val="en-US"/>
        </w:rPr>
        <w:t xml:space="preserve">, we have built regression models based on a </w:t>
      </w:r>
      <w:r w:rsidRPr="00B40E31">
        <w:rPr>
          <w:lang w:val="en-US"/>
        </w:rPr>
        <w:lastRenderedPageBreak/>
        <w:t>priori hypotheses of associations, rather than including all variables that were significant in bi</w:t>
      </w:r>
      <w:r>
        <w:rPr>
          <w:lang w:val="en-US"/>
        </w:rPr>
        <w:t>-</w:t>
      </w:r>
      <w:r w:rsidRPr="00B40E31">
        <w:rPr>
          <w:lang w:val="en-US"/>
        </w:rPr>
        <w:t xml:space="preserve">variable analyses or by an automated stepwise approach. </w:t>
      </w:r>
    </w:p>
    <w:p w14:paraId="6856C158" w14:textId="77777777" w:rsidR="00B813A6" w:rsidRPr="00B40E31" w:rsidRDefault="00B813A6" w:rsidP="00B813A6">
      <w:pPr>
        <w:spacing w:line="360" w:lineRule="auto"/>
        <w:rPr>
          <w:lang w:val="en-US"/>
        </w:rPr>
      </w:pPr>
    </w:p>
    <w:p w14:paraId="63444959" w14:textId="77777777" w:rsidR="00B813A6" w:rsidRPr="00B17877" w:rsidRDefault="00B813A6" w:rsidP="00B813A6">
      <w:pPr>
        <w:spacing w:line="360" w:lineRule="auto"/>
        <w:rPr>
          <w:color w:val="000000" w:themeColor="text1"/>
          <w:lang w:val="en-US"/>
        </w:rPr>
      </w:pPr>
      <w:r w:rsidRPr="00B40E31">
        <w:rPr>
          <w:lang w:val="en-US"/>
        </w:rPr>
        <w:t>Some limitations deserve to be mentioned. First of all, the BOLD study is a cross-sectional study, and as s</w:t>
      </w:r>
      <w:r>
        <w:rPr>
          <w:lang w:val="en-US"/>
        </w:rPr>
        <w:t>uch we cannot infer temporality and we have no direct evidence that the CAO was directly responsible for the unemployment.</w:t>
      </w:r>
      <w:r w:rsidRPr="00B40E31">
        <w:rPr>
          <w:lang w:val="en-US"/>
        </w:rPr>
        <w:t xml:space="preserve"> It is not unthinkable that some of the association between </w:t>
      </w:r>
      <w:r>
        <w:rPr>
          <w:lang w:val="en-US"/>
        </w:rPr>
        <w:t>CAO</w:t>
      </w:r>
      <w:r w:rsidRPr="00B40E31">
        <w:rPr>
          <w:lang w:val="en-US"/>
        </w:rPr>
        <w:t xml:space="preserve"> and unemployment is a result of unemployed participants being more susceptible to the disease, even if we have adjusted for education, age and smoking habits. Economic hardship in the form of unemployment can worsen individual unhealthy behaviors including smoking</w:t>
      </w:r>
      <w:r>
        <w:rPr>
          <w:lang w:val="en-US"/>
        </w:rPr>
        <w:t xml:space="preserve"> </w:t>
      </w:r>
      <w:r>
        <w:fldChar w:fldCharType="begin"/>
      </w:r>
      <w:r w:rsidRPr="003A3978">
        <w:rPr>
          <w:lang w:val="en-US"/>
        </w:rPr>
        <w:instrText>ADDIN BEC{Wong et al., 2016, #60310}</w:instrText>
      </w:r>
      <w:r>
        <w:fldChar w:fldCharType="separate"/>
      </w:r>
      <w:r w:rsidRPr="003A3978">
        <w:rPr>
          <w:lang w:val="en-US"/>
        </w:rPr>
        <w:t>(27)</w:t>
      </w:r>
      <w:r>
        <w:fldChar w:fldCharType="end"/>
      </w:r>
      <w:r w:rsidRPr="00B40E31">
        <w:rPr>
          <w:lang w:val="en-US"/>
        </w:rPr>
        <w:t>.</w:t>
      </w:r>
      <w:r>
        <w:rPr>
          <w:lang w:val="en-US"/>
        </w:rPr>
        <w:t xml:space="preserve"> </w:t>
      </w:r>
      <w:r w:rsidRPr="00B40E31">
        <w:rPr>
          <w:lang w:val="en-US"/>
        </w:rPr>
        <w:t xml:space="preserve">Second, </w:t>
      </w:r>
      <w:r>
        <w:rPr>
          <w:lang w:val="en-US"/>
        </w:rPr>
        <w:t>the employment question is based on any paid work in the past year, and does not differentiate between full-time and part-time work. In other words, subjects who have needed to reduce their work participation due to CAO from full-time to part-time will still be defined as in paid work in our analysis. This may lead to an underestimation of associations between CAO and employment</w:t>
      </w:r>
      <w:r w:rsidRPr="00B17877">
        <w:rPr>
          <w:color w:val="000000" w:themeColor="text1"/>
          <w:lang w:val="en-US"/>
        </w:rPr>
        <w:t>. Being able to present absolute rates of disease-related unemployment standardi</w:t>
      </w:r>
      <w:r>
        <w:rPr>
          <w:color w:val="000000" w:themeColor="text1"/>
          <w:lang w:val="en-US"/>
        </w:rPr>
        <w:t>z</w:t>
      </w:r>
      <w:r w:rsidRPr="00B17877">
        <w:rPr>
          <w:color w:val="000000" w:themeColor="text1"/>
          <w:lang w:val="en-US"/>
        </w:rPr>
        <w:t xml:space="preserve">ed at the site population level would have been an advantage, but as our data did not include census information with age distribution details from each site this was not feasible. Future research could preferably include such data for this purpose. Further, lack of a direct question on retirement means </w:t>
      </w:r>
      <w:r>
        <w:rPr>
          <w:lang w:val="en-US"/>
        </w:rPr>
        <w:t xml:space="preserve">that we may have underestimated the problem of unemployment above the age of </w:t>
      </w:r>
      <w:r w:rsidRPr="00B17877">
        <w:rPr>
          <w:color w:val="000000" w:themeColor="text1"/>
          <w:lang w:val="en-US"/>
        </w:rPr>
        <w:t xml:space="preserve">65. Furthermore, our chosen cut-off of 65 years </w:t>
      </w:r>
      <w:r>
        <w:rPr>
          <w:color w:val="000000" w:themeColor="text1"/>
          <w:lang w:val="en-US"/>
        </w:rPr>
        <w:t xml:space="preserve">of </w:t>
      </w:r>
      <w:r w:rsidRPr="00B17877">
        <w:rPr>
          <w:color w:val="000000" w:themeColor="text1"/>
          <w:lang w:val="en-US"/>
        </w:rPr>
        <w:t xml:space="preserve">retirement age may have affected results in both directions. Third, our </w:t>
      </w:r>
      <w:proofErr w:type="spellStart"/>
      <w:r w:rsidRPr="00B17877">
        <w:rPr>
          <w:color w:val="000000" w:themeColor="text1"/>
          <w:lang w:val="en-US"/>
        </w:rPr>
        <w:t>spirometry</w:t>
      </w:r>
      <w:proofErr w:type="spellEnd"/>
      <w:r w:rsidRPr="00B17877">
        <w:rPr>
          <w:color w:val="000000" w:themeColor="text1"/>
          <w:lang w:val="en-US"/>
        </w:rPr>
        <w:t>-derived variables were calculated from the NHANES III reference equation for Caucasians. This is relatively uncontroversial for measures of FEV</w:t>
      </w:r>
      <w:r w:rsidRPr="00B17877">
        <w:rPr>
          <w:color w:val="000000" w:themeColor="text1"/>
          <w:vertAlign w:val="subscript"/>
          <w:lang w:val="en-US"/>
        </w:rPr>
        <w:t>1</w:t>
      </w:r>
      <w:r w:rsidRPr="00B17877">
        <w:rPr>
          <w:color w:val="000000" w:themeColor="text1"/>
          <w:lang w:val="en-US"/>
        </w:rPr>
        <w:t xml:space="preserve">/FVC in the age group 40-65 years as normal values are not strongly associated with ethnicity. Overall, however, prevalence of </w:t>
      </w:r>
      <w:proofErr w:type="spellStart"/>
      <w:r w:rsidRPr="00B17877">
        <w:rPr>
          <w:color w:val="000000" w:themeColor="text1"/>
          <w:lang w:val="en-US"/>
        </w:rPr>
        <w:t>spirometry</w:t>
      </w:r>
      <w:proofErr w:type="spellEnd"/>
      <w:r w:rsidRPr="00B17877">
        <w:rPr>
          <w:color w:val="000000" w:themeColor="text1"/>
          <w:lang w:val="en-US"/>
        </w:rPr>
        <w:t>-defined CAO (FEV1/FVC&lt;LLN) will be slightly lower with NHANES reference values than with the recently recommended GLI (Global Lung</w:t>
      </w:r>
      <w:r>
        <w:rPr>
          <w:color w:val="000000" w:themeColor="text1"/>
          <w:lang w:val="en-US"/>
        </w:rPr>
        <w:t xml:space="preserve"> Function</w:t>
      </w:r>
      <w:r w:rsidRPr="00B17877">
        <w:rPr>
          <w:color w:val="000000" w:themeColor="text1"/>
          <w:lang w:val="en-US"/>
        </w:rPr>
        <w:t xml:space="preserve"> Initiative) reference values </w:t>
      </w:r>
      <w:r>
        <w:fldChar w:fldCharType="begin"/>
      </w:r>
      <w:r w:rsidRPr="003A3978">
        <w:rPr>
          <w:lang w:val="en-US"/>
        </w:rPr>
        <w:instrText>ADDIN BEC{Quanjer et al., 2012, #27454}</w:instrText>
      </w:r>
      <w:r>
        <w:fldChar w:fldCharType="separate"/>
      </w:r>
      <w:r w:rsidRPr="003A3978">
        <w:rPr>
          <w:lang w:val="en-US"/>
        </w:rPr>
        <w:t>(28)</w:t>
      </w:r>
      <w:r>
        <w:fldChar w:fldCharType="end"/>
      </w:r>
      <w:r w:rsidRPr="00B17877">
        <w:rPr>
          <w:color w:val="000000" w:themeColor="text1"/>
          <w:lang w:val="en-US"/>
        </w:rPr>
        <w:t>. The difference would not be large enough for us to expect substantial differences in the associations observed in the present study. If anything, a higher CAO prevalence would lead to larger effects of CAO on unemployment – including more persons with less severe obstruction. The use of NHANES may be more controversial for the measures of FVC than for the measures of the ratio. In this case, we have used FVC as a continuous variable so that the “lower limit of normal” is not an issue and</w:t>
      </w:r>
      <w:r>
        <w:rPr>
          <w:color w:val="000000" w:themeColor="text1"/>
          <w:lang w:val="en-US"/>
        </w:rPr>
        <w:t>,</w:t>
      </w:r>
      <w:r w:rsidRPr="00B17877">
        <w:rPr>
          <w:color w:val="000000" w:themeColor="text1"/>
          <w:lang w:val="en-US"/>
        </w:rPr>
        <w:t xml:space="preserve"> as we have allowed a separate baseline in each </w:t>
      </w:r>
      <w:proofErr w:type="spellStart"/>
      <w:r w:rsidRPr="00B17877">
        <w:rPr>
          <w:color w:val="000000" w:themeColor="text1"/>
          <w:lang w:val="en-US"/>
        </w:rPr>
        <w:t>centre</w:t>
      </w:r>
      <w:proofErr w:type="spellEnd"/>
      <w:r w:rsidRPr="00B17877">
        <w:rPr>
          <w:color w:val="000000" w:themeColor="text1"/>
          <w:lang w:val="en-US"/>
        </w:rPr>
        <w:t xml:space="preserve"> and as most </w:t>
      </w:r>
      <w:proofErr w:type="spellStart"/>
      <w:r w:rsidRPr="00B17877">
        <w:rPr>
          <w:color w:val="000000" w:themeColor="text1"/>
          <w:lang w:val="en-US"/>
        </w:rPr>
        <w:t>centres</w:t>
      </w:r>
      <w:proofErr w:type="spellEnd"/>
      <w:r w:rsidRPr="00B17877">
        <w:rPr>
          <w:color w:val="000000" w:themeColor="text1"/>
          <w:lang w:val="en-US"/>
        </w:rPr>
        <w:t xml:space="preserve"> are ethnically homogeneous</w:t>
      </w:r>
      <w:r>
        <w:rPr>
          <w:color w:val="000000" w:themeColor="text1"/>
          <w:lang w:val="en-US"/>
        </w:rPr>
        <w:t>,</w:t>
      </w:r>
      <w:r w:rsidRPr="00B17877">
        <w:rPr>
          <w:color w:val="000000" w:themeColor="text1"/>
          <w:lang w:val="en-US"/>
        </w:rPr>
        <w:t xml:space="preserve"> this should not present a problem. </w:t>
      </w:r>
      <w:r>
        <w:fldChar w:fldCharType="begin"/>
      </w:r>
      <w:r w:rsidRPr="003A3978">
        <w:rPr>
          <w:lang w:val="en-US"/>
        </w:rPr>
        <w:instrText>ADDIN BEC{Burney and Hooper, 2012, #58747; Hooper and Burney, 2013, #720}</w:instrText>
      </w:r>
      <w:r>
        <w:fldChar w:fldCharType="separate"/>
      </w:r>
      <w:r w:rsidRPr="003A3978">
        <w:rPr>
          <w:lang w:val="en-US"/>
        </w:rPr>
        <w:t>(29, 30)</w:t>
      </w:r>
      <w:r>
        <w:fldChar w:fldCharType="end"/>
      </w:r>
      <w:r w:rsidRPr="00B17877">
        <w:rPr>
          <w:color w:val="000000" w:themeColor="text1"/>
          <w:lang w:val="en-US"/>
        </w:rPr>
        <w:t xml:space="preserve">. Since the main focus of the present study was on associations rather than </w:t>
      </w:r>
      <w:proofErr w:type="spellStart"/>
      <w:r w:rsidRPr="00B17877">
        <w:rPr>
          <w:color w:val="000000" w:themeColor="text1"/>
          <w:lang w:val="en-US"/>
        </w:rPr>
        <w:t>prevalences</w:t>
      </w:r>
      <w:proofErr w:type="spellEnd"/>
      <w:r w:rsidRPr="00B17877">
        <w:rPr>
          <w:color w:val="000000" w:themeColor="text1"/>
          <w:lang w:val="en-US"/>
        </w:rPr>
        <w:t xml:space="preserve">, we chose to implement the same reference values for the whole study population. This may also allow for possible factors that might have </w:t>
      </w:r>
      <w:r w:rsidRPr="00B17877">
        <w:rPr>
          <w:color w:val="000000" w:themeColor="text1"/>
          <w:lang w:val="en-US"/>
        </w:rPr>
        <w:lastRenderedPageBreak/>
        <w:t>affected the lung function at a national level to become apparent instead of being lost with the use of different reference equations at each site. And fourth, regarding study limitation, the registration of never-smokers may have been somewhat exaggerated if there were participants who started smoking recently before study inclusion, but who had not yet gotten to 20 lifetime packs of cigarettes. The risk of this however, would seem small given that the youngest participants included in this study are 40 years old. Lastly, there might be a bias toward more women responding being unemployed in low-to-middle income sites due to cultural differences where women might not have a formal employment, though they attend work and have an informal income.</w:t>
      </w:r>
      <w:r>
        <w:rPr>
          <w:color w:val="000000" w:themeColor="text1"/>
          <w:lang w:val="en-US"/>
        </w:rPr>
        <w:t xml:space="preserve"> This information bias might make the gender difference in risk of being unemployed somewhat higher than the actual risk in these sites, but unfortunately it is beyond the potential of our dataset to disentangle this possible female misclassification. E-table 3 shows that the differences between men and women applied to almost all sites.</w:t>
      </w:r>
    </w:p>
    <w:p w14:paraId="4DBEC940" w14:textId="77777777" w:rsidR="00B813A6" w:rsidRPr="00B17877" w:rsidRDefault="00B813A6" w:rsidP="00B813A6">
      <w:pPr>
        <w:spacing w:line="360" w:lineRule="auto"/>
        <w:rPr>
          <w:color w:val="000000" w:themeColor="text1"/>
          <w:lang w:val="en-US"/>
        </w:rPr>
      </w:pPr>
    </w:p>
    <w:p w14:paraId="2B3B8800" w14:textId="77777777" w:rsidR="00B813A6" w:rsidRPr="00B17877" w:rsidRDefault="00B813A6" w:rsidP="00B813A6">
      <w:pPr>
        <w:spacing w:line="360" w:lineRule="auto"/>
        <w:rPr>
          <w:color w:val="000000" w:themeColor="text1"/>
          <w:lang w:val="en-US"/>
        </w:rPr>
      </w:pPr>
      <w:r>
        <w:rPr>
          <w:lang w:val="en-US"/>
        </w:rPr>
        <w:t xml:space="preserve">The association between CAO and unemployment was significant in overall analyses, but in stratified analyses we observed that the association was likely driven by high-income sites. There may be several reasons for this. Firstly, low-to-middle-income countries may have more prevalent diseases than CAO rendering them vulnerable for unemployment. Secondly, there may be more heterogeneity in low-to-middle-income sites than in high-income sites. Our analyses showed consistent results across the high-income sites that seemed to be more homogeneous than the low-to-middle-income sites where CAO was a risk factor for unemployment in some sites and almost a protective factor against unemployment in other sites. The suspicion was further strengthened by crude meta-analysis, showing significant site heterogeneity in the </w:t>
      </w:r>
      <w:proofErr w:type="spellStart"/>
      <w:r>
        <w:rPr>
          <w:lang w:val="en-US"/>
        </w:rPr>
        <w:t>univariate</w:t>
      </w:r>
      <w:proofErr w:type="spellEnd"/>
      <w:r>
        <w:rPr>
          <w:lang w:val="en-US"/>
        </w:rPr>
        <w:t xml:space="preserve"> association between CAO and unemployment. However, when other covariates were accounted for, the site heterogeneity lost significance. Thirdly, other factors may be more important than health factors for unemployment risk in low-to-middle-income countries. We observed that female gender was an important risk factor for unemployment in these sites, while age and education were important for the high-income sites. Traditional gender roles in low-to-middle-income countries may affect work-life participation to such a degree that they blur the association between health-related factors and unemployment</w:t>
      </w:r>
      <w:r w:rsidRPr="00B17877">
        <w:rPr>
          <w:color w:val="000000" w:themeColor="text1"/>
          <w:lang w:val="en-US"/>
        </w:rPr>
        <w:t xml:space="preserve">. Such large gender differences in work participation were illustrated in our e-Table 3 in the present study. </w:t>
      </w:r>
      <w:r w:rsidRPr="00B17877">
        <w:rPr>
          <w:color w:val="000000" w:themeColor="text1"/>
          <w:lang w:val="en-GB"/>
        </w:rPr>
        <w:t xml:space="preserve">And last, but not least, our results may be an indication of how </w:t>
      </w:r>
      <w:r w:rsidRPr="00B17877">
        <w:rPr>
          <w:color w:val="000000" w:themeColor="text1"/>
          <w:lang w:val="en-US"/>
        </w:rPr>
        <w:t xml:space="preserve">disease burden act differently in high- versus low-to-middle-income sites, due to a strictly economic component. In high-income sites those most severely affected are given the possibility to be economically sustained by the corresponding social security systems, while in low-to-middle income sites such alternatives are few or non-existing. </w:t>
      </w:r>
      <w:r w:rsidRPr="00B17877">
        <w:rPr>
          <w:color w:val="000000" w:themeColor="text1"/>
          <w:lang w:val="en-US"/>
        </w:rPr>
        <w:lastRenderedPageBreak/>
        <w:t xml:space="preserve">While in high-income sites, the welfare system bears the economic burden of disease; in low-to-middle-income sites the humans affected both bear the personal </w:t>
      </w:r>
      <w:r w:rsidRPr="00B813A6">
        <w:rPr>
          <w:i/>
          <w:color w:val="000000" w:themeColor="text1"/>
          <w:lang w:val="en-US"/>
        </w:rPr>
        <w:t>and</w:t>
      </w:r>
      <w:r w:rsidRPr="00B17877">
        <w:rPr>
          <w:color w:val="000000" w:themeColor="text1"/>
          <w:lang w:val="en-US"/>
        </w:rPr>
        <w:t xml:space="preserve"> the economic burden of disease. </w:t>
      </w:r>
    </w:p>
    <w:p w14:paraId="25DD231F" w14:textId="77777777" w:rsidR="00B813A6" w:rsidRPr="00B40E31" w:rsidRDefault="00B813A6" w:rsidP="00B813A6">
      <w:pPr>
        <w:spacing w:line="360" w:lineRule="auto"/>
        <w:rPr>
          <w:lang w:val="en-US"/>
        </w:rPr>
      </w:pPr>
    </w:p>
    <w:p w14:paraId="2F991BCD" w14:textId="77777777" w:rsidR="00B813A6" w:rsidRPr="00B40E31" w:rsidRDefault="00B813A6" w:rsidP="00B813A6">
      <w:pPr>
        <w:spacing w:line="360" w:lineRule="auto"/>
        <w:rPr>
          <w:lang w:val="en-US"/>
        </w:rPr>
      </w:pPr>
      <w:r w:rsidRPr="00B40E31">
        <w:rPr>
          <w:lang w:val="en-US"/>
        </w:rPr>
        <w:t xml:space="preserve">In conclusion, we have found that work-life participation of </w:t>
      </w:r>
      <w:r>
        <w:rPr>
          <w:lang w:val="en-US"/>
        </w:rPr>
        <w:t>subjects with CAO is overall lower than work-life participation of subjects without CAO, and that CAO is associated with unemployment also after adjusting for gender, age, smoking, education, comorbidities and even FVC. There was no significant heterogeneity between sites, although stratified analyses showed that CAO may be of more importance for unemployment in high-income-sites. Our study shows</w:t>
      </w:r>
      <w:r w:rsidRPr="00B40E31">
        <w:rPr>
          <w:lang w:val="en-US"/>
        </w:rPr>
        <w:t xml:space="preserve"> </w:t>
      </w:r>
      <w:r>
        <w:rPr>
          <w:lang w:val="en-US"/>
        </w:rPr>
        <w:t>the</w:t>
      </w:r>
      <w:r w:rsidRPr="00B40E31">
        <w:rPr>
          <w:lang w:val="en-US"/>
        </w:rPr>
        <w:t xml:space="preserve"> risk of unemployment among people with this high-frequent </w:t>
      </w:r>
      <w:r>
        <w:rPr>
          <w:lang w:val="en-US"/>
        </w:rPr>
        <w:t xml:space="preserve">respiratory </w:t>
      </w:r>
      <w:r w:rsidRPr="00B40E31">
        <w:rPr>
          <w:lang w:val="en-US"/>
        </w:rPr>
        <w:t>disease</w:t>
      </w:r>
      <w:r>
        <w:rPr>
          <w:lang w:val="en-US"/>
        </w:rPr>
        <w:t>, and illustrates how CAO</w:t>
      </w:r>
      <w:r w:rsidRPr="00B40E31">
        <w:rPr>
          <w:lang w:val="en-US"/>
        </w:rPr>
        <w:t xml:space="preserve"> considerably impacts productivity an</w:t>
      </w:r>
      <w:r>
        <w:rPr>
          <w:lang w:val="en-US"/>
        </w:rPr>
        <w:t>d social security systems worldwide.</w:t>
      </w:r>
    </w:p>
    <w:p w14:paraId="1FCC6283" w14:textId="77777777" w:rsidR="00B813A6" w:rsidRPr="002E5E5C" w:rsidRDefault="00B813A6" w:rsidP="00B813A6">
      <w:pPr>
        <w:spacing w:line="360" w:lineRule="auto"/>
        <w:rPr>
          <w:lang w:val="en-US"/>
        </w:rPr>
      </w:pPr>
    </w:p>
    <w:p w14:paraId="7EEC09A9" w14:textId="77777777" w:rsidR="00B813A6" w:rsidRPr="002E5E5C" w:rsidRDefault="00B813A6" w:rsidP="00B813A6">
      <w:pPr>
        <w:rPr>
          <w:lang w:val="en-US"/>
        </w:rPr>
      </w:pPr>
    </w:p>
    <w:p w14:paraId="403BA2F0" w14:textId="77777777" w:rsidR="00B813A6" w:rsidRPr="00B40E31" w:rsidRDefault="00B813A6" w:rsidP="00B813A6">
      <w:pPr>
        <w:rPr>
          <w:rFonts w:ascii="Arial Narrow" w:hAnsi="Arial Narrow"/>
          <w:sz w:val="40"/>
          <w:szCs w:val="40"/>
          <w:lang w:val="en-US"/>
        </w:rPr>
      </w:pPr>
      <w:r w:rsidRPr="00B40E31">
        <w:rPr>
          <w:rFonts w:ascii="Arial Narrow" w:hAnsi="Arial Narrow"/>
          <w:sz w:val="40"/>
          <w:szCs w:val="40"/>
          <w:lang w:val="en-US"/>
        </w:rPr>
        <w:t>Acknowledgements</w:t>
      </w:r>
    </w:p>
    <w:p w14:paraId="4AE6A57B" w14:textId="77777777" w:rsidR="00B813A6" w:rsidRPr="00B40E31" w:rsidRDefault="00B813A6" w:rsidP="00B813A6">
      <w:pPr>
        <w:rPr>
          <w:lang w:val="en-US"/>
        </w:rPr>
      </w:pPr>
    </w:p>
    <w:p w14:paraId="0D6746CA" w14:textId="77777777" w:rsidR="00B813A6" w:rsidRDefault="00B813A6" w:rsidP="00B813A6">
      <w:pPr>
        <w:rPr>
          <w:lang w:val="en-US"/>
        </w:rPr>
      </w:pPr>
      <w:r w:rsidRPr="00B40E31">
        <w:rPr>
          <w:lang w:val="en-US"/>
        </w:rPr>
        <w:t>We would like to thank all study participants and researchers at all sites for contributing to the successful execution of this study.</w:t>
      </w:r>
      <w:r>
        <w:rPr>
          <w:lang w:val="en-US"/>
        </w:rPr>
        <w:t xml:space="preserve"> Further on, we are very grateful for the </w:t>
      </w:r>
      <w:proofErr w:type="spellStart"/>
      <w:r>
        <w:rPr>
          <w:lang w:val="en-US"/>
        </w:rPr>
        <w:t>Wellcome</w:t>
      </w:r>
      <w:proofErr w:type="spellEnd"/>
      <w:r>
        <w:rPr>
          <w:lang w:val="en-US"/>
        </w:rPr>
        <w:t xml:space="preserve"> Grant (085790/2/08/2).</w:t>
      </w:r>
    </w:p>
    <w:p w14:paraId="4E136476" w14:textId="77777777" w:rsidR="00B813A6" w:rsidRPr="002E5E5C" w:rsidRDefault="00B813A6" w:rsidP="00B813A6">
      <w:pPr>
        <w:rPr>
          <w:lang w:val="en-US"/>
        </w:rPr>
      </w:pPr>
      <w:r>
        <w:rPr>
          <w:rFonts w:cs="Tahoma"/>
          <w:color w:val="000000" w:themeColor="text1"/>
          <w:lang w:val="en-US"/>
        </w:rPr>
        <w:t xml:space="preserve">Collaborators: Research teams at </w:t>
      </w:r>
      <w:proofErr w:type="spellStart"/>
      <w:r>
        <w:rPr>
          <w:rFonts w:cs="Tahoma"/>
          <w:color w:val="000000" w:themeColor="text1"/>
          <w:lang w:val="en-US"/>
        </w:rPr>
        <w:t>centres</w:t>
      </w:r>
      <w:proofErr w:type="spellEnd"/>
      <w:r>
        <w:rPr>
          <w:rFonts w:cs="Tahoma"/>
          <w:color w:val="000000" w:themeColor="text1"/>
          <w:lang w:val="en-US"/>
        </w:rPr>
        <w:t xml:space="preserve">: </w:t>
      </w:r>
      <w:proofErr w:type="spellStart"/>
      <w:r w:rsidRPr="005A28D6">
        <w:rPr>
          <w:rFonts w:cs="Tahoma"/>
          <w:color w:val="000000" w:themeColor="text1"/>
          <w:lang w:val="en-US"/>
        </w:rPr>
        <w:t>NanShan</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Zhong</w:t>
      </w:r>
      <w:proofErr w:type="spellEnd"/>
      <w:r w:rsidRPr="005A28D6">
        <w:rPr>
          <w:rFonts w:cs="Tahoma"/>
          <w:color w:val="000000" w:themeColor="text1"/>
          <w:lang w:val="en-US"/>
        </w:rPr>
        <w:t xml:space="preserve"> (PI),  </w:t>
      </w:r>
      <w:proofErr w:type="spellStart"/>
      <w:r w:rsidRPr="005A28D6">
        <w:rPr>
          <w:rFonts w:cs="Tahoma"/>
          <w:color w:val="000000" w:themeColor="text1"/>
          <w:lang w:val="en-US"/>
        </w:rPr>
        <w:t>Shengming</w:t>
      </w:r>
      <w:proofErr w:type="spellEnd"/>
      <w:r w:rsidRPr="005A28D6">
        <w:rPr>
          <w:rFonts w:cs="Tahoma"/>
          <w:color w:val="000000" w:themeColor="text1"/>
          <w:lang w:val="en-US"/>
        </w:rPr>
        <w:t xml:space="preserve"> Liu, </w:t>
      </w:r>
      <w:proofErr w:type="spellStart"/>
      <w:r w:rsidRPr="005A28D6">
        <w:rPr>
          <w:rFonts w:cs="Tahoma"/>
          <w:color w:val="000000" w:themeColor="text1"/>
          <w:lang w:val="en-US"/>
        </w:rPr>
        <w:t>Jiachun</w:t>
      </w:r>
      <w:proofErr w:type="spellEnd"/>
      <w:r w:rsidRPr="005A28D6">
        <w:rPr>
          <w:rFonts w:cs="Tahoma"/>
          <w:color w:val="000000" w:themeColor="text1"/>
          <w:lang w:val="en-US"/>
        </w:rPr>
        <w:t xml:space="preserve"> Lu, </w:t>
      </w:r>
      <w:proofErr w:type="spellStart"/>
      <w:r w:rsidRPr="005A28D6">
        <w:rPr>
          <w:rFonts w:cs="Tahoma"/>
          <w:color w:val="000000" w:themeColor="text1"/>
          <w:lang w:val="en-US"/>
        </w:rPr>
        <w:t>Pixin</w:t>
      </w:r>
      <w:proofErr w:type="spellEnd"/>
      <w:r w:rsidRPr="005A28D6">
        <w:rPr>
          <w:rFonts w:cs="Tahoma"/>
          <w:color w:val="000000" w:themeColor="text1"/>
          <w:lang w:val="en-US"/>
        </w:rPr>
        <w:t xml:space="preserve"> Ran, Dali Wang, </w:t>
      </w:r>
      <w:proofErr w:type="spellStart"/>
      <w:r w:rsidRPr="005A28D6">
        <w:rPr>
          <w:rFonts w:cs="Tahoma"/>
          <w:color w:val="000000" w:themeColor="text1"/>
          <w:lang w:val="en-US"/>
        </w:rPr>
        <w:t>Jingping</w:t>
      </w:r>
      <w:proofErr w:type="spellEnd"/>
      <w:r w:rsidRPr="005A28D6">
        <w:rPr>
          <w:rFonts w:cs="Tahoma"/>
          <w:color w:val="000000" w:themeColor="text1"/>
          <w:lang w:val="en-US"/>
        </w:rPr>
        <w:t xml:space="preserve"> Zheng, </w:t>
      </w:r>
      <w:proofErr w:type="spellStart"/>
      <w:r w:rsidRPr="005A28D6">
        <w:rPr>
          <w:rFonts w:cs="Tahoma"/>
          <w:color w:val="000000" w:themeColor="text1"/>
          <w:lang w:val="en-US"/>
        </w:rPr>
        <w:t>Yumin</w:t>
      </w:r>
      <w:proofErr w:type="spellEnd"/>
      <w:r w:rsidRPr="005A28D6">
        <w:rPr>
          <w:rFonts w:cs="Tahoma"/>
          <w:color w:val="000000" w:themeColor="text1"/>
          <w:lang w:val="en-US"/>
        </w:rPr>
        <w:t xml:space="preserve"> Zhou (</w:t>
      </w:r>
      <w:r w:rsidRPr="005A28D6">
        <w:rPr>
          <w:rFonts w:cs="Tahoma"/>
          <w:b/>
          <w:bCs/>
          <w:color w:val="000000" w:themeColor="text1"/>
          <w:lang w:val="en-US"/>
        </w:rPr>
        <w:t>Guangzhou Institute of Respiratory Diseases, Guangzhou Medical College, Guangzhou, China</w:t>
      </w:r>
      <w:r w:rsidRPr="005A28D6">
        <w:rPr>
          <w:rFonts w:cs="Tahoma"/>
          <w:color w:val="000000" w:themeColor="text1"/>
          <w:lang w:val="en-US"/>
        </w:rPr>
        <w:t xml:space="preserve">); Ali </w:t>
      </w:r>
      <w:proofErr w:type="spellStart"/>
      <w:r w:rsidRPr="005A28D6">
        <w:rPr>
          <w:rFonts w:cs="Tahoma"/>
          <w:color w:val="000000" w:themeColor="text1"/>
          <w:lang w:val="en-US"/>
        </w:rPr>
        <w:t>Kocaba</w:t>
      </w:r>
      <w:r w:rsidRPr="005A28D6">
        <w:rPr>
          <w:rFonts w:ascii="Times New Roman" w:hAnsi="Times New Roman"/>
          <w:color w:val="000000" w:themeColor="text1"/>
          <w:lang w:val="en-US"/>
        </w:rPr>
        <w:t>ş</w:t>
      </w:r>
      <w:proofErr w:type="spellEnd"/>
      <w:r w:rsidRPr="005A28D6">
        <w:rPr>
          <w:rFonts w:cs="Tahoma"/>
          <w:color w:val="000000" w:themeColor="text1"/>
          <w:lang w:val="en-US"/>
        </w:rPr>
        <w:t xml:space="preserve"> (PI),  Attila </w:t>
      </w:r>
      <w:proofErr w:type="spellStart"/>
      <w:r w:rsidRPr="005A28D6">
        <w:rPr>
          <w:rFonts w:cs="Tahoma"/>
          <w:color w:val="000000" w:themeColor="text1"/>
          <w:lang w:val="en-US"/>
        </w:rPr>
        <w:t>Hancioglu</w:t>
      </w:r>
      <w:proofErr w:type="spellEnd"/>
      <w:r w:rsidRPr="005A28D6">
        <w:rPr>
          <w:rFonts w:cs="Tahoma"/>
          <w:color w:val="000000" w:themeColor="text1"/>
          <w:lang w:val="en-US"/>
        </w:rPr>
        <w:t xml:space="preserve">,  Ismail Hanta, </w:t>
      </w:r>
      <w:proofErr w:type="spellStart"/>
      <w:r w:rsidRPr="005A28D6">
        <w:rPr>
          <w:rFonts w:cs="Tahoma"/>
          <w:color w:val="000000" w:themeColor="text1"/>
          <w:lang w:val="en-US"/>
        </w:rPr>
        <w:t>Sedat</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Kuleci</w:t>
      </w:r>
      <w:proofErr w:type="spellEnd"/>
      <w:r w:rsidRPr="005A28D6">
        <w:rPr>
          <w:rFonts w:cs="Tahoma"/>
          <w:color w:val="000000" w:themeColor="text1"/>
          <w:lang w:val="en-US"/>
        </w:rPr>
        <w:t xml:space="preserve">, Ahmet Sinan </w:t>
      </w:r>
      <w:proofErr w:type="spellStart"/>
      <w:r w:rsidRPr="005A28D6">
        <w:rPr>
          <w:rFonts w:cs="Tahoma"/>
          <w:color w:val="000000" w:themeColor="text1"/>
          <w:lang w:val="en-US"/>
        </w:rPr>
        <w:t>Turkyilmaz</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Sema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Umut</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Turgay</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Unalan</w:t>
      </w:r>
      <w:proofErr w:type="spellEnd"/>
      <w:r w:rsidRPr="005A28D6">
        <w:rPr>
          <w:rFonts w:cs="Tahoma"/>
          <w:color w:val="000000" w:themeColor="text1"/>
          <w:lang w:val="en-US"/>
        </w:rPr>
        <w:t>  (</w:t>
      </w:r>
      <w:proofErr w:type="spellStart"/>
      <w:r w:rsidRPr="005A28D6">
        <w:rPr>
          <w:rFonts w:cs="Tahoma"/>
          <w:b/>
          <w:bCs/>
          <w:color w:val="000000" w:themeColor="text1"/>
          <w:lang w:val="en-US"/>
        </w:rPr>
        <w:t>Cukurova</w:t>
      </w:r>
      <w:proofErr w:type="spellEnd"/>
      <w:r w:rsidRPr="005A28D6">
        <w:rPr>
          <w:rFonts w:cs="Tahoma"/>
          <w:b/>
          <w:bCs/>
          <w:color w:val="000000" w:themeColor="text1"/>
          <w:lang w:val="en-US"/>
        </w:rPr>
        <w:t xml:space="preserve"> University School of Medicine, Department of Chest Diseases, Adana, Turkey</w:t>
      </w:r>
      <w:r w:rsidRPr="005A28D6">
        <w:rPr>
          <w:rFonts w:cs="Tahoma"/>
          <w:color w:val="000000" w:themeColor="text1"/>
          <w:lang w:val="en-US"/>
        </w:rPr>
        <w:t xml:space="preserve">); Michael Studnicka (PI), </w:t>
      </w:r>
      <w:proofErr w:type="spellStart"/>
      <w:r w:rsidRPr="005A28D6">
        <w:rPr>
          <w:rFonts w:cs="Tahoma"/>
          <w:color w:val="000000" w:themeColor="text1"/>
          <w:lang w:val="en-US"/>
        </w:rPr>
        <w:t>Torkil</w:t>
      </w:r>
      <w:proofErr w:type="spellEnd"/>
      <w:r w:rsidRPr="005A28D6">
        <w:rPr>
          <w:rFonts w:cs="Tahoma"/>
          <w:color w:val="000000" w:themeColor="text1"/>
          <w:lang w:val="en-US"/>
        </w:rPr>
        <w:t xml:space="preserve"> Dawes, Bernd Lamprecht, Lea </w:t>
      </w:r>
      <w:proofErr w:type="spellStart"/>
      <w:r w:rsidRPr="005A28D6">
        <w:rPr>
          <w:rFonts w:cs="Tahoma"/>
          <w:color w:val="000000" w:themeColor="text1"/>
          <w:lang w:val="en-US"/>
        </w:rPr>
        <w:t>Schirhofer</w:t>
      </w:r>
      <w:proofErr w:type="spellEnd"/>
      <w:r w:rsidRPr="005A28D6">
        <w:rPr>
          <w:rFonts w:cs="Tahoma"/>
          <w:color w:val="000000" w:themeColor="text1"/>
          <w:lang w:val="en-US"/>
        </w:rPr>
        <w:t xml:space="preserve"> (</w:t>
      </w:r>
      <w:r w:rsidRPr="005A28D6">
        <w:rPr>
          <w:rFonts w:cs="Tahoma"/>
          <w:b/>
          <w:bCs/>
          <w:color w:val="000000" w:themeColor="text1"/>
          <w:lang w:val="en-US"/>
        </w:rPr>
        <w:t>Paracelsus Medical University, Department of Pulmonary Medicine, Salzburg Austria</w:t>
      </w:r>
      <w:r w:rsidRPr="005A28D6">
        <w:rPr>
          <w:rFonts w:cs="Tahoma"/>
          <w:color w:val="000000" w:themeColor="text1"/>
          <w:lang w:val="en-US"/>
        </w:rPr>
        <w:t xml:space="preserve">); Eric Bateman (PI), </w:t>
      </w:r>
      <w:proofErr w:type="spellStart"/>
      <w:r w:rsidRPr="005A28D6">
        <w:rPr>
          <w:rFonts w:cs="Tahoma"/>
          <w:color w:val="000000" w:themeColor="text1"/>
          <w:lang w:val="en-US"/>
        </w:rPr>
        <w:t>Anamika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Jithoo</w:t>
      </w:r>
      <w:proofErr w:type="spellEnd"/>
      <w:r w:rsidRPr="005A28D6">
        <w:rPr>
          <w:rFonts w:cs="Tahoma"/>
          <w:color w:val="000000" w:themeColor="text1"/>
          <w:lang w:val="en-US"/>
        </w:rPr>
        <w:t xml:space="preserve"> (PI), Desiree Adams, Edward Barnes, Jasper Freeman, Anton Hayes, </w:t>
      </w:r>
      <w:proofErr w:type="spellStart"/>
      <w:r w:rsidRPr="005A28D6">
        <w:rPr>
          <w:rFonts w:cs="Tahoma"/>
          <w:color w:val="000000" w:themeColor="text1"/>
          <w:lang w:val="en-US"/>
        </w:rPr>
        <w:t>Sipho</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Hlengwa</w:t>
      </w:r>
      <w:proofErr w:type="spellEnd"/>
      <w:r w:rsidRPr="005A28D6">
        <w:rPr>
          <w:rFonts w:cs="Tahoma"/>
          <w:color w:val="000000" w:themeColor="text1"/>
          <w:lang w:val="en-US"/>
        </w:rPr>
        <w:t xml:space="preserve">, Christine </w:t>
      </w:r>
      <w:proofErr w:type="spellStart"/>
      <w:r w:rsidRPr="005A28D6">
        <w:rPr>
          <w:rFonts w:cs="Tahoma"/>
          <w:color w:val="000000" w:themeColor="text1"/>
          <w:lang w:val="en-US"/>
        </w:rPr>
        <w:t>Johannisen</w:t>
      </w:r>
      <w:proofErr w:type="spellEnd"/>
      <w:r w:rsidRPr="005A28D6">
        <w:rPr>
          <w:rFonts w:cs="Tahoma"/>
          <w:color w:val="000000" w:themeColor="text1"/>
          <w:lang w:val="en-US"/>
        </w:rPr>
        <w:t xml:space="preserve">, Mariana </w:t>
      </w:r>
      <w:proofErr w:type="spellStart"/>
      <w:r w:rsidRPr="005A28D6">
        <w:rPr>
          <w:rFonts w:cs="Tahoma"/>
          <w:color w:val="000000" w:themeColor="text1"/>
          <w:lang w:val="en-US"/>
        </w:rPr>
        <w:t>Koopman</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Innocentia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Louw</w:t>
      </w:r>
      <w:proofErr w:type="spellEnd"/>
      <w:r w:rsidRPr="005A28D6">
        <w:rPr>
          <w:rFonts w:cs="Tahoma"/>
          <w:color w:val="000000" w:themeColor="text1"/>
          <w:lang w:val="en-US"/>
        </w:rPr>
        <w:t xml:space="preserve">, Ina </w:t>
      </w:r>
      <w:proofErr w:type="spellStart"/>
      <w:r w:rsidRPr="005A28D6">
        <w:rPr>
          <w:rFonts w:cs="Tahoma"/>
          <w:color w:val="000000" w:themeColor="text1"/>
          <w:lang w:val="en-US"/>
        </w:rPr>
        <w:t>Ludick</w:t>
      </w:r>
      <w:proofErr w:type="spellEnd"/>
      <w:r w:rsidRPr="005A28D6">
        <w:rPr>
          <w:rFonts w:cs="Tahoma"/>
          <w:color w:val="000000" w:themeColor="text1"/>
          <w:lang w:val="en-US"/>
        </w:rPr>
        <w:t xml:space="preserve">, Alta </w:t>
      </w:r>
      <w:proofErr w:type="spellStart"/>
      <w:r w:rsidRPr="005A28D6">
        <w:rPr>
          <w:rFonts w:cs="Tahoma"/>
          <w:color w:val="000000" w:themeColor="text1"/>
          <w:lang w:val="en-US"/>
        </w:rPr>
        <w:t>Olckers</w:t>
      </w:r>
      <w:proofErr w:type="spellEnd"/>
      <w:r w:rsidRPr="005A28D6">
        <w:rPr>
          <w:rFonts w:cs="Tahoma"/>
          <w:color w:val="000000" w:themeColor="text1"/>
          <w:lang w:val="en-US"/>
        </w:rPr>
        <w:t xml:space="preserve">, Johanna </w:t>
      </w:r>
      <w:proofErr w:type="spellStart"/>
      <w:r w:rsidRPr="005A28D6">
        <w:rPr>
          <w:rFonts w:cs="Tahoma"/>
          <w:color w:val="000000" w:themeColor="text1"/>
          <w:lang w:val="en-US"/>
        </w:rPr>
        <w:t>Ryck</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Janita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Storbeck</w:t>
      </w:r>
      <w:proofErr w:type="spellEnd"/>
      <w:r w:rsidRPr="005A28D6">
        <w:rPr>
          <w:rFonts w:cs="Tahoma"/>
          <w:color w:val="000000" w:themeColor="text1"/>
          <w:lang w:val="en-US"/>
        </w:rPr>
        <w:t>, (</w:t>
      </w:r>
      <w:r w:rsidRPr="005A28D6">
        <w:rPr>
          <w:rFonts w:cs="Tahoma"/>
          <w:b/>
          <w:bCs/>
          <w:color w:val="000000" w:themeColor="text1"/>
          <w:lang w:val="en-US"/>
        </w:rPr>
        <w:t>University of Cape Town Lung Institute, Cape Town, South Africa</w:t>
      </w:r>
      <w:r w:rsidRPr="005A28D6">
        <w:rPr>
          <w:rFonts w:cs="Tahoma"/>
          <w:color w:val="000000" w:themeColor="text1"/>
          <w:lang w:val="en-US"/>
        </w:rPr>
        <w:t xml:space="preserve">); </w:t>
      </w:r>
      <w:proofErr w:type="spellStart"/>
      <w:r w:rsidRPr="005A28D6">
        <w:rPr>
          <w:rFonts w:cs="Tahoma"/>
          <w:color w:val="000000" w:themeColor="text1"/>
          <w:lang w:val="en-US"/>
        </w:rPr>
        <w:t>Thorarinn</w:t>
      </w:r>
      <w:proofErr w:type="spellEnd"/>
      <w:r w:rsidRPr="005A28D6">
        <w:rPr>
          <w:rFonts w:cs="Tahoma"/>
          <w:color w:val="000000" w:themeColor="text1"/>
          <w:lang w:val="en-US"/>
        </w:rPr>
        <w:t xml:space="preserve"> Gislason (PI), </w:t>
      </w:r>
      <w:proofErr w:type="spellStart"/>
      <w:r w:rsidRPr="005A28D6">
        <w:rPr>
          <w:rFonts w:cs="Tahoma"/>
          <w:color w:val="000000" w:themeColor="text1"/>
          <w:lang w:val="en-US"/>
        </w:rPr>
        <w:t>Bryndis</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Benedikdtsdottir</w:t>
      </w:r>
      <w:proofErr w:type="spellEnd"/>
      <w:r w:rsidRPr="005A28D6">
        <w:rPr>
          <w:rFonts w:cs="Tahoma"/>
          <w:color w:val="000000" w:themeColor="text1"/>
          <w:lang w:val="en-US"/>
        </w:rPr>
        <w:t xml:space="preserve">, Kristin </w:t>
      </w:r>
      <w:proofErr w:type="spellStart"/>
      <w:r w:rsidRPr="005A28D6">
        <w:rPr>
          <w:rFonts w:cs="Tahoma"/>
          <w:color w:val="000000" w:themeColor="text1"/>
          <w:lang w:val="en-US"/>
        </w:rPr>
        <w:t>Jörundsdottir</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Lovisa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Gudmundsdottir</w:t>
      </w:r>
      <w:proofErr w:type="spellEnd"/>
      <w:r w:rsidRPr="005A28D6">
        <w:rPr>
          <w:rFonts w:cs="Tahoma"/>
          <w:color w:val="000000" w:themeColor="text1"/>
          <w:lang w:val="en-US"/>
        </w:rPr>
        <w:t xml:space="preserve">, Sigrun </w:t>
      </w:r>
      <w:proofErr w:type="spellStart"/>
      <w:r w:rsidRPr="005A28D6">
        <w:rPr>
          <w:rFonts w:cs="Tahoma"/>
          <w:color w:val="000000" w:themeColor="text1"/>
          <w:lang w:val="en-US"/>
        </w:rPr>
        <w:t>Gudmundsdottir</w:t>
      </w:r>
      <w:proofErr w:type="spellEnd"/>
      <w:r w:rsidRPr="005A28D6">
        <w:rPr>
          <w:rFonts w:cs="Tahoma"/>
          <w:color w:val="000000" w:themeColor="text1"/>
          <w:lang w:val="en-US"/>
        </w:rPr>
        <w:t xml:space="preserve">, Gunnar </w:t>
      </w:r>
      <w:proofErr w:type="spellStart"/>
      <w:r w:rsidRPr="005A28D6">
        <w:rPr>
          <w:rFonts w:cs="Tahoma"/>
          <w:color w:val="000000" w:themeColor="text1"/>
          <w:lang w:val="en-US"/>
        </w:rPr>
        <w:t>Gundmundsson</w:t>
      </w:r>
      <w:proofErr w:type="spellEnd"/>
      <w:r w:rsidRPr="005A28D6">
        <w:rPr>
          <w:rFonts w:cs="Tahoma"/>
          <w:color w:val="000000" w:themeColor="text1"/>
          <w:lang w:val="en-US"/>
        </w:rPr>
        <w:t>, (</w:t>
      </w:r>
      <w:proofErr w:type="spellStart"/>
      <w:r w:rsidRPr="005A28D6">
        <w:rPr>
          <w:rFonts w:cs="Tahoma"/>
          <w:b/>
          <w:bCs/>
          <w:color w:val="000000" w:themeColor="text1"/>
          <w:lang w:val="en-US"/>
        </w:rPr>
        <w:t>Landspitali</w:t>
      </w:r>
      <w:proofErr w:type="spellEnd"/>
      <w:r w:rsidRPr="005A28D6">
        <w:rPr>
          <w:rFonts w:cs="Tahoma"/>
          <w:b/>
          <w:bCs/>
          <w:color w:val="000000" w:themeColor="text1"/>
          <w:lang w:val="en-US"/>
        </w:rPr>
        <w:t xml:space="preserve"> University Hospital, Dept. of Allergy, Respiratory Medicine and Sleep, Reykjavik, Iceland</w:t>
      </w:r>
      <w:r w:rsidRPr="005A28D6">
        <w:rPr>
          <w:rFonts w:cs="Tahoma"/>
          <w:color w:val="000000" w:themeColor="text1"/>
          <w:lang w:val="en-US"/>
        </w:rPr>
        <w:t xml:space="preserve">); </w:t>
      </w:r>
      <w:proofErr w:type="spellStart"/>
      <w:r w:rsidRPr="005A28D6">
        <w:rPr>
          <w:rFonts w:cs="Tahoma"/>
          <w:color w:val="000000" w:themeColor="text1"/>
          <w:lang w:val="en-US"/>
        </w:rPr>
        <w:t>Ewa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Nizankowska-Mogilnicka</w:t>
      </w:r>
      <w:proofErr w:type="spellEnd"/>
      <w:r w:rsidRPr="005A28D6">
        <w:rPr>
          <w:rFonts w:cs="Tahoma"/>
          <w:color w:val="000000" w:themeColor="text1"/>
          <w:lang w:val="en-US"/>
        </w:rPr>
        <w:t xml:space="preserve"> (PI) , Jakub Frey, </w:t>
      </w:r>
      <w:proofErr w:type="spellStart"/>
      <w:r w:rsidRPr="005A28D6">
        <w:rPr>
          <w:rFonts w:cs="Tahoma"/>
          <w:color w:val="000000" w:themeColor="text1"/>
          <w:lang w:val="en-US"/>
        </w:rPr>
        <w:t>Rafal</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Harat</w:t>
      </w:r>
      <w:proofErr w:type="spellEnd"/>
      <w:r w:rsidRPr="005A28D6">
        <w:rPr>
          <w:rFonts w:cs="Tahoma"/>
          <w:color w:val="000000" w:themeColor="text1"/>
          <w:lang w:val="en-US"/>
        </w:rPr>
        <w:t xml:space="preserve">, Filip Mejza, Pawel Nastalek, Andrzej </w:t>
      </w:r>
      <w:proofErr w:type="spellStart"/>
      <w:r w:rsidRPr="005A28D6">
        <w:rPr>
          <w:rFonts w:cs="Tahoma"/>
          <w:color w:val="000000" w:themeColor="text1"/>
          <w:lang w:val="en-US"/>
        </w:rPr>
        <w:t>Pajak</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Wojciech</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Skucha</w:t>
      </w:r>
      <w:proofErr w:type="spellEnd"/>
      <w:r w:rsidRPr="005A28D6">
        <w:rPr>
          <w:rFonts w:cs="Tahoma"/>
          <w:color w:val="000000" w:themeColor="text1"/>
          <w:lang w:val="en-US"/>
        </w:rPr>
        <w:t xml:space="preserve">, Andrzej </w:t>
      </w:r>
      <w:proofErr w:type="spellStart"/>
      <w:r w:rsidRPr="005A28D6">
        <w:rPr>
          <w:rFonts w:cs="Tahoma"/>
          <w:color w:val="000000" w:themeColor="text1"/>
          <w:lang w:val="en-US"/>
        </w:rPr>
        <w:t>Szczeklik,Magda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Twardowska</w:t>
      </w:r>
      <w:proofErr w:type="spellEnd"/>
      <w:r w:rsidRPr="005A28D6">
        <w:rPr>
          <w:rFonts w:cs="Tahoma"/>
          <w:color w:val="000000" w:themeColor="text1"/>
          <w:lang w:val="en-US"/>
        </w:rPr>
        <w:t>, (</w:t>
      </w:r>
      <w:r w:rsidRPr="005A28D6">
        <w:rPr>
          <w:rFonts w:cs="Tahoma"/>
          <w:b/>
          <w:bCs/>
          <w:color w:val="000000" w:themeColor="text1"/>
          <w:lang w:val="en-US"/>
        </w:rPr>
        <w:t xml:space="preserve">Division of Pulmonary Diseases, Department of Medicine, </w:t>
      </w:r>
      <w:proofErr w:type="spellStart"/>
      <w:r w:rsidRPr="005A28D6">
        <w:rPr>
          <w:rFonts w:cs="Tahoma"/>
          <w:b/>
          <w:bCs/>
          <w:color w:val="000000" w:themeColor="text1"/>
          <w:lang w:val="en-US"/>
        </w:rPr>
        <w:t>Jagiellonian</w:t>
      </w:r>
      <w:proofErr w:type="spellEnd"/>
      <w:r w:rsidRPr="005A28D6">
        <w:rPr>
          <w:rFonts w:cs="Tahoma"/>
          <w:b/>
          <w:bCs/>
          <w:color w:val="000000" w:themeColor="text1"/>
          <w:lang w:val="en-US"/>
        </w:rPr>
        <w:t xml:space="preserve"> University School of Medicine, Cracow, Poland</w:t>
      </w:r>
      <w:r w:rsidRPr="005A28D6">
        <w:rPr>
          <w:rFonts w:cs="Tahoma"/>
          <w:color w:val="000000" w:themeColor="text1"/>
          <w:lang w:val="en-US"/>
        </w:rPr>
        <w:t xml:space="preserve">); Tobias </w:t>
      </w:r>
      <w:proofErr w:type="spellStart"/>
      <w:r w:rsidRPr="005A28D6">
        <w:rPr>
          <w:rFonts w:cs="Tahoma"/>
          <w:color w:val="000000" w:themeColor="text1"/>
          <w:lang w:val="en-US"/>
        </w:rPr>
        <w:t>Welte</w:t>
      </w:r>
      <w:proofErr w:type="spellEnd"/>
      <w:r w:rsidRPr="005A28D6">
        <w:rPr>
          <w:rFonts w:cs="Tahoma"/>
          <w:color w:val="000000" w:themeColor="text1"/>
          <w:lang w:val="en-US"/>
        </w:rPr>
        <w:t xml:space="preserve"> (PI), Isabelle </w:t>
      </w:r>
      <w:proofErr w:type="spellStart"/>
      <w:r w:rsidRPr="005A28D6">
        <w:rPr>
          <w:rFonts w:cs="Tahoma"/>
          <w:color w:val="000000" w:themeColor="text1"/>
          <w:lang w:val="en-US"/>
        </w:rPr>
        <w:t>Bodemann</w:t>
      </w:r>
      <w:proofErr w:type="spellEnd"/>
      <w:r w:rsidRPr="005A28D6">
        <w:rPr>
          <w:rFonts w:cs="Tahoma"/>
          <w:color w:val="000000" w:themeColor="text1"/>
          <w:lang w:val="en-US"/>
        </w:rPr>
        <w:t xml:space="preserve">, Henning </w:t>
      </w:r>
      <w:proofErr w:type="spellStart"/>
      <w:r w:rsidRPr="005A28D6">
        <w:rPr>
          <w:rFonts w:cs="Tahoma"/>
          <w:color w:val="000000" w:themeColor="text1"/>
          <w:lang w:val="en-US"/>
        </w:rPr>
        <w:t>Geldmacher</w:t>
      </w:r>
      <w:proofErr w:type="spellEnd"/>
      <w:r w:rsidRPr="005A28D6">
        <w:rPr>
          <w:rFonts w:cs="Tahoma"/>
          <w:color w:val="000000" w:themeColor="text1"/>
          <w:lang w:val="en-US"/>
        </w:rPr>
        <w:t xml:space="preserve">, Alexandra </w:t>
      </w:r>
      <w:proofErr w:type="spellStart"/>
      <w:r w:rsidRPr="005A28D6">
        <w:rPr>
          <w:rFonts w:cs="Tahoma"/>
          <w:color w:val="000000" w:themeColor="text1"/>
          <w:lang w:val="en-US"/>
        </w:rPr>
        <w:t>Schweda-Linow</w:t>
      </w:r>
      <w:proofErr w:type="spellEnd"/>
      <w:r w:rsidRPr="005A28D6">
        <w:rPr>
          <w:rFonts w:cs="Tahoma"/>
          <w:color w:val="000000" w:themeColor="text1"/>
          <w:lang w:val="en-US"/>
        </w:rPr>
        <w:t xml:space="preserve"> (</w:t>
      </w:r>
      <w:r w:rsidRPr="005A28D6">
        <w:rPr>
          <w:rFonts w:cs="Tahoma"/>
          <w:b/>
          <w:bCs/>
          <w:color w:val="000000" w:themeColor="text1"/>
          <w:lang w:val="en-US"/>
        </w:rPr>
        <w:t>Hannover Medical School, Hannover, Germany</w:t>
      </w:r>
      <w:r w:rsidRPr="005A28D6">
        <w:rPr>
          <w:rFonts w:cs="Tahoma"/>
          <w:color w:val="000000" w:themeColor="text1"/>
          <w:lang w:val="en-US"/>
        </w:rPr>
        <w:t xml:space="preserve">); </w:t>
      </w:r>
      <w:proofErr w:type="spellStart"/>
      <w:r w:rsidRPr="005A28D6">
        <w:rPr>
          <w:rFonts w:cs="Tahoma"/>
          <w:color w:val="000000" w:themeColor="text1"/>
          <w:lang w:val="en-US"/>
        </w:rPr>
        <w:t>Amund</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Gulsvik</w:t>
      </w:r>
      <w:proofErr w:type="spellEnd"/>
      <w:r w:rsidRPr="005A28D6">
        <w:rPr>
          <w:rFonts w:cs="Tahoma"/>
          <w:color w:val="000000" w:themeColor="text1"/>
          <w:lang w:val="en-US"/>
        </w:rPr>
        <w:t xml:space="preserve"> (PI), Tina </w:t>
      </w:r>
      <w:proofErr w:type="spellStart"/>
      <w:r w:rsidRPr="005A28D6">
        <w:rPr>
          <w:rFonts w:cs="Tahoma"/>
          <w:color w:val="000000" w:themeColor="text1"/>
          <w:lang w:val="en-US"/>
        </w:rPr>
        <w:t>Endresen</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Lene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Svendsen</w:t>
      </w:r>
      <w:proofErr w:type="spellEnd"/>
      <w:r w:rsidRPr="005A28D6">
        <w:rPr>
          <w:rFonts w:cs="Tahoma"/>
          <w:color w:val="000000" w:themeColor="text1"/>
          <w:lang w:val="en-US"/>
        </w:rPr>
        <w:t xml:space="preserve"> (</w:t>
      </w:r>
      <w:r w:rsidRPr="005A28D6">
        <w:rPr>
          <w:rFonts w:cs="Tahoma"/>
          <w:b/>
          <w:bCs/>
          <w:color w:val="000000" w:themeColor="text1"/>
          <w:lang w:val="en-US"/>
        </w:rPr>
        <w:t>Department of Thoracic Medicine, Institute of Medicine, University of Bergen, Bergen, Norway</w:t>
      </w:r>
      <w:r w:rsidRPr="005A28D6">
        <w:rPr>
          <w:rFonts w:cs="Tahoma"/>
          <w:color w:val="000000" w:themeColor="text1"/>
          <w:lang w:val="en-US"/>
        </w:rPr>
        <w:t>); Wan C. Tan (PI), Wen Wang (</w:t>
      </w:r>
      <w:proofErr w:type="spellStart"/>
      <w:r w:rsidRPr="005A28D6">
        <w:rPr>
          <w:rFonts w:cs="Tahoma"/>
          <w:b/>
          <w:bCs/>
          <w:color w:val="000000" w:themeColor="text1"/>
          <w:lang w:val="en-US"/>
        </w:rPr>
        <w:t>iCapture</w:t>
      </w:r>
      <w:proofErr w:type="spellEnd"/>
      <w:r w:rsidRPr="005A28D6">
        <w:rPr>
          <w:rFonts w:cs="Tahoma"/>
          <w:b/>
          <w:bCs/>
          <w:color w:val="000000" w:themeColor="text1"/>
          <w:lang w:val="en-US"/>
        </w:rPr>
        <w:t xml:space="preserve"> Center for Cardiovascular and Pulmonary Research, University of British Columbia, Vancouver, BC, Canada</w:t>
      </w:r>
      <w:r w:rsidRPr="005A28D6">
        <w:rPr>
          <w:rFonts w:cs="Tahoma"/>
          <w:color w:val="000000" w:themeColor="text1"/>
          <w:lang w:val="en-US"/>
        </w:rPr>
        <w:t xml:space="preserve">); David M. Mannino (PI), John Cain, Rebecca Copeland, Dana Hazen, Jennifer </w:t>
      </w:r>
      <w:proofErr w:type="spellStart"/>
      <w:r w:rsidRPr="005A28D6">
        <w:rPr>
          <w:rFonts w:cs="Tahoma"/>
          <w:color w:val="000000" w:themeColor="text1"/>
          <w:lang w:val="en-US"/>
        </w:rPr>
        <w:t>Methvin</w:t>
      </w:r>
      <w:proofErr w:type="spellEnd"/>
      <w:r w:rsidRPr="005A28D6">
        <w:rPr>
          <w:rFonts w:cs="Tahoma"/>
          <w:color w:val="000000" w:themeColor="text1"/>
          <w:lang w:val="en-US"/>
        </w:rPr>
        <w:t>, (</w:t>
      </w:r>
      <w:r w:rsidRPr="005A28D6">
        <w:rPr>
          <w:rFonts w:cs="Tahoma"/>
          <w:b/>
          <w:bCs/>
          <w:color w:val="000000" w:themeColor="text1"/>
          <w:lang w:val="en-US"/>
        </w:rPr>
        <w:t>University of Kentucky, Lexington, Kentucky, USA</w:t>
      </w:r>
      <w:r w:rsidRPr="005A28D6">
        <w:rPr>
          <w:rFonts w:cs="Tahoma"/>
          <w:color w:val="000000" w:themeColor="text1"/>
          <w:lang w:val="en-US"/>
        </w:rPr>
        <w:t xml:space="preserve">); Renato B. </w:t>
      </w:r>
      <w:proofErr w:type="spellStart"/>
      <w:r w:rsidRPr="005A28D6">
        <w:rPr>
          <w:rFonts w:cs="Tahoma"/>
          <w:color w:val="000000" w:themeColor="text1"/>
          <w:lang w:val="en-US"/>
        </w:rPr>
        <w:t>Dantes</w:t>
      </w:r>
      <w:proofErr w:type="spellEnd"/>
      <w:r w:rsidRPr="005A28D6">
        <w:rPr>
          <w:rFonts w:cs="Tahoma"/>
          <w:color w:val="000000" w:themeColor="text1"/>
          <w:lang w:val="en-US"/>
        </w:rPr>
        <w:t xml:space="preserve"> (PI), Lourdes Amarillo, </w:t>
      </w:r>
      <w:proofErr w:type="spellStart"/>
      <w:r w:rsidRPr="005A28D6">
        <w:rPr>
          <w:rFonts w:cs="Tahoma"/>
          <w:color w:val="000000" w:themeColor="text1"/>
          <w:lang w:val="en-US"/>
        </w:rPr>
        <w:t>Lakan</w:t>
      </w:r>
      <w:proofErr w:type="spellEnd"/>
      <w:r w:rsidRPr="005A28D6">
        <w:rPr>
          <w:rFonts w:cs="Tahoma"/>
          <w:color w:val="000000" w:themeColor="text1"/>
          <w:lang w:val="en-US"/>
        </w:rPr>
        <w:t xml:space="preserve"> U. </w:t>
      </w:r>
      <w:proofErr w:type="spellStart"/>
      <w:r w:rsidRPr="005A28D6">
        <w:rPr>
          <w:rFonts w:cs="Tahoma"/>
          <w:color w:val="000000" w:themeColor="text1"/>
          <w:lang w:val="en-US"/>
        </w:rPr>
        <w:t>Berratio</w:t>
      </w:r>
      <w:proofErr w:type="spellEnd"/>
      <w:r w:rsidRPr="005A28D6">
        <w:rPr>
          <w:rFonts w:cs="Tahoma"/>
          <w:color w:val="000000" w:themeColor="text1"/>
          <w:lang w:val="en-US"/>
        </w:rPr>
        <w:t xml:space="preserve">, Lenora C. Fernandez, Norberto A. Francisco, Gerard S. Garcia, Teresita S. de Guia, Luisito F. Idolor, </w:t>
      </w:r>
      <w:proofErr w:type="spellStart"/>
      <w:r w:rsidRPr="005A28D6">
        <w:rPr>
          <w:rFonts w:cs="Tahoma"/>
          <w:color w:val="000000" w:themeColor="text1"/>
          <w:lang w:val="en-US"/>
        </w:rPr>
        <w:t>Sullian</w:t>
      </w:r>
      <w:proofErr w:type="spellEnd"/>
      <w:r w:rsidRPr="005A28D6">
        <w:rPr>
          <w:rFonts w:cs="Tahoma"/>
          <w:color w:val="000000" w:themeColor="text1"/>
          <w:lang w:val="en-US"/>
        </w:rPr>
        <w:t xml:space="preserve"> S. Naval, </w:t>
      </w:r>
      <w:proofErr w:type="spellStart"/>
      <w:r w:rsidRPr="005A28D6">
        <w:rPr>
          <w:rFonts w:cs="Tahoma"/>
          <w:color w:val="000000" w:themeColor="text1"/>
          <w:lang w:val="en-US"/>
        </w:rPr>
        <w:t>Thessa</w:t>
      </w:r>
      <w:proofErr w:type="spellEnd"/>
      <w:r w:rsidRPr="005A28D6">
        <w:rPr>
          <w:rFonts w:cs="Tahoma"/>
          <w:color w:val="000000" w:themeColor="text1"/>
          <w:lang w:val="en-US"/>
        </w:rPr>
        <w:t xml:space="preserve"> Reyes, Camilo C. </w:t>
      </w:r>
      <w:proofErr w:type="spellStart"/>
      <w:r w:rsidRPr="005A28D6">
        <w:rPr>
          <w:rFonts w:cs="Tahoma"/>
          <w:color w:val="000000" w:themeColor="text1"/>
          <w:lang w:val="en-US"/>
        </w:rPr>
        <w:t>Roa</w:t>
      </w:r>
      <w:proofErr w:type="spellEnd"/>
      <w:r w:rsidRPr="005A28D6">
        <w:rPr>
          <w:rFonts w:cs="Tahoma"/>
          <w:color w:val="000000" w:themeColor="text1"/>
          <w:lang w:val="en-US"/>
        </w:rPr>
        <w:t xml:space="preserve">, Jr., Ma. </w:t>
      </w:r>
      <w:proofErr w:type="spellStart"/>
      <w:r w:rsidRPr="005A28D6">
        <w:rPr>
          <w:rFonts w:cs="Tahoma"/>
          <w:color w:val="000000" w:themeColor="text1"/>
          <w:lang w:val="en-US"/>
        </w:rPr>
        <w:t>Flordeliza</w:t>
      </w:r>
      <w:proofErr w:type="spellEnd"/>
      <w:r w:rsidRPr="005A28D6">
        <w:rPr>
          <w:rFonts w:cs="Tahoma"/>
          <w:color w:val="000000" w:themeColor="text1"/>
          <w:lang w:val="en-US"/>
        </w:rPr>
        <w:t xml:space="preserve"> Sanchez, Leander P. </w:t>
      </w:r>
      <w:proofErr w:type="spellStart"/>
      <w:r w:rsidRPr="005A28D6">
        <w:rPr>
          <w:rFonts w:cs="Tahoma"/>
          <w:color w:val="000000" w:themeColor="text1"/>
          <w:lang w:val="en-US"/>
        </w:rPr>
        <w:t>Simpao</w:t>
      </w:r>
      <w:proofErr w:type="spellEnd"/>
      <w:r w:rsidRPr="005A28D6">
        <w:rPr>
          <w:rFonts w:cs="Tahoma"/>
          <w:color w:val="000000" w:themeColor="text1"/>
          <w:lang w:val="en-US"/>
        </w:rPr>
        <w:t xml:space="preserve"> (</w:t>
      </w:r>
      <w:r w:rsidRPr="005A28D6">
        <w:rPr>
          <w:rFonts w:cs="Tahoma"/>
          <w:b/>
          <w:bCs/>
          <w:color w:val="000000" w:themeColor="text1"/>
          <w:lang w:val="en-US"/>
        </w:rPr>
        <w:t>Philippine College of Chest Physicians, Manila, Philippines</w:t>
      </w:r>
      <w:r w:rsidRPr="005A28D6">
        <w:rPr>
          <w:rFonts w:cs="Tahoma"/>
          <w:color w:val="000000" w:themeColor="text1"/>
          <w:lang w:val="en-US"/>
        </w:rPr>
        <w:t xml:space="preserve">); Christine Jenkins (PI), Guy Marks (PI), Tessa Bird, Paola </w:t>
      </w:r>
      <w:proofErr w:type="spellStart"/>
      <w:r w:rsidRPr="005A28D6">
        <w:rPr>
          <w:rFonts w:cs="Tahoma"/>
          <w:color w:val="000000" w:themeColor="text1"/>
          <w:lang w:val="en-US"/>
        </w:rPr>
        <w:t>Espinel</w:t>
      </w:r>
      <w:proofErr w:type="spellEnd"/>
      <w:r w:rsidRPr="005A28D6">
        <w:rPr>
          <w:rFonts w:cs="Tahoma"/>
          <w:color w:val="000000" w:themeColor="text1"/>
          <w:lang w:val="en-US"/>
        </w:rPr>
        <w:t xml:space="preserve">, Kate </w:t>
      </w:r>
      <w:proofErr w:type="spellStart"/>
      <w:r w:rsidRPr="005A28D6">
        <w:rPr>
          <w:rFonts w:cs="Tahoma"/>
          <w:color w:val="000000" w:themeColor="text1"/>
          <w:lang w:val="en-US"/>
        </w:rPr>
        <w:t>Hardaker</w:t>
      </w:r>
      <w:proofErr w:type="spellEnd"/>
      <w:r w:rsidRPr="005A28D6">
        <w:rPr>
          <w:rFonts w:cs="Tahoma"/>
          <w:color w:val="000000" w:themeColor="text1"/>
          <w:lang w:val="en-US"/>
        </w:rPr>
        <w:t xml:space="preserve">, </w:t>
      </w:r>
      <w:r w:rsidRPr="005A28D6">
        <w:rPr>
          <w:rFonts w:cs="Tahoma"/>
          <w:color w:val="000000" w:themeColor="text1"/>
          <w:lang w:val="en-US"/>
        </w:rPr>
        <w:lastRenderedPageBreak/>
        <w:t xml:space="preserve">Brett </w:t>
      </w:r>
      <w:proofErr w:type="spellStart"/>
      <w:r w:rsidRPr="005A28D6">
        <w:rPr>
          <w:rFonts w:cs="Tahoma"/>
          <w:color w:val="000000" w:themeColor="text1"/>
          <w:lang w:val="en-US"/>
        </w:rPr>
        <w:t>Toelle</w:t>
      </w:r>
      <w:proofErr w:type="spellEnd"/>
      <w:r w:rsidRPr="005A28D6">
        <w:rPr>
          <w:rFonts w:cs="Tahoma"/>
          <w:color w:val="000000" w:themeColor="text1"/>
          <w:lang w:val="en-US"/>
        </w:rPr>
        <w:t xml:space="preserve"> (</w:t>
      </w:r>
      <w:proofErr w:type="spellStart"/>
      <w:r w:rsidRPr="005A28D6">
        <w:rPr>
          <w:rFonts w:cs="Tahoma"/>
          <w:b/>
          <w:bCs/>
          <w:color w:val="000000" w:themeColor="text1"/>
          <w:lang w:val="en-US"/>
        </w:rPr>
        <w:t>Woolcock</w:t>
      </w:r>
      <w:proofErr w:type="spellEnd"/>
      <w:r w:rsidRPr="005A28D6">
        <w:rPr>
          <w:rFonts w:cs="Tahoma"/>
          <w:b/>
          <w:bCs/>
          <w:color w:val="000000" w:themeColor="text1"/>
          <w:lang w:val="en-US"/>
        </w:rPr>
        <w:t xml:space="preserve"> Institute of Medical Research, Sydney, Australia</w:t>
      </w:r>
      <w:r w:rsidRPr="005A28D6">
        <w:rPr>
          <w:rFonts w:cs="Tahoma"/>
          <w:color w:val="000000" w:themeColor="text1"/>
          <w:lang w:val="en-US"/>
        </w:rPr>
        <w:t xml:space="preserve">), Peter GJ Burney (PI), Caron Amor, James Potts, Michael </w:t>
      </w:r>
      <w:proofErr w:type="spellStart"/>
      <w:r w:rsidRPr="005A28D6">
        <w:rPr>
          <w:rFonts w:cs="Tahoma"/>
          <w:color w:val="000000" w:themeColor="text1"/>
          <w:lang w:val="en-US"/>
        </w:rPr>
        <w:t>Tumilty</w:t>
      </w:r>
      <w:proofErr w:type="spellEnd"/>
      <w:r w:rsidRPr="005A28D6">
        <w:rPr>
          <w:rFonts w:cs="Tahoma"/>
          <w:color w:val="000000" w:themeColor="text1"/>
          <w:lang w:val="en-US"/>
        </w:rPr>
        <w:t>, Fiona McLean (</w:t>
      </w:r>
      <w:r w:rsidRPr="005A28D6">
        <w:rPr>
          <w:rFonts w:cs="Tahoma"/>
          <w:b/>
          <w:bCs/>
          <w:color w:val="000000" w:themeColor="text1"/>
          <w:lang w:val="en-US"/>
        </w:rPr>
        <w:t>National Heart and Lung Institute, Imperial College, London</w:t>
      </w:r>
      <w:r w:rsidRPr="005A28D6">
        <w:rPr>
          <w:rFonts w:cs="Tahoma"/>
          <w:color w:val="000000" w:themeColor="text1"/>
          <w:lang w:val="en-US"/>
        </w:rPr>
        <w:t xml:space="preserve">), E.F.M. </w:t>
      </w:r>
      <w:proofErr w:type="spellStart"/>
      <w:r w:rsidRPr="005A28D6">
        <w:rPr>
          <w:rFonts w:cs="Tahoma"/>
          <w:color w:val="000000" w:themeColor="text1"/>
          <w:lang w:val="en-US"/>
        </w:rPr>
        <w:t>Wouters</w:t>
      </w:r>
      <w:proofErr w:type="spellEnd"/>
      <w:r w:rsidRPr="005A28D6">
        <w:rPr>
          <w:rFonts w:cs="Tahoma"/>
          <w:color w:val="000000" w:themeColor="text1"/>
          <w:lang w:val="en-US"/>
        </w:rPr>
        <w:t xml:space="preserve">, G.J. </w:t>
      </w:r>
      <w:proofErr w:type="spellStart"/>
      <w:r w:rsidRPr="005A28D6">
        <w:rPr>
          <w:rFonts w:cs="Tahoma"/>
          <w:color w:val="000000" w:themeColor="text1"/>
          <w:lang w:val="en-US"/>
        </w:rPr>
        <w:t>Wesseling</w:t>
      </w:r>
      <w:proofErr w:type="spellEnd"/>
      <w:r w:rsidRPr="005A28D6">
        <w:rPr>
          <w:rFonts w:cs="Tahoma"/>
          <w:color w:val="000000" w:themeColor="text1"/>
          <w:lang w:val="en-US"/>
        </w:rPr>
        <w:t> (</w:t>
      </w:r>
      <w:r w:rsidRPr="005A28D6">
        <w:rPr>
          <w:rFonts w:cs="Tahoma"/>
          <w:b/>
          <w:bCs/>
          <w:color w:val="000000" w:themeColor="text1"/>
          <w:lang w:val="en-US"/>
        </w:rPr>
        <w:t>Maastricht University Medical Center, Maastricht, the Netherlands</w:t>
      </w:r>
      <w:r w:rsidRPr="005A28D6">
        <w:rPr>
          <w:rFonts w:cs="Tahoma"/>
          <w:color w:val="000000" w:themeColor="text1"/>
          <w:lang w:val="en-US"/>
        </w:rPr>
        <w:t xml:space="preserve">), Cristina Bárbara (PI), </w:t>
      </w:r>
      <w:proofErr w:type="spellStart"/>
      <w:r w:rsidRPr="005A28D6">
        <w:rPr>
          <w:rFonts w:cs="Tahoma"/>
          <w:color w:val="000000" w:themeColor="text1"/>
          <w:lang w:val="en-US"/>
        </w:rPr>
        <w:t>Fátima</w:t>
      </w:r>
      <w:proofErr w:type="spellEnd"/>
      <w:r w:rsidRPr="005A28D6">
        <w:rPr>
          <w:rFonts w:cs="Tahoma"/>
          <w:color w:val="000000" w:themeColor="text1"/>
          <w:lang w:val="en-US"/>
        </w:rPr>
        <w:t xml:space="preserve"> Rodrigues, </w:t>
      </w:r>
      <w:proofErr w:type="spellStart"/>
      <w:r w:rsidRPr="005A28D6">
        <w:rPr>
          <w:rFonts w:cs="Tahoma"/>
          <w:color w:val="000000" w:themeColor="text1"/>
          <w:lang w:val="en-US"/>
        </w:rPr>
        <w:t>Hermínia</w:t>
      </w:r>
      <w:proofErr w:type="spellEnd"/>
      <w:r w:rsidRPr="005A28D6">
        <w:rPr>
          <w:rFonts w:cs="Tahoma"/>
          <w:color w:val="000000" w:themeColor="text1"/>
          <w:lang w:val="en-US"/>
        </w:rPr>
        <w:t xml:space="preserve"> Dias, </w:t>
      </w:r>
      <w:proofErr w:type="spellStart"/>
      <w:r w:rsidRPr="005A28D6">
        <w:rPr>
          <w:rFonts w:cs="Tahoma"/>
          <w:color w:val="000000" w:themeColor="text1"/>
          <w:lang w:val="en-US"/>
        </w:rPr>
        <w:t>João</w:t>
      </w:r>
      <w:proofErr w:type="spellEnd"/>
      <w:r w:rsidRPr="005A28D6">
        <w:rPr>
          <w:rFonts w:cs="Tahoma"/>
          <w:color w:val="000000" w:themeColor="text1"/>
          <w:lang w:val="en-US"/>
        </w:rPr>
        <w:t xml:space="preserve"> Cardoso, </w:t>
      </w:r>
      <w:proofErr w:type="spellStart"/>
      <w:r w:rsidRPr="005A28D6">
        <w:rPr>
          <w:rFonts w:cs="Tahoma"/>
          <w:color w:val="000000" w:themeColor="text1"/>
          <w:lang w:val="en-US"/>
        </w:rPr>
        <w:t>João</w:t>
      </w:r>
      <w:proofErr w:type="spellEnd"/>
      <w:r w:rsidRPr="005A28D6">
        <w:rPr>
          <w:rFonts w:cs="Tahoma"/>
          <w:color w:val="000000" w:themeColor="text1"/>
          <w:lang w:val="en-US"/>
        </w:rPr>
        <w:t xml:space="preserve"> Almeida, Maria </w:t>
      </w:r>
      <w:proofErr w:type="spellStart"/>
      <w:r w:rsidRPr="005A28D6">
        <w:rPr>
          <w:rFonts w:cs="Tahoma"/>
          <w:color w:val="000000" w:themeColor="text1"/>
          <w:lang w:val="en-US"/>
        </w:rPr>
        <w:t>João</w:t>
      </w:r>
      <w:proofErr w:type="spellEnd"/>
      <w:r w:rsidRPr="005A28D6">
        <w:rPr>
          <w:rFonts w:cs="Tahoma"/>
          <w:color w:val="000000" w:themeColor="text1"/>
          <w:lang w:val="en-US"/>
        </w:rPr>
        <w:t xml:space="preserve"> Matos, Paula </w:t>
      </w:r>
      <w:proofErr w:type="spellStart"/>
      <w:r w:rsidRPr="005A28D6">
        <w:rPr>
          <w:rFonts w:cs="Tahoma"/>
          <w:color w:val="000000" w:themeColor="text1"/>
          <w:lang w:val="en-US"/>
        </w:rPr>
        <w:t>Simão</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Moutinho</w:t>
      </w:r>
      <w:proofErr w:type="spellEnd"/>
      <w:r w:rsidRPr="005A28D6">
        <w:rPr>
          <w:rFonts w:cs="Tahoma"/>
          <w:color w:val="000000" w:themeColor="text1"/>
          <w:lang w:val="en-US"/>
        </w:rPr>
        <w:t xml:space="preserve"> Santos, Reis Ferreira (</w:t>
      </w:r>
      <w:r w:rsidRPr="005A28D6">
        <w:rPr>
          <w:rFonts w:cs="Tahoma"/>
          <w:b/>
          <w:bCs/>
          <w:color w:val="000000" w:themeColor="text1"/>
          <w:lang w:val="en-US"/>
        </w:rPr>
        <w:t xml:space="preserve">The Portuguese Society of </w:t>
      </w:r>
      <w:proofErr w:type="spellStart"/>
      <w:r w:rsidRPr="005A28D6">
        <w:rPr>
          <w:rFonts w:cs="Tahoma"/>
          <w:b/>
          <w:bCs/>
          <w:color w:val="000000" w:themeColor="text1"/>
          <w:lang w:val="en-US"/>
        </w:rPr>
        <w:t>Pneumology</w:t>
      </w:r>
      <w:proofErr w:type="spellEnd"/>
      <w:r w:rsidRPr="005A28D6">
        <w:rPr>
          <w:rFonts w:cs="Tahoma"/>
          <w:b/>
          <w:bCs/>
          <w:color w:val="000000" w:themeColor="text1"/>
          <w:lang w:val="en-US"/>
        </w:rPr>
        <w:t>, Lisbon, Portugal</w:t>
      </w:r>
      <w:r w:rsidRPr="005A28D6">
        <w:rPr>
          <w:rFonts w:cs="Tahoma"/>
          <w:color w:val="000000" w:themeColor="text1"/>
          <w:lang w:val="en-US"/>
        </w:rPr>
        <w:t xml:space="preserve">), </w:t>
      </w:r>
      <w:proofErr w:type="spellStart"/>
      <w:r w:rsidRPr="005A28D6">
        <w:rPr>
          <w:rFonts w:cs="Tahoma"/>
          <w:color w:val="000000" w:themeColor="text1"/>
          <w:lang w:val="en-US"/>
        </w:rPr>
        <w:t>Christer</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Janson</w:t>
      </w:r>
      <w:proofErr w:type="spellEnd"/>
      <w:r w:rsidRPr="005A28D6">
        <w:rPr>
          <w:rFonts w:cs="Tahoma"/>
          <w:color w:val="000000" w:themeColor="text1"/>
          <w:lang w:val="en-US"/>
        </w:rPr>
        <w:t xml:space="preserve"> (PI), Inga </w:t>
      </w:r>
      <w:proofErr w:type="spellStart"/>
      <w:r w:rsidRPr="005A28D6">
        <w:rPr>
          <w:rFonts w:cs="Tahoma"/>
          <w:color w:val="000000" w:themeColor="text1"/>
          <w:lang w:val="en-US"/>
        </w:rPr>
        <w:t>Sif</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Olafsdottir</w:t>
      </w:r>
      <w:proofErr w:type="spellEnd"/>
      <w:r w:rsidRPr="005A28D6">
        <w:rPr>
          <w:rFonts w:cs="Tahoma"/>
          <w:color w:val="000000" w:themeColor="text1"/>
          <w:lang w:val="en-US"/>
        </w:rPr>
        <w:t xml:space="preserve">, Katarina </w:t>
      </w:r>
      <w:proofErr w:type="spellStart"/>
      <w:r w:rsidRPr="005A28D6">
        <w:rPr>
          <w:rFonts w:cs="Tahoma"/>
          <w:color w:val="000000" w:themeColor="text1"/>
          <w:lang w:val="en-US"/>
        </w:rPr>
        <w:t>Nisser</w:t>
      </w:r>
      <w:proofErr w:type="spellEnd"/>
      <w:r w:rsidRPr="005A28D6">
        <w:rPr>
          <w:rFonts w:cs="Tahoma"/>
          <w:color w:val="000000" w:themeColor="text1"/>
          <w:lang w:val="en-US"/>
        </w:rPr>
        <w:t xml:space="preserve">, Ulrike </w:t>
      </w:r>
      <w:proofErr w:type="spellStart"/>
      <w:r w:rsidRPr="005A28D6">
        <w:rPr>
          <w:rFonts w:cs="Tahoma"/>
          <w:color w:val="000000" w:themeColor="text1"/>
          <w:lang w:val="en-US"/>
        </w:rPr>
        <w:t>Spetz-Nyström</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Gunilla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Hägg</w:t>
      </w:r>
      <w:proofErr w:type="spellEnd"/>
      <w:r w:rsidRPr="005A28D6">
        <w:rPr>
          <w:rFonts w:cs="Tahoma"/>
          <w:color w:val="000000" w:themeColor="text1"/>
          <w:lang w:val="en-US"/>
        </w:rPr>
        <w:t xml:space="preserve"> and Gun-Marie Lund (</w:t>
      </w:r>
      <w:r w:rsidRPr="005A28D6">
        <w:rPr>
          <w:rFonts w:cs="Tahoma"/>
          <w:b/>
          <w:bCs/>
          <w:color w:val="000000" w:themeColor="text1"/>
          <w:lang w:val="en-US"/>
        </w:rPr>
        <w:t xml:space="preserve">Department of Medical Sciences: Respiratory Medicine &amp; </w:t>
      </w:r>
      <w:proofErr w:type="spellStart"/>
      <w:r w:rsidRPr="005A28D6">
        <w:rPr>
          <w:rFonts w:cs="Tahoma"/>
          <w:b/>
          <w:bCs/>
          <w:color w:val="000000" w:themeColor="text1"/>
          <w:lang w:val="en-US"/>
        </w:rPr>
        <w:t>Allergology</w:t>
      </w:r>
      <w:proofErr w:type="spellEnd"/>
      <w:r w:rsidRPr="005A28D6">
        <w:rPr>
          <w:rFonts w:cs="Tahoma"/>
          <w:b/>
          <w:bCs/>
          <w:color w:val="000000" w:themeColor="text1"/>
          <w:lang w:val="en-US"/>
        </w:rPr>
        <w:t xml:space="preserve">, Uppsala University, Sweden), </w:t>
      </w:r>
      <w:r w:rsidRPr="005A28D6">
        <w:rPr>
          <w:rFonts w:cs="Tahoma"/>
          <w:color w:val="000000" w:themeColor="text1"/>
          <w:lang w:val="en-US"/>
        </w:rPr>
        <w:t xml:space="preserve">Rain Jõgi (PI), Hendrik </w:t>
      </w:r>
      <w:proofErr w:type="spellStart"/>
      <w:r w:rsidRPr="005A28D6">
        <w:rPr>
          <w:rFonts w:cs="Tahoma"/>
          <w:color w:val="000000" w:themeColor="text1"/>
          <w:lang w:val="en-US"/>
        </w:rPr>
        <w:t>Laja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Katrin</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Ulst</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Vappu</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Zobel</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Toomas</w:t>
      </w:r>
      <w:proofErr w:type="spellEnd"/>
      <w:r w:rsidRPr="005A28D6">
        <w:rPr>
          <w:rFonts w:cs="Tahoma"/>
          <w:color w:val="000000" w:themeColor="text1"/>
          <w:lang w:val="en-US"/>
        </w:rPr>
        <w:t xml:space="preserve">-Julius </w:t>
      </w:r>
      <w:proofErr w:type="spellStart"/>
      <w:r w:rsidRPr="005A28D6">
        <w:rPr>
          <w:rFonts w:cs="Tahoma"/>
          <w:color w:val="000000" w:themeColor="text1"/>
          <w:lang w:val="en-US"/>
        </w:rPr>
        <w:t>Lill</w:t>
      </w:r>
      <w:proofErr w:type="spellEnd"/>
      <w:r w:rsidRPr="005A28D6">
        <w:rPr>
          <w:rFonts w:cs="Tahoma"/>
          <w:color w:val="000000" w:themeColor="text1"/>
          <w:lang w:val="en-US"/>
        </w:rPr>
        <w:t xml:space="preserve"> (</w:t>
      </w:r>
      <w:r w:rsidRPr="005A28D6">
        <w:rPr>
          <w:rFonts w:cs="Tahoma"/>
          <w:b/>
          <w:bCs/>
          <w:color w:val="000000" w:themeColor="text1"/>
          <w:lang w:val="en-US"/>
        </w:rPr>
        <w:t>Lung Clinic, Tartu University Hospital</w:t>
      </w:r>
      <w:r w:rsidRPr="005A28D6">
        <w:rPr>
          <w:rFonts w:cs="Tahoma"/>
          <w:color w:val="000000" w:themeColor="text1"/>
          <w:lang w:val="en-US"/>
        </w:rPr>
        <w:t>), Parvaiz A Koul (PI), </w:t>
      </w:r>
      <w:proofErr w:type="spellStart"/>
      <w:r w:rsidRPr="005A28D6">
        <w:rPr>
          <w:rFonts w:cs="Tahoma"/>
          <w:color w:val="000000" w:themeColor="text1"/>
          <w:lang w:val="en-US"/>
        </w:rPr>
        <w:t>Sajjad</w:t>
      </w:r>
      <w:proofErr w:type="spellEnd"/>
      <w:r w:rsidRPr="005A28D6">
        <w:rPr>
          <w:rFonts w:cs="Tahoma"/>
          <w:color w:val="000000" w:themeColor="text1"/>
          <w:lang w:val="en-US"/>
        </w:rPr>
        <w:t xml:space="preserve"> Malik, </w:t>
      </w:r>
      <w:proofErr w:type="spellStart"/>
      <w:r w:rsidRPr="005A28D6">
        <w:rPr>
          <w:rFonts w:cs="Tahoma"/>
          <w:color w:val="000000" w:themeColor="text1"/>
          <w:lang w:val="en-US"/>
        </w:rPr>
        <w:t>Nissar</w:t>
      </w:r>
      <w:proofErr w:type="spellEnd"/>
      <w:r w:rsidRPr="005A28D6">
        <w:rPr>
          <w:rFonts w:cs="Tahoma"/>
          <w:color w:val="000000" w:themeColor="text1"/>
          <w:lang w:val="en-US"/>
        </w:rPr>
        <w:t xml:space="preserve"> A Hakim, Umar Hafiz Khan </w:t>
      </w:r>
      <w:r w:rsidRPr="005A28D6">
        <w:rPr>
          <w:rFonts w:cs="Tahoma"/>
          <w:b/>
          <w:bCs/>
          <w:color w:val="000000" w:themeColor="text1"/>
          <w:lang w:val="en-US"/>
        </w:rPr>
        <w:t>(</w:t>
      </w:r>
      <w:proofErr w:type="spellStart"/>
      <w:r w:rsidRPr="005A28D6">
        <w:rPr>
          <w:rFonts w:cs="Tahoma"/>
          <w:b/>
          <w:bCs/>
          <w:color w:val="000000" w:themeColor="text1"/>
          <w:lang w:val="en-US"/>
        </w:rPr>
        <w:t>Sher</w:t>
      </w:r>
      <w:proofErr w:type="spellEnd"/>
      <w:r w:rsidRPr="005A28D6">
        <w:rPr>
          <w:rFonts w:cs="Tahoma"/>
          <w:b/>
          <w:bCs/>
          <w:color w:val="000000" w:themeColor="text1"/>
          <w:lang w:val="en-US"/>
        </w:rPr>
        <w:t xml:space="preserve">-i-Kashmir Institute of Medical Sciences, Srinagar, J&amp;K, India); </w:t>
      </w:r>
      <w:proofErr w:type="spellStart"/>
      <w:r w:rsidRPr="005A28D6">
        <w:rPr>
          <w:rFonts w:cs="Tahoma"/>
          <w:color w:val="000000" w:themeColor="text1"/>
          <w:lang w:val="en-US"/>
        </w:rPr>
        <w:t>Rohini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Chowgule</w:t>
      </w:r>
      <w:proofErr w:type="spellEnd"/>
      <w:r w:rsidRPr="005A28D6">
        <w:rPr>
          <w:rFonts w:cs="Tahoma"/>
          <w:color w:val="000000" w:themeColor="text1"/>
          <w:lang w:val="en-US"/>
        </w:rPr>
        <w:t xml:space="preserve"> (PI)</w:t>
      </w:r>
      <w:proofErr w:type="spellStart"/>
      <w:r w:rsidRPr="005A28D6">
        <w:rPr>
          <w:rFonts w:cs="Tahoma"/>
          <w:color w:val="000000" w:themeColor="text1"/>
          <w:lang w:val="en-US"/>
        </w:rPr>
        <w:t>Vasant</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Shetye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Jonelle</w:t>
      </w:r>
      <w:proofErr w:type="spellEnd"/>
      <w:r w:rsidRPr="005A28D6">
        <w:rPr>
          <w:rFonts w:cs="Tahoma"/>
          <w:color w:val="000000" w:themeColor="text1"/>
          <w:lang w:val="en-US"/>
        </w:rPr>
        <w:t xml:space="preserve"> Raphael, </w:t>
      </w:r>
      <w:proofErr w:type="spellStart"/>
      <w:r w:rsidRPr="005A28D6">
        <w:rPr>
          <w:rFonts w:cs="Tahoma"/>
          <w:color w:val="000000" w:themeColor="text1"/>
          <w:lang w:val="en-US"/>
        </w:rPr>
        <w:t>Rosel</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Almeda</w:t>
      </w:r>
      <w:proofErr w:type="spellEnd"/>
      <w:r w:rsidRPr="005A28D6">
        <w:rPr>
          <w:rFonts w:cs="Tahoma"/>
          <w:color w:val="000000" w:themeColor="text1"/>
          <w:lang w:val="en-US"/>
        </w:rPr>
        <w:t xml:space="preserve">, Mahesh </w:t>
      </w:r>
      <w:proofErr w:type="spellStart"/>
      <w:r w:rsidRPr="005A28D6">
        <w:rPr>
          <w:rFonts w:cs="Tahoma"/>
          <w:color w:val="000000" w:themeColor="text1"/>
          <w:lang w:val="en-US"/>
        </w:rPr>
        <w:t>Tawde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Rafiq</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Tadvi</w:t>
      </w:r>
      <w:proofErr w:type="spellEnd"/>
      <w:r w:rsidRPr="005A28D6">
        <w:rPr>
          <w:rFonts w:cs="Tahoma"/>
          <w:color w:val="000000" w:themeColor="text1"/>
          <w:lang w:val="en-US"/>
        </w:rPr>
        <w:t xml:space="preserve">, Sunil </w:t>
      </w:r>
      <w:proofErr w:type="spellStart"/>
      <w:r w:rsidRPr="005A28D6">
        <w:rPr>
          <w:rFonts w:cs="Tahoma"/>
          <w:color w:val="000000" w:themeColor="text1"/>
          <w:lang w:val="en-US"/>
        </w:rPr>
        <w:t>Katkar</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Milind</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Kadam</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Rupesh</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Dhanawade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Umesh</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Ghurup</w:t>
      </w:r>
      <w:proofErr w:type="spellEnd"/>
      <w:r w:rsidRPr="005A28D6">
        <w:rPr>
          <w:rFonts w:cs="Tahoma"/>
          <w:b/>
          <w:bCs/>
          <w:color w:val="000000" w:themeColor="text1"/>
          <w:lang w:val="en-US"/>
        </w:rPr>
        <w:t xml:space="preserve"> (Indian Institute of Environmental Medicine, Mumbai, India</w:t>
      </w:r>
      <w:r w:rsidRPr="005A28D6">
        <w:rPr>
          <w:rFonts w:cs="Tahoma"/>
          <w:color w:val="000000" w:themeColor="text1"/>
          <w:lang w:val="en-US"/>
        </w:rPr>
        <w:t xml:space="preserve">); </w:t>
      </w:r>
      <w:proofErr w:type="spellStart"/>
      <w:r w:rsidRPr="005A28D6">
        <w:rPr>
          <w:rFonts w:cs="Tahoma"/>
          <w:color w:val="000000" w:themeColor="text1"/>
          <w:lang w:val="en-US"/>
        </w:rPr>
        <w:t>Imed</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Harrabi</w:t>
      </w:r>
      <w:proofErr w:type="spellEnd"/>
      <w:r w:rsidRPr="005A28D6">
        <w:rPr>
          <w:rFonts w:cs="Tahoma"/>
          <w:color w:val="000000" w:themeColor="text1"/>
          <w:lang w:val="en-US"/>
        </w:rPr>
        <w:t xml:space="preserve"> (PI), Myriam Denguezli, </w:t>
      </w:r>
      <w:proofErr w:type="spellStart"/>
      <w:r w:rsidRPr="005A28D6">
        <w:rPr>
          <w:rFonts w:cs="Tahoma"/>
          <w:color w:val="000000" w:themeColor="text1"/>
          <w:lang w:val="en-US"/>
        </w:rPr>
        <w:t>Zouhair</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Tabka</w:t>
      </w:r>
      <w:proofErr w:type="spellEnd"/>
      <w:r w:rsidRPr="005A28D6">
        <w:rPr>
          <w:rFonts w:cs="Tahoma"/>
          <w:color w:val="000000" w:themeColor="text1"/>
          <w:lang w:val="en-US"/>
        </w:rPr>
        <w:t xml:space="preserve">, Hager </w:t>
      </w:r>
      <w:proofErr w:type="spellStart"/>
      <w:r w:rsidRPr="005A28D6">
        <w:rPr>
          <w:rFonts w:cs="Tahoma"/>
          <w:color w:val="000000" w:themeColor="text1"/>
          <w:lang w:val="en-US"/>
        </w:rPr>
        <w:t>Daldoul</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Zaki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Boukheroufa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Firas</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Chouikha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Wahbi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Belhaj</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Khalifa</w:t>
      </w:r>
      <w:proofErr w:type="spellEnd"/>
      <w:r w:rsidRPr="005A28D6">
        <w:rPr>
          <w:rFonts w:cs="Tahoma"/>
          <w:color w:val="000000" w:themeColor="text1"/>
          <w:lang w:val="en-US"/>
        </w:rPr>
        <w:t xml:space="preserve"> </w:t>
      </w:r>
      <w:r w:rsidRPr="005A28D6">
        <w:rPr>
          <w:rFonts w:cs="Tahoma"/>
          <w:b/>
          <w:bCs/>
          <w:color w:val="000000" w:themeColor="text1"/>
          <w:lang w:val="en-US"/>
        </w:rPr>
        <w:t>(</w:t>
      </w:r>
      <w:proofErr w:type="spellStart"/>
      <w:r w:rsidRPr="005A28D6">
        <w:rPr>
          <w:rFonts w:cs="Tahoma"/>
          <w:b/>
          <w:bCs/>
          <w:color w:val="000000" w:themeColor="text1"/>
          <w:lang w:val="en-US"/>
        </w:rPr>
        <w:t>Faculté</w:t>
      </w:r>
      <w:proofErr w:type="spellEnd"/>
      <w:r w:rsidRPr="005A28D6">
        <w:rPr>
          <w:rFonts w:cs="Tahoma"/>
          <w:b/>
          <w:bCs/>
          <w:color w:val="000000" w:themeColor="text1"/>
          <w:lang w:val="en-US"/>
        </w:rPr>
        <w:t xml:space="preserve"> de </w:t>
      </w:r>
      <w:proofErr w:type="spellStart"/>
      <w:r w:rsidRPr="005A28D6">
        <w:rPr>
          <w:rFonts w:cs="Tahoma"/>
          <w:b/>
          <w:bCs/>
          <w:color w:val="000000" w:themeColor="text1"/>
          <w:lang w:val="en-US"/>
        </w:rPr>
        <w:t>Médecine</w:t>
      </w:r>
      <w:proofErr w:type="spellEnd"/>
      <w:r w:rsidRPr="005A28D6">
        <w:rPr>
          <w:rFonts w:cs="Tahoma"/>
          <w:b/>
          <w:bCs/>
          <w:color w:val="000000" w:themeColor="text1"/>
          <w:lang w:val="en-US"/>
        </w:rPr>
        <w:t xml:space="preserve">, Sousse, Tunisia); </w:t>
      </w:r>
      <w:r w:rsidRPr="005A28D6">
        <w:rPr>
          <w:rFonts w:cs="Tahoma"/>
          <w:color w:val="000000" w:themeColor="text1"/>
          <w:lang w:val="en-US"/>
        </w:rPr>
        <w:t xml:space="preserve">Luisito F. Idolor (PI), Teresita S. de Guia, Norberto A. Francisco, Camilo C. </w:t>
      </w:r>
      <w:proofErr w:type="spellStart"/>
      <w:r w:rsidRPr="005A28D6">
        <w:rPr>
          <w:rFonts w:cs="Tahoma"/>
          <w:color w:val="000000" w:themeColor="text1"/>
          <w:lang w:val="en-US"/>
        </w:rPr>
        <w:t>Roa</w:t>
      </w:r>
      <w:proofErr w:type="spellEnd"/>
      <w:r w:rsidRPr="005A28D6">
        <w:rPr>
          <w:rFonts w:cs="Tahoma"/>
          <w:color w:val="000000" w:themeColor="text1"/>
          <w:lang w:val="en-US"/>
        </w:rPr>
        <w:t xml:space="preserve">, Fernando G. </w:t>
      </w:r>
      <w:proofErr w:type="spellStart"/>
      <w:r w:rsidRPr="005A28D6">
        <w:rPr>
          <w:rFonts w:cs="Tahoma"/>
          <w:color w:val="000000" w:themeColor="text1"/>
          <w:lang w:val="en-US"/>
        </w:rPr>
        <w:t>Ayuyao</w:t>
      </w:r>
      <w:proofErr w:type="spellEnd"/>
      <w:r w:rsidRPr="005A28D6">
        <w:rPr>
          <w:rFonts w:cs="Tahoma"/>
          <w:color w:val="000000" w:themeColor="text1"/>
          <w:lang w:val="en-US"/>
        </w:rPr>
        <w:t xml:space="preserve">,  Cecil </w:t>
      </w:r>
      <w:proofErr w:type="spellStart"/>
      <w:r w:rsidRPr="005A28D6">
        <w:rPr>
          <w:rFonts w:cs="Tahoma"/>
          <w:color w:val="000000" w:themeColor="text1"/>
          <w:lang w:val="en-US"/>
        </w:rPr>
        <w:t>Z.Tady</w:t>
      </w:r>
      <w:proofErr w:type="spellEnd"/>
      <w:r w:rsidRPr="005A28D6">
        <w:rPr>
          <w:rFonts w:cs="Tahoma"/>
          <w:color w:val="000000" w:themeColor="text1"/>
          <w:lang w:val="en-US"/>
        </w:rPr>
        <w:t xml:space="preserve">, Daniel T. Tan, Sylvia Banal-Yang, Vincent M. </w:t>
      </w:r>
      <w:proofErr w:type="spellStart"/>
      <w:r w:rsidRPr="005A28D6">
        <w:rPr>
          <w:rFonts w:cs="Tahoma"/>
          <w:color w:val="000000" w:themeColor="text1"/>
          <w:lang w:val="en-US"/>
        </w:rPr>
        <w:t>Balanag</w:t>
      </w:r>
      <w:proofErr w:type="spellEnd"/>
      <w:r w:rsidRPr="005A28D6">
        <w:rPr>
          <w:rFonts w:cs="Tahoma"/>
          <w:color w:val="000000" w:themeColor="text1"/>
          <w:lang w:val="en-US"/>
        </w:rPr>
        <w:t xml:space="preserve">, Jr., Maria Teresita N. Reyes, Renato. B. </w:t>
      </w:r>
      <w:proofErr w:type="spellStart"/>
      <w:r w:rsidRPr="005A28D6">
        <w:rPr>
          <w:rFonts w:cs="Tahoma"/>
          <w:color w:val="000000" w:themeColor="text1"/>
          <w:lang w:val="en-US"/>
        </w:rPr>
        <w:t>Dantes</w:t>
      </w:r>
      <w:proofErr w:type="spellEnd"/>
      <w:r w:rsidRPr="005A28D6">
        <w:rPr>
          <w:rFonts w:cs="Tahoma"/>
          <w:color w:val="000000" w:themeColor="text1"/>
          <w:lang w:val="en-US"/>
        </w:rPr>
        <w:t xml:space="preserve"> (</w:t>
      </w:r>
      <w:r w:rsidRPr="005A28D6">
        <w:rPr>
          <w:rFonts w:cs="Tahoma"/>
          <w:b/>
          <w:bCs/>
          <w:color w:val="000000" w:themeColor="text1"/>
          <w:lang w:val="en-US"/>
        </w:rPr>
        <w:t>Lung Centre of the Philippines, Philippine General Hospital,</w:t>
      </w:r>
      <w:r w:rsidRPr="005A28D6">
        <w:rPr>
          <w:rFonts w:cs="Tahoma"/>
          <w:color w:val="000000" w:themeColor="text1"/>
          <w:lang w:val="en-US"/>
        </w:rPr>
        <w:t xml:space="preserve"> </w:t>
      </w:r>
      <w:proofErr w:type="spellStart"/>
      <w:r w:rsidRPr="005A28D6">
        <w:rPr>
          <w:rFonts w:cs="Tahoma"/>
          <w:b/>
          <w:bCs/>
          <w:color w:val="000000" w:themeColor="text1"/>
          <w:lang w:val="en-US"/>
        </w:rPr>
        <w:t>Nampicuan&amp;Talugtug</w:t>
      </w:r>
      <w:proofErr w:type="spellEnd"/>
      <w:r w:rsidRPr="005A28D6">
        <w:rPr>
          <w:rFonts w:cs="Tahoma"/>
          <w:b/>
          <w:bCs/>
          <w:color w:val="000000" w:themeColor="text1"/>
          <w:lang w:val="en-US"/>
        </w:rPr>
        <w:t xml:space="preserve">, Philippines); </w:t>
      </w:r>
      <w:r w:rsidRPr="005A28D6">
        <w:rPr>
          <w:rFonts w:cs="Tahoma"/>
          <w:color w:val="000000" w:themeColor="text1"/>
          <w:lang w:val="en-US"/>
        </w:rPr>
        <w:t xml:space="preserve"> Sanjay Juvekar (PI), Siddhi </w:t>
      </w:r>
      <w:proofErr w:type="spellStart"/>
      <w:r w:rsidRPr="005A28D6">
        <w:rPr>
          <w:rFonts w:cs="Tahoma"/>
          <w:color w:val="000000" w:themeColor="text1"/>
          <w:lang w:val="en-US"/>
        </w:rPr>
        <w:t>Hirve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Somnath</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Sambhudas</w:t>
      </w:r>
      <w:proofErr w:type="spellEnd"/>
      <w:r w:rsidRPr="005A28D6">
        <w:rPr>
          <w:rFonts w:cs="Tahoma"/>
          <w:color w:val="000000" w:themeColor="text1"/>
          <w:lang w:val="en-US"/>
        </w:rPr>
        <w:t xml:space="preserve">,  Bharat </w:t>
      </w:r>
      <w:proofErr w:type="spellStart"/>
      <w:r w:rsidRPr="005A28D6">
        <w:rPr>
          <w:rFonts w:cs="Tahoma"/>
          <w:color w:val="000000" w:themeColor="text1"/>
          <w:lang w:val="en-US"/>
        </w:rPr>
        <w:t>Chaidhary</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Meera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Tambe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Savita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Pingale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Arati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Umap</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Archana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Umap</w:t>
      </w:r>
      <w:proofErr w:type="spellEnd"/>
      <w:r w:rsidRPr="005A28D6">
        <w:rPr>
          <w:rFonts w:cs="Tahoma"/>
          <w:color w:val="000000" w:themeColor="text1"/>
          <w:lang w:val="en-US"/>
        </w:rPr>
        <w:t xml:space="preserve">, Nitin </w:t>
      </w:r>
      <w:proofErr w:type="spellStart"/>
      <w:r w:rsidRPr="005A28D6">
        <w:rPr>
          <w:rFonts w:cs="Tahoma"/>
          <w:color w:val="000000" w:themeColor="text1"/>
          <w:lang w:val="en-US"/>
        </w:rPr>
        <w:t>Shelar</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Sampada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Devchakke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Sharda</w:t>
      </w:r>
      <w:proofErr w:type="spellEnd"/>
      <w:r w:rsidRPr="005A28D6">
        <w:rPr>
          <w:rFonts w:cs="Tahoma"/>
          <w:color w:val="000000" w:themeColor="text1"/>
          <w:lang w:val="en-US"/>
        </w:rPr>
        <w:t xml:space="preserve"> Chaudhary, </w:t>
      </w:r>
      <w:proofErr w:type="spellStart"/>
      <w:r w:rsidRPr="005A28D6">
        <w:rPr>
          <w:rFonts w:cs="Tahoma"/>
          <w:color w:val="000000" w:themeColor="text1"/>
          <w:lang w:val="en-US"/>
        </w:rPr>
        <w:t>Suvarna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Bondre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Savita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Walke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Ashleshsa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Gawhane</w:t>
      </w:r>
      <w:proofErr w:type="spellEnd"/>
      <w:r w:rsidRPr="005A28D6">
        <w:rPr>
          <w:rFonts w:cs="Tahoma"/>
          <w:color w:val="000000" w:themeColor="text1"/>
          <w:lang w:val="en-US"/>
        </w:rPr>
        <w:t xml:space="preserve">, Anil </w:t>
      </w:r>
      <w:proofErr w:type="spellStart"/>
      <w:r w:rsidRPr="005A28D6">
        <w:rPr>
          <w:rFonts w:cs="Tahoma"/>
          <w:color w:val="000000" w:themeColor="text1"/>
          <w:lang w:val="en-US"/>
        </w:rPr>
        <w:t>Sapkal</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Rupali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Argade</w:t>
      </w:r>
      <w:proofErr w:type="spellEnd"/>
      <w:r w:rsidRPr="005A28D6">
        <w:rPr>
          <w:rFonts w:cs="Tahoma"/>
          <w:color w:val="000000" w:themeColor="text1"/>
          <w:lang w:val="en-US"/>
        </w:rPr>
        <w:t xml:space="preserve">, Vijay </w:t>
      </w:r>
      <w:proofErr w:type="spellStart"/>
      <w:r w:rsidRPr="005A28D6">
        <w:rPr>
          <w:rFonts w:cs="Tahoma"/>
          <w:color w:val="000000" w:themeColor="text1"/>
          <w:lang w:val="en-US"/>
        </w:rPr>
        <w:t>Gaikwad</w:t>
      </w:r>
      <w:proofErr w:type="spellEnd"/>
      <w:r w:rsidRPr="005A28D6">
        <w:rPr>
          <w:rFonts w:cs="Tahoma"/>
          <w:color w:val="000000" w:themeColor="text1"/>
          <w:lang w:val="en-US"/>
        </w:rPr>
        <w:t xml:space="preserve"> </w:t>
      </w:r>
      <w:r w:rsidRPr="005A28D6">
        <w:rPr>
          <w:rFonts w:cs="Tahoma"/>
          <w:b/>
          <w:bCs/>
          <w:color w:val="000000" w:themeColor="text1"/>
          <w:lang w:val="en-US"/>
        </w:rPr>
        <w:t>(</w:t>
      </w:r>
      <w:proofErr w:type="spellStart"/>
      <w:r w:rsidRPr="005A28D6">
        <w:rPr>
          <w:rFonts w:cs="Tahoma"/>
          <w:b/>
          <w:bCs/>
          <w:color w:val="000000" w:themeColor="text1"/>
          <w:lang w:val="en-US"/>
        </w:rPr>
        <w:t>Vadu</w:t>
      </w:r>
      <w:proofErr w:type="spellEnd"/>
      <w:r w:rsidRPr="005A28D6">
        <w:rPr>
          <w:rFonts w:cs="Tahoma"/>
          <w:b/>
          <w:bCs/>
          <w:color w:val="000000" w:themeColor="text1"/>
          <w:lang w:val="en-US"/>
        </w:rPr>
        <w:t xml:space="preserve"> HDSS, KEM Hospital Research Centre Pune, Pune India); </w:t>
      </w:r>
      <w:r w:rsidRPr="005A28D6">
        <w:rPr>
          <w:rFonts w:cs="Tahoma"/>
          <w:color w:val="000000" w:themeColor="text1"/>
          <w:lang w:val="en-US"/>
        </w:rPr>
        <w:t xml:space="preserve">Sundeep Salvi (PI), Bill </w:t>
      </w:r>
      <w:proofErr w:type="spellStart"/>
      <w:r w:rsidRPr="005A28D6">
        <w:rPr>
          <w:rFonts w:cs="Tahoma"/>
          <w:color w:val="000000" w:themeColor="text1"/>
          <w:lang w:val="en-US"/>
        </w:rPr>
        <w:t>Brashier</w:t>
      </w:r>
      <w:proofErr w:type="spellEnd"/>
      <w:r w:rsidRPr="005A28D6">
        <w:rPr>
          <w:rFonts w:cs="Tahoma"/>
          <w:color w:val="000000" w:themeColor="text1"/>
          <w:lang w:val="en-US"/>
        </w:rPr>
        <w:t xml:space="preserve">, Jyoti Londhe, </w:t>
      </w:r>
      <w:proofErr w:type="spellStart"/>
      <w:r w:rsidRPr="005A28D6">
        <w:rPr>
          <w:rFonts w:cs="Tahoma"/>
          <w:color w:val="000000" w:themeColor="text1"/>
          <w:lang w:val="en-US"/>
        </w:rPr>
        <w:t>Sapna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Madas</w:t>
      </w:r>
      <w:proofErr w:type="spellEnd"/>
      <w:r w:rsidRPr="005A28D6">
        <w:rPr>
          <w:rFonts w:cs="Tahoma"/>
          <w:color w:val="000000" w:themeColor="text1"/>
          <w:lang w:val="en-US"/>
        </w:rPr>
        <w:t xml:space="preserve"> </w:t>
      </w:r>
      <w:r w:rsidRPr="005A28D6">
        <w:rPr>
          <w:rFonts w:cs="Tahoma"/>
          <w:b/>
          <w:bCs/>
          <w:color w:val="000000" w:themeColor="text1"/>
          <w:lang w:val="en-US"/>
        </w:rPr>
        <w:t xml:space="preserve">(Chest Research Foundation (CRF), Pune India); </w:t>
      </w:r>
      <w:r w:rsidRPr="005A28D6">
        <w:rPr>
          <w:rFonts w:cs="Tahoma"/>
          <w:color w:val="000000" w:themeColor="text1"/>
          <w:lang w:val="en-US"/>
        </w:rPr>
        <w:t xml:space="preserve">Mohamed C </w:t>
      </w:r>
      <w:proofErr w:type="spellStart"/>
      <w:r w:rsidRPr="005A28D6">
        <w:rPr>
          <w:rFonts w:cs="Tahoma"/>
          <w:color w:val="000000" w:themeColor="text1"/>
          <w:lang w:val="en-US"/>
        </w:rPr>
        <w:t>Benjelloun</w:t>
      </w:r>
      <w:proofErr w:type="spellEnd"/>
      <w:r w:rsidRPr="005A28D6">
        <w:rPr>
          <w:rFonts w:cs="Tahoma"/>
          <w:color w:val="000000" w:themeColor="text1"/>
          <w:lang w:val="en-US"/>
        </w:rPr>
        <w:t xml:space="preserve"> (PI), Chakib </w:t>
      </w:r>
      <w:proofErr w:type="spellStart"/>
      <w:r w:rsidRPr="005A28D6">
        <w:rPr>
          <w:rFonts w:cs="Tahoma"/>
          <w:color w:val="000000" w:themeColor="text1"/>
          <w:lang w:val="en-US"/>
        </w:rPr>
        <w:t>Nejjari</w:t>
      </w:r>
      <w:proofErr w:type="spellEnd"/>
      <w:r w:rsidRPr="005A28D6">
        <w:rPr>
          <w:rFonts w:cs="Tahoma"/>
          <w:color w:val="000000" w:themeColor="text1"/>
          <w:lang w:val="en-US"/>
        </w:rPr>
        <w:t xml:space="preserve">, Mohamed </w:t>
      </w:r>
      <w:proofErr w:type="spellStart"/>
      <w:r w:rsidRPr="005A28D6">
        <w:rPr>
          <w:rFonts w:cs="Tahoma"/>
          <w:color w:val="000000" w:themeColor="text1"/>
          <w:lang w:val="en-US"/>
        </w:rPr>
        <w:t>Elbiaze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Karima</w:t>
      </w:r>
      <w:proofErr w:type="spellEnd"/>
      <w:r w:rsidRPr="005A28D6">
        <w:rPr>
          <w:rFonts w:cs="Tahoma"/>
          <w:color w:val="000000" w:themeColor="text1"/>
          <w:lang w:val="en-US"/>
        </w:rPr>
        <w:t xml:space="preserve"> El </w:t>
      </w:r>
      <w:proofErr w:type="spellStart"/>
      <w:r w:rsidRPr="005A28D6">
        <w:rPr>
          <w:rFonts w:cs="Tahoma"/>
          <w:color w:val="000000" w:themeColor="text1"/>
          <w:lang w:val="en-US"/>
        </w:rPr>
        <w:t>Rhazi</w:t>
      </w:r>
      <w:proofErr w:type="spellEnd"/>
      <w:r w:rsidRPr="005A28D6">
        <w:rPr>
          <w:rFonts w:cs="Tahoma"/>
          <w:b/>
          <w:bCs/>
          <w:color w:val="000000" w:themeColor="text1"/>
          <w:lang w:val="en-US"/>
        </w:rPr>
        <w:t xml:space="preserve"> (</w:t>
      </w:r>
      <w:proofErr w:type="spellStart"/>
      <w:r w:rsidRPr="005A28D6">
        <w:rPr>
          <w:rFonts w:cs="Tahoma"/>
          <w:b/>
          <w:bCs/>
          <w:color w:val="000000" w:themeColor="text1"/>
          <w:lang w:val="en-US"/>
        </w:rPr>
        <w:t>Laboratoire</w:t>
      </w:r>
      <w:proofErr w:type="spellEnd"/>
      <w:r w:rsidRPr="005A28D6">
        <w:rPr>
          <w:rFonts w:cs="Tahoma"/>
          <w:b/>
          <w:bCs/>
          <w:color w:val="000000" w:themeColor="text1"/>
          <w:lang w:val="en-US"/>
        </w:rPr>
        <w:t xml:space="preserve"> </w:t>
      </w:r>
      <w:proofErr w:type="spellStart"/>
      <w:r w:rsidRPr="005A28D6">
        <w:rPr>
          <w:rFonts w:cs="Tahoma"/>
          <w:b/>
          <w:bCs/>
          <w:color w:val="000000" w:themeColor="text1"/>
          <w:lang w:val="en-US"/>
        </w:rPr>
        <w:t>d’épidémiologie</w:t>
      </w:r>
      <w:proofErr w:type="spellEnd"/>
      <w:r w:rsidRPr="005A28D6">
        <w:rPr>
          <w:rFonts w:cs="Tahoma"/>
          <w:b/>
          <w:bCs/>
          <w:color w:val="000000" w:themeColor="text1"/>
          <w:lang w:val="en-US"/>
        </w:rPr>
        <w:t xml:space="preserve">, </w:t>
      </w:r>
      <w:proofErr w:type="spellStart"/>
      <w:r w:rsidRPr="005A28D6">
        <w:rPr>
          <w:rFonts w:cs="Tahoma"/>
          <w:b/>
          <w:bCs/>
          <w:color w:val="000000" w:themeColor="text1"/>
          <w:lang w:val="en-US"/>
        </w:rPr>
        <w:t>Recherche</w:t>
      </w:r>
      <w:proofErr w:type="spellEnd"/>
      <w:r w:rsidRPr="005A28D6">
        <w:rPr>
          <w:rFonts w:cs="Tahoma"/>
          <w:b/>
          <w:bCs/>
          <w:color w:val="000000" w:themeColor="text1"/>
          <w:lang w:val="en-US"/>
        </w:rPr>
        <w:t xml:space="preserve"> Clinique et Santé </w:t>
      </w:r>
      <w:proofErr w:type="spellStart"/>
      <w:r w:rsidRPr="005A28D6">
        <w:rPr>
          <w:rFonts w:cs="Tahoma"/>
          <w:b/>
          <w:bCs/>
          <w:color w:val="000000" w:themeColor="text1"/>
          <w:lang w:val="en-US"/>
        </w:rPr>
        <w:t>Communautaire</w:t>
      </w:r>
      <w:proofErr w:type="spellEnd"/>
      <w:r w:rsidRPr="005A28D6">
        <w:rPr>
          <w:rFonts w:cs="Tahoma"/>
          <w:b/>
          <w:bCs/>
          <w:color w:val="000000" w:themeColor="text1"/>
          <w:lang w:val="en-US"/>
        </w:rPr>
        <w:t xml:space="preserve">, </w:t>
      </w:r>
      <w:proofErr w:type="spellStart"/>
      <w:r w:rsidRPr="005A28D6">
        <w:rPr>
          <w:rFonts w:cs="Tahoma"/>
          <w:b/>
          <w:bCs/>
          <w:color w:val="000000" w:themeColor="text1"/>
          <w:lang w:val="en-US"/>
        </w:rPr>
        <w:t>Fès</w:t>
      </w:r>
      <w:proofErr w:type="spellEnd"/>
      <w:r w:rsidRPr="005A28D6">
        <w:rPr>
          <w:rFonts w:cs="Tahoma"/>
          <w:b/>
          <w:bCs/>
          <w:color w:val="000000" w:themeColor="text1"/>
          <w:lang w:val="en-US"/>
        </w:rPr>
        <w:t xml:space="preserve">, </w:t>
      </w:r>
      <w:proofErr w:type="spellStart"/>
      <w:r w:rsidRPr="005A28D6">
        <w:rPr>
          <w:rFonts w:cs="Tahoma"/>
          <w:b/>
          <w:bCs/>
          <w:color w:val="000000" w:themeColor="text1"/>
          <w:lang w:val="en-US"/>
        </w:rPr>
        <w:t>Morroco</w:t>
      </w:r>
      <w:proofErr w:type="spellEnd"/>
      <w:r w:rsidRPr="005A28D6">
        <w:rPr>
          <w:rFonts w:cs="Tahoma"/>
          <w:b/>
          <w:bCs/>
          <w:color w:val="000000" w:themeColor="text1"/>
          <w:lang w:val="en-US"/>
        </w:rPr>
        <w:t xml:space="preserve">); </w:t>
      </w:r>
      <w:r w:rsidRPr="005A28D6">
        <w:rPr>
          <w:rFonts w:cs="Tahoma"/>
          <w:color w:val="000000" w:themeColor="text1"/>
          <w:lang w:val="en-US"/>
        </w:rPr>
        <w:t xml:space="preserve">Daniel </w:t>
      </w:r>
      <w:proofErr w:type="spellStart"/>
      <w:r w:rsidRPr="005A28D6">
        <w:rPr>
          <w:rFonts w:cs="Tahoma"/>
          <w:color w:val="000000" w:themeColor="text1"/>
          <w:lang w:val="en-US"/>
        </w:rPr>
        <w:t>Obaseki</w:t>
      </w:r>
      <w:proofErr w:type="spellEnd"/>
      <w:r w:rsidRPr="005A28D6">
        <w:rPr>
          <w:rFonts w:cs="Tahoma"/>
          <w:color w:val="000000" w:themeColor="text1"/>
          <w:lang w:val="en-US"/>
        </w:rPr>
        <w:t xml:space="preserve"> (PI), Gregory </w:t>
      </w:r>
      <w:proofErr w:type="spellStart"/>
      <w:r w:rsidRPr="005A28D6">
        <w:rPr>
          <w:rFonts w:cs="Tahoma"/>
          <w:color w:val="000000" w:themeColor="text1"/>
          <w:lang w:val="en-US"/>
        </w:rPr>
        <w:t>Erhabor</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Olayemi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Awopeju</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Olufemi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Adewole</w:t>
      </w:r>
      <w:proofErr w:type="spellEnd"/>
      <w:r w:rsidRPr="005A28D6">
        <w:rPr>
          <w:rFonts w:cs="Tahoma"/>
          <w:color w:val="000000" w:themeColor="text1"/>
          <w:lang w:val="en-US"/>
        </w:rPr>
        <w:t xml:space="preserve"> (</w:t>
      </w:r>
      <w:proofErr w:type="spellStart"/>
      <w:r w:rsidRPr="005A28D6">
        <w:rPr>
          <w:rFonts w:cs="Tahoma"/>
          <w:b/>
          <w:bCs/>
          <w:color w:val="000000" w:themeColor="text1"/>
          <w:lang w:val="en-US"/>
        </w:rPr>
        <w:t>Obafemi</w:t>
      </w:r>
      <w:proofErr w:type="spellEnd"/>
      <w:r w:rsidRPr="005A28D6">
        <w:rPr>
          <w:rFonts w:cs="Tahoma"/>
          <w:b/>
          <w:bCs/>
          <w:color w:val="000000" w:themeColor="text1"/>
          <w:lang w:val="en-US"/>
        </w:rPr>
        <w:t xml:space="preserve"> </w:t>
      </w:r>
      <w:proofErr w:type="spellStart"/>
      <w:r w:rsidRPr="005A28D6">
        <w:rPr>
          <w:rFonts w:cs="Tahoma"/>
          <w:b/>
          <w:bCs/>
          <w:color w:val="000000" w:themeColor="text1"/>
          <w:lang w:val="en-US"/>
        </w:rPr>
        <w:t>Awolowo</w:t>
      </w:r>
      <w:proofErr w:type="spellEnd"/>
      <w:r w:rsidRPr="005A28D6">
        <w:rPr>
          <w:rFonts w:cs="Tahoma"/>
          <w:b/>
          <w:bCs/>
          <w:color w:val="000000" w:themeColor="text1"/>
          <w:lang w:val="en-US"/>
        </w:rPr>
        <w:t xml:space="preserve"> University, Ile-Ife, Nigeria), </w:t>
      </w:r>
      <w:r w:rsidRPr="005A28D6">
        <w:rPr>
          <w:rFonts w:cs="Tahoma"/>
          <w:color w:val="000000" w:themeColor="text1"/>
          <w:lang w:val="en-US"/>
        </w:rPr>
        <w:t xml:space="preserve">Al Ghobain M (PI), </w:t>
      </w:r>
      <w:proofErr w:type="spellStart"/>
      <w:r w:rsidRPr="005A28D6">
        <w:rPr>
          <w:rFonts w:cs="Tahoma"/>
          <w:color w:val="000000" w:themeColor="text1"/>
          <w:lang w:val="en-US"/>
        </w:rPr>
        <w:t>Alorainy</w:t>
      </w:r>
      <w:proofErr w:type="spellEnd"/>
      <w:r w:rsidRPr="005A28D6">
        <w:rPr>
          <w:rFonts w:cs="Tahoma"/>
          <w:color w:val="000000" w:themeColor="text1"/>
          <w:lang w:val="en-US"/>
        </w:rPr>
        <w:t xml:space="preserve"> H (PI), El-Hamad E, Al </w:t>
      </w:r>
      <w:proofErr w:type="spellStart"/>
      <w:r w:rsidRPr="005A28D6">
        <w:rPr>
          <w:rFonts w:cs="Tahoma"/>
          <w:color w:val="000000" w:themeColor="text1"/>
          <w:lang w:val="en-US"/>
        </w:rPr>
        <w:t>Hajjaj</w:t>
      </w:r>
      <w:proofErr w:type="spellEnd"/>
      <w:r w:rsidRPr="005A28D6">
        <w:rPr>
          <w:rFonts w:cs="Tahoma"/>
          <w:color w:val="000000" w:themeColor="text1"/>
          <w:lang w:val="en-US"/>
        </w:rPr>
        <w:t xml:space="preserve"> M, </w:t>
      </w:r>
      <w:proofErr w:type="spellStart"/>
      <w:r w:rsidRPr="005A28D6">
        <w:rPr>
          <w:rFonts w:cs="Tahoma"/>
          <w:color w:val="000000" w:themeColor="text1"/>
          <w:lang w:val="en-US"/>
        </w:rPr>
        <w:t>Ayan</w:t>
      </w:r>
      <w:proofErr w:type="spellEnd"/>
      <w:r w:rsidRPr="005A28D6">
        <w:rPr>
          <w:rFonts w:cs="Tahoma"/>
          <w:color w:val="000000" w:themeColor="text1"/>
          <w:lang w:val="en-US"/>
        </w:rPr>
        <w:t xml:space="preserve"> H, Rowena D, </w:t>
      </w:r>
      <w:proofErr w:type="spellStart"/>
      <w:r w:rsidRPr="005A28D6">
        <w:rPr>
          <w:rFonts w:cs="Tahoma"/>
          <w:color w:val="000000" w:themeColor="text1"/>
          <w:lang w:val="en-US"/>
        </w:rPr>
        <w:t>Rofel</w:t>
      </w:r>
      <w:proofErr w:type="spellEnd"/>
      <w:r w:rsidRPr="005A28D6">
        <w:rPr>
          <w:rFonts w:cs="Tahoma"/>
          <w:color w:val="000000" w:themeColor="text1"/>
          <w:lang w:val="en-US"/>
        </w:rPr>
        <w:t xml:space="preserve"> F, Elizabeth E, Imelda I, </w:t>
      </w:r>
      <w:proofErr w:type="spellStart"/>
      <w:r w:rsidRPr="005A28D6">
        <w:rPr>
          <w:rFonts w:cs="Tahoma"/>
          <w:color w:val="000000" w:themeColor="text1"/>
          <w:lang w:val="en-US"/>
        </w:rPr>
        <w:t>Safia</w:t>
      </w:r>
      <w:proofErr w:type="spellEnd"/>
      <w:r w:rsidRPr="005A28D6">
        <w:rPr>
          <w:rFonts w:cs="Tahoma"/>
          <w:color w:val="000000" w:themeColor="text1"/>
          <w:lang w:val="en-US"/>
        </w:rPr>
        <w:t xml:space="preserve"> H, Lyla (</w:t>
      </w:r>
      <w:r w:rsidRPr="005A28D6">
        <w:rPr>
          <w:rFonts w:cs="Tahoma"/>
          <w:b/>
          <w:bCs/>
          <w:color w:val="000000" w:themeColor="text1"/>
          <w:lang w:val="en-US"/>
        </w:rPr>
        <w:t xml:space="preserve">Saudi Thoracic Society, Saudi Arabia), </w:t>
      </w:r>
      <w:r w:rsidRPr="005A28D6">
        <w:rPr>
          <w:rFonts w:cs="Tahoma"/>
          <w:color w:val="000000" w:themeColor="text1"/>
          <w:lang w:val="en-US"/>
        </w:rPr>
        <w:t xml:space="preserve">Talant M. Sooronbaev (PI), </w:t>
      </w:r>
      <w:proofErr w:type="spellStart"/>
      <w:r w:rsidRPr="005A28D6">
        <w:rPr>
          <w:rFonts w:cs="Tahoma"/>
          <w:color w:val="000000" w:themeColor="text1"/>
          <w:lang w:val="en-US"/>
        </w:rPr>
        <w:t>Bermet</w:t>
      </w:r>
      <w:proofErr w:type="spellEnd"/>
      <w:r w:rsidRPr="005A28D6">
        <w:rPr>
          <w:rFonts w:cs="Tahoma"/>
          <w:color w:val="000000" w:themeColor="text1"/>
          <w:lang w:val="en-US"/>
        </w:rPr>
        <w:t xml:space="preserve"> M. </w:t>
      </w:r>
      <w:proofErr w:type="spellStart"/>
      <w:r w:rsidRPr="005A28D6">
        <w:rPr>
          <w:rFonts w:cs="Tahoma"/>
          <w:color w:val="000000" w:themeColor="text1"/>
          <w:lang w:val="en-US"/>
        </w:rPr>
        <w:t>Estebesova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MeerimAkmatalieva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SaadatUsenbaeva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JyparaKydyrova</w:t>
      </w:r>
      <w:proofErr w:type="spellEnd"/>
      <w:r w:rsidRPr="005A28D6">
        <w:rPr>
          <w:rFonts w:cs="Tahoma"/>
          <w:color w:val="000000" w:themeColor="text1"/>
          <w:lang w:val="en-US"/>
        </w:rPr>
        <w:t xml:space="preserve">, Eliza </w:t>
      </w:r>
      <w:proofErr w:type="spellStart"/>
      <w:r w:rsidRPr="005A28D6">
        <w:rPr>
          <w:rFonts w:cs="Tahoma"/>
          <w:color w:val="000000" w:themeColor="text1"/>
          <w:lang w:val="en-US"/>
        </w:rPr>
        <w:t>Bostonova</w:t>
      </w:r>
      <w:proofErr w:type="spellEnd"/>
      <w:r w:rsidRPr="005A28D6">
        <w:rPr>
          <w:rFonts w:cs="Tahoma"/>
          <w:color w:val="000000" w:themeColor="text1"/>
          <w:lang w:val="en-US"/>
        </w:rPr>
        <w:t xml:space="preserve">, Ulan </w:t>
      </w:r>
      <w:proofErr w:type="spellStart"/>
      <w:r w:rsidRPr="005A28D6">
        <w:rPr>
          <w:rFonts w:cs="Tahoma"/>
          <w:color w:val="000000" w:themeColor="text1"/>
          <w:lang w:val="en-US"/>
        </w:rPr>
        <w:t>Sheraliev</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NuridinMarajapov</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NurgulToktogulova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BerikEmilov</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ToktogulAzilova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GulnaraBeishekeeva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NasyikatDononbaeva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AijamalTabyshova</w:t>
      </w:r>
      <w:proofErr w:type="spellEnd"/>
      <w:r w:rsidRPr="005A28D6">
        <w:rPr>
          <w:rFonts w:cs="Tahoma"/>
          <w:color w:val="000000" w:themeColor="text1"/>
          <w:lang w:val="en-US"/>
        </w:rPr>
        <w:t xml:space="preserve">  </w:t>
      </w:r>
      <w:r w:rsidRPr="005A28D6">
        <w:rPr>
          <w:rFonts w:cs="Tahoma"/>
          <w:b/>
          <w:bCs/>
          <w:color w:val="000000" w:themeColor="text1"/>
          <w:lang w:val="en-US"/>
        </w:rPr>
        <w:t>(</w:t>
      </w:r>
      <w:proofErr w:type="spellStart"/>
      <w:r w:rsidRPr="005A28D6">
        <w:rPr>
          <w:rFonts w:cs="Tahoma"/>
          <w:b/>
          <w:bCs/>
          <w:color w:val="000000" w:themeColor="text1"/>
          <w:lang w:val="en-US"/>
        </w:rPr>
        <w:t>Pulmunology</w:t>
      </w:r>
      <w:proofErr w:type="spellEnd"/>
      <w:r w:rsidRPr="005A28D6">
        <w:rPr>
          <w:rFonts w:cs="Tahoma"/>
          <w:b/>
          <w:bCs/>
          <w:color w:val="000000" w:themeColor="text1"/>
          <w:lang w:val="en-US"/>
        </w:rPr>
        <w:t xml:space="preserve"> and </w:t>
      </w:r>
      <w:proofErr w:type="spellStart"/>
      <w:r w:rsidRPr="005A28D6">
        <w:rPr>
          <w:rFonts w:cs="Tahoma"/>
          <w:b/>
          <w:bCs/>
          <w:color w:val="000000" w:themeColor="text1"/>
          <w:lang w:val="en-US"/>
        </w:rPr>
        <w:t>Allergology</w:t>
      </w:r>
      <w:proofErr w:type="spellEnd"/>
      <w:r w:rsidRPr="005A28D6">
        <w:rPr>
          <w:rFonts w:cs="Tahoma"/>
          <w:b/>
          <w:bCs/>
          <w:color w:val="000000" w:themeColor="text1"/>
          <w:lang w:val="en-US"/>
        </w:rPr>
        <w:t xml:space="preserve"> Department, National Centre of Cardiology and Internal Medicine, Bishkek, Kyrgyzstan), </w:t>
      </w:r>
      <w:r w:rsidRPr="005A28D6">
        <w:rPr>
          <w:rFonts w:cs="Tahoma"/>
          <w:color w:val="000000" w:themeColor="text1"/>
          <w:lang w:val="en-US"/>
        </w:rPr>
        <w:t xml:space="preserve">Kevin Mortimer(PI), </w:t>
      </w:r>
      <w:proofErr w:type="spellStart"/>
      <w:r w:rsidRPr="005A28D6">
        <w:rPr>
          <w:rFonts w:cs="Tahoma"/>
          <w:color w:val="000000" w:themeColor="text1"/>
          <w:lang w:val="en-US"/>
        </w:rPr>
        <w:t>Wezzie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Nyapigoti</w:t>
      </w:r>
      <w:proofErr w:type="spellEnd"/>
      <w:r w:rsidRPr="005A28D6">
        <w:rPr>
          <w:rFonts w:cs="Tahoma"/>
          <w:color w:val="000000" w:themeColor="text1"/>
          <w:lang w:val="en-US"/>
        </w:rPr>
        <w:t xml:space="preserve">, Ernest </w:t>
      </w:r>
      <w:proofErr w:type="spellStart"/>
      <w:r w:rsidRPr="005A28D6">
        <w:rPr>
          <w:rFonts w:cs="Tahoma"/>
          <w:color w:val="000000" w:themeColor="text1"/>
          <w:lang w:val="en-US"/>
        </w:rPr>
        <w:t>Mwangoka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Mayamiko</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Kambwili</w:t>
      </w:r>
      <w:proofErr w:type="spellEnd"/>
      <w:r w:rsidRPr="005A28D6">
        <w:rPr>
          <w:rFonts w:cs="Tahoma"/>
          <w:color w:val="000000" w:themeColor="text1"/>
          <w:lang w:val="en-US"/>
        </w:rPr>
        <w:t xml:space="preserve"> ,Martha </w:t>
      </w:r>
      <w:proofErr w:type="spellStart"/>
      <w:r w:rsidRPr="005A28D6">
        <w:rPr>
          <w:rFonts w:cs="Tahoma"/>
          <w:color w:val="000000" w:themeColor="text1"/>
          <w:lang w:val="en-US"/>
        </w:rPr>
        <w:t>Chipeta</w:t>
      </w:r>
      <w:proofErr w:type="spellEnd"/>
      <w:r w:rsidRPr="005A28D6">
        <w:rPr>
          <w:rFonts w:cs="Tahoma"/>
          <w:color w:val="000000" w:themeColor="text1"/>
          <w:lang w:val="en-US"/>
        </w:rPr>
        <w:t xml:space="preserve"> ,Gloria Banda, </w:t>
      </w:r>
      <w:proofErr w:type="spellStart"/>
      <w:r w:rsidRPr="005A28D6">
        <w:rPr>
          <w:rFonts w:cs="Tahoma"/>
          <w:color w:val="000000" w:themeColor="text1"/>
          <w:lang w:val="en-US"/>
        </w:rPr>
        <w:t>Suzgo</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Mkandawire</w:t>
      </w:r>
      <w:proofErr w:type="spellEnd"/>
      <w:r w:rsidRPr="005A28D6">
        <w:rPr>
          <w:rFonts w:cs="Tahoma"/>
          <w:color w:val="000000" w:themeColor="text1"/>
          <w:lang w:val="en-US"/>
        </w:rPr>
        <w:t xml:space="preserve">, Justice Banda </w:t>
      </w:r>
      <w:r w:rsidRPr="005A28D6">
        <w:rPr>
          <w:rFonts w:cs="Tahoma"/>
          <w:b/>
          <w:bCs/>
          <w:color w:val="000000" w:themeColor="text1"/>
          <w:lang w:val="en-US"/>
        </w:rPr>
        <w:t xml:space="preserve">(The Malawi Liverpool </w:t>
      </w:r>
      <w:proofErr w:type="spellStart"/>
      <w:r w:rsidRPr="005A28D6">
        <w:rPr>
          <w:rFonts w:cs="Tahoma"/>
          <w:b/>
          <w:bCs/>
          <w:color w:val="000000" w:themeColor="text1"/>
          <w:lang w:val="en-US"/>
        </w:rPr>
        <w:t>Wellcome</w:t>
      </w:r>
      <w:proofErr w:type="spellEnd"/>
      <w:r w:rsidRPr="005A28D6">
        <w:rPr>
          <w:rFonts w:cs="Tahoma"/>
          <w:b/>
          <w:bCs/>
          <w:color w:val="000000" w:themeColor="text1"/>
          <w:lang w:val="en-US"/>
        </w:rPr>
        <w:t xml:space="preserve"> Trust, Blantyre, Malawi)</w:t>
      </w:r>
      <w:r w:rsidRPr="005A28D6">
        <w:rPr>
          <w:rFonts w:cs="Tahoma"/>
          <w:color w:val="000000" w:themeColor="text1"/>
          <w:lang w:val="en-US"/>
        </w:rPr>
        <w:t xml:space="preserve">, Asma Elsony (PI), Hana A. </w:t>
      </w:r>
      <w:proofErr w:type="spellStart"/>
      <w:r w:rsidRPr="005A28D6">
        <w:rPr>
          <w:rFonts w:cs="Tahoma"/>
          <w:color w:val="000000" w:themeColor="text1"/>
          <w:lang w:val="en-US"/>
        </w:rPr>
        <w:t>Elsadig</w:t>
      </w:r>
      <w:proofErr w:type="spellEnd"/>
      <w:r w:rsidRPr="005A28D6">
        <w:rPr>
          <w:rFonts w:cs="Tahoma"/>
          <w:color w:val="000000" w:themeColor="text1"/>
          <w:lang w:val="en-US"/>
        </w:rPr>
        <w:t xml:space="preserve">, Nada Bakery Osman, Bandar Salah </w:t>
      </w:r>
      <w:proofErr w:type="spellStart"/>
      <w:r w:rsidRPr="005A28D6">
        <w:rPr>
          <w:rFonts w:cs="Tahoma"/>
          <w:color w:val="000000" w:themeColor="text1"/>
          <w:lang w:val="en-US"/>
        </w:rPr>
        <w:t>Noory</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Monjda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Awad</w:t>
      </w:r>
      <w:proofErr w:type="spellEnd"/>
      <w:r w:rsidRPr="005A28D6">
        <w:rPr>
          <w:rFonts w:cs="Tahoma"/>
          <w:color w:val="000000" w:themeColor="text1"/>
          <w:lang w:val="en-US"/>
        </w:rPr>
        <w:t xml:space="preserve"> Mohamed, </w:t>
      </w:r>
      <w:proofErr w:type="spellStart"/>
      <w:r w:rsidRPr="005A28D6">
        <w:rPr>
          <w:rFonts w:cs="Tahoma"/>
          <w:color w:val="000000" w:themeColor="text1"/>
          <w:lang w:val="en-US"/>
        </w:rPr>
        <w:t>Hasab</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Alrasoul</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Akasha</w:t>
      </w:r>
      <w:proofErr w:type="spellEnd"/>
      <w:r w:rsidRPr="005A28D6">
        <w:rPr>
          <w:rFonts w:cs="Tahoma"/>
          <w:color w:val="000000" w:themeColor="text1"/>
          <w:lang w:val="en-US"/>
        </w:rPr>
        <w:t xml:space="preserve"> Ahmed Osman , </w:t>
      </w:r>
      <w:proofErr w:type="spellStart"/>
      <w:r w:rsidRPr="005A28D6">
        <w:rPr>
          <w:rFonts w:cs="Tahoma"/>
          <w:color w:val="000000" w:themeColor="text1"/>
          <w:lang w:val="en-US"/>
        </w:rPr>
        <w:t>Namarig</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Moham</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ed</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Elhassan</w:t>
      </w:r>
      <w:proofErr w:type="spellEnd"/>
      <w:r w:rsidRPr="005A28D6">
        <w:rPr>
          <w:rFonts w:cs="Tahoma"/>
          <w:color w:val="000000" w:themeColor="text1"/>
          <w:lang w:val="en-US"/>
        </w:rPr>
        <w:t>, Abdel Mu</w:t>
      </w:r>
      <w:dir w:val="rtl">
        <w:r w:rsidRPr="00987270">
          <w:rPr>
            <w:rFonts w:ascii="Tahoma" w:hAnsi="Tahoma" w:cs="Tahoma"/>
            <w:sz w:val="28"/>
            <w:szCs w:val="28"/>
            <w:lang w:val="en-US"/>
          </w:rPr>
          <w:t xml:space="preserve"> ‘</w:t>
        </w:r>
        <w:r w:rsidRPr="00987270">
          <w:rPr>
            <w:rFonts w:ascii="Times New Roman" w:hAnsi="Times New Roman"/>
            <w:sz w:val="28"/>
            <w:szCs w:val="28"/>
            <w:lang w:val="en-US"/>
          </w:rPr>
          <w:t>‬</w:t>
        </w:r>
        <w:dir w:val="ltr">
          <w:r w:rsidRPr="00987270">
            <w:rPr>
              <w:rFonts w:ascii="Tahoma" w:hAnsi="Tahoma" w:cs="Tahoma"/>
              <w:sz w:val="28"/>
              <w:szCs w:val="28"/>
              <w:lang w:val="en-US"/>
            </w:rPr>
            <w:t xml:space="preserve"> </w:t>
          </w:r>
          <w:r w:rsidRPr="00987270">
            <w:rPr>
              <w:rFonts w:ascii="Times New Roman" w:hAnsi="Times New Roman"/>
              <w:sz w:val="28"/>
              <w:szCs w:val="28"/>
              <w:lang w:val="en-US"/>
            </w:rPr>
            <w:t>‬</w:t>
          </w:r>
          <w:r w:rsidRPr="005A28D6">
            <w:rPr>
              <w:rFonts w:cs="Tahoma"/>
              <w:color w:val="000000" w:themeColor="text1"/>
              <w:lang w:val="en-US"/>
            </w:rPr>
            <w:t>is El</w:t>
          </w:r>
          <w:dir w:val="rtl">
            <w:r w:rsidRPr="00987270">
              <w:rPr>
                <w:rFonts w:ascii="Tahoma" w:hAnsi="Tahoma" w:cs="Tahoma"/>
                <w:sz w:val="28"/>
                <w:szCs w:val="28"/>
                <w:lang w:val="en-US"/>
              </w:rPr>
              <w:t xml:space="preserve"> </w:t>
            </w:r>
            <w:r w:rsidRPr="00987270">
              <w:rPr>
                <w:rFonts w:ascii="Times New Roman" w:hAnsi="Times New Roman"/>
                <w:sz w:val="28"/>
                <w:szCs w:val="28"/>
                <w:lang w:val="en-US"/>
              </w:rPr>
              <w:t>‬</w:t>
            </w:r>
            <w:r w:rsidRPr="005A28D6">
              <w:rPr>
                <w:rFonts w:cs="Tahoma"/>
                <w:color w:val="000000" w:themeColor="text1"/>
                <w:lang w:val="en-US"/>
              </w:rPr>
              <w:t xml:space="preserve">Zain, </w:t>
            </w:r>
            <w:proofErr w:type="spellStart"/>
            <w:r w:rsidRPr="005A28D6">
              <w:rPr>
                <w:rFonts w:cs="Tahoma"/>
                <w:color w:val="000000" w:themeColor="text1"/>
                <w:lang w:val="en-US"/>
              </w:rPr>
              <w:t>Marwa</w:t>
            </w:r>
            <w:proofErr w:type="spellEnd"/>
            <w:r w:rsidRPr="005A28D6">
              <w:rPr>
                <w:rFonts w:cs="Tahoma"/>
                <w:color w:val="000000" w:themeColor="text1"/>
                <w:lang w:val="en-US"/>
              </w:rPr>
              <w:t xml:space="preserve"> Mohamed </w:t>
            </w:r>
            <w:proofErr w:type="spellStart"/>
            <w:r w:rsidRPr="005A28D6">
              <w:rPr>
                <w:rFonts w:cs="Tahoma"/>
                <w:color w:val="000000" w:themeColor="text1"/>
                <w:lang w:val="en-US"/>
              </w:rPr>
              <w:t>Mohamaden</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Suhaiba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Khalifa</w:t>
            </w:r>
            <w:proofErr w:type="spellEnd"/>
            <w:r w:rsidRPr="005A28D6">
              <w:rPr>
                <w:rFonts w:cs="Tahoma"/>
                <w:color w:val="000000" w:themeColor="text1"/>
                <w:lang w:val="en-US"/>
              </w:rPr>
              <w:t xml:space="preserve">, Mahmoud </w:t>
            </w:r>
            <w:proofErr w:type="spellStart"/>
            <w:r w:rsidRPr="005A28D6">
              <w:rPr>
                <w:rFonts w:cs="Tahoma"/>
                <w:color w:val="000000" w:themeColor="text1"/>
                <w:lang w:val="en-US"/>
              </w:rPr>
              <w:t>Elhadi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Mohand</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Hassan,Dalia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Abdelmonam</w:t>
            </w:r>
            <w:proofErr w:type="spellEnd"/>
            <w:r w:rsidRPr="005A28D6">
              <w:rPr>
                <w:rFonts w:cs="Tahoma"/>
                <w:b/>
                <w:bCs/>
                <w:color w:val="000000" w:themeColor="text1"/>
                <w:lang w:val="en-US"/>
              </w:rPr>
              <w:t xml:space="preserve"> (The Epidemiological Laboratory, Khartoum, Sudan)</w:t>
            </w:r>
            <w:r w:rsidRPr="005A28D6">
              <w:rPr>
                <w:rFonts w:cs="Tahoma"/>
                <w:color w:val="000000" w:themeColor="text1"/>
                <w:lang w:val="en-US"/>
              </w:rPr>
              <w:t xml:space="preserve">, Hasan Hafizi (PI), </w:t>
            </w:r>
            <w:proofErr w:type="spellStart"/>
            <w:r w:rsidRPr="005A28D6">
              <w:rPr>
                <w:rFonts w:cs="Tahoma"/>
                <w:color w:val="000000" w:themeColor="text1"/>
                <w:lang w:val="en-US"/>
              </w:rPr>
              <w:t>Anila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Aliko</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Donika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Bardhi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Holta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Tafa</w:t>
            </w:r>
            <w:proofErr w:type="spellEnd"/>
            <w:r w:rsidRPr="005A28D6">
              <w:rPr>
                <w:rFonts w:cs="Tahoma"/>
                <w:color w:val="000000" w:themeColor="text1"/>
                <w:lang w:val="en-US"/>
              </w:rPr>
              <w:t xml:space="preserve">, Natasha Thanasi, Arian </w:t>
            </w:r>
            <w:proofErr w:type="spellStart"/>
            <w:r w:rsidRPr="005A28D6">
              <w:rPr>
                <w:rFonts w:cs="Tahoma"/>
                <w:color w:val="000000" w:themeColor="text1"/>
                <w:lang w:val="en-US"/>
              </w:rPr>
              <w:t>Mezini</w:t>
            </w:r>
            <w:proofErr w:type="spellEnd"/>
            <w:r w:rsidRPr="005A28D6">
              <w:rPr>
                <w:rFonts w:cs="Tahoma"/>
                <w:color w:val="000000" w:themeColor="text1"/>
                <w:lang w:val="en-US"/>
              </w:rPr>
              <w:t xml:space="preserve">, Alma </w:t>
            </w:r>
            <w:proofErr w:type="spellStart"/>
            <w:r w:rsidRPr="005A28D6">
              <w:rPr>
                <w:rFonts w:cs="Tahoma"/>
                <w:color w:val="000000" w:themeColor="text1"/>
                <w:lang w:val="en-US"/>
              </w:rPr>
              <w:t>Teferici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Dafina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Todri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Jolanda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Nikolla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Rezarta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Kazasi</w:t>
            </w:r>
            <w:proofErr w:type="spellEnd"/>
            <w:r w:rsidRPr="005A28D6">
              <w:rPr>
                <w:rFonts w:cs="Tahoma"/>
                <w:color w:val="000000" w:themeColor="text1"/>
                <w:lang w:val="en-US"/>
              </w:rPr>
              <w:t xml:space="preserve"> </w:t>
            </w:r>
            <w:r w:rsidRPr="005A28D6">
              <w:rPr>
                <w:rFonts w:cs="Tahoma"/>
                <w:b/>
                <w:bCs/>
                <w:color w:val="000000" w:themeColor="text1"/>
                <w:lang w:val="en-US"/>
              </w:rPr>
              <w:t>(Tirana University Hospital "</w:t>
            </w:r>
            <w:proofErr w:type="spellStart"/>
            <w:r w:rsidRPr="005A28D6">
              <w:rPr>
                <w:rFonts w:cs="Tahoma"/>
                <w:b/>
                <w:bCs/>
                <w:color w:val="000000" w:themeColor="text1"/>
                <w:lang w:val="en-US"/>
              </w:rPr>
              <w:t>Shefqet</w:t>
            </w:r>
            <w:proofErr w:type="spellEnd"/>
            <w:r w:rsidRPr="005A28D6">
              <w:rPr>
                <w:rFonts w:cs="Tahoma"/>
                <w:b/>
                <w:bCs/>
                <w:color w:val="000000" w:themeColor="text1"/>
                <w:lang w:val="en-US"/>
              </w:rPr>
              <w:t xml:space="preserve"> </w:t>
            </w:r>
            <w:proofErr w:type="spellStart"/>
            <w:r w:rsidRPr="005A28D6">
              <w:rPr>
                <w:rFonts w:cs="Tahoma"/>
                <w:b/>
                <w:bCs/>
                <w:color w:val="000000" w:themeColor="text1"/>
                <w:lang w:val="en-US"/>
              </w:rPr>
              <w:t>Ndroqi</w:t>
            </w:r>
            <w:proofErr w:type="spellEnd"/>
            <w:r w:rsidRPr="005A28D6">
              <w:rPr>
                <w:rFonts w:cs="Tahoma"/>
                <w:b/>
                <w:bCs/>
                <w:color w:val="000000" w:themeColor="text1"/>
                <w:lang w:val="en-US"/>
              </w:rPr>
              <w:t>, Albania)</w:t>
            </w:r>
            <w:r w:rsidRPr="005A28D6">
              <w:rPr>
                <w:rFonts w:cs="Tahoma"/>
                <w:color w:val="000000" w:themeColor="text1"/>
                <w:lang w:val="en-US"/>
              </w:rPr>
              <w:t xml:space="preserve">, Hamid </w:t>
            </w:r>
            <w:proofErr w:type="spellStart"/>
            <w:r w:rsidRPr="005A28D6">
              <w:rPr>
                <w:rFonts w:cs="Tahoma"/>
                <w:color w:val="000000" w:themeColor="text1"/>
                <w:lang w:val="en-US"/>
              </w:rPr>
              <w:t>Hacene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Cherkaski</w:t>
            </w:r>
            <w:proofErr w:type="spellEnd"/>
            <w:r w:rsidRPr="005A28D6">
              <w:rPr>
                <w:rFonts w:cs="Tahoma"/>
                <w:color w:val="000000" w:themeColor="text1"/>
                <w:lang w:val="en-US"/>
              </w:rPr>
              <w:t xml:space="preserve"> (PI), Amira </w:t>
            </w:r>
            <w:proofErr w:type="spellStart"/>
            <w:r w:rsidRPr="005A28D6">
              <w:rPr>
                <w:rFonts w:cs="Tahoma"/>
                <w:color w:val="000000" w:themeColor="text1"/>
                <w:lang w:val="en-US"/>
              </w:rPr>
              <w:t>Bengrait</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Tabarek</w:t>
            </w:r>
            <w:proofErr w:type="spellEnd"/>
            <w:r w:rsidRPr="005A28D6">
              <w:rPr>
                <w:rFonts w:cs="Tahoma"/>
                <w:color w:val="000000" w:themeColor="text1"/>
                <w:lang w:val="en-US"/>
              </w:rPr>
              <w:t xml:space="preserve"> Haddad, </w:t>
            </w:r>
            <w:proofErr w:type="spellStart"/>
            <w:r w:rsidRPr="005A28D6">
              <w:rPr>
                <w:rFonts w:cs="Tahoma"/>
                <w:color w:val="000000" w:themeColor="text1"/>
                <w:lang w:val="en-US"/>
              </w:rPr>
              <w:t>Ibtissem</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Zgaoula</w:t>
            </w:r>
            <w:proofErr w:type="spellEnd"/>
            <w:r w:rsidRPr="005A28D6">
              <w:rPr>
                <w:rFonts w:cs="Tahoma"/>
                <w:color w:val="000000" w:themeColor="text1"/>
                <w:lang w:val="en-US"/>
              </w:rPr>
              <w:t>, </w:t>
            </w:r>
            <w:proofErr w:type="spellStart"/>
            <w:r w:rsidRPr="005A28D6">
              <w:rPr>
                <w:rFonts w:cs="Tahoma"/>
                <w:color w:val="000000" w:themeColor="text1"/>
                <w:lang w:val="en-US"/>
              </w:rPr>
              <w:t>Maamar</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Ghit</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Abdelhamid</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Roubhia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Soumaya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Boudra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Feryal</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Atoui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Randa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Yakoubi</w:t>
            </w:r>
            <w:proofErr w:type="spellEnd"/>
            <w:r w:rsidRPr="005A28D6">
              <w:rPr>
                <w:rFonts w:cs="Tahoma"/>
                <w:color w:val="000000" w:themeColor="text1"/>
                <w:lang w:val="en-US"/>
              </w:rPr>
              <w:t xml:space="preserve">, Rachid Benali, </w:t>
            </w:r>
            <w:proofErr w:type="spellStart"/>
            <w:r w:rsidRPr="005A28D6">
              <w:rPr>
                <w:rFonts w:cs="Tahoma"/>
                <w:color w:val="000000" w:themeColor="text1"/>
                <w:lang w:val="en-US"/>
              </w:rPr>
              <w:t>Abdelghani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Bencheikh</w:t>
            </w:r>
            <w:proofErr w:type="spellEnd"/>
            <w:r w:rsidRPr="005A28D6">
              <w:rPr>
                <w:rFonts w:cs="Tahoma"/>
                <w:color w:val="000000" w:themeColor="text1"/>
                <w:lang w:val="en-US"/>
              </w:rPr>
              <w:t>, Nadia Ait-Khaled</w:t>
            </w:r>
            <w:r w:rsidRPr="005A28D6">
              <w:rPr>
                <w:rFonts w:cs="Tahoma"/>
                <w:b/>
                <w:bCs/>
                <w:color w:val="000000" w:themeColor="text1"/>
                <w:lang w:val="en-US"/>
              </w:rPr>
              <w:t xml:space="preserve"> (</w:t>
            </w:r>
            <w:proofErr w:type="spellStart"/>
            <w:r w:rsidRPr="005A28D6">
              <w:rPr>
                <w:rFonts w:cs="Tahoma"/>
                <w:b/>
                <w:bCs/>
                <w:color w:val="000000" w:themeColor="text1"/>
                <w:lang w:val="en-US"/>
              </w:rPr>
              <w:t>Faculté</w:t>
            </w:r>
            <w:proofErr w:type="spellEnd"/>
            <w:r w:rsidRPr="005A28D6">
              <w:rPr>
                <w:rFonts w:cs="Tahoma"/>
                <w:b/>
                <w:bCs/>
                <w:color w:val="000000" w:themeColor="text1"/>
                <w:lang w:val="en-US"/>
              </w:rPr>
              <w:t xml:space="preserve"> de </w:t>
            </w:r>
            <w:proofErr w:type="spellStart"/>
            <w:r w:rsidRPr="005A28D6">
              <w:rPr>
                <w:rFonts w:cs="Tahoma"/>
                <w:b/>
                <w:bCs/>
                <w:color w:val="000000" w:themeColor="text1"/>
                <w:lang w:val="en-US"/>
              </w:rPr>
              <w:t>Médecine</w:t>
            </w:r>
            <w:proofErr w:type="spellEnd"/>
            <w:r w:rsidRPr="005A28D6">
              <w:rPr>
                <w:rFonts w:cs="Tahoma"/>
                <w:b/>
                <w:bCs/>
                <w:color w:val="000000" w:themeColor="text1"/>
                <w:lang w:val="en-US"/>
              </w:rPr>
              <w:t xml:space="preserve"> Annaba,</w:t>
            </w:r>
            <w:r w:rsidRPr="005A28D6">
              <w:rPr>
                <w:rFonts w:cs="Tahoma"/>
                <w:color w:val="000000" w:themeColor="text1"/>
                <w:lang w:val="en-US"/>
              </w:rPr>
              <w:t xml:space="preserve"> </w:t>
            </w:r>
            <w:r w:rsidRPr="005A28D6">
              <w:rPr>
                <w:rFonts w:cs="Tahoma"/>
                <w:b/>
                <w:bCs/>
                <w:color w:val="000000" w:themeColor="text1"/>
                <w:lang w:val="en-US"/>
              </w:rPr>
              <w:t xml:space="preserve">SEMEP </w:t>
            </w:r>
            <w:proofErr w:type="spellStart"/>
            <w:r w:rsidRPr="005A28D6">
              <w:rPr>
                <w:rFonts w:cs="Tahoma"/>
                <w:b/>
                <w:bCs/>
                <w:color w:val="000000" w:themeColor="text1"/>
                <w:lang w:val="en-US"/>
              </w:rPr>
              <w:t>Elhadjar</w:t>
            </w:r>
            <w:proofErr w:type="spellEnd"/>
            <w:r w:rsidRPr="005A28D6">
              <w:rPr>
                <w:rFonts w:cs="Tahoma"/>
                <w:b/>
                <w:bCs/>
                <w:color w:val="000000" w:themeColor="text1"/>
                <w:lang w:val="en-US"/>
              </w:rPr>
              <w:t xml:space="preserve">, </w:t>
            </w:r>
            <w:proofErr w:type="spellStart"/>
            <w:r w:rsidRPr="005A28D6">
              <w:rPr>
                <w:rFonts w:cs="Tahoma"/>
                <w:b/>
                <w:bCs/>
                <w:color w:val="000000" w:themeColor="text1"/>
                <w:lang w:val="en-US"/>
              </w:rPr>
              <w:t>Algérie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Akramul</w:t>
            </w:r>
            <w:proofErr w:type="spellEnd"/>
            <w:r w:rsidRPr="005A28D6">
              <w:rPr>
                <w:rFonts w:cs="Tahoma"/>
                <w:color w:val="000000" w:themeColor="text1"/>
                <w:lang w:val="en-US"/>
              </w:rPr>
              <w:t xml:space="preserve"> Islam (PI), Syed </w:t>
            </w:r>
            <w:proofErr w:type="spellStart"/>
            <w:r w:rsidRPr="005A28D6">
              <w:rPr>
                <w:rFonts w:cs="Tahoma"/>
                <w:color w:val="000000" w:themeColor="text1"/>
                <w:lang w:val="en-US"/>
              </w:rPr>
              <w:t>Masud</w:t>
            </w:r>
            <w:proofErr w:type="spellEnd"/>
            <w:r w:rsidRPr="005A28D6">
              <w:rPr>
                <w:rFonts w:cs="Tahoma"/>
                <w:color w:val="000000" w:themeColor="text1"/>
                <w:lang w:val="en-US"/>
              </w:rPr>
              <w:t xml:space="preserve"> Ahmed (Co-PI), Shayla Islam, </w:t>
            </w:r>
            <w:proofErr w:type="spellStart"/>
            <w:r w:rsidRPr="005A28D6">
              <w:rPr>
                <w:rFonts w:cs="Tahoma"/>
                <w:color w:val="000000" w:themeColor="text1"/>
                <w:lang w:val="en-US"/>
              </w:rPr>
              <w:t>Qazi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Shafayetul</w:t>
            </w:r>
            <w:proofErr w:type="spellEnd"/>
            <w:r w:rsidRPr="005A28D6">
              <w:rPr>
                <w:rFonts w:cs="Tahoma"/>
                <w:color w:val="000000" w:themeColor="text1"/>
                <w:lang w:val="en-US"/>
              </w:rPr>
              <w:t xml:space="preserve"> Islam, Mesbah- Ul- Haque, Tridib Roy Chowdhury, </w:t>
            </w:r>
            <w:proofErr w:type="spellStart"/>
            <w:r w:rsidRPr="005A28D6">
              <w:rPr>
                <w:rFonts w:cs="Tahoma"/>
                <w:color w:val="000000" w:themeColor="text1"/>
                <w:lang w:val="en-US"/>
              </w:rPr>
              <w:t>Sukantha</w:t>
            </w:r>
            <w:proofErr w:type="spellEnd"/>
            <w:r w:rsidRPr="005A28D6">
              <w:rPr>
                <w:rFonts w:cs="Tahoma"/>
                <w:color w:val="000000" w:themeColor="text1"/>
                <w:lang w:val="en-US"/>
              </w:rPr>
              <w:t xml:space="preserve"> Kumar Chatterjee, </w:t>
            </w:r>
            <w:proofErr w:type="spellStart"/>
            <w:r w:rsidRPr="005A28D6">
              <w:rPr>
                <w:rFonts w:cs="Tahoma"/>
                <w:color w:val="000000" w:themeColor="text1"/>
                <w:lang w:val="en-US"/>
              </w:rPr>
              <w:t>Dulal</w:t>
            </w:r>
            <w:proofErr w:type="spellEnd"/>
            <w:r w:rsidRPr="005A28D6">
              <w:rPr>
                <w:rFonts w:cs="Tahoma"/>
                <w:color w:val="000000" w:themeColor="text1"/>
                <w:lang w:val="en-US"/>
              </w:rPr>
              <w:t xml:space="preserve"> Mia, </w:t>
            </w:r>
            <w:proofErr w:type="spellStart"/>
            <w:r w:rsidRPr="005A28D6">
              <w:rPr>
                <w:rFonts w:cs="Tahoma"/>
                <w:color w:val="000000" w:themeColor="text1"/>
                <w:lang w:val="en-US"/>
              </w:rPr>
              <w:t>Shyamal</w:t>
            </w:r>
            <w:proofErr w:type="spellEnd"/>
            <w:r w:rsidRPr="005A28D6">
              <w:rPr>
                <w:rFonts w:cs="Tahoma"/>
                <w:color w:val="000000" w:themeColor="text1"/>
                <w:lang w:val="en-US"/>
              </w:rPr>
              <w:t xml:space="preserve"> Chandra Das, </w:t>
            </w:r>
            <w:proofErr w:type="spellStart"/>
            <w:r w:rsidRPr="005A28D6">
              <w:rPr>
                <w:rFonts w:cs="Tahoma"/>
                <w:color w:val="000000" w:themeColor="text1"/>
                <w:lang w:val="en-US"/>
              </w:rPr>
              <w:t>Mizanur</w:t>
            </w:r>
            <w:proofErr w:type="spellEnd"/>
            <w:r w:rsidRPr="005A28D6">
              <w:rPr>
                <w:rFonts w:cs="Tahoma"/>
                <w:color w:val="000000" w:themeColor="text1"/>
                <w:lang w:val="en-US"/>
              </w:rPr>
              <w:t xml:space="preserve"> Rahman, </w:t>
            </w:r>
            <w:proofErr w:type="spellStart"/>
            <w:r w:rsidRPr="005A28D6">
              <w:rPr>
                <w:rFonts w:cs="Tahoma"/>
                <w:color w:val="000000" w:themeColor="text1"/>
                <w:lang w:val="en-US"/>
              </w:rPr>
              <w:t>Nazrul</w:t>
            </w:r>
            <w:proofErr w:type="spellEnd"/>
            <w:r w:rsidRPr="005A28D6">
              <w:rPr>
                <w:rFonts w:cs="Tahoma"/>
                <w:color w:val="000000" w:themeColor="text1"/>
                <w:lang w:val="en-US"/>
              </w:rPr>
              <w:t xml:space="preserve"> Islam, </w:t>
            </w:r>
            <w:proofErr w:type="spellStart"/>
            <w:r w:rsidRPr="005A28D6">
              <w:rPr>
                <w:rFonts w:cs="Tahoma"/>
                <w:color w:val="000000" w:themeColor="text1"/>
                <w:lang w:val="en-US"/>
              </w:rPr>
              <w:t>Shahaz</w:t>
            </w:r>
            <w:proofErr w:type="spellEnd"/>
            <w:r w:rsidRPr="005A28D6">
              <w:rPr>
                <w:rFonts w:cs="Tahoma"/>
                <w:color w:val="000000" w:themeColor="text1"/>
                <w:lang w:val="en-US"/>
              </w:rPr>
              <w:t xml:space="preserve"> Uddin, </w:t>
            </w:r>
            <w:proofErr w:type="spellStart"/>
            <w:r w:rsidRPr="005A28D6">
              <w:rPr>
                <w:rFonts w:cs="Tahoma"/>
                <w:color w:val="000000" w:themeColor="text1"/>
                <w:lang w:val="en-US"/>
              </w:rPr>
              <w:t>Nurul</w:t>
            </w:r>
            <w:proofErr w:type="spellEnd"/>
            <w:r w:rsidRPr="005A28D6">
              <w:rPr>
                <w:rFonts w:cs="Tahoma"/>
                <w:color w:val="000000" w:themeColor="text1"/>
                <w:lang w:val="en-US"/>
              </w:rPr>
              <w:t xml:space="preserve"> Islam, </w:t>
            </w:r>
            <w:proofErr w:type="spellStart"/>
            <w:r w:rsidRPr="005A28D6">
              <w:rPr>
                <w:rFonts w:cs="Tahoma"/>
                <w:color w:val="000000" w:themeColor="text1"/>
                <w:lang w:val="en-US"/>
              </w:rPr>
              <w:t>Luiza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Khatun</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Monira</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Parvin</w:t>
            </w:r>
            <w:proofErr w:type="spellEnd"/>
            <w:r w:rsidRPr="005A28D6">
              <w:rPr>
                <w:rFonts w:cs="Tahoma"/>
                <w:color w:val="000000" w:themeColor="text1"/>
                <w:lang w:val="en-US"/>
              </w:rPr>
              <w:t xml:space="preserve">, Abdul </w:t>
            </w:r>
            <w:proofErr w:type="spellStart"/>
            <w:r w:rsidRPr="005A28D6">
              <w:rPr>
                <w:rFonts w:cs="Tahoma"/>
                <w:color w:val="000000" w:themeColor="text1"/>
                <w:lang w:val="en-US"/>
              </w:rPr>
              <w:t>Awal</w:t>
            </w:r>
            <w:proofErr w:type="spellEnd"/>
            <w:r w:rsidRPr="005A28D6">
              <w:rPr>
                <w:rFonts w:cs="Tahoma"/>
                <w:color w:val="000000" w:themeColor="text1"/>
                <w:lang w:val="en-US"/>
              </w:rPr>
              <w:t xml:space="preserve"> Khan, </w:t>
            </w:r>
            <w:proofErr w:type="spellStart"/>
            <w:r w:rsidRPr="005A28D6">
              <w:rPr>
                <w:rFonts w:cs="Tahoma"/>
                <w:color w:val="000000" w:themeColor="text1"/>
                <w:lang w:val="en-US"/>
              </w:rPr>
              <w:t>Maidul</w:t>
            </w:r>
            <w:proofErr w:type="spellEnd"/>
            <w:r w:rsidRPr="005A28D6">
              <w:rPr>
                <w:rFonts w:cs="Tahoma"/>
                <w:color w:val="000000" w:themeColor="text1"/>
                <w:lang w:val="en-US"/>
              </w:rPr>
              <w:t xml:space="preserve"> Islam </w:t>
            </w:r>
            <w:r w:rsidRPr="005A28D6">
              <w:rPr>
                <w:rFonts w:cs="Tahoma"/>
                <w:b/>
                <w:bCs/>
                <w:color w:val="000000" w:themeColor="text1"/>
                <w:lang w:val="en-US"/>
              </w:rPr>
              <w:t>(James P. Grant School of Public Health, BIGH/BRAC University, Bangladesh)</w:t>
            </w:r>
            <w:r w:rsidRPr="005A28D6">
              <w:rPr>
                <w:rFonts w:cs="Tahoma"/>
                <w:color w:val="000000" w:themeColor="text1"/>
                <w:lang w:val="en-US"/>
              </w:rPr>
              <w:t xml:space="preserve">, Li-Cher </w:t>
            </w:r>
            <w:proofErr w:type="spellStart"/>
            <w:r w:rsidRPr="005A28D6">
              <w:rPr>
                <w:rFonts w:cs="Tahoma"/>
                <w:color w:val="000000" w:themeColor="text1"/>
                <w:lang w:val="en-US"/>
              </w:rPr>
              <w:t>Loh</w:t>
            </w:r>
            <w:proofErr w:type="spellEnd"/>
            <w:r w:rsidRPr="005A28D6">
              <w:rPr>
                <w:rFonts w:cs="Tahoma"/>
                <w:color w:val="000000" w:themeColor="text1"/>
                <w:lang w:val="en-US"/>
              </w:rPr>
              <w:t xml:space="preserve"> (PI), Abdul Rashid, </w:t>
            </w:r>
            <w:proofErr w:type="spellStart"/>
            <w:r w:rsidRPr="005A28D6">
              <w:rPr>
                <w:rFonts w:cs="Tahoma"/>
                <w:color w:val="000000" w:themeColor="text1"/>
                <w:lang w:val="en-US"/>
              </w:rPr>
              <w:t>Siti</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Sholehah</w:t>
            </w:r>
            <w:proofErr w:type="spellEnd"/>
            <w:r w:rsidRPr="005A28D6">
              <w:rPr>
                <w:rFonts w:cs="Tahoma"/>
                <w:color w:val="000000" w:themeColor="text1"/>
                <w:lang w:val="en-US"/>
              </w:rPr>
              <w:t xml:space="preserve"> </w:t>
            </w:r>
            <w:r w:rsidRPr="005A28D6">
              <w:rPr>
                <w:rFonts w:cs="Tahoma"/>
                <w:b/>
                <w:bCs/>
                <w:color w:val="000000" w:themeColor="text1"/>
                <w:lang w:val="en-US"/>
              </w:rPr>
              <w:t xml:space="preserve">(Penang Medical College, </w:t>
            </w:r>
            <w:r w:rsidRPr="005A28D6">
              <w:rPr>
                <w:rFonts w:cs="Tahoma"/>
                <w:b/>
                <w:bCs/>
                <w:color w:val="000000" w:themeColor="text1"/>
                <w:lang w:val="en-US"/>
              </w:rPr>
              <w:lastRenderedPageBreak/>
              <w:t>Penang, Malaysia)</w:t>
            </w:r>
            <w:r w:rsidRPr="005A28D6">
              <w:rPr>
                <w:rFonts w:cs="Tahoma"/>
                <w:color w:val="000000" w:themeColor="text1"/>
                <w:lang w:val="en-US"/>
              </w:rPr>
              <w:t xml:space="preserve">, Herve </w:t>
            </w:r>
            <w:proofErr w:type="spellStart"/>
            <w:r w:rsidRPr="005A28D6">
              <w:rPr>
                <w:rFonts w:cs="Tahoma"/>
                <w:color w:val="000000" w:themeColor="text1"/>
                <w:lang w:val="en-US"/>
              </w:rPr>
              <w:t>Lawin</w:t>
            </w:r>
            <w:proofErr w:type="spellEnd"/>
            <w:r w:rsidRPr="005A28D6">
              <w:rPr>
                <w:rFonts w:cs="Tahoma"/>
                <w:color w:val="000000" w:themeColor="text1"/>
                <w:lang w:val="en-US"/>
              </w:rPr>
              <w:t xml:space="preserve"> (PI), </w:t>
            </w:r>
            <w:proofErr w:type="spellStart"/>
            <w:r w:rsidRPr="005A28D6">
              <w:rPr>
                <w:rFonts w:cs="Tahoma"/>
                <w:color w:val="000000" w:themeColor="text1"/>
                <w:lang w:val="en-US"/>
              </w:rPr>
              <w:t>Arsene</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Kpangon</w:t>
            </w:r>
            <w:proofErr w:type="spellEnd"/>
            <w:r w:rsidRPr="005A28D6">
              <w:rPr>
                <w:rFonts w:cs="Tahoma"/>
                <w:color w:val="000000" w:themeColor="text1"/>
                <w:lang w:val="en-US"/>
              </w:rPr>
              <w:t xml:space="preserve">, Karl </w:t>
            </w:r>
            <w:proofErr w:type="spellStart"/>
            <w:r w:rsidRPr="005A28D6">
              <w:rPr>
                <w:rFonts w:cs="Tahoma"/>
                <w:color w:val="000000" w:themeColor="text1"/>
                <w:lang w:val="en-US"/>
              </w:rPr>
              <w:t>Kpossou</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Gildas</w:t>
            </w:r>
            <w:proofErr w:type="spellEnd"/>
            <w:r w:rsidRPr="005A28D6">
              <w:rPr>
                <w:rFonts w:cs="Tahoma"/>
                <w:color w:val="000000" w:themeColor="text1"/>
                <w:lang w:val="en-US"/>
              </w:rPr>
              <w:t xml:space="preserve"> </w:t>
            </w:r>
            <w:proofErr w:type="spellStart"/>
            <w:r w:rsidRPr="005A28D6">
              <w:rPr>
                <w:rFonts w:cs="Tahoma"/>
                <w:color w:val="000000" w:themeColor="text1"/>
                <w:lang w:val="en-US"/>
              </w:rPr>
              <w:t>Agodokpessi</w:t>
            </w:r>
            <w:proofErr w:type="spellEnd"/>
            <w:r w:rsidRPr="005A28D6">
              <w:rPr>
                <w:rFonts w:cs="Tahoma"/>
                <w:color w:val="000000" w:themeColor="text1"/>
                <w:lang w:val="en-US"/>
              </w:rPr>
              <w:t xml:space="preserve">, Paul </w:t>
            </w:r>
            <w:proofErr w:type="spellStart"/>
            <w:r w:rsidRPr="005A28D6">
              <w:rPr>
                <w:rFonts w:cs="Tahoma"/>
                <w:color w:val="000000" w:themeColor="text1"/>
                <w:lang w:val="en-US"/>
              </w:rPr>
              <w:t>Ayelo</w:t>
            </w:r>
            <w:proofErr w:type="spellEnd"/>
            <w:r w:rsidRPr="005A28D6">
              <w:rPr>
                <w:rFonts w:cs="Tahoma"/>
                <w:color w:val="000000" w:themeColor="text1"/>
                <w:lang w:val="en-US"/>
              </w:rPr>
              <w:t xml:space="preserve">, Benjamin </w:t>
            </w:r>
            <w:proofErr w:type="spellStart"/>
            <w:r w:rsidRPr="005A28D6">
              <w:rPr>
                <w:rFonts w:cs="Tahoma"/>
                <w:color w:val="000000" w:themeColor="text1"/>
                <w:lang w:val="en-US"/>
              </w:rPr>
              <w:t>Fayomi</w:t>
            </w:r>
            <w:proofErr w:type="spellEnd"/>
            <w:r w:rsidRPr="005A28D6">
              <w:rPr>
                <w:rFonts w:cs="Tahoma"/>
                <w:color w:val="000000" w:themeColor="text1"/>
                <w:lang w:val="en-US"/>
              </w:rPr>
              <w:t xml:space="preserve"> </w:t>
            </w:r>
            <w:r w:rsidRPr="005A28D6">
              <w:rPr>
                <w:rFonts w:cs="Tahoma"/>
                <w:b/>
                <w:bCs/>
                <w:color w:val="000000" w:themeColor="text1"/>
                <w:lang w:val="en-US"/>
              </w:rPr>
              <w:t xml:space="preserve">(Unit of Teaching and Research in Occupational and Environmental Health, </w:t>
            </w:r>
            <w:r w:rsidRPr="005A28D6">
              <w:rPr>
                <w:rFonts w:cs="Tahoma"/>
                <w:b/>
                <w:bCs/>
                <w:lang w:val="en-US"/>
              </w:rPr>
              <w:t>Benin)</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5A28D6">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sidRPr="00627C4A">
              <w:rPr>
                <w:rFonts w:ascii="Times New Roman" w:hAnsi="Times New Roman"/>
                <w:lang w:val="en-US"/>
              </w:rPr>
              <w:t>‬</w:t>
            </w:r>
            <w:r>
              <w:rPr>
                <w:lang w:val="en-US"/>
              </w:rPr>
              <w:t>.</w:t>
            </w:r>
            <w:r w:rsidRPr="00AC3EE9">
              <w:rPr>
                <w:rFonts w:ascii="Times New Roman" w:hAnsi="Times New Roman"/>
                <w:lang w:val="en-US"/>
              </w:rPr>
              <w:t>‬</w:t>
            </w:r>
            <w:r w:rsidRPr="00AC3EE9">
              <w:rPr>
                <w:rFonts w:ascii="Times New Roman" w:hAnsi="Times New Roman"/>
                <w:lang w:val="en-US"/>
              </w:rPr>
              <w:t>‬</w:t>
            </w:r>
            <w:r w:rsidRPr="00AC3EE9">
              <w:rPr>
                <w:rFonts w:ascii="Times New Roman" w:hAnsi="Times New Roman"/>
                <w:lang w:val="en-US"/>
              </w:rPr>
              <w:t>‬</w:t>
            </w:r>
            <w:r w:rsidRPr="00D94C6C">
              <w:rPr>
                <w:rFonts w:ascii="Times New Roman" w:hAnsi="Times New Roman"/>
                <w:lang w:val="en-US"/>
              </w:rPr>
              <w:t>‬</w:t>
            </w:r>
            <w:r w:rsidRPr="00D94C6C">
              <w:rPr>
                <w:rFonts w:ascii="Times New Roman" w:hAnsi="Times New Roman"/>
                <w:lang w:val="en-US"/>
              </w:rPr>
              <w:t>‬</w:t>
            </w:r>
            <w:r w:rsidRPr="00D94C6C">
              <w:rPr>
                <w:rFonts w:ascii="Times New Roman" w:hAnsi="Times New Roman"/>
                <w:lang w:val="en-US"/>
              </w:rPr>
              <w:t>‬</w:t>
            </w:r>
            <w:r w:rsidRPr="00F96318">
              <w:rPr>
                <w:rFonts w:ascii="Times New Roman" w:hAnsi="Times New Roman"/>
                <w:lang w:val="en-US"/>
              </w:rPr>
              <w:t>‬</w:t>
            </w:r>
            <w:r w:rsidRPr="00F96318">
              <w:rPr>
                <w:rFonts w:ascii="Times New Roman" w:hAnsi="Times New Roman"/>
                <w:lang w:val="en-US"/>
              </w:rPr>
              <w:t>‬</w:t>
            </w:r>
            <w:r w:rsidRPr="00F96318">
              <w:rPr>
                <w:rFonts w:ascii="Times New Roman" w:hAnsi="Times New Roman"/>
                <w:lang w:val="en-US"/>
              </w:rPr>
              <w:t>‬</w:t>
            </w:r>
            <w:r w:rsidRPr="00C806E0">
              <w:rPr>
                <w:rFonts w:ascii="Times New Roman" w:hAnsi="Times New Roman"/>
                <w:lang w:val="en-US"/>
              </w:rPr>
              <w:t>‬</w:t>
            </w:r>
            <w:r w:rsidRPr="00C806E0">
              <w:rPr>
                <w:rFonts w:ascii="Times New Roman" w:hAnsi="Times New Roman"/>
                <w:lang w:val="en-US"/>
              </w:rPr>
              <w:t>‬</w:t>
            </w:r>
            <w:r w:rsidRPr="00C806E0">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BD0076">
              <w:rPr>
                <w:rFonts w:ascii="Times New Roman" w:hAnsi="Times New Roman"/>
                <w:lang w:val="en-US"/>
              </w:rPr>
              <w:t>‬</w:t>
            </w:r>
            <w:r w:rsidRPr="00726819">
              <w:rPr>
                <w:rFonts w:ascii="Times New Roman" w:hAnsi="Times New Roman"/>
                <w:lang w:val="en-US"/>
              </w:rPr>
              <w:t>‬</w:t>
            </w:r>
            <w:r w:rsidRPr="00726819">
              <w:rPr>
                <w:rFonts w:ascii="Times New Roman" w:hAnsi="Times New Roman"/>
                <w:lang w:val="en-US"/>
              </w:rPr>
              <w:t>‬</w:t>
            </w:r>
            <w:r w:rsidRPr="00726819">
              <w:rPr>
                <w:rFonts w:ascii="Times New Roman" w:hAnsi="Times New Roman"/>
                <w:lang w:val="en-US"/>
              </w:rPr>
              <w:t>‬</w:t>
            </w:r>
            <w:r w:rsidRPr="00B813A6">
              <w:rPr>
                <w:rFonts w:ascii="Times New Roman" w:hAnsi="Times New Roman"/>
                <w:lang w:val="en-US"/>
              </w:rPr>
              <w:t>‬</w:t>
            </w:r>
            <w:r w:rsidRPr="00B813A6">
              <w:rPr>
                <w:rFonts w:ascii="Times New Roman" w:hAnsi="Times New Roman"/>
                <w:lang w:val="en-US"/>
              </w:rPr>
              <w:t>‬</w:t>
            </w:r>
            <w:r w:rsidRPr="00B813A6">
              <w:rPr>
                <w:rFonts w:ascii="Times New Roman" w:hAnsi="Times New Roman"/>
                <w:lang w:val="en-US"/>
              </w:rPr>
              <w:t>‬</w:t>
            </w:r>
            <w:r w:rsidRPr="00737BBB">
              <w:rPr>
                <w:rFonts w:ascii="Times New Roman" w:hAnsi="Times New Roman"/>
                <w:lang w:val="en-US"/>
              </w:rPr>
              <w:t>‬</w:t>
            </w:r>
            <w:r w:rsidRPr="00737BBB">
              <w:rPr>
                <w:rFonts w:ascii="Times New Roman" w:hAnsi="Times New Roman"/>
                <w:lang w:val="en-US"/>
              </w:rPr>
              <w:t>‬</w:t>
            </w:r>
            <w:r w:rsidRPr="00737BBB">
              <w:rPr>
                <w:rFonts w:ascii="Times New Roman" w:hAnsi="Times New Roman"/>
                <w:lang w:val="en-US"/>
              </w:rPr>
              <w:t>‬</w:t>
            </w:r>
            <w:r w:rsidRPr="003A3978">
              <w:rPr>
                <w:rFonts w:ascii="Times New Roman" w:hAnsi="Times New Roman"/>
                <w:lang w:val="en-US"/>
              </w:rPr>
              <w:t>‬</w:t>
            </w:r>
            <w:r w:rsidRPr="003A3978">
              <w:rPr>
                <w:rFonts w:ascii="Times New Roman" w:hAnsi="Times New Roman"/>
                <w:lang w:val="en-US"/>
              </w:rPr>
              <w:t>‬</w:t>
            </w:r>
            <w:r w:rsidRPr="003A3978">
              <w:rPr>
                <w:rFonts w:ascii="Times New Roman" w:hAnsi="Times New Roman"/>
                <w:lang w:val="en-US"/>
              </w:rPr>
              <w:t>‬</w:t>
            </w:r>
            <w:r w:rsidR="00477A88" w:rsidRPr="003A3978">
              <w:rPr>
                <w:lang w:val="en-US"/>
              </w:rPr>
              <w:t>‬</w:t>
            </w:r>
            <w:r w:rsidR="00477A88" w:rsidRPr="003A3978">
              <w:rPr>
                <w:lang w:val="en-US"/>
              </w:rPr>
              <w:t>‬</w:t>
            </w:r>
            <w:r w:rsidR="00477A88" w:rsidRPr="003A3978">
              <w:rPr>
                <w:lang w:val="en-US"/>
              </w:rPr>
              <w:t>‬</w:t>
            </w:r>
            <w:r w:rsidR="00053FB8">
              <w:t>‬</w:t>
            </w:r>
            <w:r w:rsidR="00053FB8">
              <w:t>‬</w:t>
            </w:r>
            <w:r w:rsidR="00053FB8">
              <w:t>‬</w:t>
            </w:r>
          </w:dir>
        </w:dir>
      </w:dir>
    </w:p>
    <w:p w14:paraId="5901DBBB" w14:textId="77777777" w:rsidR="00B813A6" w:rsidRPr="002E5E5C" w:rsidRDefault="00B813A6" w:rsidP="00B813A6">
      <w:pPr>
        <w:rPr>
          <w:lang w:val="en-US"/>
        </w:rPr>
      </w:pPr>
    </w:p>
    <w:p w14:paraId="37577F1C" w14:textId="77777777" w:rsidR="00B813A6" w:rsidRDefault="00B813A6" w:rsidP="00B813A6">
      <w:pPr>
        <w:pStyle w:val="Heading1"/>
        <w:spacing w:line="360" w:lineRule="auto"/>
        <w:rPr>
          <w:lang w:val="en-US"/>
        </w:rPr>
      </w:pPr>
      <w:r>
        <w:rPr>
          <w:lang w:val="en-US"/>
        </w:rPr>
        <w:t>Author contributions</w:t>
      </w:r>
    </w:p>
    <w:p w14:paraId="32B41769" w14:textId="77777777" w:rsidR="00B813A6" w:rsidRPr="007F6A71" w:rsidRDefault="00B813A6" w:rsidP="00B813A6">
      <w:pPr>
        <w:widowControl w:val="0"/>
        <w:autoSpaceDE w:val="0"/>
        <w:autoSpaceDN w:val="0"/>
        <w:adjustRightInd w:val="0"/>
        <w:spacing w:line="360" w:lineRule="auto"/>
        <w:rPr>
          <w:rFonts w:cs="Courier"/>
          <w:color w:val="262626"/>
          <w:lang w:val="en-US"/>
        </w:rPr>
      </w:pPr>
      <w:r w:rsidRPr="007F6A71">
        <w:rPr>
          <w:rFonts w:cs="Courier"/>
          <w:color w:val="262626"/>
          <w:lang w:val="en-US"/>
        </w:rPr>
        <w:t>Design, planning and data collection: RG, PB, AJ.</w:t>
      </w:r>
    </w:p>
    <w:p w14:paraId="41F2E080" w14:textId="77777777" w:rsidR="00B813A6" w:rsidRPr="007F6A71" w:rsidRDefault="00B813A6" w:rsidP="00B813A6">
      <w:pPr>
        <w:widowControl w:val="0"/>
        <w:autoSpaceDE w:val="0"/>
        <w:autoSpaceDN w:val="0"/>
        <w:adjustRightInd w:val="0"/>
        <w:spacing w:line="360" w:lineRule="auto"/>
        <w:rPr>
          <w:rFonts w:cs="Courier"/>
          <w:color w:val="262626"/>
          <w:lang w:val="en-US"/>
        </w:rPr>
      </w:pPr>
      <w:r w:rsidRPr="007F6A71">
        <w:rPr>
          <w:rFonts w:cs="Courier"/>
          <w:color w:val="262626"/>
          <w:lang w:val="en-US"/>
        </w:rPr>
        <w:t>Data management and quality control: RG, AJ, ME, and WV.</w:t>
      </w:r>
    </w:p>
    <w:p w14:paraId="1D9B61AC" w14:textId="77777777" w:rsidR="00B813A6" w:rsidRPr="007F6A71" w:rsidRDefault="00B813A6" w:rsidP="00B813A6">
      <w:pPr>
        <w:widowControl w:val="0"/>
        <w:autoSpaceDE w:val="0"/>
        <w:autoSpaceDN w:val="0"/>
        <w:adjustRightInd w:val="0"/>
        <w:spacing w:line="360" w:lineRule="auto"/>
        <w:rPr>
          <w:rFonts w:cs="Courier"/>
          <w:color w:val="262626"/>
          <w:lang w:val="en-US"/>
        </w:rPr>
      </w:pPr>
      <w:r w:rsidRPr="007F6A71">
        <w:rPr>
          <w:rFonts w:cs="Courier"/>
          <w:color w:val="262626"/>
          <w:lang w:val="en-US"/>
        </w:rPr>
        <w:t>Statistical analyses: RG, AJ, and WV.</w:t>
      </w:r>
    </w:p>
    <w:p w14:paraId="6CFECEC9" w14:textId="77777777" w:rsidR="00B813A6" w:rsidRPr="007F6A71" w:rsidRDefault="00B813A6" w:rsidP="00B813A6">
      <w:pPr>
        <w:widowControl w:val="0"/>
        <w:autoSpaceDE w:val="0"/>
        <w:autoSpaceDN w:val="0"/>
        <w:adjustRightInd w:val="0"/>
        <w:spacing w:line="360" w:lineRule="auto"/>
        <w:rPr>
          <w:rFonts w:cs="Courier"/>
          <w:color w:val="262626"/>
          <w:lang w:val="en-US"/>
        </w:rPr>
      </w:pPr>
      <w:r w:rsidRPr="007F6A71">
        <w:rPr>
          <w:rFonts w:cs="Courier"/>
          <w:color w:val="262626"/>
          <w:lang w:val="en-US"/>
        </w:rPr>
        <w:t>Analysis plan: RG, AJ, PB, WV and ME.</w:t>
      </w:r>
    </w:p>
    <w:p w14:paraId="064FE3EB" w14:textId="77777777" w:rsidR="00B813A6" w:rsidRPr="007F6A71" w:rsidRDefault="00B813A6" w:rsidP="00B813A6">
      <w:pPr>
        <w:widowControl w:val="0"/>
        <w:autoSpaceDE w:val="0"/>
        <w:autoSpaceDN w:val="0"/>
        <w:adjustRightInd w:val="0"/>
        <w:spacing w:line="360" w:lineRule="auto"/>
        <w:rPr>
          <w:rFonts w:cs="Courier"/>
          <w:color w:val="262626"/>
          <w:lang w:val="en-US"/>
        </w:rPr>
      </w:pPr>
      <w:r w:rsidRPr="007F6A71">
        <w:rPr>
          <w:rFonts w:cs="Courier"/>
          <w:color w:val="262626"/>
          <w:lang w:val="en-US"/>
        </w:rPr>
        <w:t>Drafting: RG, ME, and AJ.</w:t>
      </w:r>
    </w:p>
    <w:p w14:paraId="41E75B41" w14:textId="77777777" w:rsidR="00B813A6" w:rsidRPr="007F6A71" w:rsidRDefault="00B813A6" w:rsidP="00B813A6">
      <w:pPr>
        <w:widowControl w:val="0"/>
        <w:autoSpaceDE w:val="0"/>
        <w:autoSpaceDN w:val="0"/>
        <w:adjustRightInd w:val="0"/>
        <w:spacing w:line="360" w:lineRule="auto"/>
        <w:rPr>
          <w:rFonts w:cs="Courier"/>
          <w:color w:val="262626"/>
          <w:lang w:val="en-US"/>
        </w:rPr>
      </w:pPr>
      <w:r w:rsidRPr="007F6A71">
        <w:rPr>
          <w:rFonts w:cs="Courier"/>
          <w:color w:val="262626"/>
          <w:lang w:val="en-US"/>
        </w:rPr>
        <w:t>Revision and approval of drafts: RG, ME, WT, DO, AA, TG, SJ, PK, MS, SS, PB, SB, WV, and AJ.</w:t>
      </w:r>
    </w:p>
    <w:p w14:paraId="63A49EE2" w14:textId="77777777" w:rsidR="00B813A6" w:rsidRDefault="00B813A6" w:rsidP="00B813A6">
      <w:pPr>
        <w:widowControl w:val="0"/>
        <w:autoSpaceDE w:val="0"/>
        <w:autoSpaceDN w:val="0"/>
        <w:adjustRightInd w:val="0"/>
        <w:spacing w:line="360" w:lineRule="auto"/>
        <w:rPr>
          <w:rFonts w:cs="Courier"/>
          <w:color w:val="262626"/>
          <w:lang w:val="en-US"/>
        </w:rPr>
      </w:pPr>
      <w:r w:rsidRPr="007F6A71">
        <w:rPr>
          <w:rFonts w:cs="Courier"/>
          <w:color w:val="262626"/>
          <w:lang w:val="en-US"/>
        </w:rPr>
        <w:t>All authors contributed toward data analysis, drafting and critically revising the paper and agree to be accountable for all aspects of the work.</w:t>
      </w:r>
    </w:p>
    <w:p w14:paraId="3D702EE0" w14:textId="77777777" w:rsidR="00B813A6" w:rsidRDefault="00B813A6" w:rsidP="00B813A6">
      <w:pPr>
        <w:widowControl w:val="0"/>
        <w:autoSpaceDE w:val="0"/>
        <w:autoSpaceDN w:val="0"/>
        <w:adjustRightInd w:val="0"/>
        <w:spacing w:line="360" w:lineRule="auto"/>
        <w:rPr>
          <w:rFonts w:cs="Courier"/>
          <w:color w:val="262626"/>
          <w:lang w:val="en-US"/>
        </w:rPr>
      </w:pPr>
    </w:p>
    <w:p w14:paraId="13C31AFF" w14:textId="77777777" w:rsidR="00B813A6" w:rsidRDefault="00B813A6" w:rsidP="00B813A6">
      <w:pPr>
        <w:widowControl w:val="0"/>
        <w:autoSpaceDE w:val="0"/>
        <w:autoSpaceDN w:val="0"/>
        <w:adjustRightInd w:val="0"/>
        <w:spacing w:line="360" w:lineRule="auto"/>
        <w:rPr>
          <w:rFonts w:ascii="Arial Narrow" w:hAnsi="Arial Narrow" w:cs="Courier"/>
          <w:color w:val="262626"/>
          <w:sz w:val="40"/>
          <w:szCs w:val="40"/>
          <w:lang w:val="en-US"/>
        </w:rPr>
      </w:pPr>
      <w:r>
        <w:rPr>
          <w:rFonts w:ascii="Arial Narrow" w:hAnsi="Arial Narrow" w:cs="Courier"/>
          <w:color w:val="262626"/>
          <w:sz w:val="40"/>
          <w:szCs w:val="40"/>
          <w:lang w:val="en-US"/>
        </w:rPr>
        <w:t>Conflicts of interest</w:t>
      </w:r>
    </w:p>
    <w:p w14:paraId="3EEF7763" w14:textId="77777777" w:rsidR="00B813A6" w:rsidRDefault="00B813A6" w:rsidP="00B813A6">
      <w:pPr>
        <w:widowControl w:val="0"/>
        <w:autoSpaceDE w:val="0"/>
        <w:autoSpaceDN w:val="0"/>
        <w:adjustRightInd w:val="0"/>
        <w:spacing w:line="360" w:lineRule="auto"/>
        <w:rPr>
          <w:rFonts w:cs="Helvetica Neue"/>
          <w:color w:val="000000"/>
          <w:lang w:val="en-US"/>
        </w:rPr>
      </w:pPr>
      <w:r>
        <w:rPr>
          <w:rFonts w:cs="Helvetica Neue"/>
          <w:color w:val="000000"/>
          <w:lang w:val="en-US"/>
        </w:rPr>
        <w:t xml:space="preserve">All authors have competed the ICMJE uniform disclosure form at </w:t>
      </w:r>
      <w:hyperlink r:id="rId18" w:history="1">
        <w:r w:rsidRPr="00C131A6">
          <w:rPr>
            <w:rStyle w:val="Hyperlink"/>
            <w:rFonts w:cs="Helvetica Neue"/>
            <w:lang w:val="en-US"/>
          </w:rPr>
          <w:t>www.icmje.org/coi_disclosure.pdf</w:t>
        </w:r>
      </w:hyperlink>
      <w:r>
        <w:rPr>
          <w:rFonts w:cs="Helvetica Neue"/>
          <w:color w:val="000000"/>
          <w:lang w:val="en-US"/>
        </w:rPr>
        <w:t xml:space="preserve"> and declare:</w:t>
      </w:r>
    </w:p>
    <w:p w14:paraId="03C3E723" w14:textId="77777777" w:rsidR="00B813A6" w:rsidRDefault="00B813A6" w:rsidP="00B813A6">
      <w:pPr>
        <w:widowControl w:val="0"/>
        <w:autoSpaceDE w:val="0"/>
        <w:autoSpaceDN w:val="0"/>
        <w:adjustRightInd w:val="0"/>
        <w:spacing w:line="360" w:lineRule="auto"/>
        <w:rPr>
          <w:rFonts w:cs="Helvetica Neue"/>
          <w:color w:val="000000"/>
          <w:lang w:val="en-US"/>
        </w:rPr>
      </w:pPr>
      <w:r w:rsidRPr="00561AC5">
        <w:rPr>
          <w:rFonts w:cs="Helvetica Neue"/>
          <w:color w:val="000000"/>
          <w:lang w:val="en-US"/>
        </w:rPr>
        <w:t xml:space="preserve">Dr. Grønseth reports personal fees from AstraZeneca, personal fees from </w:t>
      </w:r>
      <w:proofErr w:type="spellStart"/>
      <w:r w:rsidRPr="00561AC5">
        <w:rPr>
          <w:rFonts w:cs="Helvetica Neue"/>
          <w:color w:val="000000"/>
          <w:lang w:val="en-US"/>
        </w:rPr>
        <w:t>Boehringer</w:t>
      </w:r>
      <w:proofErr w:type="spellEnd"/>
      <w:r w:rsidRPr="00561AC5">
        <w:rPr>
          <w:rFonts w:cs="Helvetica Neue"/>
          <w:color w:val="000000"/>
          <w:lang w:val="en-US"/>
        </w:rPr>
        <w:t xml:space="preserve"> </w:t>
      </w:r>
      <w:proofErr w:type="spellStart"/>
      <w:r w:rsidRPr="00561AC5">
        <w:rPr>
          <w:rFonts w:cs="Helvetica Neue"/>
          <w:color w:val="000000"/>
          <w:lang w:val="en-US"/>
        </w:rPr>
        <w:t>Ingelheim</w:t>
      </w:r>
      <w:proofErr w:type="spellEnd"/>
      <w:r w:rsidRPr="00561AC5">
        <w:rPr>
          <w:rFonts w:cs="Helvetica Neue"/>
          <w:color w:val="000000"/>
          <w:lang w:val="en-US"/>
        </w:rPr>
        <w:t>, personal fees from Norwegian Respiratory Society, grants and perso</w:t>
      </w:r>
      <w:r>
        <w:rPr>
          <w:rFonts w:cs="Helvetica Neue"/>
          <w:color w:val="000000"/>
          <w:lang w:val="en-US"/>
        </w:rPr>
        <w:t>nal fees from GlaxoSmithKline, outside the submitted work</w:t>
      </w:r>
      <w:r w:rsidRPr="00561AC5">
        <w:rPr>
          <w:rFonts w:cs="Helvetica Neue"/>
          <w:color w:val="000000"/>
          <w:lang w:val="en-US"/>
        </w:rPr>
        <w:t>.</w:t>
      </w:r>
    </w:p>
    <w:p w14:paraId="0D86D8D9" w14:textId="77777777" w:rsidR="00B813A6" w:rsidRDefault="00B813A6" w:rsidP="00B813A6">
      <w:pPr>
        <w:widowControl w:val="0"/>
        <w:autoSpaceDE w:val="0"/>
        <w:autoSpaceDN w:val="0"/>
        <w:adjustRightInd w:val="0"/>
        <w:spacing w:line="360" w:lineRule="auto"/>
        <w:rPr>
          <w:rFonts w:cs="Helvetica Neue"/>
          <w:color w:val="000000"/>
          <w:lang w:val="en-US"/>
        </w:rPr>
      </w:pPr>
      <w:r w:rsidRPr="00561AC5">
        <w:rPr>
          <w:rFonts w:cs="Helvetica Neue"/>
          <w:color w:val="000000"/>
          <w:lang w:val="en-US"/>
        </w:rPr>
        <w:t>Dr. Erdal re</w:t>
      </w:r>
      <w:r>
        <w:rPr>
          <w:rFonts w:cs="Helvetica Neue"/>
          <w:color w:val="000000"/>
          <w:lang w:val="en-US"/>
        </w:rPr>
        <w:t>ports grants from AstraZeneca, outside the submitted work</w:t>
      </w:r>
      <w:r w:rsidRPr="00561AC5">
        <w:rPr>
          <w:rFonts w:cs="Helvetica Neue"/>
          <w:color w:val="000000"/>
          <w:lang w:val="en-US"/>
        </w:rPr>
        <w:t>.</w:t>
      </w:r>
    </w:p>
    <w:p w14:paraId="0939B9FA" w14:textId="77777777" w:rsidR="00B813A6" w:rsidRDefault="00B813A6" w:rsidP="00B813A6">
      <w:pPr>
        <w:widowControl w:val="0"/>
        <w:autoSpaceDE w:val="0"/>
        <w:autoSpaceDN w:val="0"/>
        <w:adjustRightInd w:val="0"/>
        <w:spacing w:line="360" w:lineRule="auto"/>
        <w:rPr>
          <w:rFonts w:cs="Helvetica Neue"/>
          <w:color w:val="000000"/>
          <w:lang w:val="en-US"/>
        </w:rPr>
      </w:pPr>
      <w:r w:rsidRPr="003D2A70">
        <w:rPr>
          <w:rFonts w:cs="Helvetica Neue"/>
          <w:color w:val="000000"/>
          <w:lang w:val="en-US"/>
        </w:rPr>
        <w:t>Dr. Tan reports grants from Canadian Institute of Heath Research (CIHR/</w:t>
      </w:r>
      <w:proofErr w:type="spellStart"/>
      <w:r w:rsidRPr="003D2A70">
        <w:rPr>
          <w:rFonts w:cs="Helvetica Neue"/>
          <w:color w:val="000000"/>
          <w:lang w:val="en-US"/>
        </w:rPr>
        <w:t>Rx&amp;D</w:t>
      </w:r>
      <w:proofErr w:type="spellEnd"/>
      <w:r w:rsidRPr="003D2A70">
        <w:rPr>
          <w:rFonts w:cs="Helvetica Neue"/>
          <w:color w:val="000000"/>
          <w:lang w:val="en-US"/>
        </w:rPr>
        <w:t xml:space="preserve"> Collaborative Research Program Operating Grants- 93326) with industry partners Astra Zeneca Canada Ltd., </w:t>
      </w:r>
      <w:proofErr w:type="spellStart"/>
      <w:r w:rsidRPr="003D2A70">
        <w:rPr>
          <w:rFonts w:cs="Helvetica Neue"/>
          <w:color w:val="000000"/>
          <w:lang w:val="en-US"/>
        </w:rPr>
        <w:t>Boehringer-Ingelheim</w:t>
      </w:r>
      <w:proofErr w:type="spellEnd"/>
      <w:r w:rsidRPr="003D2A70">
        <w:rPr>
          <w:rFonts w:cs="Helvetica Neue"/>
          <w:color w:val="000000"/>
          <w:lang w:val="en-US"/>
        </w:rPr>
        <w:t xml:space="preserve"> Canada Ltd, GlaxoSmithKline Canada Ltd, Merck, Novartis </w:t>
      </w:r>
      <w:proofErr w:type="spellStart"/>
      <w:r w:rsidRPr="003D2A70">
        <w:rPr>
          <w:rFonts w:cs="Helvetica Neue"/>
          <w:color w:val="000000"/>
          <w:lang w:val="en-US"/>
        </w:rPr>
        <w:t>Pharma</w:t>
      </w:r>
      <w:proofErr w:type="spellEnd"/>
      <w:r w:rsidRPr="003D2A70">
        <w:rPr>
          <w:rFonts w:cs="Helvetica Neue"/>
          <w:color w:val="000000"/>
          <w:lang w:val="en-US"/>
        </w:rPr>
        <w:t xml:space="preserve"> Canada Inc., </w:t>
      </w:r>
      <w:proofErr w:type="spellStart"/>
      <w:r w:rsidRPr="003D2A70">
        <w:rPr>
          <w:rFonts w:cs="Helvetica Neue"/>
          <w:color w:val="000000"/>
          <w:lang w:val="en-US"/>
        </w:rPr>
        <w:t>Nycomed</w:t>
      </w:r>
      <w:proofErr w:type="spellEnd"/>
      <w:r w:rsidRPr="003D2A70">
        <w:rPr>
          <w:rFonts w:cs="Helvetica Neue"/>
          <w:color w:val="000000"/>
          <w:lang w:val="en-US"/>
        </w:rPr>
        <w:t xml:space="preserve"> Canada Inc., Pfizer Canada</w:t>
      </w:r>
      <w:r>
        <w:rPr>
          <w:rFonts w:cs="Helvetica Neue"/>
          <w:color w:val="000000"/>
          <w:lang w:val="en-US"/>
        </w:rPr>
        <w:t xml:space="preserve"> Ltd., </w:t>
      </w:r>
      <w:r w:rsidRPr="003D2A70">
        <w:rPr>
          <w:rFonts w:cs="Helvetica Neue"/>
          <w:color w:val="000000"/>
          <w:lang w:val="en-US"/>
        </w:rPr>
        <w:t xml:space="preserve">during the conduct of the </w:t>
      </w:r>
      <w:proofErr w:type="spellStart"/>
      <w:r w:rsidRPr="003D2A70">
        <w:rPr>
          <w:rFonts w:cs="Helvetica Neue"/>
          <w:color w:val="000000"/>
          <w:lang w:val="en-US"/>
        </w:rPr>
        <w:t>CanCOLD</w:t>
      </w:r>
      <w:proofErr w:type="spellEnd"/>
      <w:r w:rsidRPr="003D2A70">
        <w:rPr>
          <w:rFonts w:cs="Helvetica Neue"/>
          <w:color w:val="000000"/>
          <w:lang w:val="en-US"/>
        </w:rPr>
        <w:t xml:space="preserve"> study.</w:t>
      </w:r>
    </w:p>
    <w:p w14:paraId="06A067B1" w14:textId="77777777" w:rsidR="00B813A6" w:rsidRDefault="00B813A6" w:rsidP="00B813A6">
      <w:pPr>
        <w:widowControl w:val="0"/>
        <w:autoSpaceDE w:val="0"/>
        <w:autoSpaceDN w:val="0"/>
        <w:adjustRightInd w:val="0"/>
        <w:spacing w:line="360" w:lineRule="auto"/>
        <w:rPr>
          <w:rFonts w:cs="Helvetica Neue"/>
          <w:color w:val="000000"/>
          <w:lang w:val="en-US"/>
        </w:rPr>
      </w:pPr>
      <w:r w:rsidRPr="00B813A6">
        <w:rPr>
          <w:rFonts w:cs="Helvetica Neue"/>
          <w:color w:val="000000"/>
          <w:lang w:val="es-ES"/>
        </w:rPr>
        <w:t xml:space="preserve">Dr. </w:t>
      </w:r>
      <w:proofErr w:type="spellStart"/>
      <w:r w:rsidRPr="00B813A6">
        <w:rPr>
          <w:rFonts w:cs="Helvetica Neue"/>
          <w:color w:val="000000"/>
          <w:lang w:val="es-ES"/>
        </w:rPr>
        <w:t>Obaseki</w:t>
      </w:r>
      <w:proofErr w:type="spellEnd"/>
      <w:r w:rsidRPr="00B813A6">
        <w:rPr>
          <w:rFonts w:cs="Helvetica Neue"/>
          <w:color w:val="000000"/>
          <w:lang w:val="es-ES"/>
        </w:rPr>
        <w:t xml:space="preserve">, </w:t>
      </w:r>
      <w:proofErr w:type="spellStart"/>
      <w:r w:rsidRPr="00B813A6">
        <w:rPr>
          <w:rFonts w:cs="Helvetica Neue"/>
          <w:color w:val="000000"/>
          <w:lang w:val="es-ES"/>
        </w:rPr>
        <w:t>dr.</w:t>
      </w:r>
      <w:proofErr w:type="spellEnd"/>
      <w:r w:rsidRPr="00B813A6">
        <w:rPr>
          <w:rFonts w:cs="Helvetica Neue"/>
          <w:color w:val="000000"/>
          <w:lang w:val="es-ES"/>
        </w:rPr>
        <w:t xml:space="preserve"> Amaral, </w:t>
      </w:r>
      <w:proofErr w:type="spellStart"/>
      <w:r w:rsidRPr="00B813A6">
        <w:rPr>
          <w:rFonts w:cs="Helvetica Neue"/>
          <w:color w:val="000000"/>
          <w:lang w:val="es-ES"/>
        </w:rPr>
        <w:t>dr.</w:t>
      </w:r>
      <w:proofErr w:type="spellEnd"/>
      <w:r w:rsidRPr="00B813A6">
        <w:rPr>
          <w:rFonts w:cs="Helvetica Neue"/>
          <w:color w:val="000000"/>
          <w:lang w:val="es-ES"/>
        </w:rPr>
        <w:t xml:space="preserve"> Gislason, </w:t>
      </w:r>
      <w:proofErr w:type="spellStart"/>
      <w:r w:rsidRPr="00B813A6">
        <w:rPr>
          <w:rFonts w:cs="Helvetica Neue"/>
          <w:color w:val="000000"/>
          <w:lang w:val="es-ES"/>
        </w:rPr>
        <w:t>dr.</w:t>
      </w:r>
      <w:proofErr w:type="spellEnd"/>
      <w:r w:rsidRPr="00B813A6">
        <w:rPr>
          <w:rFonts w:cs="Helvetica Neue"/>
          <w:color w:val="000000"/>
          <w:lang w:val="es-ES"/>
        </w:rPr>
        <w:t xml:space="preserve"> Juvekar, </w:t>
      </w:r>
      <w:proofErr w:type="spellStart"/>
      <w:r w:rsidRPr="00B813A6">
        <w:rPr>
          <w:rFonts w:cs="Helvetica Neue"/>
          <w:color w:val="000000"/>
          <w:lang w:val="es-ES"/>
        </w:rPr>
        <w:t>dr.</w:t>
      </w:r>
      <w:proofErr w:type="spellEnd"/>
      <w:r w:rsidRPr="00B813A6">
        <w:rPr>
          <w:rFonts w:cs="Helvetica Neue"/>
          <w:color w:val="000000"/>
          <w:lang w:val="es-ES"/>
        </w:rPr>
        <w:t xml:space="preserve"> Koul, </w:t>
      </w:r>
      <w:proofErr w:type="spellStart"/>
      <w:r w:rsidRPr="00B813A6">
        <w:rPr>
          <w:rFonts w:cs="Helvetica Neue"/>
          <w:color w:val="000000"/>
          <w:lang w:val="es-ES"/>
        </w:rPr>
        <w:t>dr.</w:t>
      </w:r>
      <w:proofErr w:type="spellEnd"/>
      <w:r w:rsidRPr="00B813A6">
        <w:rPr>
          <w:rFonts w:cs="Helvetica Neue"/>
          <w:color w:val="000000"/>
          <w:lang w:val="es-ES"/>
        </w:rPr>
        <w:t xml:space="preserve"> Studnicka, </w:t>
      </w:r>
      <w:proofErr w:type="spellStart"/>
      <w:r w:rsidRPr="00B813A6">
        <w:rPr>
          <w:rFonts w:cs="Helvetica Neue"/>
          <w:color w:val="000000"/>
          <w:lang w:val="es-ES"/>
        </w:rPr>
        <w:t>dr.</w:t>
      </w:r>
      <w:proofErr w:type="spellEnd"/>
      <w:r w:rsidRPr="00B813A6">
        <w:rPr>
          <w:rFonts w:cs="Helvetica Neue"/>
          <w:color w:val="000000"/>
          <w:lang w:val="es-ES"/>
        </w:rPr>
        <w:t xml:space="preserve"> Salvi, </w:t>
      </w:r>
      <w:proofErr w:type="spellStart"/>
      <w:r w:rsidRPr="00B813A6">
        <w:rPr>
          <w:rFonts w:cs="Helvetica Neue"/>
          <w:color w:val="000000"/>
          <w:lang w:val="es-ES"/>
        </w:rPr>
        <w:t>dr.</w:t>
      </w:r>
      <w:proofErr w:type="spellEnd"/>
      <w:r w:rsidRPr="00B813A6">
        <w:rPr>
          <w:rFonts w:cs="Helvetica Neue"/>
          <w:color w:val="000000"/>
          <w:lang w:val="es-ES"/>
        </w:rPr>
        <w:t xml:space="preserve"> </w:t>
      </w:r>
      <w:r>
        <w:rPr>
          <w:rFonts w:cs="Helvetica Neue"/>
          <w:color w:val="000000"/>
          <w:lang w:val="en-US"/>
        </w:rPr>
        <w:t xml:space="preserve">Buist, and </w:t>
      </w:r>
      <w:proofErr w:type="gramStart"/>
      <w:r>
        <w:rPr>
          <w:rFonts w:cs="Helvetica Neue"/>
          <w:color w:val="000000"/>
          <w:lang w:val="en-US"/>
        </w:rPr>
        <w:t>dr</w:t>
      </w:r>
      <w:proofErr w:type="gramEnd"/>
      <w:r>
        <w:rPr>
          <w:rFonts w:cs="Helvetica Neue"/>
          <w:color w:val="000000"/>
          <w:lang w:val="en-US"/>
        </w:rPr>
        <w:t>. Johannessen</w:t>
      </w:r>
      <w:r w:rsidRPr="003D2A70">
        <w:rPr>
          <w:rFonts w:cs="Helvetica Neue"/>
          <w:color w:val="000000"/>
          <w:lang w:val="en-US"/>
        </w:rPr>
        <w:t xml:space="preserve"> has nothing to disclose.</w:t>
      </w:r>
    </w:p>
    <w:p w14:paraId="52B6A9CC" w14:textId="77777777" w:rsidR="00B813A6" w:rsidRDefault="00B813A6" w:rsidP="00B813A6">
      <w:pPr>
        <w:spacing w:line="360" w:lineRule="auto"/>
        <w:rPr>
          <w:rFonts w:cs="Helvetica Neue"/>
          <w:color w:val="000000"/>
          <w:lang w:val="en-US"/>
        </w:rPr>
      </w:pPr>
      <w:r>
        <w:rPr>
          <w:rFonts w:cs="Helvetica Neue"/>
          <w:color w:val="000000"/>
          <w:lang w:val="en-US"/>
        </w:rPr>
        <w:t>Dr. Burney</w:t>
      </w:r>
      <w:r w:rsidRPr="008D1E78">
        <w:rPr>
          <w:rFonts w:cs="Helvetica Neue"/>
          <w:color w:val="000000"/>
          <w:lang w:val="en-US"/>
        </w:rPr>
        <w:t xml:space="preserve"> repor</w:t>
      </w:r>
      <w:r>
        <w:rPr>
          <w:rFonts w:cs="Helvetica Neue"/>
          <w:color w:val="000000"/>
          <w:lang w:val="en-US"/>
        </w:rPr>
        <w:t xml:space="preserve">ts grants from </w:t>
      </w:r>
      <w:proofErr w:type="spellStart"/>
      <w:r>
        <w:rPr>
          <w:rFonts w:cs="Helvetica Neue"/>
          <w:color w:val="000000"/>
          <w:lang w:val="en-US"/>
        </w:rPr>
        <w:t>Wellcome</w:t>
      </w:r>
      <w:proofErr w:type="spellEnd"/>
      <w:r>
        <w:rPr>
          <w:rFonts w:cs="Helvetica Neue"/>
          <w:color w:val="000000"/>
          <w:lang w:val="en-US"/>
        </w:rPr>
        <w:t xml:space="preserve"> Trust, </w:t>
      </w:r>
      <w:r w:rsidRPr="008D1E78">
        <w:rPr>
          <w:rFonts w:cs="Helvetica Neue"/>
          <w:color w:val="000000"/>
          <w:lang w:val="en-US"/>
        </w:rPr>
        <w:t>d</w:t>
      </w:r>
      <w:r>
        <w:rPr>
          <w:rFonts w:cs="Helvetica Neue"/>
          <w:color w:val="000000"/>
          <w:lang w:val="en-US"/>
        </w:rPr>
        <w:t>uring the conduct of the study</w:t>
      </w:r>
      <w:r w:rsidRPr="008D1E78">
        <w:rPr>
          <w:rFonts w:cs="Helvetica Neue"/>
          <w:color w:val="000000"/>
          <w:lang w:val="en-US"/>
        </w:rPr>
        <w:t>.</w:t>
      </w:r>
    </w:p>
    <w:p w14:paraId="449CCF4D" w14:textId="77777777" w:rsidR="00B813A6" w:rsidRDefault="00B813A6" w:rsidP="00B813A6">
      <w:pPr>
        <w:spacing w:line="360" w:lineRule="auto"/>
        <w:rPr>
          <w:rFonts w:cs="Helvetica Neue"/>
          <w:color w:val="000000"/>
          <w:lang w:val="en-US"/>
        </w:rPr>
      </w:pPr>
      <w:r w:rsidRPr="00A06018">
        <w:rPr>
          <w:rFonts w:cs="Helvetica Neue"/>
          <w:color w:val="000000"/>
          <w:lang w:val="en-US"/>
        </w:rPr>
        <w:t xml:space="preserve">Dr. Vollmer reports support from </w:t>
      </w:r>
      <w:proofErr w:type="spellStart"/>
      <w:r w:rsidRPr="00A06018">
        <w:rPr>
          <w:rFonts w:cs="Helvetica Neue"/>
          <w:color w:val="000000"/>
          <w:lang w:val="en-US"/>
        </w:rPr>
        <w:t>unresticted</w:t>
      </w:r>
      <w:proofErr w:type="spellEnd"/>
      <w:r w:rsidRPr="00A06018">
        <w:rPr>
          <w:rFonts w:cs="Helvetica Neue"/>
          <w:color w:val="000000"/>
          <w:lang w:val="en-US"/>
        </w:rPr>
        <w:t xml:space="preserve"> educational grants from miscellaneous pharmaceutical companies during the conduct of the study.</w:t>
      </w:r>
    </w:p>
    <w:p w14:paraId="4EC98ECB" w14:textId="77777777" w:rsidR="00B813A6" w:rsidRPr="00B40E31" w:rsidRDefault="00B813A6" w:rsidP="00B813A6">
      <w:pPr>
        <w:pStyle w:val="Heading1"/>
        <w:rPr>
          <w:lang w:val="en-US"/>
        </w:rPr>
      </w:pPr>
      <w:r w:rsidRPr="00B40E31">
        <w:rPr>
          <w:lang w:val="en-US"/>
        </w:rPr>
        <w:lastRenderedPageBreak/>
        <w:t>References</w:t>
      </w:r>
    </w:p>
    <w:p w14:paraId="2577E913"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fldChar w:fldCharType="begin"/>
      </w:r>
      <w:r w:rsidRPr="003A3978">
        <w:rPr>
          <w:lang w:val="en-US"/>
        </w:rPr>
        <w:instrText>ADDIN BB</w:instrText>
      </w:r>
      <w:r w:rsidRPr="008F721D">
        <w:fldChar w:fldCharType="separate"/>
      </w:r>
      <w:r w:rsidRPr="008F721D">
        <w:rPr>
          <w:rFonts w:eastAsia="Times New Roman"/>
          <w:lang w:val="en-US" w:eastAsia="en-US"/>
        </w:rPr>
        <w:t>1.</w:t>
      </w:r>
      <w:r w:rsidRPr="008F721D">
        <w:rPr>
          <w:rFonts w:eastAsia="Times New Roman"/>
          <w:lang w:val="en-US" w:eastAsia="en-US"/>
        </w:rPr>
        <w:tab/>
        <w:t>Buist AS, McBurnie MA, Vollmer WM et al. International variation in the prevalence of COPD (the BOLD Study): a population-based prevalence study. Lancet. 2007;370:741-750.</w:t>
      </w:r>
    </w:p>
    <w:p w14:paraId="043543E4"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2.</w:t>
      </w:r>
      <w:r w:rsidRPr="008F721D">
        <w:rPr>
          <w:rFonts w:eastAsia="Times New Roman"/>
          <w:lang w:val="en-US" w:eastAsia="en-US"/>
        </w:rPr>
        <w:tab/>
        <w:t xml:space="preserve">The World Health Organization (WHO). Projections of mortality and causes of death, </w:t>
      </w:r>
    </w:p>
    <w:p w14:paraId="0A7A27F8" w14:textId="77777777" w:rsidR="00B813A6" w:rsidRPr="008F721D" w:rsidRDefault="00B813A6" w:rsidP="008F721D">
      <w:pPr>
        <w:widowControl w:val="0"/>
        <w:autoSpaceDE w:val="0"/>
        <w:autoSpaceDN w:val="0"/>
        <w:adjustRightInd w:val="0"/>
        <w:ind w:left="540"/>
        <w:rPr>
          <w:rFonts w:eastAsia="Times New Roman"/>
          <w:lang w:val="en-US" w:eastAsia="en-US"/>
        </w:rPr>
      </w:pPr>
      <w:r w:rsidRPr="008F721D">
        <w:rPr>
          <w:rFonts w:eastAsia="Times New Roman"/>
          <w:lang w:val="en-US" w:eastAsia="en-US"/>
        </w:rPr>
        <w:t>2015 and 2030. 2013. Available from: http://www.who.int/healthinfo/global_burden_disease/projections/en/ Last accessed: 16.06.2017</w:t>
      </w:r>
    </w:p>
    <w:p w14:paraId="0B5C1A08"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3.</w:t>
      </w:r>
      <w:r w:rsidRPr="008F721D">
        <w:rPr>
          <w:rFonts w:eastAsia="Times New Roman"/>
          <w:lang w:val="en-US" w:eastAsia="en-US"/>
        </w:rPr>
        <w:tab/>
        <w:t>Janson C, Marks G, Buist S et al. The impact of COPD on health status: findings from the BOLD study. Eur Respir J. 2013;42:1472-1483.</w:t>
      </w:r>
    </w:p>
    <w:p w14:paraId="675F5C93"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4.</w:t>
      </w:r>
      <w:r w:rsidRPr="008F721D">
        <w:rPr>
          <w:rFonts w:eastAsia="Times New Roman"/>
          <w:lang w:val="en-US" w:eastAsia="en-US"/>
        </w:rPr>
        <w:tab/>
        <w:t xml:space="preserve">Grønseth R, Jansson SA. The economic burden of respiratory diseases: COPD and asthma. In: Annesi-Maesano I, Lundbäck B, Viegi G, editors. European Respiratory Monograph: Respiratory Epidemiology. European Respiratory Society; 2014. </w:t>
      </w:r>
    </w:p>
    <w:p w14:paraId="506F7208"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5.</w:t>
      </w:r>
      <w:r w:rsidRPr="008F721D">
        <w:rPr>
          <w:rFonts w:eastAsia="Times New Roman"/>
          <w:lang w:val="en-US" w:eastAsia="en-US"/>
        </w:rPr>
        <w:tab/>
        <w:t>Erdal M, Johannessen A, Askildsen JE, Eagan T, Gulsvik A, Grønseth R. Productivity losses in chronic obstructive pulmonary disease: a population-based survey. BMJ Open Respir Res. 2014;1:e000049.</w:t>
      </w:r>
    </w:p>
    <w:p w14:paraId="5E7675B2"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6.</w:t>
      </w:r>
      <w:r w:rsidRPr="008F721D">
        <w:rPr>
          <w:rFonts w:eastAsia="Times New Roman"/>
          <w:lang w:val="en-US" w:eastAsia="en-US"/>
        </w:rPr>
        <w:tab/>
        <w:t>Jansson SA, Backman H, Stenling A, Lindberg A, Ronmark E, Lundback B. Health economic costs of COPD in Sweden by disease severity--has it changed during a ten years period? Respir Med. 2013;107:1931-1938.</w:t>
      </w:r>
    </w:p>
    <w:p w14:paraId="018E10E0"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7.</w:t>
      </w:r>
      <w:r w:rsidRPr="008F721D">
        <w:rPr>
          <w:rFonts w:eastAsia="Times New Roman"/>
          <w:lang w:val="en-US" w:eastAsia="en-US"/>
        </w:rPr>
        <w:tab/>
        <w:t>Montes de Oca M, Halbert RJ, Talamo C et al. Paid employment in subjects with and without chronic obstructive pulmonary disease in five Latin American cities: the PLATINO study. Int J Tuberc Lung Dis. 2011;15:1259-64, i.</w:t>
      </w:r>
    </w:p>
    <w:p w14:paraId="422A015F"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8.</w:t>
      </w:r>
      <w:r w:rsidRPr="008F721D">
        <w:rPr>
          <w:rFonts w:eastAsia="Times New Roman"/>
          <w:lang w:val="en-US" w:eastAsia="en-US"/>
        </w:rPr>
        <w:tab/>
        <w:t>Buist AS, Vollmer WM, Sullivan SD et al. The Burden of Obstructive Lung Disease Initiative (BOLD): rationale and design. COPD. 2005;2:277-283.</w:t>
      </w:r>
    </w:p>
    <w:p w14:paraId="6083627E"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9.</w:t>
      </w:r>
      <w:r w:rsidRPr="008F721D">
        <w:rPr>
          <w:rFonts w:eastAsia="Times New Roman"/>
          <w:lang w:val="en-US" w:eastAsia="en-US"/>
        </w:rPr>
        <w:tab/>
        <w:t>Brooks SM. Task group on surveillance for respiratory hazards in the occupational setting. ATS News. 1982;8:12-16.</w:t>
      </w:r>
    </w:p>
    <w:p w14:paraId="2B665DEE"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10.</w:t>
      </w:r>
      <w:r w:rsidRPr="008F721D">
        <w:rPr>
          <w:rFonts w:eastAsia="Times New Roman"/>
          <w:lang w:val="en-US" w:eastAsia="en-US"/>
        </w:rPr>
        <w:tab/>
        <w:t>ATS. Standardization of Spirometry, 1994 Update. American Thoracic Society. Am J Respir Crit Care Med. 1995;152:1107-1136.</w:t>
      </w:r>
    </w:p>
    <w:p w14:paraId="112E4B5B"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11.</w:t>
      </w:r>
      <w:r w:rsidRPr="008F721D">
        <w:rPr>
          <w:rFonts w:eastAsia="Times New Roman"/>
          <w:lang w:val="en-US" w:eastAsia="en-US"/>
        </w:rPr>
        <w:tab/>
        <w:t>Hankinson JL, Odencrantz JR, Fedan KB. Spirometric reference values from a sample of the general U.S. population. Am J Respir Crit Care Med. 1999;159:179-187.</w:t>
      </w:r>
    </w:p>
    <w:p w14:paraId="380D9802" w14:textId="77777777" w:rsidR="00B813A6" w:rsidRPr="003A3978" w:rsidRDefault="00B813A6" w:rsidP="00B813A6">
      <w:pPr>
        <w:widowControl w:val="0"/>
        <w:autoSpaceDE w:val="0"/>
        <w:autoSpaceDN w:val="0"/>
        <w:adjustRightInd w:val="0"/>
        <w:ind w:left="540" w:hanging="540"/>
        <w:rPr>
          <w:rFonts w:eastAsia="Times New Roman"/>
          <w:lang w:eastAsia="en-US"/>
        </w:rPr>
      </w:pPr>
      <w:r w:rsidRPr="008F721D">
        <w:rPr>
          <w:rFonts w:eastAsia="Times New Roman"/>
          <w:lang w:val="en-US" w:eastAsia="en-US"/>
        </w:rPr>
        <w:t>12.</w:t>
      </w:r>
      <w:r w:rsidRPr="008F721D">
        <w:rPr>
          <w:rFonts w:eastAsia="Times New Roman"/>
          <w:lang w:val="en-US" w:eastAsia="en-US"/>
        </w:rPr>
        <w:tab/>
        <w:t xml:space="preserve">Gnatiuc L, Buist AS, Kato B et al. Gaps in using bronchodilators, inhaled corticosteroids and influenza vaccine among 23 high- and low-income sites. </w:t>
      </w:r>
      <w:r w:rsidRPr="003A3978">
        <w:rPr>
          <w:rFonts w:eastAsia="Times New Roman"/>
          <w:lang w:eastAsia="en-US"/>
        </w:rPr>
        <w:t>Int J Tuberc Lung Dis. 2015;19:21-30.</w:t>
      </w:r>
    </w:p>
    <w:p w14:paraId="7C8D562C"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3A3978">
        <w:rPr>
          <w:rFonts w:eastAsia="Times New Roman"/>
          <w:lang w:eastAsia="en-US"/>
        </w:rPr>
        <w:t>13.</w:t>
      </w:r>
      <w:r w:rsidRPr="003A3978">
        <w:rPr>
          <w:rFonts w:eastAsia="Times New Roman"/>
          <w:lang w:eastAsia="en-US"/>
        </w:rPr>
        <w:tab/>
        <w:t xml:space="preserve">Ekström M, Schiöler L, Grønseth R et al. </w:t>
      </w:r>
      <w:r w:rsidRPr="008F721D">
        <w:rPr>
          <w:rFonts w:eastAsia="Times New Roman"/>
          <w:lang w:val="en-US" w:eastAsia="en-US"/>
        </w:rPr>
        <w:t>Absolute values of lung function explain the sex difference in breathlessness in the general population. Eur Respir J. 2017;49</w:t>
      </w:r>
    </w:p>
    <w:p w14:paraId="552FC0D5" w14:textId="77777777" w:rsidR="00B813A6" w:rsidRPr="003A3978" w:rsidRDefault="00B813A6" w:rsidP="00B813A6">
      <w:pPr>
        <w:widowControl w:val="0"/>
        <w:autoSpaceDE w:val="0"/>
        <w:autoSpaceDN w:val="0"/>
        <w:adjustRightInd w:val="0"/>
        <w:ind w:left="540" w:hanging="540"/>
        <w:rPr>
          <w:rFonts w:eastAsia="Times New Roman"/>
          <w:lang w:val="es-ES" w:eastAsia="en-US"/>
        </w:rPr>
      </w:pPr>
      <w:r w:rsidRPr="008F721D">
        <w:rPr>
          <w:rFonts w:eastAsia="Times New Roman"/>
          <w:lang w:val="en-US" w:eastAsia="en-US"/>
        </w:rPr>
        <w:t>14.</w:t>
      </w:r>
      <w:r w:rsidRPr="008F721D">
        <w:rPr>
          <w:rFonts w:eastAsia="Times New Roman"/>
          <w:lang w:val="en-US" w:eastAsia="en-US"/>
        </w:rPr>
        <w:tab/>
        <w:t xml:space="preserve">Higgins JP, Thompson SG, Deeks JJ, Altman DG. Measuring inconsistency in meta-analyses. </w:t>
      </w:r>
      <w:r w:rsidRPr="003A3978">
        <w:rPr>
          <w:rFonts w:eastAsia="Times New Roman"/>
          <w:lang w:val="es-ES" w:eastAsia="en-US"/>
        </w:rPr>
        <w:t>BMJ. 2003;327:557-560.</w:t>
      </w:r>
    </w:p>
    <w:p w14:paraId="2405861E" w14:textId="77777777" w:rsidR="00B813A6" w:rsidRPr="003A3978" w:rsidRDefault="00B813A6" w:rsidP="00B813A6">
      <w:pPr>
        <w:widowControl w:val="0"/>
        <w:autoSpaceDE w:val="0"/>
        <w:autoSpaceDN w:val="0"/>
        <w:adjustRightInd w:val="0"/>
        <w:ind w:left="540" w:hanging="540"/>
        <w:rPr>
          <w:rFonts w:eastAsia="Times New Roman"/>
          <w:lang w:eastAsia="en-US"/>
        </w:rPr>
      </w:pPr>
      <w:r w:rsidRPr="003A3978">
        <w:rPr>
          <w:rFonts w:eastAsia="Times New Roman"/>
          <w:lang w:val="es-ES" w:eastAsia="en-US"/>
        </w:rPr>
        <w:t>15.</w:t>
      </w:r>
      <w:r w:rsidRPr="003A3978">
        <w:rPr>
          <w:rFonts w:eastAsia="Times New Roman"/>
          <w:lang w:val="es-ES" w:eastAsia="en-US"/>
        </w:rPr>
        <w:tab/>
        <w:t xml:space="preserve">Menezes AM, Perez-Padilla R, Jardim JR et al. </w:t>
      </w:r>
      <w:r w:rsidRPr="008F721D">
        <w:rPr>
          <w:rFonts w:eastAsia="Times New Roman"/>
          <w:lang w:val="en-US" w:eastAsia="en-US"/>
        </w:rPr>
        <w:t xml:space="preserve">Chronic obstructive pulmonary disease in five Latin American cities (the PLATINO study): a prevalence study. </w:t>
      </w:r>
      <w:r w:rsidRPr="003A3978">
        <w:rPr>
          <w:rFonts w:eastAsia="Times New Roman"/>
          <w:lang w:eastAsia="en-US"/>
        </w:rPr>
        <w:t>Lancet. 2005;366:1875-1881.</w:t>
      </w:r>
    </w:p>
    <w:p w14:paraId="02F70578"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3A3978">
        <w:rPr>
          <w:rFonts w:eastAsia="Times New Roman"/>
          <w:lang w:eastAsia="en-US"/>
        </w:rPr>
        <w:t>16.</w:t>
      </w:r>
      <w:r w:rsidRPr="003A3978">
        <w:rPr>
          <w:rFonts w:eastAsia="Times New Roman"/>
          <w:lang w:eastAsia="en-US"/>
        </w:rPr>
        <w:tab/>
        <w:t xml:space="preserve">Hansen JG, Pedersen L, Overvad K, Omland Ø, Jensen HK, Sørensen HT. </w:t>
      </w:r>
      <w:r w:rsidRPr="008F721D">
        <w:rPr>
          <w:rFonts w:eastAsia="Times New Roman"/>
          <w:lang w:val="en-US" w:eastAsia="en-US"/>
        </w:rPr>
        <w:t>The Prevalence of chronic obstructive pulmonary disease among Danes aged 45-84 years: population-based study. COPD. 2008;5:347-352.</w:t>
      </w:r>
    </w:p>
    <w:p w14:paraId="59997488"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17.</w:t>
      </w:r>
      <w:r w:rsidRPr="008F721D">
        <w:rPr>
          <w:rFonts w:eastAsia="Times New Roman"/>
          <w:lang w:val="en-US" w:eastAsia="en-US"/>
        </w:rPr>
        <w:tab/>
        <w:t>Adeloye D, Chua S, Lee C et al. Global and regional estimates of COPD prevalence: Systematic review and meta-analysis. J Glob Health. 2015;5:020415.</w:t>
      </w:r>
    </w:p>
    <w:p w14:paraId="6F185820"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18.</w:t>
      </w:r>
      <w:r w:rsidRPr="008F721D">
        <w:rPr>
          <w:rFonts w:eastAsia="Times New Roman"/>
          <w:lang w:val="en-US" w:eastAsia="en-US"/>
        </w:rPr>
        <w:tab/>
        <w:t>Eisner MD, Yelin EH, Trupin L, Blanc PD. The influence of chronic respiratory conditions on health status and work disability. Am J Public Health. 2002;92:1506-1513.</w:t>
      </w:r>
    </w:p>
    <w:p w14:paraId="13F9C8DA"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19.</w:t>
      </w:r>
      <w:r w:rsidRPr="008F721D">
        <w:rPr>
          <w:rFonts w:eastAsia="Times New Roman"/>
          <w:lang w:val="en-US" w:eastAsia="en-US"/>
        </w:rPr>
        <w:tab/>
        <w:t>Sin DD, Stafinski T, Ng YC, Bell NR, Jacobs P. The impact of chronic obstructive pulmonary disease on work loss in the United States. Am J Respir Crit Care Med. 2002;165:704-707.</w:t>
      </w:r>
    </w:p>
    <w:p w14:paraId="709B052B"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20.</w:t>
      </w:r>
      <w:r w:rsidRPr="008F721D">
        <w:rPr>
          <w:rFonts w:eastAsia="Times New Roman"/>
          <w:lang w:val="en-US" w:eastAsia="en-US"/>
        </w:rPr>
        <w:tab/>
        <w:t>Thornton Snider J, Romley JA, Wong KS, Zhang J, Eber M, Goldman DP. The Disability burden of COPD. COPD. 2012;9:513-521.</w:t>
      </w:r>
    </w:p>
    <w:p w14:paraId="062248BF"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lastRenderedPageBreak/>
        <w:t>21.</w:t>
      </w:r>
      <w:r w:rsidRPr="008F721D">
        <w:rPr>
          <w:rFonts w:eastAsia="Times New Roman"/>
          <w:lang w:val="en-US" w:eastAsia="en-US"/>
        </w:rPr>
        <w:tab/>
        <w:t>Wouters EFM. Economic analysis of the confronting COPD survey: an overview of results. Respiratory Medicine. 2003;97:S3-S14.</w:t>
      </w:r>
    </w:p>
    <w:p w14:paraId="6C4D8041"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22.</w:t>
      </w:r>
      <w:r w:rsidRPr="008F721D">
        <w:rPr>
          <w:rFonts w:eastAsia="Times New Roman"/>
          <w:lang w:val="en-US" w:eastAsia="en-US"/>
        </w:rPr>
        <w:tab/>
        <w:t>Yelin E, Katz P, Balmes J et al. Work life of persons with asthma, rhinitis, and COPD: a study using a national, population-based sample. J Occup Med Toxicol. 2006;1:2.</w:t>
      </w:r>
    </w:p>
    <w:p w14:paraId="743E38A5"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23.</w:t>
      </w:r>
      <w:r w:rsidRPr="008F721D">
        <w:rPr>
          <w:rFonts w:eastAsia="Times New Roman"/>
          <w:lang w:val="en-US" w:eastAsia="en-US"/>
        </w:rPr>
        <w:tab/>
        <w:t>Lindberg A, Bjerg A, Ronmark E, Larsson LG, Lundback B. Prevalence and underdiagnosis of COPD by disease severity and the attributable fraction of smoking Report from the Obstructive Lung Disease in Northern Sweden Studies. Respir Med. 2006;100:264-272.</w:t>
      </w:r>
    </w:p>
    <w:p w14:paraId="120FF5AD"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24.</w:t>
      </w:r>
      <w:r w:rsidRPr="008F721D">
        <w:rPr>
          <w:rFonts w:eastAsia="Times New Roman"/>
          <w:lang w:val="en-US" w:eastAsia="en-US"/>
        </w:rPr>
        <w:tab/>
        <w:t>Lamprecht B, Soriano JB, Studnicka M et al. Determinants of underdiagnosis of COPD in national and international surveys. Chest. 2015;148:971-985.</w:t>
      </w:r>
    </w:p>
    <w:p w14:paraId="09509856" w14:textId="77777777" w:rsidR="00B813A6" w:rsidRPr="008F721D" w:rsidRDefault="00B813A6" w:rsidP="00B813A6">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25.</w:t>
      </w:r>
      <w:r w:rsidRPr="008F721D">
        <w:rPr>
          <w:rFonts w:eastAsia="Times New Roman"/>
          <w:lang w:val="en-US" w:eastAsia="en-US"/>
        </w:rPr>
        <w:tab/>
        <w:t>Evans C, Crawford B. Patient self-reports in pharmacoeconomic studies. Their use and impact on study validity. Pharmacoeconomics. 1999;15:241-256.</w:t>
      </w:r>
    </w:p>
    <w:p w14:paraId="73F0CE57" w14:textId="77777777" w:rsidR="00B813A6" w:rsidRPr="008F721D" w:rsidRDefault="00B813A6" w:rsidP="008F721D">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26.</w:t>
      </w:r>
      <w:r w:rsidRPr="008F721D">
        <w:rPr>
          <w:rFonts w:eastAsia="Times New Roman"/>
          <w:lang w:val="en-US" w:eastAsia="en-US"/>
        </w:rPr>
        <w:tab/>
        <w:t>Nielsen R, Johannessen A, Schnelle HM et al. Repeatability of health economic data in COPD. Respir Med. 2008;102:1556-1562.</w:t>
      </w:r>
    </w:p>
    <w:p w14:paraId="7828DB29" w14:textId="77777777" w:rsidR="00B813A6" w:rsidRPr="008F721D" w:rsidRDefault="00B813A6" w:rsidP="008F721D">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27.</w:t>
      </w:r>
      <w:r w:rsidRPr="008F721D">
        <w:rPr>
          <w:rFonts w:eastAsia="Times New Roman"/>
          <w:lang w:val="en-US" w:eastAsia="en-US"/>
        </w:rPr>
        <w:tab/>
        <w:t>Wong MS, Peng F, Zou B, Shi WZ, Wilson GJ. Spatially Analyzing the Inequity of the Hong Kong Urban Heat Island by Socio-Demographic Characteristics. Int J Environ Res Public Health. 2016;13</w:t>
      </w:r>
    </w:p>
    <w:p w14:paraId="526CA1F7" w14:textId="77777777" w:rsidR="00B813A6" w:rsidRPr="008F721D" w:rsidRDefault="00B813A6" w:rsidP="008F721D">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28.</w:t>
      </w:r>
      <w:r w:rsidRPr="008F721D">
        <w:rPr>
          <w:rFonts w:eastAsia="Times New Roman"/>
          <w:lang w:val="en-US" w:eastAsia="en-US"/>
        </w:rPr>
        <w:tab/>
        <w:t>Quanjer PH, Stanojevic S, Cole TJ et al. Multi-ethnic reference values for spirometry for the 3-95-yr age range: the global lung function 2012 equations. Eur Respir J. 2012;40:1324-1343.</w:t>
      </w:r>
    </w:p>
    <w:p w14:paraId="2C8E5421" w14:textId="77777777" w:rsidR="00B813A6" w:rsidRPr="008F721D" w:rsidRDefault="00B813A6" w:rsidP="008F721D">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29.</w:t>
      </w:r>
      <w:r w:rsidRPr="008F721D">
        <w:rPr>
          <w:rFonts w:eastAsia="Times New Roman"/>
          <w:lang w:val="en-US" w:eastAsia="en-US"/>
        </w:rPr>
        <w:tab/>
        <w:t>Burney PG, Hooper RL. The use of ethnically specific norms for ventilatory function in African-American and white populations. Int J Epidemiol. 2012;41:782-790.</w:t>
      </w:r>
    </w:p>
    <w:p w14:paraId="6B3E2FD5" w14:textId="77777777" w:rsidR="00B813A6" w:rsidRPr="008F721D" w:rsidRDefault="00B813A6" w:rsidP="008F721D">
      <w:pPr>
        <w:widowControl w:val="0"/>
        <w:autoSpaceDE w:val="0"/>
        <w:autoSpaceDN w:val="0"/>
        <w:adjustRightInd w:val="0"/>
        <w:ind w:left="540" w:hanging="540"/>
        <w:rPr>
          <w:rFonts w:eastAsia="Times New Roman"/>
          <w:lang w:val="en-US" w:eastAsia="en-US"/>
        </w:rPr>
      </w:pPr>
      <w:r w:rsidRPr="008F721D">
        <w:rPr>
          <w:rFonts w:eastAsia="Times New Roman"/>
          <w:lang w:val="en-US" w:eastAsia="en-US"/>
        </w:rPr>
        <w:t>30.</w:t>
      </w:r>
      <w:r w:rsidRPr="008F721D">
        <w:rPr>
          <w:rFonts w:eastAsia="Times New Roman"/>
          <w:lang w:val="en-US" w:eastAsia="en-US"/>
        </w:rPr>
        <w:tab/>
        <w:t>Hooper R, Burney P. Cross-sectional relation of ethnicity to ventilatory function in a West London population. Int J Tuberc Lung Dis. 2013;17:400-405.</w:t>
      </w:r>
    </w:p>
    <w:p w14:paraId="4BBDE0E9" w14:textId="77777777" w:rsidR="00B813A6" w:rsidRPr="004970B3" w:rsidRDefault="00B813A6" w:rsidP="00B813A6">
      <w:r w:rsidRPr="008F721D">
        <w:fldChar w:fldCharType="end"/>
      </w:r>
    </w:p>
    <w:p w14:paraId="4E6A1F17" w14:textId="77777777" w:rsidR="00B813A6" w:rsidRDefault="00B813A6" w:rsidP="00B813A6"/>
    <w:p w14:paraId="58378407" w14:textId="77777777" w:rsidR="00B813A6" w:rsidRPr="00B813A6" w:rsidRDefault="00B813A6" w:rsidP="00B813A6"/>
    <w:p w14:paraId="6FB0627A" w14:textId="77777777" w:rsidR="00B462D0" w:rsidRPr="00B813A6" w:rsidRDefault="00B462D0" w:rsidP="00B813A6"/>
    <w:sectPr w:rsidR="00B462D0" w:rsidRPr="00B813A6" w:rsidSect="00B462D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0AEF" w:usb1="5000A1FF" w:usb2="00000000" w:usb3="00000000" w:csb0="000001BF"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Neue">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1A"/>
    <w:rsid w:val="0001149B"/>
    <w:rsid w:val="00053FB8"/>
    <w:rsid w:val="0005520E"/>
    <w:rsid w:val="00067E49"/>
    <w:rsid w:val="0012778B"/>
    <w:rsid w:val="00171E1A"/>
    <w:rsid w:val="001A748B"/>
    <w:rsid w:val="002074FD"/>
    <w:rsid w:val="0022100D"/>
    <w:rsid w:val="0025268C"/>
    <w:rsid w:val="00264F24"/>
    <w:rsid w:val="00267E04"/>
    <w:rsid w:val="002826A8"/>
    <w:rsid w:val="00322BA6"/>
    <w:rsid w:val="00331ED5"/>
    <w:rsid w:val="003A3978"/>
    <w:rsid w:val="003D52C4"/>
    <w:rsid w:val="00424417"/>
    <w:rsid w:val="00452007"/>
    <w:rsid w:val="00454D56"/>
    <w:rsid w:val="00477A88"/>
    <w:rsid w:val="004E0A0D"/>
    <w:rsid w:val="004F0DC9"/>
    <w:rsid w:val="00583921"/>
    <w:rsid w:val="005A3E78"/>
    <w:rsid w:val="005C02CF"/>
    <w:rsid w:val="0062357F"/>
    <w:rsid w:val="00654FE0"/>
    <w:rsid w:val="006908BA"/>
    <w:rsid w:val="006A077E"/>
    <w:rsid w:val="006F1848"/>
    <w:rsid w:val="006F2439"/>
    <w:rsid w:val="00737BBB"/>
    <w:rsid w:val="007B1CFE"/>
    <w:rsid w:val="00844918"/>
    <w:rsid w:val="00854CC6"/>
    <w:rsid w:val="0085519B"/>
    <w:rsid w:val="00894E84"/>
    <w:rsid w:val="00894FF2"/>
    <w:rsid w:val="008F721D"/>
    <w:rsid w:val="009A7009"/>
    <w:rsid w:val="00A34FD7"/>
    <w:rsid w:val="00A47F7E"/>
    <w:rsid w:val="00A5495A"/>
    <w:rsid w:val="00A62B23"/>
    <w:rsid w:val="00A85A21"/>
    <w:rsid w:val="00AB0381"/>
    <w:rsid w:val="00AC4F76"/>
    <w:rsid w:val="00B17877"/>
    <w:rsid w:val="00B40E27"/>
    <w:rsid w:val="00B419C6"/>
    <w:rsid w:val="00B462D0"/>
    <w:rsid w:val="00B813A6"/>
    <w:rsid w:val="00BA3F20"/>
    <w:rsid w:val="00BF7454"/>
    <w:rsid w:val="00C458DD"/>
    <w:rsid w:val="00C77241"/>
    <w:rsid w:val="00C83DD9"/>
    <w:rsid w:val="00CC6AD4"/>
    <w:rsid w:val="00D02D0B"/>
    <w:rsid w:val="00D2067C"/>
    <w:rsid w:val="00D802DE"/>
    <w:rsid w:val="00D86D10"/>
    <w:rsid w:val="00DD73D1"/>
    <w:rsid w:val="00DE1F4F"/>
    <w:rsid w:val="00E13AB7"/>
    <w:rsid w:val="00EB2879"/>
    <w:rsid w:val="00F52255"/>
    <w:rsid w:val="00F75D5A"/>
    <w:rsid w:val="00FE5F42"/>
    <w:rsid w:val="00FF33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D3BAD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E1A"/>
    <w:rPr>
      <w:rFonts w:ascii="Garamond" w:eastAsiaTheme="minorEastAsia" w:hAnsi="Garamond"/>
      <w:lang w:eastAsia="nb-NO"/>
    </w:rPr>
  </w:style>
  <w:style w:type="paragraph" w:styleId="Heading1">
    <w:name w:val="heading 1"/>
    <w:basedOn w:val="Normal"/>
    <w:next w:val="Normal"/>
    <w:link w:val="Heading1Char"/>
    <w:uiPriority w:val="9"/>
    <w:qFormat/>
    <w:rsid w:val="00171E1A"/>
    <w:pPr>
      <w:keepNext/>
      <w:keepLines/>
      <w:spacing w:before="480"/>
      <w:outlineLvl w:val="0"/>
    </w:pPr>
    <w:rPr>
      <w:rFonts w:ascii="Arial Narrow" w:eastAsiaTheme="majorEastAsia" w:hAnsi="Arial Narrow" w:cstheme="majorBidi"/>
      <w:bCs/>
      <w:sz w:val="40"/>
      <w:szCs w:val="32"/>
    </w:rPr>
  </w:style>
  <w:style w:type="paragraph" w:styleId="Heading2">
    <w:name w:val="heading 2"/>
    <w:basedOn w:val="Normal"/>
    <w:next w:val="Normal"/>
    <w:link w:val="Heading2Char"/>
    <w:uiPriority w:val="9"/>
    <w:unhideWhenUsed/>
    <w:qFormat/>
    <w:rsid w:val="00171E1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E1A"/>
    <w:rPr>
      <w:rFonts w:ascii="Arial Narrow" w:eastAsiaTheme="majorEastAsia" w:hAnsi="Arial Narrow" w:cstheme="majorBidi"/>
      <w:bCs/>
      <w:sz w:val="40"/>
      <w:szCs w:val="32"/>
      <w:lang w:eastAsia="nb-NO"/>
    </w:rPr>
  </w:style>
  <w:style w:type="character" w:customStyle="1" w:styleId="Heading2Char">
    <w:name w:val="Heading 2 Char"/>
    <w:basedOn w:val="DefaultParagraphFont"/>
    <w:link w:val="Heading2"/>
    <w:uiPriority w:val="9"/>
    <w:rsid w:val="00171E1A"/>
    <w:rPr>
      <w:rFonts w:asciiTheme="majorHAnsi" w:eastAsiaTheme="majorEastAsia" w:hAnsiTheme="majorHAnsi" w:cstheme="majorBidi"/>
      <w:b/>
      <w:bCs/>
      <w:color w:val="4472C4" w:themeColor="accent1"/>
      <w:sz w:val="26"/>
      <w:szCs w:val="26"/>
      <w:lang w:eastAsia="nb-NO"/>
    </w:rPr>
  </w:style>
  <w:style w:type="paragraph" w:styleId="Header">
    <w:name w:val="header"/>
    <w:basedOn w:val="Normal"/>
    <w:link w:val="HeaderChar"/>
    <w:uiPriority w:val="99"/>
    <w:unhideWhenUsed/>
    <w:rsid w:val="00171E1A"/>
    <w:pPr>
      <w:tabs>
        <w:tab w:val="center" w:pos="4536"/>
        <w:tab w:val="right" w:pos="9072"/>
      </w:tabs>
    </w:pPr>
    <w:rPr>
      <w:rFonts w:asciiTheme="minorHAnsi" w:hAnsiTheme="minorHAnsi"/>
    </w:rPr>
  </w:style>
  <w:style w:type="character" w:customStyle="1" w:styleId="HeaderChar">
    <w:name w:val="Header Char"/>
    <w:basedOn w:val="DefaultParagraphFont"/>
    <w:link w:val="Header"/>
    <w:uiPriority w:val="99"/>
    <w:rsid w:val="00171E1A"/>
    <w:rPr>
      <w:rFonts w:eastAsiaTheme="minorEastAsia"/>
      <w:lang w:eastAsia="nb-NO"/>
    </w:rPr>
  </w:style>
  <w:style w:type="paragraph" w:styleId="Footer">
    <w:name w:val="footer"/>
    <w:basedOn w:val="Normal"/>
    <w:link w:val="FooterChar"/>
    <w:uiPriority w:val="99"/>
    <w:unhideWhenUsed/>
    <w:rsid w:val="00171E1A"/>
    <w:pPr>
      <w:tabs>
        <w:tab w:val="center" w:pos="4536"/>
        <w:tab w:val="right" w:pos="9072"/>
      </w:tabs>
    </w:pPr>
    <w:rPr>
      <w:rFonts w:asciiTheme="minorHAnsi" w:hAnsiTheme="minorHAnsi"/>
    </w:rPr>
  </w:style>
  <w:style w:type="character" w:customStyle="1" w:styleId="FooterChar">
    <w:name w:val="Footer Char"/>
    <w:basedOn w:val="DefaultParagraphFont"/>
    <w:link w:val="Footer"/>
    <w:uiPriority w:val="99"/>
    <w:rsid w:val="00171E1A"/>
    <w:rPr>
      <w:rFonts w:eastAsiaTheme="minorEastAsia"/>
      <w:lang w:eastAsia="nb-NO"/>
    </w:rPr>
  </w:style>
  <w:style w:type="character" w:styleId="Hyperlink">
    <w:name w:val="Hyperlink"/>
    <w:basedOn w:val="DefaultParagraphFont"/>
    <w:uiPriority w:val="99"/>
    <w:unhideWhenUsed/>
    <w:rsid w:val="00171E1A"/>
    <w:rPr>
      <w:color w:val="0563C1" w:themeColor="hyperlink"/>
      <w:u w:val="single"/>
    </w:rPr>
  </w:style>
  <w:style w:type="paragraph" w:styleId="CommentText">
    <w:name w:val="annotation text"/>
    <w:basedOn w:val="Normal"/>
    <w:link w:val="CommentTextChar"/>
    <w:uiPriority w:val="99"/>
    <w:semiHidden/>
    <w:unhideWhenUsed/>
    <w:rsid w:val="00171E1A"/>
  </w:style>
  <w:style w:type="character" w:customStyle="1" w:styleId="CommentTextChar">
    <w:name w:val="Comment Text Char"/>
    <w:basedOn w:val="DefaultParagraphFont"/>
    <w:link w:val="CommentText"/>
    <w:uiPriority w:val="99"/>
    <w:semiHidden/>
    <w:rsid w:val="00171E1A"/>
    <w:rPr>
      <w:rFonts w:ascii="Garamond" w:eastAsiaTheme="minorEastAsia" w:hAnsi="Garamond"/>
      <w:lang w:eastAsia="nb-NO"/>
    </w:rPr>
  </w:style>
  <w:style w:type="character" w:styleId="CommentReference">
    <w:name w:val="annotation reference"/>
    <w:basedOn w:val="DefaultParagraphFont"/>
    <w:uiPriority w:val="99"/>
    <w:semiHidden/>
    <w:unhideWhenUsed/>
    <w:rsid w:val="00171E1A"/>
    <w:rPr>
      <w:sz w:val="18"/>
      <w:szCs w:val="18"/>
    </w:rPr>
  </w:style>
  <w:style w:type="paragraph" w:styleId="BalloonText">
    <w:name w:val="Balloon Text"/>
    <w:basedOn w:val="Normal"/>
    <w:link w:val="BalloonTextChar"/>
    <w:uiPriority w:val="99"/>
    <w:semiHidden/>
    <w:unhideWhenUsed/>
    <w:rsid w:val="00171E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E1A"/>
    <w:rPr>
      <w:rFonts w:ascii="Lucida Grande" w:eastAsiaTheme="minorEastAsia" w:hAnsi="Lucida Grande" w:cs="Lucida Grande"/>
      <w:sz w:val="18"/>
      <w:szCs w:val="18"/>
      <w:lang w:eastAsia="nb-NO"/>
    </w:rPr>
  </w:style>
  <w:style w:type="paragraph" w:customStyle="1" w:styleId="EndNoteBibliographyTitle">
    <w:name w:val="EndNote Bibliography Title"/>
    <w:basedOn w:val="Normal"/>
    <w:rsid w:val="00171E1A"/>
    <w:pPr>
      <w:jc w:val="center"/>
    </w:pPr>
  </w:style>
  <w:style w:type="paragraph" w:customStyle="1" w:styleId="EndNoteBibliography">
    <w:name w:val="EndNote Bibliography"/>
    <w:basedOn w:val="Normal"/>
    <w:rsid w:val="00171E1A"/>
  </w:style>
  <w:style w:type="paragraph" w:styleId="CommentSubject">
    <w:name w:val="annotation subject"/>
    <w:basedOn w:val="CommentText"/>
    <w:next w:val="CommentText"/>
    <w:link w:val="CommentSubjectChar"/>
    <w:uiPriority w:val="99"/>
    <w:semiHidden/>
    <w:unhideWhenUsed/>
    <w:rsid w:val="00171E1A"/>
    <w:rPr>
      <w:b/>
      <w:bCs/>
      <w:sz w:val="20"/>
      <w:szCs w:val="20"/>
    </w:rPr>
  </w:style>
  <w:style w:type="character" w:customStyle="1" w:styleId="CommentSubjectChar">
    <w:name w:val="Comment Subject Char"/>
    <w:basedOn w:val="CommentTextChar"/>
    <w:link w:val="CommentSubject"/>
    <w:uiPriority w:val="99"/>
    <w:semiHidden/>
    <w:rsid w:val="00171E1A"/>
    <w:rPr>
      <w:rFonts w:ascii="Garamond" w:eastAsiaTheme="minorEastAsia" w:hAnsi="Garamond"/>
      <w:b/>
      <w:bCs/>
      <w:sz w:val="20"/>
      <w:szCs w:val="20"/>
      <w:lang w:eastAsia="nb-NO"/>
    </w:rPr>
  </w:style>
  <w:style w:type="paragraph" w:styleId="Revision">
    <w:name w:val="Revision"/>
    <w:hidden/>
    <w:uiPriority w:val="99"/>
    <w:semiHidden/>
    <w:rsid w:val="00171E1A"/>
    <w:rPr>
      <w:rFonts w:ascii="Garamond" w:eastAsiaTheme="minorEastAsia" w:hAnsi="Garamond"/>
      <w:lang w:eastAsia="nb-NO"/>
    </w:rPr>
  </w:style>
  <w:style w:type="character" w:styleId="FollowedHyperlink">
    <w:name w:val="FollowedHyperlink"/>
    <w:basedOn w:val="DefaultParagraphFont"/>
    <w:uiPriority w:val="99"/>
    <w:semiHidden/>
    <w:unhideWhenUsed/>
    <w:rsid w:val="00171E1A"/>
    <w:rPr>
      <w:color w:val="954F72" w:themeColor="followedHyperlink"/>
      <w:u w:val="single"/>
    </w:rPr>
  </w:style>
  <w:style w:type="paragraph" w:customStyle="1" w:styleId="p3">
    <w:name w:val="p3"/>
    <w:basedOn w:val="Normal"/>
    <w:rsid w:val="00171E1A"/>
    <w:rPr>
      <w:rFonts w:eastAsiaTheme="minorHAnsi" w:cs="Times New Roman"/>
      <w:sz w:val="14"/>
      <w:szCs w:val="14"/>
    </w:rPr>
  </w:style>
  <w:style w:type="table" w:styleId="TableGrid">
    <w:name w:val="Table Grid"/>
    <w:basedOn w:val="TableNormal"/>
    <w:uiPriority w:val="59"/>
    <w:rsid w:val="00171E1A"/>
    <w:rPr>
      <w:rFonts w:eastAsiaTheme="minorEastAsia"/>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DefaultParagraphFont"/>
    <w:rsid w:val="00171E1A"/>
    <w:rPr>
      <w:rFonts w:ascii="Times New Roman" w:hAnsi="Times New Roman" w:cs="Times New Roman" w:hint="default"/>
      <w:sz w:val="14"/>
      <w:szCs w:val="14"/>
    </w:rPr>
  </w:style>
  <w:style w:type="character" w:customStyle="1" w:styleId="apple-converted-space">
    <w:name w:val="apple-converted-space"/>
    <w:basedOn w:val="DefaultParagraphFont"/>
    <w:rsid w:val="00171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maral@imperial.ac.uk" TargetMode="External"/><Relationship Id="rId13" Type="http://schemas.openxmlformats.org/officeDocument/2006/relationships/hyperlink" Target="mailto:ssalvi@crfindia.com" TargetMode="External"/><Relationship Id="rId18" Type="http://schemas.openxmlformats.org/officeDocument/2006/relationships/hyperlink" Target="http://www.icmje.org/coi_disclosure.pdf" TargetMode="External"/><Relationship Id="rId3" Type="http://schemas.openxmlformats.org/officeDocument/2006/relationships/webSettings" Target="webSettings.xml"/><Relationship Id="rId7" Type="http://schemas.openxmlformats.org/officeDocument/2006/relationships/hyperlink" Target="mailto:danseki@yahoo.com" TargetMode="External"/><Relationship Id="rId12" Type="http://schemas.openxmlformats.org/officeDocument/2006/relationships/hyperlink" Target="mailto:M.Studnicka@salk.at" TargetMode="External"/><Relationship Id="rId17" Type="http://schemas.openxmlformats.org/officeDocument/2006/relationships/hyperlink" Target="mailto:marta.erdal@k2.uib.no" TargetMode="External"/><Relationship Id="rId2" Type="http://schemas.openxmlformats.org/officeDocument/2006/relationships/settings" Target="settings.xml"/><Relationship Id="rId16" Type="http://schemas.openxmlformats.org/officeDocument/2006/relationships/hyperlink" Target="mailto:ane.johannessen@uib.n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wan.tan@hli.ubc.ca" TargetMode="External"/><Relationship Id="rId11" Type="http://schemas.openxmlformats.org/officeDocument/2006/relationships/hyperlink" Target="mailto:parvaizk@gmail.com" TargetMode="External"/><Relationship Id="rId5" Type="http://schemas.openxmlformats.org/officeDocument/2006/relationships/hyperlink" Target="mailto:marta.erdal@k2.uib.no" TargetMode="External"/><Relationship Id="rId15" Type="http://schemas.openxmlformats.org/officeDocument/2006/relationships/hyperlink" Target="mailto:william.vollmer@kpchr.org" TargetMode="External"/><Relationship Id="rId10" Type="http://schemas.openxmlformats.org/officeDocument/2006/relationships/hyperlink" Target="mailto:sanjay.juvekar@gmail.com" TargetMode="External"/><Relationship Id="rId19" Type="http://schemas.openxmlformats.org/officeDocument/2006/relationships/fontTable" Target="fontTable.xml"/><Relationship Id="rId4" Type="http://schemas.openxmlformats.org/officeDocument/2006/relationships/hyperlink" Target="mailto:nielsenrune@me.com" TargetMode="External"/><Relationship Id="rId9" Type="http://schemas.openxmlformats.org/officeDocument/2006/relationships/hyperlink" Target="mailto:thorarig@landspitali.is" TargetMode="External"/><Relationship Id="rId14" Type="http://schemas.openxmlformats.org/officeDocument/2006/relationships/hyperlink" Target="mailto:buists@ohsu.ed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8522</Words>
  <Characters>48582</Characters>
  <Application>Microsoft Office Word</Application>
  <DocSecurity>4</DocSecurity>
  <Lines>404</Lines>
  <Paragraphs>113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Erdal</dc:creator>
  <cp:keywords/>
  <dc:description/>
  <cp:lastModifiedBy>Burney, Peter G J</cp:lastModifiedBy>
  <cp:revision>2</cp:revision>
  <dcterms:created xsi:type="dcterms:W3CDTF">2017-06-21T09:17:00Z</dcterms:created>
  <dcterms:modified xsi:type="dcterms:W3CDTF">2017-06-21T09:17:00Z</dcterms:modified>
</cp:coreProperties>
</file>