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FE631" w14:textId="77777777" w:rsidR="00C9069C" w:rsidRPr="00CD0D03" w:rsidRDefault="00C9069C" w:rsidP="00505DA6">
      <w:pPr>
        <w:spacing w:line="480" w:lineRule="auto"/>
        <w:outlineLvl w:val="0"/>
        <w:rPr>
          <w:rFonts w:cs="Times New Roman"/>
          <w:b/>
          <w:sz w:val="24"/>
          <w:szCs w:val="24"/>
          <w:lang w:val="en-US"/>
        </w:rPr>
      </w:pPr>
      <w:r w:rsidRPr="00CD0D03">
        <w:rPr>
          <w:rFonts w:cs="Times New Roman"/>
          <w:b/>
          <w:sz w:val="24"/>
          <w:szCs w:val="24"/>
          <w:lang w:val="en-US"/>
        </w:rPr>
        <w:t xml:space="preserve">The Biomarker-based Diagnosis of Alzheimer’s Disease.  2 – Lessons </w:t>
      </w:r>
      <w:proofErr w:type="gramStart"/>
      <w:r w:rsidRPr="00CD0D03">
        <w:rPr>
          <w:rFonts w:cs="Times New Roman"/>
          <w:b/>
          <w:sz w:val="24"/>
          <w:szCs w:val="24"/>
          <w:lang w:val="en-US"/>
        </w:rPr>
        <w:t>From</w:t>
      </w:r>
      <w:proofErr w:type="gramEnd"/>
      <w:r w:rsidRPr="00CD0D03">
        <w:rPr>
          <w:rFonts w:cs="Times New Roman"/>
          <w:b/>
          <w:sz w:val="24"/>
          <w:szCs w:val="24"/>
          <w:lang w:val="en-US"/>
        </w:rPr>
        <w:t xml:space="preserve"> Oncology</w:t>
      </w:r>
    </w:p>
    <w:p w14:paraId="534EA2DE" w14:textId="77777777" w:rsidR="003077E3" w:rsidRDefault="00C9069C" w:rsidP="00A83B7C">
      <w:pPr>
        <w:pStyle w:val="NormaleWeb"/>
        <w:spacing w:line="480" w:lineRule="auto"/>
        <w:rPr>
          <w:rFonts w:eastAsia="Times New Roman"/>
          <w:sz w:val="24"/>
          <w:szCs w:val="24"/>
          <w:vertAlign w:val="superscript"/>
          <w:lang w:val="en-US"/>
        </w:rPr>
      </w:pPr>
      <w:r w:rsidRPr="00CD0D03">
        <w:rPr>
          <w:rFonts w:eastAsia="Times New Roman"/>
          <w:sz w:val="24"/>
          <w:szCs w:val="24"/>
          <w:lang w:val="en-US"/>
        </w:rPr>
        <w:t>M</w:t>
      </w:r>
      <w:r w:rsidR="003E7E96" w:rsidRPr="00CD0D03">
        <w:rPr>
          <w:rFonts w:eastAsia="Times New Roman"/>
          <w:sz w:val="24"/>
          <w:szCs w:val="24"/>
          <w:lang w:val="en-US"/>
        </w:rPr>
        <w:t>arina</w:t>
      </w:r>
      <w:r w:rsidRPr="00CD0D03">
        <w:rPr>
          <w:rFonts w:eastAsia="Times New Roman"/>
          <w:sz w:val="24"/>
          <w:szCs w:val="24"/>
          <w:lang w:val="en-US"/>
        </w:rPr>
        <w:t xml:space="preserve"> Boccardi</w:t>
      </w:r>
      <w:r w:rsidR="00AB11BA" w:rsidRPr="00CD0D03">
        <w:rPr>
          <w:rFonts w:eastAsia="Times New Roman"/>
          <w:sz w:val="24"/>
          <w:szCs w:val="24"/>
          <w:vertAlign w:val="superscript"/>
          <w:lang w:val="en-US"/>
        </w:rPr>
        <w:t>1</w:t>
      </w:r>
      <w:r w:rsidR="005070A4">
        <w:rPr>
          <w:rFonts w:eastAsia="Times New Roman"/>
          <w:sz w:val="24"/>
          <w:szCs w:val="24"/>
          <w:vertAlign w:val="superscript"/>
          <w:lang w:val="en-US"/>
        </w:rPr>
        <w:t>,2</w:t>
      </w:r>
      <w:r w:rsidRPr="00CD0D03">
        <w:rPr>
          <w:rFonts w:eastAsia="Times New Roman"/>
          <w:sz w:val="24"/>
          <w:szCs w:val="24"/>
          <w:lang w:val="en-US"/>
        </w:rPr>
        <w:t>, V</w:t>
      </w:r>
      <w:r w:rsidR="003E7E96" w:rsidRPr="00CD0D03">
        <w:rPr>
          <w:rFonts w:eastAsia="Times New Roman"/>
          <w:sz w:val="24"/>
          <w:szCs w:val="24"/>
          <w:lang w:val="en-US"/>
        </w:rPr>
        <w:t>alentina</w:t>
      </w:r>
      <w:r w:rsidRPr="00CD0D03">
        <w:rPr>
          <w:rFonts w:eastAsia="Times New Roman"/>
          <w:sz w:val="24"/>
          <w:szCs w:val="24"/>
          <w:lang w:val="en-US"/>
        </w:rPr>
        <w:t xml:space="preserve"> Gallo</w:t>
      </w:r>
      <w:r w:rsidR="005070A4">
        <w:rPr>
          <w:rFonts w:eastAsia="Times New Roman"/>
          <w:sz w:val="24"/>
          <w:szCs w:val="24"/>
          <w:vertAlign w:val="superscript"/>
          <w:lang w:val="en-US"/>
        </w:rPr>
        <w:t>3</w:t>
      </w:r>
      <w:r w:rsidRPr="00CD0D03">
        <w:rPr>
          <w:rFonts w:eastAsia="Times New Roman"/>
          <w:sz w:val="24"/>
          <w:szCs w:val="24"/>
          <w:lang w:val="en-US"/>
        </w:rPr>
        <w:t>, Y</w:t>
      </w:r>
      <w:r w:rsidR="003E7E96" w:rsidRPr="00CD0D03">
        <w:rPr>
          <w:rFonts w:eastAsia="Times New Roman"/>
          <w:sz w:val="24"/>
          <w:szCs w:val="24"/>
          <w:lang w:val="en-US"/>
        </w:rPr>
        <w:t>utaka</w:t>
      </w:r>
      <w:r w:rsidRPr="00CD0D03">
        <w:rPr>
          <w:rFonts w:eastAsia="Times New Roman"/>
          <w:sz w:val="24"/>
          <w:szCs w:val="24"/>
          <w:lang w:val="en-US"/>
        </w:rPr>
        <w:t xml:space="preserve"> Y</w:t>
      </w:r>
      <w:r w:rsidR="003E7E96" w:rsidRPr="00CD0D03">
        <w:rPr>
          <w:rFonts w:eastAsia="Times New Roman"/>
          <w:sz w:val="24"/>
          <w:szCs w:val="24"/>
          <w:lang w:val="en-US"/>
        </w:rPr>
        <w:t>asui</w:t>
      </w:r>
      <w:r w:rsidR="00AB11BA" w:rsidRPr="00CD0D03">
        <w:rPr>
          <w:rFonts w:eastAsia="Times New Roman"/>
          <w:sz w:val="24"/>
          <w:szCs w:val="24"/>
          <w:vertAlign w:val="superscript"/>
          <w:lang w:val="en-US"/>
        </w:rPr>
        <w:t>4</w:t>
      </w:r>
      <w:r w:rsidR="005070A4">
        <w:rPr>
          <w:rFonts w:eastAsia="Times New Roman"/>
          <w:sz w:val="24"/>
          <w:szCs w:val="24"/>
          <w:vertAlign w:val="superscript"/>
          <w:lang w:val="en-US"/>
        </w:rPr>
        <w:t>,5</w:t>
      </w:r>
      <w:r w:rsidRPr="00CD0D03">
        <w:rPr>
          <w:rFonts w:eastAsia="Times New Roman"/>
          <w:sz w:val="24"/>
          <w:szCs w:val="24"/>
          <w:lang w:val="en-US"/>
        </w:rPr>
        <w:t>, P</w:t>
      </w:r>
      <w:r w:rsidR="003E7E96" w:rsidRPr="00CD0D03">
        <w:rPr>
          <w:rFonts w:eastAsia="Times New Roman"/>
          <w:sz w:val="24"/>
          <w:szCs w:val="24"/>
          <w:lang w:val="en-US"/>
        </w:rPr>
        <w:t>aolo</w:t>
      </w:r>
      <w:r w:rsidRPr="00CD0D03">
        <w:rPr>
          <w:rFonts w:eastAsia="Times New Roman"/>
          <w:sz w:val="24"/>
          <w:szCs w:val="24"/>
          <w:lang w:val="en-US"/>
        </w:rPr>
        <w:t xml:space="preserve"> Vineis</w:t>
      </w:r>
      <w:r w:rsidR="005070A4">
        <w:rPr>
          <w:rFonts w:eastAsia="Times New Roman"/>
          <w:sz w:val="24"/>
          <w:szCs w:val="24"/>
          <w:vertAlign w:val="superscript"/>
          <w:lang w:val="en-US"/>
        </w:rPr>
        <w:t>6</w:t>
      </w:r>
      <w:r w:rsidRPr="00CD0D03">
        <w:rPr>
          <w:rFonts w:eastAsia="Times New Roman"/>
          <w:sz w:val="24"/>
          <w:szCs w:val="24"/>
          <w:lang w:val="en-US"/>
        </w:rPr>
        <w:t>, A</w:t>
      </w:r>
      <w:r w:rsidR="003E7E96" w:rsidRPr="00CD0D03">
        <w:rPr>
          <w:rFonts w:eastAsia="Times New Roman"/>
          <w:sz w:val="24"/>
          <w:szCs w:val="24"/>
          <w:lang w:val="en-US"/>
        </w:rPr>
        <w:t>lessandro</w:t>
      </w:r>
      <w:r w:rsidRPr="00CD0D03">
        <w:rPr>
          <w:rFonts w:eastAsia="Times New Roman"/>
          <w:sz w:val="24"/>
          <w:szCs w:val="24"/>
          <w:lang w:val="en-US"/>
        </w:rPr>
        <w:t xml:space="preserve"> Padovani</w:t>
      </w:r>
      <w:r w:rsidR="005070A4">
        <w:rPr>
          <w:rFonts w:eastAsia="Times New Roman"/>
          <w:sz w:val="24"/>
          <w:szCs w:val="24"/>
          <w:vertAlign w:val="superscript"/>
          <w:lang w:val="en-US"/>
        </w:rPr>
        <w:t>7</w:t>
      </w:r>
      <w:r w:rsidRPr="00CD0D03">
        <w:rPr>
          <w:rFonts w:eastAsia="Times New Roman"/>
          <w:sz w:val="24"/>
          <w:szCs w:val="24"/>
          <w:lang w:val="en-US"/>
        </w:rPr>
        <w:t>, U</w:t>
      </w:r>
      <w:r w:rsidR="003E7E96" w:rsidRPr="00CD0D03">
        <w:rPr>
          <w:rFonts w:eastAsia="Times New Roman"/>
          <w:sz w:val="24"/>
          <w:szCs w:val="24"/>
          <w:lang w:val="en-US"/>
        </w:rPr>
        <w:t>rs</w:t>
      </w:r>
      <w:r w:rsidRPr="00CD0D03">
        <w:rPr>
          <w:rFonts w:eastAsia="Times New Roman"/>
          <w:sz w:val="24"/>
          <w:szCs w:val="24"/>
          <w:lang w:val="en-US"/>
        </w:rPr>
        <w:t xml:space="preserve"> Mosimann</w:t>
      </w:r>
      <w:r w:rsidR="00AB11BA" w:rsidRPr="00CD0D03">
        <w:rPr>
          <w:rFonts w:eastAsia="Times New Roman"/>
          <w:sz w:val="24"/>
          <w:szCs w:val="24"/>
          <w:vertAlign w:val="superscript"/>
          <w:lang w:val="en-US"/>
        </w:rPr>
        <w:t>8</w:t>
      </w:r>
      <w:r w:rsidR="005070A4">
        <w:rPr>
          <w:rFonts w:eastAsia="Times New Roman"/>
          <w:sz w:val="24"/>
          <w:szCs w:val="24"/>
          <w:vertAlign w:val="superscript"/>
          <w:lang w:val="en-US"/>
        </w:rPr>
        <w:t>,9</w:t>
      </w:r>
      <w:r w:rsidRPr="00CD0D03">
        <w:rPr>
          <w:rFonts w:eastAsia="Times New Roman"/>
          <w:sz w:val="24"/>
          <w:szCs w:val="24"/>
          <w:lang w:val="en-US"/>
        </w:rPr>
        <w:t xml:space="preserve">, </w:t>
      </w:r>
      <w:r w:rsidRPr="00CD0D03">
        <w:rPr>
          <w:rFonts w:eastAsia="Times New Roman"/>
          <w:color w:val="000000"/>
          <w:sz w:val="24"/>
          <w:szCs w:val="24"/>
          <w:lang w:val="en-US"/>
        </w:rPr>
        <w:t>P</w:t>
      </w:r>
      <w:r w:rsidR="003E7E96" w:rsidRPr="00CD0D03">
        <w:rPr>
          <w:rFonts w:eastAsia="Times New Roman"/>
          <w:color w:val="000000"/>
          <w:sz w:val="24"/>
          <w:szCs w:val="24"/>
          <w:lang w:val="en-US"/>
        </w:rPr>
        <w:t>anteleimon</w:t>
      </w:r>
      <w:r w:rsidRPr="00CD0D03">
        <w:rPr>
          <w:rFonts w:eastAsia="Times New Roman"/>
          <w:color w:val="000000"/>
          <w:sz w:val="24"/>
          <w:szCs w:val="24"/>
          <w:lang w:val="en-US"/>
        </w:rPr>
        <w:t xml:space="preserve"> Giannakopoulos</w:t>
      </w:r>
      <w:r w:rsidR="005070A4">
        <w:rPr>
          <w:rFonts w:eastAsia="Times New Roman"/>
          <w:sz w:val="24"/>
          <w:szCs w:val="24"/>
          <w:vertAlign w:val="superscript"/>
          <w:lang w:val="en-US"/>
        </w:rPr>
        <w:t>10</w:t>
      </w:r>
      <w:r w:rsidRPr="00CD0D03">
        <w:rPr>
          <w:rFonts w:eastAsia="Times New Roman"/>
          <w:color w:val="000000"/>
          <w:sz w:val="24"/>
          <w:szCs w:val="24"/>
          <w:lang w:val="en-US"/>
        </w:rPr>
        <w:t>, G</w:t>
      </w:r>
      <w:r w:rsidR="003E7E96" w:rsidRPr="00CD0D03">
        <w:rPr>
          <w:rFonts w:eastAsia="Times New Roman"/>
          <w:color w:val="000000"/>
          <w:sz w:val="24"/>
          <w:szCs w:val="24"/>
          <w:lang w:val="en-US"/>
        </w:rPr>
        <w:t>abriel</w:t>
      </w:r>
      <w:r w:rsidRPr="00CD0D03">
        <w:rPr>
          <w:rFonts w:eastAsia="Times New Roman"/>
          <w:color w:val="000000"/>
          <w:sz w:val="24"/>
          <w:szCs w:val="24"/>
          <w:lang w:val="en-US"/>
        </w:rPr>
        <w:t xml:space="preserve"> Gold</w:t>
      </w:r>
      <w:r w:rsidR="00AB11BA" w:rsidRPr="00CD0D03">
        <w:rPr>
          <w:rFonts w:eastAsia="Times New Roman"/>
          <w:sz w:val="24"/>
          <w:szCs w:val="24"/>
          <w:vertAlign w:val="superscript"/>
          <w:lang w:val="en-US"/>
        </w:rPr>
        <w:t>1</w:t>
      </w:r>
      <w:r w:rsidR="005070A4">
        <w:rPr>
          <w:rFonts w:eastAsia="Times New Roman"/>
          <w:sz w:val="24"/>
          <w:szCs w:val="24"/>
          <w:vertAlign w:val="superscript"/>
          <w:lang w:val="en-US"/>
        </w:rPr>
        <w:t>1</w:t>
      </w:r>
      <w:r w:rsidRPr="00CD0D03">
        <w:rPr>
          <w:rFonts w:eastAsia="Times New Roman"/>
          <w:color w:val="000000"/>
          <w:sz w:val="24"/>
          <w:szCs w:val="24"/>
          <w:lang w:val="en-US"/>
        </w:rPr>
        <w:t xml:space="preserve">, </w:t>
      </w:r>
      <w:r w:rsidRPr="00CD0D03">
        <w:rPr>
          <w:rFonts w:eastAsia="Times New Roman"/>
          <w:sz w:val="24"/>
          <w:szCs w:val="24"/>
          <w:lang w:val="en-US"/>
        </w:rPr>
        <w:t>B</w:t>
      </w:r>
      <w:r w:rsidR="003E7E96" w:rsidRPr="00CD0D03">
        <w:rPr>
          <w:rFonts w:eastAsia="Times New Roman"/>
          <w:sz w:val="24"/>
          <w:szCs w:val="24"/>
          <w:lang w:val="en-US"/>
        </w:rPr>
        <w:t>runo</w:t>
      </w:r>
      <w:r w:rsidRPr="00CD0D03">
        <w:rPr>
          <w:rFonts w:eastAsia="Times New Roman"/>
          <w:sz w:val="24"/>
          <w:szCs w:val="24"/>
          <w:lang w:val="en-US"/>
        </w:rPr>
        <w:t xml:space="preserve"> Dubois</w:t>
      </w:r>
      <w:r w:rsidR="00795F0D" w:rsidRPr="00CD0D03">
        <w:rPr>
          <w:rFonts w:eastAsia="Times New Roman"/>
          <w:sz w:val="24"/>
          <w:szCs w:val="24"/>
          <w:vertAlign w:val="superscript"/>
          <w:lang w:val="en-US"/>
        </w:rPr>
        <w:t>1</w:t>
      </w:r>
      <w:r w:rsidR="005070A4">
        <w:rPr>
          <w:rFonts w:eastAsia="Times New Roman"/>
          <w:sz w:val="24"/>
          <w:szCs w:val="24"/>
          <w:vertAlign w:val="superscript"/>
          <w:lang w:val="en-US"/>
        </w:rPr>
        <w:t>2</w:t>
      </w:r>
      <w:r w:rsidRPr="00CD0D03">
        <w:rPr>
          <w:rFonts w:eastAsia="Times New Roman"/>
          <w:sz w:val="24"/>
          <w:szCs w:val="24"/>
          <w:lang w:val="en-US"/>
        </w:rPr>
        <w:t>, C</w:t>
      </w:r>
      <w:r w:rsidR="003E7E96" w:rsidRPr="00CD0D03">
        <w:rPr>
          <w:rFonts w:eastAsia="Times New Roman"/>
          <w:sz w:val="24"/>
          <w:szCs w:val="24"/>
          <w:lang w:val="en-US"/>
        </w:rPr>
        <w:t xml:space="preserve">lifford </w:t>
      </w:r>
      <w:r w:rsidRPr="00CD0D03">
        <w:rPr>
          <w:rFonts w:eastAsia="Times New Roman"/>
          <w:sz w:val="24"/>
          <w:szCs w:val="24"/>
          <w:lang w:val="en-US"/>
        </w:rPr>
        <w:t>R</w:t>
      </w:r>
      <w:r w:rsidR="003E7E96" w:rsidRPr="00CD0D03">
        <w:rPr>
          <w:rFonts w:eastAsia="Times New Roman"/>
          <w:sz w:val="24"/>
          <w:szCs w:val="24"/>
          <w:lang w:val="en-US"/>
        </w:rPr>
        <w:t>.</w:t>
      </w:r>
      <w:r w:rsidRPr="00CD0D03">
        <w:rPr>
          <w:rFonts w:eastAsia="Times New Roman"/>
          <w:sz w:val="24"/>
          <w:szCs w:val="24"/>
          <w:lang w:val="en-US"/>
        </w:rPr>
        <w:t xml:space="preserve"> Jack</w:t>
      </w:r>
      <w:r w:rsidR="003E7E96" w:rsidRPr="00CD0D03">
        <w:rPr>
          <w:rFonts w:eastAsia="Times New Roman"/>
          <w:sz w:val="24"/>
          <w:szCs w:val="24"/>
          <w:lang w:val="en-US"/>
        </w:rPr>
        <w:t xml:space="preserve"> Jr</w:t>
      </w:r>
      <w:r w:rsidR="00795F0D" w:rsidRPr="00CD0D03">
        <w:rPr>
          <w:rFonts w:eastAsia="Times New Roman"/>
          <w:sz w:val="24"/>
          <w:szCs w:val="24"/>
          <w:vertAlign w:val="superscript"/>
          <w:lang w:val="en-US"/>
        </w:rPr>
        <w:t>1</w:t>
      </w:r>
      <w:r w:rsidR="005070A4">
        <w:rPr>
          <w:rFonts w:eastAsia="Times New Roman"/>
          <w:sz w:val="24"/>
          <w:szCs w:val="24"/>
          <w:vertAlign w:val="superscript"/>
          <w:lang w:val="en-US"/>
        </w:rPr>
        <w:t>3</w:t>
      </w:r>
      <w:r w:rsidRPr="00CD0D03">
        <w:rPr>
          <w:rFonts w:eastAsia="Times New Roman"/>
          <w:sz w:val="24"/>
          <w:szCs w:val="24"/>
          <w:lang w:val="en-US"/>
        </w:rPr>
        <w:t>, B</w:t>
      </w:r>
      <w:r w:rsidR="003E7E96" w:rsidRPr="00CD0D03">
        <w:rPr>
          <w:rFonts w:eastAsia="Times New Roman"/>
          <w:sz w:val="24"/>
          <w:szCs w:val="24"/>
          <w:lang w:val="en-US"/>
        </w:rPr>
        <w:t>engt</w:t>
      </w:r>
      <w:r w:rsidRPr="00CD0D03">
        <w:rPr>
          <w:rFonts w:eastAsia="Times New Roman"/>
          <w:sz w:val="24"/>
          <w:szCs w:val="24"/>
          <w:lang w:val="en-US"/>
        </w:rPr>
        <w:t xml:space="preserve"> Winblad</w:t>
      </w:r>
      <w:r w:rsidR="00795F0D" w:rsidRPr="00CD0D03">
        <w:rPr>
          <w:rFonts w:eastAsia="Times New Roman"/>
          <w:sz w:val="24"/>
          <w:szCs w:val="24"/>
          <w:vertAlign w:val="superscript"/>
          <w:lang w:val="en-US"/>
        </w:rPr>
        <w:t>1</w:t>
      </w:r>
      <w:r w:rsidR="005070A4">
        <w:rPr>
          <w:rFonts w:eastAsia="Times New Roman"/>
          <w:sz w:val="24"/>
          <w:szCs w:val="24"/>
          <w:vertAlign w:val="superscript"/>
          <w:lang w:val="en-US"/>
        </w:rPr>
        <w:t>4</w:t>
      </w:r>
      <w:r w:rsidRPr="00CD0D03">
        <w:rPr>
          <w:rFonts w:eastAsia="Times New Roman"/>
          <w:sz w:val="24"/>
          <w:szCs w:val="24"/>
          <w:lang w:val="en-US"/>
        </w:rPr>
        <w:t>, G</w:t>
      </w:r>
      <w:r w:rsidR="003E7E96" w:rsidRPr="00CD0D03">
        <w:rPr>
          <w:rFonts w:eastAsia="Times New Roman"/>
          <w:sz w:val="24"/>
          <w:szCs w:val="24"/>
          <w:lang w:val="en-US"/>
        </w:rPr>
        <w:t xml:space="preserve">iovanni </w:t>
      </w:r>
      <w:r w:rsidRPr="00CD0D03">
        <w:rPr>
          <w:rFonts w:eastAsia="Times New Roman"/>
          <w:sz w:val="24"/>
          <w:szCs w:val="24"/>
          <w:lang w:val="en-US"/>
        </w:rPr>
        <w:t>B</w:t>
      </w:r>
      <w:r w:rsidR="003E7E96" w:rsidRPr="00CD0D03">
        <w:rPr>
          <w:rFonts w:eastAsia="Times New Roman"/>
          <w:sz w:val="24"/>
          <w:szCs w:val="24"/>
          <w:lang w:val="en-US"/>
        </w:rPr>
        <w:t>.</w:t>
      </w:r>
      <w:r w:rsidRPr="00CD0D03">
        <w:rPr>
          <w:rFonts w:eastAsia="Times New Roman"/>
          <w:sz w:val="24"/>
          <w:szCs w:val="24"/>
          <w:lang w:val="en-US"/>
        </w:rPr>
        <w:t xml:space="preserve"> Frisoni</w:t>
      </w:r>
      <w:r w:rsidR="005070A4">
        <w:rPr>
          <w:rFonts w:eastAsia="Times New Roman"/>
          <w:sz w:val="24"/>
          <w:szCs w:val="24"/>
          <w:vertAlign w:val="superscript"/>
          <w:lang w:val="en-US"/>
        </w:rPr>
        <w:t>1</w:t>
      </w:r>
      <w:r w:rsidR="00BA0AA2">
        <w:rPr>
          <w:rFonts w:eastAsia="Times New Roman"/>
          <w:sz w:val="24"/>
          <w:szCs w:val="24"/>
          <w:vertAlign w:val="superscript"/>
          <w:lang w:val="en-US"/>
        </w:rPr>
        <w:t>,2,1</w:t>
      </w:r>
      <w:r w:rsidR="005070A4">
        <w:rPr>
          <w:rFonts w:eastAsia="Times New Roman"/>
          <w:sz w:val="24"/>
          <w:szCs w:val="24"/>
          <w:vertAlign w:val="superscript"/>
          <w:lang w:val="en-US"/>
        </w:rPr>
        <w:t>5</w:t>
      </w:r>
      <w:r w:rsidRPr="00CD0D03">
        <w:rPr>
          <w:rFonts w:eastAsia="Times New Roman"/>
          <w:sz w:val="24"/>
          <w:szCs w:val="24"/>
          <w:lang w:val="en-US"/>
        </w:rPr>
        <w:t>, E</w:t>
      </w:r>
      <w:r w:rsidR="003E7E96" w:rsidRPr="00CD0D03">
        <w:rPr>
          <w:rFonts w:eastAsia="Times New Roman"/>
          <w:sz w:val="24"/>
          <w:szCs w:val="24"/>
          <w:lang w:val="en-US"/>
        </w:rPr>
        <w:t>miliano</w:t>
      </w:r>
      <w:r w:rsidRPr="00CD0D03">
        <w:rPr>
          <w:rFonts w:eastAsia="Times New Roman"/>
          <w:sz w:val="24"/>
          <w:szCs w:val="24"/>
          <w:lang w:val="en-US"/>
        </w:rPr>
        <w:t xml:space="preserve"> Albanese</w:t>
      </w:r>
      <w:r w:rsidR="00795F0D" w:rsidRPr="00CD0D03">
        <w:rPr>
          <w:rFonts w:eastAsia="Times New Roman"/>
          <w:sz w:val="24"/>
          <w:szCs w:val="24"/>
          <w:vertAlign w:val="superscript"/>
          <w:lang w:val="en-US"/>
        </w:rPr>
        <w:t>16</w:t>
      </w:r>
      <w:r w:rsidRPr="00CD0D03">
        <w:rPr>
          <w:rFonts w:eastAsia="Times New Roman"/>
          <w:sz w:val="24"/>
          <w:szCs w:val="24"/>
          <w:lang w:val="en-US"/>
        </w:rPr>
        <w:t xml:space="preserve">, </w:t>
      </w:r>
      <w:r w:rsidR="000A3224">
        <w:rPr>
          <w:rFonts w:eastAsia="Times New Roman"/>
          <w:color w:val="000000"/>
          <w:sz w:val="24"/>
          <w:szCs w:val="24"/>
          <w:lang w:val="en-US"/>
        </w:rPr>
        <w:t>for</w:t>
      </w:r>
      <w:r w:rsidRPr="00CD0D03">
        <w:rPr>
          <w:rFonts w:eastAsia="Times New Roman"/>
          <w:color w:val="000000"/>
          <w:sz w:val="24"/>
          <w:szCs w:val="24"/>
          <w:lang w:val="en-US"/>
        </w:rPr>
        <w:t xml:space="preserve"> the Geneva Task Force for </w:t>
      </w:r>
      <w:r w:rsidRPr="00236D52">
        <w:rPr>
          <w:rFonts w:eastAsia="Times New Roman"/>
          <w:color w:val="000000"/>
          <w:sz w:val="24"/>
          <w:szCs w:val="24"/>
          <w:lang w:val="en-US"/>
        </w:rPr>
        <w:t>the Roadmap of Alzheimer’s Biomarkers</w:t>
      </w:r>
      <w:r w:rsidR="00795F0D" w:rsidRPr="00236D52">
        <w:rPr>
          <w:rFonts w:eastAsia="Times New Roman"/>
          <w:sz w:val="24"/>
          <w:szCs w:val="24"/>
          <w:vertAlign w:val="superscript"/>
          <w:lang w:val="en-US"/>
        </w:rPr>
        <w:t>1</w:t>
      </w:r>
      <w:r w:rsidR="000A3224">
        <w:rPr>
          <w:rFonts w:eastAsia="Times New Roman"/>
          <w:sz w:val="24"/>
          <w:szCs w:val="24"/>
          <w:vertAlign w:val="superscript"/>
          <w:lang w:val="en-US"/>
        </w:rPr>
        <w:t>7</w:t>
      </w:r>
    </w:p>
    <w:p w14:paraId="0ACAF9EA" w14:textId="77777777" w:rsidR="006D24C5" w:rsidRDefault="00AB11BA" w:rsidP="00855ED0">
      <w:pPr>
        <w:spacing w:line="360" w:lineRule="auto"/>
        <w:rPr>
          <w:sz w:val="24"/>
          <w:szCs w:val="24"/>
          <w:lang w:val="en-US"/>
        </w:rPr>
      </w:pPr>
      <w:r w:rsidRPr="00236D52">
        <w:rPr>
          <w:rFonts w:eastAsia="Times New Roman" w:cs="Times New Roman"/>
          <w:sz w:val="24"/>
          <w:szCs w:val="24"/>
          <w:vertAlign w:val="superscript"/>
          <w:lang w:val="en-US" w:eastAsia="it-IT"/>
        </w:rPr>
        <w:t>1</w:t>
      </w:r>
      <w:r w:rsidRPr="00236D52">
        <w:rPr>
          <w:sz w:val="24"/>
          <w:szCs w:val="24"/>
          <w:lang w:val="en-US"/>
        </w:rPr>
        <w:t>LANVIE – Laboratory of Neuroimaging of Aging, University of Geneva, Geneva, Switzerland</w:t>
      </w:r>
    </w:p>
    <w:p w14:paraId="27E242A0" w14:textId="77777777" w:rsidR="005070A4" w:rsidRDefault="005070A4" w:rsidP="00855ED0">
      <w:pPr>
        <w:spacing w:line="360" w:lineRule="auto"/>
        <w:rPr>
          <w:sz w:val="24"/>
          <w:szCs w:val="24"/>
          <w:lang w:val="en-US"/>
        </w:rPr>
      </w:pPr>
      <w:r w:rsidRPr="00236D52">
        <w:rPr>
          <w:rFonts w:eastAsia="Times New Roman" w:cs="Times New Roman"/>
          <w:sz w:val="24"/>
          <w:szCs w:val="24"/>
          <w:vertAlign w:val="superscript"/>
          <w:lang w:val="en-US" w:eastAsia="it-IT"/>
        </w:rPr>
        <w:t>2</w:t>
      </w:r>
      <w:r>
        <w:rPr>
          <w:sz w:val="24"/>
          <w:szCs w:val="24"/>
          <w:lang w:val="en-US"/>
        </w:rPr>
        <w:t xml:space="preserve">Laboratory of Neuroimaging and Alzheimer Epidemiology, IRCCS </w:t>
      </w:r>
      <w:proofErr w:type="gramStart"/>
      <w:r>
        <w:rPr>
          <w:sz w:val="24"/>
          <w:szCs w:val="24"/>
          <w:lang w:val="en-US"/>
        </w:rPr>
        <w:t>S.Giovanni</w:t>
      </w:r>
      <w:proofErr w:type="gramEnd"/>
      <w:r>
        <w:rPr>
          <w:sz w:val="24"/>
          <w:szCs w:val="24"/>
          <w:lang w:val="en-US"/>
        </w:rPr>
        <w:t xml:space="preserve"> di Dio-Fatebenefratelli</w:t>
      </w:r>
      <w:r w:rsidR="00C558AD">
        <w:rPr>
          <w:sz w:val="24"/>
          <w:szCs w:val="24"/>
          <w:lang w:val="en-US"/>
        </w:rPr>
        <w:t>, Brescia, Italy</w:t>
      </w:r>
    </w:p>
    <w:p w14:paraId="2E22CBF1" w14:textId="77777777" w:rsidR="006D24C5" w:rsidRPr="00236D52" w:rsidRDefault="005070A4" w:rsidP="00855ED0">
      <w:pPr>
        <w:spacing w:line="360" w:lineRule="auto"/>
        <w:rPr>
          <w:sz w:val="24"/>
          <w:szCs w:val="24"/>
          <w:lang w:val="en-US"/>
        </w:rPr>
      </w:pPr>
      <w:r>
        <w:rPr>
          <w:rFonts w:eastAsia="Times New Roman" w:cs="Times New Roman"/>
          <w:sz w:val="24"/>
          <w:szCs w:val="24"/>
          <w:vertAlign w:val="superscript"/>
          <w:lang w:val="en-US" w:eastAsia="it-IT"/>
        </w:rPr>
        <w:t>3</w:t>
      </w:r>
      <w:r w:rsidR="006D24C5" w:rsidRPr="00236D52">
        <w:rPr>
          <w:sz w:val="24"/>
          <w:szCs w:val="24"/>
          <w:lang w:val="en-US"/>
        </w:rPr>
        <w:t>Queen Mary, University of London, Barts and the London School of Medicine, Centre of Primary Care and Public Health</w:t>
      </w:r>
      <w:r w:rsidR="001F4FB0" w:rsidRPr="00236D52">
        <w:rPr>
          <w:sz w:val="24"/>
          <w:szCs w:val="24"/>
          <w:lang w:val="en-US"/>
        </w:rPr>
        <w:t>, Blizard Institute, London, UK</w:t>
      </w:r>
    </w:p>
    <w:p w14:paraId="07F6B1E6" w14:textId="77777777" w:rsidR="00AB11BA" w:rsidRPr="00236D52" w:rsidRDefault="005070A4" w:rsidP="00505DA6">
      <w:pPr>
        <w:spacing w:line="360" w:lineRule="auto"/>
        <w:outlineLvl w:val="0"/>
        <w:rPr>
          <w:sz w:val="24"/>
          <w:szCs w:val="24"/>
          <w:lang w:val="en-US"/>
        </w:rPr>
      </w:pPr>
      <w:r>
        <w:rPr>
          <w:rFonts w:eastAsia="Times New Roman" w:cs="Times New Roman"/>
          <w:sz w:val="24"/>
          <w:szCs w:val="24"/>
          <w:vertAlign w:val="superscript"/>
          <w:lang w:val="en-US" w:eastAsia="it-IT"/>
        </w:rPr>
        <w:t>4</w:t>
      </w:r>
      <w:r w:rsidR="006D24C5" w:rsidRPr="00236D52">
        <w:rPr>
          <w:sz w:val="24"/>
          <w:szCs w:val="24"/>
          <w:lang w:val="en-US"/>
        </w:rPr>
        <w:t>School of Public Health, Universi</w:t>
      </w:r>
      <w:r w:rsidR="001F4FB0" w:rsidRPr="00236D52">
        <w:rPr>
          <w:sz w:val="24"/>
          <w:szCs w:val="24"/>
          <w:lang w:val="en-US"/>
        </w:rPr>
        <w:t>ty of Alberta, Alberta, Canada</w:t>
      </w:r>
    </w:p>
    <w:p w14:paraId="1E1373C3" w14:textId="77777777" w:rsidR="006D24C5" w:rsidRPr="00236D52" w:rsidRDefault="005070A4" w:rsidP="00855ED0">
      <w:pPr>
        <w:spacing w:line="360" w:lineRule="auto"/>
        <w:rPr>
          <w:sz w:val="24"/>
          <w:szCs w:val="24"/>
          <w:lang w:val="en-US"/>
        </w:rPr>
      </w:pPr>
      <w:r>
        <w:rPr>
          <w:rFonts w:eastAsia="Times New Roman" w:cs="Times New Roman"/>
          <w:sz w:val="24"/>
          <w:szCs w:val="24"/>
          <w:vertAlign w:val="superscript"/>
          <w:lang w:val="en-US" w:eastAsia="it-IT"/>
        </w:rPr>
        <w:t>5</w:t>
      </w:r>
      <w:r w:rsidR="006D24C5" w:rsidRPr="00236D52">
        <w:rPr>
          <w:sz w:val="24"/>
          <w:szCs w:val="24"/>
          <w:lang w:val="en-US"/>
        </w:rPr>
        <w:t>Department of Epidemiology &amp; Cancer Control, St. Jude Children’s Rese</w:t>
      </w:r>
      <w:r w:rsidR="001F4FB0" w:rsidRPr="00236D52">
        <w:rPr>
          <w:sz w:val="24"/>
          <w:szCs w:val="24"/>
          <w:lang w:val="en-US"/>
        </w:rPr>
        <w:t>arch Hospital, Memphis, TN, USA</w:t>
      </w:r>
    </w:p>
    <w:p w14:paraId="6B4CC3F3" w14:textId="77777777" w:rsidR="006D24C5" w:rsidRPr="00CD0D03" w:rsidRDefault="005070A4" w:rsidP="00505DA6">
      <w:pPr>
        <w:spacing w:line="360" w:lineRule="auto"/>
        <w:outlineLvl w:val="0"/>
        <w:rPr>
          <w:sz w:val="24"/>
          <w:szCs w:val="24"/>
          <w:lang w:val="en-US"/>
        </w:rPr>
      </w:pPr>
      <w:r>
        <w:rPr>
          <w:rFonts w:eastAsia="Times New Roman" w:cs="Times New Roman"/>
          <w:sz w:val="24"/>
          <w:szCs w:val="24"/>
          <w:vertAlign w:val="superscript"/>
          <w:lang w:val="en-US" w:eastAsia="it-IT"/>
        </w:rPr>
        <w:t>6</w:t>
      </w:r>
      <w:r w:rsidR="006D24C5" w:rsidRPr="00236D52">
        <w:rPr>
          <w:sz w:val="24"/>
          <w:szCs w:val="24"/>
          <w:lang w:val="en-US"/>
        </w:rPr>
        <w:t>School of Public Hea</w:t>
      </w:r>
      <w:r w:rsidR="006D24C5" w:rsidRPr="00CD0D03">
        <w:rPr>
          <w:sz w:val="24"/>
          <w:szCs w:val="24"/>
          <w:lang w:val="en-US"/>
        </w:rPr>
        <w:t>lth, Impe</w:t>
      </w:r>
      <w:r w:rsidR="001F4FB0" w:rsidRPr="00CD0D03">
        <w:rPr>
          <w:sz w:val="24"/>
          <w:szCs w:val="24"/>
          <w:lang w:val="en-US"/>
        </w:rPr>
        <w:t>rial College London, London, UK</w:t>
      </w:r>
    </w:p>
    <w:p w14:paraId="7B061F62" w14:textId="77777777" w:rsidR="006D24C5" w:rsidRPr="00CD0D03" w:rsidRDefault="005070A4" w:rsidP="00855ED0">
      <w:pPr>
        <w:spacing w:line="360" w:lineRule="auto"/>
        <w:rPr>
          <w:sz w:val="24"/>
          <w:szCs w:val="24"/>
          <w:lang w:val="en-US"/>
        </w:rPr>
      </w:pPr>
      <w:r>
        <w:rPr>
          <w:rFonts w:eastAsia="Times New Roman" w:cs="Times New Roman"/>
          <w:sz w:val="24"/>
          <w:szCs w:val="24"/>
          <w:vertAlign w:val="superscript"/>
          <w:lang w:val="en-US" w:eastAsia="it-IT"/>
        </w:rPr>
        <w:t>7</w:t>
      </w:r>
      <w:r w:rsidR="006D24C5" w:rsidRPr="00CD0D03">
        <w:rPr>
          <w:sz w:val="24"/>
          <w:szCs w:val="24"/>
          <w:lang w:val="en-US"/>
        </w:rPr>
        <w:t>Neurology Unit, Dept. Clinical and Experimental Sciences</w:t>
      </w:r>
      <w:r w:rsidR="00AB11BA" w:rsidRPr="00CD0D03">
        <w:rPr>
          <w:sz w:val="24"/>
          <w:szCs w:val="24"/>
          <w:lang w:val="en-US"/>
        </w:rPr>
        <w:t xml:space="preserve">, </w:t>
      </w:r>
      <w:r w:rsidR="006D24C5" w:rsidRPr="00CD0D03">
        <w:rPr>
          <w:sz w:val="24"/>
          <w:szCs w:val="24"/>
          <w:lang w:val="en-US"/>
        </w:rPr>
        <w:t>Universi</w:t>
      </w:r>
      <w:r w:rsidR="001F4FB0" w:rsidRPr="00CD0D03">
        <w:rPr>
          <w:sz w:val="24"/>
          <w:szCs w:val="24"/>
          <w:lang w:val="en-US"/>
        </w:rPr>
        <w:t>ty Health and Wealth of Brescia</w:t>
      </w:r>
    </w:p>
    <w:p w14:paraId="34EEF833" w14:textId="77777777" w:rsidR="00AB11BA" w:rsidRPr="00CD0D03" w:rsidRDefault="005070A4" w:rsidP="00855ED0">
      <w:pPr>
        <w:spacing w:line="360" w:lineRule="auto"/>
        <w:rPr>
          <w:sz w:val="24"/>
          <w:szCs w:val="24"/>
          <w:lang w:val="en-US"/>
        </w:rPr>
      </w:pPr>
      <w:r>
        <w:rPr>
          <w:rFonts w:eastAsia="Times New Roman" w:cs="Times New Roman"/>
          <w:sz w:val="24"/>
          <w:szCs w:val="24"/>
          <w:vertAlign w:val="superscript"/>
          <w:lang w:val="en-US" w:eastAsia="it-IT"/>
        </w:rPr>
        <w:t>8</w:t>
      </w:r>
      <w:r w:rsidR="006D24C5" w:rsidRPr="00CD0D03">
        <w:rPr>
          <w:sz w:val="24"/>
          <w:szCs w:val="24"/>
          <w:lang w:val="en-US"/>
        </w:rPr>
        <w:t>Gerontechnology &amp; Rehabilitation Group, Univers</w:t>
      </w:r>
      <w:r w:rsidR="00DC5C0D" w:rsidRPr="00CD0D03">
        <w:rPr>
          <w:sz w:val="24"/>
          <w:szCs w:val="24"/>
          <w:lang w:val="en-US"/>
        </w:rPr>
        <w:t>ity of Bern, Bern, Switzerland</w:t>
      </w:r>
    </w:p>
    <w:p w14:paraId="4EB49145" w14:textId="77777777" w:rsidR="006D24C5" w:rsidRPr="00CD0D03" w:rsidRDefault="005070A4" w:rsidP="00855ED0">
      <w:pPr>
        <w:spacing w:line="360" w:lineRule="auto"/>
        <w:rPr>
          <w:sz w:val="24"/>
          <w:szCs w:val="24"/>
          <w:lang w:val="en-US"/>
        </w:rPr>
      </w:pPr>
      <w:r>
        <w:rPr>
          <w:rFonts w:eastAsia="Times New Roman" w:cs="Times New Roman"/>
          <w:sz w:val="24"/>
          <w:szCs w:val="24"/>
          <w:vertAlign w:val="superscript"/>
          <w:lang w:val="en-US" w:eastAsia="it-IT"/>
        </w:rPr>
        <w:t>9</w:t>
      </w:r>
      <w:r w:rsidR="006D24C5" w:rsidRPr="00CD0D03">
        <w:rPr>
          <w:sz w:val="24"/>
          <w:szCs w:val="24"/>
          <w:lang w:val="en-US"/>
        </w:rPr>
        <w:t>University Hospital of Old Age Psychiatry and Psychotherapy, Univers</w:t>
      </w:r>
      <w:r w:rsidR="001F4FB0" w:rsidRPr="00CD0D03">
        <w:rPr>
          <w:sz w:val="24"/>
          <w:szCs w:val="24"/>
          <w:lang w:val="en-US"/>
        </w:rPr>
        <w:t>ity of Bern, Bern, Switzerland</w:t>
      </w:r>
    </w:p>
    <w:p w14:paraId="0035EE9E" w14:textId="77777777" w:rsidR="006D24C5" w:rsidRPr="00CD0D03" w:rsidRDefault="005070A4" w:rsidP="00855ED0">
      <w:pPr>
        <w:spacing w:line="360" w:lineRule="auto"/>
        <w:rPr>
          <w:sz w:val="24"/>
          <w:szCs w:val="24"/>
          <w:lang w:val="en-US"/>
        </w:rPr>
      </w:pPr>
      <w:r>
        <w:rPr>
          <w:rFonts w:eastAsia="Times New Roman" w:cs="Times New Roman"/>
          <w:sz w:val="24"/>
          <w:szCs w:val="24"/>
          <w:vertAlign w:val="superscript"/>
          <w:lang w:val="en-US" w:eastAsia="it-IT"/>
        </w:rPr>
        <w:t>10</w:t>
      </w:r>
      <w:r w:rsidR="006D24C5" w:rsidRPr="00CD0D03">
        <w:rPr>
          <w:sz w:val="24"/>
          <w:szCs w:val="24"/>
          <w:lang w:val="en-US"/>
        </w:rPr>
        <w:t xml:space="preserve">Department of </w:t>
      </w:r>
      <w:r w:rsidR="00BE78BA">
        <w:rPr>
          <w:sz w:val="24"/>
          <w:szCs w:val="24"/>
          <w:lang w:val="en-US"/>
        </w:rPr>
        <w:t>Psychiatry</w:t>
      </w:r>
      <w:r w:rsidR="00BE78BA" w:rsidRPr="00CD0D03">
        <w:rPr>
          <w:sz w:val="24"/>
          <w:szCs w:val="24"/>
          <w:lang w:val="en-US"/>
        </w:rPr>
        <w:t xml:space="preserve">, </w:t>
      </w:r>
      <w:r w:rsidR="00BE78BA">
        <w:rPr>
          <w:sz w:val="24"/>
          <w:szCs w:val="24"/>
          <w:lang w:val="en-US"/>
        </w:rPr>
        <w:t>Faculty of Medicine, University of Geneva</w:t>
      </w:r>
      <w:r>
        <w:rPr>
          <w:sz w:val="24"/>
          <w:szCs w:val="24"/>
          <w:lang w:val="en-US"/>
        </w:rPr>
        <w:t>,</w:t>
      </w:r>
      <w:r w:rsidR="001F4FB0" w:rsidRPr="00CD0D03">
        <w:rPr>
          <w:sz w:val="24"/>
          <w:szCs w:val="24"/>
          <w:lang w:val="en-US"/>
        </w:rPr>
        <w:t xml:space="preserve"> Geneva, Switzerland</w:t>
      </w:r>
    </w:p>
    <w:p w14:paraId="300FE21D" w14:textId="77777777" w:rsidR="006D24C5" w:rsidRPr="00CD0D03" w:rsidRDefault="00AB11BA" w:rsidP="00855ED0">
      <w:pPr>
        <w:spacing w:line="360" w:lineRule="auto"/>
        <w:rPr>
          <w:sz w:val="24"/>
          <w:szCs w:val="24"/>
          <w:lang w:val="en-US"/>
        </w:rPr>
      </w:pPr>
      <w:r w:rsidRPr="00CD0D03">
        <w:rPr>
          <w:rFonts w:eastAsia="Times New Roman" w:cs="Times New Roman"/>
          <w:sz w:val="24"/>
          <w:szCs w:val="24"/>
          <w:vertAlign w:val="superscript"/>
          <w:lang w:val="en-US" w:eastAsia="it-IT"/>
        </w:rPr>
        <w:t>1</w:t>
      </w:r>
      <w:r w:rsidR="005070A4">
        <w:rPr>
          <w:rFonts w:eastAsia="Times New Roman" w:cs="Times New Roman"/>
          <w:sz w:val="24"/>
          <w:szCs w:val="24"/>
          <w:vertAlign w:val="superscript"/>
          <w:lang w:val="en-US" w:eastAsia="it-IT"/>
        </w:rPr>
        <w:t>1</w:t>
      </w:r>
      <w:r w:rsidR="006D24C5" w:rsidRPr="00CD0D03">
        <w:rPr>
          <w:sz w:val="24"/>
          <w:szCs w:val="24"/>
          <w:lang w:val="en-US"/>
        </w:rPr>
        <w:t>Department of Internal Medicine, Rehabilitation and Geriatrics, University Hospitals and University of Geneva, 3 chemin du Pont-Bochet, 1226, Thônex, Switzerland</w:t>
      </w:r>
    </w:p>
    <w:p w14:paraId="6C624DA6" w14:textId="77777777" w:rsidR="006D24C5" w:rsidRPr="00CD0D03" w:rsidRDefault="00795F0D" w:rsidP="00855ED0">
      <w:pPr>
        <w:spacing w:line="360" w:lineRule="auto"/>
        <w:rPr>
          <w:sz w:val="24"/>
          <w:szCs w:val="24"/>
          <w:lang w:val="en-US"/>
        </w:rPr>
      </w:pPr>
      <w:r w:rsidRPr="00CD0D03">
        <w:rPr>
          <w:rFonts w:eastAsia="Times New Roman" w:cs="Times New Roman"/>
          <w:sz w:val="24"/>
          <w:szCs w:val="24"/>
          <w:vertAlign w:val="superscript"/>
          <w:lang w:val="en-US" w:eastAsia="it-IT"/>
        </w:rPr>
        <w:t>1</w:t>
      </w:r>
      <w:r w:rsidR="005070A4">
        <w:rPr>
          <w:rFonts w:eastAsia="Times New Roman" w:cs="Times New Roman"/>
          <w:sz w:val="24"/>
          <w:szCs w:val="24"/>
          <w:vertAlign w:val="superscript"/>
          <w:lang w:val="en-US" w:eastAsia="it-IT"/>
        </w:rPr>
        <w:t>2</w:t>
      </w:r>
      <w:r w:rsidR="006D24C5" w:rsidRPr="00CD0D03">
        <w:rPr>
          <w:sz w:val="24"/>
          <w:szCs w:val="24"/>
          <w:lang w:val="en-US"/>
        </w:rPr>
        <w:t>Dementia Research Center and Department of Neurology; Salpêtrière University Hospital, Paris University, Paris, France</w:t>
      </w:r>
    </w:p>
    <w:p w14:paraId="1249BCBD" w14:textId="77777777" w:rsidR="006D24C5" w:rsidRPr="00CD0D03" w:rsidRDefault="00795F0D" w:rsidP="00505DA6">
      <w:pPr>
        <w:spacing w:line="360" w:lineRule="auto"/>
        <w:outlineLvl w:val="0"/>
        <w:rPr>
          <w:sz w:val="24"/>
          <w:szCs w:val="24"/>
          <w:lang w:val="en-US"/>
        </w:rPr>
      </w:pPr>
      <w:r w:rsidRPr="00CD0D03">
        <w:rPr>
          <w:rFonts w:eastAsia="Times New Roman" w:cs="Times New Roman"/>
          <w:sz w:val="24"/>
          <w:szCs w:val="24"/>
          <w:vertAlign w:val="superscript"/>
          <w:lang w:val="en-US" w:eastAsia="it-IT"/>
        </w:rPr>
        <w:t>1</w:t>
      </w:r>
      <w:r w:rsidR="005070A4">
        <w:rPr>
          <w:rFonts w:eastAsia="Times New Roman" w:cs="Times New Roman"/>
          <w:sz w:val="24"/>
          <w:szCs w:val="24"/>
          <w:vertAlign w:val="superscript"/>
          <w:lang w:val="en-US" w:eastAsia="it-IT"/>
        </w:rPr>
        <w:t>3</w:t>
      </w:r>
      <w:r w:rsidR="006D24C5" w:rsidRPr="00CD0D03">
        <w:rPr>
          <w:sz w:val="24"/>
          <w:szCs w:val="24"/>
          <w:lang w:val="en-US"/>
        </w:rPr>
        <w:t>Department of Radiology, Mayo Clinic, Rochester, MN, USA</w:t>
      </w:r>
    </w:p>
    <w:p w14:paraId="31DA53A3" w14:textId="77777777" w:rsidR="006D24C5" w:rsidRPr="00CD0D03" w:rsidRDefault="00795F0D" w:rsidP="00855ED0">
      <w:pPr>
        <w:spacing w:line="360" w:lineRule="auto"/>
        <w:rPr>
          <w:sz w:val="24"/>
          <w:szCs w:val="24"/>
          <w:lang w:val="en-US"/>
        </w:rPr>
      </w:pPr>
      <w:r w:rsidRPr="00CD0D03">
        <w:rPr>
          <w:rFonts w:eastAsia="Times New Roman" w:cs="Times New Roman"/>
          <w:sz w:val="24"/>
          <w:szCs w:val="24"/>
          <w:vertAlign w:val="superscript"/>
          <w:lang w:val="en-US" w:eastAsia="it-IT"/>
        </w:rPr>
        <w:lastRenderedPageBreak/>
        <w:t>1</w:t>
      </w:r>
      <w:r w:rsidR="005070A4">
        <w:rPr>
          <w:rFonts w:eastAsia="Times New Roman" w:cs="Times New Roman"/>
          <w:sz w:val="24"/>
          <w:szCs w:val="24"/>
          <w:vertAlign w:val="superscript"/>
          <w:lang w:val="en-US" w:eastAsia="it-IT"/>
        </w:rPr>
        <w:t>4</w:t>
      </w:r>
      <w:r w:rsidR="006D24C5" w:rsidRPr="00CD0D03">
        <w:rPr>
          <w:sz w:val="24"/>
          <w:szCs w:val="24"/>
          <w:lang w:val="en-US"/>
        </w:rPr>
        <w:t>Karolinska Institutet, Dept NVS, Center for Alzheimer Research, Div of Neurogeriatrics, Huddinge, Sweden</w:t>
      </w:r>
    </w:p>
    <w:p w14:paraId="1FC757CD" w14:textId="77777777" w:rsidR="00795F0D" w:rsidRPr="00CD0D03" w:rsidRDefault="00795F0D" w:rsidP="00855ED0">
      <w:pPr>
        <w:spacing w:line="360" w:lineRule="auto"/>
        <w:rPr>
          <w:sz w:val="24"/>
          <w:szCs w:val="24"/>
          <w:lang w:val="en-US"/>
        </w:rPr>
      </w:pPr>
      <w:r w:rsidRPr="00CD0D03">
        <w:rPr>
          <w:rFonts w:eastAsia="Times New Roman" w:cs="Times New Roman"/>
          <w:sz w:val="24"/>
          <w:szCs w:val="24"/>
          <w:vertAlign w:val="superscript"/>
          <w:lang w:val="en-US" w:eastAsia="it-IT"/>
        </w:rPr>
        <w:t>1</w:t>
      </w:r>
      <w:r w:rsidR="00BA0AA2">
        <w:rPr>
          <w:rFonts w:eastAsia="Times New Roman" w:cs="Times New Roman"/>
          <w:sz w:val="24"/>
          <w:szCs w:val="24"/>
          <w:vertAlign w:val="superscript"/>
          <w:lang w:val="en-US" w:eastAsia="it-IT"/>
        </w:rPr>
        <w:t>5</w:t>
      </w:r>
      <w:r w:rsidR="006D24C5" w:rsidRPr="00CD0D03">
        <w:rPr>
          <w:sz w:val="24"/>
          <w:szCs w:val="24"/>
          <w:lang w:val="en-US"/>
        </w:rPr>
        <w:t>Memory Clinic, University Hospitals and Uni</w:t>
      </w:r>
      <w:r w:rsidR="001F4FB0" w:rsidRPr="00CD0D03">
        <w:rPr>
          <w:sz w:val="24"/>
          <w:szCs w:val="24"/>
          <w:lang w:val="en-US"/>
        </w:rPr>
        <w:t>versity of Geneva, Switzerland</w:t>
      </w:r>
    </w:p>
    <w:p w14:paraId="3D80272B" w14:textId="77777777" w:rsidR="006D24C5" w:rsidRPr="00CD0D03" w:rsidRDefault="00795F0D" w:rsidP="00855ED0">
      <w:pPr>
        <w:spacing w:line="360" w:lineRule="auto"/>
        <w:rPr>
          <w:sz w:val="24"/>
          <w:szCs w:val="24"/>
          <w:lang w:val="en-US"/>
        </w:rPr>
      </w:pPr>
      <w:r w:rsidRPr="00CD0D03">
        <w:rPr>
          <w:rFonts w:eastAsia="Times New Roman" w:cs="Times New Roman"/>
          <w:sz w:val="24"/>
          <w:szCs w:val="24"/>
          <w:vertAlign w:val="superscript"/>
          <w:lang w:val="en-US" w:eastAsia="it-IT"/>
        </w:rPr>
        <w:t>16</w:t>
      </w:r>
      <w:r w:rsidR="006D24C5" w:rsidRPr="00CD0D03">
        <w:rPr>
          <w:sz w:val="24"/>
          <w:szCs w:val="24"/>
          <w:lang w:val="en-US"/>
        </w:rPr>
        <w:t>Department of Psychiatry, WHO Collaborating Centre, University of Geneva, Switzerland</w:t>
      </w:r>
    </w:p>
    <w:p w14:paraId="786B7256" w14:textId="77777777" w:rsidR="006D24C5" w:rsidRPr="00CD0D03" w:rsidRDefault="00795F0D" w:rsidP="00855ED0">
      <w:pPr>
        <w:spacing w:line="360" w:lineRule="auto"/>
        <w:rPr>
          <w:sz w:val="24"/>
          <w:szCs w:val="24"/>
          <w:lang w:val="en-US"/>
        </w:rPr>
      </w:pPr>
      <w:r w:rsidRPr="00CD0D03">
        <w:rPr>
          <w:rFonts w:eastAsia="Times New Roman" w:cs="Times New Roman"/>
          <w:sz w:val="24"/>
          <w:szCs w:val="24"/>
          <w:vertAlign w:val="superscript"/>
          <w:lang w:val="en-US" w:eastAsia="it-IT"/>
        </w:rPr>
        <w:t>17</w:t>
      </w:r>
      <w:r w:rsidR="006D24C5" w:rsidRPr="00CD0D03">
        <w:rPr>
          <w:sz w:val="24"/>
          <w:szCs w:val="24"/>
          <w:lang w:val="en-US"/>
        </w:rPr>
        <w:t xml:space="preserve">http://centroalzheimer.it/public/MB/BM-Roadmap/The_Geneva_AD_Biomarker_Roadmap_Task_Force.docx </w:t>
      </w:r>
    </w:p>
    <w:p w14:paraId="4D0E45A7" w14:textId="77777777" w:rsidR="006D24C5" w:rsidRPr="00CD0D03" w:rsidRDefault="006D24C5" w:rsidP="00A83B7C">
      <w:pPr>
        <w:spacing w:line="480" w:lineRule="auto"/>
        <w:rPr>
          <w:sz w:val="24"/>
          <w:szCs w:val="24"/>
          <w:lang w:val="en-US"/>
        </w:rPr>
      </w:pPr>
    </w:p>
    <w:p w14:paraId="3792ED9D" w14:textId="77777777" w:rsidR="003E7E96" w:rsidRPr="00CD0D03" w:rsidRDefault="003E7E96" w:rsidP="00505DA6">
      <w:pPr>
        <w:spacing w:line="480" w:lineRule="auto"/>
        <w:outlineLvl w:val="0"/>
        <w:rPr>
          <w:sz w:val="24"/>
          <w:szCs w:val="24"/>
          <w:lang w:val="en-US"/>
        </w:rPr>
      </w:pPr>
      <w:r w:rsidRPr="00CD0D03">
        <w:rPr>
          <w:sz w:val="24"/>
          <w:szCs w:val="24"/>
          <w:lang w:val="en-US"/>
        </w:rPr>
        <w:t>Abstract</w:t>
      </w:r>
    </w:p>
    <w:p w14:paraId="1AB260A0" w14:textId="77777777" w:rsidR="0004045A" w:rsidRPr="00CD0D03" w:rsidRDefault="001D391F" w:rsidP="00A83B7C">
      <w:pPr>
        <w:spacing w:line="480" w:lineRule="auto"/>
        <w:rPr>
          <w:sz w:val="24"/>
          <w:szCs w:val="24"/>
          <w:lang w:val="en-US"/>
        </w:rPr>
      </w:pPr>
      <w:r w:rsidRPr="00CD0D03">
        <w:rPr>
          <w:sz w:val="24"/>
          <w:szCs w:val="24"/>
          <w:lang w:val="en-US"/>
        </w:rPr>
        <w:t xml:space="preserve">Biomarkers for the diagnosis of Alzheimer’s disease (AD) are not </w:t>
      </w:r>
      <w:r w:rsidR="0004045A" w:rsidRPr="00CD0D03">
        <w:rPr>
          <w:sz w:val="24"/>
          <w:szCs w:val="24"/>
          <w:lang w:val="en-US"/>
        </w:rPr>
        <w:t xml:space="preserve">yet </w:t>
      </w:r>
      <w:r w:rsidRPr="00CD0D03">
        <w:rPr>
          <w:sz w:val="24"/>
          <w:szCs w:val="24"/>
          <w:lang w:val="en-US"/>
        </w:rPr>
        <w:t>validated for use in clinical settings. We aim</w:t>
      </w:r>
      <w:r w:rsidR="006728B5" w:rsidRPr="00CD0D03">
        <w:rPr>
          <w:sz w:val="24"/>
          <w:szCs w:val="24"/>
          <w:lang w:val="en-US"/>
        </w:rPr>
        <w:t xml:space="preserve"> to provide a methodological framework for the</w:t>
      </w:r>
      <w:r w:rsidR="00620584" w:rsidRPr="00CD0D03">
        <w:rPr>
          <w:sz w:val="24"/>
          <w:szCs w:val="24"/>
          <w:lang w:val="en-US"/>
        </w:rPr>
        <w:t>ir</w:t>
      </w:r>
      <w:r w:rsidR="006728B5" w:rsidRPr="00CD0D03">
        <w:rPr>
          <w:sz w:val="24"/>
          <w:szCs w:val="24"/>
          <w:lang w:val="en-US"/>
        </w:rPr>
        <w:t xml:space="preserve"> systematic validation</w:t>
      </w:r>
      <w:r w:rsidRPr="00CD0D03">
        <w:rPr>
          <w:sz w:val="24"/>
          <w:szCs w:val="24"/>
          <w:lang w:val="en-US"/>
        </w:rPr>
        <w:t xml:space="preserve">, </w:t>
      </w:r>
      <w:r w:rsidR="00FC2680">
        <w:rPr>
          <w:sz w:val="24"/>
          <w:szCs w:val="24"/>
          <w:lang w:val="en-US"/>
        </w:rPr>
        <w:t>by reference to that developed</w:t>
      </w:r>
      <w:r w:rsidR="00FC2680" w:rsidRPr="00CD0D03">
        <w:rPr>
          <w:sz w:val="24"/>
          <w:szCs w:val="24"/>
          <w:lang w:val="en-US"/>
        </w:rPr>
        <w:t xml:space="preserve"> </w:t>
      </w:r>
      <w:r w:rsidRPr="00CD0D03">
        <w:rPr>
          <w:sz w:val="24"/>
          <w:szCs w:val="24"/>
          <w:lang w:val="en-US"/>
        </w:rPr>
        <w:t xml:space="preserve">for oncology biomarkers. </w:t>
      </w:r>
      <w:r w:rsidR="00FC2680">
        <w:rPr>
          <w:sz w:val="24"/>
          <w:szCs w:val="24"/>
          <w:lang w:val="en-US"/>
        </w:rPr>
        <w:t>As for this discipline</w:t>
      </w:r>
      <w:r w:rsidR="0004045A" w:rsidRPr="00CD0D03">
        <w:rPr>
          <w:sz w:val="24"/>
          <w:szCs w:val="24"/>
          <w:lang w:val="en-US"/>
        </w:rPr>
        <w:t>, the steps for the systematic validation of AD biomarkers need to target analytical validity, clinical validity and clinical utility. However, the premises are different from oncology: the nature of disease (neurodegeneration</w:t>
      </w:r>
      <w:r w:rsidR="008F04C0" w:rsidRPr="00CD0D03">
        <w:rPr>
          <w:sz w:val="24"/>
          <w:szCs w:val="24"/>
          <w:lang w:val="en-US"/>
        </w:rPr>
        <w:t xml:space="preserve"> </w:t>
      </w:r>
      <w:r w:rsidR="005070A4" w:rsidRPr="005070A4">
        <w:rPr>
          <w:i/>
          <w:sz w:val="24"/>
          <w:szCs w:val="24"/>
          <w:lang w:val="en-US"/>
        </w:rPr>
        <w:t>versus</w:t>
      </w:r>
      <w:r w:rsidR="008F04C0" w:rsidRPr="00CD0D03">
        <w:rPr>
          <w:sz w:val="24"/>
          <w:szCs w:val="24"/>
          <w:lang w:val="en-US"/>
        </w:rPr>
        <w:t xml:space="preserve"> cancer</w:t>
      </w:r>
      <w:r w:rsidR="0004045A" w:rsidRPr="00CD0D03">
        <w:rPr>
          <w:sz w:val="24"/>
          <w:szCs w:val="24"/>
          <w:lang w:val="en-US"/>
        </w:rPr>
        <w:t xml:space="preserve">), the purpose (improve diagnosis in clinically affected </w:t>
      </w:r>
      <w:r w:rsidR="005070A4" w:rsidRPr="005070A4">
        <w:rPr>
          <w:i/>
          <w:sz w:val="24"/>
          <w:szCs w:val="24"/>
          <w:lang w:val="en-US"/>
        </w:rPr>
        <w:t>versus</w:t>
      </w:r>
      <w:r w:rsidR="005070A4" w:rsidRPr="00CD0D03">
        <w:rPr>
          <w:sz w:val="24"/>
          <w:szCs w:val="24"/>
          <w:lang w:val="en-US"/>
        </w:rPr>
        <w:t xml:space="preserve"> </w:t>
      </w:r>
      <w:r w:rsidR="008F04C0" w:rsidRPr="00CD0D03">
        <w:rPr>
          <w:sz w:val="24"/>
          <w:szCs w:val="24"/>
          <w:lang w:val="en-US"/>
        </w:rPr>
        <w:t xml:space="preserve">screening </w:t>
      </w:r>
      <w:r w:rsidR="007467DB" w:rsidRPr="00CD0D03">
        <w:rPr>
          <w:sz w:val="24"/>
          <w:szCs w:val="24"/>
          <w:lang w:val="en-US"/>
        </w:rPr>
        <w:t>preclinical</w:t>
      </w:r>
      <w:r w:rsidR="008F04C0" w:rsidRPr="00CD0D03">
        <w:rPr>
          <w:sz w:val="24"/>
          <w:szCs w:val="24"/>
          <w:lang w:val="en-US"/>
        </w:rPr>
        <w:t xml:space="preserve"> individuals</w:t>
      </w:r>
      <w:r w:rsidR="0004045A" w:rsidRPr="00CD0D03">
        <w:rPr>
          <w:sz w:val="24"/>
          <w:szCs w:val="24"/>
          <w:lang w:val="en-US"/>
        </w:rPr>
        <w:t xml:space="preserve">) and the target population (mild cognitive impairment </w:t>
      </w:r>
      <w:r w:rsidR="00AC33B8" w:rsidRPr="00CD0D03">
        <w:rPr>
          <w:sz w:val="24"/>
          <w:szCs w:val="24"/>
          <w:lang w:val="en-US"/>
        </w:rPr>
        <w:t>patients referring to memory clinics</w:t>
      </w:r>
      <w:r w:rsidR="008F04C0" w:rsidRPr="00CD0D03">
        <w:rPr>
          <w:sz w:val="24"/>
          <w:szCs w:val="24"/>
          <w:lang w:val="en-US"/>
        </w:rPr>
        <w:t xml:space="preserve"> </w:t>
      </w:r>
      <w:r w:rsidR="005070A4" w:rsidRPr="005070A4">
        <w:rPr>
          <w:i/>
          <w:sz w:val="24"/>
          <w:szCs w:val="24"/>
          <w:lang w:val="en-US"/>
        </w:rPr>
        <w:t>versus</w:t>
      </w:r>
      <w:r w:rsidR="005070A4" w:rsidRPr="00CD0D03">
        <w:rPr>
          <w:sz w:val="24"/>
          <w:szCs w:val="24"/>
          <w:lang w:val="en-US"/>
        </w:rPr>
        <w:t xml:space="preserve"> </w:t>
      </w:r>
      <w:r w:rsidR="008F04C0" w:rsidRPr="00CD0D03">
        <w:rPr>
          <w:sz w:val="24"/>
          <w:szCs w:val="24"/>
          <w:lang w:val="en-US"/>
        </w:rPr>
        <w:t>general population</w:t>
      </w:r>
      <w:r w:rsidR="0004045A" w:rsidRPr="00CD0D03">
        <w:rPr>
          <w:sz w:val="24"/>
          <w:szCs w:val="24"/>
          <w:lang w:val="en-US"/>
        </w:rPr>
        <w:t xml:space="preserve">) lead to important differences, influencing both the design </w:t>
      </w:r>
      <w:r w:rsidR="00466F99">
        <w:rPr>
          <w:sz w:val="24"/>
          <w:szCs w:val="24"/>
          <w:lang w:val="en-US"/>
        </w:rPr>
        <w:t>of</w:t>
      </w:r>
      <w:r w:rsidR="00466F99" w:rsidRPr="00CD0D03">
        <w:rPr>
          <w:sz w:val="24"/>
          <w:szCs w:val="24"/>
          <w:lang w:val="en-US"/>
        </w:rPr>
        <w:t xml:space="preserve"> </w:t>
      </w:r>
      <w:r w:rsidR="0004045A" w:rsidRPr="00CD0D03">
        <w:rPr>
          <w:sz w:val="24"/>
          <w:szCs w:val="24"/>
          <w:lang w:val="en-US"/>
        </w:rPr>
        <w:t xml:space="preserve">validation studies and </w:t>
      </w:r>
      <w:r w:rsidR="00620584" w:rsidRPr="00CD0D03">
        <w:rPr>
          <w:sz w:val="24"/>
          <w:szCs w:val="24"/>
          <w:lang w:val="en-US"/>
        </w:rPr>
        <w:t xml:space="preserve">the </w:t>
      </w:r>
      <w:r w:rsidR="00550902">
        <w:rPr>
          <w:sz w:val="24"/>
          <w:szCs w:val="24"/>
          <w:lang w:val="en-US"/>
        </w:rPr>
        <w:t>use</w:t>
      </w:r>
      <w:r w:rsidR="00620584" w:rsidRPr="00CD0D03">
        <w:rPr>
          <w:sz w:val="24"/>
          <w:szCs w:val="24"/>
          <w:lang w:val="en-US"/>
        </w:rPr>
        <w:t xml:space="preserve"> of </w:t>
      </w:r>
      <w:r w:rsidR="00FC2680">
        <w:rPr>
          <w:sz w:val="24"/>
          <w:szCs w:val="24"/>
          <w:lang w:val="en-US"/>
        </w:rPr>
        <w:t xml:space="preserve">selected </w:t>
      </w:r>
      <w:r w:rsidR="00620584" w:rsidRPr="00CD0D03">
        <w:rPr>
          <w:sz w:val="24"/>
          <w:szCs w:val="24"/>
          <w:lang w:val="en-US"/>
        </w:rPr>
        <w:t>biomarkers</w:t>
      </w:r>
      <w:r w:rsidR="0004045A" w:rsidRPr="00CD0D03">
        <w:rPr>
          <w:sz w:val="24"/>
          <w:szCs w:val="24"/>
          <w:lang w:val="en-US"/>
        </w:rPr>
        <w:t xml:space="preserve">. </w:t>
      </w:r>
      <w:r w:rsidR="00620584" w:rsidRPr="00CD0D03">
        <w:rPr>
          <w:sz w:val="24"/>
          <w:szCs w:val="24"/>
          <w:lang w:val="en-US"/>
        </w:rPr>
        <w:t xml:space="preserve">This framework is </w:t>
      </w:r>
      <w:r w:rsidR="00550902">
        <w:rPr>
          <w:sz w:val="24"/>
          <w:szCs w:val="24"/>
          <w:lang w:val="en-US"/>
        </w:rPr>
        <w:t>applied</w:t>
      </w:r>
      <w:r w:rsidR="00550902" w:rsidRPr="00CD0D03">
        <w:rPr>
          <w:sz w:val="24"/>
          <w:szCs w:val="24"/>
          <w:lang w:val="en-US"/>
        </w:rPr>
        <w:t xml:space="preserve"> </w:t>
      </w:r>
      <w:r w:rsidR="00620584" w:rsidRPr="00CD0D03">
        <w:rPr>
          <w:sz w:val="24"/>
          <w:szCs w:val="24"/>
          <w:lang w:val="en-US"/>
        </w:rPr>
        <w:t xml:space="preserve">within a wider initiative to assess the </w:t>
      </w:r>
      <w:r w:rsidR="00550902">
        <w:rPr>
          <w:sz w:val="24"/>
          <w:szCs w:val="24"/>
          <w:lang w:val="en-US"/>
        </w:rPr>
        <w:t>current available evidence</w:t>
      </w:r>
      <w:r w:rsidR="00550902" w:rsidRPr="00CD0D03">
        <w:rPr>
          <w:sz w:val="24"/>
          <w:szCs w:val="24"/>
          <w:lang w:val="en-US"/>
        </w:rPr>
        <w:t xml:space="preserve"> </w:t>
      </w:r>
      <w:r w:rsidR="00550902">
        <w:rPr>
          <w:sz w:val="24"/>
          <w:szCs w:val="24"/>
          <w:lang w:val="en-US"/>
        </w:rPr>
        <w:t>on the</w:t>
      </w:r>
      <w:r w:rsidR="00620584" w:rsidRPr="00CD0D03">
        <w:rPr>
          <w:sz w:val="24"/>
          <w:szCs w:val="24"/>
          <w:lang w:val="en-US"/>
        </w:rPr>
        <w:t xml:space="preserve"> clinical validity of biomarkers for AD, </w:t>
      </w:r>
      <w:r w:rsidR="002657A3">
        <w:rPr>
          <w:sz w:val="24"/>
          <w:szCs w:val="24"/>
          <w:lang w:val="en-US"/>
        </w:rPr>
        <w:t>for the final aim</w:t>
      </w:r>
      <w:r w:rsidR="00620584" w:rsidRPr="00CD0D03">
        <w:rPr>
          <w:sz w:val="24"/>
          <w:szCs w:val="24"/>
          <w:lang w:val="en-US"/>
        </w:rPr>
        <w:t xml:space="preserve"> to identify </w:t>
      </w:r>
      <w:r w:rsidR="002657A3">
        <w:rPr>
          <w:sz w:val="24"/>
          <w:szCs w:val="24"/>
          <w:lang w:val="en-US"/>
        </w:rPr>
        <w:t>gaps</w:t>
      </w:r>
      <w:r w:rsidR="002657A3" w:rsidRPr="00CD0D03">
        <w:rPr>
          <w:sz w:val="24"/>
          <w:szCs w:val="24"/>
          <w:lang w:val="en-US"/>
        </w:rPr>
        <w:t xml:space="preserve"> </w:t>
      </w:r>
      <w:r w:rsidR="002657A3">
        <w:rPr>
          <w:sz w:val="24"/>
          <w:szCs w:val="24"/>
          <w:lang w:val="en-US"/>
        </w:rPr>
        <w:t xml:space="preserve">and </w:t>
      </w:r>
      <w:r w:rsidR="00620584" w:rsidRPr="00CD0D03">
        <w:rPr>
          <w:sz w:val="24"/>
          <w:szCs w:val="24"/>
          <w:lang w:val="en-US"/>
        </w:rPr>
        <w:t>research priorities</w:t>
      </w:r>
      <w:r w:rsidR="00550902">
        <w:rPr>
          <w:sz w:val="24"/>
          <w:szCs w:val="24"/>
          <w:lang w:val="en-US"/>
        </w:rPr>
        <w:t xml:space="preserve">, </w:t>
      </w:r>
      <w:r w:rsidR="00620584" w:rsidRPr="00CD0D03">
        <w:rPr>
          <w:sz w:val="24"/>
          <w:szCs w:val="24"/>
          <w:lang w:val="en-US"/>
        </w:rPr>
        <w:t>and</w:t>
      </w:r>
      <w:r w:rsidR="00550902">
        <w:rPr>
          <w:sz w:val="24"/>
          <w:szCs w:val="24"/>
          <w:lang w:val="en-US"/>
        </w:rPr>
        <w:t xml:space="preserve"> to</w:t>
      </w:r>
      <w:r w:rsidR="00620584" w:rsidRPr="00CD0D03">
        <w:rPr>
          <w:sz w:val="24"/>
          <w:szCs w:val="24"/>
          <w:lang w:val="en-US"/>
        </w:rPr>
        <w:t xml:space="preserve"> </w:t>
      </w:r>
      <w:r w:rsidR="00550902">
        <w:rPr>
          <w:sz w:val="24"/>
          <w:szCs w:val="24"/>
          <w:lang w:val="en-US"/>
        </w:rPr>
        <w:t>inform</w:t>
      </w:r>
      <w:r w:rsidR="00620584" w:rsidRPr="00CD0D03">
        <w:rPr>
          <w:sz w:val="24"/>
          <w:szCs w:val="24"/>
          <w:lang w:val="en-US"/>
        </w:rPr>
        <w:t xml:space="preserve"> coordinated </w:t>
      </w:r>
      <w:r w:rsidR="00550902">
        <w:rPr>
          <w:sz w:val="24"/>
          <w:szCs w:val="24"/>
          <w:lang w:val="en-US"/>
        </w:rPr>
        <w:t xml:space="preserve">research </w:t>
      </w:r>
      <w:r w:rsidR="00620584" w:rsidRPr="00CD0D03">
        <w:rPr>
          <w:sz w:val="24"/>
          <w:szCs w:val="24"/>
          <w:lang w:val="en-US"/>
        </w:rPr>
        <w:t xml:space="preserve">efforts </w:t>
      </w:r>
      <w:r w:rsidR="002657A3">
        <w:rPr>
          <w:sz w:val="24"/>
          <w:szCs w:val="24"/>
          <w:lang w:val="en-US"/>
        </w:rPr>
        <w:t>boosting</w:t>
      </w:r>
      <w:r w:rsidR="00550902">
        <w:rPr>
          <w:sz w:val="24"/>
          <w:szCs w:val="24"/>
          <w:lang w:val="en-US"/>
        </w:rPr>
        <w:t xml:space="preserve"> </w:t>
      </w:r>
      <w:r w:rsidR="00550902" w:rsidRPr="00CD0D03">
        <w:rPr>
          <w:sz w:val="24"/>
          <w:szCs w:val="24"/>
          <w:lang w:val="en-US"/>
        </w:rPr>
        <w:t>AD biomarkers</w:t>
      </w:r>
      <w:r w:rsidR="00550902">
        <w:rPr>
          <w:sz w:val="24"/>
          <w:szCs w:val="24"/>
          <w:lang w:val="en-US"/>
        </w:rPr>
        <w:t xml:space="preserve"> research.</w:t>
      </w:r>
    </w:p>
    <w:p w14:paraId="4831A3A1" w14:textId="77777777" w:rsidR="00805395" w:rsidRDefault="00805395" w:rsidP="00A83B7C">
      <w:pPr>
        <w:spacing w:after="0" w:line="480" w:lineRule="auto"/>
        <w:rPr>
          <w:sz w:val="24"/>
          <w:szCs w:val="24"/>
          <w:lang w:val="en-US"/>
        </w:rPr>
      </w:pPr>
    </w:p>
    <w:p w14:paraId="335F3899" w14:textId="77777777" w:rsidR="006728B5" w:rsidRDefault="00805395" w:rsidP="00A83B7C">
      <w:pPr>
        <w:spacing w:after="0" w:line="480" w:lineRule="auto"/>
        <w:rPr>
          <w:sz w:val="24"/>
          <w:szCs w:val="24"/>
          <w:lang w:val="en-US"/>
        </w:rPr>
      </w:pPr>
      <w:r>
        <w:rPr>
          <w:sz w:val="24"/>
          <w:szCs w:val="24"/>
          <w:lang w:val="en-US"/>
        </w:rPr>
        <w:t>Keywords: biomarkers, dementia, Alzheimer, early diagnosis, validation, methodology.</w:t>
      </w:r>
    </w:p>
    <w:p w14:paraId="670B08A4" w14:textId="77777777" w:rsidR="00855ED0" w:rsidRDefault="00855ED0">
      <w:pPr>
        <w:spacing w:after="0" w:line="240" w:lineRule="auto"/>
        <w:rPr>
          <w:sz w:val="24"/>
          <w:szCs w:val="24"/>
          <w:lang w:val="en-US"/>
        </w:rPr>
      </w:pPr>
      <w:r>
        <w:rPr>
          <w:sz w:val="24"/>
          <w:szCs w:val="24"/>
          <w:lang w:val="en-US"/>
        </w:rPr>
        <w:br w:type="page"/>
      </w:r>
    </w:p>
    <w:p w14:paraId="2D576B39" w14:textId="77777777" w:rsidR="00805395" w:rsidRPr="00CD0D03" w:rsidRDefault="00805395" w:rsidP="00A83B7C">
      <w:pPr>
        <w:spacing w:after="0" w:line="480" w:lineRule="auto"/>
        <w:rPr>
          <w:sz w:val="24"/>
          <w:szCs w:val="24"/>
          <w:lang w:val="en-US"/>
        </w:rPr>
      </w:pPr>
    </w:p>
    <w:p w14:paraId="0DB935EA" w14:textId="77777777" w:rsidR="00C9069C" w:rsidRPr="00CD0D03" w:rsidRDefault="00C9069C" w:rsidP="00A83B7C">
      <w:pPr>
        <w:pStyle w:val="Paragrafoelenco"/>
        <w:numPr>
          <w:ilvl w:val="0"/>
          <w:numId w:val="1"/>
        </w:numPr>
        <w:spacing w:line="480" w:lineRule="auto"/>
        <w:ind w:left="284" w:hanging="284"/>
        <w:rPr>
          <w:rFonts w:cs="Times New Roman"/>
          <w:i/>
          <w:sz w:val="24"/>
          <w:szCs w:val="24"/>
          <w:lang w:val="en-US"/>
        </w:rPr>
      </w:pPr>
      <w:r w:rsidRPr="00CD0D03">
        <w:rPr>
          <w:rFonts w:cs="Times New Roman"/>
          <w:i/>
          <w:sz w:val="24"/>
          <w:szCs w:val="24"/>
          <w:lang w:val="en-US"/>
        </w:rPr>
        <w:t>From a pathological to</w:t>
      </w:r>
      <w:r w:rsidR="008705C8" w:rsidRPr="00CD0D03">
        <w:rPr>
          <w:rFonts w:cs="Times New Roman"/>
          <w:i/>
          <w:sz w:val="24"/>
          <w:szCs w:val="24"/>
          <w:lang w:val="en-US"/>
        </w:rPr>
        <w:t xml:space="preserve"> a clinico</w:t>
      </w:r>
      <w:r w:rsidR="00665692" w:rsidRPr="00CD0D03">
        <w:rPr>
          <w:rFonts w:cs="Times New Roman"/>
          <w:i/>
          <w:sz w:val="24"/>
          <w:szCs w:val="24"/>
          <w:lang w:val="en-US"/>
        </w:rPr>
        <w:t>/</w:t>
      </w:r>
      <w:r w:rsidRPr="00CD0D03">
        <w:rPr>
          <w:rFonts w:cs="Times New Roman"/>
          <w:i/>
          <w:sz w:val="24"/>
          <w:szCs w:val="24"/>
          <w:lang w:val="en-US"/>
        </w:rPr>
        <w:t xml:space="preserve">biological approach to </w:t>
      </w:r>
      <w:r w:rsidR="00665692" w:rsidRPr="00CD0D03">
        <w:rPr>
          <w:rFonts w:cs="Times New Roman"/>
          <w:i/>
          <w:sz w:val="24"/>
          <w:szCs w:val="24"/>
          <w:lang w:val="en-US"/>
        </w:rPr>
        <w:t xml:space="preserve">the </w:t>
      </w:r>
      <w:r w:rsidRPr="00CD0D03">
        <w:rPr>
          <w:rFonts w:cs="Times New Roman"/>
          <w:i/>
          <w:sz w:val="24"/>
          <w:szCs w:val="24"/>
          <w:lang w:val="en-US"/>
        </w:rPr>
        <w:t xml:space="preserve">diagnosis of </w:t>
      </w:r>
      <w:r w:rsidR="00E70002" w:rsidRPr="00CD0D03">
        <w:rPr>
          <w:rFonts w:cs="Times New Roman"/>
          <w:i/>
          <w:sz w:val="24"/>
          <w:szCs w:val="24"/>
          <w:lang w:val="en-US"/>
        </w:rPr>
        <w:t>AD</w:t>
      </w:r>
    </w:p>
    <w:p w14:paraId="1555FB12" w14:textId="77777777" w:rsidR="003B45C9" w:rsidRPr="00CD0D03" w:rsidRDefault="00871E19" w:rsidP="00A83B7C">
      <w:pPr>
        <w:spacing w:line="480" w:lineRule="auto"/>
        <w:rPr>
          <w:rFonts w:cs="Times New Roman"/>
          <w:sz w:val="24"/>
          <w:szCs w:val="24"/>
          <w:lang w:val="en-US"/>
        </w:rPr>
      </w:pPr>
      <w:r w:rsidRPr="00CD0D03">
        <w:rPr>
          <w:rFonts w:cs="Times New Roman"/>
          <w:sz w:val="24"/>
          <w:szCs w:val="24"/>
          <w:lang w:val="en-US"/>
        </w:rPr>
        <w:t xml:space="preserve">The aim of this paper is to define a methodological framework for the validation of biomarkers for diagnosing </w:t>
      </w:r>
      <w:r w:rsidR="002A673B">
        <w:rPr>
          <w:rFonts w:cs="Times New Roman"/>
          <w:sz w:val="24"/>
          <w:szCs w:val="24"/>
          <w:lang w:val="en-US"/>
        </w:rPr>
        <w:t>Alzheimer’s Disease (</w:t>
      </w:r>
      <w:r w:rsidRPr="00CD0D03">
        <w:rPr>
          <w:rFonts w:cs="Times New Roman"/>
          <w:sz w:val="24"/>
          <w:szCs w:val="24"/>
          <w:lang w:val="en-US"/>
        </w:rPr>
        <w:t>AD</w:t>
      </w:r>
      <w:r w:rsidR="002A673B">
        <w:rPr>
          <w:rFonts w:cs="Times New Roman"/>
          <w:sz w:val="24"/>
          <w:szCs w:val="24"/>
          <w:lang w:val="en-US"/>
        </w:rPr>
        <w:t>)</w:t>
      </w:r>
      <w:r w:rsidRPr="00CD0D03">
        <w:rPr>
          <w:rFonts w:cs="Times New Roman"/>
          <w:sz w:val="24"/>
          <w:szCs w:val="24"/>
          <w:lang w:val="en-US"/>
        </w:rPr>
        <w:t xml:space="preserve"> in people refer</w:t>
      </w:r>
      <w:r w:rsidR="00B24557">
        <w:rPr>
          <w:rFonts w:cs="Times New Roman"/>
          <w:sz w:val="24"/>
          <w:szCs w:val="24"/>
          <w:lang w:val="en-US"/>
        </w:rPr>
        <w:t>red</w:t>
      </w:r>
      <w:r w:rsidR="00A077D8">
        <w:rPr>
          <w:rFonts w:cs="Times New Roman"/>
          <w:sz w:val="24"/>
          <w:szCs w:val="24"/>
          <w:lang w:val="en-US"/>
        </w:rPr>
        <w:t xml:space="preserve"> to </w:t>
      </w:r>
      <w:r w:rsidRPr="00CD0D03">
        <w:rPr>
          <w:rFonts w:cs="Times New Roman"/>
          <w:sz w:val="24"/>
          <w:szCs w:val="24"/>
          <w:lang w:val="en-US"/>
        </w:rPr>
        <w:t>memory clinic</w:t>
      </w:r>
      <w:r w:rsidR="00A077D8">
        <w:rPr>
          <w:rFonts w:cs="Times New Roman"/>
          <w:sz w:val="24"/>
          <w:szCs w:val="24"/>
          <w:lang w:val="en-US"/>
        </w:rPr>
        <w:t>s</w:t>
      </w:r>
      <w:r w:rsidRPr="00CD0D03">
        <w:rPr>
          <w:rFonts w:cs="Times New Roman"/>
          <w:sz w:val="24"/>
          <w:szCs w:val="24"/>
          <w:lang w:val="en-US"/>
        </w:rPr>
        <w:t xml:space="preserve"> or other specialist outpatient service</w:t>
      </w:r>
      <w:r w:rsidR="002A673B">
        <w:rPr>
          <w:rFonts w:cs="Times New Roman"/>
          <w:sz w:val="24"/>
          <w:szCs w:val="24"/>
          <w:lang w:val="en-US"/>
        </w:rPr>
        <w:t>,</w:t>
      </w:r>
      <w:r w:rsidRPr="00CD0D03">
        <w:rPr>
          <w:rFonts w:cs="Times New Roman"/>
          <w:sz w:val="24"/>
          <w:szCs w:val="24"/>
          <w:lang w:val="en-US"/>
        </w:rPr>
        <w:t xml:space="preserve"> and </w:t>
      </w:r>
      <w:r w:rsidR="00A077D8">
        <w:rPr>
          <w:rFonts w:cs="Times New Roman"/>
          <w:sz w:val="24"/>
          <w:szCs w:val="24"/>
          <w:lang w:val="en-US"/>
        </w:rPr>
        <w:t>meeting</w:t>
      </w:r>
      <w:r w:rsidRPr="00CD0D03">
        <w:rPr>
          <w:rFonts w:cs="Times New Roman"/>
          <w:sz w:val="24"/>
          <w:szCs w:val="24"/>
          <w:lang w:val="en-US"/>
        </w:rPr>
        <w:t xml:space="preserve"> current diagnostic criteria</w:t>
      </w:r>
      <w:r w:rsidR="002A673B">
        <w:rPr>
          <w:rFonts w:cs="Times New Roman"/>
          <w:sz w:val="24"/>
          <w:szCs w:val="24"/>
          <w:lang w:val="en-US"/>
        </w:rPr>
        <w:t xml:space="preserve"> of m</w:t>
      </w:r>
      <w:r w:rsidR="00585551">
        <w:rPr>
          <w:rFonts w:cs="Times New Roman"/>
          <w:sz w:val="24"/>
          <w:szCs w:val="24"/>
          <w:lang w:val="en-US"/>
        </w:rPr>
        <w:t>ild cognitive impairment (MCI) (</w:t>
      </w:r>
      <w:r w:rsidR="002A673B" w:rsidRPr="00732D98">
        <w:rPr>
          <w:rFonts w:cs="Times New Roman"/>
          <w:sz w:val="24"/>
          <w:szCs w:val="24"/>
          <w:lang w:val="en-US"/>
        </w:rPr>
        <w:t xml:space="preserve">Albert </w:t>
      </w:r>
      <w:r w:rsidR="00585551">
        <w:rPr>
          <w:rFonts w:cs="Times New Roman"/>
          <w:sz w:val="24"/>
          <w:szCs w:val="24"/>
          <w:lang w:val="en-US"/>
        </w:rPr>
        <w:t>et al.,</w:t>
      </w:r>
      <w:r w:rsidR="002A673B" w:rsidRPr="00732D98">
        <w:rPr>
          <w:rFonts w:cs="Times New Roman"/>
          <w:sz w:val="24"/>
          <w:szCs w:val="24"/>
          <w:lang w:val="en-US"/>
        </w:rPr>
        <w:t xml:space="preserve"> 2011</w:t>
      </w:r>
      <w:r w:rsidR="00585551">
        <w:rPr>
          <w:rFonts w:cs="Times New Roman"/>
          <w:sz w:val="24"/>
          <w:szCs w:val="24"/>
          <w:lang w:val="en-US"/>
        </w:rPr>
        <w:t>)</w:t>
      </w:r>
      <w:r w:rsidR="00376CDE">
        <w:rPr>
          <w:rFonts w:cs="Times New Roman"/>
          <w:sz w:val="24"/>
          <w:szCs w:val="24"/>
          <w:lang w:val="en-US"/>
        </w:rPr>
        <w:t xml:space="preserve">, </w:t>
      </w:r>
      <w:r w:rsidR="00376CDE">
        <w:rPr>
          <w:sz w:val="24"/>
          <w:szCs w:val="24"/>
          <w:lang w:val="en-US"/>
        </w:rPr>
        <w:t xml:space="preserve">which </w:t>
      </w:r>
      <w:r w:rsidR="00E216D2">
        <w:rPr>
          <w:sz w:val="24"/>
          <w:szCs w:val="24"/>
          <w:lang w:val="en-US"/>
        </w:rPr>
        <w:t>includes an important proportion of patients in</w:t>
      </w:r>
      <w:r w:rsidR="00376CDE">
        <w:rPr>
          <w:sz w:val="24"/>
          <w:szCs w:val="24"/>
          <w:lang w:val="en-US"/>
        </w:rPr>
        <w:t xml:space="preserve"> the prodromal phase of </w:t>
      </w:r>
      <w:r w:rsidR="00E216D2">
        <w:rPr>
          <w:sz w:val="24"/>
          <w:szCs w:val="24"/>
          <w:lang w:val="en-US"/>
        </w:rPr>
        <w:t>AD</w:t>
      </w:r>
      <w:r w:rsidR="00376CDE">
        <w:rPr>
          <w:sz w:val="24"/>
          <w:szCs w:val="24"/>
          <w:lang w:val="en-US"/>
        </w:rPr>
        <w:t xml:space="preserve"> (Dubois et al, 2007)</w:t>
      </w:r>
      <w:r>
        <w:rPr>
          <w:rFonts w:cs="Times New Roman"/>
          <w:sz w:val="24"/>
          <w:szCs w:val="24"/>
          <w:lang w:val="en-US"/>
        </w:rPr>
        <w:t xml:space="preserve">. </w:t>
      </w:r>
      <w:r w:rsidR="00FC2680">
        <w:rPr>
          <w:sz w:val="24"/>
          <w:szCs w:val="24"/>
          <w:lang w:val="en-US"/>
        </w:rPr>
        <w:t>Although the definite diagnosis of</w:t>
      </w:r>
      <w:r w:rsidR="00FC2680" w:rsidRPr="00CD0D03">
        <w:rPr>
          <w:sz w:val="24"/>
          <w:szCs w:val="24"/>
          <w:lang w:val="en-US"/>
        </w:rPr>
        <w:t xml:space="preserve"> </w:t>
      </w:r>
      <w:r w:rsidR="00C9069C" w:rsidRPr="00CD0D03">
        <w:rPr>
          <w:sz w:val="24"/>
          <w:szCs w:val="24"/>
          <w:lang w:val="en-US"/>
        </w:rPr>
        <w:t xml:space="preserve">AD </w:t>
      </w:r>
      <w:r w:rsidR="00FC2680">
        <w:rPr>
          <w:sz w:val="24"/>
          <w:szCs w:val="24"/>
          <w:lang w:val="en-US"/>
        </w:rPr>
        <w:t xml:space="preserve">may be posed only after </w:t>
      </w:r>
      <w:r w:rsidR="008D70C2" w:rsidRPr="00CD0D03">
        <w:rPr>
          <w:sz w:val="24"/>
          <w:szCs w:val="24"/>
          <w:lang w:val="en-US"/>
        </w:rPr>
        <w:t>pathological confirmation</w:t>
      </w:r>
      <w:r w:rsidR="00AC7A38" w:rsidRPr="00CD0D03">
        <w:rPr>
          <w:sz w:val="24"/>
          <w:szCs w:val="24"/>
          <w:lang w:val="en-US"/>
        </w:rPr>
        <w:t>, possible or probable AD can be diagnosed assessing the clinical features listed in w</w:t>
      </w:r>
      <w:r w:rsidR="008D70C2" w:rsidRPr="00CD0D03">
        <w:rPr>
          <w:sz w:val="24"/>
          <w:szCs w:val="24"/>
          <w:lang w:val="en-US"/>
        </w:rPr>
        <w:t xml:space="preserve">idely accepted sets of </w:t>
      </w:r>
      <w:r w:rsidR="00AC7A38" w:rsidRPr="00CD0D03">
        <w:rPr>
          <w:sz w:val="24"/>
          <w:szCs w:val="24"/>
          <w:lang w:val="en-US"/>
        </w:rPr>
        <w:t>diagnostic criteria (i.e.</w:t>
      </w:r>
      <w:r w:rsidR="008961DA" w:rsidRPr="00CD0D03">
        <w:rPr>
          <w:sz w:val="24"/>
          <w:szCs w:val="24"/>
          <w:lang w:val="en-US"/>
        </w:rPr>
        <w:t>,</w:t>
      </w:r>
      <w:r w:rsidR="00AC7A38" w:rsidRPr="00CD0D03">
        <w:rPr>
          <w:sz w:val="24"/>
          <w:szCs w:val="24"/>
          <w:lang w:val="en-US"/>
        </w:rPr>
        <w:t xml:space="preserve"> </w:t>
      </w:r>
      <w:r w:rsidR="00665692" w:rsidRPr="00CD0D03">
        <w:rPr>
          <w:sz w:val="24"/>
          <w:szCs w:val="24"/>
          <w:lang w:val="en-US"/>
        </w:rPr>
        <w:t>McK</w:t>
      </w:r>
      <w:r w:rsidR="00484A10">
        <w:rPr>
          <w:sz w:val="24"/>
          <w:szCs w:val="24"/>
          <w:lang w:val="en-US"/>
        </w:rPr>
        <w:t>h</w:t>
      </w:r>
      <w:r w:rsidR="00665692" w:rsidRPr="00CD0D03">
        <w:rPr>
          <w:sz w:val="24"/>
          <w:szCs w:val="24"/>
          <w:lang w:val="en-US"/>
        </w:rPr>
        <w:t>an</w:t>
      </w:r>
      <w:r w:rsidR="00E54901">
        <w:rPr>
          <w:sz w:val="24"/>
          <w:szCs w:val="24"/>
          <w:lang w:val="en-US"/>
        </w:rPr>
        <w:t>n</w:t>
      </w:r>
      <w:r w:rsidR="00665692" w:rsidRPr="00CD0D03">
        <w:rPr>
          <w:sz w:val="24"/>
          <w:szCs w:val="24"/>
          <w:lang w:val="en-US"/>
        </w:rPr>
        <w:t xml:space="preserve"> et al., 1984</w:t>
      </w:r>
      <w:r w:rsidR="006C73C4" w:rsidRPr="00CD0D03">
        <w:rPr>
          <w:sz w:val="24"/>
          <w:szCs w:val="24"/>
          <w:lang w:val="en-US"/>
        </w:rPr>
        <w:t>; 2011</w:t>
      </w:r>
      <w:r w:rsidR="00665692" w:rsidRPr="00CD0D03">
        <w:rPr>
          <w:sz w:val="24"/>
          <w:szCs w:val="24"/>
          <w:lang w:val="en-US"/>
        </w:rPr>
        <w:t xml:space="preserve">; </w:t>
      </w:r>
      <w:r w:rsidR="00AC7A38" w:rsidRPr="00CD0D03">
        <w:rPr>
          <w:sz w:val="24"/>
          <w:szCs w:val="24"/>
          <w:lang w:val="en-US"/>
        </w:rPr>
        <w:t>the 10</w:t>
      </w:r>
      <w:r w:rsidR="00AC7A38" w:rsidRPr="00CD0D03">
        <w:rPr>
          <w:sz w:val="24"/>
          <w:szCs w:val="24"/>
          <w:vertAlign w:val="superscript"/>
          <w:lang w:val="en-US"/>
        </w:rPr>
        <w:t>th</w:t>
      </w:r>
      <w:r w:rsidR="00AC7A38" w:rsidRPr="00CD0D03">
        <w:rPr>
          <w:sz w:val="24"/>
          <w:szCs w:val="24"/>
          <w:lang w:val="en-US"/>
        </w:rPr>
        <w:t xml:space="preserve"> edition of the International Classification of Diseases, ICD-10 </w:t>
      </w:r>
      <w:r w:rsidR="00665692" w:rsidRPr="00CD0D03">
        <w:rPr>
          <w:sz w:val="24"/>
          <w:szCs w:val="24"/>
          <w:lang w:val="en-US"/>
        </w:rPr>
        <w:t>(WHO - World Health Organization 1992),</w:t>
      </w:r>
      <w:r w:rsidR="00AC7A38" w:rsidRPr="00CD0D03">
        <w:rPr>
          <w:sz w:val="24"/>
          <w:szCs w:val="24"/>
          <w:lang w:val="en-US"/>
        </w:rPr>
        <w:t xml:space="preserve"> and the US Diagnostic and Statistical Man</w:t>
      </w:r>
      <w:r w:rsidR="00665692" w:rsidRPr="00CD0D03">
        <w:rPr>
          <w:sz w:val="24"/>
          <w:szCs w:val="24"/>
          <w:lang w:val="en-US"/>
        </w:rPr>
        <w:t>ual of Mental Disorders, DSM-5 (APA - American Psychiatric Association 2013</w:t>
      </w:r>
      <w:r w:rsidR="00AC7A38" w:rsidRPr="00CD0D03">
        <w:rPr>
          <w:sz w:val="24"/>
          <w:szCs w:val="24"/>
          <w:lang w:val="en-US"/>
        </w:rPr>
        <w:t>)</w:t>
      </w:r>
      <w:r w:rsidR="00665692" w:rsidRPr="00CD0D03">
        <w:rPr>
          <w:sz w:val="24"/>
          <w:szCs w:val="24"/>
          <w:lang w:val="en-US"/>
        </w:rPr>
        <w:t>)</w:t>
      </w:r>
      <w:r w:rsidR="00AC7A38" w:rsidRPr="00CD0D03">
        <w:rPr>
          <w:sz w:val="24"/>
          <w:szCs w:val="24"/>
          <w:lang w:val="en-US"/>
        </w:rPr>
        <w:t xml:space="preserve">. </w:t>
      </w:r>
      <w:r w:rsidR="00C9069C" w:rsidRPr="00CD0D03">
        <w:rPr>
          <w:sz w:val="24"/>
          <w:szCs w:val="24"/>
          <w:lang w:val="en-US"/>
        </w:rPr>
        <w:t xml:space="preserve">In the </w:t>
      </w:r>
      <w:r w:rsidR="00185BA9" w:rsidRPr="00CD0D03">
        <w:rPr>
          <w:sz w:val="24"/>
          <w:szCs w:val="24"/>
          <w:lang w:val="en-US"/>
        </w:rPr>
        <w:t>last</w:t>
      </w:r>
      <w:r w:rsidR="00F1789F">
        <w:rPr>
          <w:sz w:val="24"/>
          <w:szCs w:val="24"/>
          <w:lang w:val="en-US"/>
        </w:rPr>
        <w:t xml:space="preserve"> decade</w:t>
      </w:r>
      <w:r w:rsidR="00C9069C" w:rsidRPr="00CD0D03">
        <w:rPr>
          <w:sz w:val="24"/>
          <w:szCs w:val="24"/>
          <w:lang w:val="en-US"/>
        </w:rPr>
        <w:t xml:space="preserve"> evidence </w:t>
      </w:r>
      <w:r w:rsidR="00185BA9" w:rsidRPr="00CD0D03">
        <w:rPr>
          <w:sz w:val="24"/>
          <w:szCs w:val="24"/>
          <w:lang w:val="en-US"/>
        </w:rPr>
        <w:t xml:space="preserve">accumulated </w:t>
      </w:r>
      <w:r w:rsidR="00C9069C" w:rsidRPr="00CD0D03">
        <w:rPr>
          <w:sz w:val="24"/>
          <w:szCs w:val="24"/>
          <w:lang w:val="en-US"/>
        </w:rPr>
        <w:t>that the</w:t>
      </w:r>
      <w:r w:rsidR="00185BA9" w:rsidRPr="00CD0D03">
        <w:rPr>
          <w:sz w:val="24"/>
          <w:szCs w:val="24"/>
          <w:lang w:val="en-US"/>
        </w:rPr>
        <w:t xml:space="preserve"> </w:t>
      </w:r>
      <w:r w:rsidR="00FC2680">
        <w:rPr>
          <w:sz w:val="24"/>
          <w:szCs w:val="24"/>
          <w:lang w:val="en-US"/>
        </w:rPr>
        <w:t>accuracy of the</w:t>
      </w:r>
      <w:r w:rsidR="00FC2680" w:rsidRPr="00CD0D03">
        <w:rPr>
          <w:sz w:val="24"/>
          <w:szCs w:val="24"/>
          <w:lang w:val="en-US"/>
        </w:rPr>
        <w:t xml:space="preserve"> </w:t>
      </w:r>
      <w:r w:rsidR="00E10C7C" w:rsidRPr="00CD0D03">
        <w:rPr>
          <w:i/>
          <w:sz w:val="24"/>
          <w:szCs w:val="24"/>
          <w:lang w:val="en-US"/>
        </w:rPr>
        <w:t>in vivo</w:t>
      </w:r>
      <w:r w:rsidR="00185BA9" w:rsidRPr="00CD0D03">
        <w:rPr>
          <w:sz w:val="24"/>
          <w:szCs w:val="24"/>
          <w:lang w:val="en-US"/>
        </w:rPr>
        <w:t xml:space="preserve"> diagnosis can be </w:t>
      </w:r>
      <w:r w:rsidR="00FC2680">
        <w:rPr>
          <w:sz w:val="24"/>
          <w:szCs w:val="24"/>
          <w:lang w:val="en-US"/>
        </w:rPr>
        <w:t>improved</w:t>
      </w:r>
      <w:r w:rsidR="00FC2680" w:rsidRPr="00CD0D03">
        <w:rPr>
          <w:sz w:val="24"/>
          <w:szCs w:val="24"/>
          <w:lang w:val="en-US"/>
        </w:rPr>
        <w:t xml:space="preserve"> </w:t>
      </w:r>
      <w:r w:rsidR="00AC7A38" w:rsidRPr="00CD0D03">
        <w:rPr>
          <w:sz w:val="24"/>
          <w:szCs w:val="24"/>
          <w:lang w:val="en-US"/>
        </w:rPr>
        <w:t xml:space="preserve">using assays indicating </w:t>
      </w:r>
      <w:r w:rsidR="007616A7" w:rsidRPr="00CD0D03">
        <w:rPr>
          <w:sz w:val="24"/>
          <w:szCs w:val="24"/>
          <w:lang w:val="en-US"/>
        </w:rPr>
        <w:t xml:space="preserve">the </w:t>
      </w:r>
      <w:r w:rsidR="00185BA9" w:rsidRPr="00CD0D03">
        <w:rPr>
          <w:sz w:val="24"/>
          <w:szCs w:val="24"/>
          <w:lang w:val="en-US"/>
        </w:rPr>
        <w:t>presence of the</w:t>
      </w:r>
      <w:r w:rsidR="00C9069C" w:rsidRPr="00CD0D03">
        <w:rPr>
          <w:sz w:val="24"/>
          <w:szCs w:val="24"/>
          <w:lang w:val="en-US"/>
        </w:rPr>
        <w:t xml:space="preserve"> </w:t>
      </w:r>
      <w:r w:rsidR="00C9069C" w:rsidRPr="00CD0D03">
        <w:rPr>
          <w:rFonts w:cs="Times New Roman"/>
          <w:sz w:val="24"/>
          <w:szCs w:val="24"/>
          <w:lang w:val="en-US"/>
        </w:rPr>
        <w:t>key pathological hallmarks of AD</w:t>
      </w:r>
      <w:r w:rsidR="00A0633C" w:rsidRPr="00CD0D03">
        <w:rPr>
          <w:rFonts w:cs="Times New Roman"/>
          <w:sz w:val="24"/>
          <w:szCs w:val="24"/>
          <w:lang w:val="en-US"/>
        </w:rPr>
        <w:t>.</w:t>
      </w:r>
      <w:r w:rsidR="006E7A3A" w:rsidRPr="00CD0D03">
        <w:rPr>
          <w:rFonts w:cs="Times New Roman"/>
          <w:sz w:val="24"/>
          <w:szCs w:val="24"/>
          <w:lang w:val="en-US"/>
        </w:rPr>
        <w:t xml:space="preserve"> These</w:t>
      </w:r>
      <w:r w:rsidR="003B45C9" w:rsidRPr="00CD0D03">
        <w:rPr>
          <w:rFonts w:cs="Times New Roman"/>
          <w:sz w:val="24"/>
          <w:szCs w:val="24"/>
          <w:lang w:val="en-US"/>
        </w:rPr>
        <w:t xml:space="preserve"> </w:t>
      </w:r>
      <w:r w:rsidR="00AC7A38" w:rsidRPr="00CD0D03">
        <w:rPr>
          <w:rFonts w:cs="Times New Roman"/>
          <w:sz w:val="24"/>
          <w:szCs w:val="24"/>
          <w:lang w:val="en-US"/>
        </w:rPr>
        <w:t xml:space="preserve">assays of </w:t>
      </w:r>
      <w:r w:rsidR="00AC7A38" w:rsidRPr="00CD0D03">
        <w:rPr>
          <w:rFonts w:cs="Times New Roman"/>
          <w:i/>
          <w:sz w:val="24"/>
          <w:szCs w:val="24"/>
          <w:lang w:val="en-US"/>
        </w:rPr>
        <w:t>in vivo</w:t>
      </w:r>
      <w:r w:rsidR="00AC7A38" w:rsidRPr="00CD0D03">
        <w:rPr>
          <w:rFonts w:cs="Times New Roman"/>
          <w:sz w:val="24"/>
          <w:szCs w:val="24"/>
          <w:lang w:val="en-US"/>
        </w:rPr>
        <w:t xml:space="preserve"> </w:t>
      </w:r>
      <w:r w:rsidR="003B45C9" w:rsidRPr="00CD0D03">
        <w:rPr>
          <w:rFonts w:cs="Times New Roman"/>
          <w:sz w:val="24"/>
          <w:szCs w:val="24"/>
          <w:lang w:val="en-US"/>
        </w:rPr>
        <w:t xml:space="preserve">biological or molecular characteristics </w:t>
      </w:r>
      <w:r w:rsidR="00FC2680">
        <w:rPr>
          <w:rFonts w:cs="Times New Roman"/>
          <w:sz w:val="24"/>
          <w:szCs w:val="24"/>
          <w:lang w:val="en-US"/>
        </w:rPr>
        <w:t xml:space="preserve">of the pathological process </w:t>
      </w:r>
      <w:r w:rsidR="00677136">
        <w:rPr>
          <w:rFonts w:cs="Times New Roman"/>
          <w:sz w:val="24"/>
          <w:szCs w:val="24"/>
          <w:lang w:val="en-US"/>
        </w:rPr>
        <w:t xml:space="preserve">underlying AD </w:t>
      </w:r>
      <w:r w:rsidR="00AC7A38" w:rsidRPr="00CD0D03">
        <w:rPr>
          <w:rFonts w:cs="Times New Roman"/>
          <w:sz w:val="24"/>
          <w:szCs w:val="24"/>
          <w:lang w:val="en-US"/>
        </w:rPr>
        <w:t>may be used as clinical</w:t>
      </w:r>
      <w:r w:rsidR="003B45C9" w:rsidRPr="00CD0D03">
        <w:rPr>
          <w:rFonts w:cs="Times New Roman"/>
          <w:sz w:val="24"/>
          <w:szCs w:val="24"/>
          <w:lang w:val="en-US"/>
        </w:rPr>
        <w:t xml:space="preserve"> biomarkers because they are </w:t>
      </w:r>
      <w:r w:rsidR="00FC2680">
        <w:rPr>
          <w:rFonts w:cs="Times New Roman"/>
          <w:sz w:val="24"/>
          <w:szCs w:val="24"/>
          <w:lang w:val="en-US"/>
        </w:rPr>
        <w:t>associated with</w:t>
      </w:r>
      <w:r w:rsidR="00C36DC9">
        <w:rPr>
          <w:rFonts w:cs="Times New Roman"/>
          <w:sz w:val="24"/>
          <w:szCs w:val="24"/>
          <w:lang w:val="en-US"/>
        </w:rPr>
        <w:t xml:space="preserve"> </w:t>
      </w:r>
      <w:r w:rsidR="003B45C9" w:rsidRPr="00CD0D03">
        <w:rPr>
          <w:rFonts w:cs="Times New Roman"/>
          <w:sz w:val="24"/>
          <w:szCs w:val="24"/>
          <w:lang w:val="en-US"/>
        </w:rPr>
        <w:t>disease status or progression</w:t>
      </w:r>
      <w:r w:rsidR="00AC7A38" w:rsidRPr="00CD0D03">
        <w:rPr>
          <w:rFonts w:cs="Times New Roman"/>
          <w:sz w:val="24"/>
          <w:szCs w:val="24"/>
          <w:lang w:val="en-US"/>
        </w:rPr>
        <w:t>,</w:t>
      </w:r>
      <w:r w:rsidR="003B45C9" w:rsidRPr="00CD0D03">
        <w:rPr>
          <w:rFonts w:cs="Times New Roman"/>
          <w:sz w:val="24"/>
          <w:szCs w:val="24"/>
          <w:lang w:val="en-US"/>
        </w:rPr>
        <w:t xml:space="preserve"> and </w:t>
      </w:r>
      <w:r w:rsidR="00677136">
        <w:rPr>
          <w:rFonts w:cs="Times New Roman"/>
          <w:sz w:val="24"/>
          <w:szCs w:val="24"/>
          <w:lang w:val="en-US"/>
        </w:rPr>
        <w:t xml:space="preserve">may </w:t>
      </w:r>
      <w:r w:rsidR="003B45C9" w:rsidRPr="00CD0D03">
        <w:rPr>
          <w:rFonts w:cs="Times New Roman"/>
          <w:sz w:val="24"/>
          <w:szCs w:val="24"/>
          <w:lang w:val="en-US"/>
        </w:rPr>
        <w:t>capture biological responses to</w:t>
      </w:r>
      <w:r w:rsidR="00AC7A38" w:rsidRPr="00CD0D03">
        <w:rPr>
          <w:rFonts w:cs="Times New Roman"/>
          <w:sz w:val="24"/>
          <w:szCs w:val="24"/>
          <w:lang w:val="en-US"/>
        </w:rPr>
        <w:t xml:space="preserve"> </w:t>
      </w:r>
      <w:r w:rsidR="003B45C9" w:rsidRPr="00CD0D03">
        <w:rPr>
          <w:rFonts w:cs="Times New Roman"/>
          <w:sz w:val="24"/>
          <w:szCs w:val="24"/>
          <w:lang w:val="en-US"/>
        </w:rPr>
        <w:t>pharmacological or non-pharmacological intervention</w:t>
      </w:r>
      <w:r w:rsidR="00AC7A38" w:rsidRPr="00CD0D03">
        <w:rPr>
          <w:rFonts w:cs="Times New Roman"/>
          <w:sz w:val="24"/>
          <w:szCs w:val="24"/>
          <w:lang w:val="en-US"/>
        </w:rPr>
        <w:t>s</w:t>
      </w:r>
      <w:r w:rsidR="003B45C9" w:rsidRPr="00CD0D03">
        <w:rPr>
          <w:rFonts w:cs="Times New Roman"/>
          <w:sz w:val="24"/>
          <w:szCs w:val="24"/>
          <w:lang w:val="en-US"/>
        </w:rPr>
        <w:t>.</w:t>
      </w:r>
    </w:p>
    <w:p w14:paraId="1E8DA9B3" w14:textId="7A4D1E50" w:rsidR="007616A7" w:rsidRPr="00CD0D03" w:rsidRDefault="00FC2680" w:rsidP="00A83B7C">
      <w:pPr>
        <w:spacing w:line="480" w:lineRule="auto"/>
        <w:ind w:firstLine="360"/>
        <w:rPr>
          <w:sz w:val="24"/>
          <w:szCs w:val="24"/>
          <w:lang w:val="en-US"/>
        </w:rPr>
      </w:pPr>
      <w:r>
        <w:rPr>
          <w:rFonts w:cs="Times New Roman"/>
          <w:sz w:val="24"/>
          <w:szCs w:val="24"/>
          <w:lang w:val="en-US"/>
        </w:rPr>
        <w:t xml:space="preserve">The presence of the main neuropathological AD changes, namely </w:t>
      </w:r>
      <w:r w:rsidR="00C9069C" w:rsidRPr="00CD0D03">
        <w:rPr>
          <w:sz w:val="24"/>
          <w:szCs w:val="24"/>
          <w:lang w:val="en-US"/>
        </w:rPr>
        <w:t>extra- (amyloid)</w:t>
      </w:r>
      <w:r w:rsidR="00110A02" w:rsidRPr="00CD0D03">
        <w:rPr>
          <w:sz w:val="24"/>
          <w:szCs w:val="24"/>
          <w:lang w:val="en-US"/>
        </w:rPr>
        <w:t xml:space="preserve"> </w:t>
      </w:r>
      <w:r w:rsidR="00C9069C" w:rsidRPr="00CD0D03">
        <w:rPr>
          <w:sz w:val="24"/>
          <w:szCs w:val="24"/>
          <w:lang w:val="en-US"/>
        </w:rPr>
        <w:t>and intra- (tau) cellular lesions, synaptic d</w:t>
      </w:r>
      <w:r w:rsidR="00185BA9" w:rsidRPr="00CD0D03">
        <w:rPr>
          <w:sz w:val="24"/>
          <w:szCs w:val="24"/>
          <w:lang w:val="en-US"/>
        </w:rPr>
        <w:t>y</w:t>
      </w:r>
      <w:r w:rsidR="00C9069C" w:rsidRPr="00CD0D03">
        <w:rPr>
          <w:sz w:val="24"/>
          <w:szCs w:val="24"/>
          <w:lang w:val="en-US"/>
        </w:rPr>
        <w:t>sfu</w:t>
      </w:r>
      <w:r w:rsidR="00DF7E3F" w:rsidRPr="00CD0D03">
        <w:rPr>
          <w:sz w:val="24"/>
          <w:szCs w:val="24"/>
          <w:lang w:val="en-US"/>
        </w:rPr>
        <w:t>n</w:t>
      </w:r>
      <w:r w:rsidR="00C9069C" w:rsidRPr="00CD0D03">
        <w:rPr>
          <w:sz w:val="24"/>
          <w:szCs w:val="24"/>
          <w:lang w:val="en-US"/>
        </w:rPr>
        <w:t xml:space="preserve">ction and neuronal death </w:t>
      </w:r>
      <w:r>
        <w:rPr>
          <w:sz w:val="24"/>
          <w:szCs w:val="24"/>
          <w:lang w:val="en-US"/>
        </w:rPr>
        <w:t xml:space="preserve">may be identified </w:t>
      </w:r>
      <w:r w:rsidR="00677136">
        <w:rPr>
          <w:sz w:val="24"/>
          <w:szCs w:val="24"/>
          <w:lang w:val="en-US"/>
        </w:rPr>
        <w:t xml:space="preserve">during the long prodromal phase that precedes the clinical onset of AD. </w:t>
      </w:r>
      <w:r>
        <w:rPr>
          <w:rFonts w:cs="Times New Roman"/>
          <w:sz w:val="24"/>
          <w:szCs w:val="24"/>
          <w:lang w:val="en-US"/>
        </w:rPr>
        <w:t xml:space="preserve">Methods of detection </w:t>
      </w:r>
      <w:r w:rsidR="00C9069C" w:rsidRPr="00CD0D03">
        <w:rPr>
          <w:rFonts w:cs="Times New Roman"/>
          <w:sz w:val="24"/>
          <w:szCs w:val="24"/>
          <w:lang w:val="en-US"/>
        </w:rPr>
        <w:t xml:space="preserve">include direct evidence of brain amyloidosis and tau deposits from amyloid </w:t>
      </w:r>
      <w:r w:rsidR="00573BCE" w:rsidRPr="00CD0D03">
        <w:rPr>
          <w:rFonts w:cs="Times New Roman"/>
          <w:sz w:val="24"/>
          <w:szCs w:val="24"/>
          <w:lang w:val="en-US"/>
        </w:rPr>
        <w:t xml:space="preserve">(Klunk </w:t>
      </w:r>
      <w:r w:rsidR="00965902" w:rsidRPr="00CD0D03">
        <w:rPr>
          <w:rFonts w:cs="Times New Roman"/>
          <w:i/>
          <w:sz w:val="24"/>
          <w:szCs w:val="24"/>
          <w:lang w:val="en-US"/>
        </w:rPr>
        <w:t>et al</w:t>
      </w:r>
      <w:r w:rsidR="00573BCE" w:rsidRPr="00CD0D03">
        <w:rPr>
          <w:rFonts w:cs="Times New Roman"/>
          <w:sz w:val="24"/>
          <w:szCs w:val="24"/>
          <w:lang w:val="en-US"/>
        </w:rPr>
        <w:t xml:space="preserve">., 2004) </w:t>
      </w:r>
      <w:r w:rsidR="00C9069C" w:rsidRPr="00CD0D03">
        <w:rPr>
          <w:rFonts w:cs="Times New Roman"/>
          <w:sz w:val="24"/>
          <w:szCs w:val="24"/>
          <w:lang w:val="en-US"/>
        </w:rPr>
        <w:t xml:space="preserve">and tau ligands uptake </w:t>
      </w:r>
      <w:r w:rsidR="00C10045" w:rsidRPr="00CD0D03">
        <w:rPr>
          <w:rFonts w:cs="Times New Roman"/>
          <w:sz w:val="24"/>
          <w:szCs w:val="24"/>
          <w:lang w:val="en-US"/>
        </w:rPr>
        <w:t xml:space="preserve">at </w:t>
      </w:r>
      <w:r w:rsidR="00C9069C" w:rsidRPr="00CD0D03">
        <w:rPr>
          <w:rFonts w:cs="Times New Roman"/>
          <w:sz w:val="24"/>
          <w:szCs w:val="24"/>
          <w:lang w:val="en-US"/>
        </w:rPr>
        <w:t>PET</w:t>
      </w:r>
      <w:r w:rsidR="00C10045" w:rsidRPr="00CD0D03">
        <w:rPr>
          <w:rFonts w:cs="Times New Roman"/>
          <w:sz w:val="24"/>
          <w:szCs w:val="24"/>
          <w:lang w:val="en-US"/>
        </w:rPr>
        <w:t xml:space="preserve"> imaging</w:t>
      </w:r>
      <w:r w:rsidR="00456EAE" w:rsidRPr="00CD0D03">
        <w:rPr>
          <w:rFonts w:cs="Times New Roman"/>
          <w:sz w:val="24"/>
          <w:szCs w:val="24"/>
          <w:lang w:val="en-US"/>
        </w:rPr>
        <w:t xml:space="preserve"> (</w:t>
      </w:r>
      <w:r w:rsidR="00863E37">
        <w:rPr>
          <w:rFonts w:cs="Times New Roman"/>
          <w:sz w:val="24"/>
          <w:szCs w:val="24"/>
          <w:lang w:val="en-US"/>
        </w:rPr>
        <w:t>Villemagne</w:t>
      </w:r>
      <w:r w:rsidR="00863E37" w:rsidRPr="00CD0D03">
        <w:rPr>
          <w:rFonts w:cs="Times New Roman"/>
          <w:sz w:val="24"/>
          <w:szCs w:val="24"/>
          <w:lang w:val="en-US"/>
        </w:rPr>
        <w:t xml:space="preserve"> </w:t>
      </w:r>
      <w:r w:rsidR="00965902" w:rsidRPr="00CD0D03">
        <w:rPr>
          <w:rFonts w:cs="Times New Roman"/>
          <w:i/>
          <w:sz w:val="24"/>
          <w:szCs w:val="24"/>
          <w:lang w:val="en-US"/>
        </w:rPr>
        <w:t>et al</w:t>
      </w:r>
      <w:r w:rsidR="00456EAE" w:rsidRPr="00CD0D03">
        <w:rPr>
          <w:rFonts w:cs="Times New Roman"/>
          <w:sz w:val="24"/>
          <w:szCs w:val="24"/>
          <w:lang w:val="en-US"/>
        </w:rPr>
        <w:t xml:space="preserve">., </w:t>
      </w:r>
      <w:r w:rsidR="00863E37" w:rsidRPr="00CD0D03">
        <w:rPr>
          <w:rFonts w:cs="Times New Roman"/>
          <w:sz w:val="24"/>
          <w:szCs w:val="24"/>
          <w:lang w:val="en-US"/>
        </w:rPr>
        <w:t>20</w:t>
      </w:r>
      <w:r w:rsidR="00B24557">
        <w:rPr>
          <w:rFonts w:cs="Times New Roman"/>
          <w:sz w:val="24"/>
          <w:szCs w:val="24"/>
          <w:lang w:val="en-US"/>
        </w:rPr>
        <w:t>1</w:t>
      </w:r>
      <w:r w:rsidR="00863E37">
        <w:rPr>
          <w:rFonts w:cs="Times New Roman"/>
          <w:sz w:val="24"/>
          <w:szCs w:val="24"/>
          <w:lang w:val="en-US"/>
        </w:rPr>
        <w:t xml:space="preserve">4; Johnson et al., 2016; Scholl et al., 2016; Schwarz et al., 2016; </w:t>
      </w:r>
      <w:r w:rsidR="002318D7">
        <w:rPr>
          <w:rFonts w:cs="Times New Roman"/>
          <w:sz w:val="24"/>
          <w:szCs w:val="24"/>
          <w:lang w:val="en-US"/>
        </w:rPr>
        <w:t>Brier et al., 2016</w:t>
      </w:r>
      <w:r w:rsidR="00456EAE" w:rsidRPr="00CD0D03">
        <w:rPr>
          <w:rFonts w:cs="Times New Roman"/>
          <w:sz w:val="24"/>
          <w:szCs w:val="24"/>
          <w:lang w:val="en-US"/>
        </w:rPr>
        <w:t>)</w:t>
      </w:r>
      <w:r w:rsidR="00C9069C" w:rsidRPr="00CD0D03">
        <w:rPr>
          <w:rFonts w:cs="Times New Roman"/>
          <w:sz w:val="24"/>
          <w:szCs w:val="24"/>
          <w:lang w:val="en-US"/>
        </w:rPr>
        <w:t xml:space="preserve">, or indirect evidence </w:t>
      </w:r>
      <w:r w:rsidR="004B13E3">
        <w:rPr>
          <w:rFonts w:cs="Times New Roman"/>
          <w:sz w:val="24"/>
          <w:szCs w:val="24"/>
          <w:lang w:val="en-US"/>
        </w:rPr>
        <w:t>such as</w:t>
      </w:r>
      <w:r w:rsidR="004B13E3" w:rsidRPr="00CD0D03">
        <w:rPr>
          <w:rFonts w:cs="Times New Roman"/>
          <w:sz w:val="24"/>
          <w:szCs w:val="24"/>
          <w:lang w:val="en-US"/>
        </w:rPr>
        <w:t xml:space="preserve"> </w:t>
      </w:r>
      <w:r w:rsidR="00C9069C" w:rsidRPr="00CD0D03">
        <w:rPr>
          <w:rFonts w:cs="Times New Roman"/>
          <w:sz w:val="24"/>
          <w:szCs w:val="24"/>
          <w:lang w:val="en-US"/>
        </w:rPr>
        <w:t xml:space="preserve">the altered concentrations of </w:t>
      </w:r>
      <w:r w:rsidR="00A3208D" w:rsidRPr="00CD0D03">
        <w:rPr>
          <w:rFonts w:cs="Times New Roman"/>
          <w:sz w:val="24"/>
          <w:szCs w:val="24"/>
          <w:lang w:val="en-US"/>
        </w:rPr>
        <w:t xml:space="preserve">the </w:t>
      </w:r>
      <w:r w:rsidR="00C9069C" w:rsidRPr="00CD0D03">
        <w:rPr>
          <w:rFonts w:cs="Times New Roman"/>
          <w:sz w:val="24"/>
          <w:szCs w:val="24"/>
          <w:lang w:val="en-US"/>
        </w:rPr>
        <w:t>Abeta</w:t>
      </w:r>
      <w:r w:rsidR="00C10045" w:rsidRPr="00CD0D03">
        <w:rPr>
          <w:rFonts w:cs="Times New Roman"/>
          <w:sz w:val="24"/>
          <w:szCs w:val="24"/>
          <w:lang w:val="en-US"/>
        </w:rPr>
        <w:t>42</w:t>
      </w:r>
      <w:r w:rsidR="00C9069C" w:rsidRPr="00CD0D03">
        <w:rPr>
          <w:rFonts w:cs="Times New Roman"/>
          <w:sz w:val="24"/>
          <w:szCs w:val="24"/>
          <w:lang w:val="en-US"/>
        </w:rPr>
        <w:t xml:space="preserve"> and tau</w:t>
      </w:r>
      <w:r w:rsidR="00A3208D" w:rsidRPr="00CD0D03">
        <w:rPr>
          <w:rFonts w:cs="Times New Roman"/>
          <w:sz w:val="24"/>
          <w:szCs w:val="24"/>
          <w:lang w:val="en-US"/>
        </w:rPr>
        <w:t xml:space="preserve"> proteins</w:t>
      </w:r>
      <w:r w:rsidR="00C9069C" w:rsidRPr="00CD0D03">
        <w:rPr>
          <w:rFonts w:cs="Times New Roman"/>
          <w:sz w:val="24"/>
          <w:szCs w:val="24"/>
          <w:lang w:val="en-US"/>
        </w:rPr>
        <w:t xml:space="preserve"> in CSF</w:t>
      </w:r>
      <w:r w:rsidR="00573BCE" w:rsidRPr="00CD0D03">
        <w:rPr>
          <w:rFonts w:cs="Times New Roman"/>
          <w:sz w:val="24"/>
          <w:szCs w:val="24"/>
          <w:lang w:val="en-US"/>
        </w:rPr>
        <w:t xml:space="preserve"> </w:t>
      </w:r>
      <w:r w:rsidR="004B13E3">
        <w:rPr>
          <w:rFonts w:cs="Times New Roman"/>
          <w:sz w:val="24"/>
          <w:szCs w:val="24"/>
          <w:lang w:val="en-US"/>
        </w:rPr>
        <w:t>specimens</w:t>
      </w:r>
      <w:r w:rsidR="004B13E3" w:rsidRPr="00CD0D03">
        <w:rPr>
          <w:rFonts w:cs="Times New Roman"/>
          <w:sz w:val="24"/>
          <w:szCs w:val="24"/>
          <w:lang w:val="en-US"/>
        </w:rPr>
        <w:t xml:space="preserve"> </w:t>
      </w:r>
      <w:r w:rsidR="00573BCE" w:rsidRPr="00CD0D03">
        <w:rPr>
          <w:rFonts w:cs="Times New Roman"/>
          <w:sz w:val="24"/>
          <w:szCs w:val="24"/>
          <w:lang w:val="en-US"/>
        </w:rPr>
        <w:t xml:space="preserve">(Blennow, </w:t>
      </w:r>
      <w:r w:rsidR="00965902" w:rsidRPr="00CD0D03">
        <w:rPr>
          <w:rFonts w:cs="Times New Roman"/>
          <w:i/>
          <w:sz w:val="24"/>
          <w:szCs w:val="24"/>
          <w:lang w:val="en-US"/>
        </w:rPr>
        <w:t>et al</w:t>
      </w:r>
      <w:r w:rsidR="00573BCE" w:rsidRPr="00CD0D03">
        <w:rPr>
          <w:rFonts w:cs="Times New Roman"/>
          <w:sz w:val="24"/>
          <w:szCs w:val="24"/>
          <w:lang w:val="en-US"/>
        </w:rPr>
        <w:t>., 1995,</w:t>
      </w:r>
      <w:r w:rsidR="001036FB" w:rsidRPr="00CD0D03">
        <w:rPr>
          <w:rFonts w:cs="Times New Roman"/>
          <w:sz w:val="24"/>
          <w:szCs w:val="24"/>
          <w:lang w:val="en-US"/>
        </w:rPr>
        <w:t xml:space="preserve"> </w:t>
      </w:r>
      <w:r w:rsidR="00573BCE" w:rsidRPr="00CD0D03">
        <w:rPr>
          <w:rFonts w:cs="Times New Roman"/>
          <w:sz w:val="24"/>
          <w:szCs w:val="24"/>
          <w:lang w:val="en-US"/>
        </w:rPr>
        <w:t xml:space="preserve">Iqbal </w:t>
      </w:r>
      <w:r w:rsidR="00573BCE" w:rsidRPr="00CD0D03">
        <w:rPr>
          <w:rFonts w:cs="Times New Roman"/>
          <w:sz w:val="24"/>
          <w:szCs w:val="24"/>
          <w:lang w:val="en-US"/>
        </w:rPr>
        <w:lastRenderedPageBreak/>
        <w:t>and Grundke-Iqbal, 1997)</w:t>
      </w:r>
      <w:r w:rsidR="00C9069C" w:rsidRPr="00CD0D03">
        <w:rPr>
          <w:rFonts w:cs="Times New Roman"/>
          <w:sz w:val="24"/>
          <w:szCs w:val="24"/>
          <w:lang w:val="en-US"/>
        </w:rPr>
        <w:t>.</w:t>
      </w:r>
      <w:r w:rsidR="003F646D" w:rsidRPr="00CD0D03">
        <w:rPr>
          <w:rFonts w:cs="Times New Roman"/>
          <w:sz w:val="24"/>
          <w:szCs w:val="24"/>
          <w:lang w:val="en-US"/>
        </w:rPr>
        <w:t xml:space="preserve"> </w:t>
      </w:r>
      <w:r w:rsidR="004B13E3">
        <w:rPr>
          <w:rFonts w:cs="Times New Roman"/>
          <w:sz w:val="24"/>
          <w:szCs w:val="24"/>
          <w:lang w:val="en-US"/>
        </w:rPr>
        <w:t>T</w:t>
      </w:r>
      <w:r w:rsidR="00C9069C" w:rsidRPr="00CD0D03">
        <w:rPr>
          <w:rFonts w:cs="Times New Roman"/>
          <w:sz w:val="24"/>
          <w:szCs w:val="24"/>
          <w:lang w:val="en-US"/>
        </w:rPr>
        <w:t xml:space="preserve">he downstream synaptic dysfunction and </w:t>
      </w:r>
      <w:r w:rsidR="000152FC">
        <w:rPr>
          <w:rFonts w:cs="Times New Roman"/>
          <w:sz w:val="24"/>
          <w:szCs w:val="24"/>
          <w:lang w:val="en-US"/>
        </w:rPr>
        <w:t>loss of brain integrity may be identified</w:t>
      </w:r>
      <w:r w:rsidR="000152FC" w:rsidRPr="00CD0D03">
        <w:rPr>
          <w:rFonts w:cs="Times New Roman"/>
          <w:sz w:val="24"/>
          <w:szCs w:val="24"/>
          <w:lang w:val="en-US"/>
        </w:rPr>
        <w:t xml:space="preserve"> </w:t>
      </w:r>
      <w:r w:rsidR="000152FC">
        <w:rPr>
          <w:rFonts w:cs="Times New Roman"/>
          <w:sz w:val="24"/>
          <w:szCs w:val="24"/>
          <w:lang w:val="en-US"/>
        </w:rPr>
        <w:t>using</w:t>
      </w:r>
      <w:r w:rsidR="000152FC" w:rsidRPr="00CD0D03">
        <w:rPr>
          <w:rFonts w:cs="Times New Roman"/>
          <w:sz w:val="24"/>
          <w:szCs w:val="24"/>
          <w:lang w:val="en-US"/>
        </w:rPr>
        <w:t xml:space="preserve"> </w:t>
      </w:r>
      <w:r w:rsidR="00C9069C" w:rsidRPr="00CD0D03">
        <w:rPr>
          <w:rFonts w:cs="Times New Roman"/>
          <w:sz w:val="24"/>
          <w:szCs w:val="24"/>
          <w:lang w:val="en-US"/>
        </w:rPr>
        <w:t>functional (FDG-PET, e.g. temporo-parietal hypometabolism</w:t>
      </w:r>
      <w:r w:rsidR="001036FB" w:rsidRPr="00CD0D03">
        <w:rPr>
          <w:rFonts w:cs="Times New Roman"/>
          <w:sz w:val="24"/>
          <w:szCs w:val="24"/>
          <w:lang w:val="en-US"/>
        </w:rPr>
        <w:t xml:space="preserve">; - de Leon, </w:t>
      </w:r>
      <w:r w:rsidR="00965902" w:rsidRPr="00CD0D03">
        <w:rPr>
          <w:rFonts w:cs="Times New Roman"/>
          <w:i/>
          <w:sz w:val="24"/>
          <w:szCs w:val="24"/>
          <w:lang w:val="en-US"/>
        </w:rPr>
        <w:t>et al</w:t>
      </w:r>
      <w:r w:rsidR="001036FB" w:rsidRPr="00CD0D03">
        <w:rPr>
          <w:rFonts w:cs="Times New Roman"/>
          <w:sz w:val="24"/>
          <w:szCs w:val="24"/>
          <w:lang w:val="en-US"/>
        </w:rPr>
        <w:t xml:space="preserve">., 1983, McGeer, </w:t>
      </w:r>
      <w:r w:rsidR="00965902" w:rsidRPr="00CD0D03">
        <w:rPr>
          <w:rFonts w:cs="Times New Roman"/>
          <w:i/>
          <w:sz w:val="24"/>
          <w:szCs w:val="24"/>
          <w:lang w:val="en-US"/>
        </w:rPr>
        <w:t>et al</w:t>
      </w:r>
      <w:r w:rsidR="001036FB" w:rsidRPr="00CD0D03">
        <w:rPr>
          <w:rFonts w:cs="Times New Roman"/>
          <w:sz w:val="24"/>
          <w:szCs w:val="24"/>
          <w:lang w:val="en-US"/>
        </w:rPr>
        <w:t>., 1986</w:t>
      </w:r>
      <w:r w:rsidR="00C9069C" w:rsidRPr="00CD0D03">
        <w:rPr>
          <w:rFonts w:cs="Times New Roman"/>
          <w:sz w:val="24"/>
          <w:szCs w:val="24"/>
          <w:lang w:val="en-US"/>
        </w:rPr>
        <w:t>)</w:t>
      </w:r>
      <w:r w:rsidR="00677136">
        <w:rPr>
          <w:rFonts w:cs="Times New Roman"/>
          <w:sz w:val="24"/>
          <w:szCs w:val="24"/>
          <w:lang w:val="en-US"/>
        </w:rPr>
        <w:t>,</w:t>
      </w:r>
      <w:r w:rsidR="00C9069C" w:rsidRPr="00CD0D03">
        <w:rPr>
          <w:rFonts w:cs="Times New Roman"/>
          <w:sz w:val="24"/>
          <w:szCs w:val="24"/>
          <w:lang w:val="en-US"/>
        </w:rPr>
        <w:t xml:space="preserve"> and structural neuroimaging (MRI</w:t>
      </w:r>
      <w:r w:rsidR="00334B42">
        <w:rPr>
          <w:rFonts w:cs="Times New Roman"/>
          <w:sz w:val="24"/>
          <w:szCs w:val="24"/>
          <w:lang w:val="en-US"/>
        </w:rPr>
        <w:t>). I</w:t>
      </w:r>
      <w:r w:rsidR="006912D9">
        <w:rPr>
          <w:rFonts w:cs="Times New Roman"/>
          <w:sz w:val="24"/>
          <w:szCs w:val="24"/>
          <w:lang w:val="en-US"/>
        </w:rPr>
        <w:t>n particular</w:t>
      </w:r>
      <w:r w:rsidR="00334B42">
        <w:rPr>
          <w:rFonts w:cs="Times New Roman"/>
          <w:sz w:val="24"/>
          <w:szCs w:val="24"/>
          <w:lang w:val="en-US"/>
        </w:rPr>
        <w:t>,</w:t>
      </w:r>
      <w:r w:rsidR="00C9069C" w:rsidRPr="00CD0D03">
        <w:rPr>
          <w:rFonts w:cs="Times New Roman"/>
          <w:sz w:val="24"/>
          <w:szCs w:val="24"/>
          <w:lang w:val="en-US"/>
        </w:rPr>
        <w:t xml:space="preserve"> medial temporal atrophy</w:t>
      </w:r>
      <w:r w:rsidR="00AA72B7">
        <w:rPr>
          <w:rFonts w:cs="Times New Roman"/>
          <w:sz w:val="24"/>
          <w:szCs w:val="24"/>
          <w:lang w:val="en-US"/>
        </w:rPr>
        <w:t xml:space="preserve">, assessed </w:t>
      </w:r>
      <w:r w:rsidR="00334B42">
        <w:rPr>
          <w:rFonts w:cs="Times New Roman"/>
          <w:sz w:val="24"/>
          <w:szCs w:val="24"/>
          <w:lang w:val="en-US"/>
        </w:rPr>
        <w:t xml:space="preserve">either </w:t>
      </w:r>
      <w:r w:rsidR="00AA72B7">
        <w:rPr>
          <w:rFonts w:cs="Times New Roman"/>
          <w:sz w:val="24"/>
          <w:szCs w:val="24"/>
          <w:lang w:val="en-US"/>
        </w:rPr>
        <w:t xml:space="preserve">visually </w:t>
      </w:r>
      <w:r w:rsidR="00334B42">
        <w:rPr>
          <w:rFonts w:cs="Times New Roman"/>
          <w:sz w:val="24"/>
          <w:szCs w:val="24"/>
          <w:lang w:val="en-US"/>
        </w:rPr>
        <w:t>(</w:t>
      </w:r>
      <w:r w:rsidR="00DC7DD3" w:rsidRPr="00CD0D03">
        <w:rPr>
          <w:rFonts w:cs="Times New Roman"/>
          <w:sz w:val="24"/>
          <w:szCs w:val="24"/>
          <w:lang w:val="en-US"/>
        </w:rPr>
        <w:t xml:space="preserve">Scheltens </w:t>
      </w:r>
      <w:r w:rsidR="00965902" w:rsidRPr="00CD0D03">
        <w:rPr>
          <w:rFonts w:cs="Times New Roman"/>
          <w:i/>
          <w:sz w:val="24"/>
          <w:szCs w:val="24"/>
          <w:lang w:val="en-US"/>
        </w:rPr>
        <w:t>et al</w:t>
      </w:r>
      <w:r w:rsidR="00DC7DD3" w:rsidRPr="00CD0D03">
        <w:rPr>
          <w:rFonts w:cs="Times New Roman"/>
          <w:sz w:val="24"/>
          <w:szCs w:val="24"/>
          <w:lang w:val="en-US"/>
        </w:rPr>
        <w:t>., 2002</w:t>
      </w:r>
      <w:r w:rsidR="00334B42">
        <w:rPr>
          <w:rFonts w:cs="Times New Roman"/>
          <w:sz w:val="24"/>
          <w:szCs w:val="24"/>
          <w:lang w:val="en-US"/>
        </w:rPr>
        <w:t>) or quantitatively</w:t>
      </w:r>
      <w:r w:rsidR="00AA72B7">
        <w:rPr>
          <w:rFonts w:cs="Times New Roman"/>
          <w:sz w:val="24"/>
          <w:szCs w:val="24"/>
          <w:lang w:val="en-US"/>
        </w:rPr>
        <w:t xml:space="preserve"> </w:t>
      </w:r>
      <w:r w:rsidR="00334B42">
        <w:rPr>
          <w:rFonts w:cs="Times New Roman"/>
          <w:sz w:val="24"/>
          <w:szCs w:val="24"/>
          <w:lang w:val="en-US"/>
        </w:rPr>
        <w:t>(</w:t>
      </w:r>
      <w:r w:rsidR="00AA72B7">
        <w:rPr>
          <w:rFonts w:cs="Times New Roman"/>
          <w:sz w:val="24"/>
          <w:szCs w:val="24"/>
          <w:lang w:val="en-US"/>
        </w:rPr>
        <w:t>Boccardi et al., 2015</w:t>
      </w:r>
      <w:r w:rsidR="00334B42">
        <w:rPr>
          <w:rFonts w:cs="Times New Roman"/>
          <w:sz w:val="24"/>
          <w:szCs w:val="24"/>
          <w:lang w:val="en-US"/>
        </w:rPr>
        <w:t>) has great prognostic value and automated quantification is</w:t>
      </w:r>
      <w:r w:rsidR="00A437A0">
        <w:rPr>
          <w:rFonts w:cs="Times New Roman"/>
          <w:sz w:val="24"/>
          <w:szCs w:val="24"/>
          <w:lang w:val="en-US"/>
        </w:rPr>
        <w:t xml:space="preserve"> now </w:t>
      </w:r>
      <w:r w:rsidR="00334B42">
        <w:rPr>
          <w:rFonts w:cs="Times New Roman"/>
          <w:sz w:val="24"/>
          <w:szCs w:val="24"/>
          <w:lang w:val="en-US"/>
        </w:rPr>
        <w:t>accessible to physicians through</w:t>
      </w:r>
      <w:r w:rsidR="00A437A0">
        <w:rPr>
          <w:rFonts w:cs="Times New Roman"/>
          <w:sz w:val="24"/>
          <w:szCs w:val="24"/>
          <w:lang w:val="en-US"/>
        </w:rPr>
        <w:t xml:space="preserve"> different services </w:t>
      </w:r>
      <w:r w:rsidR="00334B42">
        <w:rPr>
          <w:rFonts w:cs="Times New Roman"/>
          <w:sz w:val="24"/>
          <w:szCs w:val="24"/>
          <w:lang w:val="en-US"/>
        </w:rPr>
        <w:t>(</w:t>
      </w:r>
      <w:r w:rsidR="00A9549A" w:rsidRPr="00A9549A">
        <w:rPr>
          <w:rFonts w:cs="Times New Roman"/>
          <w:sz w:val="24"/>
          <w:szCs w:val="24"/>
          <w:lang w:val="en-US"/>
        </w:rPr>
        <w:t>Tanpitukpongse</w:t>
      </w:r>
      <w:r w:rsidR="00A9549A">
        <w:rPr>
          <w:rFonts w:cs="Times New Roman"/>
          <w:sz w:val="24"/>
          <w:szCs w:val="24"/>
          <w:lang w:val="en-US"/>
        </w:rPr>
        <w:t xml:space="preserve"> et al., 2017</w:t>
      </w:r>
      <w:r w:rsidR="00C9069C" w:rsidRPr="00CD0D03">
        <w:rPr>
          <w:rFonts w:cs="Times New Roman"/>
          <w:sz w:val="24"/>
          <w:szCs w:val="24"/>
          <w:lang w:val="en-US"/>
        </w:rPr>
        <w:t xml:space="preserve">). Finally, other </w:t>
      </w:r>
      <w:r w:rsidR="003F646D" w:rsidRPr="00CD0D03">
        <w:rPr>
          <w:rFonts w:cs="Times New Roman"/>
          <w:sz w:val="24"/>
          <w:szCs w:val="24"/>
          <w:lang w:val="en-US"/>
        </w:rPr>
        <w:t xml:space="preserve">assays </w:t>
      </w:r>
      <w:r w:rsidR="00C9069C" w:rsidRPr="00CD0D03">
        <w:rPr>
          <w:rFonts w:cs="Times New Roman"/>
          <w:sz w:val="24"/>
          <w:szCs w:val="24"/>
          <w:lang w:val="en-US"/>
        </w:rPr>
        <w:t>tapping pathophysiological processes (</w:t>
      </w:r>
      <w:r w:rsidR="00BD778C">
        <w:rPr>
          <w:rFonts w:cs="Times New Roman"/>
          <w:sz w:val="24"/>
          <w:szCs w:val="24"/>
          <w:lang w:val="en-US"/>
        </w:rPr>
        <w:t>namely, d</w:t>
      </w:r>
      <w:r w:rsidR="00BD778C" w:rsidRPr="00BD778C">
        <w:rPr>
          <w:rFonts w:cs="Times New Roman"/>
          <w:sz w:val="24"/>
          <w:szCs w:val="24"/>
          <w:lang w:val="en-US"/>
        </w:rPr>
        <w:t xml:space="preserve">egeneration of the dopaminergic nigrostriatal pathway </w:t>
      </w:r>
      <w:r w:rsidR="00BD778C">
        <w:rPr>
          <w:rFonts w:cs="Times New Roman"/>
          <w:sz w:val="24"/>
          <w:szCs w:val="24"/>
          <w:lang w:val="en-US"/>
        </w:rPr>
        <w:t xml:space="preserve">with </w:t>
      </w:r>
      <w:r w:rsidR="0088026F" w:rsidRPr="00CD0D03">
        <w:rPr>
          <w:rFonts w:cs="Times New Roman"/>
          <w:sz w:val="24"/>
          <w:szCs w:val="24"/>
          <w:vertAlign w:val="superscript"/>
          <w:lang w:val="en-US"/>
        </w:rPr>
        <w:t>123I</w:t>
      </w:r>
      <w:r w:rsidR="0088026F" w:rsidRPr="00CD0D03">
        <w:rPr>
          <w:rFonts w:cs="Times New Roman"/>
          <w:sz w:val="24"/>
          <w:szCs w:val="24"/>
          <w:lang w:val="en-US"/>
        </w:rPr>
        <w:t>MIBG scintigraphy -</w:t>
      </w:r>
      <w:r w:rsidR="0088026F" w:rsidRPr="00CD0D03">
        <w:rPr>
          <w:sz w:val="24"/>
          <w:szCs w:val="24"/>
          <w:lang w:val="en-US"/>
        </w:rPr>
        <w:t xml:space="preserve"> </w:t>
      </w:r>
      <w:r w:rsidR="0088026F" w:rsidRPr="00CD0D03">
        <w:rPr>
          <w:rFonts w:cs="Times New Roman"/>
          <w:sz w:val="24"/>
          <w:szCs w:val="24"/>
          <w:lang w:val="en-US"/>
        </w:rPr>
        <w:t>Treglia and Cason, 2012</w:t>
      </w:r>
      <w:r w:rsidR="00BD778C">
        <w:rPr>
          <w:rFonts w:cs="Times New Roman"/>
          <w:sz w:val="24"/>
          <w:szCs w:val="24"/>
          <w:lang w:val="en-US"/>
        </w:rPr>
        <w:t xml:space="preserve">, and </w:t>
      </w:r>
      <w:r w:rsidR="00280873" w:rsidRPr="00280873">
        <w:rPr>
          <w:rFonts w:cs="Times New Roman"/>
          <w:sz w:val="24"/>
          <w:szCs w:val="24"/>
          <w:lang w:val="en-US"/>
        </w:rPr>
        <w:t>myocardial postganglionic sympathetic dysfunction</w:t>
      </w:r>
      <w:r w:rsidR="00280873">
        <w:rPr>
          <w:rFonts w:cs="Times New Roman"/>
          <w:sz w:val="24"/>
          <w:szCs w:val="24"/>
          <w:lang w:val="en-US"/>
        </w:rPr>
        <w:t xml:space="preserve"> with</w:t>
      </w:r>
      <w:r w:rsidR="00C9069C" w:rsidRPr="00CD0D03">
        <w:rPr>
          <w:rFonts w:cs="Times New Roman"/>
          <w:sz w:val="24"/>
          <w:szCs w:val="24"/>
          <w:lang w:val="en-US"/>
        </w:rPr>
        <w:t xml:space="preserve"> </w:t>
      </w:r>
      <w:r w:rsidR="00AF59D3" w:rsidRPr="00DB6A32">
        <w:rPr>
          <w:rFonts w:cs="Times New Roman"/>
          <w:sz w:val="24"/>
          <w:szCs w:val="24"/>
          <w:vertAlign w:val="superscript"/>
          <w:lang w:val="en-US"/>
        </w:rPr>
        <w:t>123</w:t>
      </w:r>
      <w:r w:rsidR="0088026F" w:rsidRPr="00CD0D03">
        <w:rPr>
          <w:rFonts w:cs="Times New Roman"/>
          <w:sz w:val="24"/>
          <w:szCs w:val="24"/>
          <w:lang w:val="en-US"/>
        </w:rPr>
        <w:t xml:space="preserve">I-Ioflupane SPECT - Papathanasiou </w:t>
      </w:r>
      <w:r w:rsidR="00965902" w:rsidRPr="00CD0D03">
        <w:rPr>
          <w:rFonts w:cs="Times New Roman"/>
          <w:i/>
          <w:sz w:val="24"/>
          <w:szCs w:val="24"/>
          <w:lang w:val="en-US"/>
        </w:rPr>
        <w:t>et al</w:t>
      </w:r>
      <w:r w:rsidR="0088026F" w:rsidRPr="00CD0D03">
        <w:rPr>
          <w:rFonts w:cs="Times New Roman"/>
          <w:sz w:val="24"/>
          <w:szCs w:val="24"/>
          <w:lang w:val="en-US"/>
        </w:rPr>
        <w:t>., 2012</w:t>
      </w:r>
      <w:r w:rsidR="00C9069C" w:rsidRPr="00CD0D03">
        <w:rPr>
          <w:rFonts w:cs="Times New Roman"/>
          <w:sz w:val="24"/>
          <w:szCs w:val="24"/>
          <w:lang w:val="en-US"/>
        </w:rPr>
        <w:t xml:space="preserve">) </w:t>
      </w:r>
      <w:r w:rsidR="00677136">
        <w:rPr>
          <w:rFonts w:cs="Times New Roman"/>
          <w:sz w:val="24"/>
          <w:szCs w:val="24"/>
          <w:lang w:val="en-US"/>
        </w:rPr>
        <w:t>may be used</w:t>
      </w:r>
      <w:r w:rsidR="003B1956">
        <w:rPr>
          <w:rFonts w:cs="Times New Roman"/>
          <w:sz w:val="24"/>
          <w:szCs w:val="24"/>
          <w:lang w:val="en-US"/>
        </w:rPr>
        <w:t xml:space="preserve"> to exclude</w:t>
      </w:r>
      <w:r w:rsidR="003B1956" w:rsidRPr="00CD0D03" w:rsidDel="003B1956">
        <w:rPr>
          <w:rFonts w:cs="Times New Roman"/>
          <w:sz w:val="24"/>
          <w:szCs w:val="24"/>
          <w:lang w:val="en-US"/>
        </w:rPr>
        <w:t xml:space="preserve"> </w:t>
      </w:r>
      <w:r w:rsidR="00CB14D6" w:rsidRPr="00CD0D03">
        <w:rPr>
          <w:rFonts w:cs="Times New Roman"/>
          <w:sz w:val="24"/>
          <w:szCs w:val="24"/>
          <w:lang w:val="en-US"/>
        </w:rPr>
        <w:t>non-</w:t>
      </w:r>
      <w:r w:rsidR="00C9069C" w:rsidRPr="00CD0D03">
        <w:rPr>
          <w:rFonts w:cs="Times New Roman"/>
          <w:sz w:val="24"/>
          <w:szCs w:val="24"/>
          <w:lang w:val="en-US"/>
        </w:rPr>
        <w:t xml:space="preserve">AD </w:t>
      </w:r>
      <w:r w:rsidR="003B1956">
        <w:rPr>
          <w:rFonts w:cs="Times New Roman"/>
          <w:sz w:val="24"/>
          <w:szCs w:val="24"/>
          <w:lang w:val="en-US"/>
        </w:rPr>
        <w:t xml:space="preserve">degenerative </w:t>
      </w:r>
      <w:r w:rsidR="00CB14D6" w:rsidRPr="00CD0D03">
        <w:rPr>
          <w:rFonts w:cs="Times New Roman"/>
          <w:sz w:val="24"/>
          <w:szCs w:val="24"/>
          <w:lang w:val="en-US"/>
        </w:rPr>
        <w:t>disorders (e.g., Lewy</w:t>
      </w:r>
      <w:r w:rsidR="00770D47">
        <w:rPr>
          <w:rFonts w:cs="Times New Roman"/>
          <w:sz w:val="24"/>
          <w:szCs w:val="24"/>
          <w:lang w:val="en-US"/>
        </w:rPr>
        <w:t xml:space="preserve"> </w:t>
      </w:r>
      <w:r w:rsidR="00CB14D6" w:rsidRPr="00CD0D03">
        <w:rPr>
          <w:rFonts w:cs="Times New Roman"/>
          <w:sz w:val="24"/>
          <w:szCs w:val="24"/>
          <w:lang w:val="en-US"/>
        </w:rPr>
        <w:t>bod</w:t>
      </w:r>
      <w:r w:rsidR="00770D47">
        <w:rPr>
          <w:rFonts w:cs="Times New Roman"/>
          <w:sz w:val="24"/>
          <w:szCs w:val="24"/>
          <w:lang w:val="en-US"/>
        </w:rPr>
        <w:t>y</w:t>
      </w:r>
      <w:r w:rsidR="00CB14D6" w:rsidRPr="00CD0D03">
        <w:rPr>
          <w:rFonts w:cs="Times New Roman"/>
          <w:sz w:val="24"/>
          <w:szCs w:val="24"/>
          <w:lang w:val="en-US"/>
        </w:rPr>
        <w:t xml:space="preserve"> </w:t>
      </w:r>
      <w:r w:rsidR="00456EAE" w:rsidRPr="00CD0D03">
        <w:rPr>
          <w:rFonts w:cs="Times New Roman"/>
          <w:sz w:val="24"/>
          <w:szCs w:val="24"/>
          <w:lang w:val="en-US"/>
        </w:rPr>
        <w:t>dementia</w:t>
      </w:r>
      <w:r w:rsidR="00CB14D6" w:rsidRPr="00CD0D03">
        <w:rPr>
          <w:rFonts w:cs="Times New Roman"/>
          <w:sz w:val="24"/>
          <w:szCs w:val="24"/>
          <w:lang w:val="en-US"/>
        </w:rPr>
        <w:t>)</w:t>
      </w:r>
      <w:r w:rsidR="00C9069C" w:rsidRPr="00CD0D03">
        <w:rPr>
          <w:rFonts w:cs="Times New Roman"/>
          <w:sz w:val="24"/>
          <w:szCs w:val="24"/>
          <w:lang w:val="en-US"/>
        </w:rPr>
        <w:t>.</w:t>
      </w:r>
      <w:r w:rsidR="003B6E2E">
        <w:rPr>
          <w:rFonts w:cs="Times New Roman"/>
          <w:sz w:val="24"/>
          <w:szCs w:val="24"/>
          <w:lang w:val="en-US"/>
        </w:rPr>
        <w:t xml:space="preserve"> The possibility to detect or exclude pathophysiological processes typical of AD has additional value considering </w:t>
      </w:r>
      <w:r w:rsidR="001919FE">
        <w:rPr>
          <w:rFonts w:cs="Times New Roman"/>
          <w:sz w:val="24"/>
          <w:szCs w:val="24"/>
          <w:lang w:val="en-US"/>
        </w:rPr>
        <w:t>that differential diagnosis is further complicated by the</w:t>
      </w:r>
      <w:r w:rsidR="003B6E2E">
        <w:rPr>
          <w:rFonts w:cs="Times New Roman"/>
          <w:sz w:val="24"/>
          <w:szCs w:val="24"/>
          <w:lang w:val="en-US"/>
        </w:rPr>
        <w:t xml:space="preserve"> atypical presentations of AD (</w:t>
      </w:r>
      <w:r w:rsidR="00EA06EC">
        <w:rPr>
          <w:rFonts w:cs="Times New Roman"/>
          <w:sz w:val="24"/>
          <w:szCs w:val="24"/>
          <w:lang w:val="en-US"/>
        </w:rPr>
        <w:t xml:space="preserve">Dubois et al., 2010; </w:t>
      </w:r>
      <w:r w:rsidR="003B6E2E">
        <w:rPr>
          <w:rFonts w:cs="Times New Roman"/>
          <w:sz w:val="24"/>
          <w:szCs w:val="24"/>
          <w:lang w:val="en-US"/>
        </w:rPr>
        <w:t xml:space="preserve">McKhann et al., 2011). </w:t>
      </w:r>
    </w:p>
    <w:p w14:paraId="3BB3E86E" w14:textId="0C0A78D9" w:rsidR="000C6EE4" w:rsidRPr="00CD0D03" w:rsidRDefault="00506811" w:rsidP="00A83B7C">
      <w:pPr>
        <w:spacing w:line="480" w:lineRule="auto"/>
        <w:ind w:firstLine="360"/>
        <w:rPr>
          <w:sz w:val="24"/>
          <w:szCs w:val="24"/>
          <w:lang w:val="en-US"/>
        </w:rPr>
      </w:pPr>
      <w:r w:rsidRPr="00CD0D03">
        <w:rPr>
          <w:sz w:val="24"/>
          <w:szCs w:val="24"/>
          <w:lang w:val="en-US"/>
        </w:rPr>
        <w:t xml:space="preserve">The </w:t>
      </w:r>
      <w:r w:rsidR="0036495F">
        <w:rPr>
          <w:sz w:val="24"/>
          <w:szCs w:val="24"/>
          <w:lang w:val="en-US"/>
        </w:rPr>
        <w:t xml:space="preserve">contribution of these AD biomarkers to improve the accuracy of the clinical diagnosis </w:t>
      </w:r>
      <w:r w:rsidR="003F646D" w:rsidRPr="00CD0D03">
        <w:rPr>
          <w:sz w:val="24"/>
          <w:szCs w:val="24"/>
          <w:lang w:val="en-US"/>
        </w:rPr>
        <w:t>depend</w:t>
      </w:r>
      <w:r w:rsidR="0036495F">
        <w:rPr>
          <w:sz w:val="24"/>
          <w:szCs w:val="24"/>
          <w:lang w:val="en-US"/>
        </w:rPr>
        <w:t>s</w:t>
      </w:r>
      <w:r w:rsidR="003F646D" w:rsidRPr="00CD0D03">
        <w:rPr>
          <w:sz w:val="24"/>
          <w:szCs w:val="24"/>
          <w:lang w:val="en-US"/>
        </w:rPr>
        <w:t xml:space="preserve"> on the demonstration of their analytical validity, that is their ability to detect</w:t>
      </w:r>
      <w:r w:rsidRPr="00CD0D03">
        <w:rPr>
          <w:sz w:val="24"/>
          <w:szCs w:val="24"/>
          <w:lang w:val="en-US"/>
        </w:rPr>
        <w:t xml:space="preserve"> </w:t>
      </w:r>
      <w:r w:rsidR="005E7FB6" w:rsidRPr="00CD0D03">
        <w:rPr>
          <w:sz w:val="24"/>
          <w:szCs w:val="24"/>
          <w:lang w:val="en-US"/>
        </w:rPr>
        <w:t xml:space="preserve">the key pathological hallmarks of </w:t>
      </w:r>
      <w:r w:rsidR="003F646D" w:rsidRPr="00CD0D03">
        <w:rPr>
          <w:sz w:val="24"/>
          <w:szCs w:val="24"/>
          <w:lang w:val="en-US"/>
        </w:rPr>
        <w:t>AD and</w:t>
      </w:r>
      <w:r w:rsidR="00677136">
        <w:rPr>
          <w:sz w:val="24"/>
          <w:szCs w:val="24"/>
          <w:lang w:val="en-US"/>
        </w:rPr>
        <w:t xml:space="preserve"> the correlated</w:t>
      </w:r>
      <w:r w:rsidR="003F646D" w:rsidRPr="00CD0D03">
        <w:rPr>
          <w:sz w:val="24"/>
          <w:szCs w:val="24"/>
          <w:lang w:val="en-US"/>
        </w:rPr>
        <w:t xml:space="preserve"> brain damage and dysfunctions</w:t>
      </w:r>
      <w:r w:rsidR="0036495F">
        <w:rPr>
          <w:sz w:val="24"/>
          <w:szCs w:val="24"/>
          <w:lang w:val="en-US"/>
        </w:rPr>
        <w:t xml:space="preserve">. The </w:t>
      </w:r>
      <w:r w:rsidR="000A1CDB">
        <w:rPr>
          <w:sz w:val="24"/>
          <w:szCs w:val="24"/>
          <w:lang w:val="en-US"/>
        </w:rPr>
        <w:t xml:space="preserve">available empirical </w:t>
      </w:r>
      <w:r w:rsidR="0036495F">
        <w:rPr>
          <w:sz w:val="24"/>
          <w:szCs w:val="24"/>
          <w:lang w:val="en-US"/>
        </w:rPr>
        <w:t>evidence</w:t>
      </w:r>
      <w:r w:rsidR="000A1CDB">
        <w:rPr>
          <w:sz w:val="24"/>
          <w:szCs w:val="24"/>
          <w:lang w:val="en-US"/>
        </w:rPr>
        <w:t xml:space="preserve"> on the analytical and clinical validity of the aforementioned AD biomarkers is presented in the six reviews</w:t>
      </w:r>
      <w:r w:rsidR="00A22819" w:rsidRPr="00CD0D03">
        <w:rPr>
          <w:sz w:val="24"/>
          <w:szCs w:val="24"/>
          <w:lang w:val="en-US"/>
        </w:rPr>
        <w:t xml:space="preserve"> reported in this issue (Cerami </w:t>
      </w:r>
      <w:r w:rsidR="00965902" w:rsidRPr="00CD0D03">
        <w:rPr>
          <w:i/>
          <w:sz w:val="24"/>
          <w:szCs w:val="24"/>
          <w:lang w:val="en-US"/>
        </w:rPr>
        <w:t>et al</w:t>
      </w:r>
      <w:r w:rsidR="0066499A">
        <w:rPr>
          <w:sz w:val="24"/>
          <w:szCs w:val="24"/>
          <w:lang w:val="en-US"/>
        </w:rPr>
        <w:t>.</w:t>
      </w:r>
      <w:r w:rsidR="00A22819" w:rsidRPr="00CD0D03">
        <w:rPr>
          <w:sz w:val="24"/>
          <w:szCs w:val="24"/>
          <w:lang w:val="en-US"/>
        </w:rPr>
        <w:t>; Garibotto et a</w:t>
      </w:r>
      <w:r w:rsidR="0066499A">
        <w:rPr>
          <w:sz w:val="24"/>
          <w:szCs w:val="24"/>
          <w:lang w:val="en-US"/>
        </w:rPr>
        <w:t>l.</w:t>
      </w:r>
      <w:r w:rsidR="00A22819" w:rsidRPr="00CD0D03">
        <w:rPr>
          <w:sz w:val="24"/>
          <w:szCs w:val="24"/>
          <w:lang w:val="en-US"/>
        </w:rPr>
        <w:t xml:space="preserve">; Sonni </w:t>
      </w:r>
      <w:r w:rsidR="00965902" w:rsidRPr="00CD0D03">
        <w:rPr>
          <w:i/>
          <w:sz w:val="24"/>
          <w:szCs w:val="24"/>
          <w:lang w:val="en-US"/>
        </w:rPr>
        <w:t>et al</w:t>
      </w:r>
      <w:r w:rsidR="0066499A">
        <w:rPr>
          <w:sz w:val="24"/>
          <w:szCs w:val="24"/>
          <w:lang w:val="en-US"/>
        </w:rPr>
        <w:t>.</w:t>
      </w:r>
      <w:r w:rsidR="00A22819" w:rsidRPr="00CD0D03">
        <w:rPr>
          <w:sz w:val="24"/>
          <w:szCs w:val="24"/>
          <w:lang w:val="en-US"/>
        </w:rPr>
        <w:t xml:space="preserve">; TenKate </w:t>
      </w:r>
      <w:r w:rsidR="00965902" w:rsidRPr="00CD0D03">
        <w:rPr>
          <w:i/>
          <w:sz w:val="24"/>
          <w:szCs w:val="24"/>
          <w:lang w:val="en-US"/>
        </w:rPr>
        <w:t>et al</w:t>
      </w:r>
      <w:r w:rsidR="0066499A">
        <w:rPr>
          <w:sz w:val="24"/>
          <w:szCs w:val="24"/>
          <w:lang w:val="en-US"/>
        </w:rPr>
        <w:t>.</w:t>
      </w:r>
      <w:r w:rsidR="00A22819" w:rsidRPr="00CD0D03">
        <w:rPr>
          <w:sz w:val="24"/>
          <w:szCs w:val="24"/>
          <w:lang w:val="en-US"/>
        </w:rPr>
        <w:t xml:space="preserve">; Mattsson </w:t>
      </w:r>
      <w:r w:rsidR="00965902" w:rsidRPr="00CD0D03">
        <w:rPr>
          <w:i/>
          <w:sz w:val="24"/>
          <w:szCs w:val="24"/>
          <w:lang w:val="en-US"/>
        </w:rPr>
        <w:t>et al</w:t>
      </w:r>
      <w:r w:rsidR="0066499A">
        <w:rPr>
          <w:sz w:val="24"/>
          <w:szCs w:val="24"/>
          <w:lang w:val="en-US"/>
        </w:rPr>
        <w:t>.</w:t>
      </w:r>
      <w:r w:rsidR="00A22819" w:rsidRPr="00CD0D03">
        <w:rPr>
          <w:sz w:val="24"/>
          <w:szCs w:val="24"/>
          <w:lang w:val="en-US"/>
        </w:rPr>
        <w:t xml:space="preserve">; Chiotis </w:t>
      </w:r>
      <w:r w:rsidR="00965902" w:rsidRPr="00CD0D03">
        <w:rPr>
          <w:i/>
          <w:sz w:val="24"/>
          <w:szCs w:val="24"/>
          <w:lang w:val="en-US"/>
        </w:rPr>
        <w:t>et al</w:t>
      </w:r>
      <w:r w:rsidR="00A22819" w:rsidRPr="00CD0D03">
        <w:rPr>
          <w:sz w:val="24"/>
          <w:szCs w:val="24"/>
          <w:lang w:val="en-US"/>
        </w:rPr>
        <w:t xml:space="preserve">., </w:t>
      </w:r>
      <w:r w:rsidR="005525F3">
        <w:rPr>
          <w:sz w:val="24"/>
          <w:szCs w:val="24"/>
          <w:lang w:val="en-US"/>
        </w:rPr>
        <w:t>2017, in this issue</w:t>
      </w:r>
      <w:r w:rsidR="00A22819" w:rsidRPr="00CD0D03">
        <w:rPr>
          <w:sz w:val="24"/>
          <w:szCs w:val="24"/>
          <w:lang w:val="en-US"/>
        </w:rPr>
        <w:t>)</w:t>
      </w:r>
      <w:r w:rsidR="005E7FB6" w:rsidRPr="00CD0D03">
        <w:rPr>
          <w:sz w:val="24"/>
          <w:szCs w:val="24"/>
          <w:lang w:val="en-US"/>
        </w:rPr>
        <w:t xml:space="preserve">. </w:t>
      </w:r>
      <w:r w:rsidR="003F646D" w:rsidRPr="00CD0D03">
        <w:rPr>
          <w:sz w:val="24"/>
          <w:szCs w:val="24"/>
          <w:lang w:val="en-US"/>
        </w:rPr>
        <w:t>T</w:t>
      </w:r>
      <w:r w:rsidR="00E11889" w:rsidRPr="00CD0D03">
        <w:rPr>
          <w:sz w:val="24"/>
          <w:szCs w:val="24"/>
          <w:lang w:val="en-US"/>
        </w:rPr>
        <w:t xml:space="preserve">he </w:t>
      </w:r>
      <w:r w:rsidR="003E4D1B" w:rsidRPr="00CD0D03">
        <w:rPr>
          <w:sz w:val="24"/>
          <w:szCs w:val="24"/>
          <w:lang w:val="en-US"/>
        </w:rPr>
        <w:t>availability</w:t>
      </w:r>
      <w:r w:rsidR="00E11889" w:rsidRPr="00CD0D03">
        <w:rPr>
          <w:sz w:val="24"/>
          <w:szCs w:val="24"/>
          <w:lang w:val="en-US"/>
        </w:rPr>
        <w:t xml:space="preserve"> of</w:t>
      </w:r>
      <w:r w:rsidR="003E4D1B" w:rsidRPr="00CD0D03">
        <w:rPr>
          <w:sz w:val="24"/>
          <w:szCs w:val="24"/>
          <w:lang w:val="en-US"/>
        </w:rPr>
        <w:t xml:space="preserve"> </w:t>
      </w:r>
      <w:r w:rsidR="003E4D1B" w:rsidRPr="00CD0D03">
        <w:rPr>
          <w:i/>
          <w:sz w:val="24"/>
          <w:szCs w:val="24"/>
          <w:lang w:val="en-US"/>
        </w:rPr>
        <w:t>in vivo</w:t>
      </w:r>
      <w:r w:rsidR="00E11889" w:rsidRPr="00CD0D03">
        <w:rPr>
          <w:sz w:val="24"/>
          <w:szCs w:val="24"/>
          <w:lang w:val="en-US"/>
        </w:rPr>
        <w:t xml:space="preserve"> </w:t>
      </w:r>
      <w:r w:rsidR="004A60E0" w:rsidRPr="00CD0D03">
        <w:rPr>
          <w:sz w:val="24"/>
          <w:szCs w:val="24"/>
          <w:lang w:val="en-US"/>
        </w:rPr>
        <w:t xml:space="preserve">measures of AD pathology </w:t>
      </w:r>
      <w:r w:rsidR="00CB7980" w:rsidRPr="00CD0D03">
        <w:rPr>
          <w:sz w:val="24"/>
          <w:szCs w:val="24"/>
          <w:lang w:val="en-US"/>
        </w:rPr>
        <w:t xml:space="preserve">of </w:t>
      </w:r>
      <w:r w:rsidR="004A60E0" w:rsidRPr="00CD0D03">
        <w:rPr>
          <w:sz w:val="24"/>
          <w:szCs w:val="24"/>
          <w:lang w:val="en-US"/>
        </w:rPr>
        <w:t>prove</w:t>
      </w:r>
      <w:r w:rsidR="00770D47">
        <w:rPr>
          <w:sz w:val="24"/>
          <w:szCs w:val="24"/>
          <w:lang w:val="en-US"/>
        </w:rPr>
        <w:t>n</w:t>
      </w:r>
      <w:r w:rsidR="004A60E0" w:rsidRPr="00CD0D03">
        <w:rPr>
          <w:sz w:val="24"/>
          <w:szCs w:val="24"/>
          <w:lang w:val="en-US"/>
        </w:rPr>
        <w:t xml:space="preserve"> </w:t>
      </w:r>
      <w:r w:rsidR="00E11889" w:rsidRPr="00CD0D03">
        <w:rPr>
          <w:sz w:val="24"/>
          <w:szCs w:val="24"/>
          <w:lang w:val="en-US"/>
        </w:rPr>
        <w:t>analytical valid</w:t>
      </w:r>
      <w:r w:rsidR="00CB7980" w:rsidRPr="00CD0D03">
        <w:rPr>
          <w:sz w:val="24"/>
          <w:szCs w:val="24"/>
          <w:lang w:val="en-US"/>
        </w:rPr>
        <w:t>ity</w:t>
      </w:r>
      <w:r w:rsidR="00E11889" w:rsidRPr="00CD0D03">
        <w:rPr>
          <w:sz w:val="24"/>
          <w:szCs w:val="24"/>
          <w:lang w:val="en-US"/>
        </w:rPr>
        <w:t xml:space="preserve"> </w:t>
      </w:r>
      <w:proofErr w:type="gramStart"/>
      <w:r w:rsidR="003F646D" w:rsidRPr="00CD0D03">
        <w:rPr>
          <w:sz w:val="24"/>
          <w:szCs w:val="24"/>
          <w:lang w:val="en-US"/>
        </w:rPr>
        <w:t>has</w:t>
      </w:r>
      <w:proofErr w:type="gramEnd"/>
      <w:r w:rsidR="003F646D" w:rsidRPr="00CD0D03">
        <w:rPr>
          <w:sz w:val="24"/>
          <w:szCs w:val="24"/>
          <w:lang w:val="en-US"/>
        </w:rPr>
        <w:t xml:space="preserve"> the transformative potential to </w:t>
      </w:r>
      <w:r w:rsidR="0036495F">
        <w:rPr>
          <w:sz w:val="24"/>
          <w:szCs w:val="24"/>
          <w:lang w:val="en-US"/>
        </w:rPr>
        <w:t xml:space="preserve">provide </w:t>
      </w:r>
      <w:r w:rsidR="00953304">
        <w:rPr>
          <w:sz w:val="24"/>
          <w:szCs w:val="24"/>
          <w:lang w:val="en-US"/>
        </w:rPr>
        <w:t>a diagnosis of</w:t>
      </w:r>
      <w:r w:rsidR="0036495F">
        <w:rPr>
          <w:sz w:val="24"/>
          <w:szCs w:val="24"/>
          <w:lang w:val="en-US"/>
        </w:rPr>
        <w:t xml:space="preserve"> AD </w:t>
      </w:r>
      <w:r w:rsidR="00953304">
        <w:rPr>
          <w:sz w:val="24"/>
          <w:szCs w:val="24"/>
          <w:lang w:val="en-US"/>
        </w:rPr>
        <w:t xml:space="preserve">based on a </w:t>
      </w:r>
      <w:r w:rsidR="0036495F">
        <w:rPr>
          <w:sz w:val="24"/>
          <w:szCs w:val="24"/>
          <w:lang w:val="en-US"/>
        </w:rPr>
        <w:t>clinic</w:t>
      </w:r>
      <w:r w:rsidR="004B7CB7">
        <w:rPr>
          <w:sz w:val="24"/>
          <w:szCs w:val="24"/>
          <w:lang w:val="en-US"/>
        </w:rPr>
        <w:t>o</w:t>
      </w:r>
      <w:r w:rsidR="0036495F">
        <w:rPr>
          <w:sz w:val="24"/>
          <w:szCs w:val="24"/>
          <w:lang w:val="en-US"/>
        </w:rPr>
        <w:t xml:space="preserve">-biological </w:t>
      </w:r>
      <w:r w:rsidR="00953304">
        <w:rPr>
          <w:sz w:val="24"/>
          <w:szCs w:val="24"/>
          <w:lang w:val="en-US"/>
        </w:rPr>
        <w:t xml:space="preserve">rather than </w:t>
      </w:r>
      <w:r w:rsidR="0036495F">
        <w:rPr>
          <w:sz w:val="24"/>
          <w:szCs w:val="24"/>
          <w:lang w:val="en-US"/>
        </w:rPr>
        <w:t>clinic</w:t>
      </w:r>
      <w:r w:rsidR="004B7CB7">
        <w:rPr>
          <w:sz w:val="24"/>
          <w:szCs w:val="24"/>
          <w:lang w:val="en-US"/>
        </w:rPr>
        <w:t>o</w:t>
      </w:r>
      <w:r w:rsidR="0036495F">
        <w:rPr>
          <w:sz w:val="24"/>
          <w:szCs w:val="24"/>
          <w:lang w:val="en-US"/>
        </w:rPr>
        <w:t>-pathological basis.</w:t>
      </w:r>
      <w:r w:rsidR="004A60E0" w:rsidRPr="00CD0D03">
        <w:rPr>
          <w:sz w:val="24"/>
          <w:szCs w:val="24"/>
          <w:lang w:val="en-US"/>
        </w:rPr>
        <w:t xml:space="preserve"> </w:t>
      </w:r>
      <w:r w:rsidR="003F646D" w:rsidRPr="00CD0D03">
        <w:rPr>
          <w:sz w:val="24"/>
          <w:szCs w:val="24"/>
          <w:lang w:val="en-US"/>
        </w:rPr>
        <w:t>Moreover, because t</w:t>
      </w:r>
      <w:r w:rsidR="00CB7980" w:rsidRPr="00CD0D03">
        <w:rPr>
          <w:sz w:val="24"/>
          <w:szCs w:val="24"/>
          <w:lang w:val="en-US"/>
        </w:rPr>
        <w:t xml:space="preserve">he neuropathology underlying AD accumulates gradually over several </w:t>
      </w:r>
      <w:r w:rsidR="004E211F">
        <w:rPr>
          <w:sz w:val="24"/>
          <w:szCs w:val="24"/>
          <w:lang w:val="en-US"/>
        </w:rPr>
        <w:t>decades</w:t>
      </w:r>
      <w:r w:rsidR="004E211F" w:rsidRPr="00CD0D03">
        <w:rPr>
          <w:sz w:val="24"/>
          <w:szCs w:val="24"/>
          <w:lang w:val="en-US"/>
        </w:rPr>
        <w:t xml:space="preserve"> </w:t>
      </w:r>
      <w:r w:rsidR="00CB7980" w:rsidRPr="00CD0D03">
        <w:rPr>
          <w:sz w:val="24"/>
          <w:szCs w:val="24"/>
          <w:lang w:val="en-US"/>
        </w:rPr>
        <w:t>and the insidious onset of the disease reflects the long</w:t>
      </w:r>
      <w:r w:rsidR="008705C8" w:rsidRPr="00CD0D03">
        <w:rPr>
          <w:sz w:val="24"/>
          <w:szCs w:val="24"/>
          <w:lang w:val="en-US"/>
        </w:rPr>
        <w:t xml:space="preserve"> induc</w:t>
      </w:r>
      <w:r w:rsidR="006607A5">
        <w:rPr>
          <w:sz w:val="24"/>
          <w:szCs w:val="24"/>
          <w:lang w:val="en-US"/>
        </w:rPr>
        <w:t>tion and latency periods (Jack et al.,</w:t>
      </w:r>
      <w:r w:rsidR="008705C8" w:rsidRPr="00CD0D03">
        <w:rPr>
          <w:sz w:val="24"/>
          <w:szCs w:val="24"/>
          <w:lang w:val="en-US"/>
        </w:rPr>
        <w:t xml:space="preserve"> 2013)</w:t>
      </w:r>
      <w:r w:rsidR="003F646D" w:rsidRPr="00CD0D03">
        <w:rPr>
          <w:sz w:val="24"/>
          <w:szCs w:val="24"/>
          <w:lang w:val="en-US"/>
        </w:rPr>
        <w:t xml:space="preserve">, </w:t>
      </w:r>
      <w:r w:rsidR="00E10415" w:rsidRPr="00CD0D03">
        <w:rPr>
          <w:sz w:val="24"/>
          <w:szCs w:val="24"/>
          <w:lang w:val="en-US"/>
        </w:rPr>
        <w:t>t</w:t>
      </w:r>
      <w:r w:rsidR="00CB7980" w:rsidRPr="00CD0D03">
        <w:rPr>
          <w:sz w:val="24"/>
          <w:szCs w:val="24"/>
          <w:lang w:val="en-US"/>
        </w:rPr>
        <w:t>he possibility to accurately measure AD-</w:t>
      </w:r>
      <w:r w:rsidR="000B08F7">
        <w:rPr>
          <w:sz w:val="24"/>
          <w:szCs w:val="24"/>
          <w:lang w:val="en-US"/>
        </w:rPr>
        <w:lastRenderedPageBreak/>
        <w:t xml:space="preserve">related brain changes </w:t>
      </w:r>
      <w:r w:rsidR="004A60E0" w:rsidRPr="00880178">
        <w:rPr>
          <w:i/>
          <w:sz w:val="24"/>
          <w:szCs w:val="24"/>
          <w:lang w:val="en-US"/>
        </w:rPr>
        <w:t xml:space="preserve">in </w:t>
      </w:r>
      <w:r w:rsidR="000B08F7" w:rsidRPr="00880178">
        <w:rPr>
          <w:i/>
          <w:sz w:val="24"/>
          <w:szCs w:val="24"/>
          <w:lang w:val="en-US"/>
        </w:rPr>
        <w:t>vivo</w:t>
      </w:r>
      <w:r w:rsidR="00CB7980" w:rsidRPr="00CD0D03">
        <w:rPr>
          <w:sz w:val="24"/>
          <w:szCs w:val="24"/>
          <w:lang w:val="en-US"/>
        </w:rPr>
        <w:t xml:space="preserve"> can substantially contribute to </w:t>
      </w:r>
      <w:r w:rsidR="00770D47">
        <w:rPr>
          <w:sz w:val="24"/>
          <w:szCs w:val="24"/>
          <w:lang w:val="en-US"/>
        </w:rPr>
        <w:t xml:space="preserve">the </w:t>
      </w:r>
      <w:r w:rsidR="00415AAA">
        <w:rPr>
          <w:sz w:val="24"/>
          <w:szCs w:val="24"/>
          <w:lang w:val="en-US"/>
        </w:rPr>
        <w:t>detect</w:t>
      </w:r>
      <w:r w:rsidR="00770D47">
        <w:rPr>
          <w:sz w:val="24"/>
          <w:szCs w:val="24"/>
          <w:lang w:val="en-US"/>
        </w:rPr>
        <w:t>ion of</w:t>
      </w:r>
      <w:r w:rsidR="00415AAA" w:rsidRPr="00CD0D03">
        <w:rPr>
          <w:sz w:val="24"/>
          <w:szCs w:val="24"/>
          <w:lang w:val="en-US"/>
        </w:rPr>
        <w:t xml:space="preserve"> </w:t>
      </w:r>
      <w:r w:rsidR="00E11889" w:rsidRPr="00CD0D03">
        <w:rPr>
          <w:sz w:val="24"/>
          <w:szCs w:val="24"/>
          <w:lang w:val="en-US"/>
        </w:rPr>
        <w:t>AD</w:t>
      </w:r>
      <w:r w:rsidR="00415AAA">
        <w:rPr>
          <w:sz w:val="24"/>
          <w:szCs w:val="24"/>
          <w:lang w:val="en-US"/>
        </w:rPr>
        <w:t xml:space="preserve"> at </w:t>
      </w:r>
      <w:r w:rsidR="000A1CDB">
        <w:rPr>
          <w:sz w:val="24"/>
          <w:szCs w:val="24"/>
          <w:lang w:val="en-US"/>
        </w:rPr>
        <w:t xml:space="preserve">the </w:t>
      </w:r>
      <w:r w:rsidR="00415AAA">
        <w:rPr>
          <w:sz w:val="24"/>
          <w:szCs w:val="24"/>
          <w:lang w:val="en-US"/>
        </w:rPr>
        <w:t>preclinical stage</w:t>
      </w:r>
      <w:r w:rsidR="000A1CDB">
        <w:rPr>
          <w:sz w:val="24"/>
          <w:szCs w:val="24"/>
          <w:lang w:val="en-US"/>
        </w:rPr>
        <w:t xml:space="preserve"> </w:t>
      </w:r>
      <w:r w:rsidR="00415AAA">
        <w:rPr>
          <w:sz w:val="24"/>
          <w:szCs w:val="24"/>
          <w:lang w:val="en-US"/>
        </w:rPr>
        <w:t xml:space="preserve">when future curative treatments </w:t>
      </w:r>
      <w:r w:rsidR="000A1CDB">
        <w:rPr>
          <w:sz w:val="24"/>
          <w:szCs w:val="24"/>
          <w:lang w:val="en-US"/>
        </w:rPr>
        <w:t>might</w:t>
      </w:r>
      <w:r w:rsidR="00415AAA">
        <w:rPr>
          <w:sz w:val="24"/>
          <w:szCs w:val="24"/>
          <w:lang w:val="en-US"/>
        </w:rPr>
        <w:t xml:space="preserve"> be more </w:t>
      </w:r>
      <w:r w:rsidR="000A1CDB">
        <w:rPr>
          <w:sz w:val="24"/>
          <w:szCs w:val="24"/>
          <w:lang w:val="en-US"/>
        </w:rPr>
        <w:t>efficacious</w:t>
      </w:r>
      <w:r w:rsidR="00E11889" w:rsidRPr="00CD0D03">
        <w:rPr>
          <w:sz w:val="24"/>
          <w:szCs w:val="24"/>
          <w:lang w:val="en-US"/>
        </w:rPr>
        <w:t>.</w:t>
      </w:r>
    </w:p>
    <w:p w14:paraId="7FE8AAD5" w14:textId="77777777" w:rsidR="00296B05" w:rsidRPr="00FE22B5" w:rsidRDefault="007E34EE" w:rsidP="00A83B7C">
      <w:pPr>
        <w:pStyle w:val="Paragrafoelenco"/>
        <w:numPr>
          <w:ilvl w:val="1"/>
          <w:numId w:val="2"/>
        </w:numPr>
        <w:spacing w:line="480" w:lineRule="auto"/>
        <w:ind w:left="426"/>
        <w:rPr>
          <w:rFonts w:cs="Times New Roman"/>
          <w:i/>
          <w:sz w:val="24"/>
          <w:szCs w:val="24"/>
          <w:lang w:val="en-US"/>
        </w:rPr>
      </w:pPr>
      <w:r w:rsidRPr="00CD0D03">
        <w:rPr>
          <w:rFonts w:cs="Times New Roman"/>
          <w:i/>
          <w:sz w:val="24"/>
          <w:szCs w:val="24"/>
          <w:lang w:val="en-US"/>
        </w:rPr>
        <w:t xml:space="preserve">Relevance of </w:t>
      </w:r>
      <w:r w:rsidR="00C53650">
        <w:rPr>
          <w:rFonts w:cs="Times New Roman"/>
          <w:i/>
          <w:sz w:val="24"/>
          <w:szCs w:val="24"/>
          <w:lang w:val="en-US"/>
        </w:rPr>
        <w:t>early</w:t>
      </w:r>
      <w:r w:rsidR="00C53650" w:rsidRPr="00CD0D03">
        <w:rPr>
          <w:rFonts w:cs="Times New Roman"/>
          <w:i/>
          <w:sz w:val="24"/>
          <w:szCs w:val="24"/>
          <w:lang w:val="en-US"/>
        </w:rPr>
        <w:t xml:space="preserve"> </w:t>
      </w:r>
      <w:r w:rsidRPr="00CD0D03">
        <w:rPr>
          <w:rFonts w:cs="Times New Roman"/>
          <w:i/>
          <w:sz w:val="24"/>
          <w:szCs w:val="24"/>
          <w:lang w:val="en-US"/>
        </w:rPr>
        <w:t xml:space="preserve">diagnosis </w:t>
      </w:r>
      <w:r w:rsidR="00C66CE3" w:rsidRPr="00827A76">
        <w:rPr>
          <w:sz w:val="24"/>
          <w:szCs w:val="24"/>
          <w:highlight w:val="green"/>
          <w:lang w:val="en-US"/>
        </w:rPr>
        <w:t xml:space="preserve"> </w:t>
      </w:r>
    </w:p>
    <w:p w14:paraId="1BEEBCA5" w14:textId="403D3E85" w:rsidR="005A06AC" w:rsidRPr="00CD0D03" w:rsidRDefault="006F1607" w:rsidP="00A83B7C">
      <w:pPr>
        <w:spacing w:line="480" w:lineRule="auto"/>
        <w:rPr>
          <w:sz w:val="24"/>
          <w:szCs w:val="24"/>
          <w:lang w:val="en-US"/>
        </w:rPr>
      </w:pPr>
      <w:r>
        <w:rPr>
          <w:sz w:val="24"/>
          <w:szCs w:val="24"/>
          <w:lang w:val="en-US"/>
        </w:rPr>
        <w:t xml:space="preserve">Currently, </w:t>
      </w:r>
      <w:r w:rsidRPr="00CD0D03">
        <w:rPr>
          <w:sz w:val="24"/>
          <w:szCs w:val="24"/>
          <w:lang w:val="en-US"/>
        </w:rPr>
        <w:t>the ability of biomarkers alone to predict the clinical expression of AD in no</w:t>
      </w:r>
      <w:r>
        <w:rPr>
          <w:sz w:val="24"/>
          <w:szCs w:val="24"/>
          <w:lang w:val="en-US"/>
        </w:rPr>
        <w:t xml:space="preserve">t yet </w:t>
      </w:r>
      <w:r w:rsidRPr="00CD0D03">
        <w:rPr>
          <w:sz w:val="24"/>
          <w:szCs w:val="24"/>
          <w:lang w:val="en-US"/>
        </w:rPr>
        <w:t xml:space="preserve">symptomatic individuals is not known (Sperling </w:t>
      </w:r>
      <w:r w:rsidRPr="00CD0D03">
        <w:rPr>
          <w:i/>
          <w:sz w:val="24"/>
          <w:szCs w:val="24"/>
          <w:lang w:val="en-US"/>
        </w:rPr>
        <w:t>et al</w:t>
      </w:r>
      <w:r w:rsidRPr="00CD0D03">
        <w:rPr>
          <w:sz w:val="24"/>
          <w:szCs w:val="24"/>
          <w:lang w:val="en-US"/>
        </w:rPr>
        <w:t>., 2011).</w:t>
      </w:r>
      <w:r>
        <w:rPr>
          <w:sz w:val="24"/>
          <w:szCs w:val="24"/>
          <w:lang w:val="en-US"/>
        </w:rPr>
        <w:t xml:space="preserve"> Together with the</w:t>
      </w:r>
      <w:r w:rsidR="00047AAF">
        <w:rPr>
          <w:sz w:val="24"/>
          <w:szCs w:val="24"/>
          <w:lang w:val="en-US"/>
        </w:rPr>
        <w:t xml:space="preserve"> lack of disease-modifying treatment</w:t>
      </w:r>
      <w:r>
        <w:rPr>
          <w:sz w:val="24"/>
          <w:szCs w:val="24"/>
          <w:lang w:val="en-US"/>
        </w:rPr>
        <w:t>s</w:t>
      </w:r>
      <w:r w:rsidR="00047AAF">
        <w:rPr>
          <w:sz w:val="24"/>
          <w:szCs w:val="24"/>
          <w:lang w:val="en-US"/>
        </w:rPr>
        <w:t xml:space="preserve">, the use of biomarkers for population screening is </w:t>
      </w:r>
      <w:r w:rsidR="00754139">
        <w:rPr>
          <w:sz w:val="24"/>
          <w:szCs w:val="24"/>
          <w:lang w:val="en-US"/>
        </w:rPr>
        <w:t xml:space="preserve">currently </w:t>
      </w:r>
      <w:r w:rsidR="00047AAF">
        <w:rPr>
          <w:sz w:val="24"/>
          <w:szCs w:val="24"/>
          <w:lang w:val="en-US"/>
        </w:rPr>
        <w:t>not justified in terms of costs and</w:t>
      </w:r>
      <w:r>
        <w:rPr>
          <w:sz w:val="24"/>
          <w:szCs w:val="24"/>
          <w:lang w:val="en-US"/>
        </w:rPr>
        <w:t xml:space="preserve"> benefits.</w:t>
      </w:r>
      <w:r w:rsidR="00047AAF">
        <w:rPr>
          <w:sz w:val="24"/>
          <w:szCs w:val="24"/>
          <w:lang w:val="en-US"/>
        </w:rPr>
        <w:t xml:space="preserve"> </w:t>
      </w:r>
      <w:r>
        <w:rPr>
          <w:sz w:val="24"/>
          <w:szCs w:val="24"/>
          <w:lang w:val="en-US"/>
        </w:rPr>
        <w:t>On the other hand,</w:t>
      </w:r>
      <w:r w:rsidR="00047AAF">
        <w:rPr>
          <w:sz w:val="24"/>
          <w:szCs w:val="24"/>
          <w:lang w:val="en-US"/>
        </w:rPr>
        <w:t xml:space="preserve"> </w:t>
      </w:r>
      <w:r w:rsidR="00DA1106">
        <w:rPr>
          <w:sz w:val="24"/>
          <w:szCs w:val="24"/>
          <w:lang w:val="en-US"/>
        </w:rPr>
        <w:t>improving</w:t>
      </w:r>
      <w:r w:rsidR="00754139">
        <w:rPr>
          <w:sz w:val="24"/>
          <w:szCs w:val="24"/>
          <w:lang w:val="en-US"/>
        </w:rPr>
        <w:t xml:space="preserve"> diagnosis in</w:t>
      </w:r>
      <w:r w:rsidR="00047AAF">
        <w:rPr>
          <w:sz w:val="24"/>
          <w:szCs w:val="24"/>
          <w:lang w:val="en-US"/>
        </w:rPr>
        <w:t xml:space="preserve"> people with the highest probability of having the disease, at the earliest possible time</w:t>
      </w:r>
      <w:r w:rsidR="00754139">
        <w:rPr>
          <w:sz w:val="24"/>
          <w:szCs w:val="24"/>
          <w:lang w:val="en-US"/>
        </w:rPr>
        <w:t>,</w:t>
      </w:r>
      <w:r w:rsidRPr="006F1607">
        <w:rPr>
          <w:sz w:val="24"/>
          <w:szCs w:val="24"/>
          <w:lang w:val="en-US"/>
        </w:rPr>
        <w:t xml:space="preserve"> </w:t>
      </w:r>
      <w:r>
        <w:rPr>
          <w:sz w:val="24"/>
          <w:szCs w:val="24"/>
          <w:lang w:val="en-US"/>
        </w:rPr>
        <w:t xml:space="preserve">is an aim that can and should be </w:t>
      </w:r>
      <w:r w:rsidRPr="00CD0D03">
        <w:rPr>
          <w:sz w:val="24"/>
          <w:szCs w:val="24"/>
          <w:lang w:val="en-US"/>
        </w:rPr>
        <w:t>reasonably pursue</w:t>
      </w:r>
      <w:r>
        <w:rPr>
          <w:sz w:val="24"/>
          <w:szCs w:val="24"/>
          <w:lang w:val="en-US"/>
        </w:rPr>
        <w:t>d</w:t>
      </w:r>
      <w:r w:rsidRPr="00CD0D03">
        <w:rPr>
          <w:sz w:val="24"/>
          <w:szCs w:val="24"/>
          <w:lang w:val="en-US"/>
        </w:rPr>
        <w:t xml:space="preserve"> in the short term.</w:t>
      </w:r>
      <w:r w:rsidR="004337D4">
        <w:rPr>
          <w:sz w:val="24"/>
          <w:szCs w:val="24"/>
          <w:lang w:val="en-US"/>
        </w:rPr>
        <w:t xml:space="preserve"> </w:t>
      </w:r>
      <w:r w:rsidR="00047AAF">
        <w:rPr>
          <w:sz w:val="24"/>
          <w:szCs w:val="24"/>
          <w:lang w:val="en-US"/>
        </w:rPr>
        <w:t xml:space="preserve">This </w:t>
      </w:r>
      <w:r w:rsidR="00754139">
        <w:rPr>
          <w:sz w:val="24"/>
          <w:szCs w:val="24"/>
          <w:lang w:val="en-US"/>
        </w:rPr>
        <w:t xml:space="preserve">can be done </w:t>
      </w:r>
      <w:r w:rsidR="00841DB9">
        <w:rPr>
          <w:sz w:val="24"/>
          <w:szCs w:val="24"/>
          <w:lang w:val="en-US"/>
        </w:rPr>
        <w:t xml:space="preserve">by </w:t>
      </w:r>
      <w:r w:rsidR="00754139">
        <w:rPr>
          <w:sz w:val="24"/>
          <w:szCs w:val="24"/>
          <w:lang w:val="en-US"/>
        </w:rPr>
        <w:t xml:space="preserve">targeting </w:t>
      </w:r>
      <w:r w:rsidR="007C62FB">
        <w:rPr>
          <w:sz w:val="24"/>
          <w:szCs w:val="24"/>
          <w:lang w:val="en-US"/>
        </w:rPr>
        <w:t>outpatient clinical settings</w:t>
      </w:r>
      <w:r>
        <w:rPr>
          <w:sz w:val="24"/>
          <w:szCs w:val="24"/>
          <w:lang w:val="en-US"/>
        </w:rPr>
        <w:t xml:space="preserve">, where people with a high probability of having AD </w:t>
      </w:r>
      <w:r w:rsidR="002920DE">
        <w:rPr>
          <w:sz w:val="24"/>
          <w:szCs w:val="24"/>
          <w:lang w:val="en-US"/>
        </w:rPr>
        <w:t>seek medical advice</w:t>
      </w:r>
      <w:r>
        <w:rPr>
          <w:sz w:val="24"/>
          <w:szCs w:val="24"/>
          <w:lang w:val="en-US"/>
        </w:rPr>
        <w:t xml:space="preserve"> often before the disease has impacted on autonomous living. The possibility to provide an early diagnosis in this context critically</w:t>
      </w:r>
      <w:r w:rsidR="009C3CC7" w:rsidRPr="00CD0D03">
        <w:rPr>
          <w:sz w:val="24"/>
          <w:szCs w:val="24"/>
          <w:lang w:val="en-US"/>
        </w:rPr>
        <w:t xml:space="preserve"> depends on two main factors</w:t>
      </w:r>
      <w:r w:rsidR="002920DE">
        <w:rPr>
          <w:sz w:val="24"/>
          <w:szCs w:val="24"/>
          <w:lang w:val="en-US"/>
        </w:rPr>
        <w:t>. First</w:t>
      </w:r>
      <w:r w:rsidR="004337D4">
        <w:rPr>
          <w:sz w:val="24"/>
          <w:szCs w:val="24"/>
          <w:lang w:val="en-US"/>
        </w:rPr>
        <w:t>,</w:t>
      </w:r>
      <w:r w:rsidR="009C3CC7" w:rsidRPr="00CD0D03">
        <w:rPr>
          <w:sz w:val="24"/>
          <w:szCs w:val="24"/>
          <w:lang w:val="en-US"/>
        </w:rPr>
        <w:t xml:space="preserve"> the affected people or their carers</w:t>
      </w:r>
      <w:r w:rsidR="002920DE">
        <w:rPr>
          <w:sz w:val="24"/>
          <w:szCs w:val="24"/>
          <w:lang w:val="en-US"/>
        </w:rPr>
        <w:t xml:space="preserve"> must </w:t>
      </w:r>
      <w:r w:rsidR="002920DE">
        <w:rPr>
          <w:i/>
          <w:sz w:val="24"/>
          <w:szCs w:val="24"/>
          <w:lang w:val="en-US"/>
        </w:rPr>
        <w:t>express their</w:t>
      </w:r>
      <w:r w:rsidR="002920DE" w:rsidRPr="00CD0D03">
        <w:rPr>
          <w:i/>
          <w:sz w:val="24"/>
          <w:szCs w:val="24"/>
          <w:lang w:val="en-US"/>
        </w:rPr>
        <w:t xml:space="preserve"> concern</w:t>
      </w:r>
      <w:r w:rsidR="002920DE">
        <w:rPr>
          <w:sz w:val="24"/>
          <w:szCs w:val="24"/>
          <w:lang w:val="en-US"/>
        </w:rPr>
        <w:t>.</w:t>
      </w:r>
      <w:r w:rsidR="00380DF9">
        <w:rPr>
          <w:sz w:val="24"/>
          <w:szCs w:val="24"/>
          <w:lang w:val="en-US"/>
        </w:rPr>
        <w:t xml:space="preserve"> This can be negatively impacted by l</w:t>
      </w:r>
      <w:r w:rsidR="009C3CC7" w:rsidRPr="00CD0D03">
        <w:rPr>
          <w:sz w:val="24"/>
          <w:szCs w:val="24"/>
          <w:lang w:val="en-US"/>
        </w:rPr>
        <w:t xml:space="preserve">ow awareness, limited understanding and stigma </w:t>
      </w:r>
      <w:r w:rsidR="007B18F2" w:rsidRPr="00CD0D03">
        <w:rPr>
          <w:sz w:val="24"/>
          <w:szCs w:val="24"/>
          <w:lang w:val="en-US"/>
        </w:rPr>
        <w:t>(WHO Dementia Report 2012)</w:t>
      </w:r>
      <w:r w:rsidR="007B18F2" w:rsidRPr="007B18F2">
        <w:rPr>
          <w:sz w:val="24"/>
          <w:szCs w:val="24"/>
          <w:lang w:val="en-US"/>
        </w:rPr>
        <w:t xml:space="preserve"> </w:t>
      </w:r>
      <w:r w:rsidR="007B18F2" w:rsidRPr="00CD0D03">
        <w:rPr>
          <w:sz w:val="24"/>
          <w:szCs w:val="24"/>
          <w:lang w:val="en-US"/>
        </w:rPr>
        <w:t>particularly</w:t>
      </w:r>
      <w:r w:rsidR="00030CCB">
        <w:rPr>
          <w:sz w:val="24"/>
          <w:szCs w:val="24"/>
          <w:lang w:val="en-US"/>
        </w:rPr>
        <w:t xml:space="preserve"> </w:t>
      </w:r>
      <w:r w:rsidR="007B18F2" w:rsidRPr="00CD0D03">
        <w:rPr>
          <w:sz w:val="24"/>
          <w:szCs w:val="24"/>
          <w:lang w:val="en-US"/>
        </w:rPr>
        <w:t>in low</w:t>
      </w:r>
      <w:r w:rsidR="00DA1106">
        <w:rPr>
          <w:sz w:val="24"/>
          <w:szCs w:val="24"/>
          <w:lang w:val="en-US"/>
        </w:rPr>
        <w:t>-</w:t>
      </w:r>
      <w:r w:rsidR="007B18F2" w:rsidRPr="00CD0D03">
        <w:rPr>
          <w:sz w:val="24"/>
          <w:szCs w:val="24"/>
          <w:lang w:val="en-US"/>
        </w:rPr>
        <w:t xml:space="preserve"> and </w:t>
      </w:r>
      <w:r w:rsidR="00DA1106" w:rsidRPr="00CD0D03">
        <w:rPr>
          <w:sz w:val="24"/>
          <w:szCs w:val="24"/>
          <w:lang w:val="en-US"/>
        </w:rPr>
        <w:t>middle-income</w:t>
      </w:r>
      <w:r w:rsidR="007B18F2" w:rsidRPr="00CD0D03">
        <w:rPr>
          <w:sz w:val="24"/>
          <w:szCs w:val="24"/>
          <w:lang w:val="en-US"/>
        </w:rPr>
        <w:t xml:space="preserve"> countries (Albanese </w:t>
      </w:r>
      <w:r w:rsidR="007B18F2" w:rsidRPr="00CD0D03">
        <w:rPr>
          <w:i/>
          <w:sz w:val="24"/>
          <w:szCs w:val="24"/>
          <w:lang w:val="en-US"/>
        </w:rPr>
        <w:t xml:space="preserve">et al., </w:t>
      </w:r>
      <w:r w:rsidR="007B18F2" w:rsidRPr="00CD0D03">
        <w:rPr>
          <w:sz w:val="24"/>
          <w:szCs w:val="24"/>
          <w:lang w:val="en-US"/>
        </w:rPr>
        <w:t>2011)</w:t>
      </w:r>
      <w:r w:rsidR="009C3CC7" w:rsidRPr="00CD0D03">
        <w:rPr>
          <w:sz w:val="24"/>
          <w:szCs w:val="24"/>
          <w:lang w:val="en-US"/>
        </w:rPr>
        <w:t xml:space="preserve">. Secondly, </w:t>
      </w:r>
      <w:r w:rsidR="002920DE" w:rsidRPr="00CD0D03">
        <w:rPr>
          <w:sz w:val="24"/>
          <w:szCs w:val="24"/>
          <w:lang w:val="en-US"/>
        </w:rPr>
        <w:t xml:space="preserve">the health system </w:t>
      </w:r>
      <w:r w:rsidR="002920DE">
        <w:rPr>
          <w:sz w:val="24"/>
          <w:szCs w:val="24"/>
          <w:lang w:val="en-US"/>
        </w:rPr>
        <w:t xml:space="preserve">must </w:t>
      </w:r>
      <w:r w:rsidR="002920DE" w:rsidRPr="004337D4">
        <w:rPr>
          <w:i/>
          <w:sz w:val="24"/>
          <w:szCs w:val="24"/>
          <w:lang w:val="en-US"/>
        </w:rPr>
        <w:t>respond</w:t>
      </w:r>
      <w:r w:rsidR="002920DE" w:rsidRPr="00CD0D03">
        <w:rPr>
          <w:sz w:val="24"/>
          <w:szCs w:val="24"/>
          <w:lang w:val="en-US"/>
        </w:rPr>
        <w:t xml:space="preserve"> </w:t>
      </w:r>
      <w:r w:rsidR="002920DE" w:rsidRPr="00CD0D03">
        <w:rPr>
          <w:i/>
          <w:sz w:val="24"/>
          <w:szCs w:val="24"/>
          <w:lang w:val="en-US"/>
        </w:rPr>
        <w:t>adequate</w:t>
      </w:r>
      <w:r w:rsidR="002920DE">
        <w:rPr>
          <w:i/>
          <w:sz w:val="24"/>
          <w:szCs w:val="24"/>
          <w:lang w:val="en-US"/>
        </w:rPr>
        <w:t>ly</w:t>
      </w:r>
      <w:r w:rsidR="005538A7">
        <w:rPr>
          <w:sz w:val="24"/>
          <w:szCs w:val="24"/>
          <w:lang w:val="en-US"/>
        </w:rPr>
        <w:t>:</w:t>
      </w:r>
      <w:r w:rsidR="002920DE" w:rsidRPr="00CD0D03">
        <w:rPr>
          <w:sz w:val="24"/>
          <w:szCs w:val="24"/>
          <w:lang w:val="en-US"/>
        </w:rPr>
        <w:t xml:space="preserve"> </w:t>
      </w:r>
      <w:r w:rsidR="005538A7">
        <w:rPr>
          <w:sz w:val="24"/>
          <w:szCs w:val="24"/>
          <w:lang w:val="en-US"/>
        </w:rPr>
        <w:t>such</w:t>
      </w:r>
      <w:r w:rsidR="00DA1106">
        <w:rPr>
          <w:sz w:val="24"/>
          <w:szCs w:val="24"/>
          <w:lang w:val="en-US"/>
        </w:rPr>
        <w:t xml:space="preserve"> </w:t>
      </w:r>
      <w:r w:rsidR="009C3CC7" w:rsidRPr="00CD0D03">
        <w:rPr>
          <w:sz w:val="24"/>
          <w:szCs w:val="24"/>
          <w:lang w:val="en-US"/>
        </w:rPr>
        <w:t>responsiveness</w:t>
      </w:r>
      <w:r w:rsidR="005C4E5C" w:rsidRPr="00CD0D03">
        <w:rPr>
          <w:sz w:val="24"/>
          <w:szCs w:val="24"/>
          <w:lang w:val="en-US"/>
        </w:rPr>
        <w:t xml:space="preserve"> </w:t>
      </w:r>
      <w:r w:rsidR="007B18F2">
        <w:rPr>
          <w:sz w:val="24"/>
          <w:szCs w:val="24"/>
          <w:lang w:val="en-US"/>
        </w:rPr>
        <w:t>can be improved using</w:t>
      </w:r>
      <w:r w:rsidR="00DA398F" w:rsidRPr="00CD0D03">
        <w:rPr>
          <w:sz w:val="24"/>
          <w:szCs w:val="24"/>
          <w:lang w:val="en-US"/>
        </w:rPr>
        <w:t xml:space="preserve"> </w:t>
      </w:r>
      <w:r w:rsidR="009775AA" w:rsidRPr="00CD0D03">
        <w:rPr>
          <w:sz w:val="24"/>
          <w:szCs w:val="24"/>
          <w:lang w:val="en-US"/>
        </w:rPr>
        <w:t>a</w:t>
      </w:r>
      <w:r w:rsidR="005D5C67" w:rsidRPr="00CD0D03">
        <w:rPr>
          <w:sz w:val="24"/>
          <w:szCs w:val="24"/>
          <w:lang w:val="en-US"/>
        </w:rPr>
        <w:t xml:space="preserve"> </w:t>
      </w:r>
      <w:r w:rsidR="009C3CC7" w:rsidRPr="00CD0D03">
        <w:rPr>
          <w:sz w:val="24"/>
          <w:szCs w:val="24"/>
          <w:lang w:val="en-US"/>
        </w:rPr>
        <w:t>biomarker-</w:t>
      </w:r>
      <w:r w:rsidR="005C4E5C" w:rsidRPr="00CD0D03">
        <w:rPr>
          <w:sz w:val="24"/>
          <w:szCs w:val="24"/>
          <w:lang w:val="en-US"/>
        </w:rPr>
        <w:t>informed</w:t>
      </w:r>
      <w:r w:rsidR="009C3CC7" w:rsidRPr="00CD0D03">
        <w:rPr>
          <w:sz w:val="24"/>
          <w:szCs w:val="24"/>
          <w:lang w:val="en-US"/>
        </w:rPr>
        <w:t xml:space="preserve"> diagnostic approach</w:t>
      </w:r>
      <w:r w:rsidR="004337D4">
        <w:rPr>
          <w:sz w:val="24"/>
          <w:szCs w:val="24"/>
          <w:lang w:val="en-US"/>
        </w:rPr>
        <w:t>.</w:t>
      </w:r>
      <w:r w:rsidR="007B18F2">
        <w:rPr>
          <w:sz w:val="24"/>
          <w:szCs w:val="24"/>
          <w:lang w:val="en-US"/>
        </w:rPr>
        <w:t xml:space="preserve"> </w:t>
      </w:r>
      <w:r w:rsidR="007168C0">
        <w:rPr>
          <w:sz w:val="24"/>
          <w:szCs w:val="24"/>
          <w:lang w:val="en-US"/>
        </w:rPr>
        <w:t xml:space="preserve">Consistent with this context, </w:t>
      </w:r>
      <w:r w:rsidR="002805A5">
        <w:rPr>
          <w:sz w:val="24"/>
          <w:szCs w:val="24"/>
          <w:lang w:val="en-US"/>
        </w:rPr>
        <w:t>our</w:t>
      </w:r>
      <w:r w:rsidR="00A22EB4">
        <w:rPr>
          <w:sz w:val="24"/>
          <w:szCs w:val="24"/>
          <w:lang w:val="en-US"/>
        </w:rPr>
        <w:t xml:space="preserve"> effort focuses on the use of biomarkers for detecting AD</w:t>
      </w:r>
      <w:r w:rsidR="006F71FC" w:rsidRPr="00CD0D03">
        <w:rPr>
          <w:sz w:val="24"/>
          <w:szCs w:val="24"/>
          <w:lang w:val="en-US"/>
        </w:rPr>
        <w:t xml:space="preserve"> </w:t>
      </w:r>
      <w:r w:rsidR="00FF66A3" w:rsidRPr="00CD0D03">
        <w:rPr>
          <w:sz w:val="24"/>
          <w:szCs w:val="24"/>
          <w:lang w:val="en-US"/>
        </w:rPr>
        <w:t>i</w:t>
      </w:r>
      <w:r w:rsidR="006F71FC" w:rsidRPr="00CD0D03">
        <w:rPr>
          <w:sz w:val="24"/>
          <w:szCs w:val="24"/>
          <w:lang w:val="en-US"/>
        </w:rPr>
        <w:t xml:space="preserve">n </w:t>
      </w:r>
      <w:r w:rsidR="006F71FC" w:rsidRPr="00CD0D03">
        <w:rPr>
          <w:i/>
          <w:sz w:val="24"/>
          <w:szCs w:val="24"/>
          <w:lang w:val="en-US"/>
        </w:rPr>
        <w:t>symptomatic</w:t>
      </w:r>
      <w:r w:rsidR="005A6958" w:rsidRPr="00CD0D03">
        <w:rPr>
          <w:i/>
          <w:sz w:val="24"/>
          <w:szCs w:val="24"/>
          <w:lang w:val="en-US"/>
        </w:rPr>
        <w:t>,</w:t>
      </w:r>
      <w:r w:rsidR="006F71FC" w:rsidRPr="00CD0D03">
        <w:rPr>
          <w:sz w:val="24"/>
          <w:szCs w:val="24"/>
          <w:lang w:val="en-US"/>
        </w:rPr>
        <w:t xml:space="preserve"> </w:t>
      </w:r>
      <w:r w:rsidR="00FF66A3" w:rsidRPr="00CD0D03">
        <w:rPr>
          <w:sz w:val="24"/>
          <w:szCs w:val="24"/>
          <w:lang w:val="en-US"/>
        </w:rPr>
        <w:t xml:space="preserve">including </w:t>
      </w:r>
      <w:r w:rsidR="006F71FC" w:rsidRPr="00CD0D03">
        <w:rPr>
          <w:sz w:val="24"/>
          <w:szCs w:val="24"/>
          <w:lang w:val="en-US"/>
        </w:rPr>
        <w:t>mild</w:t>
      </w:r>
      <w:r w:rsidR="00FF66A3" w:rsidRPr="00CD0D03">
        <w:rPr>
          <w:sz w:val="24"/>
          <w:szCs w:val="24"/>
          <w:lang w:val="en-US"/>
        </w:rPr>
        <w:t>ly symptomatic</w:t>
      </w:r>
      <w:r w:rsidR="006F71FC" w:rsidRPr="00CD0D03">
        <w:rPr>
          <w:sz w:val="24"/>
          <w:szCs w:val="24"/>
          <w:lang w:val="en-US"/>
        </w:rPr>
        <w:t xml:space="preserve"> individuals</w:t>
      </w:r>
      <w:r w:rsidR="00660F2F" w:rsidRPr="00CD0D03">
        <w:rPr>
          <w:sz w:val="24"/>
          <w:szCs w:val="24"/>
          <w:lang w:val="en-US"/>
        </w:rPr>
        <w:t xml:space="preserve"> who (or whose care</w:t>
      </w:r>
      <w:r w:rsidR="0066499A">
        <w:rPr>
          <w:sz w:val="24"/>
          <w:szCs w:val="24"/>
          <w:lang w:val="en-US"/>
        </w:rPr>
        <w:t>give</w:t>
      </w:r>
      <w:r w:rsidR="00660F2F" w:rsidRPr="00CD0D03">
        <w:rPr>
          <w:sz w:val="24"/>
          <w:szCs w:val="24"/>
          <w:lang w:val="en-US"/>
        </w:rPr>
        <w:t>rs) express concern for their decline</w:t>
      </w:r>
      <w:r w:rsidR="006F71FC" w:rsidRPr="00CD0D03">
        <w:rPr>
          <w:sz w:val="24"/>
          <w:szCs w:val="24"/>
          <w:lang w:val="en-US"/>
        </w:rPr>
        <w:t xml:space="preserve">. </w:t>
      </w:r>
      <w:proofErr w:type="gramStart"/>
      <w:r w:rsidR="00B95C91">
        <w:rPr>
          <w:sz w:val="24"/>
          <w:szCs w:val="24"/>
          <w:lang w:val="en-US"/>
        </w:rPr>
        <w:t>Indeed</w:t>
      </w:r>
      <w:proofErr w:type="gramEnd"/>
      <w:r w:rsidR="00FF66A3" w:rsidRPr="00CD0D03">
        <w:rPr>
          <w:sz w:val="24"/>
          <w:szCs w:val="24"/>
          <w:lang w:val="en-US"/>
        </w:rPr>
        <w:t xml:space="preserve"> t</w:t>
      </w:r>
      <w:r w:rsidR="00660F2F" w:rsidRPr="00CD0D03">
        <w:rPr>
          <w:sz w:val="24"/>
          <w:szCs w:val="24"/>
          <w:lang w:val="en-US"/>
        </w:rPr>
        <w:t>his</w:t>
      </w:r>
      <w:r w:rsidR="005A6958" w:rsidRPr="00CD0D03">
        <w:rPr>
          <w:sz w:val="24"/>
          <w:szCs w:val="24"/>
          <w:lang w:val="en-US"/>
        </w:rPr>
        <w:t xml:space="preserve"> </w:t>
      </w:r>
      <w:r w:rsidR="006275E5">
        <w:rPr>
          <w:sz w:val="24"/>
          <w:szCs w:val="24"/>
          <w:lang w:val="en-US"/>
        </w:rPr>
        <w:t>scenario is frequent and</w:t>
      </w:r>
      <w:r w:rsidR="005A6958" w:rsidRPr="00CD0D03">
        <w:rPr>
          <w:sz w:val="24"/>
          <w:szCs w:val="24"/>
          <w:lang w:val="en-US"/>
        </w:rPr>
        <w:t xml:space="preserve"> </w:t>
      </w:r>
      <w:r w:rsidR="00FF66A3" w:rsidRPr="00CD0D03">
        <w:rPr>
          <w:sz w:val="24"/>
          <w:szCs w:val="24"/>
          <w:lang w:val="en-US"/>
        </w:rPr>
        <w:t>has become the norm</w:t>
      </w:r>
      <w:r w:rsidR="006275E5">
        <w:rPr>
          <w:sz w:val="24"/>
          <w:szCs w:val="24"/>
          <w:lang w:val="en-US"/>
        </w:rPr>
        <w:t xml:space="preserve"> rather than the exception</w:t>
      </w:r>
      <w:r w:rsidR="00FF66A3" w:rsidRPr="00CD0D03">
        <w:rPr>
          <w:sz w:val="24"/>
          <w:szCs w:val="24"/>
          <w:lang w:val="en-US"/>
        </w:rPr>
        <w:t xml:space="preserve"> in</w:t>
      </w:r>
      <w:r w:rsidR="005A6958" w:rsidRPr="00CD0D03">
        <w:rPr>
          <w:sz w:val="24"/>
          <w:szCs w:val="24"/>
          <w:lang w:val="en-US"/>
        </w:rPr>
        <w:t xml:space="preserve"> </w:t>
      </w:r>
      <w:r w:rsidR="002805A5">
        <w:rPr>
          <w:sz w:val="24"/>
          <w:szCs w:val="24"/>
          <w:lang w:val="en-US"/>
        </w:rPr>
        <w:t>high-income</w:t>
      </w:r>
      <w:r w:rsidR="00B95C91">
        <w:rPr>
          <w:sz w:val="24"/>
          <w:szCs w:val="24"/>
          <w:lang w:val="en-US"/>
        </w:rPr>
        <w:t xml:space="preserve"> countries </w:t>
      </w:r>
      <w:r w:rsidR="005A6958" w:rsidRPr="00CD0D03">
        <w:rPr>
          <w:sz w:val="24"/>
          <w:szCs w:val="24"/>
          <w:lang w:val="en-US"/>
        </w:rPr>
        <w:t>memory clinics.</w:t>
      </w:r>
      <w:r w:rsidR="00FF66A3" w:rsidRPr="00CD0D03">
        <w:rPr>
          <w:sz w:val="24"/>
          <w:szCs w:val="24"/>
          <w:lang w:val="en-US"/>
        </w:rPr>
        <w:t xml:space="preserve"> </w:t>
      </w:r>
      <w:r w:rsidR="00B95C91">
        <w:rPr>
          <w:sz w:val="24"/>
          <w:szCs w:val="24"/>
          <w:lang w:val="en-US"/>
        </w:rPr>
        <w:t>Providing a</w:t>
      </w:r>
      <w:r w:rsidR="00D17383">
        <w:rPr>
          <w:sz w:val="24"/>
          <w:szCs w:val="24"/>
          <w:lang w:val="en-US"/>
        </w:rPr>
        <w:t xml:space="preserve">n early diagnosis in symptomatic individuals </w:t>
      </w:r>
      <w:r w:rsidR="006275E5">
        <w:rPr>
          <w:sz w:val="24"/>
          <w:szCs w:val="24"/>
          <w:lang w:val="en-US"/>
        </w:rPr>
        <w:t>seeking</w:t>
      </w:r>
      <w:r w:rsidR="00D17383">
        <w:rPr>
          <w:sz w:val="24"/>
          <w:szCs w:val="24"/>
          <w:lang w:val="en-US"/>
        </w:rPr>
        <w:t xml:space="preserve"> help</w:t>
      </w:r>
      <w:r w:rsidR="00332AE6" w:rsidRPr="00CD0D03">
        <w:rPr>
          <w:sz w:val="24"/>
          <w:szCs w:val="24"/>
          <w:lang w:val="en-US"/>
        </w:rPr>
        <w:t xml:space="preserve"> </w:t>
      </w:r>
      <w:r w:rsidR="00B95C91">
        <w:rPr>
          <w:sz w:val="24"/>
          <w:szCs w:val="24"/>
          <w:lang w:val="en-US"/>
        </w:rPr>
        <w:t xml:space="preserve">would </w:t>
      </w:r>
      <w:r w:rsidR="00FF66A3" w:rsidRPr="00CD0D03">
        <w:rPr>
          <w:sz w:val="24"/>
          <w:szCs w:val="24"/>
          <w:lang w:val="en-US"/>
        </w:rPr>
        <w:t>respond to an expressed, not proactively elicited</w:t>
      </w:r>
      <w:r w:rsidR="00332AE6" w:rsidRPr="00CD0D03">
        <w:rPr>
          <w:sz w:val="24"/>
          <w:szCs w:val="24"/>
          <w:lang w:val="en-US"/>
        </w:rPr>
        <w:t xml:space="preserve"> concern</w:t>
      </w:r>
      <w:r w:rsidR="00F94613">
        <w:rPr>
          <w:sz w:val="24"/>
          <w:szCs w:val="24"/>
          <w:lang w:val="en-US"/>
        </w:rPr>
        <w:t xml:space="preserve">, </w:t>
      </w:r>
      <w:r w:rsidR="002805A5">
        <w:rPr>
          <w:sz w:val="24"/>
          <w:szCs w:val="24"/>
          <w:lang w:val="en-US"/>
        </w:rPr>
        <w:t>and would maximize</w:t>
      </w:r>
      <w:r w:rsidR="00F94613">
        <w:rPr>
          <w:sz w:val="24"/>
          <w:szCs w:val="24"/>
          <w:lang w:val="en-US"/>
        </w:rPr>
        <w:t xml:space="preserve"> benefits from the available knowledge and resources</w:t>
      </w:r>
      <w:r w:rsidR="002805A5">
        <w:rPr>
          <w:sz w:val="24"/>
          <w:szCs w:val="24"/>
          <w:lang w:val="en-US"/>
        </w:rPr>
        <w:t xml:space="preserve"> as to date</w:t>
      </w:r>
      <w:r w:rsidR="00362E28" w:rsidRPr="00CD0D03">
        <w:rPr>
          <w:sz w:val="24"/>
          <w:szCs w:val="24"/>
          <w:lang w:val="en-US"/>
        </w:rPr>
        <w:t>.</w:t>
      </w:r>
    </w:p>
    <w:p w14:paraId="30C7C4CF" w14:textId="60C8E97A" w:rsidR="005922BB" w:rsidRPr="00F5418A" w:rsidRDefault="00BA349D" w:rsidP="00A83B7C">
      <w:pPr>
        <w:spacing w:line="480" w:lineRule="auto"/>
        <w:rPr>
          <w:sz w:val="24"/>
          <w:szCs w:val="24"/>
          <w:lang w:val="en-US"/>
        </w:rPr>
      </w:pPr>
      <w:r>
        <w:rPr>
          <w:sz w:val="24"/>
          <w:szCs w:val="24"/>
          <w:lang w:val="en-US"/>
        </w:rPr>
        <w:t>We maintain that e</w:t>
      </w:r>
      <w:r w:rsidR="00D17383">
        <w:rPr>
          <w:sz w:val="24"/>
          <w:szCs w:val="24"/>
          <w:lang w:val="en-US"/>
        </w:rPr>
        <w:t>arly</w:t>
      </w:r>
      <w:r w:rsidR="00D17383" w:rsidRPr="00CD0D03">
        <w:rPr>
          <w:sz w:val="24"/>
          <w:szCs w:val="24"/>
          <w:lang w:val="en-US"/>
        </w:rPr>
        <w:t xml:space="preserve"> </w:t>
      </w:r>
      <w:r w:rsidR="00AA60A1" w:rsidRPr="00CD0D03">
        <w:rPr>
          <w:sz w:val="24"/>
          <w:szCs w:val="24"/>
          <w:lang w:val="en-US"/>
        </w:rPr>
        <w:t xml:space="preserve">diagnosis </w:t>
      </w:r>
      <w:r w:rsidR="00611383" w:rsidRPr="00CD0D03">
        <w:rPr>
          <w:sz w:val="24"/>
          <w:szCs w:val="24"/>
          <w:lang w:val="en-US"/>
        </w:rPr>
        <w:t xml:space="preserve">is </w:t>
      </w:r>
      <w:r w:rsidR="008E7822" w:rsidRPr="00CD0D03">
        <w:rPr>
          <w:sz w:val="24"/>
          <w:szCs w:val="24"/>
          <w:lang w:val="en-US"/>
        </w:rPr>
        <w:t xml:space="preserve">potentially beneficial </w:t>
      </w:r>
      <w:r w:rsidR="00611383" w:rsidRPr="00CD0D03">
        <w:rPr>
          <w:sz w:val="24"/>
          <w:szCs w:val="24"/>
          <w:lang w:val="en-US"/>
        </w:rPr>
        <w:t xml:space="preserve">even in the absence of a disease-modifying drug. </w:t>
      </w:r>
      <w:r>
        <w:rPr>
          <w:sz w:val="24"/>
          <w:szCs w:val="24"/>
          <w:lang w:val="en-US"/>
        </w:rPr>
        <w:t>First, i</w:t>
      </w:r>
      <w:r w:rsidR="008E7822" w:rsidRPr="00CD0D03">
        <w:rPr>
          <w:sz w:val="24"/>
          <w:szCs w:val="24"/>
          <w:lang w:val="en-US"/>
        </w:rPr>
        <w:t>t</w:t>
      </w:r>
      <w:r w:rsidR="00611383" w:rsidRPr="00CD0D03">
        <w:rPr>
          <w:sz w:val="24"/>
          <w:szCs w:val="24"/>
          <w:lang w:val="en-US"/>
        </w:rPr>
        <w:t xml:space="preserve"> </w:t>
      </w:r>
      <w:r w:rsidR="00D17383">
        <w:rPr>
          <w:sz w:val="24"/>
          <w:szCs w:val="24"/>
          <w:lang w:val="en-US"/>
        </w:rPr>
        <w:t>provide</w:t>
      </w:r>
      <w:r w:rsidR="00C63492">
        <w:rPr>
          <w:sz w:val="24"/>
          <w:szCs w:val="24"/>
          <w:lang w:val="en-US"/>
        </w:rPr>
        <w:t>s</w:t>
      </w:r>
      <w:r w:rsidR="00D17383">
        <w:rPr>
          <w:sz w:val="24"/>
          <w:szCs w:val="24"/>
          <w:lang w:val="en-US"/>
        </w:rPr>
        <w:t xml:space="preserve"> an </w:t>
      </w:r>
      <w:r>
        <w:rPr>
          <w:sz w:val="24"/>
          <w:szCs w:val="24"/>
          <w:lang w:val="en-US"/>
        </w:rPr>
        <w:t xml:space="preserve">explanation for mild symptoms and perceived changes in </w:t>
      </w:r>
      <w:r>
        <w:rPr>
          <w:sz w:val="24"/>
          <w:szCs w:val="24"/>
          <w:lang w:val="en-US"/>
        </w:rPr>
        <w:lastRenderedPageBreak/>
        <w:t>cognitive function that some people recognize as problematic</w:t>
      </w:r>
      <w:r w:rsidR="007E0DBE" w:rsidRPr="00CD0D03">
        <w:rPr>
          <w:sz w:val="24"/>
          <w:szCs w:val="24"/>
          <w:lang w:val="en-US"/>
        </w:rPr>
        <w:t xml:space="preserve">. </w:t>
      </w:r>
      <w:r>
        <w:rPr>
          <w:sz w:val="24"/>
          <w:szCs w:val="24"/>
          <w:lang w:val="en-US"/>
        </w:rPr>
        <w:t>Second, early diagn</w:t>
      </w:r>
      <w:r w:rsidR="00C63492">
        <w:rPr>
          <w:sz w:val="24"/>
          <w:szCs w:val="24"/>
          <w:lang w:val="en-US"/>
        </w:rPr>
        <w:t>o</w:t>
      </w:r>
      <w:r>
        <w:rPr>
          <w:sz w:val="24"/>
          <w:szCs w:val="24"/>
          <w:lang w:val="en-US"/>
        </w:rPr>
        <w:t>sis</w:t>
      </w:r>
      <w:r w:rsidR="008E7822" w:rsidRPr="00CD0D03">
        <w:rPr>
          <w:sz w:val="24"/>
          <w:szCs w:val="24"/>
          <w:lang w:val="en-US"/>
        </w:rPr>
        <w:t xml:space="preserve"> </w:t>
      </w:r>
      <w:r w:rsidR="00AA60A1" w:rsidRPr="00CD0D03">
        <w:rPr>
          <w:sz w:val="24"/>
          <w:szCs w:val="24"/>
          <w:lang w:val="en-US"/>
        </w:rPr>
        <w:t>would</w:t>
      </w:r>
      <w:r w:rsidR="007E0DBE" w:rsidRPr="00CD0D03">
        <w:rPr>
          <w:sz w:val="24"/>
          <w:szCs w:val="24"/>
          <w:lang w:val="en-US"/>
        </w:rPr>
        <w:t xml:space="preserve"> </w:t>
      </w:r>
      <w:r w:rsidR="00AA60A1" w:rsidRPr="00CD0D03">
        <w:rPr>
          <w:sz w:val="24"/>
          <w:szCs w:val="24"/>
          <w:lang w:val="en-US"/>
        </w:rPr>
        <w:t>maximize the possibility that interventions that are prove</w:t>
      </w:r>
      <w:r w:rsidR="007E0DBE" w:rsidRPr="00CD0D03">
        <w:rPr>
          <w:sz w:val="24"/>
          <w:szCs w:val="24"/>
          <w:lang w:val="en-US"/>
        </w:rPr>
        <w:t>n</w:t>
      </w:r>
      <w:r w:rsidR="00AA60A1" w:rsidRPr="00CD0D03">
        <w:rPr>
          <w:sz w:val="24"/>
          <w:szCs w:val="24"/>
          <w:lang w:val="en-US"/>
        </w:rPr>
        <w:t xml:space="preserve"> to ameliorate the quality of life of patients and families can be started </w:t>
      </w:r>
      <w:r w:rsidR="008E7822" w:rsidRPr="00CD0D03">
        <w:rPr>
          <w:sz w:val="24"/>
          <w:szCs w:val="24"/>
          <w:lang w:val="en-US"/>
        </w:rPr>
        <w:t>as early as possible</w:t>
      </w:r>
      <w:r w:rsidR="00AA60A1" w:rsidRPr="00CD0D03">
        <w:rPr>
          <w:sz w:val="24"/>
          <w:szCs w:val="24"/>
          <w:lang w:val="en-US"/>
        </w:rPr>
        <w:t xml:space="preserve">. </w:t>
      </w:r>
      <w:r w:rsidR="008E7822" w:rsidRPr="00CD0D03">
        <w:rPr>
          <w:sz w:val="24"/>
          <w:szCs w:val="24"/>
          <w:lang w:val="en-US"/>
        </w:rPr>
        <w:t xml:space="preserve">In fact, </w:t>
      </w:r>
      <w:r w:rsidR="00AF548D">
        <w:rPr>
          <w:sz w:val="24"/>
          <w:szCs w:val="24"/>
          <w:lang w:val="en-US"/>
        </w:rPr>
        <w:t>early</w:t>
      </w:r>
      <w:r w:rsidR="00AF548D" w:rsidRPr="00CD0D03">
        <w:rPr>
          <w:sz w:val="24"/>
          <w:szCs w:val="24"/>
          <w:lang w:val="en-US"/>
        </w:rPr>
        <w:t xml:space="preserve"> </w:t>
      </w:r>
      <w:r w:rsidR="00B14F9F" w:rsidRPr="00CD0D03">
        <w:rPr>
          <w:sz w:val="24"/>
          <w:szCs w:val="24"/>
          <w:lang w:val="en-US"/>
        </w:rPr>
        <w:t>intervention</w:t>
      </w:r>
      <w:r>
        <w:rPr>
          <w:sz w:val="24"/>
          <w:szCs w:val="24"/>
          <w:lang w:val="en-US"/>
        </w:rPr>
        <w:t>s</w:t>
      </w:r>
      <w:r w:rsidR="00B14F9F" w:rsidRPr="00CD0D03">
        <w:rPr>
          <w:sz w:val="24"/>
          <w:szCs w:val="24"/>
          <w:lang w:val="en-US"/>
        </w:rPr>
        <w:t xml:space="preserve"> </w:t>
      </w:r>
      <w:r w:rsidR="00AA60A1" w:rsidRPr="00CD0D03">
        <w:rPr>
          <w:sz w:val="24"/>
          <w:szCs w:val="24"/>
          <w:lang w:val="en-US"/>
        </w:rPr>
        <w:t xml:space="preserve">may </w:t>
      </w:r>
      <w:r w:rsidR="00B14F9F" w:rsidRPr="00CD0D03">
        <w:rPr>
          <w:sz w:val="24"/>
          <w:szCs w:val="24"/>
          <w:lang w:val="en-US"/>
        </w:rPr>
        <w:t xml:space="preserve">be </w:t>
      </w:r>
      <w:r w:rsidR="00144036">
        <w:rPr>
          <w:sz w:val="24"/>
          <w:szCs w:val="24"/>
          <w:lang w:val="en-US"/>
        </w:rPr>
        <w:t>beneficial in people at risk (</w:t>
      </w:r>
      <w:r w:rsidR="006C1877">
        <w:rPr>
          <w:sz w:val="24"/>
          <w:szCs w:val="24"/>
          <w:lang w:val="en-US"/>
        </w:rPr>
        <w:t xml:space="preserve">Kivipelto et al., 2013; </w:t>
      </w:r>
      <w:r>
        <w:rPr>
          <w:sz w:val="24"/>
          <w:szCs w:val="24"/>
          <w:lang w:val="en-US"/>
        </w:rPr>
        <w:t xml:space="preserve">Ngandu </w:t>
      </w:r>
      <w:r w:rsidR="00144036">
        <w:rPr>
          <w:i/>
          <w:sz w:val="24"/>
          <w:szCs w:val="24"/>
          <w:lang w:val="en-US"/>
        </w:rPr>
        <w:t>et al</w:t>
      </w:r>
      <w:r w:rsidR="00AF59D3" w:rsidRPr="00DB6A32">
        <w:rPr>
          <w:sz w:val="24"/>
          <w:szCs w:val="24"/>
          <w:lang w:val="en-US"/>
        </w:rPr>
        <w:t>., 2015</w:t>
      </w:r>
      <w:r w:rsidR="00AF59D3" w:rsidRPr="00DB6A32">
        <w:rPr>
          <w:sz w:val="24"/>
          <w:szCs w:val="24"/>
          <w:lang w:val="en-US"/>
        </w:rPr>
        <w:t>;</w:t>
      </w:r>
      <w:r w:rsidR="00E5429C">
        <w:rPr>
          <w:i/>
          <w:sz w:val="24"/>
          <w:szCs w:val="24"/>
          <w:lang w:val="en-US"/>
        </w:rPr>
        <w:t xml:space="preserve"> </w:t>
      </w:r>
      <w:r w:rsidR="00E5429C">
        <w:rPr>
          <w:sz w:val="24"/>
          <w:szCs w:val="24"/>
          <w:lang w:val="en-US"/>
        </w:rPr>
        <w:t>Andrieu et al., 2011; de Souto Barreto et al., 2016</w:t>
      </w:r>
      <w:r w:rsidR="00C425FF">
        <w:rPr>
          <w:sz w:val="24"/>
          <w:szCs w:val="24"/>
          <w:lang w:val="en-US"/>
        </w:rPr>
        <w:t xml:space="preserve">; </w:t>
      </w:r>
      <w:r w:rsidR="00C425FF" w:rsidRPr="00390431">
        <w:rPr>
          <w:sz w:val="24"/>
          <w:szCs w:val="24"/>
          <w:lang w:val="en-US"/>
        </w:rPr>
        <w:t>Cesari et al., 2015</w:t>
      </w:r>
      <w:r w:rsidR="00144036">
        <w:rPr>
          <w:sz w:val="24"/>
          <w:szCs w:val="24"/>
          <w:lang w:val="en-US"/>
        </w:rPr>
        <w:t>)</w:t>
      </w:r>
      <w:r w:rsidR="00B14F9F" w:rsidRPr="00CD0D03">
        <w:rPr>
          <w:sz w:val="24"/>
          <w:szCs w:val="24"/>
          <w:lang w:val="en-US"/>
        </w:rPr>
        <w:t xml:space="preserve">, </w:t>
      </w:r>
      <w:r w:rsidR="00E53B25" w:rsidRPr="00CD0D03">
        <w:rPr>
          <w:sz w:val="24"/>
          <w:szCs w:val="24"/>
          <w:lang w:val="en-US"/>
        </w:rPr>
        <w:t xml:space="preserve">and may </w:t>
      </w:r>
      <w:r w:rsidR="00B14F9F" w:rsidRPr="00CD0D03">
        <w:rPr>
          <w:sz w:val="24"/>
          <w:szCs w:val="24"/>
          <w:lang w:val="en-US"/>
        </w:rPr>
        <w:t>favor comp</w:t>
      </w:r>
      <w:r w:rsidR="00362E28" w:rsidRPr="00CD0D03">
        <w:rPr>
          <w:sz w:val="24"/>
          <w:szCs w:val="24"/>
          <w:lang w:val="en-US"/>
        </w:rPr>
        <w:t>ression of cognitive morbidity (</w:t>
      </w:r>
      <w:r w:rsidR="00B14F9F" w:rsidRPr="00CD0D03">
        <w:rPr>
          <w:sz w:val="24"/>
          <w:szCs w:val="24"/>
          <w:lang w:val="en-US"/>
        </w:rPr>
        <w:t xml:space="preserve">Langa </w:t>
      </w:r>
      <w:r w:rsidR="00362E28" w:rsidRPr="00CD0D03">
        <w:rPr>
          <w:i/>
          <w:sz w:val="24"/>
          <w:szCs w:val="24"/>
          <w:lang w:val="en-US"/>
        </w:rPr>
        <w:t>et al.,</w:t>
      </w:r>
      <w:r w:rsidR="00B14F9F" w:rsidRPr="00CD0D03">
        <w:rPr>
          <w:sz w:val="24"/>
          <w:szCs w:val="24"/>
          <w:lang w:val="en-US"/>
        </w:rPr>
        <w:t xml:space="preserve"> 2008</w:t>
      </w:r>
      <w:r w:rsidR="00C63492">
        <w:rPr>
          <w:sz w:val="24"/>
          <w:szCs w:val="24"/>
          <w:lang w:val="en-US"/>
        </w:rPr>
        <w:t>;</w:t>
      </w:r>
      <w:r w:rsidR="00CB7ACC">
        <w:rPr>
          <w:sz w:val="24"/>
          <w:szCs w:val="24"/>
          <w:lang w:val="en-US"/>
        </w:rPr>
        <w:t xml:space="preserve"> Petersen et al., 2005</w:t>
      </w:r>
      <w:r w:rsidR="00362E28" w:rsidRPr="00CD0D03">
        <w:rPr>
          <w:sz w:val="24"/>
          <w:szCs w:val="24"/>
          <w:lang w:val="en-US"/>
        </w:rPr>
        <w:t>)</w:t>
      </w:r>
      <w:r w:rsidR="00E53B25" w:rsidRPr="00CD0D03">
        <w:rPr>
          <w:sz w:val="24"/>
          <w:szCs w:val="24"/>
          <w:lang w:val="en-US"/>
        </w:rPr>
        <w:t>,</w:t>
      </w:r>
      <w:r w:rsidR="00B14F9F" w:rsidRPr="00CD0D03">
        <w:rPr>
          <w:sz w:val="24"/>
          <w:szCs w:val="24"/>
          <w:lang w:val="en-US"/>
        </w:rPr>
        <w:t xml:space="preserve"> contribut</w:t>
      </w:r>
      <w:r w:rsidR="00365A36" w:rsidRPr="00CD0D03">
        <w:rPr>
          <w:sz w:val="24"/>
          <w:szCs w:val="24"/>
          <w:lang w:val="en-US"/>
        </w:rPr>
        <w:t>ing</w:t>
      </w:r>
      <w:r w:rsidR="00B14F9F" w:rsidRPr="00CD0D03">
        <w:rPr>
          <w:sz w:val="24"/>
          <w:szCs w:val="24"/>
          <w:lang w:val="en-US"/>
        </w:rPr>
        <w:t xml:space="preserve"> to </w:t>
      </w:r>
      <w:r w:rsidR="00AA60A1" w:rsidRPr="00CD0D03">
        <w:rPr>
          <w:sz w:val="24"/>
          <w:szCs w:val="24"/>
          <w:lang w:val="en-US"/>
        </w:rPr>
        <w:t>delay</w:t>
      </w:r>
      <w:r w:rsidR="008E7822" w:rsidRPr="00CD0D03">
        <w:rPr>
          <w:sz w:val="24"/>
          <w:szCs w:val="24"/>
          <w:lang w:val="en-US"/>
        </w:rPr>
        <w:t>ing</w:t>
      </w:r>
      <w:r w:rsidR="00AA60A1" w:rsidRPr="00CD0D03">
        <w:rPr>
          <w:sz w:val="24"/>
          <w:szCs w:val="24"/>
          <w:lang w:val="en-US"/>
        </w:rPr>
        <w:t xml:space="preserve"> disability</w:t>
      </w:r>
      <w:r w:rsidR="00E53B25" w:rsidRPr="00CD0D03">
        <w:rPr>
          <w:sz w:val="24"/>
          <w:szCs w:val="24"/>
          <w:lang w:val="en-US"/>
        </w:rPr>
        <w:t xml:space="preserve"> </w:t>
      </w:r>
      <w:r w:rsidR="00EC6EC4">
        <w:rPr>
          <w:sz w:val="24"/>
          <w:szCs w:val="24"/>
          <w:lang w:val="en-US"/>
        </w:rPr>
        <w:t>with</w:t>
      </w:r>
      <w:r w:rsidR="00EC6EC4" w:rsidRPr="00CD0D03">
        <w:rPr>
          <w:sz w:val="24"/>
          <w:szCs w:val="24"/>
          <w:lang w:val="en-US"/>
        </w:rPr>
        <w:t xml:space="preserve"> </w:t>
      </w:r>
      <w:r w:rsidR="00E53B25" w:rsidRPr="00CD0D03">
        <w:rPr>
          <w:sz w:val="24"/>
          <w:szCs w:val="24"/>
          <w:lang w:val="en-US"/>
        </w:rPr>
        <w:t>considerable</w:t>
      </w:r>
      <w:r w:rsidR="00E53B25" w:rsidRPr="00CD0D03" w:rsidDel="00E53B25">
        <w:rPr>
          <w:sz w:val="24"/>
          <w:szCs w:val="24"/>
          <w:lang w:val="en-US"/>
        </w:rPr>
        <w:t xml:space="preserve"> </w:t>
      </w:r>
      <w:r w:rsidR="00AA60A1" w:rsidRPr="00CD0D03">
        <w:rPr>
          <w:sz w:val="24"/>
          <w:szCs w:val="24"/>
          <w:lang w:val="en-US"/>
        </w:rPr>
        <w:t>savings on direct</w:t>
      </w:r>
      <w:r w:rsidR="00E53B25" w:rsidRPr="00CD0D03">
        <w:rPr>
          <w:sz w:val="24"/>
          <w:szCs w:val="24"/>
          <w:lang w:val="en-US"/>
        </w:rPr>
        <w:t xml:space="preserve"> (e.g., institutionalization)</w:t>
      </w:r>
      <w:r w:rsidR="00AA60A1" w:rsidRPr="00CD0D03">
        <w:rPr>
          <w:sz w:val="24"/>
          <w:szCs w:val="24"/>
          <w:lang w:val="en-US"/>
        </w:rPr>
        <w:t xml:space="preserve"> and indirect </w:t>
      </w:r>
      <w:r w:rsidR="00E53B25" w:rsidRPr="00CD0D03">
        <w:rPr>
          <w:sz w:val="24"/>
          <w:szCs w:val="24"/>
          <w:lang w:val="en-US"/>
        </w:rPr>
        <w:t xml:space="preserve">(e.g. informal caregiving) </w:t>
      </w:r>
      <w:r w:rsidR="00AA60A1" w:rsidRPr="00CD0D03">
        <w:rPr>
          <w:sz w:val="24"/>
          <w:szCs w:val="24"/>
          <w:lang w:val="en-US"/>
        </w:rPr>
        <w:t xml:space="preserve">costs. </w:t>
      </w:r>
      <w:r w:rsidR="00A24996">
        <w:rPr>
          <w:sz w:val="24"/>
          <w:szCs w:val="24"/>
          <w:lang w:val="en-US"/>
        </w:rPr>
        <w:t xml:space="preserve">Moreover, </w:t>
      </w:r>
      <w:r w:rsidR="00A24996">
        <w:rPr>
          <w:rFonts w:cs="Times New Roman"/>
          <w:sz w:val="24"/>
          <w:szCs w:val="24"/>
          <w:lang w:val="en-US"/>
        </w:rPr>
        <w:t>past f</w:t>
      </w:r>
      <w:r w:rsidR="00A24996" w:rsidRPr="00CD0D03">
        <w:rPr>
          <w:rFonts w:cs="Times New Roman"/>
          <w:sz w:val="24"/>
          <w:szCs w:val="24"/>
          <w:lang w:val="en-US"/>
        </w:rPr>
        <w:t>ailure of AD randomized controlled trials</w:t>
      </w:r>
      <w:r w:rsidR="00A24996">
        <w:rPr>
          <w:rFonts w:cs="Times New Roman"/>
          <w:sz w:val="24"/>
          <w:szCs w:val="24"/>
          <w:lang w:val="en-US"/>
        </w:rPr>
        <w:t xml:space="preserve"> </w:t>
      </w:r>
      <w:r w:rsidR="00A24996" w:rsidRPr="00CD0D03">
        <w:rPr>
          <w:rFonts w:cs="Times New Roman"/>
          <w:sz w:val="24"/>
          <w:szCs w:val="24"/>
          <w:lang w:val="en-US"/>
        </w:rPr>
        <w:t xml:space="preserve">(Winblad </w:t>
      </w:r>
      <w:r w:rsidR="00A24996" w:rsidRPr="00CD0D03">
        <w:rPr>
          <w:rFonts w:cs="Times New Roman"/>
          <w:i/>
          <w:sz w:val="24"/>
          <w:szCs w:val="24"/>
          <w:lang w:val="en-US"/>
        </w:rPr>
        <w:t>et al</w:t>
      </w:r>
      <w:r w:rsidR="00A24996" w:rsidRPr="00CD0D03">
        <w:rPr>
          <w:rFonts w:cs="Times New Roman"/>
          <w:sz w:val="24"/>
          <w:szCs w:val="24"/>
          <w:lang w:val="en-US"/>
        </w:rPr>
        <w:t xml:space="preserve">., 2016) </w:t>
      </w:r>
      <w:r w:rsidR="00A24996">
        <w:rPr>
          <w:rFonts w:cs="Times New Roman"/>
          <w:sz w:val="24"/>
          <w:szCs w:val="24"/>
          <w:lang w:val="en-US"/>
        </w:rPr>
        <w:t xml:space="preserve">was indeed </w:t>
      </w:r>
      <w:r w:rsidR="00A24996" w:rsidRPr="00CD0D03">
        <w:rPr>
          <w:rFonts w:cs="Times New Roman"/>
          <w:sz w:val="24"/>
          <w:szCs w:val="24"/>
          <w:lang w:val="en-US"/>
        </w:rPr>
        <w:t>ascribed</w:t>
      </w:r>
      <w:r w:rsidR="00A24996">
        <w:rPr>
          <w:rFonts w:cs="Times New Roman"/>
          <w:sz w:val="24"/>
          <w:szCs w:val="24"/>
          <w:lang w:val="en-US"/>
        </w:rPr>
        <w:t>, as a possible cause,</w:t>
      </w:r>
      <w:r w:rsidR="00A24996" w:rsidRPr="00CD0D03">
        <w:rPr>
          <w:rFonts w:cs="Times New Roman"/>
          <w:sz w:val="24"/>
          <w:szCs w:val="24"/>
          <w:lang w:val="en-US"/>
        </w:rPr>
        <w:t xml:space="preserve"> to the lack of accurate recruitment procedures </w:t>
      </w:r>
      <w:r w:rsidR="00A24996">
        <w:rPr>
          <w:rFonts w:cs="Times New Roman"/>
          <w:sz w:val="24"/>
          <w:szCs w:val="24"/>
          <w:lang w:val="en-US"/>
        </w:rPr>
        <w:t>in</w:t>
      </w:r>
      <w:r w:rsidR="00A24996" w:rsidRPr="00CD0D03">
        <w:rPr>
          <w:rFonts w:cs="Times New Roman"/>
          <w:sz w:val="24"/>
          <w:szCs w:val="24"/>
          <w:lang w:val="en-US"/>
        </w:rPr>
        <w:t xml:space="preserve"> confirm</w:t>
      </w:r>
      <w:r w:rsidR="00A24996">
        <w:rPr>
          <w:rFonts w:cs="Times New Roman"/>
          <w:sz w:val="24"/>
          <w:szCs w:val="24"/>
          <w:lang w:val="en-US"/>
        </w:rPr>
        <w:t>ing</w:t>
      </w:r>
      <w:r w:rsidR="00A24996" w:rsidRPr="00CD0D03">
        <w:rPr>
          <w:rFonts w:cs="Times New Roman"/>
          <w:sz w:val="24"/>
          <w:szCs w:val="24"/>
          <w:lang w:val="en-US"/>
        </w:rPr>
        <w:t xml:space="preserve"> the presence of the brain damage that the drug under study was designed to treat or reduce (Mangialasche </w:t>
      </w:r>
      <w:r w:rsidR="00A24996" w:rsidRPr="00CD0D03">
        <w:rPr>
          <w:rFonts w:cs="Times New Roman"/>
          <w:i/>
          <w:sz w:val="24"/>
          <w:szCs w:val="24"/>
          <w:lang w:val="en-US"/>
        </w:rPr>
        <w:t>et al</w:t>
      </w:r>
      <w:r w:rsidR="00A24996" w:rsidRPr="00CD0D03">
        <w:rPr>
          <w:rFonts w:cs="Times New Roman"/>
          <w:sz w:val="24"/>
          <w:szCs w:val="24"/>
          <w:lang w:val="en-US"/>
        </w:rPr>
        <w:t>., 2010)</w:t>
      </w:r>
      <w:r w:rsidR="00A24996">
        <w:rPr>
          <w:rFonts w:cs="Times New Roman"/>
          <w:sz w:val="24"/>
          <w:szCs w:val="24"/>
          <w:lang w:val="en-US"/>
        </w:rPr>
        <w:t xml:space="preserve">. </w:t>
      </w:r>
      <w:r w:rsidR="007406DE">
        <w:rPr>
          <w:sz w:val="24"/>
          <w:szCs w:val="24"/>
          <w:lang w:val="en-US"/>
        </w:rPr>
        <w:t>Nowadays,</w:t>
      </w:r>
      <w:r w:rsidR="0004343B" w:rsidRPr="00CD0D03">
        <w:rPr>
          <w:sz w:val="24"/>
          <w:szCs w:val="24"/>
          <w:lang w:val="en-US"/>
        </w:rPr>
        <w:t xml:space="preserve"> </w:t>
      </w:r>
      <w:r w:rsidR="00E53B25" w:rsidRPr="00CD0D03">
        <w:rPr>
          <w:sz w:val="24"/>
          <w:szCs w:val="24"/>
          <w:lang w:val="en-US"/>
        </w:rPr>
        <w:t>b</w:t>
      </w:r>
      <w:r w:rsidR="0004343B" w:rsidRPr="00CD0D03">
        <w:rPr>
          <w:sz w:val="24"/>
          <w:szCs w:val="24"/>
          <w:lang w:val="en-US"/>
        </w:rPr>
        <w:t xml:space="preserve">iomarker-based diagnosis </w:t>
      </w:r>
      <w:r w:rsidR="00F5418A">
        <w:rPr>
          <w:sz w:val="24"/>
          <w:szCs w:val="24"/>
          <w:lang w:val="en-US"/>
        </w:rPr>
        <w:t>is being used to</w:t>
      </w:r>
      <w:r w:rsidR="00A24996">
        <w:rPr>
          <w:sz w:val="24"/>
          <w:szCs w:val="24"/>
          <w:lang w:val="en-US"/>
        </w:rPr>
        <w:t xml:space="preserve"> </w:t>
      </w:r>
      <w:r w:rsidR="0004343B" w:rsidRPr="00CD0D03">
        <w:rPr>
          <w:sz w:val="24"/>
          <w:szCs w:val="24"/>
          <w:lang w:val="en-US"/>
        </w:rPr>
        <w:t xml:space="preserve">inform better study designs, particularly for the selection and inclusion of participants </w:t>
      </w:r>
      <w:r w:rsidR="00E833CB" w:rsidRPr="00CD0D03">
        <w:rPr>
          <w:sz w:val="24"/>
          <w:szCs w:val="24"/>
          <w:lang w:val="en-US"/>
        </w:rPr>
        <w:t>for</w:t>
      </w:r>
      <w:r w:rsidR="0004343B" w:rsidRPr="00CD0D03">
        <w:rPr>
          <w:sz w:val="24"/>
          <w:szCs w:val="24"/>
          <w:lang w:val="en-US"/>
        </w:rPr>
        <w:t xml:space="preserve"> experimental studies </w:t>
      </w:r>
      <w:r w:rsidR="00EC6EC4">
        <w:rPr>
          <w:sz w:val="24"/>
          <w:szCs w:val="24"/>
          <w:lang w:val="en-US"/>
        </w:rPr>
        <w:t>testing</w:t>
      </w:r>
      <w:r w:rsidR="0004343B" w:rsidRPr="00CD0D03">
        <w:rPr>
          <w:sz w:val="24"/>
          <w:szCs w:val="24"/>
          <w:lang w:val="en-US"/>
        </w:rPr>
        <w:t xml:space="preserve"> potential beneficial effects of interventions target</w:t>
      </w:r>
      <w:r w:rsidR="00EC6EC4">
        <w:rPr>
          <w:sz w:val="24"/>
          <w:szCs w:val="24"/>
          <w:lang w:val="en-US"/>
        </w:rPr>
        <w:t>ing</w:t>
      </w:r>
      <w:r w:rsidR="0004343B" w:rsidRPr="00CD0D03">
        <w:rPr>
          <w:sz w:val="24"/>
          <w:szCs w:val="24"/>
          <w:lang w:val="en-US"/>
        </w:rPr>
        <w:t xml:space="preserve"> specific disease mechanisms</w:t>
      </w:r>
      <w:r w:rsidR="00C22799" w:rsidRPr="00CD0D03">
        <w:rPr>
          <w:sz w:val="24"/>
          <w:szCs w:val="24"/>
          <w:lang w:val="en-US"/>
        </w:rPr>
        <w:t xml:space="preserve">. </w:t>
      </w:r>
      <w:r w:rsidR="00A24996">
        <w:rPr>
          <w:sz w:val="24"/>
          <w:szCs w:val="24"/>
          <w:lang w:val="en-US"/>
        </w:rPr>
        <w:t>On the clinicaltrials.gov web-site, a search using the string “</w:t>
      </w:r>
      <w:r w:rsidR="00F5418A">
        <w:rPr>
          <w:sz w:val="24"/>
          <w:szCs w:val="24"/>
          <w:lang w:val="en-US"/>
        </w:rPr>
        <w:t>A</w:t>
      </w:r>
      <w:r w:rsidR="00A24996" w:rsidRPr="00A24996">
        <w:rPr>
          <w:sz w:val="24"/>
          <w:szCs w:val="24"/>
          <w:lang w:val="en-US"/>
        </w:rPr>
        <w:t xml:space="preserve">lzheimer AND </w:t>
      </w:r>
      <w:r w:rsidR="00395A2A">
        <w:rPr>
          <w:sz w:val="24"/>
          <w:szCs w:val="24"/>
          <w:lang w:val="en-US"/>
        </w:rPr>
        <w:t>anti-amyloid</w:t>
      </w:r>
      <w:r w:rsidR="00A24996" w:rsidRPr="00A24996">
        <w:rPr>
          <w:sz w:val="24"/>
          <w:szCs w:val="24"/>
          <w:lang w:val="en-US"/>
        </w:rPr>
        <w:t xml:space="preserve"> AND phase 3</w:t>
      </w:r>
      <w:r w:rsidR="00A24996">
        <w:rPr>
          <w:sz w:val="24"/>
          <w:szCs w:val="24"/>
          <w:lang w:val="en-US"/>
        </w:rPr>
        <w:t xml:space="preserve">” (January 10, 2017) </w:t>
      </w:r>
      <w:r w:rsidR="00DD1902">
        <w:rPr>
          <w:sz w:val="24"/>
          <w:szCs w:val="24"/>
          <w:lang w:val="en-US"/>
        </w:rPr>
        <w:t>sorted out 3</w:t>
      </w:r>
      <w:r w:rsidR="00A24996">
        <w:rPr>
          <w:sz w:val="24"/>
          <w:szCs w:val="24"/>
          <w:lang w:val="en-US"/>
        </w:rPr>
        <w:t xml:space="preserve"> </w:t>
      </w:r>
      <w:r w:rsidR="00DD1902">
        <w:rPr>
          <w:sz w:val="24"/>
          <w:szCs w:val="24"/>
          <w:lang w:val="en-US"/>
        </w:rPr>
        <w:t>non-overlapping</w:t>
      </w:r>
      <w:r w:rsidR="00A24996">
        <w:rPr>
          <w:sz w:val="24"/>
          <w:szCs w:val="24"/>
          <w:lang w:val="en-US"/>
        </w:rPr>
        <w:t xml:space="preserve"> studies, of which </w:t>
      </w:r>
      <w:r w:rsidR="00FD342B">
        <w:rPr>
          <w:sz w:val="24"/>
          <w:szCs w:val="24"/>
          <w:lang w:val="en-US"/>
        </w:rPr>
        <w:t>one (Solan</w:t>
      </w:r>
      <w:r w:rsidR="00DD1902">
        <w:rPr>
          <w:sz w:val="24"/>
          <w:szCs w:val="24"/>
          <w:lang w:val="en-US"/>
        </w:rPr>
        <w:t>ezumab) includes amyloid-positivity at PET or CSF as an inclusion criterion</w:t>
      </w:r>
      <w:r w:rsidR="000B562C">
        <w:rPr>
          <w:sz w:val="24"/>
          <w:szCs w:val="24"/>
          <w:lang w:val="en-US"/>
        </w:rPr>
        <w:t>.</w:t>
      </w:r>
      <w:r w:rsidR="00C52986">
        <w:rPr>
          <w:sz w:val="24"/>
          <w:szCs w:val="24"/>
          <w:lang w:val="en-US"/>
        </w:rPr>
        <w:t xml:space="preserve"> The same search using </w:t>
      </w:r>
      <w:r w:rsidR="00395A2A">
        <w:rPr>
          <w:sz w:val="24"/>
          <w:szCs w:val="24"/>
          <w:lang w:val="en-US"/>
        </w:rPr>
        <w:t>“</w:t>
      </w:r>
      <w:r w:rsidR="00C52986">
        <w:rPr>
          <w:sz w:val="24"/>
          <w:szCs w:val="24"/>
          <w:lang w:val="en-US"/>
        </w:rPr>
        <w:t>anti-tau”</w:t>
      </w:r>
      <w:r w:rsidR="00395A2A">
        <w:rPr>
          <w:sz w:val="24"/>
          <w:szCs w:val="24"/>
          <w:lang w:val="en-US"/>
        </w:rPr>
        <w:t xml:space="preserve"> found one study, testing NPT088, which is actually in Phase 1 but does use amyloid-PET positivity as an inclusion criterion.</w:t>
      </w:r>
      <w:r w:rsidR="00F5418A">
        <w:rPr>
          <w:sz w:val="24"/>
          <w:szCs w:val="24"/>
          <w:lang w:val="en-US"/>
        </w:rPr>
        <w:t xml:space="preserve"> </w:t>
      </w:r>
      <w:r w:rsidR="00F5418A">
        <w:rPr>
          <w:rFonts w:cs="Times New Roman"/>
          <w:sz w:val="24"/>
          <w:szCs w:val="24"/>
          <w:lang w:val="en-US"/>
        </w:rPr>
        <w:t xml:space="preserve">This use of biomarkers will definitely increase the power of clinical </w:t>
      </w:r>
      <w:proofErr w:type="gramStart"/>
      <w:r w:rsidR="00F5418A">
        <w:rPr>
          <w:rFonts w:cs="Times New Roman"/>
          <w:sz w:val="24"/>
          <w:szCs w:val="24"/>
          <w:lang w:val="en-US"/>
        </w:rPr>
        <w:t>trials,</w:t>
      </w:r>
      <w:proofErr w:type="gramEnd"/>
      <w:r w:rsidR="00F5418A">
        <w:rPr>
          <w:rFonts w:cs="Times New Roman"/>
          <w:sz w:val="24"/>
          <w:szCs w:val="24"/>
          <w:lang w:val="en-US"/>
        </w:rPr>
        <w:t xml:space="preserve"> however</w:t>
      </w:r>
      <w:r w:rsidR="00234070">
        <w:rPr>
          <w:rFonts w:cs="Times New Roman"/>
          <w:sz w:val="24"/>
          <w:szCs w:val="24"/>
          <w:lang w:val="en-US"/>
        </w:rPr>
        <w:t>, the</w:t>
      </w:r>
      <w:r w:rsidR="00F5418A">
        <w:rPr>
          <w:rFonts w:cs="Times New Roman"/>
          <w:sz w:val="24"/>
          <w:szCs w:val="24"/>
          <w:lang w:val="en-US"/>
        </w:rPr>
        <w:t>ir</w:t>
      </w:r>
      <w:r w:rsidR="00234070">
        <w:rPr>
          <w:rFonts w:cs="Times New Roman"/>
          <w:sz w:val="24"/>
          <w:szCs w:val="24"/>
          <w:lang w:val="en-US"/>
        </w:rPr>
        <w:t xml:space="preserve"> accuracy </w:t>
      </w:r>
      <w:r w:rsidR="00F5418A">
        <w:rPr>
          <w:rFonts w:cs="Times New Roman"/>
          <w:sz w:val="24"/>
          <w:szCs w:val="24"/>
          <w:lang w:val="en-US"/>
        </w:rPr>
        <w:t>will</w:t>
      </w:r>
      <w:r w:rsidR="00234070">
        <w:rPr>
          <w:rFonts w:cs="Times New Roman"/>
          <w:sz w:val="24"/>
          <w:szCs w:val="24"/>
          <w:lang w:val="en-US"/>
        </w:rPr>
        <w:t xml:space="preserve"> critically influence the appropriateness of subjects selection and, thus, the </w:t>
      </w:r>
      <w:r w:rsidR="00F5418A">
        <w:rPr>
          <w:rFonts w:cs="Times New Roman"/>
          <w:sz w:val="24"/>
          <w:szCs w:val="24"/>
          <w:lang w:val="en-US"/>
        </w:rPr>
        <w:t xml:space="preserve">final </w:t>
      </w:r>
      <w:r w:rsidR="00234070">
        <w:rPr>
          <w:rFonts w:cs="Times New Roman"/>
          <w:sz w:val="24"/>
          <w:szCs w:val="24"/>
          <w:lang w:val="en-US"/>
        </w:rPr>
        <w:t xml:space="preserve">power of </w:t>
      </w:r>
      <w:r w:rsidR="00F5418A">
        <w:rPr>
          <w:rFonts w:cs="Times New Roman"/>
          <w:sz w:val="24"/>
          <w:szCs w:val="24"/>
          <w:lang w:val="en-US"/>
        </w:rPr>
        <w:t>these studies</w:t>
      </w:r>
      <w:r w:rsidR="00234070">
        <w:rPr>
          <w:rFonts w:cs="Times New Roman"/>
          <w:sz w:val="24"/>
          <w:szCs w:val="24"/>
          <w:lang w:val="en-US"/>
        </w:rPr>
        <w:t>.</w:t>
      </w:r>
      <w:r w:rsidR="007406DE">
        <w:rPr>
          <w:rFonts w:cs="Times New Roman"/>
          <w:sz w:val="24"/>
          <w:szCs w:val="24"/>
          <w:lang w:val="en-US"/>
        </w:rPr>
        <w:t xml:space="preserve"> </w:t>
      </w:r>
    </w:p>
    <w:p w14:paraId="7AD5FBE2" w14:textId="77777777" w:rsidR="00F52615" w:rsidRPr="00CD0D03" w:rsidRDefault="003D6F08" w:rsidP="00A83B7C">
      <w:pPr>
        <w:spacing w:line="480" w:lineRule="auto"/>
        <w:rPr>
          <w:rFonts w:cs="Times New Roman"/>
          <w:i/>
          <w:sz w:val="24"/>
          <w:szCs w:val="24"/>
          <w:lang w:val="en-US"/>
        </w:rPr>
      </w:pPr>
      <w:r w:rsidRPr="00CD0D03">
        <w:rPr>
          <w:rFonts w:cs="Times New Roman"/>
          <w:i/>
          <w:sz w:val="24"/>
          <w:szCs w:val="24"/>
          <w:lang w:val="en-US"/>
        </w:rPr>
        <w:t>1.2</w:t>
      </w:r>
      <w:r w:rsidR="00F52615" w:rsidRPr="00CD0D03">
        <w:rPr>
          <w:rFonts w:cs="Times New Roman"/>
          <w:i/>
          <w:sz w:val="24"/>
          <w:szCs w:val="24"/>
          <w:lang w:val="en-US"/>
        </w:rPr>
        <w:t xml:space="preserve"> Objective</w:t>
      </w:r>
    </w:p>
    <w:p w14:paraId="7E2D0043" w14:textId="77777777" w:rsidR="003E36C1" w:rsidRPr="002A056B" w:rsidRDefault="00EB5E8D" w:rsidP="00A83B7C">
      <w:pPr>
        <w:spacing w:line="480" w:lineRule="auto"/>
        <w:rPr>
          <w:rFonts w:cs="Times New Roman"/>
          <w:sz w:val="24"/>
          <w:szCs w:val="24"/>
          <w:lang w:val="en-US"/>
        </w:rPr>
      </w:pPr>
      <w:r w:rsidRPr="00CD0D03">
        <w:rPr>
          <w:rFonts w:cs="Times New Roman"/>
          <w:sz w:val="24"/>
          <w:szCs w:val="24"/>
          <w:lang w:val="en-US"/>
        </w:rPr>
        <w:t>The aim of this paper</w:t>
      </w:r>
      <w:r w:rsidR="003B642F" w:rsidRPr="00CD0D03">
        <w:rPr>
          <w:rFonts w:cs="Times New Roman"/>
          <w:sz w:val="24"/>
          <w:szCs w:val="24"/>
          <w:lang w:val="en-US"/>
        </w:rPr>
        <w:t xml:space="preserve"> </w:t>
      </w:r>
      <w:r w:rsidR="004474B0" w:rsidRPr="00CD0D03">
        <w:rPr>
          <w:rFonts w:cs="Times New Roman"/>
          <w:sz w:val="24"/>
          <w:szCs w:val="24"/>
          <w:lang w:val="en-US"/>
        </w:rPr>
        <w:t>is to</w:t>
      </w:r>
      <w:r w:rsidR="003B642F" w:rsidRPr="00CD0D03">
        <w:rPr>
          <w:rFonts w:cs="Times New Roman"/>
          <w:sz w:val="24"/>
          <w:szCs w:val="24"/>
          <w:lang w:val="en-US"/>
        </w:rPr>
        <w:t xml:space="preserve"> defin</w:t>
      </w:r>
      <w:r w:rsidR="004474B0" w:rsidRPr="00CD0D03">
        <w:rPr>
          <w:rFonts w:cs="Times New Roman"/>
          <w:sz w:val="24"/>
          <w:szCs w:val="24"/>
          <w:lang w:val="en-US"/>
        </w:rPr>
        <w:t>e</w:t>
      </w:r>
      <w:r w:rsidR="00F52615" w:rsidRPr="00CD0D03">
        <w:rPr>
          <w:rFonts w:cs="Times New Roman"/>
          <w:sz w:val="24"/>
          <w:szCs w:val="24"/>
          <w:lang w:val="en-US"/>
        </w:rPr>
        <w:t xml:space="preserve"> a methodological framework </w:t>
      </w:r>
      <w:r w:rsidR="008E0087" w:rsidRPr="00CD0D03">
        <w:rPr>
          <w:rFonts w:cs="Times New Roman"/>
          <w:sz w:val="24"/>
          <w:szCs w:val="24"/>
          <w:lang w:val="en-US"/>
        </w:rPr>
        <w:t xml:space="preserve">for the validation of </w:t>
      </w:r>
      <w:r w:rsidR="00370900">
        <w:rPr>
          <w:rFonts w:cs="Times New Roman"/>
          <w:sz w:val="24"/>
          <w:szCs w:val="24"/>
          <w:lang w:val="en-US"/>
        </w:rPr>
        <w:t xml:space="preserve">AD diagnostic </w:t>
      </w:r>
      <w:r w:rsidR="00F52615" w:rsidRPr="00CD0D03">
        <w:rPr>
          <w:rFonts w:cs="Times New Roman"/>
          <w:sz w:val="24"/>
          <w:szCs w:val="24"/>
          <w:lang w:val="en-US"/>
        </w:rPr>
        <w:t xml:space="preserve">biomarkers </w:t>
      </w:r>
      <w:r w:rsidR="008E0087" w:rsidRPr="00CD0D03">
        <w:rPr>
          <w:rFonts w:cs="Times New Roman"/>
          <w:sz w:val="24"/>
          <w:szCs w:val="24"/>
          <w:lang w:val="en-US"/>
        </w:rPr>
        <w:t>in people refer</w:t>
      </w:r>
      <w:r w:rsidR="00EB6ED6">
        <w:rPr>
          <w:rFonts w:cs="Times New Roman"/>
          <w:sz w:val="24"/>
          <w:szCs w:val="24"/>
          <w:lang w:val="en-US"/>
        </w:rPr>
        <w:t>red</w:t>
      </w:r>
      <w:r w:rsidR="008E0087" w:rsidRPr="00CD0D03">
        <w:rPr>
          <w:rFonts w:cs="Times New Roman"/>
          <w:sz w:val="24"/>
          <w:szCs w:val="24"/>
          <w:lang w:val="en-US"/>
        </w:rPr>
        <w:t xml:space="preserve"> to a memory clinic or other specialist outpatient service and who meet current </w:t>
      </w:r>
      <w:r w:rsidR="00F52615" w:rsidRPr="00CD0D03">
        <w:rPr>
          <w:rFonts w:cs="Times New Roman"/>
          <w:sz w:val="24"/>
          <w:szCs w:val="24"/>
          <w:lang w:val="en-US"/>
        </w:rPr>
        <w:t xml:space="preserve">MCI </w:t>
      </w:r>
      <w:r w:rsidR="00AC33B8" w:rsidRPr="00CD0D03">
        <w:rPr>
          <w:rFonts w:cs="Times New Roman"/>
          <w:sz w:val="24"/>
          <w:szCs w:val="24"/>
          <w:lang w:val="en-US"/>
        </w:rPr>
        <w:t>diagnostic criteria (</w:t>
      </w:r>
      <w:r w:rsidR="008E0087" w:rsidRPr="00CD0D03">
        <w:rPr>
          <w:rFonts w:cs="Times New Roman"/>
          <w:sz w:val="24"/>
          <w:szCs w:val="24"/>
          <w:lang w:val="en-US"/>
        </w:rPr>
        <w:t>Albert</w:t>
      </w:r>
      <w:r w:rsidR="0037420D" w:rsidRPr="00CD0D03">
        <w:rPr>
          <w:rFonts w:cs="Times New Roman"/>
          <w:sz w:val="24"/>
          <w:szCs w:val="24"/>
          <w:lang w:val="en-US"/>
        </w:rPr>
        <w:t xml:space="preserve"> </w:t>
      </w:r>
      <w:r w:rsidR="00965902" w:rsidRPr="00CD0D03">
        <w:rPr>
          <w:rFonts w:cs="Times New Roman"/>
          <w:i/>
          <w:sz w:val="24"/>
          <w:szCs w:val="24"/>
          <w:lang w:val="en-US"/>
        </w:rPr>
        <w:t>et al</w:t>
      </w:r>
      <w:r w:rsidR="0037420D" w:rsidRPr="00CD0D03">
        <w:rPr>
          <w:rFonts w:cs="Times New Roman"/>
          <w:sz w:val="24"/>
          <w:szCs w:val="24"/>
          <w:lang w:val="en-US"/>
        </w:rPr>
        <w:t>., 2011</w:t>
      </w:r>
      <w:r w:rsidR="00AC33B8" w:rsidRPr="00CD0D03">
        <w:rPr>
          <w:rFonts w:cs="Times New Roman"/>
          <w:sz w:val="24"/>
          <w:szCs w:val="24"/>
          <w:lang w:val="en-US"/>
        </w:rPr>
        <w:t>)</w:t>
      </w:r>
      <w:r w:rsidR="00F52615" w:rsidRPr="00CD0D03">
        <w:rPr>
          <w:rFonts w:cs="Times New Roman"/>
          <w:sz w:val="24"/>
          <w:szCs w:val="24"/>
          <w:lang w:val="en-US"/>
        </w:rPr>
        <w:t xml:space="preserve">. </w:t>
      </w:r>
      <w:r w:rsidR="008E0087" w:rsidRPr="00CD0D03">
        <w:rPr>
          <w:rFonts w:cs="Times New Roman"/>
          <w:sz w:val="24"/>
          <w:szCs w:val="24"/>
          <w:lang w:val="en-US"/>
        </w:rPr>
        <w:t xml:space="preserve">The ultimate goal is </w:t>
      </w:r>
      <w:r w:rsidR="008E0087" w:rsidRPr="00CD0D03">
        <w:rPr>
          <w:rFonts w:cs="Times New Roman"/>
          <w:sz w:val="24"/>
          <w:szCs w:val="24"/>
          <w:lang w:val="en-US"/>
        </w:rPr>
        <w:lastRenderedPageBreak/>
        <w:t xml:space="preserve">to improve </w:t>
      </w:r>
      <w:r w:rsidR="007E72EB">
        <w:rPr>
          <w:rFonts w:cs="Times New Roman"/>
          <w:sz w:val="24"/>
          <w:szCs w:val="24"/>
          <w:lang w:val="en-US"/>
        </w:rPr>
        <w:t>early</w:t>
      </w:r>
      <w:r w:rsidR="007E72EB" w:rsidRPr="00CD0D03">
        <w:rPr>
          <w:rFonts w:cs="Times New Roman"/>
          <w:sz w:val="24"/>
          <w:szCs w:val="24"/>
          <w:lang w:val="en-US"/>
        </w:rPr>
        <w:t xml:space="preserve"> </w:t>
      </w:r>
      <w:r w:rsidR="008E0087" w:rsidRPr="00CD0D03">
        <w:rPr>
          <w:rFonts w:cs="Times New Roman"/>
          <w:sz w:val="24"/>
          <w:szCs w:val="24"/>
          <w:lang w:val="en-US"/>
        </w:rPr>
        <w:t xml:space="preserve">diagnosis of AD in memory clinics and to </w:t>
      </w:r>
      <w:r w:rsidR="006A5DA5" w:rsidRPr="00CD0D03">
        <w:rPr>
          <w:rFonts w:cs="Times New Roman"/>
          <w:sz w:val="24"/>
          <w:szCs w:val="24"/>
          <w:lang w:val="en-US"/>
        </w:rPr>
        <w:t>operationalize</w:t>
      </w:r>
      <w:r w:rsidR="008E0087" w:rsidRPr="00CD0D03">
        <w:rPr>
          <w:rFonts w:cs="Times New Roman"/>
          <w:sz w:val="24"/>
          <w:szCs w:val="24"/>
          <w:lang w:val="en-US"/>
        </w:rPr>
        <w:t xml:space="preserve"> biomarker-based diagnostic criteria </w:t>
      </w:r>
      <w:r w:rsidR="008E7822" w:rsidRPr="00CD0D03">
        <w:rPr>
          <w:rFonts w:cs="Times New Roman"/>
          <w:sz w:val="24"/>
          <w:szCs w:val="24"/>
          <w:lang w:val="en-US"/>
        </w:rPr>
        <w:t xml:space="preserve">originally conceived for research </w:t>
      </w:r>
      <w:r w:rsidR="00486A6C" w:rsidRPr="00CD0D03">
        <w:rPr>
          <w:rFonts w:cs="Times New Roman"/>
          <w:sz w:val="24"/>
          <w:szCs w:val="24"/>
          <w:lang w:val="en-US"/>
        </w:rPr>
        <w:t xml:space="preserve">(Dubois </w:t>
      </w:r>
      <w:r w:rsidR="00486A6C" w:rsidRPr="00CD0D03">
        <w:rPr>
          <w:rFonts w:cs="Times New Roman"/>
          <w:i/>
          <w:sz w:val="24"/>
          <w:szCs w:val="24"/>
          <w:lang w:val="en-US"/>
        </w:rPr>
        <w:t>et al.,</w:t>
      </w:r>
      <w:r w:rsidR="00486A6C" w:rsidRPr="00CD0D03">
        <w:rPr>
          <w:rFonts w:cs="Times New Roman"/>
          <w:sz w:val="24"/>
          <w:szCs w:val="24"/>
          <w:lang w:val="en-US"/>
        </w:rPr>
        <w:t xml:space="preserve"> 2014; </w:t>
      </w:r>
      <w:r w:rsidR="008E7822" w:rsidRPr="00CD0D03">
        <w:rPr>
          <w:rFonts w:cs="Times New Roman"/>
          <w:sz w:val="24"/>
          <w:szCs w:val="24"/>
          <w:lang w:val="en-US"/>
        </w:rPr>
        <w:t xml:space="preserve">Albert </w:t>
      </w:r>
      <w:r w:rsidR="00486A6C" w:rsidRPr="00CD0D03">
        <w:rPr>
          <w:rFonts w:cs="Times New Roman"/>
          <w:i/>
          <w:sz w:val="24"/>
          <w:szCs w:val="24"/>
          <w:lang w:val="en-US"/>
        </w:rPr>
        <w:t>et al.,</w:t>
      </w:r>
      <w:r w:rsidR="00486A6C" w:rsidRPr="00CD0D03">
        <w:rPr>
          <w:rFonts w:cs="Times New Roman"/>
          <w:sz w:val="24"/>
          <w:szCs w:val="24"/>
          <w:lang w:val="en-US"/>
        </w:rPr>
        <w:t xml:space="preserve"> 2011)</w:t>
      </w:r>
      <w:r w:rsidR="008E0087" w:rsidRPr="00CD0D03">
        <w:rPr>
          <w:rFonts w:cs="Times New Roman"/>
          <w:sz w:val="24"/>
          <w:szCs w:val="24"/>
          <w:lang w:val="en-US"/>
        </w:rPr>
        <w:t>.</w:t>
      </w:r>
    </w:p>
    <w:p w14:paraId="1F701196" w14:textId="77777777" w:rsidR="003E36C1" w:rsidRPr="00CD0D03" w:rsidRDefault="003E36C1" w:rsidP="00A83B7C">
      <w:pPr>
        <w:spacing w:line="480" w:lineRule="auto"/>
        <w:rPr>
          <w:i/>
          <w:sz w:val="24"/>
          <w:szCs w:val="24"/>
          <w:lang w:val="en-US"/>
        </w:rPr>
      </w:pPr>
      <w:r w:rsidRPr="00CD0D03">
        <w:rPr>
          <w:i/>
          <w:sz w:val="24"/>
          <w:szCs w:val="24"/>
          <w:lang w:val="en-US"/>
        </w:rPr>
        <w:t>2.0 Methods</w:t>
      </w:r>
    </w:p>
    <w:p w14:paraId="295F7C17" w14:textId="77777777" w:rsidR="003E36C1" w:rsidRPr="00CD0D03" w:rsidRDefault="003E36C1" w:rsidP="00505DA6">
      <w:pPr>
        <w:spacing w:line="480" w:lineRule="auto"/>
        <w:outlineLvl w:val="0"/>
        <w:rPr>
          <w:i/>
          <w:sz w:val="24"/>
          <w:szCs w:val="24"/>
          <w:lang w:val="en-US"/>
        </w:rPr>
      </w:pPr>
      <w:r w:rsidRPr="00CD0D03">
        <w:rPr>
          <w:i/>
          <w:sz w:val="24"/>
          <w:szCs w:val="24"/>
          <w:lang w:val="en-US"/>
        </w:rPr>
        <w:t>2.1 Context of use</w:t>
      </w:r>
    </w:p>
    <w:p w14:paraId="4F28349A" w14:textId="77777777" w:rsidR="00427686" w:rsidRPr="00CD0D03" w:rsidRDefault="00427686" w:rsidP="00A83B7C">
      <w:pPr>
        <w:spacing w:line="480" w:lineRule="auto"/>
        <w:rPr>
          <w:sz w:val="24"/>
          <w:szCs w:val="24"/>
          <w:lang w:val="en-US"/>
        </w:rPr>
      </w:pPr>
      <w:r w:rsidRPr="00CD0D03">
        <w:rPr>
          <w:sz w:val="24"/>
          <w:szCs w:val="24"/>
          <w:lang w:val="en-US"/>
        </w:rPr>
        <w:t xml:space="preserve">Research </w:t>
      </w:r>
      <w:r w:rsidR="002F623F">
        <w:rPr>
          <w:sz w:val="24"/>
          <w:szCs w:val="24"/>
          <w:lang w:val="en-US"/>
        </w:rPr>
        <w:t>on</w:t>
      </w:r>
      <w:r w:rsidR="008D293E" w:rsidRPr="00CD0D03">
        <w:rPr>
          <w:sz w:val="24"/>
          <w:szCs w:val="24"/>
          <w:lang w:val="en-US"/>
        </w:rPr>
        <w:t xml:space="preserve"> </w:t>
      </w:r>
      <w:r w:rsidRPr="00CD0D03">
        <w:rPr>
          <w:sz w:val="24"/>
          <w:szCs w:val="24"/>
          <w:lang w:val="en-US"/>
        </w:rPr>
        <w:t>AD biomarkers need</w:t>
      </w:r>
      <w:r w:rsidR="002746D0" w:rsidRPr="00CD0D03">
        <w:rPr>
          <w:sz w:val="24"/>
          <w:szCs w:val="24"/>
          <w:lang w:val="en-US"/>
        </w:rPr>
        <w:t>s</w:t>
      </w:r>
      <w:r w:rsidRPr="00CD0D03">
        <w:rPr>
          <w:sz w:val="24"/>
          <w:szCs w:val="24"/>
          <w:lang w:val="en-US"/>
        </w:rPr>
        <w:t xml:space="preserve"> to be conducted within a co</w:t>
      </w:r>
      <w:r w:rsidR="006F7CFF" w:rsidRPr="00CD0D03">
        <w:rPr>
          <w:sz w:val="24"/>
          <w:szCs w:val="24"/>
          <w:lang w:val="en-US"/>
        </w:rPr>
        <w:t xml:space="preserve">nceptual framework </w:t>
      </w:r>
      <w:r w:rsidR="002F623F">
        <w:rPr>
          <w:sz w:val="24"/>
          <w:szCs w:val="24"/>
          <w:lang w:val="en-US"/>
        </w:rPr>
        <w:t>that</w:t>
      </w:r>
      <w:r w:rsidR="002F623F" w:rsidRPr="00CD0D03">
        <w:rPr>
          <w:sz w:val="24"/>
          <w:szCs w:val="24"/>
          <w:lang w:val="en-US"/>
        </w:rPr>
        <w:t xml:space="preserve"> </w:t>
      </w:r>
      <w:r w:rsidR="006F7CFF" w:rsidRPr="00CD0D03">
        <w:rPr>
          <w:sz w:val="24"/>
          <w:szCs w:val="24"/>
          <w:lang w:val="en-US"/>
        </w:rPr>
        <w:t>specifies</w:t>
      </w:r>
      <w:r w:rsidR="00B65A40" w:rsidRPr="00CD0D03">
        <w:rPr>
          <w:sz w:val="24"/>
          <w:szCs w:val="24"/>
          <w:lang w:val="en-US"/>
        </w:rPr>
        <w:t xml:space="preserve"> </w:t>
      </w:r>
      <w:r w:rsidR="00354C80" w:rsidRPr="00CD0D03">
        <w:rPr>
          <w:sz w:val="24"/>
          <w:szCs w:val="24"/>
          <w:lang w:val="en-US"/>
        </w:rPr>
        <w:t>t</w:t>
      </w:r>
      <w:r w:rsidRPr="00CD0D03">
        <w:rPr>
          <w:sz w:val="24"/>
          <w:szCs w:val="24"/>
          <w:lang w:val="en-US"/>
        </w:rPr>
        <w:t xml:space="preserve">he </w:t>
      </w:r>
      <w:r w:rsidRPr="00CD0D03">
        <w:rPr>
          <w:i/>
          <w:sz w:val="24"/>
          <w:szCs w:val="24"/>
          <w:lang w:val="en-US"/>
        </w:rPr>
        <w:t>purpose</w:t>
      </w:r>
      <w:r w:rsidRPr="00CD0D03">
        <w:rPr>
          <w:sz w:val="24"/>
          <w:szCs w:val="24"/>
          <w:lang w:val="en-US"/>
        </w:rPr>
        <w:t xml:space="preserve"> of the</w:t>
      </w:r>
      <w:r w:rsidR="002F623F">
        <w:rPr>
          <w:sz w:val="24"/>
          <w:szCs w:val="24"/>
          <w:lang w:val="en-US"/>
        </w:rPr>
        <w:t>ir</w:t>
      </w:r>
      <w:r w:rsidRPr="00CD0D03">
        <w:rPr>
          <w:sz w:val="24"/>
          <w:szCs w:val="24"/>
          <w:lang w:val="en-US"/>
        </w:rPr>
        <w:t xml:space="preserve"> use</w:t>
      </w:r>
      <w:r w:rsidR="00354C80" w:rsidRPr="00CD0D03">
        <w:rPr>
          <w:sz w:val="24"/>
          <w:szCs w:val="24"/>
          <w:lang w:val="en-US"/>
        </w:rPr>
        <w:t>, t</w:t>
      </w:r>
      <w:r w:rsidRPr="00CD0D03">
        <w:rPr>
          <w:sz w:val="24"/>
          <w:szCs w:val="24"/>
          <w:lang w:val="en-US"/>
        </w:rPr>
        <w:t xml:space="preserve">he </w:t>
      </w:r>
      <w:r w:rsidRPr="00CD0D03">
        <w:rPr>
          <w:i/>
          <w:sz w:val="24"/>
          <w:szCs w:val="24"/>
          <w:lang w:val="en-US"/>
        </w:rPr>
        <w:t>nature</w:t>
      </w:r>
      <w:r w:rsidR="00354C80" w:rsidRPr="00CD0D03">
        <w:rPr>
          <w:sz w:val="24"/>
          <w:szCs w:val="24"/>
          <w:lang w:val="en-US"/>
        </w:rPr>
        <w:t xml:space="preserve"> of the disease, and t</w:t>
      </w:r>
      <w:r w:rsidRPr="00CD0D03">
        <w:rPr>
          <w:sz w:val="24"/>
          <w:szCs w:val="24"/>
          <w:lang w:val="en-US"/>
        </w:rPr>
        <w:t xml:space="preserve">he </w:t>
      </w:r>
      <w:r w:rsidRPr="00CD0D03">
        <w:rPr>
          <w:i/>
          <w:sz w:val="24"/>
          <w:szCs w:val="24"/>
          <w:lang w:val="en-US"/>
        </w:rPr>
        <w:t>population</w:t>
      </w:r>
      <w:r w:rsidRPr="00CD0D03">
        <w:rPr>
          <w:sz w:val="24"/>
          <w:szCs w:val="24"/>
          <w:lang w:val="en-US"/>
        </w:rPr>
        <w:t xml:space="preserve"> in which th</w:t>
      </w:r>
      <w:r w:rsidR="003B45C9" w:rsidRPr="00CD0D03">
        <w:rPr>
          <w:sz w:val="24"/>
          <w:szCs w:val="24"/>
          <w:lang w:val="en-US"/>
        </w:rPr>
        <w:t xml:space="preserve">ese tests </w:t>
      </w:r>
      <w:r w:rsidR="00F74062">
        <w:rPr>
          <w:sz w:val="24"/>
          <w:szCs w:val="24"/>
          <w:lang w:val="en-US"/>
        </w:rPr>
        <w:t>would be</w:t>
      </w:r>
      <w:r w:rsidR="002746D0" w:rsidRPr="00CD0D03">
        <w:rPr>
          <w:sz w:val="24"/>
          <w:szCs w:val="24"/>
          <w:lang w:val="en-US"/>
        </w:rPr>
        <w:t xml:space="preserve"> used (Zimmer</w:t>
      </w:r>
      <w:r w:rsidR="00144036">
        <w:rPr>
          <w:sz w:val="24"/>
          <w:szCs w:val="24"/>
          <w:lang w:val="en-US"/>
        </w:rPr>
        <w:t>n</w:t>
      </w:r>
      <w:r w:rsidR="002746D0" w:rsidRPr="00CD0D03">
        <w:rPr>
          <w:sz w:val="24"/>
          <w:szCs w:val="24"/>
          <w:lang w:val="en-US"/>
        </w:rPr>
        <w:t>, 2009).</w:t>
      </w:r>
    </w:p>
    <w:p w14:paraId="5476E544" w14:textId="77777777" w:rsidR="00333605" w:rsidRPr="00CD0D03" w:rsidRDefault="00BE17AC" w:rsidP="00A83B7C">
      <w:pPr>
        <w:spacing w:line="480" w:lineRule="auto"/>
        <w:rPr>
          <w:sz w:val="24"/>
          <w:szCs w:val="24"/>
          <w:lang w:val="en-US"/>
        </w:rPr>
      </w:pPr>
      <w:r w:rsidRPr="00CD0D03">
        <w:rPr>
          <w:sz w:val="24"/>
          <w:szCs w:val="24"/>
          <w:lang w:val="en-US"/>
        </w:rPr>
        <w:t>First, a</w:t>
      </w:r>
      <w:r w:rsidR="00F96CBE" w:rsidRPr="00CD0D03">
        <w:rPr>
          <w:sz w:val="24"/>
          <w:szCs w:val="24"/>
          <w:lang w:val="en-US"/>
        </w:rPr>
        <w:t xml:space="preserve">s illustrated </w:t>
      </w:r>
      <w:r w:rsidRPr="00CD0D03">
        <w:rPr>
          <w:sz w:val="24"/>
          <w:szCs w:val="24"/>
          <w:lang w:val="en-US"/>
        </w:rPr>
        <w:t xml:space="preserve">in </w:t>
      </w:r>
      <w:r w:rsidR="00F96CBE" w:rsidRPr="00CD0D03">
        <w:rPr>
          <w:sz w:val="24"/>
          <w:szCs w:val="24"/>
          <w:lang w:val="en-US"/>
        </w:rPr>
        <w:t xml:space="preserve">the background, the </w:t>
      </w:r>
      <w:r w:rsidR="00F96CBE" w:rsidRPr="00CD0D03">
        <w:rPr>
          <w:i/>
          <w:sz w:val="24"/>
          <w:szCs w:val="24"/>
          <w:lang w:val="en-US"/>
        </w:rPr>
        <w:t>purpose</w:t>
      </w:r>
      <w:r w:rsidR="00F96CBE" w:rsidRPr="00CD0D03">
        <w:rPr>
          <w:sz w:val="24"/>
          <w:szCs w:val="24"/>
          <w:lang w:val="en-US"/>
        </w:rPr>
        <w:t xml:space="preserve"> of using biomarkers </w:t>
      </w:r>
      <w:r w:rsidRPr="00CD0D03">
        <w:rPr>
          <w:sz w:val="24"/>
          <w:szCs w:val="24"/>
          <w:lang w:val="en-US"/>
        </w:rPr>
        <w:t xml:space="preserve">in this context is to determine whether </w:t>
      </w:r>
      <w:r w:rsidR="00C742AF">
        <w:rPr>
          <w:sz w:val="24"/>
          <w:szCs w:val="24"/>
          <w:lang w:val="en-US"/>
        </w:rPr>
        <w:t xml:space="preserve">the impairment of </w:t>
      </w:r>
      <w:r w:rsidRPr="00CD0D03">
        <w:rPr>
          <w:sz w:val="24"/>
          <w:szCs w:val="24"/>
          <w:lang w:val="en-US"/>
        </w:rPr>
        <w:t xml:space="preserve">clinically diagnosed MCI </w:t>
      </w:r>
      <w:r w:rsidR="003B45C9" w:rsidRPr="00CD0D03">
        <w:rPr>
          <w:sz w:val="24"/>
          <w:szCs w:val="24"/>
          <w:lang w:val="en-US"/>
        </w:rPr>
        <w:t xml:space="preserve">in </w:t>
      </w:r>
      <w:r w:rsidRPr="00CD0D03">
        <w:rPr>
          <w:sz w:val="24"/>
          <w:szCs w:val="24"/>
          <w:lang w:val="en-US"/>
        </w:rPr>
        <w:t xml:space="preserve">patients accessing memory clinics is due to AD. </w:t>
      </w:r>
      <w:r w:rsidR="002F623F">
        <w:rPr>
          <w:sz w:val="24"/>
          <w:szCs w:val="24"/>
          <w:lang w:val="en-US"/>
        </w:rPr>
        <w:t>T</w:t>
      </w:r>
      <w:r w:rsidR="00B929C8" w:rsidRPr="00CD0D03">
        <w:rPr>
          <w:sz w:val="24"/>
          <w:szCs w:val="24"/>
          <w:lang w:val="en-US"/>
        </w:rPr>
        <w:t>he</w:t>
      </w:r>
      <w:r w:rsidRPr="00CD0D03">
        <w:rPr>
          <w:sz w:val="24"/>
          <w:szCs w:val="24"/>
          <w:lang w:val="en-US"/>
        </w:rPr>
        <w:t xml:space="preserve"> salient feature of the</w:t>
      </w:r>
      <w:r w:rsidR="00B929C8" w:rsidRPr="00CD0D03">
        <w:rPr>
          <w:sz w:val="24"/>
          <w:szCs w:val="24"/>
          <w:lang w:val="en-US"/>
        </w:rPr>
        <w:t xml:space="preserve"> </w:t>
      </w:r>
      <w:r w:rsidR="00B929C8" w:rsidRPr="00CD0D03">
        <w:rPr>
          <w:i/>
          <w:sz w:val="24"/>
          <w:szCs w:val="24"/>
          <w:lang w:val="en-US"/>
        </w:rPr>
        <w:t>nature</w:t>
      </w:r>
      <w:r w:rsidR="00B929C8" w:rsidRPr="00CD0D03">
        <w:rPr>
          <w:sz w:val="24"/>
          <w:szCs w:val="24"/>
          <w:lang w:val="en-US"/>
        </w:rPr>
        <w:t xml:space="preserve"> of </w:t>
      </w:r>
      <w:r w:rsidRPr="00CD0D03">
        <w:rPr>
          <w:sz w:val="24"/>
          <w:szCs w:val="24"/>
          <w:lang w:val="en-US"/>
        </w:rPr>
        <w:t xml:space="preserve">the </w:t>
      </w:r>
      <w:r w:rsidR="00B929C8" w:rsidRPr="00CD0D03">
        <w:rPr>
          <w:sz w:val="24"/>
          <w:szCs w:val="24"/>
          <w:lang w:val="en-US"/>
        </w:rPr>
        <w:t xml:space="preserve">target disease is </w:t>
      </w:r>
      <w:r w:rsidRPr="00CD0D03">
        <w:rPr>
          <w:sz w:val="24"/>
          <w:szCs w:val="24"/>
          <w:lang w:val="en-US"/>
        </w:rPr>
        <w:t>its insidious onset due to slowly progressive</w:t>
      </w:r>
      <w:r w:rsidR="006E7A3A" w:rsidRPr="00CD0D03">
        <w:rPr>
          <w:sz w:val="24"/>
          <w:szCs w:val="24"/>
          <w:lang w:val="en-US"/>
        </w:rPr>
        <w:t>, well-characterized</w:t>
      </w:r>
      <w:r w:rsidRPr="00CD0D03">
        <w:rPr>
          <w:sz w:val="24"/>
          <w:szCs w:val="24"/>
          <w:lang w:val="en-US"/>
        </w:rPr>
        <w:t xml:space="preserve"> </w:t>
      </w:r>
      <w:r w:rsidR="00B929C8" w:rsidRPr="00CD0D03">
        <w:rPr>
          <w:sz w:val="24"/>
          <w:szCs w:val="24"/>
          <w:lang w:val="en-US"/>
        </w:rPr>
        <w:t>neurodegenerati</w:t>
      </w:r>
      <w:r w:rsidR="006E7A3A" w:rsidRPr="00CD0D03">
        <w:rPr>
          <w:sz w:val="24"/>
          <w:szCs w:val="24"/>
          <w:lang w:val="en-US"/>
        </w:rPr>
        <w:t>ve processes</w:t>
      </w:r>
      <w:r w:rsidR="00B929C8" w:rsidRPr="00CD0D03">
        <w:rPr>
          <w:sz w:val="24"/>
          <w:szCs w:val="24"/>
          <w:lang w:val="en-US"/>
        </w:rPr>
        <w:t xml:space="preserve"> that </w:t>
      </w:r>
      <w:r w:rsidR="006E7A3A" w:rsidRPr="00CD0D03">
        <w:rPr>
          <w:sz w:val="24"/>
          <w:szCs w:val="24"/>
          <w:lang w:val="en-US"/>
        </w:rPr>
        <w:t>begin</w:t>
      </w:r>
      <w:r w:rsidRPr="00CD0D03">
        <w:rPr>
          <w:sz w:val="24"/>
          <w:szCs w:val="24"/>
          <w:lang w:val="en-US"/>
        </w:rPr>
        <w:t xml:space="preserve"> </w:t>
      </w:r>
      <w:r w:rsidR="00951FB0">
        <w:rPr>
          <w:sz w:val="24"/>
          <w:szCs w:val="24"/>
          <w:lang w:val="en-US"/>
        </w:rPr>
        <w:t>long</w:t>
      </w:r>
      <w:r w:rsidR="00B929C8" w:rsidRPr="00CD0D03">
        <w:rPr>
          <w:sz w:val="24"/>
          <w:szCs w:val="24"/>
          <w:lang w:val="en-US"/>
        </w:rPr>
        <w:t xml:space="preserve"> before </w:t>
      </w:r>
      <w:r w:rsidRPr="00CD0D03">
        <w:rPr>
          <w:sz w:val="24"/>
          <w:szCs w:val="24"/>
          <w:lang w:val="en-US"/>
        </w:rPr>
        <w:t>the overt</w:t>
      </w:r>
      <w:r w:rsidR="00166578" w:rsidRPr="00CD0D03">
        <w:rPr>
          <w:sz w:val="24"/>
          <w:szCs w:val="24"/>
          <w:lang w:val="en-US"/>
        </w:rPr>
        <w:t xml:space="preserve"> </w:t>
      </w:r>
      <w:r w:rsidR="00B929C8" w:rsidRPr="00CD0D03">
        <w:rPr>
          <w:sz w:val="24"/>
          <w:szCs w:val="24"/>
          <w:lang w:val="en-US"/>
        </w:rPr>
        <w:t xml:space="preserve">clinical </w:t>
      </w:r>
      <w:r w:rsidRPr="00CD0D03">
        <w:rPr>
          <w:sz w:val="24"/>
          <w:szCs w:val="24"/>
          <w:lang w:val="en-US"/>
        </w:rPr>
        <w:t>onset of AD</w:t>
      </w:r>
      <w:r w:rsidR="00B929C8" w:rsidRPr="00CD0D03">
        <w:rPr>
          <w:sz w:val="24"/>
          <w:szCs w:val="24"/>
          <w:lang w:val="en-US"/>
        </w:rPr>
        <w:t>.</w:t>
      </w:r>
      <w:r w:rsidR="00AD16E1" w:rsidRPr="00CD0D03">
        <w:rPr>
          <w:sz w:val="24"/>
          <w:szCs w:val="24"/>
          <w:lang w:val="en-US"/>
        </w:rPr>
        <w:t xml:space="preserve"> Still, the lack of disease modifying therapies, and the non–systematic link between biomarkers positivity and disease expression</w:t>
      </w:r>
      <w:r w:rsidR="00510F7C" w:rsidRPr="00CD0D03">
        <w:rPr>
          <w:sz w:val="24"/>
          <w:szCs w:val="24"/>
          <w:lang w:val="en-US"/>
        </w:rPr>
        <w:t xml:space="preserve"> strongly discourage </w:t>
      </w:r>
      <w:r w:rsidR="00AD16E1" w:rsidRPr="00CD0D03">
        <w:rPr>
          <w:sz w:val="24"/>
          <w:szCs w:val="24"/>
          <w:lang w:val="en-US"/>
        </w:rPr>
        <w:t>screening programs in the general population</w:t>
      </w:r>
      <w:r w:rsidR="006E7A3A" w:rsidRPr="00CD0D03">
        <w:rPr>
          <w:sz w:val="24"/>
          <w:szCs w:val="24"/>
          <w:lang w:val="en-US"/>
        </w:rPr>
        <w:t xml:space="preserve"> to identify cases proactively</w:t>
      </w:r>
      <w:r w:rsidR="004C3172">
        <w:rPr>
          <w:sz w:val="24"/>
          <w:szCs w:val="24"/>
          <w:lang w:val="en-US"/>
        </w:rPr>
        <w:t xml:space="preserve"> (Wimo and Winblad, 2015)</w:t>
      </w:r>
      <w:r w:rsidR="00AD16E1" w:rsidRPr="00CD0D03">
        <w:rPr>
          <w:sz w:val="24"/>
          <w:szCs w:val="24"/>
          <w:lang w:val="en-US"/>
        </w:rPr>
        <w:t>.</w:t>
      </w:r>
      <w:r w:rsidR="00407BAE" w:rsidRPr="00CD0D03">
        <w:rPr>
          <w:sz w:val="24"/>
          <w:szCs w:val="24"/>
          <w:lang w:val="en-US"/>
        </w:rPr>
        <w:t xml:space="preserve"> </w:t>
      </w:r>
      <w:r w:rsidR="00AD16E1" w:rsidRPr="00CD0D03">
        <w:rPr>
          <w:sz w:val="24"/>
          <w:szCs w:val="24"/>
          <w:lang w:val="en-US"/>
        </w:rPr>
        <w:t xml:space="preserve">As a consequence, our </w:t>
      </w:r>
      <w:r w:rsidR="00AD16E1" w:rsidRPr="00CD0D03">
        <w:rPr>
          <w:i/>
          <w:sz w:val="24"/>
          <w:szCs w:val="24"/>
          <w:lang w:val="en-US"/>
        </w:rPr>
        <w:t>population</w:t>
      </w:r>
      <w:r w:rsidR="00AD16E1" w:rsidRPr="00CD0D03">
        <w:rPr>
          <w:sz w:val="24"/>
          <w:szCs w:val="24"/>
          <w:lang w:val="en-US"/>
        </w:rPr>
        <w:t xml:space="preserve"> of interest is the MCI </w:t>
      </w:r>
      <w:r w:rsidR="00407BAE" w:rsidRPr="00CD0D03">
        <w:rPr>
          <w:sz w:val="24"/>
          <w:szCs w:val="24"/>
          <w:lang w:val="en-US"/>
        </w:rPr>
        <w:t>population</w:t>
      </w:r>
      <w:r w:rsidR="00510F7C" w:rsidRPr="00CD0D03">
        <w:rPr>
          <w:sz w:val="24"/>
          <w:szCs w:val="24"/>
          <w:lang w:val="en-US"/>
        </w:rPr>
        <w:t xml:space="preserve"> that is non-proactively screened but </w:t>
      </w:r>
      <w:r w:rsidR="006E7A3A" w:rsidRPr="00CD0D03">
        <w:rPr>
          <w:sz w:val="24"/>
          <w:szCs w:val="24"/>
          <w:lang w:val="en-US"/>
        </w:rPr>
        <w:t xml:space="preserve">who </w:t>
      </w:r>
      <w:r w:rsidR="00510F7C" w:rsidRPr="00CD0D03">
        <w:rPr>
          <w:sz w:val="24"/>
          <w:szCs w:val="24"/>
          <w:lang w:val="en-US"/>
        </w:rPr>
        <w:t xml:space="preserve">is referred </w:t>
      </w:r>
      <w:r w:rsidR="006E7A3A" w:rsidRPr="00CD0D03">
        <w:rPr>
          <w:sz w:val="24"/>
          <w:szCs w:val="24"/>
          <w:lang w:val="en-US"/>
        </w:rPr>
        <w:t xml:space="preserve">to a memory clinic or other third-level specialist health service, </w:t>
      </w:r>
      <w:r w:rsidR="00510F7C" w:rsidRPr="00CD0D03">
        <w:rPr>
          <w:sz w:val="24"/>
          <w:szCs w:val="24"/>
          <w:lang w:val="en-US"/>
        </w:rPr>
        <w:t>by a general practitioner or through another primary level</w:t>
      </w:r>
      <w:r w:rsidR="00ED6BCF" w:rsidRPr="00CD0D03">
        <w:rPr>
          <w:sz w:val="24"/>
          <w:szCs w:val="24"/>
          <w:lang w:val="en-US"/>
        </w:rPr>
        <w:t xml:space="preserve"> entry point</w:t>
      </w:r>
      <w:r w:rsidR="00510F7C" w:rsidRPr="00CD0D03">
        <w:rPr>
          <w:sz w:val="24"/>
          <w:szCs w:val="24"/>
          <w:lang w:val="en-US"/>
        </w:rPr>
        <w:t>.</w:t>
      </w:r>
      <w:r w:rsidR="008B0373">
        <w:rPr>
          <w:sz w:val="24"/>
          <w:szCs w:val="24"/>
          <w:lang w:val="en-US"/>
        </w:rPr>
        <w:t xml:space="preserve"> People with subjective cognitive complaint</w:t>
      </w:r>
      <w:r w:rsidR="003B5AB0">
        <w:rPr>
          <w:sz w:val="24"/>
          <w:szCs w:val="24"/>
          <w:lang w:val="en-US"/>
        </w:rPr>
        <w:t>s</w:t>
      </w:r>
      <w:r w:rsidR="008B0373">
        <w:rPr>
          <w:sz w:val="24"/>
          <w:szCs w:val="24"/>
          <w:lang w:val="en-US"/>
        </w:rPr>
        <w:t xml:space="preserve">, also accessing memory clinics, are not considered in this </w:t>
      </w:r>
      <w:r w:rsidR="003B5AB0">
        <w:rPr>
          <w:sz w:val="24"/>
          <w:szCs w:val="24"/>
          <w:lang w:val="en-US"/>
        </w:rPr>
        <w:t>manuscript</w:t>
      </w:r>
      <w:r w:rsidR="008B0373">
        <w:rPr>
          <w:sz w:val="24"/>
          <w:szCs w:val="24"/>
          <w:lang w:val="en-US"/>
        </w:rPr>
        <w:t xml:space="preserve"> </w:t>
      </w:r>
      <w:r w:rsidR="0045091C">
        <w:rPr>
          <w:sz w:val="24"/>
          <w:szCs w:val="24"/>
          <w:lang w:val="en-US"/>
        </w:rPr>
        <w:t>since</w:t>
      </w:r>
      <w:r w:rsidR="008B0373">
        <w:rPr>
          <w:sz w:val="24"/>
          <w:szCs w:val="24"/>
          <w:lang w:val="en-US"/>
        </w:rPr>
        <w:t xml:space="preserve"> their probability of having AD is lower than that of MCI.</w:t>
      </w:r>
    </w:p>
    <w:p w14:paraId="70463C10" w14:textId="77777777" w:rsidR="00CA4206" w:rsidRPr="00CD0D03" w:rsidRDefault="00CA4206" w:rsidP="00505DA6">
      <w:pPr>
        <w:spacing w:line="480" w:lineRule="auto"/>
        <w:outlineLvl w:val="0"/>
        <w:rPr>
          <w:rFonts w:cs="Times New Roman"/>
          <w:i/>
          <w:sz w:val="24"/>
          <w:szCs w:val="24"/>
          <w:lang w:val="en-US"/>
        </w:rPr>
      </w:pPr>
      <w:r w:rsidRPr="00CD0D03">
        <w:rPr>
          <w:rFonts w:cs="Times New Roman"/>
          <w:i/>
          <w:sz w:val="24"/>
          <w:szCs w:val="24"/>
          <w:lang w:val="en-US"/>
        </w:rPr>
        <w:t xml:space="preserve">2.2 </w:t>
      </w:r>
      <w:r w:rsidR="00FE450E" w:rsidRPr="00CD0D03">
        <w:rPr>
          <w:rFonts w:cs="Times New Roman"/>
          <w:i/>
          <w:sz w:val="24"/>
          <w:szCs w:val="24"/>
          <w:lang w:val="en-US"/>
        </w:rPr>
        <w:t>A</w:t>
      </w:r>
      <w:r w:rsidR="009760EE" w:rsidRPr="00CD0D03">
        <w:rPr>
          <w:rFonts w:cs="Times New Roman"/>
          <w:i/>
          <w:sz w:val="24"/>
          <w:szCs w:val="24"/>
          <w:lang w:val="en-US"/>
        </w:rPr>
        <w:t xml:space="preserve"> methodological </w:t>
      </w:r>
      <w:r w:rsidR="00FE450E" w:rsidRPr="00CD0D03">
        <w:rPr>
          <w:rFonts w:cs="Times New Roman"/>
          <w:i/>
          <w:sz w:val="24"/>
          <w:szCs w:val="24"/>
          <w:lang w:val="en-US"/>
        </w:rPr>
        <w:t>framework for setting systematic validation studies</w:t>
      </w:r>
    </w:p>
    <w:p w14:paraId="517B3443" w14:textId="77777777" w:rsidR="0003184D" w:rsidRPr="004337D4" w:rsidRDefault="002F623F" w:rsidP="0003184D">
      <w:pPr>
        <w:spacing w:line="480" w:lineRule="auto"/>
        <w:rPr>
          <w:rFonts w:cs="Times New Roman"/>
          <w:i/>
          <w:sz w:val="24"/>
          <w:szCs w:val="24"/>
          <w:lang w:val="en-US"/>
        </w:rPr>
      </w:pPr>
      <w:r>
        <w:rPr>
          <w:rFonts w:cs="Times New Roman"/>
          <w:sz w:val="24"/>
          <w:szCs w:val="24"/>
          <w:lang w:val="en-US"/>
        </w:rPr>
        <w:t>T</w:t>
      </w:r>
      <w:r w:rsidR="00F5633E" w:rsidRPr="00CD0D03">
        <w:rPr>
          <w:rFonts w:cs="Times New Roman"/>
          <w:sz w:val="24"/>
          <w:szCs w:val="24"/>
          <w:lang w:val="en-US"/>
        </w:rPr>
        <w:t>hree</w:t>
      </w:r>
      <w:r w:rsidR="003B45C9" w:rsidRPr="00CD0D03">
        <w:rPr>
          <w:rFonts w:cs="Times New Roman"/>
          <w:sz w:val="24"/>
          <w:szCs w:val="24"/>
          <w:lang w:val="en-US"/>
        </w:rPr>
        <w:t xml:space="preserve"> key </w:t>
      </w:r>
      <w:r w:rsidR="009E0368" w:rsidRPr="00CD0D03">
        <w:rPr>
          <w:rFonts w:cs="Times New Roman"/>
          <w:sz w:val="24"/>
          <w:szCs w:val="24"/>
          <w:lang w:val="en-US"/>
        </w:rPr>
        <w:t xml:space="preserve">aspects </w:t>
      </w:r>
      <w:r w:rsidR="003B45C9" w:rsidRPr="00CD0D03">
        <w:rPr>
          <w:rFonts w:cs="Times New Roman"/>
          <w:sz w:val="24"/>
          <w:szCs w:val="24"/>
          <w:lang w:val="en-US"/>
        </w:rPr>
        <w:t>need to be separately and sequentially considered</w:t>
      </w:r>
      <w:r w:rsidR="009E0368" w:rsidRPr="009E0368">
        <w:rPr>
          <w:rFonts w:cs="Times New Roman"/>
          <w:sz w:val="24"/>
          <w:szCs w:val="24"/>
          <w:lang w:val="en-US"/>
        </w:rPr>
        <w:t xml:space="preserve"> </w:t>
      </w:r>
      <w:r w:rsidR="009E0368">
        <w:rPr>
          <w:rFonts w:cs="Times New Roman"/>
          <w:sz w:val="24"/>
          <w:szCs w:val="24"/>
          <w:lang w:val="en-US"/>
        </w:rPr>
        <w:t xml:space="preserve">for </w:t>
      </w:r>
      <w:r w:rsidR="009E0368" w:rsidRPr="00CD0D03">
        <w:rPr>
          <w:rFonts w:cs="Times New Roman"/>
          <w:sz w:val="24"/>
          <w:szCs w:val="24"/>
          <w:lang w:val="en-US"/>
        </w:rPr>
        <w:t>biomarker evaluation</w:t>
      </w:r>
      <w:r w:rsidR="00C03BFA">
        <w:rPr>
          <w:rFonts w:cs="Times New Roman"/>
          <w:sz w:val="24"/>
          <w:szCs w:val="24"/>
          <w:lang w:val="en-US"/>
        </w:rPr>
        <w:t>:</w:t>
      </w:r>
      <w:r w:rsidR="009E0368">
        <w:rPr>
          <w:rFonts w:cs="Times New Roman"/>
          <w:sz w:val="24"/>
          <w:szCs w:val="24"/>
          <w:lang w:val="en-US"/>
        </w:rPr>
        <w:t xml:space="preserve"> </w:t>
      </w:r>
      <w:r w:rsidR="00390F93" w:rsidRPr="00CD0D03">
        <w:rPr>
          <w:rFonts w:cs="Times New Roman"/>
          <w:sz w:val="24"/>
          <w:szCs w:val="24"/>
          <w:lang w:val="en-US"/>
        </w:rPr>
        <w:t>analytical validity</w:t>
      </w:r>
      <w:r w:rsidR="009E0368">
        <w:rPr>
          <w:rFonts w:cs="Times New Roman"/>
          <w:sz w:val="24"/>
          <w:szCs w:val="24"/>
          <w:lang w:val="en-US"/>
        </w:rPr>
        <w:t>,</w:t>
      </w:r>
      <w:r w:rsidR="00390F93" w:rsidRPr="00CD0D03">
        <w:rPr>
          <w:rFonts w:cs="Times New Roman"/>
          <w:sz w:val="24"/>
          <w:szCs w:val="24"/>
          <w:lang w:val="en-US"/>
        </w:rPr>
        <w:t xml:space="preserve"> </w:t>
      </w:r>
      <w:r w:rsidR="00D77850" w:rsidRPr="00CD0D03">
        <w:rPr>
          <w:rFonts w:cs="Times New Roman"/>
          <w:sz w:val="24"/>
          <w:szCs w:val="24"/>
          <w:lang w:val="en-US"/>
        </w:rPr>
        <w:t>clinical validity and clinical utility</w:t>
      </w:r>
      <w:r w:rsidR="00B060CE" w:rsidRPr="00CD0D03">
        <w:rPr>
          <w:rFonts w:cs="Times New Roman"/>
          <w:sz w:val="24"/>
          <w:szCs w:val="24"/>
          <w:lang w:val="en-US"/>
        </w:rPr>
        <w:t xml:space="preserve">. </w:t>
      </w:r>
      <w:r w:rsidR="009E0368">
        <w:rPr>
          <w:rFonts w:cs="Times New Roman"/>
          <w:sz w:val="24"/>
          <w:szCs w:val="24"/>
          <w:lang w:val="en-US"/>
        </w:rPr>
        <w:t xml:space="preserve">These are </w:t>
      </w:r>
      <w:r w:rsidR="005926F6">
        <w:rPr>
          <w:rFonts w:cs="Times New Roman"/>
          <w:sz w:val="24"/>
          <w:szCs w:val="24"/>
          <w:lang w:val="en-US"/>
        </w:rPr>
        <w:t>sequentially</w:t>
      </w:r>
      <w:r w:rsidR="009E0368">
        <w:rPr>
          <w:rFonts w:cs="Times New Roman"/>
          <w:sz w:val="24"/>
          <w:szCs w:val="24"/>
          <w:lang w:val="en-US"/>
        </w:rPr>
        <w:t xml:space="preserve"> ordered, as the </w:t>
      </w:r>
      <w:r w:rsidR="0003184D">
        <w:rPr>
          <w:rFonts w:cs="Times New Roman"/>
          <w:sz w:val="24"/>
          <w:szCs w:val="24"/>
          <w:lang w:val="en-US"/>
        </w:rPr>
        <w:t xml:space="preserve">lack of more basic evidence would not justify the efforts for studies meant to </w:t>
      </w:r>
      <w:r w:rsidR="009E0368">
        <w:rPr>
          <w:rFonts w:cs="Times New Roman"/>
          <w:sz w:val="24"/>
          <w:szCs w:val="24"/>
          <w:lang w:val="en-US"/>
        </w:rPr>
        <w:t xml:space="preserve">progressively test the validity of </w:t>
      </w:r>
      <w:r w:rsidR="0003184D">
        <w:rPr>
          <w:rFonts w:cs="Times New Roman"/>
          <w:sz w:val="24"/>
          <w:szCs w:val="24"/>
          <w:lang w:val="en-US"/>
        </w:rPr>
        <w:t>the biomarker</w:t>
      </w:r>
      <w:r w:rsidR="009E0368">
        <w:rPr>
          <w:rFonts w:cs="Times New Roman"/>
          <w:sz w:val="24"/>
          <w:szCs w:val="24"/>
          <w:lang w:val="en-US"/>
        </w:rPr>
        <w:t xml:space="preserve"> for implementation</w:t>
      </w:r>
      <w:r w:rsidR="0003184D">
        <w:rPr>
          <w:rFonts w:cs="Times New Roman"/>
          <w:sz w:val="24"/>
          <w:szCs w:val="24"/>
          <w:lang w:val="en-US"/>
        </w:rPr>
        <w:t xml:space="preserve"> into clinical use. </w:t>
      </w:r>
    </w:p>
    <w:p w14:paraId="7E90D151" w14:textId="77777777" w:rsidR="00B060CE" w:rsidRPr="00CD0D03" w:rsidRDefault="00207E0E" w:rsidP="00A83B7C">
      <w:pPr>
        <w:spacing w:line="480" w:lineRule="auto"/>
        <w:rPr>
          <w:rFonts w:cs="Times New Roman"/>
          <w:sz w:val="24"/>
          <w:szCs w:val="24"/>
          <w:lang w:val="en-US"/>
        </w:rPr>
      </w:pPr>
      <w:r w:rsidRPr="00CD0D03">
        <w:rPr>
          <w:rFonts w:cs="Times New Roman"/>
          <w:sz w:val="24"/>
          <w:szCs w:val="24"/>
          <w:lang w:val="en-US"/>
        </w:rPr>
        <w:lastRenderedPageBreak/>
        <w:t xml:space="preserve">In the following </w:t>
      </w:r>
      <w:proofErr w:type="gramStart"/>
      <w:r w:rsidR="003B45C9" w:rsidRPr="00CD0D03">
        <w:rPr>
          <w:rFonts w:cs="Times New Roman"/>
          <w:sz w:val="24"/>
          <w:szCs w:val="24"/>
          <w:lang w:val="en-US"/>
        </w:rPr>
        <w:t>paragraphs</w:t>
      </w:r>
      <w:proofErr w:type="gramEnd"/>
      <w:r w:rsidRPr="00CD0D03">
        <w:rPr>
          <w:rFonts w:cs="Times New Roman"/>
          <w:sz w:val="24"/>
          <w:szCs w:val="24"/>
          <w:lang w:val="en-US"/>
        </w:rPr>
        <w:t xml:space="preserve"> we </w:t>
      </w:r>
      <w:r w:rsidR="003B45C9" w:rsidRPr="00CD0D03">
        <w:rPr>
          <w:rFonts w:cs="Times New Roman"/>
          <w:sz w:val="24"/>
          <w:szCs w:val="24"/>
          <w:lang w:val="en-US"/>
        </w:rPr>
        <w:t xml:space="preserve">define and describe </w:t>
      </w:r>
      <w:r w:rsidRPr="00CD0D03">
        <w:rPr>
          <w:rFonts w:cs="Times New Roman"/>
          <w:sz w:val="24"/>
          <w:szCs w:val="24"/>
          <w:lang w:val="en-US"/>
        </w:rPr>
        <w:t>the</w:t>
      </w:r>
      <w:r w:rsidR="003B45C9" w:rsidRPr="00CD0D03">
        <w:rPr>
          <w:rFonts w:cs="Times New Roman"/>
          <w:sz w:val="24"/>
          <w:szCs w:val="24"/>
          <w:lang w:val="en-US"/>
        </w:rPr>
        <w:t>se</w:t>
      </w:r>
      <w:r w:rsidRPr="00CD0D03">
        <w:rPr>
          <w:rFonts w:cs="Times New Roman"/>
          <w:sz w:val="24"/>
          <w:szCs w:val="24"/>
          <w:lang w:val="en-US"/>
        </w:rPr>
        <w:t xml:space="preserve"> </w:t>
      </w:r>
      <w:r w:rsidR="003B45C9" w:rsidRPr="00CD0D03">
        <w:rPr>
          <w:rFonts w:cs="Times New Roman"/>
          <w:sz w:val="24"/>
          <w:szCs w:val="24"/>
          <w:lang w:val="en-US"/>
        </w:rPr>
        <w:t xml:space="preserve">evaluation </w:t>
      </w:r>
      <w:r w:rsidRPr="00CD0D03">
        <w:rPr>
          <w:rFonts w:cs="Times New Roman"/>
          <w:sz w:val="24"/>
          <w:szCs w:val="24"/>
          <w:lang w:val="en-US"/>
        </w:rPr>
        <w:t xml:space="preserve">phases, </w:t>
      </w:r>
      <w:r w:rsidR="003B45C9" w:rsidRPr="00CD0D03">
        <w:rPr>
          <w:rFonts w:cs="Times New Roman"/>
          <w:sz w:val="24"/>
          <w:szCs w:val="24"/>
          <w:lang w:val="en-US"/>
        </w:rPr>
        <w:t xml:space="preserve">consistent with how these were </w:t>
      </w:r>
      <w:r w:rsidRPr="00CD0D03">
        <w:rPr>
          <w:rFonts w:cs="Times New Roman"/>
          <w:sz w:val="24"/>
          <w:szCs w:val="24"/>
          <w:lang w:val="en-US"/>
        </w:rPr>
        <w:t xml:space="preserve">originally featured in the field of genomics (Kroese </w:t>
      </w:r>
      <w:r w:rsidR="00965902" w:rsidRPr="00CD0D03">
        <w:rPr>
          <w:rFonts w:cs="Times New Roman"/>
          <w:i/>
          <w:sz w:val="24"/>
          <w:szCs w:val="24"/>
          <w:lang w:val="en-US"/>
        </w:rPr>
        <w:t>et al</w:t>
      </w:r>
      <w:r w:rsidRPr="00CD0D03">
        <w:rPr>
          <w:rFonts w:cs="Times New Roman"/>
          <w:sz w:val="24"/>
          <w:szCs w:val="24"/>
          <w:lang w:val="en-US"/>
        </w:rPr>
        <w:t xml:space="preserve">., 2004), and later detailed for diagnostic molecular biomarkers (Zimmer </w:t>
      </w:r>
      <w:r w:rsidR="00965902" w:rsidRPr="00CD0D03">
        <w:rPr>
          <w:rFonts w:cs="Times New Roman"/>
          <w:i/>
          <w:sz w:val="24"/>
          <w:szCs w:val="24"/>
          <w:lang w:val="en-US"/>
        </w:rPr>
        <w:t>et al</w:t>
      </w:r>
      <w:r w:rsidRPr="00CD0D03">
        <w:rPr>
          <w:rFonts w:cs="Times New Roman"/>
          <w:sz w:val="24"/>
          <w:szCs w:val="24"/>
          <w:lang w:val="en-US"/>
        </w:rPr>
        <w:t>., 2009).</w:t>
      </w:r>
      <w:r w:rsidR="005946FE" w:rsidRPr="00CD0D03">
        <w:rPr>
          <w:rFonts w:cs="Times New Roman"/>
          <w:sz w:val="24"/>
          <w:szCs w:val="24"/>
          <w:lang w:val="en-US"/>
        </w:rPr>
        <w:t xml:space="preserve"> </w:t>
      </w:r>
    </w:p>
    <w:p w14:paraId="14BB0E9C" w14:textId="77777777" w:rsidR="00FE450E" w:rsidRPr="00CD0D03" w:rsidRDefault="00FE450E" w:rsidP="00505DA6">
      <w:pPr>
        <w:spacing w:line="480" w:lineRule="auto"/>
        <w:outlineLvl w:val="0"/>
        <w:rPr>
          <w:rFonts w:cs="Times New Roman"/>
          <w:i/>
          <w:sz w:val="24"/>
          <w:szCs w:val="24"/>
          <w:lang w:val="en-US"/>
        </w:rPr>
      </w:pPr>
      <w:r w:rsidRPr="00CD0D03">
        <w:rPr>
          <w:rFonts w:cs="Times New Roman"/>
          <w:i/>
          <w:sz w:val="24"/>
          <w:szCs w:val="24"/>
          <w:lang w:val="en-US"/>
        </w:rPr>
        <w:t>2.2.1 Analytical validity</w:t>
      </w:r>
    </w:p>
    <w:p w14:paraId="672C25A6" w14:textId="33DCE978" w:rsidR="00965902" w:rsidRPr="00CD0D03" w:rsidRDefault="003B45C9" w:rsidP="00A83B7C">
      <w:pPr>
        <w:spacing w:line="480" w:lineRule="auto"/>
        <w:rPr>
          <w:sz w:val="24"/>
          <w:szCs w:val="24"/>
          <w:lang w:val="en-US"/>
        </w:rPr>
      </w:pPr>
      <w:r w:rsidRPr="00CD0D03">
        <w:rPr>
          <w:sz w:val="24"/>
          <w:szCs w:val="24"/>
          <w:lang w:val="en-US"/>
        </w:rPr>
        <w:t xml:space="preserve">The terms biomarker and diagnostic test </w:t>
      </w:r>
      <w:r w:rsidR="00657FD2" w:rsidRPr="00CD0D03">
        <w:rPr>
          <w:sz w:val="24"/>
          <w:szCs w:val="24"/>
          <w:lang w:val="en-US"/>
        </w:rPr>
        <w:t>will be</w:t>
      </w:r>
      <w:r w:rsidR="007E1F4D" w:rsidRPr="00CD0D03">
        <w:rPr>
          <w:sz w:val="24"/>
          <w:szCs w:val="24"/>
          <w:lang w:val="en-US"/>
        </w:rPr>
        <w:t xml:space="preserve"> deliberately</w:t>
      </w:r>
      <w:r w:rsidRPr="00CD0D03">
        <w:rPr>
          <w:sz w:val="24"/>
          <w:szCs w:val="24"/>
          <w:lang w:val="en-US"/>
        </w:rPr>
        <w:t xml:space="preserve"> interchangeably used</w:t>
      </w:r>
      <w:r w:rsidR="007443CD" w:rsidRPr="00CD0D03">
        <w:rPr>
          <w:sz w:val="24"/>
          <w:szCs w:val="24"/>
          <w:lang w:val="en-US"/>
        </w:rPr>
        <w:t xml:space="preserve"> in this context</w:t>
      </w:r>
      <w:r w:rsidR="00440B54" w:rsidRPr="00CD0D03">
        <w:rPr>
          <w:sz w:val="24"/>
          <w:szCs w:val="24"/>
          <w:lang w:val="en-US"/>
        </w:rPr>
        <w:t xml:space="preserve"> (</w:t>
      </w:r>
      <w:r w:rsidR="00657FD2" w:rsidRPr="00CD0D03">
        <w:rPr>
          <w:sz w:val="24"/>
          <w:szCs w:val="24"/>
          <w:lang w:val="en-US"/>
        </w:rPr>
        <w:t>Zimmern</w:t>
      </w:r>
      <w:r w:rsidR="00440B54" w:rsidRPr="00CD0D03">
        <w:rPr>
          <w:sz w:val="24"/>
          <w:szCs w:val="24"/>
          <w:lang w:val="en-US"/>
        </w:rPr>
        <w:t>,</w:t>
      </w:r>
      <w:r w:rsidR="00657FD2" w:rsidRPr="00CD0D03">
        <w:rPr>
          <w:sz w:val="24"/>
          <w:szCs w:val="24"/>
          <w:lang w:val="en-US"/>
        </w:rPr>
        <w:t xml:space="preserve"> </w:t>
      </w:r>
      <w:r w:rsidR="00440B54" w:rsidRPr="00CD0D03">
        <w:rPr>
          <w:sz w:val="24"/>
          <w:szCs w:val="24"/>
          <w:lang w:val="en-US"/>
        </w:rPr>
        <w:t>2009)</w:t>
      </w:r>
      <w:r w:rsidRPr="00CD0D03">
        <w:rPr>
          <w:sz w:val="24"/>
          <w:szCs w:val="24"/>
          <w:lang w:val="en-US"/>
        </w:rPr>
        <w:t>. A clear distinction is needed</w:t>
      </w:r>
      <w:r w:rsidR="00F57B79" w:rsidRPr="00CD0D03">
        <w:rPr>
          <w:sz w:val="24"/>
          <w:szCs w:val="24"/>
          <w:lang w:val="en-US"/>
        </w:rPr>
        <w:t>, however,</w:t>
      </w:r>
      <w:r w:rsidRPr="00CD0D03">
        <w:rPr>
          <w:sz w:val="24"/>
          <w:szCs w:val="24"/>
          <w:lang w:val="en-US"/>
        </w:rPr>
        <w:t xml:space="preserve"> between </w:t>
      </w:r>
      <w:r w:rsidR="00FF532C" w:rsidRPr="00CD0D03">
        <w:rPr>
          <w:sz w:val="24"/>
          <w:szCs w:val="24"/>
          <w:lang w:val="en-US"/>
        </w:rPr>
        <w:t xml:space="preserve">a </w:t>
      </w:r>
      <w:r w:rsidRPr="00CD0D03">
        <w:rPr>
          <w:i/>
          <w:sz w:val="24"/>
          <w:szCs w:val="24"/>
          <w:lang w:val="en-US"/>
        </w:rPr>
        <w:t>test</w:t>
      </w:r>
      <w:r w:rsidRPr="00CD0D03">
        <w:rPr>
          <w:sz w:val="24"/>
          <w:szCs w:val="24"/>
          <w:lang w:val="en-US"/>
        </w:rPr>
        <w:t xml:space="preserve"> (or </w:t>
      </w:r>
      <w:r w:rsidRPr="00CD0D03">
        <w:rPr>
          <w:i/>
          <w:sz w:val="24"/>
          <w:szCs w:val="24"/>
          <w:lang w:val="en-US"/>
        </w:rPr>
        <w:t>biomarker</w:t>
      </w:r>
      <w:r w:rsidRPr="00CD0D03">
        <w:rPr>
          <w:sz w:val="24"/>
          <w:szCs w:val="24"/>
          <w:lang w:val="en-US"/>
        </w:rPr>
        <w:t xml:space="preserve">) and </w:t>
      </w:r>
      <w:r w:rsidR="00FF532C" w:rsidRPr="00CD0D03">
        <w:rPr>
          <w:sz w:val="24"/>
          <w:szCs w:val="24"/>
          <w:lang w:val="en-US"/>
        </w:rPr>
        <w:t xml:space="preserve">an </w:t>
      </w:r>
      <w:r w:rsidRPr="00CD0D03">
        <w:rPr>
          <w:i/>
          <w:sz w:val="24"/>
          <w:szCs w:val="24"/>
          <w:lang w:val="en-US"/>
        </w:rPr>
        <w:t>assay</w:t>
      </w:r>
      <w:r w:rsidR="00370031" w:rsidRPr="00CD0D03">
        <w:rPr>
          <w:sz w:val="24"/>
          <w:szCs w:val="24"/>
          <w:lang w:val="en-US"/>
        </w:rPr>
        <w:t>.</w:t>
      </w:r>
      <w:r w:rsidR="00657FD2" w:rsidRPr="00CD0D03">
        <w:rPr>
          <w:sz w:val="24"/>
          <w:szCs w:val="24"/>
          <w:lang w:val="en-US"/>
        </w:rPr>
        <w:t xml:space="preserve"> The assay is the method used to ascertain whether a certain biological or molecular characteristic is present and/or to quantify its presence.</w:t>
      </w:r>
      <w:r w:rsidR="002F623F">
        <w:rPr>
          <w:sz w:val="24"/>
          <w:szCs w:val="24"/>
          <w:lang w:val="en-US"/>
        </w:rPr>
        <w:t xml:space="preserve"> </w:t>
      </w:r>
      <w:r w:rsidR="00195116" w:rsidRPr="00CD0D03">
        <w:rPr>
          <w:sz w:val="24"/>
          <w:szCs w:val="24"/>
          <w:lang w:val="en-US"/>
        </w:rPr>
        <w:t>The test (or biomarker) is the use of this quantitative measure with a predefined purpose, for a specific disease and in a given population</w:t>
      </w:r>
      <w:r w:rsidRPr="00CD0D03">
        <w:rPr>
          <w:sz w:val="24"/>
          <w:szCs w:val="24"/>
          <w:lang w:val="en-US"/>
        </w:rPr>
        <w:t>. Analytical validity</w:t>
      </w:r>
      <w:r w:rsidR="00720C3F">
        <w:rPr>
          <w:sz w:val="24"/>
          <w:szCs w:val="24"/>
          <w:lang w:val="en-US"/>
        </w:rPr>
        <w:t xml:space="preserve"> (i.e. accuracy)</w:t>
      </w:r>
      <w:r w:rsidRPr="00CD0D03">
        <w:rPr>
          <w:sz w:val="24"/>
          <w:szCs w:val="24"/>
          <w:lang w:val="en-US"/>
        </w:rPr>
        <w:t xml:space="preserve"> is</w:t>
      </w:r>
      <w:r w:rsidR="00D75BCF" w:rsidRPr="00CD0D03">
        <w:rPr>
          <w:sz w:val="24"/>
          <w:szCs w:val="24"/>
          <w:lang w:val="en-US"/>
        </w:rPr>
        <w:t xml:space="preserve"> demonstrated with respect to an existing standard, and is</w:t>
      </w:r>
      <w:r w:rsidR="00720C3F">
        <w:rPr>
          <w:sz w:val="24"/>
          <w:szCs w:val="24"/>
          <w:lang w:val="en-US"/>
        </w:rPr>
        <w:t xml:space="preserve"> al</w:t>
      </w:r>
      <w:r w:rsidR="005B4243">
        <w:rPr>
          <w:sz w:val="24"/>
          <w:szCs w:val="24"/>
          <w:lang w:val="en-US"/>
        </w:rPr>
        <w:t>s</w:t>
      </w:r>
      <w:r w:rsidR="00720C3F">
        <w:rPr>
          <w:sz w:val="24"/>
          <w:szCs w:val="24"/>
          <w:lang w:val="en-US"/>
        </w:rPr>
        <w:t>o</w:t>
      </w:r>
      <w:r w:rsidRPr="00CD0D03">
        <w:rPr>
          <w:sz w:val="24"/>
          <w:szCs w:val="24"/>
          <w:lang w:val="en-US"/>
        </w:rPr>
        <w:t xml:space="preserve"> present when the assay </w:t>
      </w:r>
      <w:r w:rsidR="0081625A" w:rsidRPr="00CD0D03">
        <w:rPr>
          <w:sz w:val="24"/>
          <w:szCs w:val="24"/>
          <w:lang w:val="en-US"/>
        </w:rPr>
        <w:t xml:space="preserve">provides </w:t>
      </w:r>
      <w:r w:rsidRPr="00CD0D03">
        <w:rPr>
          <w:sz w:val="24"/>
          <w:szCs w:val="24"/>
          <w:lang w:val="en-US"/>
        </w:rPr>
        <w:t>measure</w:t>
      </w:r>
      <w:r w:rsidR="0081625A" w:rsidRPr="00CD0D03">
        <w:rPr>
          <w:sz w:val="24"/>
          <w:szCs w:val="24"/>
          <w:lang w:val="en-US"/>
        </w:rPr>
        <w:t>ment</w:t>
      </w:r>
      <w:r w:rsidRPr="00CD0D03">
        <w:rPr>
          <w:sz w:val="24"/>
          <w:szCs w:val="24"/>
          <w:lang w:val="en-US"/>
        </w:rPr>
        <w:t>s with sufficient precision</w:t>
      </w:r>
      <w:r w:rsidR="00720C3F">
        <w:rPr>
          <w:sz w:val="24"/>
          <w:szCs w:val="24"/>
          <w:lang w:val="en-US"/>
        </w:rPr>
        <w:t xml:space="preserve"> (i.e. reliability)</w:t>
      </w:r>
      <w:r w:rsidR="0081625A" w:rsidRPr="00CD0D03">
        <w:rPr>
          <w:sz w:val="24"/>
          <w:szCs w:val="24"/>
          <w:lang w:val="en-US"/>
        </w:rPr>
        <w:t>,</w:t>
      </w:r>
      <w:r w:rsidR="00720C3F">
        <w:rPr>
          <w:sz w:val="24"/>
          <w:szCs w:val="24"/>
          <w:lang w:val="en-US"/>
        </w:rPr>
        <w:t xml:space="preserve"> that is</w:t>
      </w:r>
      <w:r w:rsidRPr="00CD0D03">
        <w:rPr>
          <w:sz w:val="24"/>
          <w:szCs w:val="24"/>
          <w:lang w:val="en-US"/>
        </w:rPr>
        <w:t xml:space="preserve"> consistent over time and in different contexts or circumstances</w:t>
      </w:r>
      <w:r w:rsidR="00D75BCF" w:rsidRPr="00CD0D03">
        <w:rPr>
          <w:sz w:val="24"/>
          <w:szCs w:val="24"/>
          <w:lang w:val="en-US"/>
        </w:rPr>
        <w:t>. Although analytical validity may be seen as a mere technical step</w:t>
      </w:r>
      <w:r w:rsidR="00365975" w:rsidRPr="00CD0D03">
        <w:rPr>
          <w:sz w:val="24"/>
          <w:szCs w:val="24"/>
          <w:lang w:val="en-US"/>
        </w:rPr>
        <w:t>,</w:t>
      </w:r>
      <w:r w:rsidR="00D75BCF" w:rsidRPr="00CD0D03">
        <w:rPr>
          <w:sz w:val="24"/>
          <w:szCs w:val="24"/>
          <w:lang w:val="en-US"/>
        </w:rPr>
        <w:t xml:space="preserve"> it is a fundamental pre-requisite to determine the clinical validity and utility of a test, and it allows defining standards of use.</w:t>
      </w:r>
      <w:r w:rsidR="00A62E57" w:rsidRPr="00CD0D03">
        <w:rPr>
          <w:sz w:val="24"/>
          <w:szCs w:val="24"/>
          <w:lang w:val="en-US"/>
        </w:rPr>
        <w:t xml:space="preserve"> </w:t>
      </w:r>
    </w:p>
    <w:p w14:paraId="23AD4D3D" w14:textId="77777777" w:rsidR="00FE450E" w:rsidRPr="00CD0D03" w:rsidRDefault="00FE450E" w:rsidP="00505DA6">
      <w:pPr>
        <w:spacing w:line="480" w:lineRule="auto"/>
        <w:outlineLvl w:val="0"/>
        <w:rPr>
          <w:rFonts w:cs="Times New Roman"/>
          <w:i/>
          <w:sz w:val="24"/>
          <w:szCs w:val="24"/>
          <w:lang w:val="en-US"/>
        </w:rPr>
      </w:pPr>
      <w:r w:rsidRPr="00CD0D03">
        <w:rPr>
          <w:i/>
          <w:sz w:val="24"/>
          <w:szCs w:val="24"/>
          <w:lang w:val="en-US"/>
        </w:rPr>
        <w:t>2.2.2</w:t>
      </w:r>
      <w:r w:rsidRPr="00CD0D03">
        <w:rPr>
          <w:rFonts w:cs="Times New Roman"/>
          <w:i/>
          <w:sz w:val="24"/>
          <w:szCs w:val="24"/>
          <w:lang w:val="en-US"/>
        </w:rPr>
        <w:t xml:space="preserve"> Clinical validity</w:t>
      </w:r>
    </w:p>
    <w:p w14:paraId="4A78E145" w14:textId="77777777" w:rsidR="00AB4643" w:rsidRPr="00CD0D03" w:rsidRDefault="00D75BCF" w:rsidP="00A83B7C">
      <w:pPr>
        <w:spacing w:line="480" w:lineRule="auto"/>
        <w:rPr>
          <w:sz w:val="24"/>
          <w:szCs w:val="24"/>
          <w:lang w:val="en-US"/>
        </w:rPr>
      </w:pPr>
      <w:r w:rsidRPr="00CD0D03">
        <w:rPr>
          <w:sz w:val="24"/>
          <w:szCs w:val="24"/>
          <w:lang w:val="en-US"/>
        </w:rPr>
        <w:t>The clinical validity of a test (</w:t>
      </w:r>
      <w:r w:rsidR="0081625A" w:rsidRPr="00CD0D03">
        <w:rPr>
          <w:sz w:val="24"/>
          <w:szCs w:val="24"/>
          <w:lang w:val="en-US"/>
        </w:rPr>
        <w:t xml:space="preserve">or </w:t>
      </w:r>
      <w:r w:rsidRPr="00CD0D03">
        <w:rPr>
          <w:sz w:val="24"/>
          <w:szCs w:val="24"/>
          <w:lang w:val="en-US"/>
        </w:rPr>
        <w:t xml:space="preserve">a biomarker) </w:t>
      </w:r>
      <w:r w:rsidR="0081625A" w:rsidRPr="00CD0D03">
        <w:rPr>
          <w:sz w:val="24"/>
          <w:szCs w:val="24"/>
          <w:lang w:val="en-US"/>
        </w:rPr>
        <w:t>is</w:t>
      </w:r>
      <w:r w:rsidRPr="00CD0D03">
        <w:rPr>
          <w:sz w:val="24"/>
          <w:szCs w:val="24"/>
          <w:lang w:val="en-US"/>
        </w:rPr>
        <w:t xml:space="preserve"> its ability to detect the presence of a </w:t>
      </w:r>
      <w:r w:rsidR="00A62E57" w:rsidRPr="00CD0D03">
        <w:rPr>
          <w:sz w:val="24"/>
          <w:szCs w:val="24"/>
          <w:lang w:val="en-US"/>
        </w:rPr>
        <w:t>sign</w:t>
      </w:r>
      <w:r w:rsidR="000566F1" w:rsidRPr="00CD0D03">
        <w:rPr>
          <w:sz w:val="24"/>
          <w:szCs w:val="24"/>
          <w:lang w:val="en-US"/>
        </w:rPr>
        <w:t xml:space="preserve"> </w:t>
      </w:r>
      <w:r w:rsidRPr="00CD0D03">
        <w:rPr>
          <w:sz w:val="24"/>
          <w:szCs w:val="24"/>
          <w:lang w:val="en-US"/>
        </w:rPr>
        <w:t xml:space="preserve">that is clearly separated from normality on the one hand, and from </w:t>
      </w:r>
      <w:r w:rsidR="003C4728" w:rsidRPr="00CD0D03">
        <w:rPr>
          <w:sz w:val="24"/>
          <w:szCs w:val="24"/>
          <w:lang w:val="en-US"/>
        </w:rPr>
        <w:t xml:space="preserve">‘adjacent’ </w:t>
      </w:r>
      <w:r w:rsidR="00A62E57" w:rsidRPr="00CD0D03">
        <w:rPr>
          <w:sz w:val="24"/>
          <w:szCs w:val="24"/>
          <w:lang w:val="en-US"/>
        </w:rPr>
        <w:t xml:space="preserve">signs </w:t>
      </w:r>
      <w:r w:rsidRPr="00CD0D03">
        <w:rPr>
          <w:sz w:val="24"/>
          <w:szCs w:val="24"/>
          <w:lang w:val="en-US"/>
        </w:rPr>
        <w:t xml:space="preserve">(or </w:t>
      </w:r>
      <w:r w:rsidR="00A62E57" w:rsidRPr="00CD0D03">
        <w:rPr>
          <w:sz w:val="24"/>
          <w:szCs w:val="24"/>
          <w:lang w:val="en-US"/>
        </w:rPr>
        <w:t xml:space="preserve">proxies for </w:t>
      </w:r>
      <w:r w:rsidRPr="00CD0D03">
        <w:rPr>
          <w:sz w:val="24"/>
          <w:szCs w:val="24"/>
          <w:lang w:val="en-US"/>
        </w:rPr>
        <w:t>diseases) on the other hand</w:t>
      </w:r>
      <w:r w:rsidR="00B26523" w:rsidRPr="00CD0D03">
        <w:rPr>
          <w:sz w:val="24"/>
          <w:szCs w:val="24"/>
          <w:lang w:val="en-US"/>
        </w:rPr>
        <w:t xml:space="preserve">. </w:t>
      </w:r>
      <w:r w:rsidR="003F0234" w:rsidRPr="00CD0D03">
        <w:rPr>
          <w:sz w:val="24"/>
          <w:szCs w:val="24"/>
          <w:lang w:val="en-US"/>
        </w:rPr>
        <w:t>Although this relies on its ability to measure the biological or molecular features that are specific to th</w:t>
      </w:r>
      <w:r w:rsidR="005F1679">
        <w:rPr>
          <w:sz w:val="24"/>
          <w:szCs w:val="24"/>
          <w:lang w:val="en-US"/>
        </w:rPr>
        <w:t>e</w:t>
      </w:r>
      <w:r w:rsidR="003F0234" w:rsidRPr="00CD0D03">
        <w:rPr>
          <w:sz w:val="24"/>
          <w:szCs w:val="24"/>
          <w:lang w:val="en-US"/>
        </w:rPr>
        <w:t xml:space="preserve"> </w:t>
      </w:r>
      <w:r w:rsidR="000566F1" w:rsidRPr="00CD0D03">
        <w:rPr>
          <w:sz w:val="24"/>
          <w:szCs w:val="24"/>
          <w:lang w:val="en-US"/>
        </w:rPr>
        <w:t>disease</w:t>
      </w:r>
      <w:r w:rsidR="003F0234" w:rsidRPr="00CD0D03">
        <w:rPr>
          <w:sz w:val="24"/>
          <w:szCs w:val="24"/>
          <w:lang w:val="en-US"/>
        </w:rPr>
        <w:t>, c</w:t>
      </w:r>
      <w:r w:rsidR="00B26523" w:rsidRPr="00CD0D03">
        <w:rPr>
          <w:sz w:val="24"/>
          <w:szCs w:val="24"/>
          <w:lang w:val="en-US"/>
        </w:rPr>
        <w:t>linical validity is in essence the extent to which a test does measure what it sets out to measure</w:t>
      </w:r>
      <w:r w:rsidR="005F1679">
        <w:rPr>
          <w:sz w:val="24"/>
          <w:szCs w:val="24"/>
          <w:lang w:val="en-US"/>
        </w:rPr>
        <w:t xml:space="preserve"> </w:t>
      </w:r>
      <w:r w:rsidR="00DF2F29" w:rsidRPr="00CD0D03">
        <w:rPr>
          <w:sz w:val="24"/>
          <w:szCs w:val="24"/>
          <w:lang w:val="en-US"/>
        </w:rPr>
        <w:t>rather than the mere</w:t>
      </w:r>
      <w:r w:rsidR="003F0234" w:rsidRPr="00CD0D03">
        <w:rPr>
          <w:sz w:val="24"/>
          <w:szCs w:val="24"/>
          <w:lang w:val="en-US"/>
        </w:rPr>
        <w:t xml:space="preserve"> underlying bio-molecular phenomena</w:t>
      </w:r>
      <w:r w:rsidR="00B26523" w:rsidRPr="00CD0D03">
        <w:rPr>
          <w:sz w:val="24"/>
          <w:szCs w:val="24"/>
          <w:lang w:val="en-US"/>
        </w:rPr>
        <w:t>.</w:t>
      </w:r>
      <w:r w:rsidR="003F0234" w:rsidRPr="00CD0D03">
        <w:rPr>
          <w:sz w:val="24"/>
          <w:szCs w:val="24"/>
          <w:lang w:val="en-US"/>
        </w:rPr>
        <w:t xml:space="preserve"> </w:t>
      </w:r>
      <w:r w:rsidR="007E1279" w:rsidRPr="0089218A">
        <w:rPr>
          <w:sz w:val="24"/>
          <w:szCs w:val="24"/>
          <w:lang w:val="en-US"/>
        </w:rPr>
        <w:t xml:space="preserve">Therefore, various aspects are implicated </w:t>
      </w:r>
      <w:r w:rsidR="007E1279">
        <w:rPr>
          <w:sz w:val="24"/>
          <w:szCs w:val="24"/>
          <w:lang w:val="en-US"/>
        </w:rPr>
        <w:t xml:space="preserve">in clinical validity, </w:t>
      </w:r>
      <w:r w:rsidR="007E1279" w:rsidRPr="0089218A">
        <w:rPr>
          <w:sz w:val="24"/>
          <w:szCs w:val="24"/>
          <w:lang w:val="en-US"/>
        </w:rPr>
        <w:t xml:space="preserve">from face and criterion validity, to construct and predictive validity. </w:t>
      </w:r>
      <w:r w:rsidR="003F0234" w:rsidRPr="00CD0D03">
        <w:rPr>
          <w:sz w:val="24"/>
          <w:szCs w:val="24"/>
          <w:lang w:val="en-US"/>
        </w:rPr>
        <w:t>These</w:t>
      </w:r>
      <w:r w:rsidR="008D293E" w:rsidRPr="00CD0D03">
        <w:rPr>
          <w:sz w:val="24"/>
          <w:szCs w:val="24"/>
          <w:lang w:val="en-US"/>
        </w:rPr>
        <w:t xml:space="preserve"> validity facets</w:t>
      </w:r>
      <w:r w:rsidR="003F0234" w:rsidRPr="00CD0D03">
        <w:rPr>
          <w:sz w:val="24"/>
          <w:szCs w:val="24"/>
          <w:lang w:val="en-US"/>
        </w:rPr>
        <w:t xml:space="preserve"> may not need to be separately demonstrated, but rather </w:t>
      </w:r>
      <w:r w:rsidR="00FF532C" w:rsidRPr="00CD0D03">
        <w:rPr>
          <w:sz w:val="24"/>
          <w:szCs w:val="24"/>
          <w:lang w:val="en-US"/>
        </w:rPr>
        <w:t>explored</w:t>
      </w:r>
      <w:r w:rsidR="003F0234" w:rsidRPr="00CD0D03">
        <w:rPr>
          <w:sz w:val="24"/>
          <w:szCs w:val="24"/>
          <w:lang w:val="en-US"/>
        </w:rPr>
        <w:t xml:space="preserve"> </w:t>
      </w:r>
      <w:r w:rsidR="003C4728" w:rsidRPr="00CD0D03">
        <w:rPr>
          <w:sz w:val="24"/>
          <w:szCs w:val="24"/>
          <w:lang w:val="en-US"/>
        </w:rPr>
        <w:t xml:space="preserve">jointly to </w:t>
      </w:r>
      <w:r w:rsidR="00FF532C" w:rsidRPr="00CD0D03">
        <w:rPr>
          <w:sz w:val="24"/>
          <w:szCs w:val="24"/>
          <w:lang w:val="en-US"/>
        </w:rPr>
        <w:t xml:space="preserve">determine the various aspects of </w:t>
      </w:r>
      <w:r w:rsidR="00FF532C" w:rsidRPr="00CD0D03">
        <w:rPr>
          <w:sz w:val="24"/>
          <w:szCs w:val="24"/>
          <w:lang w:val="en-US"/>
        </w:rPr>
        <w:lastRenderedPageBreak/>
        <w:t xml:space="preserve">the </w:t>
      </w:r>
      <w:r w:rsidR="003C4728" w:rsidRPr="00CD0D03">
        <w:rPr>
          <w:sz w:val="24"/>
          <w:szCs w:val="24"/>
          <w:lang w:val="en-US"/>
        </w:rPr>
        <w:t>clinical validity</w:t>
      </w:r>
      <w:r w:rsidR="003F0234" w:rsidRPr="00CD0D03">
        <w:rPr>
          <w:sz w:val="24"/>
          <w:szCs w:val="24"/>
          <w:lang w:val="en-US"/>
        </w:rPr>
        <w:t xml:space="preserve"> </w:t>
      </w:r>
      <w:r w:rsidR="003C4728" w:rsidRPr="00CD0D03">
        <w:rPr>
          <w:sz w:val="24"/>
          <w:szCs w:val="24"/>
          <w:lang w:val="en-US"/>
        </w:rPr>
        <w:t>of a test</w:t>
      </w:r>
      <w:r w:rsidR="00AB4643" w:rsidRPr="00CD0D03">
        <w:rPr>
          <w:sz w:val="24"/>
          <w:szCs w:val="24"/>
          <w:lang w:val="en-US"/>
        </w:rPr>
        <w:t>.</w:t>
      </w:r>
      <w:r w:rsidR="004D2E06" w:rsidRPr="00CD0D03">
        <w:rPr>
          <w:sz w:val="24"/>
          <w:szCs w:val="24"/>
          <w:lang w:val="en-US"/>
        </w:rPr>
        <w:t xml:space="preserve"> </w:t>
      </w:r>
      <w:r w:rsidR="00FF532C" w:rsidRPr="00CD0D03">
        <w:rPr>
          <w:sz w:val="24"/>
          <w:szCs w:val="24"/>
          <w:lang w:val="en-US"/>
        </w:rPr>
        <w:t xml:space="preserve"> It is noteworthy</w:t>
      </w:r>
      <w:r w:rsidR="00AB4643" w:rsidRPr="00CD0D03">
        <w:rPr>
          <w:sz w:val="24"/>
          <w:szCs w:val="24"/>
          <w:lang w:val="en-US"/>
        </w:rPr>
        <w:t xml:space="preserve"> that t</w:t>
      </w:r>
      <w:r w:rsidR="004D2E06" w:rsidRPr="00CD0D03">
        <w:rPr>
          <w:sz w:val="24"/>
          <w:szCs w:val="24"/>
          <w:lang w:val="en-US"/>
        </w:rPr>
        <w:t>he process used to explore a test’s construct validity is iterative in a manner comparable to the process</w:t>
      </w:r>
      <w:r w:rsidR="002A056B">
        <w:rPr>
          <w:sz w:val="24"/>
          <w:szCs w:val="24"/>
          <w:lang w:val="en-US"/>
        </w:rPr>
        <w:t xml:space="preserve"> of formulation-confirmation of</w:t>
      </w:r>
      <w:r w:rsidR="007E1279">
        <w:rPr>
          <w:sz w:val="24"/>
          <w:szCs w:val="24"/>
          <w:lang w:val="en-US"/>
        </w:rPr>
        <w:t xml:space="preserve"> hypotheses and theories</w:t>
      </w:r>
      <w:r w:rsidR="004D2E06" w:rsidRPr="00CD0D03">
        <w:rPr>
          <w:sz w:val="24"/>
          <w:szCs w:val="24"/>
          <w:lang w:val="en-US"/>
        </w:rPr>
        <w:t xml:space="preserve"> in observational studies, because the construct that is intended to be measured is itself under investigation and can, or should, be progressively redefined on the basis of the empirical evidence. Therefore, e</w:t>
      </w:r>
      <w:r w:rsidRPr="00CD0D03">
        <w:rPr>
          <w:sz w:val="24"/>
          <w:szCs w:val="24"/>
          <w:lang w:val="en-US"/>
        </w:rPr>
        <w:t xml:space="preserve">pidemiological </w:t>
      </w:r>
      <w:r w:rsidR="005F1679">
        <w:rPr>
          <w:sz w:val="24"/>
          <w:szCs w:val="24"/>
          <w:lang w:val="en-US"/>
        </w:rPr>
        <w:t>studies on</w:t>
      </w:r>
      <w:r w:rsidR="005F1679" w:rsidRPr="00CD0D03" w:rsidDel="005F1679">
        <w:rPr>
          <w:sz w:val="24"/>
          <w:szCs w:val="24"/>
          <w:lang w:val="en-US"/>
        </w:rPr>
        <w:t xml:space="preserve"> </w:t>
      </w:r>
      <w:r w:rsidRPr="00CD0D03">
        <w:rPr>
          <w:sz w:val="24"/>
          <w:szCs w:val="24"/>
          <w:lang w:val="en-US"/>
        </w:rPr>
        <w:t xml:space="preserve">broadly representative samples of the general population </w:t>
      </w:r>
      <w:r w:rsidR="005F1679">
        <w:rPr>
          <w:sz w:val="24"/>
          <w:szCs w:val="24"/>
          <w:lang w:val="en-US"/>
        </w:rPr>
        <w:t>are</w:t>
      </w:r>
      <w:r w:rsidR="005F1679" w:rsidRPr="00CD0D03">
        <w:rPr>
          <w:sz w:val="24"/>
          <w:szCs w:val="24"/>
          <w:lang w:val="en-US"/>
        </w:rPr>
        <w:t xml:space="preserve"> </w:t>
      </w:r>
      <w:r w:rsidR="004D2E06" w:rsidRPr="00CD0D03">
        <w:rPr>
          <w:sz w:val="24"/>
          <w:szCs w:val="24"/>
          <w:lang w:val="en-US"/>
        </w:rPr>
        <w:t xml:space="preserve">needed to </w:t>
      </w:r>
      <w:r w:rsidRPr="00CD0D03">
        <w:rPr>
          <w:sz w:val="24"/>
          <w:szCs w:val="24"/>
          <w:lang w:val="en-US"/>
        </w:rPr>
        <w:t>demonstrate the biomarker-disease association.</w:t>
      </w:r>
      <w:r w:rsidR="00B26523" w:rsidRPr="00CD0D03">
        <w:rPr>
          <w:sz w:val="24"/>
          <w:szCs w:val="24"/>
          <w:lang w:val="en-US"/>
        </w:rPr>
        <w:t xml:space="preserve"> </w:t>
      </w:r>
      <w:r w:rsidR="00AB4643" w:rsidRPr="00CD0D03">
        <w:rPr>
          <w:sz w:val="24"/>
          <w:szCs w:val="24"/>
          <w:lang w:val="en-US"/>
        </w:rPr>
        <w:t xml:space="preserve">In turn, observational research of biomarker-disease association must be informed by our progressively </w:t>
      </w:r>
      <w:r w:rsidR="00FF532C" w:rsidRPr="00CD0D03">
        <w:rPr>
          <w:sz w:val="24"/>
          <w:szCs w:val="24"/>
          <w:lang w:val="en-US"/>
        </w:rPr>
        <w:t>refined</w:t>
      </w:r>
      <w:r w:rsidR="00AB4643" w:rsidRPr="00CD0D03">
        <w:rPr>
          <w:sz w:val="24"/>
          <w:szCs w:val="24"/>
          <w:lang w:val="en-US"/>
        </w:rPr>
        <w:t xml:space="preserve"> and improved understanding of the disease itself. </w:t>
      </w:r>
      <w:r w:rsidR="00B26523" w:rsidRPr="00CD0D03">
        <w:rPr>
          <w:sz w:val="24"/>
          <w:szCs w:val="24"/>
          <w:lang w:val="en-US"/>
        </w:rPr>
        <w:t>This is particularly true in the case of AD, because, as discussed above, there is a marked</w:t>
      </w:r>
      <w:r w:rsidR="00AB4643" w:rsidRPr="00CD0D03">
        <w:rPr>
          <w:sz w:val="24"/>
          <w:szCs w:val="24"/>
          <w:lang w:val="en-US"/>
        </w:rPr>
        <w:t>, largely not understood,</w:t>
      </w:r>
      <w:r w:rsidR="00B26523" w:rsidRPr="00CD0D03">
        <w:rPr>
          <w:sz w:val="24"/>
          <w:szCs w:val="24"/>
          <w:lang w:val="en-US"/>
        </w:rPr>
        <w:t xml:space="preserve"> inter-individual variability in clinical expression amongst people with comparable brain damage.</w:t>
      </w:r>
      <w:r w:rsidRPr="00CD0D03">
        <w:rPr>
          <w:sz w:val="24"/>
          <w:szCs w:val="24"/>
          <w:lang w:val="en-US"/>
        </w:rPr>
        <w:t xml:space="preserve"> </w:t>
      </w:r>
    </w:p>
    <w:p w14:paraId="1A66F22E" w14:textId="77777777" w:rsidR="00D75BCF" w:rsidRPr="00CD0D03" w:rsidRDefault="00AB4643" w:rsidP="00A83B7C">
      <w:pPr>
        <w:spacing w:line="480" w:lineRule="auto"/>
        <w:rPr>
          <w:sz w:val="24"/>
          <w:szCs w:val="24"/>
          <w:lang w:val="en-US"/>
        </w:rPr>
      </w:pPr>
      <w:r w:rsidRPr="00CD0D03">
        <w:rPr>
          <w:sz w:val="24"/>
          <w:szCs w:val="24"/>
          <w:lang w:val="en-US"/>
        </w:rPr>
        <w:t xml:space="preserve">Once the biomarker-disease </w:t>
      </w:r>
      <w:r w:rsidR="00B26523" w:rsidRPr="00CD0D03">
        <w:rPr>
          <w:sz w:val="24"/>
          <w:szCs w:val="24"/>
          <w:lang w:val="en-US"/>
        </w:rPr>
        <w:t>association is established and understood, standard tests to determine the</w:t>
      </w:r>
      <w:r w:rsidR="003F0234" w:rsidRPr="00CD0D03">
        <w:rPr>
          <w:sz w:val="24"/>
          <w:szCs w:val="24"/>
          <w:lang w:val="en-US"/>
        </w:rPr>
        <w:t xml:space="preserve"> </w:t>
      </w:r>
      <w:r w:rsidR="009D2342" w:rsidRPr="00CD0D03">
        <w:rPr>
          <w:sz w:val="24"/>
          <w:szCs w:val="24"/>
          <w:lang w:val="en-US"/>
        </w:rPr>
        <w:t xml:space="preserve">customary </w:t>
      </w:r>
      <w:r w:rsidR="003F0234" w:rsidRPr="00CD0D03">
        <w:rPr>
          <w:sz w:val="24"/>
          <w:szCs w:val="24"/>
          <w:lang w:val="en-US"/>
        </w:rPr>
        <w:t xml:space="preserve">validity </w:t>
      </w:r>
      <w:r w:rsidR="0081625A" w:rsidRPr="00CD0D03">
        <w:rPr>
          <w:sz w:val="24"/>
          <w:szCs w:val="24"/>
          <w:lang w:val="en-US"/>
        </w:rPr>
        <w:t>measures</w:t>
      </w:r>
      <w:r w:rsidR="003F0234" w:rsidRPr="00CD0D03">
        <w:rPr>
          <w:sz w:val="24"/>
          <w:szCs w:val="24"/>
          <w:lang w:val="en-US"/>
        </w:rPr>
        <w:t xml:space="preserve"> (i.e.</w:t>
      </w:r>
      <w:r w:rsidR="0081625A" w:rsidRPr="00CD0D03">
        <w:rPr>
          <w:sz w:val="24"/>
          <w:szCs w:val="24"/>
          <w:lang w:val="en-US"/>
        </w:rPr>
        <w:t>,</w:t>
      </w:r>
      <w:r w:rsidR="00B26523" w:rsidRPr="00CD0D03">
        <w:rPr>
          <w:sz w:val="24"/>
          <w:szCs w:val="24"/>
          <w:lang w:val="en-US"/>
        </w:rPr>
        <w:t xml:space="preserve"> sensitivity and specificity</w:t>
      </w:r>
      <w:r w:rsidR="003F0234" w:rsidRPr="00CD0D03">
        <w:rPr>
          <w:sz w:val="24"/>
          <w:szCs w:val="24"/>
          <w:lang w:val="en-US"/>
        </w:rPr>
        <w:t>)</w:t>
      </w:r>
      <w:r w:rsidR="00B26523" w:rsidRPr="00CD0D03">
        <w:rPr>
          <w:sz w:val="24"/>
          <w:szCs w:val="24"/>
          <w:lang w:val="en-US"/>
        </w:rPr>
        <w:t xml:space="preserve"> should be conducted to formally explore how the test performs in practice. From these, positive and negative predictive values can be calculated </w:t>
      </w:r>
      <w:r w:rsidR="0081625A" w:rsidRPr="00CD0D03">
        <w:rPr>
          <w:sz w:val="24"/>
          <w:szCs w:val="24"/>
          <w:lang w:val="en-US"/>
        </w:rPr>
        <w:t xml:space="preserve">under an appropriate study design </w:t>
      </w:r>
      <w:r w:rsidR="00B26523" w:rsidRPr="00CD0D03">
        <w:rPr>
          <w:sz w:val="24"/>
          <w:szCs w:val="24"/>
          <w:lang w:val="en-US"/>
        </w:rPr>
        <w:t>to finally inform the interpretation of tests results (i.e.</w:t>
      </w:r>
      <w:r w:rsidR="0081625A" w:rsidRPr="00CD0D03">
        <w:rPr>
          <w:sz w:val="24"/>
          <w:szCs w:val="24"/>
          <w:lang w:val="en-US"/>
        </w:rPr>
        <w:t xml:space="preserve">, </w:t>
      </w:r>
      <w:r w:rsidR="00B26523" w:rsidRPr="00CD0D03">
        <w:rPr>
          <w:sz w:val="24"/>
          <w:szCs w:val="24"/>
          <w:lang w:val="en-US"/>
        </w:rPr>
        <w:t>biomarker positivity) at an individual level</w:t>
      </w:r>
      <w:r w:rsidR="009D2342" w:rsidRPr="00CD0D03">
        <w:rPr>
          <w:sz w:val="24"/>
          <w:szCs w:val="24"/>
          <w:lang w:val="en-US"/>
        </w:rPr>
        <w:t xml:space="preserve"> and from a clinical perspective</w:t>
      </w:r>
      <w:r w:rsidR="00B26523" w:rsidRPr="00CD0D03">
        <w:rPr>
          <w:sz w:val="24"/>
          <w:szCs w:val="24"/>
          <w:lang w:val="en-US"/>
        </w:rPr>
        <w:t xml:space="preserve">. It must be noted that the test properties can only be established with respect to an existing gold standard measure of reference. </w:t>
      </w:r>
    </w:p>
    <w:p w14:paraId="7A658794" w14:textId="77777777" w:rsidR="00FE450E" w:rsidRPr="00CD0D03" w:rsidRDefault="00FE450E" w:rsidP="00505DA6">
      <w:pPr>
        <w:spacing w:line="480" w:lineRule="auto"/>
        <w:outlineLvl w:val="0"/>
        <w:rPr>
          <w:i/>
          <w:sz w:val="24"/>
          <w:szCs w:val="24"/>
          <w:lang w:val="en-US"/>
        </w:rPr>
      </w:pPr>
      <w:r w:rsidRPr="00CD0D03">
        <w:rPr>
          <w:i/>
          <w:sz w:val="24"/>
          <w:szCs w:val="24"/>
          <w:lang w:val="en-US"/>
        </w:rPr>
        <w:t xml:space="preserve">2.2.3 </w:t>
      </w:r>
      <w:r w:rsidRPr="00CD0D03">
        <w:rPr>
          <w:rFonts w:cs="Times New Roman"/>
          <w:i/>
          <w:sz w:val="24"/>
          <w:szCs w:val="24"/>
          <w:lang w:val="en-US"/>
        </w:rPr>
        <w:t>Clinical utility</w:t>
      </w:r>
      <w:r w:rsidRPr="00CD0D03">
        <w:rPr>
          <w:i/>
          <w:sz w:val="24"/>
          <w:szCs w:val="24"/>
          <w:lang w:val="en-US"/>
        </w:rPr>
        <w:t xml:space="preserve"> </w:t>
      </w:r>
    </w:p>
    <w:p w14:paraId="240F33CD" w14:textId="77777777" w:rsidR="004337D4" w:rsidRDefault="009D2342" w:rsidP="00A83B7C">
      <w:pPr>
        <w:spacing w:line="480" w:lineRule="auto"/>
        <w:rPr>
          <w:rFonts w:cs="Times New Roman"/>
          <w:sz w:val="24"/>
          <w:szCs w:val="24"/>
          <w:lang w:val="en-US"/>
        </w:rPr>
      </w:pPr>
      <w:r w:rsidRPr="00CD0D03">
        <w:rPr>
          <w:sz w:val="24"/>
          <w:szCs w:val="24"/>
          <w:lang w:val="en-US"/>
        </w:rPr>
        <w:t>The clinical utility of a test is a function of the clinical implications of the results. Because</w:t>
      </w:r>
      <w:r w:rsidR="00865EED" w:rsidRPr="00CD0D03">
        <w:rPr>
          <w:sz w:val="24"/>
          <w:szCs w:val="24"/>
          <w:lang w:val="en-US"/>
        </w:rPr>
        <w:t xml:space="preserve"> of the inexorable </w:t>
      </w:r>
      <w:r w:rsidR="00FF532C" w:rsidRPr="00CD0D03">
        <w:rPr>
          <w:sz w:val="24"/>
          <w:szCs w:val="24"/>
          <w:lang w:val="en-US"/>
        </w:rPr>
        <w:t>progressive</w:t>
      </w:r>
      <w:r w:rsidR="00865EED" w:rsidRPr="00CD0D03">
        <w:rPr>
          <w:sz w:val="24"/>
          <w:szCs w:val="24"/>
          <w:lang w:val="en-US"/>
        </w:rPr>
        <w:t xml:space="preserve"> nature of AD and the absence of</w:t>
      </w:r>
      <w:r w:rsidRPr="00CD0D03">
        <w:rPr>
          <w:sz w:val="24"/>
          <w:szCs w:val="24"/>
          <w:lang w:val="en-US"/>
        </w:rPr>
        <w:t xml:space="preserve"> disease-modifying treatments, the main clinical implication</w:t>
      </w:r>
      <w:r w:rsidR="00865EED" w:rsidRPr="00CD0D03">
        <w:rPr>
          <w:sz w:val="24"/>
          <w:szCs w:val="24"/>
          <w:lang w:val="en-US"/>
        </w:rPr>
        <w:t xml:space="preserve"> at present</w:t>
      </w:r>
      <w:r w:rsidRPr="00CD0D03">
        <w:rPr>
          <w:sz w:val="24"/>
          <w:szCs w:val="24"/>
          <w:lang w:val="en-US"/>
        </w:rPr>
        <w:t xml:space="preserve"> </w:t>
      </w:r>
      <w:r w:rsidR="00865EED" w:rsidRPr="00CD0D03">
        <w:rPr>
          <w:sz w:val="24"/>
          <w:szCs w:val="24"/>
          <w:lang w:val="en-US"/>
        </w:rPr>
        <w:t xml:space="preserve">is still limited. However, in the presence of brain damage </w:t>
      </w:r>
      <w:r w:rsidR="00E10C7C" w:rsidRPr="00CD0D03">
        <w:rPr>
          <w:rFonts w:cs="Times New Roman"/>
          <w:sz w:val="24"/>
          <w:szCs w:val="24"/>
          <w:lang w:val="en-US"/>
        </w:rPr>
        <w:t xml:space="preserve">the clinical expression of dementia not only varies between individuals but may </w:t>
      </w:r>
      <w:r w:rsidR="00A94B9E">
        <w:rPr>
          <w:rFonts w:cs="Times New Roman"/>
          <w:sz w:val="24"/>
          <w:szCs w:val="24"/>
          <w:lang w:val="en-US"/>
        </w:rPr>
        <w:t xml:space="preserve">also </w:t>
      </w:r>
      <w:r w:rsidR="00E10C7C" w:rsidRPr="00CD0D03">
        <w:rPr>
          <w:rFonts w:cs="Times New Roman"/>
          <w:sz w:val="24"/>
          <w:szCs w:val="24"/>
          <w:lang w:val="en-US"/>
        </w:rPr>
        <w:t>be modulated by factors that enhance or reduce</w:t>
      </w:r>
      <w:r w:rsidR="005F1679" w:rsidRPr="005F1679">
        <w:rPr>
          <w:rFonts w:cs="Times New Roman"/>
          <w:sz w:val="24"/>
          <w:szCs w:val="24"/>
          <w:lang w:val="en-US"/>
        </w:rPr>
        <w:t xml:space="preserve"> </w:t>
      </w:r>
      <w:r w:rsidR="005F1679">
        <w:rPr>
          <w:rFonts w:cs="Times New Roman"/>
          <w:sz w:val="24"/>
          <w:szCs w:val="24"/>
          <w:lang w:val="en-US"/>
        </w:rPr>
        <w:t>cognitive</w:t>
      </w:r>
      <w:r w:rsidR="00E10C7C" w:rsidRPr="00CD0D03">
        <w:rPr>
          <w:rFonts w:cs="Times New Roman"/>
          <w:sz w:val="24"/>
          <w:szCs w:val="24"/>
          <w:lang w:val="en-US"/>
        </w:rPr>
        <w:t xml:space="preserve"> reserve. As such, the purpose of the </w:t>
      </w:r>
      <w:r w:rsidR="00E10C7C" w:rsidRPr="00CD0D03">
        <w:rPr>
          <w:rFonts w:cs="Times New Roman"/>
          <w:sz w:val="24"/>
          <w:szCs w:val="24"/>
          <w:lang w:val="en-US"/>
        </w:rPr>
        <w:lastRenderedPageBreak/>
        <w:t xml:space="preserve">test is of paramount importance to establish </w:t>
      </w:r>
      <w:r w:rsidR="003B01B5" w:rsidRPr="00CD0D03">
        <w:rPr>
          <w:rFonts w:cs="Times New Roman"/>
          <w:sz w:val="24"/>
          <w:szCs w:val="24"/>
          <w:lang w:val="en-US"/>
        </w:rPr>
        <w:t>its</w:t>
      </w:r>
      <w:r w:rsidR="00E10C7C" w:rsidRPr="00CD0D03">
        <w:rPr>
          <w:rFonts w:cs="Times New Roman"/>
          <w:sz w:val="24"/>
          <w:szCs w:val="24"/>
          <w:lang w:val="en-US"/>
        </w:rPr>
        <w:t xml:space="preserve"> clinical utility, which can potentially be achieved even though the disease (i.e., MCI due to AD) is not </w:t>
      </w:r>
      <w:r w:rsidR="00AF0C64">
        <w:rPr>
          <w:rFonts w:cs="Times New Roman"/>
          <w:sz w:val="24"/>
          <w:szCs w:val="24"/>
          <w:lang w:val="en-US"/>
        </w:rPr>
        <w:t xml:space="preserve">yet </w:t>
      </w:r>
      <w:r w:rsidR="00E10C7C" w:rsidRPr="00CD0D03">
        <w:rPr>
          <w:rFonts w:cs="Times New Roman"/>
          <w:sz w:val="24"/>
          <w:szCs w:val="24"/>
          <w:lang w:val="en-US"/>
        </w:rPr>
        <w:t xml:space="preserve">fully understood. </w:t>
      </w:r>
    </w:p>
    <w:p w14:paraId="7642FCD6" w14:textId="77777777" w:rsidR="00284B46" w:rsidRPr="00CD0D03" w:rsidRDefault="00E10C7C" w:rsidP="00505DA6">
      <w:pPr>
        <w:spacing w:line="480" w:lineRule="auto"/>
        <w:outlineLvl w:val="0"/>
        <w:rPr>
          <w:rFonts w:cs="Times New Roman"/>
          <w:i/>
          <w:sz w:val="24"/>
          <w:szCs w:val="24"/>
          <w:lang w:val="en-US"/>
        </w:rPr>
      </w:pPr>
      <w:r w:rsidRPr="00CD0D03">
        <w:rPr>
          <w:rFonts w:cs="Times New Roman"/>
          <w:sz w:val="24"/>
          <w:szCs w:val="24"/>
          <w:lang w:val="en-US"/>
        </w:rPr>
        <w:t xml:space="preserve"> </w:t>
      </w:r>
      <w:r w:rsidR="001E5C25" w:rsidRPr="00CD0D03">
        <w:rPr>
          <w:rFonts w:cs="Times New Roman"/>
          <w:i/>
          <w:sz w:val="24"/>
          <w:szCs w:val="24"/>
          <w:lang w:val="en-US"/>
        </w:rPr>
        <w:t xml:space="preserve">2.3 Similar </w:t>
      </w:r>
      <w:r w:rsidRPr="00CD0D03">
        <w:rPr>
          <w:rFonts w:cs="Times New Roman"/>
          <w:i/>
          <w:sz w:val="24"/>
          <w:szCs w:val="24"/>
          <w:lang w:val="en-US"/>
        </w:rPr>
        <w:t>initiatives: the case of oncology</w:t>
      </w:r>
    </w:p>
    <w:p w14:paraId="02EA94E2" w14:textId="77777777" w:rsidR="00284B46" w:rsidRPr="00CD0D03" w:rsidRDefault="00E10C7C" w:rsidP="00A83B7C">
      <w:pPr>
        <w:spacing w:line="480" w:lineRule="auto"/>
        <w:rPr>
          <w:rFonts w:cs="Times New Roman"/>
          <w:sz w:val="24"/>
          <w:szCs w:val="24"/>
          <w:lang w:val="en-US"/>
        </w:rPr>
      </w:pPr>
      <w:r w:rsidRPr="00CD0D03">
        <w:rPr>
          <w:rFonts w:cs="Times New Roman"/>
          <w:sz w:val="24"/>
          <w:szCs w:val="24"/>
          <w:lang w:val="en-US"/>
        </w:rPr>
        <w:t xml:space="preserve">In 2001, </w:t>
      </w:r>
      <w:r w:rsidR="002A056B">
        <w:rPr>
          <w:rFonts w:cs="Times New Roman"/>
          <w:sz w:val="24"/>
          <w:szCs w:val="24"/>
          <w:lang w:val="en-US"/>
        </w:rPr>
        <w:t xml:space="preserve">oncologists developed </w:t>
      </w:r>
      <w:r w:rsidR="002A056B" w:rsidRPr="00CD0D03">
        <w:rPr>
          <w:rFonts w:cs="Times New Roman"/>
          <w:sz w:val="24"/>
          <w:szCs w:val="24"/>
          <w:lang w:val="en-US"/>
        </w:rPr>
        <w:t>a 5-phases</w:t>
      </w:r>
      <w:r w:rsidRPr="00CD0D03">
        <w:rPr>
          <w:rFonts w:cs="Times New Roman"/>
          <w:sz w:val="24"/>
          <w:szCs w:val="24"/>
          <w:lang w:val="en-US"/>
        </w:rPr>
        <w:t xml:space="preserve"> systematic framework for the validation of biomarkers, which has profoundly inspired the present work</w:t>
      </w:r>
      <w:r w:rsidR="009D3137" w:rsidRPr="00CD0D03">
        <w:rPr>
          <w:rFonts w:cs="Times New Roman"/>
          <w:sz w:val="24"/>
          <w:szCs w:val="24"/>
          <w:lang w:val="en-US"/>
        </w:rPr>
        <w:t xml:space="preserve"> (Pepe </w:t>
      </w:r>
      <w:r w:rsidR="009D3137" w:rsidRPr="00CD0D03">
        <w:rPr>
          <w:rFonts w:cs="Times New Roman"/>
          <w:i/>
          <w:sz w:val="24"/>
          <w:szCs w:val="24"/>
          <w:lang w:val="en-US"/>
        </w:rPr>
        <w:t>et al</w:t>
      </w:r>
      <w:r w:rsidR="009D3137" w:rsidRPr="00CD0D03">
        <w:rPr>
          <w:rFonts w:cs="Times New Roman"/>
          <w:sz w:val="24"/>
          <w:szCs w:val="24"/>
          <w:lang w:val="en-US"/>
        </w:rPr>
        <w:t>., 2001)</w:t>
      </w:r>
      <w:r w:rsidRPr="00CD0D03">
        <w:rPr>
          <w:rFonts w:cs="Times New Roman"/>
          <w:sz w:val="24"/>
          <w:szCs w:val="24"/>
          <w:lang w:val="en-US"/>
        </w:rPr>
        <w:t xml:space="preserve">. </w:t>
      </w:r>
      <w:r w:rsidR="002A056B" w:rsidRPr="00CD0D03">
        <w:rPr>
          <w:rFonts w:cs="Times New Roman"/>
          <w:sz w:val="24"/>
          <w:szCs w:val="24"/>
          <w:lang w:val="en-US"/>
        </w:rPr>
        <w:t xml:space="preserve">These phases </w:t>
      </w:r>
      <w:r w:rsidR="00165B78">
        <w:rPr>
          <w:rFonts w:cs="Times New Roman"/>
          <w:sz w:val="24"/>
          <w:szCs w:val="24"/>
          <w:lang w:val="en-US"/>
        </w:rPr>
        <w:t>map onto the consecutive steps required by</w:t>
      </w:r>
      <w:r w:rsidR="002A056B" w:rsidRPr="00CD0D03">
        <w:rPr>
          <w:rFonts w:cs="Times New Roman"/>
          <w:sz w:val="24"/>
          <w:szCs w:val="24"/>
          <w:lang w:val="en-US"/>
        </w:rPr>
        <w:t xml:space="preserve"> the aforementioned </w:t>
      </w:r>
      <w:r w:rsidR="002A056B" w:rsidRPr="00CD0D03">
        <w:rPr>
          <w:rFonts w:cs="Times New Roman"/>
          <w:i/>
          <w:sz w:val="24"/>
          <w:szCs w:val="24"/>
          <w:lang w:val="en-US"/>
        </w:rPr>
        <w:t>analytical validity</w:t>
      </w:r>
      <w:r w:rsidR="002A056B" w:rsidRPr="00CD0D03">
        <w:rPr>
          <w:rFonts w:cs="Times New Roman"/>
          <w:sz w:val="24"/>
          <w:szCs w:val="24"/>
          <w:lang w:val="en-US"/>
        </w:rPr>
        <w:t xml:space="preserve">, </w:t>
      </w:r>
      <w:r w:rsidR="002A056B" w:rsidRPr="00CD0D03">
        <w:rPr>
          <w:rFonts w:cs="Times New Roman"/>
          <w:i/>
          <w:sz w:val="24"/>
          <w:szCs w:val="24"/>
          <w:lang w:val="en-US"/>
        </w:rPr>
        <w:t>clinical validity</w:t>
      </w:r>
      <w:r w:rsidR="002A056B" w:rsidRPr="00CD0D03">
        <w:rPr>
          <w:rFonts w:cs="Times New Roman"/>
          <w:sz w:val="24"/>
          <w:szCs w:val="24"/>
          <w:lang w:val="en-US"/>
        </w:rPr>
        <w:t xml:space="preserve"> and </w:t>
      </w:r>
      <w:r w:rsidR="002A056B" w:rsidRPr="00CD0D03">
        <w:rPr>
          <w:rFonts w:cs="Times New Roman"/>
          <w:i/>
          <w:sz w:val="24"/>
          <w:szCs w:val="24"/>
          <w:lang w:val="en-US"/>
        </w:rPr>
        <w:t>clinical utility</w:t>
      </w:r>
      <w:r w:rsidR="000D043E">
        <w:rPr>
          <w:rFonts w:cs="Times New Roman"/>
          <w:sz w:val="24"/>
          <w:szCs w:val="24"/>
          <w:lang w:val="en-US"/>
        </w:rPr>
        <w:t xml:space="preserve">. </w:t>
      </w:r>
      <w:r w:rsidR="00902E0D">
        <w:rPr>
          <w:rFonts w:cs="Times New Roman"/>
          <w:sz w:val="24"/>
          <w:szCs w:val="24"/>
          <w:lang w:val="en-US"/>
        </w:rPr>
        <w:t>However,</w:t>
      </w:r>
      <w:r w:rsidR="002933B4">
        <w:rPr>
          <w:rFonts w:cs="Times New Roman"/>
          <w:sz w:val="24"/>
          <w:szCs w:val="24"/>
          <w:lang w:val="en-US"/>
        </w:rPr>
        <w:t xml:space="preserve"> </w:t>
      </w:r>
      <w:r w:rsidRPr="00CD0D03">
        <w:rPr>
          <w:rFonts w:cs="Times New Roman"/>
          <w:sz w:val="24"/>
          <w:szCs w:val="24"/>
          <w:lang w:val="en-US"/>
        </w:rPr>
        <w:t xml:space="preserve">relevant differences </w:t>
      </w:r>
      <w:r w:rsidR="002933B4">
        <w:rPr>
          <w:rFonts w:cs="Times New Roman"/>
          <w:sz w:val="24"/>
          <w:szCs w:val="24"/>
          <w:lang w:val="en-US"/>
        </w:rPr>
        <w:t xml:space="preserve">between the fields of oncology and AD </w:t>
      </w:r>
      <w:r w:rsidR="00D6336E">
        <w:rPr>
          <w:rFonts w:cs="Times New Roman"/>
          <w:sz w:val="24"/>
          <w:szCs w:val="24"/>
          <w:lang w:val="en-US"/>
        </w:rPr>
        <w:t>should be considered</w:t>
      </w:r>
      <w:r w:rsidR="00B40EDD">
        <w:rPr>
          <w:rFonts w:cs="Times New Roman"/>
          <w:sz w:val="24"/>
          <w:szCs w:val="24"/>
          <w:lang w:val="en-US"/>
        </w:rPr>
        <w:t>. T</w:t>
      </w:r>
      <w:r w:rsidRPr="00CD0D03">
        <w:rPr>
          <w:rFonts w:cs="Times New Roman"/>
          <w:sz w:val="24"/>
          <w:szCs w:val="24"/>
          <w:lang w:val="en-US"/>
        </w:rPr>
        <w:t xml:space="preserve">he </w:t>
      </w:r>
      <w:r w:rsidRPr="00CD0D03">
        <w:rPr>
          <w:rFonts w:cs="Times New Roman"/>
          <w:i/>
          <w:sz w:val="24"/>
          <w:szCs w:val="24"/>
          <w:lang w:val="en-US"/>
        </w:rPr>
        <w:t>purpose</w:t>
      </w:r>
      <w:r w:rsidRPr="00CD0D03">
        <w:rPr>
          <w:rFonts w:cs="Times New Roman"/>
          <w:sz w:val="24"/>
          <w:szCs w:val="24"/>
          <w:lang w:val="en-US"/>
        </w:rPr>
        <w:t xml:space="preserve"> of the original biomarker framework consisted </w:t>
      </w:r>
      <w:r w:rsidR="00BF0961" w:rsidRPr="00CD0D03">
        <w:rPr>
          <w:rFonts w:cs="Times New Roman"/>
          <w:sz w:val="24"/>
          <w:szCs w:val="24"/>
          <w:lang w:val="en-US"/>
        </w:rPr>
        <w:t>of</w:t>
      </w:r>
      <w:r w:rsidRPr="00CD0D03">
        <w:rPr>
          <w:rFonts w:cs="Times New Roman"/>
          <w:sz w:val="24"/>
          <w:szCs w:val="24"/>
          <w:lang w:val="en-US"/>
        </w:rPr>
        <w:t xml:space="preserve"> validating and refining the performance of screening programs that could reliably detect the preclinical phases of </w:t>
      </w:r>
      <w:r w:rsidRPr="00CD0D03">
        <w:rPr>
          <w:rFonts w:cs="Times New Roman"/>
          <w:i/>
          <w:sz w:val="24"/>
          <w:szCs w:val="24"/>
          <w:lang w:val="en-US"/>
        </w:rPr>
        <w:t>cancer</w:t>
      </w:r>
      <w:r w:rsidRPr="00CD0D03">
        <w:rPr>
          <w:rFonts w:cs="Times New Roman"/>
          <w:sz w:val="24"/>
          <w:szCs w:val="24"/>
          <w:lang w:val="en-US"/>
        </w:rPr>
        <w:t xml:space="preserve"> in the </w:t>
      </w:r>
      <w:r w:rsidRPr="00CD0D03">
        <w:rPr>
          <w:rFonts w:cs="Times New Roman"/>
          <w:i/>
          <w:sz w:val="24"/>
          <w:szCs w:val="24"/>
          <w:lang w:val="en-US"/>
        </w:rPr>
        <w:t>general population</w:t>
      </w:r>
      <w:r w:rsidR="00B40EDD">
        <w:rPr>
          <w:rFonts w:cs="Times New Roman"/>
          <w:sz w:val="24"/>
          <w:szCs w:val="24"/>
          <w:lang w:val="en-US"/>
        </w:rPr>
        <w:t>, while we focus our attention on early diagnosis of patients who already seek advice for cognitive symptoms.</w:t>
      </w:r>
    </w:p>
    <w:p w14:paraId="7C5E4E61" w14:textId="77777777" w:rsidR="00147901" w:rsidRPr="00CD0D03" w:rsidRDefault="00E10C7C" w:rsidP="00A83B7C">
      <w:pPr>
        <w:spacing w:line="480" w:lineRule="auto"/>
        <w:rPr>
          <w:rFonts w:cs="Times New Roman"/>
          <w:sz w:val="24"/>
          <w:szCs w:val="24"/>
          <w:lang w:val="en-US"/>
        </w:rPr>
      </w:pPr>
      <w:r w:rsidRPr="00CD0D03">
        <w:rPr>
          <w:rFonts w:cs="Times New Roman"/>
          <w:sz w:val="24"/>
          <w:szCs w:val="24"/>
          <w:lang w:val="en-US"/>
        </w:rPr>
        <w:t>The 5 phases framework for the validation of oncology biomarkers</w:t>
      </w:r>
      <w:r w:rsidR="0067601A" w:rsidRPr="00CD0D03">
        <w:rPr>
          <w:rFonts w:cs="Times New Roman"/>
          <w:sz w:val="24"/>
          <w:szCs w:val="24"/>
          <w:lang w:val="en-US"/>
        </w:rPr>
        <w:t xml:space="preserve"> are the following</w:t>
      </w:r>
      <w:r w:rsidR="00582738" w:rsidRPr="00CD0D03">
        <w:rPr>
          <w:rFonts w:cs="Times New Roman"/>
          <w:sz w:val="24"/>
          <w:szCs w:val="24"/>
          <w:lang w:val="en-US"/>
        </w:rPr>
        <w:t xml:space="preserve"> (Pepe </w:t>
      </w:r>
      <w:r w:rsidR="00965902" w:rsidRPr="00CD0D03">
        <w:rPr>
          <w:rFonts w:cs="Times New Roman"/>
          <w:i/>
          <w:sz w:val="24"/>
          <w:szCs w:val="24"/>
          <w:lang w:val="en-US"/>
        </w:rPr>
        <w:t>et al</w:t>
      </w:r>
      <w:r w:rsidR="00582738" w:rsidRPr="00CD0D03">
        <w:rPr>
          <w:rFonts w:cs="Times New Roman"/>
          <w:sz w:val="24"/>
          <w:szCs w:val="24"/>
          <w:lang w:val="en-US"/>
        </w:rPr>
        <w:t>., 2001)</w:t>
      </w:r>
      <w:r w:rsidR="0067601A" w:rsidRPr="00CD0D03">
        <w:rPr>
          <w:rFonts w:cs="Times New Roman"/>
          <w:sz w:val="24"/>
          <w:szCs w:val="24"/>
          <w:lang w:val="en-US"/>
        </w:rPr>
        <w:t xml:space="preserve">. </w:t>
      </w:r>
    </w:p>
    <w:p w14:paraId="48F1ECDB" w14:textId="77777777" w:rsidR="00147901" w:rsidRPr="00CD0D03" w:rsidRDefault="00EF14F8" w:rsidP="00A83B7C">
      <w:pPr>
        <w:autoSpaceDE w:val="0"/>
        <w:autoSpaceDN w:val="0"/>
        <w:adjustRightInd w:val="0"/>
        <w:spacing w:after="0" w:line="480" w:lineRule="auto"/>
        <w:rPr>
          <w:rFonts w:cs="Times New Roman"/>
          <w:sz w:val="24"/>
          <w:szCs w:val="24"/>
          <w:lang w:val="en-US"/>
        </w:rPr>
      </w:pPr>
      <w:r>
        <w:rPr>
          <w:rFonts w:cs="Times New Roman"/>
          <w:b/>
          <w:sz w:val="24"/>
          <w:szCs w:val="24"/>
          <w:lang w:val="en-US"/>
        </w:rPr>
        <w:t>Phase 1:</w:t>
      </w:r>
      <w:r w:rsidR="00147901" w:rsidRPr="00CD0D03">
        <w:rPr>
          <w:rFonts w:cs="Times New Roman"/>
          <w:b/>
          <w:sz w:val="24"/>
          <w:szCs w:val="24"/>
          <w:lang w:val="en-US"/>
        </w:rPr>
        <w:t xml:space="preserve"> </w:t>
      </w:r>
      <w:r>
        <w:rPr>
          <w:rFonts w:cs="Times New Roman"/>
          <w:b/>
          <w:sz w:val="24"/>
          <w:szCs w:val="24"/>
          <w:lang w:val="en-US"/>
        </w:rPr>
        <w:t>“</w:t>
      </w:r>
      <w:r w:rsidR="007B1600">
        <w:rPr>
          <w:rFonts w:cs="Times New Roman"/>
          <w:sz w:val="24"/>
          <w:szCs w:val="24"/>
          <w:lang w:val="en-US"/>
        </w:rPr>
        <w:t>Preclinical</w:t>
      </w:r>
      <w:r w:rsidR="007B1600" w:rsidRPr="00CD0D03">
        <w:rPr>
          <w:rFonts w:cs="Times New Roman"/>
          <w:sz w:val="24"/>
          <w:szCs w:val="24"/>
          <w:lang w:val="en-US"/>
        </w:rPr>
        <w:t xml:space="preserve"> </w:t>
      </w:r>
      <w:r w:rsidR="00147901" w:rsidRPr="00CD0D03">
        <w:rPr>
          <w:rFonts w:cs="Times New Roman"/>
          <w:sz w:val="24"/>
          <w:szCs w:val="24"/>
          <w:lang w:val="en-US"/>
        </w:rPr>
        <w:t>studies</w:t>
      </w:r>
      <w:r>
        <w:rPr>
          <w:rFonts w:cs="Times New Roman"/>
          <w:sz w:val="24"/>
          <w:szCs w:val="24"/>
          <w:lang w:val="en-US"/>
        </w:rPr>
        <w:t>”</w:t>
      </w:r>
      <w:r w:rsidR="00AA2B46" w:rsidRPr="00CD0D03">
        <w:rPr>
          <w:rFonts w:cs="Times New Roman"/>
          <w:sz w:val="24"/>
          <w:szCs w:val="24"/>
          <w:lang w:val="en-US"/>
        </w:rPr>
        <w:t xml:space="preserve">. </w:t>
      </w:r>
      <w:r w:rsidR="00EA1A91" w:rsidRPr="00CD0D03">
        <w:rPr>
          <w:rFonts w:cs="Times New Roman"/>
          <w:sz w:val="24"/>
          <w:szCs w:val="24"/>
          <w:lang w:val="en-US"/>
        </w:rPr>
        <w:t>These are pilot studies to identify characteristics unique to tumor tissue that might lead to ideas for clinical tests for detecting cancer.</w:t>
      </w:r>
      <w:r w:rsidR="007B1600">
        <w:rPr>
          <w:rFonts w:cs="Times New Roman"/>
          <w:sz w:val="24"/>
          <w:szCs w:val="24"/>
          <w:lang w:val="en-US"/>
        </w:rPr>
        <w:t xml:space="preserve"> </w:t>
      </w:r>
      <w:r w:rsidR="00C24BFB" w:rsidRPr="00CD0D03">
        <w:rPr>
          <w:rFonts w:cs="Times New Roman"/>
          <w:sz w:val="24"/>
          <w:szCs w:val="24"/>
          <w:lang w:val="en-US"/>
        </w:rPr>
        <w:t>E</w:t>
      </w:r>
      <w:r w:rsidR="0067601A" w:rsidRPr="00CD0D03">
        <w:rPr>
          <w:rFonts w:cs="Times New Roman"/>
          <w:sz w:val="24"/>
          <w:szCs w:val="24"/>
          <w:lang w:val="en-US"/>
        </w:rPr>
        <w:t>x</w:t>
      </w:r>
      <w:r w:rsidR="00C24BFB" w:rsidRPr="00CD0D03">
        <w:rPr>
          <w:rFonts w:cs="Times New Roman"/>
          <w:sz w:val="24"/>
          <w:szCs w:val="24"/>
          <w:lang w:val="en-US"/>
        </w:rPr>
        <w:t>amples are the m</w:t>
      </w:r>
      <w:r w:rsidR="00E10C7C" w:rsidRPr="00CD0D03">
        <w:rPr>
          <w:rFonts w:cs="Times New Roman"/>
          <w:sz w:val="24"/>
          <w:szCs w:val="24"/>
          <w:lang w:val="en-US"/>
        </w:rPr>
        <w:t xml:space="preserve">easurement of methylation signatures in cancer tissue and normal tissue from the same patients, and </w:t>
      </w:r>
      <w:r w:rsidR="00C24BFB" w:rsidRPr="00CD0D03">
        <w:rPr>
          <w:rFonts w:cs="Times New Roman"/>
          <w:sz w:val="24"/>
          <w:szCs w:val="24"/>
          <w:lang w:val="en-US"/>
        </w:rPr>
        <w:t xml:space="preserve">the </w:t>
      </w:r>
      <w:r w:rsidR="00147901" w:rsidRPr="00CD0D03">
        <w:rPr>
          <w:rFonts w:cs="Times New Roman"/>
          <w:sz w:val="24"/>
          <w:szCs w:val="24"/>
          <w:lang w:val="en-US"/>
        </w:rPr>
        <w:t>identification of methylation changes in candidate genes (e.g</w:t>
      </w:r>
      <w:r w:rsidR="00AB3DE4" w:rsidRPr="00CD0D03">
        <w:rPr>
          <w:rFonts w:cs="Times New Roman"/>
          <w:sz w:val="24"/>
          <w:szCs w:val="24"/>
          <w:lang w:val="en-US"/>
        </w:rPr>
        <w:t>.,</w:t>
      </w:r>
      <w:r w:rsidR="00147901" w:rsidRPr="00CD0D03">
        <w:rPr>
          <w:rFonts w:cs="Times New Roman"/>
          <w:sz w:val="24"/>
          <w:szCs w:val="24"/>
          <w:lang w:val="en-US"/>
        </w:rPr>
        <w:t xml:space="preserve"> typically in relation to breast cancer</w:t>
      </w:r>
      <w:r w:rsidR="00CA3A4C" w:rsidRPr="00CD0D03">
        <w:rPr>
          <w:rFonts w:cs="Times New Roman"/>
          <w:sz w:val="24"/>
          <w:szCs w:val="24"/>
          <w:lang w:val="en-US"/>
        </w:rPr>
        <w:t xml:space="preserve"> (</w:t>
      </w:r>
      <w:r w:rsidR="00C06F03" w:rsidRPr="00CD0D03">
        <w:rPr>
          <w:rFonts w:cs="Times New Roman"/>
          <w:sz w:val="24"/>
          <w:szCs w:val="24"/>
          <w:lang w:val="en-US"/>
        </w:rPr>
        <w:t xml:space="preserve">see for example </w:t>
      </w:r>
      <w:r w:rsidR="00AB3DE4" w:rsidRPr="00CD0D03">
        <w:rPr>
          <w:rFonts w:eastAsia="Times New Roman" w:cs="Times New Roman"/>
          <w:sz w:val="24"/>
          <w:szCs w:val="24"/>
          <w:lang w:val="en-US"/>
        </w:rPr>
        <w:t xml:space="preserve">Feinberg </w:t>
      </w:r>
      <w:r w:rsidR="004D7BFA" w:rsidRPr="00CD0D03">
        <w:rPr>
          <w:rFonts w:eastAsia="Times New Roman" w:cs="Times New Roman"/>
          <w:i/>
          <w:sz w:val="24"/>
          <w:szCs w:val="24"/>
          <w:lang w:val="en-US"/>
        </w:rPr>
        <w:t>et al</w:t>
      </w:r>
      <w:r w:rsidR="004D7BFA" w:rsidRPr="00CD0D03">
        <w:rPr>
          <w:rFonts w:eastAsia="Times New Roman" w:cs="Times New Roman"/>
          <w:sz w:val="24"/>
          <w:szCs w:val="24"/>
          <w:lang w:val="en-US"/>
        </w:rPr>
        <w:t>., 1983</w:t>
      </w:r>
      <w:r w:rsidR="00C06F03" w:rsidRPr="00CD0D03">
        <w:rPr>
          <w:rFonts w:eastAsia="Times New Roman" w:cs="Times New Roman"/>
          <w:sz w:val="24"/>
          <w:szCs w:val="24"/>
          <w:lang w:val="en-US"/>
        </w:rPr>
        <w:t xml:space="preserve"> as an early paper; and </w:t>
      </w:r>
      <w:r w:rsidR="00E10C7C" w:rsidRPr="00CD0D03">
        <w:rPr>
          <w:rFonts w:eastAsiaTheme="minorEastAsia" w:cs="Times New Roman"/>
          <w:sz w:val="24"/>
          <w:szCs w:val="24"/>
          <w:lang w:val="en-US" w:eastAsia="it-IT"/>
        </w:rPr>
        <w:t xml:space="preserve">Cho </w:t>
      </w:r>
      <w:r w:rsidR="004D7BFA" w:rsidRPr="00CD0D03">
        <w:rPr>
          <w:rFonts w:eastAsiaTheme="minorEastAsia" w:cs="Times New Roman"/>
          <w:i/>
          <w:sz w:val="24"/>
          <w:szCs w:val="24"/>
          <w:lang w:val="en-US" w:eastAsia="it-IT"/>
        </w:rPr>
        <w:t>et al</w:t>
      </w:r>
      <w:r w:rsidR="004D7BFA" w:rsidRPr="00CD0D03">
        <w:rPr>
          <w:rFonts w:eastAsiaTheme="minorEastAsia" w:cs="Times New Roman"/>
          <w:sz w:val="24"/>
          <w:szCs w:val="24"/>
          <w:lang w:val="en-US" w:eastAsia="it-IT"/>
        </w:rPr>
        <w:t>., 2010</w:t>
      </w:r>
      <w:r w:rsidR="006A1E82" w:rsidRPr="00CD0D03">
        <w:rPr>
          <w:rFonts w:eastAsiaTheme="minorEastAsia" w:cs="Times New Roman"/>
          <w:sz w:val="24"/>
          <w:szCs w:val="24"/>
          <w:lang w:val="en-US" w:eastAsia="it-IT"/>
        </w:rPr>
        <w:t xml:space="preserve">). </w:t>
      </w:r>
      <w:r w:rsidR="006A1E82" w:rsidRPr="00CD0D03">
        <w:rPr>
          <w:rFonts w:cs="Times New Roman"/>
          <w:sz w:val="24"/>
          <w:szCs w:val="24"/>
          <w:lang w:val="en-US"/>
        </w:rPr>
        <w:t>Th</w:t>
      </w:r>
      <w:r w:rsidR="00C24BFB" w:rsidRPr="00CD0D03">
        <w:rPr>
          <w:rFonts w:cs="Times New Roman"/>
          <w:sz w:val="24"/>
          <w:szCs w:val="24"/>
          <w:lang w:val="en-US"/>
        </w:rPr>
        <w:t>e</w:t>
      </w:r>
      <w:r w:rsidR="006A1E82" w:rsidRPr="00CD0D03">
        <w:rPr>
          <w:rFonts w:cs="Times New Roman"/>
          <w:sz w:val="24"/>
          <w:szCs w:val="24"/>
          <w:lang w:val="en-US"/>
        </w:rPr>
        <w:t>s</w:t>
      </w:r>
      <w:r w:rsidR="00C24BFB" w:rsidRPr="00CD0D03">
        <w:rPr>
          <w:rFonts w:cs="Times New Roman"/>
          <w:sz w:val="24"/>
          <w:szCs w:val="24"/>
          <w:lang w:val="en-US"/>
        </w:rPr>
        <w:t xml:space="preserve">e observations in humans have </w:t>
      </w:r>
      <w:r w:rsidR="00147901" w:rsidRPr="00CD0D03">
        <w:rPr>
          <w:rFonts w:cs="Times New Roman"/>
          <w:sz w:val="24"/>
          <w:szCs w:val="24"/>
          <w:lang w:val="en-US"/>
        </w:rPr>
        <w:t>be</w:t>
      </w:r>
      <w:r w:rsidR="00C24BFB" w:rsidRPr="00CD0D03">
        <w:rPr>
          <w:rFonts w:cs="Times New Roman"/>
          <w:sz w:val="24"/>
          <w:szCs w:val="24"/>
          <w:lang w:val="en-US"/>
        </w:rPr>
        <w:t>en</w:t>
      </w:r>
      <w:r w:rsidR="00147901" w:rsidRPr="00CD0D03">
        <w:rPr>
          <w:rFonts w:cs="Times New Roman"/>
          <w:sz w:val="24"/>
          <w:szCs w:val="24"/>
          <w:lang w:val="en-US"/>
        </w:rPr>
        <w:t xml:space="preserve"> complemented by work in animals</w:t>
      </w:r>
      <w:r w:rsidR="004947F8" w:rsidRPr="00CD0D03">
        <w:rPr>
          <w:rFonts w:cs="Times New Roman"/>
          <w:sz w:val="24"/>
          <w:szCs w:val="24"/>
          <w:lang w:val="en-US"/>
        </w:rPr>
        <w:t>.</w:t>
      </w:r>
      <w:r w:rsidR="00F46A51" w:rsidRPr="00CD0D03">
        <w:rPr>
          <w:rFonts w:cs="Times New Roman"/>
          <w:sz w:val="24"/>
          <w:szCs w:val="24"/>
          <w:lang w:val="en-US"/>
        </w:rPr>
        <w:t xml:space="preserve"> </w:t>
      </w:r>
    </w:p>
    <w:p w14:paraId="041863A8" w14:textId="77777777" w:rsidR="00147901" w:rsidRPr="00CD0D03" w:rsidRDefault="00AA2B46" w:rsidP="00A83B7C">
      <w:pPr>
        <w:spacing w:line="480" w:lineRule="auto"/>
        <w:rPr>
          <w:rFonts w:cs="Times New Roman"/>
          <w:sz w:val="24"/>
          <w:szCs w:val="24"/>
          <w:lang w:val="en-US"/>
        </w:rPr>
      </w:pPr>
      <w:r w:rsidRPr="00CD0D03">
        <w:rPr>
          <w:rFonts w:cs="Times New Roman"/>
          <w:b/>
          <w:sz w:val="24"/>
          <w:szCs w:val="24"/>
          <w:lang w:val="en-US"/>
        </w:rPr>
        <w:t>Phase</w:t>
      </w:r>
      <w:r w:rsidR="00147901" w:rsidRPr="00CD0D03">
        <w:rPr>
          <w:rFonts w:cs="Times New Roman"/>
          <w:b/>
          <w:sz w:val="24"/>
          <w:szCs w:val="24"/>
          <w:lang w:val="en-US"/>
        </w:rPr>
        <w:t xml:space="preserve"> 2</w:t>
      </w:r>
      <w:r w:rsidR="00EA1A91">
        <w:rPr>
          <w:rFonts w:cs="Times New Roman"/>
          <w:sz w:val="24"/>
          <w:szCs w:val="24"/>
          <w:lang w:val="en-US"/>
        </w:rPr>
        <w:t>:</w:t>
      </w:r>
      <w:r w:rsidR="00147901" w:rsidRPr="00CD0D03">
        <w:rPr>
          <w:rFonts w:cs="Times New Roman"/>
          <w:sz w:val="24"/>
          <w:szCs w:val="24"/>
          <w:lang w:val="en-US"/>
        </w:rPr>
        <w:t xml:space="preserve"> </w:t>
      </w:r>
      <w:r w:rsidR="00EA1A91" w:rsidRPr="00CD0D03">
        <w:rPr>
          <w:rFonts w:cs="Times New Roman"/>
          <w:sz w:val="24"/>
          <w:szCs w:val="24"/>
          <w:lang w:val="en-US"/>
        </w:rPr>
        <w:t>“Clinical Assay Development for Clinical Disease”</w:t>
      </w:r>
      <w:r w:rsidR="00EA1A91">
        <w:rPr>
          <w:rFonts w:cs="Times New Roman"/>
          <w:sz w:val="24"/>
          <w:szCs w:val="24"/>
          <w:lang w:val="en-US"/>
        </w:rPr>
        <w:t>. This phase</w:t>
      </w:r>
      <w:r w:rsidR="00EA1A91" w:rsidRPr="00CD0D03">
        <w:rPr>
          <w:rFonts w:cs="Times New Roman"/>
          <w:sz w:val="24"/>
          <w:szCs w:val="24"/>
          <w:lang w:val="en-US"/>
        </w:rPr>
        <w:t xml:space="preserve"> is aimed to show that the clinical assay </w:t>
      </w:r>
      <w:r w:rsidR="00A9128B" w:rsidRPr="00CD0D03">
        <w:rPr>
          <w:rFonts w:cs="Times New Roman"/>
          <w:sz w:val="24"/>
          <w:szCs w:val="24"/>
          <w:lang w:val="en-US"/>
        </w:rPr>
        <w:t>can</w:t>
      </w:r>
      <w:r w:rsidR="00EA1A91" w:rsidRPr="00CD0D03">
        <w:rPr>
          <w:rFonts w:cs="Times New Roman"/>
          <w:sz w:val="24"/>
          <w:szCs w:val="24"/>
          <w:lang w:val="en-US"/>
        </w:rPr>
        <w:t xml:space="preserve"> distinguish subjects with cancer from those without cancer, in order to be considered promising for screening. This also includes the definition itself of an effective </w:t>
      </w:r>
      <w:r w:rsidR="00EA1A91">
        <w:rPr>
          <w:rFonts w:cs="Times New Roman"/>
          <w:sz w:val="24"/>
          <w:szCs w:val="24"/>
          <w:lang w:val="en-US"/>
        </w:rPr>
        <w:t>a</w:t>
      </w:r>
      <w:r w:rsidR="00EA1A91" w:rsidRPr="00CD0D03">
        <w:rPr>
          <w:rFonts w:cs="Times New Roman"/>
          <w:sz w:val="24"/>
          <w:szCs w:val="24"/>
          <w:lang w:val="en-US"/>
        </w:rPr>
        <w:t xml:space="preserve">ssay to be collected based on standard procedures throughout laboratories. </w:t>
      </w:r>
      <w:r w:rsidR="002C10DD" w:rsidRPr="00CD0D03">
        <w:rPr>
          <w:rFonts w:cs="Times New Roman"/>
          <w:sz w:val="24"/>
          <w:szCs w:val="24"/>
          <w:lang w:val="en-US"/>
        </w:rPr>
        <w:t>C</w:t>
      </w:r>
      <w:r w:rsidR="00147901" w:rsidRPr="00CD0D03">
        <w:rPr>
          <w:rFonts w:cs="Times New Roman"/>
          <w:sz w:val="24"/>
          <w:szCs w:val="24"/>
          <w:lang w:val="en-US"/>
        </w:rPr>
        <w:t>ase-control studies to further develop the hypotheses generated in Phase 1</w:t>
      </w:r>
      <w:r w:rsidR="00F46A51" w:rsidRPr="00CD0D03">
        <w:rPr>
          <w:rFonts w:cs="Times New Roman"/>
          <w:sz w:val="24"/>
          <w:szCs w:val="24"/>
          <w:lang w:val="en-US"/>
        </w:rPr>
        <w:t xml:space="preserve"> </w:t>
      </w:r>
      <w:r w:rsidR="00EA1A91">
        <w:rPr>
          <w:rFonts w:cs="Times New Roman"/>
          <w:sz w:val="24"/>
          <w:szCs w:val="24"/>
          <w:lang w:val="en-US"/>
        </w:rPr>
        <w:t>are</w:t>
      </w:r>
      <w:r w:rsidR="00F46A51" w:rsidRPr="00CD0D03">
        <w:rPr>
          <w:rFonts w:cs="Times New Roman"/>
          <w:sz w:val="24"/>
          <w:szCs w:val="24"/>
          <w:lang w:val="en-US"/>
        </w:rPr>
        <w:t xml:space="preserve"> developed</w:t>
      </w:r>
      <w:r w:rsidR="00EA1A91">
        <w:rPr>
          <w:rFonts w:cs="Times New Roman"/>
          <w:sz w:val="24"/>
          <w:szCs w:val="24"/>
          <w:lang w:val="en-US"/>
        </w:rPr>
        <w:t>, e.g.,</w:t>
      </w:r>
      <w:r w:rsidR="00F46A51" w:rsidRPr="00CD0D03">
        <w:rPr>
          <w:rFonts w:cs="Times New Roman"/>
          <w:sz w:val="24"/>
          <w:szCs w:val="24"/>
          <w:lang w:val="en-US"/>
        </w:rPr>
        <w:t xml:space="preserve"> f</w:t>
      </w:r>
      <w:r w:rsidR="00147901" w:rsidRPr="00CD0D03">
        <w:rPr>
          <w:rFonts w:cs="Times New Roman"/>
          <w:sz w:val="24"/>
          <w:szCs w:val="24"/>
          <w:lang w:val="en-US"/>
        </w:rPr>
        <w:t xml:space="preserve">ormal </w:t>
      </w:r>
      <w:r w:rsidR="00F46A51" w:rsidRPr="00CD0D03">
        <w:rPr>
          <w:rFonts w:cs="Times New Roman"/>
          <w:sz w:val="24"/>
          <w:szCs w:val="24"/>
          <w:lang w:val="en-US"/>
        </w:rPr>
        <w:lastRenderedPageBreak/>
        <w:t xml:space="preserve">study </w:t>
      </w:r>
      <w:r w:rsidR="00147901" w:rsidRPr="00CD0D03">
        <w:rPr>
          <w:rFonts w:cs="Times New Roman"/>
          <w:sz w:val="24"/>
          <w:szCs w:val="24"/>
          <w:lang w:val="en-US"/>
        </w:rPr>
        <w:t>design</w:t>
      </w:r>
      <w:r w:rsidR="00F46A51" w:rsidRPr="00CD0D03">
        <w:rPr>
          <w:rFonts w:cs="Times New Roman"/>
          <w:sz w:val="24"/>
          <w:szCs w:val="24"/>
          <w:lang w:val="en-US"/>
        </w:rPr>
        <w:t>s</w:t>
      </w:r>
      <w:r w:rsidR="00D20F84" w:rsidRPr="00CD0D03">
        <w:rPr>
          <w:rFonts w:cs="Times New Roman"/>
          <w:sz w:val="24"/>
          <w:szCs w:val="24"/>
          <w:lang w:val="en-US"/>
        </w:rPr>
        <w:t xml:space="preserve"> </w:t>
      </w:r>
      <w:r w:rsidR="004C69AE" w:rsidRPr="00CD0D03">
        <w:rPr>
          <w:rFonts w:cs="Times New Roman"/>
          <w:sz w:val="24"/>
          <w:szCs w:val="24"/>
          <w:lang w:val="en-US"/>
        </w:rPr>
        <w:t>comparing</w:t>
      </w:r>
      <w:r w:rsidR="00147901" w:rsidRPr="00CD0D03">
        <w:rPr>
          <w:rFonts w:cs="Times New Roman"/>
          <w:sz w:val="24"/>
          <w:szCs w:val="24"/>
          <w:lang w:val="en-US"/>
        </w:rPr>
        <w:t xml:space="preserve"> </w:t>
      </w:r>
      <w:r w:rsidR="004C69AE" w:rsidRPr="00CD0D03">
        <w:rPr>
          <w:sz w:val="24"/>
          <w:szCs w:val="24"/>
          <w:lang w:val="en-US"/>
        </w:rPr>
        <w:t xml:space="preserve">methylation levels of cancerous and non-cancerous tissue in the same people or specific methylation signatures </w:t>
      </w:r>
      <w:r w:rsidR="002F6608">
        <w:rPr>
          <w:sz w:val="24"/>
          <w:szCs w:val="24"/>
          <w:lang w:val="en-US"/>
        </w:rPr>
        <w:t xml:space="preserve">of </w:t>
      </w:r>
      <w:r w:rsidR="004C69AE" w:rsidRPr="00CD0D03">
        <w:rPr>
          <w:sz w:val="24"/>
          <w:szCs w:val="24"/>
          <w:lang w:val="en-US"/>
        </w:rPr>
        <w:t>white blood c</w:t>
      </w:r>
      <w:r w:rsidR="003F2AB9" w:rsidRPr="00CD0D03">
        <w:rPr>
          <w:sz w:val="24"/>
          <w:szCs w:val="24"/>
          <w:lang w:val="en-US"/>
        </w:rPr>
        <w:t xml:space="preserve">ells </w:t>
      </w:r>
      <w:r w:rsidR="00F46A51" w:rsidRPr="00CD0D03">
        <w:rPr>
          <w:rFonts w:cs="Times New Roman"/>
          <w:sz w:val="24"/>
          <w:szCs w:val="24"/>
          <w:lang w:val="en-US"/>
        </w:rPr>
        <w:t>with</w:t>
      </w:r>
      <w:r w:rsidR="00147901" w:rsidRPr="00CD0D03">
        <w:rPr>
          <w:rFonts w:cs="Times New Roman"/>
          <w:sz w:val="24"/>
          <w:szCs w:val="24"/>
          <w:lang w:val="en-US"/>
        </w:rPr>
        <w:t>in case control stud</w:t>
      </w:r>
      <w:r w:rsidR="00F46A51" w:rsidRPr="00CD0D03">
        <w:rPr>
          <w:rFonts w:cs="Times New Roman"/>
          <w:sz w:val="24"/>
          <w:szCs w:val="24"/>
          <w:lang w:val="en-US"/>
        </w:rPr>
        <w:t>ies</w:t>
      </w:r>
      <w:r w:rsidR="009F5B42" w:rsidRPr="00CD0D03">
        <w:rPr>
          <w:rFonts w:cs="Times New Roman"/>
          <w:sz w:val="24"/>
          <w:szCs w:val="24"/>
          <w:lang w:val="en-US"/>
        </w:rPr>
        <w:t>.</w:t>
      </w:r>
    </w:p>
    <w:p w14:paraId="36B3CC32" w14:textId="77777777" w:rsidR="001731CC" w:rsidRPr="00CA5690" w:rsidRDefault="00AA2B46" w:rsidP="00A83B7C">
      <w:pPr>
        <w:spacing w:line="480" w:lineRule="auto"/>
        <w:rPr>
          <w:rFonts w:cs="Times New Roman"/>
          <w:sz w:val="24"/>
          <w:szCs w:val="24"/>
          <w:lang w:val="en-US"/>
        </w:rPr>
      </w:pPr>
      <w:r w:rsidRPr="00CD0D03">
        <w:rPr>
          <w:rFonts w:cs="Times New Roman"/>
          <w:b/>
          <w:sz w:val="24"/>
          <w:szCs w:val="24"/>
          <w:lang w:val="en-US"/>
        </w:rPr>
        <w:t>Phase</w:t>
      </w:r>
      <w:r w:rsidR="00147901" w:rsidRPr="00CD0D03">
        <w:rPr>
          <w:rFonts w:cs="Times New Roman"/>
          <w:b/>
          <w:sz w:val="24"/>
          <w:szCs w:val="24"/>
          <w:lang w:val="en-US"/>
        </w:rPr>
        <w:t xml:space="preserve"> 3</w:t>
      </w:r>
      <w:r w:rsidR="00EA1A91">
        <w:rPr>
          <w:rFonts w:cs="Times New Roman"/>
          <w:sz w:val="24"/>
          <w:szCs w:val="24"/>
          <w:lang w:val="en-US"/>
        </w:rPr>
        <w:t>:</w:t>
      </w:r>
      <w:r w:rsidR="00EF14F8">
        <w:rPr>
          <w:rFonts w:cs="Times New Roman"/>
          <w:sz w:val="24"/>
          <w:szCs w:val="24"/>
          <w:lang w:val="en-US"/>
        </w:rPr>
        <w:t xml:space="preserve"> </w:t>
      </w:r>
      <w:r w:rsidR="00EA1A91" w:rsidRPr="00CD0D03">
        <w:rPr>
          <w:rFonts w:cs="Times New Roman"/>
          <w:sz w:val="24"/>
          <w:szCs w:val="24"/>
          <w:lang w:val="en-US"/>
        </w:rPr>
        <w:t>“Retrospective Longitudinal Repository Studies” provide evidence regarding the capacity of the biomarker to detect preclinical disease, by analyzing preclinical samples</w:t>
      </w:r>
      <w:r w:rsidR="004503D1">
        <w:rPr>
          <w:rFonts w:cs="Times New Roman"/>
          <w:sz w:val="24"/>
          <w:szCs w:val="24"/>
          <w:lang w:val="en-US"/>
        </w:rPr>
        <w:t xml:space="preserve">, e.g. through </w:t>
      </w:r>
      <w:r w:rsidR="00F46A51" w:rsidRPr="00CD0D03">
        <w:rPr>
          <w:rFonts w:cs="Times New Roman"/>
          <w:sz w:val="24"/>
          <w:szCs w:val="24"/>
          <w:lang w:val="en-US"/>
        </w:rPr>
        <w:t>n</w:t>
      </w:r>
      <w:r w:rsidR="00147901" w:rsidRPr="00CD0D03">
        <w:rPr>
          <w:rFonts w:cs="Times New Roman"/>
          <w:sz w:val="24"/>
          <w:szCs w:val="24"/>
          <w:lang w:val="en-US"/>
        </w:rPr>
        <w:t>ested case-control stud</w:t>
      </w:r>
      <w:r w:rsidR="00F46A51" w:rsidRPr="00CD0D03">
        <w:rPr>
          <w:rFonts w:cs="Times New Roman"/>
          <w:sz w:val="24"/>
          <w:szCs w:val="24"/>
          <w:lang w:val="en-US"/>
        </w:rPr>
        <w:t>ies</w:t>
      </w:r>
      <w:r w:rsidR="00147901" w:rsidRPr="00CD0D03">
        <w:rPr>
          <w:rFonts w:cs="Times New Roman"/>
          <w:sz w:val="24"/>
          <w:szCs w:val="24"/>
          <w:lang w:val="en-US"/>
        </w:rPr>
        <w:t xml:space="preserve"> in cohort</w:t>
      </w:r>
      <w:r w:rsidR="00F46A51" w:rsidRPr="00CD0D03">
        <w:rPr>
          <w:rFonts w:cs="Times New Roman"/>
          <w:sz w:val="24"/>
          <w:szCs w:val="24"/>
          <w:lang w:val="en-US"/>
        </w:rPr>
        <w:t xml:space="preserve">s </w:t>
      </w:r>
      <w:r w:rsidR="001731CC" w:rsidRPr="00CD0D03">
        <w:rPr>
          <w:rFonts w:cs="Times New Roman"/>
          <w:sz w:val="24"/>
          <w:szCs w:val="24"/>
          <w:lang w:val="en-US"/>
        </w:rPr>
        <w:t>(</w:t>
      </w:r>
      <w:r w:rsidR="00CA5690">
        <w:rPr>
          <w:rFonts w:cs="Times New Roman"/>
          <w:sz w:val="24"/>
          <w:szCs w:val="24"/>
          <w:lang w:val="en-US"/>
        </w:rPr>
        <w:t>as</w:t>
      </w:r>
      <w:r w:rsidR="004F7C0A" w:rsidRPr="00CD0D03">
        <w:rPr>
          <w:rFonts w:cs="Times New Roman"/>
          <w:sz w:val="24"/>
          <w:szCs w:val="24"/>
          <w:lang w:val="en-US"/>
        </w:rPr>
        <w:t xml:space="preserve"> </w:t>
      </w:r>
      <w:r w:rsidR="004503D1">
        <w:rPr>
          <w:rFonts w:cs="Times New Roman"/>
          <w:sz w:val="24"/>
          <w:szCs w:val="24"/>
          <w:lang w:val="en-US"/>
        </w:rPr>
        <w:t xml:space="preserve">a </w:t>
      </w:r>
      <w:r w:rsidR="00CA5690">
        <w:rPr>
          <w:rFonts w:cs="Times New Roman"/>
          <w:sz w:val="24"/>
          <w:szCs w:val="24"/>
          <w:lang w:val="en-US"/>
        </w:rPr>
        <w:t>recent example on breast cancer:</w:t>
      </w:r>
      <w:r w:rsidR="004503D1">
        <w:rPr>
          <w:rFonts w:cs="Times New Roman"/>
          <w:sz w:val="24"/>
          <w:szCs w:val="24"/>
          <w:lang w:val="en-US"/>
        </w:rPr>
        <w:t xml:space="preserve"> </w:t>
      </w:r>
      <w:r w:rsidR="001731CC" w:rsidRPr="00CD0D03">
        <w:rPr>
          <w:rFonts w:cs="Times New Roman"/>
          <w:sz w:val="24"/>
          <w:szCs w:val="24"/>
          <w:lang w:val="en-US"/>
        </w:rPr>
        <w:t xml:space="preserve">van Veldhoven </w:t>
      </w:r>
      <w:r w:rsidR="00965902" w:rsidRPr="00CD0D03">
        <w:rPr>
          <w:rFonts w:cs="Times New Roman"/>
          <w:i/>
          <w:sz w:val="24"/>
          <w:szCs w:val="24"/>
          <w:lang w:val="en-US"/>
        </w:rPr>
        <w:t>et al</w:t>
      </w:r>
      <w:r w:rsidR="001731CC" w:rsidRPr="00CD0D03">
        <w:rPr>
          <w:rFonts w:cs="Times New Roman"/>
          <w:sz w:val="24"/>
          <w:szCs w:val="24"/>
          <w:lang w:val="en-US"/>
        </w:rPr>
        <w:t>., 2015)</w:t>
      </w:r>
      <w:r w:rsidR="0026017E" w:rsidRPr="00CD0D03">
        <w:rPr>
          <w:rFonts w:cs="Times New Roman"/>
          <w:sz w:val="24"/>
          <w:szCs w:val="24"/>
          <w:lang w:val="en-US"/>
        </w:rPr>
        <w:t>.</w:t>
      </w:r>
      <w:r w:rsidR="00F42376" w:rsidRPr="00CD0D03">
        <w:rPr>
          <w:rFonts w:cs="Times New Roman"/>
          <w:sz w:val="24"/>
          <w:szCs w:val="24"/>
          <w:lang w:val="en-US"/>
        </w:rPr>
        <w:t xml:space="preserve"> </w:t>
      </w:r>
      <w:r w:rsidR="00F42376" w:rsidRPr="00CD0D03">
        <w:rPr>
          <w:sz w:val="24"/>
          <w:szCs w:val="24"/>
          <w:lang w:val="en-US"/>
        </w:rPr>
        <w:t xml:space="preserve">Samples from cancer patients </w:t>
      </w:r>
      <w:r w:rsidR="004503D1" w:rsidRPr="00CD0D03">
        <w:rPr>
          <w:sz w:val="24"/>
          <w:szCs w:val="24"/>
          <w:lang w:val="en-US"/>
        </w:rPr>
        <w:t xml:space="preserve">collected before disease onset at recruitment </w:t>
      </w:r>
      <w:r w:rsidR="004503D1">
        <w:rPr>
          <w:sz w:val="24"/>
          <w:szCs w:val="24"/>
          <w:lang w:val="en-US"/>
        </w:rPr>
        <w:t>are compared with</w:t>
      </w:r>
      <w:r w:rsidR="004503D1" w:rsidRPr="00CD0D03">
        <w:rPr>
          <w:sz w:val="24"/>
          <w:szCs w:val="24"/>
          <w:lang w:val="en-US"/>
        </w:rPr>
        <w:t xml:space="preserve"> </w:t>
      </w:r>
      <w:r w:rsidR="00F42376" w:rsidRPr="00CD0D03">
        <w:rPr>
          <w:sz w:val="24"/>
          <w:szCs w:val="24"/>
          <w:lang w:val="en-US"/>
        </w:rPr>
        <w:t xml:space="preserve">matched controls in the cohort studies. </w:t>
      </w:r>
      <w:r w:rsidR="004503D1">
        <w:rPr>
          <w:sz w:val="24"/>
          <w:szCs w:val="24"/>
          <w:lang w:val="en-US"/>
        </w:rPr>
        <w:t>T</w:t>
      </w:r>
      <w:r w:rsidR="00F42376" w:rsidRPr="00CD0D03">
        <w:rPr>
          <w:sz w:val="24"/>
          <w:szCs w:val="24"/>
          <w:lang w:val="en-US"/>
        </w:rPr>
        <w:t xml:space="preserve">he methylation levels before disease onset </w:t>
      </w:r>
      <w:r w:rsidR="004503D1">
        <w:rPr>
          <w:sz w:val="24"/>
          <w:szCs w:val="24"/>
          <w:lang w:val="en-US"/>
        </w:rPr>
        <w:t xml:space="preserve">are compared with those of </w:t>
      </w:r>
      <w:r w:rsidR="00F42376" w:rsidRPr="00CD0D03">
        <w:rPr>
          <w:sz w:val="24"/>
          <w:szCs w:val="24"/>
          <w:lang w:val="en-US"/>
        </w:rPr>
        <w:t>people not develop</w:t>
      </w:r>
      <w:r w:rsidR="00BF2021">
        <w:rPr>
          <w:sz w:val="24"/>
          <w:szCs w:val="24"/>
          <w:lang w:val="en-US"/>
        </w:rPr>
        <w:t>ing</w:t>
      </w:r>
      <w:r w:rsidR="00F42376" w:rsidRPr="00CD0D03">
        <w:rPr>
          <w:sz w:val="24"/>
          <w:szCs w:val="24"/>
          <w:lang w:val="en-US"/>
        </w:rPr>
        <w:t xml:space="preserve"> cancer. </w:t>
      </w:r>
    </w:p>
    <w:p w14:paraId="2AAD5B6E" w14:textId="77777777" w:rsidR="00147901" w:rsidRPr="00CD0D03" w:rsidRDefault="00AD0EFA" w:rsidP="00C56A64">
      <w:pPr>
        <w:spacing w:line="480" w:lineRule="auto"/>
        <w:rPr>
          <w:rFonts w:cs="Times New Roman"/>
          <w:sz w:val="24"/>
          <w:szCs w:val="24"/>
          <w:lang w:val="en-US"/>
        </w:rPr>
      </w:pPr>
      <w:r w:rsidRPr="00CD0D03">
        <w:rPr>
          <w:rFonts w:cs="Times New Roman"/>
          <w:b/>
          <w:sz w:val="24"/>
          <w:szCs w:val="24"/>
          <w:lang w:val="en-US"/>
        </w:rPr>
        <w:t>Phase</w:t>
      </w:r>
      <w:r w:rsidR="00147901" w:rsidRPr="00CD0D03">
        <w:rPr>
          <w:rFonts w:cs="Times New Roman"/>
          <w:b/>
          <w:sz w:val="24"/>
          <w:szCs w:val="24"/>
          <w:lang w:val="en-US"/>
        </w:rPr>
        <w:t xml:space="preserve"> 4</w:t>
      </w:r>
      <w:r w:rsidR="00BF2021">
        <w:rPr>
          <w:rFonts w:cs="Times New Roman"/>
          <w:sz w:val="24"/>
          <w:szCs w:val="24"/>
          <w:lang w:val="en-US"/>
        </w:rPr>
        <w:t xml:space="preserve">: </w:t>
      </w:r>
      <w:r w:rsidR="00BF2021" w:rsidRPr="00CD0D03">
        <w:rPr>
          <w:rFonts w:cs="Times New Roman"/>
          <w:sz w:val="24"/>
          <w:szCs w:val="24"/>
          <w:lang w:val="en-US"/>
        </w:rPr>
        <w:t xml:space="preserve">“Prospective Screening Studies” </w:t>
      </w:r>
      <w:r w:rsidR="00BF2021">
        <w:rPr>
          <w:rFonts w:cs="Times New Roman"/>
          <w:sz w:val="24"/>
          <w:szCs w:val="24"/>
          <w:lang w:val="en-US"/>
        </w:rPr>
        <w:t>are</w:t>
      </w:r>
      <w:r w:rsidR="00BF2021" w:rsidRPr="00CD0D03">
        <w:rPr>
          <w:rFonts w:cs="Times New Roman"/>
          <w:sz w:val="24"/>
          <w:szCs w:val="24"/>
          <w:lang w:val="en-US"/>
        </w:rPr>
        <w:t xml:space="preserve"> </w:t>
      </w:r>
      <w:r w:rsidR="00BF2021">
        <w:rPr>
          <w:rFonts w:cs="Times New Roman"/>
          <w:sz w:val="24"/>
          <w:szCs w:val="24"/>
          <w:lang w:val="en-US"/>
        </w:rPr>
        <w:t>performed</w:t>
      </w:r>
      <w:r w:rsidR="00BF2021" w:rsidRPr="00CD0D03">
        <w:rPr>
          <w:rFonts w:cs="Times New Roman"/>
          <w:sz w:val="24"/>
          <w:szCs w:val="24"/>
          <w:lang w:val="en-US"/>
        </w:rPr>
        <w:t xml:space="preserve"> </w:t>
      </w:r>
      <w:r w:rsidR="00BF2021">
        <w:rPr>
          <w:rFonts w:cs="Times New Roman"/>
          <w:sz w:val="24"/>
          <w:szCs w:val="24"/>
          <w:lang w:val="en-US"/>
        </w:rPr>
        <w:t>in</w:t>
      </w:r>
      <w:r w:rsidR="00BF2021" w:rsidRPr="00CD0D03">
        <w:rPr>
          <w:rFonts w:cs="Times New Roman"/>
          <w:sz w:val="24"/>
          <w:szCs w:val="24"/>
          <w:lang w:val="en-US"/>
        </w:rPr>
        <w:t xml:space="preserve"> </w:t>
      </w:r>
      <w:r w:rsidR="00BF2021">
        <w:rPr>
          <w:rFonts w:cs="Times New Roman"/>
          <w:sz w:val="24"/>
          <w:szCs w:val="24"/>
          <w:lang w:val="en-US"/>
        </w:rPr>
        <w:t>clinical or screening settings</w:t>
      </w:r>
      <w:r w:rsidR="00BF2021" w:rsidRPr="00CD0D03">
        <w:rPr>
          <w:rFonts w:cs="Times New Roman"/>
          <w:sz w:val="24"/>
          <w:szCs w:val="24"/>
          <w:lang w:val="en-US"/>
        </w:rPr>
        <w:t xml:space="preserve">, and </w:t>
      </w:r>
      <w:r w:rsidR="00CA5690">
        <w:rPr>
          <w:rFonts w:cs="Times New Roman"/>
          <w:sz w:val="24"/>
          <w:szCs w:val="24"/>
          <w:lang w:val="en-US"/>
        </w:rPr>
        <w:t xml:space="preserve">full </w:t>
      </w:r>
      <w:r w:rsidR="00BF2021" w:rsidRPr="00CD0D03">
        <w:rPr>
          <w:rFonts w:cs="Times New Roman"/>
          <w:sz w:val="24"/>
          <w:szCs w:val="24"/>
          <w:lang w:val="en-US"/>
        </w:rPr>
        <w:t xml:space="preserve">diagnostic procedures are applied </w:t>
      </w:r>
      <w:r w:rsidR="00BF2021">
        <w:rPr>
          <w:rFonts w:cs="Times New Roman"/>
          <w:sz w:val="24"/>
          <w:szCs w:val="24"/>
          <w:lang w:val="en-US"/>
        </w:rPr>
        <w:t>to</w:t>
      </w:r>
      <w:r w:rsidR="00BF2021" w:rsidRPr="00CD0D03">
        <w:rPr>
          <w:rFonts w:cs="Times New Roman"/>
          <w:sz w:val="24"/>
          <w:szCs w:val="24"/>
          <w:lang w:val="en-US"/>
        </w:rPr>
        <w:t xml:space="preserve"> positive</w:t>
      </w:r>
      <w:r w:rsidR="00BF2021">
        <w:rPr>
          <w:rFonts w:cs="Times New Roman"/>
          <w:sz w:val="24"/>
          <w:szCs w:val="24"/>
          <w:lang w:val="en-US"/>
        </w:rPr>
        <w:t xml:space="preserve"> individuals</w:t>
      </w:r>
      <w:r w:rsidR="00BF2021" w:rsidRPr="00CD0D03">
        <w:rPr>
          <w:rFonts w:cs="Times New Roman"/>
          <w:sz w:val="24"/>
          <w:szCs w:val="24"/>
          <w:lang w:val="en-US"/>
        </w:rPr>
        <w:t>.</w:t>
      </w:r>
      <w:r w:rsidR="00147901" w:rsidRPr="00CD0D03">
        <w:rPr>
          <w:rFonts w:cs="Times New Roman"/>
          <w:sz w:val="24"/>
          <w:szCs w:val="24"/>
          <w:lang w:val="en-US"/>
        </w:rPr>
        <w:t xml:space="preserve"> </w:t>
      </w:r>
      <w:r w:rsidR="00BF2021">
        <w:rPr>
          <w:rFonts w:cs="Times New Roman"/>
          <w:sz w:val="24"/>
          <w:szCs w:val="24"/>
          <w:lang w:val="en-US"/>
        </w:rPr>
        <w:t>Prospective nested designs provide d</w:t>
      </w:r>
      <w:r w:rsidRPr="00CD0D03">
        <w:rPr>
          <w:rFonts w:cs="Times New Roman"/>
          <w:sz w:val="24"/>
          <w:szCs w:val="24"/>
          <w:lang w:val="en-US"/>
        </w:rPr>
        <w:t>emonstration of predictive value of</w:t>
      </w:r>
      <w:r w:rsidR="00D20F84" w:rsidRPr="00CD0D03">
        <w:rPr>
          <w:rFonts w:cs="Times New Roman"/>
          <w:sz w:val="24"/>
          <w:szCs w:val="24"/>
          <w:lang w:val="en-US"/>
        </w:rPr>
        <w:t xml:space="preserve"> </w:t>
      </w:r>
      <w:r w:rsidR="002C10DD" w:rsidRPr="00CD0D03">
        <w:rPr>
          <w:rFonts w:cs="Times New Roman"/>
          <w:sz w:val="24"/>
          <w:szCs w:val="24"/>
          <w:lang w:val="en-US"/>
        </w:rPr>
        <w:t>epigenetic changes</w:t>
      </w:r>
      <w:r w:rsidR="00CA5690">
        <w:rPr>
          <w:rFonts w:cs="Times New Roman"/>
          <w:sz w:val="24"/>
          <w:szCs w:val="24"/>
          <w:lang w:val="en-US"/>
        </w:rPr>
        <w:t xml:space="preserve">. </w:t>
      </w:r>
      <w:r w:rsidR="00BF2021">
        <w:rPr>
          <w:rFonts w:cs="Times New Roman"/>
          <w:sz w:val="24"/>
          <w:szCs w:val="24"/>
          <w:lang w:val="en-US"/>
        </w:rPr>
        <w:t>For example, in</w:t>
      </w:r>
      <w:r w:rsidR="00B82C37" w:rsidRPr="00CD0D03">
        <w:rPr>
          <w:rFonts w:cs="Times New Roman"/>
          <w:sz w:val="24"/>
          <w:szCs w:val="24"/>
          <w:lang w:val="en-US"/>
        </w:rPr>
        <w:t xml:space="preserve"> lung cancer the same CpGs found to be associated with smoking (notably AHRR) </w:t>
      </w:r>
      <w:r w:rsidR="00BF2021">
        <w:rPr>
          <w:rFonts w:cs="Times New Roman"/>
          <w:sz w:val="24"/>
          <w:szCs w:val="24"/>
          <w:lang w:val="en-US"/>
        </w:rPr>
        <w:t>are</w:t>
      </w:r>
      <w:r w:rsidR="00BF2021" w:rsidRPr="00CD0D03">
        <w:rPr>
          <w:rFonts w:cs="Times New Roman"/>
          <w:sz w:val="24"/>
          <w:szCs w:val="24"/>
          <w:lang w:val="en-US"/>
        </w:rPr>
        <w:t xml:space="preserve"> </w:t>
      </w:r>
      <w:r w:rsidR="00B82C37" w:rsidRPr="00CD0D03">
        <w:rPr>
          <w:rFonts w:cs="Times New Roman"/>
          <w:sz w:val="24"/>
          <w:szCs w:val="24"/>
          <w:lang w:val="en-US"/>
        </w:rPr>
        <w:t xml:space="preserve">predictive of lung cancer prospectively, through statistical </w:t>
      </w:r>
      <w:r w:rsidR="00726C80">
        <w:rPr>
          <w:rFonts w:cs="Times New Roman"/>
          <w:sz w:val="24"/>
          <w:szCs w:val="24"/>
          <w:lang w:val="en-US"/>
        </w:rPr>
        <w:t>methylation</w:t>
      </w:r>
      <w:r w:rsidR="00726C80" w:rsidRPr="00CD0D03">
        <w:rPr>
          <w:rFonts w:cs="Times New Roman"/>
          <w:sz w:val="24"/>
          <w:szCs w:val="24"/>
          <w:lang w:val="en-US"/>
        </w:rPr>
        <w:t xml:space="preserve"> </w:t>
      </w:r>
      <w:r w:rsidR="00B82C37" w:rsidRPr="00CD0D03">
        <w:rPr>
          <w:rFonts w:cs="Times New Roman"/>
          <w:sz w:val="24"/>
          <w:szCs w:val="24"/>
          <w:lang w:val="en-US"/>
        </w:rPr>
        <w:t>analysis</w:t>
      </w:r>
      <w:r w:rsidR="001731CC" w:rsidRPr="00CD0D03">
        <w:rPr>
          <w:rFonts w:cs="Times New Roman"/>
          <w:sz w:val="24"/>
          <w:szCs w:val="24"/>
          <w:lang w:val="en-US"/>
        </w:rPr>
        <w:t xml:space="preserve"> (Fasanelli </w:t>
      </w:r>
      <w:r w:rsidR="00965902" w:rsidRPr="00CD0D03">
        <w:rPr>
          <w:rFonts w:cs="Times New Roman"/>
          <w:i/>
          <w:sz w:val="24"/>
          <w:szCs w:val="24"/>
          <w:lang w:val="en-US"/>
        </w:rPr>
        <w:t>et al</w:t>
      </w:r>
      <w:r w:rsidR="001731CC" w:rsidRPr="00CD0D03">
        <w:rPr>
          <w:rFonts w:cs="Times New Roman"/>
          <w:sz w:val="24"/>
          <w:szCs w:val="24"/>
          <w:lang w:val="en-US"/>
        </w:rPr>
        <w:t>, 2015).</w:t>
      </w:r>
      <w:r w:rsidR="00B82C37" w:rsidRPr="00CD0D03">
        <w:rPr>
          <w:rFonts w:cs="Times New Roman"/>
          <w:sz w:val="24"/>
          <w:szCs w:val="24"/>
          <w:lang w:val="en-US"/>
        </w:rPr>
        <w:t xml:space="preserve"> No similar example</w:t>
      </w:r>
      <w:r w:rsidR="00CA5690">
        <w:rPr>
          <w:rFonts w:cs="Times New Roman"/>
          <w:sz w:val="24"/>
          <w:szCs w:val="24"/>
          <w:lang w:val="en-US"/>
        </w:rPr>
        <w:t>s</w:t>
      </w:r>
      <w:r w:rsidR="00B82C37" w:rsidRPr="00CD0D03">
        <w:rPr>
          <w:rFonts w:cs="Times New Roman"/>
          <w:sz w:val="24"/>
          <w:szCs w:val="24"/>
          <w:lang w:val="en-US"/>
        </w:rPr>
        <w:t xml:space="preserve"> </w:t>
      </w:r>
      <w:r w:rsidR="00BF2021">
        <w:rPr>
          <w:rFonts w:cs="Times New Roman"/>
          <w:sz w:val="24"/>
          <w:szCs w:val="24"/>
          <w:lang w:val="en-US"/>
        </w:rPr>
        <w:t>are</w:t>
      </w:r>
      <w:r w:rsidR="00BF2021" w:rsidRPr="00CD0D03">
        <w:rPr>
          <w:rFonts w:cs="Times New Roman"/>
          <w:sz w:val="24"/>
          <w:szCs w:val="24"/>
          <w:lang w:val="en-US"/>
        </w:rPr>
        <w:t xml:space="preserve"> </w:t>
      </w:r>
      <w:r w:rsidR="00B82C37" w:rsidRPr="00CD0D03">
        <w:rPr>
          <w:rFonts w:cs="Times New Roman"/>
          <w:sz w:val="24"/>
          <w:szCs w:val="24"/>
          <w:lang w:val="en-US"/>
        </w:rPr>
        <w:t>available yet for other cancers.</w:t>
      </w:r>
    </w:p>
    <w:p w14:paraId="57994674" w14:textId="77777777" w:rsidR="006901DD" w:rsidRPr="00CD0D03" w:rsidRDefault="00AD0EFA" w:rsidP="00C56A64">
      <w:pPr>
        <w:spacing w:line="480" w:lineRule="auto"/>
        <w:rPr>
          <w:rFonts w:cs="Times New Roman"/>
          <w:sz w:val="24"/>
          <w:szCs w:val="24"/>
          <w:lang w:val="en-US"/>
        </w:rPr>
      </w:pPr>
      <w:r w:rsidRPr="00CD0D03">
        <w:rPr>
          <w:rFonts w:cs="Times New Roman"/>
          <w:b/>
          <w:lang w:val="en-US"/>
        </w:rPr>
        <w:t xml:space="preserve">Phase </w:t>
      </w:r>
      <w:r w:rsidR="00147901" w:rsidRPr="00CD0D03">
        <w:rPr>
          <w:rFonts w:cs="Times New Roman"/>
          <w:b/>
          <w:lang w:val="en-US"/>
        </w:rPr>
        <w:t>5</w:t>
      </w:r>
      <w:r w:rsidR="00CA5690">
        <w:rPr>
          <w:rFonts w:cs="Times New Roman"/>
          <w:lang w:val="en-US"/>
        </w:rPr>
        <w:t>: the</w:t>
      </w:r>
      <w:r w:rsidR="00611DA0" w:rsidRPr="00CD0D03">
        <w:rPr>
          <w:rFonts w:cs="Times New Roman"/>
          <w:sz w:val="24"/>
          <w:szCs w:val="24"/>
          <w:lang w:val="en-US"/>
        </w:rPr>
        <w:t xml:space="preserve"> </w:t>
      </w:r>
      <w:r w:rsidR="00CA5690">
        <w:rPr>
          <w:rFonts w:cs="Times New Roman"/>
          <w:sz w:val="24"/>
          <w:szCs w:val="24"/>
          <w:lang w:val="en-US"/>
        </w:rPr>
        <w:t>“</w:t>
      </w:r>
      <w:r w:rsidR="00032B32" w:rsidRPr="00CD0D03">
        <w:rPr>
          <w:rFonts w:cs="Times New Roman"/>
          <w:sz w:val="24"/>
          <w:szCs w:val="24"/>
          <w:lang w:val="en-US"/>
        </w:rPr>
        <w:t>Cancer</w:t>
      </w:r>
      <w:r w:rsidR="00CA5690">
        <w:rPr>
          <w:rFonts w:cs="Times New Roman"/>
          <w:sz w:val="24"/>
          <w:szCs w:val="24"/>
          <w:lang w:val="en-US"/>
        </w:rPr>
        <w:t>-</w:t>
      </w:r>
      <w:r w:rsidR="00032B32" w:rsidRPr="00CD0D03">
        <w:rPr>
          <w:rFonts w:cs="Times New Roman"/>
          <w:sz w:val="24"/>
          <w:szCs w:val="24"/>
          <w:lang w:val="en-US"/>
        </w:rPr>
        <w:t>Control Studies</w:t>
      </w:r>
      <w:r w:rsidR="00CA5690">
        <w:rPr>
          <w:rFonts w:cs="Times New Roman"/>
          <w:sz w:val="24"/>
          <w:szCs w:val="24"/>
          <w:lang w:val="en-US"/>
        </w:rPr>
        <w:t>”</w:t>
      </w:r>
      <w:r w:rsidR="00032B32" w:rsidRPr="00CD0D03">
        <w:rPr>
          <w:rFonts w:cs="Times New Roman"/>
          <w:sz w:val="24"/>
          <w:szCs w:val="24"/>
          <w:lang w:val="en-US"/>
        </w:rPr>
        <w:t xml:space="preserve"> </w:t>
      </w:r>
      <w:r w:rsidR="00CA5690">
        <w:rPr>
          <w:rFonts w:cs="Times New Roman"/>
          <w:sz w:val="24"/>
          <w:szCs w:val="24"/>
          <w:lang w:val="en-US"/>
        </w:rPr>
        <w:t xml:space="preserve">phase </w:t>
      </w:r>
      <w:r w:rsidR="00032B32" w:rsidRPr="00CD0D03">
        <w:rPr>
          <w:rFonts w:cs="Times New Roman"/>
          <w:sz w:val="24"/>
          <w:szCs w:val="24"/>
          <w:lang w:val="en-US"/>
        </w:rPr>
        <w:t>addresses whether screening reduces the burden of cancer on the population. Overall societal benefit, compliance with (or actual implementation of) the screening program, and cost-effectiveness are assessed within this phase. These phases can be illustrated through the examples of several recent advancements on the development of biomarkers in oncology, e.g. in genomics (inherited gene variants and acquired mutational spectra) and in epigenomics - including DNA methylation and miRNA.</w:t>
      </w:r>
      <w:r w:rsidR="00032B32">
        <w:rPr>
          <w:rFonts w:cs="Times New Roman"/>
          <w:sz w:val="24"/>
          <w:szCs w:val="24"/>
          <w:lang w:val="en-US"/>
        </w:rPr>
        <w:t xml:space="preserve"> The </w:t>
      </w:r>
      <w:r w:rsidR="00017D74">
        <w:rPr>
          <w:rFonts w:cs="Times New Roman"/>
          <w:sz w:val="24"/>
          <w:szCs w:val="24"/>
          <w:lang w:val="en-US"/>
        </w:rPr>
        <w:t>f</w:t>
      </w:r>
      <w:r w:rsidR="00611DA0" w:rsidRPr="00CD0D03">
        <w:rPr>
          <w:rFonts w:cs="Times New Roman"/>
          <w:sz w:val="24"/>
          <w:szCs w:val="24"/>
          <w:lang w:val="en-US"/>
        </w:rPr>
        <w:t xml:space="preserve">inal aim </w:t>
      </w:r>
      <w:r w:rsidR="003B01B5" w:rsidRPr="00CD0D03">
        <w:rPr>
          <w:rFonts w:cs="Times New Roman"/>
          <w:sz w:val="24"/>
          <w:szCs w:val="24"/>
          <w:lang w:val="en-US"/>
        </w:rPr>
        <w:t>is</w:t>
      </w:r>
      <w:r w:rsidR="006901DD" w:rsidRPr="00CD0D03">
        <w:rPr>
          <w:rFonts w:cs="Times New Roman"/>
          <w:sz w:val="24"/>
          <w:szCs w:val="24"/>
          <w:lang w:val="en-US"/>
        </w:rPr>
        <w:t xml:space="preserve"> </w:t>
      </w:r>
      <w:r w:rsidR="00147901" w:rsidRPr="00CD0D03">
        <w:rPr>
          <w:rFonts w:cs="Times New Roman"/>
          <w:sz w:val="24"/>
          <w:szCs w:val="24"/>
          <w:lang w:val="en-US"/>
        </w:rPr>
        <w:t xml:space="preserve">to apply </w:t>
      </w:r>
      <w:r w:rsidR="002C10DD" w:rsidRPr="00CD0D03">
        <w:rPr>
          <w:rFonts w:cs="Times New Roman"/>
          <w:sz w:val="24"/>
          <w:szCs w:val="24"/>
          <w:lang w:val="en-US"/>
        </w:rPr>
        <w:t xml:space="preserve">the new markers, including </w:t>
      </w:r>
      <w:r w:rsidR="00CA3A4C" w:rsidRPr="00CD0D03">
        <w:rPr>
          <w:rFonts w:cs="Times New Roman"/>
          <w:sz w:val="24"/>
          <w:szCs w:val="24"/>
          <w:lang w:val="en-US"/>
        </w:rPr>
        <w:t>epigenetic approaches</w:t>
      </w:r>
      <w:r w:rsidR="002C10DD" w:rsidRPr="00CD0D03">
        <w:rPr>
          <w:rFonts w:cs="Times New Roman"/>
          <w:sz w:val="24"/>
          <w:szCs w:val="24"/>
          <w:lang w:val="en-US"/>
        </w:rPr>
        <w:t>,</w:t>
      </w:r>
      <w:r w:rsidR="002733DB" w:rsidRPr="00CD0D03">
        <w:rPr>
          <w:rFonts w:cs="Times New Roman"/>
          <w:sz w:val="24"/>
          <w:szCs w:val="24"/>
          <w:lang w:val="en-US"/>
        </w:rPr>
        <w:t xml:space="preserve"> </w:t>
      </w:r>
      <w:r w:rsidR="00147901" w:rsidRPr="00CD0D03">
        <w:rPr>
          <w:rFonts w:cs="Times New Roman"/>
          <w:sz w:val="24"/>
          <w:szCs w:val="24"/>
          <w:lang w:val="en-US"/>
        </w:rPr>
        <w:t>to complement</w:t>
      </w:r>
      <w:r w:rsidR="002C10DD" w:rsidRPr="00CD0D03">
        <w:rPr>
          <w:rFonts w:cs="Times New Roman"/>
          <w:sz w:val="24"/>
          <w:szCs w:val="24"/>
          <w:lang w:val="en-US"/>
        </w:rPr>
        <w:t xml:space="preserve"> early detection </w:t>
      </w:r>
      <w:r w:rsidR="00963D43">
        <w:rPr>
          <w:rFonts w:cs="Times New Roman"/>
          <w:sz w:val="24"/>
          <w:szCs w:val="24"/>
          <w:lang w:val="en-US"/>
        </w:rPr>
        <w:t>(</w:t>
      </w:r>
      <w:r w:rsidR="00032B32">
        <w:rPr>
          <w:rFonts w:cs="Times New Roman"/>
          <w:sz w:val="24"/>
          <w:szCs w:val="24"/>
          <w:lang w:val="en-US"/>
        </w:rPr>
        <w:t>e.g., CT scans for lung cancer</w:t>
      </w:r>
      <w:r w:rsidR="00963D43">
        <w:rPr>
          <w:rFonts w:cs="Times New Roman"/>
          <w:sz w:val="24"/>
          <w:szCs w:val="24"/>
          <w:lang w:val="en-US"/>
        </w:rPr>
        <w:t xml:space="preserve"> </w:t>
      </w:r>
      <w:r w:rsidR="00963D43" w:rsidRPr="00CD0D03">
        <w:rPr>
          <w:rFonts w:cs="Times New Roman"/>
          <w:sz w:val="24"/>
          <w:szCs w:val="24"/>
          <w:lang w:val="en-US"/>
        </w:rPr>
        <w:t xml:space="preserve">Boeri </w:t>
      </w:r>
      <w:r w:rsidR="00963D43" w:rsidRPr="00CD0D03">
        <w:rPr>
          <w:rFonts w:cs="Times New Roman"/>
          <w:i/>
          <w:sz w:val="24"/>
          <w:szCs w:val="24"/>
          <w:lang w:val="en-US"/>
        </w:rPr>
        <w:t>et al</w:t>
      </w:r>
      <w:r w:rsidR="00963D43" w:rsidRPr="00CD0D03">
        <w:rPr>
          <w:rFonts w:cs="Times New Roman"/>
          <w:sz w:val="24"/>
          <w:szCs w:val="24"/>
          <w:lang w:val="en-US"/>
        </w:rPr>
        <w:t>., 2011; Sozzi et al, 2014</w:t>
      </w:r>
      <w:r w:rsidR="00B7095A">
        <w:rPr>
          <w:rFonts w:cs="Times New Roman"/>
          <w:sz w:val="24"/>
          <w:szCs w:val="24"/>
          <w:lang w:val="en-US"/>
        </w:rPr>
        <w:t xml:space="preserve">, or </w:t>
      </w:r>
      <w:r w:rsidR="00701980" w:rsidRPr="00CD0D03">
        <w:rPr>
          <w:rFonts w:cs="Times New Roman"/>
          <w:sz w:val="24"/>
          <w:szCs w:val="24"/>
          <w:lang w:val="en-US"/>
        </w:rPr>
        <w:t>on</w:t>
      </w:r>
      <w:r w:rsidR="00522701" w:rsidRPr="00CD0D03">
        <w:rPr>
          <w:rFonts w:cs="Times New Roman"/>
          <w:sz w:val="24"/>
          <w:szCs w:val="24"/>
          <w:lang w:val="en-US"/>
        </w:rPr>
        <w:t xml:space="preserve">going </w:t>
      </w:r>
      <w:r w:rsidR="00701980" w:rsidRPr="00CD0D03">
        <w:rPr>
          <w:rFonts w:cs="Times New Roman"/>
          <w:sz w:val="24"/>
          <w:szCs w:val="24"/>
          <w:lang w:val="en-US"/>
        </w:rPr>
        <w:t>trials involving miRNA</w:t>
      </w:r>
      <w:r w:rsidR="002C10DD" w:rsidRPr="00CD0D03">
        <w:rPr>
          <w:rFonts w:cs="Times New Roman"/>
          <w:sz w:val="24"/>
          <w:szCs w:val="24"/>
          <w:lang w:val="en-US"/>
        </w:rPr>
        <w:t xml:space="preserve"> markers</w:t>
      </w:r>
      <w:r w:rsidR="00963D43">
        <w:rPr>
          <w:rFonts w:cs="Times New Roman"/>
          <w:sz w:val="24"/>
          <w:szCs w:val="24"/>
          <w:lang w:val="en-US"/>
        </w:rPr>
        <w:t>, and</w:t>
      </w:r>
      <w:r w:rsidR="00A04BE3" w:rsidRPr="00CD0D03">
        <w:rPr>
          <w:rFonts w:cs="Times New Roman"/>
          <w:sz w:val="24"/>
          <w:szCs w:val="24"/>
          <w:lang w:val="en-US"/>
        </w:rPr>
        <w:t xml:space="preserve"> </w:t>
      </w:r>
      <w:r w:rsidR="00017D74" w:rsidRPr="00CD0D03">
        <w:rPr>
          <w:rFonts w:cs="Times New Roman"/>
          <w:sz w:val="24"/>
          <w:szCs w:val="24"/>
          <w:lang w:val="en-US"/>
        </w:rPr>
        <w:t xml:space="preserve">driver mutations </w:t>
      </w:r>
      <w:r w:rsidR="00017D74">
        <w:rPr>
          <w:rFonts w:cs="Times New Roman"/>
          <w:sz w:val="24"/>
          <w:szCs w:val="24"/>
          <w:lang w:val="en-US"/>
        </w:rPr>
        <w:t xml:space="preserve">in </w:t>
      </w:r>
      <w:r w:rsidR="00017D74" w:rsidRPr="00CD0D03">
        <w:rPr>
          <w:rFonts w:cs="Times New Roman"/>
          <w:sz w:val="24"/>
          <w:szCs w:val="24"/>
          <w:lang w:val="en-US"/>
        </w:rPr>
        <w:t xml:space="preserve">premalignant lung </w:t>
      </w:r>
      <w:r w:rsidR="00017D74">
        <w:rPr>
          <w:rFonts w:cs="Times New Roman"/>
          <w:sz w:val="24"/>
          <w:szCs w:val="24"/>
          <w:lang w:val="en-US"/>
        </w:rPr>
        <w:t>lesions</w:t>
      </w:r>
      <w:r w:rsidR="00017D74" w:rsidRPr="00CD0D03">
        <w:rPr>
          <w:rFonts w:cs="Times New Roman"/>
          <w:sz w:val="24"/>
          <w:szCs w:val="24"/>
          <w:lang w:val="en-US"/>
        </w:rPr>
        <w:t xml:space="preserve"> </w:t>
      </w:r>
      <w:r w:rsidR="00017D74">
        <w:rPr>
          <w:rFonts w:cs="Times New Roman"/>
          <w:sz w:val="24"/>
          <w:szCs w:val="24"/>
          <w:lang w:val="en-US"/>
        </w:rPr>
        <w:t>(</w:t>
      </w:r>
      <w:r w:rsidR="00963D43" w:rsidRPr="00CD0D03">
        <w:rPr>
          <w:rFonts w:cs="Times New Roman"/>
          <w:sz w:val="24"/>
          <w:szCs w:val="24"/>
          <w:lang w:val="en-US"/>
        </w:rPr>
        <w:t>Izumchenko et al, 2015</w:t>
      </w:r>
      <w:r w:rsidR="005732A5">
        <w:rPr>
          <w:rFonts w:cs="Times New Roman"/>
          <w:sz w:val="24"/>
          <w:szCs w:val="24"/>
          <w:lang w:val="en-US"/>
        </w:rPr>
        <w:t>).</w:t>
      </w:r>
      <w:r w:rsidR="00017D74">
        <w:rPr>
          <w:rFonts w:cs="Times New Roman"/>
          <w:sz w:val="24"/>
          <w:szCs w:val="24"/>
          <w:lang w:val="en-US"/>
        </w:rPr>
        <w:t xml:space="preserve"> </w:t>
      </w:r>
      <w:r w:rsidR="006901DD" w:rsidRPr="00CD0D03">
        <w:rPr>
          <w:rFonts w:cs="Times New Roman"/>
          <w:sz w:val="24"/>
          <w:szCs w:val="24"/>
          <w:lang w:val="en-US"/>
        </w:rPr>
        <w:t xml:space="preserve">Ideally, these data will inform a diagnostic algorithm including </w:t>
      </w:r>
      <w:r w:rsidR="006901DD" w:rsidRPr="00CD0D03">
        <w:rPr>
          <w:rFonts w:cs="Times New Roman"/>
          <w:sz w:val="24"/>
          <w:szCs w:val="24"/>
          <w:lang w:val="en-US"/>
        </w:rPr>
        <w:lastRenderedPageBreak/>
        <w:t>current system for detecting cancer and can be used to predict cancer onset with potentially a greater sensitivity compared to current imaging methods.</w:t>
      </w:r>
    </w:p>
    <w:p w14:paraId="2E30B286" w14:textId="77777777" w:rsidR="00147901" w:rsidRPr="00CD0D03" w:rsidRDefault="00480CB1" w:rsidP="00A83B7C">
      <w:pPr>
        <w:spacing w:line="480" w:lineRule="auto"/>
        <w:rPr>
          <w:sz w:val="24"/>
          <w:szCs w:val="24"/>
          <w:lang w:val="en-US"/>
        </w:rPr>
      </w:pPr>
      <w:r w:rsidRPr="00CD0D03">
        <w:rPr>
          <w:sz w:val="24"/>
          <w:szCs w:val="24"/>
          <w:lang w:val="en-US"/>
        </w:rPr>
        <w:t>Note that phase 1 and 2 encompass analytica</w:t>
      </w:r>
      <w:r w:rsidR="000B2A3D" w:rsidRPr="00CD0D03">
        <w:rPr>
          <w:sz w:val="24"/>
          <w:szCs w:val="24"/>
          <w:lang w:val="en-US"/>
        </w:rPr>
        <w:t>l</w:t>
      </w:r>
      <w:r w:rsidRPr="00CD0D03">
        <w:rPr>
          <w:sz w:val="24"/>
          <w:szCs w:val="24"/>
          <w:lang w:val="en-US"/>
        </w:rPr>
        <w:t xml:space="preserve"> validity, phase 3 </w:t>
      </w:r>
      <w:r w:rsidR="000B2A3D" w:rsidRPr="00CD0D03">
        <w:rPr>
          <w:sz w:val="24"/>
          <w:szCs w:val="24"/>
          <w:lang w:val="en-US"/>
        </w:rPr>
        <w:t>and 4</w:t>
      </w:r>
      <w:r w:rsidRPr="00CD0D03">
        <w:rPr>
          <w:sz w:val="24"/>
          <w:szCs w:val="24"/>
          <w:lang w:val="en-US"/>
        </w:rPr>
        <w:t xml:space="preserve"> clinical validity, and phase 5 </w:t>
      </w:r>
      <w:r w:rsidR="00017D74">
        <w:rPr>
          <w:sz w:val="24"/>
          <w:szCs w:val="24"/>
          <w:lang w:val="en-US"/>
        </w:rPr>
        <w:t>includes</w:t>
      </w:r>
      <w:r w:rsidR="00B7095A">
        <w:rPr>
          <w:sz w:val="24"/>
          <w:szCs w:val="24"/>
          <w:lang w:val="en-US"/>
        </w:rPr>
        <w:t xml:space="preserve"> studies assessi</w:t>
      </w:r>
      <w:r w:rsidR="00EE2107">
        <w:rPr>
          <w:sz w:val="24"/>
          <w:szCs w:val="24"/>
          <w:lang w:val="en-US"/>
        </w:rPr>
        <w:t>n</w:t>
      </w:r>
      <w:r w:rsidR="00B7095A">
        <w:rPr>
          <w:sz w:val="24"/>
          <w:szCs w:val="24"/>
          <w:lang w:val="en-US"/>
        </w:rPr>
        <w:t>g</w:t>
      </w:r>
      <w:r w:rsidR="00B7095A" w:rsidRPr="00CD0D03">
        <w:rPr>
          <w:sz w:val="24"/>
          <w:szCs w:val="24"/>
          <w:lang w:val="en-US"/>
        </w:rPr>
        <w:t xml:space="preserve"> </w:t>
      </w:r>
      <w:r w:rsidRPr="00CD0D03">
        <w:rPr>
          <w:sz w:val="24"/>
          <w:szCs w:val="24"/>
          <w:lang w:val="en-US"/>
        </w:rPr>
        <w:t>clinical utility.</w:t>
      </w:r>
      <w:r w:rsidR="001D4A4B">
        <w:rPr>
          <w:sz w:val="24"/>
          <w:szCs w:val="24"/>
          <w:lang w:val="en-US"/>
        </w:rPr>
        <w:t xml:space="preserve"> </w:t>
      </w:r>
    </w:p>
    <w:p w14:paraId="1D3D851D" w14:textId="77777777" w:rsidR="00AB1FA9" w:rsidRPr="00CD0D03" w:rsidRDefault="00AB1FA9" w:rsidP="00A83B7C">
      <w:pPr>
        <w:spacing w:line="480" w:lineRule="auto"/>
        <w:rPr>
          <w:i/>
          <w:sz w:val="24"/>
          <w:szCs w:val="24"/>
          <w:lang w:val="en-US"/>
        </w:rPr>
      </w:pPr>
      <w:r w:rsidRPr="00CD0D03">
        <w:rPr>
          <w:i/>
          <w:sz w:val="24"/>
          <w:szCs w:val="24"/>
          <w:lang w:val="en-US"/>
        </w:rPr>
        <w:t>2.3.1 Impact of this framework on the oncology field</w:t>
      </w:r>
      <w:r w:rsidR="004A3C8D" w:rsidRPr="00CD0D03">
        <w:rPr>
          <w:i/>
          <w:sz w:val="24"/>
          <w:szCs w:val="24"/>
          <w:lang w:val="en-US"/>
        </w:rPr>
        <w:t xml:space="preserve"> </w:t>
      </w:r>
    </w:p>
    <w:p w14:paraId="5C28797B" w14:textId="77777777" w:rsidR="00480CB1" w:rsidRPr="00CD0D03" w:rsidRDefault="00480CB1" w:rsidP="00A83B7C">
      <w:pPr>
        <w:spacing w:line="480" w:lineRule="auto"/>
        <w:rPr>
          <w:sz w:val="24"/>
          <w:szCs w:val="24"/>
          <w:lang w:val="en-US"/>
        </w:rPr>
      </w:pPr>
      <w:r w:rsidRPr="00CD0D03">
        <w:rPr>
          <w:sz w:val="24"/>
          <w:szCs w:val="24"/>
          <w:lang w:val="en-US"/>
        </w:rPr>
        <w:t xml:space="preserve">The major impact of the use of this common framework in the field of oncology has been the stimulation of a concerted set of actions and research activities that has favored a harmonized, goal-oriented research agenda. A number of screening tools have been developed, validated and tested, some of which </w:t>
      </w:r>
      <w:r w:rsidR="00386B1B" w:rsidRPr="00CD0D03">
        <w:rPr>
          <w:sz w:val="24"/>
          <w:szCs w:val="24"/>
          <w:lang w:val="en-US"/>
        </w:rPr>
        <w:t xml:space="preserve">are currently in use to assist </w:t>
      </w:r>
      <w:r w:rsidRPr="00CD0D03">
        <w:rPr>
          <w:sz w:val="24"/>
          <w:szCs w:val="24"/>
          <w:lang w:val="en-US"/>
        </w:rPr>
        <w:t>in the early detection of cancers in the general or in at-risk populations. The framework has also clarified the reciprocal importance of the five phases and the need to clearly separate the existing evidence for analytical validity from that of clinical validity. Hence, the framework reduce</w:t>
      </w:r>
      <w:r w:rsidR="00DE38BA">
        <w:rPr>
          <w:sz w:val="24"/>
          <w:szCs w:val="24"/>
          <w:lang w:val="en-US"/>
        </w:rPr>
        <w:t>d</w:t>
      </w:r>
      <w:r w:rsidRPr="00CD0D03">
        <w:rPr>
          <w:sz w:val="24"/>
          <w:szCs w:val="24"/>
          <w:lang w:val="en-US"/>
        </w:rPr>
        <w:t xml:space="preserve"> duplicated e</w:t>
      </w:r>
      <w:r w:rsidR="0046098A" w:rsidRPr="00CD0D03">
        <w:rPr>
          <w:sz w:val="24"/>
          <w:szCs w:val="24"/>
          <w:lang w:val="en-US"/>
        </w:rPr>
        <w:t xml:space="preserve">fforts </w:t>
      </w:r>
      <w:r w:rsidR="00DE38BA">
        <w:rPr>
          <w:sz w:val="24"/>
          <w:szCs w:val="24"/>
          <w:lang w:val="en-US"/>
        </w:rPr>
        <w:t>and</w:t>
      </w:r>
      <w:r w:rsidR="0046098A" w:rsidRPr="00CD0D03">
        <w:rPr>
          <w:sz w:val="24"/>
          <w:szCs w:val="24"/>
          <w:lang w:val="en-US"/>
        </w:rPr>
        <w:t xml:space="preserve"> </w:t>
      </w:r>
      <w:r w:rsidR="00DE38BA">
        <w:rPr>
          <w:sz w:val="24"/>
          <w:szCs w:val="24"/>
          <w:lang w:val="en-US"/>
        </w:rPr>
        <w:t xml:space="preserve">allowed to use systematically </w:t>
      </w:r>
      <w:r w:rsidRPr="00CD0D03">
        <w:rPr>
          <w:sz w:val="24"/>
          <w:szCs w:val="24"/>
          <w:lang w:val="en-US"/>
        </w:rPr>
        <w:t xml:space="preserve">the large body of empirical evidence already available at the time to </w:t>
      </w:r>
      <w:r w:rsidR="00DE38BA" w:rsidRPr="00CD0D03">
        <w:rPr>
          <w:sz w:val="24"/>
          <w:szCs w:val="24"/>
          <w:lang w:val="en-US"/>
        </w:rPr>
        <w:t xml:space="preserve">design studies </w:t>
      </w:r>
      <w:r w:rsidRPr="00CD0D03">
        <w:rPr>
          <w:sz w:val="24"/>
          <w:szCs w:val="24"/>
          <w:lang w:val="en-US"/>
        </w:rPr>
        <w:t>more rapidly and fill the identified gaps.</w:t>
      </w:r>
    </w:p>
    <w:p w14:paraId="17C95C9F" w14:textId="77777777" w:rsidR="00AB1FA9" w:rsidRPr="00CD0D03" w:rsidRDefault="00AB1FA9" w:rsidP="00A83B7C">
      <w:pPr>
        <w:spacing w:line="480" w:lineRule="auto"/>
        <w:rPr>
          <w:sz w:val="24"/>
          <w:szCs w:val="24"/>
          <w:lang w:val="en-US"/>
        </w:rPr>
      </w:pPr>
    </w:p>
    <w:p w14:paraId="22F2F9AF" w14:textId="77777777" w:rsidR="00C90F05" w:rsidRPr="00CD0D03" w:rsidRDefault="00AB1FA9" w:rsidP="00A83B7C">
      <w:pPr>
        <w:spacing w:line="480" w:lineRule="auto"/>
        <w:rPr>
          <w:i/>
          <w:sz w:val="24"/>
          <w:szCs w:val="24"/>
          <w:lang w:val="en-US"/>
        </w:rPr>
      </w:pPr>
      <w:r w:rsidRPr="00CD0D03">
        <w:rPr>
          <w:i/>
          <w:sz w:val="24"/>
          <w:szCs w:val="24"/>
          <w:lang w:val="en-US"/>
        </w:rPr>
        <w:t xml:space="preserve">3. </w:t>
      </w:r>
      <w:r w:rsidR="002D4B7D" w:rsidRPr="00CD0D03">
        <w:rPr>
          <w:i/>
          <w:sz w:val="24"/>
          <w:szCs w:val="24"/>
          <w:lang w:val="en-US"/>
        </w:rPr>
        <w:t xml:space="preserve">A 5-phases methodological framework for AD biomarkers diagnosis in the MCI population. </w:t>
      </w:r>
    </w:p>
    <w:p w14:paraId="5E6171B5" w14:textId="68F9691C" w:rsidR="00EE3744" w:rsidRPr="00CD0D03" w:rsidRDefault="00EE7A82" w:rsidP="00D012B1">
      <w:pPr>
        <w:spacing w:line="480" w:lineRule="auto"/>
        <w:rPr>
          <w:sz w:val="24"/>
          <w:szCs w:val="24"/>
          <w:lang w:val="en-US"/>
        </w:rPr>
      </w:pPr>
      <w:r>
        <w:rPr>
          <w:sz w:val="24"/>
          <w:szCs w:val="24"/>
          <w:lang w:val="en-US"/>
        </w:rPr>
        <w:t>The definition of</w:t>
      </w:r>
      <w:r w:rsidR="00EE3744" w:rsidRPr="00CD0D03">
        <w:rPr>
          <w:sz w:val="24"/>
          <w:szCs w:val="24"/>
          <w:lang w:val="en-US"/>
        </w:rPr>
        <w:t xml:space="preserve"> an analogous framework</w:t>
      </w:r>
      <w:r w:rsidR="006625BD">
        <w:rPr>
          <w:sz w:val="24"/>
          <w:szCs w:val="24"/>
          <w:lang w:val="en-US"/>
        </w:rPr>
        <w:t xml:space="preserve"> in the field of AD </w:t>
      </w:r>
      <w:r w:rsidR="00753887" w:rsidRPr="00CD0D03">
        <w:rPr>
          <w:sz w:val="24"/>
          <w:szCs w:val="24"/>
          <w:lang w:val="en-US"/>
        </w:rPr>
        <w:t>is</w:t>
      </w:r>
      <w:r w:rsidR="006625BD">
        <w:rPr>
          <w:sz w:val="24"/>
          <w:szCs w:val="24"/>
          <w:lang w:val="en-US"/>
        </w:rPr>
        <w:t xml:space="preserve"> thus equally</w:t>
      </w:r>
      <w:r w:rsidR="00753887" w:rsidRPr="00CD0D03">
        <w:rPr>
          <w:sz w:val="24"/>
          <w:szCs w:val="24"/>
          <w:lang w:val="en-US"/>
        </w:rPr>
        <w:t xml:space="preserve"> expected to </w:t>
      </w:r>
      <w:r w:rsidR="0085118D" w:rsidRPr="00CD0D03">
        <w:rPr>
          <w:sz w:val="24"/>
          <w:szCs w:val="24"/>
          <w:lang w:val="en-US"/>
        </w:rPr>
        <w:t>facilitate the</w:t>
      </w:r>
      <w:r w:rsidR="000D608F" w:rsidRPr="00CD0D03">
        <w:rPr>
          <w:sz w:val="24"/>
          <w:szCs w:val="24"/>
          <w:lang w:val="en-US"/>
        </w:rPr>
        <w:t xml:space="preserve"> systematiz</w:t>
      </w:r>
      <w:r w:rsidR="0085118D" w:rsidRPr="00CD0D03">
        <w:rPr>
          <w:sz w:val="24"/>
          <w:szCs w:val="24"/>
          <w:lang w:val="en-US"/>
        </w:rPr>
        <w:t>ation of</w:t>
      </w:r>
      <w:r w:rsidR="000D608F" w:rsidRPr="00CD0D03">
        <w:rPr>
          <w:sz w:val="24"/>
          <w:szCs w:val="24"/>
          <w:lang w:val="en-US"/>
        </w:rPr>
        <w:t xml:space="preserve"> the existing empirical evidence</w:t>
      </w:r>
      <w:r w:rsidR="006625BD">
        <w:rPr>
          <w:sz w:val="24"/>
          <w:szCs w:val="24"/>
          <w:lang w:val="en-US"/>
        </w:rPr>
        <w:t>, facilitating</w:t>
      </w:r>
      <w:r w:rsidR="000D608F" w:rsidRPr="00CD0D03">
        <w:rPr>
          <w:sz w:val="24"/>
          <w:szCs w:val="24"/>
          <w:lang w:val="en-US"/>
        </w:rPr>
        <w:t xml:space="preserve"> the </w:t>
      </w:r>
      <w:r w:rsidR="0085118D" w:rsidRPr="00CD0D03">
        <w:rPr>
          <w:sz w:val="24"/>
          <w:szCs w:val="24"/>
          <w:lang w:val="en-US"/>
        </w:rPr>
        <w:t xml:space="preserve">evaluation </w:t>
      </w:r>
      <w:r w:rsidR="006625BD">
        <w:rPr>
          <w:sz w:val="24"/>
          <w:szCs w:val="24"/>
          <w:lang w:val="en-US"/>
        </w:rPr>
        <w:t xml:space="preserve">of evidence on </w:t>
      </w:r>
      <w:r w:rsidR="000D608F" w:rsidRPr="00CD0D03">
        <w:rPr>
          <w:sz w:val="24"/>
          <w:szCs w:val="24"/>
          <w:lang w:val="en-US"/>
        </w:rPr>
        <w:t xml:space="preserve">the </w:t>
      </w:r>
      <w:r w:rsidR="006625BD">
        <w:rPr>
          <w:sz w:val="24"/>
          <w:szCs w:val="24"/>
          <w:lang w:val="en-US"/>
        </w:rPr>
        <w:t xml:space="preserve">validity of AD biomarkers as implemented </w:t>
      </w:r>
      <w:r w:rsidR="00D012B1">
        <w:rPr>
          <w:sz w:val="24"/>
          <w:szCs w:val="24"/>
          <w:lang w:val="en-US"/>
        </w:rPr>
        <w:t>within the Geneva Biomarker Roadmap Initiative (</w:t>
      </w:r>
      <w:r w:rsidR="00D012B1" w:rsidRPr="00CD0D03">
        <w:rPr>
          <w:sz w:val="24"/>
          <w:szCs w:val="24"/>
          <w:lang w:val="en-US"/>
        </w:rPr>
        <w:t xml:space="preserve">http://centroalzheimer.it/public/MB/BM-Roadmap/The_Geneva_AD_Biomarker_Roadmap_Task_Force.docx </w:t>
      </w:r>
      <w:r w:rsidR="00D012B1">
        <w:rPr>
          <w:sz w:val="24"/>
          <w:szCs w:val="24"/>
          <w:lang w:val="en-US"/>
        </w:rPr>
        <w:t>)</w:t>
      </w:r>
      <w:r w:rsidR="006625BD">
        <w:rPr>
          <w:sz w:val="24"/>
          <w:szCs w:val="24"/>
          <w:lang w:val="en-US"/>
        </w:rPr>
        <w:t xml:space="preserve"> </w:t>
      </w:r>
      <w:r w:rsidR="003F588D" w:rsidRPr="00CD0D03">
        <w:rPr>
          <w:sz w:val="24"/>
          <w:szCs w:val="24"/>
          <w:lang w:val="en-US"/>
        </w:rPr>
        <w:t xml:space="preserve">(Cerami </w:t>
      </w:r>
      <w:r w:rsidR="003F588D" w:rsidRPr="00CD0D03">
        <w:rPr>
          <w:i/>
          <w:sz w:val="24"/>
          <w:szCs w:val="24"/>
          <w:lang w:val="en-US"/>
        </w:rPr>
        <w:t>et al</w:t>
      </w:r>
      <w:r w:rsidR="00434AF2">
        <w:rPr>
          <w:sz w:val="24"/>
          <w:szCs w:val="24"/>
          <w:lang w:val="en-US"/>
        </w:rPr>
        <w:t>.</w:t>
      </w:r>
      <w:r w:rsidR="003F588D" w:rsidRPr="00CD0D03">
        <w:rPr>
          <w:sz w:val="24"/>
          <w:szCs w:val="24"/>
          <w:lang w:val="en-US"/>
        </w:rPr>
        <w:t xml:space="preserve">; Ten Kate et al, </w:t>
      </w:r>
      <w:r w:rsidR="003F588D" w:rsidRPr="00CD0D03">
        <w:rPr>
          <w:i/>
          <w:sz w:val="24"/>
          <w:szCs w:val="24"/>
          <w:lang w:val="en-US"/>
        </w:rPr>
        <w:t>et al</w:t>
      </w:r>
      <w:r w:rsidR="00434AF2">
        <w:rPr>
          <w:sz w:val="24"/>
          <w:szCs w:val="24"/>
          <w:lang w:val="en-US"/>
        </w:rPr>
        <w:t>.</w:t>
      </w:r>
      <w:r w:rsidR="003F588D" w:rsidRPr="00CD0D03">
        <w:rPr>
          <w:sz w:val="24"/>
          <w:szCs w:val="24"/>
          <w:lang w:val="en-US"/>
        </w:rPr>
        <w:t xml:space="preserve">; Sonni </w:t>
      </w:r>
      <w:r w:rsidR="003F588D" w:rsidRPr="00CD0D03">
        <w:rPr>
          <w:i/>
          <w:sz w:val="24"/>
          <w:szCs w:val="24"/>
          <w:lang w:val="en-US"/>
        </w:rPr>
        <w:t>et al</w:t>
      </w:r>
      <w:r w:rsidR="00434AF2">
        <w:rPr>
          <w:sz w:val="24"/>
          <w:szCs w:val="24"/>
          <w:lang w:val="en-US"/>
        </w:rPr>
        <w:t>.</w:t>
      </w:r>
      <w:r w:rsidR="003F588D" w:rsidRPr="00CD0D03">
        <w:rPr>
          <w:sz w:val="24"/>
          <w:szCs w:val="24"/>
          <w:lang w:val="en-US"/>
        </w:rPr>
        <w:t xml:space="preserve">; Garibotto </w:t>
      </w:r>
      <w:r w:rsidR="003F588D" w:rsidRPr="00CD0D03">
        <w:rPr>
          <w:i/>
          <w:sz w:val="24"/>
          <w:szCs w:val="24"/>
          <w:lang w:val="en-US"/>
        </w:rPr>
        <w:t>et al</w:t>
      </w:r>
      <w:r w:rsidR="00434AF2">
        <w:rPr>
          <w:sz w:val="24"/>
          <w:szCs w:val="24"/>
          <w:lang w:val="en-US"/>
        </w:rPr>
        <w:t>.</w:t>
      </w:r>
      <w:r w:rsidR="003F588D" w:rsidRPr="00CD0D03">
        <w:rPr>
          <w:sz w:val="24"/>
          <w:szCs w:val="24"/>
          <w:lang w:val="en-US"/>
        </w:rPr>
        <w:t xml:space="preserve">; Mattsson </w:t>
      </w:r>
      <w:r w:rsidR="003F588D" w:rsidRPr="00CD0D03">
        <w:rPr>
          <w:i/>
          <w:sz w:val="24"/>
          <w:szCs w:val="24"/>
          <w:lang w:val="en-US"/>
        </w:rPr>
        <w:t>et al</w:t>
      </w:r>
      <w:r w:rsidR="00434AF2">
        <w:rPr>
          <w:sz w:val="24"/>
          <w:szCs w:val="24"/>
          <w:lang w:val="en-US"/>
        </w:rPr>
        <w:t>.</w:t>
      </w:r>
      <w:r w:rsidR="003F588D" w:rsidRPr="00CD0D03">
        <w:rPr>
          <w:sz w:val="24"/>
          <w:szCs w:val="24"/>
          <w:lang w:val="en-US"/>
        </w:rPr>
        <w:t xml:space="preserve">; Chiotis </w:t>
      </w:r>
      <w:r w:rsidR="003F588D" w:rsidRPr="00CD0D03">
        <w:rPr>
          <w:i/>
          <w:sz w:val="24"/>
          <w:szCs w:val="24"/>
          <w:lang w:val="en-US"/>
        </w:rPr>
        <w:t>et al</w:t>
      </w:r>
      <w:r w:rsidR="005525F3">
        <w:rPr>
          <w:sz w:val="24"/>
          <w:szCs w:val="24"/>
          <w:lang w:val="en-US"/>
        </w:rPr>
        <w:t>., 2017, in this issue</w:t>
      </w:r>
      <w:r w:rsidR="003F588D" w:rsidRPr="00CD0D03">
        <w:rPr>
          <w:sz w:val="24"/>
          <w:szCs w:val="24"/>
          <w:lang w:val="en-US"/>
        </w:rPr>
        <w:t>)</w:t>
      </w:r>
      <w:r w:rsidR="00476F3F" w:rsidRPr="00CD0D03">
        <w:rPr>
          <w:sz w:val="24"/>
          <w:szCs w:val="24"/>
          <w:lang w:val="en-US"/>
        </w:rPr>
        <w:t>.</w:t>
      </w:r>
      <w:r w:rsidR="00600448">
        <w:rPr>
          <w:sz w:val="24"/>
          <w:szCs w:val="24"/>
          <w:lang w:val="en-US"/>
        </w:rPr>
        <w:t xml:space="preserve"> We </w:t>
      </w:r>
      <w:r w:rsidR="0046765C">
        <w:rPr>
          <w:sz w:val="24"/>
          <w:szCs w:val="24"/>
          <w:lang w:val="en-US"/>
        </w:rPr>
        <w:t>translated</w:t>
      </w:r>
      <w:r w:rsidR="00600448">
        <w:rPr>
          <w:sz w:val="24"/>
          <w:szCs w:val="24"/>
          <w:lang w:val="en-US"/>
        </w:rPr>
        <w:t xml:space="preserve"> the described 5 phases</w:t>
      </w:r>
      <w:r w:rsidR="003201CC">
        <w:rPr>
          <w:sz w:val="24"/>
          <w:szCs w:val="24"/>
          <w:lang w:val="en-US"/>
        </w:rPr>
        <w:t xml:space="preserve"> from the oncology framework</w:t>
      </w:r>
      <w:r w:rsidR="00600448">
        <w:rPr>
          <w:sz w:val="24"/>
          <w:szCs w:val="24"/>
          <w:lang w:val="en-US"/>
        </w:rPr>
        <w:t xml:space="preserve"> to the AD context as follows.</w:t>
      </w:r>
    </w:p>
    <w:p w14:paraId="5B54235D" w14:textId="77777777" w:rsidR="002D4B7D" w:rsidRPr="00CD0D03" w:rsidRDefault="002D4B7D" w:rsidP="00A83B7C">
      <w:pPr>
        <w:spacing w:line="480" w:lineRule="auto"/>
        <w:rPr>
          <w:rFonts w:cs="Times New Roman"/>
          <w:i/>
          <w:sz w:val="24"/>
          <w:szCs w:val="24"/>
          <w:lang w:val="en-US"/>
        </w:rPr>
      </w:pPr>
      <w:r w:rsidRPr="00CD0D03">
        <w:rPr>
          <w:rFonts w:cs="Times New Roman"/>
          <w:i/>
          <w:sz w:val="24"/>
          <w:szCs w:val="24"/>
          <w:lang w:val="en-US"/>
        </w:rPr>
        <w:lastRenderedPageBreak/>
        <w:t>3.1 Phase 1</w:t>
      </w:r>
      <w:r w:rsidR="000F026E">
        <w:rPr>
          <w:rFonts w:cs="Times New Roman"/>
          <w:i/>
          <w:sz w:val="24"/>
          <w:szCs w:val="24"/>
          <w:lang w:val="en-US"/>
        </w:rPr>
        <w:t>:</w:t>
      </w:r>
      <w:r w:rsidRPr="00CD0D03">
        <w:rPr>
          <w:rFonts w:cs="Times New Roman"/>
          <w:i/>
          <w:sz w:val="24"/>
          <w:szCs w:val="24"/>
          <w:lang w:val="en-US"/>
        </w:rPr>
        <w:t xml:space="preserve"> Pilot studies</w:t>
      </w:r>
    </w:p>
    <w:p w14:paraId="45DD953B" w14:textId="77777777" w:rsidR="009C1EA1" w:rsidRPr="00CD0D03" w:rsidRDefault="002D4B7D" w:rsidP="00A83B7C">
      <w:pPr>
        <w:spacing w:line="480" w:lineRule="auto"/>
        <w:rPr>
          <w:rFonts w:cs="Times New Roman"/>
          <w:sz w:val="24"/>
          <w:szCs w:val="24"/>
          <w:lang w:val="en-US"/>
        </w:rPr>
      </w:pPr>
      <w:r w:rsidRPr="00CD0D03">
        <w:rPr>
          <w:rFonts w:cs="Times New Roman"/>
          <w:i/>
          <w:sz w:val="24"/>
          <w:szCs w:val="24"/>
          <w:lang w:val="en-US"/>
        </w:rPr>
        <w:t>3.1.1 Phase 1 Aims</w:t>
      </w:r>
      <w:r w:rsidRPr="00CD0D03">
        <w:rPr>
          <w:rFonts w:cs="Times New Roman"/>
          <w:sz w:val="24"/>
          <w:szCs w:val="24"/>
          <w:lang w:val="en-US"/>
        </w:rPr>
        <w:t xml:space="preserve">. Phase 1 aims </w:t>
      </w:r>
      <w:r w:rsidR="00D73FB6" w:rsidRPr="00CD0D03">
        <w:rPr>
          <w:rFonts w:cs="Times New Roman"/>
          <w:sz w:val="24"/>
          <w:szCs w:val="24"/>
          <w:lang w:val="en-US"/>
        </w:rPr>
        <w:t xml:space="preserve">to </w:t>
      </w:r>
      <w:r w:rsidRPr="00CD0D03">
        <w:rPr>
          <w:rFonts w:cs="Times New Roman"/>
          <w:sz w:val="24"/>
          <w:szCs w:val="24"/>
          <w:lang w:val="en-US"/>
        </w:rPr>
        <w:t xml:space="preserve">identify </w:t>
      </w:r>
      <w:r w:rsidR="00551028" w:rsidRPr="00CD0D03">
        <w:rPr>
          <w:rFonts w:cs="Times New Roman"/>
          <w:sz w:val="24"/>
          <w:szCs w:val="24"/>
          <w:lang w:val="en-US"/>
        </w:rPr>
        <w:t xml:space="preserve">and </w:t>
      </w:r>
      <w:r w:rsidR="00222090" w:rsidRPr="00CD0D03">
        <w:rPr>
          <w:rFonts w:cs="Times New Roman"/>
          <w:sz w:val="24"/>
          <w:szCs w:val="24"/>
          <w:lang w:val="en-US"/>
        </w:rPr>
        <w:t>prioritize</w:t>
      </w:r>
      <w:r w:rsidR="00551028" w:rsidRPr="00CD0D03">
        <w:rPr>
          <w:rFonts w:cs="Times New Roman"/>
          <w:sz w:val="24"/>
          <w:szCs w:val="24"/>
          <w:lang w:val="en-US"/>
        </w:rPr>
        <w:t xml:space="preserve"> </w:t>
      </w:r>
      <w:r w:rsidRPr="00CD0D03">
        <w:rPr>
          <w:rFonts w:cs="Times New Roman"/>
          <w:sz w:val="24"/>
          <w:szCs w:val="24"/>
          <w:lang w:val="en-US"/>
        </w:rPr>
        <w:t xml:space="preserve">promising </w:t>
      </w:r>
      <w:r w:rsidR="008D1939" w:rsidRPr="00CD0D03">
        <w:rPr>
          <w:rFonts w:cs="Times New Roman"/>
          <w:sz w:val="24"/>
          <w:szCs w:val="24"/>
          <w:lang w:val="en-US"/>
        </w:rPr>
        <w:t xml:space="preserve">biomarkers </w:t>
      </w:r>
      <w:r w:rsidRPr="00CD0D03">
        <w:rPr>
          <w:rFonts w:cs="Times New Roman"/>
          <w:sz w:val="24"/>
          <w:szCs w:val="24"/>
          <w:lang w:val="en-US"/>
        </w:rPr>
        <w:t xml:space="preserve">for </w:t>
      </w:r>
      <w:r w:rsidR="009C1EA1" w:rsidRPr="00CD0D03">
        <w:rPr>
          <w:rFonts w:cs="Times New Roman"/>
          <w:sz w:val="24"/>
          <w:szCs w:val="24"/>
          <w:lang w:val="en-US"/>
        </w:rPr>
        <w:t>the</w:t>
      </w:r>
      <w:r w:rsidRPr="00CD0D03">
        <w:rPr>
          <w:rFonts w:cs="Times New Roman"/>
          <w:sz w:val="24"/>
          <w:szCs w:val="24"/>
          <w:lang w:val="en-US"/>
        </w:rPr>
        <w:t xml:space="preserve"> diagnosis</w:t>
      </w:r>
      <w:r w:rsidR="009C1EA1" w:rsidRPr="00CD0D03">
        <w:rPr>
          <w:rFonts w:cs="Times New Roman"/>
          <w:sz w:val="24"/>
          <w:szCs w:val="24"/>
          <w:lang w:val="en-US"/>
        </w:rPr>
        <w:t xml:space="preserve"> of AD</w:t>
      </w:r>
      <w:r w:rsidRPr="00CD0D03">
        <w:rPr>
          <w:rFonts w:cs="Times New Roman"/>
          <w:sz w:val="24"/>
          <w:szCs w:val="24"/>
          <w:lang w:val="en-US"/>
        </w:rPr>
        <w:t xml:space="preserve">. The properties of healthy and diseased target tissue </w:t>
      </w:r>
      <w:r w:rsidR="00D73FB6" w:rsidRPr="00CD0D03">
        <w:rPr>
          <w:rFonts w:cs="Times New Roman"/>
          <w:sz w:val="24"/>
          <w:szCs w:val="24"/>
          <w:lang w:val="en-US"/>
        </w:rPr>
        <w:t xml:space="preserve">guide the recognition of </w:t>
      </w:r>
      <w:r w:rsidRPr="00CD0D03">
        <w:rPr>
          <w:rFonts w:cs="Times New Roman"/>
          <w:sz w:val="24"/>
          <w:szCs w:val="24"/>
          <w:lang w:val="en-US"/>
        </w:rPr>
        <w:t xml:space="preserve">the unique features </w:t>
      </w:r>
      <w:r w:rsidR="00D73FB6" w:rsidRPr="00CD0D03">
        <w:rPr>
          <w:rFonts w:cs="Times New Roman"/>
          <w:sz w:val="24"/>
          <w:szCs w:val="24"/>
          <w:lang w:val="en-US"/>
        </w:rPr>
        <w:t>that separate</w:t>
      </w:r>
      <w:r w:rsidRPr="00CD0D03">
        <w:rPr>
          <w:rFonts w:cs="Times New Roman"/>
          <w:sz w:val="24"/>
          <w:szCs w:val="24"/>
          <w:lang w:val="en-US"/>
        </w:rPr>
        <w:t xml:space="preserve"> healthy and diseased subjects (morphological abnormalities or different expression of proteins). </w:t>
      </w:r>
    </w:p>
    <w:p w14:paraId="60B2C83B" w14:textId="5FFF50BA" w:rsidR="00AA2061" w:rsidRDefault="002D4B7D" w:rsidP="00A83B7C">
      <w:pPr>
        <w:spacing w:line="480" w:lineRule="auto"/>
        <w:rPr>
          <w:rFonts w:cs="Times New Roman"/>
          <w:sz w:val="24"/>
          <w:szCs w:val="24"/>
          <w:lang w:val="en-US"/>
        </w:rPr>
      </w:pPr>
      <w:r w:rsidRPr="00CD0D03">
        <w:rPr>
          <w:rFonts w:cs="Times New Roman"/>
          <w:i/>
          <w:sz w:val="24"/>
          <w:szCs w:val="24"/>
          <w:lang w:val="en-US"/>
        </w:rPr>
        <w:t xml:space="preserve">3.1.2 Phase 1 Design. </w:t>
      </w:r>
      <w:r w:rsidR="005234FA" w:rsidRPr="00CD0D03">
        <w:rPr>
          <w:rFonts w:cs="Times New Roman"/>
          <w:sz w:val="24"/>
          <w:szCs w:val="24"/>
          <w:lang w:val="en-US"/>
        </w:rPr>
        <w:t xml:space="preserve">For each biomarker, </w:t>
      </w:r>
      <w:r w:rsidR="00D5068E">
        <w:rPr>
          <w:rFonts w:cs="Times New Roman"/>
          <w:sz w:val="24"/>
          <w:szCs w:val="24"/>
          <w:lang w:val="en-US"/>
        </w:rPr>
        <w:t>Phase 1</w:t>
      </w:r>
      <w:r w:rsidR="00D5068E" w:rsidRPr="00CD0D03">
        <w:rPr>
          <w:rFonts w:cs="Times New Roman"/>
          <w:sz w:val="24"/>
          <w:szCs w:val="24"/>
          <w:lang w:val="en-US"/>
        </w:rPr>
        <w:t xml:space="preserve"> </w:t>
      </w:r>
      <w:r w:rsidR="005234FA" w:rsidRPr="00CD0D03">
        <w:rPr>
          <w:rFonts w:cs="Times New Roman"/>
          <w:sz w:val="24"/>
          <w:szCs w:val="24"/>
          <w:lang w:val="en-US"/>
        </w:rPr>
        <w:t xml:space="preserve">is needed to estimate to what extent it distinguishes between cases and controls. This will be done calculating </w:t>
      </w:r>
      <w:r w:rsidRPr="00CD0D03">
        <w:rPr>
          <w:rFonts w:cs="Times New Roman"/>
          <w:sz w:val="24"/>
          <w:szCs w:val="24"/>
          <w:lang w:val="en-US"/>
        </w:rPr>
        <w:t>sensitivity, specificity, true positive ratio, false positive ratio</w:t>
      </w:r>
      <w:r w:rsidR="005234FA" w:rsidRPr="00CD0D03">
        <w:rPr>
          <w:rFonts w:cs="Times New Roman"/>
          <w:sz w:val="24"/>
          <w:szCs w:val="24"/>
          <w:lang w:val="en-US"/>
        </w:rPr>
        <w:t xml:space="preserve"> for dichotomous measures </w:t>
      </w:r>
      <w:r w:rsidRPr="00CD0D03">
        <w:rPr>
          <w:rFonts w:cs="Times New Roman"/>
          <w:sz w:val="24"/>
          <w:szCs w:val="24"/>
          <w:lang w:val="en-US"/>
        </w:rPr>
        <w:t>and receiver operating characteristics (ROC) curves</w:t>
      </w:r>
      <w:r w:rsidR="00D73FB6" w:rsidRPr="00CD0D03">
        <w:rPr>
          <w:rFonts w:cs="Times New Roman"/>
          <w:sz w:val="24"/>
          <w:szCs w:val="24"/>
          <w:lang w:val="en-US"/>
        </w:rPr>
        <w:t xml:space="preserve"> </w:t>
      </w:r>
      <w:r w:rsidR="005234FA" w:rsidRPr="00CD0D03">
        <w:rPr>
          <w:rFonts w:cs="Times New Roman"/>
          <w:sz w:val="24"/>
          <w:szCs w:val="24"/>
          <w:lang w:val="en-US"/>
        </w:rPr>
        <w:t xml:space="preserve">for continuous ones. </w:t>
      </w:r>
    </w:p>
    <w:p w14:paraId="4ED7E67C" w14:textId="77777777" w:rsidR="002D4B7D" w:rsidRPr="00CD0D03" w:rsidRDefault="002D4B7D" w:rsidP="00A83B7C">
      <w:pPr>
        <w:spacing w:line="480" w:lineRule="auto"/>
        <w:rPr>
          <w:rFonts w:cs="Times New Roman"/>
          <w:sz w:val="24"/>
          <w:szCs w:val="24"/>
          <w:lang w:val="en-US"/>
        </w:rPr>
      </w:pPr>
      <w:r w:rsidRPr="00CD0D03">
        <w:rPr>
          <w:rFonts w:cs="Times New Roman"/>
          <w:i/>
          <w:sz w:val="24"/>
          <w:szCs w:val="24"/>
          <w:lang w:val="en-US"/>
        </w:rPr>
        <w:t>3.1.3 Phase 1 Target Population</w:t>
      </w:r>
      <w:r w:rsidRPr="00CD0D03">
        <w:rPr>
          <w:rFonts w:cs="Times New Roman"/>
          <w:sz w:val="24"/>
          <w:szCs w:val="24"/>
          <w:lang w:val="en-US"/>
        </w:rPr>
        <w:t xml:space="preserve">. The target sample </w:t>
      </w:r>
      <w:r w:rsidR="000C26F5">
        <w:rPr>
          <w:rFonts w:cs="Times New Roman"/>
          <w:sz w:val="24"/>
          <w:szCs w:val="24"/>
          <w:lang w:val="en-US"/>
        </w:rPr>
        <w:t>includes</w:t>
      </w:r>
      <w:r w:rsidR="000C26F5" w:rsidRPr="00CD0D03">
        <w:rPr>
          <w:rFonts w:cs="Times New Roman"/>
          <w:sz w:val="24"/>
          <w:szCs w:val="24"/>
          <w:lang w:val="en-US"/>
        </w:rPr>
        <w:t xml:space="preserve"> </w:t>
      </w:r>
      <w:r w:rsidRPr="00CD0D03">
        <w:rPr>
          <w:rFonts w:cs="Times New Roman"/>
          <w:sz w:val="24"/>
          <w:szCs w:val="24"/>
          <w:lang w:val="en-US"/>
        </w:rPr>
        <w:t>specimen</w:t>
      </w:r>
      <w:r w:rsidR="00C64653" w:rsidRPr="00CD0D03">
        <w:rPr>
          <w:rFonts w:cs="Times New Roman"/>
          <w:sz w:val="24"/>
          <w:szCs w:val="24"/>
          <w:lang w:val="en-US"/>
        </w:rPr>
        <w:t>s (brain or CSF tissue or</w:t>
      </w:r>
      <w:r w:rsidRPr="00CD0D03">
        <w:rPr>
          <w:rFonts w:cs="Times New Roman"/>
          <w:sz w:val="24"/>
          <w:szCs w:val="24"/>
          <w:lang w:val="en-US"/>
        </w:rPr>
        <w:t xml:space="preserve"> cerebral function) from any stage of pathologically confirmed AD patients</w:t>
      </w:r>
      <w:r w:rsidR="00D21117" w:rsidRPr="00CD0D03">
        <w:rPr>
          <w:rFonts w:cs="Times New Roman"/>
          <w:sz w:val="24"/>
          <w:szCs w:val="24"/>
          <w:lang w:val="en-US"/>
        </w:rPr>
        <w:t xml:space="preserve"> and healthy controls (or </w:t>
      </w:r>
      <w:r w:rsidR="00753887" w:rsidRPr="00CD0D03">
        <w:rPr>
          <w:rFonts w:cs="Times New Roman"/>
          <w:sz w:val="24"/>
          <w:szCs w:val="24"/>
          <w:lang w:val="en-US"/>
        </w:rPr>
        <w:t xml:space="preserve">structural and functional </w:t>
      </w:r>
      <w:r w:rsidR="00D21117" w:rsidRPr="00CD0D03">
        <w:rPr>
          <w:rFonts w:cs="Times New Roman"/>
          <w:sz w:val="24"/>
          <w:szCs w:val="24"/>
          <w:lang w:val="en-US"/>
        </w:rPr>
        <w:t>comparison between affected/</w:t>
      </w:r>
      <w:proofErr w:type="gramStart"/>
      <w:r w:rsidR="00D21117" w:rsidRPr="00CD0D03">
        <w:rPr>
          <w:rFonts w:cs="Times New Roman"/>
          <w:sz w:val="24"/>
          <w:szCs w:val="24"/>
          <w:lang w:val="en-US"/>
        </w:rPr>
        <w:t>non affected</w:t>
      </w:r>
      <w:proofErr w:type="gramEnd"/>
      <w:r w:rsidR="00D21117" w:rsidRPr="00CD0D03">
        <w:rPr>
          <w:rFonts w:cs="Times New Roman"/>
          <w:sz w:val="24"/>
          <w:szCs w:val="24"/>
          <w:lang w:val="en-US"/>
        </w:rPr>
        <w:t xml:space="preserve"> tissues in the same patient).</w:t>
      </w:r>
    </w:p>
    <w:p w14:paraId="4BB20BCC" w14:textId="745C9A77" w:rsidR="002D4B7D" w:rsidRPr="00CD0D03" w:rsidDel="00D5068E" w:rsidRDefault="002D4B7D" w:rsidP="00A83B7C">
      <w:pPr>
        <w:spacing w:line="480" w:lineRule="auto"/>
        <w:rPr>
          <w:rFonts w:cs="Times New Roman"/>
          <w:sz w:val="24"/>
          <w:szCs w:val="24"/>
          <w:lang w:val="en-US"/>
        </w:rPr>
      </w:pPr>
      <w:r w:rsidRPr="00CD0D03" w:rsidDel="00D5068E">
        <w:rPr>
          <w:rFonts w:cs="Times New Roman"/>
          <w:i/>
          <w:sz w:val="24"/>
          <w:szCs w:val="24"/>
          <w:lang w:val="en-US"/>
        </w:rPr>
        <w:t>3.1.4 Phase 1 Gold standard</w:t>
      </w:r>
      <w:r w:rsidRPr="00CD0D03" w:rsidDel="00D5068E">
        <w:rPr>
          <w:rFonts w:cs="Times New Roman"/>
          <w:sz w:val="24"/>
          <w:szCs w:val="24"/>
          <w:lang w:val="en-US"/>
        </w:rPr>
        <w:t xml:space="preserve">. The gold standard for phase 1 is pathology. Each </w:t>
      </w:r>
      <w:r w:rsidR="000B2A3D" w:rsidRPr="00CD0D03" w:rsidDel="00D5068E">
        <w:rPr>
          <w:rFonts w:cs="Times New Roman"/>
          <w:sz w:val="24"/>
          <w:szCs w:val="24"/>
          <w:lang w:val="en-US"/>
        </w:rPr>
        <w:t xml:space="preserve">assay </w:t>
      </w:r>
      <w:r w:rsidRPr="00CD0D03" w:rsidDel="00D5068E">
        <w:rPr>
          <w:rFonts w:cs="Times New Roman"/>
          <w:sz w:val="24"/>
          <w:szCs w:val="24"/>
          <w:lang w:val="en-US"/>
        </w:rPr>
        <w:t xml:space="preserve">has a different pathological gold standard. For instance, PET/CSF amyloid </w:t>
      </w:r>
      <w:r w:rsidR="000B2A3D" w:rsidRPr="00CD0D03" w:rsidDel="00D5068E">
        <w:rPr>
          <w:rFonts w:cs="Times New Roman"/>
          <w:sz w:val="24"/>
          <w:szCs w:val="24"/>
          <w:lang w:val="en-US"/>
        </w:rPr>
        <w:t xml:space="preserve">assays </w:t>
      </w:r>
      <w:r w:rsidRPr="00CD0D03" w:rsidDel="00D5068E">
        <w:rPr>
          <w:rFonts w:cs="Times New Roman"/>
          <w:sz w:val="24"/>
          <w:szCs w:val="24"/>
          <w:lang w:val="en-US"/>
        </w:rPr>
        <w:t>are specif</w:t>
      </w:r>
      <w:r w:rsidR="00222090" w:rsidDel="00D5068E">
        <w:rPr>
          <w:rFonts w:cs="Times New Roman"/>
          <w:sz w:val="24"/>
          <w:szCs w:val="24"/>
          <w:lang w:val="en-US"/>
        </w:rPr>
        <w:t>ic to cortical neuritic plaques;</w:t>
      </w:r>
      <w:r w:rsidRPr="00CD0D03" w:rsidDel="00D5068E">
        <w:rPr>
          <w:rFonts w:cs="Times New Roman"/>
          <w:sz w:val="24"/>
          <w:szCs w:val="24"/>
          <w:lang w:val="en-US"/>
        </w:rPr>
        <w:t xml:space="preserve"> MR hippocampal atro</w:t>
      </w:r>
      <w:r w:rsidR="00222090" w:rsidDel="00D5068E">
        <w:rPr>
          <w:rFonts w:cs="Times New Roman"/>
          <w:sz w:val="24"/>
          <w:szCs w:val="24"/>
          <w:lang w:val="en-US"/>
        </w:rPr>
        <w:t xml:space="preserve">phy biomarkers </w:t>
      </w:r>
      <w:r w:rsidR="0039082C">
        <w:rPr>
          <w:rFonts w:cs="Times New Roman"/>
          <w:sz w:val="24"/>
          <w:szCs w:val="24"/>
          <w:lang w:val="en-US"/>
        </w:rPr>
        <w:t>reflect</w:t>
      </w:r>
      <w:r w:rsidR="0039082C" w:rsidDel="00D5068E">
        <w:rPr>
          <w:rFonts w:cs="Times New Roman"/>
          <w:sz w:val="24"/>
          <w:szCs w:val="24"/>
          <w:lang w:val="en-US"/>
        </w:rPr>
        <w:t xml:space="preserve"> </w:t>
      </w:r>
      <w:r w:rsidR="00222090" w:rsidDel="00D5068E">
        <w:rPr>
          <w:rFonts w:cs="Times New Roman"/>
          <w:sz w:val="24"/>
          <w:szCs w:val="24"/>
          <w:lang w:val="en-US"/>
        </w:rPr>
        <w:t>neuronal loss;</w:t>
      </w:r>
      <w:r w:rsidRPr="00CD0D03" w:rsidDel="00D5068E">
        <w:rPr>
          <w:rFonts w:cs="Times New Roman"/>
          <w:sz w:val="24"/>
          <w:szCs w:val="24"/>
          <w:lang w:val="en-US"/>
        </w:rPr>
        <w:t xml:space="preserve"> FDG-PET temporoparietal hypometabolism biomarker is </w:t>
      </w:r>
      <w:r w:rsidR="00E3215C">
        <w:rPr>
          <w:rFonts w:cs="Times New Roman"/>
          <w:sz w:val="24"/>
          <w:szCs w:val="24"/>
          <w:lang w:val="en-US"/>
        </w:rPr>
        <w:t>related</w:t>
      </w:r>
      <w:r w:rsidR="00E3215C" w:rsidDel="00D5068E">
        <w:rPr>
          <w:rFonts w:cs="Times New Roman"/>
          <w:sz w:val="24"/>
          <w:szCs w:val="24"/>
          <w:lang w:val="en-US"/>
        </w:rPr>
        <w:t xml:space="preserve"> </w:t>
      </w:r>
      <w:r w:rsidR="00222090" w:rsidDel="00D5068E">
        <w:rPr>
          <w:rFonts w:cs="Times New Roman"/>
          <w:sz w:val="24"/>
          <w:szCs w:val="24"/>
          <w:lang w:val="en-US"/>
        </w:rPr>
        <w:t>to synaptic and neuronal loss;</w:t>
      </w:r>
      <w:r w:rsidRPr="00CD0D03" w:rsidDel="00D5068E">
        <w:rPr>
          <w:rFonts w:cs="Times New Roman"/>
          <w:sz w:val="24"/>
          <w:szCs w:val="24"/>
          <w:lang w:val="en-US"/>
        </w:rPr>
        <w:t xml:space="preserve"> CSF </w:t>
      </w:r>
      <w:r w:rsidR="00E3215C">
        <w:rPr>
          <w:rFonts w:cs="Times New Roman"/>
          <w:sz w:val="24"/>
          <w:szCs w:val="24"/>
          <w:lang w:val="en-US"/>
        </w:rPr>
        <w:t xml:space="preserve">total </w:t>
      </w:r>
      <w:r w:rsidRPr="00CD0D03" w:rsidDel="00D5068E">
        <w:rPr>
          <w:rFonts w:cs="Times New Roman"/>
          <w:sz w:val="24"/>
          <w:szCs w:val="24"/>
          <w:lang w:val="en-US"/>
        </w:rPr>
        <w:t xml:space="preserve">tau biomarkers to neuronal </w:t>
      </w:r>
      <w:r w:rsidR="00E3215C">
        <w:rPr>
          <w:rFonts w:cs="Times New Roman"/>
          <w:sz w:val="24"/>
          <w:szCs w:val="24"/>
          <w:lang w:val="en-US"/>
        </w:rPr>
        <w:t>injury and phosphor-tau to neurofibrillary tangles formation</w:t>
      </w:r>
      <w:r w:rsidR="00F651D9">
        <w:rPr>
          <w:rFonts w:cs="Times New Roman"/>
          <w:sz w:val="24"/>
          <w:szCs w:val="24"/>
          <w:lang w:val="en-US"/>
        </w:rPr>
        <w:t xml:space="preserve"> (Zetterberg, 2017)</w:t>
      </w:r>
      <w:r w:rsidRPr="00CD0D03" w:rsidDel="00D5068E">
        <w:rPr>
          <w:rFonts w:cs="Times New Roman"/>
          <w:sz w:val="24"/>
          <w:szCs w:val="24"/>
          <w:lang w:val="en-US"/>
        </w:rPr>
        <w:t>.</w:t>
      </w:r>
    </w:p>
    <w:p w14:paraId="087B6868" w14:textId="58C4339E" w:rsidR="002D4B7D" w:rsidRPr="00CD0D03" w:rsidRDefault="002D4B7D" w:rsidP="00A83B7C">
      <w:pPr>
        <w:spacing w:line="480" w:lineRule="auto"/>
        <w:rPr>
          <w:rFonts w:cs="Times New Roman"/>
          <w:sz w:val="24"/>
          <w:szCs w:val="24"/>
          <w:lang w:val="en-US"/>
        </w:rPr>
      </w:pPr>
      <w:r w:rsidRPr="00CD0D03">
        <w:rPr>
          <w:rFonts w:cs="Times New Roman"/>
          <w:i/>
          <w:sz w:val="24"/>
          <w:szCs w:val="24"/>
          <w:lang w:val="en-US"/>
        </w:rPr>
        <w:t>3.1.5 Phase 1 Outcome</w:t>
      </w:r>
      <w:r w:rsidR="00320504" w:rsidRPr="00CD0D03">
        <w:rPr>
          <w:rFonts w:cs="Times New Roman"/>
          <w:i/>
          <w:sz w:val="24"/>
          <w:szCs w:val="24"/>
          <w:lang w:val="en-US"/>
        </w:rPr>
        <w:t>s</w:t>
      </w:r>
      <w:r w:rsidRPr="00CD0D03">
        <w:rPr>
          <w:rFonts w:cs="Times New Roman"/>
          <w:sz w:val="24"/>
          <w:szCs w:val="24"/>
          <w:lang w:val="en-US"/>
        </w:rPr>
        <w:t xml:space="preserve">. The outcome measures </w:t>
      </w:r>
      <w:r w:rsidR="002569DA" w:rsidRPr="00CD0D03">
        <w:rPr>
          <w:rFonts w:cs="Times New Roman"/>
          <w:sz w:val="24"/>
          <w:szCs w:val="24"/>
          <w:lang w:val="en-US"/>
        </w:rPr>
        <w:t xml:space="preserve">for Phase 1 </w:t>
      </w:r>
      <w:r w:rsidRPr="00CD0D03">
        <w:rPr>
          <w:rFonts w:cs="Times New Roman"/>
          <w:sz w:val="24"/>
          <w:szCs w:val="24"/>
          <w:lang w:val="en-US"/>
        </w:rPr>
        <w:t xml:space="preserve">are </w:t>
      </w:r>
      <w:r w:rsidR="00D21117" w:rsidRPr="00CD0D03">
        <w:rPr>
          <w:rFonts w:cs="Times New Roman"/>
          <w:sz w:val="24"/>
          <w:szCs w:val="24"/>
          <w:lang w:val="en-US"/>
        </w:rPr>
        <w:t xml:space="preserve">values </w:t>
      </w:r>
      <w:r w:rsidRPr="00CD0D03">
        <w:rPr>
          <w:rFonts w:cs="Times New Roman"/>
          <w:sz w:val="24"/>
          <w:szCs w:val="24"/>
          <w:lang w:val="en-US"/>
        </w:rPr>
        <w:t xml:space="preserve">of the </w:t>
      </w:r>
      <w:r w:rsidR="00753887" w:rsidRPr="00CD0D03">
        <w:rPr>
          <w:rFonts w:cs="Times New Roman"/>
          <w:sz w:val="24"/>
          <w:szCs w:val="24"/>
          <w:lang w:val="en-US"/>
        </w:rPr>
        <w:t>assay</w:t>
      </w:r>
      <w:r w:rsidR="00D21117" w:rsidRPr="00CD0D03">
        <w:rPr>
          <w:rFonts w:cs="Times New Roman"/>
          <w:sz w:val="24"/>
          <w:szCs w:val="24"/>
          <w:lang w:val="en-US"/>
        </w:rPr>
        <w:t xml:space="preserve"> </w:t>
      </w:r>
      <w:r w:rsidRPr="00CD0D03">
        <w:rPr>
          <w:rFonts w:cs="Times New Roman"/>
          <w:sz w:val="24"/>
          <w:szCs w:val="24"/>
          <w:lang w:val="en-US"/>
        </w:rPr>
        <w:t>in “target” versus healthy tissues (</w:t>
      </w:r>
      <w:r w:rsidR="000B2A3D" w:rsidRPr="00CD0D03">
        <w:rPr>
          <w:rFonts w:cs="Times New Roman"/>
          <w:sz w:val="24"/>
          <w:szCs w:val="24"/>
          <w:lang w:val="en-US"/>
        </w:rPr>
        <w:t xml:space="preserve">i.e. </w:t>
      </w:r>
      <w:r w:rsidRPr="00CD0D03">
        <w:rPr>
          <w:rFonts w:cs="Times New Roman"/>
          <w:sz w:val="24"/>
          <w:szCs w:val="24"/>
          <w:lang w:val="en-US"/>
        </w:rPr>
        <w:t>non-affected tissue from the same subject or same tissue from non-diseased subjects). The</w:t>
      </w:r>
      <w:r w:rsidR="00753887" w:rsidRPr="00CD0D03">
        <w:rPr>
          <w:rFonts w:cs="Times New Roman"/>
          <w:sz w:val="24"/>
          <w:szCs w:val="24"/>
          <w:lang w:val="en-US"/>
        </w:rPr>
        <w:t xml:space="preserve"> sequential </w:t>
      </w:r>
      <w:r w:rsidRPr="00CD0D03">
        <w:rPr>
          <w:rFonts w:cs="Times New Roman"/>
          <w:sz w:val="24"/>
          <w:szCs w:val="24"/>
          <w:lang w:val="en-US"/>
        </w:rPr>
        <w:t xml:space="preserve">spread of Alzheimer’s pathology </w:t>
      </w:r>
      <w:r w:rsidR="00753887" w:rsidRPr="00CD0D03">
        <w:rPr>
          <w:rFonts w:cs="Times New Roman"/>
          <w:sz w:val="24"/>
          <w:szCs w:val="24"/>
          <w:lang w:val="en-US"/>
        </w:rPr>
        <w:t xml:space="preserve">through brain regions </w:t>
      </w:r>
      <w:r w:rsidRPr="00CD0D03">
        <w:rPr>
          <w:rFonts w:cs="Times New Roman"/>
          <w:sz w:val="24"/>
          <w:szCs w:val="24"/>
          <w:lang w:val="en-US"/>
        </w:rPr>
        <w:t xml:space="preserve">(Abeta, Tau, and neurodegeneration) is well known. </w:t>
      </w:r>
      <w:r w:rsidR="00753887" w:rsidRPr="00CD0D03">
        <w:rPr>
          <w:rFonts w:cs="Times New Roman"/>
          <w:sz w:val="24"/>
          <w:szCs w:val="24"/>
          <w:lang w:val="en-US"/>
        </w:rPr>
        <w:t>Thus, i</w:t>
      </w:r>
      <w:r w:rsidRPr="00CD0D03">
        <w:rPr>
          <w:rFonts w:cs="Times New Roman"/>
          <w:sz w:val="24"/>
          <w:szCs w:val="24"/>
          <w:lang w:val="en-US"/>
        </w:rPr>
        <w:t xml:space="preserve">n order to demonstrate </w:t>
      </w:r>
      <w:r w:rsidR="000B2A3D" w:rsidRPr="00CD0D03">
        <w:rPr>
          <w:rFonts w:cs="Times New Roman"/>
          <w:sz w:val="24"/>
          <w:szCs w:val="24"/>
          <w:lang w:val="en-US"/>
        </w:rPr>
        <w:t xml:space="preserve">their analytical </w:t>
      </w:r>
      <w:r w:rsidRPr="00CD0D03">
        <w:rPr>
          <w:rFonts w:cs="Times New Roman"/>
          <w:sz w:val="24"/>
          <w:szCs w:val="24"/>
          <w:lang w:val="en-US"/>
        </w:rPr>
        <w:t>valid</w:t>
      </w:r>
      <w:r w:rsidR="000B2A3D" w:rsidRPr="00CD0D03">
        <w:rPr>
          <w:rFonts w:cs="Times New Roman"/>
          <w:sz w:val="24"/>
          <w:szCs w:val="24"/>
          <w:lang w:val="en-US"/>
        </w:rPr>
        <w:t>ity</w:t>
      </w:r>
      <w:r w:rsidR="002B3CD1">
        <w:rPr>
          <w:rFonts w:cs="Times New Roman"/>
          <w:sz w:val="24"/>
          <w:szCs w:val="24"/>
          <w:lang w:val="en-US"/>
        </w:rPr>
        <w:t>,</w:t>
      </w:r>
      <w:r w:rsidRPr="00CD0D03">
        <w:rPr>
          <w:rFonts w:cs="Times New Roman"/>
          <w:sz w:val="24"/>
          <w:szCs w:val="24"/>
          <w:lang w:val="en-US"/>
        </w:rPr>
        <w:t xml:space="preserve"> </w:t>
      </w:r>
      <w:r w:rsidR="000B2A3D" w:rsidRPr="00CD0D03">
        <w:rPr>
          <w:rFonts w:cs="Times New Roman"/>
          <w:sz w:val="24"/>
          <w:szCs w:val="24"/>
          <w:lang w:val="en-US"/>
        </w:rPr>
        <w:t xml:space="preserve">assays </w:t>
      </w:r>
      <w:r w:rsidRPr="00CD0D03">
        <w:rPr>
          <w:rFonts w:cs="Times New Roman"/>
          <w:sz w:val="24"/>
          <w:szCs w:val="24"/>
          <w:lang w:val="en-US"/>
        </w:rPr>
        <w:t xml:space="preserve">of Abeta, Tau, and neurodegeneration need to </w:t>
      </w:r>
      <w:r w:rsidR="00753887" w:rsidRPr="00CD0D03">
        <w:rPr>
          <w:rFonts w:cs="Times New Roman"/>
          <w:sz w:val="24"/>
          <w:szCs w:val="24"/>
          <w:lang w:val="en-US"/>
        </w:rPr>
        <w:t xml:space="preserve">be consistent with </w:t>
      </w:r>
      <w:r w:rsidR="00753887" w:rsidRPr="00CD0D03">
        <w:rPr>
          <w:rFonts w:cs="Times New Roman"/>
          <w:sz w:val="24"/>
          <w:szCs w:val="24"/>
          <w:lang w:val="en-US"/>
        </w:rPr>
        <w:lastRenderedPageBreak/>
        <w:t>this temporal and regional</w:t>
      </w:r>
      <w:r w:rsidRPr="00CD0D03">
        <w:rPr>
          <w:rFonts w:cs="Times New Roman"/>
          <w:sz w:val="24"/>
          <w:szCs w:val="24"/>
          <w:lang w:val="en-US"/>
        </w:rPr>
        <w:t xml:space="preserve"> progression</w:t>
      </w:r>
      <w:r w:rsidR="00753887" w:rsidRPr="00CD0D03">
        <w:rPr>
          <w:rFonts w:cs="Times New Roman"/>
          <w:sz w:val="24"/>
          <w:szCs w:val="24"/>
          <w:lang w:val="en-US"/>
        </w:rPr>
        <w:t xml:space="preserve"> </w:t>
      </w:r>
      <w:r w:rsidR="002B3CD1">
        <w:rPr>
          <w:rFonts w:cs="Times New Roman"/>
          <w:sz w:val="24"/>
          <w:szCs w:val="24"/>
          <w:lang w:val="en-US"/>
        </w:rPr>
        <w:t xml:space="preserve">as a function of </w:t>
      </w:r>
      <w:r w:rsidRPr="00CD0D03">
        <w:rPr>
          <w:rFonts w:cs="Times New Roman"/>
          <w:sz w:val="24"/>
          <w:szCs w:val="24"/>
          <w:lang w:val="en-US"/>
        </w:rPr>
        <w:t xml:space="preserve">Thal’s </w:t>
      </w:r>
      <w:r w:rsidR="00ED750F" w:rsidRPr="00CD0D03">
        <w:rPr>
          <w:rFonts w:cs="Times New Roman"/>
          <w:sz w:val="24"/>
          <w:szCs w:val="24"/>
          <w:lang w:val="en-US"/>
        </w:rPr>
        <w:t xml:space="preserve">(Thal </w:t>
      </w:r>
      <w:r w:rsidR="00965902" w:rsidRPr="00CD0D03">
        <w:rPr>
          <w:rFonts w:cs="Times New Roman"/>
          <w:i/>
          <w:sz w:val="24"/>
          <w:szCs w:val="24"/>
          <w:lang w:val="en-US"/>
        </w:rPr>
        <w:t>et al</w:t>
      </w:r>
      <w:r w:rsidR="00ED750F" w:rsidRPr="00CD0D03">
        <w:rPr>
          <w:rFonts w:cs="Times New Roman"/>
          <w:sz w:val="24"/>
          <w:szCs w:val="24"/>
          <w:lang w:val="en-US"/>
        </w:rPr>
        <w:t>., 2002)</w:t>
      </w:r>
      <w:r w:rsidR="002569DA" w:rsidRPr="00CD0D03">
        <w:rPr>
          <w:rFonts w:cs="Times New Roman"/>
          <w:sz w:val="24"/>
          <w:szCs w:val="24"/>
          <w:lang w:val="en-US"/>
        </w:rPr>
        <w:t xml:space="preserve"> </w:t>
      </w:r>
      <w:r w:rsidRPr="00CD0D03">
        <w:rPr>
          <w:rFonts w:cs="Times New Roman"/>
          <w:sz w:val="24"/>
          <w:szCs w:val="24"/>
          <w:lang w:val="en-US"/>
        </w:rPr>
        <w:t>and</w:t>
      </w:r>
      <w:r w:rsidR="00753887" w:rsidRPr="00CD0D03">
        <w:rPr>
          <w:rFonts w:cs="Times New Roman"/>
          <w:sz w:val="24"/>
          <w:szCs w:val="24"/>
          <w:lang w:val="en-US"/>
        </w:rPr>
        <w:t xml:space="preserve"> </w:t>
      </w:r>
      <w:r w:rsidRPr="00CD0D03">
        <w:rPr>
          <w:rFonts w:cs="Times New Roman"/>
          <w:sz w:val="24"/>
          <w:szCs w:val="24"/>
          <w:lang w:val="en-US"/>
        </w:rPr>
        <w:t xml:space="preserve">Braak’s </w:t>
      </w:r>
      <w:r w:rsidR="00753887" w:rsidRPr="00CD0D03">
        <w:rPr>
          <w:rFonts w:cs="Times New Roman"/>
          <w:sz w:val="24"/>
          <w:szCs w:val="24"/>
          <w:lang w:val="en-US"/>
        </w:rPr>
        <w:t xml:space="preserve">neuropathological </w:t>
      </w:r>
      <w:r w:rsidRPr="00CD0D03">
        <w:rPr>
          <w:rFonts w:cs="Times New Roman"/>
          <w:sz w:val="24"/>
          <w:szCs w:val="24"/>
          <w:lang w:val="en-US"/>
        </w:rPr>
        <w:t>stages</w:t>
      </w:r>
      <w:r w:rsidR="002569DA" w:rsidRPr="00CD0D03">
        <w:rPr>
          <w:rFonts w:cs="Times New Roman"/>
          <w:sz w:val="24"/>
          <w:szCs w:val="24"/>
          <w:lang w:val="en-US"/>
        </w:rPr>
        <w:t xml:space="preserve"> </w:t>
      </w:r>
      <w:r w:rsidR="00EA04BB" w:rsidRPr="00CD0D03">
        <w:rPr>
          <w:rFonts w:cs="Times New Roman"/>
          <w:sz w:val="24"/>
          <w:szCs w:val="24"/>
          <w:lang w:val="en-US"/>
        </w:rPr>
        <w:t>(Braak &amp; Braak, 1991)</w:t>
      </w:r>
      <w:r w:rsidRPr="00CD0D03">
        <w:rPr>
          <w:rFonts w:cs="Times New Roman"/>
          <w:sz w:val="24"/>
          <w:szCs w:val="24"/>
          <w:lang w:val="en-US"/>
        </w:rPr>
        <w:t>.</w:t>
      </w:r>
      <w:r w:rsidR="00D36A5B">
        <w:rPr>
          <w:rFonts w:cs="Times New Roman"/>
          <w:sz w:val="24"/>
          <w:szCs w:val="24"/>
          <w:lang w:val="en-US"/>
        </w:rPr>
        <w:t xml:space="preserve"> Atypical presentations of AD </w:t>
      </w:r>
      <w:r w:rsidR="005B6517">
        <w:rPr>
          <w:rFonts w:cs="Times New Roman"/>
          <w:sz w:val="24"/>
          <w:szCs w:val="24"/>
          <w:lang w:val="en-US"/>
        </w:rPr>
        <w:t>(</w:t>
      </w:r>
      <w:r w:rsidR="00D33A7F">
        <w:rPr>
          <w:rFonts w:cs="Times New Roman"/>
          <w:sz w:val="24"/>
          <w:szCs w:val="24"/>
          <w:lang w:val="en-US"/>
        </w:rPr>
        <w:t xml:space="preserve">Dubois et al., 2010, </w:t>
      </w:r>
      <w:r w:rsidR="004C3D75">
        <w:rPr>
          <w:rFonts w:cs="Times New Roman"/>
          <w:sz w:val="24"/>
          <w:szCs w:val="24"/>
          <w:lang w:val="en-US"/>
        </w:rPr>
        <w:t>McKhann et al., 2011</w:t>
      </w:r>
      <w:r w:rsidR="005B6517">
        <w:rPr>
          <w:rFonts w:cs="Times New Roman"/>
          <w:sz w:val="24"/>
          <w:szCs w:val="24"/>
          <w:lang w:val="en-US"/>
        </w:rPr>
        <w:t xml:space="preserve">), as well as atypical atrophy </w:t>
      </w:r>
      <w:r w:rsidR="00E00F1D">
        <w:rPr>
          <w:rFonts w:cs="Times New Roman"/>
          <w:sz w:val="24"/>
          <w:szCs w:val="24"/>
          <w:lang w:val="en-US"/>
        </w:rPr>
        <w:t xml:space="preserve">(Caso et al., 2015; Buyn et al., 2015) </w:t>
      </w:r>
      <w:r w:rsidR="005B6517">
        <w:rPr>
          <w:rFonts w:cs="Times New Roman"/>
          <w:sz w:val="24"/>
          <w:szCs w:val="24"/>
          <w:lang w:val="en-US"/>
        </w:rPr>
        <w:t xml:space="preserve">and progression patterns </w:t>
      </w:r>
      <w:r w:rsidR="00E00F1D">
        <w:rPr>
          <w:rFonts w:cs="Times New Roman"/>
          <w:sz w:val="24"/>
          <w:szCs w:val="24"/>
          <w:lang w:val="en-US"/>
        </w:rPr>
        <w:t xml:space="preserve">(Buyn et al., 2015) </w:t>
      </w:r>
      <w:r w:rsidR="00965F8E">
        <w:rPr>
          <w:rFonts w:cs="Times New Roman"/>
          <w:sz w:val="24"/>
          <w:szCs w:val="24"/>
          <w:lang w:val="en-US"/>
        </w:rPr>
        <w:t>should</w:t>
      </w:r>
      <w:r w:rsidR="00D36A5B">
        <w:rPr>
          <w:rFonts w:cs="Times New Roman"/>
          <w:sz w:val="24"/>
          <w:szCs w:val="24"/>
          <w:lang w:val="en-US"/>
        </w:rPr>
        <w:t xml:space="preserve"> also be taken into account.</w:t>
      </w:r>
    </w:p>
    <w:p w14:paraId="0161025A" w14:textId="77777777" w:rsidR="002D4B7D" w:rsidRPr="00CF2F9C" w:rsidRDefault="002D4B7D" w:rsidP="00A83B7C">
      <w:pPr>
        <w:spacing w:line="480" w:lineRule="auto"/>
        <w:rPr>
          <w:rFonts w:cs="Times New Roman"/>
          <w:i/>
          <w:sz w:val="24"/>
          <w:szCs w:val="24"/>
          <w:lang w:val="en-US"/>
        </w:rPr>
      </w:pPr>
      <w:r w:rsidRPr="00CF2F9C">
        <w:rPr>
          <w:rFonts w:cs="Times New Roman"/>
          <w:i/>
          <w:sz w:val="24"/>
          <w:szCs w:val="24"/>
          <w:lang w:val="en-US"/>
        </w:rPr>
        <w:t xml:space="preserve">3.2 Phase 2: Clinical Essay Development for Clinical Disease </w:t>
      </w:r>
    </w:p>
    <w:p w14:paraId="01A3DC63" w14:textId="77777777" w:rsidR="002D4B7D" w:rsidRPr="00CD0D03" w:rsidRDefault="00EB5919" w:rsidP="00A83B7C">
      <w:pPr>
        <w:spacing w:line="480" w:lineRule="auto"/>
        <w:rPr>
          <w:rFonts w:cs="Times New Roman"/>
          <w:sz w:val="24"/>
          <w:szCs w:val="24"/>
          <w:lang w:val="en-US"/>
        </w:rPr>
      </w:pPr>
      <w:r w:rsidRPr="00CD0D03">
        <w:rPr>
          <w:rFonts w:cs="Times New Roman"/>
          <w:i/>
          <w:sz w:val="24"/>
          <w:szCs w:val="24"/>
          <w:lang w:val="en-US"/>
        </w:rPr>
        <w:t>3.2.1 Phase 2 Aims</w:t>
      </w:r>
      <w:r w:rsidR="000F026E">
        <w:rPr>
          <w:rFonts w:cs="Times New Roman"/>
          <w:i/>
          <w:sz w:val="24"/>
          <w:szCs w:val="24"/>
          <w:lang w:val="en-US"/>
        </w:rPr>
        <w:t>.</w:t>
      </w:r>
      <w:r w:rsidRPr="00CD0D03">
        <w:rPr>
          <w:rFonts w:cs="Times New Roman"/>
          <w:i/>
          <w:sz w:val="24"/>
          <w:szCs w:val="24"/>
          <w:lang w:val="en-US"/>
        </w:rPr>
        <w:t xml:space="preserve"> </w:t>
      </w:r>
      <w:r w:rsidR="002D4B7D" w:rsidRPr="00CD0D03">
        <w:rPr>
          <w:rFonts w:cs="Times New Roman"/>
          <w:sz w:val="24"/>
          <w:szCs w:val="24"/>
          <w:lang w:val="en-US"/>
        </w:rPr>
        <w:t xml:space="preserve">This phase aims to define </w:t>
      </w:r>
      <w:r w:rsidR="00397919" w:rsidRPr="00CD0D03">
        <w:rPr>
          <w:rFonts w:cs="Times New Roman"/>
          <w:sz w:val="24"/>
          <w:szCs w:val="24"/>
          <w:lang w:val="en-US"/>
        </w:rPr>
        <w:t xml:space="preserve">non-invasive biomarkers </w:t>
      </w:r>
      <w:r w:rsidR="00B43020" w:rsidRPr="00CD0D03">
        <w:rPr>
          <w:rFonts w:cs="Times New Roman"/>
          <w:sz w:val="24"/>
          <w:szCs w:val="24"/>
          <w:lang w:val="en-US"/>
        </w:rPr>
        <w:t>that</w:t>
      </w:r>
      <w:r w:rsidR="00397919" w:rsidRPr="00CD0D03">
        <w:rPr>
          <w:rFonts w:cs="Times New Roman"/>
          <w:sz w:val="24"/>
          <w:szCs w:val="24"/>
          <w:lang w:val="en-US"/>
        </w:rPr>
        <w:t xml:space="preserve"> successfully distinguish between </w:t>
      </w:r>
      <w:r w:rsidR="00B43020" w:rsidRPr="00CD0D03">
        <w:rPr>
          <w:rFonts w:cs="Times New Roman"/>
          <w:sz w:val="24"/>
          <w:szCs w:val="24"/>
          <w:lang w:val="en-US"/>
        </w:rPr>
        <w:t xml:space="preserve">dementia </w:t>
      </w:r>
      <w:r w:rsidR="00397919" w:rsidRPr="00CD0D03">
        <w:rPr>
          <w:rFonts w:cs="Times New Roman"/>
          <w:sz w:val="24"/>
          <w:szCs w:val="24"/>
          <w:lang w:val="en-US"/>
        </w:rPr>
        <w:t>cases and controls</w:t>
      </w:r>
      <w:r w:rsidR="008C6096" w:rsidRPr="00CD0D03">
        <w:rPr>
          <w:rFonts w:cs="Times New Roman"/>
          <w:sz w:val="24"/>
          <w:szCs w:val="24"/>
          <w:lang w:val="en-US"/>
        </w:rPr>
        <w:t>.</w:t>
      </w:r>
      <w:r w:rsidR="002D4B7D" w:rsidRPr="00CD0D03">
        <w:rPr>
          <w:rFonts w:cs="Times New Roman"/>
          <w:sz w:val="24"/>
          <w:szCs w:val="24"/>
          <w:lang w:val="en-US"/>
        </w:rPr>
        <w:t xml:space="preserve"> </w:t>
      </w:r>
      <w:r w:rsidR="00662883" w:rsidRPr="00CD0D03">
        <w:rPr>
          <w:rFonts w:cs="Times New Roman"/>
          <w:sz w:val="24"/>
          <w:szCs w:val="24"/>
          <w:lang w:val="en-US"/>
        </w:rPr>
        <w:t xml:space="preserve">True positive rate </w:t>
      </w:r>
      <w:r w:rsidR="002D4B7D" w:rsidRPr="00CD0D03">
        <w:rPr>
          <w:rFonts w:cs="Times New Roman"/>
          <w:sz w:val="24"/>
          <w:szCs w:val="24"/>
          <w:lang w:val="en-US"/>
        </w:rPr>
        <w:t xml:space="preserve">and </w:t>
      </w:r>
      <w:r w:rsidR="00662883" w:rsidRPr="00CD0D03">
        <w:rPr>
          <w:rFonts w:cs="Times New Roman"/>
          <w:sz w:val="24"/>
          <w:szCs w:val="24"/>
          <w:lang w:val="en-US"/>
        </w:rPr>
        <w:t>false positive rate</w:t>
      </w:r>
      <w:r w:rsidR="002D4B7D" w:rsidRPr="00CD0D03">
        <w:rPr>
          <w:rFonts w:cs="Times New Roman"/>
          <w:sz w:val="24"/>
          <w:szCs w:val="24"/>
          <w:lang w:val="en-US"/>
        </w:rPr>
        <w:t xml:space="preserve">, or </w:t>
      </w:r>
      <w:r w:rsidR="00662883" w:rsidRPr="00CD0D03">
        <w:rPr>
          <w:rFonts w:cs="Times New Roman"/>
          <w:sz w:val="24"/>
          <w:szCs w:val="24"/>
          <w:lang w:val="en-US"/>
        </w:rPr>
        <w:t xml:space="preserve">receiving operating characteristics </w:t>
      </w:r>
      <w:r w:rsidR="002D4B7D" w:rsidRPr="00CD0D03">
        <w:rPr>
          <w:rFonts w:cs="Times New Roman"/>
          <w:sz w:val="24"/>
          <w:szCs w:val="24"/>
          <w:lang w:val="en-US"/>
        </w:rPr>
        <w:t>curves</w:t>
      </w:r>
      <w:r w:rsidR="00CD699E" w:rsidRPr="00CD0D03">
        <w:rPr>
          <w:rFonts w:cs="Times New Roman"/>
          <w:sz w:val="24"/>
          <w:szCs w:val="24"/>
          <w:lang w:val="en-US"/>
        </w:rPr>
        <w:t xml:space="preserve"> for the essay </w:t>
      </w:r>
      <w:r w:rsidR="00397919" w:rsidRPr="00CD0D03">
        <w:rPr>
          <w:rFonts w:cs="Times New Roman"/>
          <w:sz w:val="24"/>
          <w:szCs w:val="24"/>
          <w:lang w:val="en-US"/>
        </w:rPr>
        <w:t xml:space="preserve">will be estimated. A </w:t>
      </w:r>
      <w:r w:rsidR="002D4B7D" w:rsidRPr="00CD0D03">
        <w:rPr>
          <w:rFonts w:cs="Times New Roman"/>
          <w:sz w:val="24"/>
          <w:szCs w:val="24"/>
          <w:lang w:val="en-US"/>
        </w:rPr>
        <w:t xml:space="preserve">secondary aim </w:t>
      </w:r>
      <w:r w:rsidR="00397919" w:rsidRPr="00CD0D03">
        <w:rPr>
          <w:rFonts w:cs="Times New Roman"/>
          <w:sz w:val="24"/>
          <w:szCs w:val="24"/>
          <w:lang w:val="en-US"/>
        </w:rPr>
        <w:t xml:space="preserve">of this phase is </w:t>
      </w:r>
      <w:r w:rsidR="002D4B7D" w:rsidRPr="00CD0D03">
        <w:rPr>
          <w:rFonts w:cs="Times New Roman"/>
          <w:sz w:val="24"/>
          <w:szCs w:val="24"/>
          <w:lang w:val="en-US"/>
        </w:rPr>
        <w:t>to optimiz</w:t>
      </w:r>
      <w:r w:rsidR="00397919" w:rsidRPr="00CD0D03">
        <w:rPr>
          <w:rFonts w:cs="Times New Roman"/>
          <w:sz w:val="24"/>
          <w:szCs w:val="24"/>
          <w:lang w:val="en-US"/>
        </w:rPr>
        <w:t>e</w:t>
      </w:r>
      <w:r w:rsidR="002D4B7D" w:rsidRPr="00CD0D03">
        <w:rPr>
          <w:rFonts w:cs="Times New Roman"/>
          <w:sz w:val="24"/>
          <w:szCs w:val="24"/>
          <w:lang w:val="en-US"/>
        </w:rPr>
        <w:t xml:space="preserve"> procedures for reproduci</w:t>
      </w:r>
      <w:r w:rsidR="00397919" w:rsidRPr="00CD0D03">
        <w:rPr>
          <w:rFonts w:cs="Times New Roman"/>
          <w:sz w:val="24"/>
          <w:szCs w:val="24"/>
          <w:lang w:val="en-US"/>
        </w:rPr>
        <w:t>ng</w:t>
      </w:r>
      <w:r w:rsidR="002D4B7D" w:rsidRPr="00CD0D03">
        <w:rPr>
          <w:rFonts w:cs="Times New Roman"/>
          <w:sz w:val="24"/>
          <w:szCs w:val="24"/>
          <w:lang w:val="en-US"/>
        </w:rPr>
        <w:t xml:space="preserve"> </w:t>
      </w:r>
      <w:r w:rsidR="000B2A3D" w:rsidRPr="00CD0D03">
        <w:rPr>
          <w:rFonts w:cs="Times New Roman"/>
          <w:sz w:val="24"/>
          <w:szCs w:val="24"/>
          <w:lang w:val="en-US"/>
        </w:rPr>
        <w:t>assays</w:t>
      </w:r>
      <w:r w:rsidR="002D4B7D" w:rsidRPr="00CD0D03">
        <w:rPr>
          <w:rFonts w:cs="Times New Roman"/>
          <w:sz w:val="24"/>
          <w:szCs w:val="24"/>
          <w:lang w:val="en-US"/>
        </w:rPr>
        <w:t>, to assess the consistency of the measurements taken from the non-invasive assay and from tissue, and to asses</w:t>
      </w:r>
      <w:r w:rsidR="009952DD" w:rsidRPr="00CD0D03">
        <w:rPr>
          <w:rFonts w:cs="Times New Roman"/>
          <w:sz w:val="24"/>
          <w:szCs w:val="24"/>
          <w:lang w:val="en-US"/>
        </w:rPr>
        <w:t xml:space="preserve">s how covariates affect the status or level </w:t>
      </w:r>
      <w:r w:rsidR="002D4B7D" w:rsidRPr="00CD0D03">
        <w:rPr>
          <w:rFonts w:cs="Times New Roman"/>
          <w:sz w:val="24"/>
          <w:szCs w:val="24"/>
          <w:lang w:val="en-US"/>
        </w:rPr>
        <w:t xml:space="preserve">of the </w:t>
      </w:r>
      <w:r w:rsidR="00662883" w:rsidRPr="00CD0D03">
        <w:rPr>
          <w:rFonts w:cs="Times New Roman"/>
          <w:sz w:val="24"/>
          <w:szCs w:val="24"/>
          <w:lang w:val="en-US"/>
        </w:rPr>
        <w:t xml:space="preserve">biomarker </w:t>
      </w:r>
      <w:r w:rsidR="002D4B7D" w:rsidRPr="00CD0D03">
        <w:rPr>
          <w:rFonts w:cs="Times New Roman"/>
          <w:sz w:val="24"/>
          <w:szCs w:val="24"/>
          <w:lang w:val="en-US"/>
        </w:rPr>
        <w:t>taken on the essay.</w:t>
      </w:r>
    </w:p>
    <w:p w14:paraId="064A8375" w14:textId="77777777" w:rsidR="002D4B7D" w:rsidRPr="00CD0D03" w:rsidRDefault="002D4B7D" w:rsidP="00A83B7C">
      <w:pPr>
        <w:spacing w:line="480" w:lineRule="auto"/>
        <w:rPr>
          <w:rFonts w:cs="Times New Roman"/>
          <w:sz w:val="24"/>
          <w:szCs w:val="24"/>
          <w:lang w:val="en-US"/>
        </w:rPr>
      </w:pPr>
      <w:r w:rsidRPr="00CD0D03">
        <w:rPr>
          <w:rFonts w:cs="Times New Roman"/>
          <w:i/>
          <w:sz w:val="24"/>
          <w:szCs w:val="24"/>
          <w:lang w:val="en-US"/>
        </w:rPr>
        <w:t>3.2.</w:t>
      </w:r>
      <w:r w:rsidR="00EB5919" w:rsidRPr="00CD0D03">
        <w:rPr>
          <w:rFonts w:cs="Times New Roman"/>
          <w:i/>
          <w:sz w:val="24"/>
          <w:szCs w:val="24"/>
          <w:lang w:val="en-US"/>
        </w:rPr>
        <w:t>2</w:t>
      </w:r>
      <w:r w:rsidRPr="00CD0D03">
        <w:rPr>
          <w:rFonts w:cs="Times New Roman"/>
          <w:i/>
          <w:sz w:val="24"/>
          <w:szCs w:val="24"/>
          <w:lang w:val="en-US"/>
        </w:rPr>
        <w:t xml:space="preserve"> Phase 2 Design</w:t>
      </w:r>
      <w:r w:rsidRPr="00CD0D03">
        <w:rPr>
          <w:rFonts w:cs="Times New Roman"/>
          <w:sz w:val="24"/>
          <w:szCs w:val="24"/>
          <w:lang w:val="en-US"/>
        </w:rPr>
        <w:t xml:space="preserve">. </w:t>
      </w:r>
      <w:r w:rsidR="00EC3882" w:rsidRPr="00CD0D03">
        <w:rPr>
          <w:rFonts w:cs="Times New Roman"/>
          <w:sz w:val="24"/>
          <w:szCs w:val="24"/>
          <w:lang w:val="en-US"/>
        </w:rPr>
        <w:t>Case-control studies, with</w:t>
      </w:r>
      <w:r w:rsidR="000B2A3D" w:rsidRPr="00CD0D03">
        <w:rPr>
          <w:rFonts w:cs="Times New Roman"/>
          <w:sz w:val="24"/>
          <w:szCs w:val="24"/>
          <w:lang w:val="en-US"/>
        </w:rPr>
        <w:t xml:space="preserve"> cases defined by AD </w:t>
      </w:r>
      <w:r w:rsidR="00EC3882" w:rsidRPr="00CD0D03">
        <w:rPr>
          <w:rFonts w:cs="Times New Roman"/>
          <w:sz w:val="24"/>
          <w:szCs w:val="24"/>
          <w:lang w:val="en-US"/>
        </w:rPr>
        <w:t xml:space="preserve">diagnosis </w:t>
      </w:r>
      <w:r w:rsidR="000B2A3D" w:rsidRPr="00CD0D03">
        <w:rPr>
          <w:rFonts w:cs="Times New Roman"/>
          <w:sz w:val="24"/>
          <w:szCs w:val="24"/>
          <w:lang w:val="en-US"/>
        </w:rPr>
        <w:t>and matched</w:t>
      </w:r>
      <w:r w:rsidR="00EC3882" w:rsidRPr="00CD0D03">
        <w:rPr>
          <w:rFonts w:cs="Times New Roman"/>
          <w:sz w:val="24"/>
          <w:szCs w:val="24"/>
          <w:lang w:val="en-US"/>
        </w:rPr>
        <w:t>/unmatched</w:t>
      </w:r>
      <w:r w:rsidR="000B2A3D" w:rsidRPr="00CD0D03">
        <w:rPr>
          <w:rFonts w:cs="Times New Roman"/>
          <w:sz w:val="24"/>
          <w:szCs w:val="24"/>
          <w:lang w:val="en-US"/>
        </w:rPr>
        <w:t xml:space="preserve"> controls</w:t>
      </w:r>
      <w:r w:rsidR="008C5B27" w:rsidRPr="00CD0D03">
        <w:rPr>
          <w:rFonts w:cs="Times New Roman"/>
          <w:sz w:val="24"/>
          <w:szCs w:val="24"/>
          <w:lang w:val="en-US"/>
        </w:rPr>
        <w:t xml:space="preserve">. </w:t>
      </w:r>
    </w:p>
    <w:p w14:paraId="73A1D509" w14:textId="7B90EC41" w:rsidR="002D4B7D" w:rsidRPr="00CD0D03" w:rsidRDefault="002D4B7D" w:rsidP="00A83B7C">
      <w:pPr>
        <w:spacing w:line="480" w:lineRule="auto"/>
        <w:rPr>
          <w:rFonts w:cs="Times New Roman"/>
          <w:sz w:val="24"/>
          <w:szCs w:val="24"/>
          <w:lang w:val="en-US"/>
        </w:rPr>
      </w:pPr>
      <w:r w:rsidRPr="00CD0D03">
        <w:rPr>
          <w:rFonts w:cs="Times New Roman"/>
          <w:i/>
          <w:sz w:val="24"/>
          <w:szCs w:val="24"/>
          <w:lang w:val="en-US"/>
        </w:rPr>
        <w:t>3.2.</w:t>
      </w:r>
      <w:r w:rsidR="00EB5919" w:rsidRPr="00CD0D03">
        <w:rPr>
          <w:rFonts w:cs="Times New Roman"/>
          <w:i/>
          <w:sz w:val="24"/>
          <w:szCs w:val="24"/>
          <w:lang w:val="en-US"/>
        </w:rPr>
        <w:t xml:space="preserve">3 </w:t>
      </w:r>
      <w:r w:rsidRPr="00CD0D03">
        <w:rPr>
          <w:rFonts w:cs="Times New Roman"/>
          <w:i/>
          <w:sz w:val="24"/>
          <w:szCs w:val="24"/>
          <w:lang w:val="en-US"/>
        </w:rPr>
        <w:t>Phase 2 Target Population</w:t>
      </w:r>
      <w:r w:rsidRPr="00CD0D03">
        <w:rPr>
          <w:rFonts w:cs="Times New Roman"/>
          <w:sz w:val="24"/>
          <w:szCs w:val="24"/>
          <w:lang w:val="en-US"/>
        </w:rPr>
        <w:t>.</w:t>
      </w:r>
      <w:r w:rsidRPr="00CD0D03">
        <w:rPr>
          <w:sz w:val="24"/>
          <w:szCs w:val="24"/>
          <w:lang w:val="en-US"/>
        </w:rPr>
        <w:t xml:space="preserve"> </w:t>
      </w:r>
      <w:r w:rsidR="003568B7">
        <w:rPr>
          <w:rFonts w:cs="Times New Roman"/>
          <w:sz w:val="24"/>
          <w:szCs w:val="24"/>
          <w:lang w:val="en-US"/>
        </w:rPr>
        <w:t xml:space="preserve">In the </w:t>
      </w:r>
      <w:r w:rsidR="00CD5322">
        <w:rPr>
          <w:rFonts w:cs="Times New Roman"/>
          <w:sz w:val="24"/>
          <w:szCs w:val="24"/>
          <w:lang w:val="en-US"/>
        </w:rPr>
        <w:t xml:space="preserve">absence </w:t>
      </w:r>
      <w:r w:rsidR="003568B7">
        <w:rPr>
          <w:rFonts w:cs="Times New Roman"/>
          <w:sz w:val="24"/>
          <w:szCs w:val="24"/>
          <w:lang w:val="en-US"/>
        </w:rPr>
        <w:t xml:space="preserve">of pathological confirmation, we included </w:t>
      </w:r>
      <w:r w:rsidR="00A32BF5" w:rsidRPr="00CD0D03">
        <w:rPr>
          <w:rFonts w:cs="Times New Roman"/>
          <w:sz w:val="24"/>
          <w:szCs w:val="24"/>
          <w:lang w:val="en-US"/>
        </w:rPr>
        <w:t>clinical</w:t>
      </w:r>
      <w:r w:rsidR="00A32BF5">
        <w:rPr>
          <w:rFonts w:cs="Times New Roman"/>
          <w:sz w:val="24"/>
          <w:szCs w:val="24"/>
          <w:lang w:val="en-US"/>
        </w:rPr>
        <w:t xml:space="preserve">ly overt </w:t>
      </w:r>
      <w:r w:rsidR="00A32BF5" w:rsidRPr="00CD0D03">
        <w:rPr>
          <w:rFonts w:cs="Times New Roman"/>
          <w:sz w:val="24"/>
          <w:szCs w:val="24"/>
          <w:lang w:val="en-US"/>
        </w:rPr>
        <w:t xml:space="preserve">AD </w:t>
      </w:r>
      <w:r w:rsidRPr="00CD0D03">
        <w:rPr>
          <w:rFonts w:cs="Times New Roman"/>
          <w:sz w:val="24"/>
          <w:szCs w:val="24"/>
          <w:lang w:val="en-US"/>
        </w:rPr>
        <w:t xml:space="preserve">patients, </w:t>
      </w:r>
      <w:r w:rsidR="002B3CD1">
        <w:rPr>
          <w:rFonts w:cs="Times New Roman"/>
          <w:sz w:val="24"/>
          <w:szCs w:val="24"/>
          <w:lang w:val="en-US"/>
        </w:rPr>
        <w:t>and</w:t>
      </w:r>
      <w:r w:rsidRPr="00CD0D03">
        <w:rPr>
          <w:rFonts w:cs="Times New Roman"/>
          <w:sz w:val="24"/>
          <w:szCs w:val="24"/>
          <w:lang w:val="en-US"/>
        </w:rPr>
        <w:t xml:space="preserve"> </w:t>
      </w:r>
      <w:r w:rsidR="008C5B27" w:rsidRPr="00CD0D03">
        <w:rPr>
          <w:rFonts w:cs="Times New Roman"/>
          <w:sz w:val="24"/>
          <w:szCs w:val="24"/>
          <w:lang w:val="en-US"/>
        </w:rPr>
        <w:t>cognitive</w:t>
      </w:r>
      <w:r w:rsidR="00CD699E" w:rsidRPr="00CD0D03">
        <w:rPr>
          <w:rFonts w:cs="Times New Roman"/>
          <w:sz w:val="24"/>
          <w:szCs w:val="24"/>
          <w:lang w:val="en-US"/>
        </w:rPr>
        <w:t>ly</w:t>
      </w:r>
      <w:r w:rsidR="008C5B27" w:rsidRPr="00CD0D03">
        <w:rPr>
          <w:rFonts w:cs="Times New Roman"/>
          <w:sz w:val="24"/>
          <w:szCs w:val="24"/>
          <w:lang w:val="en-US"/>
        </w:rPr>
        <w:t xml:space="preserve"> healthy</w:t>
      </w:r>
      <w:r w:rsidRPr="00CD0D03">
        <w:rPr>
          <w:rFonts w:cs="Times New Roman"/>
          <w:sz w:val="24"/>
          <w:szCs w:val="24"/>
          <w:lang w:val="en-US"/>
        </w:rPr>
        <w:t xml:space="preserve"> persons. </w:t>
      </w:r>
      <w:r w:rsidR="008C5B27" w:rsidRPr="00CD0D03">
        <w:rPr>
          <w:rFonts w:cs="Times New Roman"/>
          <w:sz w:val="24"/>
          <w:szCs w:val="24"/>
          <w:lang w:val="en-US"/>
        </w:rPr>
        <w:t>Note that c</w:t>
      </w:r>
      <w:r w:rsidRPr="00CD0D03">
        <w:rPr>
          <w:rFonts w:cs="Times New Roman"/>
          <w:sz w:val="24"/>
          <w:szCs w:val="24"/>
          <w:lang w:val="en-US"/>
        </w:rPr>
        <w:t xml:space="preserve">omparisons of </w:t>
      </w:r>
      <w:r w:rsidR="00D802F8">
        <w:rPr>
          <w:rFonts w:cs="Times New Roman"/>
          <w:sz w:val="24"/>
          <w:szCs w:val="24"/>
          <w:lang w:val="en-US"/>
        </w:rPr>
        <w:t xml:space="preserve">AD </w:t>
      </w:r>
      <w:r w:rsidRPr="00CD0D03">
        <w:rPr>
          <w:rFonts w:cs="Times New Roman"/>
          <w:sz w:val="24"/>
          <w:szCs w:val="24"/>
          <w:lang w:val="en-US"/>
        </w:rPr>
        <w:t>cases and controls from different source populations or using different study procedures do not qualify as a proper Phase 2 study</w:t>
      </w:r>
      <w:r w:rsidR="008C5B27" w:rsidRPr="00CD0D03">
        <w:rPr>
          <w:rFonts w:cs="Times New Roman"/>
          <w:sz w:val="24"/>
          <w:szCs w:val="24"/>
          <w:lang w:val="en-US"/>
        </w:rPr>
        <w:t xml:space="preserve">. </w:t>
      </w:r>
      <w:r w:rsidR="000B4E0C" w:rsidRPr="00CD0D03">
        <w:rPr>
          <w:rFonts w:cs="Times New Roman"/>
          <w:sz w:val="24"/>
          <w:szCs w:val="24"/>
          <w:lang w:val="en-US"/>
        </w:rPr>
        <w:t>What mainly differentiate</w:t>
      </w:r>
      <w:r w:rsidR="00A32BF5">
        <w:rPr>
          <w:rFonts w:cs="Times New Roman"/>
          <w:sz w:val="24"/>
          <w:szCs w:val="24"/>
          <w:lang w:val="en-US"/>
        </w:rPr>
        <w:t>s</w:t>
      </w:r>
      <w:r w:rsidR="000B4E0C" w:rsidRPr="00CD0D03">
        <w:rPr>
          <w:rFonts w:cs="Times New Roman"/>
          <w:sz w:val="24"/>
          <w:szCs w:val="24"/>
          <w:lang w:val="en-US"/>
        </w:rPr>
        <w:t xml:space="preserve"> phase 1 from phase 2 </w:t>
      </w:r>
      <w:r w:rsidR="008C6096" w:rsidRPr="00CD0D03">
        <w:rPr>
          <w:rFonts w:cs="Times New Roman"/>
          <w:sz w:val="24"/>
          <w:szCs w:val="24"/>
          <w:lang w:val="en-US"/>
        </w:rPr>
        <w:t>is</w:t>
      </w:r>
      <w:r w:rsidR="000B4E0C" w:rsidRPr="00CD0D03">
        <w:rPr>
          <w:rFonts w:cs="Times New Roman"/>
          <w:sz w:val="24"/>
          <w:szCs w:val="24"/>
          <w:lang w:val="en-US"/>
        </w:rPr>
        <w:t xml:space="preserve"> </w:t>
      </w:r>
      <w:r w:rsidR="00B43020" w:rsidRPr="00CD0D03">
        <w:rPr>
          <w:rFonts w:cs="Times New Roman"/>
          <w:sz w:val="24"/>
          <w:szCs w:val="24"/>
          <w:lang w:val="en-US"/>
        </w:rPr>
        <w:t xml:space="preserve">the use of surrogate markers in vivo, and the application of </w:t>
      </w:r>
      <w:r w:rsidR="000B4E0C" w:rsidRPr="00CD0D03">
        <w:rPr>
          <w:rFonts w:cs="Times New Roman"/>
          <w:sz w:val="24"/>
          <w:szCs w:val="24"/>
          <w:lang w:val="en-US"/>
        </w:rPr>
        <w:t>more stringent epidemiological criteria</w:t>
      </w:r>
      <w:r w:rsidR="00B43020" w:rsidRPr="00CD0D03">
        <w:rPr>
          <w:rFonts w:cs="Times New Roman"/>
          <w:sz w:val="24"/>
          <w:szCs w:val="24"/>
          <w:lang w:val="en-US"/>
        </w:rPr>
        <w:t xml:space="preserve"> for the </w:t>
      </w:r>
      <w:r w:rsidR="000B4E0C" w:rsidRPr="00CD0D03">
        <w:rPr>
          <w:rFonts w:cs="Times New Roman"/>
          <w:sz w:val="24"/>
          <w:szCs w:val="24"/>
          <w:lang w:val="en-US"/>
        </w:rPr>
        <w:t xml:space="preserve">case-control </w:t>
      </w:r>
      <w:r w:rsidR="00B43020" w:rsidRPr="00CD0D03">
        <w:rPr>
          <w:rFonts w:cs="Times New Roman"/>
          <w:sz w:val="24"/>
          <w:szCs w:val="24"/>
          <w:lang w:val="en-US"/>
        </w:rPr>
        <w:t>study design. E</w:t>
      </w:r>
      <w:r w:rsidR="000B4E0C" w:rsidRPr="00CD0D03">
        <w:rPr>
          <w:rFonts w:cs="Times New Roman"/>
          <w:sz w:val="24"/>
          <w:szCs w:val="24"/>
          <w:lang w:val="en-US"/>
        </w:rPr>
        <w:t xml:space="preserve">very effort should be made to </w:t>
      </w:r>
      <w:r w:rsidR="00157AF8" w:rsidRPr="00CD0D03">
        <w:rPr>
          <w:rFonts w:cs="Times New Roman"/>
          <w:sz w:val="24"/>
          <w:szCs w:val="24"/>
          <w:lang w:val="en-US"/>
        </w:rPr>
        <w:t>minimize</w:t>
      </w:r>
      <w:r w:rsidR="000B4E0C" w:rsidRPr="00CD0D03">
        <w:rPr>
          <w:rFonts w:cs="Times New Roman"/>
          <w:sz w:val="24"/>
          <w:szCs w:val="24"/>
          <w:lang w:val="en-US"/>
        </w:rPr>
        <w:t xml:space="preserve"> selection and recall bias</w:t>
      </w:r>
      <w:r w:rsidR="00B43020" w:rsidRPr="00CD0D03">
        <w:rPr>
          <w:rFonts w:cs="Times New Roman"/>
          <w:sz w:val="24"/>
          <w:szCs w:val="24"/>
          <w:lang w:val="en-US"/>
        </w:rPr>
        <w:t xml:space="preserve">, and </w:t>
      </w:r>
      <w:r w:rsidR="000B4E0C" w:rsidRPr="00CD0D03">
        <w:rPr>
          <w:rFonts w:cs="Times New Roman"/>
          <w:sz w:val="24"/>
          <w:szCs w:val="24"/>
          <w:lang w:val="en-US"/>
        </w:rPr>
        <w:t>confound</w:t>
      </w:r>
      <w:r w:rsidR="00840ADD">
        <w:rPr>
          <w:rFonts w:cs="Times New Roman"/>
          <w:sz w:val="24"/>
          <w:szCs w:val="24"/>
          <w:lang w:val="en-US"/>
        </w:rPr>
        <w:t>ers</w:t>
      </w:r>
      <w:r w:rsidR="000B4E0C" w:rsidRPr="00CD0D03">
        <w:rPr>
          <w:rFonts w:cs="Times New Roman"/>
          <w:sz w:val="24"/>
          <w:szCs w:val="24"/>
          <w:lang w:val="en-US"/>
        </w:rPr>
        <w:t xml:space="preserve"> </w:t>
      </w:r>
      <w:r w:rsidR="00B43020" w:rsidRPr="00CD0D03">
        <w:rPr>
          <w:rFonts w:cs="Times New Roman"/>
          <w:sz w:val="24"/>
          <w:szCs w:val="24"/>
          <w:lang w:val="en-US"/>
        </w:rPr>
        <w:t xml:space="preserve">should be carefully accounted for. </w:t>
      </w:r>
    </w:p>
    <w:p w14:paraId="2276AE4F" w14:textId="77777777" w:rsidR="002D4B7D" w:rsidRPr="00CD0D03" w:rsidRDefault="002D4B7D" w:rsidP="00A83B7C">
      <w:pPr>
        <w:spacing w:line="480" w:lineRule="auto"/>
        <w:rPr>
          <w:rFonts w:cs="Times New Roman"/>
          <w:sz w:val="24"/>
          <w:szCs w:val="24"/>
          <w:lang w:val="en-US"/>
        </w:rPr>
      </w:pPr>
      <w:r w:rsidRPr="00CD0D03">
        <w:rPr>
          <w:rFonts w:cs="Times New Roman"/>
          <w:i/>
          <w:sz w:val="24"/>
          <w:szCs w:val="24"/>
          <w:lang w:val="en-US"/>
        </w:rPr>
        <w:t>3.2.</w:t>
      </w:r>
      <w:r w:rsidR="00EB5919" w:rsidRPr="00CD0D03">
        <w:rPr>
          <w:rFonts w:cs="Times New Roman"/>
          <w:i/>
          <w:sz w:val="24"/>
          <w:szCs w:val="24"/>
          <w:lang w:val="en-US"/>
        </w:rPr>
        <w:t xml:space="preserve">4 </w:t>
      </w:r>
      <w:r w:rsidRPr="00CD0D03">
        <w:rPr>
          <w:rFonts w:cs="Times New Roman"/>
          <w:i/>
          <w:sz w:val="24"/>
          <w:szCs w:val="24"/>
          <w:lang w:val="en-US"/>
        </w:rPr>
        <w:t>Phase 2 Gold standard</w:t>
      </w:r>
      <w:r w:rsidRPr="00CD0D03">
        <w:rPr>
          <w:rFonts w:cs="Times New Roman"/>
          <w:sz w:val="24"/>
          <w:szCs w:val="24"/>
          <w:lang w:val="en-US"/>
        </w:rPr>
        <w:t>.</w:t>
      </w:r>
      <w:r w:rsidRPr="00CD0D03">
        <w:rPr>
          <w:sz w:val="24"/>
          <w:szCs w:val="24"/>
          <w:lang w:val="en-US"/>
        </w:rPr>
        <w:t xml:space="preserve"> </w:t>
      </w:r>
      <w:r w:rsidR="00681087" w:rsidRPr="00CD0D03">
        <w:rPr>
          <w:rFonts w:cs="Times New Roman"/>
          <w:sz w:val="24"/>
          <w:szCs w:val="24"/>
          <w:lang w:val="en-US"/>
        </w:rPr>
        <w:t xml:space="preserve">In </w:t>
      </w:r>
      <w:r w:rsidR="00392BAC">
        <w:rPr>
          <w:rFonts w:cs="Times New Roman"/>
          <w:sz w:val="24"/>
          <w:szCs w:val="24"/>
          <w:lang w:val="en-US"/>
        </w:rPr>
        <w:t xml:space="preserve">the </w:t>
      </w:r>
      <w:r w:rsidR="00681087" w:rsidRPr="00CD0D03">
        <w:rPr>
          <w:rFonts w:cs="Times New Roman"/>
          <w:sz w:val="24"/>
          <w:szCs w:val="24"/>
          <w:lang w:val="en-US"/>
        </w:rPr>
        <w:t>absence of a neuropathological diagnosis of AD</w:t>
      </w:r>
      <w:r w:rsidR="008C5B27" w:rsidRPr="00CD0D03">
        <w:rPr>
          <w:rFonts w:cs="Times New Roman"/>
          <w:sz w:val="24"/>
          <w:szCs w:val="24"/>
          <w:lang w:val="en-US"/>
        </w:rPr>
        <w:t xml:space="preserve">, </w:t>
      </w:r>
      <w:r w:rsidRPr="00CD0D03">
        <w:rPr>
          <w:rFonts w:cs="Times New Roman"/>
          <w:sz w:val="24"/>
          <w:szCs w:val="24"/>
          <w:lang w:val="en-US"/>
        </w:rPr>
        <w:t>the clinical diagnosis of AD dementia</w:t>
      </w:r>
      <w:r w:rsidR="008C6096" w:rsidRPr="00CD0D03">
        <w:rPr>
          <w:rFonts w:cs="Times New Roman"/>
          <w:sz w:val="24"/>
          <w:szCs w:val="24"/>
          <w:lang w:val="en-US"/>
        </w:rPr>
        <w:t xml:space="preserve"> </w:t>
      </w:r>
      <w:r w:rsidR="00681087" w:rsidRPr="00CD0D03">
        <w:rPr>
          <w:rFonts w:cs="Times New Roman"/>
          <w:sz w:val="24"/>
          <w:szCs w:val="24"/>
          <w:lang w:val="en-US"/>
        </w:rPr>
        <w:t>is used as definition of case</w:t>
      </w:r>
      <w:r w:rsidR="00426163" w:rsidRPr="00CD0D03">
        <w:rPr>
          <w:rFonts w:cs="Times New Roman"/>
          <w:sz w:val="24"/>
          <w:szCs w:val="24"/>
          <w:lang w:val="en-US"/>
        </w:rPr>
        <w:t>ness in this phase</w:t>
      </w:r>
      <w:r w:rsidRPr="00CD0D03">
        <w:rPr>
          <w:rFonts w:cs="Times New Roman"/>
          <w:sz w:val="24"/>
          <w:szCs w:val="24"/>
          <w:lang w:val="en-US"/>
        </w:rPr>
        <w:t xml:space="preserve">. </w:t>
      </w:r>
    </w:p>
    <w:p w14:paraId="3E09C6C5" w14:textId="77777777" w:rsidR="002D4B7D" w:rsidRPr="00CD0D03" w:rsidRDefault="002D4B7D" w:rsidP="00A83B7C">
      <w:pPr>
        <w:spacing w:line="480" w:lineRule="auto"/>
        <w:rPr>
          <w:rFonts w:cs="Times New Roman"/>
          <w:sz w:val="24"/>
          <w:szCs w:val="24"/>
          <w:lang w:val="en-US"/>
        </w:rPr>
      </w:pPr>
      <w:r w:rsidRPr="00CD0D03">
        <w:rPr>
          <w:rFonts w:cs="Times New Roman"/>
          <w:i/>
          <w:sz w:val="24"/>
          <w:szCs w:val="24"/>
          <w:lang w:val="en-US"/>
        </w:rPr>
        <w:t>3.2.</w:t>
      </w:r>
      <w:r w:rsidR="00EB5919" w:rsidRPr="00CD0D03">
        <w:rPr>
          <w:rFonts w:cs="Times New Roman"/>
          <w:i/>
          <w:sz w:val="24"/>
          <w:szCs w:val="24"/>
          <w:lang w:val="en-US"/>
        </w:rPr>
        <w:t xml:space="preserve">5 </w:t>
      </w:r>
      <w:r w:rsidRPr="00CD0D03">
        <w:rPr>
          <w:rFonts w:cs="Times New Roman"/>
          <w:i/>
          <w:sz w:val="24"/>
          <w:szCs w:val="24"/>
          <w:lang w:val="en-US"/>
        </w:rPr>
        <w:t>Phase 2 Outcome</w:t>
      </w:r>
      <w:r w:rsidR="00320504" w:rsidRPr="00CD0D03">
        <w:rPr>
          <w:rFonts w:cs="Times New Roman"/>
          <w:i/>
          <w:sz w:val="24"/>
          <w:szCs w:val="24"/>
          <w:lang w:val="en-US"/>
        </w:rPr>
        <w:t>s</w:t>
      </w:r>
      <w:r w:rsidRPr="00CD0D03">
        <w:rPr>
          <w:rFonts w:cs="Times New Roman"/>
          <w:sz w:val="24"/>
          <w:szCs w:val="24"/>
          <w:lang w:val="en-US"/>
        </w:rPr>
        <w:t xml:space="preserve">. The examined outcome is the ability of </w:t>
      </w:r>
      <w:r w:rsidR="00B47D21">
        <w:rPr>
          <w:rFonts w:cs="Times New Roman"/>
          <w:sz w:val="24"/>
          <w:szCs w:val="24"/>
          <w:lang w:val="en-US"/>
        </w:rPr>
        <w:t>biomarkers</w:t>
      </w:r>
      <w:r w:rsidR="00B47D21" w:rsidRPr="00CD0D03">
        <w:rPr>
          <w:rFonts w:cs="Times New Roman"/>
          <w:sz w:val="24"/>
          <w:szCs w:val="24"/>
          <w:lang w:val="en-US"/>
        </w:rPr>
        <w:t xml:space="preserve"> </w:t>
      </w:r>
      <w:r w:rsidRPr="00CD0D03">
        <w:rPr>
          <w:rFonts w:cs="Times New Roman"/>
          <w:sz w:val="24"/>
          <w:szCs w:val="24"/>
          <w:lang w:val="en-US"/>
        </w:rPr>
        <w:t xml:space="preserve">to discriminate cases from controls. </w:t>
      </w:r>
      <w:r w:rsidR="00592E37" w:rsidRPr="00CD0D03">
        <w:rPr>
          <w:rFonts w:cs="Times New Roman"/>
          <w:sz w:val="24"/>
          <w:szCs w:val="24"/>
          <w:lang w:val="en-US"/>
        </w:rPr>
        <w:t xml:space="preserve">The caveat of increased heterogeneity given by the fact that a clinical </w:t>
      </w:r>
      <w:r w:rsidR="00592E37" w:rsidRPr="00CD0D03">
        <w:rPr>
          <w:rFonts w:cs="Times New Roman"/>
          <w:sz w:val="24"/>
          <w:szCs w:val="24"/>
          <w:lang w:val="en-US"/>
        </w:rPr>
        <w:lastRenderedPageBreak/>
        <w:t>rather than neuropathological definition of the disease is u</w:t>
      </w:r>
      <w:r w:rsidR="00157AF8">
        <w:rPr>
          <w:rFonts w:cs="Times New Roman"/>
          <w:sz w:val="24"/>
          <w:szCs w:val="24"/>
          <w:lang w:val="en-US"/>
        </w:rPr>
        <w:t>sed needs to be stressed here</w:t>
      </w:r>
      <w:r w:rsidRPr="00CD0D03">
        <w:rPr>
          <w:rFonts w:cs="Times New Roman"/>
          <w:sz w:val="24"/>
          <w:szCs w:val="24"/>
          <w:lang w:val="en-US"/>
        </w:rPr>
        <w:t xml:space="preserve"> (</w:t>
      </w:r>
      <w:r w:rsidR="00EE3268" w:rsidRPr="00CD0D03">
        <w:rPr>
          <w:rFonts w:cs="Times New Roman"/>
          <w:sz w:val="24"/>
          <w:szCs w:val="24"/>
          <w:lang w:val="en-US"/>
        </w:rPr>
        <w:t>K</w:t>
      </w:r>
      <w:r w:rsidR="00621BD7" w:rsidRPr="00CD0D03">
        <w:rPr>
          <w:rFonts w:cs="Times New Roman"/>
          <w:sz w:val="24"/>
          <w:szCs w:val="24"/>
          <w:lang w:val="en-US"/>
        </w:rPr>
        <w:t>ovacs</w:t>
      </w:r>
      <w:r w:rsidR="00EE3268" w:rsidRPr="00CD0D03">
        <w:rPr>
          <w:rFonts w:cs="Times New Roman"/>
          <w:sz w:val="24"/>
          <w:szCs w:val="24"/>
          <w:lang w:val="en-US"/>
        </w:rPr>
        <w:t xml:space="preserve"> </w:t>
      </w:r>
      <w:r w:rsidR="00965902" w:rsidRPr="00CD0D03">
        <w:rPr>
          <w:rFonts w:cs="Times New Roman"/>
          <w:i/>
          <w:sz w:val="24"/>
          <w:szCs w:val="24"/>
          <w:lang w:val="en-US"/>
        </w:rPr>
        <w:t>et al</w:t>
      </w:r>
      <w:r w:rsidR="00EE3268" w:rsidRPr="00CD0D03">
        <w:rPr>
          <w:rFonts w:cs="Times New Roman"/>
          <w:sz w:val="24"/>
          <w:szCs w:val="24"/>
          <w:lang w:val="en-US"/>
        </w:rPr>
        <w:t>., 2013</w:t>
      </w:r>
      <w:r w:rsidRPr="00CD0D03">
        <w:rPr>
          <w:rFonts w:cs="Times New Roman"/>
          <w:sz w:val="24"/>
          <w:szCs w:val="24"/>
          <w:lang w:val="en-US"/>
        </w:rPr>
        <w:t>).</w:t>
      </w:r>
      <w:r w:rsidR="00D26E67" w:rsidRPr="00CD0D03">
        <w:rPr>
          <w:rFonts w:cs="Times New Roman"/>
          <w:sz w:val="24"/>
          <w:szCs w:val="24"/>
          <w:lang w:val="en-US"/>
        </w:rPr>
        <w:t xml:space="preserve"> </w:t>
      </w:r>
    </w:p>
    <w:p w14:paraId="181B44A4" w14:textId="77777777" w:rsidR="002D4B7D" w:rsidRPr="00157AF8" w:rsidRDefault="002D4B7D" w:rsidP="00A83B7C">
      <w:pPr>
        <w:spacing w:line="480" w:lineRule="auto"/>
        <w:rPr>
          <w:rFonts w:cs="Times New Roman"/>
          <w:i/>
          <w:sz w:val="24"/>
          <w:szCs w:val="24"/>
          <w:lang w:val="en-US"/>
        </w:rPr>
      </w:pPr>
      <w:r w:rsidRPr="00157AF8">
        <w:rPr>
          <w:rFonts w:cs="Times New Roman"/>
          <w:i/>
          <w:sz w:val="24"/>
          <w:szCs w:val="24"/>
          <w:lang w:val="en-US"/>
        </w:rPr>
        <w:t>3.3 Phase 3: Prospective Longitudinal Repository Studies</w:t>
      </w:r>
    </w:p>
    <w:p w14:paraId="69250F95" w14:textId="1481F19E" w:rsidR="002D4B7D" w:rsidRPr="00CD0D03" w:rsidRDefault="00FA11AF" w:rsidP="00A83B7C">
      <w:pPr>
        <w:spacing w:line="480" w:lineRule="auto"/>
        <w:rPr>
          <w:rFonts w:cs="Times New Roman"/>
          <w:sz w:val="24"/>
          <w:szCs w:val="24"/>
          <w:lang w:val="en-US"/>
        </w:rPr>
      </w:pPr>
      <w:r w:rsidRPr="00CD0D03">
        <w:rPr>
          <w:rFonts w:cs="Times New Roman"/>
          <w:i/>
          <w:sz w:val="24"/>
          <w:szCs w:val="24"/>
          <w:lang w:val="en-US"/>
        </w:rPr>
        <w:t>3.3.1 Phase 3 Aims</w:t>
      </w:r>
      <w:r w:rsidRPr="00CD0D03">
        <w:rPr>
          <w:rFonts w:cs="Times New Roman"/>
          <w:sz w:val="24"/>
          <w:szCs w:val="24"/>
          <w:lang w:val="en-US"/>
        </w:rPr>
        <w:t xml:space="preserve">. </w:t>
      </w:r>
      <w:r w:rsidR="002D4B7D" w:rsidRPr="00CD0D03">
        <w:rPr>
          <w:rFonts w:cs="Times New Roman"/>
          <w:sz w:val="24"/>
          <w:szCs w:val="24"/>
          <w:lang w:val="en-US"/>
        </w:rPr>
        <w:t xml:space="preserve">This phase is designed to assess the ability of the </w:t>
      </w:r>
      <w:r w:rsidR="00A32BF5">
        <w:rPr>
          <w:rFonts w:cs="Times New Roman"/>
          <w:sz w:val="24"/>
          <w:szCs w:val="24"/>
          <w:lang w:val="en-US"/>
        </w:rPr>
        <w:t>biomarker</w:t>
      </w:r>
      <w:r w:rsidR="009F3D4E">
        <w:rPr>
          <w:rFonts w:cs="Times New Roman"/>
          <w:sz w:val="24"/>
          <w:szCs w:val="24"/>
          <w:lang w:val="en-US"/>
        </w:rPr>
        <w:t>s</w:t>
      </w:r>
      <w:r w:rsidR="00A32BF5" w:rsidRPr="00CD0D03">
        <w:rPr>
          <w:rFonts w:cs="Times New Roman"/>
          <w:sz w:val="24"/>
          <w:szCs w:val="24"/>
          <w:lang w:val="en-US"/>
        </w:rPr>
        <w:t xml:space="preserve"> </w:t>
      </w:r>
      <w:r w:rsidR="002D4B7D" w:rsidRPr="00CD0D03">
        <w:rPr>
          <w:rFonts w:cs="Times New Roman"/>
          <w:sz w:val="24"/>
          <w:szCs w:val="24"/>
          <w:lang w:val="en-US"/>
        </w:rPr>
        <w:t>to detect the disease at the earliest possible phase</w:t>
      </w:r>
      <w:r w:rsidR="002C32B7" w:rsidRPr="00CD0D03">
        <w:rPr>
          <w:rFonts w:cs="Times New Roman"/>
          <w:sz w:val="24"/>
          <w:szCs w:val="24"/>
          <w:lang w:val="en-US"/>
        </w:rPr>
        <w:t>, and ultimately sets out to demonstrate the predictive validity of the clinical test(s) in population-based representative samples</w:t>
      </w:r>
      <w:r w:rsidR="002D4B7D" w:rsidRPr="00CD0D03">
        <w:rPr>
          <w:rFonts w:cs="Times New Roman"/>
          <w:sz w:val="24"/>
          <w:szCs w:val="24"/>
          <w:lang w:val="en-US"/>
        </w:rPr>
        <w:t>.</w:t>
      </w:r>
      <w:r w:rsidR="00253C48" w:rsidRPr="00CD0D03">
        <w:rPr>
          <w:rFonts w:cs="Times New Roman"/>
          <w:sz w:val="24"/>
          <w:szCs w:val="24"/>
          <w:lang w:val="en-US"/>
        </w:rPr>
        <w:t xml:space="preserve"> </w:t>
      </w:r>
      <w:r w:rsidR="00F07534">
        <w:rPr>
          <w:rFonts w:cs="Times New Roman"/>
          <w:sz w:val="24"/>
          <w:szCs w:val="24"/>
          <w:lang w:val="en-US"/>
        </w:rPr>
        <w:t>As defined in sections 1.1 and 2.1 (“</w:t>
      </w:r>
      <w:r w:rsidR="00AF59D3" w:rsidRPr="00AE030F">
        <w:rPr>
          <w:rFonts w:cs="Times New Roman"/>
          <w:i/>
          <w:sz w:val="24"/>
          <w:szCs w:val="24"/>
          <w:lang w:val="en-US"/>
        </w:rPr>
        <w:t>population of interest</w:t>
      </w:r>
      <w:r w:rsidR="00F07534">
        <w:rPr>
          <w:rFonts w:cs="Times New Roman"/>
          <w:i/>
          <w:sz w:val="24"/>
          <w:szCs w:val="24"/>
          <w:lang w:val="en-US"/>
        </w:rPr>
        <w:t>”</w:t>
      </w:r>
      <w:r w:rsidR="00F07534">
        <w:rPr>
          <w:rFonts w:cs="Times New Roman"/>
          <w:sz w:val="24"/>
          <w:szCs w:val="24"/>
          <w:lang w:val="en-US"/>
        </w:rPr>
        <w:t>), although AD may now be detected even earlier, we limit our effort to the MCI population. Besides the mentioned convenience considerations, this is also consistent with the current clinical criteria (Albert et al., 2011; Sperling et al., 2011</w:t>
      </w:r>
      <w:r w:rsidR="001E3B32">
        <w:rPr>
          <w:rFonts w:cs="Times New Roman"/>
          <w:sz w:val="24"/>
          <w:szCs w:val="24"/>
          <w:lang w:val="en-US"/>
        </w:rPr>
        <w:t>; Dubois et al., 2014</w:t>
      </w:r>
      <w:r w:rsidR="00F07534">
        <w:rPr>
          <w:rFonts w:cs="Times New Roman"/>
          <w:sz w:val="24"/>
          <w:szCs w:val="24"/>
          <w:lang w:val="en-US"/>
        </w:rPr>
        <w:t xml:space="preserve">). </w:t>
      </w:r>
      <w:r w:rsidR="00253C48" w:rsidRPr="00CD0D03">
        <w:rPr>
          <w:rFonts w:cs="Times New Roman"/>
          <w:sz w:val="24"/>
          <w:szCs w:val="24"/>
          <w:lang w:val="en-US"/>
        </w:rPr>
        <w:t>In oncology</w:t>
      </w:r>
      <w:r w:rsidR="00F07534">
        <w:rPr>
          <w:rFonts w:cs="Times New Roman"/>
          <w:sz w:val="24"/>
          <w:szCs w:val="24"/>
          <w:lang w:val="en-US"/>
        </w:rPr>
        <w:t>, the ability of biomarkers in</w:t>
      </w:r>
      <w:r w:rsidR="00253C48" w:rsidRPr="00CD0D03">
        <w:rPr>
          <w:rFonts w:cs="Times New Roman"/>
          <w:sz w:val="24"/>
          <w:szCs w:val="24"/>
          <w:lang w:val="en-US"/>
        </w:rPr>
        <w:t xml:space="preserve"> </w:t>
      </w:r>
      <w:r w:rsidR="00F07534">
        <w:rPr>
          <w:rFonts w:cs="Times New Roman"/>
          <w:sz w:val="24"/>
          <w:szCs w:val="24"/>
          <w:lang w:val="en-US"/>
        </w:rPr>
        <w:t>the earliest phase</w:t>
      </w:r>
      <w:r w:rsidR="00F07534" w:rsidRPr="00CD0D03">
        <w:rPr>
          <w:rFonts w:cs="Times New Roman"/>
          <w:sz w:val="24"/>
          <w:szCs w:val="24"/>
          <w:lang w:val="en-US"/>
        </w:rPr>
        <w:t xml:space="preserve"> </w:t>
      </w:r>
      <w:r w:rsidR="00253C48" w:rsidRPr="00CD0D03">
        <w:rPr>
          <w:rFonts w:cs="Times New Roman"/>
          <w:sz w:val="24"/>
          <w:szCs w:val="24"/>
          <w:lang w:val="en-US"/>
        </w:rPr>
        <w:t>has been more often assessed with case-control studies nested in cohort</w:t>
      </w:r>
      <w:r w:rsidR="00693CA5" w:rsidRPr="00CD0D03">
        <w:rPr>
          <w:rFonts w:cs="Times New Roman"/>
          <w:sz w:val="24"/>
          <w:szCs w:val="24"/>
          <w:lang w:val="en-US"/>
        </w:rPr>
        <w:t>s</w:t>
      </w:r>
      <w:r w:rsidR="00253C48" w:rsidRPr="00CD0D03">
        <w:rPr>
          <w:rFonts w:cs="Times New Roman"/>
          <w:sz w:val="24"/>
          <w:szCs w:val="24"/>
          <w:lang w:val="en-US"/>
        </w:rPr>
        <w:t xml:space="preserve"> with biological samples collected at recruitment. Very few studies would have this design in the fiel</w:t>
      </w:r>
      <w:r w:rsidR="0015125F">
        <w:rPr>
          <w:rFonts w:cs="Times New Roman"/>
          <w:sz w:val="24"/>
          <w:szCs w:val="24"/>
          <w:lang w:val="en-US"/>
        </w:rPr>
        <w:t>d</w:t>
      </w:r>
      <w:r w:rsidR="00253C48" w:rsidRPr="00CD0D03">
        <w:rPr>
          <w:rFonts w:cs="Times New Roman"/>
          <w:sz w:val="24"/>
          <w:szCs w:val="24"/>
          <w:lang w:val="en-US"/>
        </w:rPr>
        <w:t xml:space="preserve"> of MCI and AD dementia</w:t>
      </w:r>
      <w:r w:rsidR="00CD3F61">
        <w:rPr>
          <w:rFonts w:cs="Times New Roman"/>
          <w:sz w:val="24"/>
          <w:szCs w:val="24"/>
          <w:lang w:val="en-US"/>
        </w:rPr>
        <w:t>;</w:t>
      </w:r>
      <w:r w:rsidR="00253C48" w:rsidRPr="00CD0D03">
        <w:rPr>
          <w:rFonts w:cs="Times New Roman"/>
          <w:sz w:val="24"/>
          <w:szCs w:val="24"/>
          <w:lang w:val="en-US"/>
        </w:rPr>
        <w:t xml:space="preserve"> as a consequence, by extension we include here all </w:t>
      </w:r>
      <w:r w:rsidR="00E43E39" w:rsidRPr="00CD0D03">
        <w:rPr>
          <w:rFonts w:cs="Times New Roman"/>
          <w:sz w:val="24"/>
          <w:szCs w:val="24"/>
          <w:lang w:val="en-US"/>
        </w:rPr>
        <w:t>studies that</w:t>
      </w:r>
      <w:r w:rsidR="00253C48" w:rsidRPr="00CD0D03">
        <w:rPr>
          <w:rFonts w:cs="Times New Roman"/>
          <w:sz w:val="24"/>
          <w:szCs w:val="24"/>
          <w:lang w:val="en-US"/>
        </w:rPr>
        <w:t xml:space="preserve"> have collected biomarkers in MCI populations and have collected follow-up data on their conversion to AD. </w:t>
      </w:r>
      <w:r w:rsidR="002D4B7D" w:rsidRPr="00CD0D03">
        <w:rPr>
          <w:rFonts w:cs="Times New Roman"/>
          <w:sz w:val="24"/>
          <w:szCs w:val="24"/>
          <w:lang w:val="en-US"/>
        </w:rPr>
        <w:t xml:space="preserve">In the oncology field, phase 3 </w:t>
      </w:r>
      <w:r w:rsidR="002C32B7" w:rsidRPr="00CD0D03">
        <w:rPr>
          <w:rFonts w:cs="Times New Roman"/>
          <w:sz w:val="24"/>
          <w:szCs w:val="24"/>
          <w:lang w:val="en-US"/>
        </w:rPr>
        <w:t>is based on</w:t>
      </w:r>
      <w:r w:rsidR="002D4B7D" w:rsidRPr="00CD0D03">
        <w:rPr>
          <w:rFonts w:cs="Times New Roman"/>
          <w:sz w:val="24"/>
          <w:szCs w:val="24"/>
          <w:lang w:val="en-US"/>
        </w:rPr>
        <w:t xml:space="preserve"> nested case-control studies of longitudinal cohorts where the disease status (cancer/no cancer) is known at time 0, blood</w:t>
      </w:r>
      <w:r w:rsidR="002C32B7" w:rsidRPr="00CD0D03">
        <w:rPr>
          <w:rFonts w:cs="Times New Roman"/>
          <w:sz w:val="24"/>
          <w:szCs w:val="24"/>
          <w:lang w:val="en-US"/>
        </w:rPr>
        <w:t xml:space="preserve"> samples were </w:t>
      </w:r>
      <w:r w:rsidR="002D4B7D" w:rsidRPr="00CD0D03">
        <w:rPr>
          <w:rFonts w:cs="Times New Roman"/>
          <w:sz w:val="24"/>
          <w:szCs w:val="24"/>
          <w:lang w:val="en-US"/>
        </w:rPr>
        <w:t xml:space="preserve">collected at time 0-n (5-10-20 years before), and the biomarker is measured </w:t>
      </w:r>
      <w:proofErr w:type="gramStart"/>
      <w:r w:rsidR="002D4B7D" w:rsidRPr="00CD0D03">
        <w:rPr>
          <w:rFonts w:cs="Times New Roman"/>
          <w:i/>
          <w:sz w:val="24"/>
          <w:szCs w:val="24"/>
          <w:lang w:val="en-US"/>
        </w:rPr>
        <w:t>a posteriori</w:t>
      </w:r>
      <w:proofErr w:type="gramEnd"/>
      <w:r w:rsidR="002D4B7D" w:rsidRPr="00CD0D03">
        <w:rPr>
          <w:rFonts w:cs="Times New Roman"/>
          <w:sz w:val="24"/>
          <w:szCs w:val="24"/>
          <w:lang w:val="en-US"/>
        </w:rPr>
        <w:t xml:space="preserve"> on the blood (hence the original notation of “retrospective longitudinal repository </w:t>
      </w:r>
      <w:r w:rsidR="00974B36" w:rsidRPr="00CD0D03">
        <w:rPr>
          <w:rFonts w:cs="Times New Roman"/>
          <w:sz w:val="24"/>
          <w:szCs w:val="24"/>
          <w:lang w:val="en-US"/>
        </w:rPr>
        <w:t xml:space="preserve">studies”). In the </w:t>
      </w:r>
      <w:r w:rsidR="00CD3F61">
        <w:rPr>
          <w:rFonts w:cs="Times New Roman"/>
          <w:sz w:val="24"/>
          <w:szCs w:val="24"/>
          <w:lang w:val="en-US"/>
        </w:rPr>
        <w:t>absence</w:t>
      </w:r>
      <w:r w:rsidR="00CD3F61" w:rsidRPr="00CD0D03">
        <w:rPr>
          <w:rFonts w:cs="Times New Roman"/>
          <w:sz w:val="24"/>
          <w:szCs w:val="24"/>
          <w:lang w:val="en-US"/>
        </w:rPr>
        <w:t xml:space="preserve"> </w:t>
      </w:r>
      <w:r w:rsidR="00974B36" w:rsidRPr="00CD0D03">
        <w:rPr>
          <w:rFonts w:cs="Times New Roman"/>
          <w:sz w:val="24"/>
          <w:szCs w:val="24"/>
          <w:lang w:val="en-US"/>
        </w:rPr>
        <w:t>of</w:t>
      </w:r>
      <w:r w:rsidR="002D4B7D" w:rsidRPr="00CD0D03">
        <w:rPr>
          <w:rFonts w:cs="Times New Roman"/>
          <w:sz w:val="24"/>
          <w:szCs w:val="24"/>
          <w:lang w:val="en-US"/>
        </w:rPr>
        <w:t xml:space="preserve"> assays repositories taken </w:t>
      </w:r>
      <w:r w:rsidR="002C32B7" w:rsidRPr="00CD0D03">
        <w:rPr>
          <w:rFonts w:cs="Times New Roman"/>
          <w:sz w:val="24"/>
          <w:szCs w:val="24"/>
          <w:lang w:val="en-US"/>
        </w:rPr>
        <w:t>in</w:t>
      </w:r>
      <w:r w:rsidR="002D4B7D" w:rsidRPr="00CD0D03">
        <w:rPr>
          <w:rFonts w:cs="Times New Roman"/>
          <w:sz w:val="24"/>
          <w:szCs w:val="24"/>
          <w:lang w:val="en-US"/>
        </w:rPr>
        <w:t xml:space="preserve"> asymptomatic subjects</w:t>
      </w:r>
      <w:r w:rsidR="002C32B7" w:rsidRPr="00CD0D03">
        <w:rPr>
          <w:rFonts w:cs="Times New Roman"/>
          <w:sz w:val="24"/>
          <w:szCs w:val="24"/>
          <w:lang w:val="en-US"/>
        </w:rPr>
        <w:t xml:space="preserve"> and stored prospectively</w:t>
      </w:r>
      <w:r w:rsidR="002D4B7D" w:rsidRPr="00CD0D03">
        <w:rPr>
          <w:rFonts w:cs="Times New Roman"/>
          <w:sz w:val="24"/>
          <w:szCs w:val="24"/>
          <w:lang w:val="en-US"/>
        </w:rPr>
        <w:t xml:space="preserve">, the adaptation to the </w:t>
      </w:r>
      <w:r w:rsidR="002C32B7" w:rsidRPr="00CD0D03">
        <w:rPr>
          <w:rFonts w:cs="Times New Roman"/>
          <w:sz w:val="24"/>
          <w:szCs w:val="24"/>
          <w:lang w:val="en-US"/>
        </w:rPr>
        <w:t>field of AD</w:t>
      </w:r>
      <w:r w:rsidR="002D4B7D" w:rsidRPr="00CD0D03">
        <w:rPr>
          <w:rFonts w:cs="Times New Roman"/>
          <w:sz w:val="24"/>
          <w:szCs w:val="24"/>
          <w:lang w:val="en-US"/>
        </w:rPr>
        <w:t xml:space="preserve"> </w:t>
      </w:r>
      <w:r w:rsidR="002C32B7" w:rsidRPr="00CD0D03">
        <w:rPr>
          <w:rFonts w:cs="Times New Roman"/>
          <w:sz w:val="24"/>
          <w:szCs w:val="24"/>
          <w:lang w:val="en-US"/>
        </w:rPr>
        <w:t xml:space="preserve">of Phase 3 </w:t>
      </w:r>
      <w:r w:rsidR="002D4B7D" w:rsidRPr="00CD0D03">
        <w:rPr>
          <w:rFonts w:cs="Times New Roman"/>
          <w:sz w:val="24"/>
          <w:szCs w:val="24"/>
          <w:lang w:val="en-US"/>
        </w:rPr>
        <w:t xml:space="preserve">requires a prospective design, where time 0 is when patients have MCI, </w:t>
      </w:r>
      <w:r w:rsidR="002C32B7" w:rsidRPr="00CD0D03">
        <w:rPr>
          <w:rFonts w:cs="Times New Roman"/>
          <w:sz w:val="24"/>
          <w:szCs w:val="24"/>
          <w:lang w:val="en-US"/>
        </w:rPr>
        <w:t xml:space="preserve">the </w:t>
      </w:r>
      <w:r w:rsidR="00B47D21">
        <w:rPr>
          <w:rFonts w:cs="Times New Roman"/>
          <w:sz w:val="24"/>
          <w:szCs w:val="24"/>
          <w:lang w:val="en-US"/>
        </w:rPr>
        <w:t>biomarkers</w:t>
      </w:r>
      <w:r w:rsidR="00B47D21" w:rsidRPr="00CD0D03">
        <w:rPr>
          <w:rFonts w:cs="Times New Roman"/>
          <w:sz w:val="24"/>
          <w:szCs w:val="24"/>
          <w:lang w:val="en-US"/>
        </w:rPr>
        <w:t xml:space="preserve"> </w:t>
      </w:r>
      <w:r w:rsidR="002D4B7D" w:rsidRPr="00CD0D03">
        <w:rPr>
          <w:rFonts w:cs="Times New Roman"/>
          <w:sz w:val="24"/>
          <w:szCs w:val="24"/>
          <w:lang w:val="en-US"/>
        </w:rPr>
        <w:t xml:space="preserve">are measured, and disease status </w:t>
      </w:r>
      <w:r w:rsidR="002C32B7" w:rsidRPr="00CD0D03">
        <w:rPr>
          <w:rFonts w:cs="Times New Roman"/>
          <w:sz w:val="24"/>
          <w:szCs w:val="24"/>
          <w:lang w:val="en-US"/>
        </w:rPr>
        <w:t xml:space="preserve">(i.e. incident </w:t>
      </w:r>
      <w:r w:rsidR="002D4B7D" w:rsidRPr="00CD0D03">
        <w:rPr>
          <w:rFonts w:cs="Times New Roman"/>
          <w:sz w:val="24"/>
          <w:szCs w:val="24"/>
          <w:lang w:val="en-US"/>
        </w:rPr>
        <w:t>dementia</w:t>
      </w:r>
      <w:r w:rsidR="002C32B7" w:rsidRPr="00CD0D03">
        <w:rPr>
          <w:rFonts w:cs="Times New Roman"/>
          <w:sz w:val="24"/>
          <w:szCs w:val="24"/>
          <w:lang w:val="en-US"/>
        </w:rPr>
        <w:t>) is ascertained</w:t>
      </w:r>
      <w:r w:rsidR="002D4B7D" w:rsidRPr="00CD0D03">
        <w:rPr>
          <w:rFonts w:cs="Times New Roman"/>
          <w:sz w:val="24"/>
          <w:szCs w:val="24"/>
          <w:lang w:val="en-US"/>
        </w:rPr>
        <w:t xml:space="preserve"> at time 0+n (generally </w:t>
      </w:r>
      <w:r w:rsidR="002C32B7" w:rsidRPr="00CD0D03">
        <w:rPr>
          <w:rFonts w:cs="Times New Roman"/>
          <w:sz w:val="24"/>
          <w:szCs w:val="24"/>
          <w:lang w:val="en-US"/>
        </w:rPr>
        <w:t xml:space="preserve">after </w:t>
      </w:r>
      <w:r w:rsidR="002D4B7D" w:rsidRPr="00CD0D03">
        <w:rPr>
          <w:rFonts w:cs="Times New Roman"/>
          <w:sz w:val="24"/>
          <w:szCs w:val="24"/>
          <w:lang w:val="en-US"/>
        </w:rPr>
        <w:t>1</w:t>
      </w:r>
      <w:r w:rsidR="002C32B7" w:rsidRPr="00CD0D03">
        <w:rPr>
          <w:rFonts w:cs="Times New Roman"/>
          <w:sz w:val="24"/>
          <w:szCs w:val="24"/>
          <w:lang w:val="en-US"/>
        </w:rPr>
        <w:t xml:space="preserve"> to </w:t>
      </w:r>
      <w:r w:rsidR="002D4B7D" w:rsidRPr="00CD0D03">
        <w:rPr>
          <w:rFonts w:cs="Times New Roman"/>
          <w:sz w:val="24"/>
          <w:szCs w:val="24"/>
          <w:lang w:val="en-US"/>
        </w:rPr>
        <w:t>5 years).</w:t>
      </w:r>
      <w:r w:rsidR="00974B36" w:rsidRPr="00CD0D03">
        <w:rPr>
          <w:rFonts w:cs="Times New Roman"/>
          <w:sz w:val="24"/>
          <w:szCs w:val="24"/>
          <w:lang w:val="en-US"/>
        </w:rPr>
        <w:t xml:space="preserve"> </w:t>
      </w:r>
      <w:r w:rsidR="002D4B7D" w:rsidRPr="00CD0D03">
        <w:rPr>
          <w:rFonts w:cs="Times New Roman"/>
          <w:sz w:val="24"/>
          <w:szCs w:val="24"/>
          <w:lang w:val="en-US"/>
        </w:rPr>
        <w:t>Thus,</w:t>
      </w:r>
      <w:r w:rsidR="00974B36" w:rsidRPr="00CD0D03">
        <w:rPr>
          <w:rFonts w:cs="Times New Roman"/>
          <w:sz w:val="24"/>
          <w:szCs w:val="24"/>
          <w:lang w:val="en-US"/>
        </w:rPr>
        <w:t xml:space="preserve"> the</w:t>
      </w:r>
      <w:r w:rsidR="002D4B7D" w:rsidRPr="00CD0D03">
        <w:rPr>
          <w:rFonts w:cs="Times New Roman"/>
          <w:sz w:val="24"/>
          <w:szCs w:val="24"/>
          <w:lang w:val="en-US"/>
        </w:rPr>
        <w:t xml:space="preserve"> primary aims consist </w:t>
      </w:r>
      <w:r w:rsidR="00F26772">
        <w:rPr>
          <w:rFonts w:cs="Times New Roman"/>
          <w:sz w:val="24"/>
          <w:szCs w:val="24"/>
          <w:lang w:val="en-US"/>
        </w:rPr>
        <w:t>of</w:t>
      </w:r>
      <w:r w:rsidR="00F26772" w:rsidRPr="00CD0D03">
        <w:rPr>
          <w:rFonts w:cs="Times New Roman"/>
          <w:sz w:val="24"/>
          <w:szCs w:val="24"/>
          <w:lang w:val="en-US"/>
        </w:rPr>
        <w:t xml:space="preserve"> </w:t>
      </w:r>
      <w:r w:rsidR="002D4B7D" w:rsidRPr="00CD0D03">
        <w:rPr>
          <w:rFonts w:cs="Times New Roman"/>
          <w:sz w:val="24"/>
          <w:szCs w:val="24"/>
          <w:lang w:val="en-US"/>
        </w:rPr>
        <w:t>evaluating the ability of the biomarker to detect the disease</w:t>
      </w:r>
      <w:r w:rsidR="009F3D4E" w:rsidRPr="009F3D4E">
        <w:rPr>
          <w:rFonts w:cs="Times New Roman"/>
          <w:sz w:val="24"/>
          <w:szCs w:val="24"/>
          <w:lang w:val="en-US"/>
        </w:rPr>
        <w:t xml:space="preserve"> </w:t>
      </w:r>
      <w:r w:rsidR="009F3D4E" w:rsidRPr="00415513">
        <w:rPr>
          <w:rFonts w:cs="Times New Roman"/>
          <w:i/>
          <w:sz w:val="24"/>
          <w:szCs w:val="24"/>
          <w:lang w:val="en-US"/>
        </w:rPr>
        <w:t>in situ</w:t>
      </w:r>
      <w:r w:rsidR="002D4B7D" w:rsidRPr="00CD0D03">
        <w:rPr>
          <w:rFonts w:cs="Times New Roman"/>
          <w:sz w:val="24"/>
          <w:szCs w:val="24"/>
          <w:lang w:val="en-US"/>
        </w:rPr>
        <w:t xml:space="preserve"> in MCI, as the earliest possible phase</w:t>
      </w:r>
      <w:r w:rsidR="002C32B7" w:rsidRPr="00CD0D03">
        <w:rPr>
          <w:rFonts w:cs="Times New Roman"/>
          <w:sz w:val="24"/>
          <w:szCs w:val="24"/>
          <w:lang w:val="en-US"/>
        </w:rPr>
        <w:t xml:space="preserve"> of </w:t>
      </w:r>
      <w:r w:rsidR="00355B42" w:rsidRPr="00CD0D03">
        <w:rPr>
          <w:rFonts w:cs="Times New Roman"/>
          <w:sz w:val="24"/>
          <w:szCs w:val="24"/>
          <w:lang w:val="en-US"/>
        </w:rPr>
        <w:t>AD</w:t>
      </w:r>
      <w:r w:rsidR="002D4B7D" w:rsidRPr="00CD0D03">
        <w:rPr>
          <w:rFonts w:cs="Times New Roman"/>
          <w:sz w:val="24"/>
          <w:szCs w:val="24"/>
          <w:lang w:val="en-US"/>
        </w:rPr>
        <w:t>, and to define criteria for test positivity</w:t>
      </w:r>
      <w:r w:rsidR="002C32B7" w:rsidRPr="00CD0D03">
        <w:rPr>
          <w:rFonts w:cs="Times New Roman"/>
          <w:sz w:val="24"/>
          <w:szCs w:val="24"/>
          <w:lang w:val="en-US"/>
        </w:rPr>
        <w:t xml:space="preserve"> that accurately distinguish MCI due to AD from other diseases that may cause or explain the observed MCI phenotype</w:t>
      </w:r>
      <w:r w:rsidR="002D4B7D" w:rsidRPr="00CD0D03">
        <w:rPr>
          <w:rFonts w:cs="Times New Roman"/>
          <w:sz w:val="24"/>
          <w:szCs w:val="24"/>
          <w:lang w:val="en-US"/>
        </w:rPr>
        <w:t xml:space="preserve">. </w:t>
      </w:r>
      <w:r w:rsidR="002D4B7D" w:rsidRPr="00CD0D03">
        <w:rPr>
          <w:rFonts w:cs="Times New Roman"/>
          <w:sz w:val="24"/>
          <w:szCs w:val="24"/>
          <w:lang w:val="en-US"/>
        </w:rPr>
        <w:lastRenderedPageBreak/>
        <w:t xml:space="preserve">Secondary aims consist </w:t>
      </w:r>
      <w:r w:rsidR="00F26772">
        <w:rPr>
          <w:rFonts w:cs="Times New Roman"/>
          <w:sz w:val="24"/>
          <w:szCs w:val="24"/>
          <w:lang w:val="en-US"/>
        </w:rPr>
        <w:t>of</w:t>
      </w:r>
      <w:r w:rsidR="00F26772" w:rsidRPr="00CD0D03">
        <w:rPr>
          <w:rFonts w:cs="Times New Roman"/>
          <w:sz w:val="24"/>
          <w:szCs w:val="24"/>
          <w:lang w:val="en-US"/>
        </w:rPr>
        <w:t xml:space="preserve"> </w:t>
      </w:r>
      <w:r w:rsidR="002C32B7" w:rsidRPr="00CD0D03">
        <w:rPr>
          <w:rFonts w:cs="Times New Roman"/>
          <w:sz w:val="24"/>
          <w:szCs w:val="24"/>
          <w:lang w:val="en-US"/>
        </w:rPr>
        <w:t>the</w:t>
      </w:r>
      <w:r w:rsidR="002D4B7D" w:rsidRPr="00CD0D03">
        <w:rPr>
          <w:rFonts w:cs="Times New Roman"/>
          <w:sz w:val="24"/>
          <w:szCs w:val="24"/>
          <w:lang w:val="en-US"/>
        </w:rPr>
        <w:t xml:space="preserve"> </w:t>
      </w:r>
      <w:r w:rsidR="002C32B7" w:rsidRPr="00CD0D03">
        <w:rPr>
          <w:rFonts w:cs="Times New Roman"/>
          <w:sz w:val="24"/>
          <w:szCs w:val="24"/>
          <w:lang w:val="en-US"/>
        </w:rPr>
        <w:t>formal exploration of</w:t>
      </w:r>
      <w:r w:rsidR="002D4B7D" w:rsidRPr="00CD0D03">
        <w:rPr>
          <w:rFonts w:cs="Times New Roman"/>
          <w:sz w:val="24"/>
          <w:szCs w:val="24"/>
          <w:lang w:val="en-US"/>
        </w:rPr>
        <w:t xml:space="preserve"> the impact of </w:t>
      </w:r>
      <w:r w:rsidR="002C32B7" w:rsidRPr="00CD0D03">
        <w:rPr>
          <w:rFonts w:cs="Times New Roman"/>
          <w:sz w:val="24"/>
          <w:szCs w:val="24"/>
          <w:lang w:val="en-US"/>
        </w:rPr>
        <w:t xml:space="preserve">relevant </w:t>
      </w:r>
      <w:r w:rsidR="002D4B7D" w:rsidRPr="00CD0D03">
        <w:rPr>
          <w:rFonts w:cs="Times New Roman"/>
          <w:sz w:val="24"/>
          <w:szCs w:val="24"/>
          <w:lang w:val="en-US"/>
        </w:rPr>
        <w:t>covariates in the discriminatory ability of the biomarker, compari</w:t>
      </w:r>
      <w:r w:rsidR="00C34094" w:rsidRPr="00CD0D03">
        <w:rPr>
          <w:rFonts w:cs="Times New Roman"/>
          <w:sz w:val="24"/>
          <w:szCs w:val="24"/>
          <w:lang w:val="en-US"/>
        </w:rPr>
        <w:t xml:space="preserve">sons across the </w:t>
      </w:r>
      <w:r w:rsidR="002D4B7D" w:rsidRPr="00CD0D03">
        <w:rPr>
          <w:rFonts w:cs="Times New Roman"/>
          <w:sz w:val="24"/>
          <w:szCs w:val="24"/>
          <w:lang w:val="en-US"/>
        </w:rPr>
        <w:t>performance</w:t>
      </w:r>
      <w:r w:rsidR="00C34094" w:rsidRPr="00CD0D03">
        <w:rPr>
          <w:rFonts w:cs="Times New Roman"/>
          <w:sz w:val="24"/>
          <w:szCs w:val="24"/>
          <w:lang w:val="en-US"/>
        </w:rPr>
        <w:t>s</w:t>
      </w:r>
      <w:r w:rsidR="002D4B7D" w:rsidRPr="00CD0D03">
        <w:rPr>
          <w:rFonts w:cs="Times New Roman"/>
          <w:sz w:val="24"/>
          <w:szCs w:val="24"/>
          <w:lang w:val="en-US"/>
        </w:rPr>
        <w:t xml:space="preserve"> of different biomarkers to </w:t>
      </w:r>
      <w:r w:rsidR="00C34094" w:rsidRPr="00CD0D03">
        <w:rPr>
          <w:rFonts w:cs="Times New Roman"/>
          <w:sz w:val="24"/>
          <w:szCs w:val="24"/>
          <w:lang w:val="en-US"/>
        </w:rPr>
        <w:t>operate a progressive selection in the sake of parsimony, and finally</w:t>
      </w:r>
      <w:r w:rsidR="002D4B7D" w:rsidRPr="00CD0D03">
        <w:rPr>
          <w:rFonts w:cs="Times New Roman"/>
          <w:sz w:val="24"/>
          <w:szCs w:val="24"/>
          <w:lang w:val="en-US"/>
        </w:rPr>
        <w:t xml:space="preserve"> </w:t>
      </w:r>
      <w:r w:rsidR="00C34094" w:rsidRPr="00CD0D03">
        <w:rPr>
          <w:rFonts w:cs="Times New Roman"/>
          <w:sz w:val="24"/>
          <w:szCs w:val="24"/>
          <w:lang w:val="en-US"/>
        </w:rPr>
        <w:t>the development and subsequent validation of sets of diagnostic criteria based on</w:t>
      </w:r>
      <w:r w:rsidR="002D4B7D" w:rsidRPr="00CD0D03">
        <w:rPr>
          <w:rFonts w:cs="Times New Roman"/>
          <w:sz w:val="24"/>
          <w:szCs w:val="24"/>
          <w:lang w:val="en-US"/>
        </w:rPr>
        <w:t xml:space="preserve"> algorithms combining biomarkers for optimal performance.</w:t>
      </w:r>
      <w:r w:rsidR="00C81814">
        <w:rPr>
          <w:rFonts w:cs="Times New Roman"/>
          <w:sz w:val="24"/>
          <w:szCs w:val="24"/>
          <w:lang w:val="en-US"/>
        </w:rPr>
        <w:t xml:space="preserve"> Since these studies are aimed to fine</w:t>
      </w:r>
      <w:r w:rsidR="00920C38">
        <w:rPr>
          <w:rFonts w:cs="Times New Roman"/>
          <w:sz w:val="24"/>
          <w:szCs w:val="24"/>
          <w:lang w:val="en-US"/>
        </w:rPr>
        <w:t>-</w:t>
      </w:r>
      <w:r w:rsidR="00C81814">
        <w:rPr>
          <w:rFonts w:cs="Times New Roman"/>
          <w:sz w:val="24"/>
          <w:szCs w:val="24"/>
          <w:lang w:val="en-US"/>
        </w:rPr>
        <w:t>tune the parameters of the biomarker, assays can be taken from everyday clinical context, however the biomarker is assessed only for experimental purposes and is not used to help diagnosis nor treatment of these patients.</w:t>
      </w:r>
      <w:r w:rsidR="00920C38">
        <w:rPr>
          <w:rFonts w:cs="Times New Roman"/>
          <w:sz w:val="24"/>
          <w:szCs w:val="24"/>
          <w:lang w:val="en-US"/>
        </w:rPr>
        <w:t xml:space="preserve">  An example for this kind of study is CSF</w:t>
      </w:r>
      <w:r w:rsidR="00A34356">
        <w:rPr>
          <w:rFonts w:cs="Times New Roman"/>
          <w:sz w:val="24"/>
          <w:szCs w:val="24"/>
          <w:lang w:val="en-US"/>
        </w:rPr>
        <w:t xml:space="preserve"> Abeta</w:t>
      </w:r>
      <w:r w:rsidR="00920C38">
        <w:rPr>
          <w:rFonts w:cs="Times New Roman"/>
          <w:sz w:val="24"/>
          <w:szCs w:val="24"/>
          <w:lang w:val="en-US"/>
        </w:rPr>
        <w:t xml:space="preserve">42 and T-tau assessment by Eckerstrom et al., 2000, where the same assays were used to define normality cut-offs based on the performance of </w:t>
      </w:r>
      <w:r w:rsidR="00A34356">
        <w:rPr>
          <w:rFonts w:cs="Times New Roman"/>
          <w:sz w:val="24"/>
          <w:szCs w:val="24"/>
          <w:lang w:val="en-US"/>
        </w:rPr>
        <w:t xml:space="preserve">Abeta42 and T-tau </w:t>
      </w:r>
      <w:r w:rsidR="00920C38">
        <w:rPr>
          <w:rFonts w:cs="Times New Roman"/>
          <w:sz w:val="24"/>
          <w:szCs w:val="24"/>
          <w:lang w:val="en-US"/>
        </w:rPr>
        <w:t>in separating converter and non-converter MCI subjects within the sample</w:t>
      </w:r>
      <w:r w:rsidR="00A34356">
        <w:rPr>
          <w:rFonts w:cs="Times New Roman"/>
          <w:sz w:val="24"/>
          <w:szCs w:val="24"/>
          <w:lang w:val="en-US"/>
        </w:rPr>
        <w:t xml:space="preserve"> itself</w:t>
      </w:r>
      <w:r w:rsidR="00920C38">
        <w:rPr>
          <w:rFonts w:cs="Times New Roman"/>
          <w:sz w:val="24"/>
          <w:szCs w:val="24"/>
          <w:lang w:val="en-US"/>
        </w:rPr>
        <w:t xml:space="preserve">: both baseline and follow-up diagnoses were </w:t>
      </w:r>
      <w:r w:rsidR="00A34356">
        <w:rPr>
          <w:rFonts w:cs="Times New Roman"/>
          <w:sz w:val="24"/>
          <w:szCs w:val="24"/>
          <w:lang w:val="en-US"/>
        </w:rPr>
        <w:t xml:space="preserve">thus </w:t>
      </w:r>
      <w:r w:rsidR="00920C38">
        <w:rPr>
          <w:rFonts w:cs="Times New Roman"/>
          <w:sz w:val="24"/>
          <w:szCs w:val="24"/>
          <w:lang w:val="en-US"/>
        </w:rPr>
        <w:t>defined independently on CSF assays, and follow-up diagnosis served as the reference standard for the study.</w:t>
      </w:r>
    </w:p>
    <w:p w14:paraId="4DD3B652" w14:textId="77777777" w:rsidR="002D4B7D" w:rsidRPr="00CD0D03" w:rsidRDefault="002D4B7D" w:rsidP="00A83B7C">
      <w:pPr>
        <w:spacing w:line="480" w:lineRule="auto"/>
        <w:rPr>
          <w:rFonts w:cs="Times New Roman"/>
          <w:sz w:val="24"/>
          <w:szCs w:val="24"/>
          <w:lang w:val="en-US"/>
        </w:rPr>
      </w:pPr>
      <w:r w:rsidRPr="00CD0D03">
        <w:rPr>
          <w:rFonts w:cs="Times New Roman"/>
          <w:i/>
          <w:sz w:val="24"/>
          <w:szCs w:val="24"/>
          <w:lang w:val="en-US"/>
        </w:rPr>
        <w:t>3.3.</w:t>
      </w:r>
      <w:r w:rsidR="00FA11AF" w:rsidRPr="00CD0D03">
        <w:rPr>
          <w:rFonts w:cs="Times New Roman"/>
          <w:i/>
          <w:sz w:val="24"/>
          <w:szCs w:val="24"/>
          <w:lang w:val="en-US"/>
        </w:rPr>
        <w:t xml:space="preserve">2 </w:t>
      </w:r>
      <w:r w:rsidRPr="00CD0D03">
        <w:rPr>
          <w:rFonts w:cs="Times New Roman"/>
          <w:i/>
          <w:sz w:val="24"/>
          <w:szCs w:val="24"/>
          <w:lang w:val="en-US"/>
        </w:rPr>
        <w:t>Phase 3 Design</w:t>
      </w:r>
      <w:r w:rsidRPr="00CD0D03">
        <w:rPr>
          <w:rFonts w:cs="Times New Roman"/>
          <w:sz w:val="24"/>
          <w:szCs w:val="24"/>
          <w:lang w:val="en-US"/>
        </w:rPr>
        <w:t>. The</w:t>
      </w:r>
      <w:r w:rsidR="00C34094" w:rsidRPr="00CD0D03">
        <w:rPr>
          <w:rFonts w:cs="Times New Roman"/>
          <w:sz w:val="24"/>
          <w:szCs w:val="24"/>
          <w:lang w:val="en-US"/>
        </w:rPr>
        <w:t xml:space="preserve"> study</w:t>
      </w:r>
      <w:r w:rsidRPr="00CD0D03">
        <w:rPr>
          <w:rFonts w:cs="Times New Roman"/>
          <w:sz w:val="24"/>
          <w:szCs w:val="24"/>
          <w:lang w:val="en-US"/>
        </w:rPr>
        <w:t xml:space="preserve"> design </w:t>
      </w:r>
      <w:r w:rsidR="00C34094" w:rsidRPr="00CD0D03">
        <w:rPr>
          <w:rFonts w:cs="Times New Roman"/>
          <w:sz w:val="24"/>
          <w:szCs w:val="24"/>
          <w:lang w:val="en-US"/>
        </w:rPr>
        <w:t>in the Framework P</w:t>
      </w:r>
      <w:r w:rsidR="00A255B8" w:rsidRPr="00CD0D03">
        <w:rPr>
          <w:rFonts w:cs="Times New Roman"/>
          <w:sz w:val="24"/>
          <w:szCs w:val="24"/>
          <w:lang w:val="en-US"/>
        </w:rPr>
        <w:t xml:space="preserve">hase 3 </w:t>
      </w:r>
      <w:r w:rsidR="00C34094" w:rsidRPr="00CD0D03">
        <w:rPr>
          <w:rFonts w:cs="Times New Roman"/>
          <w:sz w:val="24"/>
          <w:szCs w:val="24"/>
          <w:lang w:val="en-US"/>
        </w:rPr>
        <w:t>in AD</w:t>
      </w:r>
      <w:r w:rsidRPr="00CD0D03">
        <w:rPr>
          <w:rFonts w:cs="Times New Roman"/>
          <w:sz w:val="24"/>
          <w:szCs w:val="24"/>
          <w:lang w:val="en-US"/>
        </w:rPr>
        <w:t xml:space="preserve"> </w:t>
      </w:r>
      <w:r w:rsidR="00C34094" w:rsidRPr="00CD0D03">
        <w:rPr>
          <w:rFonts w:cs="Times New Roman"/>
          <w:sz w:val="24"/>
          <w:szCs w:val="24"/>
          <w:lang w:val="en-US"/>
        </w:rPr>
        <w:t xml:space="preserve">is a </w:t>
      </w:r>
      <w:r w:rsidRPr="00CD0D03">
        <w:rPr>
          <w:rFonts w:cs="Times New Roman"/>
          <w:sz w:val="24"/>
          <w:szCs w:val="24"/>
          <w:lang w:val="en-US"/>
        </w:rPr>
        <w:t>prospective</w:t>
      </w:r>
      <w:r w:rsidR="00C34094" w:rsidRPr="00CD0D03">
        <w:rPr>
          <w:rFonts w:cs="Times New Roman"/>
          <w:sz w:val="24"/>
          <w:szCs w:val="24"/>
          <w:lang w:val="en-US"/>
        </w:rPr>
        <w:t xml:space="preserve">, </w:t>
      </w:r>
      <w:r w:rsidR="00B916A7" w:rsidRPr="00CD0D03">
        <w:rPr>
          <w:rFonts w:cs="Times New Roman"/>
          <w:sz w:val="24"/>
          <w:szCs w:val="24"/>
          <w:lang w:val="en-US"/>
        </w:rPr>
        <w:t>cohort study</w:t>
      </w:r>
      <w:r w:rsidRPr="00CD0D03">
        <w:rPr>
          <w:rFonts w:cs="Times New Roman"/>
          <w:sz w:val="24"/>
          <w:szCs w:val="24"/>
          <w:lang w:val="en-US"/>
        </w:rPr>
        <w:t xml:space="preserve">. </w:t>
      </w:r>
      <w:r w:rsidR="00693CA5" w:rsidRPr="00CD0D03">
        <w:rPr>
          <w:rFonts w:cs="Times New Roman"/>
          <w:sz w:val="24"/>
          <w:szCs w:val="24"/>
          <w:lang w:val="en-US"/>
        </w:rPr>
        <w:t xml:space="preserve">Data on the </w:t>
      </w:r>
      <w:r w:rsidR="00B47D21">
        <w:rPr>
          <w:rFonts w:cs="Times New Roman"/>
          <w:sz w:val="24"/>
          <w:szCs w:val="24"/>
          <w:lang w:val="en-US"/>
        </w:rPr>
        <w:t>biomarkers</w:t>
      </w:r>
      <w:r w:rsidR="00B47D21" w:rsidRPr="00CD0D03">
        <w:rPr>
          <w:rFonts w:cs="Times New Roman"/>
          <w:sz w:val="24"/>
          <w:szCs w:val="24"/>
          <w:lang w:val="en-US"/>
        </w:rPr>
        <w:t xml:space="preserve"> </w:t>
      </w:r>
      <w:r w:rsidRPr="00CD0D03">
        <w:rPr>
          <w:rFonts w:cs="Times New Roman"/>
          <w:sz w:val="24"/>
          <w:szCs w:val="24"/>
          <w:lang w:val="en-US"/>
        </w:rPr>
        <w:t xml:space="preserve">and the clinical status of MCI are </w:t>
      </w:r>
      <w:r w:rsidR="00577FEF" w:rsidRPr="00CD0D03">
        <w:rPr>
          <w:rFonts w:cs="Times New Roman"/>
          <w:sz w:val="24"/>
          <w:szCs w:val="24"/>
          <w:lang w:val="en-US"/>
        </w:rPr>
        <w:t xml:space="preserve">collected </w:t>
      </w:r>
      <w:r w:rsidRPr="00CD0D03">
        <w:rPr>
          <w:rFonts w:cs="Times New Roman"/>
          <w:sz w:val="24"/>
          <w:szCs w:val="24"/>
          <w:lang w:val="en-US"/>
        </w:rPr>
        <w:t xml:space="preserve">at </w:t>
      </w:r>
      <w:r w:rsidR="00577FEF" w:rsidRPr="00CD0D03">
        <w:rPr>
          <w:rFonts w:cs="Times New Roman"/>
          <w:sz w:val="24"/>
          <w:szCs w:val="24"/>
          <w:lang w:val="en-US"/>
        </w:rPr>
        <w:t>baseline</w:t>
      </w:r>
      <w:r w:rsidRPr="00CD0D03">
        <w:rPr>
          <w:rFonts w:cs="Times New Roman"/>
          <w:sz w:val="24"/>
          <w:szCs w:val="24"/>
          <w:lang w:val="en-US"/>
        </w:rPr>
        <w:t xml:space="preserve">, the outcome </w:t>
      </w:r>
      <w:r w:rsidR="00577FEF" w:rsidRPr="00CD0D03">
        <w:rPr>
          <w:rFonts w:cs="Times New Roman"/>
          <w:sz w:val="24"/>
          <w:szCs w:val="24"/>
          <w:lang w:val="en-US"/>
        </w:rPr>
        <w:t xml:space="preserve">being </w:t>
      </w:r>
      <w:r w:rsidRPr="00CD0D03">
        <w:rPr>
          <w:rFonts w:cs="Times New Roman"/>
          <w:sz w:val="24"/>
          <w:szCs w:val="24"/>
          <w:lang w:val="en-US"/>
        </w:rPr>
        <w:t xml:space="preserve">incident dementia </w:t>
      </w:r>
      <w:r w:rsidR="00B916A7" w:rsidRPr="00CD0D03">
        <w:rPr>
          <w:rFonts w:cs="Times New Roman"/>
          <w:sz w:val="24"/>
          <w:szCs w:val="24"/>
          <w:lang w:val="en-US"/>
        </w:rPr>
        <w:t xml:space="preserve">(i.e. </w:t>
      </w:r>
      <w:r w:rsidRPr="00CD0D03">
        <w:rPr>
          <w:rFonts w:cs="Times New Roman"/>
          <w:sz w:val="24"/>
          <w:szCs w:val="24"/>
          <w:lang w:val="en-US"/>
        </w:rPr>
        <w:t xml:space="preserve">progression </w:t>
      </w:r>
      <w:r w:rsidR="00B916A7" w:rsidRPr="00CD0D03">
        <w:rPr>
          <w:rFonts w:cs="Times New Roman"/>
          <w:sz w:val="24"/>
          <w:szCs w:val="24"/>
          <w:lang w:val="en-US"/>
        </w:rPr>
        <w:t>to AD)</w:t>
      </w:r>
      <w:r w:rsidRPr="00CD0D03">
        <w:rPr>
          <w:rFonts w:cs="Times New Roman"/>
          <w:sz w:val="24"/>
          <w:szCs w:val="24"/>
          <w:lang w:val="en-US"/>
        </w:rPr>
        <w:t xml:space="preserve">. </w:t>
      </w:r>
      <w:r w:rsidR="00B916A7" w:rsidRPr="00CD0D03">
        <w:rPr>
          <w:rFonts w:cs="Times New Roman"/>
          <w:sz w:val="24"/>
          <w:szCs w:val="24"/>
          <w:lang w:val="en-US"/>
        </w:rPr>
        <w:t>Note that</w:t>
      </w:r>
      <w:r w:rsidRPr="00CD0D03">
        <w:rPr>
          <w:rFonts w:cs="Times New Roman"/>
          <w:sz w:val="24"/>
          <w:szCs w:val="24"/>
          <w:lang w:val="en-US"/>
        </w:rPr>
        <w:t xml:space="preserve"> Phase 3 studies are purely observational, </w:t>
      </w:r>
      <w:r w:rsidR="00B916A7" w:rsidRPr="00CD0D03">
        <w:rPr>
          <w:rFonts w:cs="Times New Roman"/>
          <w:sz w:val="24"/>
          <w:szCs w:val="24"/>
          <w:lang w:val="en-US"/>
        </w:rPr>
        <w:t xml:space="preserve">that is </w:t>
      </w:r>
      <w:r w:rsidRPr="00CD0D03">
        <w:rPr>
          <w:rFonts w:cs="Times New Roman"/>
          <w:sz w:val="24"/>
          <w:szCs w:val="24"/>
          <w:lang w:val="en-US"/>
        </w:rPr>
        <w:t xml:space="preserve">the </w:t>
      </w:r>
      <w:r w:rsidR="00B47D21">
        <w:rPr>
          <w:rFonts w:cs="Times New Roman"/>
          <w:sz w:val="24"/>
          <w:szCs w:val="24"/>
          <w:lang w:val="en-US"/>
        </w:rPr>
        <w:t>biomarkers</w:t>
      </w:r>
      <w:r w:rsidR="00B47D21" w:rsidRPr="00CD0D03">
        <w:rPr>
          <w:rFonts w:cs="Times New Roman"/>
          <w:sz w:val="24"/>
          <w:szCs w:val="24"/>
          <w:lang w:val="en-US"/>
        </w:rPr>
        <w:t xml:space="preserve"> </w:t>
      </w:r>
      <w:r w:rsidR="00B916A7" w:rsidRPr="00CD0D03">
        <w:rPr>
          <w:rFonts w:cs="Times New Roman"/>
          <w:sz w:val="24"/>
          <w:szCs w:val="24"/>
          <w:lang w:val="en-US"/>
        </w:rPr>
        <w:t xml:space="preserve">results at baseline </w:t>
      </w:r>
      <w:r w:rsidRPr="00CD0D03">
        <w:rPr>
          <w:rFonts w:cs="Times New Roman"/>
          <w:sz w:val="24"/>
          <w:szCs w:val="24"/>
          <w:lang w:val="en-US"/>
        </w:rPr>
        <w:t xml:space="preserve">are not used for clinical diagnosis, prognosis, or treatment. </w:t>
      </w:r>
      <w:r w:rsidR="00C55EC6">
        <w:rPr>
          <w:rFonts w:cs="Times New Roman"/>
          <w:sz w:val="24"/>
          <w:szCs w:val="24"/>
          <w:lang w:val="en-US"/>
        </w:rPr>
        <w:t>A</w:t>
      </w:r>
      <w:r w:rsidR="00C55EC6" w:rsidRPr="00C55EC6">
        <w:rPr>
          <w:rFonts w:cs="Times New Roman"/>
          <w:sz w:val="24"/>
          <w:szCs w:val="24"/>
          <w:lang w:val="en-US"/>
        </w:rPr>
        <w:t>t least 2 independent well designed and adequately powered studies</w:t>
      </w:r>
      <w:r w:rsidR="00C55EC6">
        <w:rPr>
          <w:rFonts w:cs="Times New Roman"/>
          <w:sz w:val="24"/>
          <w:szCs w:val="24"/>
          <w:lang w:val="en-US"/>
        </w:rPr>
        <w:t xml:space="preserve"> may be required to guarantee replicability and generalizability of findings.</w:t>
      </w:r>
    </w:p>
    <w:p w14:paraId="4E0656E8" w14:textId="77777777" w:rsidR="002D4B7D" w:rsidRPr="00CD0D03" w:rsidRDefault="002D4B7D" w:rsidP="00A83B7C">
      <w:pPr>
        <w:spacing w:line="480" w:lineRule="auto"/>
        <w:rPr>
          <w:rFonts w:cs="Times New Roman"/>
          <w:sz w:val="24"/>
          <w:szCs w:val="24"/>
          <w:lang w:val="en-US"/>
        </w:rPr>
      </w:pPr>
      <w:r w:rsidRPr="00CD0D03">
        <w:rPr>
          <w:rFonts w:cs="Times New Roman"/>
          <w:i/>
          <w:sz w:val="24"/>
          <w:szCs w:val="24"/>
          <w:lang w:val="en-US"/>
        </w:rPr>
        <w:t>3.3.</w:t>
      </w:r>
      <w:r w:rsidR="00FA11AF" w:rsidRPr="00CD0D03">
        <w:rPr>
          <w:rFonts w:cs="Times New Roman"/>
          <w:i/>
          <w:sz w:val="24"/>
          <w:szCs w:val="24"/>
          <w:lang w:val="en-US"/>
        </w:rPr>
        <w:t xml:space="preserve">3 </w:t>
      </w:r>
      <w:r w:rsidRPr="00CD0D03">
        <w:rPr>
          <w:rFonts w:cs="Times New Roman"/>
          <w:i/>
          <w:sz w:val="24"/>
          <w:szCs w:val="24"/>
          <w:lang w:val="en-US"/>
        </w:rPr>
        <w:t>Phase 3 Target Population</w:t>
      </w:r>
      <w:r w:rsidRPr="00CD0D03">
        <w:rPr>
          <w:rFonts w:cs="Times New Roman"/>
          <w:sz w:val="24"/>
          <w:szCs w:val="24"/>
          <w:lang w:val="en-US"/>
        </w:rPr>
        <w:t>. The examined population consists of MCI subjects</w:t>
      </w:r>
      <w:r w:rsidR="00B916A7" w:rsidRPr="00CD0D03">
        <w:rPr>
          <w:rFonts w:cs="Times New Roman"/>
          <w:sz w:val="24"/>
          <w:szCs w:val="24"/>
          <w:lang w:val="en-US"/>
        </w:rPr>
        <w:t xml:space="preserve"> who are representative of those who meet the MCI criteria in the general population</w:t>
      </w:r>
      <w:r w:rsidRPr="00CD0D03">
        <w:rPr>
          <w:rFonts w:cs="Times New Roman"/>
          <w:sz w:val="24"/>
          <w:szCs w:val="24"/>
          <w:lang w:val="en-US"/>
        </w:rPr>
        <w:t xml:space="preserve">. </w:t>
      </w:r>
      <w:r w:rsidR="00B916A7" w:rsidRPr="00CD0D03">
        <w:rPr>
          <w:rFonts w:cs="Times New Roman"/>
          <w:sz w:val="24"/>
          <w:szCs w:val="24"/>
          <w:lang w:val="en-US"/>
        </w:rPr>
        <w:t>The operationalization of the MCI diagnosis at this stage may not be specified and various</w:t>
      </w:r>
      <w:r w:rsidRPr="00CD0D03">
        <w:rPr>
          <w:rFonts w:cs="Times New Roman"/>
          <w:sz w:val="24"/>
          <w:szCs w:val="24"/>
          <w:lang w:val="en-US"/>
        </w:rPr>
        <w:t xml:space="preserve"> neuropsychological profile</w:t>
      </w:r>
      <w:r w:rsidR="00B916A7" w:rsidRPr="00CD0D03">
        <w:rPr>
          <w:rFonts w:cs="Times New Roman"/>
          <w:sz w:val="24"/>
          <w:szCs w:val="24"/>
          <w:lang w:val="en-US"/>
        </w:rPr>
        <w:t>s</w:t>
      </w:r>
      <w:r w:rsidRPr="00CD0D03">
        <w:rPr>
          <w:rFonts w:cs="Times New Roman"/>
          <w:sz w:val="24"/>
          <w:szCs w:val="24"/>
          <w:lang w:val="en-US"/>
        </w:rPr>
        <w:t xml:space="preserve"> </w:t>
      </w:r>
      <w:r w:rsidR="00B916A7" w:rsidRPr="00CD0D03">
        <w:rPr>
          <w:rFonts w:cs="Times New Roman"/>
          <w:sz w:val="24"/>
          <w:szCs w:val="24"/>
          <w:lang w:val="en-US"/>
        </w:rPr>
        <w:t xml:space="preserve">may </w:t>
      </w:r>
      <w:r w:rsidR="00A255B8" w:rsidRPr="00CD0D03">
        <w:rPr>
          <w:rFonts w:cs="Times New Roman"/>
          <w:sz w:val="24"/>
          <w:szCs w:val="24"/>
          <w:lang w:val="en-US"/>
        </w:rPr>
        <w:t>be considered appropriate</w:t>
      </w:r>
      <w:r w:rsidR="00B916A7" w:rsidRPr="00CD0D03">
        <w:rPr>
          <w:rFonts w:cs="Times New Roman"/>
          <w:sz w:val="24"/>
          <w:szCs w:val="24"/>
          <w:lang w:val="en-US"/>
        </w:rPr>
        <w:t xml:space="preserve"> to best reflect the range of possible presentations at this stage</w:t>
      </w:r>
      <w:r w:rsidRPr="00CD0D03">
        <w:rPr>
          <w:rFonts w:cs="Times New Roman"/>
          <w:sz w:val="24"/>
          <w:szCs w:val="24"/>
          <w:lang w:val="en-US"/>
        </w:rPr>
        <w:t xml:space="preserve">. </w:t>
      </w:r>
    </w:p>
    <w:p w14:paraId="6440EA6E" w14:textId="5F2AFD11" w:rsidR="002D4B7D" w:rsidRPr="00CD0D03" w:rsidRDefault="002D4B7D" w:rsidP="00A83B7C">
      <w:pPr>
        <w:spacing w:line="480" w:lineRule="auto"/>
        <w:rPr>
          <w:rFonts w:cs="Times New Roman"/>
          <w:sz w:val="24"/>
          <w:szCs w:val="24"/>
          <w:lang w:val="en-US"/>
        </w:rPr>
      </w:pPr>
      <w:r w:rsidRPr="00CD0D03">
        <w:rPr>
          <w:rFonts w:cs="Times New Roman"/>
          <w:i/>
          <w:sz w:val="24"/>
          <w:szCs w:val="24"/>
          <w:lang w:val="en-US"/>
        </w:rPr>
        <w:lastRenderedPageBreak/>
        <w:t>3.3.</w:t>
      </w:r>
      <w:r w:rsidR="00FA11AF" w:rsidRPr="00CD0D03">
        <w:rPr>
          <w:rFonts w:cs="Times New Roman"/>
          <w:i/>
          <w:sz w:val="24"/>
          <w:szCs w:val="24"/>
          <w:lang w:val="en-US"/>
        </w:rPr>
        <w:t xml:space="preserve">4 </w:t>
      </w:r>
      <w:r w:rsidRPr="00CD0D03">
        <w:rPr>
          <w:rFonts w:cs="Times New Roman"/>
          <w:i/>
          <w:sz w:val="24"/>
          <w:szCs w:val="24"/>
          <w:lang w:val="en-US"/>
        </w:rPr>
        <w:t>Phase 3 Gold standard</w:t>
      </w:r>
      <w:r w:rsidRPr="00CD0D03">
        <w:rPr>
          <w:rFonts w:cs="Times New Roman"/>
          <w:sz w:val="24"/>
          <w:szCs w:val="24"/>
          <w:lang w:val="en-US"/>
        </w:rPr>
        <w:t>. Analogous to previous phases, Alzheimer’s pathology is the ideal gold standard</w:t>
      </w:r>
      <w:r w:rsidR="00B916A7" w:rsidRPr="00CD0D03">
        <w:rPr>
          <w:rFonts w:cs="Times New Roman"/>
          <w:sz w:val="24"/>
          <w:szCs w:val="24"/>
          <w:lang w:val="en-US"/>
        </w:rPr>
        <w:t xml:space="preserve">, which would in essence confirm that the MCI phenotype is occurring in the presence of the AD </w:t>
      </w:r>
      <w:r w:rsidR="00414A18" w:rsidRPr="00CD0D03">
        <w:rPr>
          <w:rFonts w:cs="Times New Roman"/>
          <w:sz w:val="24"/>
          <w:szCs w:val="24"/>
          <w:lang w:val="en-US"/>
        </w:rPr>
        <w:t>neuropathology</w:t>
      </w:r>
      <w:r w:rsidR="00B916A7" w:rsidRPr="00CD0D03">
        <w:rPr>
          <w:rFonts w:cs="Times New Roman"/>
          <w:sz w:val="24"/>
          <w:szCs w:val="24"/>
          <w:lang w:val="en-US"/>
        </w:rPr>
        <w:t xml:space="preserve"> and can be </w:t>
      </w:r>
      <w:r w:rsidR="00862976" w:rsidRPr="00CD0D03">
        <w:rPr>
          <w:rFonts w:cs="Times New Roman"/>
          <w:sz w:val="24"/>
          <w:szCs w:val="24"/>
          <w:lang w:val="en-US"/>
        </w:rPr>
        <w:t>ascrib</w:t>
      </w:r>
      <w:r w:rsidR="00862976">
        <w:rPr>
          <w:rFonts w:cs="Times New Roman"/>
          <w:sz w:val="24"/>
          <w:szCs w:val="24"/>
          <w:lang w:val="en-US"/>
        </w:rPr>
        <w:t>ed</w:t>
      </w:r>
      <w:r w:rsidR="00862976" w:rsidRPr="00CD0D03">
        <w:rPr>
          <w:rFonts w:cs="Times New Roman"/>
          <w:sz w:val="24"/>
          <w:szCs w:val="24"/>
          <w:lang w:val="en-US"/>
        </w:rPr>
        <w:t xml:space="preserve"> </w:t>
      </w:r>
      <w:r w:rsidR="00B916A7" w:rsidRPr="00CD0D03">
        <w:rPr>
          <w:rFonts w:cs="Times New Roman"/>
          <w:sz w:val="24"/>
          <w:szCs w:val="24"/>
          <w:lang w:val="en-US"/>
        </w:rPr>
        <w:t>to this. However, as said</w:t>
      </w:r>
      <w:r w:rsidRPr="00CD0D03">
        <w:rPr>
          <w:rFonts w:cs="Times New Roman"/>
          <w:sz w:val="24"/>
          <w:szCs w:val="24"/>
          <w:lang w:val="en-US"/>
        </w:rPr>
        <w:t xml:space="preserve">, </w:t>
      </w:r>
      <w:r w:rsidR="00B916A7" w:rsidRPr="00CD0D03">
        <w:rPr>
          <w:rFonts w:cs="Times New Roman"/>
          <w:sz w:val="24"/>
          <w:szCs w:val="24"/>
          <w:lang w:val="en-US"/>
        </w:rPr>
        <w:t xml:space="preserve">the </w:t>
      </w:r>
      <w:r w:rsidRPr="00CD0D03">
        <w:rPr>
          <w:rFonts w:cs="Times New Roman"/>
          <w:sz w:val="24"/>
          <w:szCs w:val="24"/>
          <w:lang w:val="en-US"/>
        </w:rPr>
        <w:t>paucity of data</w:t>
      </w:r>
      <w:r w:rsidR="00B916A7" w:rsidRPr="00CD0D03">
        <w:rPr>
          <w:rFonts w:cs="Times New Roman"/>
          <w:sz w:val="24"/>
          <w:szCs w:val="24"/>
          <w:lang w:val="en-US"/>
        </w:rPr>
        <w:t xml:space="preserve">, and </w:t>
      </w:r>
      <w:r w:rsidR="00862976">
        <w:rPr>
          <w:rFonts w:cs="Times New Roman"/>
          <w:sz w:val="24"/>
          <w:szCs w:val="24"/>
          <w:lang w:val="en-US"/>
        </w:rPr>
        <w:t>limited</w:t>
      </w:r>
      <w:r w:rsidR="00862976" w:rsidRPr="00CD0D03">
        <w:rPr>
          <w:rFonts w:cs="Times New Roman"/>
          <w:sz w:val="24"/>
          <w:szCs w:val="24"/>
          <w:lang w:val="en-US"/>
        </w:rPr>
        <w:t xml:space="preserve"> </w:t>
      </w:r>
      <w:r w:rsidR="00B916A7" w:rsidRPr="00CD0D03">
        <w:rPr>
          <w:rFonts w:cs="Times New Roman"/>
          <w:sz w:val="24"/>
          <w:szCs w:val="24"/>
          <w:lang w:val="en-US"/>
        </w:rPr>
        <w:t>number of autopsies</w:t>
      </w:r>
      <w:r w:rsidRPr="00CD0D03">
        <w:rPr>
          <w:rFonts w:cs="Times New Roman"/>
          <w:sz w:val="24"/>
          <w:szCs w:val="24"/>
          <w:lang w:val="en-US"/>
        </w:rPr>
        <w:t xml:space="preserve"> make incident dementia or progression </w:t>
      </w:r>
      <w:r w:rsidR="00FD0866" w:rsidRPr="00CD0D03">
        <w:rPr>
          <w:rFonts w:cs="Times New Roman"/>
          <w:sz w:val="24"/>
          <w:szCs w:val="24"/>
          <w:lang w:val="en-US"/>
        </w:rPr>
        <w:t xml:space="preserve">of cognitive impairment </w:t>
      </w:r>
      <w:r w:rsidRPr="00CD0D03">
        <w:rPr>
          <w:rFonts w:cs="Times New Roman"/>
          <w:sz w:val="24"/>
          <w:szCs w:val="24"/>
          <w:lang w:val="en-US"/>
        </w:rPr>
        <w:t>a</w:t>
      </w:r>
      <w:r w:rsidR="00B916A7" w:rsidRPr="00CD0D03">
        <w:rPr>
          <w:rFonts w:cs="Times New Roman"/>
          <w:sz w:val="24"/>
          <w:szCs w:val="24"/>
          <w:lang w:val="en-US"/>
        </w:rPr>
        <w:t xml:space="preserve"> </w:t>
      </w:r>
      <w:r w:rsidR="00862976">
        <w:rPr>
          <w:rFonts w:cs="Times New Roman"/>
          <w:sz w:val="24"/>
          <w:szCs w:val="24"/>
          <w:lang w:val="en-US"/>
        </w:rPr>
        <w:t>necessary</w:t>
      </w:r>
      <w:r w:rsidR="00862976" w:rsidRPr="00CD0D03">
        <w:rPr>
          <w:rFonts w:cs="Times New Roman"/>
          <w:sz w:val="24"/>
          <w:szCs w:val="24"/>
          <w:lang w:val="en-US"/>
        </w:rPr>
        <w:t xml:space="preserve"> </w:t>
      </w:r>
      <w:r w:rsidR="00B916A7" w:rsidRPr="00CD0D03">
        <w:rPr>
          <w:rFonts w:cs="Times New Roman"/>
          <w:sz w:val="24"/>
          <w:szCs w:val="24"/>
          <w:lang w:val="en-US"/>
        </w:rPr>
        <w:t>proxy</w:t>
      </w:r>
      <w:r w:rsidRPr="00CD0D03">
        <w:rPr>
          <w:rFonts w:cs="Times New Roman"/>
          <w:sz w:val="24"/>
          <w:szCs w:val="24"/>
          <w:lang w:val="en-US"/>
        </w:rPr>
        <w:t xml:space="preserve"> </w:t>
      </w:r>
      <w:r w:rsidR="00B916A7" w:rsidRPr="00CD0D03">
        <w:rPr>
          <w:rFonts w:cs="Times New Roman"/>
          <w:sz w:val="24"/>
          <w:szCs w:val="24"/>
          <w:lang w:val="en-US"/>
        </w:rPr>
        <w:t xml:space="preserve">of the ideal </w:t>
      </w:r>
      <w:r w:rsidRPr="00CD0D03">
        <w:rPr>
          <w:rFonts w:cs="Times New Roman"/>
          <w:sz w:val="24"/>
          <w:szCs w:val="24"/>
          <w:lang w:val="en-US"/>
        </w:rPr>
        <w:t>gold standard at this stage</w:t>
      </w:r>
      <w:r w:rsidR="00B916A7" w:rsidRPr="00CD0D03">
        <w:rPr>
          <w:rFonts w:cs="Times New Roman"/>
          <w:sz w:val="24"/>
          <w:szCs w:val="24"/>
          <w:lang w:val="en-US"/>
        </w:rPr>
        <w:t xml:space="preserve">, </w:t>
      </w:r>
      <w:r w:rsidR="00862976">
        <w:rPr>
          <w:rFonts w:cs="Times New Roman"/>
          <w:sz w:val="24"/>
          <w:szCs w:val="24"/>
          <w:lang w:val="en-US"/>
        </w:rPr>
        <w:t>acceptable</w:t>
      </w:r>
      <w:r w:rsidR="00B916A7" w:rsidRPr="00CD0D03">
        <w:rPr>
          <w:rFonts w:cs="Times New Roman"/>
          <w:sz w:val="24"/>
          <w:szCs w:val="24"/>
          <w:lang w:val="en-US"/>
        </w:rPr>
        <w:t xml:space="preserve"> in virtue of the progressive nature of the disease</w:t>
      </w:r>
      <w:r w:rsidRPr="00CD0D03">
        <w:rPr>
          <w:rFonts w:cs="Times New Roman"/>
          <w:sz w:val="24"/>
          <w:szCs w:val="24"/>
          <w:lang w:val="en-US"/>
        </w:rPr>
        <w:t xml:space="preserve">. </w:t>
      </w:r>
      <w:r w:rsidR="00290BA4" w:rsidRPr="00CD0D03">
        <w:rPr>
          <w:rFonts w:cs="Times New Roman"/>
          <w:sz w:val="24"/>
          <w:szCs w:val="24"/>
          <w:lang w:val="en-US"/>
        </w:rPr>
        <w:t xml:space="preserve">Statistical power in these studies will depend </w:t>
      </w:r>
      <w:r w:rsidR="00693CA5" w:rsidRPr="00CD0D03">
        <w:rPr>
          <w:rFonts w:cs="Times New Roman"/>
          <w:sz w:val="24"/>
          <w:szCs w:val="24"/>
          <w:lang w:val="en-US"/>
        </w:rPr>
        <w:t xml:space="preserve">not only </w:t>
      </w:r>
      <w:r w:rsidR="00290BA4" w:rsidRPr="00CD0D03">
        <w:rPr>
          <w:rFonts w:cs="Times New Roman"/>
          <w:sz w:val="24"/>
          <w:szCs w:val="24"/>
          <w:lang w:val="en-US"/>
        </w:rPr>
        <w:t>on the</w:t>
      </w:r>
      <w:r w:rsidR="00147830" w:rsidRPr="00CD0D03">
        <w:rPr>
          <w:rFonts w:cs="Times New Roman"/>
          <w:sz w:val="24"/>
          <w:szCs w:val="24"/>
          <w:lang w:val="en-US"/>
        </w:rPr>
        <w:t xml:space="preserve"> sample size</w:t>
      </w:r>
      <w:r w:rsidR="00693CA5" w:rsidRPr="00CD0D03">
        <w:rPr>
          <w:rFonts w:cs="Times New Roman"/>
          <w:sz w:val="24"/>
          <w:szCs w:val="24"/>
          <w:lang w:val="en-US"/>
        </w:rPr>
        <w:t xml:space="preserve"> but also on the</w:t>
      </w:r>
      <w:r w:rsidR="00290BA4" w:rsidRPr="00CD0D03">
        <w:rPr>
          <w:rFonts w:cs="Times New Roman"/>
          <w:sz w:val="24"/>
          <w:szCs w:val="24"/>
          <w:lang w:val="en-US"/>
        </w:rPr>
        <w:t xml:space="preserve"> length of </w:t>
      </w:r>
      <w:r w:rsidR="00693CA5" w:rsidRPr="00CD0D03">
        <w:rPr>
          <w:rFonts w:cs="Times New Roman"/>
          <w:sz w:val="24"/>
          <w:szCs w:val="24"/>
          <w:lang w:val="en-US"/>
        </w:rPr>
        <w:t>the follow-up periods</w:t>
      </w:r>
      <w:r w:rsidR="00290BA4" w:rsidRPr="00CD0D03">
        <w:rPr>
          <w:rFonts w:cs="Times New Roman"/>
          <w:sz w:val="24"/>
          <w:szCs w:val="24"/>
          <w:lang w:val="en-US"/>
        </w:rPr>
        <w:t xml:space="preserve">. </w:t>
      </w:r>
      <w:r w:rsidR="00693CA5" w:rsidRPr="00CD0D03">
        <w:rPr>
          <w:rFonts w:cs="Times New Roman"/>
          <w:sz w:val="24"/>
          <w:szCs w:val="24"/>
          <w:lang w:val="en-US"/>
        </w:rPr>
        <w:t>For instance, i</w:t>
      </w:r>
      <w:r w:rsidR="00147830" w:rsidRPr="00CD0D03">
        <w:rPr>
          <w:rFonts w:cs="Times New Roman"/>
          <w:sz w:val="24"/>
          <w:szCs w:val="24"/>
          <w:lang w:val="en-US"/>
        </w:rPr>
        <w:t>n our reviews (</w:t>
      </w:r>
      <w:r w:rsidR="00D26E67" w:rsidRPr="00CD0D03">
        <w:rPr>
          <w:rFonts w:cs="Times New Roman"/>
          <w:sz w:val="24"/>
          <w:szCs w:val="24"/>
          <w:lang w:val="en-US"/>
        </w:rPr>
        <w:t xml:space="preserve">Garibotto </w:t>
      </w:r>
      <w:r w:rsidR="00D26E67" w:rsidRPr="00CD0D03">
        <w:rPr>
          <w:rFonts w:cs="Times New Roman"/>
          <w:i/>
          <w:sz w:val="24"/>
          <w:szCs w:val="24"/>
          <w:lang w:val="en-US"/>
        </w:rPr>
        <w:t>et al</w:t>
      </w:r>
      <w:r w:rsidR="001D3798">
        <w:rPr>
          <w:rFonts w:cs="Times New Roman"/>
          <w:sz w:val="24"/>
          <w:szCs w:val="24"/>
          <w:lang w:val="en-US"/>
        </w:rPr>
        <w:t>.</w:t>
      </w:r>
      <w:r w:rsidR="00D26E67" w:rsidRPr="00CD0D03">
        <w:rPr>
          <w:rFonts w:cs="Times New Roman"/>
          <w:sz w:val="24"/>
          <w:szCs w:val="24"/>
          <w:lang w:val="en-US"/>
        </w:rPr>
        <w:t xml:space="preserve">; Sonni </w:t>
      </w:r>
      <w:r w:rsidR="00D26E67" w:rsidRPr="00CD0D03">
        <w:rPr>
          <w:rFonts w:cs="Times New Roman"/>
          <w:i/>
          <w:sz w:val="24"/>
          <w:szCs w:val="24"/>
          <w:lang w:val="en-US"/>
        </w:rPr>
        <w:t>et al</w:t>
      </w:r>
      <w:r w:rsidR="001D3798">
        <w:rPr>
          <w:rFonts w:cs="Times New Roman"/>
          <w:sz w:val="24"/>
          <w:szCs w:val="24"/>
          <w:lang w:val="en-US"/>
        </w:rPr>
        <w:t>.</w:t>
      </w:r>
      <w:r w:rsidR="00D26E67" w:rsidRPr="00CD0D03">
        <w:rPr>
          <w:rFonts w:cs="Times New Roman"/>
          <w:sz w:val="24"/>
          <w:szCs w:val="24"/>
          <w:lang w:val="en-US"/>
        </w:rPr>
        <w:t xml:space="preserve">; Cerami </w:t>
      </w:r>
      <w:r w:rsidR="00D26E67" w:rsidRPr="00CD0D03">
        <w:rPr>
          <w:rFonts w:cs="Times New Roman"/>
          <w:i/>
          <w:sz w:val="24"/>
          <w:szCs w:val="24"/>
          <w:lang w:val="en-US"/>
        </w:rPr>
        <w:t>et al</w:t>
      </w:r>
      <w:r w:rsidR="001D3798">
        <w:rPr>
          <w:rFonts w:cs="Times New Roman"/>
          <w:sz w:val="24"/>
          <w:szCs w:val="24"/>
          <w:lang w:val="en-US"/>
        </w:rPr>
        <w:t>.</w:t>
      </w:r>
      <w:r w:rsidR="00D26E67" w:rsidRPr="00CD0D03">
        <w:rPr>
          <w:rFonts w:cs="Times New Roman"/>
          <w:sz w:val="24"/>
          <w:szCs w:val="24"/>
          <w:lang w:val="en-US"/>
        </w:rPr>
        <w:t xml:space="preserve">; Ten Kate </w:t>
      </w:r>
      <w:r w:rsidR="00D26E67" w:rsidRPr="00CD0D03">
        <w:rPr>
          <w:rFonts w:cs="Times New Roman"/>
          <w:i/>
          <w:sz w:val="24"/>
          <w:szCs w:val="24"/>
          <w:lang w:val="en-US"/>
        </w:rPr>
        <w:t>et al</w:t>
      </w:r>
      <w:r w:rsidR="001D3798">
        <w:rPr>
          <w:rFonts w:cs="Times New Roman"/>
          <w:sz w:val="24"/>
          <w:szCs w:val="24"/>
          <w:lang w:val="en-US"/>
        </w:rPr>
        <w:t>.</w:t>
      </w:r>
      <w:r w:rsidR="00D26E67" w:rsidRPr="00CD0D03">
        <w:rPr>
          <w:rFonts w:cs="Times New Roman"/>
          <w:sz w:val="24"/>
          <w:szCs w:val="24"/>
          <w:lang w:val="en-US"/>
        </w:rPr>
        <w:t xml:space="preserve">; Chiotis </w:t>
      </w:r>
      <w:r w:rsidR="00D26E67" w:rsidRPr="00CD0D03">
        <w:rPr>
          <w:rFonts w:cs="Times New Roman"/>
          <w:i/>
          <w:sz w:val="24"/>
          <w:szCs w:val="24"/>
          <w:lang w:val="en-US"/>
        </w:rPr>
        <w:t>et al</w:t>
      </w:r>
      <w:r w:rsidR="001D3798">
        <w:rPr>
          <w:rFonts w:cs="Times New Roman"/>
          <w:sz w:val="24"/>
          <w:szCs w:val="24"/>
          <w:lang w:val="en-US"/>
        </w:rPr>
        <w:t>.</w:t>
      </w:r>
      <w:r w:rsidR="00D26E67" w:rsidRPr="00CD0D03">
        <w:rPr>
          <w:rFonts w:cs="Times New Roman"/>
          <w:sz w:val="24"/>
          <w:szCs w:val="24"/>
          <w:lang w:val="en-US"/>
        </w:rPr>
        <w:t xml:space="preserve">; Mattsson </w:t>
      </w:r>
      <w:r w:rsidR="00D26E67" w:rsidRPr="00CD0D03">
        <w:rPr>
          <w:rFonts w:cs="Times New Roman"/>
          <w:i/>
          <w:sz w:val="24"/>
          <w:szCs w:val="24"/>
          <w:lang w:val="en-US"/>
        </w:rPr>
        <w:t>et al</w:t>
      </w:r>
      <w:r w:rsidR="00D26E67" w:rsidRPr="00CD0D03">
        <w:rPr>
          <w:rFonts w:cs="Times New Roman"/>
          <w:sz w:val="24"/>
          <w:szCs w:val="24"/>
          <w:lang w:val="en-US"/>
        </w:rPr>
        <w:t>.,</w:t>
      </w:r>
      <w:r w:rsidR="005525F3">
        <w:rPr>
          <w:rFonts w:cs="Times New Roman"/>
          <w:sz w:val="24"/>
          <w:szCs w:val="24"/>
          <w:lang w:val="en-US"/>
        </w:rPr>
        <w:t xml:space="preserve"> 2017, in this issue</w:t>
      </w:r>
      <w:r w:rsidR="00147830" w:rsidRPr="00CD0D03">
        <w:rPr>
          <w:rFonts w:cs="Times New Roman"/>
          <w:sz w:val="24"/>
          <w:szCs w:val="24"/>
          <w:lang w:val="en-US"/>
        </w:rPr>
        <w:t>)</w:t>
      </w:r>
      <w:r w:rsidR="00FA4751" w:rsidRPr="00CD0D03">
        <w:rPr>
          <w:rFonts w:cs="Times New Roman"/>
          <w:sz w:val="24"/>
          <w:szCs w:val="24"/>
          <w:lang w:val="en-US"/>
        </w:rPr>
        <w:t xml:space="preserve"> </w:t>
      </w:r>
      <w:r w:rsidR="00147830" w:rsidRPr="00CD0D03">
        <w:rPr>
          <w:rFonts w:cs="Times New Roman"/>
          <w:sz w:val="24"/>
          <w:szCs w:val="24"/>
          <w:lang w:val="en-US"/>
        </w:rPr>
        <w:t xml:space="preserve">we have considered studies with 3 </w:t>
      </w:r>
      <w:proofErr w:type="gramStart"/>
      <w:r w:rsidR="00147830" w:rsidRPr="00CD0D03">
        <w:rPr>
          <w:rFonts w:cs="Times New Roman"/>
          <w:sz w:val="24"/>
          <w:szCs w:val="24"/>
          <w:lang w:val="en-US"/>
        </w:rPr>
        <w:t>years</w:t>
      </w:r>
      <w:proofErr w:type="gramEnd"/>
      <w:r w:rsidR="00147830" w:rsidRPr="00CD0D03">
        <w:rPr>
          <w:rFonts w:cs="Times New Roman"/>
          <w:sz w:val="24"/>
          <w:szCs w:val="24"/>
          <w:lang w:val="en-US"/>
        </w:rPr>
        <w:t xml:space="preserve"> follow-up </w:t>
      </w:r>
      <w:r w:rsidR="00693CA5" w:rsidRPr="00CD0D03">
        <w:rPr>
          <w:rFonts w:cs="Times New Roman"/>
          <w:sz w:val="24"/>
          <w:szCs w:val="24"/>
          <w:lang w:val="en-US"/>
        </w:rPr>
        <w:t xml:space="preserve">consistently with </w:t>
      </w:r>
      <w:r w:rsidR="00667D63" w:rsidRPr="00CD0D03">
        <w:rPr>
          <w:rFonts w:cs="Times New Roman"/>
          <w:sz w:val="24"/>
          <w:szCs w:val="24"/>
          <w:lang w:val="en-US"/>
        </w:rPr>
        <w:t xml:space="preserve">studies on MCI conversion in clinical samples </w:t>
      </w:r>
      <w:r w:rsidR="0015125F">
        <w:rPr>
          <w:rFonts w:cs="Times New Roman"/>
          <w:sz w:val="24"/>
          <w:szCs w:val="24"/>
          <w:lang w:val="en-US"/>
        </w:rPr>
        <w:t>(</w:t>
      </w:r>
      <w:r w:rsidR="00FA4751" w:rsidRPr="00CD0D03">
        <w:rPr>
          <w:rFonts w:cs="Times New Roman"/>
          <w:sz w:val="24"/>
          <w:szCs w:val="24"/>
          <w:lang w:val="en-US"/>
        </w:rPr>
        <w:t xml:space="preserve">Landau </w:t>
      </w:r>
      <w:r w:rsidR="00965902" w:rsidRPr="00CD0D03">
        <w:rPr>
          <w:rFonts w:cs="Times New Roman"/>
          <w:i/>
          <w:sz w:val="24"/>
          <w:szCs w:val="24"/>
          <w:lang w:val="en-US"/>
        </w:rPr>
        <w:t>et al</w:t>
      </w:r>
      <w:r w:rsidR="0015125F">
        <w:rPr>
          <w:rFonts w:cs="Times New Roman"/>
          <w:sz w:val="24"/>
          <w:szCs w:val="24"/>
          <w:lang w:val="en-US"/>
        </w:rPr>
        <w:t>., 2010)</w:t>
      </w:r>
      <w:r w:rsidR="00FA4751" w:rsidRPr="00CD0D03">
        <w:rPr>
          <w:rFonts w:cs="Times New Roman"/>
          <w:sz w:val="24"/>
          <w:szCs w:val="24"/>
          <w:lang w:val="en-US"/>
        </w:rPr>
        <w:t>.</w:t>
      </w:r>
    </w:p>
    <w:p w14:paraId="296E6A3C" w14:textId="77777777" w:rsidR="002D4B7D" w:rsidRPr="00CD0D03" w:rsidRDefault="002D4B7D" w:rsidP="00A83B7C">
      <w:pPr>
        <w:spacing w:line="480" w:lineRule="auto"/>
        <w:rPr>
          <w:rFonts w:cs="Times New Roman"/>
          <w:sz w:val="24"/>
          <w:szCs w:val="24"/>
          <w:lang w:val="en-US"/>
        </w:rPr>
      </w:pPr>
      <w:r w:rsidRPr="00CD0D03">
        <w:rPr>
          <w:rFonts w:cs="Times New Roman"/>
          <w:i/>
          <w:sz w:val="24"/>
          <w:szCs w:val="24"/>
          <w:lang w:val="en-US"/>
        </w:rPr>
        <w:t>3.3.</w:t>
      </w:r>
      <w:r w:rsidR="00FA11AF" w:rsidRPr="00CD0D03">
        <w:rPr>
          <w:rFonts w:cs="Times New Roman"/>
          <w:i/>
          <w:sz w:val="24"/>
          <w:szCs w:val="24"/>
          <w:lang w:val="en-US"/>
        </w:rPr>
        <w:t xml:space="preserve">5 </w:t>
      </w:r>
      <w:r w:rsidRPr="00CD0D03">
        <w:rPr>
          <w:rFonts w:cs="Times New Roman"/>
          <w:i/>
          <w:sz w:val="24"/>
          <w:szCs w:val="24"/>
          <w:lang w:val="en-US"/>
        </w:rPr>
        <w:t>Phase 3 Outcome</w:t>
      </w:r>
      <w:r w:rsidRPr="00CD0D03">
        <w:rPr>
          <w:rFonts w:cs="Times New Roman"/>
          <w:sz w:val="24"/>
          <w:szCs w:val="24"/>
          <w:lang w:val="en-US"/>
        </w:rPr>
        <w:t xml:space="preserve">. The outcome </w:t>
      </w:r>
      <w:r w:rsidR="00E16D8E" w:rsidRPr="00CD0D03">
        <w:rPr>
          <w:rFonts w:cs="Times New Roman"/>
          <w:sz w:val="24"/>
          <w:szCs w:val="24"/>
          <w:lang w:val="en-US"/>
        </w:rPr>
        <w:t>is</w:t>
      </w:r>
      <w:r w:rsidRPr="00CD0D03">
        <w:rPr>
          <w:rFonts w:cs="Times New Roman"/>
          <w:sz w:val="24"/>
          <w:szCs w:val="24"/>
          <w:lang w:val="en-US"/>
        </w:rPr>
        <w:t xml:space="preserve"> the </w:t>
      </w:r>
      <w:r w:rsidR="00715E7D" w:rsidRPr="00CD0D03">
        <w:rPr>
          <w:rFonts w:cs="Times New Roman"/>
          <w:sz w:val="24"/>
          <w:szCs w:val="24"/>
          <w:lang w:val="en-US"/>
        </w:rPr>
        <w:t xml:space="preserve">ability </w:t>
      </w:r>
      <w:r w:rsidR="00E16D8E" w:rsidRPr="00CD0D03">
        <w:rPr>
          <w:rFonts w:cs="Times New Roman"/>
          <w:sz w:val="24"/>
          <w:szCs w:val="24"/>
          <w:lang w:val="en-US"/>
        </w:rPr>
        <w:t xml:space="preserve">of </w:t>
      </w:r>
      <w:r w:rsidR="00B47D21">
        <w:rPr>
          <w:rFonts w:cs="Times New Roman"/>
          <w:sz w:val="24"/>
          <w:szCs w:val="24"/>
          <w:lang w:val="en-US"/>
        </w:rPr>
        <w:t>biomarkers</w:t>
      </w:r>
      <w:r w:rsidR="00B47D21" w:rsidRPr="00CD0D03">
        <w:rPr>
          <w:rFonts w:cs="Times New Roman"/>
          <w:sz w:val="24"/>
          <w:szCs w:val="24"/>
          <w:lang w:val="en-US"/>
        </w:rPr>
        <w:t xml:space="preserve"> </w:t>
      </w:r>
      <w:r w:rsidR="00E16D8E" w:rsidRPr="00CD0D03">
        <w:rPr>
          <w:rFonts w:cs="Times New Roman"/>
          <w:sz w:val="24"/>
          <w:szCs w:val="24"/>
          <w:lang w:val="en-US"/>
        </w:rPr>
        <w:t xml:space="preserve">in </w:t>
      </w:r>
      <w:r w:rsidR="00715E7D" w:rsidRPr="00CD0D03">
        <w:rPr>
          <w:rFonts w:cs="Times New Roman"/>
          <w:sz w:val="24"/>
          <w:szCs w:val="24"/>
          <w:lang w:val="en-US"/>
        </w:rPr>
        <w:t xml:space="preserve">predicting </w:t>
      </w:r>
      <w:r w:rsidR="00290BA4" w:rsidRPr="00CD0D03">
        <w:rPr>
          <w:rFonts w:cs="Times New Roman"/>
          <w:sz w:val="24"/>
          <w:szCs w:val="24"/>
          <w:lang w:val="en-US"/>
        </w:rPr>
        <w:t>AD</w:t>
      </w:r>
      <w:r w:rsidRPr="00CD0D03">
        <w:rPr>
          <w:rFonts w:cs="Times New Roman"/>
          <w:sz w:val="24"/>
          <w:szCs w:val="24"/>
          <w:lang w:val="en-US"/>
        </w:rPr>
        <w:t xml:space="preserve"> </w:t>
      </w:r>
      <w:r w:rsidR="00290BA4" w:rsidRPr="00CD0D03">
        <w:rPr>
          <w:rFonts w:cs="Times New Roman"/>
          <w:sz w:val="24"/>
          <w:szCs w:val="24"/>
          <w:lang w:val="en-US"/>
        </w:rPr>
        <w:t>in people who meet MCI diagnostic criteria at baseline</w:t>
      </w:r>
      <w:r w:rsidRPr="00CD0D03">
        <w:rPr>
          <w:rFonts w:cs="Times New Roman"/>
          <w:sz w:val="24"/>
          <w:szCs w:val="24"/>
          <w:lang w:val="en-US"/>
        </w:rPr>
        <w:t>.</w:t>
      </w:r>
      <w:r w:rsidR="00290BA4" w:rsidRPr="00CD0D03">
        <w:rPr>
          <w:rFonts w:cs="Times New Roman"/>
          <w:sz w:val="24"/>
          <w:szCs w:val="24"/>
          <w:lang w:val="en-US"/>
        </w:rPr>
        <w:t xml:space="preserve"> Thus, the progression of MCI to non-AD dementia subtypes should also be clearly distinguished at the follow-up. This </w:t>
      </w:r>
      <w:r w:rsidR="00715E7D" w:rsidRPr="00CD0D03">
        <w:rPr>
          <w:rFonts w:cs="Times New Roman"/>
          <w:sz w:val="24"/>
          <w:szCs w:val="24"/>
          <w:lang w:val="en-US"/>
        </w:rPr>
        <w:t xml:space="preserve">requires </w:t>
      </w:r>
      <w:r w:rsidR="00290BA4" w:rsidRPr="00CD0D03">
        <w:rPr>
          <w:rFonts w:cs="Times New Roman"/>
          <w:sz w:val="24"/>
          <w:szCs w:val="24"/>
          <w:lang w:val="en-US"/>
        </w:rPr>
        <w:t xml:space="preserve">that differential diagnosis </w:t>
      </w:r>
      <w:r w:rsidR="00715E7D" w:rsidRPr="00CD0D03">
        <w:rPr>
          <w:rFonts w:cs="Times New Roman"/>
          <w:sz w:val="24"/>
          <w:szCs w:val="24"/>
          <w:lang w:val="en-US"/>
        </w:rPr>
        <w:t>is</w:t>
      </w:r>
      <w:r w:rsidR="00290BA4" w:rsidRPr="00CD0D03">
        <w:rPr>
          <w:rFonts w:cs="Times New Roman"/>
          <w:sz w:val="24"/>
          <w:szCs w:val="24"/>
          <w:lang w:val="en-US"/>
        </w:rPr>
        <w:t xml:space="preserve"> performed in a valid and standard</w:t>
      </w:r>
      <w:r w:rsidR="004C4751">
        <w:rPr>
          <w:rFonts w:cs="Times New Roman"/>
          <w:sz w:val="24"/>
          <w:szCs w:val="24"/>
          <w:lang w:val="en-US"/>
        </w:rPr>
        <w:t>ized</w:t>
      </w:r>
      <w:r w:rsidR="00290BA4" w:rsidRPr="00CD0D03">
        <w:rPr>
          <w:rFonts w:cs="Times New Roman"/>
          <w:sz w:val="24"/>
          <w:szCs w:val="24"/>
          <w:lang w:val="en-US"/>
        </w:rPr>
        <w:t xml:space="preserve"> manner, and according to existing diagnostic criteria (i.e. DSM-5 ‘Major Neurocognitive Disorder due to AD’).</w:t>
      </w:r>
    </w:p>
    <w:p w14:paraId="0BEE4555" w14:textId="77777777" w:rsidR="002D4B7D" w:rsidRPr="00314AFD" w:rsidRDefault="002D4B7D" w:rsidP="00A83B7C">
      <w:pPr>
        <w:spacing w:line="480" w:lineRule="auto"/>
        <w:rPr>
          <w:rFonts w:cs="Times New Roman"/>
          <w:i/>
          <w:sz w:val="24"/>
          <w:szCs w:val="24"/>
          <w:lang w:val="en-US"/>
        </w:rPr>
      </w:pPr>
      <w:r w:rsidRPr="00314AFD">
        <w:rPr>
          <w:rFonts w:cs="Times New Roman"/>
          <w:i/>
          <w:sz w:val="24"/>
          <w:szCs w:val="24"/>
          <w:lang w:val="en-US"/>
        </w:rPr>
        <w:t>3.4 Phase 4: Prospective Diagnostic Studies</w:t>
      </w:r>
    </w:p>
    <w:p w14:paraId="7F392C7B" w14:textId="77777777" w:rsidR="002D4B7D" w:rsidRDefault="00BA3528" w:rsidP="00A83B7C">
      <w:pPr>
        <w:spacing w:line="480" w:lineRule="auto"/>
        <w:rPr>
          <w:rFonts w:cs="Times New Roman"/>
          <w:sz w:val="24"/>
          <w:szCs w:val="24"/>
          <w:lang w:val="en-US"/>
        </w:rPr>
      </w:pPr>
      <w:r w:rsidRPr="00CD0D03">
        <w:rPr>
          <w:rFonts w:cs="Times New Roman"/>
          <w:i/>
          <w:sz w:val="24"/>
          <w:szCs w:val="24"/>
          <w:lang w:val="en-US"/>
        </w:rPr>
        <w:t>3.4.1 Phase 4 Aims</w:t>
      </w:r>
      <w:r w:rsidRPr="00CD0D03">
        <w:rPr>
          <w:rFonts w:cs="Times New Roman"/>
          <w:sz w:val="24"/>
          <w:szCs w:val="24"/>
          <w:lang w:val="en-US"/>
        </w:rPr>
        <w:t xml:space="preserve">. </w:t>
      </w:r>
      <w:r w:rsidR="00EB4FFA">
        <w:rPr>
          <w:rFonts w:cs="Times New Roman"/>
          <w:sz w:val="24"/>
          <w:szCs w:val="24"/>
          <w:lang w:val="en-US"/>
        </w:rPr>
        <w:t>The p</w:t>
      </w:r>
      <w:r w:rsidR="002D4B7D" w:rsidRPr="00CD0D03">
        <w:rPr>
          <w:rFonts w:cs="Times New Roman"/>
          <w:sz w:val="24"/>
          <w:szCs w:val="24"/>
          <w:lang w:val="en-US"/>
        </w:rPr>
        <w:t xml:space="preserve">rimary aim </w:t>
      </w:r>
      <w:r w:rsidR="00EB4FFA">
        <w:rPr>
          <w:rFonts w:cs="Times New Roman"/>
          <w:sz w:val="24"/>
          <w:szCs w:val="24"/>
          <w:lang w:val="en-US"/>
        </w:rPr>
        <w:t>of</w:t>
      </w:r>
      <w:r w:rsidR="002D4B7D" w:rsidRPr="00CD0D03">
        <w:rPr>
          <w:rFonts w:cs="Times New Roman"/>
          <w:sz w:val="24"/>
          <w:szCs w:val="24"/>
          <w:lang w:val="en-US"/>
        </w:rPr>
        <w:t xml:space="preserve"> this </w:t>
      </w:r>
      <w:r w:rsidR="00EB4FFA">
        <w:rPr>
          <w:rFonts w:cs="Times New Roman"/>
          <w:sz w:val="24"/>
          <w:szCs w:val="24"/>
          <w:lang w:val="en-US"/>
        </w:rPr>
        <w:t>phase</w:t>
      </w:r>
      <w:r w:rsidR="002D4B7D" w:rsidRPr="00CD0D03">
        <w:rPr>
          <w:rFonts w:cs="Times New Roman"/>
          <w:sz w:val="24"/>
          <w:szCs w:val="24"/>
          <w:lang w:val="en-US"/>
        </w:rPr>
        <w:t xml:space="preserve"> is to determine the operating characteristics of the </w:t>
      </w:r>
      <w:r w:rsidR="00451F39">
        <w:rPr>
          <w:rFonts w:cs="Times New Roman"/>
          <w:sz w:val="24"/>
          <w:szCs w:val="24"/>
          <w:lang w:val="en-US"/>
        </w:rPr>
        <w:t>biomarker</w:t>
      </w:r>
      <w:r w:rsidR="002D4B7D" w:rsidRPr="00CD0D03">
        <w:rPr>
          <w:rFonts w:cs="Times New Roman"/>
          <w:sz w:val="24"/>
          <w:szCs w:val="24"/>
          <w:lang w:val="en-US"/>
        </w:rPr>
        <w:t xml:space="preserve"> in a representative population, by determining the true and false positive referral rates.</w:t>
      </w:r>
      <w:r w:rsidR="00D928A2" w:rsidRPr="00CD0D03">
        <w:rPr>
          <w:rFonts w:cs="Times New Roman"/>
          <w:sz w:val="24"/>
          <w:szCs w:val="24"/>
          <w:lang w:val="en-US"/>
        </w:rPr>
        <w:t xml:space="preserve"> </w:t>
      </w:r>
      <w:r w:rsidR="00C0784E" w:rsidRPr="00CD0D03">
        <w:rPr>
          <w:rFonts w:cs="Times New Roman"/>
          <w:sz w:val="24"/>
          <w:szCs w:val="24"/>
          <w:lang w:val="en-US"/>
        </w:rPr>
        <w:t>Similar to studies that investigate interventions and treatment, Phase 4</w:t>
      </w:r>
      <w:r w:rsidR="00D928A2" w:rsidRPr="00CD0D03">
        <w:rPr>
          <w:rFonts w:cs="Times New Roman"/>
          <w:sz w:val="24"/>
          <w:szCs w:val="24"/>
          <w:lang w:val="en-US"/>
        </w:rPr>
        <w:t xml:space="preserve"> </w:t>
      </w:r>
      <w:r w:rsidR="00C0784E" w:rsidRPr="00CD0D03">
        <w:rPr>
          <w:rFonts w:cs="Times New Roman"/>
          <w:sz w:val="24"/>
          <w:szCs w:val="24"/>
          <w:lang w:val="en-US"/>
        </w:rPr>
        <w:t>is somewhat concerned with</w:t>
      </w:r>
      <w:r w:rsidR="00D928A2" w:rsidRPr="00CD0D03">
        <w:rPr>
          <w:rFonts w:cs="Times New Roman"/>
          <w:sz w:val="24"/>
          <w:szCs w:val="24"/>
          <w:lang w:val="en-US"/>
        </w:rPr>
        <w:t xml:space="preserve"> the exploration of effectiveness</w:t>
      </w:r>
      <w:r w:rsidR="00C0784E" w:rsidRPr="00CD0D03">
        <w:rPr>
          <w:rFonts w:cs="Times New Roman"/>
          <w:sz w:val="24"/>
          <w:szCs w:val="24"/>
          <w:lang w:val="en-US"/>
        </w:rPr>
        <w:t xml:space="preserve"> rather than efficacy. </w:t>
      </w:r>
      <w:r w:rsidR="002D4B7D" w:rsidRPr="00CD0D03">
        <w:rPr>
          <w:rFonts w:cs="Times New Roman"/>
          <w:sz w:val="24"/>
          <w:szCs w:val="24"/>
          <w:lang w:val="en-US"/>
        </w:rPr>
        <w:t xml:space="preserve"> Secondary aims </w:t>
      </w:r>
      <w:r w:rsidR="00C0784E" w:rsidRPr="00CD0D03">
        <w:rPr>
          <w:rFonts w:cs="Times New Roman"/>
          <w:sz w:val="24"/>
          <w:szCs w:val="24"/>
          <w:lang w:val="en-US"/>
        </w:rPr>
        <w:t xml:space="preserve">include the collection and interpretation of data about the feasibility and scalability of the diagnostic protocol, including the acceptability of the diagnostic procedures required to conduct the clinical tests, and the attached costs. The latter may vary as the clinical validity and utility of the </w:t>
      </w:r>
      <w:r w:rsidR="00451F39">
        <w:rPr>
          <w:rFonts w:cs="Times New Roman"/>
          <w:sz w:val="24"/>
          <w:szCs w:val="24"/>
          <w:lang w:val="en-US"/>
        </w:rPr>
        <w:t>biomarker</w:t>
      </w:r>
      <w:r w:rsidR="00451F39" w:rsidRPr="00CD0D03">
        <w:rPr>
          <w:rFonts w:cs="Times New Roman"/>
          <w:sz w:val="24"/>
          <w:szCs w:val="24"/>
          <w:lang w:val="en-US"/>
        </w:rPr>
        <w:t xml:space="preserve"> </w:t>
      </w:r>
      <w:r w:rsidR="00C0784E" w:rsidRPr="00CD0D03">
        <w:rPr>
          <w:rFonts w:cs="Times New Roman"/>
          <w:sz w:val="24"/>
          <w:szCs w:val="24"/>
          <w:lang w:val="en-US"/>
        </w:rPr>
        <w:t xml:space="preserve">is demonstrated and the indication of the use of </w:t>
      </w:r>
      <w:r w:rsidR="00451F39">
        <w:rPr>
          <w:rFonts w:cs="Times New Roman"/>
          <w:sz w:val="24"/>
          <w:szCs w:val="24"/>
          <w:lang w:val="en-US"/>
        </w:rPr>
        <w:t>biomarker</w:t>
      </w:r>
      <w:r w:rsidR="00451F39" w:rsidRPr="00CD0D03">
        <w:rPr>
          <w:rFonts w:cs="Times New Roman"/>
          <w:sz w:val="24"/>
          <w:szCs w:val="24"/>
          <w:lang w:val="en-US"/>
        </w:rPr>
        <w:t xml:space="preserve"> </w:t>
      </w:r>
      <w:r w:rsidR="00C0784E" w:rsidRPr="00CD0D03">
        <w:rPr>
          <w:rFonts w:cs="Times New Roman"/>
          <w:sz w:val="24"/>
          <w:szCs w:val="24"/>
          <w:lang w:val="en-US"/>
        </w:rPr>
        <w:t>in the clinical routine is established</w:t>
      </w:r>
      <w:r w:rsidR="00451F39">
        <w:rPr>
          <w:rFonts w:cs="Times New Roman"/>
          <w:sz w:val="24"/>
          <w:szCs w:val="24"/>
          <w:lang w:val="en-US"/>
        </w:rPr>
        <w:t>,</w:t>
      </w:r>
      <w:r w:rsidR="00C0784E" w:rsidRPr="00CD0D03">
        <w:rPr>
          <w:rFonts w:cs="Times New Roman"/>
          <w:sz w:val="24"/>
          <w:szCs w:val="24"/>
          <w:lang w:val="en-US"/>
        </w:rPr>
        <w:t xml:space="preserve"> </w:t>
      </w:r>
      <w:r w:rsidR="00451F39">
        <w:rPr>
          <w:rFonts w:cs="Times New Roman"/>
          <w:sz w:val="24"/>
          <w:szCs w:val="24"/>
          <w:lang w:val="en-US"/>
        </w:rPr>
        <w:t>its use consequently expanding</w:t>
      </w:r>
      <w:r w:rsidR="00C0784E" w:rsidRPr="00CD0D03">
        <w:rPr>
          <w:rFonts w:cs="Times New Roman"/>
          <w:sz w:val="24"/>
          <w:szCs w:val="24"/>
          <w:lang w:val="en-US"/>
        </w:rPr>
        <w:t xml:space="preserve"> to ‘spend to save’</w:t>
      </w:r>
      <w:r w:rsidR="00451F39">
        <w:rPr>
          <w:rFonts w:cs="Times New Roman"/>
          <w:sz w:val="24"/>
          <w:szCs w:val="24"/>
          <w:lang w:val="en-US"/>
        </w:rPr>
        <w:t xml:space="preserve"> thanks to </w:t>
      </w:r>
      <w:r w:rsidR="00C0784E" w:rsidRPr="00CD0D03">
        <w:rPr>
          <w:rFonts w:cs="Times New Roman"/>
          <w:sz w:val="24"/>
          <w:szCs w:val="24"/>
          <w:lang w:val="en-US"/>
        </w:rPr>
        <w:t xml:space="preserve">the </w:t>
      </w:r>
      <w:r w:rsidR="00C0784E" w:rsidRPr="00CD0D03">
        <w:rPr>
          <w:rFonts w:cs="Times New Roman"/>
          <w:sz w:val="24"/>
          <w:szCs w:val="24"/>
          <w:lang w:val="en-US"/>
        </w:rPr>
        <w:lastRenderedPageBreak/>
        <w:t xml:space="preserve">benefits of an improved </w:t>
      </w:r>
      <w:r w:rsidR="00AF548D">
        <w:rPr>
          <w:rFonts w:cs="Times New Roman"/>
          <w:sz w:val="24"/>
          <w:szCs w:val="24"/>
          <w:lang w:val="en-US"/>
        </w:rPr>
        <w:t>early</w:t>
      </w:r>
      <w:r w:rsidR="00C0784E" w:rsidRPr="00CD0D03">
        <w:rPr>
          <w:rFonts w:cs="Times New Roman"/>
          <w:sz w:val="24"/>
          <w:szCs w:val="24"/>
          <w:lang w:val="en-US"/>
        </w:rPr>
        <w:t xml:space="preserve"> diagnosis. A final aim is the continuous and extended monitoring of disease occurrence in these representative samples in those whose diagnostic tests are negative in the face of the MCI phenotype.</w:t>
      </w:r>
    </w:p>
    <w:p w14:paraId="0D9814DA" w14:textId="4F5DBFE3" w:rsidR="00D94403" w:rsidRPr="00CD0D03" w:rsidRDefault="00D94403" w:rsidP="00A83B7C">
      <w:pPr>
        <w:spacing w:line="480" w:lineRule="auto"/>
        <w:rPr>
          <w:rFonts w:cs="Times New Roman"/>
          <w:sz w:val="24"/>
          <w:szCs w:val="24"/>
          <w:lang w:val="en-US"/>
        </w:rPr>
      </w:pPr>
      <w:r>
        <w:rPr>
          <w:rFonts w:cs="Times New Roman"/>
          <w:sz w:val="24"/>
          <w:szCs w:val="24"/>
          <w:lang w:val="en-US"/>
        </w:rPr>
        <w:t>This phase may appear similar to Phase 3. Indeed, i</w:t>
      </w:r>
      <w:r w:rsidRPr="00CD0D03">
        <w:rPr>
          <w:rFonts w:cs="Times New Roman"/>
          <w:sz w:val="24"/>
          <w:szCs w:val="24"/>
          <w:lang w:val="en-US"/>
        </w:rPr>
        <w:t xml:space="preserve">n the case of AD both phase 3 and phase 4 studies target clinical MCI patients. However, </w:t>
      </w:r>
      <w:r>
        <w:rPr>
          <w:rFonts w:cs="Times New Roman"/>
          <w:sz w:val="24"/>
          <w:szCs w:val="24"/>
          <w:lang w:val="en-US"/>
        </w:rPr>
        <w:t>unlike</w:t>
      </w:r>
      <w:r w:rsidRPr="00CD0D03">
        <w:rPr>
          <w:rFonts w:cs="Times New Roman"/>
          <w:sz w:val="24"/>
          <w:szCs w:val="24"/>
          <w:lang w:val="en-US"/>
        </w:rPr>
        <w:t xml:space="preserve"> Phase 3, in Phase 4 </w:t>
      </w:r>
      <w:r>
        <w:rPr>
          <w:rFonts w:cs="Times New Roman"/>
          <w:sz w:val="24"/>
          <w:szCs w:val="24"/>
          <w:lang w:val="en-US"/>
        </w:rPr>
        <w:t>patients</w:t>
      </w:r>
      <w:r w:rsidRPr="00CD0D03">
        <w:rPr>
          <w:rFonts w:cs="Times New Roman"/>
          <w:sz w:val="24"/>
          <w:szCs w:val="24"/>
          <w:lang w:val="en-US"/>
        </w:rPr>
        <w:t xml:space="preserve"> are actually diagnosed (i.e. classified) and treated on the basis of the test (i.e. biomarker) results, which are also the object of </w:t>
      </w:r>
      <w:r>
        <w:rPr>
          <w:rFonts w:cs="Times New Roman"/>
          <w:sz w:val="24"/>
          <w:szCs w:val="24"/>
          <w:lang w:val="en-US"/>
        </w:rPr>
        <w:t>the investigation in this phase.</w:t>
      </w:r>
      <w:r w:rsidRPr="00CD0D03">
        <w:rPr>
          <w:rFonts w:cs="Times New Roman"/>
          <w:sz w:val="24"/>
          <w:szCs w:val="24"/>
          <w:lang w:val="en-US"/>
        </w:rPr>
        <w:t xml:space="preserve"> </w:t>
      </w:r>
      <w:r>
        <w:rPr>
          <w:rFonts w:cs="Times New Roman"/>
          <w:sz w:val="24"/>
          <w:szCs w:val="24"/>
          <w:lang w:val="en-US"/>
        </w:rPr>
        <w:t>T</w:t>
      </w:r>
      <w:r w:rsidRPr="00CD0D03">
        <w:rPr>
          <w:rFonts w:cs="Times New Roman"/>
          <w:sz w:val="24"/>
          <w:szCs w:val="24"/>
          <w:lang w:val="en-US"/>
        </w:rPr>
        <w:t xml:space="preserve">hese studies are performed in </w:t>
      </w:r>
      <w:r>
        <w:rPr>
          <w:rFonts w:cs="Times New Roman"/>
          <w:sz w:val="24"/>
          <w:szCs w:val="24"/>
          <w:lang w:val="en-US"/>
        </w:rPr>
        <w:t xml:space="preserve">a </w:t>
      </w:r>
      <w:r w:rsidRPr="00CD0D03">
        <w:rPr>
          <w:rFonts w:cs="Times New Roman"/>
          <w:sz w:val="24"/>
          <w:szCs w:val="24"/>
          <w:lang w:val="en-US"/>
        </w:rPr>
        <w:t xml:space="preserve">naturalistic context to safeguard the ecological conditions of </w:t>
      </w:r>
      <w:r>
        <w:rPr>
          <w:rFonts w:cs="Times New Roman"/>
          <w:sz w:val="24"/>
          <w:szCs w:val="24"/>
          <w:lang w:val="en-US"/>
        </w:rPr>
        <w:t xml:space="preserve">the </w:t>
      </w:r>
      <w:r w:rsidRPr="00CD0D03">
        <w:rPr>
          <w:rFonts w:cs="Times New Roman"/>
          <w:sz w:val="24"/>
          <w:szCs w:val="24"/>
          <w:lang w:val="en-US"/>
        </w:rPr>
        <w:t xml:space="preserve">research, and the external validity of results. The internal validity may be somewhat lower because of less stringent sampling and selection procedures and greater measurement errors. This would be </w:t>
      </w:r>
      <w:r>
        <w:rPr>
          <w:rFonts w:cs="Times New Roman"/>
          <w:sz w:val="24"/>
          <w:szCs w:val="24"/>
          <w:lang w:val="en-US"/>
        </w:rPr>
        <w:t>necessary</w:t>
      </w:r>
      <w:r w:rsidRPr="00CD0D03">
        <w:rPr>
          <w:rFonts w:cs="Times New Roman"/>
          <w:sz w:val="24"/>
          <w:szCs w:val="24"/>
          <w:lang w:val="en-US"/>
        </w:rPr>
        <w:t xml:space="preserve"> to guarantee that MCI patients in Phase 4 are truly representative of everyday memory clinic patients, who may also have comorbidities, and for whom a lower compliance to the study protocol may be expected, compared to those examined in Phase 3 studies.</w:t>
      </w:r>
      <w:r>
        <w:rPr>
          <w:rFonts w:cs="Times New Roman"/>
          <w:sz w:val="24"/>
          <w:szCs w:val="24"/>
          <w:lang w:val="en-US"/>
        </w:rPr>
        <w:t xml:space="preserve"> Examples of Phase 4 studies are those currently assessing the incremental value of amyloid imaging. In these </w:t>
      </w:r>
      <w:proofErr w:type="gramStart"/>
      <w:r>
        <w:rPr>
          <w:rFonts w:cs="Times New Roman"/>
          <w:sz w:val="24"/>
          <w:szCs w:val="24"/>
          <w:lang w:val="en-US"/>
        </w:rPr>
        <w:t>studies</w:t>
      </w:r>
      <w:proofErr w:type="gramEnd"/>
      <w:r>
        <w:rPr>
          <w:rFonts w:cs="Times New Roman"/>
          <w:sz w:val="24"/>
          <w:szCs w:val="24"/>
          <w:lang w:val="en-US"/>
        </w:rPr>
        <w:t xml:space="preserve"> (Boccardi et al., JAMA Neurol 2016; Zwan et a., 2014), MCI cases from memory clinics undergo amyloid-PET at the end of the traditional diagnostic work-up. Physicians record diagnosis, diagnostic confidence and treatment plan at the end of the traditional work-up, and again after receiving amyloid-PET scan results. The latter diagnosis and treatment are those finally given to patients. Different from Phase 3 studies, participants also take a benefit from the exam that is being assessed to fulfill Phase 4 aims.</w:t>
      </w:r>
    </w:p>
    <w:p w14:paraId="1E64B122" w14:textId="77777777" w:rsidR="002D4B7D" w:rsidRPr="00CD0D03" w:rsidRDefault="002D4B7D" w:rsidP="00A83B7C">
      <w:pPr>
        <w:spacing w:line="480" w:lineRule="auto"/>
        <w:rPr>
          <w:rFonts w:cs="Times New Roman"/>
          <w:sz w:val="24"/>
          <w:szCs w:val="24"/>
          <w:lang w:val="en-US"/>
        </w:rPr>
      </w:pPr>
      <w:r w:rsidRPr="00CD0D03">
        <w:rPr>
          <w:rFonts w:cs="Times New Roman"/>
          <w:i/>
          <w:sz w:val="24"/>
          <w:szCs w:val="24"/>
          <w:lang w:val="en-US"/>
        </w:rPr>
        <w:t>3.4.</w:t>
      </w:r>
      <w:r w:rsidR="00BA3528" w:rsidRPr="00CD0D03">
        <w:rPr>
          <w:rFonts w:cs="Times New Roman"/>
          <w:i/>
          <w:sz w:val="24"/>
          <w:szCs w:val="24"/>
          <w:lang w:val="en-US"/>
        </w:rPr>
        <w:t xml:space="preserve">2 </w:t>
      </w:r>
      <w:r w:rsidRPr="00CD0D03">
        <w:rPr>
          <w:rFonts w:cs="Times New Roman"/>
          <w:i/>
          <w:sz w:val="24"/>
          <w:szCs w:val="24"/>
          <w:lang w:val="en-US"/>
        </w:rPr>
        <w:t>Phase 4 Design</w:t>
      </w:r>
      <w:r w:rsidRPr="00CD0D03">
        <w:rPr>
          <w:rFonts w:cs="Times New Roman"/>
          <w:sz w:val="24"/>
          <w:szCs w:val="24"/>
          <w:lang w:val="en-US"/>
        </w:rPr>
        <w:t xml:space="preserve">. Studies fulfilling Phase 4 aims </w:t>
      </w:r>
      <w:r w:rsidR="00C0784E" w:rsidRPr="00CD0D03">
        <w:rPr>
          <w:rFonts w:cs="Times New Roman"/>
          <w:sz w:val="24"/>
          <w:szCs w:val="24"/>
          <w:lang w:val="en-US"/>
        </w:rPr>
        <w:t>are</w:t>
      </w:r>
      <w:r w:rsidRPr="00CD0D03">
        <w:rPr>
          <w:rFonts w:cs="Times New Roman"/>
          <w:sz w:val="24"/>
          <w:szCs w:val="24"/>
          <w:lang w:val="en-US"/>
        </w:rPr>
        <w:t xml:space="preserve"> prospective </w:t>
      </w:r>
      <w:r w:rsidR="00C0784E" w:rsidRPr="00CD0D03">
        <w:rPr>
          <w:rFonts w:cs="Times New Roman"/>
          <w:sz w:val="24"/>
          <w:szCs w:val="24"/>
          <w:lang w:val="en-US"/>
        </w:rPr>
        <w:t>cohort studies conducted in large and representative samples drawn from the target population</w:t>
      </w:r>
      <w:r w:rsidRPr="00CD0D03">
        <w:rPr>
          <w:rFonts w:cs="Times New Roman"/>
          <w:sz w:val="24"/>
          <w:szCs w:val="24"/>
          <w:lang w:val="en-US"/>
        </w:rPr>
        <w:t>.</w:t>
      </w:r>
    </w:p>
    <w:p w14:paraId="17EC3933" w14:textId="77777777" w:rsidR="002D4B7D" w:rsidRPr="00CD0D03" w:rsidRDefault="002D4B7D" w:rsidP="00A83B7C">
      <w:pPr>
        <w:spacing w:line="480" w:lineRule="auto"/>
        <w:rPr>
          <w:rFonts w:cs="Times New Roman"/>
          <w:sz w:val="24"/>
          <w:szCs w:val="24"/>
          <w:lang w:val="en-US"/>
        </w:rPr>
      </w:pPr>
      <w:r w:rsidRPr="00CD0D03">
        <w:rPr>
          <w:rFonts w:cs="Times New Roman"/>
          <w:i/>
          <w:sz w:val="24"/>
          <w:szCs w:val="24"/>
          <w:lang w:val="en-US"/>
        </w:rPr>
        <w:t>3.4.</w:t>
      </w:r>
      <w:r w:rsidR="00BA3528" w:rsidRPr="00CD0D03">
        <w:rPr>
          <w:rFonts w:cs="Times New Roman"/>
          <w:i/>
          <w:sz w:val="24"/>
          <w:szCs w:val="24"/>
          <w:lang w:val="en-US"/>
        </w:rPr>
        <w:t xml:space="preserve">3 </w:t>
      </w:r>
      <w:r w:rsidRPr="00CD0D03">
        <w:rPr>
          <w:rFonts w:cs="Times New Roman"/>
          <w:i/>
          <w:sz w:val="24"/>
          <w:szCs w:val="24"/>
          <w:lang w:val="en-US"/>
        </w:rPr>
        <w:t>Phase 4 Target Population</w:t>
      </w:r>
      <w:r w:rsidRPr="00CD0D03">
        <w:rPr>
          <w:rFonts w:cs="Times New Roman"/>
          <w:sz w:val="24"/>
          <w:szCs w:val="24"/>
          <w:lang w:val="en-US"/>
        </w:rPr>
        <w:t>. Same as in Phase 3. However, less stringent selection criteria may be used in Phase 4 studies</w:t>
      </w:r>
      <w:r w:rsidR="00C130AA" w:rsidRPr="00CD0D03">
        <w:rPr>
          <w:rFonts w:cs="Times New Roman"/>
          <w:sz w:val="24"/>
          <w:szCs w:val="24"/>
          <w:lang w:val="en-US"/>
        </w:rPr>
        <w:t xml:space="preserve"> due to the inevitably</w:t>
      </w:r>
      <w:r w:rsidR="00E271A5" w:rsidRPr="00CD0D03">
        <w:rPr>
          <w:rFonts w:cs="Times New Roman"/>
          <w:sz w:val="24"/>
          <w:szCs w:val="24"/>
          <w:lang w:val="en-US"/>
        </w:rPr>
        <w:t xml:space="preserve"> higher amount of comorbidity of </w:t>
      </w:r>
      <w:proofErr w:type="gramStart"/>
      <w:r w:rsidR="00E271A5" w:rsidRPr="00CD0D03">
        <w:rPr>
          <w:rFonts w:cs="Times New Roman"/>
          <w:sz w:val="24"/>
          <w:szCs w:val="24"/>
          <w:lang w:val="en-US"/>
        </w:rPr>
        <w:t>patients</w:t>
      </w:r>
      <w:proofErr w:type="gramEnd"/>
      <w:r w:rsidR="00E271A5" w:rsidRPr="00CD0D03">
        <w:rPr>
          <w:rFonts w:cs="Times New Roman"/>
          <w:sz w:val="24"/>
          <w:szCs w:val="24"/>
          <w:lang w:val="en-US"/>
        </w:rPr>
        <w:t xml:space="preserve"> representative of memory clinics populations</w:t>
      </w:r>
      <w:r w:rsidR="00C0784E" w:rsidRPr="00CD0D03">
        <w:rPr>
          <w:rFonts w:cs="Times New Roman"/>
          <w:sz w:val="24"/>
          <w:szCs w:val="24"/>
          <w:lang w:val="en-US"/>
        </w:rPr>
        <w:t xml:space="preserve">, and the likely involvement of </w:t>
      </w:r>
      <w:r w:rsidR="00352446">
        <w:rPr>
          <w:rFonts w:cs="Times New Roman"/>
          <w:sz w:val="24"/>
          <w:szCs w:val="24"/>
          <w:lang w:val="en-US"/>
        </w:rPr>
        <w:t>multiple</w:t>
      </w:r>
      <w:r w:rsidR="00C0784E" w:rsidRPr="00CD0D03">
        <w:rPr>
          <w:rFonts w:cs="Times New Roman"/>
          <w:sz w:val="24"/>
          <w:szCs w:val="24"/>
          <w:lang w:val="en-US"/>
        </w:rPr>
        <w:t xml:space="preserve"> study </w:t>
      </w:r>
      <w:r w:rsidR="00C0784E" w:rsidRPr="00CD0D03">
        <w:rPr>
          <w:rFonts w:cs="Times New Roman"/>
          <w:sz w:val="24"/>
          <w:szCs w:val="24"/>
          <w:lang w:val="en-US"/>
        </w:rPr>
        <w:lastRenderedPageBreak/>
        <w:t>centers</w:t>
      </w:r>
      <w:r w:rsidR="00352446">
        <w:rPr>
          <w:rFonts w:cs="Times New Roman"/>
          <w:sz w:val="24"/>
          <w:szCs w:val="24"/>
          <w:lang w:val="en-US"/>
        </w:rPr>
        <w:t>. These</w:t>
      </w:r>
      <w:r w:rsidR="00C0784E" w:rsidRPr="00CD0D03">
        <w:rPr>
          <w:rFonts w:cs="Times New Roman"/>
          <w:sz w:val="24"/>
          <w:szCs w:val="24"/>
          <w:lang w:val="en-US"/>
        </w:rPr>
        <w:t xml:space="preserve"> should recruit participants without operating exclusions </w:t>
      </w:r>
      <w:r w:rsidR="00FD6862">
        <w:rPr>
          <w:rFonts w:cs="Times New Roman"/>
          <w:sz w:val="24"/>
          <w:szCs w:val="24"/>
          <w:lang w:val="en-US"/>
        </w:rPr>
        <w:t>possibly introducing unwanted bias, and reducing</w:t>
      </w:r>
      <w:r w:rsidR="00C0784E" w:rsidRPr="00CD0D03">
        <w:rPr>
          <w:rFonts w:cs="Times New Roman"/>
          <w:sz w:val="24"/>
          <w:szCs w:val="24"/>
          <w:lang w:val="en-US"/>
        </w:rPr>
        <w:t xml:space="preserve"> the external validity of results.</w:t>
      </w:r>
      <w:r w:rsidRPr="00CD0D03">
        <w:rPr>
          <w:rFonts w:cs="Times New Roman"/>
          <w:sz w:val="24"/>
          <w:szCs w:val="24"/>
          <w:lang w:val="en-US"/>
        </w:rPr>
        <w:t xml:space="preserve"> </w:t>
      </w:r>
    </w:p>
    <w:p w14:paraId="5C5B16D1" w14:textId="77777777" w:rsidR="002D4B7D" w:rsidRPr="00CD0D03" w:rsidRDefault="002D4B7D" w:rsidP="00A83B7C">
      <w:pPr>
        <w:spacing w:line="480" w:lineRule="auto"/>
        <w:rPr>
          <w:rFonts w:cs="Times New Roman"/>
          <w:sz w:val="24"/>
          <w:szCs w:val="24"/>
          <w:lang w:val="en-US"/>
        </w:rPr>
      </w:pPr>
      <w:r w:rsidRPr="00CD0D03">
        <w:rPr>
          <w:rFonts w:cs="Times New Roman"/>
          <w:i/>
          <w:sz w:val="24"/>
          <w:szCs w:val="24"/>
          <w:lang w:val="en-US"/>
        </w:rPr>
        <w:t>3.4.</w:t>
      </w:r>
      <w:r w:rsidR="00BA3528" w:rsidRPr="00CD0D03">
        <w:rPr>
          <w:rFonts w:cs="Times New Roman"/>
          <w:i/>
          <w:sz w:val="24"/>
          <w:szCs w:val="24"/>
          <w:lang w:val="en-US"/>
        </w:rPr>
        <w:t xml:space="preserve">4 </w:t>
      </w:r>
      <w:r w:rsidRPr="00CD0D03">
        <w:rPr>
          <w:rFonts w:cs="Times New Roman"/>
          <w:i/>
          <w:sz w:val="24"/>
          <w:szCs w:val="24"/>
          <w:lang w:val="en-US"/>
        </w:rPr>
        <w:t>Phase 4 Gold standard</w:t>
      </w:r>
      <w:r w:rsidRPr="00CD0D03">
        <w:rPr>
          <w:rFonts w:cs="Times New Roman"/>
          <w:sz w:val="24"/>
          <w:szCs w:val="24"/>
          <w:lang w:val="en-US"/>
        </w:rPr>
        <w:t>. Same as in Phase 3</w:t>
      </w:r>
      <w:r w:rsidR="00C0784E" w:rsidRPr="00CD0D03">
        <w:rPr>
          <w:rFonts w:cs="Times New Roman"/>
          <w:sz w:val="24"/>
          <w:szCs w:val="24"/>
          <w:lang w:val="en-US"/>
        </w:rPr>
        <w:t>,</w:t>
      </w:r>
      <w:r w:rsidR="00F8503D" w:rsidRPr="00CD0D03">
        <w:rPr>
          <w:rFonts w:cs="Times New Roman"/>
          <w:sz w:val="24"/>
          <w:szCs w:val="24"/>
          <w:lang w:val="en-US"/>
        </w:rPr>
        <w:t xml:space="preserve"> that </w:t>
      </w:r>
      <w:r w:rsidR="00C0784E" w:rsidRPr="00CD0D03">
        <w:rPr>
          <w:rFonts w:cs="Times New Roman"/>
          <w:sz w:val="24"/>
          <w:szCs w:val="24"/>
          <w:lang w:val="en-US"/>
        </w:rPr>
        <w:t>is the clinical diagnosis of AD at follow-up.</w:t>
      </w:r>
    </w:p>
    <w:p w14:paraId="2D874018" w14:textId="77777777" w:rsidR="002D4B7D" w:rsidRPr="00CD0D03" w:rsidRDefault="002D4B7D" w:rsidP="00A83B7C">
      <w:pPr>
        <w:spacing w:line="480" w:lineRule="auto"/>
        <w:rPr>
          <w:rFonts w:cs="Times New Roman"/>
          <w:sz w:val="24"/>
          <w:szCs w:val="24"/>
          <w:lang w:val="en-US"/>
        </w:rPr>
      </w:pPr>
      <w:r w:rsidRPr="00CD0D03">
        <w:rPr>
          <w:rFonts w:cs="Times New Roman"/>
          <w:i/>
          <w:sz w:val="24"/>
          <w:szCs w:val="24"/>
          <w:lang w:val="en-US"/>
        </w:rPr>
        <w:t>3.4.</w:t>
      </w:r>
      <w:r w:rsidR="00BA3528" w:rsidRPr="00CD0D03">
        <w:rPr>
          <w:rFonts w:cs="Times New Roman"/>
          <w:i/>
          <w:sz w:val="24"/>
          <w:szCs w:val="24"/>
          <w:lang w:val="en-US"/>
        </w:rPr>
        <w:t xml:space="preserve">5 </w:t>
      </w:r>
      <w:r w:rsidRPr="00CD0D03">
        <w:rPr>
          <w:rFonts w:cs="Times New Roman"/>
          <w:i/>
          <w:sz w:val="24"/>
          <w:szCs w:val="24"/>
          <w:lang w:val="en-US"/>
        </w:rPr>
        <w:t>Phase 4 Outcome</w:t>
      </w:r>
      <w:r w:rsidRPr="00CD0D03">
        <w:rPr>
          <w:rFonts w:cs="Times New Roman"/>
          <w:sz w:val="24"/>
          <w:szCs w:val="24"/>
          <w:lang w:val="en-US"/>
        </w:rPr>
        <w:t xml:space="preserve">. The outcomes assessed in Phase 4 studies </w:t>
      </w:r>
      <w:r w:rsidR="00C0784E" w:rsidRPr="00CD0D03">
        <w:rPr>
          <w:rFonts w:cs="Times New Roman"/>
          <w:sz w:val="24"/>
          <w:szCs w:val="24"/>
          <w:lang w:val="en-US"/>
        </w:rPr>
        <w:t xml:space="preserve">are </w:t>
      </w:r>
      <w:r w:rsidRPr="00CD0D03">
        <w:rPr>
          <w:rFonts w:cs="Times New Roman"/>
          <w:sz w:val="24"/>
          <w:szCs w:val="24"/>
          <w:lang w:val="en-US"/>
        </w:rPr>
        <w:t xml:space="preserve">the proportion of cases correctly diagnosed, </w:t>
      </w:r>
      <w:r w:rsidR="00667D63" w:rsidRPr="00CD0D03">
        <w:rPr>
          <w:rFonts w:cs="Times New Roman"/>
          <w:sz w:val="24"/>
          <w:szCs w:val="24"/>
          <w:lang w:val="en-US"/>
        </w:rPr>
        <w:t xml:space="preserve">accounting for relevant </w:t>
      </w:r>
      <w:r w:rsidRPr="00CD0D03">
        <w:rPr>
          <w:rFonts w:cs="Times New Roman"/>
          <w:sz w:val="24"/>
          <w:szCs w:val="24"/>
          <w:lang w:val="en-US"/>
        </w:rPr>
        <w:t>baseline correlates (</w:t>
      </w:r>
      <w:r w:rsidR="00667D63" w:rsidRPr="00CD0D03">
        <w:rPr>
          <w:rFonts w:cs="Times New Roman"/>
          <w:sz w:val="24"/>
          <w:szCs w:val="24"/>
          <w:lang w:val="en-US"/>
        </w:rPr>
        <w:t xml:space="preserve">including </w:t>
      </w:r>
      <w:r w:rsidRPr="00CD0D03">
        <w:rPr>
          <w:rFonts w:cs="Times New Roman"/>
          <w:sz w:val="24"/>
          <w:szCs w:val="24"/>
          <w:lang w:val="en-US"/>
        </w:rPr>
        <w:t>age,</w:t>
      </w:r>
      <w:r w:rsidR="00667D63" w:rsidRPr="00CD0D03">
        <w:rPr>
          <w:rFonts w:cs="Times New Roman"/>
          <w:sz w:val="24"/>
          <w:szCs w:val="24"/>
          <w:lang w:val="en-US"/>
        </w:rPr>
        <w:t xml:space="preserve"> sex and</w:t>
      </w:r>
      <w:r w:rsidRPr="00CD0D03">
        <w:rPr>
          <w:rFonts w:cs="Times New Roman"/>
          <w:sz w:val="24"/>
          <w:szCs w:val="24"/>
          <w:lang w:val="en-US"/>
        </w:rPr>
        <w:t xml:space="preserve"> severity), and </w:t>
      </w:r>
      <w:r w:rsidR="002836E9" w:rsidRPr="00CD0D03">
        <w:rPr>
          <w:rFonts w:cs="Times New Roman"/>
          <w:sz w:val="24"/>
          <w:szCs w:val="24"/>
          <w:lang w:val="en-US"/>
        </w:rPr>
        <w:t xml:space="preserve">measures of </w:t>
      </w:r>
      <w:r w:rsidRPr="00CD0D03">
        <w:rPr>
          <w:rFonts w:cs="Times New Roman"/>
          <w:sz w:val="24"/>
          <w:szCs w:val="24"/>
          <w:lang w:val="en-US"/>
        </w:rPr>
        <w:t>compliance with the</w:t>
      </w:r>
      <w:r w:rsidR="002836E9" w:rsidRPr="00CD0D03">
        <w:rPr>
          <w:rFonts w:cs="Times New Roman"/>
          <w:sz w:val="24"/>
          <w:szCs w:val="24"/>
          <w:lang w:val="en-US"/>
        </w:rPr>
        <w:t xml:space="preserve"> study protocol</w:t>
      </w:r>
      <w:r w:rsidRPr="00CD0D03">
        <w:rPr>
          <w:rFonts w:cs="Times New Roman"/>
          <w:sz w:val="24"/>
          <w:szCs w:val="24"/>
          <w:lang w:val="en-US"/>
        </w:rPr>
        <w:t>. Preliminary estimates of disease-associated morbidity, quality of life, and costs are also explored</w:t>
      </w:r>
      <w:r w:rsidR="002836E9" w:rsidRPr="00CD0D03">
        <w:rPr>
          <w:rFonts w:cs="Times New Roman"/>
          <w:sz w:val="24"/>
          <w:szCs w:val="24"/>
          <w:lang w:val="en-US"/>
        </w:rPr>
        <w:t xml:space="preserve"> to evaluate the cost-effectiveness and scalability of the diagnostic procedures once these are translated into the clinical routine.</w:t>
      </w:r>
    </w:p>
    <w:p w14:paraId="38B2AF56" w14:textId="77777777" w:rsidR="002D4B7D" w:rsidRPr="007B1936" w:rsidRDefault="002D4B7D" w:rsidP="00A83B7C">
      <w:pPr>
        <w:spacing w:line="480" w:lineRule="auto"/>
        <w:rPr>
          <w:rFonts w:cs="Times New Roman"/>
          <w:i/>
          <w:sz w:val="24"/>
          <w:szCs w:val="24"/>
          <w:lang w:val="en-US"/>
        </w:rPr>
      </w:pPr>
      <w:r w:rsidRPr="007B1936">
        <w:rPr>
          <w:rFonts w:cs="Times New Roman"/>
          <w:i/>
          <w:sz w:val="24"/>
          <w:szCs w:val="24"/>
          <w:lang w:val="en-US"/>
        </w:rPr>
        <w:t>3.5 Phase 5: Disease-Control Studies.</w:t>
      </w:r>
    </w:p>
    <w:p w14:paraId="39FD4F2F" w14:textId="77777777" w:rsidR="002D4B7D" w:rsidRPr="00CD0D03" w:rsidRDefault="006D1AF8" w:rsidP="00A83B7C">
      <w:pPr>
        <w:spacing w:line="480" w:lineRule="auto"/>
        <w:rPr>
          <w:rFonts w:cs="Times New Roman"/>
          <w:sz w:val="24"/>
          <w:szCs w:val="24"/>
          <w:lang w:val="en-US"/>
        </w:rPr>
      </w:pPr>
      <w:r w:rsidRPr="00CD0D03">
        <w:rPr>
          <w:rFonts w:cs="Times New Roman"/>
          <w:i/>
          <w:sz w:val="24"/>
          <w:szCs w:val="24"/>
          <w:lang w:val="en-US"/>
        </w:rPr>
        <w:t>3.5.1 Phase 5 Aims</w:t>
      </w:r>
      <w:r w:rsidRPr="00CD0D03">
        <w:rPr>
          <w:rFonts w:cs="Times New Roman"/>
          <w:sz w:val="24"/>
          <w:szCs w:val="24"/>
          <w:lang w:val="en-US"/>
        </w:rPr>
        <w:t xml:space="preserve">. </w:t>
      </w:r>
      <w:r w:rsidR="002D4B7D" w:rsidRPr="00CD0D03">
        <w:rPr>
          <w:rFonts w:cs="Times New Roman"/>
          <w:sz w:val="24"/>
          <w:szCs w:val="24"/>
          <w:lang w:val="en-US"/>
        </w:rPr>
        <w:t xml:space="preserve">Phase 5 studies aim to address whether the biomarker-based diagnosis is able to reduce the burden of Alzheimer’s dementia in the </w:t>
      </w:r>
      <w:r w:rsidR="00B26BC6" w:rsidRPr="00CD0D03">
        <w:rPr>
          <w:rFonts w:cs="Times New Roman"/>
          <w:sz w:val="24"/>
          <w:szCs w:val="24"/>
          <w:lang w:val="en-US"/>
        </w:rPr>
        <w:t xml:space="preserve">MCI </w:t>
      </w:r>
      <w:r w:rsidR="002D4B7D" w:rsidRPr="00CD0D03">
        <w:rPr>
          <w:rFonts w:cs="Times New Roman"/>
          <w:sz w:val="24"/>
          <w:szCs w:val="24"/>
          <w:lang w:val="en-US"/>
        </w:rPr>
        <w:t xml:space="preserve">population. Even if the examined </w:t>
      </w:r>
      <w:r w:rsidR="00B47D21">
        <w:rPr>
          <w:rFonts w:cs="Times New Roman"/>
          <w:sz w:val="24"/>
          <w:szCs w:val="24"/>
          <w:lang w:val="en-US"/>
        </w:rPr>
        <w:t>biomarkers</w:t>
      </w:r>
      <w:r w:rsidR="00B47D21" w:rsidRPr="00CD0D03">
        <w:rPr>
          <w:rFonts w:cs="Times New Roman"/>
          <w:sz w:val="24"/>
          <w:szCs w:val="24"/>
          <w:lang w:val="en-US"/>
        </w:rPr>
        <w:t xml:space="preserve"> </w:t>
      </w:r>
      <w:r w:rsidR="00FB0EE8" w:rsidRPr="00CD0D03">
        <w:rPr>
          <w:rFonts w:cs="Times New Roman"/>
          <w:sz w:val="24"/>
          <w:szCs w:val="24"/>
          <w:lang w:val="en-US"/>
        </w:rPr>
        <w:t>were</w:t>
      </w:r>
      <w:r w:rsidR="002D4B7D" w:rsidRPr="00CD0D03">
        <w:rPr>
          <w:rFonts w:cs="Times New Roman"/>
          <w:sz w:val="24"/>
          <w:szCs w:val="24"/>
          <w:lang w:val="en-US"/>
        </w:rPr>
        <w:t xml:space="preserve"> able to detect the disease </w:t>
      </w:r>
      <w:r w:rsidR="00AF548D">
        <w:rPr>
          <w:rFonts w:cs="Times New Roman"/>
          <w:sz w:val="24"/>
          <w:szCs w:val="24"/>
          <w:lang w:val="en-US"/>
        </w:rPr>
        <w:t>earlier</w:t>
      </w:r>
      <w:r w:rsidR="002D4B7D" w:rsidRPr="00CD0D03">
        <w:rPr>
          <w:rFonts w:cs="Times New Roman"/>
          <w:sz w:val="24"/>
          <w:szCs w:val="24"/>
          <w:lang w:val="en-US"/>
        </w:rPr>
        <w:t>,</w:t>
      </w:r>
      <w:r w:rsidR="002836E9" w:rsidRPr="00CD0D03">
        <w:rPr>
          <w:rFonts w:cs="Times New Roman"/>
          <w:sz w:val="24"/>
          <w:szCs w:val="24"/>
          <w:lang w:val="en-US"/>
        </w:rPr>
        <w:t xml:space="preserve"> and at the MCI stage,</w:t>
      </w:r>
      <w:r w:rsidR="002D4B7D" w:rsidRPr="00CD0D03">
        <w:rPr>
          <w:rFonts w:cs="Times New Roman"/>
          <w:sz w:val="24"/>
          <w:szCs w:val="24"/>
          <w:lang w:val="en-US"/>
        </w:rPr>
        <w:t xml:space="preserve"> there are several reasons why they may not have an overall benefit for the diagnosed population or the individual patient. Phase 5</w:t>
      </w:r>
      <w:r w:rsidR="002836E9" w:rsidRPr="00CD0D03">
        <w:rPr>
          <w:rFonts w:cs="Times New Roman"/>
          <w:sz w:val="24"/>
          <w:szCs w:val="24"/>
          <w:lang w:val="en-US"/>
        </w:rPr>
        <w:t xml:space="preserve"> correspond</w:t>
      </w:r>
      <w:r w:rsidR="004D60A0">
        <w:rPr>
          <w:rFonts w:cs="Times New Roman"/>
          <w:sz w:val="24"/>
          <w:szCs w:val="24"/>
          <w:lang w:val="en-US"/>
        </w:rPr>
        <w:t>s</w:t>
      </w:r>
      <w:r w:rsidR="002836E9" w:rsidRPr="00CD0D03">
        <w:rPr>
          <w:rFonts w:cs="Times New Roman"/>
          <w:sz w:val="24"/>
          <w:szCs w:val="24"/>
          <w:lang w:val="en-US"/>
        </w:rPr>
        <w:t xml:space="preserve"> conceptually to Phase 4 or post-marketing surveillance studies in the field of drug development. Thus, Phase 5</w:t>
      </w:r>
      <w:r w:rsidR="00F6288B" w:rsidRPr="00CD0D03">
        <w:rPr>
          <w:rFonts w:cs="Times New Roman"/>
          <w:sz w:val="24"/>
          <w:szCs w:val="24"/>
          <w:lang w:val="en-US"/>
        </w:rPr>
        <w:t xml:space="preserve"> </w:t>
      </w:r>
      <w:r w:rsidR="002D4B7D" w:rsidRPr="00CD0D03">
        <w:rPr>
          <w:rFonts w:cs="Times New Roman"/>
          <w:sz w:val="24"/>
          <w:szCs w:val="24"/>
          <w:lang w:val="en-US"/>
        </w:rPr>
        <w:t>examines the benefit</w:t>
      </w:r>
      <w:r w:rsidR="002836E9" w:rsidRPr="00CD0D03">
        <w:rPr>
          <w:rFonts w:cs="Times New Roman"/>
          <w:sz w:val="24"/>
          <w:szCs w:val="24"/>
          <w:lang w:val="en-US"/>
        </w:rPr>
        <w:t>s</w:t>
      </w:r>
      <w:r w:rsidR="002D4B7D" w:rsidRPr="00CD0D03">
        <w:rPr>
          <w:rFonts w:cs="Times New Roman"/>
          <w:sz w:val="24"/>
          <w:szCs w:val="24"/>
          <w:lang w:val="en-US"/>
        </w:rPr>
        <w:t xml:space="preserve"> of the </w:t>
      </w:r>
      <w:r w:rsidR="00451F39">
        <w:rPr>
          <w:rFonts w:cs="Times New Roman"/>
          <w:sz w:val="24"/>
          <w:szCs w:val="24"/>
          <w:lang w:val="en-US"/>
        </w:rPr>
        <w:t>biomarker</w:t>
      </w:r>
      <w:r w:rsidR="002D4B7D" w:rsidRPr="00CD0D03">
        <w:rPr>
          <w:rFonts w:cs="Times New Roman"/>
          <w:sz w:val="24"/>
          <w:szCs w:val="24"/>
          <w:lang w:val="en-US"/>
        </w:rPr>
        <w:t xml:space="preserve">-based diagnostic program </w:t>
      </w:r>
      <w:r w:rsidR="002836E9" w:rsidRPr="00CD0D03">
        <w:rPr>
          <w:rFonts w:cs="Times New Roman"/>
          <w:sz w:val="24"/>
          <w:szCs w:val="24"/>
          <w:lang w:val="en-US"/>
        </w:rPr>
        <w:t xml:space="preserve">for </w:t>
      </w:r>
      <w:r w:rsidR="002D4B7D" w:rsidRPr="00CD0D03">
        <w:rPr>
          <w:rFonts w:cs="Times New Roman"/>
          <w:sz w:val="24"/>
          <w:szCs w:val="24"/>
          <w:lang w:val="en-US"/>
        </w:rPr>
        <w:t>the population of interest</w:t>
      </w:r>
      <w:r w:rsidR="00FB0EE8" w:rsidRPr="00CD0D03">
        <w:rPr>
          <w:rFonts w:cs="Times New Roman"/>
          <w:sz w:val="24"/>
          <w:szCs w:val="24"/>
          <w:lang w:val="en-US"/>
        </w:rPr>
        <w:t>,</w:t>
      </w:r>
      <w:r w:rsidR="002D4B7D" w:rsidRPr="00CD0D03">
        <w:rPr>
          <w:rFonts w:cs="Times New Roman"/>
          <w:sz w:val="24"/>
          <w:szCs w:val="24"/>
          <w:lang w:val="en-US"/>
        </w:rPr>
        <w:t xml:space="preserve"> and </w:t>
      </w:r>
      <w:r w:rsidR="00FB0EE8" w:rsidRPr="00CD0D03">
        <w:rPr>
          <w:rFonts w:cs="Times New Roman"/>
          <w:sz w:val="24"/>
          <w:szCs w:val="24"/>
          <w:lang w:val="en-US"/>
        </w:rPr>
        <w:t xml:space="preserve">the </w:t>
      </w:r>
      <w:r w:rsidR="002D4B7D" w:rsidRPr="00CD0D03">
        <w:rPr>
          <w:rFonts w:cs="Times New Roman"/>
          <w:sz w:val="24"/>
          <w:szCs w:val="24"/>
          <w:lang w:val="en-US"/>
        </w:rPr>
        <w:t>factors that might impact on the</w:t>
      </w:r>
      <w:r w:rsidR="002836E9" w:rsidRPr="00CD0D03">
        <w:rPr>
          <w:rFonts w:cs="Times New Roman"/>
          <w:sz w:val="24"/>
          <w:szCs w:val="24"/>
          <w:lang w:val="en-US"/>
        </w:rPr>
        <w:t>se</w:t>
      </w:r>
      <w:r w:rsidR="002D4B7D" w:rsidRPr="00CD0D03">
        <w:rPr>
          <w:rFonts w:cs="Times New Roman"/>
          <w:sz w:val="24"/>
          <w:szCs w:val="24"/>
          <w:lang w:val="en-US"/>
        </w:rPr>
        <w:t xml:space="preserve"> benefit</w:t>
      </w:r>
      <w:r w:rsidR="002836E9" w:rsidRPr="00CD0D03">
        <w:rPr>
          <w:rFonts w:cs="Times New Roman"/>
          <w:sz w:val="24"/>
          <w:szCs w:val="24"/>
          <w:lang w:val="en-US"/>
        </w:rPr>
        <w:t>s</w:t>
      </w:r>
      <w:r w:rsidR="002D4B7D" w:rsidRPr="00CD0D03">
        <w:rPr>
          <w:rFonts w:cs="Times New Roman"/>
          <w:sz w:val="24"/>
          <w:szCs w:val="24"/>
          <w:lang w:val="en-US"/>
        </w:rPr>
        <w:t xml:space="preserve">. </w:t>
      </w:r>
    </w:p>
    <w:p w14:paraId="45D388DA" w14:textId="77777777" w:rsidR="002D4B7D" w:rsidRPr="00CD0D03" w:rsidRDefault="002D4B7D" w:rsidP="00A83B7C">
      <w:pPr>
        <w:spacing w:line="480" w:lineRule="auto"/>
        <w:rPr>
          <w:rFonts w:cs="Times New Roman"/>
          <w:sz w:val="24"/>
          <w:szCs w:val="24"/>
          <w:lang w:val="en-US"/>
        </w:rPr>
      </w:pPr>
      <w:r w:rsidRPr="00CD0D03">
        <w:rPr>
          <w:rFonts w:cs="Times New Roman"/>
          <w:i/>
          <w:sz w:val="24"/>
          <w:szCs w:val="24"/>
          <w:lang w:val="en-US"/>
        </w:rPr>
        <w:t>3.5.</w:t>
      </w:r>
      <w:r w:rsidR="006D1AF8" w:rsidRPr="00CD0D03">
        <w:rPr>
          <w:rFonts w:cs="Times New Roman"/>
          <w:i/>
          <w:sz w:val="24"/>
          <w:szCs w:val="24"/>
          <w:lang w:val="en-US"/>
        </w:rPr>
        <w:t xml:space="preserve">2 </w:t>
      </w:r>
      <w:r w:rsidRPr="00CD0D03">
        <w:rPr>
          <w:rFonts w:cs="Times New Roman"/>
          <w:i/>
          <w:sz w:val="24"/>
          <w:szCs w:val="24"/>
          <w:lang w:val="en-US"/>
        </w:rPr>
        <w:t>Phase 5 Design</w:t>
      </w:r>
      <w:r w:rsidRPr="00CD0D03">
        <w:rPr>
          <w:rFonts w:cs="Times New Roman"/>
          <w:sz w:val="24"/>
          <w:szCs w:val="24"/>
          <w:lang w:val="en-US"/>
        </w:rPr>
        <w:t>. A surveillance system should be devised to guarantee systematic</w:t>
      </w:r>
      <w:r w:rsidR="00667D63" w:rsidRPr="00CD0D03">
        <w:rPr>
          <w:rFonts w:cs="Times New Roman"/>
          <w:sz w:val="24"/>
          <w:szCs w:val="24"/>
          <w:lang w:val="en-US"/>
        </w:rPr>
        <w:t>, routine</w:t>
      </w:r>
      <w:r w:rsidRPr="00CD0D03">
        <w:rPr>
          <w:rFonts w:cs="Times New Roman"/>
          <w:sz w:val="24"/>
          <w:szCs w:val="24"/>
          <w:lang w:val="en-US"/>
        </w:rPr>
        <w:t xml:space="preserve"> observational assessment of accepted practice</w:t>
      </w:r>
      <w:r w:rsidR="002836E9" w:rsidRPr="00CD0D03">
        <w:rPr>
          <w:rFonts w:cs="Times New Roman"/>
          <w:sz w:val="24"/>
          <w:szCs w:val="24"/>
          <w:lang w:val="en-US"/>
        </w:rPr>
        <w:t>, and indicators need to be considered on a local basis (and depending on the health and other monitoring systems already in place), accounting for their importance, and the feasibility of data collection and the limitations of the data themselves.</w:t>
      </w:r>
      <w:r w:rsidR="00857315" w:rsidRPr="00CD0D03">
        <w:rPr>
          <w:rFonts w:cs="Times New Roman"/>
          <w:sz w:val="24"/>
          <w:szCs w:val="24"/>
          <w:lang w:val="en-US"/>
        </w:rPr>
        <w:t xml:space="preserve"> </w:t>
      </w:r>
      <w:r w:rsidR="002836E9" w:rsidRPr="00CD0D03">
        <w:rPr>
          <w:rFonts w:cs="Times New Roman"/>
          <w:sz w:val="24"/>
          <w:szCs w:val="24"/>
          <w:lang w:val="en-US"/>
        </w:rPr>
        <w:t xml:space="preserve">Prospective studies conducted using observational routinely collected health </w:t>
      </w:r>
      <w:r w:rsidR="002836E9" w:rsidRPr="00CD0D03">
        <w:rPr>
          <w:rFonts w:cs="Times New Roman"/>
          <w:sz w:val="24"/>
          <w:szCs w:val="24"/>
          <w:lang w:val="en-US"/>
        </w:rPr>
        <w:lastRenderedPageBreak/>
        <w:t xml:space="preserve">data may be used in combination with </w:t>
      </w:r>
      <w:r w:rsidR="00261502" w:rsidRPr="00CD0D03">
        <w:rPr>
          <w:rFonts w:cs="Times New Roman"/>
          <w:sz w:val="24"/>
          <w:szCs w:val="24"/>
          <w:lang w:val="en-US"/>
        </w:rPr>
        <w:t>purposely-designed</w:t>
      </w:r>
      <w:r w:rsidR="002836E9" w:rsidRPr="00CD0D03">
        <w:rPr>
          <w:rFonts w:cs="Times New Roman"/>
          <w:sz w:val="24"/>
          <w:szCs w:val="24"/>
          <w:lang w:val="en-US"/>
        </w:rPr>
        <w:t xml:space="preserve"> cohort studies</w:t>
      </w:r>
      <w:r w:rsidR="007B1936">
        <w:rPr>
          <w:rFonts w:cs="Times New Roman"/>
          <w:sz w:val="24"/>
          <w:szCs w:val="24"/>
          <w:lang w:val="en-US"/>
        </w:rPr>
        <w:t xml:space="preserve"> (Frisoni </w:t>
      </w:r>
      <w:r w:rsidR="007B1936" w:rsidRPr="007B1936">
        <w:rPr>
          <w:rFonts w:cs="Times New Roman"/>
          <w:i/>
          <w:sz w:val="24"/>
          <w:szCs w:val="24"/>
          <w:lang w:val="en-US"/>
        </w:rPr>
        <w:t>et al</w:t>
      </w:r>
      <w:r w:rsidR="007B1936">
        <w:rPr>
          <w:rFonts w:cs="Times New Roman"/>
          <w:sz w:val="24"/>
          <w:szCs w:val="24"/>
          <w:lang w:val="en-US"/>
        </w:rPr>
        <w:t>., in this issue)</w:t>
      </w:r>
      <w:r w:rsidR="002836E9" w:rsidRPr="00CD0D03">
        <w:rPr>
          <w:rFonts w:cs="Times New Roman"/>
          <w:sz w:val="24"/>
          <w:szCs w:val="24"/>
          <w:lang w:val="en-US"/>
        </w:rPr>
        <w:t>.</w:t>
      </w:r>
    </w:p>
    <w:p w14:paraId="5F35F7AC" w14:textId="77777777" w:rsidR="002D4B7D" w:rsidRPr="00CD0D03" w:rsidRDefault="002D4B7D" w:rsidP="00A83B7C">
      <w:pPr>
        <w:spacing w:line="480" w:lineRule="auto"/>
        <w:rPr>
          <w:rFonts w:cs="Times New Roman"/>
          <w:sz w:val="24"/>
          <w:szCs w:val="24"/>
          <w:lang w:val="en-US"/>
        </w:rPr>
      </w:pPr>
      <w:r w:rsidRPr="00CD0D03">
        <w:rPr>
          <w:rFonts w:cs="Times New Roman"/>
          <w:i/>
          <w:sz w:val="24"/>
          <w:szCs w:val="24"/>
          <w:lang w:val="en-US"/>
        </w:rPr>
        <w:t>3.5.</w:t>
      </w:r>
      <w:r w:rsidR="006D1AF8" w:rsidRPr="00CD0D03">
        <w:rPr>
          <w:rFonts w:cs="Times New Roman"/>
          <w:i/>
          <w:sz w:val="24"/>
          <w:szCs w:val="24"/>
          <w:lang w:val="en-US"/>
        </w:rPr>
        <w:t xml:space="preserve">3 </w:t>
      </w:r>
      <w:r w:rsidRPr="00CD0D03">
        <w:rPr>
          <w:rFonts w:cs="Times New Roman"/>
          <w:i/>
          <w:sz w:val="24"/>
          <w:szCs w:val="24"/>
          <w:lang w:val="en-US"/>
        </w:rPr>
        <w:t>Phase 5 Target Population</w:t>
      </w:r>
      <w:r w:rsidR="00297F01" w:rsidRPr="00CD0D03">
        <w:rPr>
          <w:rFonts w:cs="Times New Roman"/>
          <w:sz w:val="24"/>
          <w:szCs w:val="24"/>
          <w:lang w:val="en-US"/>
        </w:rPr>
        <w:t>. Same as P</w:t>
      </w:r>
      <w:r w:rsidRPr="00CD0D03">
        <w:rPr>
          <w:rFonts w:cs="Times New Roman"/>
          <w:sz w:val="24"/>
          <w:szCs w:val="24"/>
          <w:lang w:val="en-US"/>
        </w:rPr>
        <w:t xml:space="preserve">hase 4. </w:t>
      </w:r>
      <w:r w:rsidR="002836E9" w:rsidRPr="00CD0D03">
        <w:rPr>
          <w:rFonts w:cs="Times New Roman"/>
          <w:sz w:val="24"/>
          <w:szCs w:val="24"/>
          <w:lang w:val="en-US"/>
        </w:rPr>
        <w:t xml:space="preserve">Note that the sample </w:t>
      </w:r>
      <w:r w:rsidRPr="00CD0D03">
        <w:rPr>
          <w:rFonts w:cs="Times New Roman"/>
          <w:sz w:val="24"/>
          <w:szCs w:val="24"/>
          <w:lang w:val="en-US"/>
        </w:rPr>
        <w:t xml:space="preserve">size </w:t>
      </w:r>
      <w:r w:rsidR="002836E9" w:rsidRPr="00CD0D03">
        <w:rPr>
          <w:rFonts w:cs="Times New Roman"/>
          <w:sz w:val="24"/>
          <w:szCs w:val="24"/>
          <w:lang w:val="en-US"/>
        </w:rPr>
        <w:t>will plausibly be</w:t>
      </w:r>
      <w:r w:rsidRPr="00CD0D03">
        <w:rPr>
          <w:rFonts w:cs="Times New Roman"/>
          <w:sz w:val="24"/>
          <w:szCs w:val="24"/>
          <w:lang w:val="en-US"/>
        </w:rPr>
        <w:t xml:space="preserve"> very large (range of thousands)</w:t>
      </w:r>
      <w:r w:rsidR="002836E9" w:rsidRPr="00CD0D03">
        <w:rPr>
          <w:rFonts w:cs="Times New Roman"/>
          <w:sz w:val="24"/>
          <w:szCs w:val="24"/>
          <w:lang w:val="en-US"/>
        </w:rPr>
        <w:t xml:space="preserve"> </w:t>
      </w:r>
      <w:r w:rsidR="006279AE">
        <w:rPr>
          <w:rFonts w:cs="Times New Roman"/>
          <w:sz w:val="24"/>
          <w:szCs w:val="24"/>
          <w:lang w:val="en-US"/>
        </w:rPr>
        <w:t>implying</w:t>
      </w:r>
      <w:r w:rsidR="002836E9" w:rsidRPr="00CD0D03">
        <w:rPr>
          <w:rFonts w:cs="Times New Roman"/>
          <w:sz w:val="24"/>
          <w:szCs w:val="24"/>
          <w:lang w:val="en-US"/>
        </w:rPr>
        <w:t xml:space="preserve"> that both</w:t>
      </w:r>
      <w:r w:rsidR="006279AE">
        <w:rPr>
          <w:rFonts w:cs="Times New Roman"/>
          <w:sz w:val="24"/>
          <w:szCs w:val="24"/>
          <w:lang w:val="en-US"/>
        </w:rPr>
        <w:t xml:space="preserve"> academic and non-</w:t>
      </w:r>
      <w:r w:rsidRPr="00CD0D03">
        <w:rPr>
          <w:rFonts w:cs="Times New Roman"/>
          <w:sz w:val="24"/>
          <w:szCs w:val="24"/>
          <w:lang w:val="en-US"/>
        </w:rPr>
        <w:t xml:space="preserve">academic memory clinics (e.g. secondary referral </w:t>
      </w:r>
      <w:r w:rsidR="00D15AF3" w:rsidRPr="00CD0D03">
        <w:rPr>
          <w:rFonts w:cs="Times New Roman"/>
          <w:sz w:val="24"/>
          <w:szCs w:val="24"/>
          <w:lang w:val="en-US"/>
        </w:rPr>
        <w:t>centers</w:t>
      </w:r>
      <w:r w:rsidRPr="00CD0D03">
        <w:rPr>
          <w:rFonts w:cs="Times New Roman"/>
          <w:sz w:val="24"/>
          <w:szCs w:val="24"/>
          <w:lang w:val="en-US"/>
        </w:rPr>
        <w:t>)</w:t>
      </w:r>
      <w:r w:rsidR="002836E9" w:rsidRPr="00CD0D03">
        <w:rPr>
          <w:rFonts w:cs="Times New Roman"/>
          <w:sz w:val="24"/>
          <w:szCs w:val="24"/>
          <w:lang w:val="en-US"/>
        </w:rPr>
        <w:t xml:space="preserve"> are involved in these monitoring step</w:t>
      </w:r>
      <w:r w:rsidR="00800B7E">
        <w:rPr>
          <w:rFonts w:cs="Times New Roman"/>
          <w:sz w:val="24"/>
          <w:szCs w:val="24"/>
          <w:lang w:val="en-US"/>
        </w:rPr>
        <w:t>s</w:t>
      </w:r>
      <w:r w:rsidRPr="00CD0D03">
        <w:rPr>
          <w:rFonts w:cs="Times New Roman"/>
          <w:sz w:val="24"/>
          <w:szCs w:val="24"/>
          <w:lang w:val="en-US"/>
        </w:rPr>
        <w:t>.</w:t>
      </w:r>
    </w:p>
    <w:p w14:paraId="346B7194" w14:textId="197E491A" w:rsidR="002836E9" w:rsidRPr="00CD0D03" w:rsidRDefault="002D4B7D" w:rsidP="00A83B7C">
      <w:pPr>
        <w:spacing w:line="480" w:lineRule="auto"/>
        <w:rPr>
          <w:rFonts w:cs="Times New Roman"/>
          <w:sz w:val="24"/>
          <w:szCs w:val="24"/>
          <w:lang w:val="en-US"/>
        </w:rPr>
      </w:pPr>
      <w:r w:rsidRPr="00CD0D03">
        <w:rPr>
          <w:rFonts w:cs="Times New Roman"/>
          <w:i/>
          <w:sz w:val="24"/>
          <w:szCs w:val="24"/>
          <w:lang w:val="en-US"/>
        </w:rPr>
        <w:t>3.5.</w:t>
      </w:r>
      <w:r w:rsidR="006D1AF8" w:rsidRPr="00CD0D03">
        <w:rPr>
          <w:rFonts w:cs="Times New Roman"/>
          <w:i/>
          <w:sz w:val="24"/>
          <w:szCs w:val="24"/>
          <w:lang w:val="en-US"/>
        </w:rPr>
        <w:t xml:space="preserve">4 </w:t>
      </w:r>
      <w:r w:rsidRPr="00CD0D03">
        <w:rPr>
          <w:rFonts w:cs="Times New Roman"/>
          <w:i/>
          <w:sz w:val="24"/>
          <w:szCs w:val="24"/>
          <w:lang w:val="en-US"/>
        </w:rPr>
        <w:t>Phase 5 Outcome</w:t>
      </w:r>
      <w:r w:rsidRPr="00CD0D03">
        <w:rPr>
          <w:rFonts w:cs="Times New Roman"/>
          <w:sz w:val="24"/>
          <w:szCs w:val="24"/>
          <w:lang w:val="en-US"/>
        </w:rPr>
        <w:t xml:space="preserve">. Assessed outcomes consist </w:t>
      </w:r>
      <w:r w:rsidR="00F26772">
        <w:rPr>
          <w:rFonts w:cs="Times New Roman"/>
          <w:sz w:val="24"/>
          <w:szCs w:val="24"/>
          <w:lang w:val="en-US"/>
        </w:rPr>
        <w:t>of</w:t>
      </w:r>
      <w:r w:rsidR="00F26772" w:rsidRPr="00CD0D03">
        <w:rPr>
          <w:rFonts w:cs="Times New Roman"/>
          <w:sz w:val="24"/>
          <w:szCs w:val="24"/>
          <w:lang w:val="en-US"/>
        </w:rPr>
        <w:t xml:space="preserve"> </w:t>
      </w:r>
      <w:r w:rsidRPr="00CD0D03">
        <w:rPr>
          <w:rFonts w:cs="Times New Roman"/>
          <w:sz w:val="24"/>
          <w:szCs w:val="24"/>
          <w:lang w:val="en-US"/>
        </w:rPr>
        <w:t>mortality</w:t>
      </w:r>
      <w:r w:rsidR="002836E9" w:rsidRPr="00CD0D03">
        <w:rPr>
          <w:rFonts w:cs="Times New Roman"/>
          <w:sz w:val="24"/>
          <w:szCs w:val="24"/>
          <w:lang w:val="en-US"/>
        </w:rPr>
        <w:t xml:space="preserve"> (or survival after the AD diagnosis)</w:t>
      </w:r>
      <w:r w:rsidRPr="00CD0D03">
        <w:rPr>
          <w:rFonts w:cs="Times New Roman"/>
          <w:sz w:val="24"/>
          <w:szCs w:val="24"/>
          <w:lang w:val="en-US"/>
        </w:rPr>
        <w:t>,</w:t>
      </w:r>
      <w:r w:rsidR="002836E9" w:rsidRPr="00CD0D03">
        <w:rPr>
          <w:rFonts w:cs="Times New Roman"/>
          <w:sz w:val="24"/>
          <w:szCs w:val="24"/>
          <w:lang w:val="en-US"/>
        </w:rPr>
        <w:t xml:space="preserve"> co</w:t>
      </w:r>
      <w:r w:rsidR="00EA6758" w:rsidRPr="00CD0D03">
        <w:rPr>
          <w:rFonts w:cs="Times New Roman"/>
          <w:sz w:val="24"/>
          <w:szCs w:val="24"/>
          <w:lang w:val="en-US"/>
        </w:rPr>
        <w:t>–</w:t>
      </w:r>
      <w:r w:rsidRPr="00CD0D03">
        <w:rPr>
          <w:rFonts w:cs="Times New Roman"/>
          <w:sz w:val="24"/>
          <w:szCs w:val="24"/>
          <w:lang w:val="en-US"/>
        </w:rPr>
        <w:t>m</w:t>
      </w:r>
      <w:r w:rsidR="00A971BC" w:rsidRPr="00CD0D03">
        <w:rPr>
          <w:rFonts w:cs="Times New Roman"/>
          <w:sz w:val="24"/>
          <w:szCs w:val="24"/>
          <w:lang w:val="en-US"/>
        </w:rPr>
        <w:t>orbidity</w:t>
      </w:r>
      <w:r w:rsidR="00EA6758" w:rsidRPr="00CD0D03">
        <w:rPr>
          <w:rFonts w:cs="Times New Roman"/>
          <w:sz w:val="24"/>
          <w:szCs w:val="24"/>
          <w:lang w:val="en-US"/>
        </w:rPr>
        <w:t xml:space="preserve"> occurrence, detection and control</w:t>
      </w:r>
      <w:r w:rsidR="00A971BC" w:rsidRPr="00CD0D03">
        <w:rPr>
          <w:rFonts w:cs="Times New Roman"/>
          <w:sz w:val="24"/>
          <w:szCs w:val="24"/>
          <w:lang w:val="en-US"/>
        </w:rPr>
        <w:t>, quality of life</w:t>
      </w:r>
      <w:r w:rsidR="002836E9" w:rsidRPr="00CD0D03">
        <w:rPr>
          <w:rFonts w:cs="Times New Roman"/>
          <w:sz w:val="24"/>
          <w:szCs w:val="24"/>
          <w:lang w:val="en-US"/>
        </w:rPr>
        <w:t xml:space="preserve"> of patients and their caregivers</w:t>
      </w:r>
      <w:r w:rsidR="00A971BC" w:rsidRPr="00CD0D03">
        <w:rPr>
          <w:rFonts w:cs="Times New Roman"/>
          <w:sz w:val="24"/>
          <w:szCs w:val="24"/>
          <w:lang w:val="en-US"/>
        </w:rPr>
        <w:t xml:space="preserve">, </w:t>
      </w:r>
      <w:r w:rsidR="002836E9" w:rsidRPr="00CD0D03">
        <w:rPr>
          <w:rFonts w:cs="Times New Roman"/>
          <w:sz w:val="24"/>
          <w:szCs w:val="24"/>
          <w:lang w:val="en-US"/>
        </w:rPr>
        <w:t>care needs and disability</w:t>
      </w:r>
      <w:r w:rsidR="00EA6758" w:rsidRPr="00CD0D03">
        <w:rPr>
          <w:rFonts w:cs="Times New Roman"/>
          <w:sz w:val="24"/>
          <w:szCs w:val="24"/>
          <w:lang w:val="en-US"/>
        </w:rPr>
        <w:t>, direct and indirect costs of care (including diagnostic procedures and clinical follow-ups)</w:t>
      </w:r>
      <w:r w:rsidR="00667D63" w:rsidRPr="00CD0D03">
        <w:rPr>
          <w:rFonts w:cs="Times New Roman"/>
          <w:sz w:val="24"/>
          <w:szCs w:val="24"/>
          <w:lang w:val="en-US"/>
        </w:rPr>
        <w:t>.</w:t>
      </w:r>
      <w:r w:rsidR="000A73B0">
        <w:rPr>
          <w:rFonts w:cs="Times New Roman"/>
          <w:sz w:val="24"/>
          <w:szCs w:val="24"/>
          <w:lang w:val="en-US"/>
        </w:rPr>
        <w:t xml:space="preserve"> Savings due to proper use of biomarkers may be reflected also in reduced costs due to possibly delayed clinical</w:t>
      </w:r>
      <w:r w:rsidR="0048676D">
        <w:rPr>
          <w:rFonts w:cs="Times New Roman"/>
          <w:sz w:val="24"/>
          <w:szCs w:val="24"/>
          <w:lang w:val="en-US"/>
        </w:rPr>
        <w:t>ly relevant</w:t>
      </w:r>
      <w:r w:rsidR="000A73B0">
        <w:rPr>
          <w:rFonts w:cs="Times New Roman"/>
          <w:sz w:val="24"/>
          <w:szCs w:val="24"/>
          <w:lang w:val="en-US"/>
        </w:rPr>
        <w:t xml:space="preserve"> transitions requiring increased time for caregiving</w:t>
      </w:r>
      <w:r w:rsidR="0048676D">
        <w:rPr>
          <w:rFonts w:cs="Times New Roman"/>
          <w:sz w:val="24"/>
          <w:szCs w:val="24"/>
          <w:lang w:val="en-US"/>
        </w:rPr>
        <w:t>,</w:t>
      </w:r>
      <w:r w:rsidR="000A73B0">
        <w:rPr>
          <w:rFonts w:cs="Times New Roman"/>
          <w:sz w:val="24"/>
          <w:szCs w:val="24"/>
          <w:lang w:val="en-US"/>
        </w:rPr>
        <w:t xml:space="preserve"> </w:t>
      </w:r>
      <w:r w:rsidR="0048676D">
        <w:rPr>
          <w:rFonts w:cs="Times New Roman"/>
          <w:sz w:val="24"/>
          <w:szCs w:val="24"/>
          <w:lang w:val="en-US"/>
        </w:rPr>
        <w:t>up to</w:t>
      </w:r>
      <w:r w:rsidR="000A73B0">
        <w:rPr>
          <w:rFonts w:cs="Times New Roman"/>
          <w:sz w:val="24"/>
          <w:szCs w:val="24"/>
          <w:lang w:val="en-US"/>
        </w:rPr>
        <w:t xml:space="preserve"> institutionalization.</w:t>
      </w:r>
      <w:r w:rsidR="00DC6147">
        <w:rPr>
          <w:rFonts w:cs="Times New Roman"/>
          <w:sz w:val="24"/>
          <w:szCs w:val="24"/>
          <w:lang w:val="en-US"/>
        </w:rPr>
        <w:t xml:space="preserve"> A proper computation of costs should be taken into account </w:t>
      </w:r>
      <w:r w:rsidR="00C3342D">
        <w:rPr>
          <w:rFonts w:cs="Times New Roman"/>
          <w:sz w:val="24"/>
          <w:szCs w:val="24"/>
          <w:lang w:val="en-US"/>
        </w:rPr>
        <w:t xml:space="preserve">also </w:t>
      </w:r>
      <w:r w:rsidR="00DC6147">
        <w:rPr>
          <w:rFonts w:cs="Times New Roman"/>
          <w:sz w:val="24"/>
          <w:szCs w:val="24"/>
          <w:lang w:val="en-US"/>
        </w:rPr>
        <w:t xml:space="preserve">to adjust the output </w:t>
      </w:r>
      <w:r w:rsidR="00C3342D">
        <w:rPr>
          <w:rFonts w:cs="Times New Roman"/>
          <w:sz w:val="24"/>
          <w:szCs w:val="24"/>
          <w:lang w:val="en-US"/>
        </w:rPr>
        <w:t>of aims from previous phases, like</w:t>
      </w:r>
      <w:r w:rsidR="00DC6147">
        <w:rPr>
          <w:rFonts w:cs="Times New Roman"/>
          <w:sz w:val="24"/>
          <w:szCs w:val="24"/>
          <w:lang w:val="en-US"/>
        </w:rPr>
        <w:t xml:space="preserve"> the definition of </w:t>
      </w:r>
      <w:r w:rsidR="00FB4A1E">
        <w:rPr>
          <w:rFonts w:cs="Times New Roman"/>
          <w:sz w:val="24"/>
          <w:szCs w:val="24"/>
          <w:lang w:val="en-US"/>
        </w:rPr>
        <w:t xml:space="preserve">an </w:t>
      </w:r>
      <w:r w:rsidR="00DC6147">
        <w:rPr>
          <w:rFonts w:cs="Times New Roman"/>
          <w:sz w:val="24"/>
          <w:szCs w:val="24"/>
          <w:lang w:val="en-US"/>
        </w:rPr>
        <w:t xml:space="preserve">optimal algorithm (e.g., priority </w:t>
      </w:r>
      <w:r w:rsidR="00C3342D">
        <w:rPr>
          <w:rFonts w:cs="Times New Roman"/>
          <w:sz w:val="24"/>
          <w:szCs w:val="24"/>
          <w:lang w:val="en-US"/>
        </w:rPr>
        <w:t xml:space="preserve">may be given </w:t>
      </w:r>
      <w:r w:rsidR="00DC6147">
        <w:rPr>
          <w:rFonts w:cs="Times New Roman"/>
          <w:sz w:val="24"/>
          <w:szCs w:val="24"/>
          <w:lang w:val="en-US"/>
        </w:rPr>
        <w:t xml:space="preserve">to exams providing the same information </w:t>
      </w:r>
      <w:r w:rsidR="00B246E3">
        <w:rPr>
          <w:rFonts w:cs="Times New Roman"/>
          <w:sz w:val="24"/>
          <w:szCs w:val="24"/>
          <w:lang w:val="en-US"/>
        </w:rPr>
        <w:t xml:space="preserve">with </w:t>
      </w:r>
      <w:r w:rsidR="00C3342D">
        <w:rPr>
          <w:rFonts w:cs="Times New Roman"/>
          <w:sz w:val="24"/>
          <w:szCs w:val="24"/>
          <w:lang w:val="en-US"/>
        </w:rPr>
        <w:t>similar</w:t>
      </w:r>
      <w:r w:rsidR="00B246E3">
        <w:rPr>
          <w:rFonts w:cs="Times New Roman"/>
          <w:sz w:val="24"/>
          <w:szCs w:val="24"/>
          <w:lang w:val="en-US"/>
        </w:rPr>
        <w:t xml:space="preserve"> reliability but lower costs, as </w:t>
      </w:r>
      <w:r w:rsidR="00C3342D">
        <w:rPr>
          <w:rFonts w:cs="Times New Roman"/>
          <w:sz w:val="24"/>
          <w:szCs w:val="24"/>
          <w:lang w:val="en-US"/>
        </w:rPr>
        <w:t>in</w:t>
      </w:r>
      <w:r w:rsidR="00B246E3">
        <w:rPr>
          <w:rFonts w:cs="Times New Roman"/>
          <w:sz w:val="24"/>
          <w:szCs w:val="24"/>
          <w:lang w:val="en-US"/>
        </w:rPr>
        <w:t xml:space="preserve"> the case of amyloidosis investigated using CSF samples or PET scan).</w:t>
      </w:r>
      <w:r w:rsidR="00DC6147">
        <w:rPr>
          <w:rFonts w:cs="Times New Roman"/>
          <w:sz w:val="24"/>
          <w:szCs w:val="24"/>
          <w:lang w:val="en-US"/>
        </w:rPr>
        <w:t xml:space="preserve"> </w:t>
      </w:r>
      <w:r w:rsidR="005B2194">
        <w:rPr>
          <w:rFonts w:cs="Times New Roman"/>
          <w:sz w:val="24"/>
          <w:szCs w:val="24"/>
          <w:lang w:val="en-US"/>
        </w:rPr>
        <w:t xml:space="preserve">Standard dissemination to memory clinics, harmonization of reports </w:t>
      </w:r>
      <w:r w:rsidR="006578C7">
        <w:rPr>
          <w:rFonts w:cs="Times New Roman"/>
          <w:sz w:val="24"/>
          <w:szCs w:val="24"/>
          <w:lang w:val="en-US"/>
        </w:rPr>
        <w:t>to</w:t>
      </w:r>
      <w:r w:rsidR="005B2194">
        <w:rPr>
          <w:rFonts w:cs="Times New Roman"/>
          <w:sz w:val="24"/>
          <w:szCs w:val="24"/>
          <w:lang w:val="en-US"/>
        </w:rPr>
        <w:t xml:space="preserve"> patients, and access to user-friendly, cost effective and standard services to clinicians should also be systematically implemented within this phase.</w:t>
      </w:r>
    </w:p>
    <w:p w14:paraId="18F10A6B" w14:textId="77777777" w:rsidR="00297F01" w:rsidRPr="00CD0D03" w:rsidRDefault="00297F01" w:rsidP="00A83B7C">
      <w:pPr>
        <w:spacing w:after="0" w:line="480" w:lineRule="auto"/>
        <w:rPr>
          <w:sz w:val="24"/>
          <w:szCs w:val="24"/>
          <w:lang w:val="en-US"/>
        </w:rPr>
      </w:pPr>
    </w:p>
    <w:p w14:paraId="72296191" w14:textId="77777777" w:rsidR="00297F01" w:rsidRPr="00CC6A3F" w:rsidRDefault="00E42F14" w:rsidP="00A83B7C">
      <w:pPr>
        <w:spacing w:after="0" w:line="480" w:lineRule="auto"/>
        <w:rPr>
          <w:i/>
          <w:sz w:val="24"/>
          <w:szCs w:val="24"/>
          <w:lang w:val="en-US"/>
        </w:rPr>
      </w:pPr>
      <w:r w:rsidRPr="00CC6A3F">
        <w:rPr>
          <w:i/>
          <w:sz w:val="24"/>
          <w:szCs w:val="24"/>
          <w:lang w:val="en-US"/>
        </w:rPr>
        <w:t xml:space="preserve">4. </w:t>
      </w:r>
      <w:r w:rsidR="007E47B6" w:rsidRPr="00CC6A3F">
        <w:rPr>
          <w:i/>
          <w:sz w:val="24"/>
          <w:szCs w:val="24"/>
          <w:lang w:val="en-US"/>
        </w:rPr>
        <w:t>Discussion</w:t>
      </w:r>
    </w:p>
    <w:p w14:paraId="3890E872" w14:textId="4FFB3C52" w:rsidR="00257981" w:rsidRPr="00CD0D03" w:rsidRDefault="007E47B6" w:rsidP="00A83B7C">
      <w:pPr>
        <w:spacing w:after="0" w:line="480" w:lineRule="auto"/>
        <w:rPr>
          <w:sz w:val="24"/>
          <w:szCs w:val="24"/>
          <w:lang w:val="en-US"/>
        </w:rPr>
      </w:pPr>
      <w:r w:rsidRPr="00CD0D03">
        <w:rPr>
          <w:sz w:val="24"/>
          <w:szCs w:val="24"/>
          <w:lang w:val="en-US"/>
        </w:rPr>
        <w:t xml:space="preserve">In this </w:t>
      </w:r>
      <w:proofErr w:type="gramStart"/>
      <w:r w:rsidRPr="00CD0D03">
        <w:rPr>
          <w:sz w:val="24"/>
          <w:szCs w:val="24"/>
          <w:lang w:val="en-US"/>
        </w:rPr>
        <w:t>paper</w:t>
      </w:r>
      <w:proofErr w:type="gramEnd"/>
      <w:r w:rsidRPr="00CD0D03">
        <w:rPr>
          <w:sz w:val="24"/>
          <w:szCs w:val="24"/>
          <w:lang w:val="en-US"/>
        </w:rPr>
        <w:t xml:space="preserve"> we describe</w:t>
      </w:r>
      <w:r w:rsidR="00611383" w:rsidRPr="00CD0D03">
        <w:rPr>
          <w:sz w:val="24"/>
          <w:szCs w:val="24"/>
          <w:lang w:val="en-US"/>
        </w:rPr>
        <w:t>d</w:t>
      </w:r>
      <w:r w:rsidRPr="00CD0D03">
        <w:rPr>
          <w:sz w:val="24"/>
          <w:szCs w:val="24"/>
          <w:lang w:val="en-US"/>
        </w:rPr>
        <w:t xml:space="preserve"> </w:t>
      </w:r>
      <w:r w:rsidR="00EA6758" w:rsidRPr="00CD0D03">
        <w:rPr>
          <w:sz w:val="24"/>
          <w:szCs w:val="24"/>
          <w:lang w:val="en-US"/>
        </w:rPr>
        <w:t>an adapted</w:t>
      </w:r>
      <w:r w:rsidRPr="00CD0D03">
        <w:rPr>
          <w:sz w:val="24"/>
          <w:szCs w:val="24"/>
          <w:lang w:val="en-US"/>
        </w:rPr>
        <w:t xml:space="preserve"> methodological framework </w:t>
      </w:r>
      <w:r w:rsidR="00EA6758" w:rsidRPr="00CD0D03">
        <w:rPr>
          <w:sz w:val="24"/>
          <w:szCs w:val="24"/>
          <w:lang w:val="en-US"/>
        </w:rPr>
        <w:t>aimed at</w:t>
      </w:r>
      <w:r w:rsidR="001E1F56" w:rsidRPr="00CD0D03">
        <w:rPr>
          <w:sz w:val="24"/>
          <w:szCs w:val="24"/>
          <w:lang w:val="en-US"/>
        </w:rPr>
        <w:t xml:space="preserve"> </w:t>
      </w:r>
      <w:r w:rsidR="00EA6758" w:rsidRPr="00CD0D03">
        <w:rPr>
          <w:sz w:val="24"/>
          <w:szCs w:val="24"/>
          <w:lang w:val="en-US"/>
        </w:rPr>
        <w:t>systematizing the current research efforts and programs in the field of AD diagnostic biomarkers v</w:t>
      </w:r>
      <w:r w:rsidR="00800B7E">
        <w:rPr>
          <w:sz w:val="24"/>
          <w:szCs w:val="24"/>
          <w:lang w:val="en-US"/>
        </w:rPr>
        <w:t>alidation in the MCI population</w:t>
      </w:r>
      <w:r w:rsidR="00EA6758" w:rsidRPr="00CD0D03">
        <w:rPr>
          <w:sz w:val="24"/>
          <w:szCs w:val="24"/>
          <w:lang w:val="en-US"/>
        </w:rPr>
        <w:t>.</w:t>
      </w:r>
      <w:r w:rsidR="00E162EC" w:rsidRPr="00CD0D03">
        <w:rPr>
          <w:sz w:val="24"/>
          <w:szCs w:val="24"/>
          <w:lang w:val="en-US"/>
        </w:rPr>
        <w:t xml:space="preserve"> The ultimate goal of the framework consists </w:t>
      </w:r>
      <w:r w:rsidR="00F26772">
        <w:rPr>
          <w:sz w:val="24"/>
          <w:szCs w:val="24"/>
          <w:lang w:val="en-US"/>
        </w:rPr>
        <w:t>of</w:t>
      </w:r>
      <w:r w:rsidR="00F26772" w:rsidRPr="00CD0D03">
        <w:rPr>
          <w:sz w:val="24"/>
          <w:szCs w:val="24"/>
          <w:lang w:val="en-US"/>
        </w:rPr>
        <w:t xml:space="preserve"> </w:t>
      </w:r>
      <w:r w:rsidR="00E162EC" w:rsidRPr="00CD0D03">
        <w:rPr>
          <w:sz w:val="24"/>
          <w:szCs w:val="24"/>
          <w:lang w:val="en-US"/>
        </w:rPr>
        <w:t xml:space="preserve">the translation of current research diagnostic criteria that have introduced the use of AD biomarkers into clinical criteria to be formally </w:t>
      </w:r>
      <w:r w:rsidR="00AD6242" w:rsidRPr="00CD0D03">
        <w:rPr>
          <w:sz w:val="24"/>
          <w:szCs w:val="24"/>
          <w:lang w:val="en-US"/>
        </w:rPr>
        <w:t xml:space="preserve">adopted </w:t>
      </w:r>
      <w:r w:rsidR="00E162EC" w:rsidRPr="00CD0D03">
        <w:rPr>
          <w:sz w:val="24"/>
          <w:szCs w:val="24"/>
          <w:lang w:val="en-US"/>
        </w:rPr>
        <w:t>in memory clinics or other specialist health services beyond research uses</w:t>
      </w:r>
      <w:r w:rsidR="001E1F56" w:rsidRPr="00CD0D03">
        <w:rPr>
          <w:sz w:val="24"/>
          <w:szCs w:val="24"/>
          <w:lang w:val="en-US"/>
        </w:rPr>
        <w:t>.</w:t>
      </w:r>
      <w:r w:rsidRPr="00CD0D03">
        <w:rPr>
          <w:sz w:val="24"/>
          <w:szCs w:val="24"/>
          <w:lang w:val="en-US"/>
        </w:rPr>
        <w:t xml:space="preserve"> </w:t>
      </w:r>
      <w:r w:rsidR="00E162EC" w:rsidRPr="00CD0D03">
        <w:rPr>
          <w:sz w:val="24"/>
          <w:szCs w:val="24"/>
          <w:lang w:val="en-US"/>
        </w:rPr>
        <w:t>Further, t</w:t>
      </w:r>
      <w:r w:rsidR="000D0435" w:rsidRPr="00CD0D03">
        <w:rPr>
          <w:sz w:val="24"/>
          <w:szCs w:val="24"/>
          <w:lang w:val="en-US"/>
        </w:rPr>
        <w:t xml:space="preserve">he </w:t>
      </w:r>
      <w:r w:rsidR="00E162EC" w:rsidRPr="00CD0D03">
        <w:rPr>
          <w:sz w:val="24"/>
          <w:szCs w:val="24"/>
          <w:lang w:val="en-US"/>
        </w:rPr>
        <w:t xml:space="preserve">exact delineation of each and all phases of the framework and its </w:t>
      </w:r>
      <w:r w:rsidR="00E162EC" w:rsidRPr="00CD0D03">
        <w:rPr>
          <w:sz w:val="24"/>
          <w:szCs w:val="24"/>
          <w:lang w:val="en-US"/>
        </w:rPr>
        <w:lastRenderedPageBreak/>
        <w:t>adaptation to the field of AD research was combined with a series of up to date reviews to allow the</w:t>
      </w:r>
      <w:r w:rsidR="000D0435" w:rsidRPr="00CD0D03">
        <w:rPr>
          <w:sz w:val="24"/>
          <w:szCs w:val="24"/>
          <w:lang w:val="en-US"/>
        </w:rPr>
        <w:t xml:space="preserve"> identifi</w:t>
      </w:r>
      <w:r w:rsidR="00E162EC" w:rsidRPr="00CD0D03">
        <w:rPr>
          <w:sz w:val="24"/>
          <w:szCs w:val="24"/>
          <w:lang w:val="en-US"/>
        </w:rPr>
        <w:t>cation</w:t>
      </w:r>
      <w:r w:rsidR="000D0435" w:rsidRPr="00CD0D03">
        <w:rPr>
          <w:sz w:val="24"/>
          <w:szCs w:val="24"/>
          <w:lang w:val="en-US"/>
        </w:rPr>
        <w:t xml:space="preserve"> </w:t>
      </w:r>
      <w:r w:rsidR="00E162EC" w:rsidRPr="00CD0D03">
        <w:rPr>
          <w:sz w:val="24"/>
          <w:szCs w:val="24"/>
          <w:lang w:val="en-US"/>
        </w:rPr>
        <w:t xml:space="preserve">of </w:t>
      </w:r>
      <w:r w:rsidR="000D0435" w:rsidRPr="00CD0D03">
        <w:rPr>
          <w:sz w:val="24"/>
          <w:szCs w:val="24"/>
          <w:lang w:val="en-US"/>
        </w:rPr>
        <w:t xml:space="preserve">gaps in the </w:t>
      </w:r>
      <w:r w:rsidR="00E162EC" w:rsidRPr="00CD0D03">
        <w:rPr>
          <w:sz w:val="24"/>
          <w:szCs w:val="24"/>
          <w:lang w:val="en-US"/>
        </w:rPr>
        <w:t>evidence</w:t>
      </w:r>
      <w:r w:rsidR="00257981" w:rsidRPr="00CD0D03">
        <w:rPr>
          <w:sz w:val="24"/>
          <w:szCs w:val="24"/>
          <w:lang w:val="en-US"/>
        </w:rPr>
        <w:t xml:space="preserve"> (Cerami </w:t>
      </w:r>
      <w:r w:rsidR="00965902" w:rsidRPr="00CD0D03">
        <w:rPr>
          <w:i/>
          <w:sz w:val="24"/>
          <w:szCs w:val="24"/>
          <w:lang w:val="en-US"/>
        </w:rPr>
        <w:t>et al</w:t>
      </w:r>
      <w:r w:rsidR="00D15AF3">
        <w:rPr>
          <w:sz w:val="24"/>
          <w:szCs w:val="24"/>
          <w:lang w:val="en-US"/>
        </w:rPr>
        <w:t>.</w:t>
      </w:r>
      <w:r w:rsidR="00257981" w:rsidRPr="00CD0D03">
        <w:rPr>
          <w:sz w:val="24"/>
          <w:szCs w:val="24"/>
          <w:lang w:val="en-US"/>
        </w:rPr>
        <w:t xml:space="preserve">; Garibotto </w:t>
      </w:r>
      <w:r w:rsidR="00965902" w:rsidRPr="00CD0D03">
        <w:rPr>
          <w:i/>
          <w:sz w:val="24"/>
          <w:szCs w:val="24"/>
          <w:lang w:val="en-US"/>
        </w:rPr>
        <w:t>et al</w:t>
      </w:r>
      <w:r w:rsidR="00D15AF3">
        <w:rPr>
          <w:sz w:val="24"/>
          <w:szCs w:val="24"/>
          <w:lang w:val="en-US"/>
        </w:rPr>
        <w:t>.</w:t>
      </w:r>
      <w:r w:rsidR="00257981" w:rsidRPr="00CD0D03">
        <w:rPr>
          <w:sz w:val="24"/>
          <w:szCs w:val="24"/>
          <w:lang w:val="en-US"/>
        </w:rPr>
        <w:t xml:space="preserve">; Sonni </w:t>
      </w:r>
      <w:r w:rsidR="00965902" w:rsidRPr="00CD0D03">
        <w:rPr>
          <w:i/>
          <w:sz w:val="24"/>
          <w:szCs w:val="24"/>
          <w:lang w:val="en-US"/>
        </w:rPr>
        <w:t>et al</w:t>
      </w:r>
      <w:r w:rsidR="00D15AF3">
        <w:rPr>
          <w:sz w:val="24"/>
          <w:szCs w:val="24"/>
          <w:lang w:val="en-US"/>
        </w:rPr>
        <w:t>.</w:t>
      </w:r>
      <w:r w:rsidR="00257981" w:rsidRPr="00CD0D03">
        <w:rPr>
          <w:sz w:val="24"/>
          <w:szCs w:val="24"/>
          <w:lang w:val="en-US"/>
        </w:rPr>
        <w:t xml:space="preserve">; Ten Kate </w:t>
      </w:r>
      <w:r w:rsidR="00965902" w:rsidRPr="00CD0D03">
        <w:rPr>
          <w:i/>
          <w:sz w:val="24"/>
          <w:szCs w:val="24"/>
          <w:lang w:val="en-US"/>
        </w:rPr>
        <w:t>et al</w:t>
      </w:r>
      <w:r w:rsidR="00D15AF3">
        <w:rPr>
          <w:sz w:val="24"/>
          <w:szCs w:val="24"/>
          <w:lang w:val="en-US"/>
        </w:rPr>
        <w:t>.</w:t>
      </w:r>
      <w:r w:rsidR="00257981" w:rsidRPr="00CD0D03">
        <w:rPr>
          <w:sz w:val="24"/>
          <w:szCs w:val="24"/>
          <w:lang w:val="en-US"/>
        </w:rPr>
        <w:t xml:space="preserve">; Chiotis </w:t>
      </w:r>
      <w:r w:rsidR="00965902" w:rsidRPr="00CD0D03">
        <w:rPr>
          <w:i/>
          <w:sz w:val="24"/>
          <w:szCs w:val="24"/>
          <w:lang w:val="en-US"/>
        </w:rPr>
        <w:t>et al</w:t>
      </w:r>
      <w:r w:rsidR="00D15AF3">
        <w:rPr>
          <w:sz w:val="24"/>
          <w:szCs w:val="24"/>
          <w:lang w:val="en-US"/>
        </w:rPr>
        <w:t>.</w:t>
      </w:r>
      <w:r w:rsidR="00257981" w:rsidRPr="00CD0D03">
        <w:rPr>
          <w:sz w:val="24"/>
          <w:szCs w:val="24"/>
          <w:lang w:val="en-US"/>
        </w:rPr>
        <w:t xml:space="preserve">; Mattsson </w:t>
      </w:r>
      <w:r w:rsidR="00965902" w:rsidRPr="00CD0D03">
        <w:rPr>
          <w:i/>
          <w:sz w:val="24"/>
          <w:szCs w:val="24"/>
          <w:lang w:val="en-US"/>
        </w:rPr>
        <w:t>et al</w:t>
      </w:r>
      <w:r w:rsidR="005525F3">
        <w:rPr>
          <w:sz w:val="24"/>
          <w:szCs w:val="24"/>
          <w:lang w:val="en-US"/>
        </w:rPr>
        <w:t>., in this issue</w:t>
      </w:r>
      <w:r w:rsidR="00257981" w:rsidRPr="00CD0D03">
        <w:rPr>
          <w:sz w:val="24"/>
          <w:szCs w:val="24"/>
          <w:lang w:val="en-US"/>
        </w:rPr>
        <w:t>)</w:t>
      </w:r>
      <w:r w:rsidR="00B46BCB">
        <w:rPr>
          <w:sz w:val="24"/>
          <w:szCs w:val="24"/>
          <w:lang w:val="en-US"/>
        </w:rPr>
        <w:t xml:space="preserve">, as well as the identification of the ethical implications of the current use of biomarkers (Porteri </w:t>
      </w:r>
      <w:r w:rsidR="00B46BCB" w:rsidRPr="00B46BCB">
        <w:rPr>
          <w:i/>
          <w:sz w:val="24"/>
          <w:szCs w:val="24"/>
          <w:lang w:val="en-US"/>
        </w:rPr>
        <w:t>et al</w:t>
      </w:r>
      <w:r w:rsidR="00B46BCB">
        <w:rPr>
          <w:sz w:val="24"/>
          <w:szCs w:val="24"/>
          <w:lang w:val="en-US"/>
        </w:rPr>
        <w:t xml:space="preserve">., </w:t>
      </w:r>
      <w:r w:rsidR="005525F3">
        <w:rPr>
          <w:sz w:val="24"/>
          <w:szCs w:val="24"/>
          <w:lang w:val="en-US"/>
        </w:rPr>
        <w:t>in this issue</w:t>
      </w:r>
      <w:r w:rsidR="00B46BCB">
        <w:rPr>
          <w:sz w:val="24"/>
          <w:szCs w:val="24"/>
          <w:lang w:val="en-US"/>
        </w:rPr>
        <w:t>)</w:t>
      </w:r>
      <w:r w:rsidR="00E162EC" w:rsidRPr="00CD0D03">
        <w:rPr>
          <w:sz w:val="24"/>
          <w:szCs w:val="24"/>
          <w:lang w:val="en-US"/>
        </w:rPr>
        <w:t>. These gaps</w:t>
      </w:r>
      <w:r w:rsidR="000D0435" w:rsidRPr="00CD0D03">
        <w:rPr>
          <w:sz w:val="24"/>
          <w:szCs w:val="24"/>
          <w:lang w:val="en-US"/>
        </w:rPr>
        <w:t xml:space="preserve"> </w:t>
      </w:r>
      <w:r w:rsidR="00117BC6">
        <w:rPr>
          <w:sz w:val="24"/>
          <w:szCs w:val="24"/>
          <w:lang w:val="en-US"/>
        </w:rPr>
        <w:t xml:space="preserve">should be filled </w:t>
      </w:r>
      <w:r w:rsidR="000D0435" w:rsidRPr="00CD0D03">
        <w:rPr>
          <w:sz w:val="24"/>
          <w:szCs w:val="24"/>
          <w:lang w:val="en-US"/>
        </w:rPr>
        <w:t>before completing downstream studies</w:t>
      </w:r>
      <w:r w:rsidR="00E162EC" w:rsidRPr="00CD0D03">
        <w:rPr>
          <w:sz w:val="24"/>
          <w:szCs w:val="24"/>
          <w:lang w:val="en-US"/>
        </w:rPr>
        <w:t xml:space="preserve"> on the applicability of AD </w:t>
      </w:r>
      <w:r w:rsidR="00451F39">
        <w:rPr>
          <w:rFonts w:cs="Times New Roman"/>
          <w:sz w:val="24"/>
          <w:szCs w:val="24"/>
          <w:lang w:val="en-US"/>
        </w:rPr>
        <w:t>biomarker</w:t>
      </w:r>
      <w:r w:rsidR="00117BC6">
        <w:rPr>
          <w:rFonts w:cs="Times New Roman"/>
          <w:sz w:val="24"/>
          <w:szCs w:val="24"/>
          <w:lang w:val="en-US"/>
        </w:rPr>
        <w:t>s</w:t>
      </w:r>
      <w:r w:rsidR="00E162EC" w:rsidRPr="00CD0D03">
        <w:rPr>
          <w:sz w:val="24"/>
          <w:szCs w:val="24"/>
          <w:lang w:val="en-US"/>
        </w:rPr>
        <w:t xml:space="preserve"> in clinical practice</w:t>
      </w:r>
      <w:r w:rsidR="000D0435" w:rsidRPr="00CD0D03">
        <w:rPr>
          <w:sz w:val="24"/>
          <w:szCs w:val="24"/>
          <w:lang w:val="en-US"/>
        </w:rPr>
        <w:t xml:space="preserve">. </w:t>
      </w:r>
      <w:r w:rsidR="00DD0494" w:rsidRPr="00CD0D03">
        <w:rPr>
          <w:sz w:val="24"/>
          <w:szCs w:val="24"/>
          <w:lang w:val="en-US"/>
        </w:rPr>
        <w:t xml:space="preserve">Collecting the adequate evidence of validity of biomarkers will </w:t>
      </w:r>
      <w:r w:rsidR="000D0435" w:rsidRPr="00CD0D03">
        <w:rPr>
          <w:sz w:val="24"/>
          <w:szCs w:val="24"/>
          <w:lang w:val="en-US"/>
        </w:rPr>
        <w:t xml:space="preserve">eventually </w:t>
      </w:r>
      <w:r w:rsidR="00DD0494" w:rsidRPr="00CD0D03">
        <w:rPr>
          <w:sz w:val="24"/>
          <w:szCs w:val="24"/>
          <w:lang w:val="en-US"/>
        </w:rPr>
        <w:t xml:space="preserve">allow </w:t>
      </w:r>
      <w:r w:rsidR="00611383" w:rsidRPr="00CD0D03">
        <w:rPr>
          <w:sz w:val="24"/>
          <w:szCs w:val="24"/>
          <w:lang w:val="en-US"/>
        </w:rPr>
        <w:t xml:space="preserve">not only an improved and </w:t>
      </w:r>
      <w:r w:rsidR="000270B7">
        <w:rPr>
          <w:sz w:val="24"/>
          <w:szCs w:val="24"/>
          <w:lang w:val="en-US"/>
        </w:rPr>
        <w:t>earlier</w:t>
      </w:r>
      <w:r w:rsidR="00611383" w:rsidRPr="00CD0D03">
        <w:rPr>
          <w:sz w:val="24"/>
          <w:szCs w:val="24"/>
          <w:lang w:val="en-US"/>
        </w:rPr>
        <w:t xml:space="preserve"> diagnosis, but also </w:t>
      </w:r>
      <w:r w:rsidR="00DD0494" w:rsidRPr="00CD0D03">
        <w:rPr>
          <w:sz w:val="24"/>
          <w:szCs w:val="24"/>
          <w:lang w:val="en-US"/>
        </w:rPr>
        <w:t>a cost-effective refund strategy</w:t>
      </w:r>
      <w:r w:rsidR="00611383" w:rsidRPr="00CD0D03">
        <w:rPr>
          <w:sz w:val="24"/>
          <w:szCs w:val="24"/>
          <w:lang w:val="en-US"/>
        </w:rPr>
        <w:t xml:space="preserve"> for biomarker-based diagnostic procedures</w:t>
      </w:r>
      <w:r w:rsidR="00DD0494" w:rsidRPr="00CD0D03">
        <w:rPr>
          <w:sz w:val="24"/>
          <w:szCs w:val="24"/>
          <w:lang w:val="en-US"/>
        </w:rPr>
        <w:t>.</w:t>
      </w:r>
    </w:p>
    <w:p w14:paraId="2A321F21" w14:textId="368B0528" w:rsidR="00C800AC" w:rsidRDefault="00BF7957" w:rsidP="00A83B7C">
      <w:pPr>
        <w:spacing w:after="0" w:line="480" w:lineRule="auto"/>
        <w:rPr>
          <w:sz w:val="24"/>
          <w:szCs w:val="24"/>
          <w:lang w:val="en-US"/>
        </w:rPr>
      </w:pPr>
      <w:r w:rsidRPr="00CD0D03">
        <w:rPr>
          <w:sz w:val="24"/>
          <w:szCs w:val="24"/>
          <w:lang w:val="en-US"/>
        </w:rPr>
        <w:t xml:space="preserve">To the best of our knowledge, and as evident from the results of the </w:t>
      </w:r>
      <w:r w:rsidR="00F415E1">
        <w:rPr>
          <w:sz w:val="24"/>
          <w:szCs w:val="24"/>
          <w:lang w:val="en-US"/>
        </w:rPr>
        <w:t xml:space="preserve">mentioned </w:t>
      </w:r>
      <w:r w:rsidRPr="00CD0D03">
        <w:rPr>
          <w:sz w:val="24"/>
          <w:szCs w:val="24"/>
          <w:lang w:val="en-US"/>
        </w:rPr>
        <w:t xml:space="preserve">reviews </w:t>
      </w:r>
      <w:r w:rsidR="00D1657F" w:rsidRPr="00CD0D03">
        <w:rPr>
          <w:sz w:val="24"/>
          <w:szCs w:val="24"/>
          <w:lang w:val="en-US"/>
        </w:rPr>
        <w:t>on</w:t>
      </w:r>
      <w:r w:rsidRPr="00CD0D03">
        <w:rPr>
          <w:sz w:val="24"/>
          <w:szCs w:val="24"/>
          <w:lang w:val="en-US"/>
        </w:rPr>
        <w:t xml:space="preserve"> the development of </w:t>
      </w:r>
      <w:r w:rsidR="00D1657F" w:rsidRPr="00CD0D03">
        <w:rPr>
          <w:sz w:val="24"/>
          <w:szCs w:val="24"/>
          <w:lang w:val="en-US"/>
        </w:rPr>
        <w:t>biomarkers</w:t>
      </w:r>
      <w:r w:rsidRPr="00CD0D03">
        <w:rPr>
          <w:sz w:val="24"/>
          <w:szCs w:val="24"/>
          <w:lang w:val="en-US"/>
        </w:rPr>
        <w:t xml:space="preserve"> based on this methodological framework, no similar methods have explicitly guided the research on </w:t>
      </w:r>
      <w:r w:rsidR="00AB6D6F" w:rsidRPr="00CD0D03">
        <w:rPr>
          <w:sz w:val="24"/>
          <w:szCs w:val="24"/>
          <w:lang w:val="en-US"/>
        </w:rPr>
        <w:t xml:space="preserve">the </w:t>
      </w:r>
      <w:r w:rsidR="00D1657F" w:rsidRPr="00CD0D03">
        <w:rPr>
          <w:sz w:val="24"/>
          <w:szCs w:val="24"/>
          <w:lang w:val="en-US"/>
        </w:rPr>
        <w:t xml:space="preserve">clinical validity of AD </w:t>
      </w:r>
      <w:r w:rsidRPr="00CD0D03">
        <w:rPr>
          <w:sz w:val="24"/>
          <w:szCs w:val="24"/>
          <w:lang w:val="en-US"/>
        </w:rPr>
        <w:t xml:space="preserve">biomarkers, and the available evidence appears </w:t>
      </w:r>
      <w:r w:rsidR="00D1657F" w:rsidRPr="00CD0D03">
        <w:rPr>
          <w:sz w:val="24"/>
          <w:szCs w:val="24"/>
          <w:lang w:val="en-US"/>
        </w:rPr>
        <w:t xml:space="preserve">to be </w:t>
      </w:r>
      <w:r w:rsidR="00AB6D6F" w:rsidRPr="00CD0D03">
        <w:rPr>
          <w:sz w:val="24"/>
          <w:szCs w:val="24"/>
          <w:lang w:val="en-US"/>
        </w:rPr>
        <w:t>the</w:t>
      </w:r>
      <w:r w:rsidRPr="00CD0D03">
        <w:rPr>
          <w:sz w:val="24"/>
          <w:szCs w:val="24"/>
          <w:lang w:val="en-US"/>
        </w:rPr>
        <w:t xml:space="preserve"> result</w:t>
      </w:r>
      <w:r w:rsidR="00E162EC" w:rsidRPr="00CD0D03">
        <w:rPr>
          <w:sz w:val="24"/>
          <w:szCs w:val="24"/>
          <w:lang w:val="en-US"/>
        </w:rPr>
        <w:t>s</w:t>
      </w:r>
      <w:r w:rsidRPr="00CD0D03">
        <w:rPr>
          <w:sz w:val="24"/>
          <w:szCs w:val="24"/>
          <w:lang w:val="en-US"/>
        </w:rPr>
        <w:t xml:space="preserve"> of </w:t>
      </w:r>
      <w:r w:rsidR="00AE3BA8" w:rsidRPr="00CD0D03">
        <w:rPr>
          <w:sz w:val="24"/>
          <w:szCs w:val="24"/>
          <w:lang w:val="en-US"/>
        </w:rPr>
        <w:t xml:space="preserve">relatively </w:t>
      </w:r>
      <w:r w:rsidRPr="00CD0D03">
        <w:rPr>
          <w:sz w:val="24"/>
          <w:szCs w:val="24"/>
          <w:lang w:val="en-US"/>
        </w:rPr>
        <w:t>uncoordinated efforts.</w:t>
      </w:r>
      <w:r w:rsidR="00257981" w:rsidRPr="00CD0D03">
        <w:rPr>
          <w:sz w:val="24"/>
          <w:szCs w:val="24"/>
          <w:lang w:val="en-US"/>
        </w:rPr>
        <w:t xml:space="preserve"> On the other hand, our initiative is inspired and similar to that launched by oncologists in 2001 (Pepe </w:t>
      </w:r>
      <w:r w:rsidR="00965902" w:rsidRPr="00CD0D03">
        <w:rPr>
          <w:i/>
          <w:sz w:val="24"/>
          <w:szCs w:val="24"/>
          <w:lang w:val="en-US"/>
        </w:rPr>
        <w:t>et al</w:t>
      </w:r>
      <w:r w:rsidR="00257981" w:rsidRPr="00CD0D03">
        <w:rPr>
          <w:sz w:val="24"/>
          <w:szCs w:val="24"/>
          <w:lang w:val="en-US"/>
        </w:rPr>
        <w:t xml:space="preserve">, 2001). </w:t>
      </w:r>
      <w:r w:rsidR="008D55E1" w:rsidRPr="00CD0D03">
        <w:rPr>
          <w:sz w:val="24"/>
          <w:szCs w:val="24"/>
          <w:lang w:val="en-US"/>
        </w:rPr>
        <w:t xml:space="preserve">Our effort differs </w:t>
      </w:r>
      <w:r w:rsidR="00023EB9">
        <w:rPr>
          <w:sz w:val="24"/>
          <w:szCs w:val="24"/>
          <w:lang w:val="en-US"/>
        </w:rPr>
        <w:t xml:space="preserve">importantly </w:t>
      </w:r>
      <w:r w:rsidR="008D55E1" w:rsidRPr="00CD0D03">
        <w:rPr>
          <w:sz w:val="24"/>
          <w:szCs w:val="24"/>
          <w:lang w:val="en-US"/>
        </w:rPr>
        <w:t xml:space="preserve">from that of oncologists </w:t>
      </w:r>
      <w:r w:rsidR="00667D63" w:rsidRPr="00CD0D03">
        <w:rPr>
          <w:sz w:val="24"/>
          <w:szCs w:val="24"/>
          <w:lang w:val="en-US"/>
        </w:rPr>
        <w:t xml:space="preserve">because the </w:t>
      </w:r>
      <w:r w:rsidR="006B6F9F">
        <w:rPr>
          <w:sz w:val="24"/>
          <w:szCs w:val="24"/>
          <w:lang w:val="en-US"/>
        </w:rPr>
        <w:t>methodological</w:t>
      </w:r>
      <w:r w:rsidR="00667D63" w:rsidRPr="00CD0D03">
        <w:rPr>
          <w:sz w:val="24"/>
          <w:szCs w:val="24"/>
          <w:lang w:val="en-US"/>
        </w:rPr>
        <w:t xml:space="preserve"> framework </w:t>
      </w:r>
      <w:r w:rsidR="004915C3">
        <w:rPr>
          <w:sz w:val="24"/>
          <w:szCs w:val="24"/>
          <w:lang w:val="en-US"/>
        </w:rPr>
        <w:t>should</w:t>
      </w:r>
      <w:r w:rsidR="006B6F9F">
        <w:rPr>
          <w:sz w:val="24"/>
          <w:szCs w:val="24"/>
          <w:lang w:val="en-US"/>
        </w:rPr>
        <w:t xml:space="preserve"> be applied to </w:t>
      </w:r>
      <w:r w:rsidR="00AF59D3" w:rsidRPr="00F40AFE">
        <w:rPr>
          <w:sz w:val="24"/>
          <w:szCs w:val="24"/>
          <w:lang w:val="en-US"/>
        </w:rPr>
        <w:t>diagnosis and not to disease screening</w:t>
      </w:r>
      <w:r w:rsidR="00667D63" w:rsidRPr="00CD0D03">
        <w:rPr>
          <w:sz w:val="24"/>
          <w:szCs w:val="24"/>
          <w:lang w:val="en-US"/>
        </w:rPr>
        <w:t xml:space="preserve">, </w:t>
      </w:r>
      <w:r w:rsidR="006B6F9F">
        <w:rPr>
          <w:sz w:val="24"/>
          <w:szCs w:val="24"/>
          <w:lang w:val="en-US"/>
        </w:rPr>
        <w:t>and</w:t>
      </w:r>
      <w:r w:rsidR="00667D63" w:rsidRPr="00CD0D03">
        <w:rPr>
          <w:sz w:val="24"/>
          <w:szCs w:val="24"/>
          <w:lang w:val="en-US"/>
        </w:rPr>
        <w:t xml:space="preserve"> </w:t>
      </w:r>
      <w:r w:rsidR="00B47D21">
        <w:rPr>
          <w:sz w:val="24"/>
          <w:szCs w:val="24"/>
          <w:lang w:val="en-US"/>
        </w:rPr>
        <w:t xml:space="preserve">because of </w:t>
      </w:r>
      <w:r w:rsidR="006B6F9F">
        <w:rPr>
          <w:sz w:val="24"/>
          <w:szCs w:val="24"/>
          <w:lang w:val="en-US"/>
        </w:rPr>
        <w:t xml:space="preserve">the </w:t>
      </w:r>
      <w:r w:rsidR="00B47D21">
        <w:rPr>
          <w:sz w:val="24"/>
          <w:szCs w:val="24"/>
          <w:lang w:val="en-US"/>
        </w:rPr>
        <w:t>different</w:t>
      </w:r>
      <w:r w:rsidR="00B47D21" w:rsidRPr="00CD0D03">
        <w:rPr>
          <w:sz w:val="24"/>
          <w:szCs w:val="24"/>
          <w:lang w:val="en-US"/>
        </w:rPr>
        <w:t xml:space="preserve"> </w:t>
      </w:r>
      <w:r w:rsidR="006B6F9F">
        <w:rPr>
          <w:sz w:val="24"/>
          <w:szCs w:val="24"/>
          <w:lang w:val="en-US"/>
        </w:rPr>
        <w:t>basic premises,</w:t>
      </w:r>
      <w:r w:rsidR="008D55E1" w:rsidRPr="00CD0D03">
        <w:rPr>
          <w:sz w:val="24"/>
          <w:szCs w:val="24"/>
          <w:lang w:val="en-US"/>
        </w:rPr>
        <w:t xml:space="preserve"> </w:t>
      </w:r>
      <w:r w:rsidR="007E47B6" w:rsidRPr="00CD0D03">
        <w:rPr>
          <w:sz w:val="24"/>
          <w:szCs w:val="24"/>
          <w:lang w:val="en-US"/>
        </w:rPr>
        <w:t>i.e.</w:t>
      </w:r>
      <w:r w:rsidR="006B6F9F">
        <w:rPr>
          <w:sz w:val="24"/>
          <w:szCs w:val="24"/>
          <w:lang w:val="en-US"/>
        </w:rPr>
        <w:t>,</w:t>
      </w:r>
      <w:r w:rsidR="007E47B6" w:rsidRPr="00CD0D03">
        <w:rPr>
          <w:sz w:val="24"/>
          <w:szCs w:val="24"/>
          <w:lang w:val="en-US"/>
        </w:rPr>
        <w:t xml:space="preserve"> nature of the </w:t>
      </w:r>
      <w:r w:rsidR="00C47021" w:rsidRPr="00CD0D03">
        <w:rPr>
          <w:sz w:val="24"/>
          <w:szCs w:val="24"/>
          <w:lang w:val="en-US"/>
        </w:rPr>
        <w:t>disease, purpose and population</w:t>
      </w:r>
      <w:r w:rsidR="007E47B6" w:rsidRPr="00CD0D03">
        <w:rPr>
          <w:sz w:val="24"/>
          <w:szCs w:val="24"/>
          <w:lang w:val="en-US"/>
        </w:rPr>
        <w:t xml:space="preserve"> defining the context of use. </w:t>
      </w:r>
      <w:r w:rsidR="0040549E">
        <w:rPr>
          <w:sz w:val="24"/>
          <w:szCs w:val="24"/>
          <w:lang w:val="en-US"/>
        </w:rPr>
        <w:t>A</w:t>
      </w:r>
      <w:r w:rsidR="00821885">
        <w:rPr>
          <w:sz w:val="24"/>
          <w:szCs w:val="24"/>
          <w:lang w:val="en-US"/>
        </w:rPr>
        <w:t>nother</w:t>
      </w:r>
      <w:r w:rsidR="0040549E">
        <w:rPr>
          <w:sz w:val="24"/>
          <w:szCs w:val="24"/>
          <w:lang w:val="en-US"/>
        </w:rPr>
        <w:t xml:space="preserve"> major difference between oncology and AD is that histological confirmation of the disease diagnosis </w:t>
      </w:r>
      <w:r w:rsidR="00821885">
        <w:rPr>
          <w:sz w:val="24"/>
          <w:szCs w:val="24"/>
          <w:lang w:val="en-US"/>
        </w:rPr>
        <w:t xml:space="preserve">is </w:t>
      </w:r>
      <w:r w:rsidR="004915C3">
        <w:rPr>
          <w:sz w:val="24"/>
          <w:szCs w:val="24"/>
          <w:lang w:val="en-US"/>
        </w:rPr>
        <w:t>feasible</w:t>
      </w:r>
      <w:r w:rsidR="0040549E">
        <w:rPr>
          <w:sz w:val="24"/>
          <w:szCs w:val="24"/>
          <w:lang w:val="en-US"/>
        </w:rPr>
        <w:t xml:space="preserve"> </w:t>
      </w:r>
      <w:r w:rsidR="002A4B81">
        <w:rPr>
          <w:i/>
          <w:sz w:val="24"/>
          <w:szCs w:val="24"/>
          <w:lang w:val="en-US"/>
        </w:rPr>
        <w:t>ex</w:t>
      </w:r>
      <w:r w:rsidR="00D73F3B" w:rsidRPr="004915C3">
        <w:rPr>
          <w:i/>
          <w:sz w:val="24"/>
          <w:szCs w:val="24"/>
          <w:lang w:val="en-US"/>
        </w:rPr>
        <w:t xml:space="preserve"> </w:t>
      </w:r>
      <w:r w:rsidR="004915C3" w:rsidRPr="004915C3">
        <w:rPr>
          <w:i/>
          <w:sz w:val="24"/>
          <w:szCs w:val="24"/>
          <w:lang w:val="en-US"/>
        </w:rPr>
        <w:t>vivo</w:t>
      </w:r>
      <w:r w:rsidR="0040549E">
        <w:rPr>
          <w:sz w:val="24"/>
          <w:szCs w:val="24"/>
          <w:lang w:val="en-US"/>
        </w:rPr>
        <w:t xml:space="preserve"> for oncology, but not </w:t>
      </w:r>
      <w:r w:rsidR="004F2BB9">
        <w:rPr>
          <w:sz w:val="24"/>
          <w:szCs w:val="24"/>
          <w:lang w:val="en-US"/>
        </w:rPr>
        <w:t xml:space="preserve">for </w:t>
      </w:r>
      <w:r w:rsidR="0040549E">
        <w:rPr>
          <w:sz w:val="24"/>
          <w:szCs w:val="24"/>
          <w:lang w:val="en-US"/>
        </w:rPr>
        <w:t xml:space="preserve">AD. </w:t>
      </w:r>
      <w:proofErr w:type="gramStart"/>
      <w:r w:rsidR="0040549E">
        <w:rPr>
          <w:sz w:val="24"/>
          <w:szCs w:val="24"/>
          <w:lang w:val="en-US"/>
        </w:rPr>
        <w:t>Therefore</w:t>
      </w:r>
      <w:proofErr w:type="gramEnd"/>
      <w:r w:rsidR="0040549E">
        <w:rPr>
          <w:sz w:val="24"/>
          <w:szCs w:val="24"/>
          <w:lang w:val="en-US"/>
        </w:rPr>
        <w:t xml:space="preserve"> the oncology analogy is only partly applicable to AD and the AD field will have to take a</w:t>
      </w:r>
      <w:r w:rsidR="00023BD3">
        <w:rPr>
          <w:sz w:val="24"/>
          <w:szCs w:val="24"/>
          <w:lang w:val="en-US"/>
        </w:rPr>
        <w:t xml:space="preserve"> different approach to obtain</w:t>
      </w:r>
      <w:r w:rsidR="0040549E">
        <w:rPr>
          <w:sz w:val="24"/>
          <w:szCs w:val="24"/>
          <w:lang w:val="en-US"/>
        </w:rPr>
        <w:t xml:space="preserve"> </w:t>
      </w:r>
      <w:r w:rsidR="00821885">
        <w:rPr>
          <w:sz w:val="24"/>
          <w:szCs w:val="24"/>
          <w:lang w:val="en-US"/>
        </w:rPr>
        <w:t>reference</w:t>
      </w:r>
      <w:r w:rsidR="0040549E">
        <w:rPr>
          <w:sz w:val="24"/>
          <w:szCs w:val="24"/>
          <w:lang w:val="en-US"/>
        </w:rPr>
        <w:t xml:space="preserve"> standards in </w:t>
      </w:r>
      <w:r w:rsidR="005409DF">
        <w:rPr>
          <w:sz w:val="24"/>
          <w:szCs w:val="24"/>
          <w:lang w:val="en-US"/>
        </w:rPr>
        <w:t>clinical and community-based samples</w:t>
      </w:r>
      <w:r w:rsidR="0040549E">
        <w:rPr>
          <w:sz w:val="24"/>
          <w:szCs w:val="24"/>
          <w:lang w:val="en-US"/>
        </w:rPr>
        <w:t xml:space="preserve">. </w:t>
      </w:r>
      <w:proofErr w:type="gramStart"/>
      <w:r w:rsidR="00821885">
        <w:rPr>
          <w:sz w:val="24"/>
          <w:szCs w:val="24"/>
          <w:lang w:val="en-US"/>
        </w:rPr>
        <w:t>Of course</w:t>
      </w:r>
      <w:proofErr w:type="gramEnd"/>
      <w:r w:rsidR="00821885">
        <w:rPr>
          <w:sz w:val="24"/>
          <w:szCs w:val="24"/>
          <w:lang w:val="en-US"/>
        </w:rPr>
        <w:t xml:space="preserve"> t</w:t>
      </w:r>
      <w:r w:rsidR="00B41479" w:rsidRPr="00CD0D03">
        <w:rPr>
          <w:sz w:val="24"/>
          <w:szCs w:val="24"/>
          <w:lang w:val="en-US"/>
        </w:rPr>
        <w:t xml:space="preserve">he </w:t>
      </w:r>
      <w:r w:rsidR="00821885">
        <w:rPr>
          <w:sz w:val="24"/>
          <w:szCs w:val="24"/>
          <w:lang w:val="en-US"/>
        </w:rPr>
        <w:t>limited</w:t>
      </w:r>
      <w:r w:rsidR="00B41479" w:rsidRPr="00CD0D03">
        <w:rPr>
          <w:sz w:val="24"/>
          <w:szCs w:val="24"/>
          <w:lang w:val="en-US"/>
        </w:rPr>
        <w:t xml:space="preserve"> availability of neuropathological confirmation </w:t>
      </w:r>
      <w:r w:rsidR="00821885">
        <w:rPr>
          <w:sz w:val="24"/>
          <w:szCs w:val="24"/>
          <w:lang w:val="en-US"/>
        </w:rPr>
        <w:t>in AD</w:t>
      </w:r>
      <w:r w:rsidR="00B41479" w:rsidRPr="00CD0D03">
        <w:rPr>
          <w:sz w:val="24"/>
          <w:szCs w:val="24"/>
          <w:lang w:val="en-US"/>
        </w:rPr>
        <w:t xml:space="preserve"> makes this </w:t>
      </w:r>
      <w:r w:rsidR="005A08B9" w:rsidRPr="00CD0D03">
        <w:rPr>
          <w:sz w:val="24"/>
          <w:szCs w:val="24"/>
          <w:lang w:val="en-US"/>
        </w:rPr>
        <w:t>field</w:t>
      </w:r>
      <w:r w:rsidR="00B41479" w:rsidRPr="00CD0D03">
        <w:rPr>
          <w:sz w:val="24"/>
          <w:szCs w:val="24"/>
          <w:lang w:val="en-US"/>
        </w:rPr>
        <w:t xml:space="preserve"> prone to a greater extent </w:t>
      </w:r>
      <w:r w:rsidR="00B47D21">
        <w:rPr>
          <w:sz w:val="24"/>
          <w:szCs w:val="24"/>
          <w:lang w:val="en-US"/>
        </w:rPr>
        <w:t>of</w:t>
      </w:r>
      <w:r w:rsidR="00B47D21" w:rsidRPr="00CD0D03">
        <w:rPr>
          <w:sz w:val="24"/>
          <w:szCs w:val="24"/>
          <w:lang w:val="en-US"/>
        </w:rPr>
        <w:t xml:space="preserve"> </w:t>
      </w:r>
      <w:r w:rsidR="00B41479" w:rsidRPr="00CD0D03">
        <w:rPr>
          <w:sz w:val="24"/>
          <w:szCs w:val="24"/>
          <w:lang w:val="en-US"/>
        </w:rPr>
        <w:t>misclassification error of the outcome</w:t>
      </w:r>
      <w:r w:rsidR="00F415E1">
        <w:rPr>
          <w:sz w:val="24"/>
          <w:szCs w:val="24"/>
          <w:lang w:val="en-US"/>
        </w:rPr>
        <w:t>.</w:t>
      </w:r>
      <w:r w:rsidR="00B41479" w:rsidRPr="00CD0D03" w:rsidDel="00B41479">
        <w:rPr>
          <w:sz w:val="24"/>
          <w:szCs w:val="24"/>
          <w:lang w:val="en-US"/>
        </w:rPr>
        <w:t xml:space="preserve"> </w:t>
      </w:r>
      <w:r w:rsidR="00BE2485" w:rsidRPr="00376019">
        <w:rPr>
          <w:sz w:val="24"/>
          <w:szCs w:val="24"/>
          <w:lang w:val="en-US"/>
        </w:rPr>
        <w:t>We underline that</w:t>
      </w:r>
      <w:r w:rsidR="00AF59D3" w:rsidRPr="00376019">
        <w:rPr>
          <w:sz w:val="24"/>
          <w:szCs w:val="24"/>
          <w:lang w:val="en-US"/>
        </w:rPr>
        <w:t>,</w:t>
      </w:r>
      <w:r w:rsidR="00BE2485" w:rsidRPr="00376019">
        <w:rPr>
          <w:sz w:val="24"/>
          <w:szCs w:val="24"/>
          <w:lang w:val="en-US"/>
        </w:rPr>
        <w:t xml:space="preserve"> in our initiative, we did not address the fact that</w:t>
      </w:r>
      <w:r w:rsidR="00AF59D3" w:rsidRPr="00376019">
        <w:rPr>
          <w:sz w:val="24"/>
          <w:szCs w:val="24"/>
          <w:lang w:val="en-US"/>
        </w:rPr>
        <w:t xml:space="preserve"> possible heterogeneities on the use of stains, antibodies</w:t>
      </w:r>
      <w:r w:rsidR="00DE6447" w:rsidRPr="00376019">
        <w:rPr>
          <w:sz w:val="24"/>
          <w:szCs w:val="24"/>
          <w:lang w:val="en-US"/>
        </w:rPr>
        <w:t xml:space="preserve">, </w:t>
      </w:r>
      <w:r w:rsidR="003F1430" w:rsidRPr="00376019">
        <w:rPr>
          <w:sz w:val="24"/>
          <w:szCs w:val="24"/>
          <w:lang w:val="en-US"/>
        </w:rPr>
        <w:t xml:space="preserve">and on </w:t>
      </w:r>
      <w:r w:rsidR="00DE6447" w:rsidRPr="00376019">
        <w:rPr>
          <w:sz w:val="24"/>
          <w:szCs w:val="24"/>
          <w:lang w:val="en-US"/>
        </w:rPr>
        <w:t xml:space="preserve">structural/morphological </w:t>
      </w:r>
      <w:r w:rsidR="003F1430" w:rsidRPr="00376019">
        <w:rPr>
          <w:sz w:val="24"/>
          <w:szCs w:val="24"/>
          <w:lang w:val="en-US"/>
        </w:rPr>
        <w:t xml:space="preserve">assessments </w:t>
      </w:r>
      <w:r w:rsidR="00BE2485" w:rsidRPr="00376019">
        <w:rPr>
          <w:sz w:val="24"/>
          <w:szCs w:val="24"/>
          <w:lang w:val="en-US"/>
        </w:rPr>
        <w:t>may be a source of uncontrolled variability that can potentially influence downstream validation phases</w:t>
      </w:r>
      <w:r w:rsidR="00DE6447" w:rsidRPr="00376019">
        <w:rPr>
          <w:sz w:val="24"/>
          <w:szCs w:val="24"/>
          <w:lang w:val="en-US"/>
        </w:rPr>
        <w:t xml:space="preserve">. </w:t>
      </w:r>
      <w:proofErr w:type="gramStart"/>
      <w:r w:rsidR="00DE6447" w:rsidRPr="00376019">
        <w:rPr>
          <w:sz w:val="24"/>
          <w:szCs w:val="24"/>
          <w:lang w:val="en-US"/>
        </w:rPr>
        <w:t>Indeed</w:t>
      </w:r>
      <w:proofErr w:type="gramEnd"/>
      <w:r w:rsidR="00DE6447" w:rsidRPr="00376019">
        <w:rPr>
          <w:sz w:val="24"/>
          <w:szCs w:val="24"/>
          <w:lang w:val="en-US"/>
        </w:rPr>
        <w:t xml:space="preserve"> they</w:t>
      </w:r>
      <w:r w:rsidR="00AF59D3" w:rsidRPr="00376019">
        <w:rPr>
          <w:sz w:val="24"/>
          <w:szCs w:val="24"/>
          <w:lang w:val="en-US"/>
        </w:rPr>
        <w:t xml:space="preserve"> may require adequate</w:t>
      </w:r>
      <w:r w:rsidR="00DE6447" w:rsidRPr="00376019">
        <w:rPr>
          <w:sz w:val="24"/>
          <w:szCs w:val="24"/>
          <w:lang w:val="en-US"/>
        </w:rPr>
        <w:t xml:space="preserve"> </w:t>
      </w:r>
      <w:r w:rsidR="00DE6447" w:rsidRPr="00376019">
        <w:rPr>
          <w:sz w:val="24"/>
          <w:szCs w:val="24"/>
          <w:lang w:val="en-US"/>
        </w:rPr>
        <w:lastRenderedPageBreak/>
        <w:t>systematization</w:t>
      </w:r>
      <w:r w:rsidR="00AF59D3" w:rsidRPr="00376019">
        <w:rPr>
          <w:sz w:val="24"/>
          <w:szCs w:val="24"/>
          <w:lang w:val="en-US"/>
        </w:rPr>
        <w:t xml:space="preserve"> </w:t>
      </w:r>
      <w:r w:rsidR="00DE6447" w:rsidRPr="00376019">
        <w:rPr>
          <w:sz w:val="24"/>
          <w:szCs w:val="24"/>
          <w:lang w:val="en-US"/>
        </w:rPr>
        <w:t xml:space="preserve">and </w:t>
      </w:r>
      <w:r w:rsidR="00AF59D3" w:rsidRPr="00376019">
        <w:rPr>
          <w:sz w:val="24"/>
          <w:szCs w:val="24"/>
          <w:lang w:val="en-US"/>
        </w:rPr>
        <w:t>standardization for the definition of the gold-standard itself</w:t>
      </w:r>
      <w:r w:rsidR="00BE2485" w:rsidRPr="00376019">
        <w:rPr>
          <w:sz w:val="24"/>
          <w:szCs w:val="24"/>
          <w:lang w:val="en-US"/>
        </w:rPr>
        <w:t xml:space="preserve">, that </w:t>
      </w:r>
      <w:r w:rsidR="003F1430" w:rsidRPr="00376019">
        <w:rPr>
          <w:sz w:val="24"/>
          <w:szCs w:val="24"/>
          <w:lang w:val="en-US"/>
        </w:rPr>
        <w:t>anyway is</w:t>
      </w:r>
      <w:r w:rsidR="00BE2485" w:rsidRPr="00376019">
        <w:rPr>
          <w:sz w:val="24"/>
          <w:szCs w:val="24"/>
          <w:lang w:val="en-US"/>
        </w:rPr>
        <w:t xml:space="preserve"> not the </w:t>
      </w:r>
      <w:r w:rsidR="003F1430" w:rsidRPr="00376019">
        <w:rPr>
          <w:sz w:val="24"/>
          <w:szCs w:val="24"/>
          <w:lang w:val="en-US"/>
        </w:rPr>
        <w:t xml:space="preserve">specific </w:t>
      </w:r>
      <w:r w:rsidR="00BE2485" w:rsidRPr="00376019">
        <w:rPr>
          <w:sz w:val="24"/>
          <w:szCs w:val="24"/>
          <w:lang w:val="en-US"/>
        </w:rPr>
        <w:t>topic of our effort</w:t>
      </w:r>
      <w:r w:rsidR="00AF59D3" w:rsidRPr="00376019">
        <w:rPr>
          <w:sz w:val="24"/>
          <w:szCs w:val="24"/>
          <w:lang w:val="en-US"/>
        </w:rPr>
        <w:t>.</w:t>
      </w:r>
      <w:r w:rsidR="000463DC">
        <w:rPr>
          <w:sz w:val="24"/>
          <w:szCs w:val="24"/>
          <w:lang w:val="en-US"/>
        </w:rPr>
        <w:t xml:space="preserve"> </w:t>
      </w:r>
      <w:r w:rsidR="003F1430">
        <w:rPr>
          <w:sz w:val="24"/>
          <w:szCs w:val="24"/>
          <w:lang w:val="en-US"/>
        </w:rPr>
        <w:t>On the other hand</w:t>
      </w:r>
      <w:r w:rsidR="000463DC">
        <w:rPr>
          <w:sz w:val="24"/>
          <w:szCs w:val="24"/>
          <w:lang w:val="en-US"/>
        </w:rPr>
        <w:t xml:space="preserve">, the possibility may be taken into account to perform studies where </w:t>
      </w:r>
      <w:r w:rsidR="003F1430">
        <w:rPr>
          <w:sz w:val="24"/>
          <w:szCs w:val="24"/>
          <w:lang w:val="en-US"/>
        </w:rPr>
        <w:t>a strong reference-</w:t>
      </w:r>
      <w:r w:rsidR="000463DC">
        <w:rPr>
          <w:sz w:val="24"/>
          <w:szCs w:val="24"/>
          <w:lang w:val="en-US"/>
        </w:rPr>
        <w:t xml:space="preserve">standard is provided by </w:t>
      </w:r>
      <w:r w:rsidR="003F1430">
        <w:rPr>
          <w:sz w:val="24"/>
          <w:szCs w:val="24"/>
          <w:lang w:val="en-US"/>
        </w:rPr>
        <w:t>clinical diagnosis not only confirmed at follow-up but also confirmed by</w:t>
      </w:r>
      <w:r w:rsidR="000463DC">
        <w:rPr>
          <w:sz w:val="24"/>
          <w:szCs w:val="24"/>
          <w:lang w:val="en-US"/>
        </w:rPr>
        <w:t xml:space="preserve"> </w:t>
      </w:r>
      <w:r w:rsidR="00C50438">
        <w:rPr>
          <w:sz w:val="24"/>
          <w:szCs w:val="24"/>
          <w:lang w:val="en-US"/>
        </w:rPr>
        <w:t xml:space="preserve">strong pathophysiological biomarkers, for example by </w:t>
      </w:r>
      <w:r w:rsidR="00162624">
        <w:rPr>
          <w:sz w:val="24"/>
          <w:szCs w:val="24"/>
          <w:lang w:val="en-US"/>
        </w:rPr>
        <w:t>prove of</w:t>
      </w:r>
      <w:r w:rsidR="000463DC">
        <w:rPr>
          <w:sz w:val="24"/>
          <w:szCs w:val="24"/>
          <w:lang w:val="en-US"/>
        </w:rPr>
        <w:t xml:space="preserve"> amyloid and tau </w:t>
      </w:r>
      <w:r w:rsidR="003F1430">
        <w:rPr>
          <w:sz w:val="24"/>
          <w:szCs w:val="24"/>
          <w:lang w:val="en-US"/>
        </w:rPr>
        <w:t xml:space="preserve">positivity </w:t>
      </w:r>
      <w:r w:rsidR="000463DC">
        <w:rPr>
          <w:sz w:val="24"/>
          <w:szCs w:val="24"/>
          <w:lang w:val="en-US"/>
        </w:rPr>
        <w:t>using PET scans.</w:t>
      </w:r>
      <w:r w:rsidR="003F1430">
        <w:rPr>
          <w:sz w:val="24"/>
          <w:szCs w:val="24"/>
          <w:lang w:val="en-US"/>
        </w:rPr>
        <w:t xml:space="preserve"> </w:t>
      </w:r>
      <w:r w:rsidR="00B002D5">
        <w:rPr>
          <w:sz w:val="24"/>
          <w:szCs w:val="24"/>
          <w:lang w:val="en-US"/>
        </w:rPr>
        <w:t>A</w:t>
      </w:r>
      <w:r w:rsidR="003F1430">
        <w:rPr>
          <w:sz w:val="24"/>
          <w:szCs w:val="24"/>
          <w:lang w:val="en-US"/>
        </w:rPr>
        <w:t xml:space="preserve">lthough these exams are very promising, they are </w:t>
      </w:r>
      <w:r w:rsidR="00162624">
        <w:rPr>
          <w:sz w:val="24"/>
          <w:szCs w:val="24"/>
          <w:lang w:val="en-US"/>
        </w:rPr>
        <w:t>at the same time</w:t>
      </w:r>
      <w:r w:rsidR="003F1430">
        <w:rPr>
          <w:sz w:val="24"/>
          <w:szCs w:val="24"/>
          <w:lang w:val="en-US"/>
        </w:rPr>
        <w:t xml:space="preserve"> the object of our validation efforts nowadays, and proposing this kind of reference-standard </w:t>
      </w:r>
      <w:r w:rsidR="006E084B">
        <w:rPr>
          <w:sz w:val="24"/>
          <w:szCs w:val="24"/>
          <w:lang w:val="en-US"/>
        </w:rPr>
        <w:t xml:space="preserve">at the moment </w:t>
      </w:r>
      <w:r w:rsidR="003F1430">
        <w:rPr>
          <w:sz w:val="24"/>
          <w:szCs w:val="24"/>
          <w:lang w:val="en-US"/>
        </w:rPr>
        <w:t>may fault our methodological framework with recursive reasoning.</w:t>
      </w:r>
      <w:r w:rsidR="00B002D5">
        <w:rPr>
          <w:sz w:val="24"/>
          <w:szCs w:val="24"/>
          <w:lang w:val="en-US"/>
        </w:rPr>
        <w:t xml:space="preserve"> However</w:t>
      </w:r>
      <w:r w:rsidR="009F1C70">
        <w:rPr>
          <w:sz w:val="24"/>
          <w:szCs w:val="24"/>
          <w:lang w:val="en-US"/>
        </w:rPr>
        <w:t>,</w:t>
      </w:r>
      <w:r w:rsidR="00B002D5">
        <w:rPr>
          <w:sz w:val="24"/>
          <w:szCs w:val="24"/>
          <w:lang w:val="en-US"/>
        </w:rPr>
        <w:t xml:space="preserve"> it is conceivable that the fulfilment of proper validation of some biomarkers may in the near future supply an adequate biomarker-based gold-standard, that will greatly improve the current reference of clinical diagnosis </w:t>
      </w:r>
      <w:r w:rsidR="009F1C70">
        <w:rPr>
          <w:sz w:val="24"/>
          <w:szCs w:val="24"/>
          <w:lang w:val="en-US"/>
        </w:rPr>
        <w:t>while replacing</w:t>
      </w:r>
      <w:r w:rsidR="00B002D5">
        <w:rPr>
          <w:sz w:val="24"/>
          <w:szCs w:val="24"/>
          <w:lang w:val="en-US"/>
        </w:rPr>
        <w:t xml:space="preserve"> pathology satisfactorily.</w:t>
      </w:r>
    </w:p>
    <w:p w14:paraId="5FE0F3ED" w14:textId="77777777" w:rsidR="00821885" w:rsidRDefault="00821885" w:rsidP="00A83B7C">
      <w:pPr>
        <w:spacing w:after="0" w:line="480" w:lineRule="auto"/>
        <w:rPr>
          <w:sz w:val="24"/>
          <w:szCs w:val="24"/>
          <w:lang w:val="en-US"/>
        </w:rPr>
      </w:pPr>
      <w:r>
        <w:rPr>
          <w:sz w:val="24"/>
          <w:szCs w:val="24"/>
          <w:lang w:val="en-US"/>
        </w:rPr>
        <w:t>The defined framework denotes a logical sequence in the kind of studies to be performed for proper validation of biomarkers. Performance of downstream studies in the lack of “upstream” evidence might include unwanted noise or bias</w:t>
      </w:r>
      <w:r w:rsidR="009F307D">
        <w:rPr>
          <w:sz w:val="24"/>
          <w:szCs w:val="24"/>
          <w:lang w:val="en-US"/>
        </w:rPr>
        <w:t xml:space="preserve">. An example is the </w:t>
      </w:r>
      <w:r w:rsidR="00CA413D">
        <w:rPr>
          <w:sz w:val="24"/>
          <w:szCs w:val="24"/>
          <w:lang w:val="en-US"/>
        </w:rPr>
        <w:t xml:space="preserve">detrimental </w:t>
      </w:r>
      <w:r w:rsidR="009F307D">
        <w:rPr>
          <w:sz w:val="24"/>
          <w:szCs w:val="24"/>
          <w:lang w:val="en-US"/>
        </w:rPr>
        <w:t>variability of performance of FDG-PET in the</w:t>
      </w:r>
      <w:r w:rsidR="00082D39">
        <w:rPr>
          <w:sz w:val="24"/>
          <w:szCs w:val="24"/>
          <w:lang w:val="en-US"/>
        </w:rPr>
        <w:t xml:space="preserve"> early</w:t>
      </w:r>
      <w:r w:rsidR="009F307D">
        <w:rPr>
          <w:sz w:val="24"/>
          <w:szCs w:val="24"/>
          <w:lang w:val="en-US"/>
        </w:rPr>
        <w:t xml:space="preserve"> detection of </w:t>
      </w:r>
      <w:r w:rsidR="00082D39">
        <w:rPr>
          <w:sz w:val="24"/>
          <w:szCs w:val="24"/>
          <w:lang w:val="en-US"/>
        </w:rPr>
        <w:t>AD (</w:t>
      </w:r>
      <w:r w:rsidR="00082D39" w:rsidRPr="009F307D">
        <w:rPr>
          <w:sz w:val="24"/>
          <w:szCs w:val="24"/>
          <w:lang w:val="en-US"/>
        </w:rPr>
        <w:t>Smailagic</w:t>
      </w:r>
      <w:r w:rsidR="00082D39">
        <w:rPr>
          <w:sz w:val="24"/>
          <w:szCs w:val="24"/>
          <w:lang w:val="en-US"/>
        </w:rPr>
        <w:t xml:space="preserve"> et al., 2015)</w:t>
      </w:r>
      <w:r w:rsidR="009F307D">
        <w:rPr>
          <w:sz w:val="24"/>
          <w:szCs w:val="24"/>
          <w:lang w:val="en-US"/>
        </w:rPr>
        <w:t xml:space="preserve">, </w:t>
      </w:r>
      <w:r w:rsidR="00082D39">
        <w:rPr>
          <w:sz w:val="24"/>
          <w:szCs w:val="24"/>
          <w:lang w:val="en-US"/>
        </w:rPr>
        <w:t>that can be attributed</w:t>
      </w:r>
      <w:r w:rsidR="009F307D">
        <w:rPr>
          <w:sz w:val="24"/>
          <w:szCs w:val="24"/>
          <w:lang w:val="en-US"/>
        </w:rPr>
        <w:t xml:space="preserve"> to the lack of a standard method for </w:t>
      </w:r>
      <w:r w:rsidR="00082D39">
        <w:rPr>
          <w:sz w:val="24"/>
          <w:szCs w:val="24"/>
          <w:lang w:val="en-US"/>
        </w:rPr>
        <w:t xml:space="preserve">scan </w:t>
      </w:r>
      <w:r w:rsidR="009F307D">
        <w:rPr>
          <w:sz w:val="24"/>
          <w:szCs w:val="24"/>
          <w:lang w:val="en-US"/>
        </w:rPr>
        <w:t xml:space="preserve">reading and </w:t>
      </w:r>
      <w:r w:rsidR="00082D39">
        <w:rPr>
          <w:sz w:val="24"/>
          <w:szCs w:val="24"/>
          <w:lang w:val="en-US"/>
        </w:rPr>
        <w:t>of a standard</w:t>
      </w:r>
      <w:r w:rsidR="009F307D">
        <w:rPr>
          <w:sz w:val="24"/>
          <w:szCs w:val="24"/>
          <w:lang w:val="en-US"/>
        </w:rPr>
        <w:t xml:space="preserve"> threshold for positivity (Garibotto et al., in this issue).</w:t>
      </w:r>
    </w:p>
    <w:p w14:paraId="53FABB1D" w14:textId="3B2AED98" w:rsidR="009F6D9D" w:rsidRDefault="009F6D9D" w:rsidP="00A83B7C">
      <w:pPr>
        <w:spacing w:after="0" w:line="480" w:lineRule="auto"/>
        <w:rPr>
          <w:sz w:val="24"/>
          <w:szCs w:val="24"/>
          <w:lang w:val="en-US"/>
        </w:rPr>
      </w:pPr>
      <w:r>
        <w:rPr>
          <w:sz w:val="24"/>
          <w:szCs w:val="24"/>
          <w:lang w:val="en-US"/>
        </w:rPr>
        <w:t xml:space="preserve">The framework proposed here is of course open to dynamic </w:t>
      </w:r>
      <w:r w:rsidR="00701008">
        <w:rPr>
          <w:sz w:val="24"/>
          <w:szCs w:val="24"/>
          <w:lang w:val="en-US"/>
        </w:rPr>
        <w:t xml:space="preserve">and reciprocal </w:t>
      </w:r>
      <w:r>
        <w:rPr>
          <w:sz w:val="24"/>
          <w:szCs w:val="24"/>
          <w:lang w:val="en-US"/>
        </w:rPr>
        <w:t xml:space="preserve">interaction </w:t>
      </w:r>
      <w:r w:rsidR="00701008">
        <w:rPr>
          <w:sz w:val="24"/>
          <w:szCs w:val="24"/>
          <w:lang w:val="en-US"/>
        </w:rPr>
        <w:t>with the whole body of research currently performed. For example, large studies including the investigation of the natural history of AD (see as ongoing examples EPAD</w:t>
      </w:r>
      <w:r w:rsidR="00E32CF3">
        <w:rPr>
          <w:sz w:val="24"/>
          <w:szCs w:val="24"/>
          <w:lang w:val="en-US"/>
        </w:rPr>
        <w:t xml:space="preserve"> - </w:t>
      </w:r>
      <w:hyperlink r:id="rId8" w:history="1">
        <w:r w:rsidR="00E32CF3" w:rsidRPr="00D24CA4">
          <w:rPr>
            <w:rStyle w:val="Collegamentoipertestuale"/>
            <w:sz w:val="24"/>
            <w:szCs w:val="24"/>
            <w:lang w:val="en-US"/>
          </w:rPr>
          <w:t>http://ep-ad.org/</w:t>
        </w:r>
      </w:hyperlink>
      <w:r w:rsidR="00E32CF3">
        <w:rPr>
          <w:sz w:val="24"/>
          <w:szCs w:val="24"/>
          <w:lang w:val="en-US"/>
        </w:rPr>
        <w:t xml:space="preserve"> -</w:t>
      </w:r>
      <w:r w:rsidR="00701008">
        <w:rPr>
          <w:sz w:val="24"/>
          <w:szCs w:val="24"/>
          <w:lang w:val="en-US"/>
        </w:rPr>
        <w:t xml:space="preserve"> and AMYPAD</w:t>
      </w:r>
      <w:r w:rsidR="00E32CF3">
        <w:rPr>
          <w:sz w:val="24"/>
          <w:szCs w:val="24"/>
          <w:lang w:val="en-US"/>
        </w:rPr>
        <w:t xml:space="preserve"> - </w:t>
      </w:r>
      <w:hyperlink r:id="rId9" w:history="1">
        <w:r w:rsidR="00E32CF3" w:rsidRPr="00D24CA4">
          <w:rPr>
            <w:rStyle w:val="Collegamentoipertestuale"/>
            <w:sz w:val="24"/>
            <w:szCs w:val="24"/>
            <w:lang w:val="en-US"/>
          </w:rPr>
          <w:t>http://www.amypad.eu/</w:t>
        </w:r>
      </w:hyperlink>
      <w:r w:rsidR="00E32CF3">
        <w:rPr>
          <w:sz w:val="24"/>
          <w:szCs w:val="24"/>
          <w:lang w:val="en-US"/>
        </w:rPr>
        <w:t xml:space="preserve"> </w:t>
      </w:r>
      <w:r w:rsidR="00701008">
        <w:rPr>
          <w:sz w:val="24"/>
          <w:szCs w:val="24"/>
          <w:lang w:val="en-US"/>
        </w:rPr>
        <w:t>)</w:t>
      </w:r>
      <w:r w:rsidR="00CC7D04">
        <w:rPr>
          <w:sz w:val="24"/>
          <w:szCs w:val="24"/>
          <w:lang w:val="en-US"/>
        </w:rPr>
        <w:t xml:space="preserve"> can </w:t>
      </w:r>
      <w:r w:rsidR="00B02295">
        <w:rPr>
          <w:sz w:val="24"/>
          <w:szCs w:val="24"/>
          <w:lang w:val="en-US"/>
        </w:rPr>
        <w:t xml:space="preserve">highlight and guide research for investigating the prognostic features of the disease detected by the biomarker </w:t>
      </w:r>
      <w:r w:rsidR="00531008">
        <w:rPr>
          <w:sz w:val="24"/>
          <w:szCs w:val="24"/>
          <w:lang w:val="en-US"/>
        </w:rPr>
        <w:t xml:space="preserve">(Phase 4, SA 1) </w:t>
      </w:r>
      <w:r w:rsidR="00B02295">
        <w:rPr>
          <w:sz w:val="24"/>
          <w:szCs w:val="24"/>
          <w:lang w:val="en-US"/>
        </w:rPr>
        <w:t xml:space="preserve">and </w:t>
      </w:r>
      <w:r w:rsidR="00531008">
        <w:rPr>
          <w:sz w:val="24"/>
          <w:szCs w:val="24"/>
          <w:lang w:val="en-US"/>
        </w:rPr>
        <w:t>may</w:t>
      </w:r>
      <w:r w:rsidR="00B02295">
        <w:rPr>
          <w:sz w:val="24"/>
          <w:szCs w:val="24"/>
          <w:lang w:val="en-US"/>
        </w:rPr>
        <w:t xml:space="preserve">, in turn, be influenced by our framework to structure the </w:t>
      </w:r>
      <w:r w:rsidR="0004524D">
        <w:rPr>
          <w:sz w:val="24"/>
          <w:szCs w:val="24"/>
          <w:lang w:val="en-US"/>
        </w:rPr>
        <w:t xml:space="preserve">aims and </w:t>
      </w:r>
      <w:r w:rsidR="00B02295">
        <w:rPr>
          <w:sz w:val="24"/>
          <w:szCs w:val="24"/>
          <w:lang w:val="en-US"/>
        </w:rPr>
        <w:t>sequence of investigations within the study.</w:t>
      </w:r>
      <w:r w:rsidR="007565D0">
        <w:rPr>
          <w:sz w:val="24"/>
          <w:szCs w:val="24"/>
          <w:lang w:val="en-US"/>
        </w:rPr>
        <w:t xml:space="preserve"> Moreover, </w:t>
      </w:r>
      <w:r w:rsidR="007256E9" w:rsidRPr="007256E9">
        <w:rPr>
          <w:sz w:val="24"/>
          <w:szCs w:val="24"/>
          <w:lang w:val="en-US"/>
        </w:rPr>
        <w:t xml:space="preserve">our increasing knowledge of AD is pointing out that its different components may be heterogeneously present in different individuals, or appear with different </w:t>
      </w:r>
      <w:r w:rsidR="007256E9" w:rsidRPr="007256E9">
        <w:rPr>
          <w:sz w:val="24"/>
          <w:szCs w:val="24"/>
          <w:lang w:val="en-US"/>
        </w:rPr>
        <w:lastRenderedPageBreak/>
        <w:t>sequence in time (Jack et al., 2013; Jack et al., 2016). Our framework refers to AD as a unitary pathophysiological process defined by presence of both amyloid and tau pathology. However, we believe that the proper validation of each individual biomarker with respect to the specific phenomenon that it is meant to measure guarantees its effectiveness independently on our future conceptualization of AD as a possibly more heterogeneous disorder. Indeed</w:t>
      </w:r>
      <w:r w:rsidR="00176ECA">
        <w:rPr>
          <w:sz w:val="24"/>
          <w:szCs w:val="24"/>
          <w:lang w:val="en-US"/>
        </w:rPr>
        <w:t>,</w:t>
      </w:r>
      <w:r w:rsidR="007256E9" w:rsidRPr="007256E9">
        <w:rPr>
          <w:sz w:val="24"/>
          <w:szCs w:val="24"/>
          <w:lang w:val="en-US"/>
        </w:rPr>
        <w:t xml:space="preserve"> this happened in the field of oncology, where the proper development of biomarkers (following the framework that inspired </w:t>
      </w:r>
      <w:r w:rsidR="002C2A82">
        <w:rPr>
          <w:sz w:val="24"/>
          <w:szCs w:val="24"/>
          <w:lang w:val="en-US"/>
        </w:rPr>
        <w:t>this</w:t>
      </w:r>
      <w:r w:rsidR="007256E9" w:rsidRPr="007256E9">
        <w:rPr>
          <w:sz w:val="24"/>
          <w:szCs w:val="24"/>
          <w:lang w:val="en-US"/>
        </w:rPr>
        <w:t xml:space="preserve"> initiative) indeed led to the current models of precision medicine that are proving increasingly effective in cancer therapy.</w:t>
      </w:r>
    </w:p>
    <w:p w14:paraId="54E93694" w14:textId="77777777" w:rsidR="00580877" w:rsidRDefault="004D60A0" w:rsidP="00A83B7C">
      <w:pPr>
        <w:spacing w:after="0" w:line="480" w:lineRule="auto"/>
        <w:rPr>
          <w:sz w:val="24"/>
          <w:szCs w:val="24"/>
          <w:lang w:val="en-US"/>
        </w:rPr>
      </w:pPr>
      <w:r>
        <w:rPr>
          <w:sz w:val="24"/>
          <w:szCs w:val="24"/>
          <w:lang w:val="en-US"/>
        </w:rPr>
        <w:t>Since</w:t>
      </w:r>
      <w:r w:rsidR="00101768">
        <w:rPr>
          <w:sz w:val="24"/>
          <w:szCs w:val="24"/>
          <w:lang w:val="en-US"/>
        </w:rPr>
        <w:t xml:space="preserve"> we recommend that</w:t>
      </w:r>
      <w:r w:rsidR="00667D63" w:rsidRPr="00CD0D03">
        <w:rPr>
          <w:sz w:val="24"/>
          <w:szCs w:val="24"/>
          <w:lang w:val="en-US"/>
        </w:rPr>
        <w:t xml:space="preserve"> dementia and MCI screening in the general population should be discouraged</w:t>
      </w:r>
      <w:r w:rsidR="00101768">
        <w:rPr>
          <w:sz w:val="24"/>
          <w:szCs w:val="24"/>
          <w:lang w:val="en-US"/>
        </w:rPr>
        <w:t xml:space="preserve"> (Wimo and Winblad, 2015)</w:t>
      </w:r>
      <w:r w:rsidR="00667D63" w:rsidRPr="00CD0D03">
        <w:rPr>
          <w:sz w:val="24"/>
          <w:szCs w:val="24"/>
          <w:lang w:val="en-US"/>
        </w:rPr>
        <w:t xml:space="preserve">, </w:t>
      </w:r>
      <w:r w:rsidR="00E70173" w:rsidRPr="00CD0D03">
        <w:rPr>
          <w:sz w:val="24"/>
          <w:szCs w:val="24"/>
          <w:lang w:val="en-US"/>
        </w:rPr>
        <w:t>we</w:t>
      </w:r>
      <w:r w:rsidR="00B41479" w:rsidRPr="00CD0D03">
        <w:rPr>
          <w:sz w:val="24"/>
          <w:szCs w:val="24"/>
          <w:lang w:val="en-US"/>
        </w:rPr>
        <w:t xml:space="preserve"> have </w:t>
      </w:r>
      <w:r w:rsidR="00667D63" w:rsidRPr="00CD0D03">
        <w:rPr>
          <w:sz w:val="24"/>
          <w:szCs w:val="24"/>
          <w:lang w:val="en-US"/>
        </w:rPr>
        <w:t>intentionally</w:t>
      </w:r>
      <w:r w:rsidR="00B41479" w:rsidRPr="00CD0D03">
        <w:rPr>
          <w:sz w:val="24"/>
          <w:szCs w:val="24"/>
          <w:lang w:val="en-US"/>
        </w:rPr>
        <w:t xml:space="preserve"> </w:t>
      </w:r>
      <w:r w:rsidR="005A08B9" w:rsidRPr="00CD0D03">
        <w:rPr>
          <w:sz w:val="24"/>
          <w:szCs w:val="24"/>
          <w:lang w:val="en-US"/>
        </w:rPr>
        <w:t>focused on clinical samples</w:t>
      </w:r>
      <w:r w:rsidR="00667D63" w:rsidRPr="00CD0D03">
        <w:rPr>
          <w:sz w:val="24"/>
          <w:szCs w:val="24"/>
          <w:lang w:val="en-US"/>
        </w:rPr>
        <w:t>. Nevertheless,</w:t>
      </w:r>
      <w:r w:rsidR="005A08B9" w:rsidRPr="00CD0D03">
        <w:rPr>
          <w:sz w:val="24"/>
          <w:szCs w:val="24"/>
          <w:lang w:val="en-US"/>
        </w:rPr>
        <w:t xml:space="preserve"> future applications of the framework do not exclude epidemiological studies conducted in representative population-based samples of community dwelling healthy asymptomatic older adults. </w:t>
      </w:r>
      <w:r w:rsidR="00F415E1">
        <w:rPr>
          <w:sz w:val="24"/>
          <w:szCs w:val="24"/>
          <w:lang w:val="en-US"/>
        </w:rPr>
        <w:t>T</w:t>
      </w:r>
      <w:r w:rsidR="00823B46" w:rsidRPr="00CD0D03">
        <w:rPr>
          <w:sz w:val="24"/>
          <w:szCs w:val="24"/>
          <w:lang w:val="en-US"/>
        </w:rPr>
        <w:t xml:space="preserve">his </w:t>
      </w:r>
      <w:r w:rsidR="0066196B" w:rsidRPr="00CD0D03">
        <w:rPr>
          <w:sz w:val="24"/>
          <w:szCs w:val="24"/>
          <w:lang w:val="en-US"/>
        </w:rPr>
        <w:t>is the most</w:t>
      </w:r>
      <w:r w:rsidR="00823B46" w:rsidRPr="00CD0D03">
        <w:rPr>
          <w:sz w:val="24"/>
          <w:szCs w:val="24"/>
          <w:lang w:val="en-US"/>
        </w:rPr>
        <w:t xml:space="preserve"> desirable </w:t>
      </w:r>
      <w:r w:rsidR="0066196B" w:rsidRPr="00CD0D03">
        <w:rPr>
          <w:sz w:val="24"/>
          <w:szCs w:val="24"/>
          <w:lang w:val="en-US"/>
        </w:rPr>
        <w:t>final endpoint,</w:t>
      </w:r>
      <w:r w:rsidR="00823B46" w:rsidRPr="00CD0D03">
        <w:rPr>
          <w:sz w:val="24"/>
          <w:szCs w:val="24"/>
          <w:lang w:val="en-US"/>
        </w:rPr>
        <w:t xml:space="preserve"> </w:t>
      </w:r>
      <w:r w:rsidR="00257981" w:rsidRPr="00CD0D03">
        <w:rPr>
          <w:sz w:val="24"/>
          <w:szCs w:val="24"/>
          <w:lang w:val="en-US"/>
        </w:rPr>
        <w:t xml:space="preserve">especially </w:t>
      </w:r>
      <w:r w:rsidR="00B41479" w:rsidRPr="00CD0D03">
        <w:rPr>
          <w:sz w:val="24"/>
          <w:szCs w:val="24"/>
          <w:lang w:val="en-US"/>
        </w:rPr>
        <w:t>considering</w:t>
      </w:r>
      <w:r w:rsidR="00257981" w:rsidRPr="00CD0D03">
        <w:rPr>
          <w:sz w:val="24"/>
          <w:szCs w:val="24"/>
          <w:lang w:val="en-US"/>
        </w:rPr>
        <w:t xml:space="preserve"> future availability of</w:t>
      </w:r>
      <w:r w:rsidR="001D2639" w:rsidRPr="00CD0D03">
        <w:rPr>
          <w:sz w:val="24"/>
          <w:szCs w:val="24"/>
          <w:lang w:val="en-US"/>
        </w:rPr>
        <w:t xml:space="preserve"> disease-modif</w:t>
      </w:r>
      <w:r w:rsidR="00B41479" w:rsidRPr="00CD0D03">
        <w:rPr>
          <w:sz w:val="24"/>
          <w:szCs w:val="24"/>
          <w:lang w:val="en-US"/>
        </w:rPr>
        <w:t>ying drugs</w:t>
      </w:r>
      <w:r w:rsidR="008C6A48" w:rsidRPr="00CD0D03">
        <w:rPr>
          <w:sz w:val="24"/>
          <w:szCs w:val="24"/>
          <w:lang w:val="en-US"/>
        </w:rPr>
        <w:t xml:space="preserve">. </w:t>
      </w:r>
      <w:r w:rsidR="009254D1" w:rsidRPr="00CD0D03">
        <w:rPr>
          <w:sz w:val="24"/>
          <w:szCs w:val="24"/>
          <w:lang w:val="en-US"/>
        </w:rPr>
        <w:t xml:space="preserve">The fact that </w:t>
      </w:r>
      <w:r w:rsidR="00823B46" w:rsidRPr="00CD0D03">
        <w:rPr>
          <w:sz w:val="24"/>
          <w:szCs w:val="24"/>
          <w:lang w:val="en-US"/>
        </w:rPr>
        <w:t xml:space="preserve">the pathological hallmarks defining AD </w:t>
      </w:r>
      <w:r w:rsidR="009254D1" w:rsidRPr="00CD0D03">
        <w:rPr>
          <w:sz w:val="24"/>
          <w:szCs w:val="24"/>
          <w:lang w:val="en-US"/>
        </w:rPr>
        <w:t xml:space="preserve">may </w:t>
      </w:r>
      <w:r w:rsidR="00823B46" w:rsidRPr="00CD0D03">
        <w:rPr>
          <w:sz w:val="24"/>
          <w:szCs w:val="24"/>
          <w:lang w:val="en-US"/>
        </w:rPr>
        <w:t xml:space="preserve">be detected long before its clinical expression, and that many clinical trials failed possibly due to late interventions </w:t>
      </w:r>
      <w:r w:rsidR="009254D1" w:rsidRPr="00CD0D03">
        <w:rPr>
          <w:sz w:val="24"/>
          <w:szCs w:val="24"/>
          <w:lang w:val="en-US"/>
        </w:rPr>
        <w:t>pose a strong rationale for pursuing a future, medium term goal of using biomarkers for</w:t>
      </w:r>
      <w:r w:rsidR="00823B46" w:rsidRPr="00CD0D03">
        <w:rPr>
          <w:sz w:val="24"/>
          <w:szCs w:val="24"/>
          <w:lang w:val="en-US"/>
        </w:rPr>
        <w:t xml:space="preserve"> preclinical diagnosis</w:t>
      </w:r>
      <w:r w:rsidR="009254D1" w:rsidRPr="00CD0D03">
        <w:rPr>
          <w:sz w:val="24"/>
          <w:szCs w:val="24"/>
          <w:lang w:val="en-US"/>
        </w:rPr>
        <w:t xml:space="preserve"> of AD. </w:t>
      </w:r>
      <w:r w:rsidR="00580877">
        <w:rPr>
          <w:sz w:val="24"/>
          <w:szCs w:val="24"/>
          <w:lang w:val="en-US"/>
        </w:rPr>
        <w:t>To achieve this end, the practical steps aimed to implement the present framework to the field of preclinical AD would be analogous to those that we have undertaken for MCI, i.e.: I) perform surveys of available literature on asymptomatic individuals, II) outline research priorities, and III) set new studies following the sequential steps outlined by this framework.</w:t>
      </w:r>
      <w:r w:rsidR="008C2448">
        <w:rPr>
          <w:sz w:val="24"/>
          <w:szCs w:val="24"/>
          <w:lang w:val="en-US"/>
        </w:rPr>
        <w:t xml:space="preserve"> Also in this case, a</w:t>
      </w:r>
      <w:r w:rsidR="00580877">
        <w:rPr>
          <w:sz w:val="24"/>
          <w:szCs w:val="24"/>
          <w:lang w:val="en-US"/>
        </w:rPr>
        <w:t xml:space="preserve">ttention should be paid to accurately distinguish the population of interest, as different population would convey different </w:t>
      </w:r>
      <w:r w:rsidR="00AF59D3" w:rsidRPr="004863FE">
        <w:rPr>
          <w:i/>
          <w:sz w:val="24"/>
          <w:szCs w:val="24"/>
          <w:lang w:val="en-US"/>
        </w:rPr>
        <w:t>a priori</w:t>
      </w:r>
      <w:r w:rsidR="00580877">
        <w:rPr>
          <w:sz w:val="24"/>
          <w:szCs w:val="24"/>
          <w:lang w:val="en-US"/>
        </w:rPr>
        <w:t xml:space="preserve"> probability of AD, which would bias results about biomarkers efficiency. For example, population at risk for AD (for being carriers of the ApoE4 allele, or due to recurrent cases in the family), or preclinical AD (for being carriers of dominant </w:t>
      </w:r>
      <w:r w:rsidR="00580877">
        <w:rPr>
          <w:sz w:val="24"/>
          <w:szCs w:val="24"/>
          <w:lang w:val="en-US"/>
        </w:rPr>
        <w:lastRenderedPageBreak/>
        <w:t>mutation causing AD), or SCI subjects</w:t>
      </w:r>
      <w:r w:rsidR="00F22877">
        <w:rPr>
          <w:sz w:val="24"/>
          <w:szCs w:val="24"/>
          <w:lang w:val="en-US"/>
        </w:rPr>
        <w:t xml:space="preserve"> (Jessen et al., 2014)</w:t>
      </w:r>
      <w:r w:rsidR="008C2448">
        <w:rPr>
          <w:sz w:val="24"/>
          <w:szCs w:val="24"/>
          <w:lang w:val="en-US"/>
        </w:rPr>
        <w:t xml:space="preserve"> may all heterogeneously differ from the general population. </w:t>
      </w:r>
      <w:proofErr w:type="gramStart"/>
      <w:r w:rsidR="008C2448">
        <w:rPr>
          <w:sz w:val="24"/>
          <w:szCs w:val="24"/>
          <w:lang w:val="en-US"/>
        </w:rPr>
        <w:t>Thus</w:t>
      </w:r>
      <w:proofErr w:type="gramEnd"/>
      <w:r w:rsidR="008C2448">
        <w:rPr>
          <w:sz w:val="24"/>
          <w:szCs w:val="24"/>
          <w:lang w:val="en-US"/>
        </w:rPr>
        <w:t xml:space="preserve"> the performance of biomarker test aimed to population screening should be examined in real population-based cohort and may not benefit of data already collected using samples from asymptomatic subjects conveying specific risk for AD, that are frequently investigated</w:t>
      </w:r>
      <w:r w:rsidR="008C2448" w:rsidRPr="008C2448">
        <w:rPr>
          <w:sz w:val="24"/>
          <w:szCs w:val="24"/>
          <w:lang w:val="en-US"/>
        </w:rPr>
        <w:t xml:space="preserve"> </w:t>
      </w:r>
      <w:r w:rsidR="008C2448">
        <w:rPr>
          <w:sz w:val="24"/>
          <w:szCs w:val="24"/>
          <w:lang w:val="en-US"/>
        </w:rPr>
        <w:t>nowadays.</w:t>
      </w:r>
    </w:p>
    <w:p w14:paraId="11DFACF3" w14:textId="77777777" w:rsidR="00380BA4" w:rsidRDefault="00B47D21" w:rsidP="00A83B7C">
      <w:pPr>
        <w:spacing w:after="0" w:line="480" w:lineRule="auto"/>
        <w:rPr>
          <w:sz w:val="24"/>
          <w:szCs w:val="24"/>
          <w:lang w:val="en-US"/>
        </w:rPr>
      </w:pPr>
      <w:r>
        <w:rPr>
          <w:sz w:val="24"/>
          <w:szCs w:val="24"/>
          <w:lang w:val="en-US"/>
        </w:rPr>
        <w:t xml:space="preserve">The approach proposed </w:t>
      </w:r>
      <w:r w:rsidR="009254D1" w:rsidRPr="00CD0D03">
        <w:rPr>
          <w:sz w:val="24"/>
          <w:szCs w:val="24"/>
          <w:lang w:val="en-US"/>
        </w:rPr>
        <w:t xml:space="preserve">in this </w:t>
      </w:r>
      <w:r>
        <w:rPr>
          <w:sz w:val="24"/>
          <w:szCs w:val="24"/>
          <w:lang w:val="en-US"/>
        </w:rPr>
        <w:t>manuscript</w:t>
      </w:r>
      <w:r w:rsidRPr="00CD0D03">
        <w:rPr>
          <w:sz w:val="24"/>
          <w:szCs w:val="24"/>
          <w:lang w:val="en-US"/>
        </w:rPr>
        <w:t xml:space="preserve"> </w:t>
      </w:r>
      <w:r w:rsidR="009254D1" w:rsidRPr="00CD0D03">
        <w:rPr>
          <w:sz w:val="24"/>
          <w:szCs w:val="24"/>
          <w:lang w:val="en-US"/>
        </w:rPr>
        <w:t xml:space="preserve">guarantees </w:t>
      </w:r>
      <w:r>
        <w:rPr>
          <w:sz w:val="24"/>
          <w:szCs w:val="24"/>
          <w:lang w:val="en-US"/>
        </w:rPr>
        <w:t>that the</w:t>
      </w:r>
      <w:r w:rsidRPr="00CD0D03">
        <w:rPr>
          <w:sz w:val="24"/>
          <w:szCs w:val="24"/>
          <w:lang w:val="en-US"/>
        </w:rPr>
        <w:t xml:space="preserve"> </w:t>
      </w:r>
      <w:r w:rsidR="009254D1" w:rsidRPr="00CD0D03">
        <w:rPr>
          <w:sz w:val="24"/>
          <w:szCs w:val="24"/>
          <w:lang w:val="en-US"/>
        </w:rPr>
        <w:t>use of AD biomarkers will not lead to over</w:t>
      </w:r>
      <w:r w:rsidR="00CD3F02">
        <w:rPr>
          <w:sz w:val="24"/>
          <w:szCs w:val="24"/>
          <w:lang w:val="en-US"/>
        </w:rPr>
        <w:t>-</w:t>
      </w:r>
      <w:r w:rsidR="009254D1" w:rsidRPr="00CD0D03">
        <w:rPr>
          <w:sz w:val="24"/>
          <w:szCs w:val="24"/>
          <w:lang w:val="en-US"/>
        </w:rPr>
        <w:t xml:space="preserve">diagnosis </w:t>
      </w:r>
      <w:r w:rsidR="00FF269B" w:rsidRPr="00CD0D03">
        <w:rPr>
          <w:sz w:val="24"/>
          <w:szCs w:val="24"/>
          <w:lang w:val="en-US"/>
        </w:rPr>
        <w:t xml:space="preserve">(Moynihan </w:t>
      </w:r>
      <w:r w:rsidR="00965902" w:rsidRPr="00CD0D03">
        <w:rPr>
          <w:i/>
          <w:sz w:val="24"/>
          <w:szCs w:val="24"/>
          <w:lang w:val="en-US"/>
        </w:rPr>
        <w:t>et al</w:t>
      </w:r>
      <w:r w:rsidR="00FF269B" w:rsidRPr="00CD0D03">
        <w:rPr>
          <w:sz w:val="24"/>
          <w:szCs w:val="24"/>
          <w:lang w:val="en-US"/>
        </w:rPr>
        <w:t xml:space="preserve">., 2012) </w:t>
      </w:r>
      <w:r w:rsidR="009254D1" w:rsidRPr="00CD0D03">
        <w:rPr>
          <w:sz w:val="24"/>
          <w:szCs w:val="24"/>
          <w:lang w:val="en-US"/>
        </w:rPr>
        <w:t xml:space="preserve">and will not divert precious resources that </w:t>
      </w:r>
      <w:r w:rsidR="005A08B9" w:rsidRPr="00CD0D03">
        <w:rPr>
          <w:sz w:val="24"/>
          <w:szCs w:val="24"/>
          <w:lang w:val="en-US"/>
        </w:rPr>
        <w:t xml:space="preserve">should </w:t>
      </w:r>
      <w:r w:rsidR="00F415E1" w:rsidRPr="00CD0D03">
        <w:rPr>
          <w:sz w:val="24"/>
          <w:szCs w:val="24"/>
          <w:lang w:val="en-US"/>
        </w:rPr>
        <w:t>prioritize</w:t>
      </w:r>
      <w:r w:rsidR="005A08B9" w:rsidRPr="00CD0D03">
        <w:rPr>
          <w:sz w:val="24"/>
          <w:szCs w:val="24"/>
          <w:lang w:val="en-US"/>
        </w:rPr>
        <w:t xml:space="preserve"> health and social care aimed at</w:t>
      </w:r>
      <w:r w:rsidR="009254D1" w:rsidRPr="00CD0D03">
        <w:rPr>
          <w:sz w:val="24"/>
          <w:szCs w:val="24"/>
          <w:lang w:val="en-US"/>
        </w:rPr>
        <w:t xml:space="preserve"> improv</w:t>
      </w:r>
      <w:r w:rsidR="005A08B9" w:rsidRPr="00CD0D03">
        <w:rPr>
          <w:sz w:val="24"/>
          <w:szCs w:val="24"/>
          <w:lang w:val="en-US"/>
        </w:rPr>
        <w:t>ing</w:t>
      </w:r>
      <w:r w:rsidR="009254D1" w:rsidRPr="00CD0D03">
        <w:rPr>
          <w:sz w:val="24"/>
          <w:szCs w:val="24"/>
          <w:lang w:val="en-US"/>
        </w:rPr>
        <w:t xml:space="preserve"> the quality of life of MCI patients</w:t>
      </w:r>
      <w:r w:rsidR="005A08B9" w:rsidRPr="00CD0D03">
        <w:rPr>
          <w:sz w:val="24"/>
          <w:szCs w:val="24"/>
          <w:lang w:val="en-US"/>
        </w:rPr>
        <w:t xml:space="preserve"> who may develop dementia, and their families</w:t>
      </w:r>
      <w:r w:rsidR="009254D1" w:rsidRPr="00CD0D03">
        <w:rPr>
          <w:sz w:val="24"/>
          <w:szCs w:val="24"/>
          <w:lang w:val="en-US"/>
        </w:rPr>
        <w:t>.</w:t>
      </w:r>
    </w:p>
    <w:p w14:paraId="4CFAB04E" w14:textId="77777777" w:rsidR="000611E0" w:rsidRPr="00CD0D03" w:rsidRDefault="000611E0" w:rsidP="00A83B7C">
      <w:pPr>
        <w:spacing w:after="0" w:line="480" w:lineRule="auto"/>
        <w:rPr>
          <w:sz w:val="24"/>
          <w:szCs w:val="24"/>
          <w:lang w:val="en-US"/>
        </w:rPr>
      </w:pPr>
    </w:p>
    <w:p w14:paraId="484A8BDC" w14:textId="77777777" w:rsidR="009B57B0" w:rsidRPr="009B57B0" w:rsidRDefault="009B57B0" w:rsidP="009B57B0">
      <w:pPr>
        <w:spacing w:line="480" w:lineRule="auto"/>
        <w:rPr>
          <w:i/>
          <w:sz w:val="24"/>
          <w:szCs w:val="24"/>
          <w:lang w:val="en-US"/>
        </w:rPr>
      </w:pPr>
      <w:r w:rsidRPr="009B57B0">
        <w:rPr>
          <w:i/>
          <w:sz w:val="24"/>
          <w:szCs w:val="24"/>
          <w:lang w:val="en-US"/>
        </w:rPr>
        <w:t>5. Glossary</w:t>
      </w:r>
    </w:p>
    <w:p w14:paraId="6EE4437F" w14:textId="77777777" w:rsidR="009B57B0" w:rsidRPr="00CD0D03" w:rsidRDefault="009B57B0" w:rsidP="009B57B0">
      <w:pPr>
        <w:spacing w:line="480" w:lineRule="auto"/>
        <w:rPr>
          <w:sz w:val="24"/>
          <w:szCs w:val="24"/>
          <w:lang w:val="en-US"/>
        </w:rPr>
      </w:pPr>
      <w:r w:rsidRPr="00CD0D03">
        <w:rPr>
          <w:sz w:val="24"/>
          <w:szCs w:val="24"/>
          <w:lang w:val="en-US"/>
        </w:rPr>
        <w:t>Alzheimer’s dementia. The clinical syndrome featuring acquired and progressive cognitive impairment associated with functional disability as defined by the NINCDS-ADRDA criteria (McK</w:t>
      </w:r>
      <w:r>
        <w:rPr>
          <w:sz w:val="24"/>
          <w:szCs w:val="24"/>
          <w:lang w:val="en-US"/>
        </w:rPr>
        <w:t>h</w:t>
      </w:r>
      <w:r w:rsidRPr="00CD0D03">
        <w:rPr>
          <w:sz w:val="24"/>
          <w:szCs w:val="24"/>
          <w:lang w:val="en-US"/>
        </w:rPr>
        <w:t xml:space="preserve">ann </w:t>
      </w:r>
      <w:r w:rsidRPr="00CD0D03">
        <w:rPr>
          <w:i/>
          <w:sz w:val="24"/>
          <w:szCs w:val="24"/>
          <w:lang w:val="en-US"/>
        </w:rPr>
        <w:t>et al</w:t>
      </w:r>
      <w:r w:rsidRPr="00CD0D03">
        <w:rPr>
          <w:sz w:val="24"/>
          <w:szCs w:val="24"/>
          <w:lang w:val="en-US"/>
        </w:rPr>
        <w:t>., 1984). Sixty-five to 80% of cases have Alzheimer’s pathology (plaques and tangles) and have Alzheimer’s disease. The diagnosis of Alzheimer’s disease dementia can be achieved in vivo by demonstrating positivity to biomarkers of Alzheimer’s pathology (decreased Abeta42 and increased tau and phospho-tau in the CSF, and increased uptake of amyloid and tau ligands on PET) (McK</w:t>
      </w:r>
      <w:r>
        <w:rPr>
          <w:sz w:val="24"/>
          <w:szCs w:val="24"/>
          <w:lang w:val="en-US"/>
        </w:rPr>
        <w:t>h</w:t>
      </w:r>
      <w:r w:rsidRPr="00CD0D03">
        <w:rPr>
          <w:sz w:val="24"/>
          <w:szCs w:val="24"/>
          <w:lang w:val="en-US"/>
        </w:rPr>
        <w:t xml:space="preserve">ann </w:t>
      </w:r>
      <w:r w:rsidRPr="00CD0D03">
        <w:rPr>
          <w:i/>
          <w:sz w:val="24"/>
          <w:szCs w:val="24"/>
          <w:lang w:val="en-US"/>
        </w:rPr>
        <w:t>et al</w:t>
      </w:r>
      <w:r w:rsidRPr="00CD0D03">
        <w:rPr>
          <w:sz w:val="24"/>
          <w:szCs w:val="24"/>
          <w:lang w:val="en-US"/>
        </w:rPr>
        <w:t>., 2011).</w:t>
      </w:r>
    </w:p>
    <w:p w14:paraId="45FE5167" w14:textId="77777777" w:rsidR="009B57B0" w:rsidRPr="00CD0D03" w:rsidRDefault="009B57B0" w:rsidP="009B57B0">
      <w:pPr>
        <w:spacing w:line="480" w:lineRule="auto"/>
        <w:rPr>
          <w:sz w:val="24"/>
          <w:szCs w:val="24"/>
          <w:lang w:val="en-US"/>
        </w:rPr>
      </w:pPr>
      <w:r w:rsidRPr="00CD0D03">
        <w:rPr>
          <w:sz w:val="24"/>
          <w:szCs w:val="24"/>
          <w:lang w:val="en-US"/>
        </w:rPr>
        <w:t xml:space="preserve">Alzheimer’s disease. Alzheimer’s pathology (plaques and tangles) isolated or associated with clinical symptoms (Dubois </w:t>
      </w:r>
      <w:r w:rsidRPr="00CD0D03">
        <w:rPr>
          <w:i/>
          <w:sz w:val="24"/>
          <w:szCs w:val="24"/>
          <w:lang w:val="en-US"/>
        </w:rPr>
        <w:t>et al</w:t>
      </w:r>
      <w:r w:rsidRPr="00CD0D03">
        <w:rPr>
          <w:sz w:val="24"/>
          <w:szCs w:val="24"/>
          <w:lang w:val="en-US"/>
        </w:rPr>
        <w:t xml:space="preserve">., 2016). </w:t>
      </w:r>
    </w:p>
    <w:p w14:paraId="4885B668" w14:textId="77777777" w:rsidR="009B57B0" w:rsidRPr="00CD0D03" w:rsidRDefault="009B57B0" w:rsidP="009B57B0">
      <w:pPr>
        <w:spacing w:line="480" w:lineRule="auto"/>
        <w:rPr>
          <w:sz w:val="24"/>
          <w:szCs w:val="24"/>
          <w:lang w:val="en-US"/>
        </w:rPr>
      </w:pPr>
      <w:r w:rsidRPr="00CD0D03">
        <w:rPr>
          <w:sz w:val="24"/>
          <w:szCs w:val="24"/>
          <w:lang w:val="en-US"/>
        </w:rPr>
        <w:t xml:space="preserve">Alzheimer’s pathology. Extracellular senile plaques and intraneuronal neurofibrillary tangles, made of mainly beta-amyloid and hyperphosphorilated tau protein, respectively. Neurodegenerative changes are usually associated, co-localizing with tangles. The three pathological variants are recognized of typical (limbic and neocortical), limbic predominant, and hippocampal sparing (Murray </w:t>
      </w:r>
      <w:r w:rsidRPr="00CD0D03">
        <w:rPr>
          <w:i/>
          <w:sz w:val="24"/>
          <w:szCs w:val="24"/>
          <w:lang w:val="en-US"/>
        </w:rPr>
        <w:t>et al</w:t>
      </w:r>
      <w:r w:rsidRPr="00CD0D03">
        <w:rPr>
          <w:sz w:val="24"/>
          <w:szCs w:val="24"/>
          <w:lang w:val="en-US"/>
        </w:rPr>
        <w:t>., 2011).</w:t>
      </w:r>
    </w:p>
    <w:p w14:paraId="4CB39364" w14:textId="77777777" w:rsidR="009B57B0" w:rsidRPr="00CD0D03" w:rsidRDefault="009B57B0" w:rsidP="009B57B0">
      <w:pPr>
        <w:spacing w:line="480" w:lineRule="auto"/>
        <w:rPr>
          <w:sz w:val="24"/>
          <w:szCs w:val="24"/>
          <w:lang w:val="en-US"/>
        </w:rPr>
      </w:pPr>
      <w:r w:rsidRPr="00CD0D03">
        <w:rPr>
          <w:sz w:val="24"/>
          <w:szCs w:val="24"/>
          <w:lang w:val="en-US"/>
        </w:rPr>
        <w:lastRenderedPageBreak/>
        <w:t>Biomarker development. The process of discovery, analytical validation, clinical validation, and demonstration of clinical utility. A structured framework has been developed for oncology biomarker development made of the 5 phases of: (i) preclinical exploratory studies; (ii) clinical assay development for overt disease; (iii) prospective retrospective longitudinal repository studies; (iv) prospective case finding studies, and (v) disease control studies (Pepe at al., 2001).</w:t>
      </w:r>
    </w:p>
    <w:p w14:paraId="202A347A" w14:textId="77777777" w:rsidR="009B57B0" w:rsidRPr="00B0052B" w:rsidRDefault="009B57B0" w:rsidP="009B57B0">
      <w:pPr>
        <w:spacing w:line="480" w:lineRule="auto"/>
        <w:rPr>
          <w:sz w:val="24"/>
          <w:szCs w:val="24"/>
          <w:lang w:val="en-US"/>
        </w:rPr>
      </w:pPr>
      <w:r w:rsidRPr="00CD0D03">
        <w:rPr>
          <w:sz w:val="24"/>
          <w:szCs w:val="24"/>
          <w:lang w:val="en-US"/>
        </w:rPr>
        <w:t xml:space="preserve">Mild Cognitive Impairment. Syndrome featuring primary cognitive impairment but no disability. About half have Alzheimer’s pathology, 40% have no neurodegenerative disease (normal ageing), and 10% have neurodegenerative disease other than Alzheimer’s (hippocampal sclerosis, tau only dementia, primary age-related tauopathy, frontotemporal degeneration, pure cortical Lewy body disease, etc.) </w:t>
      </w:r>
      <w:r w:rsidRPr="00B0052B">
        <w:rPr>
          <w:sz w:val="24"/>
          <w:szCs w:val="24"/>
          <w:lang w:val="en-US"/>
        </w:rPr>
        <w:t xml:space="preserve">(Bennett </w:t>
      </w:r>
      <w:r w:rsidRPr="00B0052B">
        <w:rPr>
          <w:i/>
          <w:sz w:val="24"/>
          <w:szCs w:val="24"/>
          <w:lang w:val="en-US"/>
        </w:rPr>
        <w:t>et al</w:t>
      </w:r>
      <w:r w:rsidRPr="00B0052B">
        <w:rPr>
          <w:sz w:val="24"/>
          <w:szCs w:val="24"/>
          <w:lang w:val="en-US"/>
        </w:rPr>
        <w:t xml:space="preserve">., 2012; Rowe </w:t>
      </w:r>
      <w:r w:rsidRPr="00B0052B">
        <w:rPr>
          <w:i/>
          <w:sz w:val="24"/>
          <w:szCs w:val="24"/>
          <w:lang w:val="en-US"/>
        </w:rPr>
        <w:t>et al</w:t>
      </w:r>
      <w:r w:rsidRPr="00B0052B">
        <w:rPr>
          <w:sz w:val="24"/>
          <w:szCs w:val="24"/>
          <w:lang w:val="en-US"/>
        </w:rPr>
        <w:t xml:space="preserve">., 2010; Jack </w:t>
      </w:r>
      <w:r w:rsidRPr="00B0052B">
        <w:rPr>
          <w:i/>
          <w:sz w:val="24"/>
          <w:szCs w:val="24"/>
          <w:lang w:val="en-US"/>
        </w:rPr>
        <w:t>et al</w:t>
      </w:r>
      <w:r w:rsidRPr="00B0052B">
        <w:rPr>
          <w:sz w:val="24"/>
          <w:szCs w:val="24"/>
          <w:lang w:val="en-US"/>
        </w:rPr>
        <w:t>., 2008).</w:t>
      </w:r>
    </w:p>
    <w:p w14:paraId="0E2BFB4C" w14:textId="77777777" w:rsidR="009B57B0" w:rsidRPr="00CD0D03" w:rsidRDefault="009B57B0" w:rsidP="00850FD3">
      <w:pPr>
        <w:spacing w:line="480" w:lineRule="auto"/>
        <w:rPr>
          <w:sz w:val="24"/>
          <w:szCs w:val="24"/>
          <w:lang w:val="en-US"/>
        </w:rPr>
      </w:pPr>
      <w:r w:rsidRPr="00B0052B">
        <w:rPr>
          <w:sz w:val="24"/>
          <w:szCs w:val="24"/>
          <w:lang w:val="en-US"/>
        </w:rPr>
        <w:t xml:space="preserve">Roadmap. </w:t>
      </w:r>
      <w:r w:rsidRPr="00CD0D03">
        <w:rPr>
          <w:sz w:val="24"/>
          <w:szCs w:val="24"/>
          <w:lang w:val="en-US"/>
        </w:rPr>
        <w:t>Objective-oriented, structured, and efficient action plan. In science &amp; technology also called “strategic research agenda”</w:t>
      </w:r>
    </w:p>
    <w:p w14:paraId="48545752" w14:textId="77777777" w:rsidR="009B57B0" w:rsidRPr="00074B67" w:rsidRDefault="009B57B0" w:rsidP="00850FD3">
      <w:pPr>
        <w:spacing w:line="480" w:lineRule="auto"/>
        <w:rPr>
          <w:lang w:val="en-US"/>
        </w:rPr>
      </w:pPr>
    </w:p>
    <w:p w14:paraId="66A6ADEB" w14:textId="77777777" w:rsidR="00805395" w:rsidRPr="00074B67" w:rsidRDefault="00805395" w:rsidP="00850FD3">
      <w:pPr>
        <w:spacing w:line="480" w:lineRule="auto"/>
        <w:rPr>
          <w:i/>
          <w:sz w:val="24"/>
          <w:szCs w:val="24"/>
          <w:lang w:val="en-US"/>
        </w:rPr>
      </w:pPr>
      <w:r w:rsidRPr="00074B67">
        <w:rPr>
          <w:i/>
          <w:sz w:val="24"/>
          <w:szCs w:val="24"/>
          <w:lang w:val="en-US"/>
        </w:rPr>
        <w:t>6. Acknowledgements</w:t>
      </w:r>
    </w:p>
    <w:p w14:paraId="236AF500" w14:textId="77777777" w:rsidR="00850FD3" w:rsidRPr="00074B67" w:rsidRDefault="00850FD3" w:rsidP="00850FD3">
      <w:pPr>
        <w:spacing w:line="480" w:lineRule="auto"/>
        <w:rPr>
          <w:sz w:val="24"/>
          <w:szCs w:val="24"/>
          <w:lang w:val="en-US"/>
        </w:rPr>
      </w:pPr>
      <w:r w:rsidRPr="00074B67">
        <w:rPr>
          <w:sz w:val="24"/>
          <w:szCs w:val="24"/>
          <w:lang w:val="en-US"/>
        </w:rPr>
        <w:t xml:space="preserve">The Geneva Task Force for the Roadmap of Alzheimer’s Biomarkers includes the participants to a workshop held in Geneva on December 8-9, 2014. The P.I. of the Geneva Roadmap effort is Giovanni B Frisoni, with Bengt Winblad and Clifford R Jack Jr as co-PIs. The task force includes experts in biomarker development from the oncology community; experts on diagnostic AD biomarkers from Europe; representatives of pertinent scientific societies (Federation of European Societies of Neuropsychology - FENS, European Neurological Society of Neuroradiology - ENSNR, International Foundation of Clinical Chemistry and Laboratory Medicine - IFCCLM, European Association of Nuclear Medicine - EANM, and Swiss Federation </w:t>
      </w:r>
      <w:r w:rsidRPr="00074B67">
        <w:rPr>
          <w:sz w:val="24"/>
          <w:szCs w:val="24"/>
          <w:lang w:val="en-US"/>
        </w:rPr>
        <w:lastRenderedPageBreak/>
        <w:t>of Clinical Neuro Societies - SFCNS); representatives of patient advocates, bioethicists and regulatory agencies, and early career researchers. The Geneva Task Force has been endorsed by the EADC – European Alzheimer’s Disease Consortium.</w:t>
      </w:r>
    </w:p>
    <w:p w14:paraId="5945D8AA" w14:textId="77777777" w:rsidR="00850FD3" w:rsidRPr="00074B67" w:rsidRDefault="00850FD3" w:rsidP="00850FD3">
      <w:pPr>
        <w:spacing w:line="480" w:lineRule="auto"/>
        <w:rPr>
          <w:sz w:val="24"/>
          <w:szCs w:val="24"/>
          <w:lang w:val="en-US"/>
        </w:rPr>
      </w:pPr>
      <w:r w:rsidRPr="00074B67">
        <w:rPr>
          <w:sz w:val="24"/>
          <w:szCs w:val="24"/>
          <w:lang w:val="en-US"/>
        </w:rPr>
        <w:t>The workshop was funded thanks to a competitive grant by the Swiss National Science Foundation (“Early diagnosis of Alzheimer's disease with biomarkers: Now despite no cure, or later «only if»? International Exploratory Workshops - IZ32Z0_157953) and unrestricted grants from: Alzheimer Forum Switzerland, Association pour la Recherche sur Alzheimer, Genève; Piramal, Eli Lilly &amp; Company, General Electric, Guerbet, TEVA Pharma; Academie Suisse de Sciences Médicales, Vifor Pharma Switzerland., Novartis, Siemens, and IXICO. The Alzheimer's Association hosted the first follow-up meeting of the initiative at the 2015 AAIC congress in Washington. We acknowledge the help from Margherita Mauri and Daria Gennaro (IRCCS Fatebenefratelli, Brescia, Italy) and Agnese Picco (Università di Genova, Genova, Italy) who took care of the logistics of the workshop.</w:t>
      </w:r>
    </w:p>
    <w:p w14:paraId="6795DF87" w14:textId="77777777" w:rsidR="00850FD3" w:rsidRPr="00074B67" w:rsidRDefault="00850FD3" w:rsidP="00850FD3">
      <w:pPr>
        <w:spacing w:line="480" w:lineRule="auto"/>
        <w:rPr>
          <w:sz w:val="24"/>
          <w:szCs w:val="24"/>
          <w:lang w:val="en-US"/>
        </w:rPr>
      </w:pPr>
      <w:r w:rsidRPr="00074B67">
        <w:rPr>
          <w:sz w:val="24"/>
          <w:szCs w:val="24"/>
          <w:lang w:val="en-US"/>
        </w:rPr>
        <w:t xml:space="preserve">The following scientific societies took part to the Geneva Workshop for the Roadmap of Alzheimer’s Biomarkers on December 8-9 2014. Flavio Nobili was delegate from the European Association of Nuclear Medicine (EANM) Neuroimaging Committee. Kaj Blennow was delegate </w:t>
      </w:r>
      <w:r w:rsidR="00B33706" w:rsidRPr="00074B67">
        <w:rPr>
          <w:sz w:val="24"/>
          <w:szCs w:val="24"/>
          <w:lang w:val="en-US"/>
        </w:rPr>
        <w:t>from</w:t>
      </w:r>
      <w:r w:rsidRPr="00074B67">
        <w:rPr>
          <w:sz w:val="24"/>
          <w:szCs w:val="24"/>
          <w:lang w:val="en-US"/>
        </w:rPr>
        <w:t xml:space="preserve"> the International Federation of Clinical Chemistry and Laboratory Medicine Working Group for CSF proteins (IFCC WG-CSF). Frederik Barkhof was delegate from the European Society of Neuroradiology (ESNR). Stefano Cappa was delegate and Chair of the Federation of European Societies of Neuropsychology (FENS). Urs Mosimann was delegate from the Swiss Federation of Clinical Neuro Societies (SFCNS). The content of this paper represents the opinion of the individual authors and is not necessarily endorsed by the scientific societies which took part to the Geneva Workshop for the Roadmap of Alzheimer’s Biomarkers.</w:t>
      </w:r>
    </w:p>
    <w:p w14:paraId="7BAD1BDA" w14:textId="77777777" w:rsidR="00850FD3" w:rsidRPr="00074B67" w:rsidRDefault="002C270A" w:rsidP="00850FD3">
      <w:pPr>
        <w:spacing w:line="480" w:lineRule="auto"/>
        <w:rPr>
          <w:sz w:val="24"/>
          <w:szCs w:val="24"/>
          <w:lang w:val="en-US"/>
        </w:rPr>
      </w:pPr>
      <w:r w:rsidRPr="00074B67">
        <w:rPr>
          <w:sz w:val="24"/>
          <w:szCs w:val="24"/>
          <w:lang w:val="en-US"/>
        </w:rPr>
        <w:t xml:space="preserve">P Giannakopoulos' participation was supported by the Swiss National Foundation (SNF </w:t>
      </w:r>
      <w:r w:rsidR="00BB5E51">
        <w:rPr>
          <w:sz w:val="24"/>
          <w:szCs w:val="24"/>
          <w:lang w:val="en-US"/>
        </w:rPr>
        <w:t>-</w:t>
      </w:r>
      <w:r w:rsidRPr="00074B67">
        <w:rPr>
          <w:sz w:val="24"/>
          <w:szCs w:val="24"/>
          <w:lang w:val="en-US"/>
        </w:rPr>
        <w:t>3200B0-1161193 and SPUM 33CM30-124111)</w:t>
      </w:r>
      <w:r w:rsidR="00BB5E51">
        <w:rPr>
          <w:sz w:val="24"/>
          <w:szCs w:val="24"/>
          <w:lang w:val="en-US"/>
        </w:rPr>
        <w:t>. CR Jack Jr’s participation was supported by</w:t>
      </w:r>
      <w:r w:rsidR="00BB5E51" w:rsidRPr="00BB5E51">
        <w:rPr>
          <w:sz w:val="24"/>
          <w:szCs w:val="24"/>
          <w:lang w:val="en-US"/>
        </w:rPr>
        <w:t xml:space="preserve"> </w:t>
      </w:r>
      <w:r w:rsidR="00BB5E51" w:rsidRPr="00656652">
        <w:rPr>
          <w:sz w:val="24"/>
          <w:szCs w:val="24"/>
          <w:lang w:val="en-US"/>
        </w:rPr>
        <w:lastRenderedPageBreak/>
        <w:t>the National Institutes of Health (</w:t>
      </w:r>
      <w:r w:rsidR="00BB5E51">
        <w:rPr>
          <w:sz w:val="24"/>
          <w:szCs w:val="24"/>
          <w:lang w:val="en-US"/>
        </w:rPr>
        <w:t xml:space="preserve">NIH - </w:t>
      </w:r>
      <w:r w:rsidR="00BB5E51" w:rsidRPr="00656652">
        <w:rPr>
          <w:sz w:val="24"/>
          <w:szCs w:val="24"/>
          <w:lang w:val="en-US"/>
        </w:rPr>
        <w:t>R01-AG011378, RO1-AG041851, U01-AG06786, U01-AG024904, R01-AG37551, R01-AG043392, R01-NS092625)</w:t>
      </w:r>
      <w:r w:rsidR="00942796" w:rsidRPr="00942796">
        <w:rPr>
          <w:sz w:val="24"/>
          <w:szCs w:val="24"/>
          <w:lang w:val="en-US"/>
        </w:rPr>
        <w:t xml:space="preserve"> </w:t>
      </w:r>
      <w:r w:rsidR="00942796" w:rsidRPr="00656652">
        <w:rPr>
          <w:sz w:val="24"/>
          <w:szCs w:val="24"/>
          <w:lang w:val="en-US"/>
        </w:rPr>
        <w:t>and the Alexander Family Alzheimer's Disease Research</w:t>
      </w:r>
      <w:r w:rsidR="00BB5E51">
        <w:rPr>
          <w:sz w:val="24"/>
          <w:szCs w:val="24"/>
          <w:lang w:val="en-US"/>
        </w:rPr>
        <w:t>.</w:t>
      </w:r>
    </w:p>
    <w:p w14:paraId="3B1263EB" w14:textId="77777777" w:rsidR="00805395" w:rsidRPr="00074B67" w:rsidRDefault="00805395" w:rsidP="00656652">
      <w:pPr>
        <w:spacing w:line="480" w:lineRule="auto"/>
        <w:rPr>
          <w:sz w:val="24"/>
          <w:szCs w:val="24"/>
          <w:lang w:val="en-US"/>
        </w:rPr>
      </w:pPr>
    </w:p>
    <w:p w14:paraId="4B901399" w14:textId="77777777" w:rsidR="00170D46" w:rsidRPr="00074B67" w:rsidRDefault="00170D46" w:rsidP="00505DA6">
      <w:pPr>
        <w:spacing w:line="480" w:lineRule="auto"/>
        <w:outlineLvl w:val="0"/>
        <w:rPr>
          <w:b/>
          <w:sz w:val="24"/>
          <w:szCs w:val="24"/>
          <w:lang w:val="en-US"/>
        </w:rPr>
      </w:pPr>
      <w:r w:rsidRPr="00074B67">
        <w:rPr>
          <w:b/>
          <w:sz w:val="24"/>
          <w:szCs w:val="24"/>
          <w:lang w:val="en-US"/>
        </w:rPr>
        <w:t>Conflict of interest</w:t>
      </w:r>
    </w:p>
    <w:p w14:paraId="714CBDA1" w14:textId="77777777" w:rsidR="009004E3" w:rsidRDefault="00BB5E51" w:rsidP="00656652">
      <w:pPr>
        <w:spacing w:line="480" w:lineRule="auto"/>
        <w:rPr>
          <w:sz w:val="24"/>
          <w:szCs w:val="24"/>
          <w:lang w:val="en-US"/>
        </w:rPr>
      </w:pPr>
      <w:r>
        <w:rPr>
          <w:sz w:val="24"/>
          <w:szCs w:val="24"/>
          <w:lang w:val="en-US"/>
        </w:rPr>
        <w:t>CR</w:t>
      </w:r>
      <w:r w:rsidR="00656652" w:rsidRPr="00656652">
        <w:rPr>
          <w:sz w:val="24"/>
          <w:szCs w:val="24"/>
          <w:lang w:val="en-US"/>
        </w:rPr>
        <w:t xml:space="preserve"> Jack has provided consulting services for Eli Lil</w:t>
      </w:r>
      <w:r w:rsidR="00656652">
        <w:rPr>
          <w:sz w:val="24"/>
          <w:szCs w:val="24"/>
          <w:lang w:val="en-US"/>
        </w:rPr>
        <w:t>l</w:t>
      </w:r>
      <w:r w:rsidR="00656652" w:rsidRPr="00656652">
        <w:rPr>
          <w:sz w:val="24"/>
          <w:szCs w:val="24"/>
          <w:lang w:val="en-US"/>
        </w:rPr>
        <w:t xml:space="preserve">y and owns stock in Johnson and Johnson. </w:t>
      </w:r>
    </w:p>
    <w:p w14:paraId="2813BCA8" w14:textId="77777777" w:rsidR="00170D46" w:rsidRPr="005B4A8D" w:rsidRDefault="00170D46" w:rsidP="00656652">
      <w:pPr>
        <w:spacing w:line="480" w:lineRule="auto"/>
        <w:rPr>
          <w:sz w:val="24"/>
          <w:szCs w:val="24"/>
          <w:lang w:val="en-US"/>
        </w:rPr>
      </w:pPr>
      <w:r w:rsidRPr="00074B67">
        <w:rPr>
          <w:sz w:val="24"/>
          <w:szCs w:val="24"/>
          <w:lang w:val="en-US"/>
        </w:rPr>
        <w:t xml:space="preserve">The </w:t>
      </w:r>
      <w:r w:rsidR="009004E3">
        <w:rPr>
          <w:sz w:val="24"/>
          <w:szCs w:val="24"/>
          <w:lang w:val="en-US"/>
        </w:rPr>
        <w:t xml:space="preserve">other </w:t>
      </w:r>
      <w:r w:rsidRPr="00074B67">
        <w:rPr>
          <w:sz w:val="24"/>
          <w:szCs w:val="24"/>
          <w:lang w:val="en-US"/>
        </w:rPr>
        <w:t>authors have no conflict of interest relative to the content of this paper.</w:t>
      </w:r>
    </w:p>
    <w:p w14:paraId="1839338E" w14:textId="77777777" w:rsidR="000910CD" w:rsidRPr="00B0052B" w:rsidRDefault="000910CD" w:rsidP="009B57B0"/>
    <w:p w14:paraId="657B7CBD" w14:textId="77777777" w:rsidR="005311F1" w:rsidRPr="002A62AD" w:rsidRDefault="00AF59D3" w:rsidP="00505DA6">
      <w:pPr>
        <w:spacing w:line="480" w:lineRule="auto"/>
        <w:outlineLvl w:val="0"/>
        <w:rPr>
          <w:b/>
          <w:sz w:val="24"/>
          <w:szCs w:val="24"/>
        </w:rPr>
      </w:pPr>
      <w:r w:rsidRPr="002A62AD">
        <w:rPr>
          <w:b/>
          <w:sz w:val="24"/>
          <w:szCs w:val="24"/>
        </w:rPr>
        <w:t>References</w:t>
      </w:r>
    </w:p>
    <w:p w14:paraId="4D6D5AAA" w14:textId="77777777" w:rsidR="005311F1" w:rsidRPr="00A907BD" w:rsidRDefault="00AF59D3" w:rsidP="005311F1">
      <w:pPr>
        <w:spacing w:after="0" w:line="480" w:lineRule="auto"/>
        <w:ind w:firstLine="567"/>
        <w:rPr>
          <w:sz w:val="24"/>
          <w:szCs w:val="24"/>
          <w:lang w:val="en-US"/>
        </w:rPr>
      </w:pPr>
      <w:r w:rsidRPr="002A62AD">
        <w:rPr>
          <w:sz w:val="24"/>
          <w:szCs w:val="24"/>
        </w:rPr>
        <w:t xml:space="preserve">Albanese E, Liu Z, Acosta D, Guerra M, Huang Y, Jacob KS, Jimenez-Velazquez IZ, Llibre Rodriguez JJ, Salas A, Sosa AL, Uwakwe R, Williams JD, Borges G, Jotheeswaran AT, Klibanski MG, McCrone P, Ferri CP, Prince MJ. </w:t>
      </w:r>
      <w:r w:rsidR="005311F1" w:rsidRPr="00A907BD">
        <w:rPr>
          <w:sz w:val="24"/>
          <w:szCs w:val="24"/>
          <w:lang w:val="en-US"/>
        </w:rPr>
        <w:t>Equity in the delivery of community healthcare to older people: findings from 10/66 Dementia Research Group cross-sectional surveys in Latin America, China, India a</w:t>
      </w:r>
      <w:r w:rsidR="00B31D7A" w:rsidRPr="00A907BD">
        <w:rPr>
          <w:sz w:val="24"/>
          <w:szCs w:val="24"/>
          <w:lang w:val="en-US"/>
        </w:rPr>
        <w:t>nd Nigeria. BMC Health Serv Res</w:t>
      </w:r>
      <w:r w:rsidR="005311F1" w:rsidRPr="00A907BD">
        <w:rPr>
          <w:sz w:val="24"/>
          <w:szCs w:val="24"/>
          <w:lang w:val="en-US"/>
        </w:rPr>
        <w:t xml:space="preserve"> </w:t>
      </w:r>
      <w:proofErr w:type="gramStart"/>
      <w:r w:rsidR="005311F1" w:rsidRPr="00A907BD">
        <w:rPr>
          <w:sz w:val="24"/>
          <w:szCs w:val="24"/>
          <w:lang w:val="en-US"/>
        </w:rPr>
        <w:t>2011;11:153</w:t>
      </w:r>
      <w:proofErr w:type="gramEnd"/>
      <w:r w:rsidR="005311F1" w:rsidRPr="00A907BD">
        <w:rPr>
          <w:sz w:val="24"/>
          <w:szCs w:val="24"/>
          <w:lang w:val="en-US"/>
        </w:rPr>
        <w:t xml:space="preserve">. </w:t>
      </w:r>
    </w:p>
    <w:p w14:paraId="773C1D32" w14:textId="77777777" w:rsidR="005311F1" w:rsidRDefault="005311F1" w:rsidP="005311F1">
      <w:pPr>
        <w:spacing w:after="0" w:line="480" w:lineRule="auto"/>
        <w:ind w:firstLine="567"/>
        <w:rPr>
          <w:sz w:val="24"/>
          <w:szCs w:val="24"/>
          <w:lang w:val="en-US"/>
        </w:rPr>
      </w:pPr>
      <w:r w:rsidRPr="00A907BD">
        <w:rPr>
          <w:sz w:val="24"/>
          <w:szCs w:val="24"/>
          <w:lang w:val="en-US"/>
        </w:rPr>
        <w:t>Albert MS, DeKosky ST, Dickson D, Dubois B, Feldman HH, Fox NC, Gamst A, Holtzman DM, Jagust WJ, Petersen RC, Snyder PJ, Carrillo MC, Thies B, Phelps CH. The diagnosis of mild cognitive impairment due to Alzheimer's disease: recommendations from the National Institute on Aging-Alzheimer's Association workgroups on diagnostic guidelines for Alzheimer's disea</w:t>
      </w:r>
      <w:r w:rsidR="00B31D7A" w:rsidRPr="00A907BD">
        <w:rPr>
          <w:sz w:val="24"/>
          <w:szCs w:val="24"/>
          <w:lang w:val="en-US"/>
        </w:rPr>
        <w:t xml:space="preserve">se. Alzheimers Dement </w:t>
      </w:r>
      <w:proofErr w:type="gramStart"/>
      <w:r w:rsidR="00B31D7A" w:rsidRPr="00A907BD">
        <w:rPr>
          <w:sz w:val="24"/>
          <w:szCs w:val="24"/>
          <w:lang w:val="en-US"/>
        </w:rPr>
        <w:t>2011;7</w:t>
      </w:r>
      <w:r w:rsidRPr="00A907BD">
        <w:rPr>
          <w:sz w:val="24"/>
          <w:szCs w:val="24"/>
          <w:lang w:val="en-US"/>
        </w:rPr>
        <w:t>:270</w:t>
      </w:r>
      <w:proofErr w:type="gramEnd"/>
      <w:r w:rsidRPr="00A907BD">
        <w:rPr>
          <w:sz w:val="24"/>
          <w:szCs w:val="24"/>
          <w:lang w:val="en-US"/>
        </w:rPr>
        <w:t>-9.</w:t>
      </w:r>
    </w:p>
    <w:p w14:paraId="1EE232A4" w14:textId="75D70120" w:rsidR="00865773" w:rsidRPr="00A907BD" w:rsidRDefault="00865773" w:rsidP="00865773">
      <w:pPr>
        <w:spacing w:after="0" w:line="480" w:lineRule="auto"/>
        <w:ind w:firstLine="567"/>
        <w:rPr>
          <w:sz w:val="24"/>
          <w:szCs w:val="24"/>
          <w:lang w:val="en-US"/>
        </w:rPr>
      </w:pPr>
      <w:r w:rsidRPr="00ED2AC0">
        <w:rPr>
          <w:sz w:val="24"/>
          <w:szCs w:val="24"/>
          <w:lang w:val="en-US"/>
        </w:rPr>
        <w:t>Andrieu S, Aboderin I, Baeyens JP, et al. IAGG workshop: health promotion program on prevention of late onset dementia. J Nutr Health Aging, 2011;15:562–575</w:t>
      </w:r>
      <w:r w:rsidR="00B0052B">
        <w:rPr>
          <w:sz w:val="24"/>
          <w:szCs w:val="24"/>
          <w:lang w:val="en-US"/>
        </w:rPr>
        <w:t>.</w:t>
      </w:r>
    </w:p>
    <w:p w14:paraId="66BD6F54" w14:textId="77777777" w:rsidR="005311F1" w:rsidRPr="002A62AD" w:rsidRDefault="005311F1" w:rsidP="00865773">
      <w:pPr>
        <w:spacing w:after="0" w:line="480" w:lineRule="auto"/>
        <w:ind w:firstLine="567"/>
        <w:rPr>
          <w:sz w:val="24"/>
          <w:szCs w:val="24"/>
          <w:lang w:val="en-US"/>
        </w:rPr>
      </w:pPr>
      <w:r w:rsidRPr="00A907BD">
        <w:rPr>
          <w:sz w:val="24"/>
          <w:szCs w:val="24"/>
          <w:lang w:val="en-US"/>
        </w:rPr>
        <w:t>Blennow K, Wallin A, Agren H, Spenger C, Siegfried J, Vanmechelen E. Tau protein in cerebrospinal fluid: a biochemical marker for axonal degeneration in Alzheime</w:t>
      </w:r>
      <w:r w:rsidR="00B31D7A" w:rsidRPr="00A907BD">
        <w:rPr>
          <w:sz w:val="24"/>
          <w:szCs w:val="24"/>
          <w:lang w:val="en-US"/>
        </w:rPr>
        <w:t xml:space="preserve">r disease? </w:t>
      </w:r>
      <w:r w:rsidR="00AF59D3" w:rsidRPr="002A62AD">
        <w:rPr>
          <w:sz w:val="24"/>
          <w:szCs w:val="24"/>
          <w:lang w:val="en-US"/>
        </w:rPr>
        <w:t xml:space="preserve">Mol Chem Neuropathol </w:t>
      </w:r>
      <w:proofErr w:type="gramStart"/>
      <w:r w:rsidR="00AF59D3" w:rsidRPr="002A62AD">
        <w:rPr>
          <w:sz w:val="24"/>
          <w:szCs w:val="24"/>
          <w:lang w:val="en-US"/>
        </w:rPr>
        <w:t>1995;26:231</w:t>
      </w:r>
      <w:proofErr w:type="gramEnd"/>
      <w:r w:rsidR="00AF59D3" w:rsidRPr="002A62AD">
        <w:rPr>
          <w:sz w:val="24"/>
          <w:szCs w:val="24"/>
          <w:lang w:val="en-US"/>
        </w:rPr>
        <w:t>-45.</w:t>
      </w:r>
    </w:p>
    <w:p w14:paraId="0C64DABC" w14:textId="77777777" w:rsidR="00AA72B7" w:rsidRPr="00855ED0" w:rsidRDefault="00AA72B7" w:rsidP="00AA72B7">
      <w:pPr>
        <w:spacing w:after="0" w:line="480" w:lineRule="auto"/>
        <w:ind w:firstLine="567"/>
        <w:rPr>
          <w:sz w:val="24"/>
          <w:szCs w:val="24"/>
        </w:rPr>
      </w:pPr>
      <w:r w:rsidRPr="006912D9">
        <w:rPr>
          <w:sz w:val="24"/>
          <w:szCs w:val="24"/>
          <w:lang w:val="en-US"/>
        </w:rPr>
        <w:lastRenderedPageBreak/>
        <w:t>Boccardi M, Bocchetta M, Apostolova LG, Barnes J, Bartzokis G, Corbetta G, DeCarli C, deToledo-Morrell L, Firbank M, Ganzola R, Gerritsen L, Henneman W, Killiany RJ, Malykhin N, Pasqualetti P, Pruessner JC, Redolfi A, Robitaille N, Soininen H, Tolomeo D, Wang L, Watson C, Wolf H, Duvernoy H, Duchesne S, Jack CR Jr, Frisoni</w:t>
      </w:r>
      <w:r w:rsidRPr="00865773">
        <w:rPr>
          <w:sz w:val="24"/>
          <w:szCs w:val="24"/>
          <w:lang w:val="en-US"/>
        </w:rPr>
        <w:t xml:space="preserve"> GB; EADC-ADNI Working Group on the Harmonized Protocol for Manual Hippocampal Segmentation.</w:t>
      </w:r>
      <w:r w:rsidR="00AF59D3" w:rsidRPr="002A62AD">
        <w:rPr>
          <w:sz w:val="24"/>
          <w:szCs w:val="24"/>
          <w:lang w:val="en-US"/>
        </w:rPr>
        <w:t xml:space="preserve"> Delphi definition of the EADC-ADNI Harmonized Protocol for hippocampal segmentation on magnetic resonance.</w:t>
      </w:r>
      <w:r w:rsidRPr="002A62AD">
        <w:rPr>
          <w:sz w:val="24"/>
          <w:szCs w:val="24"/>
          <w:lang w:val="en-US"/>
        </w:rPr>
        <w:t xml:space="preserve"> </w:t>
      </w:r>
      <w:r>
        <w:rPr>
          <w:sz w:val="24"/>
          <w:szCs w:val="24"/>
        </w:rPr>
        <w:t>Alzheimers Dement</w:t>
      </w:r>
      <w:r w:rsidRPr="00AA72B7">
        <w:rPr>
          <w:sz w:val="24"/>
          <w:szCs w:val="24"/>
        </w:rPr>
        <w:t xml:space="preserve"> </w:t>
      </w:r>
      <w:proofErr w:type="gramStart"/>
      <w:r w:rsidRPr="00AA72B7">
        <w:rPr>
          <w:sz w:val="24"/>
          <w:szCs w:val="24"/>
        </w:rPr>
        <w:t>2015;</w:t>
      </w:r>
      <w:r>
        <w:rPr>
          <w:sz w:val="24"/>
          <w:szCs w:val="24"/>
        </w:rPr>
        <w:t>11</w:t>
      </w:r>
      <w:r w:rsidRPr="00AA72B7">
        <w:rPr>
          <w:sz w:val="24"/>
          <w:szCs w:val="24"/>
        </w:rPr>
        <w:t>:126</w:t>
      </w:r>
      <w:proofErr w:type="gramEnd"/>
      <w:r w:rsidRPr="00AA72B7">
        <w:rPr>
          <w:sz w:val="24"/>
          <w:szCs w:val="24"/>
        </w:rPr>
        <w:t>-38.</w:t>
      </w:r>
    </w:p>
    <w:p w14:paraId="14282362" w14:textId="77777777" w:rsidR="005311F1" w:rsidRPr="00A907BD" w:rsidRDefault="005311F1" w:rsidP="005311F1">
      <w:pPr>
        <w:spacing w:after="0" w:line="480" w:lineRule="auto"/>
        <w:ind w:firstLine="567"/>
        <w:rPr>
          <w:sz w:val="24"/>
          <w:szCs w:val="24"/>
          <w:lang w:val="en-US"/>
        </w:rPr>
      </w:pPr>
      <w:r w:rsidRPr="00855ED0">
        <w:rPr>
          <w:sz w:val="24"/>
          <w:szCs w:val="24"/>
        </w:rPr>
        <w:t xml:space="preserve">Boccardi M, Altomare D, Ferrari C, Festari C, Guerra UP, Paghera B, Pizzocaro C, Lussignoli G, Geroldi C, Zanetti O, Cotelli MS, Turla M, Borroni B, Rozzini L, Mirabile D, Defanti C, Gennuso M, Prelle A, Gentile S, Morandi A, Vollaro S, Dalla Volta G, Bianchetti A, Conti MZ, Cappuccio M, Carbone P, Bellandi D, Abruzzi L, Bettoni L, Villani D, Raimondi MC, Lanari A, Ciccone A, Facchi E, Di Fazio I, Rozzini R, Boffelli S, Manzoni L, Salvi GP, Cavaliere S, Belotti G, Avanzi S, Pasqualetti P, Muscio C, Padovani A, Frisoni GB, for the INDIA-FBP working group. </w:t>
      </w:r>
      <w:r w:rsidRPr="00A907BD">
        <w:rPr>
          <w:sz w:val="24"/>
          <w:szCs w:val="24"/>
          <w:lang w:val="en-US"/>
        </w:rPr>
        <w:t xml:space="preserve">The incremental diagnostic value of 18F-Florbetapir imaging in real-life memory clinic patients with cognitive impairment: the INDIA-FBP study. JAMA Neurology </w:t>
      </w:r>
      <w:r w:rsidR="00B31D7A" w:rsidRPr="00A907BD">
        <w:rPr>
          <w:sz w:val="24"/>
          <w:szCs w:val="24"/>
          <w:lang w:val="en-US"/>
        </w:rPr>
        <w:t>2016 (in press</w:t>
      </w:r>
      <w:r w:rsidRPr="00A907BD">
        <w:rPr>
          <w:sz w:val="24"/>
          <w:szCs w:val="24"/>
          <w:lang w:val="en-US"/>
        </w:rPr>
        <w:t>).</w:t>
      </w:r>
    </w:p>
    <w:p w14:paraId="62E22C35" w14:textId="77777777" w:rsidR="005311F1" w:rsidRPr="002A62AD" w:rsidRDefault="005311F1" w:rsidP="005311F1">
      <w:pPr>
        <w:shd w:val="clear" w:color="auto" w:fill="FFFFFF"/>
        <w:spacing w:after="0" w:line="480" w:lineRule="auto"/>
        <w:ind w:firstLine="567"/>
        <w:textAlignment w:val="baseline"/>
        <w:rPr>
          <w:rFonts w:cs="Times New Roman"/>
          <w:sz w:val="24"/>
          <w:szCs w:val="24"/>
          <w:lang w:val="en-US"/>
        </w:rPr>
      </w:pPr>
      <w:r w:rsidRPr="00A907BD">
        <w:rPr>
          <w:rFonts w:cs="Times New Roman"/>
          <w:sz w:val="24"/>
          <w:szCs w:val="24"/>
          <w:lang w:val="en-US"/>
        </w:rPr>
        <w:t xml:space="preserve">Boeri, M., Verri, C., Conte, D., Roz, L., Modena, P., Facchinetti, F., Sozzi, G. MicroRNA signatures in tissues and plasma predict development and prognosis of computed tomography detected lung cancer. </w:t>
      </w:r>
      <w:r w:rsidR="00AF59D3" w:rsidRPr="002A62AD">
        <w:rPr>
          <w:rFonts w:cs="Times New Roman"/>
          <w:sz w:val="24"/>
          <w:szCs w:val="24"/>
          <w:lang w:val="en-US"/>
        </w:rPr>
        <w:t xml:space="preserve">Proc Natl Acad Sci USA </w:t>
      </w:r>
      <w:proofErr w:type="gramStart"/>
      <w:r w:rsidR="00AF59D3" w:rsidRPr="002A62AD">
        <w:rPr>
          <w:rFonts w:cs="Times New Roman"/>
          <w:sz w:val="24"/>
          <w:szCs w:val="24"/>
          <w:lang w:val="en-US"/>
        </w:rPr>
        <w:t>2011;108:3713</w:t>
      </w:r>
      <w:proofErr w:type="gramEnd"/>
      <w:r w:rsidR="00AF59D3" w:rsidRPr="002A62AD">
        <w:rPr>
          <w:rFonts w:cs="Times New Roman"/>
          <w:sz w:val="24"/>
          <w:szCs w:val="24"/>
          <w:lang w:val="en-US"/>
        </w:rPr>
        <w:t>-8.</w:t>
      </w:r>
    </w:p>
    <w:p w14:paraId="19C6E3A5" w14:textId="77777777" w:rsidR="005311F1" w:rsidRPr="00A907BD" w:rsidRDefault="005311F1" w:rsidP="005311F1">
      <w:pPr>
        <w:spacing w:after="0" w:line="480" w:lineRule="auto"/>
        <w:ind w:firstLine="567"/>
        <w:rPr>
          <w:sz w:val="24"/>
          <w:szCs w:val="24"/>
          <w:lang w:val="en-US"/>
        </w:rPr>
      </w:pPr>
      <w:r w:rsidRPr="00A907BD">
        <w:rPr>
          <w:sz w:val="24"/>
          <w:szCs w:val="24"/>
          <w:lang w:val="en-US"/>
        </w:rPr>
        <w:t>Braak H, Braak E. Neuropathological stageing of Alzheimer-related chang</w:t>
      </w:r>
      <w:r w:rsidR="00393401" w:rsidRPr="00A907BD">
        <w:rPr>
          <w:sz w:val="24"/>
          <w:szCs w:val="24"/>
          <w:lang w:val="en-US"/>
        </w:rPr>
        <w:t xml:space="preserve">es. Acta Neuropathol </w:t>
      </w:r>
      <w:proofErr w:type="gramStart"/>
      <w:r w:rsidR="00393401" w:rsidRPr="00A907BD">
        <w:rPr>
          <w:sz w:val="24"/>
          <w:szCs w:val="24"/>
          <w:lang w:val="en-US"/>
        </w:rPr>
        <w:t>1991;82</w:t>
      </w:r>
      <w:r w:rsidRPr="00A907BD">
        <w:rPr>
          <w:sz w:val="24"/>
          <w:szCs w:val="24"/>
          <w:lang w:val="en-US"/>
        </w:rPr>
        <w:t>:239</w:t>
      </w:r>
      <w:proofErr w:type="gramEnd"/>
      <w:r w:rsidRPr="00A907BD">
        <w:rPr>
          <w:sz w:val="24"/>
          <w:szCs w:val="24"/>
          <w:lang w:val="en-US"/>
        </w:rPr>
        <w:t>-59.</w:t>
      </w:r>
    </w:p>
    <w:p w14:paraId="7E17E41D" w14:textId="77777777" w:rsidR="005311F1" w:rsidRPr="002A62AD" w:rsidRDefault="005311F1" w:rsidP="005311F1">
      <w:pPr>
        <w:spacing w:after="0" w:line="480" w:lineRule="auto"/>
        <w:ind w:firstLine="567"/>
        <w:rPr>
          <w:sz w:val="24"/>
          <w:szCs w:val="24"/>
          <w:lang w:val="en-US"/>
        </w:rPr>
      </w:pPr>
      <w:r w:rsidRPr="000F2034">
        <w:rPr>
          <w:sz w:val="24"/>
          <w:szCs w:val="24"/>
        </w:rPr>
        <w:t xml:space="preserve">Brier MR, Gordon B, Friedrichsen K, McCarthy J, Stern A, Christensen J, et al. </w:t>
      </w:r>
      <w:r w:rsidRPr="008343B2">
        <w:rPr>
          <w:sz w:val="24"/>
          <w:szCs w:val="24"/>
          <w:lang w:val="en-US"/>
        </w:rPr>
        <w:t>Tau and A</w:t>
      </w:r>
      <w:r w:rsidRPr="00A907BD">
        <w:rPr>
          <w:sz w:val="24"/>
          <w:szCs w:val="24"/>
        </w:rPr>
        <w:t>β</w:t>
      </w:r>
      <w:r w:rsidRPr="008343B2">
        <w:rPr>
          <w:sz w:val="24"/>
          <w:szCs w:val="24"/>
          <w:lang w:val="en-US"/>
        </w:rPr>
        <w:t xml:space="preserve"> imaging, CSF measures, and cognition in Alzheimer’s dis</w:t>
      </w:r>
      <w:r w:rsidR="00393401" w:rsidRPr="008343B2">
        <w:rPr>
          <w:sz w:val="24"/>
          <w:szCs w:val="24"/>
          <w:lang w:val="en-US"/>
        </w:rPr>
        <w:t xml:space="preserve">ease. </w:t>
      </w:r>
      <w:r w:rsidR="00AF59D3" w:rsidRPr="002A62AD">
        <w:rPr>
          <w:sz w:val="24"/>
          <w:szCs w:val="24"/>
          <w:lang w:val="en-US"/>
        </w:rPr>
        <w:t xml:space="preserve">Sci Transl Med </w:t>
      </w:r>
      <w:proofErr w:type="gramStart"/>
      <w:r w:rsidR="00AF59D3" w:rsidRPr="002A62AD">
        <w:rPr>
          <w:sz w:val="24"/>
          <w:szCs w:val="24"/>
          <w:lang w:val="en-US"/>
        </w:rPr>
        <w:t>2016;8:338</w:t>
      </w:r>
      <w:proofErr w:type="gramEnd"/>
      <w:r w:rsidR="00AF59D3" w:rsidRPr="002A62AD">
        <w:rPr>
          <w:sz w:val="24"/>
          <w:szCs w:val="24"/>
          <w:lang w:val="en-US"/>
        </w:rPr>
        <w:t>-66.</w:t>
      </w:r>
    </w:p>
    <w:p w14:paraId="75972F0F" w14:textId="77777777" w:rsidR="00D94634" w:rsidRPr="00D94634" w:rsidRDefault="00D94634" w:rsidP="00D94634">
      <w:pPr>
        <w:spacing w:after="0" w:line="480" w:lineRule="auto"/>
        <w:ind w:firstLine="567"/>
        <w:rPr>
          <w:sz w:val="24"/>
          <w:szCs w:val="24"/>
        </w:rPr>
      </w:pPr>
      <w:r w:rsidRPr="002A4B81">
        <w:rPr>
          <w:sz w:val="24"/>
          <w:szCs w:val="24"/>
          <w:lang w:val="en-US"/>
        </w:rPr>
        <w:t xml:space="preserve">Byun MS, Kim SE, Park J, Yi D, Choe YM, Sohn BK, Choi HJ, Baek H, Han JY, Woo JI, Lee DY; Alzheimer’s Disease Neuroimaging Initiative. </w:t>
      </w:r>
      <w:r w:rsidR="00AF59D3" w:rsidRPr="002A62AD">
        <w:rPr>
          <w:sz w:val="24"/>
          <w:szCs w:val="24"/>
          <w:lang w:val="en-US"/>
        </w:rPr>
        <w:t xml:space="preserve">Heterogeneity of Regional Brain Atrophy </w:t>
      </w:r>
      <w:r w:rsidR="00AF59D3" w:rsidRPr="002A62AD">
        <w:rPr>
          <w:sz w:val="24"/>
          <w:szCs w:val="24"/>
          <w:lang w:val="en-US"/>
        </w:rPr>
        <w:lastRenderedPageBreak/>
        <w:t xml:space="preserve">Patterns Associated with Distinct Progression Rates in Alzheimer's Disease. </w:t>
      </w:r>
      <w:r w:rsidRPr="00D94634">
        <w:rPr>
          <w:sz w:val="24"/>
          <w:szCs w:val="24"/>
        </w:rPr>
        <w:t>PLoS One. 2015;10(11</w:t>
      </w:r>
      <w:proofErr w:type="gramStart"/>
      <w:r w:rsidRPr="00D94634">
        <w:rPr>
          <w:sz w:val="24"/>
          <w:szCs w:val="24"/>
        </w:rPr>
        <w:t>):e</w:t>
      </w:r>
      <w:proofErr w:type="gramEnd"/>
      <w:r w:rsidRPr="00D94634">
        <w:rPr>
          <w:sz w:val="24"/>
          <w:szCs w:val="24"/>
        </w:rPr>
        <w:t>0142756.</w:t>
      </w:r>
    </w:p>
    <w:p w14:paraId="43F53C79" w14:textId="02745A0F" w:rsidR="00B52BE9" w:rsidRPr="000F2034" w:rsidRDefault="00B52BE9" w:rsidP="0091201F">
      <w:pPr>
        <w:spacing w:after="0" w:line="480" w:lineRule="auto"/>
        <w:ind w:firstLine="567"/>
        <w:rPr>
          <w:sz w:val="24"/>
          <w:szCs w:val="24"/>
        </w:rPr>
      </w:pPr>
      <w:r>
        <w:rPr>
          <w:sz w:val="24"/>
          <w:szCs w:val="24"/>
        </w:rPr>
        <w:t>Caso F, Agosta F, Mattavelli D, Migliaccio R, Canu E, Magnani G</w:t>
      </w:r>
      <w:r w:rsidRPr="00B52BE9">
        <w:rPr>
          <w:sz w:val="24"/>
          <w:szCs w:val="24"/>
        </w:rPr>
        <w:t>, Mar</w:t>
      </w:r>
      <w:r>
        <w:rPr>
          <w:sz w:val="24"/>
          <w:szCs w:val="24"/>
        </w:rPr>
        <w:t>cone A, Copetti M, Falautano M, Comi G, Falini A, Filippi M</w:t>
      </w:r>
      <w:r w:rsidRPr="00B52BE9">
        <w:rPr>
          <w:sz w:val="24"/>
          <w:szCs w:val="24"/>
        </w:rPr>
        <w:t>.</w:t>
      </w:r>
      <w:r>
        <w:rPr>
          <w:sz w:val="24"/>
          <w:szCs w:val="24"/>
        </w:rPr>
        <w:t xml:space="preserve"> </w:t>
      </w:r>
      <w:r w:rsidR="00AF59D3" w:rsidRPr="00720C3F">
        <w:rPr>
          <w:sz w:val="24"/>
          <w:szCs w:val="24"/>
        </w:rPr>
        <w:t>White Matter Degeneration in Atypical Alzheimer Disease.</w:t>
      </w:r>
      <w:r w:rsidRPr="000F2034">
        <w:rPr>
          <w:sz w:val="24"/>
          <w:szCs w:val="24"/>
          <w:lang w:val="en-US"/>
        </w:rPr>
        <w:t xml:space="preserve"> </w:t>
      </w:r>
      <w:r w:rsidR="002A62AD">
        <w:rPr>
          <w:sz w:val="24"/>
          <w:szCs w:val="24"/>
        </w:rPr>
        <w:t>Radiology. 2015;277(1):162-72</w:t>
      </w:r>
      <w:r w:rsidR="0091201F" w:rsidRPr="002A62AD">
        <w:rPr>
          <w:sz w:val="24"/>
          <w:szCs w:val="24"/>
        </w:rPr>
        <w:t>.</w:t>
      </w:r>
    </w:p>
    <w:p w14:paraId="3BA92D3B" w14:textId="467AC84D" w:rsidR="005311F1" w:rsidRDefault="005311F1" w:rsidP="005311F1">
      <w:pPr>
        <w:spacing w:after="0" w:line="480" w:lineRule="auto"/>
        <w:ind w:firstLine="567"/>
        <w:rPr>
          <w:sz w:val="24"/>
          <w:szCs w:val="24"/>
          <w:lang w:val="en-US"/>
        </w:rPr>
      </w:pPr>
      <w:r w:rsidRPr="008343B2">
        <w:rPr>
          <w:sz w:val="24"/>
          <w:szCs w:val="24"/>
        </w:rPr>
        <w:t xml:space="preserve">Cerami C, Dubois B, Boccardi M, Monsch AU, Demonet JF, Cappa SF. </w:t>
      </w:r>
      <w:r w:rsidRPr="00A907BD">
        <w:rPr>
          <w:sz w:val="24"/>
          <w:szCs w:val="24"/>
          <w:lang w:val="en-US"/>
        </w:rPr>
        <w:t xml:space="preserve">Clinical validity of free and cued wordlist recall as a gateway-biomarker for Alzheimer’s disease in the context of a structured 5-phase development </w:t>
      </w:r>
      <w:proofErr w:type="gramStart"/>
      <w:r w:rsidRPr="00A907BD">
        <w:rPr>
          <w:sz w:val="24"/>
          <w:szCs w:val="24"/>
          <w:lang w:val="en-US"/>
        </w:rPr>
        <w:t xml:space="preserve">framework </w:t>
      </w:r>
      <w:r w:rsidR="002662CD" w:rsidRPr="00A907BD">
        <w:rPr>
          <w:sz w:val="24"/>
          <w:szCs w:val="24"/>
          <w:lang w:val="en-US"/>
        </w:rPr>
        <w:t>.</w:t>
      </w:r>
      <w:proofErr w:type="gramEnd"/>
      <w:r w:rsidR="002662CD" w:rsidRPr="00A907BD">
        <w:rPr>
          <w:sz w:val="24"/>
          <w:szCs w:val="24"/>
          <w:lang w:val="en-US"/>
        </w:rPr>
        <w:t xml:space="preserve"> Neurobiol Aging 201</w:t>
      </w:r>
      <w:r w:rsidR="00DC56A8">
        <w:rPr>
          <w:sz w:val="24"/>
          <w:szCs w:val="24"/>
          <w:lang w:val="en-US"/>
        </w:rPr>
        <w:t>7</w:t>
      </w:r>
      <w:r w:rsidR="002662CD" w:rsidRPr="00A907BD">
        <w:rPr>
          <w:sz w:val="24"/>
          <w:szCs w:val="24"/>
          <w:lang w:val="en-US"/>
        </w:rPr>
        <w:t xml:space="preserve"> </w:t>
      </w:r>
      <w:r w:rsidRPr="00A907BD">
        <w:rPr>
          <w:sz w:val="24"/>
          <w:szCs w:val="24"/>
          <w:lang w:val="en-US"/>
        </w:rPr>
        <w:t>(</w:t>
      </w:r>
      <w:r w:rsidR="002662CD" w:rsidRPr="00A907BD">
        <w:rPr>
          <w:sz w:val="24"/>
          <w:szCs w:val="24"/>
          <w:lang w:val="en-US"/>
        </w:rPr>
        <w:t>in this issue</w:t>
      </w:r>
      <w:r w:rsidRPr="00A907BD">
        <w:rPr>
          <w:sz w:val="24"/>
          <w:szCs w:val="24"/>
          <w:lang w:val="en-US"/>
        </w:rPr>
        <w:t>).</w:t>
      </w:r>
    </w:p>
    <w:p w14:paraId="6438FEBB" w14:textId="77777777" w:rsidR="00865773" w:rsidRPr="000F2034" w:rsidRDefault="00865773" w:rsidP="00865773">
      <w:pPr>
        <w:spacing w:after="0" w:line="480" w:lineRule="auto"/>
        <w:ind w:firstLine="567"/>
        <w:rPr>
          <w:sz w:val="24"/>
          <w:szCs w:val="24"/>
          <w:lang w:val="en-US"/>
        </w:rPr>
      </w:pPr>
      <w:r w:rsidRPr="00C425FF">
        <w:rPr>
          <w:sz w:val="24"/>
          <w:szCs w:val="24"/>
          <w:lang w:val="en-US"/>
        </w:rPr>
        <w:t>Cesari M, Vellas B, Hsu FC, Newman AB, Doss H, King AC, Manini TM, Church T, Gill TM, Miller ME, Pahor M; LIFE Study Group.</w:t>
      </w:r>
      <w:r>
        <w:rPr>
          <w:sz w:val="24"/>
          <w:szCs w:val="24"/>
          <w:lang w:val="en-US"/>
        </w:rPr>
        <w:t xml:space="preserve"> </w:t>
      </w:r>
      <w:r w:rsidRPr="00C425FF">
        <w:rPr>
          <w:sz w:val="24"/>
          <w:szCs w:val="24"/>
          <w:lang w:val="en-US"/>
        </w:rPr>
        <w:t>A physical activity intervention to treat the frailty syndrome in older persons-results from the LIFE-P study.</w:t>
      </w:r>
      <w:r>
        <w:rPr>
          <w:sz w:val="24"/>
          <w:szCs w:val="24"/>
          <w:lang w:val="en-US"/>
        </w:rPr>
        <w:t xml:space="preserve"> </w:t>
      </w:r>
      <w:r w:rsidRPr="009F1C70">
        <w:rPr>
          <w:sz w:val="24"/>
          <w:szCs w:val="24"/>
          <w:lang w:val="en-US"/>
        </w:rPr>
        <w:t>J G</w:t>
      </w:r>
      <w:r w:rsidRPr="00B0052B">
        <w:rPr>
          <w:sz w:val="24"/>
          <w:szCs w:val="24"/>
          <w:lang w:val="en-US"/>
        </w:rPr>
        <w:t xml:space="preserve">erontol A Biol Sci Med Sci </w:t>
      </w:r>
      <w:proofErr w:type="gramStart"/>
      <w:r w:rsidRPr="00B0052B">
        <w:rPr>
          <w:sz w:val="24"/>
          <w:szCs w:val="24"/>
          <w:lang w:val="en-US"/>
        </w:rPr>
        <w:t>2015;70:216</w:t>
      </w:r>
      <w:proofErr w:type="gramEnd"/>
      <w:r w:rsidRPr="00B0052B">
        <w:rPr>
          <w:sz w:val="24"/>
          <w:szCs w:val="24"/>
          <w:lang w:val="en-US"/>
        </w:rPr>
        <w:t xml:space="preserve">-22. </w:t>
      </w:r>
    </w:p>
    <w:p w14:paraId="79914504" w14:textId="397D2230" w:rsidR="005311F1" w:rsidRPr="00A907BD" w:rsidRDefault="00AF59D3" w:rsidP="005311F1">
      <w:pPr>
        <w:spacing w:after="0" w:line="480" w:lineRule="auto"/>
        <w:ind w:firstLine="567"/>
        <w:rPr>
          <w:sz w:val="24"/>
          <w:szCs w:val="24"/>
          <w:lang w:val="en-US"/>
        </w:rPr>
      </w:pPr>
      <w:r w:rsidRPr="00152CA5">
        <w:rPr>
          <w:sz w:val="24"/>
          <w:szCs w:val="24"/>
          <w:lang w:val="en-US"/>
        </w:rPr>
        <w:t xml:space="preserve">Chiotis K, Saint-Aubert L, Boccardi M, Gietl A, Picco A, Varrone A, et al. </w:t>
      </w:r>
      <w:r w:rsidR="005311F1" w:rsidRPr="00A907BD">
        <w:rPr>
          <w:sz w:val="24"/>
          <w:szCs w:val="24"/>
          <w:lang w:val="en-US"/>
        </w:rPr>
        <w:t>Clinical validity of increased cortical uptake of amyloid ligands on PET as a biomarker for Alzheimer's disease in the context of a structured</w:t>
      </w:r>
      <w:r w:rsidR="002662CD" w:rsidRPr="00A907BD">
        <w:rPr>
          <w:sz w:val="24"/>
          <w:szCs w:val="24"/>
          <w:lang w:val="en-US"/>
        </w:rPr>
        <w:t xml:space="preserve"> 5-phase developmen</w:t>
      </w:r>
      <w:r w:rsidR="005525F3">
        <w:rPr>
          <w:sz w:val="24"/>
          <w:szCs w:val="24"/>
          <w:lang w:val="en-US"/>
        </w:rPr>
        <w:t>t framework Neurobiol Aging 2017</w:t>
      </w:r>
      <w:r w:rsidR="002662CD" w:rsidRPr="00A907BD">
        <w:rPr>
          <w:sz w:val="24"/>
          <w:szCs w:val="24"/>
          <w:lang w:val="en-US"/>
        </w:rPr>
        <w:t xml:space="preserve"> (in this issue).</w:t>
      </w:r>
    </w:p>
    <w:p w14:paraId="551198AC" w14:textId="77777777" w:rsidR="005311F1" w:rsidRPr="00A907BD" w:rsidRDefault="005311F1" w:rsidP="005311F1">
      <w:pPr>
        <w:spacing w:after="0" w:line="480" w:lineRule="auto"/>
        <w:ind w:firstLine="567"/>
        <w:rPr>
          <w:sz w:val="24"/>
          <w:szCs w:val="24"/>
          <w:lang w:val="en-US"/>
        </w:rPr>
      </w:pPr>
      <w:r w:rsidRPr="00A907BD">
        <w:rPr>
          <w:rFonts w:eastAsiaTheme="minorEastAsia" w:cs="Times New Roman"/>
          <w:sz w:val="24"/>
          <w:szCs w:val="24"/>
          <w:lang w:val="en-US" w:eastAsia="it-IT"/>
        </w:rPr>
        <w:t xml:space="preserve">Cho YH, Yazici H, Wu HC, Terry MB, Gonzalez K, Qu M, et al. Aberrant promoter hypermethylation and genomic hypomethylation in tumor, adjacent normal tissues and blood from breast </w:t>
      </w:r>
      <w:r w:rsidR="00951F4F" w:rsidRPr="00A907BD">
        <w:rPr>
          <w:rFonts w:eastAsiaTheme="minorEastAsia" w:cs="Times New Roman"/>
          <w:sz w:val="24"/>
          <w:szCs w:val="24"/>
          <w:lang w:val="en-US" w:eastAsia="it-IT"/>
        </w:rPr>
        <w:t xml:space="preserve">cancer patients. Anticancer Res </w:t>
      </w:r>
      <w:proofErr w:type="gramStart"/>
      <w:r w:rsidR="00951F4F" w:rsidRPr="00A907BD">
        <w:rPr>
          <w:rFonts w:eastAsiaTheme="minorEastAsia" w:cs="Times New Roman"/>
          <w:sz w:val="24"/>
          <w:szCs w:val="24"/>
          <w:lang w:val="en-US" w:eastAsia="it-IT"/>
        </w:rPr>
        <w:t>2010;30</w:t>
      </w:r>
      <w:r w:rsidRPr="00A907BD">
        <w:rPr>
          <w:rFonts w:eastAsiaTheme="minorEastAsia" w:cs="Times New Roman"/>
          <w:sz w:val="24"/>
          <w:szCs w:val="24"/>
          <w:lang w:val="en-US" w:eastAsia="it-IT"/>
        </w:rPr>
        <w:t>:2489</w:t>
      </w:r>
      <w:proofErr w:type="gramEnd"/>
      <w:r w:rsidRPr="00A907BD">
        <w:rPr>
          <w:rFonts w:eastAsia="XcrhwnAdvTTb5929f4c+20" w:cs="Times New Roman"/>
          <w:sz w:val="24"/>
          <w:szCs w:val="24"/>
          <w:lang w:val="en-US" w:eastAsia="it-IT"/>
        </w:rPr>
        <w:t>–</w:t>
      </w:r>
      <w:r w:rsidRPr="00A907BD">
        <w:rPr>
          <w:rFonts w:eastAsiaTheme="minorEastAsia" w:cs="Times New Roman"/>
          <w:sz w:val="24"/>
          <w:szCs w:val="24"/>
          <w:lang w:val="en-US" w:eastAsia="it-IT"/>
        </w:rPr>
        <w:t>96</w:t>
      </w:r>
    </w:p>
    <w:p w14:paraId="1F1ADFD2" w14:textId="77777777" w:rsidR="005311F1" w:rsidRDefault="005311F1" w:rsidP="005311F1">
      <w:pPr>
        <w:spacing w:after="0" w:line="480" w:lineRule="auto"/>
        <w:ind w:firstLine="567"/>
        <w:rPr>
          <w:sz w:val="24"/>
          <w:szCs w:val="24"/>
          <w:lang w:val="en-US"/>
        </w:rPr>
      </w:pPr>
      <w:r w:rsidRPr="00A907BD">
        <w:rPr>
          <w:sz w:val="24"/>
          <w:szCs w:val="24"/>
          <w:lang w:val="en-US"/>
        </w:rPr>
        <w:t xml:space="preserve">de Leon, M.J., George, A.E., Ferris, S.H., Rosenbloom, S., Christman, D.R., Gentes, C.I., Reisberg, B., Kricheff, II, Wolf, A.P. Regional correlation of PET and CT in senile dementia of the Alzheimer type. AJNR Am J Neuroradiol </w:t>
      </w:r>
      <w:proofErr w:type="gramStart"/>
      <w:r w:rsidR="00986D8F" w:rsidRPr="00A907BD">
        <w:rPr>
          <w:sz w:val="24"/>
          <w:szCs w:val="24"/>
          <w:lang w:val="en-US"/>
        </w:rPr>
        <w:t>1983;4:</w:t>
      </w:r>
      <w:r w:rsidRPr="00A907BD">
        <w:rPr>
          <w:sz w:val="24"/>
          <w:szCs w:val="24"/>
          <w:lang w:val="en-US"/>
        </w:rPr>
        <w:t>553</w:t>
      </w:r>
      <w:proofErr w:type="gramEnd"/>
      <w:r w:rsidRPr="00A907BD">
        <w:rPr>
          <w:sz w:val="24"/>
          <w:szCs w:val="24"/>
          <w:lang w:val="en-US"/>
        </w:rPr>
        <w:t>-6.</w:t>
      </w:r>
    </w:p>
    <w:p w14:paraId="65092CE4" w14:textId="77777777" w:rsidR="00D91329" w:rsidRPr="00A907BD" w:rsidRDefault="00D91329" w:rsidP="00D91329">
      <w:pPr>
        <w:spacing w:after="0" w:line="480" w:lineRule="auto"/>
        <w:ind w:firstLine="567"/>
        <w:rPr>
          <w:sz w:val="24"/>
          <w:szCs w:val="24"/>
          <w:lang w:val="en-US"/>
        </w:rPr>
      </w:pPr>
      <w:r w:rsidRPr="00ED2AC0">
        <w:rPr>
          <w:sz w:val="24"/>
          <w:szCs w:val="24"/>
          <w:lang w:val="en-US"/>
        </w:rPr>
        <w:t xml:space="preserve">de Souto Barreto P, Denormandie P, Lepage B, Armaingaud D, Rapp T, Chauvin P, Vellas B, Rolland Y. Effects of a long-term exercise programme on functional ability in people with </w:t>
      </w:r>
      <w:r w:rsidRPr="00ED2AC0">
        <w:rPr>
          <w:sz w:val="24"/>
          <w:szCs w:val="24"/>
          <w:lang w:val="en-US"/>
        </w:rPr>
        <w:lastRenderedPageBreak/>
        <w:t xml:space="preserve">dementia living in nursing homes: Research protocol of the LEDEN study, a cluster randomised controlled trial. Contemp Clin Trials. </w:t>
      </w:r>
      <w:proofErr w:type="gramStart"/>
      <w:r w:rsidRPr="00ED2AC0">
        <w:rPr>
          <w:sz w:val="24"/>
          <w:szCs w:val="24"/>
          <w:lang w:val="en-US"/>
        </w:rPr>
        <w:t>2016;47:289</w:t>
      </w:r>
      <w:proofErr w:type="gramEnd"/>
      <w:r w:rsidRPr="00ED2AC0">
        <w:rPr>
          <w:sz w:val="24"/>
          <w:szCs w:val="24"/>
          <w:lang w:val="en-US"/>
        </w:rPr>
        <w:t>-95.</w:t>
      </w:r>
    </w:p>
    <w:p w14:paraId="2C0C0A1C" w14:textId="77777777" w:rsidR="005311F1" w:rsidRDefault="005311F1" w:rsidP="005311F1">
      <w:pPr>
        <w:spacing w:after="0" w:line="480" w:lineRule="auto"/>
        <w:ind w:firstLine="567"/>
        <w:rPr>
          <w:sz w:val="24"/>
          <w:szCs w:val="24"/>
          <w:lang w:val="en-US"/>
        </w:rPr>
      </w:pPr>
      <w:r w:rsidRPr="00A907BD">
        <w:rPr>
          <w:sz w:val="24"/>
          <w:szCs w:val="24"/>
          <w:lang w:val="en-US"/>
        </w:rPr>
        <w:t>Dubois B, Feldman HH, Jacova C, Dekosky ST, Barberger-Gateau P, Cummings J, Delacourte A, Galasko D, Gauthier S, Jicha G, Meguro K, O'brien J, Pasquier F, Robert P, Rossor M, Salloway S, Stern Y, Visser PJ, Scheltens P. Research criteria for the diagnosis of Alzheimer's disease: revising the NINCD</w:t>
      </w:r>
      <w:r w:rsidR="00986D8F" w:rsidRPr="00A907BD">
        <w:rPr>
          <w:sz w:val="24"/>
          <w:szCs w:val="24"/>
          <w:lang w:val="en-US"/>
        </w:rPr>
        <w:t xml:space="preserve">S-ADRDA criteria. Lancet Neurol </w:t>
      </w:r>
      <w:proofErr w:type="gramStart"/>
      <w:r w:rsidR="00986D8F" w:rsidRPr="00A907BD">
        <w:rPr>
          <w:sz w:val="24"/>
          <w:szCs w:val="24"/>
          <w:lang w:val="en-US"/>
        </w:rPr>
        <w:t>2007;6</w:t>
      </w:r>
      <w:r w:rsidRPr="00A907BD">
        <w:rPr>
          <w:sz w:val="24"/>
          <w:szCs w:val="24"/>
          <w:lang w:val="en-US"/>
        </w:rPr>
        <w:t>:734</w:t>
      </w:r>
      <w:proofErr w:type="gramEnd"/>
      <w:r w:rsidRPr="00A907BD">
        <w:rPr>
          <w:sz w:val="24"/>
          <w:szCs w:val="24"/>
          <w:lang w:val="en-US"/>
        </w:rPr>
        <w:t>-46.</w:t>
      </w:r>
    </w:p>
    <w:p w14:paraId="29EB5722" w14:textId="6EB66AEF" w:rsidR="005162F9" w:rsidRPr="00A907BD" w:rsidRDefault="005162F9" w:rsidP="005162F9">
      <w:pPr>
        <w:spacing w:after="0" w:line="480" w:lineRule="auto"/>
        <w:ind w:firstLine="567"/>
        <w:rPr>
          <w:sz w:val="24"/>
          <w:szCs w:val="24"/>
          <w:lang w:val="en-US"/>
        </w:rPr>
      </w:pPr>
      <w:r w:rsidRPr="005162F9">
        <w:rPr>
          <w:sz w:val="24"/>
          <w:szCs w:val="24"/>
          <w:lang w:val="en-US"/>
        </w:rPr>
        <w:t>Dubois B, Feldman HH, Jacova C, Cummings JL, Dekosky ST, Barberger-Gateau P, Delacourte A, Frisoni G, Fox NC, Galasko D, Gauthier S, Hampel H, Jicha GA, Meguro K, O'Brien J, Pasquier F, Robert P, Rossor M, Salloway S, Sarazin M, de Souza LC, Stern Y, Visser PJ, Scheltens P.</w:t>
      </w:r>
      <w:r>
        <w:rPr>
          <w:sz w:val="24"/>
          <w:szCs w:val="24"/>
          <w:lang w:val="en-US"/>
        </w:rPr>
        <w:t xml:space="preserve"> </w:t>
      </w:r>
      <w:r w:rsidRPr="005162F9">
        <w:rPr>
          <w:sz w:val="24"/>
          <w:szCs w:val="24"/>
          <w:lang w:val="en-US"/>
        </w:rPr>
        <w:t>Revising the definition of Alzheimer's disease: a new lexicon.</w:t>
      </w:r>
      <w:r>
        <w:rPr>
          <w:sz w:val="24"/>
          <w:szCs w:val="24"/>
          <w:lang w:val="en-US"/>
        </w:rPr>
        <w:t xml:space="preserve"> </w:t>
      </w:r>
      <w:r w:rsidRPr="005162F9">
        <w:rPr>
          <w:sz w:val="24"/>
          <w:szCs w:val="24"/>
          <w:lang w:val="en-US"/>
        </w:rPr>
        <w:t>Lancet Neurol. 2010;9(11):1118-27.</w:t>
      </w:r>
    </w:p>
    <w:p w14:paraId="64ECA17F" w14:textId="77777777" w:rsidR="005311F1" w:rsidRPr="00A907BD" w:rsidRDefault="005311F1" w:rsidP="005311F1">
      <w:pPr>
        <w:spacing w:after="0" w:line="480" w:lineRule="auto"/>
        <w:ind w:firstLine="567"/>
        <w:rPr>
          <w:sz w:val="24"/>
          <w:szCs w:val="24"/>
          <w:lang w:val="en-US"/>
        </w:rPr>
      </w:pPr>
      <w:r w:rsidRPr="00A907BD">
        <w:rPr>
          <w:sz w:val="24"/>
          <w:szCs w:val="24"/>
          <w:lang w:val="en-US"/>
        </w:rPr>
        <w:t>Dubois B, Feldman HH, Jacova C, Hampel H, Molinuevo JL, Blennow K, DeKosky ST, Gauthier S, Selkoe D, Bateman R, Cappa S, Crutch S, Engelborghs S, Frisoni GB, Fox NC, Galasko D, Habert MO, Jicha GA, Nordberg A, Pasquier F, Rabinovici G, Robert P, Rowe C, Salloway S, Sarazin M, Epelbaum S, de Souza LC, Vellas B, Visser PJ, Schneider L, Stern Y, Scheltens P, Cummings JL. Advancing research diagnostic criteria for Alzheimer's disease: th</w:t>
      </w:r>
      <w:r w:rsidR="00986D8F" w:rsidRPr="00A907BD">
        <w:rPr>
          <w:sz w:val="24"/>
          <w:szCs w:val="24"/>
          <w:lang w:val="en-US"/>
        </w:rPr>
        <w:t xml:space="preserve">e IWG-2 criteria. Lancet Neurol </w:t>
      </w:r>
      <w:proofErr w:type="gramStart"/>
      <w:r w:rsidR="00986D8F" w:rsidRPr="00A907BD">
        <w:rPr>
          <w:sz w:val="24"/>
          <w:szCs w:val="24"/>
          <w:lang w:val="en-US"/>
        </w:rPr>
        <w:t>2014;13</w:t>
      </w:r>
      <w:r w:rsidRPr="00A907BD">
        <w:rPr>
          <w:sz w:val="24"/>
          <w:szCs w:val="24"/>
          <w:lang w:val="en-US"/>
        </w:rPr>
        <w:t>:614</w:t>
      </w:r>
      <w:proofErr w:type="gramEnd"/>
      <w:r w:rsidRPr="00A907BD">
        <w:rPr>
          <w:sz w:val="24"/>
          <w:szCs w:val="24"/>
          <w:lang w:val="en-US"/>
        </w:rPr>
        <w:t>-29.</w:t>
      </w:r>
    </w:p>
    <w:p w14:paraId="64FC705B" w14:textId="77777777" w:rsidR="005311F1" w:rsidRPr="00A907BD" w:rsidRDefault="00986D8F" w:rsidP="005311F1">
      <w:pPr>
        <w:spacing w:after="0" w:line="480" w:lineRule="auto"/>
        <w:ind w:firstLine="567"/>
        <w:rPr>
          <w:sz w:val="24"/>
          <w:szCs w:val="24"/>
          <w:lang w:val="en-US"/>
        </w:rPr>
      </w:pPr>
      <w:r w:rsidRPr="00A907BD">
        <w:rPr>
          <w:sz w:val="24"/>
          <w:szCs w:val="24"/>
          <w:lang w:val="en-US"/>
        </w:rPr>
        <w:t>Eckerstrom C, Andreasson U, Olsson E, Rolstad S, Blennow K</w:t>
      </w:r>
      <w:r w:rsidR="005311F1" w:rsidRPr="00A907BD">
        <w:rPr>
          <w:sz w:val="24"/>
          <w:szCs w:val="24"/>
          <w:lang w:val="en-US"/>
        </w:rPr>
        <w:t>, Zetter</w:t>
      </w:r>
      <w:r w:rsidRPr="00A907BD">
        <w:rPr>
          <w:sz w:val="24"/>
          <w:szCs w:val="24"/>
          <w:lang w:val="en-US"/>
        </w:rPr>
        <w:t>berg H, Malmgren H, Edman A, Wallin</w:t>
      </w:r>
      <w:r w:rsidR="005311F1" w:rsidRPr="00A907BD">
        <w:rPr>
          <w:sz w:val="24"/>
          <w:szCs w:val="24"/>
          <w:lang w:val="en-US"/>
        </w:rPr>
        <w:t xml:space="preserve"> A. Combination of hippocampal volume and cerebrospinal fluid biomarkers improves predictive value in mild cognitive impairment. Dementia and geriatric cognitive disorders </w:t>
      </w:r>
      <w:proofErr w:type="gramStart"/>
      <w:r w:rsidRPr="00A907BD">
        <w:rPr>
          <w:sz w:val="24"/>
          <w:szCs w:val="24"/>
          <w:lang w:val="en-US"/>
        </w:rPr>
        <w:t>2010;29:</w:t>
      </w:r>
      <w:r w:rsidR="005311F1" w:rsidRPr="00A907BD">
        <w:rPr>
          <w:sz w:val="24"/>
          <w:szCs w:val="24"/>
          <w:lang w:val="en-US"/>
        </w:rPr>
        <w:t>294</w:t>
      </w:r>
      <w:proofErr w:type="gramEnd"/>
      <w:r w:rsidR="005311F1" w:rsidRPr="00A907BD">
        <w:rPr>
          <w:sz w:val="24"/>
          <w:szCs w:val="24"/>
          <w:lang w:val="en-US"/>
        </w:rPr>
        <w:t>-300.</w:t>
      </w:r>
    </w:p>
    <w:p w14:paraId="436F507D" w14:textId="77777777" w:rsidR="005311F1" w:rsidRPr="00A907BD" w:rsidRDefault="005311F1" w:rsidP="005311F1">
      <w:pPr>
        <w:spacing w:after="0" w:line="480" w:lineRule="auto"/>
        <w:ind w:firstLine="567"/>
        <w:rPr>
          <w:sz w:val="24"/>
          <w:szCs w:val="24"/>
          <w:lang w:val="en-US"/>
        </w:rPr>
      </w:pPr>
      <w:r w:rsidRPr="00A907BD">
        <w:rPr>
          <w:sz w:val="24"/>
          <w:szCs w:val="24"/>
          <w:lang w:val="en-US"/>
        </w:rPr>
        <w:t xml:space="preserve">Fasanelli F, Baglietto L, Ponzi E, Guida F, Campanella G, Johansson M, Grankvist K, Johansson M, Assumma MB, Naccarati A, Chadeau-Hyam M, Ala U, Faltus C, Kaaks R, Risch A, De Stavola B, Hodge A, Giles GG, Southey MC, Relton CL, Haycock PC, Lund E, Polidoro S, </w:t>
      </w:r>
      <w:r w:rsidRPr="00A907BD">
        <w:rPr>
          <w:sz w:val="24"/>
          <w:szCs w:val="24"/>
          <w:lang w:val="en-US"/>
        </w:rPr>
        <w:lastRenderedPageBreak/>
        <w:t xml:space="preserve">Sandanger TM, Severi G, Vineis P. Hypomethylation of smoking-related genes is associated with future lung cancer in four </w:t>
      </w:r>
      <w:r w:rsidR="00772AD2" w:rsidRPr="00A907BD">
        <w:rPr>
          <w:sz w:val="24"/>
          <w:szCs w:val="24"/>
          <w:lang w:val="en-US"/>
        </w:rPr>
        <w:t>prospect</w:t>
      </w:r>
      <w:r w:rsidR="00CA26AC" w:rsidRPr="00A907BD">
        <w:rPr>
          <w:sz w:val="24"/>
          <w:szCs w:val="24"/>
          <w:lang w:val="en-US"/>
        </w:rPr>
        <w:t xml:space="preserve">ive cohorts. Nat Commun </w:t>
      </w:r>
      <w:proofErr w:type="gramStart"/>
      <w:r w:rsidR="00CA26AC" w:rsidRPr="00A907BD">
        <w:rPr>
          <w:sz w:val="24"/>
          <w:szCs w:val="24"/>
          <w:lang w:val="en-US"/>
        </w:rPr>
        <w:t>2015;6:</w:t>
      </w:r>
      <w:r w:rsidRPr="00A907BD">
        <w:rPr>
          <w:sz w:val="24"/>
          <w:szCs w:val="24"/>
          <w:lang w:val="en-US"/>
        </w:rPr>
        <w:t>10192</w:t>
      </w:r>
      <w:proofErr w:type="gramEnd"/>
      <w:r w:rsidRPr="00A907BD">
        <w:rPr>
          <w:sz w:val="24"/>
          <w:szCs w:val="24"/>
          <w:lang w:val="en-US"/>
        </w:rPr>
        <w:t>.</w:t>
      </w:r>
    </w:p>
    <w:p w14:paraId="206FA7CD" w14:textId="77777777" w:rsidR="005311F1" w:rsidRPr="008343B2" w:rsidRDefault="005311F1" w:rsidP="005311F1">
      <w:pPr>
        <w:spacing w:after="0" w:line="480" w:lineRule="auto"/>
        <w:ind w:firstLine="567"/>
        <w:rPr>
          <w:sz w:val="24"/>
          <w:szCs w:val="24"/>
        </w:rPr>
      </w:pPr>
      <w:r w:rsidRPr="00A907BD">
        <w:rPr>
          <w:sz w:val="24"/>
          <w:szCs w:val="24"/>
          <w:lang w:val="en-US"/>
        </w:rPr>
        <w:t>Feinberg AP, Vogelstein B. Hypomethylation distinguishes genes of some human cancers from their normal</w:t>
      </w:r>
      <w:r w:rsidR="002E34BD" w:rsidRPr="00A907BD">
        <w:rPr>
          <w:sz w:val="24"/>
          <w:szCs w:val="24"/>
          <w:lang w:val="en-US"/>
        </w:rPr>
        <w:t xml:space="preserve"> counterparts. </w:t>
      </w:r>
      <w:r w:rsidR="002E34BD" w:rsidRPr="008343B2">
        <w:rPr>
          <w:sz w:val="24"/>
          <w:szCs w:val="24"/>
        </w:rPr>
        <w:t xml:space="preserve">Nature </w:t>
      </w:r>
      <w:proofErr w:type="gramStart"/>
      <w:r w:rsidR="002E34BD" w:rsidRPr="008343B2">
        <w:rPr>
          <w:sz w:val="24"/>
          <w:szCs w:val="24"/>
        </w:rPr>
        <w:t>1983;301</w:t>
      </w:r>
      <w:r w:rsidRPr="008343B2">
        <w:rPr>
          <w:sz w:val="24"/>
          <w:szCs w:val="24"/>
        </w:rPr>
        <w:t>:89</w:t>
      </w:r>
      <w:proofErr w:type="gramEnd"/>
      <w:r w:rsidRPr="008343B2">
        <w:rPr>
          <w:sz w:val="24"/>
          <w:szCs w:val="24"/>
        </w:rPr>
        <w:t>–92</w:t>
      </w:r>
    </w:p>
    <w:p w14:paraId="76851586" w14:textId="2732E448" w:rsidR="005311F1" w:rsidRPr="008343B2" w:rsidRDefault="005311F1" w:rsidP="005311F1">
      <w:pPr>
        <w:spacing w:after="0" w:line="480" w:lineRule="auto"/>
        <w:ind w:firstLine="567"/>
        <w:rPr>
          <w:sz w:val="24"/>
          <w:szCs w:val="24"/>
        </w:rPr>
      </w:pPr>
      <w:r w:rsidRPr="008343B2">
        <w:rPr>
          <w:sz w:val="24"/>
          <w:szCs w:val="24"/>
        </w:rPr>
        <w:t xml:space="preserve">Garibotto V, Herholtz K, Boccardi M, Picco A, Varrone A, Nordberg A, et al. </w:t>
      </w:r>
      <w:r w:rsidRPr="00A907BD">
        <w:rPr>
          <w:sz w:val="24"/>
          <w:szCs w:val="24"/>
          <w:lang w:val="en-US"/>
        </w:rPr>
        <w:t xml:space="preserve">Clinical validity of FDG-PET as a biomarker for Alzheimer’s disease in the context of a structured 5 –phase development framework. </w:t>
      </w:r>
      <w:r w:rsidR="00CD2D29" w:rsidRPr="008343B2">
        <w:rPr>
          <w:sz w:val="24"/>
          <w:szCs w:val="24"/>
        </w:rPr>
        <w:t>Neurobiol Aging 201</w:t>
      </w:r>
      <w:r w:rsidR="00DC56A8">
        <w:rPr>
          <w:sz w:val="24"/>
          <w:szCs w:val="24"/>
        </w:rPr>
        <w:t>7</w:t>
      </w:r>
      <w:r w:rsidR="00CD2D29" w:rsidRPr="008343B2">
        <w:rPr>
          <w:sz w:val="24"/>
          <w:szCs w:val="24"/>
        </w:rPr>
        <w:t xml:space="preserve"> (in this issue).</w:t>
      </w:r>
    </w:p>
    <w:p w14:paraId="6A979C67" w14:textId="1E7167A4" w:rsidR="005311F1" w:rsidRPr="00A907BD" w:rsidRDefault="005311F1" w:rsidP="005311F1">
      <w:pPr>
        <w:spacing w:after="0" w:line="480" w:lineRule="auto"/>
        <w:ind w:firstLine="567"/>
        <w:rPr>
          <w:sz w:val="24"/>
          <w:szCs w:val="24"/>
          <w:lang w:val="en-US"/>
        </w:rPr>
      </w:pPr>
      <w:r w:rsidRPr="008343B2">
        <w:rPr>
          <w:sz w:val="24"/>
          <w:szCs w:val="24"/>
        </w:rPr>
        <w:t xml:space="preserve">Frisoni GB, D Perani, S Bastianello, G Bernardi, C Porteri, M Boccardi, SF Cappa, M Trabucchi, A Padovani. </w:t>
      </w:r>
      <w:r w:rsidRPr="00A907BD">
        <w:rPr>
          <w:sz w:val="24"/>
          <w:szCs w:val="24"/>
          <w:lang w:val="en-US"/>
        </w:rPr>
        <w:t xml:space="preserve">Biomarkers for the diagnosis of Alzheimer’s disease in clinical practice: the Italian inter-societal roadmap. </w:t>
      </w:r>
      <w:r w:rsidR="005525F3">
        <w:rPr>
          <w:sz w:val="24"/>
          <w:szCs w:val="24"/>
          <w:lang w:val="en-US"/>
        </w:rPr>
        <w:t>Neurobiol Aging 2017</w:t>
      </w:r>
      <w:r w:rsidR="006E4110" w:rsidRPr="00A907BD">
        <w:rPr>
          <w:sz w:val="24"/>
          <w:szCs w:val="24"/>
          <w:lang w:val="en-US"/>
        </w:rPr>
        <w:t xml:space="preserve"> (in this issue)</w:t>
      </w:r>
      <w:r w:rsidRPr="00A907BD">
        <w:rPr>
          <w:sz w:val="24"/>
          <w:szCs w:val="24"/>
          <w:lang w:val="en-US"/>
        </w:rPr>
        <w:t>.</w:t>
      </w:r>
    </w:p>
    <w:p w14:paraId="55581CD1" w14:textId="77777777" w:rsidR="005311F1" w:rsidRPr="00A907BD" w:rsidRDefault="005311F1" w:rsidP="005311F1">
      <w:pPr>
        <w:spacing w:after="0" w:line="480" w:lineRule="auto"/>
        <w:ind w:firstLine="567"/>
        <w:rPr>
          <w:sz w:val="24"/>
          <w:szCs w:val="24"/>
          <w:lang w:val="en-US"/>
        </w:rPr>
      </w:pPr>
      <w:r w:rsidRPr="00A907BD">
        <w:rPr>
          <w:sz w:val="24"/>
          <w:szCs w:val="24"/>
          <w:lang w:val="en-US"/>
        </w:rPr>
        <w:t>Iqbal K, Grundke-Iqbal I. Elevated levels of tau and ubiquitin in brain and cerebrospinal fluid in Alzheimer's disease. Int Psychogeriatr. 1997;9 Suppl 1:289-96; discussion 317-21.</w:t>
      </w:r>
    </w:p>
    <w:p w14:paraId="3056725E" w14:textId="77777777" w:rsidR="005311F1" w:rsidRDefault="005311F1" w:rsidP="005311F1">
      <w:pPr>
        <w:spacing w:after="0" w:line="480" w:lineRule="auto"/>
        <w:ind w:firstLine="567"/>
        <w:rPr>
          <w:sz w:val="24"/>
          <w:szCs w:val="24"/>
          <w:lang w:val="en-US"/>
        </w:rPr>
      </w:pPr>
      <w:r w:rsidRPr="00A907BD">
        <w:rPr>
          <w:sz w:val="24"/>
          <w:szCs w:val="24"/>
          <w:lang w:val="en-US"/>
        </w:rPr>
        <w:t xml:space="preserve">Izumchenko E, Chang X, Brait M, Fertig E, Kagohara LT, Bedi </w:t>
      </w:r>
      <w:proofErr w:type="gramStart"/>
      <w:r w:rsidRPr="00A907BD">
        <w:rPr>
          <w:sz w:val="24"/>
          <w:szCs w:val="24"/>
          <w:lang w:val="en-US"/>
        </w:rPr>
        <w:t xml:space="preserve">A,  </w:t>
      </w:r>
      <w:r w:rsidR="008A47E8" w:rsidRPr="00A907BD">
        <w:rPr>
          <w:sz w:val="24"/>
          <w:szCs w:val="24"/>
          <w:lang w:val="en-US"/>
        </w:rPr>
        <w:t>Marchionni</w:t>
      </w:r>
      <w:proofErr w:type="gramEnd"/>
      <w:r w:rsidR="008A47E8" w:rsidRPr="00A907BD">
        <w:rPr>
          <w:sz w:val="24"/>
          <w:szCs w:val="24"/>
          <w:lang w:val="en-US"/>
        </w:rPr>
        <w:t xml:space="preserve"> L, Agrawal N, Ravi R, Jones S, Hoque MO, Westra WH, Sidransky D</w:t>
      </w:r>
      <w:r w:rsidRPr="00A907BD">
        <w:rPr>
          <w:sz w:val="24"/>
          <w:szCs w:val="24"/>
          <w:lang w:val="en-US"/>
        </w:rPr>
        <w:t xml:space="preserve">. Targeted sequencing reveals clonal genetic changes in the progression of early lung neoplasms and paired circulating DNA. Nat Commun </w:t>
      </w:r>
      <w:proofErr w:type="gramStart"/>
      <w:r w:rsidRPr="00A907BD">
        <w:rPr>
          <w:sz w:val="24"/>
          <w:szCs w:val="24"/>
          <w:lang w:val="en-US"/>
        </w:rPr>
        <w:t>2015;6:8258</w:t>
      </w:r>
      <w:proofErr w:type="gramEnd"/>
      <w:r w:rsidRPr="00A907BD">
        <w:rPr>
          <w:sz w:val="24"/>
          <w:szCs w:val="24"/>
          <w:lang w:val="en-US"/>
        </w:rPr>
        <w:t>.</w:t>
      </w:r>
      <w:bookmarkStart w:id="0" w:name="_GoBack"/>
    </w:p>
    <w:p w14:paraId="7F6E3DF6" w14:textId="77777777" w:rsidR="00F22877" w:rsidRDefault="00F22877" w:rsidP="00F22877">
      <w:pPr>
        <w:spacing w:after="0" w:line="480" w:lineRule="auto"/>
        <w:ind w:firstLine="567"/>
        <w:rPr>
          <w:sz w:val="24"/>
          <w:szCs w:val="24"/>
          <w:lang w:val="en-US"/>
        </w:rPr>
      </w:pPr>
      <w:r w:rsidRPr="00F22877">
        <w:rPr>
          <w:sz w:val="24"/>
          <w:szCs w:val="24"/>
          <w:lang w:val="en-US"/>
        </w:rPr>
        <w:t>Jessen F, Amariglio RE, van Boxtel M, Breteler M, Ceccaldi M, Chételat G, Dubois B, Dufouil C, Ellis KA, van der Flier WM, Glodzik L, van Harten AC, de Leon MJ, McHugh P, Mielke MM, Molinuevo JL, Mosconi L, Osorio RS, Perrotin A, Petersen RC, Rabin LA, Rami L, Reisberg B, Rentz DM, Sachdev PS, de la Sayette V, Saykin AJ, Scheltens P, Shulman MB, Slavin MJ, Sperling RA, Stewart R, Uspenskaya O, Vellas B, Visser PJ, Wagner M; Subjective Cognitive Decline In</w:t>
      </w:r>
      <w:r>
        <w:rPr>
          <w:sz w:val="24"/>
          <w:szCs w:val="24"/>
          <w:lang w:val="en-US"/>
        </w:rPr>
        <w:t xml:space="preserve">itiative (SCD-I) Working Group. </w:t>
      </w:r>
      <w:r w:rsidRPr="00F22877">
        <w:rPr>
          <w:sz w:val="24"/>
          <w:szCs w:val="24"/>
          <w:lang w:val="en-US"/>
        </w:rPr>
        <w:t>A conceptual framework for research on subjective cognitive decline in p</w:t>
      </w:r>
      <w:r>
        <w:rPr>
          <w:sz w:val="24"/>
          <w:szCs w:val="24"/>
          <w:lang w:val="en-US"/>
        </w:rPr>
        <w:t xml:space="preserve">reclinical Alzheimer's disease. </w:t>
      </w:r>
      <w:r w:rsidRPr="00F22877">
        <w:rPr>
          <w:sz w:val="24"/>
          <w:szCs w:val="24"/>
          <w:lang w:val="en-US"/>
        </w:rPr>
        <w:t xml:space="preserve">Alzheimers Dement. </w:t>
      </w:r>
      <w:proofErr w:type="gramStart"/>
      <w:r w:rsidRPr="00F22877">
        <w:rPr>
          <w:sz w:val="24"/>
          <w:szCs w:val="24"/>
          <w:lang w:val="en-US"/>
        </w:rPr>
        <w:t>2014</w:t>
      </w:r>
      <w:r w:rsidR="005A5430">
        <w:rPr>
          <w:sz w:val="24"/>
          <w:szCs w:val="24"/>
          <w:lang w:val="en-US"/>
        </w:rPr>
        <w:t>;10</w:t>
      </w:r>
      <w:r w:rsidRPr="00F22877">
        <w:rPr>
          <w:sz w:val="24"/>
          <w:szCs w:val="24"/>
          <w:lang w:val="en-US"/>
        </w:rPr>
        <w:t>:844</w:t>
      </w:r>
      <w:proofErr w:type="gramEnd"/>
      <w:r w:rsidRPr="00F22877">
        <w:rPr>
          <w:sz w:val="24"/>
          <w:szCs w:val="24"/>
          <w:lang w:val="en-US"/>
        </w:rPr>
        <w:t>-52.</w:t>
      </w:r>
    </w:p>
    <w:p w14:paraId="434C00F3" w14:textId="77777777" w:rsidR="00696FB9" w:rsidRPr="00A907BD" w:rsidRDefault="00AF59D3" w:rsidP="00696FB9">
      <w:pPr>
        <w:spacing w:after="0" w:line="480" w:lineRule="auto"/>
        <w:ind w:firstLine="567"/>
        <w:rPr>
          <w:sz w:val="24"/>
          <w:szCs w:val="24"/>
          <w:lang w:val="en-US"/>
        </w:rPr>
      </w:pPr>
      <w:r w:rsidRPr="00720C3F">
        <w:rPr>
          <w:sz w:val="24"/>
          <w:szCs w:val="24"/>
          <w:lang w:val="en-US"/>
        </w:rPr>
        <w:lastRenderedPageBreak/>
        <w:t xml:space="preserve">Kivipelto M, Solomon A, Ahtiluoto S, et al. </w:t>
      </w:r>
      <w:r w:rsidR="006C1877" w:rsidRPr="006C1877">
        <w:rPr>
          <w:sz w:val="24"/>
          <w:szCs w:val="24"/>
          <w:lang w:val="en-US"/>
        </w:rPr>
        <w:t>The Finnish Geriatric Intervention Study to Prevent Cognitive Impairment and Disability (FINGER): study design and progress. Alzheimers Dement 2013; 9:657–65</w:t>
      </w:r>
      <w:r w:rsidR="006C1877">
        <w:rPr>
          <w:sz w:val="24"/>
          <w:szCs w:val="24"/>
          <w:lang w:val="en-US"/>
        </w:rPr>
        <w:t>.</w:t>
      </w:r>
      <w:bookmarkEnd w:id="0"/>
    </w:p>
    <w:p w14:paraId="55CD4A69" w14:textId="77777777" w:rsidR="007256E9" w:rsidRDefault="005311F1" w:rsidP="007256E9">
      <w:pPr>
        <w:spacing w:after="0" w:line="480" w:lineRule="auto"/>
        <w:ind w:firstLine="567"/>
        <w:rPr>
          <w:sz w:val="24"/>
          <w:szCs w:val="24"/>
          <w:lang w:val="en-US"/>
        </w:rPr>
      </w:pPr>
      <w:r w:rsidRPr="00A907BD">
        <w:rPr>
          <w:sz w:val="24"/>
          <w:szCs w:val="24"/>
          <w:lang w:val="en-US"/>
        </w:rPr>
        <w:t>Jack CR Jr, Knopman DS, Jagust WJ, Petersen RC, Weiner MW, Aisen PS, Shaw LM, Vemuri P, Wiste HJ, Weigand SD, Lesnick TG, Pankratz VS, Donohue MC, Trojanowski JQ. Tracking pathophysiological processes in Alzheimer's disease: an updated hypothetical model of dy</w:t>
      </w:r>
      <w:r w:rsidR="00FC3B4E" w:rsidRPr="00A907BD">
        <w:rPr>
          <w:sz w:val="24"/>
          <w:szCs w:val="24"/>
          <w:lang w:val="en-US"/>
        </w:rPr>
        <w:t>namic biomarkers. Lancet Neurol</w:t>
      </w:r>
      <w:r w:rsidRPr="00A907BD">
        <w:rPr>
          <w:sz w:val="24"/>
          <w:szCs w:val="24"/>
          <w:lang w:val="en-US"/>
        </w:rPr>
        <w:t xml:space="preserve"> </w:t>
      </w:r>
      <w:proofErr w:type="gramStart"/>
      <w:r w:rsidRPr="00A907BD">
        <w:rPr>
          <w:sz w:val="24"/>
          <w:szCs w:val="24"/>
          <w:lang w:val="en-US"/>
        </w:rPr>
        <w:t>2013</w:t>
      </w:r>
      <w:r w:rsidR="00FC3B4E" w:rsidRPr="00A907BD">
        <w:rPr>
          <w:sz w:val="24"/>
          <w:szCs w:val="24"/>
          <w:lang w:val="en-US"/>
        </w:rPr>
        <w:t>;12</w:t>
      </w:r>
      <w:r w:rsidRPr="00A907BD">
        <w:rPr>
          <w:sz w:val="24"/>
          <w:szCs w:val="24"/>
          <w:lang w:val="en-US"/>
        </w:rPr>
        <w:t>:207</w:t>
      </w:r>
      <w:proofErr w:type="gramEnd"/>
      <w:r w:rsidRPr="00A907BD">
        <w:rPr>
          <w:sz w:val="24"/>
          <w:szCs w:val="24"/>
          <w:lang w:val="en-US"/>
        </w:rPr>
        <w:t>-16.</w:t>
      </w:r>
    </w:p>
    <w:p w14:paraId="3FAC79B5" w14:textId="77777777" w:rsidR="007256E9" w:rsidRPr="007256E9" w:rsidRDefault="007256E9" w:rsidP="007256E9">
      <w:pPr>
        <w:spacing w:after="0" w:line="480" w:lineRule="auto"/>
        <w:ind w:firstLine="567"/>
        <w:rPr>
          <w:sz w:val="24"/>
          <w:szCs w:val="24"/>
          <w:lang w:val="en-US"/>
        </w:rPr>
      </w:pPr>
      <w:r w:rsidRPr="007256E9">
        <w:rPr>
          <w:sz w:val="24"/>
          <w:szCs w:val="24"/>
          <w:lang w:val="en-US"/>
        </w:rPr>
        <w:t xml:space="preserve">Jack CR Jr, Wiste HJ, Weigand SD, Knopman DS, Lowe V, Vemuri P, Mielke MM, Jones DT, Senjem ML, Gunter JL, Gregg BE, Pankratz VS, Petersen RC. Amyloid-first and neurodegeneration-first profiles characterize incident amyloid PET positivity. Neurology. </w:t>
      </w:r>
      <w:proofErr w:type="gramStart"/>
      <w:r w:rsidRPr="007256E9">
        <w:rPr>
          <w:sz w:val="24"/>
          <w:szCs w:val="24"/>
          <w:lang w:val="en-US"/>
        </w:rPr>
        <w:t>2013;81:1732</w:t>
      </w:r>
      <w:proofErr w:type="gramEnd"/>
      <w:r w:rsidRPr="007256E9">
        <w:rPr>
          <w:sz w:val="24"/>
          <w:szCs w:val="24"/>
          <w:lang w:val="en-US"/>
        </w:rPr>
        <w:t>-40.</w:t>
      </w:r>
    </w:p>
    <w:p w14:paraId="56C5ED3E" w14:textId="670105E6" w:rsidR="007256E9" w:rsidRPr="00A907BD" w:rsidRDefault="007256E9" w:rsidP="007256E9">
      <w:pPr>
        <w:spacing w:after="0" w:line="480" w:lineRule="auto"/>
        <w:ind w:firstLine="567"/>
        <w:rPr>
          <w:sz w:val="24"/>
          <w:szCs w:val="24"/>
          <w:lang w:val="en-US"/>
        </w:rPr>
      </w:pPr>
      <w:r w:rsidRPr="007256E9">
        <w:rPr>
          <w:sz w:val="24"/>
          <w:szCs w:val="24"/>
          <w:lang w:val="en-US"/>
        </w:rPr>
        <w:t>Jack CR Jr, Bennett DA, Blennow K, Carrillo MC, Feldman HH, Frisoni GB, Hampel H, Jagust WJ, Johnson KA, Knopman DS, Petersen RC, Scheltens P, Sperling RA, Dubois B. A/T/N: An unbiased descriptive classification scheme for Alzheimer disease biomarkers. Neurology. 2016;87(5):539-47.</w:t>
      </w:r>
    </w:p>
    <w:p w14:paraId="022B5139" w14:textId="77777777" w:rsidR="005311F1" w:rsidRPr="007204FA" w:rsidRDefault="00AF59D3" w:rsidP="005311F1">
      <w:pPr>
        <w:spacing w:after="0" w:line="480" w:lineRule="auto"/>
        <w:ind w:firstLine="567"/>
        <w:rPr>
          <w:sz w:val="24"/>
          <w:szCs w:val="24"/>
          <w:lang w:val="en-US"/>
        </w:rPr>
      </w:pPr>
      <w:r w:rsidRPr="007204FA">
        <w:rPr>
          <w:sz w:val="24"/>
          <w:szCs w:val="24"/>
          <w:lang w:val="en-US"/>
        </w:rPr>
        <w:t xml:space="preserve">Johnson KA, Shultz A, Betensky RA, Becker JA, Sepulcre J, Rentz DM, et al. </w:t>
      </w:r>
      <w:r w:rsidR="005311F1" w:rsidRPr="008343B2">
        <w:rPr>
          <w:sz w:val="24"/>
          <w:szCs w:val="24"/>
          <w:lang w:val="en-US"/>
        </w:rPr>
        <w:t xml:space="preserve">Tau positron emission tomographic imaging in aging and early Alzheimer's disease. </w:t>
      </w:r>
      <w:r w:rsidRPr="007204FA">
        <w:rPr>
          <w:sz w:val="24"/>
          <w:szCs w:val="24"/>
          <w:lang w:val="en-US"/>
        </w:rPr>
        <w:t xml:space="preserve">Ann Neurol </w:t>
      </w:r>
      <w:proofErr w:type="gramStart"/>
      <w:r w:rsidRPr="007204FA">
        <w:rPr>
          <w:sz w:val="24"/>
          <w:szCs w:val="24"/>
          <w:lang w:val="en-US"/>
        </w:rPr>
        <w:t>2016;79:110</w:t>
      </w:r>
      <w:proofErr w:type="gramEnd"/>
      <w:r w:rsidRPr="007204FA">
        <w:rPr>
          <w:sz w:val="24"/>
          <w:szCs w:val="24"/>
          <w:lang w:val="en-US"/>
        </w:rPr>
        <w:t>-9.</w:t>
      </w:r>
    </w:p>
    <w:p w14:paraId="52D7A82F" w14:textId="77777777" w:rsidR="005311F1" w:rsidRPr="00A907BD" w:rsidRDefault="00AF59D3" w:rsidP="005311F1">
      <w:pPr>
        <w:spacing w:after="0" w:line="480" w:lineRule="auto"/>
        <w:ind w:firstLine="567"/>
        <w:rPr>
          <w:sz w:val="24"/>
          <w:szCs w:val="24"/>
          <w:lang w:val="en-US"/>
        </w:rPr>
      </w:pPr>
      <w:r w:rsidRPr="007204FA">
        <w:rPr>
          <w:sz w:val="24"/>
          <w:szCs w:val="24"/>
          <w:lang w:val="en-US"/>
        </w:rPr>
        <w:t xml:space="preserve">Klunk WE, Engler H, Nordberg A, Wang Y, Blomqvist G, Holt DP, Bergstrom M, Savitcheva I, Huang GF, Estrada S, Ausen B, Debnath ML, Barletta J, Price JC, Sandell J, Lopresti BJ, Wall A, Koivisto P, Antoni G, Mathis CA, Langstrom B. Imaging brain amyloid in Alzheimer's disease with Pittsburgh Compound-B. </w:t>
      </w:r>
      <w:r w:rsidR="00FB12F5" w:rsidRPr="00A907BD">
        <w:rPr>
          <w:sz w:val="24"/>
          <w:szCs w:val="24"/>
          <w:lang w:val="en-US"/>
        </w:rPr>
        <w:t>Annals of neurology 2004;55:</w:t>
      </w:r>
      <w:r w:rsidR="005311F1" w:rsidRPr="00A907BD">
        <w:rPr>
          <w:sz w:val="24"/>
          <w:szCs w:val="24"/>
          <w:lang w:val="en-US"/>
        </w:rPr>
        <w:t xml:space="preserve">306-19. </w:t>
      </w:r>
    </w:p>
    <w:p w14:paraId="365C00EC" w14:textId="77777777" w:rsidR="005311F1" w:rsidRPr="00A907BD" w:rsidRDefault="005311F1" w:rsidP="005311F1">
      <w:pPr>
        <w:spacing w:after="0" w:line="480" w:lineRule="auto"/>
        <w:ind w:firstLine="567"/>
        <w:rPr>
          <w:sz w:val="24"/>
          <w:szCs w:val="24"/>
          <w:lang w:val="en-US"/>
        </w:rPr>
      </w:pPr>
      <w:r w:rsidRPr="00A907BD">
        <w:rPr>
          <w:sz w:val="24"/>
          <w:szCs w:val="24"/>
          <w:lang w:val="en-US"/>
        </w:rPr>
        <w:t xml:space="preserve">Kovacs GG, Milenkovic I, Wöhrer A, Höftberger R, Gelpi E, Haberler C, Hönigschnabl S, Reiner-Concin A, Heinzl H, Jungwirth S, Krampla W, Fischer P, Budka H. Non-Alzheimer neurodegenerative pathologies and their combinations are more frequent than commonly </w:t>
      </w:r>
      <w:r w:rsidRPr="00A907BD">
        <w:rPr>
          <w:sz w:val="24"/>
          <w:szCs w:val="24"/>
          <w:lang w:val="en-US"/>
        </w:rPr>
        <w:lastRenderedPageBreak/>
        <w:t>believed in the elderly brain: a community-based a</w:t>
      </w:r>
      <w:r w:rsidR="00FD1BC9" w:rsidRPr="00A907BD">
        <w:rPr>
          <w:sz w:val="24"/>
          <w:szCs w:val="24"/>
          <w:lang w:val="en-US"/>
        </w:rPr>
        <w:t xml:space="preserve">utopsy series. Acta Neuropathol </w:t>
      </w:r>
      <w:proofErr w:type="gramStart"/>
      <w:r w:rsidR="00FD1BC9" w:rsidRPr="00A907BD">
        <w:rPr>
          <w:sz w:val="24"/>
          <w:szCs w:val="24"/>
          <w:lang w:val="en-US"/>
        </w:rPr>
        <w:t>2013;126</w:t>
      </w:r>
      <w:r w:rsidRPr="00A907BD">
        <w:rPr>
          <w:sz w:val="24"/>
          <w:szCs w:val="24"/>
          <w:lang w:val="en-US"/>
        </w:rPr>
        <w:t>:365</w:t>
      </w:r>
      <w:proofErr w:type="gramEnd"/>
      <w:r w:rsidRPr="00A907BD">
        <w:rPr>
          <w:sz w:val="24"/>
          <w:szCs w:val="24"/>
          <w:lang w:val="en-US"/>
        </w:rPr>
        <w:t>-84.</w:t>
      </w:r>
    </w:p>
    <w:p w14:paraId="029C3328" w14:textId="77777777" w:rsidR="005311F1" w:rsidRPr="00A907BD" w:rsidRDefault="005311F1" w:rsidP="005311F1">
      <w:pPr>
        <w:spacing w:after="0" w:line="480" w:lineRule="auto"/>
        <w:ind w:firstLine="567"/>
        <w:rPr>
          <w:sz w:val="24"/>
          <w:szCs w:val="24"/>
          <w:lang w:val="en-US"/>
        </w:rPr>
      </w:pPr>
      <w:r w:rsidRPr="00A907BD">
        <w:rPr>
          <w:sz w:val="24"/>
          <w:szCs w:val="24"/>
          <w:lang w:val="en-US"/>
        </w:rPr>
        <w:t xml:space="preserve">Kroese M, Zimmern R, Sanderson S. Genetic tests and their evaluation: Can we answer the key questions? Genet Med </w:t>
      </w:r>
      <w:proofErr w:type="gramStart"/>
      <w:r w:rsidRPr="00A907BD">
        <w:rPr>
          <w:sz w:val="24"/>
          <w:szCs w:val="24"/>
          <w:lang w:val="en-US"/>
        </w:rPr>
        <w:t>2004;6:475</w:t>
      </w:r>
      <w:proofErr w:type="gramEnd"/>
      <w:r w:rsidRPr="00A907BD">
        <w:rPr>
          <w:sz w:val="24"/>
          <w:szCs w:val="24"/>
          <w:lang w:val="en-US"/>
        </w:rPr>
        <w:t>–80.</w:t>
      </w:r>
    </w:p>
    <w:p w14:paraId="3D633BB4" w14:textId="77777777" w:rsidR="005311F1" w:rsidRPr="00A907BD" w:rsidRDefault="00786FCF" w:rsidP="005311F1">
      <w:pPr>
        <w:spacing w:after="0" w:line="480" w:lineRule="auto"/>
        <w:ind w:firstLine="567"/>
        <w:rPr>
          <w:sz w:val="24"/>
          <w:szCs w:val="24"/>
          <w:lang w:val="en-US"/>
        </w:rPr>
      </w:pPr>
      <w:r w:rsidRPr="00A907BD">
        <w:rPr>
          <w:sz w:val="24"/>
          <w:szCs w:val="24"/>
          <w:lang w:val="en-US"/>
        </w:rPr>
        <w:t>Landau SM</w:t>
      </w:r>
      <w:r w:rsidR="005311F1" w:rsidRPr="00A907BD">
        <w:rPr>
          <w:sz w:val="24"/>
          <w:szCs w:val="24"/>
          <w:lang w:val="en-US"/>
        </w:rPr>
        <w:t>, Harvey D, Madison CM, Reiman EM, Foster NL, Aisen PS, Petersen RC, Shaw LM, Trojanowski JQ, Jack CR Jr, Weiner MW, Jagust WJ; Alzheimer's Disease Neuroimaging Initiative. Comparing predictors of conversion and decline in mild cognitive i</w:t>
      </w:r>
      <w:r w:rsidRPr="00A907BD">
        <w:rPr>
          <w:sz w:val="24"/>
          <w:szCs w:val="24"/>
          <w:lang w:val="en-US"/>
        </w:rPr>
        <w:t xml:space="preserve">mpairment. Neurology. </w:t>
      </w:r>
      <w:proofErr w:type="gramStart"/>
      <w:r w:rsidRPr="00A907BD">
        <w:rPr>
          <w:sz w:val="24"/>
          <w:szCs w:val="24"/>
          <w:lang w:val="en-US"/>
        </w:rPr>
        <w:t>2010;75</w:t>
      </w:r>
      <w:r w:rsidR="005311F1" w:rsidRPr="00A907BD">
        <w:rPr>
          <w:sz w:val="24"/>
          <w:szCs w:val="24"/>
          <w:lang w:val="en-US"/>
        </w:rPr>
        <w:t>:230</w:t>
      </w:r>
      <w:proofErr w:type="gramEnd"/>
      <w:r w:rsidR="005311F1" w:rsidRPr="00A907BD">
        <w:rPr>
          <w:sz w:val="24"/>
          <w:szCs w:val="24"/>
          <w:lang w:val="en-US"/>
        </w:rPr>
        <w:t xml:space="preserve">-8. </w:t>
      </w:r>
    </w:p>
    <w:p w14:paraId="22F64EBF" w14:textId="77777777" w:rsidR="005311F1" w:rsidRPr="00A907BD" w:rsidRDefault="005311F1" w:rsidP="005311F1">
      <w:pPr>
        <w:spacing w:after="0" w:line="480" w:lineRule="auto"/>
        <w:ind w:firstLine="567"/>
        <w:rPr>
          <w:sz w:val="24"/>
          <w:szCs w:val="24"/>
          <w:lang w:val="en-US"/>
        </w:rPr>
      </w:pPr>
      <w:r w:rsidRPr="00A907BD">
        <w:rPr>
          <w:sz w:val="24"/>
          <w:szCs w:val="24"/>
          <w:lang w:val="en-US"/>
        </w:rPr>
        <w:t>Langa KM1, Larson EB, Karlawish JH, Cutler DM, Kabeto MU, Kim SY, Rosen AB. Trends in the prevalence and mortality of cognitive impairment in the United States: is there evidence of a compression of cognitive morbidi</w:t>
      </w:r>
      <w:r w:rsidR="005A6B7F" w:rsidRPr="00A907BD">
        <w:rPr>
          <w:sz w:val="24"/>
          <w:szCs w:val="24"/>
          <w:lang w:val="en-US"/>
        </w:rPr>
        <w:t xml:space="preserve">ty? Alzheimers Dement. </w:t>
      </w:r>
      <w:proofErr w:type="gramStart"/>
      <w:r w:rsidR="005A6B7F" w:rsidRPr="00A907BD">
        <w:rPr>
          <w:sz w:val="24"/>
          <w:szCs w:val="24"/>
          <w:lang w:val="en-US"/>
        </w:rPr>
        <w:t>2008;4</w:t>
      </w:r>
      <w:r w:rsidRPr="00A907BD">
        <w:rPr>
          <w:sz w:val="24"/>
          <w:szCs w:val="24"/>
          <w:lang w:val="en-US"/>
        </w:rPr>
        <w:t>:134</w:t>
      </w:r>
      <w:proofErr w:type="gramEnd"/>
      <w:r w:rsidRPr="00A907BD">
        <w:rPr>
          <w:sz w:val="24"/>
          <w:szCs w:val="24"/>
          <w:lang w:val="en-US"/>
        </w:rPr>
        <w:t xml:space="preserve">-44. </w:t>
      </w:r>
    </w:p>
    <w:p w14:paraId="5E37C482" w14:textId="77777777" w:rsidR="005311F1" w:rsidRPr="00A907BD" w:rsidRDefault="005311F1" w:rsidP="005311F1">
      <w:pPr>
        <w:spacing w:after="0" w:line="480" w:lineRule="auto"/>
        <w:ind w:firstLine="567"/>
        <w:rPr>
          <w:sz w:val="24"/>
          <w:szCs w:val="24"/>
          <w:lang w:val="en-US"/>
        </w:rPr>
      </w:pPr>
      <w:r w:rsidRPr="00A907BD">
        <w:rPr>
          <w:sz w:val="24"/>
          <w:szCs w:val="24"/>
          <w:lang w:val="en-US"/>
        </w:rPr>
        <w:t>Mangialasche F, Solomon A, Winblad B, Mecocci P, Kivipelto M. Alzheimer's disease: clinical trials and drug devel</w:t>
      </w:r>
      <w:r w:rsidR="005A6B7F" w:rsidRPr="00A907BD">
        <w:rPr>
          <w:sz w:val="24"/>
          <w:szCs w:val="24"/>
          <w:lang w:val="en-US"/>
        </w:rPr>
        <w:t xml:space="preserve">opment. Lancet Neurol. </w:t>
      </w:r>
      <w:proofErr w:type="gramStart"/>
      <w:r w:rsidR="005A6B7F" w:rsidRPr="00A907BD">
        <w:rPr>
          <w:sz w:val="24"/>
          <w:szCs w:val="24"/>
          <w:lang w:val="en-US"/>
        </w:rPr>
        <w:t>2010;9</w:t>
      </w:r>
      <w:r w:rsidRPr="00A907BD">
        <w:rPr>
          <w:sz w:val="24"/>
          <w:szCs w:val="24"/>
          <w:lang w:val="en-US"/>
        </w:rPr>
        <w:t>:702</w:t>
      </w:r>
      <w:proofErr w:type="gramEnd"/>
      <w:r w:rsidRPr="00A907BD">
        <w:rPr>
          <w:sz w:val="24"/>
          <w:szCs w:val="24"/>
          <w:lang w:val="en-US"/>
        </w:rPr>
        <w:t xml:space="preserve">-16. </w:t>
      </w:r>
    </w:p>
    <w:p w14:paraId="1C7AA83D" w14:textId="030E8F39" w:rsidR="005311F1" w:rsidRPr="00A907BD" w:rsidRDefault="005311F1" w:rsidP="005311F1">
      <w:pPr>
        <w:spacing w:after="0" w:line="480" w:lineRule="auto"/>
        <w:ind w:firstLine="567"/>
        <w:rPr>
          <w:sz w:val="24"/>
          <w:szCs w:val="24"/>
          <w:lang w:val="en-US"/>
        </w:rPr>
      </w:pPr>
      <w:r w:rsidRPr="00A907BD">
        <w:rPr>
          <w:sz w:val="24"/>
          <w:szCs w:val="24"/>
          <w:lang w:val="en-US"/>
        </w:rPr>
        <w:t>Mattsson N, Lönnborg A, Boccardi M, Blennow K Hansson O. Clinical validity of Aβ42, tau, and phospho-tau in the cerebrospinal fluid as biomarkers for Alzheimer's disease in the context of a structured 5-phase development framework. Neurobiology of Aging, 201</w:t>
      </w:r>
      <w:r w:rsidR="00DC56A8">
        <w:rPr>
          <w:sz w:val="24"/>
          <w:szCs w:val="24"/>
          <w:lang w:val="en-US"/>
        </w:rPr>
        <w:t>7</w:t>
      </w:r>
      <w:r w:rsidRPr="00A907BD">
        <w:rPr>
          <w:sz w:val="24"/>
          <w:szCs w:val="24"/>
          <w:lang w:val="en-US"/>
        </w:rPr>
        <w:t xml:space="preserve"> (</w:t>
      </w:r>
      <w:r w:rsidR="005A6B7F" w:rsidRPr="00A907BD">
        <w:rPr>
          <w:sz w:val="24"/>
          <w:szCs w:val="24"/>
          <w:lang w:val="en-US"/>
        </w:rPr>
        <w:t>in this issue</w:t>
      </w:r>
      <w:r w:rsidRPr="00A907BD">
        <w:rPr>
          <w:sz w:val="24"/>
          <w:szCs w:val="24"/>
          <w:lang w:val="en-US"/>
        </w:rPr>
        <w:t>).</w:t>
      </w:r>
    </w:p>
    <w:p w14:paraId="2894ED0D" w14:textId="77777777" w:rsidR="005311F1" w:rsidRPr="00A907BD" w:rsidRDefault="003D50B4" w:rsidP="005311F1">
      <w:pPr>
        <w:spacing w:after="0" w:line="480" w:lineRule="auto"/>
        <w:ind w:firstLine="567"/>
        <w:rPr>
          <w:sz w:val="24"/>
          <w:szCs w:val="24"/>
          <w:lang w:val="en-US"/>
        </w:rPr>
      </w:pPr>
      <w:r w:rsidRPr="00A907BD">
        <w:rPr>
          <w:sz w:val="24"/>
          <w:szCs w:val="24"/>
          <w:lang w:val="en-US"/>
        </w:rPr>
        <w:t>McGeer PL, Kamo H, Harrop R, McGeer EG, Martin WR, Pate BD, Li D</w:t>
      </w:r>
      <w:r w:rsidR="005311F1" w:rsidRPr="00A907BD">
        <w:rPr>
          <w:sz w:val="24"/>
          <w:szCs w:val="24"/>
          <w:lang w:val="en-US"/>
        </w:rPr>
        <w:t xml:space="preserve">K. Comparison of PET, MRI, and CT with pathology in a proven case of Alzheimer's </w:t>
      </w:r>
      <w:r w:rsidR="008C65D5" w:rsidRPr="00A907BD">
        <w:rPr>
          <w:sz w:val="24"/>
          <w:szCs w:val="24"/>
          <w:lang w:val="en-US"/>
        </w:rPr>
        <w:t xml:space="preserve">disease. Neurology </w:t>
      </w:r>
      <w:proofErr w:type="gramStart"/>
      <w:r w:rsidR="008C65D5" w:rsidRPr="00A907BD">
        <w:rPr>
          <w:sz w:val="24"/>
          <w:szCs w:val="24"/>
          <w:lang w:val="en-US"/>
        </w:rPr>
        <w:t>1986;36:</w:t>
      </w:r>
      <w:r w:rsidR="005311F1" w:rsidRPr="00A907BD">
        <w:rPr>
          <w:sz w:val="24"/>
          <w:szCs w:val="24"/>
          <w:lang w:val="en-US"/>
        </w:rPr>
        <w:t>1569</w:t>
      </w:r>
      <w:proofErr w:type="gramEnd"/>
      <w:r w:rsidR="005311F1" w:rsidRPr="00A907BD">
        <w:rPr>
          <w:sz w:val="24"/>
          <w:szCs w:val="24"/>
          <w:lang w:val="en-US"/>
        </w:rPr>
        <w:t xml:space="preserve">-74. </w:t>
      </w:r>
    </w:p>
    <w:p w14:paraId="7456CABC" w14:textId="77777777" w:rsidR="005311F1" w:rsidRPr="00A907BD" w:rsidRDefault="005311F1" w:rsidP="005311F1">
      <w:pPr>
        <w:spacing w:after="0" w:line="480" w:lineRule="auto"/>
        <w:ind w:firstLine="567"/>
        <w:rPr>
          <w:sz w:val="24"/>
          <w:szCs w:val="24"/>
          <w:lang w:val="en-US"/>
        </w:rPr>
      </w:pPr>
      <w:r w:rsidRPr="00A907BD">
        <w:rPr>
          <w:sz w:val="24"/>
          <w:szCs w:val="24"/>
          <w:lang w:val="en-US"/>
        </w:rPr>
        <w:t>McKhann G, Drachman D, Folstein M, Katzman R, Price D, Stadlan EM. Clinical diagnosis of Alzheimer's disease: report of the NINCDS-ADRDA Work Group under the auspices of Department of Health and Human Services Task Force on</w:t>
      </w:r>
      <w:r w:rsidR="00AD7E84" w:rsidRPr="00A907BD">
        <w:rPr>
          <w:sz w:val="24"/>
          <w:szCs w:val="24"/>
          <w:lang w:val="en-US"/>
        </w:rPr>
        <w:t xml:space="preserve"> Alzheimer's Disease. Neurology </w:t>
      </w:r>
      <w:proofErr w:type="gramStart"/>
      <w:r w:rsidR="00AD7E84" w:rsidRPr="00A907BD">
        <w:rPr>
          <w:sz w:val="24"/>
          <w:szCs w:val="24"/>
          <w:lang w:val="en-US"/>
        </w:rPr>
        <w:t>1984;34</w:t>
      </w:r>
      <w:r w:rsidRPr="00A907BD">
        <w:rPr>
          <w:sz w:val="24"/>
          <w:szCs w:val="24"/>
          <w:lang w:val="en-US"/>
        </w:rPr>
        <w:t>:939</w:t>
      </w:r>
      <w:proofErr w:type="gramEnd"/>
      <w:r w:rsidRPr="00A907BD">
        <w:rPr>
          <w:sz w:val="24"/>
          <w:szCs w:val="24"/>
          <w:lang w:val="en-US"/>
        </w:rPr>
        <w:t>-44.</w:t>
      </w:r>
    </w:p>
    <w:p w14:paraId="40AC8549" w14:textId="77777777" w:rsidR="005311F1" w:rsidRPr="00A907BD" w:rsidRDefault="005311F1" w:rsidP="005311F1">
      <w:pPr>
        <w:spacing w:after="0" w:line="480" w:lineRule="auto"/>
        <w:ind w:firstLine="567"/>
        <w:rPr>
          <w:sz w:val="24"/>
          <w:szCs w:val="24"/>
          <w:lang w:val="en-US"/>
        </w:rPr>
      </w:pPr>
      <w:r w:rsidRPr="00A907BD">
        <w:rPr>
          <w:sz w:val="24"/>
          <w:szCs w:val="24"/>
          <w:lang w:val="en-US"/>
        </w:rPr>
        <w:lastRenderedPageBreak/>
        <w:t>McKhann GM, Knopman DS, Chertkow H, Hyman BT, Jack CR Jr, Kawas CH, Klunk WE, Koroshetz WJ, Manly JJ, Mayeux R, Mohs RC, Morris JC, Rossor MN, Scheltens P, Carrillo MC, Thies B, Weintraub S, Phelps CH. The diagnosis of dementia due to Alzheimer's disease: recommendations from the National Institute on Aging-Alzheimer's Association workgroups on diagnostic guidelines for Alzheimer's disea</w:t>
      </w:r>
      <w:r w:rsidR="000A2AFA" w:rsidRPr="00A907BD">
        <w:rPr>
          <w:sz w:val="24"/>
          <w:szCs w:val="24"/>
          <w:lang w:val="en-US"/>
        </w:rPr>
        <w:t xml:space="preserve">se. Alzheimers Dement </w:t>
      </w:r>
      <w:proofErr w:type="gramStart"/>
      <w:r w:rsidR="000A2AFA" w:rsidRPr="00A907BD">
        <w:rPr>
          <w:sz w:val="24"/>
          <w:szCs w:val="24"/>
          <w:lang w:val="en-US"/>
        </w:rPr>
        <w:t>2011;7</w:t>
      </w:r>
      <w:r w:rsidRPr="00A907BD">
        <w:rPr>
          <w:sz w:val="24"/>
          <w:szCs w:val="24"/>
          <w:lang w:val="en-US"/>
        </w:rPr>
        <w:t>:263</w:t>
      </w:r>
      <w:proofErr w:type="gramEnd"/>
      <w:r w:rsidRPr="00A907BD">
        <w:rPr>
          <w:sz w:val="24"/>
          <w:szCs w:val="24"/>
          <w:lang w:val="en-US"/>
        </w:rPr>
        <w:t>-9.</w:t>
      </w:r>
    </w:p>
    <w:p w14:paraId="35820614" w14:textId="77777777" w:rsidR="005311F1" w:rsidRPr="00A907BD" w:rsidRDefault="005311F1" w:rsidP="005311F1">
      <w:pPr>
        <w:spacing w:after="0" w:line="480" w:lineRule="auto"/>
        <w:ind w:firstLine="567"/>
        <w:rPr>
          <w:sz w:val="24"/>
          <w:szCs w:val="24"/>
          <w:lang w:val="en-US"/>
        </w:rPr>
      </w:pPr>
      <w:r w:rsidRPr="00A907BD">
        <w:rPr>
          <w:sz w:val="24"/>
          <w:szCs w:val="24"/>
          <w:lang w:val="en-US"/>
        </w:rPr>
        <w:t xml:space="preserve">Moynihan R. Preventing overdiagnosis: the myth, the music, and the medical meeting. BMJ. 2015;350:h1370. </w:t>
      </w:r>
    </w:p>
    <w:p w14:paraId="58300ED2" w14:textId="77777777" w:rsidR="005311F1" w:rsidRPr="00A907BD" w:rsidRDefault="005311F1" w:rsidP="005311F1">
      <w:pPr>
        <w:spacing w:after="0" w:line="480" w:lineRule="auto"/>
        <w:ind w:firstLine="567"/>
        <w:rPr>
          <w:rFonts w:cs="Times New Roman"/>
          <w:sz w:val="24"/>
          <w:szCs w:val="24"/>
          <w:bdr w:val="none" w:sz="0" w:space="0" w:color="auto" w:frame="1"/>
          <w:shd w:val="clear" w:color="auto" w:fill="FFFFFF"/>
          <w:lang w:val="en-US" w:eastAsia="it-IT"/>
        </w:rPr>
      </w:pPr>
      <w:r w:rsidRPr="00A907BD">
        <w:rPr>
          <w:rFonts w:cs="Times New Roman"/>
          <w:sz w:val="24"/>
          <w:szCs w:val="24"/>
          <w:bdr w:val="none" w:sz="0" w:space="0" w:color="auto" w:frame="1"/>
          <w:shd w:val="clear" w:color="auto" w:fill="FFFFFF"/>
          <w:lang w:val="en-US" w:eastAsia="it-IT"/>
        </w:rPr>
        <w:t xml:space="preserve">Ngandu T, Lehtisalo J, Solomon A, Levälahti E, Ahtiluoto S, Antikainen R, Bäckman L, Hänninen T, Jula A, Laatikainen T, Lindström J, Mangialasche F, Paajanen T, Pajala S, Peltonen M, Rauramaa R, Stigsdotter-Neely A, Strandberg T, Tuomilehto J, Soininen H, Kivipelto M. A 2 year multidomain intervention of diet, exercise, cognitive training, and vascular risk monitoring versus control to prevent cognitive decline in at-risk elderly people (FINGER): a randomised controlled trial. Lancet. </w:t>
      </w:r>
      <w:proofErr w:type="gramStart"/>
      <w:r w:rsidRPr="00A907BD">
        <w:rPr>
          <w:rFonts w:cs="Times New Roman"/>
          <w:sz w:val="24"/>
          <w:szCs w:val="24"/>
          <w:bdr w:val="none" w:sz="0" w:space="0" w:color="auto" w:frame="1"/>
          <w:shd w:val="clear" w:color="auto" w:fill="FFFFFF"/>
          <w:lang w:val="en-US" w:eastAsia="it-IT"/>
        </w:rPr>
        <w:t>2015</w:t>
      </w:r>
      <w:r w:rsidR="0081209A" w:rsidRPr="00A907BD">
        <w:rPr>
          <w:rFonts w:cs="Times New Roman"/>
          <w:sz w:val="24"/>
          <w:szCs w:val="24"/>
          <w:bdr w:val="none" w:sz="0" w:space="0" w:color="auto" w:frame="1"/>
          <w:shd w:val="clear" w:color="auto" w:fill="FFFFFF"/>
          <w:lang w:val="en-US" w:eastAsia="it-IT"/>
        </w:rPr>
        <w:t>;385</w:t>
      </w:r>
      <w:r w:rsidRPr="00A907BD">
        <w:rPr>
          <w:rFonts w:cs="Times New Roman"/>
          <w:sz w:val="24"/>
          <w:szCs w:val="24"/>
          <w:bdr w:val="none" w:sz="0" w:space="0" w:color="auto" w:frame="1"/>
          <w:shd w:val="clear" w:color="auto" w:fill="FFFFFF"/>
          <w:lang w:val="en-US" w:eastAsia="it-IT"/>
        </w:rPr>
        <w:t>:2255</w:t>
      </w:r>
      <w:proofErr w:type="gramEnd"/>
      <w:r w:rsidRPr="00A907BD">
        <w:rPr>
          <w:rFonts w:cs="Times New Roman"/>
          <w:sz w:val="24"/>
          <w:szCs w:val="24"/>
          <w:bdr w:val="none" w:sz="0" w:space="0" w:color="auto" w:frame="1"/>
          <w:shd w:val="clear" w:color="auto" w:fill="FFFFFF"/>
          <w:lang w:val="en-US" w:eastAsia="it-IT"/>
        </w:rPr>
        <w:t>-63</w:t>
      </w:r>
      <w:r w:rsidR="0081209A" w:rsidRPr="00A907BD">
        <w:rPr>
          <w:rFonts w:cs="Times New Roman"/>
          <w:sz w:val="24"/>
          <w:szCs w:val="24"/>
          <w:bdr w:val="none" w:sz="0" w:space="0" w:color="auto" w:frame="1"/>
          <w:shd w:val="clear" w:color="auto" w:fill="FFFFFF"/>
          <w:lang w:val="en-US" w:eastAsia="it-IT"/>
        </w:rPr>
        <w:t>.</w:t>
      </w:r>
    </w:p>
    <w:p w14:paraId="46B57B29" w14:textId="77777777" w:rsidR="005311F1" w:rsidRPr="00A907BD" w:rsidRDefault="005D03C1" w:rsidP="005311F1">
      <w:pPr>
        <w:spacing w:after="0" w:line="480" w:lineRule="auto"/>
        <w:ind w:firstLine="567"/>
        <w:rPr>
          <w:sz w:val="24"/>
          <w:szCs w:val="24"/>
          <w:lang w:val="en-US"/>
        </w:rPr>
      </w:pPr>
      <w:r w:rsidRPr="00A907BD">
        <w:rPr>
          <w:sz w:val="24"/>
          <w:szCs w:val="24"/>
          <w:lang w:val="en-US"/>
        </w:rPr>
        <w:t>Papathanasiou ND, Boutsiadis A, Dickson J, Bomanji JB</w:t>
      </w:r>
      <w:r w:rsidR="005311F1" w:rsidRPr="00A907BD">
        <w:rPr>
          <w:sz w:val="24"/>
          <w:szCs w:val="24"/>
          <w:lang w:val="en-US"/>
        </w:rPr>
        <w:t>. Diagnostic accuracy of 123I-FP-CIT (DaTSCAN) in dementia with Lewy bodies: a meta-analysis of publis</w:t>
      </w:r>
      <w:r w:rsidRPr="00A907BD">
        <w:rPr>
          <w:sz w:val="24"/>
          <w:szCs w:val="24"/>
          <w:lang w:val="en-US"/>
        </w:rPr>
        <w:t>hed studies. Parkinsonism Relat</w:t>
      </w:r>
      <w:r w:rsidR="005311F1" w:rsidRPr="00A907BD">
        <w:rPr>
          <w:sz w:val="24"/>
          <w:szCs w:val="24"/>
          <w:lang w:val="en-US"/>
        </w:rPr>
        <w:t xml:space="preserve"> Dis</w:t>
      </w:r>
      <w:r w:rsidRPr="00A907BD">
        <w:rPr>
          <w:sz w:val="24"/>
          <w:szCs w:val="24"/>
          <w:lang w:val="en-US"/>
        </w:rPr>
        <w:t xml:space="preserve">ord </w:t>
      </w:r>
      <w:proofErr w:type="gramStart"/>
      <w:r w:rsidRPr="00A907BD">
        <w:rPr>
          <w:sz w:val="24"/>
          <w:szCs w:val="24"/>
          <w:lang w:val="en-US"/>
        </w:rPr>
        <w:t>2012;18:</w:t>
      </w:r>
      <w:r w:rsidR="005311F1" w:rsidRPr="00A907BD">
        <w:rPr>
          <w:sz w:val="24"/>
          <w:szCs w:val="24"/>
          <w:lang w:val="en-US"/>
        </w:rPr>
        <w:t>225</w:t>
      </w:r>
      <w:proofErr w:type="gramEnd"/>
      <w:r w:rsidR="005311F1" w:rsidRPr="00A907BD">
        <w:rPr>
          <w:sz w:val="24"/>
          <w:szCs w:val="24"/>
          <w:lang w:val="en-US"/>
        </w:rPr>
        <w:t xml:space="preserve">–9. </w:t>
      </w:r>
    </w:p>
    <w:p w14:paraId="3B42AAD0" w14:textId="77777777" w:rsidR="005311F1" w:rsidRPr="00A907BD" w:rsidRDefault="005311F1" w:rsidP="005311F1">
      <w:pPr>
        <w:spacing w:after="0" w:line="480" w:lineRule="auto"/>
        <w:ind w:firstLine="567"/>
        <w:rPr>
          <w:sz w:val="24"/>
          <w:szCs w:val="24"/>
          <w:lang w:val="en-US"/>
        </w:rPr>
      </w:pPr>
      <w:r w:rsidRPr="00A907BD">
        <w:rPr>
          <w:sz w:val="24"/>
          <w:szCs w:val="24"/>
          <w:lang w:val="en-US"/>
        </w:rPr>
        <w:t>Pepe MS, Etzioni R, Feng Z, Potter JD, Thompson ML, Thornquist M, Winget M, Yasui Y. Phases of biomarker development for early detection of cancer.</w:t>
      </w:r>
      <w:r w:rsidR="00297221" w:rsidRPr="00A907BD">
        <w:rPr>
          <w:sz w:val="24"/>
          <w:szCs w:val="24"/>
          <w:lang w:val="en-US"/>
        </w:rPr>
        <w:t xml:space="preserve"> J Natl Cancer Inst </w:t>
      </w:r>
      <w:proofErr w:type="gramStart"/>
      <w:r w:rsidR="00297221" w:rsidRPr="00A907BD">
        <w:rPr>
          <w:sz w:val="24"/>
          <w:szCs w:val="24"/>
          <w:lang w:val="en-US"/>
        </w:rPr>
        <w:t>2001;93</w:t>
      </w:r>
      <w:r w:rsidRPr="00A907BD">
        <w:rPr>
          <w:sz w:val="24"/>
          <w:szCs w:val="24"/>
          <w:lang w:val="en-US"/>
        </w:rPr>
        <w:t>:1054</w:t>
      </w:r>
      <w:proofErr w:type="gramEnd"/>
      <w:r w:rsidRPr="00A907BD">
        <w:rPr>
          <w:sz w:val="24"/>
          <w:szCs w:val="24"/>
          <w:lang w:val="en-US"/>
        </w:rPr>
        <w:t>-61.</w:t>
      </w:r>
    </w:p>
    <w:p w14:paraId="079FBC04" w14:textId="77777777" w:rsidR="005311F1" w:rsidRPr="00A907BD" w:rsidRDefault="005311F1" w:rsidP="005311F1">
      <w:pPr>
        <w:spacing w:after="0" w:line="480" w:lineRule="auto"/>
        <w:ind w:firstLine="567"/>
        <w:rPr>
          <w:sz w:val="24"/>
          <w:szCs w:val="24"/>
          <w:lang w:val="en-US"/>
        </w:rPr>
      </w:pPr>
      <w:r w:rsidRPr="00A907BD">
        <w:rPr>
          <w:sz w:val="24"/>
          <w:szCs w:val="24"/>
          <w:lang w:val="en-US"/>
        </w:rPr>
        <w:t>Petersen RC, Thomas RG, Grundman M, Bennett D, Doody R, Ferris S, Galasko D, Jin S, Kaye J, Levey A, Pfeiffer E, Sano M, van Dyck CH, Thal LJ; Alzheimer's Disease Cooperative Study Group. Vitamin E and donepezil for the treatment of mild cog</w:t>
      </w:r>
      <w:r w:rsidR="00470550" w:rsidRPr="00A907BD">
        <w:rPr>
          <w:sz w:val="24"/>
          <w:szCs w:val="24"/>
          <w:lang w:val="en-US"/>
        </w:rPr>
        <w:t xml:space="preserve">nitive impairment. N Engl J Med </w:t>
      </w:r>
      <w:proofErr w:type="gramStart"/>
      <w:r w:rsidR="00470550" w:rsidRPr="00A907BD">
        <w:rPr>
          <w:sz w:val="24"/>
          <w:szCs w:val="24"/>
          <w:lang w:val="en-US"/>
        </w:rPr>
        <w:t>2005;352</w:t>
      </w:r>
      <w:r w:rsidRPr="00A907BD">
        <w:rPr>
          <w:sz w:val="24"/>
          <w:szCs w:val="24"/>
          <w:lang w:val="en-US"/>
        </w:rPr>
        <w:t>:2379</w:t>
      </w:r>
      <w:proofErr w:type="gramEnd"/>
      <w:r w:rsidRPr="00A907BD">
        <w:rPr>
          <w:sz w:val="24"/>
          <w:szCs w:val="24"/>
          <w:lang w:val="en-US"/>
        </w:rPr>
        <w:t>-88.</w:t>
      </w:r>
    </w:p>
    <w:p w14:paraId="15FC9FC0" w14:textId="7E48FA6E" w:rsidR="005311F1" w:rsidRPr="00A907BD" w:rsidRDefault="005311F1" w:rsidP="005311F1">
      <w:pPr>
        <w:spacing w:after="0" w:line="480" w:lineRule="auto"/>
        <w:ind w:firstLine="567"/>
        <w:rPr>
          <w:sz w:val="24"/>
          <w:szCs w:val="24"/>
          <w:lang w:val="en-US"/>
        </w:rPr>
      </w:pPr>
      <w:r w:rsidRPr="00A907BD">
        <w:rPr>
          <w:sz w:val="24"/>
          <w:szCs w:val="24"/>
          <w:lang w:val="en-US"/>
        </w:rPr>
        <w:t xml:space="preserve">Porteri C, Albanese E, Scerri C, Carrillo MC, Snyder HM, Martensson B, Baker M, Giacobini E, Boccardi M, Winblad B, Frisoni GB, Hurst S, and the Geneva Task Force for the </w:t>
      </w:r>
      <w:r w:rsidRPr="00A907BD">
        <w:rPr>
          <w:sz w:val="24"/>
          <w:szCs w:val="24"/>
          <w:lang w:val="en-US"/>
        </w:rPr>
        <w:lastRenderedPageBreak/>
        <w:t>Roadmap of Alzheimer’s Biomarkers.</w:t>
      </w:r>
      <w:r w:rsidRPr="000F2034">
        <w:rPr>
          <w:sz w:val="24"/>
          <w:szCs w:val="24"/>
        </w:rPr>
        <w:t xml:space="preserve"> </w:t>
      </w:r>
      <w:r w:rsidRPr="00A907BD">
        <w:rPr>
          <w:sz w:val="24"/>
          <w:szCs w:val="24"/>
          <w:lang w:val="en-US"/>
        </w:rPr>
        <w:t>The Biomarker-based Diagnosis of Alzheimer’s Disease.  1 – Ethical and Societal Issues. Neurobiology of Aging (</w:t>
      </w:r>
      <w:r w:rsidR="007204FA">
        <w:rPr>
          <w:sz w:val="24"/>
          <w:szCs w:val="24"/>
          <w:lang w:val="en-US"/>
        </w:rPr>
        <w:t xml:space="preserve">2017; </w:t>
      </w:r>
      <w:r w:rsidR="005525F3">
        <w:rPr>
          <w:sz w:val="24"/>
          <w:szCs w:val="24"/>
          <w:lang w:val="en-US"/>
        </w:rPr>
        <w:t>in this issue</w:t>
      </w:r>
      <w:r w:rsidR="00470550" w:rsidRPr="00A907BD">
        <w:rPr>
          <w:sz w:val="24"/>
          <w:szCs w:val="24"/>
          <w:lang w:val="en-US"/>
        </w:rPr>
        <w:t>,</w:t>
      </w:r>
      <w:r w:rsidRPr="00A907BD">
        <w:rPr>
          <w:sz w:val="24"/>
          <w:szCs w:val="24"/>
          <w:lang w:val="en-US"/>
        </w:rPr>
        <w:t>)</w:t>
      </w:r>
    </w:p>
    <w:p w14:paraId="1789485E" w14:textId="77777777" w:rsidR="005311F1" w:rsidRPr="00A907BD" w:rsidRDefault="008B0B44" w:rsidP="005311F1">
      <w:pPr>
        <w:spacing w:after="0" w:line="480" w:lineRule="auto"/>
        <w:ind w:firstLine="567"/>
        <w:rPr>
          <w:sz w:val="24"/>
          <w:szCs w:val="24"/>
          <w:lang w:val="en-US"/>
        </w:rPr>
      </w:pPr>
      <w:r w:rsidRPr="00A907BD">
        <w:rPr>
          <w:sz w:val="24"/>
          <w:szCs w:val="24"/>
          <w:lang w:val="en-US"/>
        </w:rPr>
        <w:t>Scheltens P, Fox N, Barkhof F, De Carli</w:t>
      </w:r>
      <w:r w:rsidR="005311F1" w:rsidRPr="00A907BD">
        <w:rPr>
          <w:sz w:val="24"/>
          <w:szCs w:val="24"/>
          <w:lang w:val="en-US"/>
        </w:rPr>
        <w:t xml:space="preserve"> C. Structural magnetic resonance imaging in the practical assessment of dementia: beyond exclusion. The Lancet Neurology </w:t>
      </w:r>
      <w:proofErr w:type="gramStart"/>
      <w:r w:rsidR="005311F1" w:rsidRPr="00A907BD">
        <w:rPr>
          <w:sz w:val="24"/>
          <w:szCs w:val="24"/>
          <w:lang w:val="en-US"/>
        </w:rPr>
        <w:t>2002;</w:t>
      </w:r>
      <w:r w:rsidRPr="00A907BD">
        <w:rPr>
          <w:sz w:val="24"/>
          <w:szCs w:val="24"/>
          <w:lang w:val="en-US"/>
        </w:rPr>
        <w:t>1:</w:t>
      </w:r>
      <w:r w:rsidR="005311F1" w:rsidRPr="00A907BD">
        <w:rPr>
          <w:sz w:val="24"/>
          <w:szCs w:val="24"/>
          <w:lang w:val="en-US"/>
        </w:rPr>
        <w:t>13</w:t>
      </w:r>
      <w:proofErr w:type="gramEnd"/>
      <w:r w:rsidR="005311F1" w:rsidRPr="00A907BD">
        <w:rPr>
          <w:sz w:val="24"/>
          <w:szCs w:val="24"/>
          <w:lang w:val="en-US"/>
        </w:rPr>
        <w:t>–21.</w:t>
      </w:r>
    </w:p>
    <w:p w14:paraId="08A9F9CC" w14:textId="77777777" w:rsidR="005311F1" w:rsidRPr="007204FA" w:rsidRDefault="005311F1" w:rsidP="005311F1">
      <w:pPr>
        <w:spacing w:after="0" w:line="480" w:lineRule="auto"/>
        <w:ind w:firstLine="567"/>
        <w:rPr>
          <w:sz w:val="24"/>
          <w:szCs w:val="24"/>
          <w:lang w:val="en-US"/>
        </w:rPr>
      </w:pPr>
      <w:r w:rsidRPr="000F2034">
        <w:rPr>
          <w:sz w:val="24"/>
          <w:szCs w:val="24"/>
        </w:rPr>
        <w:t xml:space="preserve">Scholl M, Lockhart SN, Schonhaut DR, O'Neil JP, Janabi M, Ossenkoppele R, </w:t>
      </w:r>
      <w:r w:rsidR="008B0B44" w:rsidRPr="000F2034">
        <w:rPr>
          <w:sz w:val="24"/>
          <w:szCs w:val="24"/>
        </w:rPr>
        <w:t xml:space="preserve">Baker SL, Vogel JW, Faria J, Schwimmer HD, Rabinovici GD, Jagust WJ. </w:t>
      </w:r>
      <w:r w:rsidRPr="00855ED0">
        <w:rPr>
          <w:sz w:val="24"/>
          <w:szCs w:val="24"/>
          <w:lang w:val="en-US"/>
        </w:rPr>
        <w:t xml:space="preserve">PET Imaging of tau deposition in the aging human brain. </w:t>
      </w:r>
      <w:r w:rsidR="00AF59D3" w:rsidRPr="007204FA">
        <w:rPr>
          <w:sz w:val="24"/>
          <w:szCs w:val="24"/>
          <w:lang w:val="en-US"/>
        </w:rPr>
        <w:t xml:space="preserve">Neuron </w:t>
      </w:r>
      <w:proofErr w:type="gramStart"/>
      <w:r w:rsidR="00AF59D3" w:rsidRPr="007204FA">
        <w:rPr>
          <w:sz w:val="24"/>
          <w:szCs w:val="24"/>
          <w:lang w:val="en-US"/>
        </w:rPr>
        <w:t>2016;89:971</w:t>
      </w:r>
      <w:proofErr w:type="gramEnd"/>
      <w:r w:rsidR="00AF59D3" w:rsidRPr="007204FA">
        <w:rPr>
          <w:sz w:val="24"/>
          <w:szCs w:val="24"/>
          <w:lang w:val="en-US"/>
        </w:rPr>
        <w:t>-82.</w:t>
      </w:r>
    </w:p>
    <w:p w14:paraId="7BE0AAB2" w14:textId="77777777" w:rsidR="005311F1" w:rsidRPr="007204FA" w:rsidRDefault="005311F1" w:rsidP="005311F1">
      <w:pPr>
        <w:spacing w:after="0" w:line="480" w:lineRule="auto"/>
        <w:ind w:firstLine="567"/>
        <w:rPr>
          <w:sz w:val="24"/>
          <w:szCs w:val="24"/>
          <w:lang w:val="en-US"/>
        </w:rPr>
      </w:pPr>
      <w:r w:rsidRPr="008343B2">
        <w:rPr>
          <w:sz w:val="24"/>
          <w:szCs w:val="24"/>
          <w:lang w:val="en-US"/>
        </w:rPr>
        <w:t xml:space="preserve">Schwarz AJ, Yu P, Miller BB, Shcherbinin S, Dickson J, Navitsky M, </w:t>
      </w:r>
      <w:r w:rsidR="00EB5988" w:rsidRPr="008343B2">
        <w:rPr>
          <w:sz w:val="24"/>
          <w:szCs w:val="24"/>
          <w:lang w:val="en-US"/>
        </w:rPr>
        <w:t xml:space="preserve">Joshi AD, Devous MD Sr, Mintun MS. </w:t>
      </w:r>
      <w:r w:rsidRPr="00855ED0">
        <w:rPr>
          <w:sz w:val="24"/>
          <w:szCs w:val="24"/>
          <w:lang w:val="en-US"/>
        </w:rPr>
        <w:t xml:space="preserve">Regional profiles of the candidate tau PET ligand 18F-AV-1451 recapitulate key features of Braak histopathological stages. </w:t>
      </w:r>
      <w:r w:rsidR="00AF59D3" w:rsidRPr="007204FA">
        <w:rPr>
          <w:sz w:val="24"/>
          <w:szCs w:val="24"/>
          <w:lang w:val="en-US"/>
        </w:rPr>
        <w:t>Brain 2016; 139:1539-50.</w:t>
      </w:r>
    </w:p>
    <w:p w14:paraId="75017994" w14:textId="77777777" w:rsidR="005311F1" w:rsidRPr="00A907BD" w:rsidRDefault="005311F1" w:rsidP="005311F1">
      <w:pPr>
        <w:spacing w:after="0" w:line="480" w:lineRule="auto"/>
        <w:ind w:firstLine="567"/>
        <w:rPr>
          <w:sz w:val="24"/>
          <w:szCs w:val="24"/>
          <w:lang w:val="en-US"/>
        </w:rPr>
      </w:pPr>
      <w:r w:rsidRPr="00A907BD">
        <w:rPr>
          <w:sz w:val="24"/>
          <w:szCs w:val="24"/>
          <w:lang w:val="en-US"/>
        </w:rPr>
        <w:t>Smailagic N, Vacante M, Hyde C, Martin S, Ukoumunne O, Sachpekidis C. ¹⁸F-FDG PET for the early diagnosis of Alzheimer's disease dementia and other dementias in people with mild cognitive impairment (M</w:t>
      </w:r>
      <w:r w:rsidR="00652818" w:rsidRPr="00A907BD">
        <w:rPr>
          <w:sz w:val="24"/>
          <w:szCs w:val="24"/>
          <w:lang w:val="en-US"/>
        </w:rPr>
        <w:t>CI). Cochrane Database Syst Rev</w:t>
      </w:r>
      <w:r w:rsidRPr="00A907BD">
        <w:rPr>
          <w:sz w:val="24"/>
          <w:szCs w:val="24"/>
          <w:lang w:val="en-US"/>
        </w:rPr>
        <w:t xml:space="preserve"> 2015;1:CD010632. </w:t>
      </w:r>
    </w:p>
    <w:p w14:paraId="54A219FA" w14:textId="606ED144" w:rsidR="005311F1" w:rsidRPr="00A907BD" w:rsidRDefault="005311F1" w:rsidP="005311F1">
      <w:pPr>
        <w:spacing w:after="0" w:line="480" w:lineRule="auto"/>
        <w:ind w:firstLine="567"/>
        <w:rPr>
          <w:sz w:val="24"/>
          <w:szCs w:val="24"/>
          <w:lang w:val="en-US"/>
        </w:rPr>
      </w:pPr>
      <w:r w:rsidRPr="00A907BD">
        <w:rPr>
          <w:sz w:val="24"/>
          <w:szCs w:val="24"/>
          <w:lang w:val="en-US"/>
        </w:rPr>
        <w:t>Sonni I, Ratib O, Boccardi M, Picco A, Herholz K, Nobili F, Varrone A, and the Geneva Task Force for the Roadmap of Alzheimer’s Biomarkers. Clinical validity of presynaptic dopaminergic imaging with 123I-ioflupane and noradrenergic imaging with 123I-MIBG SPECT in the differential diagnosis between Alzheimer’s disease and Dementia with Lewy bodies in the context of a structured 5–phase development f</w:t>
      </w:r>
      <w:r w:rsidR="00652818" w:rsidRPr="00A907BD">
        <w:rPr>
          <w:sz w:val="24"/>
          <w:szCs w:val="24"/>
          <w:lang w:val="en-US"/>
        </w:rPr>
        <w:t>ramework. Neurobiology of Aging</w:t>
      </w:r>
      <w:r w:rsidRPr="00A907BD">
        <w:rPr>
          <w:sz w:val="24"/>
          <w:szCs w:val="24"/>
          <w:lang w:val="en-US"/>
        </w:rPr>
        <w:t xml:space="preserve"> (</w:t>
      </w:r>
      <w:r w:rsidR="007204FA">
        <w:rPr>
          <w:sz w:val="24"/>
          <w:szCs w:val="24"/>
          <w:lang w:val="en-US"/>
        </w:rPr>
        <w:t xml:space="preserve">2017, in </w:t>
      </w:r>
      <w:r w:rsidR="005525F3">
        <w:rPr>
          <w:sz w:val="24"/>
          <w:szCs w:val="24"/>
          <w:lang w:val="en-US"/>
        </w:rPr>
        <w:t>this issue</w:t>
      </w:r>
      <w:r w:rsidRPr="00A907BD">
        <w:rPr>
          <w:sz w:val="24"/>
          <w:szCs w:val="24"/>
          <w:lang w:val="en-US"/>
        </w:rPr>
        <w:t>).</w:t>
      </w:r>
    </w:p>
    <w:p w14:paraId="69CB655B" w14:textId="77777777" w:rsidR="005311F1" w:rsidRPr="00A907BD" w:rsidRDefault="005311F1" w:rsidP="005311F1">
      <w:pPr>
        <w:shd w:val="clear" w:color="auto" w:fill="FFFFFF"/>
        <w:spacing w:after="0" w:line="480" w:lineRule="auto"/>
        <w:ind w:firstLine="567"/>
        <w:textAlignment w:val="baseline"/>
        <w:rPr>
          <w:rFonts w:cs="Times New Roman"/>
          <w:sz w:val="24"/>
          <w:szCs w:val="24"/>
        </w:rPr>
      </w:pPr>
      <w:r w:rsidRPr="00A907BD">
        <w:rPr>
          <w:rFonts w:cs="Times New Roman"/>
          <w:sz w:val="24"/>
          <w:szCs w:val="24"/>
        </w:rPr>
        <w:t>Sozzi G, Boeri M, Rossi M, Verri C, Suatoni P, Bravi F, Roz L, Conte D, Grassi M, Sverzellati N, Marchiano A, Negri E, La Vecchia C, Pastorino U. Clinical utility of a plasma-based miRNA signature classifier within computed tomography lung cancer screening: a correlative</w:t>
      </w:r>
      <w:r w:rsidR="004F58CB" w:rsidRPr="00A907BD">
        <w:rPr>
          <w:rFonts w:cs="Times New Roman"/>
          <w:sz w:val="24"/>
          <w:szCs w:val="24"/>
        </w:rPr>
        <w:t xml:space="preserve"> MILD trial study. J Clin Oncol</w:t>
      </w:r>
      <w:r w:rsidRPr="00A907BD">
        <w:rPr>
          <w:rFonts w:cs="Times New Roman"/>
          <w:sz w:val="24"/>
          <w:szCs w:val="24"/>
        </w:rPr>
        <w:t xml:space="preserve"> </w:t>
      </w:r>
      <w:proofErr w:type="gramStart"/>
      <w:r w:rsidRPr="00A907BD">
        <w:rPr>
          <w:rFonts w:cs="Times New Roman"/>
          <w:sz w:val="24"/>
          <w:szCs w:val="24"/>
        </w:rPr>
        <w:t>2014</w:t>
      </w:r>
      <w:r w:rsidR="004F58CB" w:rsidRPr="00A907BD">
        <w:rPr>
          <w:rFonts w:cs="Times New Roman"/>
          <w:sz w:val="24"/>
          <w:szCs w:val="24"/>
        </w:rPr>
        <w:t>;32</w:t>
      </w:r>
      <w:r w:rsidRPr="00A907BD">
        <w:rPr>
          <w:rFonts w:cs="Times New Roman"/>
          <w:sz w:val="24"/>
          <w:szCs w:val="24"/>
        </w:rPr>
        <w:t>:768</w:t>
      </w:r>
      <w:proofErr w:type="gramEnd"/>
      <w:r w:rsidRPr="00A907BD">
        <w:rPr>
          <w:rFonts w:cs="Times New Roman"/>
          <w:sz w:val="24"/>
          <w:szCs w:val="24"/>
        </w:rPr>
        <w:t>-73.</w:t>
      </w:r>
    </w:p>
    <w:p w14:paraId="3AFC5696" w14:textId="77777777" w:rsidR="005311F1" w:rsidRDefault="005311F1" w:rsidP="005311F1">
      <w:pPr>
        <w:spacing w:after="0" w:line="480" w:lineRule="auto"/>
        <w:ind w:firstLine="567"/>
        <w:rPr>
          <w:sz w:val="24"/>
          <w:szCs w:val="24"/>
          <w:lang w:val="en-US"/>
        </w:rPr>
      </w:pPr>
      <w:r w:rsidRPr="008343B2">
        <w:rPr>
          <w:sz w:val="24"/>
          <w:szCs w:val="24"/>
        </w:rPr>
        <w:t xml:space="preserve">Sperling RA, Aisen PS, Beckett LA, Bennett DA, Craft S, Fagan AM, Iwatsubo T, Jack CR Jr, Kaye J, Montine TJ, Park DC, Reiman EM, Rowe CC, Siemers E, Stern Y, Yaffe K, Carrillo MC, </w:t>
      </w:r>
      <w:r w:rsidRPr="008343B2">
        <w:rPr>
          <w:sz w:val="24"/>
          <w:szCs w:val="24"/>
        </w:rPr>
        <w:lastRenderedPageBreak/>
        <w:t xml:space="preserve">Thies B, Morrison-Bogorad M, Wagster MV, Phelps CH. </w:t>
      </w:r>
      <w:r w:rsidRPr="00A907BD">
        <w:rPr>
          <w:sz w:val="24"/>
          <w:szCs w:val="24"/>
          <w:lang w:val="en-US"/>
        </w:rPr>
        <w:t>Toward defining the preclinical stages of Alzheimer's disease: recommendations from the National Institute on Aging-Alzheimer's Association workgroups on diagnostic guidelines for Alzheim</w:t>
      </w:r>
      <w:r w:rsidR="0022309E" w:rsidRPr="00A907BD">
        <w:rPr>
          <w:sz w:val="24"/>
          <w:szCs w:val="24"/>
          <w:lang w:val="en-US"/>
        </w:rPr>
        <w:t xml:space="preserve">er's disease. Alzheimers Dement </w:t>
      </w:r>
      <w:proofErr w:type="gramStart"/>
      <w:r w:rsidR="0022309E" w:rsidRPr="00A907BD">
        <w:rPr>
          <w:sz w:val="24"/>
          <w:szCs w:val="24"/>
          <w:lang w:val="en-US"/>
        </w:rPr>
        <w:t>2011;7</w:t>
      </w:r>
      <w:r w:rsidRPr="00A907BD">
        <w:rPr>
          <w:sz w:val="24"/>
          <w:szCs w:val="24"/>
          <w:lang w:val="en-US"/>
        </w:rPr>
        <w:t>:280</w:t>
      </w:r>
      <w:proofErr w:type="gramEnd"/>
      <w:r w:rsidRPr="00A907BD">
        <w:rPr>
          <w:sz w:val="24"/>
          <w:szCs w:val="24"/>
          <w:lang w:val="en-US"/>
        </w:rPr>
        <w:t>-92.</w:t>
      </w:r>
    </w:p>
    <w:p w14:paraId="7D927C00" w14:textId="2AB0A78D" w:rsidR="008F757B" w:rsidRPr="00A907BD" w:rsidRDefault="008F757B" w:rsidP="005311F1">
      <w:pPr>
        <w:spacing w:after="0" w:line="480" w:lineRule="auto"/>
        <w:ind w:firstLine="567"/>
        <w:rPr>
          <w:sz w:val="24"/>
          <w:szCs w:val="24"/>
          <w:lang w:val="en-US"/>
        </w:rPr>
      </w:pPr>
      <w:r w:rsidRPr="008F757B">
        <w:rPr>
          <w:sz w:val="24"/>
          <w:szCs w:val="24"/>
          <w:lang w:val="en-US"/>
        </w:rPr>
        <w:t>Tanpitukpongse TP1, Mazurowski MA1, Ikhena J1, Petrella JR2. Predictive Utility of Marketed Volumetric Software Tools in Subjects at Risk for Alzheimer Disease: Do Regions Outside the Hippocampus Matter? AJNR Am J Neuroradiol. 2017.</w:t>
      </w:r>
    </w:p>
    <w:p w14:paraId="77ABFF16" w14:textId="48B99C4E" w:rsidR="005311F1" w:rsidRPr="00A907BD" w:rsidRDefault="005311F1" w:rsidP="005311F1">
      <w:pPr>
        <w:shd w:val="clear" w:color="auto" w:fill="FFFFFF"/>
        <w:spacing w:after="0" w:line="480" w:lineRule="auto"/>
        <w:ind w:firstLine="567"/>
        <w:textAlignment w:val="baseline"/>
        <w:rPr>
          <w:rFonts w:cs="Times New Roman"/>
          <w:sz w:val="24"/>
          <w:szCs w:val="24"/>
          <w:lang w:val="en-US"/>
        </w:rPr>
      </w:pPr>
      <w:r w:rsidRPr="00A907BD">
        <w:rPr>
          <w:rFonts w:cs="Times New Roman"/>
          <w:sz w:val="24"/>
          <w:szCs w:val="24"/>
          <w:lang w:val="en-US"/>
        </w:rPr>
        <w:t xml:space="preserve">Ten Kate M, Barkhof F, Boccardi M, Visser PJ, Lovblad KO, Jack CR, et al., and the Geneva Task Force for the Roadmap of Alzheimer’s Biomarkers. Clinical validity of medial temporal atrophy as a biomarker for Alzheimer’s disease in the context of a structured 5–phase development </w:t>
      </w:r>
      <w:r w:rsidR="006C3903" w:rsidRPr="00A907BD">
        <w:rPr>
          <w:rFonts w:cs="Times New Roman"/>
          <w:sz w:val="24"/>
          <w:szCs w:val="24"/>
          <w:lang w:val="en-US"/>
        </w:rPr>
        <w:t>framework Neurobiol Aging</w:t>
      </w:r>
      <w:r w:rsidRPr="00A907BD">
        <w:rPr>
          <w:rFonts w:cs="Times New Roman"/>
          <w:sz w:val="24"/>
          <w:szCs w:val="24"/>
          <w:lang w:val="en-US"/>
        </w:rPr>
        <w:t xml:space="preserve"> 201</w:t>
      </w:r>
      <w:r w:rsidR="00DC56A8">
        <w:rPr>
          <w:rFonts w:cs="Times New Roman"/>
          <w:sz w:val="24"/>
          <w:szCs w:val="24"/>
          <w:lang w:val="en-US"/>
        </w:rPr>
        <w:t>7</w:t>
      </w:r>
      <w:r w:rsidRPr="00A907BD">
        <w:rPr>
          <w:rFonts w:cs="Times New Roman"/>
          <w:sz w:val="24"/>
          <w:szCs w:val="24"/>
          <w:lang w:val="en-US"/>
        </w:rPr>
        <w:t xml:space="preserve"> (</w:t>
      </w:r>
      <w:r w:rsidR="006C3903" w:rsidRPr="00A907BD">
        <w:rPr>
          <w:rFonts w:cs="Times New Roman"/>
          <w:sz w:val="24"/>
          <w:szCs w:val="24"/>
          <w:lang w:val="en-US"/>
        </w:rPr>
        <w:t>in this issue</w:t>
      </w:r>
      <w:r w:rsidRPr="00A907BD">
        <w:rPr>
          <w:rFonts w:cs="Times New Roman"/>
          <w:sz w:val="24"/>
          <w:szCs w:val="24"/>
          <w:lang w:val="en-US"/>
        </w:rPr>
        <w:t>).</w:t>
      </w:r>
    </w:p>
    <w:p w14:paraId="1C65EF32" w14:textId="77777777" w:rsidR="005311F1" w:rsidRPr="00A907BD" w:rsidRDefault="005311F1" w:rsidP="005311F1">
      <w:pPr>
        <w:spacing w:after="0" w:line="480" w:lineRule="auto"/>
        <w:ind w:firstLine="567"/>
        <w:rPr>
          <w:sz w:val="24"/>
          <w:szCs w:val="24"/>
          <w:lang w:val="en-US"/>
        </w:rPr>
      </w:pPr>
      <w:r w:rsidRPr="00A907BD">
        <w:rPr>
          <w:sz w:val="24"/>
          <w:szCs w:val="24"/>
          <w:lang w:val="en-US"/>
        </w:rPr>
        <w:t xml:space="preserve">Thal DR, Rüb U, Orantes M, Braak H. Phases of A beta-deposition in the human brain and its relevance for the development of AD. Neurology. </w:t>
      </w:r>
      <w:proofErr w:type="gramStart"/>
      <w:r w:rsidRPr="00A907BD">
        <w:rPr>
          <w:sz w:val="24"/>
          <w:szCs w:val="24"/>
          <w:lang w:val="en-US"/>
        </w:rPr>
        <w:t>2002</w:t>
      </w:r>
      <w:r w:rsidR="00D54D97" w:rsidRPr="00A907BD">
        <w:rPr>
          <w:sz w:val="24"/>
          <w:szCs w:val="24"/>
          <w:lang w:val="en-US"/>
        </w:rPr>
        <w:t>;58</w:t>
      </w:r>
      <w:r w:rsidRPr="00A907BD">
        <w:rPr>
          <w:sz w:val="24"/>
          <w:szCs w:val="24"/>
          <w:lang w:val="en-US"/>
        </w:rPr>
        <w:t>:1791</w:t>
      </w:r>
      <w:proofErr w:type="gramEnd"/>
      <w:r w:rsidRPr="00A907BD">
        <w:rPr>
          <w:sz w:val="24"/>
          <w:szCs w:val="24"/>
          <w:lang w:val="en-US"/>
        </w:rPr>
        <w:t>-800.</w:t>
      </w:r>
    </w:p>
    <w:p w14:paraId="0D9622EA" w14:textId="77777777" w:rsidR="005311F1" w:rsidRPr="00A907BD" w:rsidRDefault="00AA0B94" w:rsidP="005311F1">
      <w:pPr>
        <w:spacing w:after="0" w:line="480" w:lineRule="auto"/>
        <w:ind w:firstLine="567"/>
        <w:rPr>
          <w:sz w:val="24"/>
          <w:szCs w:val="24"/>
          <w:lang w:val="en-US"/>
        </w:rPr>
      </w:pPr>
      <w:r w:rsidRPr="00A907BD">
        <w:rPr>
          <w:sz w:val="24"/>
          <w:szCs w:val="24"/>
          <w:lang w:val="en-US"/>
        </w:rPr>
        <w:t>Treglia G, Cason E</w:t>
      </w:r>
      <w:r w:rsidR="005311F1" w:rsidRPr="00A907BD">
        <w:rPr>
          <w:sz w:val="24"/>
          <w:szCs w:val="24"/>
          <w:lang w:val="en-US"/>
        </w:rPr>
        <w:t>. Meta-analysis on MIBG scintigraphy in differential diagnosis between Parkinson’s disease and neurodegenerative p</w:t>
      </w:r>
      <w:r w:rsidRPr="00A907BD">
        <w:rPr>
          <w:sz w:val="24"/>
          <w:szCs w:val="24"/>
          <w:lang w:val="en-US"/>
        </w:rPr>
        <w:t>arkinsonism. Parkinsonism Relat Disord</w:t>
      </w:r>
      <w:r w:rsidR="005311F1" w:rsidRPr="00A907BD">
        <w:rPr>
          <w:sz w:val="24"/>
          <w:szCs w:val="24"/>
          <w:lang w:val="en-US"/>
        </w:rPr>
        <w:t xml:space="preserve"> </w:t>
      </w:r>
      <w:proofErr w:type="gramStart"/>
      <w:r w:rsidR="00551B3D" w:rsidRPr="00A907BD">
        <w:rPr>
          <w:sz w:val="24"/>
          <w:szCs w:val="24"/>
          <w:lang w:val="en-US"/>
        </w:rPr>
        <w:t>2012;18:</w:t>
      </w:r>
      <w:r w:rsidR="005311F1" w:rsidRPr="00A907BD">
        <w:rPr>
          <w:sz w:val="24"/>
          <w:szCs w:val="24"/>
          <w:lang w:val="en-US"/>
        </w:rPr>
        <w:t>805</w:t>
      </w:r>
      <w:proofErr w:type="gramEnd"/>
      <w:r w:rsidR="005311F1" w:rsidRPr="00A907BD">
        <w:rPr>
          <w:sz w:val="24"/>
          <w:szCs w:val="24"/>
          <w:lang w:val="en-US"/>
        </w:rPr>
        <w:t xml:space="preserve">; author reply 806. </w:t>
      </w:r>
    </w:p>
    <w:p w14:paraId="53C62500" w14:textId="77777777" w:rsidR="005311F1" w:rsidRPr="00A907BD" w:rsidRDefault="005311F1" w:rsidP="005311F1">
      <w:pPr>
        <w:spacing w:after="0" w:line="480" w:lineRule="auto"/>
        <w:ind w:firstLine="567"/>
        <w:rPr>
          <w:sz w:val="24"/>
          <w:szCs w:val="24"/>
          <w:lang w:val="en-US"/>
        </w:rPr>
      </w:pPr>
      <w:r w:rsidRPr="00A907BD">
        <w:rPr>
          <w:sz w:val="24"/>
          <w:szCs w:val="24"/>
          <w:lang w:val="en-US"/>
        </w:rPr>
        <w:t>van Veldhoven K, Polidoro S, Baglietto L, Severi G, Sacerdote C, Panico S, Mattiello A, Palli D, Masala G, Krogh V, Agnoli C, Tumino R, Frasca G, Flower K, Curry E, Orr N, Tomczyk K, Jones ME, Ashworth A, Swerdlow A, Chadeau-Hyam M, Lund E, Garcia-Closas M, Sandanger TM, Flanagan JM, Vineis P. Epigenome-wide association study reveals decreased average methylation levels years before breast can</w:t>
      </w:r>
      <w:r w:rsidR="008E3621" w:rsidRPr="00A907BD">
        <w:rPr>
          <w:sz w:val="24"/>
          <w:szCs w:val="24"/>
          <w:lang w:val="en-US"/>
        </w:rPr>
        <w:t xml:space="preserve">cer diagnosis. Clin Epigenetics </w:t>
      </w:r>
      <w:proofErr w:type="gramStart"/>
      <w:r w:rsidR="008E3621" w:rsidRPr="00A907BD">
        <w:rPr>
          <w:sz w:val="24"/>
          <w:szCs w:val="24"/>
          <w:lang w:val="en-US"/>
        </w:rPr>
        <w:t>2015;7</w:t>
      </w:r>
      <w:r w:rsidRPr="00A907BD">
        <w:rPr>
          <w:sz w:val="24"/>
          <w:szCs w:val="24"/>
          <w:lang w:val="en-US"/>
        </w:rPr>
        <w:t>:67</w:t>
      </w:r>
      <w:proofErr w:type="gramEnd"/>
      <w:r w:rsidRPr="00A907BD">
        <w:rPr>
          <w:sz w:val="24"/>
          <w:szCs w:val="24"/>
          <w:lang w:val="en-US"/>
        </w:rPr>
        <w:t>.</w:t>
      </w:r>
    </w:p>
    <w:p w14:paraId="73866177" w14:textId="77777777" w:rsidR="005311F1" w:rsidRPr="00EF166A" w:rsidRDefault="005311F1" w:rsidP="005311F1">
      <w:pPr>
        <w:spacing w:after="0" w:line="480" w:lineRule="auto"/>
        <w:ind w:firstLine="567"/>
        <w:rPr>
          <w:sz w:val="24"/>
          <w:szCs w:val="24"/>
          <w:lang w:val="en-US"/>
        </w:rPr>
      </w:pPr>
      <w:r w:rsidRPr="000F2034">
        <w:rPr>
          <w:sz w:val="24"/>
          <w:szCs w:val="24"/>
        </w:rPr>
        <w:t xml:space="preserve">Villemagne VL, Furumoto S, Fodero-Tavoletti MT, Mulligan RS, Hodges J, Harada R, et al. In vivo evaluation of a novel tau imaging tracer for Alzheimer's disease. </w:t>
      </w:r>
      <w:r w:rsidR="00AF59D3" w:rsidRPr="00EF166A">
        <w:rPr>
          <w:sz w:val="24"/>
          <w:szCs w:val="24"/>
          <w:lang w:val="en-US"/>
        </w:rPr>
        <w:t xml:space="preserve">Eur J Nucl Med Mol Imaging </w:t>
      </w:r>
      <w:proofErr w:type="gramStart"/>
      <w:r w:rsidR="00AF59D3" w:rsidRPr="00EF166A">
        <w:rPr>
          <w:sz w:val="24"/>
          <w:szCs w:val="24"/>
          <w:lang w:val="en-US"/>
        </w:rPr>
        <w:t>2014;41:816</w:t>
      </w:r>
      <w:proofErr w:type="gramEnd"/>
      <w:r w:rsidR="00AF59D3" w:rsidRPr="00EF166A">
        <w:rPr>
          <w:sz w:val="24"/>
          <w:szCs w:val="24"/>
          <w:lang w:val="en-US"/>
        </w:rPr>
        <w:t>-26.</w:t>
      </w:r>
    </w:p>
    <w:p w14:paraId="055604BA" w14:textId="77777777" w:rsidR="005311F1" w:rsidRPr="00A907BD" w:rsidRDefault="005311F1" w:rsidP="005311F1">
      <w:pPr>
        <w:spacing w:after="0" w:line="480" w:lineRule="auto"/>
        <w:ind w:firstLine="567"/>
        <w:rPr>
          <w:sz w:val="24"/>
          <w:szCs w:val="24"/>
          <w:lang w:val="en-US"/>
        </w:rPr>
      </w:pPr>
      <w:r w:rsidRPr="00A907BD">
        <w:rPr>
          <w:sz w:val="24"/>
          <w:szCs w:val="24"/>
          <w:lang w:val="en-US"/>
        </w:rPr>
        <w:lastRenderedPageBreak/>
        <w:t xml:space="preserve">WHO Dementia report 2012. World Health Organization. Dementia: a public health priority. 2012, Geneva, Switzerland. </w:t>
      </w:r>
      <w:hyperlink r:id="rId10" w:history="1">
        <w:r w:rsidRPr="00A907BD">
          <w:rPr>
            <w:rStyle w:val="Collegamentoipertestuale"/>
            <w:sz w:val="24"/>
            <w:szCs w:val="24"/>
            <w:lang w:val="en-US"/>
          </w:rPr>
          <w:t>http://apps.who.int/iris/bitstream/10665/75263/1/9789241564458_eng.pdf?ua=1</w:t>
        </w:r>
      </w:hyperlink>
    </w:p>
    <w:p w14:paraId="4FFFF5A9" w14:textId="77777777" w:rsidR="004C3172" w:rsidRPr="00A907BD" w:rsidRDefault="004C3172" w:rsidP="004C3172">
      <w:pPr>
        <w:spacing w:after="0" w:line="480" w:lineRule="auto"/>
        <w:ind w:firstLine="567"/>
        <w:rPr>
          <w:sz w:val="24"/>
          <w:szCs w:val="24"/>
          <w:lang w:val="en-US"/>
        </w:rPr>
      </w:pPr>
      <w:r w:rsidRPr="00A907BD">
        <w:rPr>
          <w:sz w:val="24"/>
          <w:szCs w:val="24"/>
          <w:lang w:val="en-US"/>
        </w:rPr>
        <w:t>Wimo A, Winblad B. Brain health: a primary health car</w:t>
      </w:r>
      <w:r w:rsidR="001F6AF6" w:rsidRPr="00A907BD">
        <w:rPr>
          <w:sz w:val="24"/>
          <w:szCs w:val="24"/>
          <w:lang w:val="en-US"/>
        </w:rPr>
        <w:t>e viewpoint. J Am Med Dir Assoc</w:t>
      </w:r>
      <w:r w:rsidRPr="00A907BD">
        <w:rPr>
          <w:sz w:val="24"/>
          <w:szCs w:val="24"/>
          <w:lang w:val="en-US"/>
        </w:rPr>
        <w:t xml:space="preserve"> </w:t>
      </w:r>
      <w:proofErr w:type="gramStart"/>
      <w:r w:rsidRPr="00A907BD">
        <w:rPr>
          <w:sz w:val="24"/>
          <w:szCs w:val="24"/>
          <w:lang w:val="en-US"/>
        </w:rPr>
        <w:t>2015</w:t>
      </w:r>
      <w:r w:rsidR="001F6AF6" w:rsidRPr="00A907BD">
        <w:rPr>
          <w:sz w:val="24"/>
          <w:szCs w:val="24"/>
          <w:lang w:val="en-US"/>
        </w:rPr>
        <w:t>;16</w:t>
      </w:r>
      <w:r w:rsidRPr="00A907BD">
        <w:rPr>
          <w:sz w:val="24"/>
          <w:szCs w:val="24"/>
          <w:lang w:val="en-US"/>
        </w:rPr>
        <w:t>:720</w:t>
      </w:r>
      <w:proofErr w:type="gramEnd"/>
      <w:r w:rsidRPr="00A907BD">
        <w:rPr>
          <w:sz w:val="24"/>
          <w:szCs w:val="24"/>
          <w:lang w:val="en-US"/>
        </w:rPr>
        <w:t>-1.</w:t>
      </w:r>
    </w:p>
    <w:p w14:paraId="29804709" w14:textId="77777777" w:rsidR="00F651D9" w:rsidRDefault="005311F1" w:rsidP="00F651D9">
      <w:pPr>
        <w:spacing w:after="0" w:line="480" w:lineRule="auto"/>
        <w:ind w:firstLine="567"/>
        <w:rPr>
          <w:sz w:val="24"/>
          <w:szCs w:val="24"/>
          <w:lang w:val="en-US"/>
        </w:rPr>
      </w:pPr>
      <w:r w:rsidRPr="00A907BD">
        <w:rPr>
          <w:sz w:val="24"/>
          <w:szCs w:val="24"/>
          <w:lang w:val="en-US"/>
        </w:rPr>
        <w:t>Winblad B, Amouyel P, Andrieu S, Ballard C, Brayne C, Brodaty H, Cedazo-Minguez A, Dubois B, Edvardsson D, Feldman H, Fratiglioni L, Frisoni GB, Gauthier S, Georges J, Graff C, Iqbal K, Jessen F, Johansson G, Jönsson L, Kivipelto M, Knapp M, Mangialasche F, Melis R, Nordberg A, Rikkert MO, Qiu C, Sakmar TP, Scheltens P, Schneider LS, Sperling R, Tjernberg LO, Waldemar G, Wimo A, Zetterberg H. Defeating Alzheimer's disease and other dementias: a priority for European sci</w:t>
      </w:r>
      <w:r w:rsidR="00F72B98" w:rsidRPr="00A907BD">
        <w:rPr>
          <w:sz w:val="24"/>
          <w:szCs w:val="24"/>
          <w:lang w:val="en-US"/>
        </w:rPr>
        <w:t xml:space="preserve">ence and society. Lancet Neurol </w:t>
      </w:r>
      <w:proofErr w:type="gramStart"/>
      <w:r w:rsidR="00F72B98" w:rsidRPr="00A907BD">
        <w:rPr>
          <w:sz w:val="24"/>
          <w:szCs w:val="24"/>
          <w:lang w:val="en-US"/>
        </w:rPr>
        <w:t>2016;15</w:t>
      </w:r>
      <w:r w:rsidRPr="00A907BD">
        <w:rPr>
          <w:sz w:val="24"/>
          <w:szCs w:val="24"/>
          <w:lang w:val="en-US"/>
        </w:rPr>
        <w:t>:455</w:t>
      </w:r>
      <w:proofErr w:type="gramEnd"/>
      <w:r w:rsidRPr="00A907BD">
        <w:rPr>
          <w:sz w:val="24"/>
          <w:szCs w:val="24"/>
          <w:lang w:val="en-US"/>
        </w:rPr>
        <w:t>-532.</w:t>
      </w:r>
    </w:p>
    <w:p w14:paraId="3931FAAA" w14:textId="77777777" w:rsidR="00F651D9" w:rsidRPr="00A907BD" w:rsidRDefault="00F651D9" w:rsidP="00F651D9">
      <w:pPr>
        <w:spacing w:after="0" w:line="480" w:lineRule="auto"/>
        <w:ind w:firstLine="567"/>
        <w:rPr>
          <w:sz w:val="24"/>
          <w:szCs w:val="24"/>
          <w:lang w:val="en-US"/>
        </w:rPr>
      </w:pPr>
      <w:r>
        <w:rPr>
          <w:sz w:val="24"/>
          <w:szCs w:val="24"/>
          <w:lang w:val="en-US"/>
        </w:rPr>
        <w:t>Zetterberg H</w:t>
      </w:r>
      <w:r w:rsidRPr="00F651D9">
        <w:rPr>
          <w:sz w:val="24"/>
          <w:szCs w:val="24"/>
          <w:lang w:val="en-US"/>
        </w:rPr>
        <w:t>.</w:t>
      </w:r>
      <w:r>
        <w:rPr>
          <w:sz w:val="24"/>
          <w:szCs w:val="24"/>
          <w:lang w:val="en-US"/>
        </w:rPr>
        <w:t xml:space="preserve"> </w:t>
      </w:r>
      <w:r w:rsidRPr="00F651D9">
        <w:rPr>
          <w:sz w:val="24"/>
          <w:szCs w:val="24"/>
          <w:lang w:val="en-US"/>
        </w:rPr>
        <w:t>Review: Tau in biofluids - relation to pathology, imaging and clinical features. Neuropathol Appl Neurobiol. 2017. doi: 10.1111/nan.12378.</w:t>
      </w:r>
    </w:p>
    <w:p w14:paraId="4D6A0FCB" w14:textId="77777777" w:rsidR="005311F1" w:rsidRPr="00A907BD" w:rsidRDefault="005311F1" w:rsidP="005311F1">
      <w:pPr>
        <w:spacing w:after="0" w:line="480" w:lineRule="auto"/>
        <w:ind w:firstLine="567"/>
        <w:rPr>
          <w:sz w:val="24"/>
          <w:szCs w:val="24"/>
          <w:lang w:val="en-US"/>
        </w:rPr>
      </w:pPr>
      <w:r w:rsidRPr="00A907BD">
        <w:rPr>
          <w:sz w:val="24"/>
          <w:szCs w:val="24"/>
          <w:lang w:val="en-US"/>
        </w:rPr>
        <w:t>Zimmern RL. Testing challenges: evaluation of novel diagnostics and molecular biomarkers. Clin Med (Lon</w:t>
      </w:r>
      <w:r w:rsidR="00DE3A13" w:rsidRPr="00A907BD">
        <w:rPr>
          <w:sz w:val="24"/>
          <w:szCs w:val="24"/>
          <w:lang w:val="en-US"/>
        </w:rPr>
        <w:t xml:space="preserve">d) </w:t>
      </w:r>
      <w:proofErr w:type="gramStart"/>
      <w:r w:rsidR="00DE3A13" w:rsidRPr="00A907BD">
        <w:rPr>
          <w:sz w:val="24"/>
          <w:szCs w:val="24"/>
          <w:lang w:val="en-US"/>
        </w:rPr>
        <w:t>2009;9</w:t>
      </w:r>
      <w:r w:rsidRPr="00A907BD">
        <w:rPr>
          <w:sz w:val="24"/>
          <w:szCs w:val="24"/>
          <w:lang w:val="en-US"/>
        </w:rPr>
        <w:t>:68</w:t>
      </w:r>
      <w:proofErr w:type="gramEnd"/>
      <w:r w:rsidRPr="00A907BD">
        <w:rPr>
          <w:sz w:val="24"/>
          <w:szCs w:val="24"/>
          <w:lang w:val="en-US"/>
        </w:rPr>
        <w:t>-73.</w:t>
      </w:r>
    </w:p>
    <w:p w14:paraId="78ECB5E2" w14:textId="77777777" w:rsidR="005311F1" w:rsidRPr="00A907BD" w:rsidRDefault="005311F1" w:rsidP="005311F1">
      <w:pPr>
        <w:spacing w:after="0" w:line="480" w:lineRule="auto"/>
        <w:ind w:firstLine="567"/>
        <w:rPr>
          <w:sz w:val="24"/>
          <w:szCs w:val="24"/>
          <w:lang w:val="en-US"/>
        </w:rPr>
      </w:pPr>
      <w:r w:rsidRPr="00A907BD">
        <w:rPr>
          <w:sz w:val="24"/>
          <w:szCs w:val="24"/>
          <w:lang w:val="en-US"/>
        </w:rPr>
        <w:t>Zwa</w:t>
      </w:r>
      <w:r w:rsidR="00DE3A13" w:rsidRPr="00A907BD">
        <w:rPr>
          <w:sz w:val="24"/>
          <w:szCs w:val="24"/>
          <w:lang w:val="en-US"/>
        </w:rPr>
        <w:t>n MD, Bouwman FH, Van der Flier WM</w:t>
      </w:r>
      <w:r w:rsidRPr="00A907BD">
        <w:rPr>
          <w:sz w:val="24"/>
          <w:szCs w:val="24"/>
          <w:lang w:val="en-US"/>
        </w:rPr>
        <w:t>, Lammertsma A, Van Berckel B, Scheltens P. Diagnostic value of amyloid imaging in early onset dementia. Al</w:t>
      </w:r>
      <w:r w:rsidR="00DE3A13" w:rsidRPr="00A907BD">
        <w:rPr>
          <w:sz w:val="24"/>
          <w:szCs w:val="24"/>
          <w:lang w:val="en-US"/>
        </w:rPr>
        <w:t>zheimers Dement 2014;</w:t>
      </w:r>
      <w:proofErr w:type="gramStart"/>
      <w:r w:rsidR="00DE3A13" w:rsidRPr="00A907BD">
        <w:rPr>
          <w:sz w:val="24"/>
          <w:szCs w:val="24"/>
          <w:lang w:val="en-US"/>
        </w:rPr>
        <w:t>10</w:t>
      </w:r>
      <w:r w:rsidRPr="00A907BD">
        <w:rPr>
          <w:sz w:val="24"/>
          <w:szCs w:val="24"/>
          <w:lang w:val="en-US"/>
        </w:rPr>
        <w:t>:P</w:t>
      </w:r>
      <w:proofErr w:type="gramEnd"/>
      <w:r w:rsidRPr="00A907BD">
        <w:rPr>
          <w:sz w:val="24"/>
          <w:szCs w:val="24"/>
          <w:lang w:val="en-US"/>
        </w:rPr>
        <w:t>14.</w:t>
      </w:r>
    </w:p>
    <w:p w14:paraId="2C0AA8D2" w14:textId="77777777" w:rsidR="00F415E1" w:rsidRPr="005209E2" w:rsidRDefault="00F415E1" w:rsidP="00F80295">
      <w:pPr>
        <w:spacing w:after="0" w:line="480" w:lineRule="auto"/>
        <w:ind w:firstLine="567"/>
        <w:rPr>
          <w:sz w:val="24"/>
          <w:szCs w:val="24"/>
          <w:lang w:val="en-US"/>
        </w:rPr>
      </w:pPr>
    </w:p>
    <w:sectPr w:rsidR="00F415E1" w:rsidRPr="005209E2" w:rsidSect="009D1E3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F2210" w14:textId="77777777" w:rsidR="000A3D9B" w:rsidRDefault="000A3D9B" w:rsidP="008E7822">
      <w:pPr>
        <w:spacing w:after="0" w:line="240" w:lineRule="auto"/>
      </w:pPr>
      <w:r>
        <w:separator/>
      </w:r>
    </w:p>
  </w:endnote>
  <w:endnote w:type="continuationSeparator" w:id="0">
    <w:p w14:paraId="1E20152D" w14:textId="77777777" w:rsidR="000A3D9B" w:rsidRDefault="000A3D9B" w:rsidP="008E7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XcrhwnAdvTTb5929f4c+20">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B95CC" w14:textId="77777777" w:rsidR="000A3D9B" w:rsidRDefault="000A3D9B" w:rsidP="008E7822">
      <w:pPr>
        <w:spacing w:after="0" w:line="240" w:lineRule="auto"/>
      </w:pPr>
      <w:r>
        <w:separator/>
      </w:r>
    </w:p>
  </w:footnote>
  <w:footnote w:type="continuationSeparator" w:id="0">
    <w:p w14:paraId="5E293805" w14:textId="77777777" w:rsidR="000A3D9B" w:rsidRDefault="000A3D9B" w:rsidP="008E782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7469D"/>
    <w:multiLevelType w:val="multilevel"/>
    <w:tmpl w:val="64104872"/>
    <w:lvl w:ilvl="0">
      <w:start w:val="1"/>
      <w:numFmt w:val="decimal"/>
      <w:lvlText w:val="%1."/>
      <w:lvlJc w:val="left"/>
      <w:pPr>
        <w:ind w:left="928" w:hanging="360"/>
      </w:pPr>
      <w:rPr>
        <w:rFonts w:hint="default"/>
      </w:rPr>
    </w:lvl>
    <w:lvl w:ilvl="1">
      <w:start w:val="2"/>
      <w:numFmt w:val="decimal"/>
      <w:isLgl/>
      <w:lvlText w:val="%1.%2"/>
      <w:lvlJc w:val="left"/>
      <w:pPr>
        <w:ind w:left="1276" w:hanging="360"/>
      </w:pPr>
      <w:rPr>
        <w:rFonts w:hint="default"/>
      </w:rPr>
    </w:lvl>
    <w:lvl w:ilvl="2">
      <w:start w:val="1"/>
      <w:numFmt w:val="decimal"/>
      <w:isLgl/>
      <w:lvlText w:val="%1.%2.%3"/>
      <w:lvlJc w:val="left"/>
      <w:pPr>
        <w:ind w:left="1984" w:hanging="720"/>
      </w:pPr>
      <w:rPr>
        <w:rFonts w:hint="default"/>
      </w:rPr>
    </w:lvl>
    <w:lvl w:ilvl="3">
      <w:start w:val="1"/>
      <w:numFmt w:val="decimal"/>
      <w:isLgl/>
      <w:lvlText w:val="%1.%2.%3.%4"/>
      <w:lvlJc w:val="left"/>
      <w:pPr>
        <w:ind w:left="2332" w:hanging="720"/>
      </w:pPr>
      <w:rPr>
        <w:rFonts w:hint="default"/>
      </w:rPr>
    </w:lvl>
    <w:lvl w:ilvl="4">
      <w:start w:val="1"/>
      <w:numFmt w:val="decimal"/>
      <w:isLgl/>
      <w:lvlText w:val="%1.%2.%3.%4.%5"/>
      <w:lvlJc w:val="left"/>
      <w:pPr>
        <w:ind w:left="3040" w:hanging="1080"/>
      </w:pPr>
      <w:rPr>
        <w:rFonts w:hint="default"/>
      </w:rPr>
    </w:lvl>
    <w:lvl w:ilvl="5">
      <w:start w:val="1"/>
      <w:numFmt w:val="decimal"/>
      <w:isLgl/>
      <w:lvlText w:val="%1.%2.%3.%4.%5.%6"/>
      <w:lvlJc w:val="left"/>
      <w:pPr>
        <w:ind w:left="3388" w:hanging="1080"/>
      </w:pPr>
      <w:rPr>
        <w:rFonts w:hint="default"/>
      </w:rPr>
    </w:lvl>
    <w:lvl w:ilvl="6">
      <w:start w:val="1"/>
      <w:numFmt w:val="decimal"/>
      <w:isLgl/>
      <w:lvlText w:val="%1.%2.%3.%4.%5.%6.%7"/>
      <w:lvlJc w:val="left"/>
      <w:pPr>
        <w:ind w:left="4096" w:hanging="1440"/>
      </w:pPr>
      <w:rPr>
        <w:rFonts w:hint="default"/>
      </w:rPr>
    </w:lvl>
    <w:lvl w:ilvl="7">
      <w:start w:val="1"/>
      <w:numFmt w:val="decimal"/>
      <w:isLgl/>
      <w:lvlText w:val="%1.%2.%3.%4.%5.%6.%7.%8"/>
      <w:lvlJc w:val="left"/>
      <w:pPr>
        <w:ind w:left="4444" w:hanging="1440"/>
      </w:pPr>
      <w:rPr>
        <w:rFonts w:hint="default"/>
      </w:rPr>
    </w:lvl>
    <w:lvl w:ilvl="8">
      <w:start w:val="1"/>
      <w:numFmt w:val="decimal"/>
      <w:isLgl/>
      <w:lvlText w:val="%1.%2.%3.%4.%5.%6.%7.%8.%9"/>
      <w:lvlJc w:val="left"/>
      <w:pPr>
        <w:ind w:left="5152" w:hanging="1800"/>
      </w:pPr>
      <w:rPr>
        <w:rFonts w:hint="default"/>
      </w:rPr>
    </w:lvl>
  </w:abstractNum>
  <w:abstractNum w:abstractNumId="1">
    <w:nsid w:val="7BCD3D01"/>
    <w:multiLevelType w:val="multilevel"/>
    <w:tmpl w:val="3362C1DE"/>
    <w:lvl w:ilvl="0">
      <w:start w:val="1"/>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oNotDisplayPageBoundaries/>
  <w:proofState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08C"/>
    <w:rsid w:val="00000BF1"/>
    <w:rsid w:val="00004840"/>
    <w:rsid w:val="00007090"/>
    <w:rsid w:val="00012576"/>
    <w:rsid w:val="000152FC"/>
    <w:rsid w:val="00017D74"/>
    <w:rsid w:val="00023BD3"/>
    <w:rsid w:val="00023EB9"/>
    <w:rsid w:val="00026DB3"/>
    <w:rsid w:val="00026DE7"/>
    <w:rsid w:val="000270B7"/>
    <w:rsid w:val="00030CCB"/>
    <w:rsid w:val="0003184D"/>
    <w:rsid w:val="00032B32"/>
    <w:rsid w:val="000357BD"/>
    <w:rsid w:val="0004045A"/>
    <w:rsid w:val="00042002"/>
    <w:rsid w:val="0004343B"/>
    <w:rsid w:val="0004524D"/>
    <w:rsid w:val="000463DC"/>
    <w:rsid w:val="00047AAF"/>
    <w:rsid w:val="0005228C"/>
    <w:rsid w:val="00055858"/>
    <w:rsid w:val="000566F1"/>
    <w:rsid w:val="000611E0"/>
    <w:rsid w:val="00062E39"/>
    <w:rsid w:val="00063B76"/>
    <w:rsid w:val="0007301B"/>
    <w:rsid w:val="00074B67"/>
    <w:rsid w:val="00082D39"/>
    <w:rsid w:val="00087A0E"/>
    <w:rsid w:val="00090A1A"/>
    <w:rsid w:val="000910CD"/>
    <w:rsid w:val="0009306C"/>
    <w:rsid w:val="00093E13"/>
    <w:rsid w:val="00096DE6"/>
    <w:rsid w:val="000A1CDB"/>
    <w:rsid w:val="000A2AFA"/>
    <w:rsid w:val="000A3224"/>
    <w:rsid w:val="000A3D9B"/>
    <w:rsid w:val="000A73B0"/>
    <w:rsid w:val="000B08F7"/>
    <w:rsid w:val="000B12C6"/>
    <w:rsid w:val="000B2A3D"/>
    <w:rsid w:val="000B4E0C"/>
    <w:rsid w:val="000B562C"/>
    <w:rsid w:val="000B6EC3"/>
    <w:rsid w:val="000C171B"/>
    <w:rsid w:val="000C26F5"/>
    <w:rsid w:val="000C385C"/>
    <w:rsid w:val="000C4086"/>
    <w:rsid w:val="000C6EE4"/>
    <w:rsid w:val="000D0435"/>
    <w:rsid w:val="000D043E"/>
    <w:rsid w:val="000D25B2"/>
    <w:rsid w:val="000D608F"/>
    <w:rsid w:val="000E2C2A"/>
    <w:rsid w:val="000E3C8E"/>
    <w:rsid w:val="000F026E"/>
    <w:rsid w:val="000F2034"/>
    <w:rsid w:val="000F360F"/>
    <w:rsid w:val="000F3C80"/>
    <w:rsid w:val="000F5755"/>
    <w:rsid w:val="00101768"/>
    <w:rsid w:val="001036FB"/>
    <w:rsid w:val="00104EEA"/>
    <w:rsid w:val="0010606E"/>
    <w:rsid w:val="00110A02"/>
    <w:rsid w:val="00115B1E"/>
    <w:rsid w:val="00117BC6"/>
    <w:rsid w:val="001209F6"/>
    <w:rsid w:val="00124CB0"/>
    <w:rsid w:val="00125E36"/>
    <w:rsid w:val="00126B05"/>
    <w:rsid w:val="00131360"/>
    <w:rsid w:val="00131716"/>
    <w:rsid w:val="00133E80"/>
    <w:rsid w:val="00144036"/>
    <w:rsid w:val="0014666C"/>
    <w:rsid w:val="00147830"/>
    <w:rsid w:val="00147901"/>
    <w:rsid w:val="0015125F"/>
    <w:rsid w:val="00152CA5"/>
    <w:rsid w:val="001531E4"/>
    <w:rsid w:val="00157AF8"/>
    <w:rsid w:val="00162624"/>
    <w:rsid w:val="00163096"/>
    <w:rsid w:val="00165B78"/>
    <w:rsid w:val="00166578"/>
    <w:rsid w:val="00170D46"/>
    <w:rsid w:val="001731CC"/>
    <w:rsid w:val="00173CE8"/>
    <w:rsid w:val="00176ECA"/>
    <w:rsid w:val="00184052"/>
    <w:rsid w:val="00185BA9"/>
    <w:rsid w:val="001871E2"/>
    <w:rsid w:val="001919FE"/>
    <w:rsid w:val="00195116"/>
    <w:rsid w:val="00197741"/>
    <w:rsid w:val="001A3FDF"/>
    <w:rsid w:val="001B1229"/>
    <w:rsid w:val="001B3C65"/>
    <w:rsid w:val="001B5FD0"/>
    <w:rsid w:val="001C21C0"/>
    <w:rsid w:val="001C28D8"/>
    <w:rsid w:val="001C46CC"/>
    <w:rsid w:val="001C56D6"/>
    <w:rsid w:val="001C7532"/>
    <w:rsid w:val="001D2639"/>
    <w:rsid w:val="001D3798"/>
    <w:rsid w:val="001D391F"/>
    <w:rsid w:val="001D4A4B"/>
    <w:rsid w:val="001E1F56"/>
    <w:rsid w:val="001E26FD"/>
    <w:rsid w:val="001E3B32"/>
    <w:rsid w:val="001E5C25"/>
    <w:rsid w:val="001F4C5E"/>
    <w:rsid w:val="001F4FB0"/>
    <w:rsid w:val="001F5A9A"/>
    <w:rsid w:val="001F6AF6"/>
    <w:rsid w:val="001F6DC2"/>
    <w:rsid w:val="00207E0E"/>
    <w:rsid w:val="00211F96"/>
    <w:rsid w:val="00222090"/>
    <w:rsid w:val="0022309E"/>
    <w:rsid w:val="002274C2"/>
    <w:rsid w:val="0023009D"/>
    <w:rsid w:val="002318D7"/>
    <w:rsid w:val="00231BA6"/>
    <w:rsid w:val="00234070"/>
    <w:rsid w:val="00236D52"/>
    <w:rsid w:val="00244051"/>
    <w:rsid w:val="00247154"/>
    <w:rsid w:val="00253C48"/>
    <w:rsid w:val="0025573F"/>
    <w:rsid w:val="002569DA"/>
    <w:rsid w:val="00256FDE"/>
    <w:rsid w:val="00257981"/>
    <w:rsid w:val="0026017E"/>
    <w:rsid w:val="00260A71"/>
    <w:rsid w:val="00261502"/>
    <w:rsid w:val="002657A3"/>
    <w:rsid w:val="002662CD"/>
    <w:rsid w:val="002733DB"/>
    <w:rsid w:val="002746D0"/>
    <w:rsid w:val="00277709"/>
    <w:rsid w:val="002779BE"/>
    <w:rsid w:val="00277B37"/>
    <w:rsid w:val="00277CC6"/>
    <w:rsid w:val="002805A5"/>
    <w:rsid w:val="00280873"/>
    <w:rsid w:val="002836E9"/>
    <w:rsid w:val="00284B46"/>
    <w:rsid w:val="00290BA4"/>
    <w:rsid w:val="002920DE"/>
    <w:rsid w:val="002933B4"/>
    <w:rsid w:val="0029467B"/>
    <w:rsid w:val="00296B05"/>
    <w:rsid w:val="00297221"/>
    <w:rsid w:val="00297F01"/>
    <w:rsid w:val="00297F3C"/>
    <w:rsid w:val="002A056B"/>
    <w:rsid w:val="002A38D2"/>
    <w:rsid w:val="002A4B81"/>
    <w:rsid w:val="002A62AD"/>
    <w:rsid w:val="002A673B"/>
    <w:rsid w:val="002B3798"/>
    <w:rsid w:val="002B3CD1"/>
    <w:rsid w:val="002C10DD"/>
    <w:rsid w:val="002C207E"/>
    <w:rsid w:val="002C270A"/>
    <w:rsid w:val="002C2A82"/>
    <w:rsid w:val="002C32B7"/>
    <w:rsid w:val="002D0CB2"/>
    <w:rsid w:val="002D1E4A"/>
    <w:rsid w:val="002D4B7D"/>
    <w:rsid w:val="002E30E2"/>
    <w:rsid w:val="002E34BD"/>
    <w:rsid w:val="002E4388"/>
    <w:rsid w:val="002E5C3B"/>
    <w:rsid w:val="002F3171"/>
    <w:rsid w:val="002F5210"/>
    <w:rsid w:val="002F623F"/>
    <w:rsid w:val="002F6608"/>
    <w:rsid w:val="00300698"/>
    <w:rsid w:val="00302953"/>
    <w:rsid w:val="003068FC"/>
    <w:rsid w:val="003077E3"/>
    <w:rsid w:val="00314AFD"/>
    <w:rsid w:val="003201CC"/>
    <w:rsid w:val="00320504"/>
    <w:rsid w:val="00330DD4"/>
    <w:rsid w:val="0033253B"/>
    <w:rsid w:val="00332AE6"/>
    <w:rsid w:val="00333605"/>
    <w:rsid w:val="00334B42"/>
    <w:rsid w:val="003445FE"/>
    <w:rsid w:val="00345429"/>
    <w:rsid w:val="003507F1"/>
    <w:rsid w:val="00352446"/>
    <w:rsid w:val="00354973"/>
    <w:rsid w:val="00354C80"/>
    <w:rsid w:val="00355B42"/>
    <w:rsid w:val="003568B7"/>
    <w:rsid w:val="00362E28"/>
    <w:rsid w:val="0036495F"/>
    <w:rsid w:val="00364CBB"/>
    <w:rsid w:val="0036514F"/>
    <w:rsid w:val="00365975"/>
    <w:rsid w:val="00365A36"/>
    <w:rsid w:val="00370031"/>
    <w:rsid w:val="00370900"/>
    <w:rsid w:val="0037420D"/>
    <w:rsid w:val="003742B5"/>
    <w:rsid w:val="00375918"/>
    <w:rsid w:val="00376019"/>
    <w:rsid w:val="00376CDE"/>
    <w:rsid w:val="00377DB6"/>
    <w:rsid w:val="00380364"/>
    <w:rsid w:val="00380BA4"/>
    <w:rsid w:val="00380DF9"/>
    <w:rsid w:val="00381769"/>
    <w:rsid w:val="00386B1B"/>
    <w:rsid w:val="00390431"/>
    <w:rsid w:val="0039082C"/>
    <w:rsid w:val="0039085B"/>
    <w:rsid w:val="00390F93"/>
    <w:rsid w:val="00392BAC"/>
    <w:rsid w:val="00393401"/>
    <w:rsid w:val="003959AF"/>
    <w:rsid w:val="00395A2A"/>
    <w:rsid w:val="003973A1"/>
    <w:rsid w:val="00397919"/>
    <w:rsid w:val="003A2588"/>
    <w:rsid w:val="003A6C9C"/>
    <w:rsid w:val="003A6F20"/>
    <w:rsid w:val="003B01B5"/>
    <w:rsid w:val="003B1956"/>
    <w:rsid w:val="003B3AA6"/>
    <w:rsid w:val="003B3ADC"/>
    <w:rsid w:val="003B45C9"/>
    <w:rsid w:val="003B5AB0"/>
    <w:rsid w:val="003B642F"/>
    <w:rsid w:val="003B6E2E"/>
    <w:rsid w:val="003C349C"/>
    <w:rsid w:val="003C4728"/>
    <w:rsid w:val="003D0448"/>
    <w:rsid w:val="003D50B4"/>
    <w:rsid w:val="003D6F08"/>
    <w:rsid w:val="003E36C1"/>
    <w:rsid w:val="003E4D1B"/>
    <w:rsid w:val="003E7E96"/>
    <w:rsid w:val="003F0234"/>
    <w:rsid w:val="003F1430"/>
    <w:rsid w:val="003F1774"/>
    <w:rsid w:val="003F2AB9"/>
    <w:rsid w:val="003F30D3"/>
    <w:rsid w:val="003F588D"/>
    <w:rsid w:val="003F646D"/>
    <w:rsid w:val="0040549E"/>
    <w:rsid w:val="00406AE6"/>
    <w:rsid w:val="00406DD5"/>
    <w:rsid w:val="00407BAE"/>
    <w:rsid w:val="00414A18"/>
    <w:rsid w:val="00415513"/>
    <w:rsid w:val="00415AAA"/>
    <w:rsid w:val="00415E3B"/>
    <w:rsid w:val="004244DF"/>
    <w:rsid w:val="00424FAD"/>
    <w:rsid w:val="00426163"/>
    <w:rsid w:val="00427686"/>
    <w:rsid w:val="004337D4"/>
    <w:rsid w:val="00434AF2"/>
    <w:rsid w:val="00434D91"/>
    <w:rsid w:val="004401A2"/>
    <w:rsid w:val="00440B54"/>
    <w:rsid w:val="004431CD"/>
    <w:rsid w:val="004474B0"/>
    <w:rsid w:val="004503D1"/>
    <w:rsid w:val="0045091C"/>
    <w:rsid w:val="00451F39"/>
    <w:rsid w:val="00453D7A"/>
    <w:rsid w:val="00456130"/>
    <w:rsid w:val="00456EAE"/>
    <w:rsid w:val="0046098A"/>
    <w:rsid w:val="004625D2"/>
    <w:rsid w:val="00463494"/>
    <w:rsid w:val="00463702"/>
    <w:rsid w:val="00466F99"/>
    <w:rsid w:val="0046765C"/>
    <w:rsid w:val="00470550"/>
    <w:rsid w:val="00476F3F"/>
    <w:rsid w:val="00480CB1"/>
    <w:rsid w:val="00482765"/>
    <w:rsid w:val="00484A10"/>
    <w:rsid w:val="004863FE"/>
    <w:rsid w:val="0048676D"/>
    <w:rsid w:val="00486A6C"/>
    <w:rsid w:val="004915C3"/>
    <w:rsid w:val="004936D5"/>
    <w:rsid w:val="004947F8"/>
    <w:rsid w:val="004A3C8D"/>
    <w:rsid w:val="004A60E0"/>
    <w:rsid w:val="004A662C"/>
    <w:rsid w:val="004B004C"/>
    <w:rsid w:val="004B13E3"/>
    <w:rsid w:val="004B732F"/>
    <w:rsid w:val="004B794A"/>
    <w:rsid w:val="004B7CB7"/>
    <w:rsid w:val="004C266B"/>
    <w:rsid w:val="004C3172"/>
    <w:rsid w:val="004C3D75"/>
    <w:rsid w:val="004C4751"/>
    <w:rsid w:val="004C593A"/>
    <w:rsid w:val="004C69AE"/>
    <w:rsid w:val="004D280C"/>
    <w:rsid w:val="004D2E06"/>
    <w:rsid w:val="004D2EB6"/>
    <w:rsid w:val="004D60A0"/>
    <w:rsid w:val="004D7BFA"/>
    <w:rsid w:val="004E0C65"/>
    <w:rsid w:val="004E211F"/>
    <w:rsid w:val="004E4799"/>
    <w:rsid w:val="004F2BB9"/>
    <w:rsid w:val="004F5778"/>
    <w:rsid w:val="004F58CB"/>
    <w:rsid w:val="004F7292"/>
    <w:rsid w:val="004F7C0A"/>
    <w:rsid w:val="00502D68"/>
    <w:rsid w:val="00504339"/>
    <w:rsid w:val="0050445F"/>
    <w:rsid w:val="00505DA6"/>
    <w:rsid w:val="00506811"/>
    <w:rsid w:val="005070A4"/>
    <w:rsid w:val="00510F38"/>
    <w:rsid w:val="00510F7C"/>
    <w:rsid w:val="00512A80"/>
    <w:rsid w:val="00512BAC"/>
    <w:rsid w:val="005162F9"/>
    <w:rsid w:val="005209E2"/>
    <w:rsid w:val="00520E50"/>
    <w:rsid w:val="00522701"/>
    <w:rsid w:val="005231BC"/>
    <w:rsid w:val="005234FA"/>
    <w:rsid w:val="00531008"/>
    <w:rsid w:val="005311F1"/>
    <w:rsid w:val="00536A39"/>
    <w:rsid w:val="005409DF"/>
    <w:rsid w:val="00550902"/>
    <w:rsid w:val="00551028"/>
    <w:rsid w:val="00551B3D"/>
    <w:rsid w:val="005525F3"/>
    <w:rsid w:val="005538A7"/>
    <w:rsid w:val="0056376B"/>
    <w:rsid w:val="005678CD"/>
    <w:rsid w:val="005732A5"/>
    <w:rsid w:val="00573651"/>
    <w:rsid w:val="00573BCE"/>
    <w:rsid w:val="00577FEF"/>
    <w:rsid w:val="00580877"/>
    <w:rsid w:val="00582738"/>
    <w:rsid w:val="00585551"/>
    <w:rsid w:val="005900DC"/>
    <w:rsid w:val="005912B6"/>
    <w:rsid w:val="005922BB"/>
    <w:rsid w:val="005926F6"/>
    <w:rsid w:val="00592E37"/>
    <w:rsid w:val="005946FE"/>
    <w:rsid w:val="00595E86"/>
    <w:rsid w:val="005A06AC"/>
    <w:rsid w:val="005A08B9"/>
    <w:rsid w:val="005A5430"/>
    <w:rsid w:val="005A6958"/>
    <w:rsid w:val="005A6B7F"/>
    <w:rsid w:val="005A7224"/>
    <w:rsid w:val="005B0A57"/>
    <w:rsid w:val="005B1B5F"/>
    <w:rsid w:val="005B2194"/>
    <w:rsid w:val="005B2D25"/>
    <w:rsid w:val="005B4243"/>
    <w:rsid w:val="005B4A8D"/>
    <w:rsid w:val="005B532D"/>
    <w:rsid w:val="005B61AC"/>
    <w:rsid w:val="005B6517"/>
    <w:rsid w:val="005C4E5C"/>
    <w:rsid w:val="005C5662"/>
    <w:rsid w:val="005D03C1"/>
    <w:rsid w:val="005D371F"/>
    <w:rsid w:val="005D5C67"/>
    <w:rsid w:val="005D7727"/>
    <w:rsid w:val="005E1116"/>
    <w:rsid w:val="005E7FB6"/>
    <w:rsid w:val="005F1679"/>
    <w:rsid w:val="005F7EA0"/>
    <w:rsid w:val="00600448"/>
    <w:rsid w:val="006004CC"/>
    <w:rsid w:val="006042E9"/>
    <w:rsid w:val="00611383"/>
    <w:rsid w:val="00611DA0"/>
    <w:rsid w:val="00613DDF"/>
    <w:rsid w:val="00620584"/>
    <w:rsid w:val="00621BD7"/>
    <w:rsid w:val="0062392B"/>
    <w:rsid w:val="0062561F"/>
    <w:rsid w:val="00625A49"/>
    <w:rsid w:val="006273BE"/>
    <w:rsid w:val="006275E5"/>
    <w:rsid w:val="006279AE"/>
    <w:rsid w:val="0063726F"/>
    <w:rsid w:val="00644AAE"/>
    <w:rsid w:val="00647D64"/>
    <w:rsid w:val="00650A80"/>
    <w:rsid w:val="006510AA"/>
    <w:rsid w:val="00652818"/>
    <w:rsid w:val="00652A53"/>
    <w:rsid w:val="00656652"/>
    <w:rsid w:val="006578C7"/>
    <w:rsid w:val="00657FD2"/>
    <w:rsid w:val="006607A5"/>
    <w:rsid w:val="00660F2F"/>
    <w:rsid w:val="0066196B"/>
    <w:rsid w:val="006625BD"/>
    <w:rsid w:val="00662883"/>
    <w:rsid w:val="00662D72"/>
    <w:rsid w:val="00663250"/>
    <w:rsid w:val="0066499A"/>
    <w:rsid w:val="00665692"/>
    <w:rsid w:val="0066660D"/>
    <w:rsid w:val="00666891"/>
    <w:rsid w:val="00666912"/>
    <w:rsid w:val="00667D63"/>
    <w:rsid w:val="006728B5"/>
    <w:rsid w:val="00675807"/>
    <w:rsid w:val="0067601A"/>
    <w:rsid w:val="00677136"/>
    <w:rsid w:val="00677EE7"/>
    <w:rsid w:val="00681087"/>
    <w:rsid w:val="00683D9C"/>
    <w:rsid w:val="00683E37"/>
    <w:rsid w:val="006901DD"/>
    <w:rsid w:val="006904BF"/>
    <w:rsid w:val="006912D9"/>
    <w:rsid w:val="00693CA5"/>
    <w:rsid w:val="00696FB9"/>
    <w:rsid w:val="006A1E82"/>
    <w:rsid w:val="006A5DA5"/>
    <w:rsid w:val="006A65AA"/>
    <w:rsid w:val="006A7BA2"/>
    <w:rsid w:val="006B10EB"/>
    <w:rsid w:val="006B2E61"/>
    <w:rsid w:val="006B4402"/>
    <w:rsid w:val="006B6F9F"/>
    <w:rsid w:val="006B7812"/>
    <w:rsid w:val="006C1877"/>
    <w:rsid w:val="006C3903"/>
    <w:rsid w:val="006C5AA1"/>
    <w:rsid w:val="006C73C4"/>
    <w:rsid w:val="006C7A54"/>
    <w:rsid w:val="006D1AF8"/>
    <w:rsid w:val="006D24C5"/>
    <w:rsid w:val="006D651A"/>
    <w:rsid w:val="006E084B"/>
    <w:rsid w:val="006E4110"/>
    <w:rsid w:val="006E63E6"/>
    <w:rsid w:val="006E7A3A"/>
    <w:rsid w:val="006F1463"/>
    <w:rsid w:val="006F1607"/>
    <w:rsid w:val="006F4141"/>
    <w:rsid w:val="006F504B"/>
    <w:rsid w:val="006F5472"/>
    <w:rsid w:val="006F71FC"/>
    <w:rsid w:val="006F7CFF"/>
    <w:rsid w:val="00701008"/>
    <w:rsid w:val="00701980"/>
    <w:rsid w:val="0070203F"/>
    <w:rsid w:val="007104BD"/>
    <w:rsid w:val="00711C32"/>
    <w:rsid w:val="0071267C"/>
    <w:rsid w:val="00715E7D"/>
    <w:rsid w:val="007168C0"/>
    <w:rsid w:val="007204FA"/>
    <w:rsid w:val="007208CC"/>
    <w:rsid w:val="00720C3F"/>
    <w:rsid w:val="0072408C"/>
    <w:rsid w:val="007256E9"/>
    <w:rsid w:val="00726C80"/>
    <w:rsid w:val="007270CE"/>
    <w:rsid w:val="00732D98"/>
    <w:rsid w:val="00734BC7"/>
    <w:rsid w:val="00737629"/>
    <w:rsid w:val="007406DE"/>
    <w:rsid w:val="00741092"/>
    <w:rsid w:val="007422F8"/>
    <w:rsid w:val="007443CD"/>
    <w:rsid w:val="007467DB"/>
    <w:rsid w:val="00747FA8"/>
    <w:rsid w:val="00753887"/>
    <w:rsid w:val="00754139"/>
    <w:rsid w:val="007565D0"/>
    <w:rsid w:val="007616A7"/>
    <w:rsid w:val="00770D47"/>
    <w:rsid w:val="00770EDA"/>
    <w:rsid w:val="007728CB"/>
    <w:rsid w:val="00772AD2"/>
    <w:rsid w:val="00784CA7"/>
    <w:rsid w:val="00786BBA"/>
    <w:rsid w:val="00786FCF"/>
    <w:rsid w:val="00795F0D"/>
    <w:rsid w:val="007975B0"/>
    <w:rsid w:val="007A331F"/>
    <w:rsid w:val="007A403C"/>
    <w:rsid w:val="007A6530"/>
    <w:rsid w:val="007A714B"/>
    <w:rsid w:val="007B1600"/>
    <w:rsid w:val="007B18F2"/>
    <w:rsid w:val="007B1936"/>
    <w:rsid w:val="007B20AE"/>
    <w:rsid w:val="007C1905"/>
    <w:rsid w:val="007C2E98"/>
    <w:rsid w:val="007C353E"/>
    <w:rsid w:val="007C5C21"/>
    <w:rsid w:val="007C62FB"/>
    <w:rsid w:val="007C6559"/>
    <w:rsid w:val="007D1F5B"/>
    <w:rsid w:val="007E0DBE"/>
    <w:rsid w:val="007E1279"/>
    <w:rsid w:val="007E1F4D"/>
    <w:rsid w:val="007E34EE"/>
    <w:rsid w:val="007E47B6"/>
    <w:rsid w:val="007E55EF"/>
    <w:rsid w:val="007E72EB"/>
    <w:rsid w:val="007F4367"/>
    <w:rsid w:val="00800B7E"/>
    <w:rsid w:val="00802451"/>
    <w:rsid w:val="008039E3"/>
    <w:rsid w:val="00805395"/>
    <w:rsid w:val="00811384"/>
    <w:rsid w:val="00811AEA"/>
    <w:rsid w:val="0081209A"/>
    <w:rsid w:val="0081625A"/>
    <w:rsid w:val="00816C61"/>
    <w:rsid w:val="0082111D"/>
    <w:rsid w:val="00821885"/>
    <w:rsid w:val="00823B46"/>
    <w:rsid w:val="008264D9"/>
    <w:rsid w:val="00827A76"/>
    <w:rsid w:val="00827DCA"/>
    <w:rsid w:val="00830489"/>
    <w:rsid w:val="0083138E"/>
    <w:rsid w:val="00831BBA"/>
    <w:rsid w:val="008343B2"/>
    <w:rsid w:val="0084041A"/>
    <w:rsid w:val="00840ADD"/>
    <w:rsid w:val="00841DB9"/>
    <w:rsid w:val="00850FD3"/>
    <w:rsid w:val="0085118D"/>
    <w:rsid w:val="008518EB"/>
    <w:rsid w:val="0085245C"/>
    <w:rsid w:val="00852A60"/>
    <w:rsid w:val="00855ED0"/>
    <w:rsid w:val="00857315"/>
    <w:rsid w:val="00857A41"/>
    <w:rsid w:val="008605BE"/>
    <w:rsid w:val="00862976"/>
    <w:rsid w:val="00863E37"/>
    <w:rsid w:val="00865773"/>
    <w:rsid w:val="00865EED"/>
    <w:rsid w:val="0086609D"/>
    <w:rsid w:val="0086621D"/>
    <w:rsid w:val="0087008C"/>
    <w:rsid w:val="0087055C"/>
    <w:rsid w:val="008705C8"/>
    <w:rsid w:val="008714FC"/>
    <w:rsid w:val="00871E19"/>
    <w:rsid w:val="00877214"/>
    <w:rsid w:val="00880178"/>
    <w:rsid w:val="0088026F"/>
    <w:rsid w:val="00882CAD"/>
    <w:rsid w:val="0089018E"/>
    <w:rsid w:val="0089218A"/>
    <w:rsid w:val="00893584"/>
    <w:rsid w:val="008961DA"/>
    <w:rsid w:val="0089694B"/>
    <w:rsid w:val="008A1452"/>
    <w:rsid w:val="008A2D84"/>
    <w:rsid w:val="008A47E8"/>
    <w:rsid w:val="008A5310"/>
    <w:rsid w:val="008B0373"/>
    <w:rsid w:val="008B0B44"/>
    <w:rsid w:val="008B151B"/>
    <w:rsid w:val="008B238C"/>
    <w:rsid w:val="008B2942"/>
    <w:rsid w:val="008B6365"/>
    <w:rsid w:val="008B6A9C"/>
    <w:rsid w:val="008C103E"/>
    <w:rsid w:val="008C1618"/>
    <w:rsid w:val="008C2448"/>
    <w:rsid w:val="008C5B27"/>
    <w:rsid w:val="008C6096"/>
    <w:rsid w:val="008C65D5"/>
    <w:rsid w:val="008C6A48"/>
    <w:rsid w:val="008D01D9"/>
    <w:rsid w:val="008D1939"/>
    <w:rsid w:val="008D293E"/>
    <w:rsid w:val="008D2E54"/>
    <w:rsid w:val="008D55E1"/>
    <w:rsid w:val="008D5890"/>
    <w:rsid w:val="008D70C2"/>
    <w:rsid w:val="008E0087"/>
    <w:rsid w:val="008E0EEB"/>
    <w:rsid w:val="008E3621"/>
    <w:rsid w:val="008E376A"/>
    <w:rsid w:val="008E656F"/>
    <w:rsid w:val="008E7822"/>
    <w:rsid w:val="008F04C0"/>
    <w:rsid w:val="008F0C65"/>
    <w:rsid w:val="008F1562"/>
    <w:rsid w:val="008F16C5"/>
    <w:rsid w:val="008F6473"/>
    <w:rsid w:val="008F757B"/>
    <w:rsid w:val="009004E3"/>
    <w:rsid w:val="00902E0D"/>
    <w:rsid w:val="00902E57"/>
    <w:rsid w:val="00905D39"/>
    <w:rsid w:val="009110D3"/>
    <w:rsid w:val="0091201F"/>
    <w:rsid w:val="00914365"/>
    <w:rsid w:val="00914642"/>
    <w:rsid w:val="00914664"/>
    <w:rsid w:val="009148CE"/>
    <w:rsid w:val="00920C38"/>
    <w:rsid w:val="009254D1"/>
    <w:rsid w:val="009262B6"/>
    <w:rsid w:val="00930265"/>
    <w:rsid w:val="00934E6F"/>
    <w:rsid w:val="00942796"/>
    <w:rsid w:val="00951C50"/>
    <w:rsid w:val="00951F4F"/>
    <w:rsid w:val="00951FB0"/>
    <w:rsid w:val="00952C41"/>
    <w:rsid w:val="00953304"/>
    <w:rsid w:val="00957ACE"/>
    <w:rsid w:val="0096051B"/>
    <w:rsid w:val="00960527"/>
    <w:rsid w:val="00963D43"/>
    <w:rsid w:val="00964030"/>
    <w:rsid w:val="00965902"/>
    <w:rsid w:val="00965F8E"/>
    <w:rsid w:val="0097196B"/>
    <w:rsid w:val="00974B36"/>
    <w:rsid w:val="00974DAE"/>
    <w:rsid w:val="009760EE"/>
    <w:rsid w:val="009775AA"/>
    <w:rsid w:val="00982203"/>
    <w:rsid w:val="00986D8F"/>
    <w:rsid w:val="009906BE"/>
    <w:rsid w:val="009912FB"/>
    <w:rsid w:val="009937BD"/>
    <w:rsid w:val="009952DD"/>
    <w:rsid w:val="00996F9B"/>
    <w:rsid w:val="009B118A"/>
    <w:rsid w:val="009B11DB"/>
    <w:rsid w:val="009B1300"/>
    <w:rsid w:val="009B23C8"/>
    <w:rsid w:val="009B4D46"/>
    <w:rsid w:val="009B57B0"/>
    <w:rsid w:val="009B7B48"/>
    <w:rsid w:val="009C0C67"/>
    <w:rsid w:val="009C1EA1"/>
    <w:rsid w:val="009C3CC7"/>
    <w:rsid w:val="009C54C4"/>
    <w:rsid w:val="009D15FD"/>
    <w:rsid w:val="009D1E39"/>
    <w:rsid w:val="009D2342"/>
    <w:rsid w:val="009D258B"/>
    <w:rsid w:val="009D3137"/>
    <w:rsid w:val="009D5D33"/>
    <w:rsid w:val="009E0368"/>
    <w:rsid w:val="009E1C41"/>
    <w:rsid w:val="009F1C70"/>
    <w:rsid w:val="009F2EA2"/>
    <w:rsid w:val="009F307D"/>
    <w:rsid w:val="009F3D4E"/>
    <w:rsid w:val="009F5B42"/>
    <w:rsid w:val="009F63BB"/>
    <w:rsid w:val="009F6D9D"/>
    <w:rsid w:val="009F73A6"/>
    <w:rsid w:val="00A01253"/>
    <w:rsid w:val="00A03359"/>
    <w:rsid w:val="00A046C4"/>
    <w:rsid w:val="00A04BE3"/>
    <w:rsid w:val="00A059B5"/>
    <w:rsid w:val="00A0633C"/>
    <w:rsid w:val="00A06FB3"/>
    <w:rsid w:val="00A077D8"/>
    <w:rsid w:val="00A103B0"/>
    <w:rsid w:val="00A15B5A"/>
    <w:rsid w:val="00A22819"/>
    <w:rsid w:val="00A22EB4"/>
    <w:rsid w:val="00A24996"/>
    <w:rsid w:val="00A255B8"/>
    <w:rsid w:val="00A269C9"/>
    <w:rsid w:val="00A30C16"/>
    <w:rsid w:val="00A31667"/>
    <w:rsid w:val="00A3208D"/>
    <w:rsid w:val="00A32186"/>
    <w:rsid w:val="00A32BF5"/>
    <w:rsid w:val="00A34356"/>
    <w:rsid w:val="00A37501"/>
    <w:rsid w:val="00A40145"/>
    <w:rsid w:val="00A4328E"/>
    <w:rsid w:val="00A437A0"/>
    <w:rsid w:val="00A47E2D"/>
    <w:rsid w:val="00A5344B"/>
    <w:rsid w:val="00A57A70"/>
    <w:rsid w:val="00A6123A"/>
    <w:rsid w:val="00A62E57"/>
    <w:rsid w:val="00A65A75"/>
    <w:rsid w:val="00A6699D"/>
    <w:rsid w:val="00A673A3"/>
    <w:rsid w:val="00A673A5"/>
    <w:rsid w:val="00A74F6A"/>
    <w:rsid w:val="00A83B7C"/>
    <w:rsid w:val="00A8413F"/>
    <w:rsid w:val="00A8434E"/>
    <w:rsid w:val="00A907BD"/>
    <w:rsid w:val="00A9128B"/>
    <w:rsid w:val="00A94B9E"/>
    <w:rsid w:val="00A9549A"/>
    <w:rsid w:val="00A971BC"/>
    <w:rsid w:val="00AA0B94"/>
    <w:rsid w:val="00AA101F"/>
    <w:rsid w:val="00AA2061"/>
    <w:rsid w:val="00AA2B46"/>
    <w:rsid w:val="00AA37E0"/>
    <w:rsid w:val="00AA5C86"/>
    <w:rsid w:val="00AA60A1"/>
    <w:rsid w:val="00AA72B7"/>
    <w:rsid w:val="00AB11BA"/>
    <w:rsid w:val="00AB1FA9"/>
    <w:rsid w:val="00AB3DE4"/>
    <w:rsid w:val="00AB4643"/>
    <w:rsid w:val="00AB6D6F"/>
    <w:rsid w:val="00AC33B8"/>
    <w:rsid w:val="00AC6076"/>
    <w:rsid w:val="00AC7A38"/>
    <w:rsid w:val="00AD0597"/>
    <w:rsid w:val="00AD0EFA"/>
    <w:rsid w:val="00AD16E1"/>
    <w:rsid w:val="00AD484E"/>
    <w:rsid w:val="00AD6242"/>
    <w:rsid w:val="00AD7E84"/>
    <w:rsid w:val="00AE030F"/>
    <w:rsid w:val="00AE0D35"/>
    <w:rsid w:val="00AE3BA8"/>
    <w:rsid w:val="00AF0C64"/>
    <w:rsid w:val="00AF548D"/>
    <w:rsid w:val="00AF59D3"/>
    <w:rsid w:val="00AF60C9"/>
    <w:rsid w:val="00B002D5"/>
    <w:rsid w:val="00B0052B"/>
    <w:rsid w:val="00B00F98"/>
    <w:rsid w:val="00B02295"/>
    <w:rsid w:val="00B060CE"/>
    <w:rsid w:val="00B07055"/>
    <w:rsid w:val="00B077A5"/>
    <w:rsid w:val="00B132B7"/>
    <w:rsid w:val="00B14F9F"/>
    <w:rsid w:val="00B17CEA"/>
    <w:rsid w:val="00B20269"/>
    <w:rsid w:val="00B24557"/>
    <w:rsid w:val="00B246E3"/>
    <w:rsid w:val="00B26523"/>
    <w:rsid w:val="00B26BC6"/>
    <w:rsid w:val="00B31D7A"/>
    <w:rsid w:val="00B33706"/>
    <w:rsid w:val="00B3437B"/>
    <w:rsid w:val="00B40EDD"/>
    <w:rsid w:val="00B41479"/>
    <w:rsid w:val="00B42710"/>
    <w:rsid w:val="00B43020"/>
    <w:rsid w:val="00B43EE0"/>
    <w:rsid w:val="00B46BCB"/>
    <w:rsid w:val="00B47D21"/>
    <w:rsid w:val="00B52BE9"/>
    <w:rsid w:val="00B5340C"/>
    <w:rsid w:val="00B53672"/>
    <w:rsid w:val="00B55916"/>
    <w:rsid w:val="00B56229"/>
    <w:rsid w:val="00B5728A"/>
    <w:rsid w:val="00B61E29"/>
    <w:rsid w:val="00B62103"/>
    <w:rsid w:val="00B64FAD"/>
    <w:rsid w:val="00B65A40"/>
    <w:rsid w:val="00B663DB"/>
    <w:rsid w:val="00B67FC0"/>
    <w:rsid w:val="00B7095A"/>
    <w:rsid w:val="00B716C5"/>
    <w:rsid w:val="00B766F8"/>
    <w:rsid w:val="00B82C37"/>
    <w:rsid w:val="00B864B5"/>
    <w:rsid w:val="00B916A7"/>
    <w:rsid w:val="00B929C8"/>
    <w:rsid w:val="00B95C91"/>
    <w:rsid w:val="00BA0AA2"/>
    <w:rsid w:val="00BA349D"/>
    <w:rsid w:val="00BA3528"/>
    <w:rsid w:val="00BA3E9C"/>
    <w:rsid w:val="00BA47B0"/>
    <w:rsid w:val="00BA71A4"/>
    <w:rsid w:val="00BA74C6"/>
    <w:rsid w:val="00BA7C4B"/>
    <w:rsid w:val="00BB2974"/>
    <w:rsid w:val="00BB5E51"/>
    <w:rsid w:val="00BB6921"/>
    <w:rsid w:val="00BC2684"/>
    <w:rsid w:val="00BC2B06"/>
    <w:rsid w:val="00BC2DEC"/>
    <w:rsid w:val="00BC2E84"/>
    <w:rsid w:val="00BD778C"/>
    <w:rsid w:val="00BE17AC"/>
    <w:rsid w:val="00BE2485"/>
    <w:rsid w:val="00BE668E"/>
    <w:rsid w:val="00BE78BA"/>
    <w:rsid w:val="00BF0961"/>
    <w:rsid w:val="00BF0A1E"/>
    <w:rsid w:val="00BF2021"/>
    <w:rsid w:val="00BF7957"/>
    <w:rsid w:val="00C03BFA"/>
    <w:rsid w:val="00C058DD"/>
    <w:rsid w:val="00C06F03"/>
    <w:rsid w:val="00C0784E"/>
    <w:rsid w:val="00C10045"/>
    <w:rsid w:val="00C10C10"/>
    <w:rsid w:val="00C130AA"/>
    <w:rsid w:val="00C15821"/>
    <w:rsid w:val="00C22799"/>
    <w:rsid w:val="00C23861"/>
    <w:rsid w:val="00C24963"/>
    <w:rsid w:val="00C24BFB"/>
    <w:rsid w:val="00C251D5"/>
    <w:rsid w:val="00C26E19"/>
    <w:rsid w:val="00C31B92"/>
    <w:rsid w:val="00C3342D"/>
    <w:rsid w:val="00C34094"/>
    <w:rsid w:val="00C36DC9"/>
    <w:rsid w:val="00C37386"/>
    <w:rsid w:val="00C42066"/>
    <w:rsid w:val="00C425FF"/>
    <w:rsid w:val="00C47021"/>
    <w:rsid w:val="00C50438"/>
    <w:rsid w:val="00C5192E"/>
    <w:rsid w:val="00C52718"/>
    <w:rsid w:val="00C52986"/>
    <w:rsid w:val="00C53650"/>
    <w:rsid w:val="00C558AD"/>
    <w:rsid w:val="00C55EC6"/>
    <w:rsid w:val="00C560EA"/>
    <w:rsid w:val="00C561AF"/>
    <w:rsid w:val="00C56A64"/>
    <w:rsid w:val="00C57210"/>
    <w:rsid w:val="00C57325"/>
    <w:rsid w:val="00C615A5"/>
    <w:rsid w:val="00C63492"/>
    <w:rsid w:val="00C64653"/>
    <w:rsid w:val="00C66CE3"/>
    <w:rsid w:val="00C70A21"/>
    <w:rsid w:val="00C742AF"/>
    <w:rsid w:val="00C800AC"/>
    <w:rsid w:val="00C81814"/>
    <w:rsid w:val="00C85A55"/>
    <w:rsid w:val="00C87371"/>
    <w:rsid w:val="00C9069C"/>
    <w:rsid w:val="00C90F05"/>
    <w:rsid w:val="00CA26AC"/>
    <w:rsid w:val="00CA3A4C"/>
    <w:rsid w:val="00CA3B81"/>
    <w:rsid w:val="00CA413D"/>
    <w:rsid w:val="00CA4206"/>
    <w:rsid w:val="00CA5690"/>
    <w:rsid w:val="00CA7C6C"/>
    <w:rsid w:val="00CB14D6"/>
    <w:rsid w:val="00CB151D"/>
    <w:rsid w:val="00CB738C"/>
    <w:rsid w:val="00CB7980"/>
    <w:rsid w:val="00CB7ACC"/>
    <w:rsid w:val="00CC6A3F"/>
    <w:rsid w:val="00CC75A9"/>
    <w:rsid w:val="00CC7D04"/>
    <w:rsid w:val="00CD0D03"/>
    <w:rsid w:val="00CD2D29"/>
    <w:rsid w:val="00CD3F02"/>
    <w:rsid w:val="00CD3F61"/>
    <w:rsid w:val="00CD4B66"/>
    <w:rsid w:val="00CD5322"/>
    <w:rsid w:val="00CD5E1E"/>
    <w:rsid w:val="00CD699E"/>
    <w:rsid w:val="00CE262A"/>
    <w:rsid w:val="00CE40EB"/>
    <w:rsid w:val="00CE4752"/>
    <w:rsid w:val="00CF2129"/>
    <w:rsid w:val="00CF2525"/>
    <w:rsid w:val="00CF2F9C"/>
    <w:rsid w:val="00D012AA"/>
    <w:rsid w:val="00D012B1"/>
    <w:rsid w:val="00D01A96"/>
    <w:rsid w:val="00D0488F"/>
    <w:rsid w:val="00D0491F"/>
    <w:rsid w:val="00D134AF"/>
    <w:rsid w:val="00D13C84"/>
    <w:rsid w:val="00D15AF3"/>
    <w:rsid w:val="00D1657F"/>
    <w:rsid w:val="00D17383"/>
    <w:rsid w:val="00D20F84"/>
    <w:rsid w:val="00D21117"/>
    <w:rsid w:val="00D21F8F"/>
    <w:rsid w:val="00D26E67"/>
    <w:rsid w:val="00D33087"/>
    <w:rsid w:val="00D33A7F"/>
    <w:rsid w:val="00D36A5B"/>
    <w:rsid w:val="00D41902"/>
    <w:rsid w:val="00D41A99"/>
    <w:rsid w:val="00D42835"/>
    <w:rsid w:val="00D42F11"/>
    <w:rsid w:val="00D5068E"/>
    <w:rsid w:val="00D54D97"/>
    <w:rsid w:val="00D618DA"/>
    <w:rsid w:val="00D6336E"/>
    <w:rsid w:val="00D64688"/>
    <w:rsid w:val="00D65839"/>
    <w:rsid w:val="00D673BB"/>
    <w:rsid w:val="00D71CEC"/>
    <w:rsid w:val="00D73F3B"/>
    <w:rsid w:val="00D73FB6"/>
    <w:rsid w:val="00D74E9A"/>
    <w:rsid w:val="00D75442"/>
    <w:rsid w:val="00D75BCF"/>
    <w:rsid w:val="00D77850"/>
    <w:rsid w:val="00D802F8"/>
    <w:rsid w:val="00D84EA2"/>
    <w:rsid w:val="00D86C07"/>
    <w:rsid w:val="00D872CF"/>
    <w:rsid w:val="00D91329"/>
    <w:rsid w:val="00D928A2"/>
    <w:rsid w:val="00D94403"/>
    <w:rsid w:val="00D94634"/>
    <w:rsid w:val="00D968B5"/>
    <w:rsid w:val="00DA1106"/>
    <w:rsid w:val="00DA398F"/>
    <w:rsid w:val="00DB2202"/>
    <w:rsid w:val="00DB6A32"/>
    <w:rsid w:val="00DB701D"/>
    <w:rsid w:val="00DC1A80"/>
    <w:rsid w:val="00DC56A8"/>
    <w:rsid w:val="00DC5C0D"/>
    <w:rsid w:val="00DC6147"/>
    <w:rsid w:val="00DC6A38"/>
    <w:rsid w:val="00DC6B78"/>
    <w:rsid w:val="00DC7DD3"/>
    <w:rsid w:val="00DD0494"/>
    <w:rsid w:val="00DD1902"/>
    <w:rsid w:val="00DD50BD"/>
    <w:rsid w:val="00DE02C3"/>
    <w:rsid w:val="00DE0D32"/>
    <w:rsid w:val="00DE38BA"/>
    <w:rsid w:val="00DE3A13"/>
    <w:rsid w:val="00DE4564"/>
    <w:rsid w:val="00DE6447"/>
    <w:rsid w:val="00DF2F29"/>
    <w:rsid w:val="00DF6BB5"/>
    <w:rsid w:val="00DF7E3F"/>
    <w:rsid w:val="00E00F1D"/>
    <w:rsid w:val="00E0180D"/>
    <w:rsid w:val="00E07143"/>
    <w:rsid w:val="00E10415"/>
    <w:rsid w:val="00E10C7C"/>
    <w:rsid w:val="00E11889"/>
    <w:rsid w:val="00E14008"/>
    <w:rsid w:val="00E148C4"/>
    <w:rsid w:val="00E162EC"/>
    <w:rsid w:val="00E16D8E"/>
    <w:rsid w:val="00E216D2"/>
    <w:rsid w:val="00E231E2"/>
    <w:rsid w:val="00E24B95"/>
    <w:rsid w:val="00E24E6C"/>
    <w:rsid w:val="00E2580D"/>
    <w:rsid w:val="00E271A5"/>
    <w:rsid w:val="00E3215C"/>
    <w:rsid w:val="00E32CF3"/>
    <w:rsid w:val="00E35744"/>
    <w:rsid w:val="00E42F14"/>
    <w:rsid w:val="00E43E39"/>
    <w:rsid w:val="00E44746"/>
    <w:rsid w:val="00E45E64"/>
    <w:rsid w:val="00E53B25"/>
    <w:rsid w:val="00E5429C"/>
    <w:rsid w:val="00E54901"/>
    <w:rsid w:val="00E577F2"/>
    <w:rsid w:val="00E6521C"/>
    <w:rsid w:val="00E70002"/>
    <w:rsid w:val="00E70173"/>
    <w:rsid w:val="00E8015D"/>
    <w:rsid w:val="00E833CB"/>
    <w:rsid w:val="00E8473F"/>
    <w:rsid w:val="00EA04BB"/>
    <w:rsid w:val="00EA06EC"/>
    <w:rsid w:val="00EA1A91"/>
    <w:rsid w:val="00EA4B29"/>
    <w:rsid w:val="00EA6758"/>
    <w:rsid w:val="00EA7268"/>
    <w:rsid w:val="00EA788D"/>
    <w:rsid w:val="00EB15B6"/>
    <w:rsid w:val="00EB1A1D"/>
    <w:rsid w:val="00EB425D"/>
    <w:rsid w:val="00EB4BD7"/>
    <w:rsid w:val="00EB4D58"/>
    <w:rsid w:val="00EB4FFA"/>
    <w:rsid w:val="00EB5919"/>
    <w:rsid w:val="00EB5988"/>
    <w:rsid w:val="00EB5DBF"/>
    <w:rsid w:val="00EB5E8D"/>
    <w:rsid w:val="00EB6ED6"/>
    <w:rsid w:val="00EC033E"/>
    <w:rsid w:val="00EC3882"/>
    <w:rsid w:val="00EC6741"/>
    <w:rsid w:val="00EC6A2B"/>
    <w:rsid w:val="00EC6EC4"/>
    <w:rsid w:val="00ED2AC0"/>
    <w:rsid w:val="00ED4E20"/>
    <w:rsid w:val="00ED557B"/>
    <w:rsid w:val="00ED5BF7"/>
    <w:rsid w:val="00ED6BCF"/>
    <w:rsid w:val="00ED750F"/>
    <w:rsid w:val="00EE2107"/>
    <w:rsid w:val="00EE3268"/>
    <w:rsid w:val="00EE3744"/>
    <w:rsid w:val="00EE3EC9"/>
    <w:rsid w:val="00EE7A82"/>
    <w:rsid w:val="00EF14F8"/>
    <w:rsid w:val="00EF166A"/>
    <w:rsid w:val="00EF5375"/>
    <w:rsid w:val="00F027F7"/>
    <w:rsid w:val="00F07534"/>
    <w:rsid w:val="00F16DFE"/>
    <w:rsid w:val="00F16EE2"/>
    <w:rsid w:val="00F1789F"/>
    <w:rsid w:val="00F22877"/>
    <w:rsid w:val="00F26772"/>
    <w:rsid w:val="00F3171E"/>
    <w:rsid w:val="00F37788"/>
    <w:rsid w:val="00F40AFE"/>
    <w:rsid w:val="00F415E1"/>
    <w:rsid w:val="00F41A8E"/>
    <w:rsid w:val="00F42376"/>
    <w:rsid w:val="00F42A60"/>
    <w:rsid w:val="00F46A51"/>
    <w:rsid w:val="00F52615"/>
    <w:rsid w:val="00F5418A"/>
    <w:rsid w:val="00F5633E"/>
    <w:rsid w:val="00F57B79"/>
    <w:rsid w:val="00F6288B"/>
    <w:rsid w:val="00F651D9"/>
    <w:rsid w:val="00F70DE0"/>
    <w:rsid w:val="00F71ACD"/>
    <w:rsid w:val="00F72749"/>
    <w:rsid w:val="00F72B98"/>
    <w:rsid w:val="00F74062"/>
    <w:rsid w:val="00F759DB"/>
    <w:rsid w:val="00F76E56"/>
    <w:rsid w:val="00F80295"/>
    <w:rsid w:val="00F8503D"/>
    <w:rsid w:val="00F935D0"/>
    <w:rsid w:val="00F94613"/>
    <w:rsid w:val="00F9648D"/>
    <w:rsid w:val="00F96CBE"/>
    <w:rsid w:val="00F97A63"/>
    <w:rsid w:val="00FA0EB1"/>
    <w:rsid w:val="00FA11AF"/>
    <w:rsid w:val="00FA259F"/>
    <w:rsid w:val="00FA26C9"/>
    <w:rsid w:val="00FA2784"/>
    <w:rsid w:val="00FA4751"/>
    <w:rsid w:val="00FA4F6B"/>
    <w:rsid w:val="00FB0EE8"/>
    <w:rsid w:val="00FB12F5"/>
    <w:rsid w:val="00FB2841"/>
    <w:rsid w:val="00FB4A1E"/>
    <w:rsid w:val="00FB6FA0"/>
    <w:rsid w:val="00FB71C5"/>
    <w:rsid w:val="00FB727F"/>
    <w:rsid w:val="00FC2680"/>
    <w:rsid w:val="00FC3B4E"/>
    <w:rsid w:val="00FC761B"/>
    <w:rsid w:val="00FD0866"/>
    <w:rsid w:val="00FD1BC9"/>
    <w:rsid w:val="00FD342B"/>
    <w:rsid w:val="00FD38BB"/>
    <w:rsid w:val="00FD4058"/>
    <w:rsid w:val="00FD4402"/>
    <w:rsid w:val="00FD6862"/>
    <w:rsid w:val="00FE22B5"/>
    <w:rsid w:val="00FE450E"/>
    <w:rsid w:val="00FF269B"/>
    <w:rsid w:val="00FF532C"/>
    <w:rsid w:val="00FF5462"/>
    <w:rsid w:val="00FF66A3"/>
    <w:rsid w:val="00FF75AB"/>
  </w:rsids>
  <m:mathPr>
    <m:mathFont m:val="Cambria Math"/>
    <m:brkBin m:val="before"/>
    <m:brkBinSub m:val="--"/>
    <m:smallFrac m:val="0"/>
    <m:dispDef/>
    <m:lMargin m:val="0"/>
    <m:rMargin m:val="0"/>
    <m:defJc m:val="centerGroup"/>
    <m:wrapIndent m:val="1440"/>
    <m:intLim m:val="subSup"/>
    <m:naryLim m:val="undOvr"/>
  </m:mathPr>
  <w:themeFontLang w:val="fr-CH"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059B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C9069C"/>
    <w:pPr>
      <w:spacing w:after="160" w:line="259" w:lineRule="auto"/>
    </w:pPr>
    <w:rPr>
      <w:rFonts w:eastAsiaTheme="minorHAns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9069C"/>
    <w:pPr>
      <w:ind w:left="720"/>
      <w:contextualSpacing/>
    </w:pPr>
  </w:style>
  <w:style w:type="character" w:styleId="Collegamentoipertestuale">
    <w:name w:val="Hyperlink"/>
    <w:basedOn w:val="Carpredefinitoparagrafo"/>
    <w:uiPriority w:val="99"/>
    <w:unhideWhenUsed/>
    <w:rsid w:val="003959AF"/>
    <w:rPr>
      <w:color w:val="0000FF" w:themeColor="hyperlink"/>
      <w:u w:val="single"/>
    </w:rPr>
  </w:style>
  <w:style w:type="character" w:styleId="Collegamentovisitato">
    <w:name w:val="FollowedHyperlink"/>
    <w:basedOn w:val="Carpredefinitoparagrafo"/>
    <w:uiPriority w:val="99"/>
    <w:semiHidden/>
    <w:unhideWhenUsed/>
    <w:rsid w:val="003959AF"/>
    <w:rPr>
      <w:color w:val="800080" w:themeColor="followedHyperlink"/>
      <w:u w:val="single"/>
    </w:rPr>
  </w:style>
  <w:style w:type="paragraph" w:styleId="Revisione">
    <w:name w:val="Revision"/>
    <w:hidden/>
    <w:uiPriority w:val="99"/>
    <w:semiHidden/>
    <w:rsid w:val="00456130"/>
    <w:rPr>
      <w:rFonts w:eastAsiaTheme="minorHAnsi"/>
      <w:sz w:val="22"/>
      <w:szCs w:val="22"/>
      <w:lang w:eastAsia="en-US"/>
    </w:rPr>
  </w:style>
  <w:style w:type="paragraph" w:styleId="Testofumetto">
    <w:name w:val="Balloon Text"/>
    <w:basedOn w:val="Normale"/>
    <w:link w:val="TestofumettoCarattere"/>
    <w:uiPriority w:val="99"/>
    <w:semiHidden/>
    <w:unhideWhenUsed/>
    <w:rsid w:val="00456130"/>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456130"/>
    <w:rPr>
      <w:rFonts w:ascii="Lucida Grande" w:eastAsiaTheme="minorHAnsi" w:hAnsi="Lucida Grande" w:cs="Lucida Grande"/>
      <w:sz w:val="18"/>
      <w:szCs w:val="18"/>
      <w:lang w:eastAsia="en-US"/>
    </w:rPr>
  </w:style>
  <w:style w:type="character" w:styleId="Rimandocommento">
    <w:name w:val="annotation reference"/>
    <w:basedOn w:val="Carpredefinitoparagrafo"/>
    <w:uiPriority w:val="99"/>
    <w:semiHidden/>
    <w:unhideWhenUsed/>
    <w:rsid w:val="008C103E"/>
    <w:rPr>
      <w:sz w:val="18"/>
      <w:szCs w:val="18"/>
    </w:rPr>
  </w:style>
  <w:style w:type="paragraph" w:styleId="Testocommento">
    <w:name w:val="annotation text"/>
    <w:basedOn w:val="Normale"/>
    <w:link w:val="TestocommentoCarattere"/>
    <w:uiPriority w:val="99"/>
    <w:unhideWhenUsed/>
    <w:rsid w:val="008C103E"/>
    <w:pPr>
      <w:spacing w:line="240" w:lineRule="auto"/>
    </w:pPr>
    <w:rPr>
      <w:sz w:val="24"/>
      <w:szCs w:val="24"/>
    </w:rPr>
  </w:style>
  <w:style w:type="character" w:customStyle="1" w:styleId="TestocommentoCarattere">
    <w:name w:val="Testo commento Carattere"/>
    <w:basedOn w:val="Carpredefinitoparagrafo"/>
    <w:link w:val="Testocommento"/>
    <w:uiPriority w:val="99"/>
    <w:rsid w:val="008C103E"/>
    <w:rPr>
      <w:rFonts w:eastAsiaTheme="minorHAnsi"/>
      <w:lang w:eastAsia="en-US"/>
    </w:rPr>
  </w:style>
  <w:style w:type="paragraph" w:styleId="Soggettocommento">
    <w:name w:val="annotation subject"/>
    <w:basedOn w:val="Testocommento"/>
    <w:next w:val="Testocommento"/>
    <w:link w:val="SoggettocommentoCarattere"/>
    <w:uiPriority w:val="99"/>
    <w:semiHidden/>
    <w:unhideWhenUsed/>
    <w:rsid w:val="008C103E"/>
    <w:rPr>
      <w:b/>
      <w:bCs/>
      <w:sz w:val="20"/>
      <w:szCs w:val="20"/>
    </w:rPr>
  </w:style>
  <w:style w:type="character" w:customStyle="1" w:styleId="SoggettocommentoCarattere">
    <w:name w:val="Soggetto commento Carattere"/>
    <w:basedOn w:val="TestocommentoCarattere"/>
    <w:link w:val="Soggettocommento"/>
    <w:uiPriority w:val="99"/>
    <w:semiHidden/>
    <w:rsid w:val="008C103E"/>
    <w:rPr>
      <w:rFonts w:eastAsiaTheme="minorHAnsi"/>
      <w:b/>
      <w:bCs/>
      <w:sz w:val="20"/>
      <w:szCs w:val="20"/>
      <w:lang w:eastAsia="en-US"/>
    </w:rPr>
  </w:style>
  <w:style w:type="paragraph" w:styleId="Intestazione">
    <w:name w:val="header"/>
    <w:basedOn w:val="Normale"/>
    <w:link w:val="IntestazioneCarattere"/>
    <w:uiPriority w:val="99"/>
    <w:semiHidden/>
    <w:unhideWhenUsed/>
    <w:rsid w:val="008E7822"/>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semiHidden/>
    <w:rsid w:val="008E7822"/>
    <w:rPr>
      <w:rFonts w:eastAsiaTheme="minorHAnsi"/>
      <w:sz w:val="22"/>
      <w:szCs w:val="22"/>
      <w:lang w:eastAsia="en-US"/>
    </w:rPr>
  </w:style>
  <w:style w:type="paragraph" w:styleId="Pidipagina">
    <w:name w:val="footer"/>
    <w:basedOn w:val="Normale"/>
    <w:link w:val="PidipaginaCarattere"/>
    <w:uiPriority w:val="99"/>
    <w:semiHidden/>
    <w:unhideWhenUsed/>
    <w:rsid w:val="008E7822"/>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semiHidden/>
    <w:rsid w:val="008E7822"/>
    <w:rPr>
      <w:rFonts w:eastAsiaTheme="minorHAnsi"/>
      <w:sz w:val="22"/>
      <w:szCs w:val="22"/>
      <w:lang w:eastAsia="en-US"/>
    </w:rPr>
  </w:style>
  <w:style w:type="character" w:customStyle="1" w:styleId="EndNoteBibliographyChar">
    <w:name w:val="EndNote Bibliography Char"/>
    <w:link w:val="EndNoteBibliography"/>
    <w:locked/>
    <w:rsid w:val="00701980"/>
    <w:rPr>
      <w:noProof/>
      <w:lang w:val="en-US" w:eastAsia="en-US"/>
    </w:rPr>
  </w:style>
  <w:style w:type="paragraph" w:customStyle="1" w:styleId="EndNoteBibliography">
    <w:name w:val="EndNote Bibliography"/>
    <w:basedOn w:val="Normale"/>
    <w:link w:val="EndNoteBibliographyChar"/>
    <w:rsid w:val="00701980"/>
    <w:pPr>
      <w:spacing w:after="0" w:line="240" w:lineRule="auto"/>
    </w:pPr>
    <w:rPr>
      <w:rFonts w:eastAsiaTheme="minorEastAsia"/>
      <w:noProof/>
      <w:sz w:val="24"/>
      <w:szCs w:val="24"/>
      <w:lang w:val="en-US"/>
    </w:rPr>
  </w:style>
  <w:style w:type="character" w:customStyle="1" w:styleId="apple-converted-space">
    <w:name w:val="apple-converted-space"/>
    <w:basedOn w:val="Carpredefinitoparagrafo"/>
    <w:rsid w:val="002733DB"/>
  </w:style>
  <w:style w:type="paragraph" w:styleId="NormaleWeb">
    <w:name w:val="Normal (Web)"/>
    <w:basedOn w:val="Normale"/>
    <w:uiPriority w:val="99"/>
    <w:unhideWhenUsed/>
    <w:rsid w:val="000E3C8E"/>
    <w:pPr>
      <w:spacing w:before="100" w:beforeAutospacing="1" w:after="100" w:afterAutospacing="1" w:line="240" w:lineRule="auto"/>
    </w:pPr>
    <w:rPr>
      <w:rFonts w:ascii="Times" w:eastAsiaTheme="minorEastAsia" w:hAnsi="Times" w:cs="Times New Roman"/>
      <w:sz w:val="20"/>
      <w:szCs w:val="20"/>
      <w:lang w:eastAsia="it-IT"/>
    </w:rPr>
  </w:style>
  <w:style w:type="paragraph" w:customStyle="1" w:styleId="Default">
    <w:name w:val="Default"/>
    <w:rsid w:val="003077E3"/>
    <w:pPr>
      <w:autoSpaceDE w:val="0"/>
      <w:autoSpaceDN w:val="0"/>
      <w:adjustRightInd w:val="0"/>
    </w:pPr>
    <w:rPr>
      <w:rFonts w:ascii="Calibri" w:eastAsia="Times New Roman" w:hAnsi="Calibri" w:cs="Calibri"/>
      <w:color w:val="000000"/>
      <w:lang w:val="fr-CH" w:eastAsia="fr-CH"/>
    </w:rPr>
  </w:style>
  <w:style w:type="character" w:customStyle="1" w:styleId="CommentTextChar">
    <w:name w:val="Comment Text Char"/>
    <w:basedOn w:val="Carpredefinitoparagrafo"/>
    <w:uiPriority w:val="99"/>
    <w:rsid w:val="007E72EB"/>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25991">
      <w:bodyDiv w:val="1"/>
      <w:marLeft w:val="0"/>
      <w:marRight w:val="0"/>
      <w:marTop w:val="0"/>
      <w:marBottom w:val="0"/>
      <w:divBdr>
        <w:top w:val="none" w:sz="0" w:space="0" w:color="auto"/>
        <w:left w:val="none" w:sz="0" w:space="0" w:color="auto"/>
        <w:bottom w:val="none" w:sz="0" w:space="0" w:color="auto"/>
        <w:right w:val="none" w:sz="0" w:space="0" w:color="auto"/>
      </w:divBdr>
    </w:div>
    <w:div w:id="570850402">
      <w:bodyDiv w:val="1"/>
      <w:marLeft w:val="0"/>
      <w:marRight w:val="0"/>
      <w:marTop w:val="0"/>
      <w:marBottom w:val="0"/>
      <w:divBdr>
        <w:top w:val="none" w:sz="0" w:space="0" w:color="auto"/>
        <w:left w:val="none" w:sz="0" w:space="0" w:color="auto"/>
        <w:bottom w:val="none" w:sz="0" w:space="0" w:color="auto"/>
        <w:right w:val="none" w:sz="0" w:space="0" w:color="auto"/>
      </w:divBdr>
    </w:div>
    <w:div w:id="716048762">
      <w:bodyDiv w:val="1"/>
      <w:marLeft w:val="0"/>
      <w:marRight w:val="0"/>
      <w:marTop w:val="0"/>
      <w:marBottom w:val="0"/>
      <w:divBdr>
        <w:top w:val="none" w:sz="0" w:space="0" w:color="auto"/>
        <w:left w:val="none" w:sz="0" w:space="0" w:color="auto"/>
        <w:bottom w:val="none" w:sz="0" w:space="0" w:color="auto"/>
        <w:right w:val="none" w:sz="0" w:space="0" w:color="auto"/>
      </w:divBdr>
      <w:divsChild>
        <w:div w:id="524364525">
          <w:marLeft w:val="0"/>
          <w:marRight w:val="0"/>
          <w:marTop w:val="0"/>
          <w:marBottom w:val="0"/>
          <w:divBdr>
            <w:top w:val="none" w:sz="0" w:space="0" w:color="auto"/>
            <w:left w:val="none" w:sz="0" w:space="0" w:color="auto"/>
            <w:bottom w:val="none" w:sz="0" w:space="0" w:color="auto"/>
            <w:right w:val="none" w:sz="0" w:space="0" w:color="auto"/>
          </w:divBdr>
        </w:div>
        <w:div w:id="1593246468">
          <w:marLeft w:val="0"/>
          <w:marRight w:val="0"/>
          <w:marTop w:val="0"/>
          <w:marBottom w:val="0"/>
          <w:divBdr>
            <w:top w:val="none" w:sz="0" w:space="0" w:color="auto"/>
            <w:left w:val="none" w:sz="0" w:space="0" w:color="auto"/>
            <w:bottom w:val="none" w:sz="0" w:space="0" w:color="auto"/>
            <w:right w:val="none" w:sz="0" w:space="0" w:color="auto"/>
          </w:divBdr>
        </w:div>
      </w:divsChild>
    </w:div>
    <w:div w:id="951473424">
      <w:bodyDiv w:val="1"/>
      <w:marLeft w:val="0"/>
      <w:marRight w:val="0"/>
      <w:marTop w:val="0"/>
      <w:marBottom w:val="0"/>
      <w:divBdr>
        <w:top w:val="none" w:sz="0" w:space="0" w:color="auto"/>
        <w:left w:val="none" w:sz="0" w:space="0" w:color="auto"/>
        <w:bottom w:val="none" w:sz="0" w:space="0" w:color="auto"/>
        <w:right w:val="none" w:sz="0" w:space="0" w:color="auto"/>
      </w:divBdr>
      <w:divsChild>
        <w:div w:id="1086269621">
          <w:marLeft w:val="0"/>
          <w:marRight w:val="0"/>
          <w:marTop w:val="0"/>
          <w:marBottom w:val="0"/>
          <w:divBdr>
            <w:top w:val="none" w:sz="0" w:space="0" w:color="auto"/>
            <w:left w:val="none" w:sz="0" w:space="0" w:color="auto"/>
            <w:bottom w:val="none" w:sz="0" w:space="0" w:color="auto"/>
            <w:right w:val="none" w:sz="0" w:space="0" w:color="auto"/>
          </w:divBdr>
          <w:divsChild>
            <w:div w:id="1635017546">
              <w:marLeft w:val="0"/>
              <w:marRight w:val="0"/>
              <w:marTop w:val="0"/>
              <w:marBottom w:val="0"/>
              <w:divBdr>
                <w:top w:val="none" w:sz="0" w:space="0" w:color="auto"/>
                <w:left w:val="none" w:sz="0" w:space="0" w:color="auto"/>
                <w:bottom w:val="none" w:sz="0" w:space="0" w:color="auto"/>
                <w:right w:val="none" w:sz="0" w:space="0" w:color="auto"/>
              </w:divBdr>
            </w:div>
            <w:div w:id="1159007274">
              <w:marLeft w:val="0"/>
              <w:marRight w:val="0"/>
              <w:marTop w:val="0"/>
              <w:marBottom w:val="0"/>
              <w:divBdr>
                <w:top w:val="none" w:sz="0" w:space="0" w:color="auto"/>
                <w:left w:val="none" w:sz="0" w:space="0" w:color="auto"/>
                <w:bottom w:val="none" w:sz="0" w:space="0" w:color="auto"/>
                <w:right w:val="none" w:sz="0" w:space="0" w:color="auto"/>
              </w:divBdr>
            </w:div>
          </w:divsChild>
        </w:div>
        <w:div w:id="2055814430">
          <w:marLeft w:val="0"/>
          <w:marRight w:val="0"/>
          <w:marTop w:val="0"/>
          <w:marBottom w:val="0"/>
          <w:divBdr>
            <w:top w:val="none" w:sz="0" w:space="0" w:color="auto"/>
            <w:left w:val="none" w:sz="0" w:space="0" w:color="auto"/>
            <w:bottom w:val="none" w:sz="0" w:space="0" w:color="auto"/>
            <w:right w:val="none" w:sz="0" w:space="0" w:color="auto"/>
          </w:divBdr>
          <w:divsChild>
            <w:div w:id="12361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93623">
      <w:bodyDiv w:val="1"/>
      <w:marLeft w:val="0"/>
      <w:marRight w:val="0"/>
      <w:marTop w:val="0"/>
      <w:marBottom w:val="0"/>
      <w:divBdr>
        <w:top w:val="none" w:sz="0" w:space="0" w:color="auto"/>
        <w:left w:val="none" w:sz="0" w:space="0" w:color="auto"/>
        <w:bottom w:val="none" w:sz="0" w:space="0" w:color="auto"/>
        <w:right w:val="none" w:sz="0" w:space="0" w:color="auto"/>
      </w:divBdr>
    </w:div>
    <w:div w:id="1347486926">
      <w:bodyDiv w:val="1"/>
      <w:marLeft w:val="0"/>
      <w:marRight w:val="0"/>
      <w:marTop w:val="0"/>
      <w:marBottom w:val="0"/>
      <w:divBdr>
        <w:top w:val="none" w:sz="0" w:space="0" w:color="auto"/>
        <w:left w:val="none" w:sz="0" w:space="0" w:color="auto"/>
        <w:bottom w:val="none" w:sz="0" w:space="0" w:color="auto"/>
        <w:right w:val="none" w:sz="0" w:space="0" w:color="auto"/>
      </w:divBdr>
    </w:div>
    <w:div w:id="1952740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p-ad.org/" TargetMode="External"/><Relationship Id="rId9" Type="http://schemas.openxmlformats.org/officeDocument/2006/relationships/hyperlink" Target="http://www.amypad.eu/" TargetMode="External"/><Relationship Id="rId10" Type="http://schemas.openxmlformats.org/officeDocument/2006/relationships/hyperlink" Target="http://apps.who.int/iris/bitstream/10665/75263/1/9789241564458_eng.pdf?ua=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9A89A9-338A-784D-A672-801AC8BF0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10883</Words>
  <Characters>62035</Characters>
  <Application>Microsoft Macintosh Word</Application>
  <DocSecurity>0</DocSecurity>
  <Lines>516</Lines>
  <Paragraphs>145</Paragraphs>
  <ScaleCrop>false</ScaleCrop>
  <HeadingPairs>
    <vt:vector size="2" baseType="variant">
      <vt:variant>
        <vt:lpstr>Titolo</vt:lpstr>
      </vt:variant>
      <vt:variant>
        <vt:i4>1</vt:i4>
      </vt:variant>
    </vt:vector>
  </HeadingPairs>
  <TitlesOfParts>
    <vt:vector size="1" baseType="lpstr">
      <vt:lpstr/>
    </vt:vector>
  </TitlesOfParts>
  <Company>IRCCS S.Giovanni di Dio - Fatebenefratelli</Company>
  <LinksUpToDate>false</LinksUpToDate>
  <CharactersWithSpaces>72773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Boccardi</dc:creator>
  <cp:lastModifiedBy>Utente di Microsoft Office</cp:lastModifiedBy>
  <cp:revision>3</cp:revision>
  <dcterms:created xsi:type="dcterms:W3CDTF">2017-01-19T11:09:00Z</dcterms:created>
  <dcterms:modified xsi:type="dcterms:W3CDTF">2017-01-19T11:10:00Z</dcterms:modified>
</cp:coreProperties>
</file>