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8E2A9" w14:textId="77777777" w:rsidR="00EB6A04" w:rsidRPr="001467AF" w:rsidRDefault="00EB6A04" w:rsidP="00EB6A04">
      <w:pPr>
        <w:pStyle w:val="Body1"/>
        <w:jc w:val="center"/>
        <w:rPr>
          <w:rFonts w:ascii="Arial" w:hAnsi="Arial" w:cs="Arial"/>
          <w:b/>
          <w:sz w:val="22"/>
          <w:szCs w:val="20"/>
          <w:lang w:val="en-GB"/>
        </w:rPr>
      </w:pPr>
      <w:bookmarkStart w:id="0" w:name="_Toc453175126"/>
      <w:bookmarkStart w:id="1" w:name="_GoBack"/>
      <w:r w:rsidRPr="001467AF">
        <w:rPr>
          <w:rFonts w:ascii="Arial" w:hAnsi="Arial" w:cs="Arial"/>
          <w:b/>
          <w:sz w:val="22"/>
          <w:szCs w:val="20"/>
          <w:lang w:val="en-GB"/>
        </w:rPr>
        <w:t>Predicting mycobacterial load  from the time of positive culture using MODS (microscopic- observation drug-susceptibility assay)</w:t>
      </w:r>
      <w:bookmarkEnd w:id="0"/>
    </w:p>
    <w:bookmarkEnd w:id="1"/>
    <w:p w14:paraId="540C56D1" w14:textId="77777777" w:rsidR="00EB6A04" w:rsidRPr="001467AF" w:rsidRDefault="00EB6A04" w:rsidP="00EB6A04">
      <w:pPr>
        <w:jc w:val="center"/>
        <w:rPr>
          <w:rStyle w:val="apple-style-span"/>
          <w:rFonts w:ascii="Arial" w:hAnsi="Arial" w:cs="Arial"/>
          <w:sz w:val="20"/>
          <w:szCs w:val="20"/>
          <w:lang w:val="en-US"/>
        </w:rPr>
      </w:pPr>
    </w:p>
    <w:p w14:paraId="786B7FA4" w14:textId="77777777" w:rsidR="00EB6A04" w:rsidRPr="001467AF" w:rsidRDefault="00EB6A04" w:rsidP="00EB6A04">
      <w:pPr>
        <w:spacing w:line="240" w:lineRule="auto"/>
        <w:jc w:val="center"/>
        <w:rPr>
          <w:rStyle w:val="apple-style-span"/>
          <w:rFonts w:ascii="Arial" w:hAnsi="Arial" w:cs="Arial"/>
          <w:sz w:val="20"/>
          <w:szCs w:val="20"/>
          <w:vertAlign w:val="superscript"/>
          <w:lang w:val="es-PE"/>
        </w:rPr>
      </w:pPr>
      <w:r w:rsidRPr="001467AF">
        <w:rPr>
          <w:rStyle w:val="apple-style-span"/>
          <w:rFonts w:ascii="Arial" w:hAnsi="Arial" w:cs="Arial"/>
          <w:sz w:val="20"/>
          <w:szCs w:val="20"/>
          <w:lang w:val="es-PE"/>
        </w:rPr>
        <w:t>ES Ramos</w:t>
      </w:r>
      <w:r w:rsidRPr="001467AF">
        <w:rPr>
          <w:rStyle w:val="apple-style-span"/>
          <w:rFonts w:ascii="Arial" w:hAnsi="Arial" w:cs="Arial"/>
          <w:sz w:val="20"/>
          <w:szCs w:val="20"/>
          <w:vertAlign w:val="superscript"/>
          <w:lang w:val="es-PE"/>
        </w:rPr>
        <w:t>1</w:t>
      </w:r>
      <w:r w:rsidRPr="001467AF">
        <w:rPr>
          <w:rStyle w:val="apple-style-span"/>
          <w:rFonts w:ascii="Arial" w:hAnsi="Arial" w:cs="Arial"/>
          <w:sz w:val="20"/>
          <w:szCs w:val="20"/>
          <w:lang w:val="es-PE"/>
        </w:rPr>
        <w:t>, S Datta</w:t>
      </w:r>
      <w:r w:rsidRPr="001467AF">
        <w:rPr>
          <w:rStyle w:val="apple-style-span"/>
          <w:rFonts w:ascii="Arial" w:hAnsi="Arial" w:cs="Arial"/>
          <w:sz w:val="20"/>
          <w:szCs w:val="20"/>
          <w:vertAlign w:val="superscript"/>
          <w:lang w:val="es-PE"/>
        </w:rPr>
        <w:t>1,2,3</w:t>
      </w:r>
      <w:r w:rsidRPr="001467AF">
        <w:rPr>
          <w:rStyle w:val="apple-style-span"/>
          <w:rFonts w:ascii="Arial" w:hAnsi="Arial" w:cs="Arial"/>
          <w:sz w:val="20"/>
          <w:szCs w:val="20"/>
          <w:lang w:val="es-PE"/>
        </w:rPr>
        <w:t xml:space="preserve">, </w:t>
      </w:r>
      <w:r w:rsidRPr="001467AF">
        <w:rPr>
          <w:rStyle w:val="apple-converted-space"/>
          <w:rFonts w:ascii="Arial" w:hAnsi="Arial" w:cs="Arial"/>
          <w:sz w:val="20"/>
          <w:szCs w:val="20"/>
          <w:lang w:val="es-PE"/>
        </w:rPr>
        <w:t>TR Valencia</w:t>
      </w:r>
      <w:r w:rsidRPr="001467AF">
        <w:rPr>
          <w:rStyle w:val="apple-style-span"/>
          <w:rFonts w:ascii="Arial" w:hAnsi="Arial" w:cs="Arial"/>
          <w:sz w:val="20"/>
          <w:szCs w:val="20"/>
          <w:vertAlign w:val="superscript"/>
          <w:lang w:val="es-PE"/>
        </w:rPr>
        <w:t>1</w:t>
      </w:r>
      <w:r w:rsidRPr="001467AF">
        <w:rPr>
          <w:rStyle w:val="apple-converted-space"/>
          <w:rFonts w:ascii="Arial" w:hAnsi="Arial" w:cs="Arial"/>
          <w:sz w:val="20"/>
          <w:szCs w:val="20"/>
          <w:lang w:val="es-PE"/>
        </w:rPr>
        <w:t xml:space="preserve">, </w:t>
      </w:r>
      <w:r w:rsidRPr="001467AF">
        <w:rPr>
          <w:rStyle w:val="apple-style-span"/>
          <w:rFonts w:ascii="Arial" w:hAnsi="Arial" w:cs="Arial"/>
          <w:sz w:val="20"/>
          <w:szCs w:val="20"/>
          <w:lang w:val="es-PE"/>
        </w:rPr>
        <w:t>MA Tovar</w:t>
      </w:r>
      <w:r w:rsidRPr="001467AF">
        <w:rPr>
          <w:rStyle w:val="apple-style-span"/>
          <w:rFonts w:ascii="Arial" w:hAnsi="Arial" w:cs="Arial"/>
          <w:sz w:val="20"/>
          <w:szCs w:val="20"/>
          <w:vertAlign w:val="superscript"/>
          <w:lang w:val="es-PE"/>
        </w:rPr>
        <w:t>1,2</w:t>
      </w:r>
      <w:r w:rsidRPr="001467AF">
        <w:rPr>
          <w:rStyle w:val="apple-style-span"/>
          <w:rFonts w:ascii="Arial" w:hAnsi="Arial" w:cs="Arial"/>
          <w:sz w:val="20"/>
          <w:szCs w:val="20"/>
          <w:lang w:val="es-PE"/>
        </w:rPr>
        <w:t>, R Montoya</w:t>
      </w:r>
      <w:r w:rsidRPr="001467AF">
        <w:rPr>
          <w:rStyle w:val="apple-style-span"/>
          <w:rFonts w:ascii="Arial" w:hAnsi="Arial" w:cs="Arial"/>
          <w:sz w:val="20"/>
          <w:szCs w:val="20"/>
          <w:vertAlign w:val="superscript"/>
          <w:lang w:val="es-PE"/>
        </w:rPr>
        <w:t>2</w:t>
      </w:r>
      <w:r>
        <w:rPr>
          <w:rStyle w:val="apple-style-span"/>
          <w:rFonts w:ascii="Arial" w:hAnsi="Arial" w:cs="Arial"/>
          <w:sz w:val="20"/>
          <w:szCs w:val="20"/>
          <w:lang w:val="es-PE"/>
        </w:rPr>
        <w:t>,</w:t>
      </w:r>
      <w:r w:rsidRPr="001467AF">
        <w:rPr>
          <w:rStyle w:val="apple-style-span"/>
          <w:rFonts w:ascii="Arial" w:hAnsi="Arial" w:cs="Arial"/>
          <w:sz w:val="20"/>
          <w:szCs w:val="20"/>
          <w:lang w:val="es-PE"/>
        </w:rPr>
        <w:t xml:space="preserve"> JJ Lewis</w:t>
      </w:r>
      <w:r w:rsidRPr="001467AF">
        <w:rPr>
          <w:rStyle w:val="apple-style-span"/>
          <w:rFonts w:ascii="Arial" w:hAnsi="Arial" w:cs="Arial"/>
          <w:sz w:val="20"/>
          <w:szCs w:val="20"/>
          <w:vertAlign w:val="superscript"/>
          <w:lang w:val="es-PE"/>
        </w:rPr>
        <w:t>4</w:t>
      </w:r>
      <w:r w:rsidRPr="001467AF">
        <w:rPr>
          <w:rStyle w:val="apple-style-span"/>
          <w:rFonts w:ascii="Arial" w:hAnsi="Arial" w:cs="Arial"/>
          <w:sz w:val="20"/>
          <w:szCs w:val="20"/>
          <w:lang w:val="es-PE"/>
        </w:rPr>
        <w:t>, RH Gilman</w:t>
      </w:r>
      <w:r w:rsidRPr="001467AF">
        <w:rPr>
          <w:rStyle w:val="apple-style-span"/>
          <w:rFonts w:ascii="Arial" w:hAnsi="Arial" w:cs="Arial"/>
          <w:sz w:val="20"/>
          <w:szCs w:val="20"/>
          <w:vertAlign w:val="superscript"/>
          <w:lang w:val="es-PE"/>
        </w:rPr>
        <w:t>5</w:t>
      </w:r>
      <w:r>
        <w:rPr>
          <w:rStyle w:val="apple-style-span"/>
          <w:rFonts w:ascii="Arial" w:hAnsi="Arial" w:cs="Arial"/>
          <w:sz w:val="20"/>
          <w:szCs w:val="20"/>
          <w:lang w:val="es-PE"/>
        </w:rPr>
        <w:t>,</w:t>
      </w:r>
      <w:r w:rsidRPr="001467AF">
        <w:rPr>
          <w:rStyle w:val="apple-style-span"/>
          <w:rFonts w:ascii="Arial" w:hAnsi="Arial" w:cs="Arial"/>
          <w:sz w:val="20"/>
          <w:szCs w:val="20"/>
          <w:lang w:val="es-PE"/>
        </w:rPr>
        <w:t xml:space="preserve"> CA Evans</w:t>
      </w:r>
      <w:r w:rsidRPr="001467AF">
        <w:rPr>
          <w:rStyle w:val="apple-style-span"/>
          <w:rFonts w:ascii="Arial" w:hAnsi="Arial" w:cs="Arial"/>
          <w:sz w:val="20"/>
          <w:szCs w:val="20"/>
          <w:vertAlign w:val="superscript"/>
          <w:lang w:val="es-PE"/>
        </w:rPr>
        <w:t>1,2,3</w:t>
      </w:r>
    </w:p>
    <w:p w14:paraId="4F0CB01C" w14:textId="77777777" w:rsidR="00EB6A04" w:rsidRPr="007B4D06" w:rsidRDefault="00EB6A04" w:rsidP="00EB6A04">
      <w:pPr>
        <w:spacing w:line="240" w:lineRule="auto"/>
        <w:jc w:val="both"/>
        <w:rPr>
          <w:rStyle w:val="apple-style-span"/>
          <w:rFonts w:ascii="Arial" w:hAnsi="Arial" w:cs="Arial"/>
          <w:sz w:val="16"/>
          <w:szCs w:val="20"/>
          <w:vertAlign w:val="superscript"/>
          <w:lang w:val="es-PE"/>
        </w:rPr>
      </w:pPr>
    </w:p>
    <w:p w14:paraId="34CD13FD" w14:textId="77777777" w:rsidR="00EB6A04" w:rsidRPr="001467AF" w:rsidRDefault="00EB6A04" w:rsidP="00EB6A04">
      <w:pPr>
        <w:pStyle w:val="ListParagraph"/>
        <w:numPr>
          <w:ilvl w:val="0"/>
          <w:numId w:val="1"/>
        </w:numPr>
        <w:spacing w:after="0" w:line="240" w:lineRule="auto"/>
        <w:jc w:val="both"/>
        <w:rPr>
          <w:rStyle w:val="apple-style-span"/>
          <w:rFonts w:ascii="Arial" w:hAnsi="Arial" w:cs="Arial"/>
          <w:sz w:val="20"/>
          <w:szCs w:val="20"/>
          <w:lang w:val="en-GB"/>
        </w:rPr>
      </w:pPr>
      <w:r w:rsidRPr="001467AF">
        <w:rPr>
          <w:rStyle w:val="apple-style-span"/>
          <w:rFonts w:ascii="Arial" w:hAnsi="Arial" w:cs="Arial"/>
          <w:sz w:val="20"/>
          <w:szCs w:val="20"/>
          <w:lang w:val="en-GB"/>
        </w:rPr>
        <w:t>IFHAD: Innovation For Health And Development, Universidad Peruana Cayetano Heredia, San Martin de Porres, Lima, Peru.</w:t>
      </w:r>
    </w:p>
    <w:p w14:paraId="3A84A761" w14:textId="77777777" w:rsidR="00EB6A04" w:rsidRPr="001467AF" w:rsidRDefault="00EB6A04" w:rsidP="00EB6A04">
      <w:pPr>
        <w:numPr>
          <w:ilvl w:val="0"/>
          <w:numId w:val="1"/>
        </w:numPr>
        <w:spacing w:line="240" w:lineRule="auto"/>
        <w:jc w:val="both"/>
        <w:rPr>
          <w:rStyle w:val="apple-style-span"/>
          <w:rFonts w:ascii="Arial" w:hAnsi="Arial" w:cs="Arial"/>
          <w:sz w:val="20"/>
          <w:szCs w:val="20"/>
          <w:lang w:val="es-PE"/>
        </w:rPr>
      </w:pPr>
      <w:r w:rsidRPr="001467AF">
        <w:rPr>
          <w:rStyle w:val="apple-style-span"/>
          <w:rFonts w:ascii="Arial" w:hAnsi="Arial" w:cs="Arial"/>
          <w:sz w:val="20"/>
          <w:szCs w:val="20"/>
          <w:lang w:val="es-PE"/>
        </w:rPr>
        <w:t>Innovación por la Salud y el Desarrollo (IPSYD), Asociación Benéfica Prisma, San Miguel, Lima, Perú.</w:t>
      </w:r>
    </w:p>
    <w:p w14:paraId="0E15FF3F" w14:textId="77777777" w:rsidR="00EB6A04" w:rsidRPr="001467AF" w:rsidRDefault="00EB6A04" w:rsidP="00EB6A04">
      <w:pPr>
        <w:numPr>
          <w:ilvl w:val="0"/>
          <w:numId w:val="1"/>
        </w:numPr>
        <w:spacing w:line="240" w:lineRule="auto"/>
        <w:jc w:val="both"/>
        <w:rPr>
          <w:rFonts w:ascii="Arial" w:hAnsi="Arial" w:cs="Arial"/>
          <w:sz w:val="20"/>
          <w:szCs w:val="20"/>
        </w:rPr>
      </w:pPr>
      <w:r w:rsidRPr="001467AF">
        <w:rPr>
          <w:rFonts w:ascii="Arial" w:hAnsi="Arial" w:cs="Arial"/>
          <w:sz w:val="20"/>
          <w:szCs w:val="20"/>
        </w:rPr>
        <w:t>Section of Infectious Diseases &amp; Immunity, Wellcome Trust Centre for Global Health Research, Imperial College London, UK.</w:t>
      </w:r>
    </w:p>
    <w:p w14:paraId="7CEDC08A" w14:textId="77777777" w:rsidR="00EB6A04" w:rsidRPr="001467AF" w:rsidRDefault="00EB6A04" w:rsidP="00EB6A04">
      <w:pPr>
        <w:numPr>
          <w:ilvl w:val="0"/>
          <w:numId w:val="1"/>
        </w:numPr>
        <w:spacing w:line="240" w:lineRule="auto"/>
        <w:jc w:val="both"/>
        <w:rPr>
          <w:rFonts w:ascii="Arial" w:hAnsi="Arial" w:cs="Arial"/>
          <w:sz w:val="20"/>
          <w:szCs w:val="20"/>
        </w:rPr>
      </w:pPr>
      <w:r w:rsidRPr="001467AF">
        <w:rPr>
          <w:rFonts w:ascii="Arial" w:hAnsi="Arial" w:cs="Arial"/>
          <w:sz w:val="20"/>
          <w:szCs w:val="20"/>
        </w:rPr>
        <w:t>Department of Infectious Disease Epidemiology, London School of Hygiene &amp; Tropical Medicine, London, UK</w:t>
      </w:r>
    </w:p>
    <w:p w14:paraId="4800783A" w14:textId="77777777" w:rsidR="00EB6A04" w:rsidRPr="001467AF" w:rsidRDefault="00EB6A04" w:rsidP="00EB6A04">
      <w:pPr>
        <w:numPr>
          <w:ilvl w:val="0"/>
          <w:numId w:val="1"/>
        </w:numPr>
        <w:spacing w:line="240" w:lineRule="auto"/>
        <w:jc w:val="both"/>
        <w:rPr>
          <w:rFonts w:ascii="Arial" w:hAnsi="Arial" w:cs="Arial"/>
          <w:sz w:val="20"/>
          <w:szCs w:val="20"/>
        </w:rPr>
      </w:pPr>
      <w:r w:rsidRPr="001467AF">
        <w:rPr>
          <w:rFonts w:ascii="Arial" w:hAnsi="Arial" w:cs="Arial"/>
          <w:sz w:val="20"/>
          <w:szCs w:val="20"/>
        </w:rPr>
        <w:t>Dept International Health, Johns Hopkins Bloomberg School of Public Health, Baltimore, MD, USA</w:t>
      </w:r>
    </w:p>
    <w:p w14:paraId="551119EB" w14:textId="77777777" w:rsidR="00EB6A04" w:rsidRPr="001467AF" w:rsidRDefault="00EB6A04" w:rsidP="00EB6A04">
      <w:pPr>
        <w:spacing w:line="240" w:lineRule="auto"/>
        <w:jc w:val="both"/>
        <w:rPr>
          <w:rFonts w:ascii="Arial" w:hAnsi="Arial" w:cs="Arial"/>
          <w:b/>
          <w:sz w:val="20"/>
          <w:szCs w:val="20"/>
        </w:rPr>
      </w:pPr>
    </w:p>
    <w:p w14:paraId="0C1C25D7" w14:textId="77777777" w:rsidR="00EB6A04" w:rsidRPr="001467AF" w:rsidRDefault="00EB6A04" w:rsidP="00EB6A04">
      <w:pPr>
        <w:spacing w:line="240" w:lineRule="auto"/>
        <w:jc w:val="both"/>
        <w:rPr>
          <w:rFonts w:ascii="Arial" w:hAnsi="Arial" w:cs="Arial"/>
          <w:sz w:val="20"/>
          <w:lang w:val="en-US"/>
        </w:rPr>
      </w:pPr>
      <w:r w:rsidRPr="001467AF">
        <w:rPr>
          <w:rFonts w:ascii="Arial" w:hAnsi="Arial" w:cs="Arial"/>
          <w:b/>
          <w:sz w:val="20"/>
          <w:lang w:val="en-US"/>
        </w:rPr>
        <w:t>Background.</w:t>
      </w:r>
      <w:r w:rsidRPr="001467AF">
        <w:rPr>
          <w:rFonts w:ascii="Arial" w:hAnsi="Arial" w:cs="Arial"/>
          <w:sz w:val="20"/>
          <w:lang w:val="en-US"/>
        </w:rPr>
        <w:t xml:space="preserve"> MODS (microscopic-observation drug-susceptibility assay) is a rapid, non-commercial method to culture </w:t>
      </w:r>
      <w:r w:rsidRPr="001467AF">
        <w:rPr>
          <w:rFonts w:ascii="Arial" w:hAnsi="Arial" w:cs="Arial"/>
          <w:i/>
          <w:sz w:val="20"/>
          <w:lang w:val="en-US"/>
        </w:rPr>
        <w:t>Mycobacterium tuberculosis</w:t>
      </w:r>
      <w:r w:rsidRPr="001467AF" w:rsidDel="009978B9">
        <w:rPr>
          <w:rFonts w:ascii="Arial" w:hAnsi="Arial" w:cs="Arial"/>
          <w:sz w:val="20"/>
          <w:lang w:val="en-US"/>
        </w:rPr>
        <w:t xml:space="preserve"> </w:t>
      </w:r>
      <w:r w:rsidRPr="001467AF">
        <w:rPr>
          <w:rFonts w:ascii="Arial" w:hAnsi="Arial" w:cs="Arial"/>
          <w:sz w:val="20"/>
          <w:lang w:val="en-US"/>
        </w:rPr>
        <w:t>using 7H9 broth media, which can also identify drug sensitivity directly from sputum samples and it has been endorsed by the World Health Organization. To assess mycobacterial load in sputum with MODS, colony forming units (CFU) are counted, however this is a complex process, therefore our objective was to assess the role of time to positive culture (TTP) data to predict the number of CFU in MODS cultures.</w:t>
      </w:r>
    </w:p>
    <w:p w14:paraId="2EE457F0" w14:textId="77777777" w:rsidR="00EB6A04" w:rsidRPr="007B4D06" w:rsidRDefault="00EB6A04" w:rsidP="00EB6A04">
      <w:pPr>
        <w:spacing w:line="240" w:lineRule="auto"/>
        <w:jc w:val="both"/>
        <w:rPr>
          <w:rFonts w:ascii="Arial" w:hAnsi="Arial" w:cs="Arial"/>
          <w:b/>
          <w:sz w:val="10"/>
          <w:lang w:val="en-US"/>
        </w:rPr>
      </w:pPr>
    </w:p>
    <w:p w14:paraId="090E59D3" w14:textId="77777777" w:rsidR="00EB6A04" w:rsidRPr="001467AF" w:rsidRDefault="00EB6A04" w:rsidP="00EB6A04">
      <w:pPr>
        <w:spacing w:line="240" w:lineRule="auto"/>
        <w:jc w:val="both"/>
        <w:rPr>
          <w:rFonts w:ascii="Arial" w:hAnsi="Arial" w:cs="Arial"/>
          <w:sz w:val="20"/>
          <w:lang w:val="en-US"/>
        </w:rPr>
      </w:pPr>
      <w:r w:rsidRPr="001467AF">
        <w:rPr>
          <w:rFonts w:ascii="Arial" w:hAnsi="Arial" w:cs="Arial"/>
          <w:b/>
          <w:sz w:val="20"/>
          <w:lang w:val="en-US"/>
        </w:rPr>
        <w:t>Methods.</w:t>
      </w:r>
      <w:r w:rsidRPr="001467AF">
        <w:rPr>
          <w:rFonts w:ascii="Arial" w:hAnsi="Arial" w:cs="Arial"/>
          <w:sz w:val="20"/>
          <w:lang w:val="en-US"/>
        </w:rPr>
        <w:t xml:space="preserve"> Fresh sputum samples were collected from tuberculosis-affected persons in Ventanilla, Lima, Peru.  Samples were processed by the standard MODS protocol with biosafety precautions. Samples were decontaminated by 4% NaOH-NALC followed by centrifugation. The supernatant was resuspended and inoculated in MODS media (Middlebrook 7H9, supplemented by OADC and PANTA). MODS cultures were read 3 times a week  from 5 days until 21 days after inoculation. The TTP was calculated as the days taken for the first colony to appear in the MODS culture, and CFU was the number of colonies seen the last day of culture.  Linear regression analysis was used to predict CFU from the TTP of the same sample. </w:t>
      </w:r>
    </w:p>
    <w:p w14:paraId="069899A5" w14:textId="77777777" w:rsidR="00EB6A04" w:rsidRPr="007B4D06" w:rsidRDefault="00EB6A04" w:rsidP="00EB6A04">
      <w:pPr>
        <w:spacing w:line="240" w:lineRule="auto"/>
        <w:jc w:val="both"/>
        <w:rPr>
          <w:rFonts w:ascii="Arial" w:hAnsi="Arial" w:cs="Arial"/>
          <w:b/>
          <w:sz w:val="10"/>
          <w:lang w:val="en-US"/>
        </w:rPr>
      </w:pPr>
    </w:p>
    <w:p w14:paraId="274B05F1" w14:textId="77777777" w:rsidR="00EB6A04" w:rsidRPr="001467AF" w:rsidRDefault="00EB6A04" w:rsidP="00EB6A04">
      <w:pPr>
        <w:spacing w:line="240" w:lineRule="auto"/>
        <w:jc w:val="both"/>
        <w:rPr>
          <w:rFonts w:ascii="Arial" w:hAnsi="Arial" w:cs="Arial"/>
          <w:sz w:val="20"/>
          <w:lang w:val="en-US"/>
        </w:rPr>
      </w:pPr>
      <w:r w:rsidRPr="001467AF">
        <w:rPr>
          <w:rFonts w:ascii="Arial" w:hAnsi="Arial" w:cs="Arial"/>
          <w:b/>
          <w:sz w:val="20"/>
          <w:lang w:val="en-US"/>
        </w:rPr>
        <w:t xml:space="preserve">Results. </w:t>
      </w:r>
      <w:r w:rsidRPr="001467AF">
        <w:rPr>
          <w:rFonts w:ascii="Arial" w:hAnsi="Arial" w:cs="Arial"/>
          <w:sz w:val="20"/>
          <w:lang w:val="en-US"/>
        </w:rPr>
        <w:t xml:space="preserve">During the study period there were 1934 samples positive for </w:t>
      </w:r>
      <w:r w:rsidRPr="001467AF">
        <w:rPr>
          <w:rFonts w:ascii="Arial" w:hAnsi="Arial" w:cs="Arial"/>
          <w:i/>
          <w:sz w:val="20"/>
          <w:lang w:val="en-US"/>
        </w:rPr>
        <w:t>Mycobacterium tuberculosis</w:t>
      </w:r>
      <w:r w:rsidRPr="001467AF">
        <w:rPr>
          <w:rFonts w:ascii="Arial" w:hAnsi="Arial" w:cs="Arial"/>
          <w:sz w:val="20"/>
          <w:lang w:val="en-US"/>
        </w:rPr>
        <w:t xml:space="preserve"> in MODS. The median TTP was 11 days (interquartile range, IQR 8-14), and median CFU 2.2 (IQR 1.3-3.1). There was a strong inverse correlation between TTP and CFU, that for every 4.8 (95% confidence interval 4.5 – 5.0) days needed in TTP there was a 10-fold decrease in CFU (R</w:t>
      </w:r>
      <w:r w:rsidRPr="001467AF">
        <w:rPr>
          <w:rFonts w:ascii="Arial" w:hAnsi="Arial" w:cs="Arial"/>
          <w:sz w:val="20"/>
          <w:vertAlign w:val="superscript"/>
          <w:lang w:val="en-US"/>
        </w:rPr>
        <w:t>2</w:t>
      </w:r>
      <w:r w:rsidRPr="001467AF">
        <w:rPr>
          <w:rFonts w:ascii="Arial" w:hAnsi="Arial" w:cs="Arial"/>
          <w:sz w:val="20"/>
          <w:lang w:val="en-US"/>
        </w:rPr>
        <w:t xml:space="preserve">=0.63, p&lt;0.0001). Using this simple linear regression model, figure compares the actual CFU data with the predicted value from paired TTP data. 86% of actual CFU values were within 1 base-10 logarithm of the predicted CFU values. </w:t>
      </w:r>
    </w:p>
    <w:p w14:paraId="042FAE78" w14:textId="77777777" w:rsidR="00EB6A04" w:rsidRPr="007B4D06" w:rsidRDefault="00EB6A04" w:rsidP="00EB6A04">
      <w:pPr>
        <w:spacing w:line="240" w:lineRule="auto"/>
        <w:jc w:val="both"/>
        <w:rPr>
          <w:rFonts w:ascii="Arial" w:hAnsi="Arial" w:cs="Arial"/>
          <w:b/>
          <w:sz w:val="10"/>
          <w:lang w:val="en-US"/>
        </w:rPr>
      </w:pPr>
    </w:p>
    <w:p w14:paraId="3444E2BF" w14:textId="77777777" w:rsidR="00EB6A04" w:rsidRPr="001467AF" w:rsidRDefault="00EB6A04" w:rsidP="00EB6A04">
      <w:pPr>
        <w:spacing w:line="240" w:lineRule="auto"/>
        <w:jc w:val="both"/>
        <w:rPr>
          <w:rFonts w:ascii="Arial" w:hAnsi="Arial" w:cs="Arial"/>
          <w:sz w:val="20"/>
          <w:lang w:val="en-US"/>
        </w:rPr>
      </w:pPr>
      <w:r w:rsidRPr="001467AF">
        <w:rPr>
          <w:rFonts w:ascii="Arial" w:hAnsi="Arial" w:cs="Arial"/>
          <w:b/>
          <w:sz w:val="20"/>
          <w:lang w:val="en-US"/>
        </w:rPr>
        <w:t xml:space="preserve">Conclusion. </w:t>
      </w:r>
      <w:r w:rsidRPr="001467AF">
        <w:rPr>
          <w:rFonts w:ascii="Arial" w:hAnsi="Arial" w:cs="Arial"/>
          <w:sz w:val="20"/>
          <w:lang w:val="en-US"/>
        </w:rPr>
        <w:t>We conclude that TTP culture data can be used as a surrogate marker for CFU. Calculating TTP is a simple and feasible technique for evaluating mycobacterial load in sputum.</w:t>
      </w:r>
    </w:p>
    <w:p w14:paraId="51BB9938" w14:textId="77777777" w:rsidR="00EB6A04" w:rsidRPr="00EB6A04" w:rsidRDefault="00EB6A04" w:rsidP="00EB6A04">
      <w:pPr>
        <w:spacing w:after="240" w:line="240" w:lineRule="auto"/>
        <w:jc w:val="both"/>
        <w:rPr>
          <w:rFonts w:ascii="Arial" w:hAnsi="Arial" w:cs="Arial"/>
          <w:lang w:val="en-US"/>
        </w:rPr>
        <w:sectPr w:rsidR="00EB6A04" w:rsidRPr="00EB6A04" w:rsidSect="007B4D06">
          <w:pgSz w:w="12240" w:h="15840"/>
          <w:pgMar w:top="851" w:right="1701" w:bottom="1417" w:left="1701" w:header="708" w:footer="708" w:gutter="0"/>
          <w:cols w:space="708"/>
          <w:docGrid w:linePitch="360"/>
        </w:sectPr>
      </w:pPr>
      <w:r w:rsidRPr="001467AF">
        <w:rPr>
          <w:rFonts w:ascii="Arial" w:hAnsi="Arial" w:cs="Arial"/>
          <w:color w:val="FF0000"/>
          <w:sz w:val="20"/>
          <w:lang w:val="en-US"/>
        </w:rPr>
        <w:br w:type="page"/>
      </w:r>
      <w:r w:rsidRPr="001467AF">
        <w:rPr>
          <w:rFonts w:ascii="Arial" w:hAnsi="Arial" w:cs="Arial"/>
          <w:noProof/>
          <w:lang w:val="en-US"/>
        </w:rPr>
        <w:lastRenderedPageBreak/>
        <w:drawing>
          <wp:inline distT="0" distB="0" distL="0" distR="0" wp14:anchorId="0030A652" wp14:editId="656938FB">
            <wp:extent cx="5571462" cy="417859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8764" cy="4176573"/>
                    </a:xfrm>
                    <a:prstGeom prst="rect">
                      <a:avLst/>
                    </a:prstGeom>
                    <a:noFill/>
                  </pic:spPr>
                </pic:pic>
              </a:graphicData>
            </a:graphic>
          </wp:inline>
        </w:drawing>
      </w:r>
    </w:p>
    <w:p w14:paraId="24F1DF66" w14:textId="77777777" w:rsidR="00E85376" w:rsidRDefault="00E85376"/>
    <w:sectPr w:rsidR="00E85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72AB3"/>
    <w:multiLevelType w:val="hybridMultilevel"/>
    <w:tmpl w:val="BB568BEA"/>
    <w:lvl w:ilvl="0" w:tplc="33AEE63C">
      <w:start w:val="1"/>
      <w:numFmt w:val="decimal"/>
      <w:lvlText w:val="%1"/>
      <w:lvlJc w:val="left"/>
      <w:pPr>
        <w:ind w:left="360" w:hanging="360"/>
      </w:pPr>
      <w:rPr>
        <w:rFonts w:ascii="Arial" w:eastAsiaTheme="minorHAnsi" w:hAnsi="Arial" w:cs="Arial"/>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04"/>
    <w:rsid w:val="00E85376"/>
    <w:rsid w:val="00EB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4230"/>
  <w15:chartTrackingRefBased/>
  <w15:docId w15:val="{59E4A300-ECF5-4BD4-801A-0CAF4A1F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A04"/>
    <w:pPr>
      <w:spacing w:after="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B6A04"/>
    <w:pPr>
      <w:spacing w:after="0" w:line="240" w:lineRule="auto"/>
      <w:outlineLvl w:val="0"/>
    </w:pPr>
    <w:rPr>
      <w:rFonts w:ascii="Times New Roman" w:eastAsia="ヒラギノ角ゴ Pro W3" w:hAnsi="Times New Roman" w:cs="Times New Roman"/>
      <w:color w:val="000000"/>
      <w:sz w:val="24"/>
      <w:szCs w:val="24"/>
      <w:lang w:eastAsia="en-GB"/>
    </w:rPr>
  </w:style>
  <w:style w:type="character" w:styleId="Strong">
    <w:name w:val="Strong"/>
    <w:basedOn w:val="DefaultParagraphFont"/>
    <w:uiPriority w:val="22"/>
    <w:qFormat/>
    <w:rsid w:val="00EB6A04"/>
    <w:rPr>
      <w:b/>
      <w:bCs/>
    </w:rPr>
  </w:style>
  <w:style w:type="character" w:customStyle="1" w:styleId="apple-converted-space">
    <w:name w:val="apple-converted-space"/>
    <w:basedOn w:val="DefaultParagraphFont"/>
    <w:rsid w:val="00EB6A04"/>
  </w:style>
  <w:style w:type="character" w:customStyle="1" w:styleId="apple-style-span">
    <w:name w:val="apple-style-span"/>
    <w:rsid w:val="00EB6A04"/>
  </w:style>
  <w:style w:type="paragraph" w:styleId="ListParagraph">
    <w:name w:val="List Paragraph"/>
    <w:basedOn w:val="Normal"/>
    <w:uiPriority w:val="34"/>
    <w:qFormat/>
    <w:rsid w:val="00EB6A04"/>
    <w:pPr>
      <w:spacing w:after="200"/>
      <w:ind w:left="720"/>
      <w:contextualSpacing/>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Bonadonna</dc:creator>
  <cp:keywords/>
  <dc:description/>
  <cp:lastModifiedBy>Lily Bonadonna</cp:lastModifiedBy>
  <cp:revision>1</cp:revision>
  <dcterms:created xsi:type="dcterms:W3CDTF">2016-10-22T00:52:00Z</dcterms:created>
  <dcterms:modified xsi:type="dcterms:W3CDTF">2016-10-22T00:53:00Z</dcterms:modified>
</cp:coreProperties>
</file>