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7C178" w14:textId="77777777" w:rsidR="00A62457" w:rsidRPr="002612BA" w:rsidRDefault="00A62457" w:rsidP="00DD6CB5">
      <w:pPr>
        <w:spacing w:after="0" w:line="360" w:lineRule="auto"/>
        <w:contextualSpacing/>
        <w:jc w:val="center"/>
        <w:rPr>
          <w:rFonts w:ascii="Times New Roman" w:hAnsi="Times New Roman" w:cs="Times New Roman"/>
          <w:b/>
          <w:caps/>
          <w:sz w:val="24"/>
          <w:szCs w:val="24"/>
        </w:rPr>
      </w:pPr>
      <w:r>
        <w:rPr>
          <w:rFonts w:ascii="Times New Roman" w:hAnsi="Times New Roman" w:cs="Times New Roman"/>
          <w:b/>
          <w:sz w:val="24"/>
          <w:szCs w:val="24"/>
        </w:rPr>
        <w:t>E</w:t>
      </w:r>
      <w:r>
        <w:rPr>
          <w:rFonts w:ascii="Times New Roman" w:hAnsi="Times New Roman" w:cs="Times New Roman"/>
          <w:b/>
          <w:caps/>
          <w:sz w:val="24"/>
          <w:szCs w:val="24"/>
        </w:rPr>
        <w:t>scalation of commitment in venture capital decision making: Differentiating between domest</w:t>
      </w:r>
      <w:r w:rsidR="00495EAD">
        <w:rPr>
          <w:rFonts w:ascii="Times New Roman" w:hAnsi="Times New Roman" w:cs="Times New Roman"/>
          <w:b/>
          <w:caps/>
          <w:sz w:val="24"/>
          <w:szCs w:val="24"/>
        </w:rPr>
        <w:t>ic and international investors</w:t>
      </w:r>
    </w:p>
    <w:p w14:paraId="3265E180" w14:textId="77777777" w:rsidR="00DD6CB5" w:rsidRDefault="00DD6CB5" w:rsidP="00DD6CB5">
      <w:pPr>
        <w:spacing w:after="0" w:line="360" w:lineRule="auto"/>
        <w:contextualSpacing/>
        <w:jc w:val="center"/>
        <w:rPr>
          <w:rFonts w:ascii="Times New Roman" w:hAnsi="Times New Roman" w:cs="Times New Roman"/>
          <w:b/>
          <w:sz w:val="24"/>
          <w:szCs w:val="24"/>
        </w:rPr>
      </w:pPr>
    </w:p>
    <w:p w14:paraId="0988BB3A" w14:textId="77777777" w:rsidR="008C3D31" w:rsidRPr="00DD6CB5" w:rsidRDefault="008C3D31" w:rsidP="00DD6CB5">
      <w:pPr>
        <w:spacing w:after="0" w:line="360" w:lineRule="auto"/>
        <w:contextualSpacing/>
        <w:jc w:val="center"/>
        <w:rPr>
          <w:rFonts w:ascii="Times New Roman" w:hAnsi="Times New Roman" w:cs="Times New Roman"/>
          <w:b/>
          <w:sz w:val="24"/>
          <w:szCs w:val="24"/>
        </w:rPr>
      </w:pPr>
    </w:p>
    <w:p w14:paraId="5D835DBC" w14:textId="77777777" w:rsidR="00F046C9" w:rsidRPr="008C3D31" w:rsidRDefault="00F046C9" w:rsidP="0052504A">
      <w:pPr>
        <w:pStyle w:val="Default"/>
        <w:spacing w:line="360" w:lineRule="auto"/>
        <w:rPr>
          <w:i/>
        </w:rPr>
      </w:pPr>
      <w:r w:rsidRPr="008C3D31">
        <w:rPr>
          <w:i/>
        </w:rPr>
        <w:t>DAVID DEVIGNE</w:t>
      </w:r>
    </w:p>
    <w:p w14:paraId="13AFE1F2" w14:textId="77777777" w:rsidR="00F046C9" w:rsidRPr="005F1FD6" w:rsidRDefault="00F046C9" w:rsidP="0052504A">
      <w:pPr>
        <w:pStyle w:val="Default"/>
        <w:spacing w:line="360" w:lineRule="auto"/>
      </w:pPr>
      <w:r w:rsidRPr="005F1FD6">
        <w:t>Vlerick Business School</w:t>
      </w:r>
      <w:r w:rsidR="008C3D31">
        <w:t>;</w:t>
      </w:r>
    </w:p>
    <w:p w14:paraId="5D7BC2ED" w14:textId="77777777" w:rsidR="00F046C9" w:rsidRPr="005F1FD6" w:rsidRDefault="00F046C9" w:rsidP="0052504A">
      <w:pPr>
        <w:pStyle w:val="Default"/>
        <w:spacing w:line="360" w:lineRule="auto"/>
      </w:pPr>
      <w:r w:rsidRPr="005F1FD6">
        <w:t>Reep 1, 9000 Gent, BELGIUM</w:t>
      </w:r>
    </w:p>
    <w:p w14:paraId="6FF1D8E8" w14:textId="77777777" w:rsidR="00F046C9" w:rsidRPr="008C3D31" w:rsidRDefault="00F046C9" w:rsidP="0052504A">
      <w:pPr>
        <w:pStyle w:val="Default"/>
        <w:spacing w:line="360" w:lineRule="auto"/>
        <w:rPr>
          <w:lang w:val="fr-BE"/>
        </w:rPr>
      </w:pPr>
      <w:r w:rsidRPr="008C3D31">
        <w:rPr>
          <w:lang w:val="fr-BE"/>
        </w:rPr>
        <w:t>Tel: +32 9 210 9786; E-mail: David.Devigne@vlerick.com</w:t>
      </w:r>
    </w:p>
    <w:p w14:paraId="2C1B422E" w14:textId="77777777" w:rsidR="0052504A" w:rsidRPr="008C3D31" w:rsidRDefault="0052504A" w:rsidP="00DD6CB5">
      <w:pPr>
        <w:pStyle w:val="Default"/>
        <w:spacing w:line="360" w:lineRule="auto"/>
        <w:jc w:val="center"/>
        <w:rPr>
          <w:lang w:val="fr-BE"/>
        </w:rPr>
      </w:pPr>
    </w:p>
    <w:p w14:paraId="2CC6A8F7" w14:textId="77777777" w:rsidR="00F046C9" w:rsidRPr="008C3D31" w:rsidRDefault="0052504A" w:rsidP="0052504A">
      <w:pPr>
        <w:pStyle w:val="Default"/>
        <w:spacing w:line="360" w:lineRule="auto"/>
        <w:rPr>
          <w:i/>
        </w:rPr>
      </w:pPr>
      <w:r w:rsidRPr="008C3D31">
        <w:rPr>
          <w:i/>
        </w:rPr>
        <w:t>SOPHIE MANIGART</w:t>
      </w:r>
    </w:p>
    <w:p w14:paraId="5C4CE5CB" w14:textId="77777777" w:rsidR="00F046C9" w:rsidRPr="005F1FD6" w:rsidRDefault="00F046C9" w:rsidP="0052504A">
      <w:pPr>
        <w:pStyle w:val="Default"/>
        <w:spacing w:line="360" w:lineRule="auto"/>
      </w:pPr>
      <w:r w:rsidRPr="005F1FD6">
        <w:t>Vlerick Business School and Ghent University</w:t>
      </w:r>
    </w:p>
    <w:p w14:paraId="0D188354" w14:textId="77777777" w:rsidR="00F046C9" w:rsidRPr="005F1FD6" w:rsidRDefault="00F046C9" w:rsidP="0052504A">
      <w:pPr>
        <w:pStyle w:val="Default"/>
        <w:spacing w:line="360" w:lineRule="auto"/>
      </w:pPr>
      <w:r w:rsidRPr="005F1FD6">
        <w:t>Reep 1, 9000 Gent, BELGIUM</w:t>
      </w:r>
    </w:p>
    <w:p w14:paraId="0072D42F" w14:textId="77777777" w:rsidR="00251655" w:rsidRPr="008C3D31" w:rsidRDefault="00F046C9" w:rsidP="0052504A">
      <w:pPr>
        <w:pStyle w:val="Default"/>
        <w:spacing w:line="360" w:lineRule="auto"/>
        <w:rPr>
          <w:lang w:val="fr-BE"/>
        </w:rPr>
      </w:pPr>
      <w:r w:rsidRPr="008C3D31">
        <w:rPr>
          <w:lang w:val="fr-BE"/>
        </w:rPr>
        <w:t>Tel: +32 9 210 9711; E-mail: Sophie.Manigart@vlerick.com</w:t>
      </w:r>
    </w:p>
    <w:p w14:paraId="5042B80F" w14:textId="77777777" w:rsidR="00F046C9" w:rsidRPr="008C3D31" w:rsidRDefault="00F046C9" w:rsidP="0052504A">
      <w:pPr>
        <w:pStyle w:val="Default"/>
        <w:spacing w:line="360" w:lineRule="auto"/>
        <w:rPr>
          <w:lang w:val="fr-BE"/>
        </w:rPr>
      </w:pPr>
    </w:p>
    <w:p w14:paraId="2A9BFF01" w14:textId="77777777" w:rsidR="00F046C9" w:rsidRPr="008C3D31" w:rsidRDefault="00F046C9" w:rsidP="008C3D31">
      <w:pPr>
        <w:pStyle w:val="Default"/>
        <w:spacing w:line="360" w:lineRule="auto"/>
        <w:rPr>
          <w:i/>
        </w:rPr>
      </w:pPr>
      <w:r w:rsidRPr="008C3D31">
        <w:rPr>
          <w:i/>
        </w:rPr>
        <w:t>MIKE WRIGHT</w:t>
      </w:r>
    </w:p>
    <w:p w14:paraId="3D92895A" w14:textId="77777777" w:rsidR="00F046C9" w:rsidRPr="005F1FD6" w:rsidRDefault="00F046C9" w:rsidP="0052504A">
      <w:pPr>
        <w:pStyle w:val="Default"/>
        <w:spacing w:line="360" w:lineRule="auto"/>
      </w:pPr>
      <w:r w:rsidRPr="005F1FD6">
        <w:t xml:space="preserve">Imperial College Business School and Ghent University </w:t>
      </w:r>
    </w:p>
    <w:p w14:paraId="39AC202E" w14:textId="77777777" w:rsidR="00F046C9" w:rsidRPr="005F1FD6" w:rsidRDefault="00F046C9" w:rsidP="0052504A">
      <w:pPr>
        <w:pStyle w:val="Default"/>
        <w:spacing w:line="360" w:lineRule="auto"/>
      </w:pPr>
      <w:r w:rsidRPr="005F1FD6">
        <w:t>South Kensington Campus, London SW7 2AZ</w:t>
      </w:r>
    </w:p>
    <w:p w14:paraId="1B5B606D" w14:textId="77777777" w:rsidR="00F046C9" w:rsidRPr="0052504A" w:rsidRDefault="00F046C9" w:rsidP="0052504A">
      <w:pPr>
        <w:pStyle w:val="Default"/>
        <w:spacing w:line="360" w:lineRule="auto"/>
        <w:rPr>
          <w:lang w:val="fr-BE"/>
        </w:rPr>
      </w:pPr>
      <w:r w:rsidRPr="0052504A">
        <w:rPr>
          <w:lang w:val="fr-BE"/>
        </w:rPr>
        <w:t xml:space="preserve">Tel: +44 20 7594 2606; </w:t>
      </w:r>
      <w:r w:rsidR="00AF155B" w:rsidRPr="0052504A">
        <w:rPr>
          <w:lang w:val="fr-BE"/>
        </w:rPr>
        <w:t>E-mail: Mike.Wright@imperial.ac.uk</w:t>
      </w:r>
    </w:p>
    <w:p w14:paraId="1B8EF5AA" w14:textId="77777777" w:rsidR="0052504A" w:rsidRDefault="0052504A" w:rsidP="00DD6CB5">
      <w:pPr>
        <w:pStyle w:val="Default"/>
        <w:spacing w:line="360" w:lineRule="auto"/>
        <w:jc w:val="both"/>
        <w:rPr>
          <w:b/>
        </w:rPr>
      </w:pPr>
    </w:p>
    <w:p w14:paraId="7480F901" w14:textId="3A91EA15" w:rsidR="007E519D" w:rsidRDefault="007E519D" w:rsidP="00DD6CB5">
      <w:pPr>
        <w:pStyle w:val="Default"/>
        <w:spacing w:line="360" w:lineRule="auto"/>
        <w:jc w:val="both"/>
        <w:rPr>
          <w:b/>
        </w:rPr>
      </w:pPr>
      <w:r>
        <w:rPr>
          <w:b/>
        </w:rPr>
        <w:t>Forthcoming: Journal of Business Venturing</w:t>
      </w:r>
    </w:p>
    <w:p w14:paraId="567339D9" w14:textId="77777777" w:rsidR="0056356B" w:rsidRPr="005F1FD6" w:rsidRDefault="0056356B" w:rsidP="00DD6CB5">
      <w:pPr>
        <w:pStyle w:val="Default"/>
        <w:spacing w:line="360" w:lineRule="auto"/>
        <w:jc w:val="both"/>
        <w:rPr>
          <w:b/>
        </w:rPr>
      </w:pPr>
      <w:r w:rsidRPr="005F1FD6">
        <w:rPr>
          <w:b/>
        </w:rPr>
        <w:t xml:space="preserve">Keywords </w:t>
      </w:r>
    </w:p>
    <w:p w14:paraId="1D7F116D" w14:textId="77777777" w:rsidR="0056356B" w:rsidRPr="005F1FD6" w:rsidRDefault="0056356B" w:rsidP="00DD6CB5">
      <w:pPr>
        <w:pStyle w:val="Default"/>
        <w:spacing w:line="360" w:lineRule="auto"/>
        <w:jc w:val="both"/>
      </w:pPr>
      <w:r w:rsidRPr="005F1FD6">
        <w:t xml:space="preserve">Cross-Border Investments, </w:t>
      </w:r>
      <w:r w:rsidR="00397C7D" w:rsidRPr="005F1FD6">
        <w:t xml:space="preserve">Exit, </w:t>
      </w:r>
      <w:r w:rsidRPr="005F1FD6">
        <w:t xml:space="preserve">Venture Capital, Escalating Commitment, </w:t>
      </w:r>
      <w:r w:rsidR="00397C7D" w:rsidRPr="005F1FD6">
        <w:t>Divestment</w:t>
      </w:r>
    </w:p>
    <w:p w14:paraId="2ECC430A" w14:textId="77777777" w:rsidR="0056356B" w:rsidRPr="005F1FD6" w:rsidRDefault="0056356B" w:rsidP="00DD6CB5">
      <w:pPr>
        <w:pStyle w:val="Default"/>
        <w:spacing w:line="360" w:lineRule="auto"/>
        <w:jc w:val="both"/>
        <w:rPr>
          <w:b/>
        </w:rPr>
      </w:pPr>
    </w:p>
    <w:p w14:paraId="6D349233" w14:textId="77777777" w:rsidR="00F046C9" w:rsidRPr="005F1FD6" w:rsidRDefault="00F046C9" w:rsidP="00DD6CB5">
      <w:pPr>
        <w:pStyle w:val="Default"/>
        <w:spacing w:line="360" w:lineRule="auto"/>
        <w:jc w:val="both"/>
      </w:pPr>
      <w:r w:rsidRPr="005F1FD6">
        <w:rPr>
          <w:b/>
        </w:rPr>
        <w:t>Acknowledgments</w:t>
      </w:r>
      <w:r w:rsidRPr="005F1FD6">
        <w:t xml:space="preserve"> </w:t>
      </w:r>
    </w:p>
    <w:p w14:paraId="14D997E1" w14:textId="1E6A59F1" w:rsidR="00F046C9" w:rsidRPr="005F1FD6" w:rsidRDefault="00F046C9" w:rsidP="00DD6CB5">
      <w:pPr>
        <w:pStyle w:val="Default"/>
        <w:spacing w:line="360" w:lineRule="auto"/>
        <w:jc w:val="both"/>
      </w:pPr>
      <w:r w:rsidRPr="005F1FD6">
        <w:t xml:space="preserve">We are grateful to </w:t>
      </w:r>
      <w:r w:rsidR="00EE2035" w:rsidRPr="005F1FD6">
        <w:t>Albert Banal-Estañol</w:t>
      </w:r>
      <w:r w:rsidRPr="005F1FD6">
        <w:t>,</w:t>
      </w:r>
      <w:r w:rsidR="007640F8" w:rsidRPr="007640F8">
        <w:t xml:space="preserve"> </w:t>
      </w:r>
      <w:r w:rsidR="007640F8">
        <w:t>Fabio Bertoni, Marc Buelens,</w:t>
      </w:r>
      <w:r w:rsidR="007640F8" w:rsidRPr="007640F8">
        <w:t xml:space="preserve"> </w:t>
      </w:r>
      <w:r w:rsidR="007640F8">
        <w:t>Veroniek Collewaert, Wouter De Maeseneire,</w:t>
      </w:r>
      <w:r w:rsidRPr="005F1FD6">
        <w:t xml:space="preserve"> </w:t>
      </w:r>
      <w:r w:rsidR="00D426F6">
        <w:t xml:space="preserve">Anantha Divakaruni, </w:t>
      </w:r>
      <w:r w:rsidR="007640F8">
        <w:t>Hannes Leroy, Ine Paeleman,</w:t>
      </w:r>
      <w:r w:rsidR="007640F8" w:rsidRPr="007640F8">
        <w:t xml:space="preserve"> </w:t>
      </w:r>
      <w:r w:rsidR="00EE2035" w:rsidRPr="005F1FD6">
        <w:t>Dean Shepherd</w:t>
      </w:r>
      <w:r w:rsidRPr="005F1FD6">
        <w:t xml:space="preserve">, </w:t>
      </w:r>
      <w:r w:rsidR="00D426F6" w:rsidRPr="005F1FD6">
        <w:t>Armin Schwienbacher</w:t>
      </w:r>
      <w:r w:rsidR="00D426F6">
        <w:t>,</w:t>
      </w:r>
      <w:r w:rsidR="00D426F6" w:rsidRPr="005F1FD6">
        <w:t xml:space="preserve"> </w:t>
      </w:r>
      <w:r w:rsidR="00EE2035" w:rsidRPr="005F1FD6">
        <w:t>Tom Vanacker and Bart Van Rompaye</w:t>
      </w:r>
      <w:r w:rsidR="00BB6EA3">
        <w:t>, the acti</w:t>
      </w:r>
      <w:r w:rsidR="008463D1">
        <w:t>o</w:t>
      </w:r>
      <w:r w:rsidR="00BB6EA3">
        <w:t>n editor and three anonymous reviewers</w:t>
      </w:r>
      <w:r w:rsidRPr="005F1FD6">
        <w:t xml:space="preserve"> for their helpful feedback. This paper further benefited from </w:t>
      </w:r>
      <w:r w:rsidR="00C3710C" w:rsidRPr="005F1FD6">
        <w:t>presentations at the 2012</w:t>
      </w:r>
      <w:r w:rsidRPr="005F1FD6">
        <w:t xml:space="preserve"> Babson College Entrepreneurship Research Conference</w:t>
      </w:r>
      <w:r w:rsidR="00C3710C" w:rsidRPr="005F1FD6">
        <w:t xml:space="preserve"> and</w:t>
      </w:r>
      <w:r w:rsidRPr="005F1FD6">
        <w:t xml:space="preserve"> the 201</w:t>
      </w:r>
      <w:r w:rsidR="00C3710C" w:rsidRPr="005F1FD6">
        <w:t>2</w:t>
      </w:r>
      <w:r w:rsidRPr="005F1FD6">
        <w:t xml:space="preserve"> </w:t>
      </w:r>
      <w:r w:rsidR="00C3710C" w:rsidRPr="005F1FD6">
        <w:t>Corporate Finance Day</w:t>
      </w:r>
      <w:r w:rsidRPr="005F1FD6">
        <w:t xml:space="preserve">. We acknowledge the data collection support of all VICO partners. Financial support </w:t>
      </w:r>
      <w:r w:rsidRPr="005F1FD6">
        <w:lastRenderedPageBreak/>
        <w:t xml:space="preserve">of the EU VII Framework Programme (VICO, Contract 217485), </w:t>
      </w:r>
      <w:r w:rsidR="00B27A69" w:rsidRPr="005F1FD6">
        <w:t xml:space="preserve">the Belgian Science Policy (BELSPO) and </w:t>
      </w:r>
      <w:r w:rsidRPr="005F1FD6">
        <w:t>the He</w:t>
      </w:r>
      <w:r w:rsidR="00B27A69" w:rsidRPr="005F1FD6">
        <w:t xml:space="preserve">rcules Fund (Ghent University) </w:t>
      </w:r>
      <w:r w:rsidRPr="005F1FD6">
        <w:t>is also gratefully acknowledged.</w:t>
      </w:r>
    </w:p>
    <w:p w14:paraId="7AA45532" w14:textId="47A4E035" w:rsidR="00AF636F" w:rsidRPr="002612BA" w:rsidRDefault="00AF636F" w:rsidP="00AF636F">
      <w:pPr>
        <w:spacing w:after="0" w:line="360" w:lineRule="auto"/>
        <w:contextualSpacing/>
        <w:jc w:val="center"/>
        <w:rPr>
          <w:rFonts w:ascii="Times New Roman" w:hAnsi="Times New Roman" w:cs="Times New Roman"/>
          <w:b/>
          <w:caps/>
          <w:sz w:val="24"/>
          <w:szCs w:val="24"/>
        </w:rPr>
      </w:pPr>
      <w:r>
        <w:rPr>
          <w:rFonts w:ascii="Times New Roman" w:hAnsi="Times New Roman" w:cs="Times New Roman"/>
          <w:b/>
          <w:sz w:val="24"/>
          <w:szCs w:val="24"/>
        </w:rPr>
        <w:t>E</w:t>
      </w:r>
      <w:r>
        <w:rPr>
          <w:rFonts w:ascii="Times New Roman" w:hAnsi="Times New Roman" w:cs="Times New Roman"/>
          <w:b/>
          <w:caps/>
          <w:sz w:val="24"/>
          <w:szCs w:val="24"/>
        </w:rPr>
        <w:t>scalation of commitment in venture capital decision making: Differentiating between domestic and international investors</w:t>
      </w:r>
    </w:p>
    <w:p w14:paraId="05B20358" w14:textId="77777777" w:rsidR="00C35C66" w:rsidRDefault="00C35C66" w:rsidP="00DD6CB5">
      <w:pPr>
        <w:spacing w:after="0" w:line="480" w:lineRule="auto"/>
        <w:jc w:val="center"/>
        <w:rPr>
          <w:rFonts w:ascii="Times New Roman" w:hAnsi="Times New Roman" w:cs="Times New Roman"/>
          <w:b/>
          <w:sz w:val="24"/>
          <w:szCs w:val="24"/>
        </w:rPr>
      </w:pPr>
    </w:p>
    <w:p w14:paraId="1936FAF9" w14:textId="77777777" w:rsidR="0050400B" w:rsidRPr="005F1FD6" w:rsidRDefault="003820D1" w:rsidP="00DD6CB5">
      <w:pPr>
        <w:spacing w:after="0" w:line="480" w:lineRule="auto"/>
        <w:jc w:val="center"/>
        <w:rPr>
          <w:rFonts w:ascii="Times New Roman" w:hAnsi="Times New Roman" w:cs="Times New Roman"/>
          <w:b/>
          <w:sz w:val="24"/>
          <w:szCs w:val="24"/>
        </w:rPr>
      </w:pPr>
      <w:r w:rsidRPr="005F1FD6">
        <w:rPr>
          <w:rFonts w:ascii="Times New Roman" w:hAnsi="Times New Roman" w:cs="Times New Roman"/>
          <w:b/>
          <w:sz w:val="24"/>
          <w:szCs w:val="24"/>
        </w:rPr>
        <w:t>ABSTRACT</w:t>
      </w:r>
    </w:p>
    <w:p w14:paraId="6D46D82E" w14:textId="64083953" w:rsidR="00866DA1" w:rsidRPr="005F1FD6" w:rsidRDefault="00B317C9" w:rsidP="009E0A45">
      <w:pPr>
        <w:spacing w:after="0" w:line="480" w:lineRule="auto"/>
        <w:jc w:val="both"/>
        <w:rPr>
          <w:rFonts w:ascii="Times New Roman" w:hAnsi="Times New Roman" w:cs="Times New Roman"/>
          <w:sz w:val="24"/>
          <w:szCs w:val="24"/>
        </w:rPr>
      </w:pPr>
      <w:r w:rsidRPr="005F1FD6">
        <w:rPr>
          <w:rFonts w:ascii="Times New Roman" w:hAnsi="Times New Roman" w:cs="Times New Roman"/>
          <w:sz w:val="24"/>
          <w:szCs w:val="24"/>
        </w:rPr>
        <w:t>Drawing upon</w:t>
      </w:r>
      <w:r w:rsidR="00CC1146" w:rsidRPr="005F1FD6">
        <w:rPr>
          <w:rFonts w:ascii="Times New Roman" w:hAnsi="Times New Roman" w:cs="Times New Roman"/>
          <w:sz w:val="24"/>
          <w:szCs w:val="24"/>
        </w:rPr>
        <w:t xml:space="preserve"> an escalation of commitment framework, t</w:t>
      </w:r>
      <w:r w:rsidR="00866DA1" w:rsidRPr="005F1FD6">
        <w:rPr>
          <w:rFonts w:ascii="Times New Roman" w:hAnsi="Times New Roman" w:cs="Times New Roman"/>
          <w:sz w:val="24"/>
          <w:szCs w:val="24"/>
        </w:rPr>
        <w:t>his study investigates</w:t>
      </w:r>
      <w:r w:rsidR="00745BD5" w:rsidRPr="005F1FD6">
        <w:rPr>
          <w:rFonts w:ascii="Times New Roman" w:hAnsi="Times New Roman" w:cs="Times New Roman"/>
          <w:sz w:val="24"/>
          <w:szCs w:val="24"/>
        </w:rPr>
        <w:t xml:space="preserve"> </w:t>
      </w:r>
      <w:r w:rsidR="000601EF" w:rsidRPr="005F1FD6">
        <w:rPr>
          <w:rFonts w:ascii="Times New Roman" w:hAnsi="Times New Roman" w:cs="Times New Roman"/>
          <w:sz w:val="24"/>
          <w:szCs w:val="24"/>
        </w:rPr>
        <w:t xml:space="preserve">how differences </w:t>
      </w:r>
      <w:r w:rsidR="000849CB" w:rsidRPr="005F1FD6">
        <w:rPr>
          <w:rFonts w:ascii="Times New Roman" w:hAnsi="Times New Roman" w:cs="Times New Roman"/>
          <w:sz w:val="24"/>
          <w:szCs w:val="24"/>
        </w:rPr>
        <w:t>between cross-border and domestic</w:t>
      </w:r>
      <w:r w:rsidR="00F4209A">
        <w:rPr>
          <w:rFonts w:ascii="Times New Roman" w:hAnsi="Times New Roman" w:cs="Times New Roman"/>
          <w:sz w:val="24"/>
          <w:szCs w:val="24"/>
        </w:rPr>
        <w:t xml:space="preserve"> venture capital</w:t>
      </w:r>
      <w:r w:rsidR="000849CB" w:rsidRPr="005F1FD6">
        <w:rPr>
          <w:rFonts w:ascii="Times New Roman" w:hAnsi="Times New Roman" w:cs="Times New Roman"/>
          <w:sz w:val="24"/>
          <w:szCs w:val="24"/>
        </w:rPr>
        <w:t xml:space="preserve"> investors </w:t>
      </w:r>
      <w:r w:rsidR="000601EF" w:rsidRPr="005F1FD6">
        <w:rPr>
          <w:rFonts w:ascii="Times New Roman" w:hAnsi="Times New Roman" w:cs="Times New Roman"/>
          <w:sz w:val="24"/>
          <w:szCs w:val="24"/>
        </w:rPr>
        <w:t xml:space="preserve">in </w:t>
      </w:r>
      <w:r w:rsidR="00DD4DDC">
        <w:rPr>
          <w:rFonts w:ascii="Times New Roman" w:hAnsi="Times New Roman" w:cs="Times New Roman"/>
          <w:sz w:val="24"/>
          <w:szCs w:val="24"/>
        </w:rPr>
        <w:t xml:space="preserve">emotional, </w:t>
      </w:r>
      <w:r w:rsidR="00CC1146" w:rsidRPr="005F1FD6">
        <w:rPr>
          <w:rFonts w:ascii="Times New Roman" w:hAnsi="Times New Roman" w:cs="Times New Roman"/>
          <w:sz w:val="24"/>
          <w:szCs w:val="24"/>
        </w:rPr>
        <w:t xml:space="preserve">social </w:t>
      </w:r>
      <w:r w:rsidR="00803F30">
        <w:rPr>
          <w:rFonts w:ascii="Times New Roman" w:hAnsi="Times New Roman" w:cs="Times New Roman"/>
          <w:sz w:val="24"/>
          <w:szCs w:val="24"/>
        </w:rPr>
        <w:t xml:space="preserve">and </w:t>
      </w:r>
      <w:r w:rsidR="000E1855">
        <w:rPr>
          <w:rFonts w:ascii="Times New Roman" w:hAnsi="Times New Roman" w:cs="Times New Roman"/>
          <w:sz w:val="24"/>
          <w:szCs w:val="24"/>
        </w:rPr>
        <w:t xml:space="preserve">institutional </w:t>
      </w:r>
      <w:r w:rsidR="00CC1146" w:rsidRPr="005F1FD6">
        <w:rPr>
          <w:rFonts w:ascii="Times New Roman" w:hAnsi="Times New Roman" w:cs="Times New Roman"/>
          <w:sz w:val="24"/>
          <w:szCs w:val="24"/>
        </w:rPr>
        <w:t>factors affect the</w:t>
      </w:r>
      <w:r w:rsidR="000849CB" w:rsidRPr="005F1FD6">
        <w:rPr>
          <w:rFonts w:ascii="Times New Roman" w:hAnsi="Times New Roman" w:cs="Times New Roman"/>
          <w:sz w:val="24"/>
          <w:szCs w:val="24"/>
        </w:rPr>
        <w:t>ir</w:t>
      </w:r>
      <w:r w:rsidR="00CC1146" w:rsidRPr="005F1FD6">
        <w:rPr>
          <w:rFonts w:ascii="Times New Roman" w:hAnsi="Times New Roman" w:cs="Times New Roman"/>
          <w:sz w:val="24"/>
          <w:szCs w:val="24"/>
        </w:rPr>
        <w:t xml:space="preserve"> decision to terminate an unsuccessful investment.</w:t>
      </w:r>
      <w:r w:rsidR="000849CB" w:rsidRPr="005F1FD6">
        <w:rPr>
          <w:rFonts w:ascii="Times New Roman" w:hAnsi="Times New Roman" w:cs="Times New Roman"/>
          <w:sz w:val="24"/>
          <w:szCs w:val="24"/>
        </w:rPr>
        <w:t xml:space="preserve"> </w:t>
      </w:r>
      <w:r w:rsidR="00581A04">
        <w:rPr>
          <w:rFonts w:ascii="Times New Roman" w:hAnsi="Times New Roman" w:cs="Times New Roman"/>
          <w:sz w:val="24"/>
          <w:szCs w:val="24"/>
        </w:rPr>
        <w:t>We track the exit</w:t>
      </w:r>
      <w:r w:rsidR="00507B35" w:rsidRPr="005F1FD6">
        <w:rPr>
          <w:rFonts w:ascii="Times New Roman" w:hAnsi="Times New Roman" w:cs="Times New Roman"/>
          <w:sz w:val="24"/>
          <w:szCs w:val="24"/>
        </w:rPr>
        <w:t xml:space="preserve"> outcome o</w:t>
      </w:r>
      <w:r w:rsidR="005A0F8C" w:rsidRPr="005F1FD6">
        <w:rPr>
          <w:rFonts w:ascii="Times New Roman" w:hAnsi="Times New Roman" w:cs="Times New Roman"/>
          <w:sz w:val="24"/>
          <w:szCs w:val="24"/>
        </w:rPr>
        <w:t>f 1060 venture capital investments</w:t>
      </w:r>
      <w:r w:rsidR="00507B35" w:rsidRPr="005F1FD6">
        <w:rPr>
          <w:rFonts w:ascii="Times New Roman" w:hAnsi="Times New Roman" w:cs="Times New Roman"/>
          <w:sz w:val="24"/>
          <w:szCs w:val="24"/>
        </w:rPr>
        <w:t xml:space="preserve"> in 684 European technology companies.</w:t>
      </w:r>
      <w:r w:rsidR="00866DA1" w:rsidRPr="005F1FD6">
        <w:rPr>
          <w:rFonts w:ascii="Times New Roman" w:hAnsi="Times New Roman" w:cs="Times New Roman"/>
          <w:sz w:val="24"/>
          <w:szCs w:val="24"/>
        </w:rPr>
        <w:t xml:space="preserve"> </w:t>
      </w:r>
      <w:r w:rsidR="00DF1045" w:rsidRPr="005F1FD6">
        <w:rPr>
          <w:rFonts w:ascii="Times New Roman" w:hAnsi="Times New Roman" w:cs="Times New Roman"/>
          <w:sz w:val="24"/>
          <w:szCs w:val="24"/>
        </w:rPr>
        <w:t xml:space="preserve">Results show that </w:t>
      </w:r>
      <w:r w:rsidR="00FB1238" w:rsidRPr="005F1FD6">
        <w:rPr>
          <w:rFonts w:ascii="Times New Roman" w:hAnsi="Times New Roman" w:cs="Times New Roman"/>
          <w:sz w:val="24"/>
          <w:szCs w:val="24"/>
        </w:rPr>
        <w:t>domestic investors have a high tendency to escalate their commitment to a failing cou</w:t>
      </w:r>
      <w:r w:rsidR="006579BD">
        <w:rPr>
          <w:rFonts w:ascii="Times New Roman" w:hAnsi="Times New Roman" w:cs="Times New Roman"/>
          <w:sz w:val="24"/>
          <w:szCs w:val="24"/>
        </w:rPr>
        <w:t xml:space="preserve">rse of action while </w:t>
      </w:r>
      <w:r w:rsidR="00FB1238" w:rsidRPr="005F1FD6">
        <w:rPr>
          <w:rFonts w:ascii="Times New Roman" w:hAnsi="Times New Roman" w:cs="Times New Roman"/>
          <w:sz w:val="24"/>
          <w:szCs w:val="24"/>
        </w:rPr>
        <w:t xml:space="preserve">cross-border investors terminate their investments efficiently, even when investing through a local branch. This is explained by cross-border investors having </w:t>
      </w:r>
      <w:r w:rsidR="008665DA" w:rsidRPr="005F1FD6">
        <w:rPr>
          <w:rFonts w:ascii="Times New Roman" w:hAnsi="Times New Roman" w:cs="Times New Roman"/>
          <w:sz w:val="24"/>
          <w:szCs w:val="24"/>
        </w:rPr>
        <w:t xml:space="preserve">a lower social </w:t>
      </w:r>
      <w:r w:rsidR="00803F30">
        <w:rPr>
          <w:rFonts w:ascii="Times New Roman" w:hAnsi="Times New Roman" w:cs="Times New Roman"/>
          <w:sz w:val="24"/>
          <w:szCs w:val="24"/>
        </w:rPr>
        <w:t xml:space="preserve">and emotional </w:t>
      </w:r>
      <w:r w:rsidR="008665DA" w:rsidRPr="005F1FD6">
        <w:rPr>
          <w:rFonts w:ascii="Times New Roman" w:hAnsi="Times New Roman" w:cs="Times New Roman"/>
          <w:sz w:val="24"/>
          <w:szCs w:val="24"/>
        </w:rPr>
        <w:t>involvement with the project</w:t>
      </w:r>
      <w:r w:rsidR="00E14759">
        <w:rPr>
          <w:rFonts w:ascii="Times New Roman" w:hAnsi="Times New Roman" w:cs="Times New Roman"/>
          <w:sz w:val="24"/>
          <w:szCs w:val="24"/>
        </w:rPr>
        <w:t xml:space="preserve"> </w:t>
      </w:r>
      <w:r w:rsidR="005A0F8C" w:rsidRPr="005F1FD6">
        <w:rPr>
          <w:rFonts w:ascii="Times New Roman" w:hAnsi="Times New Roman" w:cs="Times New Roman"/>
          <w:sz w:val="24"/>
          <w:szCs w:val="24"/>
        </w:rPr>
        <w:t>and a lower embeddedness in the local economic and social environment</w:t>
      </w:r>
      <w:r w:rsidR="00067CAA" w:rsidRPr="005F1FD6">
        <w:rPr>
          <w:rFonts w:ascii="Times New Roman" w:hAnsi="Times New Roman" w:cs="Times New Roman"/>
          <w:sz w:val="24"/>
          <w:szCs w:val="24"/>
        </w:rPr>
        <w:t>,</w:t>
      </w:r>
      <w:r w:rsidR="00E14759">
        <w:rPr>
          <w:rFonts w:ascii="Times New Roman" w:hAnsi="Times New Roman" w:cs="Times New Roman"/>
          <w:sz w:val="24"/>
          <w:szCs w:val="24"/>
        </w:rPr>
        <w:t xml:space="preserve"> decreasing individual decision biases. Further, they are impacted to a lower extent by normative pressures to further invest from their co-investment network.</w:t>
      </w:r>
      <w:r w:rsidR="00E14759" w:rsidRPr="005F1FD6">
        <w:rPr>
          <w:rFonts w:ascii="Times New Roman" w:hAnsi="Times New Roman" w:cs="Times New Roman"/>
          <w:sz w:val="24"/>
          <w:szCs w:val="24"/>
        </w:rPr>
        <w:t xml:space="preserve"> </w:t>
      </w:r>
      <w:r w:rsidR="008665DA" w:rsidRPr="005F1FD6">
        <w:rPr>
          <w:rFonts w:ascii="Times New Roman" w:hAnsi="Times New Roman" w:cs="Times New Roman"/>
          <w:sz w:val="24"/>
          <w:szCs w:val="24"/>
        </w:rPr>
        <w:t xml:space="preserve">Local branches of cross-border </w:t>
      </w:r>
      <w:r w:rsidR="00067CAA" w:rsidRPr="005F1FD6">
        <w:rPr>
          <w:rFonts w:ascii="Times New Roman" w:hAnsi="Times New Roman" w:cs="Times New Roman"/>
          <w:sz w:val="24"/>
          <w:szCs w:val="24"/>
        </w:rPr>
        <w:t xml:space="preserve">investors </w:t>
      </w:r>
      <w:r w:rsidR="00DC61D3" w:rsidRPr="005F1FD6">
        <w:rPr>
          <w:rFonts w:ascii="Times New Roman" w:hAnsi="Times New Roman" w:cs="Times New Roman"/>
          <w:sz w:val="24"/>
          <w:szCs w:val="24"/>
        </w:rPr>
        <w:t xml:space="preserve">are </w:t>
      </w:r>
      <w:r w:rsidR="00AF636F">
        <w:rPr>
          <w:rFonts w:ascii="Times New Roman" w:hAnsi="Times New Roman" w:cs="Times New Roman"/>
          <w:sz w:val="24"/>
          <w:szCs w:val="24"/>
        </w:rPr>
        <w:t>also</w:t>
      </w:r>
      <w:r w:rsidR="00AF636F" w:rsidRPr="005F1FD6">
        <w:rPr>
          <w:rFonts w:ascii="Times New Roman" w:hAnsi="Times New Roman" w:cs="Times New Roman"/>
          <w:sz w:val="24"/>
          <w:szCs w:val="24"/>
        </w:rPr>
        <w:t xml:space="preserve"> </w:t>
      </w:r>
      <w:r w:rsidR="00DC61D3" w:rsidRPr="005F1FD6">
        <w:rPr>
          <w:rFonts w:ascii="Times New Roman" w:hAnsi="Times New Roman" w:cs="Times New Roman"/>
          <w:sz w:val="24"/>
          <w:szCs w:val="24"/>
        </w:rPr>
        <w:t>shielded from escalation of commitment</w:t>
      </w:r>
      <w:r w:rsidR="00AF636F">
        <w:rPr>
          <w:rFonts w:ascii="Times New Roman" w:hAnsi="Times New Roman" w:cs="Times New Roman"/>
          <w:sz w:val="24"/>
          <w:szCs w:val="24"/>
        </w:rPr>
        <w:t>. We conjecture that</w:t>
      </w:r>
      <w:r w:rsidR="00DC61D3" w:rsidRPr="005F1FD6">
        <w:rPr>
          <w:rFonts w:ascii="Times New Roman" w:hAnsi="Times New Roman" w:cs="Times New Roman"/>
          <w:sz w:val="24"/>
          <w:szCs w:val="24"/>
        </w:rPr>
        <w:t xml:space="preserve"> </w:t>
      </w:r>
      <w:r w:rsidR="00AF636F">
        <w:rPr>
          <w:rFonts w:ascii="Times New Roman" w:hAnsi="Times New Roman" w:cs="Times New Roman"/>
          <w:sz w:val="24"/>
          <w:szCs w:val="24"/>
        </w:rPr>
        <w:t>their</w:t>
      </w:r>
      <w:r w:rsidR="00496BC4">
        <w:rPr>
          <w:rFonts w:ascii="Times New Roman" w:hAnsi="Times New Roman" w:cs="Times New Roman"/>
          <w:sz w:val="24"/>
          <w:szCs w:val="24"/>
        </w:rPr>
        <w:t xml:space="preserve"> international investment committee </w:t>
      </w:r>
      <w:r w:rsidR="00591F69">
        <w:rPr>
          <w:rFonts w:ascii="Times New Roman" w:hAnsi="Times New Roman" w:cs="Times New Roman"/>
          <w:sz w:val="24"/>
          <w:szCs w:val="24"/>
        </w:rPr>
        <w:t>acts as</w:t>
      </w:r>
      <w:r w:rsidR="00496BC4">
        <w:rPr>
          <w:rFonts w:ascii="Times New Roman" w:hAnsi="Times New Roman" w:cs="Times New Roman"/>
          <w:sz w:val="24"/>
          <w:szCs w:val="24"/>
        </w:rPr>
        <w:t xml:space="preserve"> a</w:t>
      </w:r>
      <w:r w:rsidR="00591F69">
        <w:rPr>
          <w:rFonts w:ascii="Times New Roman" w:hAnsi="Times New Roman" w:cs="Times New Roman"/>
          <w:sz w:val="24"/>
          <w:szCs w:val="24"/>
        </w:rPr>
        <w:t>n organizational</w:t>
      </w:r>
      <w:r w:rsidR="00496BC4">
        <w:rPr>
          <w:rFonts w:ascii="Times New Roman" w:hAnsi="Times New Roman" w:cs="Times New Roman"/>
          <w:sz w:val="24"/>
          <w:szCs w:val="24"/>
        </w:rPr>
        <w:t xml:space="preserve"> safeguard</w:t>
      </w:r>
      <w:r w:rsidR="00591F69">
        <w:rPr>
          <w:rFonts w:ascii="Times New Roman" w:hAnsi="Times New Roman" w:cs="Times New Roman"/>
          <w:sz w:val="24"/>
          <w:szCs w:val="24"/>
        </w:rPr>
        <w:t xml:space="preserve"> against individual decision biases</w:t>
      </w:r>
      <w:r w:rsidR="00DC61D3" w:rsidRPr="005F1FD6">
        <w:rPr>
          <w:rFonts w:ascii="Times New Roman" w:hAnsi="Times New Roman" w:cs="Times New Roman"/>
          <w:sz w:val="24"/>
          <w:szCs w:val="24"/>
        </w:rPr>
        <w:t xml:space="preserve">. Domestic </w:t>
      </w:r>
      <w:r w:rsidR="00ED3385" w:rsidRPr="005F1FD6">
        <w:rPr>
          <w:rFonts w:ascii="Times New Roman" w:hAnsi="Times New Roman" w:cs="Times New Roman"/>
          <w:sz w:val="24"/>
          <w:szCs w:val="24"/>
        </w:rPr>
        <w:t xml:space="preserve">investors </w:t>
      </w:r>
      <w:r w:rsidR="005A0F8C" w:rsidRPr="005F1FD6">
        <w:rPr>
          <w:rFonts w:ascii="Times New Roman" w:hAnsi="Times New Roman" w:cs="Times New Roman"/>
          <w:sz w:val="24"/>
          <w:szCs w:val="24"/>
        </w:rPr>
        <w:t>may</w:t>
      </w:r>
      <w:r w:rsidR="00ED3385" w:rsidRPr="005F1FD6">
        <w:rPr>
          <w:rFonts w:ascii="Times New Roman" w:hAnsi="Times New Roman" w:cs="Times New Roman"/>
          <w:sz w:val="24"/>
          <w:szCs w:val="24"/>
        </w:rPr>
        <w:t xml:space="preserve"> hence benefit from </w:t>
      </w:r>
      <w:r w:rsidR="00067CAA" w:rsidRPr="005F1FD6">
        <w:rPr>
          <w:rFonts w:ascii="Times New Roman" w:hAnsi="Times New Roman" w:cs="Times New Roman"/>
          <w:sz w:val="24"/>
          <w:szCs w:val="24"/>
        </w:rPr>
        <w:t>mimicking the behavior of cross-border investors</w:t>
      </w:r>
      <w:r w:rsidR="00ED3385" w:rsidRPr="005F1FD6">
        <w:rPr>
          <w:rFonts w:ascii="Times New Roman" w:hAnsi="Times New Roman" w:cs="Times New Roman"/>
          <w:sz w:val="24"/>
          <w:szCs w:val="24"/>
        </w:rPr>
        <w:t>.</w:t>
      </w:r>
    </w:p>
    <w:p w14:paraId="51E03F9E" w14:textId="77777777" w:rsidR="000E1855" w:rsidRDefault="000E1855">
      <w:pPr>
        <w:rPr>
          <w:rFonts w:ascii="Times New Roman" w:hAnsi="Times New Roman" w:cs="Times New Roman"/>
          <w:b/>
          <w:sz w:val="24"/>
          <w:szCs w:val="24"/>
          <w:lang w:val="en-GB"/>
        </w:rPr>
      </w:pPr>
      <w:r>
        <w:rPr>
          <w:rFonts w:ascii="Times New Roman" w:hAnsi="Times New Roman" w:cs="Times New Roman"/>
          <w:b/>
          <w:sz w:val="24"/>
          <w:szCs w:val="24"/>
          <w:lang w:val="en-GB"/>
        </w:rPr>
        <w:br w:type="page"/>
      </w:r>
    </w:p>
    <w:p w14:paraId="3AA0875A" w14:textId="69C9DA78" w:rsidR="00B643C4" w:rsidRDefault="00875B8D" w:rsidP="0081034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E</w:t>
      </w:r>
      <w:r>
        <w:rPr>
          <w:rFonts w:ascii="Times New Roman" w:hAnsi="Times New Roman" w:cs="Times New Roman"/>
          <w:b/>
          <w:caps/>
          <w:sz w:val="24"/>
          <w:szCs w:val="24"/>
        </w:rPr>
        <w:t>scalation of commitment in venture capital decision making: Differentiating between domestic and international investors</w:t>
      </w:r>
      <w:r w:rsidRPr="005F1FD6" w:rsidDel="00875B8D">
        <w:rPr>
          <w:rFonts w:ascii="Times New Roman" w:hAnsi="Times New Roman" w:cs="Times New Roman"/>
          <w:b/>
          <w:sz w:val="24"/>
          <w:szCs w:val="24"/>
        </w:rPr>
        <w:t xml:space="preserve"> </w:t>
      </w:r>
    </w:p>
    <w:p w14:paraId="3B755CE4" w14:textId="77777777" w:rsidR="00810343" w:rsidRPr="00760E78" w:rsidRDefault="00810343" w:rsidP="00810343">
      <w:pPr>
        <w:spacing w:after="0" w:line="480" w:lineRule="auto"/>
        <w:jc w:val="both"/>
        <w:rPr>
          <w:rFonts w:ascii="Times New Roman" w:hAnsi="Times New Roman" w:cs="Times New Roman"/>
          <w:b/>
          <w:sz w:val="24"/>
          <w:szCs w:val="24"/>
          <w:lang w:val="en-GB"/>
        </w:rPr>
      </w:pPr>
      <w:r w:rsidRPr="00760E78">
        <w:rPr>
          <w:rFonts w:ascii="Times New Roman" w:hAnsi="Times New Roman" w:cs="Times New Roman"/>
          <w:b/>
          <w:sz w:val="24"/>
          <w:szCs w:val="24"/>
          <w:lang w:val="en-GB"/>
        </w:rPr>
        <w:t>Executive Summary</w:t>
      </w:r>
    </w:p>
    <w:p w14:paraId="20795E76" w14:textId="77777777" w:rsidR="00810343" w:rsidRPr="00760E78" w:rsidRDefault="00810343" w:rsidP="00810343">
      <w:pPr>
        <w:spacing w:after="0" w:line="480" w:lineRule="auto"/>
        <w:jc w:val="both"/>
        <w:rPr>
          <w:rFonts w:ascii="Times New Roman" w:hAnsi="Times New Roman" w:cs="Times New Roman"/>
          <w:sz w:val="24"/>
          <w:szCs w:val="24"/>
        </w:rPr>
      </w:pPr>
      <w:r w:rsidRPr="00760E78">
        <w:rPr>
          <w:rFonts w:ascii="Times New Roman" w:hAnsi="Times New Roman" w:cs="Times New Roman"/>
          <w:sz w:val="24"/>
          <w:szCs w:val="24"/>
          <w:lang w:val="en-GB"/>
        </w:rPr>
        <w:t xml:space="preserve">We explore two novel related research questions. First, does the propensity of international VC investors to escalate their commitment when portfolio companies underperform differ from that of domestic VC investors? </w:t>
      </w:r>
      <w:r w:rsidRPr="00760E78">
        <w:rPr>
          <w:rFonts w:ascii="Times New Roman" w:hAnsi="Times New Roman" w:cs="Times New Roman"/>
          <w:sz w:val="24"/>
          <w:szCs w:val="24"/>
        </w:rPr>
        <w:t xml:space="preserve">We argue that </w:t>
      </w:r>
      <w:r w:rsidR="00A50EC6">
        <w:rPr>
          <w:rFonts w:ascii="Times New Roman" w:hAnsi="Times New Roman" w:cs="Times New Roman"/>
          <w:sz w:val="24"/>
          <w:szCs w:val="24"/>
        </w:rPr>
        <w:t>more limited emotional attachment</w:t>
      </w:r>
      <w:r w:rsidR="000E1855">
        <w:rPr>
          <w:rFonts w:ascii="Times New Roman" w:hAnsi="Times New Roman" w:cs="Times New Roman"/>
          <w:sz w:val="24"/>
          <w:szCs w:val="24"/>
        </w:rPr>
        <w:t>, lower</w:t>
      </w:r>
      <w:r w:rsidR="00A50EC6">
        <w:rPr>
          <w:rFonts w:ascii="Times New Roman" w:hAnsi="Times New Roman" w:cs="Times New Roman"/>
          <w:sz w:val="24"/>
          <w:szCs w:val="24"/>
        </w:rPr>
        <w:t xml:space="preserve"> social embeddedness</w:t>
      </w:r>
      <w:r w:rsidR="008F7613">
        <w:rPr>
          <w:rFonts w:ascii="Times New Roman" w:hAnsi="Times New Roman" w:cs="Times New Roman"/>
          <w:sz w:val="24"/>
          <w:szCs w:val="24"/>
        </w:rPr>
        <w:t xml:space="preserve"> and lower </w:t>
      </w:r>
      <w:r w:rsidR="000E1855">
        <w:rPr>
          <w:rFonts w:ascii="Times New Roman" w:hAnsi="Times New Roman" w:cs="Times New Roman"/>
          <w:sz w:val="24"/>
          <w:szCs w:val="24"/>
        </w:rPr>
        <w:t xml:space="preserve">normative </w:t>
      </w:r>
      <w:r w:rsidR="008F7613">
        <w:rPr>
          <w:rFonts w:ascii="Times New Roman" w:hAnsi="Times New Roman" w:cs="Times New Roman"/>
          <w:sz w:val="24"/>
          <w:szCs w:val="24"/>
        </w:rPr>
        <w:t>pressures faced by international VC investors</w:t>
      </w:r>
      <w:r w:rsidR="00A50EC6">
        <w:rPr>
          <w:rFonts w:ascii="Times New Roman" w:hAnsi="Times New Roman" w:cs="Times New Roman"/>
          <w:sz w:val="24"/>
          <w:szCs w:val="24"/>
        </w:rPr>
        <w:t xml:space="preserve"> </w:t>
      </w:r>
      <w:r w:rsidRPr="00760E78">
        <w:rPr>
          <w:rFonts w:ascii="Times New Roman" w:hAnsi="Times New Roman" w:cs="Times New Roman"/>
          <w:sz w:val="24"/>
          <w:szCs w:val="24"/>
        </w:rPr>
        <w:t>reduce individual decision biases. We hypothesize that the likelihood of terminating underperforming ventures will be higher for cross-border VC investors than for domestic VC investors</w:t>
      </w:r>
      <w:r w:rsidR="005D13EA">
        <w:rPr>
          <w:rFonts w:ascii="Times New Roman" w:hAnsi="Times New Roman" w:cs="Times New Roman"/>
          <w:sz w:val="24"/>
          <w:szCs w:val="24"/>
        </w:rPr>
        <w:t>, as they are less emotionally and socially attached to the portfolio company</w:t>
      </w:r>
      <w:r w:rsidR="002D72C2">
        <w:rPr>
          <w:rFonts w:ascii="Times New Roman" w:hAnsi="Times New Roman" w:cs="Times New Roman"/>
          <w:sz w:val="24"/>
          <w:szCs w:val="24"/>
        </w:rPr>
        <w:t xml:space="preserve"> and are less prone to normative pressures from their peer network</w:t>
      </w:r>
      <w:r w:rsidRPr="00760E78">
        <w:rPr>
          <w:rFonts w:ascii="Times New Roman" w:hAnsi="Times New Roman" w:cs="Times New Roman"/>
          <w:sz w:val="24"/>
          <w:szCs w:val="24"/>
        </w:rPr>
        <w:t xml:space="preserve">. Our second question addresses whether escalation of commitment differs depending on internationalization mode. Establishment of a local branch office is widely-used to mitigate the frictions associated with geographic and cultural distance. We hypothesize that the likelihood of terminating underperforming ventures will be higher for international VC investors investing from headquarters than for international VC investors investing through a local branch. We also hypothesize that the likelihood of terminating underperforming ventures will be higher for international VC investors investing </w:t>
      </w:r>
      <w:r w:rsidR="00873CF6">
        <w:rPr>
          <w:rFonts w:ascii="Times New Roman" w:hAnsi="Times New Roman" w:cs="Times New Roman"/>
          <w:sz w:val="24"/>
          <w:szCs w:val="24"/>
        </w:rPr>
        <w:t xml:space="preserve">through </w:t>
      </w:r>
      <w:r w:rsidRPr="00760E78">
        <w:rPr>
          <w:rFonts w:ascii="Times New Roman" w:hAnsi="Times New Roman" w:cs="Times New Roman"/>
          <w:sz w:val="24"/>
          <w:szCs w:val="24"/>
        </w:rPr>
        <w:t>a local branch than for domestic VC investors.</w:t>
      </w:r>
    </w:p>
    <w:p w14:paraId="6B29A138" w14:textId="77777777" w:rsidR="00810343" w:rsidRPr="00760E78" w:rsidRDefault="000E1855" w:rsidP="0081034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To test our hypotheses, w</w:t>
      </w:r>
      <w:r w:rsidRPr="00760E78">
        <w:rPr>
          <w:rFonts w:ascii="Times New Roman" w:hAnsi="Times New Roman" w:cs="Times New Roman"/>
          <w:sz w:val="24"/>
          <w:szCs w:val="24"/>
        </w:rPr>
        <w:t xml:space="preserve">e </w:t>
      </w:r>
      <w:r w:rsidR="00810343" w:rsidRPr="00760E78">
        <w:rPr>
          <w:rFonts w:ascii="Times New Roman" w:hAnsi="Times New Roman" w:cs="Times New Roman"/>
          <w:sz w:val="24"/>
          <w:szCs w:val="24"/>
        </w:rPr>
        <w:t>use a unique hand collected sample of technology based companies from seven European countries. The sample contains longitudinal data on 1618 unique rounds of VC investments by 1060 VC investors in 684 ventures from 1994 until 2011. We model the effect of investor origin and investment mode on the hazards of successful and unsuccessful exits in a</w:t>
      </w:r>
      <w:r w:rsidR="00810343" w:rsidRPr="00760E78">
        <w:rPr>
          <w:rFonts w:ascii="Times New Roman" w:hAnsi="Times New Roman" w:cs="Times New Roman"/>
          <w:b/>
          <w:bCs/>
          <w:sz w:val="24"/>
          <w:szCs w:val="24"/>
        </w:rPr>
        <w:t xml:space="preserve"> </w:t>
      </w:r>
      <w:r w:rsidR="00810343" w:rsidRPr="00760E78">
        <w:rPr>
          <w:rFonts w:ascii="Times New Roman" w:hAnsi="Times New Roman" w:cs="Times New Roman"/>
          <w:bCs/>
          <w:sz w:val="24"/>
          <w:szCs w:val="24"/>
        </w:rPr>
        <w:t>competing risks model</w:t>
      </w:r>
      <w:r w:rsidR="00810343" w:rsidRPr="00760E78">
        <w:rPr>
          <w:rFonts w:ascii="Times New Roman" w:hAnsi="Times New Roman" w:cs="Times New Roman"/>
          <w:sz w:val="24"/>
          <w:szCs w:val="24"/>
        </w:rPr>
        <w:t xml:space="preserve">. </w:t>
      </w:r>
    </w:p>
    <w:p w14:paraId="371ABEB5" w14:textId="096376BF" w:rsidR="00810343" w:rsidRDefault="00810343" w:rsidP="00810343">
      <w:pPr>
        <w:spacing w:after="0" w:line="480" w:lineRule="auto"/>
        <w:ind w:firstLine="720"/>
        <w:jc w:val="both"/>
        <w:rPr>
          <w:rFonts w:ascii="Times New Roman" w:hAnsi="Times New Roman" w:cs="Times New Roman"/>
          <w:sz w:val="24"/>
          <w:szCs w:val="24"/>
        </w:rPr>
      </w:pPr>
      <w:r w:rsidRPr="00760E78">
        <w:rPr>
          <w:rFonts w:ascii="Times New Roman" w:hAnsi="Times New Roman" w:cs="Times New Roman"/>
          <w:sz w:val="24"/>
          <w:szCs w:val="24"/>
        </w:rPr>
        <w:lastRenderedPageBreak/>
        <w:t xml:space="preserve">We show that domestic VC investors </w:t>
      </w:r>
      <w:r w:rsidR="002177FE">
        <w:rPr>
          <w:rFonts w:ascii="Times New Roman" w:hAnsi="Times New Roman" w:cs="Times New Roman"/>
          <w:sz w:val="24"/>
          <w:szCs w:val="24"/>
        </w:rPr>
        <w:t>are</w:t>
      </w:r>
      <w:r w:rsidRPr="00760E78">
        <w:rPr>
          <w:rFonts w:ascii="Times New Roman" w:hAnsi="Times New Roman" w:cs="Times New Roman"/>
          <w:sz w:val="24"/>
          <w:szCs w:val="24"/>
        </w:rPr>
        <w:t xml:space="preserve"> more likely to escalate their commitment to a failing course of action</w:t>
      </w:r>
      <w:r w:rsidR="00070C64">
        <w:rPr>
          <w:rFonts w:ascii="Times New Roman" w:hAnsi="Times New Roman" w:cs="Times New Roman"/>
          <w:sz w:val="24"/>
          <w:szCs w:val="24"/>
        </w:rPr>
        <w:t xml:space="preserve"> and </w:t>
      </w:r>
      <w:r w:rsidRPr="00760E78">
        <w:rPr>
          <w:rFonts w:ascii="Times New Roman" w:hAnsi="Times New Roman" w:cs="Times New Roman"/>
          <w:sz w:val="24"/>
          <w:szCs w:val="24"/>
        </w:rPr>
        <w:t>provide novel evidence of contrasting behavior for VCs investing across borders. Whether investing directly or through a local office, cross-border VC investors</w:t>
      </w:r>
      <w:r w:rsidR="00213A5A">
        <w:rPr>
          <w:rFonts w:ascii="Times New Roman" w:hAnsi="Times New Roman" w:cs="Times New Roman"/>
          <w:sz w:val="24"/>
          <w:szCs w:val="24"/>
        </w:rPr>
        <w:t>’</w:t>
      </w:r>
      <w:r w:rsidRPr="00760E78">
        <w:rPr>
          <w:rFonts w:ascii="Times New Roman" w:hAnsi="Times New Roman" w:cs="Times New Roman"/>
          <w:sz w:val="24"/>
          <w:szCs w:val="24"/>
        </w:rPr>
        <w:t xml:space="preserve"> lower </w:t>
      </w:r>
      <w:r w:rsidR="002D72C2">
        <w:rPr>
          <w:rFonts w:ascii="Times New Roman" w:hAnsi="Times New Roman" w:cs="Times New Roman"/>
          <w:sz w:val="24"/>
          <w:szCs w:val="24"/>
        </w:rPr>
        <w:t xml:space="preserve">emotional </w:t>
      </w:r>
      <w:r w:rsidR="00730395">
        <w:rPr>
          <w:rFonts w:ascii="Times New Roman" w:hAnsi="Times New Roman" w:cs="Times New Roman"/>
          <w:sz w:val="24"/>
          <w:szCs w:val="24"/>
        </w:rPr>
        <w:t xml:space="preserve">involvement with the </w:t>
      </w:r>
      <w:r w:rsidR="000E1855">
        <w:rPr>
          <w:rFonts w:ascii="Times New Roman" w:hAnsi="Times New Roman" w:cs="Times New Roman"/>
          <w:sz w:val="24"/>
          <w:szCs w:val="24"/>
        </w:rPr>
        <w:t xml:space="preserve">entrepreneur </w:t>
      </w:r>
      <w:r w:rsidR="00730395">
        <w:rPr>
          <w:rFonts w:ascii="Times New Roman" w:hAnsi="Times New Roman" w:cs="Times New Roman"/>
          <w:sz w:val="24"/>
          <w:szCs w:val="24"/>
        </w:rPr>
        <w:t>and</w:t>
      </w:r>
      <w:r w:rsidRPr="00760E78">
        <w:rPr>
          <w:rFonts w:ascii="Times New Roman" w:hAnsi="Times New Roman" w:cs="Times New Roman"/>
          <w:sz w:val="24"/>
          <w:szCs w:val="24"/>
        </w:rPr>
        <w:t xml:space="preserve"> lower embeddedness in the local economic and social environment</w:t>
      </w:r>
      <w:r w:rsidR="00213A5A">
        <w:rPr>
          <w:rFonts w:ascii="Times New Roman" w:hAnsi="Times New Roman" w:cs="Times New Roman"/>
          <w:sz w:val="24"/>
          <w:szCs w:val="24"/>
        </w:rPr>
        <w:t>, together with an international decision making committee</w:t>
      </w:r>
      <w:r w:rsidR="000E1855">
        <w:rPr>
          <w:rFonts w:ascii="Times New Roman" w:hAnsi="Times New Roman" w:cs="Times New Roman"/>
          <w:sz w:val="24"/>
          <w:szCs w:val="24"/>
        </w:rPr>
        <w:t xml:space="preserve"> which acts as organizational safeguard</w:t>
      </w:r>
      <w:r w:rsidR="00213A5A">
        <w:rPr>
          <w:rFonts w:ascii="Times New Roman" w:hAnsi="Times New Roman" w:cs="Times New Roman"/>
          <w:sz w:val="24"/>
          <w:szCs w:val="24"/>
        </w:rPr>
        <w:t>, makes them less likely to escalate their commitment</w:t>
      </w:r>
      <w:r w:rsidRPr="00760E78">
        <w:rPr>
          <w:rFonts w:ascii="Times New Roman" w:hAnsi="Times New Roman" w:cs="Times New Roman"/>
          <w:sz w:val="24"/>
          <w:szCs w:val="24"/>
        </w:rPr>
        <w:t xml:space="preserve">. </w:t>
      </w:r>
    </w:p>
    <w:p w14:paraId="1812E5D2" w14:textId="77777777" w:rsidR="00810343" w:rsidRPr="00760E78" w:rsidRDefault="00810343" w:rsidP="00810343">
      <w:pPr>
        <w:spacing w:after="0" w:line="480" w:lineRule="auto"/>
        <w:ind w:firstLine="720"/>
        <w:jc w:val="both"/>
        <w:rPr>
          <w:rFonts w:ascii="Times New Roman" w:hAnsi="Times New Roman" w:cs="Times New Roman"/>
          <w:sz w:val="24"/>
          <w:szCs w:val="24"/>
        </w:rPr>
      </w:pPr>
      <w:r w:rsidRPr="00760E78">
        <w:rPr>
          <w:rFonts w:ascii="Times New Roman" w:hAnsi="Times New Roman" w:cs="Times New Roman"/>
          <w:sz w:val="24"/>
          <w:szCs w:val="24"/>
        </w:rPr>
        <w:t xml:space="preserve">We contribute first by showing that being a foreigner can induce more rational decision making </w:t>
      </w:r>
      <w:r>
        <w:rPr>
          <w:rFonts w:ascii="Times New Roman" w:hAnsi="Times New Roman" w:cs="Times New Roman"/>
          <w:sz w:val="24"/>
          <w:szCs w:val="24"/>
        </w:rPr>
        <w:t>regarding</w:t>
      </w:r>
      <w:r w:rsidRPr="00760E78">
        <w:rPr>
          <w:rFonts w:ascii="Times New Roman" w:hAnsi="Times New Roman" w:cs="Times New Roman"/>
          <w:sz w:val="24"/>
          <w:szCs w:val="24"/>
        </w:rPr>
        <w:t xml:space="preserve"> the abandonment of underperforming projects. Second, we extend existing literature by </w:t>
      </w:r>
      <w:r w:rsidR="00A96F6B">
        <w:rPr>
          <w:rFonts w:ascii="Times New Roman" w:hAnsi="Times New Roman" w:cs="Times New Roman"/>
          <w:sz w:val="24"/>
          <w:szCs w:val="24"/>
        </w:rPr>
        <w:t xml:space="preserve">hypothesizing and demonstrating empirically that </w:t>
      </w:r>
      <w:r w:rsidR="00FC35DF">
        <w:rPr>
          <w:rFonts w:ascii="Times New Roman" w:hAnsi="Times New Roman" w:cs="Times New Roman"/>
          <w:sz w:val="24"/>
          <w:szCs w:val="24"/>
        </w:rPr>
        <w:t xml:space="preserve">geographical heterogeneity has differential impacts on </w:t>
      </w:r>
      <w:r w:rsidRPr="00760E78">
        <w:rPr>
          <w:rFonts w:ascii="Times New Roman" w:hAnsi="Times New Roman" w:cs="Times New Roman"/>
          <w:sz w:val="24"/>
          <w:szCs w:val="24"/>
        </w:rPr>
        <w:t xml:space="preserve">VC </w:t>
      </w:r>
      <w:r w:rsidR="00A96F6B">
        <w:rPr>
          <w:rFonts w:ascii="Times New Roman" w:hAnsi="Times New Roman" w:cs="Times New Roman"/>
          <w:sz w:val="24"/>
          <w:szCs w:val="24"/>
        </w:rPr>
        <w:t>proclivity to escalation of commitment</w:t>
      </w:r>
      <w:r w:rsidR="00FC35DF">
        <w:rPr>
          <w:rFonts w:ascii="Times New Roman" w:hAnsi="Times New Roman" w:cs="Times New Roman"/>
          <w:sz w:val="24"/>
          <w:szCs w:val="24"/>
        </w:rPr>
        <w:t>, that is</w:t>
      </w:r>
      <w:r w:rsidR="00D926E4">
        <w:rPr>
          <w:rFonts w:ascii="Times New Roman" w:hAnsi="Times New Roman" w:cs="Times New Roman"/>
          <w:sz w:val="24"/>
          <w:szCs w:val="24"/>
        </w:rPr>
        <w:t>,</w:t>
      </w:r>
      <w:r w:rsidR="00FC35DF">
        <w:rPr>
          <w:rFonts w:ascii="Times New Roman" w:hAnsi="Times New Roman" w:cs="Times New Roman"/>
          <w:sz w:val="24"/>
          <w:szCs w:val="24"/>
        </w:rPr>
        <w:t xml:space="preserve"> it </w:t>
      </w:r>
      <w:r w:rsidR="00A96F6B">
        <w:rPr>
          <w:rFonts w:ascii="Times New Roman" w:hAnsi="Times New Roman" w:cs="Times New Roman"/>
          <w:sz w:val="24"/>
          <w:szCs w:val="24"/>
        </w:rPr>
        <w:t>depend</w:t>
      </w:r>
      <w:r w:rsidR="00FC35DF">
        <w:rPr>
          <w:rFonts w:ascii="Times New Roman" w:hAnsi="Times New Roman" w:cs="Times New Roman"/>
          <w:sz w:val="24"/>
          <w:szCs w:val="24"/>
        </w:rPr>
        <w:t>s</w:t>
      </w:r>
      <w:r w:rsidR="00A96F6B">
        <w:rPr>
          <w:rFonts w:ascii="Times New Roman" w:hAnsi="Times New Roman" w:cs="Times New Roman"/>
          <w:sz w:val="24"/>
          <w:szCs w:val="24"/>
        </w:rPr>
        <w:t xml:space="preserve"> on whether the VC is</w:t>
      </w:r>
      <w:r w:rsidRPr="00760E78">
        <w:rPr>
          <w:rFonts w:ascii="Times New Roman" w:hAnsi="Times New Roman" w:cs="Times New Roman"/>
          <w:sz w:val="24"/>
          <w:szCs w:val="24"/>
        </w:rPr>
        <w:t xml:space="preserve"> </w:t>
      </w:r>
      <w:r w:rsidR="00A96F6B">
        <w:rPr>
          <w:rFonts w:ascii="Times New Roman" w:hAnsi="Times New Roman" w:cs="Times New Roman"/>
          <w:sz w:val="24"/>
          <w:szCs w:val="24"/>
        </w:rPr>
        <w:t xml:space="preserve">a </w:t>
      </w:r>
      <w:r w:rsidRPr="00760E78">
        <w:rPr>
          <w:rFonts w:ascii="Times New Roman" w:hAnsi="Times New Roman" w:cs="Times New Roman"/>
          <w:sz w:val="24"/>
          <w:szCs w:val="24"/>
        </w:rPr>
        <w:t xml:space="preserve">domestic, cross-border </w:t>
      </w:r>
      <w:r w:rsidR="00A96F6B">
        <w:rPr>
          <w:rFonts w:ascii="Times New Roman" w:hAnsi="Times New Roman" w:cs="Times New Roman"/>
          <w:sz w:val="24"/>
          <w:szCs w:val="24"/>
        </w:rPr>
        <w:t>or</w:t>
      </w:r>
      <w:r w:rsidRPr="00760E78">
        <w:rPr>
          <w:rFonts w:ascii="Times New Roman" w:hAnsi="Times New Roman" w:cs="Times New Roman"/>
          <w:sz w:val="24"/>
          <w:szCs w:val="24"/>
        </w:rPr>
        <w:t xml:space="preserve"> branch investor. Third, we contribute by demonstrating that </w:t>
      </w:r>
      <w:r w:rsidR="002229D4">
        <w:rPr>
          <w:rFonts w:ascii="Times New Roman" w:hAnsi="Times New Roman" w:cs="Times New Roman"/>
          <w:sz w:val="24"/>
          <w:szCs w:val="24"/>
        </w:rPr>
        <w:t>organizational safeguards</w:t>
      </w:r>
      <w:r w:rsidRPr="00760E78">
        <w:rPr>
          <w:rFonts w:ascii="Times New Roman" w:hAnsi="Times New Roman" w:cs="Times New Roman"/>
          <w:sz w:val="24"/>
          <w:szCs w:val="24"/>
        </w:rPr>
        <w:t xml:space="preserve"> can be an effective tool to mitigate the proclivity to escalate commitment. Finally, by providing a more fine-grained classification of trade sales and buy-outs as successful or unsuccessful exits we offer a methodological contribution</w:t>
      </w:r>
      <w:r w:rsidR="002229D4">
        <w:rPr>
          <w:rFonts w:ascii="Times New Roman" w:hAnsi="Times New Roman" w:cs="Times New Roman"/>
          <w:sz w:val="24"/>
          <w:szCs w:val="24"/>
        </w:rPr>
        <w:t xml:space="preserve"> to the </w:t>
      </w:r>
      <w:r w:rsidR="000E1855">
        <w:rPr>
          <w:rFonts w:ascii="Times New Roman" w:hAnsi="Times New Roman" w:cs="Times New Roman"/>
          <w:sz w:val="24"/>
          <w:szCs w:val="24"/>
        </w:rPr>
        <w:t>VC</w:t>
      </w:r>
      <w:r w:rsidR="002229D4">
        <w:rPr>
          <w:rFonts w:ascii="Times New Roman" w:hAnsi="Times New Roman" w:cs="Times New Roman"/>
          <w:sz w:val="24"/>
          <w:szCs w:val="24"/>
        </w:rPr>
        <w:t xml:space="preserve"> exit literature</w:t>
      </w:r>
      <w:r w:rsidRPr="00760E78">
        <w:rPr>
          <w:rFonts w:ascii="Times New Roman" w:hAnsi="Times New Roman" w:cs="Times New Roman"/>
          <w:sz w:val="24"/>
          <w:szCs w:val="24"/>
        </w:rPr>
        <w:t xml:space="preserve">. </w:t>
      </w:r>
    </w:p>
    <w:p w14:paraId="28076861" w14:textId="70FD1230" w:rsidR="00810343" w:rsidRPr="00760E78" w:rsidRDefault="00810343" w:rsidP="00810343">
      <w:pPr>
        <w:spacing w:after="0" w:line="480" w:lineRule="auto"/>
        <w:ind w:firstLine="432"/>
        <w:jc w:val="both"/>
        <w:rPr>
          <w:rFonts w:ascii="Times New Roman" w:hAnsi="Times New Roman" w:cs="Times New Roman"/>
          <w:sz w:val="24"/>
          <w:szCs w:val="24"/>
          <w:lang w:val="en-GB"/>
        </w:rPr>
      </w:pPr>
      <w:r w:rsidRPr="00760E78">
        <w:rPr>
          <w:rFonts w:ascii="Times New Roman" w:hAnsi="Times New Roman" w:cs="Times New Roman"/>
          <w:sz w:val="24"/>
          <w:szCs w:val="24"/>
        </w:rPr>
        <w:t xml:space="preserve">For practitioners, our evidence suggests that domestic VC investors may learn from foreign VC investors to improve decision making processes to reduce the problem of escalation of commitment. The finding that branch VCs do not escalate commitment indicates that their </w:t>
      </w:r>
      <w:r w:rsidR="00E03512">
        <w:rPr>
          <w:rFonts w:ascii="Times New Roman" w:hAnsi="Times New Roman" w:cs="Times New Roman"/>
          <w:sz w:val="24"/>
          <w:szCs w:val="24"/>
        </w:rPr>
        <w:t>organizational</w:t>
      </w:r>
      <w:r w:rsidR="00E03512" w:rsidRPr="00760E78">
        <w:rPr>
          <w:rFonts w:ascii="Times New Roman" w:hAnsi="Times New Roman" w:cs="Times New Roman"/>
          <w:sz w:val="24"/>
          <w:szCs w:val="24"/>
        </w:rPr>
        <w:t xml:space="preserve"> </w:t>
      </w:r>
      <w:r w:rsidRPr="00760E78">
        <w:rPr>
          <w:rFonts w:ascii="Times New Roman" w:hAnsi="Times New Roman" w:cs="Times New Roman"/>
          <w:sz w:val="24"/>
          <w:szCs w:val="24"/>
        </w:rPr>
        <w:t>safeguard</w:t>
      </w:r>
      <w:r w:rsidR="00E03512">
        <w:rPr>
          <w:rFonts w:ascii="Times New Roman" w:hAnsi="Times New Roman" w:cs="Times New Roman"/>
          <w:sz w:val="24"/>
          <w:szCs w:val="24"/>
        </w:rPr>
        <w:t>s</w:t>
      </w:r>
      <w:r w:rsidRPr="00760E78">
        <w:rPr>
          <w:rFonts w:ascii="Times New Roman" w:hAnsi="Times New Roman" w:cs="Times New Roman"/>
          <w:sz w:val="24"/>
          <w:szCs w:val="24"/>
        </w:rPr>
        <w:t xml:space="preserve"> provided by investment committees consisting of both local and head office executives prevents them from escalating commitment. Domestic VC investors may implement this organizational safeguard by having an investment committee comprising international executives, even for evaluating domestic projects</w:t>
      </w:r>
      <w:r w:rsidR="00873CF6">
        <w:rPr>
          <w:rFonts w:ascii="Times New Roman" w:hAnsi="Times New Roman" w:cs="Times New Roman"/>
          <w:sz w:val="24"/>
          <w:szCs w:val="24"/>
        </w:rPr>
        <w:t>, but also adopt anti-embarrassment clauses to protect themselves from a terminated underperforming portfolio company subsequently becoming very successful</w:t>
      </w:r>
      <w:r w:rsidRPr="00760E78">
        <w:rPr>
          <w:rFonts w:ascii="Times New Roman" w:hAnsi="Times New Roman" w:cs="Times New Roman"/>
          <w:sz w:val="24"/>
          <w:szCs w:val="24"/>
        </w:rPr>
        <w:t xml:space="preserve">. As we have demonstrated that cross-border VC or branch VC may </w:t>
      </w:r>
      <w:r w:rsidRPr="00760E78">
        <w:rPr>
          <w:rFonts w:ascii="Times New Roman" w:hAnsi="Times New Roman" w:cs="Times New Roman"/>
          <w:sz w:val="24"/>
          <w:szCs w:val="24"/>
        </w:rPr>
        <w:lastRenderedPageBreak/>
        <w:t>terminate investments more easily when portfolio companies do not meet expectations, our evidence indicates that entrepreneurs should carefully evaluate potential investors and target investors that match their needs.</w:t>
      </w:r>
    </w:p>
    <w:p w14:paraId="3F3C28D4" w14:textId="77777777" w:rsidR="00810343" w:rsidRPr="00A27C70" w:rsidRDefault="00810343" w:rsidP="00810343">
      <w:pPr>
        <w:spacing w:after="0" w:line="480" w:lineRule="auto"/>
        <w:jc w:val="both"/>
        <w:rPr>
          <w:rFonts w:ascii="Times New Roman" w:hAnsi="Times New Roman" w:cs="Times New Roman"/>
          <w:sz w:val="24"/>
          <w:szCs w:val="24"/>
        </w:rPr>
      </w:pPr>
    </w:p>
    <w:p w14:paraId="01F733D2" w14:textId="77777777" w:rsidR="0050400B" w:rsidRPr="005F1FD6" w:rsidRDefault="003820D1" w:rsidP="009E0A45">
      <w:pPr>
        <w:spacing w:after="0" w:line="480" w:lineRule="auto"/>
        <w:ind w:firstLine="432"/>
        <w:jc w:val="center"/>
        <w:rPr>
          <w:rFonts w:ascii="Times New Roman" w:hAnsi="Times New Roman" w:cs="Times New Roman"/>
          <w:b/>
          <w:sz w:val="24"/>
          <w:szCs w:val="24"/>
        </w:rPr>
      </w:pPr>
      <w:r w:rsidRPr="005F1FD6">
        <w:rPr>
          <w:rFonts w:ascii="Times New Roman" w:hAnsi="Times New Roman" w:cs="Times New Roman"/>
          <w:b/>
          <w:sz w:val="24"/>
          <w:szCs w:val="24"/>
        </w:rPr>
        <w:t>INTRODUCTION</w:t>
      </w:r>
    </w:p>
    <w:p w14:paraId="038BBADC" w14:textId="77777777" w:rsidR="00490E97" w:rsidRPr="005B1053" w:rsidRDefault="00490E97" w:rsidP="00490E97">
      <w:pPr>
        <w:autoSpaceDE w:val="0"/>
        <w:autoSpaceDN w:val="0"/>
        <w:adjustRightInd w:val="0"/>
        <w:spacing w:after="0" w:line="480" w:lineRule="auto"/>
        <w:ind w:firstLine="270"/>
        <w:jc w:val="both"/>
        <w:rPr>
          <w:rFonts w:ascii="Times New Roman" w:hAnsi="Times New Roman" w:cs="Times New Roman"/>
          <w:sz w:val="24"/>
          <w:szCs w:val="24"/>
        </w:rPr>
      </w:pPr>
      <w:r w:rsidRPr="005B1053">
        <w:rPr>
          <w:rFonts w:ascii="Times New Roman" w:hAnsi="Times New Roman" w:cs="Times New Roman"/>
          <w:sz w:val="24"/>
          <w:szCs w:val="24"/>
        </w:rPr>
        <w:t xml:space="preserve">Venture capital (VC) investors are professional investors who take equity stakes in young, growth-oriented companies. The VC industry </w:t>
      </w:r>
      <w:r w:rsidR="002177FE">
        <w:rPr>
          <w:rFonts w:ascii="Times New Roman" w:hAnsi="Times New Roman" w:cs="Times New Roman"/>
          <w:sz w:val="24"/>
          <w:szCs w:val="24"/>
        </w:rPr>
        <w:t>w</w:t>
      </w:r>
      <w:r w:rsidRPr="005B1053">
        <w:rPr>
          <w:rFonts w:ascii="Times New Roman" w:hAnsi="Times New Roman" w:cs="Times New Roman"/>
          <w:sz w:val="24"/>
          <w:szCs w:val="24"/>
        </w:rPr>
        <w:t xml:space="preserve">as </w:t>
      </w:r>
      <w:r w:rsidR="002177FE">
        <w:rPr>
          <w:rFonts w:ascii="Times New Roman" w:hAnsi="Times New Roman" w:cs="Times New Roman"/>
          <w:sz w:val="24"/>
          <w:szCs w:val="24"/>
        </w:rPr>
        <w:t xml:space="preserve">for </w:t>
      </w:r>
      <w:r w:rsidRPr="005B1053">
        <w:rPr>
          <w:rFonts w:ascii="Times New Roman" w:hAnsi="Times New Roman" w:cs="Times New Roman"/>
          <w:sz w:val="24"/>
          <w:szCs w:val="24"/>
        </w:rPr>
        <w:t>long a local industry (Cumming and Dai</w:t>
      </w:r>
      <w:r w:rsidR="000F75BB">
        <w:rPr>
          <w:rFonts w:ascii="Times New Roman" w:hAnsi="Times New Roman" w:cs="Times New Roman"/>
          <w:sz w:val="24"/>
          <w:szCs w:val="24"/>
        </w:rPr>
        <w:t>,</w:t>
      </w:r>
      <w:r w:rsidRPr="005B1053">
        <w:rPr>
          <w:rFonts w:ascii="Times New Roman" w:hAnsi="Times New Roman" w:cs="Times New Roman"/>
          <w:sz w:val="24"/>
          <w:szCs w:val="24"/>
        </w:rPr>
        <w:t xml:space="preserve"> 2010; Wright and Robbie</w:t>
      </w:r>
      <w:r w:rsidR="000F75BB">
        <w:rPr>
          <w:rFonts w:ascii="Times New Roman" w:hAnsi="Times New Roman" w:cs="Times New Roman"/>
          <w:sz w:val="24"/>
          <w:szCs w:val="24"/>
        </w:rPr>
        <w:t>,</w:t>
      </w:r>
      <w:r w:rsidRPr="005B1053">
        <w:rPr>
          <w:rFonts w:ascii="Times New Roman" w:hAnsi="Times New Roman" w:cs="Times New Roman"/>
          <w:sz w:val="24"/>
          <w:szCs w:val="24"/>
        </w:rPr>
        <w:t xml:space="preserve"> 1998), </w:t>
      </w:r>
      <w:r w:rsidR="00C93EF9">
        <w:rPr>
          <w:rFonts w:ascii="Times New Roman" w:hAnsi="Times New Roman" w:cs="Times New Roman"/>
          <w:sz w:val="24"/>
          <w:szCs w:val="24"/>
        </w:rPr>
        <w:t>because</w:t>
      </w:r>
      <w:r w:rsidRPr="005B1053">
        <w:rPr>
          <w:rFonts w:ascii="Times New Roman" w:hAnsi="Times New Roman" w:cs="Times New Roman"/>
          <w:sz w:val="24"/>
          <w:szCs w:val="24"/>
        </w:rPr>
        <w:t xml:space="preserve"> g</w:t>
      </w:r>
      <w:r w:rsidRPr="005B1053">
        <w:rPr>
          <w:rFonts w:ascii="Times New Roman" w:hAnsi="Times New Roman"/>
          <w:sz w:val="24"/>
          <w:szCs w:val="24"/>
        </w:rPr>
        <w:t xml:space="preserve">eographic proximity to investment targets was deemed essential for efficient deal flow generation and </w:t>
      </w:r>
      <w:r w:rsidRPr="005B1053">
        <w:rPr>
          <w:rFonts w:ascii="Times New Roman" w:hAnsi="Times New Roman" w:cs="Times New Roman"/>
          <w:sz w:val="24"/>
          <w:szCs w:val="24"/>
        </w:rPr>
        <w:t>evaluation (Sorenson and Stuart</w:t>
      </w:r>
      <w:r w:rsidR="000F75BB">
        <w:rPr>
          <w:rFonts w:ascii="Times New Roman" w:hAnsi="Times New Roman" w:cs="Times New Roman"/>
          <w:sz w:val="24"/>
          <w:szCs w:val="24"/>
        </w:rPr>
        <w:t>,</w:t>
      </w:r>
      <w:r w:rsidRPr="005B1053">
        <w:rPr>
          <w:rFonts w:ascii="Times New Roman" w:hAnsi="Times New Roman" w:cs="Times New Roman"/>
          <w:sz w:val="24"/>
          <w:szCs w:val="24"/>
        </w:rPr>
        <w:t xml:space="preserve"> 2001)</w:t>
      </w:r>
      <w:r w:rsidRPr="005B1053">
        <w:rPr>
          <w:rFonts w:ascii="Times New Roman" w:hAnsi="Times New Roman"/>
          <w:sz w:val="24"/>
          <w:szCs w:val="24"/>
        </w:rPr>
        <w:t xml:space="preserve"> and for post-investment monitoring and value adding services (Mäkelä and Maula, 2006). </w:t>
      </w:r>
      <w:r w:rsidRPr="005B1053">
        <w:rPr>
          <w:rFonts w:ascii="Times New Roman" w:hAnsi="Times New Roman" w:cs="Times New Roman"/>
          <w:sz w:val="24"/>
          <w:szCs w:val="24"/>
        </w:rPr>
        <w:t>The enhanced domestic competition in maturing VC industries ha</w:t>
      </w:r>
      <w:r w:rsidR="002177FE">
        <w:rPr>
          <w:rFonts w:ascii="Times New Roman" w:hAnsi="Times New Roman" w:cs="Times New Roman"/>
          <w:sz w:val="24"/>
          <w:szCs w:val="24"/>
        </w:rPr>
        <w:t>s</w:t>
      </w:r>
      <w:r w:rsidRPr="005B1053">
        <w:rPr>
          <w:rFonts w:ascii="Times New Roman" w:hAnsi="Times New Roman" w:cs="Times New Roman"/>
          <w:sz w:val="24"/>
          <w:szCs w:val="24"/>
        </w:rPr>
        <w:t xml:space="preserve"> increasingly driven VC firms to search for investment opportunities abroad (Meuleman and Wright</w:t>
      </w:r>
      <w:r w:rsidR="000F75BB">
        <w:rPr>
          <w:rFonts w:ascii="Times New Roman" w:hAnsi="Times New Roman" w:cs="Times New Roman"/>
          <w:sz w:val="24"/>
          <w:szCs w:val="24"/>
        </w:rPr>
        <w:t>,</w:t>
      </w:r>
      <w:r w:rsidRPr="005B1053">
        <w:rPr>
          <w:rFonts w:ascii="Times New Roman" w:hAnsi="Times New Roman" w:cs="Times New Roman"/>
          <w:sz w:val="24"/>
          <w:szCs w:val="24"/>
        </w:rPr>
        <w:t xml:space="preserve"> 2011; Tykvová and Schertler</w:t>
      </w:r>
      <w:r w:rsidR="000F75BB">
        <w:rPr>
          <w:rFonts w:ascii="Times New Roman" w:hAnsi="Times New Roman" w:cs="Times New Roman"/>
          <w:sz w:val="24"/>
          <w:szCs w:val="24"/>
        </w:rPr>
        <w:t>,</w:t>
      </w:r>
      <w:r w:rsidRPr="005B1053">
        <w:rPr>
          <w:rFonts w:ascii="Times New Roman" w:hAnsi="Times New Roman" w:cs="Times New Roman"/>
          <w:sz w:val="24"/>
          <w:szCs w:val="24"/>
        </w:rPr>
        <w:t xml:space="preserve"> </w:t>
      </w:r>
      <w:r w:rsidR="004D0D10" w:rsidRPr="005B1053">
        <w:rPr>
          <w:rFonts w:ascii="Times New Roman" w:hAnsi="Times New Roman" w:cs="Times New Roman"/>
          <w:sz w:val="24"/>
          <w:szCs w:val="24"/>
        </w:rPr>
        <w:t>201</w:t>
      </w:r>
      <w:r w:rsidR="004D0D10">
        <w:rPr>
          <w:rFonts w:ascii="Times New Roman" w:hAnsi="Times New Roman" w:cs="Times New Roman"/>
          <w:sz w:val="24"/>
          <w:szCs w:val="24"/>
        </w:rPr>
        <w:t>1</w:t>
      </w:r>
      <w:r w:rsidRPr="005B1053">
        <w:rPr>
          <w:rFonts w:ascii="Times New Roman" w:hAnsi="Times New Roman" w:cs="Times New Roman"/>
          <w:sz w:val="24"/>
          <w:szCs w:val="24"/>
        </w:rPr>
        <w:t xml:space="preserve">; Schertler and Tykvová, 2011). As a result, the number of international transactions has now become non-negligible, </w:t>
      </w:r>
      <w:r w:rsidR="00C93EF9">
        <w:rPr>
          <w:rFonts w:ascii="Times New Roman" w:hAnsi="Times New Roman" w:cs="Times New Roman"/>
          <w:sz w:val="24"/>
          <w:szCs w:val="24"/>
        </w:rPr>
        <w:t>with</w:t>
      </w:r>
      <w:r w:rsidRPr="005B1053">
        <w:rPr>
          <w:rFonts w:ascii="Times New Roman" w:hAnsi="Times New Roman" w:cs="Times New Roman"/>
          <w:sz w:val="24"/>
          <w:szCs w:val="24"/>
        </w:rPr>
        <w:t xml:space="preserve"> one in eight VC-backed companies worldwide </w:t>
      </w:r>
      <w:r>
        <w:rPr>
          <w:rFonts w:ascii="Times New Roman" w:hAnsi="Times New Roman" w:cs="Times New Roman"/>
          <w:sz w:val="24"/>
          <w:szCs w:val="24"/>
        </w:rPr>
        <w:t xml:space="preserve">now </w:t>
      </w:r>
      <w:r w:rsidRPr="005B1053">
        <w:rPr>
          <w:rFonts w:ascii="Times New Roman" w:hAnsi="Times New Roman" w:cs="Times New Roman"/>
          <w:sz w:val="24"/>
          <w:szCs w:val="24"/>
        </w:rPr>
        <w:t>receiv</w:t>
      </w:r>
      <w:r w:rsidR="00C93EF9">
        <w:rPr>
          <w:rFonts w:ascii="Times New Roman" w:hAnsi="Times New Roman" w:cs="Times New Roman"/>
          <w:sz w:val="24"/>
          <w:szCs w:val="24"/>
        </w:rPr>
        <w:t>ing</w:t>
      </w:r>
      <w:r w:rsidRPr="005B1053">
        <w:rPr>
          <w:rFonts w:ascii="Times New Roman" w:hAnsi="Times New Roman" w:cs="Times New Roman"/>
          <w:sz w:val="24"/>
          <w:szCs w:val="24"/>
        </w:rPr>
        <w:t xml:space="preserve"> VC from an international investor. A deeper understanding of the international VC phenomenon is hence warranted</w:t>
      </w:r>
      <w:r>
        <w:rPr>
          <w:rFonts w:ascii="Times New Roman" w:hAnsi="Times New Roman" w:cs="Times New Roman"/>
          <w:sz w:val="24"/>
          <w:szCs w:val="24"/>
        </w:rPr>
        <w:t xml:space="preserve"> </w:t>
      </w:r>
      <w:r w:rsidRPr="00913F11">
        <w:rPr>
          <w:rFonts w:ascii="Times New Roman" w:hAnsi="Times New Roman" w:cs="Times New Roman"/>
          <w:sz w:val="24"/>
          <w:szCs w:val="24"/>
          <w:lang w:val="en-GB"/>
        </w:rPr>
        <w:t>(</w:t>
      </w:r>
      <w:r>
        <w:rPr>
          <w:rFonts w:ascii="Times New Roman" w:hAnsi="Times New Roman" w:cs="Times New Roman"/>
          <w:sz w:val="24"/>
          <w:szCs w:val="24"/>
          <w:lang w:val="en-GB"/>
        </w:rPr>
        <w:t xml:space="preserve">Wright, Pruthi </w:t>
      </w:r>
      <w:r w:rsidR="002174D5">
        <w:rPr>
          <w:rFonts w:ascii="Times New Roman" w:hAnsi="Times New Roman" w:cs="Times New Roman"/>
          <w:sz w:val="24"/>
          <w:szCs w:val="24"/>
          <w:lang w:val="en-GB"/>
        </w:rPr>
        <w:t>and</w:t>
      </w:r>
      <w:r>
        <w:rPr>
          <w:rFonts w:ascii="Times New Roman" w:hAnsi="Times New Roman" w:cs="Times New Roman"/>
          <w:sz w:val="24"/>
          <w:szCs w:val="24"/>
          <w:lang w:val="en-GB"/>
        </w:rPr>
        <w:t xml:space="preserve"> Lockett</w:t>
      </w:r>
      <w:r w:rsidRPr="00913F11">
        <w:rPr>
          <w:rFonts w:ascii="Times New Roman" w:hAnsi="Times New Roman" w:cs="Times New Roman"/>
          <w:sz w:val="24"/>
          <w:szCs w:val="24"/>
          <w:lang w:val="en-GB"/>
        </w:rPr>
        <w:t>, 2005)</w:t>
      </w:r>
      <w:r w:rsidRPr="005B1053">
        <w:rPr>
          <w:rFonts w:ascii="Times New Roman" w:hAnsi="Times New Roman" w:cs="Times New Roman"/>
          <w:sz w:val="24"/>
          <w:szCs w:val="24"/>
        </w:rPr>
        <w:t>.</w:t>
      </w:r>
    </w:p>
    <w:p w14:paraId="228C4CEA" w14:textId="37AFC0D0" w:rsidR="00490E97" w:rsidRPr="00DD4DDC" w:rsidRDefault="00490E97" w:rsidP="00490E97">
      <w:pPr>
        <w:autoSpaceDE w:val="0"/>
        <w:autoSpaceDN w:val="0"/>
        <w:adjustRightInd w:val="0"/>
        <w:spacing w:after="0" w:line="480" w:lineRule="auto"/>
        <w:ind w:firstLine="270"/>
        <w:jc w:val="both"/>
        <w:rPr>
          <w:rFonts w:ascii="Times New Roman" w:hAnsi="Times New Roman" w:cs="Times New Roman"/>
          <w:sz w:val="24"/>
          <w:szCs w:val="24"/>
        </w:rPr>
      </w:pPr>
      <w:r w:rsidRPr="00873CF6">
        <w:rPr>
          <w:rFonts w:ascii="Times New Roman" w:hAnsi="Times New Roman" w:cs="Times New Roman"/>
          <w:sz w:val="24"/>
          <w:szCs w:val="24"/>
        </w:rPr>
        <w:t xml:space="preserve">Research on international VC has largely started from the observation that international VC firms face liabilities of foreignness compared to domestic VC firms, induced by increased </w:t>
      </w:r>
      <w:r w:rsidRPr="00DD4DDC">
        <w:rPr>
          <w:rFonts w:ascii="Times New Roman" w:hAnsi="Times New Roman" w:cs="Times New Roman"/>
          <w:sz w:val="24"/>
          <w:szCs w:val="24"/>
        </w:rPr>
        <w:t xml:space="preserve">geographical, cultural and institutional distances between VC investors and their portfolio companies </w:t>
      </w:r>
      <w:r w:rsidRPr="00873CF6">
        <w:rPr>
          <w:rFonts w:ascii="Times New Roman" w:hAnsi="Times New Roman" w:cs="Times New Roman"/>
          <w:sz w:val="24"/>
          <w:szCs w:val="24"/>
        </w:rPr>
        <w:t>(Wright et al., 2005)</w:t>
      </w:r>
      <w:r w:rsidRPr="00DD4DDC">
        <w:rPr>
          <w:rFonts w:ascii="Times New Roman" w:hAnsi="Times New Roman" w:cs="Times New Roman"/>
          <w:sz w:val="24"/>
          <w:szCs w:val="24"/>
        </w:rPr>
        <w:t xml:space="preserve">. </w:t>
      </w:r>
      <w:r w:rsidR="00135B87">
        <w:rPr>
          <w:rFonts w:ascii="Times New Roman" w:hAnsi="Times New Roman" w:cs="Times New Roman"/>
          <w:sz w:val="24"/>
          <w:szCs w:val="24"/>
        </w:rPr>
        <w:t>W</w:t>
      </w:r>
      <w:r w:rsidRPr="00DD4DDC">
        <w:rPr>
          <w:rFonts w:ascii="Times New Roman" w:hAnsi="Times New Roman" w:cs="Times New Roman"/>
          <w:sz w:val="24"/>
          <w:szCs w:val="24"/>
        </w:rPr>
        <w:t xml:space="preserve">e highlight how international VC firms have an advantage compared to domestic VC firms. More specifically, we argue and show that international VC firms, whether investing from a cross-border entity or from a local branch office, terminate their failing </w:t>
      </w:r>
      <w:r w:rsidRPr="00DD4DDC">
        <w:rPr>
          <w:rFonts w:ascii="Times New Roman" w:hAnsi="Times New Roman" w:cs="Times New Roman"/>
          <w:sz w:val="24"/>
          <w:szCs w:val="24"/>
        </w:rPr>
        <w:lastRenderedPageBreak/>
        <w:t xml:space="preserve">investments more rationally compared to domestic VC firms, who have a higher tendency to escalate their commitment to a failing course of action. </w:t>
      </w:r>
    </w:p>
    <w:p w14:paraId="7B6F5FF2" w14:textId="72F1A3F1" w:rsidR="00490E97" w:rsidRPr="005B1053" w:rsidRDefault="00490E97" w:rsidP="00570EF1">
      <w:pPr>
        <w:autoSpaceDE w:val="0"/>
        <w:autoSpaceDN w:val="0"/>
        <w:adjustRightInd w:val="0"/>
        <w:spacing w:after="0" w:line="480" w:lineRule="auto"/>
        <w:ind w:firstLine="270"/>
        <w:jc w:val="both"/>
        <w:rPr>
          <w:rFonts w:ascii="Times New Roman" w:hAnsi="Times New Roman" w:cs="Times New Roman"/>
          <w:sz w:val="24"/>
          <w:szCs w:val="24"/>
        </w:rPr>
      </w:pPr>
      <w:r w:rsidRPr="00DD4DDC">
        <w:rPr>
          <w:rFonts w:ascii="Times New Roman" w:hAnsi="Times New Roman" w:cs="Times New Roman"/>
          <w:sz w:val="24"/>
          <w:szCs w:val="24"/>
        </w:rPr>
        <w:t xml:space="preserve">Terminating investments is particularly important for VC investors as </w:t>
      </w:r>
      <w:r w:rsidR="00135B87">
        <w:rPr>
          <w:rFonts w:ascii="Times New Roman" w:hAnsi="Times New Roman" w:cs="Times New Roman"/>
          <w:sz w:val="24"/>
          <w:szCs w:val="24"/>
        </w:rPr>
        <w:t>about one third</w:t>
      </w:r>
      <w:r w:rsidRPr="00A96F6B">
        <w:rPr>
          <w:rFonts w:ascii="Times New Roman" w:hAnsi="Times New Roman" w:cs="Times New Roman"/>
          <w:sz w:val="24"/>
          <w:szCs w:val="24"/>
        </w:rPr>
        <w:t xml:space="preserve"> of investments eventually fail (Puri </w:t>
      </w:r>
      <w:r w:rsidR="002174D5">
        <w:rPr>
          <w:rFonts w:ascii="Times New Roman" w:hAnsi="Times New Roman" w:cs="Times New Roman"/>
          <w:sz w:val="24"/>
          <w:szCs w:val="24"/>
        </w:rPr>
        <w:t>and</w:t>
      </w:r>
      <w:r w:rsidRPr="00A96F6B">
        <w:rPr>
          <w:rFonts w:ascii="Times New Roman" w:hAnsi="Times New Roman" w:cs="Times New Roman"/>
          <w:sz w:val="24"/>
          <w:szCs w:val="24"/>
        </w:rPr>
        <w:t xml:space="preserve"> Zarutski, 2012).</w:t>
      </w:r>
      <w:r w:rsidRPr="005B1053">
        <w:rPr>
          <w:rFonts w:ascii="Times New Roman" w:hAnsi="Times New Roman" w:cs="Times New Roman"/>
          <w:sz w:val="24"/>
          <w:szCs w:val="24"/>
        </w:rPr>
        <w:t xml:space="preserve"> When </w:t>
      </w:r>
      <w:r w:rsidRPr="005B1053">
        <w:rPr>
          <w:rFonts w:ascii="Times New Roman" w:hAnsi="Times New Roman" w:cs="Times New Roman"/>
          <w:bCs/>
          <w:sz w:val="24"/>
          <w:szCs w:val="24"/>
        </w:rPr>
        <w:t xml:space="preserve">investments </w:t>
      </w:r>
      <w:r w:rsidRPr="005B1053">
        <w:rPr>
          <w:rFonts w:ascii="Times New Roman" w:hAnsi="Times New Roman" w:cs="Times New Roman"/>
          <w:sz w:val="24"/>
          <w:szCs w:val="24"/>
        </w:rPr>
        <w:t>fail to meet initial expectations, decision makers face a “liquidation dilemma”: they may favor continu</w:t>
      </w:r>
      <w:r w:rsidR="009D120E">
        <w:rPr>
          <w:rFonts w:ascii="Times New Roman" w:hAnsi="Times New Roman" w:cs="Times New Roman"/>
          <w:sz w:val="24"/>
          <w:szCs w:val="24"/>
        </w:rPr>
        <w:t>ing to</w:t>
      </w:r>
      <w:r w:rsidRPr="005B1053">
        <w:rPr>
          <w:rFonts w:ascii="Times New Roman" w:hAnsi="Times New Roman" w:cs="Times New Roman"/>
          <w:sz w:val="24"/>
          <w:szCs w:val="24"/>
        </w:rPr>
        <w:t xml:space="preserve"> financ</w:t>
      </w:r>
      <w:r w:rsidR="009D120E">
        <w:rPr>
          <w:rFonts w:ascii="Times New Roman" w:hAnsi="Times New Roman" w:cs="Times New Roman"/>
          <w:sz w:val="24"/>
          <w:szCs w:val="24"/>
        </w:rPr>
        <w:t>e</w:t>
      </w:r>
      <w:r w:rsidRPr="005B1053">
        <w:rPr>
          <w:rFonts w:ascii="Times New Roman" w:hAnsi="Times New Roman" w:cs="Times New Roman"/>
          <w:sz w:val="24"/>
          <w:szCs w:val="24"/>
        </w:rPr>
        <w:t xml:space="preserve"> the project to retain the option of improvement or they may decide to terminate, which results in the crystallization of certain losses. Persisting to invest in a poorly performing project that eventually fails, however, not only wastes financial and temporal resources but alternative and more promising investment opportunities are foregone</w:t>
      </w:r>
      <w:r w:rsidR="00570EF1">
        <w:rPr>
          <w:rFonts w:ascii="Times New Roman" w:hAnsi="Times New Roman" w:cs="Times New Roman"/>
          <w:sz w:val="24"/>
          <w:szCs w:val="24"/>
        </w:rPr>
        <w:t xml:space="preserve"> (Li and Chi, 2013)</w:t>
      </w:r>
      <w:r w:rsidRPr="005B1053">
        <w:rPr>
          <w:rFonts w:ascii="Times New Roman" w:hAnsi="Times New Roman" w:cs="Times New Roman"/>
          <w:sz w:val="24"/>
          <w:szCs w:val="24"/>
        </w:rPr>
        <w:t xml:space="preserve">. </w:t>
      </w:r>
      <w:r w:rsidR="00040625">
        <w:rPr>
          <w:rFonts w:ascii="Times New Roman" w:hAnsi="Times New Roman" w:cs="Times New Roman"/>
          <w:sz w:val="24"/>
          <w:szCs w:val="24"/>
        </w:rPr>
        <w:t>Even for seasoned investors, p</w:t>
      </w:r>
      <w:r w:rsidR="009C2660">
        <w:rPr>
          <w:rFonts w:ascii="Times New Roman" w:hAnsi="Times New Roman" w:cs="Times New Roman"/>
          <w:sz w:val="24"/>
          <w:szCs w:val="24"/>
        </w:rPr>
        <w:t>ulling the plug on underperforming investments is difficult: “[VCs] don’t fail because they backed bad companies but because they keep shoveling money into them” (Hardymon, Lerner, and Leamon, 2007:8).</w:t>
      </w:r>
      <w:r w:rsidR="00570EF1">
        <w:rPr>
          <w:rFonts w:ascii="Times New Roman" w:hAnsi="Times New Roman" w:cs="Times New Roman"/>
          <w:sz w:val="24"/>
          <w:szCs w:val="24"/>
        </w:rPr>
        <w:t xml:space="preserve"> </w:t>
      </w:r>
      <w:r w:rsidRPr="005B1053">
        <w:rPr>
          <w:rFonts w:ascii="Times New Roman" w:hAnsi="Times New Roman" w:cs="Times New Roman"/>
          <w:sz w:val="24"/>
          <w:szCs w:val="24"/>
        </w:rPr>
        <w:t>VC</w:t>
      </w:r>
      <w:r w:rsidR="00A96F6B">
        <w:rPr>
          <w:rFonts w:ascii="Times New Roman" w:hAnsi="Times New Roman" w:cs="Times New Roman"/>
          <w:sz w:val="24"/>
          <w:szCs w:val="24"/>
        </w:rPr>
        <w:t>s</w:t>
      </w:r>
      <w:r w:rsidRPr="005B1053">
        <w:rPr>
          <w:rFonts w:ascii="Times New Roman" w:hAnsi="Times New Roman" w:cs="Times New Roman"/>
          <w:sz w:val="24"/>
          <w:szCs w:val="24"/>
        </w:rPr>
        <w:t xml:space="preserve"> therefore put several mechanisms in place to prevent this irrational behavior</w:t>
      </w:r>
      <w:r>
        <w:rPr>
          <w:rFonts w:ascii="Times New Roman" w:hAnsi="Times New Roman" w:cs="Times New Roman"/>
          <w:sz w:val="24"/>
          <w:szCs w:val="24"/>
        </w:rPr>
        <w:t xml:space="preserve"> (Guler, 2007)</w:t>
      </w:r>
      <w:r w:rsidRPr="005B1053">
        <w:rPr>
          <w:rFonts w:ascii="Times New Roman" w:hAnsi="Times New Roman" w:cs="Times New Roman"/>
          <w:sz w:val="24"/>
          <w:szCs w:val="24"/>
        </w:rPr>
        <w:t>. N</w:t>
      </w:r>
      <w:r w:rsidR="00FC35DF">
        <w:rPr>
          <w:rFonts w:ascii="Times New Roman" w:hAnsi="Times New Roman" w:cs="Times New Roman"/>
          <w:sz w:val="24"/>
          <w:szCs w:val="24"/>
        </w:rPr>
        <w:t>evertheless</w:t>
      </w:r>
      <w:r w:rsidRPr="005B1053">
        <w:rPr>
          <w:rFonts w:ascii="Times New Roman" w:hAnsi="Times New Roman" w:cs="Times New Roman"/>
          <w:sz w:val="24"/>
          <w:szCs w:val="24"/>
        </w:rPr>
        <w:t xml:space="preserve">, VC firms </w:t>
      </w:r>
      <w:r w:rsidR="009C2660">
        <w:rPr>
          <w:rFonts w:ascii="Times New Roman" w:hAnsi="Times New Roman" w:cs="Times New Roman"/>
          <w:sz w:val="24"/>
          <w:szCs w:val="24"/>
        </w:rPr>
        <w:t>may</w:t>
      </w:r>
      <w:r w:rsidR="009C2660" w:rsidRPr="005B1053">
        <w:rPr>
          <w:rFonts w:ascii="Times New Roman" w:hAnsi="Times New Roman" w:cs="Times New Roman"/>
          <w:sz w:val="24"/>
          <w:szCs w:val="24"/>
        </w:rPr>
        <w:t xml:space="preserve"> </w:t>
      </w:r>
      <w:r w:rsidRPr="005B1053">
        <w:rPr>
          <w:rFonts w:ascii="Times New Roman" w:hAnsi="Times New Roman" w:cs="Times New Roman"/>
          <w:sz w:val="24"/>
          <w:szCs w:val="24"/>
        </w:rPr>
        <w:t xml:space="preserve">still </w:t>
      </w:r>
      <w:r w:rsidR="009C2660">
        <w:rPr>
          <w:rFonts w:ascii="Times New Roman" w:hAnsi="Times New Roman" w:cs="Times New Roman"/>
          <w:sz w:val="24"/>
          <w:szCs w:val="24"/>
        </w:rPr>
        <w:t xml:space="preserve">be </w:t>
      </w:r>
      <w:r w:rsidRPr="005B1053">
        <w:rPr>
          <w:rFonts w:ascii="Times New Roman" w:hAnsi="Times New Roman" w:cs="Times New Roman"/>
          <w:sz w:val="24"/>
          <w:szCs w:val="24"/>
        </w:rPr>
        <w:t>prone to escalat</w:t>
      </w:r>
      <w:r w:rsidR="009C2660">
        <w:rPr>
          <w:rFonts w:ascii="Times New Roman" w:hAnsi="Times New Roman" w:cs="Times New Roman"/>
          <w:sz w:val="24"/>
          <w:szCs w:val="24"/>
        </w:rPr>
        <w:t>e their</w:t>
      </w:r>
      <w:r w:rsidRPr="005B1053">
        <w:rPr>
          <w:rFonts w:ascii="Times New Roman" w:hAnsi="Times New Roman" w:cs="Times New Roman"/>
          <w:sz w:val="24"/>
          <w:szCs w:val="24"/>
        </w:rPr>
        <w:t xml:space="preserve"> commitment </w:t>
      </w:r>
      <w:r w:rsidR="009C2660">
        <w:rPr>
          <w:rFonts w:ascii="Times New Roman" w:hAnsi="Times New Roman" w:cs="Times New Roman"/>
          <w:sz w:val="24"/>
          <w:szCs w:val="24"/>
        </w:rPr>
        <w:t xml:space="preserve">to a failing course of action </w:t>
      </w:r>
      <w:r w:rsidRPr="005B1053">
        <w:rPr>
          <w:rFonts w:ascii="Times New Roman" w:hAnsi="Times New Roman" w:cs="Times New Roman"/>
          <w:sz w:val="24"/>
          <w:szCs w:val="24"/>
        </w:rPr>
        <w:t xml:space="preserve">(Birmingham, Busenitz, </w:t>
      </w:r>
      <w:r w:rsidR="002174D5">
        <w:rPr>
          <w:rFonts w:ascii="Times New Roman" w:hAnsi="Times New Roman" w:cs="Times New Roman"/>
          <w:sz w:val="24"/>
          <w:szCs w:val="24"/>
        </w:rPr>
        <w:t>and</w:t>
      </w:r>
      <w:r w:rsidRPr="005B1053">
        <w:rPr>
          <w:rFonts w:ascii="Times New Roman" w:hAnsi="Times New Roman" w:cs="Times New Roman"/>
          <w:sz w:val="24"/>
          <w:szCs w:val="24"/>
        </w:rPr>
        <w:t xml:space="preserve"> Arthurs, 2003; Guler, 2007).</w:t>
      </w:r>
    </w:p>
    <w:p w14:paraId="7AC0CBA5" w14:textId="3B2B47CB" w:rsidR="00490E97" w:rsidRPr="005B1053" w:rsidRDefault="00A96F6B" w:rsidP="00490E97">
      <w:pPr>
        <w:spacing w:after="0" w:line="480" w:lineRule="auto"/>
        <w:ind w:firstLine="432"/>
        <w:contextualSpacing/>
        <w:jc w:val="both"/>
        <w:rPr>
          <w:rFonts w:ascii="Times New Roman" w:hAnsi="Times New Roman" w:cs="Times New Roman"/>
          <w:sz w:val="24"/>
          <w:szCs w:val="24"/>
        </w:rPr>
      </w:pPr>
      <w:r w:rsidRPr="00B13303">
        <w:rPr>
          <w:rFonts w:ascii="Times New Roman" w:hAnsi="Times New Roman" w:cs="Times New Roman"/>
          <w:sz w:val="24"/>
          <w:szCs w:val="24"/>
        </w:rPr>
        <w:t xml:space="preserve">However, previous research has not conceptualized the </w:t>
      </w:r>
      <w:r w:rsidR="00AF636F">
        <w:rPr>
          <w:rFonts w:ascii="Times New Roman" w:hAnsi="Times New Roman" w:cs="Times New Roman"/>
          <w:sz w:val="24"/>
          <w:szCs w:val="24"/>
        </w:rPr>
        <w:t>home country</w:t>
      </w:r>
      <w:r w:rsidR="00AF636F" w:rsidRPr="00B13303">
        <w:rPr>
          <w:rFonts w:ascii="Times New Roman" w:hAnsi="Times New Roman" w:cs="Times New Roman"/>
          <w:sz w:val="24"/>
          <w:szCs w:val="24"/>
        </w:rPr>
        <w:t xml:space="preserve"> </w:t>
      </w:r>
      <w:r w:rsidRPr="00B13303">
        <w:rPr>
          <w:rFonts w:ascii="Times New Roman" w:hAnsi="Times New Roman" w:cs="Times New Roman"/>
          <w:sz w:val="24"/>
          <w:szCs w:val="24"/>
        </w:rPr>
        <w:t xml:space="preserve">heterogeneity of </w:t>
      </w:r>
      <w:r w:rsidR="00F10300" w:rsidRPr="00B13303">
        <w:rPr>
          <w:rFonts w:ascii="Times New Roman" w:hAnsi="Times New Roman" w:cs="Times New Roman"/>
          <w:sz w:val="24"/>
          <w:szCs w:val="24"/>
        </w:rPr>
        <w:t xml:space="preserve">VC firms and the potential differential implications for escalation of commitment. </w:t>
      </w:r>
      <w:r w:rsidR="00490E97" w:rsidRPr="00B13303">
        <w:rPr>
          <w:rFonts w:ascii="Times New Roman" w:hAnsi="Times New Roman" w:cs="Times New Roman"/>
          <w:sz w:val="24"/>
          <w:szCs w:val="24"/>
        </w:rPr>
        <w:t xml:space="preserve">Our goal is to </w:t>
      </w:r>
      <w:r w:rsidR="00F10300" w:rsidRPr="00B13303">
        <w:rPr>
          <w:rFonts w:ascii="Times New Roman" w:hAnsi="Times New Roman" w:cs="Times New Roman"/>
          <w:sz w:val="24"/>
          <w:szCs w:val="24"/>
        </w:rPr>
        <w:t xml:space="preserve">address this gap by </w:t>
      </w:r>
      <w:r w:rsidR="00490E97" w:rsidRPr="00B13303">
        <w:rPr>
          <w:rFonts w:ascii="Times New Roman" w:hAnsi="Times New Roman" w:cs="Times New Roman"/>
          <w:sz w:val="24"/>
          <w:szCs w:val="24"/>
        </w:rPr>
        <w:t>explor</w:t>
      </w:r>
      <w:r w:rsidR="00F10300" w:rsidRPr="00B13303">
        <w:rPr>
          <w:rFonts w:ascii="Times New Roman" w:hAnsi="Times New Roman" w:cs="Times New Roman"/>
          <w:sz w:val="24"/>
          <w:szCs w:val="24"/>
        </w:rPr>
        <w:t>ing</w:t>
      </w:r>
      <w:r w:rsidR="00490E97" w:rsidRPr="005B1053">
        <w:rPr>
          <w:rFonts w:ascii="Times New Roman" w:hAnsi="Times New Roman" w:cs="Times New Roman"/>
          <w:sz w:val="24"/>
          <w:szCs w:val="24"/>
        </w:rPr>
        <w:t xml:space="preserve"> differences in the propensity of international VCs </w:t>
      </w:r>
      <w:r w:rsidR="00490E97">
        <w:rPr>
          <w:rFonts w:ascii="Times New Roman" w:hAnsi="Times New Roman" w:cs="Times New Roman"/>
          <w:sz w:val="24"/>
          <w:szCs w:val="24"/>
        </w:rPr>
        <w:t>and</w:t>
      </w:r>
      <w:r w:rsidR="00490E97" w:rsidRPr="005B1053">
        <w:rPr>
          <w:rFonts w:ascii="Times New Roman" w:hAnsi="Times New Roman" w:cs="Times New Roman"/>
          <w:sz w:val="24"/>
          <w:szCs w:val="24"/>
        </w:rPr>
        <w:t xml:space="preserve"> domestic VCs to escalate commitment when portfolio companies do not meet expectations. We expect that </w:t>
      </w:r>
      <w:r w:rsidR="00E763F7">
        <w:rPr>
          <w:rFonts w:ascii="Times New Roman" w:hAnsi="Times New Roman" w:cs="Times New Roman"/>
          <w:sz w:val="24"/>
          <w:szCs w:val="24"/>
        </w:rPr>
        <w:t>in contrast to domestic VCs</w:t>
      </w:r>
      <w:r w:rsidR="005F4348">
        <w:rPr>
          <w:rFonts w:ascii="Times New Roman" w:hAnsi="Times New Roman" w:cs="Times New Roman"/>
          <w:sz w:val="24"/>
          <w:szCs w:val="24"/>
        </w:rPr>
        <w:t>,</w:t>
      </w:r>
      <w:r w:rsidR="00E763F7">
        <w:rPr>
          <w:rFonts w:ascii="Times New Roman" w:hAnsi="Times New Roman" w:cs="Times New Roman"/>
          <w:sz w:val="24"/>
          <w:szCs w:val="24"/>
        </w:rPr>
        <w:t xml:space="preserve"> </w:t>
      </w:r>
      <w:r w:rsidR="00490E97" w:rsidRPr="005B1053">
        <w:rPr>
          <w:rFonts w:ascii="Times New Roman" w:hAnsi="Times New Roman" w:cs="Times New Roman"/>
          <w:sz w:val="24"/>
          <w:szCs w:val="24"/>
        </w:rPr>
        <w:t>increased cultural and geographical distance faced by international VC firms</w:t>
      </w:r>
      <w:r w:rsidR="008F7613">
        <w:rPr>
          <w:rFonts w:ascii="Times New Roman" w:hAnsi="Times New Roman" w:cs="Times New Roman"/>
          <w:sz w:val="24"/>
          <w:szCs w:val="24"/>
        </w:rPr>
        <w:t>, leading to lower emotional, social and institutional pressures,</w:t>
      </w:r>
      <w:r w:rsidR="00490E97" w:rsidRPr="005B1053">
        <w:rPr>
          <w:rFonts w:ascii="Times New Roman" w:hAnsi="Times New Roman" w:cs="Times New Roman"/>
          <w:sz w:val="24"/>
          <w:szCs w:val="24"/>
        </w:rPr>
        <w:t xml:space="preserve"> reduces their termination decision biases. While most research on international VC disregards the entry mode, the establishment of a local branch office is a widely-used strategy to mitigate the frictions associated with geographic and cultural distance (Dai, Jo </w:t>
      </w:r>
      <w:r w:rsidR="002174D5">
        <w:rPr>
          <w:rFonts w:ascii="Times New Roman" w:hAnsi="Times New Roman" w:cs="Times New Roman"/>
          <w:sz w:val="24"/>
          <w:szCs w:val="24"/>
        </w:rPr>
        <w:t>and</w:t>
      </w:r>
      <w:r w:rsidR="00490E97" w:rsidRPr="005B1053">
        <w:rPr>
          <w:rFonts w:ascii="Times New Roman" w:hAnsi="Times New Roman" w:cs="Times New Roman"/>
          <w:sz w:val="24"/>
          <w:szCs w:val="24"/>
        </w:rPr>
        <w:t xml:space="preserve"> Kassicieh, 2012). </w:t>
      </w:r>
      <w:r w:rsidR="00490E97">
        <w:rPr>
          <w:rFonts w:ascii="Times New Roman" w:hAnsi="Times New Roman" w:cs="Times New Roman"/>
          <w:sz w:val="24"/>
          <w:szCs w:val="24"/>
        </w:rPr>
        <w:t xml:space="preserve">This raises the question </w:t>
      </w:r>
      <w:r w:rsidR="00490E97">
        <w:rPr>
          <w:rFonts w:ascii="Times New Roman" w:hAnsi="Times New Roman" w:cs="Times New Roman"/>
          <w:sz w:val="24"/>
          <w:szCs w:val="24"/>
        </w:rPr>
        <w:lastRenderedPageBreak/>
        <w:t>whether VC firms investing from a branch office resemble more domestic VC firms or VC firms investing from their home country</w:t>
      </w:r>
      <w:r w:rsidR="00490E97" w:rsidRPr="00835CDA">
        <w:rPr>
          <w:rFonts w:ascii="Times New Roman" w:hAnsi="Times New Roman" w:cs="Times New Roman"/>
          <w:sz w:val="24"/>
          <w:szCs w:val="24"/>
        </w:rPr>
        <w:t xml:space="preserve"> </w:t>
      </w:r>
      <w:r w:rsidR="00490E97">
        <w:rPr>
          <w:rFonts w:ascii="Times New Roman" w:hAnsi="Times New Roman" w:cs="Times New Roman"/>
          <w:sz w:val="24"/>
          <w:szCs w:val="24"/>
        </w:rPr>
        <w:t xml:space="preserve">across borders. </w:t>
      </w:r>
      <w:r w:rsidR="00490E97" w:rsidRPr="005B1053">
        <w:rPr>
          <w:rFonts w:ascii="Times New Roman" w:hAnsi="Times New Roman" w:cs="Times New Roman"/>
          <w:sz w:val="24"/>
          <w:szCs w:val="24"/>
        </w:rPr>
        <w:t xml:space="preserve">We therefore further differentiate between international VC firms investing from their home country (cross-border VC firms) and those investing from a local branch office (branch VC firms). This </w:t>
      </w:r>
      <w:r w:rsidR="00490E97">
        <w:rPr>
          <w:rFonts w:ascii="Times New Roman" w:hAnsi="Times New Roman" w:cs="Times New Roman"/>
          <w:sz w:val="24"/>
          <w:szCs w:val="24"/>
        </w:rPr>
        <w:t xml:space="preserve">important </w:t>
      </w:r>
      <w:r w:rsidR="00490E97" w:rsidRPr="005B1053">
        <w:rPr>
          <w:rFonts w:ascii="Times New Roman" w:hAnsi="Times New Roman" w:cs="Times New Roman"/>
          <w:sz w:val="24"/>
          <w:szCs w:val="24"/>
        </w:rPr>
        <w:t xml:space="preserve">distinction has been largely ignored in the international VC literature. </w:t>
      </w:r>
    </w:p>
    <w:p w14:paraId="515183C8" w14:textId="77777777" w:rsidR="00490E97" w:rsidRPr="005B1053" w:rsidRDefault="00337352" w:rsidP="00490E97">
      <w:pPr>
        <w:spacing w:after="0" w:line="480" w:lineRule="auto"/>
        <w:ind w:firstLine="432"/>
        <w:contextualSpacing/>
        <w:jc w:val="both"/>
        <w:rPr>
          <w:rFonts w:ascii="Times New Roman" w:hAnsi="Times New Roman" w:cs="Times New Roman"/>
          <w:sz w:val="24"/>
          <w:szCs w:val="24"/>
        </w:rPr>
      </w:pPr>
      <w:r>
        <w:rPr>
          <w:rFonts w:ascii="Times New Roman" w:hAnsi="Times New Roman" w:cs="Times New Roman"/>
          <w:sz w:val="24"/>
          <w:szCs w:val="24"/>
        </w:rPr>
        <w:t>W</w:t>
      </w:r>
      <w:r w:rsidR="00490E97" w:rsidRPr="005B1053">
        <w:rPr>
          <w:rFonts w:ascii="Times New Roman" w:hAnsi="Times New Roman" w:cs="Times New Roman"/>
          <w:sz w:val="24"/>
          <w:szCs w:val="24"/>
        </w:rPr>
        <w:t xml:space="preserve">e use a unique hand collected sample of technology based companies from seven European countries that received initial VC </w:t>
      </w:r>
      <w:r w:rsidR="00786B04">
        <w:rPr>
          <w:rFonts w:ascii="Times New Roman" w:hAnsi="Times New Roman" w:cs="Times New Roman"/>
          <w:sz w:val="24"/>
          <w:szCs w:val="24"/>
        </w:rPr>
        <w:t xml:space="preserve">investment </w:t>
      </w:r>
      <w:r w:rsidR="00490E97" w:rsidRPr="005B1053">
        <w:rPr>
          <w:rFonts w:ascii="Times New Roman" w:hAnsi="Times New Roman" w:cs="Times New Roman"/>
          <w:sz w:val="24"/>
          <w:szCs w:val="24"/>
        </w:rPr>
        <w:t xml:space="preserve">between 1994 and 2004. The sample contains longitudinal data on 1618 unique rounds of VC investments by 1060 VC firms in 684 ventures. We model the effect of investor origin </w:t>
      </w:r>
      <w:r w:rsidR="00490E97">
        <w:rPr>
          <w:rFonts w:ascii="Times New Roman" w:hAnsi="Times New Roman" w:cs="Times New Roman"/>
          <w:sz w:val="24"/>
          <w:szCs w:val="24"/>
        </w:rPr>
        <w:t xml:space="preserve">and entry mode </w:t>
      </w:r>
      <w:r w:rsidR="00490E97" w:rsidRPr="005B1053">
        <w:rPr>
          <w:rFonts w:ascii="Times New Roman" w:hAnsi="Times New Roman" w:cs="Times New Roman"/>
          <w:sz w:val="24"/>
          <w:szCs w:val="24"/>
        </w:rPr>
        <w:t>on the hazards of successful exits and terminations in a</w:t>
      </w:r>
      <w:r w:rsidR="00490E97" w:rsidRPr="005B1053">
        <w:rPr>
          <w:rFonts w:ascii="Times New Roman" w:hAnsi="Times New Roman" w:cs="Times New Roman"/>
          <w:b/>
          <w:bCs/>
          <w:sz w:val="24"/>
          <w:szCs w:val="24"/>
        </w:rPr>
        <w:t xml:space="preserve"> </w:t>
      </w:r>
      <w:r w:rsidR="00490E97" w:rsidRPr="005B1053">
        <w:rPr>
          <w:rFonts w:ascii="Times New Roman" w:hAnsi="Times New Roman" w:cs="Times New Roman"/>
          <w:bCs/>
          <w:sz w:val="24"/>
          <w:szCs w:val="24"/>
        </w:rPr>
        <w:t>competing risks model</w:t>
      </w:r>
      <w:r w:rsidR="00490E97" w:rsidRPr="005B1053">
        <w:rPr>
          <w:rFonts w:ascii="Times New Roman" w:hAnsi="Times New Roman" w:cs="Times New Roman"/>
          <w:sz w:val="24"/>
          <w:szCs w:val="24"/>
        </w:rPr>
        <w:t xml:space="preserve">. We show that while domestic VC firms escalate their commitment towards a failing course of action, cross-border VC firms </w:t>
      </w:r>
      <w:r w:rsidR="000E1855">
        <w:rPr>
          <w:rFonts w:ascii="Times New Roman" w:hAnsi="Times New Roman" w:cs="Times New Roman"/>
          <w:sz w:val="24"/>
          <w:szCs w:val="24"/>
        </w:rPr>
        <w:t>terminate investing in</w:t>
      </w:r>
      <w:r w:rsidR="000E1855" w:rsidRPr="005B1053">
        <w:rPr>
          <w:rFonts w:ascii="Times New Roman" w:hAnsi="Times New Roman" w:cs="Times New Roman"/>
          <w:sz w:val="24"/>
          <w:szCs w:val="24"/>
        </w:rPr>
        <w:t xml:space="preserve"> </w:t>
      </w:r>
      <w:r w:rsidR="00490E97" w:rsidRPr="005B1053">
        <w:rPr>
          <w:rFonts w:ascii="Times New Roman" w:hAnsi="Times New Roman" w:cs="Times New Roman"/>
          <w:sz w:val="24"/>
          <w:szCs w:val="24"/>
        </w:rPr>
        <w:t>unsuccessful ventures in a rational way. Further, domestic VC firms have a significantly higher probability to escalate commitment compared to branch</w:t>
      </w:r>
      <w:r w:rsidR="00490E97">
        <w:rPr>
          <w:rFonts w:ascii="Times New Roman" w:hAnsi="Times New Roman" w:cs="Times New Roman"/>
          <w:sz w:val="24"/>
          <w:szCs w:val="24"/>
        </w:rPr>
        <w:t xml:space="preserve"> VC firms</w:t>
      </w:r>
      <w:r w:rsidR="00490E97" w:rsidRPr="005B1053">
        <w:rPr>
          <w:rFonts w:ascii="Times New Roman" w:hAnsi="Times New Roman" w:cs="Times New Roman"/>
          <w:sz w:val="24"/>
          <w:szCs w:val="24"/>
        </w:rPr>
        <w:t xml:space="preserve">. We fail to find differences in the probability to escalate commitment between cross-border VC firms investing from their headquarters or from a local branch, which suggests that the risk of escalation behavior can be reduced through </w:t>
      </w:r>
      <w:r w:rsidR="00F00B43">
        <w:rPr>
          <w:rFonts w:ascii="Times New Roman" w:hAnsi="Times New Roman" w:cs="Times New Roman"/>
          <w:sz w:val="24"/>
          <w:szCs w:val="24"/>
        </w:rPr>
        <w:t>organizational</w:t>
      </w:r>
      <w:r w:rsidR="00F00B43" w:rsidRPr="005B1053">
        <w:rPr>
          <w:rFonts w:ascii="Times New Roman" w:hAnsi="Times New Roman" w:cs="Times New Roman"/>
          <w:sz w:val="24"/>
          <w:szCs w:val="24"/>
        </w:rPr>
        <w:t xml:space="preserve"> </w:t>
      </w:r>
      <w:r w:rsidR="00490E97" w:rsidRPr="005B1053">
        <w:rPr>
          <w:rFonts w:ascii="Times New Roman" w:hAnsi="Times New Roman" w:cs="Times New Roman"/>
          <w:sz w:val="24"/>
          <w:szCs w:val="24"/>
        </w:rPr>
        <w:t>safeguards such as the use of a firm-level investment committee that includes distant members.</w:t>
      </w:r>
    </w:p>
    <w:p w14:paraId="3F397FD3" w14:textId="19BA34B9" w:rsidR="00490E97" w:rsidRPr="005B1053" w:rsidRDefault="00490E97" w:rsidP="00490E97">
      <w:pPr>
        <w:spacing w:after="0" w:line="480" w:lineRule="auto"/>
        <w:ind w:firstLine="432"/>
        <w:contextualSpacing/>
        <w:jc w:val="both"/>
        <w:rPr>
          <w:rFonts w:ascii="Times New Roman" w:hAnsi="Times New Roman" w:cs="Times New Roman"/>
          <w:sz w:val="24"/>
          <w:szCs w:val="24"/>
        </w:rPr>
      </w:pPr>
      <w:r w:rsidRPr="005B1053">
        <w:rPr>
          <w:rFonts w:ascii="Times New Roman" w:hAnsi="Times New Roman" w:cs="Times New Roman"/>
          <w:sz w:val="24"/>
          <w:szCs w:val="24"/>
        </w:rPr>
        <w:t xml:space="preserve">Our study makes </w:t>
      </w:r>
      <w:r w:rsidR="00BC3E31">
        <w:rPr>
          <w:rFonts w:ascii="Times New Roman" w:hAnsi="Times New Roman" w:cs="Times New Roman"/>
          <w:sz w:val="24"/>
          <w:szCs w:val="24"/>
        </w:rPr>
        <w:t>several</w:t>
      </w:r>
      <w:r w:rsidR="002D2694">
        <w:rPr>
          <w:rFonts w:ascii="Times New Roman" w:hAnsi="Times New Roman" w:cs="Times New Roman"/>
          <w:sz w:val="24"/>
          <w:szCs w:val="24"/>
        </w:rPr>
        <w:t xml:space="preserve"> contributions</w:t>
      </w:r>
      <w:r w:rsidRPr="005B1053">
        <w:rPr>
          <w:rFonts w:ascii="Times New Roman" w:hAnsi="Times New Roman" w:cs="Times New Roman"/>
          <w:sz w:val="24"/>
          <w:szCs w:val="24"/>
        </w:rPr>
        <w:t xml:space="preserve">. </w:t>
      </w:r>
      <w:r w:rsidR="00BC3E31">
        <w:rPr>
          <w:rFonts w:ascii="Times New Roman" w:hAnsi="Times New Roman" w:cs="Times New Roman"/>
          <w:sz w:val="24"/>
          <w:szCs w:val="24"/>
        </w:rPr>
        <w:t>First</w:t>
      </w:r>
      <w:r w:rsidRPr="005B1053">
        <w:rPr>
          <w:rFonts w:ascii="Times New Roman" w:hAnsi="Times New Roman" w:cs="Times New Roman"/>
          <w:sz w:val="24"/>
          <w:szCs w:val="24"/>
        </w:rPr>
        <w:t xml:space="preserve">, we contribute to understanding behavioral differences between domestic and </w:t>
      </w:r>
      <w:r>
        <w:rPr>
          <w:rFonts w:ascii="Times New Roman" w:hAnsi="Times New Roman" w:cs="Times New Roman"/>
          <w:sz w:val="24"/>
          <w:szCs w:val="24"/>
        </w:rPr>
        <w:t>international</w:t>
      </w:r>
      <w:r w:rsidRPr="005B1053">
        <w:rPr>
          <w:rFonts w:ascii="Times New Roman" w:hAnsi="Times New Roman" w:cs="Times New Roman"/>
          <w:sz w:val="24"/>
          <w:szCs w:val="24"/>
        </w:rPr>
        <w:t xml:space="preserve"> VC firms, as previous studies</w:t>
      </w:r>
      <w:r>
        <w:rPr>
          <w:rFonts w:ascii="Times New Roman" w:hAnsi="Times New Roman" w:cs="Times New Roman"/>
          <w:sz w:val="24"/>
          <w:szCs w:val="24"/>
        </w:rPr>
        <w:t xml:space="preserve"> on international VC</w:t>
      </w:r>
      <w:r w:rsidRPr="005B1053">
        <w:rPr>
          <w:rFonts w:ascii="Times New Roman" w:hAnsi="Times New Roman" w:cs="Times New Roman"/>
          <w:sz w:val="24"/>
          <w:szCs w:val="24"/>
        </w:rPr>
        <w:t xml:space="preserve"> have mainly focused on either the rationale for international investments or on explaining investment</w:t>
      </w:r>
      <w:r w:rsidR="00AF636F">
        <w:rPr>
          <w:rFonts w:ascii="Times New Roman" w:hAnsi="Times New Roman" w:cs="Times New Roman"/>
          <w:sz w:val="24"/>
          <w:szCs w:val="24"/>
        </w:rPr>
        <w:t xml:space="preserve"> </w:t>
      </w:r>
      <w:r w:rsidRPr="005B1053">
        <w:rPr>
          <w:rFonts w:ascii="Times New Roman" w:hAnsi="Times New Roman" w:cs="Times New Roman"/>
          <w:sz w:val="24"/>
          <w:szCs w:val="24"/>
        </w:rPr>
        <w:t>s</w:t>
      </w:r>
      <w:r w:rsidR="00AF636F">
        <w:rPr>
          <w:rFonts w:ascii="Times New Roman" w:hAnsi="Times New Roman" w:cs="Times New Roman"/>
          <w:sz w:val="24"/>
          <w:szCs w:val="24"/>
        </w:rPr>
        <w:t>uccess</w:t>
      </w:r>
      <w:r w:rsidRPr="005B1053">
        <w:rPr>
          <w:rFonts w:ascii="Times New Roman" w:hAnsi="Times New Roman" w:cs="Times New Roman"/>
          <w:sz w:val="24"/>
          <w:szCs w:val="24"/>
        </w:rPr>
        <w:t xml:space="preserve"> (Mäkelä </w:t>
      </w:r>
      <w:r w:rsidR="002174D5">
        <w:rPr>
          <w:rFonts w:ascii="Times New Roman" w:hAnsi="Times New Roman" w:cs="Times New Roman"/>
          <w:sz w:val="24"/>
          <w:szCs w:val="24"/>
        </w:rPr>
        <w:t>and</w:t>
      </w:r>
      <w:r w:rsidRPr="005B1053">
        <w:rPr>
          <w:rFonts w:ascii="Times New Roman" w:hAnsi="Times New Roman" w:cs="Times New Roman"/>
          <w:sz w:val="24"/>
          <w:szCs w:val="24"/>
        </w:rPr>
        <w:t xml:space="preserve"> Maula, 2006; Wright et al., 2005). </w:t>
      </w:r>
      <w:r w:rsidR="00730395">
        <w:rPr>
          <w:rFonts w:ascii="Times New Roman" w:hAnsi="Times New Roman" w:cs="Times New Roman"/>
          <w:sz w:val="24"/>
          <w:szCs w:val="24"/>
        </w:rPr>
        <w:t>We show</w:t>
      </w:r>
      <w:r w:rsidR="00730395" w:rsidRPr="00760E78">
        <w:rPr>
          <w:rFonts w:ascii="Times New Roman" w:hAnsi="Times New Roman" w:cs="Times New Roman"/>
          <w:sz w:val="24"/>
          <w:szCs w:val="24"/>
        </w:rPr>
        <w:t xml:space="preserve"> that being a foreigner may not always be negative but can induce more rational decision making </w:t>
      </w:r>
      <w:r w:rsidR="00730395">
        <w:rPr>
          <w:rFonts w:ascii="Times New Roman" w:hAnsi="Times New Roman" w:cs="Times New Roman"/>
          <w:sz w:val="24"/>
          <w:szCs w:val="24"/>
        </w:rPr>
        <w:t>regarding</w:t>
      </w:r>
      <w:r w:rsidR="00730395" w:rsidRPr="00760E78">
        <w:rPr>
          <w:rFonts w:ascii="Times New Roman" w:hAnsi="Times New Roman" w:cs="Times New Roman"/>
          <w:sz w:val="24"/>
          <w:szCs w:val="24"/>
        </w:rPr>
        <w:t xml:space="preserve"> the abandonment of underperforming projects. </w:t>
      </w:r>
      <w:r w:rsidR="00BC3E31">
        <w:rPr>
          <w:rFonts w:ascii="Times New Roman" w:hAnsi="Times New Roman" w:cs="Times New Roman"/>
          <w:sz w:val="24"/>
          <w:szCs w:val="24"/>
        </w:rPr>
        <w:t>Second, w</w:t>
      </w:r>
      <w:r w:rsidRPr="005B1053">
        <w:rPr>
          <w:rFonts w:ascii="Times New Roman" w:hAnsi="Times New Roman" w:cs="Times New Roman"/>
          <w:sz w:val="24"/>
          <w:szCs w:val="24"/>
        </w:rPr>
        <w:t xml:space="preserve">e add to the few studies that examine </w:t>
      </w:r>
      <w:r w:rsidRPr="005B1053">
        <w:rPr>
          <w:rFonts w:ascii="Times New Roman" w:hAnsi="Times New Roman" w:cs="Times New Roman"/>
          <w:sz w:val="24"/>
          <w:szCs w:val="24"/>
        </w:rPr>
        <w:lastRenderedPageBreak/>
        <w:t xml:space="preserve">unsuccessful exits by VC firms (Cumming </w:t>
      </w:r>
      <w:r w:rsidR="002174D5">
        <w:rPr>
          <w:rFonts w:ascii="Times New Roman" w:hAnsi="Times New Roman" w:cs="Times New Roman"/>
          <w:sz w:val="24"/>
          <w:szCs w:val="24"/>
        </w:rPr>
        <w:t>and</w:t>
      </w:r>
      <w:r w:rsidRPr="005B1053">
        <w:rPr>
          <w:rFonts w:ascii="Times New Roman" w:hAnsi="Times New Roman" w:cs="Times New Roman"/>
          <w:sz w:val="24"/>
          <w:szCs w:val="24"/>
        </w:rPr>
        <w:t xml:space="preserve"> Dai, 2010). </w:t>
      </w:r>
      <w:r>
        <w:rPr>
          <w:rFonts w:ascii="Times New Roman" w:hAnsi="Times New Roman" w:cs="Times New Roman"/>
          <w:sz w:val="24"/>
          <w:szCs w:val="24"/>
        </w:rPr>
        <w:t xml:space="preserve">More specifically, </w:t>
      </w:r>
      <w:r w:rsidRPr="00B13303">
        <w:rPr>
          <w:rFonts w:ascii="Times New Roman" w:hAnsi="Times New Roman" w:cs="Times New Roman"/>
          <w:sz w:val="24"/>
          <w:szCs w:val="24"/>
        </w:rPr>
        <w:t>we ex</w:t>
      </w:r>
      <w:r w:rsidR="00BC3E31" w:rsidRPr="00B13303">
        <w:rPr>
          <w:rFonts w:ascii="Times New Roman" w:hAnsi="Times New Roman" w:cs="Times New Roman"/>
          <w:sz w:val="24"/>
          <w:szCs w:val="24"/>
        </w:rPr>
        <w:t>tend</w:t>
      </w:r>
      <w:r w:rsidRPr="00B13303">
        <w:rPr>
          <w:rFonts w:ascii="Times New Roman" w:hAnsi="Times New Roman" w:cs="Times New Roman"/>
          <w:sz w:val="24"/>
          <w:szCs w:val="24"/>
        </w:rPr>
        <w:t xml:space="preserve"> Guler’s (2007) study, wh</w:t>
      </w:r>
      <w:r w:rsidR="00786B04" w:rsidRPr="00B13303">
        <w:rPr>
          <w:rFonts w:ascii="Times New Roman" w:hAnsi="Times New Roman" w:cs="Times New Roman"/>
          <w:sz w:val="24"/>
          <w:szCs w:val="24"/>
        </w:rPr>
        <w:t>ich</w:t>
      </w:r>
      <w:r w:rsidRPr="00B13303">
        <w:rPr>
          <w:rFonts w:ascii="Times New Roman" w:hAnsi="Times New Roman" w:cs="Times New Roman"/>
          <w:sz w:val="24"/>
          <w:szCs w:val="24"/>
        </w:rPr>
        <w:t xml:space="preserve"> first showed the escalation behavior in VC investments</w:t>
      </w:r>
      <w:r w:rsidR="00BC3E31" w:rsidRPr="00B13303">
        <w:rPr>
          <w:rFonts w:ascii="Times New Roman" w:hAnsi="Times New Roman" w:cs="Times New Roman"/>
          <w:sz w:val="24"/>
          <w:szCs w:val="24"/>
        </w:rPr>
        <w:t>, by hypothesizing and demonstrating empirically that VC proclivity to escalation of commitment is heterogeneous depending on whether the VC is a domestic, cross-border or branch investor.</w:t>
      </w:r>
      <w:r w:rsidR="00BC3E31" w:rsidRPr="00BC3E31">
        <w:rPr>
          <w:rFonts w:ascii="Times New Roman" w:hAnsi="Times New Roman" w:cs="Times New Roman"/>
          <w:sz w:val="24"/>
          <w:szCs w:val="24"/>
        </w:rPr>
        <w:t xml:space="preserve"> </w:t>
      </w:r>
      <w:r>
        <w:rPr>
          <w:rFonts w:ascii="Times New Roman" w:hAnsi="Times New Roman" w:cs="Times New Roman"/>
          <w:sz w:val="24"/>
          <w:szCs w:val="24"/>
        </w:rPr>
        <w:t xml:space="preserve">We document that </w:t>
      </w:r>
      <w:r w:rsidR="001C7935">
        <w:rPr>
          <w:rFonts w:ascii="Times New Roman" w:hAnsi="Times New Roman" w:cs="Times New Roman"/>
          <w:sz w:val="24"/>
          <w:szCs w:val="24"/>
        </w:rPr>
        <w:t xml:space="preserve">this geographical heterogeneity manifests itself through </w:t>
      </w:r>
      <w:r>
        <w:rPr>
          <w:rFonts w:ascii="Times New Roman" w:hAnsi="Times New Roman" w:cs="Times New Roman"/>
          <w:sz w:val="24"/>
          <w:szCs w:val="24"/>
        </w:rPr>
        <w:t>international VC firms hav</w:t>
      </w:r>
      <w:r w:rsidR="001C7935">
        <w:rPr>
          <w:rFonts w:ascii="Times New Roman" w:hAnsi="Times New Roman" w:cs="Times New Roman"/>
          <w:sz w:val="24"/>
          <w:szCs w:val="24"/>
        </w:rPr>
        <w:t>ing</w:t>
      </w:r>
      <w:r>
        <w:rPr>
          <w:rFonts w:ascii="Times New Roman" w:hAnsi="Times New Roman" w:cs="Times New Roman"/>
          <w:sz w:val="24"/>
          <w:szCs w:val="24"/>
        </w:rPr>
        <w:t xml:space="preserve"> an advantage compared to domestic VC firms, as they are less prone to escalate their commitment to a failing portfolio company, and hence </w:t>
      </w:r>
      <w:r w:rsidR="00337352">
        <w:rPr>
          <w:rFonts w:ascii="Times New Roman" w:hAnsi="Times New Roman" w:cs="Times New Roman"/>
          <w:sz w:val="24"/>
          <w:szCs w:val="24"/>
        </w:rPr>
        <w:t>can</w:t>
      </w:r>
      <w:r>
        <w:rPr>
          <w:rFonts w:ascii="Times New Roman" w:hAnsi="Times New Roman" w:cs="Times New Roman"/>
          <w:sz w:val="24"/>
          <w:szCs w:val="24"/>
        </w:rPr>
        <w:t xml:space="preserve"> redeploy their financial and temporal resources more efficiently. </w:t>
      </w:r>
      <w:r w:rsidR="00F066A0" w:rsidRPr="00F066A0">
        <w:rPr>
          <w:rFonts w:ascii="Times New Roman" w:hAnsi="Times New Roman" w:cs="Times New Roman"/>
          <w:sz w:val="24"/>
          <w:szCs w:val="24"/>
        </w:rPr>
        <w:t xml:space="preserve">Finally, by providing a more fine-grained classification of trade sales and buy-outs as successful or unsuccessful exits we offer a methodological contribution to the </w:t>
      </w:r>
      <w:r w:rsidR="00337352">
        <w:rPr>
          <w:rFonts w:ascii="Times New Roman" w:hAnsi="Times New Roman" w:cs="Times New Roman"/>
          <w:sz w:val="24"/>
          <w:szCs w:val="24"/>
        </w:rPr>
        <w:t>VC</w:t>
      </w:r>
      <w:r w:rsidR="00F066A0" w:rsidRPr="00F066A0">
        <w:rPr>
          <w:rFonts w:ascii="Times New Roman" w:hAnsi="Times New Roman" w:cs="Times New Roman"/>
          <w:sz w:val="24"/>
          <w:szCs w:val="24"/>
        </w:rPr>
        <w:t xml:space="preserve"> exit literature.</w:t>
      </w:r>
    </w:p>
    <w:p w14:paraId="1BE99846" w14:textId="77777777" w:rsidR="00490E97" w:rsidRPr="005B1053" w:rsidRDefault="00490E97" w:rsidP="00490E97">
      <w:pPr>
        <w:spacing w:after="0" w:line="480" w:lineRule="auto"/>
        <w:ind w:firstLine="432"/>
        <w:contextualSpacing/>
        <w:jc w:val="both"/>
        <w:rPr>
          <w:rFonts w:ascii="Times New Roman" w:hAnsi="Times New Roman" w:cs="Times New Roman"/>
          <w:sz w:val="24"/>
          <w:szCs w:val="24"/>
        </w:rPr>
      </w:pPr>
      <w:r w:rsidRPr="005B1053">
        <w:rPr>
          <w:rFonts w:ascii="Times New Roman" w:hAnsi="Times New Roman" w:cs="Times New Roman"/>
          <w:sz w:val="24"/>
          <w:szCs w:val="24"/>
        </w:rPr>
        <w:t xml:space="preserve">The rest of the paper is organized as follows. We first briefly describe the </w:t>
      </w:r>
      <w:r>
        <w:rPr>
          <w:rFonts w:ascii="Times New Roman" w:hAnsi="Times New Roman" w:cs="Times New Roman"/>
          <w:sz w:val="24"/>
          <w:szCs w:val="24"/>
        </w:rPr>
        <w:t xml:space="preserve">state of the art of relevant international </w:t>
      </w:r>
      <w:r w:rsidRPr="005B1053">
        <w:rPr>
          <w:rFonts w:ascii="Times New Roman" w:hAnsi="Times New Roman" w:cs="Times New Roman"/>
          <w:sz w:val="24"/>
          <w:szCs w:val="24"/>
        </w:rPr>
        <w:t>VC research. Thereafter, hypotheses are developed on the impact of VC firm origin and its investment structure on the probability to escalate commitment. Next, we outline our research method, including the sample, the measurement of escalation of commitment, variables and method of analysis. This is followed by a presentation of the main findings, including robustness tests. Finally, a discussion of the results from both a theoretical and a practical perspective concludes this paper.</w:t>
      </w:r>
    </w:p>
    <w:p w14:paraId="6B836801" w14:textId="77777777" w:rsidR="00C35C66" w:rsidRDefault="00C35C66" w:rsidP="009E0A45">
      <w:pPr>
        <w:spacing w:after="0" w:line="480" w:lineRule="auto"/>
        <w:ind w:firstLine="432"/>
        <w:jc w:val="center"/>
        <w:rPr>
          <w:rFonts w:ascii="Times New Roman" w:hAnsi="Times New Roman" w:cs="Times New Roman"/>
          <w:b/>
          <w:caps/>
          <w:sz w:val="24"/>
          <w:szCs w:val="24"/>
        </w:rPr>
      </w:pPr>
    </w:p>
    <w:p w14:paraId="2B39DF82" w14:textId="77777777" w:rsidR="00300549" w:rsidRDefault="00300549" w:rsidP="009E0A45">
      <w:pPr>
        <w:spacing w:after="0" w:line="480" w:lineRule="auto"/>
        <w:ind w:firstLine="432"/>
        <w:jc w:val="center"/>
        <w:rPr>
          <w:rFonts w:ascii="Times New Roman" w:hAnsi="Times New Roman" w:cs="Times New Roman"/>
          <w:b/>
          <w:caps/>
          <w:sz w:val="24"/>
          <w:szCs w:val="24"/>
        </w:rPr>
      </w:pPr>
      <w:r>
        <w:rPr>
          <w:rFonts w:ascii="Times New Roman" w:hAnsi="Times New Roman" w:cs="Times New Roman"/>
          <w:b/>
          <w:caps/>
          <w:sz w:val="24"/>
          <w:szCs w:val="24"/>
        </w:rPr>
        <w:t xml:space="preserve">INTERNATIONAL VENTURE CAPITAL </w:t>
      </w:r>
    </w:p>
    <w:p w14:paraId="66403C7D" w14:textId="77777777" w:rsidR="008374E0" w:rsidRDefault="00FF37DB" w:rsidP="00736F81">
      <w:pPr>
        <w:spacing w:after="0" w:line="480" w:lineRule="auto"/>
        <w:ind w:firstLine="432"/>
        <w:contextualSpacing/>
        <w:jc w:val="both"/>
        <w:rPr>
          <w:rFonts w:ascii="Times New Roman" w:hAnsi="Times New Roman" w:cs="Times New Roman"/>
          <w:sz w:val="24"/>
          <w:szCs w:val="24"/>
        </w:rPr>
      </w:pPr>
      <w:r>
        <w:rPr>
          <w:rFonts w:ascii="Times New Roman" w:hAnsi="Times New Roman" w:cs="Times New Roman"/>
          <w:sz w:val="24"/>
          <w:szCs w:val="24"/>
        </w:rPr>
        <w:t>International VC investors are hampered by liabilities of foreignness, driven</w:t>
      </w:r>
      <w:r w:rsidR="008374E0">
        <w:rPr>
          <w:rFonts w:ascii="Times New Roman" w:hAnsi="Times New Roman" w:cs="Times New Roman"/>
          <w:sz w:val="24"/>
          <w:szCs w:val="24"/>
        </w:rPr>
        <w:t xml:space="preserve"> by </w:t>
      </w:r>
      <w:r w:rsidR="00887B31">
        <w:rPr>
          <w:rFonts w:ascii="Times New Roman" w:hAnsi="Times New Roman" w:cs="Times New Roman"/>
          <w:sz w:val="24"/>
          <w:szCs w:val="24"/>
        </w:rPr>
        <w:t xml:space="preserve">increased </w:t>
      </w:r>
      <w:r w:rsidR="008374E0" w:rsidRPr="002447AF">
        <w:rPr>
          <w:rFonts w:ascii="Times New Roman" w:hAnsi="Times New Roman" w:cs="Times New Roman"/>
          <w:sz w:val="24"/>
          <w:szCs w:val="24"/>
        </w:rPr>
        <w:t>geographical, cultural and institutional distance between VC investors</w:t>
      </w:r>
      <w:r w:rsidR="00887B31">
        <w:rPr>
          <w:rFonts w:ascii="Times New Roman" w:hAnsi="Times New Roman" w:cs="Times New Roman"/>
          <w:sz w:val="24"/>
          <w:szCs w:val="24"/>
        </w:rPr>
        <w:t xml:space="preserve"> and their portfolio companies</w:t>
      </w:r>
      <w:r>
        <w:rPr>
          <w:rFonts w:ascii="Times New Roman" w:hAnsi="Times New Roman" w:cs="Times New Roman"/>
          <w:sz w:val="24"/>
          <w:szCs w:val="24"/>
        </w:rPr>
        <w:t xml:space="preserve"> (Wright et al., 2005)</w:t>
      </w:r>
      <w:r w:rsidR="008374E0" w:rsidRPr="002447AF">
        <w:rPr>
          <w:rFonts w:ascii="Times New Roman" w:hAnsi="Times New Roman" w:cs="Times New Roman"/>
          <w:sz w:val="24"/>
          <w:szCs w:val="24"/>
        </w:rPr>
        <w:t>.</w:t>
      </w:r>
      <w:r>
        <w:rPr>
          <w:rFonts w:ascii="Times New Roman" w:hAnsi="Times New Roman" w:cs="Times New Roman"/>
          <w:sz w:val="24"/>
          <w:szCs w:val="24"/>
        </w:rPr>
        <w:t xml:space="preserve"> This gives rise to higher information asymmetries and ensuing agency risk (Wright </w:t>
      </w:r>
      <w:r w:rsidR="002174D5">
        <w:rPr>
          <w:rFonts w:ascii="Times New Roman" w:hAnsi="Times New Roman" w:cs="Times New Roman"/>
          <w:sz w:val="24"/>
          <w:szCs w:val="24"/>
        </w:rPr>
        <w:t>and</w:t>
      </w:r>
      <w:r>
        <w:rPr>
          <w:rFonts w:ascii="Times New Roman" w:hAnsi="Times New Roman" w:cs="Times New Roman"/>
          <w:sz w:val="24"/>
          <w:szCs w:val="24"/>
        </w:rPr>
        <w:t xml:space="preserve"> Robbie, 1998). </w:t>
      </w:r>
      <w:r w:rsidR="00736F81">
        <w:rPr>
          <w:rFonts w:ascii="Times New Roman" w:hAnsi="Times New Roman" w:cs="Times New Roman"/>
          <w:sz w:val="24"/>
          <w:szCs w:val="24"/>
        </w:rPr>
        <w:t>Research has addressed how international VC firms select</w:t>
      </w:r>
      <w:r w:rsidR="000E1855">
        <w:rPr>
          <w:rFonts w:ascii="Times New Roman" w:hAnsi="Times New Roman" w:cs="Times New Roman"/>
          <w:sz w:val="24"/>
          <w:szCs w:val="24"/>
        </w:rPr>
        <w:t>,</w:t>
      </w:r>
      <w:r w:rsidR="00736F81">
        <w:rPr>
          <w:rFonts w:ascii="Times New Roman" w:hAnsi="Times New Roman" w:cs="Times New Roman"/>
          <w:sz w:val="24"/>
          <w:szCs w:val="24"/>
        </w:rPr>
        <w:t xml:space="preserve"> manage and exit </w:t>
      </w:r>
      <w:r w:rsidR="000E1855">
        <w:rPr>
          <w:rFonts w:ascii="Times New Roman" w:hAnsi="Times New Roman" w:cs="Times New Roman"/>
          <w:sz w:val="24"/>
          <w:szCs w:val="24"/>
        </w:rPr>
        <w:t>their targets</w:t>
      </w:r>
      <w:r w:rsidR="00736F81">
        <w:rPr>
          <w:rFonts w:ascii="Times New Roman" w:hAnsi="Times New Roman" w:cs="Times New Roman"/>
          <w:sz w:val="24"/>
          <w:szCs w:val="24"/>
        </w:rPr>
        <w:t xml:space="preserve">. </w:t>
      </w:r>
      <w:r w:rsidR="00ED4F7F" w:rsidRPr="002447AF">
        <w:rPr>
          <w:rFonts w:ascii="Times New Roman" w:hAnsi="Times New Roman" w:cs="Times New Roman"/>
          <w:sz w:val="24"/>
          <w:szCs w:val="24"/>
          <w:lang w:bidi="en-US"/>
        </w:rPr>
        <w:t>Foreign VC firms are more likely to invest in more information-</w:t>
      </w:r>
      <w:r w:rsidR="00ED4F7F" w:rsidRPr="002447AF">
        <w:rPr>
          <w:rFonts w:ascii="Times New Roman" w:hAnsi="Times New Roman" w:cs="Times New Roman"/>
          <w:sz w:val="24"/>
          <w:szCs w:val="24"/>
          <w:lang w:bidi="en-US"/>
        </w:rPr>
        <w:lastRenderedPageBreak/>
        <w:t xml:space="preserve">transparent </w:t>
      </w:r>
      <w:r w:rsidR="00ED4F7F">
        <w:rPr>
          <w:rFonts w:ascii="Times New Roman" w:hAnsi="Times New Roman" w:cs="Times New Roman"/>
          <w:sz w:val="24"/>
          <w:szCs w:val="24"/>
          <w:lang w:bidi="en-US"/>
        </w:rPr>
        <w:t>companies</w:t>
      </w:r>
      <w:r w:rsidR="00ED4F7F" w:rsidRPr="002447AF">
        <w:rPr>
          <w:rFonts w:ascii="Times New Roman" w:hAnsi="Times New Roman" w:cs="Times New Roman"/>
          <w:sz w:val="24"/>
          <w:szCs w:val="24"/>
          <w:lang w:bidi="en-US"/>
        </w:rPr>
        <w:t xml:space="preserve">, i.e. in a later stage, a later round or in larger deals </w:t>
      </w:r>
      <w:r w:rsidR="00ED4F7F" w:rsidRPr="002447AF">
        <w:rPr>
          <w:rFonts w:ascii="Times New Roman" w:hAnsi="Times New Roman" w:cs="Times New Roman"/>
          <w:sz w:val="24"/>
          <w:szCs w:val="24"/>
        </w:rPr>
        <w:t>(Chemmanur</w:t>
      </w:r>
      <w:r w:rsidR="000671F7">
        <w:rPr>
          <w:rFonts w:ascii="Times New Roman" w:hAnsi="Times New Roman" w:cs="Times New Roman"/>
          <w:sz w:val="24"/>
          <w:szCs w:val="24"/>
        </w:rPr>
        <w:t>, Hull and Krishnan,</w:t>
      </w:r>
      <w:r w:rsidR="00ED4F7F" w:rsidRPr="002447AF">
        <w:rPr>
          <w:rFonts w:ascii="Times New Roman" w:hAnsi="Times New Roman" w:cs="Times New Roman"/>
          <w:sz w:val="24"/>
          <w:szCs w:val="24"/>
        </w:rPr>
        <w:t xml:space="preserve"> 2012; </w:t>
      </w:r>
      <w:r w:rsidR="00ED4F7F" w:rsidRPr="002447AF">
        <w:rPr>
          <w:rFonts w:ascii="Times New Roman" w:hAnsi="Times New Roman" w:cs="Times New Roman"/>
          <w:sz w:val="24"/>
          <w:szCs w:val="24"/>
          <w:lang w:bidi="en-US"/>
        </w:rPr>
        <w:t>Dai et al.</w:t>
      </w:r>
      <w:r w:rsidR="000F75BB">
        <w:rPr>
          <w:rFonts w:ascii="Times New Roman" w:hAnsi="Times New Roman" w:cs="Times New Roman"/>
          <w:sz w:val="24"/>
          <w:szCs w:val="24"/>
          <w:lang w:bidi="en-US"/>
        </w:rPr>
        <w:t>,</w:t>
      </w:r>
      <w:r w:rsidR="00ED4F7F" w:rsidRPr="002447AF">
        <w:rPr>
          <w:rFonts w:ascii="Times New Roman" w:hAnsi="Times New Roman" w:cs="Times New Roman"/>
          <w:sz w:val="24"/>
          <w:szCs w:val="24"/>
          <w:lang w:bidi="en-US"/>
        </w:rPr>
        <w:t xml:space="preserve"> 2012; Schertler and Tykvová</w:t>
      </w:r>
      <w:r w:rsidR="000F75BB">
        <w:rPr>
          <w:rFonts w:ascii="Times New Roman" w:hAnsi="Times New Roman" w:cs="Times New Roman"/>
          <w:sz w:val="24"/>
          <w:szCs w:val="24"/>
          <w:lang w:bidi="en-US"/>
        </w:rPr>
        <w:t>,</w:t>
      </w:r>
      <w:r w:rsidR="00ED4F7F" w:rsidRPr="002447AF">
        <w:rPr>
          <w:rFonts w:ascii="Times New Roman" w:hAnsi="Times New Roman" w:cs="Times New Roman"/>
          <w:sz w:val="24"/>
          <w:szCs w:val="24"/>
          <w:lang w:bidi="en-US"/>
        </w:rPr>
        <w:t xml:space="preserve"> 2011).</w:t>
      </w:r>
      <w:r w:rsidR="00ED4F7F">
        <w:rPr>
          <w:rFonts w:ascii="Times New Roman" w:hAnsi="Times New Roman" w:cs="Times New Roman"/>
          <w:sz w:val="24"/>
          <w:szCs w:val="24"/>
          <w:lang w:bidi="en-US"/>
        </w:rPr>
        <w:t xml:space="preserve"> </w:t>
      </w:r>
      <w:r w:rsidR="00736F81">
        <w:rPr>
          <w:rFonts w:ascii="Times New Roman" w:hAnsi="Times New Roman" w:cs="Times New Roman"/>
          <w:sz w:val="24"/>
          <w:szCs w:val="24"/>
          <w:lang w:bidi="en-US"/>
        </w:rPr>
        <w:t>They prefer to act as non-</w:t>
      </w:r>
      <w:r w:rsidRPr="002447AF">
        <w:rPr>
          <w:rFonts w:ascii="Times New Roman" w:hAnsi="Times New Roman" w:cs="Times New Roman"/>
          <w:sz w:val="24"/>
          <w:szCs w:val="24"/>
          <w:lang w:bidi="en-US"/>
        </w:rPr>
        <w:t xml:space="preserve">lead investors, which </w:t>
      </w:r>
      <w:r w:rsidR="00965BDE">
        <w:rPr>
          <w:rFonts w:ascii="Times New Roman" w:hAnsi="Times New Roman" w:cs="Times New Roman"/>
          <w:sz w:val="24"/>
          <w:szCs w:val="24"/>
          <w:lang w:bidi="en-US"/>
        </w:rPr>
        <w:t>involves</w:t>
      </w:r>
      <w:r w:rsidRPr="002447AF">
        <w:rPr>
          <w:rFonts w:ascii="Times New Roman" w:hAnsi="Times New Roman" w:cs="Times New Roman"/>
          <w:sz w:val="24"/>
          <w:szCs w:val="24"/>
          <w:lang w:bidi="en-US"/>
        </w:rPr>
        <w:t xml:space="preserve"> </w:t>
      </w:r>
      <w:r w:rsidR="00736F81">
        <w:rPr>
          <w:rFonts w:ascii="Times New Roman" w:hAnsi="Times New Roman" w:cs="Times New Roman"/>
          <w:sz w:val="24"/>
          <w:szCs w:val="24"/>
          <w:lang w:bidi="en-US"/>
        </w:rPr>
        <w:t>lower</w:t>
      </w:r>
      <w:r w:rsidRPr="002447AF">
        <w:rPr>
          <w:rFonts w:ascii="Times New Roman" w:hAnsi="Times New Roman" w:cs="Times New Roman"/>
          <w:sz w:val="24"/>
          <w:szCs w:val="24"/>
          <w:lang w:bidi="en-US"/>
        </w:rPr>
        <w:t xml:space="preserve"> resource co</w:t>
      </w:r>
      <w:r w:rsidR="00736F81">
        <w:rPr>
          <w:rFonts w:ascii="Times New Roman" w:hAnsi="Times New Roman" w:cs="Times New Roman"/>
          <w:sz w:val="24"/>
          <w:szCs w:val="24"/>
          <w:lang w:bidi="en-US"/>
        </w:rPr>
        <w:t xml:space="preserve">nsumption from the VC investor </w:t>
      </w:r>
      <w:r w:rsidR="00736F81" w:rsidRPr="002447AF">
        <w:rPr>
          <w:rFonts w:ascii="Times New Roman" w:hAnsi="Times New Roman" w:cs="Times New Roman"/>
          <w:sz w:val="24"/>
          <w:szCs w:val="24"/>
          <w:lang w:bidi="en-US"/>
        </w:rPr>
        <w:t>(Cumming and Dai</w:t>
      </w:r>
      <w:r w:rsidR="000F75BB">
        <w:rPr>
          <w:rFonts w:ascii="Times New Roman" w:hAnsi="Times New Roman" w:cs="Times New Roman"/>
          <w:sz w:val="24"/>
          <w:szCs w:val="24"/>
          <w:lang w:bidi="en-US"/>
        </w:rPr>
        <w:t>,</w:t>
      </w:r>
      <w:r w:rsidR="00736F81" w:rsidRPr="002447AF">
        <w:rPr>
          <w:rFonts w:ascii="Times New Roman" w:hAnsi="Times New Roman" w:cs="Times New Roman"/>
          <w:sz w:val="24"/>
          <w:szCs w:val="24"/>
          <w:lang w:bidi="en-US"/>
        </w:rPr>
        <w:t xml:space="preserve"> 2010; Gupta and Sapienza</w:t>
      </w:r>
      <w:r w:rsidR="000F75BB">
        <w:rPr>
          <w:rFonts w:ascii="Times New Roman" w:hAnsi="Times New Roman" w:cs="Times New Roman"/>
          <w:sz w:val="24"/>
          <w:szCs w:val="24"/>
          <w:lang w:bidi="en-US"/>
        </w:rPr>
        <w:t>,</w:t>
      </w:r>
      <w:r w:rsidR="00736F81" w:rsidRPr="002447AF">
        <w:rPr>
          <w:rFonts w:ascii="Times New Roman" w:hAnsi="Times New Roman" w:cs="Times New Roman"/>
          <w:sz w:val="24"/>
          <w:szCs w:val="24"/>
          <w:lang w:bidi="en-US"/>
        </w:rPr>
        <w:t xml:space="preserve"> 1992)</w:t>
      </w:r>
      <w:r w:rsidRPr="002447AF">
        <w:rPr>
          <w:rFonts w:ascii="Times New Roman" w:hAnsi="Times New Roman" w:cs="Times New Roman"/>
          <w:sz w:val="24"/>
          <w:szCs w:val="24"/>
          <w:lang w:bidi="en-US"/>
        </w:rPr>
        <w:t>. Corporate VC firms and more reputable VC firms – i.e. older, larger, more experienced and with stronger IPO track record – exhibit broader geographic scope (Cumming and Dai</w:t>
      </w:r>
      <w:r w:rsidR="000F75BB">
        <w:rPr>
          <w:rFonts w:ascii="Times New Roman" w:hAnsi="Times New Roman" w:cs="Times New Roman"/>
          <w:sz w:val="24"/>
          <w:szCs w:val="24"/>
          <w:lang w:bidi="en-US"/>
        </w:rPr>
        <w:t>,</w:t>
      </w:r>
      <w:r w:rsidRPr="002447AF">
        <w:rPr>
          <w:rFonts w:ascii="Times New Roman" w:hAnsi="Times New Roman" w:cs="Times New Roman"/>
          <w:sz w:val="24"/>
          <w:szCs w:val="24"/>
          <w:lang w:bidi="en-US"/>
        </w:rPr>
        <w:t xml:space="preserve"> 2010; Gupta and Sapienza</w:t>
      </w:r>
      <w:r w:rsidR="000F75BB">
        <w:rPr>
          <w:rFonts w:ascii="Times New Roman" w:hAnsi="Times New Roman" w:cs="Times New Roman"/>
          <w:sz w:val="24"/>
          <w:szCs w:val="24"/>
          <w:lang w:bidi="en-US"/>
        </w:rPr>
        <w:t>,</w:t>
      </w:r>
      <w:r w:rsidRPr="002447AF">
        <w:rPr>
          <w:rFonts w:ascii="Times New Roman" w:hAnsi="Times New Roman" w:cs="Times New Roman"/>
          <w:sz w:val="24"/>
          <w:szCs w:val="24"/>
          <w:lang w:bidi="en-US"/>
        </w:rPr>
        <w:t xml:space="preserve"> 1992)</w:t>
      </w:r>
      <w:r w:rsidR="00325850">
        <w:rPr>
          <w:rFonts w:ascii="Times New Roman" w:hAnsi="Times New Roman" w:cs="Times New Roman"/>
          <w:sz w:val="24"/>
          <w:szCs w:val="24"/>
          <w:lang w:bidi="en-US"/>
        </w:rPr>
        <w:t>, th</w:t>
      </w:r>
      <w:r w:rsidR="00DE6AC7">
        <w:rPr>
          <w:rFonts w:ascii="Times New Roman" w:hAnsi="Times New Roman" w:cs="Times New Roman"/>
          <w:sz w:val="24"/>
          <w:szCs w:val="24"/>
          <w:lang w:bidi="en-US"/>
        </w:rPr>
        <w:t>us</w:t>
      </w:r>
      <w:r w:rsidR="00325850">
        <w:rPr>
          <w:rFonts w:ascii="Times New Roman" w:hAnsi="Times New Roman" w:cs="Times New Roman"/>
          <w:sz w:val="24"/>
          <w:szCs w:val="24"/>
          <w:lang w:bidi="en-US"/>
        </w:rPr>
        <w:t xml:space="preserve"> leveraging their reputation in a broader geographic area</w:t>
      </w:r>
      <w:r w:rsidRPr="002447AF">
        <w:rPr>
          <w:rFonts w:ascii="Times New Roman" w:hAnsi="Times New Roman" w:cs="Times New Roman"/>
          <w:sz w:val="24"/>
          <w:szCs w:val="24"/>
          <w:lang w:bidi="en-US"/>
        </w:rPr>
        <w:t>.</w:t>
      </w:r>
      <w:r w:rsidRPr="002447AF">
        <w:rPr>
          <w:rFonts w:ascii="Times New Roman" w:hAnsi="Times New Roman" w:cs="Times New Roman"/>
          <w:sz w:val="24"/>
          <w:szCs w:val="24"/>
        </w:rPr>
        <w:t xml:space="preserve"> </w:t>
      </w:r>
    </w:p>
    <w:p w14:paraId="495D8570" w14:textId="77777777" w:rsidR="00EF323A" w:rsidRDefault="00341339" w:rsidP="00DF67FB">
      <w:pPr>
        <w:spacing w:after="0" w:line="480" w:lineRule="auto"/>
        <w:ind w:firstLine="432"/>
        <w:contextualSpacing/>
        <w:jc w:val="both"/>
        <w:rPr>
          <w:rFonts w:ascii="Times New Roman" w:hAnsi="Times New Roman" w:cs="Times New Roman"/>
          <w:sz w:val="24"/>
          <w:szCs w:val="24"/>
        </w:rPr>
      </w:pPr>
      <w:r>
        <w:rPr>
          <w:rFonts w:ascii="Times New Roman" w:hAnsi="Times New Roman" w:cs="Times New Roman"/>
          <w:sz w:val="24"/>
          <w:szCs w:val="24"/>
          <w:lang w:bidi="en-US"/>
        </w:rPr>
        <w:t>Further</w:t>
      </w:r>
      <w:r w:rsidR="00EF323A">
        <w:rPr>
          <w:rFonts w:ascii="Times New Roman" w:hAnsi="Times New Roman" w:cs="Times New Roman"/>
          <w:sz w:val="24"/>
          <w:szCs w:val="24"/>
          <w:lang w:bidi="en-US"/>
        </w:rPr>
        <w:t>, a VC firm’s</w:t>
      </w:r>
      <w:r w:rsidR="00EF323A" w:rsidRPr="002447AF">
        <w:rPr>
          <w:rFonts w:ascii="Times New Roman" w:hAnsi="Times New Roman" w:cs="Times New Roman"/>
          <w:sz w:val="24"/>
          <w:szCs w:val="24"/>
          <w:lang w:bidi="en-US"/>
        </w:rPr>
        <w:t xml:space="preserve"> </w:t>
      </w:r>
      <w:r w:rsidR="008715B9">
        <w:rPr>
          <w:rFonts w:ascii="Times New Roman" w:hAnsi="Times New Roman" w:cs="Times New Roman"/>
          <w:sz w:val="24"/>
          <w:szCs w:val="24"/>
          <w:lang w:bidi="en-US"/>
        </w:rPr>
        <w:t xml:space="preserve">human and </w:t>
      </w:r>
      <w:r w:rsidR="00EF323A">
        <w:rPr>
          <w:rFonts w:ascii="Times New Roman" w:hAnsi="Times New Roman" w:cs="Times New Roman"/>
          <w:sz w:val="24"/>
          <w:szCs w:val="24"/>
          <w:lang w:bidi="en-US"/>
        </w:rPr>
        <w:t>social capital</w:t>
      </w:r>
      <w:r w:rsidR="00EF323A" w:rsidRPr="002447AF">
        <w:rPr>
          <w:rFonts w:ascii="Times New Roman" w:hAnsi="Times New Roman" w:cs="Times New Roman"/>
          <w:sz w:val="24"/>
          <w:szCs w:val="24"/>
          <w:lang w:bidi="en-US"/>
        </w:rPr>
        <w:t xml:space="preserve"> </w:t>
      </w:r>
      <w:r w:rsidR="00EF323A">
        <w:rPr>
          <w:rFonts w:ascii="Times New Roman" w:hAnsi="Times New Roman" w:cs="Times New Roman"/>
          <w:sz w:val="24"/>
          <w:szCs w:val="24"/>
          <w:lang w:bidi="en-US"/>
        </w:rPr>
        <w:t xml:space="preserve">also </w:t>
      </w:r>
      <w:r w:rsidR="00786B04">
        <w:rPr>
          <w:rFonts w:ascii="Times New Roman" w:hAnsi="Times New Roman" w:cs="Times New Roman"/>
          <w:sz w:val="24"/>
          <w:szCs w:val="24"/>
          <w:lang w:bidi="en-US"/>
        </w:rPr>
        <w:t xml:space="preserve">has </w:t>
      </w:r>
      <w:r w:rsidR="00EF323A" w:rsidRPr="002447AF">
        <w:rPr>
          <w:rFonts w:ascii="Times New Roman" w:hAnsi="Times New Roman" w:cs="Times New Roman"/>
          <w:sz w:val="24"/>
          <w:szCs w:val="24"/>
          <w:lang w:bidi="en-US"/>
        </w:rPr>
        <w:t>a major impact on its probability to invest internationally (Cumming and Dai</w:t>
      </w:r>
      <w:r w:rsidR="000F75BB">
        <w:rPr>
          <w:rFonts w:ascii="Times New Roman" w:hAnsi="Times New Roman" w:cs="Times New Roman"/>
          <w:sz w:val="24"/>
          <w:szCs w:val="24"/>
          <w:lang w:bidi="en-US"/>
        </w:rPr>
        <w:t>,</w:t>
      </w:r>
      <w:r w:rsidR="00EF323A" w:rsidRPr="002447AF">
        <w:rPr>
          <w:rFonts w:ascii="Times New Roman" w:hAnsi="Times New Roman" w:cs="Times New Roman"/>
          <w:sz w:val="24"/>
          <w:szCs w:val="24"/>
          <w:lang w:bidi="en-US"/>
        </w:rPr>
        <w:t xml:space="preserve"> 2010; Sorenson and Stuart</w:t>
      </w:r>
      <w:r w:rsidR="000F75BB">
        <w:rPr>
          <w:rFonts w:ascii="Times New Roman" w:hAnsi="Times New Roman" w:cs="Times New Roman"/>
          <w:sz w:val="24"/>
          <w:szCs w:val="24"/>
          <w:lang w:bidi="en-US"/>
        </w:rPr>
        <w:t>,</w:t>
      </w:r>
      <w:r w:rsidR="00EF323A" w:rsidRPr="002447AF">
        <w:rPr>
          <w:rFonts w:ascii="Times New Roman" w:hAnsi="Times New Roman" w:cs="Times New Roman"/>
          <w:sz w:val="24"/>
          <w:szCs w:val="24"/>
          <w:lang w:bidi="en-US"/>
        </w:rPr>
        <w:t xml:space="preserve"> 2001). </w:t>
      </w:r>
      <w:r w:rsidR="008715B9" w:rsidRPr="002447AF">
        <w:rPr>
          <w:rFonts w:ascii="Times New Roman" w:hAnsi="Times New Roman" w:cs="Times New Roman"/>
          <w:sz w:val="24"/>
          <w:szCs w:val="24"/>
          <w:lang w:bidi="en-US"/>
        </w:rPr>
        <w:t xml:space="preserve">VC firms with more </w:t>
      </w:r>
      <w:r w:rsidR="008715B9">
        <w:rPr>
          <w:rFonts w:ascii="Times New Roman" w:hAnsi="Times New Roman" w:cs="Times New Roman"/>
          <w:sz w:val="24"/>
          <w:szCs w:val="24"/>
          <w:lang w:bidi="en-US"/>
        </w:rPr>
        <w:t xml:space="preserve">managers with </w:t>
      </w:r>
      <w:r w:rsidR="008715B9" w:rsidRPr="002447AF">
        <w:rPr>
          <w:rFonts w:ascii="Times New Roman" w:hAnsi="Times New Roman" w:cs="Times New Roman"/>
          <w:sz w:val="24"/>
          <w:szCs w:val="24"/>
          <w:lang w:bidi="en-US"/>
        </w:rPr>
        <w:t>foreign experience invest more intensively abroad (</w:t>
      </w:r>
      <w:r w:rsidR="00FF0839">
        <w:rPr>
          <w:rFonts w:ascii="Times New Roman" w:hAnsi="Times New Roman" w:cs="Times New Roman"/>
          <w:sz w:val="24"/>
          <w:szCs w:val="24"/>
          <w:lang w:bidi="en-US"/>
        </w:rPr>
        <w:t xml:space="preserve">De Prijcker, Manigart, Wright et al., 2012; </w:t>
      </w:r>
      <w:r w:rsidR="008715B9" w:rsidRPr="002447AF">
        <w:rPr>
          <w:rFonts w:ascii="Times New Roman" w:hAnsi="Times New Roman" w:cs="Times New Roman"/>
          <w:sz w:val="24"/>
          <w:szCs w:val="24"/>
          <w:lang w:bidi="en-US"/>
        </w:rPr>
        <w:t>Schertler and Tykvová</w:t>
      </w:r>
      <w:r w:rsidR="000F75BB">
        <w:rPr>
          <w:rFonts w:ascii="Times New Roman" w:hAnsi="Times New Roman" w:cs="Times New Roman"/>
          <w:sz w:val="24"/>
          <w:szCs w:val="24"/>
          <w:lang w:bidi="en-US"/>
        </w:rPr>
        <w:t>,</w:t>
      </w:r>
      <w:r w:rsidR="008715B9" w:rsidRPr="002447AF">
        <w:rPr>
          <w:rFonts w:ascii="Times New Roman" w:hAnsi="Times New Roman" w:cs="Times New Roman"/>
          <w:sz w:val="24"/>
          <w:szCs w:val="24"/>
          <w:lang w:bidi="en-US"/>
        </w:rPr>
        <w:t xml:space="preserve"> 2011) since they are more familiar with the institutional and legal environment in foreign countries and have better access to international networks.</w:t>
      </w:r>
      <w:r w:rsidR="008715B9">
        <w:rPr>
          <w:rFonts w:ascii="Times New Roman" w:hAnsi="Times New Roman" w:cs="Times New Roman"/>
          <w:sz w:val="24"/>
          <w:szCs w:val="24"/>
          <w:lang w:bidi="en-US"/>
        </w:rPr>
        <w:t xml:space="preserve"> </w:t>
      </w:r>
      <w:r w:rsidR="001B0204" w:rsidRPr="008B6A1E">
        <w:rPr>
          <w:rFonts w:ascii="Times New Roman" w:hAnsi="Times New Roman" w:cs="Times New Roman"/>
          <w:sz w:val="24"/>
          <w:szCs w:val="24"/>
          <w:lang w:bidi="en-US"/>
        </w:rPr>
        <w:t xml:space="preserve">VC firms’ domestic social status </w:t>
      </w:r>
      <w:r w:rsidR="001B0204">
        <w:rPr>
          <w:rFonts w:ascii="Times New Roman" w:hAnsi="Times New Roman" w:cs="Times New Roman"/>
          <w:sz w:val="24"/>
          <w:szCs w:val="24"/>
          <w:lang w:bidi="en-US"/>
        </w:rPr>
        <w:t>is</w:t>
      </w:r>
      <w:r w:rsidR="001B0204" w:rsidRPr="008B6A1E">
        <w:rPr>
          <w:rFonts w:ascii="Times New Roman" w:hAnsi="Times New Roman" w:cs="Times New Roman"/>
          <w:sz w:val="24"/>
          <w:szCs w:val="24"/>
          <w:lang w:bidi="en-US"/>
        </w:rPr>
        <w:t xml:space="preserve"> transferable </w:t>
      </w:r>
      <w:r w:rsidR="001B0204">
        <w:rPr>
          <w:rFonts w:ascii="Times New Roman" w:hAnsi="Times New Roman" w:cs="Times New Roman"/>
          <w:sz w:val="24"/>
          <w:szCs w:val="24"/>
          <w:lang w:bidi="en-US"/>
        </w:rPr>
        <w:t>between countries</w:t>
      </w:r>
      <w:r w:rsidR="001B0204" w:rsidRPr="008B6A1E">
        <w:rPr>
          <w:rFonts w:ascii="Times New Roman" w:hAnsi="Times New Roman" w:cs="Times New Roman"/>
          <w:sz w:val="24"/>
          <w:szCs w:val="24"/>
          <w:lang w:bidi="en-US"/>
        </w:rPr>
        <w:t xml:space="preserve"> (</w:t>
      </w:r>
      <w:r w:rsidR="001B0204" w:rsidRPr="008B6A1E">
        <w:rPr>
          <w:rFonts w:ascii="Times New Roman" w:hAnsi="Times New Roman" w:cs="Times New Roman"/>
          <w:sz w:val="24"/>
          <w:szCs w:val="24"/>
        </w:rPr>
        <w:t>Guler</w:t>
      </w:r>
      <w:r w:rsidR="001B0204">
        <w:rPr>
          <w:rFonts w:ascii="Times New Roman" w:hAnsi="Times New Roman" w:cs="Times New Roman"/>
          <w:sz w:val="24"/>
          <w:szCs w:val="24"/>
          <w:lang w:bidi="en-US"/>
        </w:rPr>
        <w:t xml:space="preserve"> and Guillén</w:t>
      </w:r>
      <w:r w:rsidR="000F75BB">
        <w:rPr>
          <w:rFonts w:ascii="Times New Roman" w:hAnsi="Times New Roman" w:cs="Times New Roman"/>
          <w:sz w:val="24"/>
          <w:szCs w:val="24"/>
          <w:lang w:bidi="en-US"/>
        </w:rPr>
        <w:t>,</w:t>
      </w:r>
      <w:r w:rsidR="001B0204">
        <w:rPr>
          <w:rFonts w:ascii="Times New Roman" w:hAnsi="Times New Roman" w:cs="Times New Roman"/>
          <w:sz w:val="24"/>
          <w:szCs w:val="24"/>
          <w:lang w:bidi="en-US"/>
        </w:rPr>
        <w:t xml:space="preserve"> 2010</w:t>
      </w:r>
      <w:r w:rsidR="001B0204" w:rsidRPr="008B6A1E">
        <w:rPr>
          <w:rFonts w:ascii="Times New Roman" w:hAnsi="Times New Roman" w:cs="Times New Roman"/>
          <w:sz w:val="24"/>
          <w:szCs w:val="24"/>
          <w:lang w:bidi="en-US"/>
        </w:rPr>
        <w:t xml:space="preserve">), leading to higher </w:t>
      </w:r>
      <w:r w:rsidR="001B0204">
        <w:rPr>
          <w:rFonts w:ascii="Times New Roman" w:hAnsi="Times New Roman" w:cs="Times New Roman"/>
          <w:sz w:val="24"/>
          <w:szCs w:val="24"/>
          <w:lang w:bidi="en-US"/>
        </w:rPr>
        <w:t xml:space="preserve">international </w:t>
      </w:r>
      <w:r w:rsidR="001B0204" w:rsidRPr="008B6A1E">
        <w:rPr>
          <w:rFonts w:ascii="Times New Roman" w:hAnsi="Times New Roman" w:cs="Times New Roman"/>
          <w:sz w:val="24"/>
          <w:szCs w:val="24"/>
          <w:lang w:bidi="en-US"/>
        </w:rPr>
        <w:t xml:space="preserve">deal flow generation </w:t>
      </w:r>
      <w:r w:rsidR="001B0204">
        <w:rPr>
          <w:rFonts w:ascii="Times New Roman" w:hAnsi="Times New Roman" w:cs="Times New Roman"/>
          <w:sz w:val="24"/>
          <w:szCs w:val="24"/>
          <w:lang w:bidi="en-US"/>
        </w:rPr>
        <w:t>for higher status VC firms</w:t>
      </w:r>
      <w:r w:rsidR="001B0204" w:rsidRPr="008B6A1E">
        <w:rPr>
          <w:rFonts w:ascii="Times New Roman" w:hAnsi="Times New Roman" w:cs="Times New Roman"/>
          <w:sz w:val="24"/>
          <w:szCs w:val="24"/>
          <w:lang w:bidi="en-US"/>
        </w:rPr>
        <w:t>.</w:t>
      </w:r>
      <w:r w:rsidR="001B0204">
        <w:rPr>
          <w:rFonts w:ascii="Times New Roman" w:hAnsi="Times New Roman" w:cs="Times New Roman"/>
          <w:sz w:val="24"/>
          <w:szCs w:val="24"/>
        </w:rPr>
        <w:t xml:space="preserve"> </w:t>
      </w:r>
      <w:r w:rsidR="00EF323A" w:rsidRPr="002447AF">
        <w:rPr>
          <w:rFonts w:ascii="Times New Roman" w:hAnsi="Times New Roman" w:cs="Times New Roman"/>
          <w:sz w:val="24"/>
          <w:szCs w:val="24"/>
          <w:lang w:bidi="en-US"/>
        </w:rPr>
        <w:t xml:space="preserve">Social networks in the VC industry - </w:t>
      </w:r>
      <w:r w:rsidR="00EF323A">
        <w:rPr>
          <w:rFonts w:ascii="Times New Roman" w:hAnsi="Times New Roman" w:cs="Times New Roman"/>
          <w:sz w:val="24"/>
          <w:szCs w:val="24"/>
          <w:lang w:bidi="en-US"/>
        </w:rPr>
        <w:t>developed</w:t>
      </w:r>
      <w:r w:rsidR="00EF323A" w:rsidRPr="002447AF">
        <w:rPr>
          <w:rFonts w:ascii="Times New Roman" w:hAnsi="Times New Roman" w:cs="Times New Roman"/>
          <w:sz w:val="24"/>
          <w:szCs w:val="24"/>
          <w:lang w:bidi="en-US"/>
        </w:rPr>
        <w:t xml:space="preserve"> through syndication or joint investments – diffuse information about potential investment opportunities across boundaries</w:t>
      </w:r>
      <w:r w:rsidR="00EF323A">
        <w:rPr>
          <w:rFonts w:ascii="Times New Roman" w:hAnsi="Times New Roman" w:cs="Times New Roman"/>
          <w:sz w:val="24"/>
          <w:szCs w:val="24"/>
          <w:lang w:bidi="en-US"/>
        </w:rPr>
        <w:t>, thereby</w:t>
      </w:r>
      <w:r w:rsidR="00EF323A" w:rsidRPr="002447AF">
        <w:rPr>
          <w:rFonts w:ascii="Times New Roman" w:hAnsi="Times New Roman" w:cs="Times New Roman"/>
          <w:sz w:val="24"/>
          <w:szCs w:val="24"/>
          <w:lang w:bidi="en-US"/>
        </w:rPr>
        <w:t xml:space="preserve"> expanding the spatial investment radius of VC investors (Sorenson and Stuart</w:t>
      </w:r>
      <w:r w:rsidR="000F75BB">
        <w:rPr>
          <w:rFonts w:ascii="Times New Roman" w:hAnsi="Times New Roman" w:cs="Times New Roman"/>
          <w:sz w:val="24"/>
          <w:szCs w:val="24"/>
          <w:lang w:bidi="en-US"/>
        </w:rPr>
        <w:t>,</w:t>
      </w:r>
      <w:r w:rsidR="00EF323A" w:rsidRPr="002447AF">
        <w:rPr>
          <w:rFonts w:ascii="Times New Roman" w:hAnsi="Times New Roman" w:cs="Times New Roman"/>
          <w:sz w:val="24"/>
          <w:szCs w:val="24"/>
          <w:lang w:bidi="en-US"/>
        </w:rPr>
        <w:t xml:space="preserve"> 2001). Better networked VC firms hence exhibit less local bias (Cumming and Dai</w:t>
      </w:r>
      <w:r w:rsidR="000F75BB">
        <w:rPr>
          <w:rFonts w:ascii="Times New Roman" w:hAnsi="Times New Roman" w:cs="Times New Roman"/>
          <w:sz w:val="24"/>
          <w:szCs w:val="24"/>
          <w:lang w:bidi="en-US"/>
        </w:rPr>
        <w:t>,</w:t>
      </w:r>
      <w:r w:rsidR="00EF323A" w:rsidRPr="002447AF">
        <w:rPr>
          <w:rFonts w:ascii="Times New Roman" w:hAnsi="Times New Roman" w:cs="Times New Roman"/>
          <w:sz w:val="24"/>
          <w:szCs w:val="24"/>
          <w:lang w:bidi="en-US"/>
        </w:rPr>
        <w:t xml:space="preserve"> 2010; Sorenson and Stuart</w:t>
      </w:r>
      <w:r w:rsidR="000F75BB">
        <w:rPr>
          <w:rFonts w:ascii="Times New Roman" w:hAnsi="Times New Roman" w:cs="Times New Roman"/>
          <w:sz w:val="24"/>
          <w:szCs w:val="24"/>
          <w:lang w:bidi="en-US"/>
        </w:rPr>
        <w:t>,</w:t>
      </w:r>
      <w:r w:rsidR="00EF323A" w:rsidRPr="002447AF">
        <w:rPr>
          <w:rFonts w:ascii="Times New Roman" w:hAnsi="Times New Roman" w:cs="Times New Roman"/>
          <w:sz w:val="24"/>
          <w:szCs w:val="24"/>
          <w:lang w:bidi="en-US"/>
        </w:rPr>
        <w:t xml:space="preserve"> 2001). </w:t>
      </w:r>
    </w:p>
    <w:p w14:paraId="23D50776" w14:textId="77777777" w:rsidR="00420151" w:rsidRDefault="0005346A" w:rsidP="00420151">
      <w:pPr>
        <w:spacing w:after="0" w:line="480" w:lineRule="auto"/>
        <w:ind w:firstLine="432"/>
        <w:contextualSpacing/>
        <w:jc w:val="both"/>
        <w:rPr>
          <w:rFonts w:ascii="Times New Roman" w:hAnsi="Times New Roman" w:cs="Times New Roman"/>
          <w:sz w:val="24"/>
          <w:szCs w:val="24"/>
          <w:lang w:bidi="en-US"/>
        </w:rPr>
      </w:pPr>
      <w:r>
        <w:rPr>
          <w:rFonts w:ascii="Times New Roman" w:hAnsi="Times New Roman" w:cs="Times New Roman"/>
          <w:sz w:val="24"/>
          <w:szCs w:val="24"/>
          <w:lang w:bidi="en-US"/>
        </w:rPr>
        <w:t>A frequently used strategy t</w:t>
      </w:r>
      <w:r w:rsidRPr="002447AF">
        <w:rPr>
          <w:rFonts w:ascii="Times New Roman" w:hAnsi="Times New Roman" w:cs="Times New Roman"/>
          <w:sz w:val="24"/>
          <w:szCs w:val="24"/>
          <w:lang w:bidi="en-US"/>
        </w:rPr>
        <w:t xml:space="preserve">o address </w:t>
      </w:r>
      <w:r w:rsidR="00DD18CF">
        <w:rPr>
          <w:rFonts w:ascii="Times New Roman" w:hAnsi="Times New Roman" w:cs="Times New Roman"/>
          <w:sz w:val="24"/>
          <w:szCs w:val="24"/>
          <w:lang w:bidi="en-US"/>
        </w:rPr>
        <w:t>liabilities of foreignness</w:t>
      </w:r>
      <w:r>
        <w:rPr>
          <w:rFonts w:ascii="Times New Roman" w:hAnsi="Times New Roman" w:cs="Times New Roman"/>
          <w:sz w:val="24"/>
          <w:szCs w:val="24"/>
          <w:lang w:bidi="en-US"/>
        </w:rPr>
        <w:t xml:space="preserve"> is to syndicate </w:t>
      </w:r>
      <w:r w:rsidRPr="002447AF">
        <w:rPr>
          <w:rFonts w:ascii="Times New Roman" w:hAnsi="Times New Roman" w:cs="Times New Roman"/>
          <w:sz w:val="24"/>
          <w:szCs w:val="24"/>
          <w:lang w:bidi="en-US"/>
        </w:rPr>
        <w:t xml:space="preserve">with </w:t>
      </w:r>
      <w:r>
        <w:rPr>
          <w:rFonts w:ascii="Times New Roman" w:hAnsi="Times New Roman" w:cs="Times New Roman"/>
          <w:sz w:val="24"/>
          <w:szCs w:val="24"/>
          <w:lang w:bidi="en-US"/>
        </w:rPr>
        <w:t xml:space="preserve">a local VC firm </w:t>
      </w:r>
      <w:r w:rsidRPr="002447AF">
        <w:rPr>
          <w:rFonts w:ascii="Times New Roman" w:hAnsi="Times New Roman" w:cs="Times New Roman"/>
          <w:sz w:val="24"/>
          <w:szCs w:val="24"/>
        </w:rPr>
        <w:t>as this allows outsourc</w:t>
      </w:r>
      <w:r w:rsidR="00764F76">
        <w:rPr>
          <w:rFonts w:ascii="Times New Roman" w:hAnsi="Times New Roman" w:cs="Times New Roman"/>
          <w:sz w:val="24"/>
          <w:szCs w:val="24"/>
        </w:rPr>
        <w:t>ing of</w:t>
      </w:r>
      <w:r w:rsidRPr="002447AF">
        <w:rPr>
          <w:rFonts w:ascii="Times New Roman" w:hAnsi="Times New Roman" w:cs="Times New Roman"/>
          <w:sz w:val="24"/>
          <w:szCs w:val="24"/>
        </w:rPr>
        <w:t xml:space="preserve"> monitoring and value adding functions to local co-investors who are not hindered by geographical, cultural or institutional distance (Mäkelä and Maula</w:t>
      </w:r>
      <w:r w:rsidR="000F75BB">
        <w:rPr>
          <w:rFonts w:ascii="Times New Roman" w:hAnsi="Times New Roman" w:cs="Times New Roman"/>
          <w:sz w:val="24"/>
          <w:szCs w:val="24"/>
        </w:rPr>
        <w:t>,</w:t>
      </w:r>
      <w:r w:rsidRPr="002447AF">
        <w:rPr>
          <w:rFonts w:ascii="Times New Roman" w:hAnsi="Times New Roman" w:cs="Times New Roman"/>
          <w:sz w:val="24"/>
          <w:szCs w:val="24"/>
        </w:rPr>
        <w:t xml:space="preserve"> 2008; Chemmanur et al.</w:t>
      </w:r>
      <w:r w:rsidR="000F75BB">
        <w:rPr>
          <w:rFonts w:ascii="Times New Roman" w:hAnsi="Times New Roman" w:cs="Times New Roman"/>
          <w:sz w:val="24"/>
          <w:szCs w:val="24"/>
        </w:rPr>
        <w:t>,</w:t>
      </w:r>
      <w:r w:rsidRPr="002447AF">
        <w:rPr>
          <w:rFonts w:ascii="Times New Roman" w:hAnsi="Times New Roman" w:cs="Times New Roman"/>
          <w:sz w:val="24"/>
          <w:szCs w:val="24"/>
        </w:rPr>
        <w:t xml:space="preserve"> 2012)</w:t>
      </w:r>
      <w:r w:rsidRPr="002447AF">
        <w:rPr>
          <w:rFonts w:ascii="Times New Roman" w:hAnsi="Times New Roman" w:cs="Times New Roman"/>
          <w:sz w:val="24"/>
          <w:szCs w:val="24"/>
          <w:lang w:bidi="en-US"/>
        </w:rPr>
        <w:t xml:space="preserve">. </w:t>
      </w:r>
      <w:r w:rsidRPr="002447AF">
        <w:rPr>
          <w:rFonts w:ascii="Times New Roman" w:hAnsi="Times New Roman" w:cs="Times New Roman"/>
          <w:sz w:val="24"/>
          <w:szCs w:val="24"/>
        </w:rPr>
        <w:t xml:space="preserve">Additionally, a syndicate comprising both local and international VC investors provides a broader skill set, experience and networks which may generate additional </w:t>
      </w:r>
      <w:r w:rsidRPr="002447AF">
        <w:rPr>
          <w:rFonts w:ascii="Times New Roman" w:hAnsi="Times New Roman" w:cs="Times New Roman"/>
          <w:sz w:val="24"/>
          <w:szCs w:val="24"/>
        </w:rPr>
        <w:lastRenderedPageBreak/>
        <w:t xml:space="preserve">value to </w:t>
      </w:r>
      <w:r w:rsidR="00DD18CF">
        <w:rPr>
          <w:rFonts w:ascii="Times New Roman" w:hAnsi="Times New Roman" w:cs="Times New Roman"/>
          <w:sz w:val="24"/>
          <w:szCs w:val="24"/>
        </w:rPr>
        <w:t>portfolio companies</w:t>
      </w:r>
      <w:r w:rsidRPr="002447AF">
        <w:rPr>
          <w:rFonts w:ascii="Times New Roman" w:hAnsi="Times New Roman" w:cs="Times New Roman"/>
          <w:sz w:val="24"/>
          <w:szCs w:val="24"/>
        </w:rPr>
        <w:t xml:space="preserve"> (Schertler and Tykvová</w:t>
      </w:r>
      <w:r w:rsidR="000F75BB">
        <w:rPr>
          <w:rFonts w:ascii="Times New Roman" w:hAnsi="Times New Roman" w:cs="Times New Roman"/>
          <w:sz w:val="24"/>
          <w:szCs w:val="24"/>
        </w:rPr>
        <w:t>,</w:t>
      </w:r>
      <w:r w:rsidRPr="002447AF">
        <w:rPr>
          <w:rFonts w:ascii="Times New Roman" w:hAnsi="Times New Roman" w:cs="Times New Roman"/>
          <w:sz w:val="24"/>
          <w:szCs w:val="24"/>
        </w:rPr>
        <w:t xml:space="preserve"> </w:t>
      </w:r>
      <w:r w:rsidR="004D0D10" w:rsidRPr="002447AF">
        <w:rPr>
          <w:rFonts w:ascii="Times New Roman" w:hAnsi="Times New Roman" w:cs="Times New Roman"/>
          <w:sz w:val="24"/>
          <w:szCs w:val="24"/>
        </w:rPr>
        <w:t>201</w:t>
      </w:r>
      <w:r w:rsidR="004D0D10">
        <w:rPr>
          <w:rFonts w:ascii="Times New Roman" w:hAnsi="Times New Roman" w:cs="Times New Roman"/>
          <w:sz w:val="24"/>
          <w:szCs w:val="24"/>
        </w:rPr>
        <w:t>1</w:t>
      </w:r>
      <w:r w:rsidRPr="002447AF">
        <w:rPr>
          <w:rFonts w:ascii="Times New Roman" w:hAnsi="Times New Roman" w:cs="Times New Roman"/>
          <w:sz w:val="24"/>
          <w:szCs w:val="24"/>
        </w:rPr>
        <w:t>; Devigne</w:t>
      </w:r>
      <w:r w:rsidR="00F36B10">
        <w:rPr>
          <w:rFonts w:ascii="Times New Roman" w:hAnsi="Times New Roman" w:cs="Times New Roman"/>
          <w:sz w:val="24"/>
          <w:szCs w:val="24"/>
        </w:rPr>
        <w:t>, Vanacker, Manigart</w:t>
      </w:r>
      <w:r w:rsidRPr="002447AF">
        <w:rPr>
          <w:rFonts w:ascii="Times New Roman" w:hAnsi="Times New Roman" w:cs="Times New Roman"/>
          <w:sz w:val="24"/>
          <w:szCs w:val="24"/>
        </w:rPr>
        <w:t xml:space="preserve"> et al. 2013). </w:t>
      </w:r>
      <w:r w:rsidRPr="002447AF">
        <w:rPr>
          <w:rFonts w:ascii="Times New Roman" w:hAnsi="Times New Roman" w:cs="Times New Roman"/>
          <w:sz w:val="24"/>
          <w:szCs w:val="24"/>
          <w:lang w:bidi="en-US"/>
        </w:rPr>
        <w:t xml:space="preserve">Co-investing with domestic VC investors is especially </w:t>
      </w:r>
      <w:r w:rsidR="00AF5BEF">
        <w:rPr>
          <w:rFonts w:ascii="Times New Roman" w:hAnsi="Times New Roman" w:cs="Times New Roman"/>
          <w:sz w:val="24"/>
          <w:szCs w:val="24"/>
          <w:lang w:bidi="en-US"/>
        </w:rPr>
        <w:t>valuable</w:t>
      </w:r>
      <w:r w:rsidRPr="002447AF">
        <w:rPr>
          <w:rFonts w:ascii="Times New Roman" w:hAnsi="Times New Roman" w:cs="Times New Roman"/>
          <w:sz w:val="24"/>
          <w:szCs w:val="24"/>
          <w:lang w:bidi="en-US"/>
        </w:rPr>
        <w:t xml:space="preserve"> </w:t>
      </w:r>
      <w:r w:rsidR="00C36EDD">
        <w:rPr>
          <w:rFonts w:ascii="Times New Roman" w:hAnsi="Times New Roman" w:cs="Times New Roman"/>
          <w:sz w:val="24"/>
          <w:szCs w:val="24"/>
          <w:lang w:bidi="en-US"/>
        </w:rPr>
        <w:t>for VC firms with less international experience (</w:t>
      </w:r>
      <w:r w:rsidR="00C36EDD" w:rsidRPr="002447AF">
        <w:rPr>
          <w:rFonts w:ascii="Times New Roman" w:hAnsi="Times New Roman" w:cs="Times New Roman"/>
          <w:sz w:val="24"/>
          <w:szCs w:val="24"/>
          <w:lang w:bidi="en-US"/>
        </w:rPr>
        <w:t>Meuleman and Wright</w:t>
      </w:r>
      <w:r w:rsidR="000F75BB">
        <w:rPr>
          <w:rFonts w:ascii="Times New Roman" w:hAnsi="Times New Roman" w:cs="Times New Roman"/>
          <w:sz w:val="24"/>
          <w:szCs w:val="24"/>
          <w:lang w:bidi="en-US"/>
        </w:rPr>
        <w:t>,</w:t>
      </w:r>
      <w:r w:rsidR="00C36EDD" w:rsidRPr="002447AF">
        <w:rPr>
          <w:rFonts w:ascii="Times New Roman" w:hAnsi="Times New Roman" w:cs="Times New Roman"/>
          <w:sz w:val="24"/>
          <w:szCs w:val="24"/>
          <w:lang w:bidi="en-US"/>
        </w:rPr>
        <w:t xml:space="preserve"> 2011</w:t>
      </w:r>
      <w:r w:rsidR="00C36EDD">
        <w:rPr>
          <w:rFonts w:ascii="Times New Roman" w:hAnsi="Times New Roman" w:cs="Times New Roman"/>
          <w:sz w:val="24"/>
          <w:szCs w:val="24"/>
          <w:lang w:bidi="en-US"/>
        </w:rPr>
        <w:t xml:space="preserve">) or </w:t>
      </w:r>
      <w:r w:rsidRPr="002447AF">
        <w:rPr>
          <w:rFonts w:ascii="Times New Roman" w:hAnsi="Times New Roman" w:cs="Times New Roman"/>
          <w:sz w:val="24"/>
          <w:szCs w:val="24"/>
          <w:lang w:bidi="en-US"/>
        </w:rPr>
        <w:t>when entering less institutionally developed countries (Chemmanur et al.</w:t>
      </w:r>
      <w:r w:rsidR="000F75BB">
        <w:rPr>
          <w:rFonts w:ascii="Times New Roman" w:hAnsi="Times New Roman" w:cs="Times New Roman"/>
          <w:sz w:val="24"/>
          <w:szCs w:val="24"/>
          <w:lang w:bidi="en-US"/>
        </w:rPr>
        <w:t>,</w:t>
      </w:r>
      <w:r w:rsidRPr="002447AF">
        <w:rPr>
          <w:rFonts w:ascii="Times New Roman" w:hAnsi="Times New Roman" w:cs="Times New Roman"/>
          <w:sz w:val="24"/>
          <w:szCs w:val="24"/>
          <w:lang w:bidi="en-US"/>
        </w:rPr>
        <w:t xml:space="preserve"> 2012; Dai et a</w:t>
      </w:r>
      <w:r w:rsidR="00C36EDD">
        <w:rPr>
          <w:rFonts w:ascii="Times New Roman" w:hAnsi="Times New Roman" w:cs="Times New Roman"/>
          <w:sz w:val="24"/>
          <w:szCs w:val="24"/>
          <w:lang w:bidi="en-US"/>
        </w:rPr>
        <w:t>l.</w:t>
      </w:r>
      <w:r w:rsidR="000F75BB">
        <w:rPr>
          <w:rFonts w:ascii="Times New Roman" w:hAnsi="Times New Roman" w:cs="Times New Roman"/>
          <w:sz w:val="24"/>
          <w:szCs w:val="24"/>
          <w:lang w:bidi="en-US"/>
        </w:rPr>
        <w:t>,</w:t>
      </w:r>
      <w:r w:rsidR="00C36EDD">
        <w:rPr>
          <w:rFonts w:ascii="Times New Roman" w:hAnsi="Times New Roman" w:cs="Times New Roman"/>
          <w:sz w:val="24"/>
          <w:szCs w:val="24"/>
          <w:lang w:bidi="en-US"/>
        </w:rPr>
        <w:t xml:space="preserve"> 2012; Guler and Guillén</w:t>
      </w:r>
      <w:r w:rsidR="000F75BB">
        <w:rPr>
          <w:rFonts w:ascii="Times New Roman" w:hAnsi="Times New Roman" w:cs="Times New Roman"/>
          <w:sz w:val="24"/>
          <w:szCs w:val="24"/>
          <w:lang w:bidi="en-US"/>
        </w:rPr>
        <w:t>,</w:t>
      </w:r>
      <w:r w:rsidR="00C36EDD">
        <w:rPr>
          <w:rFonts w:ascii="Times New Roman" w:hAnsi="Times New Roman" w:cs="Times New Roman"/>
          <w:sz w:val="24"/>
          <w:szCs w:val="24"/>
          <w:lang w:bidi="en-US"/>
        </w:rPr>
        <w:t xml:space="preserve"> 2010</w:t>
      </w:r>
      <w:r w:rsidRPr="002447AF">
        <w:rPr>
          <w:rFonts w:ascii="Times New Roman" w:hAnsi="Times New Roman" w:cs="Times New Roman"/>
          <w:sz w:val="24"/>
          <w:szCs w:val="24"/>
          <w:lang w:bidi="en-US"/>
        </w:rPr>
        <w:t>; Meuleman and Wright</w:t>
      </w:r>
      <w:r w:rsidR="000F75BB">
        <w:rPr>
          <w:rFonts w:ascii="Times New Roman" w:hAnsi="Times New Roman" w:cs="Times New Roman"/>
          <w:sz w:val="24"/>
          <w:szCs w:val="24"/>
          <w:lang w:bidi="en-US"/>
        </w:rPr>
        <w:t>,</w:t>
      </w:r>
      <w:r w:rsidRPr="002447AF">
        <w:rPr>
          <w:rFonts w:ascii="Times New Roman" w:hAnsi="Times New Roman" w:cs="Times New Roman"/>
          <w:sz w:val="24"/>
          <w:szCs w:val="24"/>
          <w:lang w:bidi="en-US"/>
        </w:rPr>
        <w:t xml:space="preserve"> 2011).</w:t>
      </w:r>
    </w:p>
    <w:p w14:paraId="3E8BF151" w14:textId="77777777" w:rsidR="00420151" w:rsidRDefault="000112EE" w:rsidP="00420151">
      <w:pPr>
        <w:spacing w:after="0" w:line="480" w:lineRule="auto"/>
        <w:ind w:firstLine="432"/>
        <w:contextualSpacing/>
        <w:jc w:val="both"/>
        <w:rPr>
          <w:rFonts w:ascii="Times New Roman" w:hAnsi="Times New Roman" w:cs="Times New Roman"/>
          <w:sz w:val="24"/>
          <w:szCs w:val="24"/>
          <w:lang w:bidi="en-US"/>
        </w:rPr>
      </w:pPr>
      <w:r>
        <w:rPr>
          <w:rFonts w:ascii="Times New Roman" w:hAnsi="Times New Roman" w:cs="Times New Roman"/>
          <w:sz w:val="24"/>
          <w:szCs w:val="24"/>
          <w:lang w:bidi="en-US"/>
        </w:rPr>
        <w:t>Liabilities of foreignness are consistent with</w:t>
      </w:r>
      <w:r w:rsidR="0020360F" w:rsidRPr="002447AF">
        <w:rPr>
          <w:rFonts w:ascii="Times New Roman" w:hAnsi="Times New Roman" w:cs="Times New Roman"/>
          <w:sz w:val="24"/>
          <w:szCs w:val="24"/>
          <w:lang w:bidi="en-US"/>
        </w:rPr>
        <w:t xml:space="preserve"> </w:t>
      </w:r>
      <w:r w:rsidR="0000341B">
        <w:rPr>
          <w:rFonts w:ascii="Times New Roman" w:hAnsi="Times New Roman" w:cs="Times New Roman"/>
          <w:sz w:val="24"/>
          <w:szCs w:val="24"/>
          <w:lang w:bidi="en-US"/>
        </w:rPr>
        <w:t>international</w:t>
      </w:r>
      <w:r w:rsidR="0020360F" w:rsidRPr="002447AF">
        <w:rPr>
          <w:rFonts w:ascii="Times New Roman" w:hAnsi="Times New Roman" w:cs="Times New Roman"/>
          <w:sz w:val="24"/>
          <w:szCs w:val="24"/>
          <w:lang w:bidi="en-US"/>
        </w:rPr>
        <w:t xml:space="preserve"> VC firms </w:t>
      </w:r>
      <w:r>
        <w:rPr>
          <w:rFonts w:ascii="Times New Roman" w:hAnsi="Times New Roman" w:cs="Times New Roman"/>
          <w:sz w:val="24"/>
          <w:szCs w:val="24"/>
          <w:lang w:bidi="en-US"/>
        </w:rPr>
        <w:t>being</w:t>
      </w:r>
      <w:r w:rsidR="0020360F" w:rsidRPr="002447AF">
        <w:rPr>
          <w:rFonts w:ascii="Times New Roman" w:hAnsi="Times New Roman" w:cs="Times New Roman"/>
          <w:sz w:val="24"/>
          <w:szCs w:val="24"/>
          <w:lang w:bidi="en-US"/>
        </w:rPr>
        <w:t xml:space="preserve"> less likely </w:t>
      </w:r>
      <w:r w:rsidR="0020360F">
        <w:rPr>
          <w:rFonts w:ascii="Times New Roman" w:hAnsi="Times New Roman" w:cs="Times New Roman"/>
          <w:sz w:val="24"/>
          <w:szCs w:val="24"/>
          <w:lang w:bidi="en-US"/>
        </w:rPr>
        <w:t xml:space="preserve">than domestic VC firms </w:t>
      </w:r>
      <w:r w:rsidR="0020360F" w:rsidRPr="002447AF">
        <w:rPr>
          <w:rFonts w:ascii="Times New Roman" w:hAnsi="Times New Roman" w:cs="Times New Roman"/>
          <w:sz w:val="24"/>
          <w:szCs w:val="24"/>
          <w:lang w:bidi="en-US"/>
        </w:rPr>
        <w:t>to have successful exits</w:t>
      </w:r>
      <w:r>
        <w:rPr>
          <w:rFonts w:ascii="Times New Roman" w:hAnsi="Times New Roman" w:cs="Times New Roman"/>
          <w:sz w:val="24"/>
          <w:szCs w:val="24"/>
          <w:lang w:bidi="en-US"/>
        </w:rPr>
        <w:t xml:space="preserve">, </w:t>
      </w:r>
      <w:r w:rsidRPr="002447AF">
        <w:rPr>
          <w:rFonts w:ascii="Times New Roman" w:hAnsi="Times New Roman" w:cs="Times New Roman"/>
          <w:sz w:val="24"/>
          <w:szCs w:val="24"/>
          <w:lang w:bidi="en-US"/>
        </w:rPr>
        <w:t xml:space="preserve">controlling for </w:t>
      </w:r>
      <w:r>
        <w:rPr>
          <w:rFonts w:ascii="Times New Roman" w:hAnsi="Times New Roman" w:cs="Times New Roman"/>
          <w:sz w:val="24"/>
          <w:szCs w:val="24"/>
          <w:lang w:bidi="en-US"/>
        </w:rPr>
        <w:t xml:space="preserve">portfolio firm </w:t>
      </w:r>
      <w:r w:rsidRPr="002447AF">
        <w:rPr>
          <w:rFonts w:ascii="Times New Roman" w:hAnsi="Times New Roman" w:cs="Times New Roman"/>
          <w:sz w:val="24"/>
          <w:szCs w:val="24"/>
          <w:lang w:bidi="en-US"/>
        </w:rPr>
        <w:t>quality and VC firm reputation</w:t>
      </w:r>
      <w:r w:rsidR="0020360F" w:rsidRPr="002447AF">
        <w:rPr>
          <w:rFonts w:ascii="Times New Roman" w:hAnsi="Times New Roman" w:cs="Times New Roman"/>
          <w:sz w:val="24"/>
          <w:szCs w:val="24"/>
          <w:lang w:bidi="en-US"/>
        </w:rPr>
        <w:t xml:space="preserve"> (Cumming an</w:t>
      </w:r>
      <w:r w:rsidR="0020360F">
        <w:rPr>
          <w:rFonts w:ascii="Times New Roman" w:hAnsi="Times New Roman" w:cs="Times New Roman"/>
          <w:sz w:val="24"/>
          <w:szCs w:val="24"/>
          <w:lang w:bidi="en-US"/>
        </w:rPr>
        <w:t>d Dai</w:t>
      </w:r>
      <w:r w:rsidR="000F75BB">
        <w:rPr>
          <w:rFonts w:ascii="Times New Roman" w:hAnsi="Times New Roman" w:cs="Times New Roman"/>
          <w:sz w:val="24"/>
          <w:szCs w:val="24"/>
          <w:lang w:bidi="en-US"/>
        </w:rPr>
        <w:t>,</w:t>
      </w:r>
      <w:r w:rsidR="0020360F">
        <w:rPr>
          <w:rFonts w:ascii="Times New Roman" w:hAnsi="Times New Roman" w:cs="Times New Roman"/>
          <w:sz w:val="24"/>
          <w:szCs w:val="24"/>
          <w:lang w:bidi="en-US"/>
        </w:rPr>
        <w:t xml:space="preserve"> 2010; Humpher</w:t>
      </w:r>
      <w:r w:rsidR="0020360F" w:rsidRPr="002447AF">
        <w:rPr>
          <w:rFonts w:ascii="Times New Roman" w:hAnsi="Times New Roman" w:cs="Times New Roman"/>
          <w:sz w:val="24"/>
          <w:szCs w:val="24"/>
          <w:lang w:bidi="en-US"/>
        </w:rPr>
        <w:t>y-Jenner and Suchard</w:t>
      </w:r>
      <w:r w:rsidR="000F75BB">
        <w:rPr>
          <w:rFonts w:ascii="Times New Roman" w:hAnsi="Times New Roman" w:cs="Times New Roman"/>
          <w:sz w:val="24"/>
          <w:szCs w:val="24"/>
          <w:lang w:bidi="en-US"/>
        </w:rPr>
        <w:t>,</w:t>
      </w:r>
      <w:r w:rsidR="0020360F" w:rsidRPr="002447AF">
        <w:rPr>
          <w:rFonts w:ascii="Times New Roman" w:hAnsi="Times New Roman" w:cs="Times New Roman"/>
          <w:sz w:val="24"/>
          <w:szCs w:val="24"/>
          <w:lang w:bidi="en-US"/>
        </w:rPr>
        <w:t xml:space="preserve"> 2013). The probability of a successful exit is </w:t>
      </w:r>
      <w:r>
        <w:rPr>
          <w:rFonts w:ascii="Times New Roman" w:hAnsi="Times New Roman" w:cs="Times New Roman"/>
          <w:sz w:val="24"/>
          <w:szCs w:val="24"/>
          <w:lang w:bidi="en-US"/>
        </w:rPr>
        <w:t xml:space="preserve">nevertheless </w:t>
      </w:r>
      <w:r w:rsidR="0020360F" w:rsidRPr="002447AF">
        <w:rPr>
          <w:rFonts w:ascii="Times New Roman" w:hAnsi="Times New Roman" w:cs="Times New Roman"/>
          <w:sz w:val="24"/>
          <w:szCs w:val="24"/>
          <w:lang w:bidi="en-US"/>
        </w:rPr>
        <w:t>higher when investing in later stage companies (Humphery-Jenner and Suchard</w:t>
      </w:r>
      <w:r w:rsidR="000F75BB">
        <w:rPr>
          <w:rFonts w:ascii="Times New Roman" w:hAnsi="Times New Roman" w:cs="Times New Roman"/>
          <w:sz w:val="24"/>
          <w:szCs w:val="24"/>
          <w:lang w:bidi="en-US"/>
        </w:rPr>
        <w:t>,</w:t>
      </w:r>
      <w:r w:rsidR="0020360F" w:rsidRPr="002447AF">
        <w:rPr>
          <w:rFonts w:ascii="Times New Roman" w:hAnsi="Times New Roman" w:cs="Times New Roman"/>
          <w:sz w:val="24"/>
          <w:szCs w:val="24"/>
          <w:lang w:bidi="en-US"/>
        </w:rPr>
        <w:t xml:space="preserve"> </w:t>
      </w:r>
      <w:r w:rsidR="0020360F" w:rsidRPr="008B6A1E">
        <w:rPr>
          <w:rFonts w:ascii="Times New Roman" w:hAnsi="Times New Roman" w:cs="Times New Roman"/>
          <w:sz w:val="24"/>
          <w:szCs w:val="24"/>
          <w:lang w:bidi="en-US"/>
        </w:rPr>
        <w:t xml:space="preserve">2013). </w:t>
      </w:r>
      <w:r>
        <w:rPr>
          <w:rFonts w:ascii="Times New Roman" w:hAnsi="Times New Roman" w:cs="Times New Roman"/>
          <w:sz w:val="24"/>
          <w:szCs w:val="24"/>
          <w:lang w:bidi="en-US"/>
        </w:rPr>
        <w:t xml:space="preserve">Investment success increases when local and international VC firms co-invest, especially when investing in early stage companies </w:t>
      </w:r>
      <w:r w:rsidRPr="002447AF">
        <w:rPr>
          <w:rFonts w:ascii="Times New Roman" w:hAnsi="Times New Roman" w:cs="Times New Roman"/>
          <w:sz w:val="24"/>
          <w:szCs w:val="24"/>
          <w:lang w:bidi="en-US"/>
        </w:rPr>
        <w:t>(Chemmanur et al.</w:t>
      </w:r>
      <w:r w:rsidR="000F75BB">
        <w:rPr>
          <w:rFonts w:ascii="Times New Roman" w:hAnsi="Times New Roman" w:cs="Times New Roman"/>
          <w:sz w:val="24"/>
          <w:szCs w:val="24"/>
          <w:lang w:bidi="en-US"/>
        </w:rPr>
        <w:t>,</w:t>
      </w:r>
      <w:r w:rsidRPr="002447AF">
        <w:rPr>
          <w:rFonts w:ascii="Times New Roman" w:hAnsi="Times New Roman" w:cs="Times New Roman"/>
          <w:sz w:val="24"/>
          <w:szCs w:val="24"/>
          <w:lang w:bidi="en-US"/>
        </w:rPr>
        <w:t xml:space="preserve"> 2012; Cumming and Dai</w:t>
      </w:r>
      <w:r w:rsidR="000F75BB">
        <w:rPr>
          <w:rFonts w:ascii="Times New Roman" w:hAnsi="Times New Roman" w:cs="Times New Roman"/>
          <w:sz w:val="24"/>
          <w:szCs w:val="24"/>
          <w:lang w:bidi="en-US"/>
        </w:rPr>
        <w:t>,</w:t>
      </w:r>
      <w:r w:rsidRPr="002447AF">
        <w:rPr>
          <w:rFonts w:ascii="Times New Roman" w:hAnsi="Times New Roman" w:cs="Times New Roman"/>
          <w:sz w:val="24"/>
          <w:szCs w:val="24"/>
          <w:lang w:bidi="en-US"/>
        </w:rPr>
        <w:t xml:space="preserve"> 2010).</w:t>
      </w:r>
      <w:r>
        <w:rPr>
          <w:rFonts w:ascii="Times New Roman" w:hAnsi="Times New Roman" w:cs="Times New Roman"/>
          <w:sz w:val="24"/>
          <w:szCs w:val="24"/>
          <w:lang w:bidi="en-US"/>
        </w:rPr>
        <w:t xml:space="preserve"> Specifically, </w:t>
      </w:r>
      <w:r w:rsidR="00BA1BC8">
        <w:rPr>
          <w:rFonts w:ascii="Times New Roman" w:hAnsi="Times New Roman" w:cs="Times New Roman"/>
          <w:sz w:val="24"/>
          <w:szCs w:val="24"/>
          <w:lang w:bidi="en-US"/>
        </w:rPr>
        <w:t>portfolio companies</w:t>
      </w:r>
      <w:r w:rsidRPr="008B6A1E">
        <w:rPr>
          <w:rFonts w:ascii="Times New Roman" w:hAnsi="Times New Roman" w:cs="Times New Roman"/>
          <w:sz w:val="24"/>
          <w:szCs w:val="24"/>
          <w:lang w:bidi="en-US"/>
        </w:rPr>
        <w:t xml:space="preserve"> with both cross-border and local VC </w:t>
      </w:r>
      <w:r w:rsidR="00BA1BC8">
        <w:rPr>
          <w:rFonts w:ascii="Times New Roman" w:hAnsi="Times New Roman" w:cs="Times New Roman"/>
          <w:sz w:val="24"/>
          <w:szCs w:val="24"/>
          <w:lang w:bidi="en-US"/>
        </w:rPr>
        <w:t>investors</w:t>
      </w:r>
      <w:r w:rsidRPr="008B6A1E">
        <w:rPr>
          <w:rFonts w:ascii="Times New Roman" w:hAnsi="Times New Roman" w:cs="Times New Roman"/>
          <w:sz w:val="24"/>
          <w:szCs w:val="24"/>
          <w:lang w:bidi="en-US"/>
        </w:rPr>
        <w:t xml:space="preserve"> are about 5% more likely to successfully exit </w:t>
      </w:r>
      <w:r>
        <w:rPr>
          <w:rFonts w:ascii="Times New Roman" w:hAnsi="Times New Roman" w:cs="Times New Roman"/>
          <w:sz w:val="24"/>
          <w:szCs w:val="24"/>
          <w:lang w:bidi="en-US"/>
        </w:rPr>
        <w:t xml:space="preserve">compared with </w:t>
      </w:r>
      <w:r w:rsidR="00C4589F">
        <w:rPr>
          <w:rFonts w:ascii="Times New Roman" w:hAnsi="Times New Roman" w:cs="Times New Roman"/>
          <w:sz w:val="24"/>
          <w:szCs w:val="24"/>
          <w:lang w:bidi="en-US"/>
        </w:rPr>
        <w:t>portfolio companies</w:t>
      </w:r>
      <w:r>
        <w:rPr>
          <w:rFonts w:ascii="Times New Roman" w:hAnsi="Times New Roman" w:cs="Times New Roman"/>
          <w:sz w:val="24"/>
          <w:szCs w:val="24"/>
          <w:lang w:bidi="en-US"/>
        </w:rPr>
        <w:t xml:space="preserve"> backed by </w:t>
      </w:r>
      <w:r w:rsidR="00C4589F">
        <w:rPr>
          <w:rFonts w:ascii="Times New Roman" w:hAnsi="Times New Roman" w:cs="Times New Roman"/>
          <w:sz w:val="24"/>
          <w:szCs w:val="24"/>
          <w:lang w:bidi="en-US"/>
        </w:rPr>
        <w:t>international</w:t>
      </w:r>
      <w:r>
        <w:rPr>
          <w:rFonts w:ascii="Times New Roman" w:hAnsi="Times New Roman" w:cs="Times New Roman"/>
          <w:sz w:val="24"/>
          <w:szCs w:val="24"/>
          <w:lang w:bidi="en-US"/>
        </w:rPr>
        <w:t xml:space="preserve"> VC firms only </w:t>
      </w:r>
      <w:r w:rsidRPr="008B6A1E">
        <w:rPr>
          <w:rFonts w:ascii="Times New Roman" w:hAnsi="Times New Roman" w:cs="Times New Roman"/>
          <w:sz w:val="24"/>
          <w:szCs w:val="24"/>
          <w:lang w:bidi="en-US"/>
        </w:rPr>
        <w:t>(Dai et al.</w:t>
      </w:r>
      <w:r w:rsidR="000F75BB">
        <w:rPr>
          <w:rFonts w:ascii="Times New Roman" w:hAnsi="Times New Roman" w:cs="Times New Roman"/>
          <w:sz w:val="24"/>
          <w:szCs w:val="24"/>
          <w:lang w:bidi="en-US"/>
        </w:rPr>
        <w:t>,</w:t>
      </w:r>
      <w:r w:rsidRPr="008B6A1E">
        <w:rPr>
          <w:rFonts w:ascii="Times New Roman" w:hAnsi="Times New Roman" w:cs="Times New Roman"/>
          <w:sz w:val="24"/>
          <w:szCs w:val="24"/>
          <w:lang w:bidi="en-US"/>
        </w:rPr>
        <w:t xml:space="preserve"> 2012).</w:t>
      </w:r>
    </w:p>
    <w:p w14:paraId="19B573CA" w14:textId="17856285" w:rsidR="00E03512" w:rsidRDefault="00803F30" w:rsidP="00420151">
      <w:pPr>
        <w:spacing w:after="0" w:line="480" w:lineRule="auto"/>
        <w:ind w:firstLine="432"/>
        <w:contextualSpacing/>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The VC termination decision is </w:t>
      </w:r>
      <w:r w:rsidR="00341339">
        <w:rPr>
          <w:rFonts w:ascii="Times New Roman" w:hAnsi="Times New Roman" w:cs="Times New Roman"/>
          <w:sz w:val="24"/>
          <w:szCs w:val="24"/>
          <w:lang w:bidi="en-US"/>
        </w:rPr>
        <w:t xml:space="preserve">as yet </w:t>
      </w:r>
      <w:r>
        <w:rPr>
          <w:rFonts w:ascii="Times New Roman" w:hAnsi="Times New Roman" w:cs="Times New Roman"/>
          <w:sz w:val="24"/>
          <w:szCs w:val="24"/>
          <w:lang w:bidi="en-US"/>
        </w:rPr>
        <w:t>not well understood</w:t>
      </w:r>
      <w:r w:rsidR="00341339">
        <w:rPr>
          <w:rFonts w:ascii="Times New Roman" w:hAnsi="Times New Roman" w:cs="Times New Roman"/>
          <w:sz w:val="24"/>
          <w:szCs w:val="24"/>
          <w:lang w:bidi="en-US"/>
        </w:rPr>
        <w:t xml:space="preserve"> </w:t>
      </w:r>
      <w:r w:rsidR="00341339" w:rsidRPr="00B13303">
        <w:rPr>
          <w:rFonts w:ascii="Times New Roman" w:hAnsi="Times New Roman" w:cs="Times New Roman"/>
          <w:sz w:val="24"/>
          <w:szCs w:val="24"/>
          <w:lang w:bidi="en-US"/>
        </w:rPr>
        <w:t xml:space="preserve">as </w:t>
      </w:r>
      <w:r w:rsidR="002D2694" w:rsidRPr="00B13303">
        <w:rPr>
          <w:rFonts w:ascii="Times New Roman" w:hAnsi="Times New Roman" w:cs="Times New Roman"/>
          <w:sz w:val="24"/>
          <w:szCs w:val="24"/>
          <w:lang w:bidi="en-US"/>
        </w:rPr>
        <w:t xml:space="preserve">the literature </w:t>
      </w:r>
      <w:r w:rsidR="00341339" w:rsidRPr="00B13303">
        <w:rPr>
          <w:rFonts w:ascii="Times New Roman" w:hAnsi="Times New Roman" w:cs="Times New Roman"/>
          <w:sz w:val="24"/>
          <w:szCs w:val="24"/>
          <w:lang w:bidi="en-US"/>
        </w:rPr>
        <w:t>has devoted limited attention to the influence of the locational heterogeneity of VCs</w:t>
      </w:r>
      <w:r w:rsidRPr="002D2694">
        <w:rPr>
          <w:rFonts w:ascii="Times New Roman" w:hAnsi="Times New Roman" w:cs="Times New Roman"/>
          <w:sz w:val="24"/>
          <w:szCs w:val="24"/>
          <w:lang w:bidi="en-US"/>
        </w:rPr>
        <w:t>.</w:t>
      </w:r>
      <w:r>
        <w:rPr>
          <w:rFonts w:ascii="Times New Roman" w:hAnsi="Times New Roman" w:cs="Times New Roman"/>
          <w:sz w:val="24"/>
          <w:szCs w:val="24"/>
          <w:lang w:bidi="en-US"/>
        </w:rPr>
        <w:t xml:space="preserve"> </w:t>
      </w:r>
      <w:r w:rsidR="00E03512">
        <w:rPr>
          <w:rFonts w:ascii="Times New Roman" w:hAnsi="Times New Roman" w:cs="Times New Roman"/>
          <w:sz w:val="24"/>
          <w:szCs w:val="24"/>
          <w:lang w:bidi="en-US"/>
        </w:rPr>
        <w:t xml:space="preserve">While most of the international VC literature starts from the assumption that international VC investors face liabilities of foreignness, </w:t>
      </w:r>
      <w:r w:rsidR="00455AAD">
        <w:rPr>
          <w:rFonts w:ascii="Times New Roman" w:hAnsi="Times New Roman" w:cs="Times New Roman"/>
          <w:sz w:val="24"/>
          <w:szCs w:val="24"/>
          <w:lang w:bidi="en-US"/>
        </w:rPr>
        <w:t>our study aims to investigate whether international VC investors may have an advantage compared to domestic VC investors when deciding to terminate their investment in a</w:t>
      </w:r>
      <w:r w:rsidR="00185BC5">
        <w:rPr>
          <w:rFonts w:ascii="Times New Roman" w:hAnsi="Times New Roman" w:cs="Times New Roman"/>
          <w:sz w:val="24"/>
          <w:szCs w:val="24"/>
          <w:lang w:bidi="en-US"/>
        </w:rPr>
        <w:t xml:space="preserve">n </w:t>
      </w:r>
      <w:r w:rsidR="00B87CBF">
        <w:rPr>
          <w:rFonts w:ascii="Times New Roman" w:hAnsi="Times New Roman" w:cs="Times New Roman"/>
          <w:sz w:val="24"/>
          <w:szCs w:val="24"/>
          <w:lang w:bidi="en-US"/>
        </w:rPr>
        <w:t>unsuccessful</w:t>
      </w:r>
      <w:r w:rsidR="00185BC5">
        <w:rPr>
          <w:rFonts w:ascii="Times New Roman" w:hAnsi="Times New Roman" w:cs="Times New Roman"/>
          <w:sz w:val="24"/>
          <w:szCs w:val="24"/>
          <w:lang w:bidi="en-US"/>
        </w:rPr>
        <w:t xml:space="preserve"> </w:t>
      </w:r>
      <w:r w:rsidR="00455AAD">
        <w:rPr>
          <w:rFonts w:ascii="Times New Roman" w:hAnsi="Times New Roman" w:cs="Times New Roman"/>
          <w:sz w:val="24"/>
          <w:szCs w:val="24"/>
          <w:lang w:bidi="en-US"/>
        </w:rPr>
        <w:t xml:space="preserve">portfolio company. </w:t>
      </w:r>
      <w:r w:rsidR="00F96028">
        <w:rPr>
          <w:rFonts w:ascii="Times New Roman" w:hAnsi="Times New Roman" w:cs="Times New Roman"/>
          <w:sz w:val="24"/>
          <w:szCs w:val="24"/>
          <w:lang w:bidi="en-US"/>
        </w:rPr>
        <w:t>We further distinguish between the internationalization mode of international VC investors, which has largely been neglected in the literature (Manigart and Wright, 2013). Nevertheless, VC investors investing across border</w:t>
      </w:r>
      <w:r w:rsidR="002D2694">
        <w:rPr>
          <w:rFonts w:ascii="Times New Roman" w:hAnsi="Times New Roman" w:cs="Times New Roman"/>
          <w:sz w:val="24"/>
          <w:szCs w:val="24"/>
          <w:lang w:bidi="en-US"/>
        </w:rPr>
        <w:t>s</w:t>
      </w:r>
      <w:r w:rsidR="00F96028">
        <w:rPr>
          <w:rFonts w:ascii="Times New Roman" w:hAnsi="Times New Roman" w:cs="Times New Roman"/>
          <w:sz w:val="24"/>
          <w:szCs w:val="24"/>
          <w:lang w:bidi="en-US"/>
        </w:rPr>
        <w:t xml:space="preserve"> from headquarters face different issues compared to those investing from a local branch office. Hence, </w:t>
      </w:r>
      <w:r w:rsidR="00BE39CB">
        <w:rPr>
          <w:rFonts w:ascii="Times New Roman" w:hAnsi="Times New Roman" w:cs="Times New Roman"/>
          <w:sz w:val="24"/>
          <w:szCs w:val="24"/>
          <w:lang w:bidi="en-US"/>
        </w:rPr>
        <w:t xml:space="preserve">we </w:t>
      </w:r>
      <w:r w:rsidR="00F96028">
        <w:rPr>
          <w:rFonts w:ascii="Times New Roman" w:hAnsi="Times New Roman" w:cs="Times New Roman"/>
          <w:sz w:val="24"/>
          <w:szCs w:val="24"/>
          <w:lang w:bidi="en-US"/>
        </w:rPr>
        <w:t xml:space="preserve">advance the </w:t>
      </w:r>
      <w:r w:rsidR="00F96028">
        <w:rPr>
          <w:rFonts w:ascii="Times New Roman" w:hAnsi="Times New Roman" w:cs="Times New Roman"/>
          <w:sz w:val="24"/>
          <w:szCs w:val="24"/>
          <w:lang w:bidi="en-US"/>
        </w:rPr>
        <w:lastRenderedPageBreak/>
        <w:t xml:space="preserve">international VC literature by explicitly </w:t>
      </w:r>
      <w:r w:rsidR="00BE39CB">
        <w:rPr>
          <w:rFonts w:ascii="Times New Roman" w:hAnsi="Times New Roman" w:cs="Times New Roman"/>
          <w:sz w:val="24"/>
          <w:szCs w:val="24"/>
          <w:lang w:bidi="en-US"/>
        </w:rPr>
        <w:t xml:space="preserve">theorizing about how branch VC investors compare with either cross-border VC investors </w:t>
      </w:r>
      <w:r w:rsidR="002D2694">
        <w:rPr>
          <w:rFonts w:ascii="Times New Roman" w:hAnsi="Times New Roman" w:cs="Times New Roman"/>
          <w:sz w:val="24"/>
          <w:szCs w:val="24"/>
          <w:lang w:bidi="en-US"/>
        </w:rPr>
        <w:t xml:space="preserve">or </w:t>
      </w:r>
      <w:r w:rsidR="00BE39CB">
        <w:rPr>
          <w:rFonts w:ascii="Times New Roman" w:hAnsi="Times New Roman" w:cs="Times New Roman"/>
          <w:sz w:val="24"/>
          <w:szCs w:val="24"/>
          <w:lang w:bidi="en-US"/>
        </w:rPr>
        <w:t>domestic VC investors.</w:t>
      </w:r>
    </w:p>
    <w:p w14:paraId="6127CB2C" w14:textId="77777777" w:rsidR="00DF023B" w:rsidRDefault="00DF023B" w:rsidP="00DF023B">
      <w:pPr>
        <w:spacing w:after="0" w:line="480" w:lineRule="auto"/>
        <w:ind w:firstLine="432"/>
        <w:jc w:val="center"/>
        <w:rPr>
          <w:rFonts w:ascii="Times New Roman" w:hAnsi="Times New Roman" w:cs="Times New Roman"/>
          <w:b/>
          <w:caps/>
          <w:sz w:val="24"/>
          <w:szCs w:val="24"/>
        </w:rPr>
      </w:pPr>
    </w:p>
    <w:p w14:paraId="4EAA3911" w14:textId="77777777" w:rsidR="00DF023B" w:rsidRPr="005F1FD6" w:rsidRDefault="00DF023B" w:rsidP="00DF023B">
      <w:pPr>
        <w:spacing w:after="0" w:line="480" w:lineRule="auto"/>
        <w:ind w:firstLine="432"/>
        <w:jc w:val="center"/>
        <w:rPr>
          <w:rFonts w:ascii="Times New Roman" w:hAnsi="Times New Roman" w:cs="Times New Roman"/>
          <w:b/>
          <w:caps/>
          <w:sz w:val="24"/>
          <w:szCs w:val="24"/>
        </w:rPr>
      </w:pPr>
      <w:r w:rsidRPr="005F1FD6">
        <w:rPr>
          <w:rFonts w:ascii="Times New Roman" w:hAnsi="Times New Roman" w:cs="Times New Roman"/>
          <w:b/>
          <w:caps/>
          <w:sz w:val="24"/>
          <w:szCs w:val="24"/>
        </w:rPr>
        <w:t>DEVELOPMENT OF hypotheses</w:t>
      </w:r>
    </w:p>
    <w:p w14:paraId="735C1218" w14:textId="73213C77" w:rsidR="004B5C82" w:rsidRDefault="00010498" w:rsidP="00BF580C">
      <w:pPr>
        <w:spacing w:after="0" w:line="480" w:lineRule="auto"/>
        <w:ind w:firstLine="432"/>
        <w:contextualSpacing/>
        <w:jc w:val="both"/>
        <w:rPr>
          <w:rFonts w:ascii="Univers-Light" w:hAnsi="Univers-Light" w:cs="Univers-Light"/>
          <w:sz w:val="24"/>
          <w:szCs w:val="24"/>
        </w:rPr>
      </w:pPr>
      <w:r w:rsidRPr="005F1FD6">
        <w:rPr>
          <w:rFonts w:ascii="Times New Roman" w:hAnsi="Times New Roman" w:cs="Times New Roman"/>
          <w:sz w:val="24"/>
          <w:szCs w:val="24"/>
        </w:rPr>
        <w:t xml:space="preserve">VC firms stage the infusion of capital </w:t>
      </w:r>
      <w:r w:rsidR="00EF5EEC">
        <w:rPr>
          <w:rFonts w:ascii="Times New Roman" w:hAnsi="Times New Roman" w:cs="Times New Roman"/>
          <w:sz w:val="24"/>
          <w:szCs w:val="24"/>
        </w:rPr>
        <w:t xml:space="preserve">in their portfolio companies, </w:t>
      </w:r>
      <w:r w:rsidRPr="005F1FD6">
        <w:rPr>
          <w:rFonts w:ascii="Times New Roman" w:hAnsi="Times New Roman" w:cs="Times New Roman"/>
          <w:sz w:val="24"/>
          <w:szCs w:val="24"/>
        </w:rPr>
        <w:t xml:space="preserve">which grants </w:t>
      </w:r>
      <w:r w:rsidR="00BF580C">
        <w:rPr>
          <w:rFonts w:ascii="Times New Roman" w:hAnsi="Times New Roman" w:cs="Times New Roman"/>
          <w:sz w:val="24"/>
          <w:szCs w:val="24"/>
        </w:rPr>
        <w:t xml:space="preserve">them </w:t>
      </w:r>
      <w:r w:rsidRPr="005F1FD6">
        <w:rPr>
          <w:rFonts w:ascii="Times New Roman" w:hAnsi="Times New Roman" w:cs="Times New Roman"/>
          <w:sz w:val="24"/>
          <w:szCs w:val="24"/>
        </w:rPr>
        <w:t xml:space="preserve">the opportunity to gather information </w:t>
      </w:r>
      <w:r w:rsidR="002174D5">
        <w:rPr>
          <w:rFonts w:ascii="Times New Roman" w:hAnsi="Times New Roman" w:cs="Times New Roman"/>
          <w:sz w:val="24"/>
          <w:szCs w:val="24"/>
        </w:rPr>
        <w:t>to</w:t>
      </w:r>
      <w:r w:rsidRPr="005F1FD6">
        <w:rPr>
          <w:rFonts w:ascii="Times New Roman" w:hAnsi="Times New Roman" w:cs="Times New Roman"/>
          <w:sz w:val="24"/>
          <w:szCs w:val="24"/>
        </w:rPr>
        <w:t xml:space="preserve"> monitor </w:t>
      </w:r>
      <w:r w:rsidR="00EF5EEC">
        <w:rPr>
          <w:rFonts w:ascii="Times New Roman" w:hAnsi="Times New Roman" w:cs="Times New Roman"/>
          <w:sz w:val="24"/>
          <w:szCs w:val="24"/>
        </w:rPr>
        <w:t>portfolio compan</w:t>
      </w:r>
      <w:r w:rsidR="002174D5">
        <w:rPr>
          <w:rFonts w:ascii="Times New Roman" w:hAnsi="Times New Roman" w:cs="Times New Roman"/>
          <w:sz w:val="24"/>
          <w:szCs w:val="24"/>
        </w:rPr>
        <w:t>y</w:t>
      </w:r>
      <w:r w:rsidR="00EF5EEC">
        <w:rPr>
          <w:rFonts w:ascii="Times New Roman" w:hAnsi="Times New Roman" w:cs="Times New Roman"/>
          <w:sz w:val="24"/>
          <w:szCs w:val="24"/>
        </w:rPr>
        <w:t xml:space="preserve"> </w:t>
      </w:r>
      <w:r w:rsidR="002174D5">
        <w:rPr>
          <w:rFonts w:ascii="Times New Roman" w:hAnsi="Times New Roman" w:cs="Times New Roman"/>
          <w:sz w:val="24"/>
          <w:szCs w:val="24"/>
        </w:rPr>
        <w:t xml:space="preserve">progress </w:t>
      </w:r>
      <w:r w:rsidR="00EF5EEC">
        <w:rPr>
          <w:rFonts w:ascii="Times New Roman" w:hAnsi="Times New Roman" w:cs="Times New Roman"/>
          <w:sz w:val="24"/>
          <w:szCs w:val="24"/>
        </w:rPr>
        <w:t xml:space="preserve">and </w:t>
      </w:r>
      <w:r w:rsidRPr="005F1FD6">
        <w:rPr>
          <w:rFonts w:ascii="Times New Roman" w:hAnsi="Times New Roman" w:cs="Times New Roman"/>
          <w:sz w:val="24"/>
          <w:szCs w:val="24"/>
        </w:rPr>
        <w:t>provides the flexibility to discontinue funding projects of which the prospects have fallen (Gompers</w:t>
      </w:r>
      <w:r w:rsidR="000F75BB">
        <w:rPr>
          <w:rFonts w:ascii="Times New Roman" w:hAnsi="Times New Roman" w:cs="Times New Roman"/>
          <w:sz w:val="24"/>
          <w:szCs w:val="24"/>
        </w:rPr>
        <w:t>,</w:t>
      </w:r>
      <w:r w:rsidRPr="005F1FD6">
        <w:rPr>
          <w:rFonts w:ascii="Times New Roman" w:hAnsi="Times New Roman" w:cs="Times New Roman"/>
          <w:sz w:val="24"/>
          <w:szCs w:val="24"/>
        </w:rPr>
        <w:t xml:space="preserve"> 1995</w:t>
      </w:r>
      <w:r w:rsidR="00F7470B">
        <w:rPr>
          <w:rFonts w:ascii="Times New Roman" w:hAnsi="Times New Roman" w:cs="Times New Roman"/>
          <w:sz w:val="24"/>
          <w:szCs w:val="24"/>
        </w:rPr>
        <w:t>; Li and Chi, 2013</w:t>
      </w:r>
      <w:r w:rsidRPr="005F1FD6">
        <w:rPr>
          <w:rFonts w:ascii="Times New Roman" w:hAnsi="Times New Roman" w:cs="Times New Roman"/>
          <w:sz w:val="24"/>
          <w:szCs w:val="24"/>
        </w:rPr>
        <w:t xml:space="preserve">). </w:t>
      </w:r>
      <w:r w:rsidR="00CF29F7" w:rsidRPr="005F1FD6">
        <w:rPr>
          <w:rFonts w:ascii="Times New Roman" w:hAnsi="Times New Roman" w:cs="Times New Roman"/>
          <w:sz w:val="24"/>
          <w:szCs w:val="24"/>
        </w:rPr>
        <w:t>VC firms are frequently confronted with underperforming portfolio companies</w:t>
      </w:r>
      <w:r w:rsidR="00CF29F7">
        <w:rPr>
          <w:rFonts w:ascii="Times New Roman" w:hAnsi="Times New Roman" w:cs="Times New Roman"/>
          <w:sz w:val="24"/>
          <w:szCs w:val="24"/>
        </w:rPr>
        <w:t>, which should make them experts in dealing with these adverse situations</w:t>
      </w:r>
      <w:r w:rsidR="00CF29F7" w:rsidRPr="005F1FD6">
        <w:rPr>
          <w:rFonts w:ascii="Times New Roman" w:hAnsi="Times New Roman" w:cs="Times New Roman"/>
          <w:sz w:val="24"/>
          <w:szCs w:val="24"/>
        </w:rPr>
        <w:t xml:space="preserve"> (Sahlman</w:t>
      </w:r>
      <w:r w:rsidR="000F75BB">
        <w:rPr>
          <w:rFonts w:ascii="Times New Roman" w:hAnsi="Times New Roman" w:cs="Times New Roman"/>
          <w:sz w:val="24"/>
          <w:szCs w:val="24"/>
        </w:rPr>
        <w:t>,</w:t>
      </w:r>
      <w:r w:rsidR="00CF29F7" w:rsidRPr="005F1FD6">
        <w:rPr>
          <w:rFonts w:ascii="Times New Roman" w:hAnsi="Times New Roman" w:cs="Times New Roman"/>
          <w:sz w:val="24"/>
          <w:szCs w:val="24"/>
        </w:rPr>
        <w:t xml:space="preserve"> 1990). </w:t>
      </w:r>
      <w:r w:rsidR="00EF5EEC">
        <w:rPr>
          <w:rFonts w:ascii="Times New Roman" w:hAnsi="Times New Roman" w:cs="Times New Roman"/>
          <w:sz w:val="24"/>
          <w:szCs w:val="24"/>
        </w:rPr>
        <w:t>Nevertheless, VC</w:t>
      </w:r>
      <w:r w:rsidRPr="005F1FD6">
        <w:rPr>
          <w:rFonts w:ascii="Times New Roman" w:hAnsi="Times New Roman" w:cs="Times New Roman"/>
          <w:sz w:val="24"/>
          <w:szCs w:val="24"/>
        </w:rPr>
        <w:t xml:space="preserve"> investors tend to </w:t>
      </w:r>
      <w:r w:rsidR="00CF039A">
        <w:rPr>
          <w:rFonts w:ascii="Times New Roman" w:hAnsi="Times New Roman" w:cs="Times New Roman"/>
          <w:sz w:val="24"/>
          <w:szCs w:val="24"/>
        </w:rPr>
        <w:t xml:space="preserve">avoid terminating unsuccessful investments, i.e. to </w:t>
      </w:r>
      <w:r w:rsidRPr="005F1FD6">
        <w:rPr>
          <w:rFonts w:ascii="Times New Roman" w:hAnsi="Times New Roman" w:cs="Times New Roman"/>
          <w:sz w:val="24"/>
          <w:szCs w:val="24"/>
        </w:rPr>
        <w:t>escalate</w:t>
      </w:r>
      <w:r w:rsidR="00CF039A">
        <w:rPr>
          <w:rFonts w:ascii="Times New Roman" w:hAnsi="Times New Roman" w:cs="Times New Roman"/>
          <w:sz w:val="24"/>
          <w:szCs w:val="24"/>
        </w:rPr>
        <w:t xml:space="preserve"> their</w:t>
      </w:r>
      <w:r w:rsidRPr="005F1FD6">
        <w:rPr>
          <w:rFonts w:ascii="Times New Roman" w:hAnsi="Times New Roman" w:cs="Times New Roman"/>
          <w:sz w:val="24"/>
          <w:szCs w:val="24"/>
        </w:rPr>
        <w:t xml:space="preserve"> commitment</w:t>
      </w:r>
      <w:r w:rsidR="00BF580C">
        <w:rPr>
          <w:rFonts w:ascii="Times New Roman" w:hAnsi="Times New Roman" w:cs="Times New Roman"/>
          <w:sz w:val="24"/>
          <w:szCs w:val="24"/>
        </w:rPr>
        <w:t xml:space="preserve"> and continue to invest</w:t>
      </w:r>
      <w:r w:rsidRPr="005F1FD6">
        <w:rPr>
          <w:rFonts w:ascii="Times New Roman" w:hAnsi="Times New Roman" w:cs="Times New Roman"/>
          <w:sz w:val="24"/>
          <w:szCs w:val="24"/>
        </w:rPr>
        <w:t>,</w:t>
      </w:r>
      <w:r w:rsidR="00BF580C">
        <w:rPr>
          <w:rFonts w:ascii="Times New Roman" w:hAnsi="Times New Roman" w:cs="Times New Roman"/>
          <w:sz w:val="24"/>
          <w:szCs w:val="24"/>
        </w:rPr>
        <w:t xml:space="preserve"> even</w:t>
      </w:r>
      <w:r w:rsidRPr="005F1FD6">
        <w:rPr>
          <w:rFonts w:ascii="Times New Roman" w:hAnsi="Times New Roman" w:cs="Times New Roman"/>
          <w:sz w:val="24"/>
          <w:szCs w:val="24"/>
        </w:rPr>
        <w:t xml:space="preserve"> when new information shows </w:t>
      </w:r>
      <w:r w:rsidR="00CF29F7">
        <w:rPr>
          <w:rFonts w:ascii="Times New Roman" w:hAnsi="Times New Roman" w:cs="Times New Roman"/>
          <w:sz w:val="24"/>
          <w:szCs w:val="24"/>
        </w:rPr>
        <w:t>the portfolio company</w:t>
      </w:r>
      <w:r w:rsidRPr="005F1FD6">
        <w:rPr>
          <w:rFonts w:ascii="Times New Roman" w:hAnsi="Times New Roman" w:cs="Times New Roman"/>
          <w:sz w:val="24"/>
          <w:szCs w:val="24"/>
        </w:rPr>
        <w:t xml:space="preserve"> does not meet expectations (Guler</w:t>
      </w:r>
      <w:r w:rsidR="000F75BB">
        <w:rPr>
          <w:rFonts w:ascii="Times New Roman" w:hAnsi="Times New Roman" w:cs="Times New Roman"/>
          <w:sz w:val="24"/>
          <w:szCs w:val="24"/>
        </w:rPr>
        <w:t>,</w:t>
      </w:r>
      <w:r w:rsidRPr="005F1FD6">
        <w:rPr>
          <w:rFonts w:ascii="Times New Roman" w:hAnsi="Times New Roman" w:cs="Times New Roman"/>
          <w:sz w:val="24"/>
          <w:szCs w:val="24"/>
        </w:rPr>
        <w:t xml:space="preserve"> 2007). </w:t>
      </w:r>
      <w:r w:rsidR="00610B35">
        <w:rPr>
          <w:rFonts w:ascii="Times New Roman" w:hAnsi="Times New Roman" w:cs="Times New Roman"/>
          <w:sz w:val="24"/>
          <w:szCs w:val="24"/>
        </w:rPr>
        <w:t xml:space="preserve">This is </w:t>
      </w:r>
      <w:r w:rsidR="00CA6BB8">
        <w:rPr>
          <w:rFonts w:ascii="Times New Roman" w:hAnsi="Times New Roman" w:cs="Times New Roman"/>
          <w:sz w:val="24"/>
          <w:szCs w:val="24"/>
        </w:rPr>
        <w:t>surprising</w:t>
      </w:r>
      <w:r w:rsidR="00610B35">
        <w:rPr>
          <w:rFonts w:ascii="Times New Roman" w:hAnsi="Times New Roman" w:cs="Times New Roman"/>
          <w:sz w:val="24"/>
          <w:szCs w:val="24"/>
        </w:rPr>
        <w:t xml:space="preserve">, as </w:t>
      </w:r>
      <w:r w:rsidR="002F2406">
        <w:rPr>
          <w:rFonts w:ascii="Times New Roman" w:hAnsi="Times New Roman" w:cs="Times New Roman"/>
          <w:sz w:val="24"/>
          <w:szCs w:val="24"/>
        </w:rPr>
        <w:t>VC firms</w:t>
      </w:r>
      <w:r w:rsidR="00D67809" w:rsidRPr="005F1FD6">
        <w:rPr>
          <w:rFonts w:ascii="Times New Roman" w:hAnsi="Times New Roman" w:cs="Times New Roman"/>
          <w:sz w:val="24"/>
          <w:szCs w:val="24"/>
        </w:rPr>
        <w:t xml:space="preserve"> protect </w:t>
      </w:r>
      <w:r w:rsidR="002F43BD" w:rsidRPr="005F1FD6">
        <w:rPr>
          <w:rFonts w:ascii="Times New Roman" w:hAnsi="Times New Roman" w:cs="Times New Roman"/>
          <w:sz w:val="24"/>
          <w:szCs w:val="24"/>
        </w:rPr>
        <w:t>them</w:t>
      </w:r>
      <w:r w:rsidR="00341339">
        <w:rPr>
          <w:rFonts w:ascii="Times New Roman" w:hAnsi="Times New Roman" w:cs="Times New Roman"/>
          <w:sz w:val="24"/>
          <w:szCs w:val="24"/>
        </w:rPr>
        <w:t>selves</w:t>
      </w:r>
      <w:r w:rsidR="00610B35">
        <w:rPr>
          <w:rFonts w:ascii="Times New Roman" w:hAnsi="Times New Roman" w:cs="Times New Roman"/>
          <w:sz w:val="24"/>
          <w:szCs w:val="24"/>
        </w:rPr>
        <w:t xml:space="preserve"> against this decision bias</w:t>
      </w:r>
      <w:r w:rsidR="00D67809" w:rsidRPr="005F1FD6">
        <w:rPr>
          <w:rFonts w:ascii="Times New Roman" w:hAnsi="Times New Roman" w:cs="Times New Roman"/>
          <w:sz w:val="24"/>
          <w:szCs w:val="24"/>
        </w:rPr>
        <w:t xml:space="preserve">. </w:t>
      </w:r>
      <w:r w:rsidR="00610B35">
        <w:rPr>
          <w:rFonts w:ascii="Times New Roman" w:hAnsi="Times New Roman" w:cs="Times New Roman"/>
          <w:sz w:val="24"/>
          <w:szCs w:val="24"/>
        </w:rPr>
        <w:t xml:space="preserve">First, </w:t>
      </w:r>
      <w:r w:rsidR="00C2314D" w:rsidRPr="005F1FD6">
        <w:rPr>
          <w:rFonts w:ascii="Times New Roman" w:hAnsi="Times New Roman" w:cs="Times New Roman"/>
          <w:sz w:val="24"/>
          <w:szCs w:val="24"/>
        </w:rPr>
        <w:t>investme</w:t>
      </w:r>
      <w:r w:rsidR="008B79F9">
        <w:rPr>
          <w:rFonts w:ascii="Times New Roman" w:hAnsi="Times New Roman" w:cs="Times New Roman"/>
          <w:sz w:val="24"/>
          <w:szCs w:val="24"/>
        </w:rPr>
        <w:t xml:space="preserve">nt </w:t>
      </w:r>
      <w:r w:rsidR="00610B35">
        <w:rPr>
          <w:rFonts w:ascii="Times New Roman" w:hAnsi="Times New Roman" w:cs="Times New Roman"/>
          <w:sz w:val="24"/>
          <w:szCs w:val="24"/>
        </w:rPr>
        <w:t xml:space="preserve">and termination </w:t>
      </w:r>
      <w:r w:rsidR="008B79F9">
        <w:rPr>
          <w:rFonts w:ascii="Times New Roman" w:hAnsi="Times New Roman" w:cs="Times New Roman"/>
          <w:sz w:val="24"/>
          <w:szCs w:val="24"/>
        </w:rPr>
        <w:t xml:space="preserve">decisions typically require </w:t>
      </w:r>
      <w:r w:rsidR="00C2314D" w:rsidRPr="005F1FD6">
        <w:rPr>
          <w:rFonts w:ascii="Times New Roman" w:hAnsi="Times New Roman" w:cs="Times New Roman"/>
          <w:sz w:val="24"/>
          <w:szCs w:val="24"/>
        </w:rPr>
        <w:t xml:space="preserve">recommendations to be approved by </w:t>
      </w:r>
      <w:r w:rsidR="006027F2" w:rsidRPr="005F1FD6">
        <w:rPr>
          <w:rFonts w:ascii="Times New Roman" w:hAnsi="Times New Roman" w:cs="Times New Roman"/>
          <w:sz w:val="24"/>
          <w:szCs w:val="24"/>
        </w:rPr>
        <w:t>one or more</w:t>
      </w:r>
      <w:r w:rsidR="00C2314D" w:rsidRPr="005F1FD6">
        <w:rPr>
          <w:rFonts w:ascii="Times New Roman" w:hAnsi="Times New Roman" w:cs="Times New Roman"/>
          <w:sz w:val="24"/>
          <w:szCs w:val="24"/>
        </w:rPr>
        <w:t xml:space="preserve"> investment committee</w:t>
      </w:r>
      <w:r w:rsidR="006027F2" w:rsidRPr="005F1FD6">
        <w:rPr>
          <w:rFonts w:ascii="Times New Roman" w:hAnsi="Times New Roman" w:cs="Times New Roman"/>
          <w:sz w:val="24"/>
          <w:szCs w:val="24"/>
        </w:rPr>
        <w:t>s</w:t>
      </w:r>
      <w:r w:rsidR="00C2314D" w:rsidRPr="005F1FD6">
        <w:rPr>
          <w:rFonts w:ascii="Times New Roman" w:hAnsi="Times New Roman" w:cs="Times New Roman"/>
          <w:sz w:val="24"/>
          <w:szCs w:val="24"/>
        </w:rPr>
        <w:t xml:space="preserve"> (Wright </w:t>
      </w:r>
      <w:r w:rsidR="002174D5">
        <w:rPr>
          <w:rFonts w:ascii="Times New Roman" w:hAnsi="Times New Roman" w:cs="Times New Roman"/>
          <w:sz w:val="24"/>
          <w:szCs w:val="24"/>
        </w:rPr>
        <w:t>and</w:t>
      </w:r>
      <w:r w:rsidR="00C2314D" w:rsidRPr="005F1FD6">
        <w:rPr>
          <w:rFonts w:ascii="Times New Roman" w:hAnsi="Times New Roman" w:cs="Times New Roman"/>
          <w:sz w:val="24"/>
          <w:szCs w:val="24"/>
        </w:rPr>
        <w:t xml:space="preserve"> Robbie</w:t>
      </w:r>
      <w:r w:rsidR="000F75BB">
        <w:rPr>
          <w:rFonts w:ascii="Times New Roman" w:hAnsi="Times New Roman" w:cs="Times New Roman"/>
          <w:sz w:val="24"/>
          <w:szCs w:val="24"/>
        </w:rPr>
        <w:t>,</w:t>
      </w:r>
      <w:r w:rsidR="00C2314D" w:rsidRPr="005F1FD6">
        <w:rPr>
          <w:rFonts w:ascii="Times New Roman" w:hAnsi="Times New Roman" w:cs="Times New Roman"/>
          <w:sz w:val="24"/>
          <w:szCs w:val="24"/>
        </w:rPr>
        <w:t xml:space="preserve"> 1998)</w:t>
      </w:r>
      <w:r w:rsidR="008101C3">
        <w:rPr>
          <w:rFonts w:ascii="Times New Roman" w:hAnsi="Times New Roman" w:cs="Times New Roman"/>
          <w:sz w:val="24"/>
          <w:szCs w:val="24"/>
        </w:rPr>
        <w:t>, rather than by an individual</w:t>
      </w:r>
      <w:r w:rsidR="00C2314D" w:rsidRPr="005F1FD6">
        <w:rPr>
          <w:rFonts w:ascii="Times New Roman" w:hAnsi="Times New Roman" w:cs="Times New Roman"/>
          <w:sz w:val="24"/>
          <w:szCs w:val="24"/>
        </w:rPr>
        <w:t>.</w:t>
      </w:r>
      <w:r w:rsidR="00CC6BA0">
        <w:rPr>
          <w:rFonts w:ascii="Times New Roman" w:hAnsi="Times New Roman" w:cs="Times New Roman"/>
          <w:sz w:val="24"/>
          <w:szCs w:val="24"/>
        </w:rPr>
        <w:t xml:space="preserve"> An individual investment manager’s emotional attachment to a portfolio company with whom (s)he worked closely may avoid accepting new negative information (Guler</w:t>
      </w:r>
      <w:r w:rsidR="000F75BB">
        <w:rPr>
          <w:rFonts w:ascii="Times New Roman" w:hAnsi="Times New Roman" w:cs="Times New Roman"/>
          <w:sz w:val="24"/>
          <w:szCs w:val="24"/>
        </w:rPr>
        <w:t>,</w:t>
      </w:r>
      <w:r w:rsidR="00CC6BA0">
        <w:rPr>
          <w:rFonts w:ascii="Times New Roman" w:hAnsi="Times New Roman" w:cs="Times New Roman"/>
          <w:sz w:val="24"/>
          <w:szCs w:val="24"/>
        </w:rPr>
        <w:t xml:space="preserve"> 2007). This is consistent with </w:t>
      </w:r>
      <w:r w:rsidR="003E281C">
        <w:rPr>
          <w:rFonts w:ascii="Times New Roman" w:hAnsi="Times New Roman" w:cs="Times New Roman"/>
          <w:sz w:val="24"/>
          <w:szCs w:val="24"/>
        </w:rPr>
        <w:t xml:space="preserve">self-justification theory, which suggests psychological </w:t>
      </w:r>
      <w:r w:rsidR="002F412B">
        <w:rPr>
          <w:rFonts w:ascii="Times New Roman" w:hAnsi="Times New Roman" w:cs="Times New Roman"/>
          <w:sz w:val="24"/>
          <w:szCs w:val="24"/>
        </w:rPr>
        <w:t>pressures</w:t>
      </w:r>
      <w:r w:rsidR="003E281C">
        <w:rPr>
          <w:rFonts w:ascii="Times New Roman" w:hAnsi="Times New Roman" w:cs="Times New Roman"/>
          <w:sz w:val="24"/>
          <w:szCs w:val="24"/>
        </w:rPr>
        <w:t xml:space="preserve"> </w:t>
      </w:r>
      <w:r w:rsidR="00341339">
        <w:rPr>
          <w:rFonts w:ascii="Times New Roman" w:hAnsi="Times New Roman" w:cs="Times New Roman"/>
          <w:sz w:val="24"/>
          <w:szCs w:val="24"/>
        </w:rPr>
        <w:t>as</w:t>
      </w:r>
      <w:r w:rsidR="003E281C">
        <w:rPr>
          <w:rFonts w:ascii="Times New Roman" w:hAnsi="Times New Roman" w:cs="Times New Roman"/>
          <w:sz w:val="24"/>
          <w:szCs w:val="24"/>
        </w:rPr>
        <w:t xml:space="preserve"> expla</w:t>
      </w:r>
      <w:r w:rsidR="00341339">
        <w:rPr>
          <w:rFonts w:ascii="Times New Roman" w:hAnsi="Times New Roman" w:cs="Times New Roman"/>
          <w:sz w:val="24"/>
          <w:szCs w:val="24"/>
        </w:rPr>
        <w:t>nation of</w:t>
      </w:r>
      <w:r w:rsidR="003E281C">
        <w:rPr>
          <w:rFonts w:ascii="Times New Roman" w:hAnsi="Times New Roman" w:cs="Times New Roman"/>
          <w:sz w:val="24"/>
          <w:szCs w:val="24"/>
        </w:rPr>
        <w:t xml:space="preserve"> escalation </w:t>
      </w:r>
      <w:r w:rsidR="00341339">
        <w:rPr>
          <w:rFonts w:ascii="Times New Roman" w:hAnsi="Times New Roman" w:cs="Times New Roman"/>
          <w:sz w:val="24"/>
          <w:szCs w:val="24"/>
        </w:rPr>
        <w:t xml:space="preserve">of commitment </w:t>
      </w:r>
      <w:r w:rsidR="003E281C">
        <w:rPr>
          <w:rFonts w:ascii="Times New Roman" w:hAnsi="Times New Roman" w:cs="Times New Roman"/>
          <w:sz w:val="24"/>
          <w:szCs w:val="24"/>
        </w:rPr>
        <w:t>to a failing course of action (Sleesman</w:t>
      </w:r>
      <w:r w:rsidR="00995842">
        <w:rPr>
          <w:rFonts w:ascii="Times New Roman" w:hAnsi="Times New Roman" w:cs="Times New Roman"/>
          <w:sz w:val="24"/>
          <w:szCs w:val="24"/>
        </w:rPr>
        <w:t>, Conlon, McNamara</w:t>
      </w:r>
      <w:r w:rsidR="003E281C">
        <w:rPr>
          <w:rFonts w:ascii="Times New Roman" w:hAnsi="Times New Roman" w:cs="Times New Roman"/>
          <w:sz w:val="24"/>
          <w:szCs w:val="24"/>
        </w:rPr>
        <w:t xml:space="preserve"> et al.</w:t>
      </w:r>
      <w:r w:rsidR="000F75BB">
        <w:rPr>
          <w:rFonts w:ascii="Times New Roman" w:hAnsi="Times New Roman" w:cs="Times New Roman"/>
          <w:sz w:val="24"/>
          <w:szCs w:val="24"/>
        </w:rPr>
        <w:t>,</w:t>
      </w:r>
      <w:r w:rsidR="003E281C">
        <w:rPr>
          <w:rFonts w:ascii="Times New Roman" w:hAnsi="Times New Roman" w:cs="Times New Roman"/>
          <w:sz w:val="24"/>
          <w:szCs w:val="24"/>
        </w:rPr>
        <w:t xml:space="preserve"> 2012). </w:t>
      </w:r>
      <w:r w:rsidR="002D2694">
        <w:rPr>
          <w:rFonts w:ascii="Times New Roman" w:hAnsi="Times New Roman" w:cs="Times New Roman"/>
          <w:sz w:val="24"/>
          <w:szCs w:val="24"/>
        </w:rPr>
        <w:t>Having an investment committee, rather than an individual, deciding on further investments should hence reduce biases and improve the quality of the decision</w:t>
      </w:r>
      <w:r w:rsidR="00366535">
        <w:rPr>
          <w:rFonts w:ascii="Times New Roman" w:hAnsi="Times New Roman" w:cs="Times New Roman"/>
          <w:sz w:val="24"/>
          <w:szCs w:val="24"/>
        </w:rPr>
        <w:t xml:space="preserve">, although </w:t>
      </w:r>
      <w:r w:rsidR="002D2694">
        <w:rPr>
          <w:rFonts w:ascii="Times New Roman" w:hAnsi="Times New Roman" w:cs="Times New Roman"/>
          <w:sz w:val="24"/>
          <w:szCs w:val="24"/>
        </w:rPr>
        <w:t>political pressures within investment committees may</w:t>
      </w:r>
      <w:r w:rsidR="00366535">
        <w:rPr>
          <w:rFonts w:ascii="Times New Roman" w:hAnsi="Times New Roman" w:cs="Times New Roman"/>
          <w:sz w:val="24"/>
          <w:szCs w:val="24"/>
        </w:rPr>
        <w:t xml:space="preserve"> hamper this process</w:t>
      </w:r>
      <w:r w:rsidR="002D2694">
        <w:rPr>
          <w:rFonts w:ascii="Times New Roman" w:hAnsi="Times New Roman" w:cs="Times New Roman"/>
          <w:sz w:val="24"/>
          <w:szCs w:val="24"/>
        </w:rPr>
        <w:t xml:space="preserve"> </w:t>
      </w:r>
      <w:r w:rsidR="00366535">
        <w:rPr>
          <w:rFonts w:ascii="Times New Roman" w:hAnsi="Times New Roman" w:cs="Times New Roman"/>
          <w:sz w:val="24"/>
          <w:szCs w:val="24"/>
        </w:rPr>
        <w:t>(Guler</w:t>
      </w:r>
      <w:r w:rsidR="000F75BB">
        <w:rPr>
          <w:rFonts w:ascii="Times New Roman" w:hAnsi="Times New Roman" w:cs="Times New Roman"/>
          <w:sz w:val="24"/>
          <w:szCs w:val="24"/>
        </w:rPr>
        <w:t>,</w:t>
      </w:r>
      <w:r w:rsidR="00366535">
        <w:rPr>
          <w:rFonts w:ascii="Times New Roman" w:hAnsi="Times New Roman" w:cs="Times New Roman"/>
          <w:sz w:val="24"/>
          <w:szCs w:val="24"/>
        </w:rPr>
        <w:t xml:space="preserve"> 2007).</w:t>
      </w:r>
    </w:p>
    <w:p w14:paraId="2E2F2984" w14:textId="3800175A" w:rsidR="00576C47" w:rsidRDefault="00341339" w:rsidP="00BF580C">
      <w:pPr>
        <w:spacing w:after="0" w:line="480" w:lineRule="auto"/>
        <w:ind w:firstLine="432"/>
        <w:contextualSpacing/>
        <w:jc w:val="both"/>
        <w:rPr>
          <w:rFonts w:ascii="Times New Roman" w:hAnsi="Times New Roman" w:cs="Times New Roman"/>
          <w:sz w:val="24"/>
          <w:szCs w:val="24"/>
        </w:rPr>
      </w:pPr>
      <w:r>
        <w:rPr>
          <w:rFonts w:ascii="Times New Roman" w:hAnsi="Times New Roman" w:cs="Times New Roman"/>
          <w:sz w:val="24"/>
          <w:szCs w:val="24"/>
        </w:rPr>
        <w:lastRenderedPageBreak/>
        <w:t>In addition</w:t>
      </w:r>
      <w:r w:rsidR="00FC742F" w:rsidRPr="005F1FD6">
        <w:rPr>
          <w:rFonts w:ascii="Times New Roman" w:hAnsi="Times New Roman" w:cs="Times New Roman"/>
          <w:sz w:val="24"/>
          <w:szCs w:val="24"/>
        </w:rPr>
        <w:t>, VC</w:t>
      </w:r>
      <w:r w:rsidR="004E7094" w:rsidRPr="005F1FD6">
        <w:rPr>
          <w:rFonts w:ascii="Times New Roman" w:hAnsi="Times New Roman" w:cs="Times New Roman"/>
          <w:sz w:val="24"/>
          <w:szCs w:val="24"/>
        </w:rPr>
        <w:t xml:space="preserve"> firm</w:t>
      </w:r>
      <w:r w:rsidR="00FC742F" w:rsidRPr="005F1FD6">
        <w:rPr>
          <w:rFonts w:ascii="Times New Roman" w:hAnsi="Times New Roman" w:cs="Times New Roman"/>
          <w:sz w:val="24"/>
          <w:szCs w:val="24"/>
        </w:rPr>
        <w:t xml:space="preserve">s </w:t>
      </w:r>
      <w:r w:rsidR="00C4396C" w:rsidRPr="005F1FD6">
        <w:rPr>
          <w:rFonts w:ascii="Times New Roman" w:hAnsi="Times New Roman" w:cs="Times New Roman"/>
          <w:sz w:val="24"/>
          <w:szCs w:val="24"/>
        </w:rPr>
        <w:t xml:space="preserve">frequently </w:t>
      </w:r>
      <w:r w:rsidR="004E7094" w:rsidRPr="005F1FD6">
        <w:rPr>
          <w:rFonts w:ascii="Times New Roman" w:hAnsi="Times New Roman" w:cs="Times New Roman"/>
          <w:sz w:val="24"/>
          <w:szCs w:val="24"/>
        </w:rPr>
        <w:t xml:space="preserve">co-invest or </w:t>
      </w:r>
      <w:r w:rsidR="00C4396C" w:rsidRPr="005F1FD6">
        <w:rPr>
          <w:rFonts w:ascii="Times New Roman" w:hAnsi="Times New Roman" w:cs="Times New Roman"/>
          <w:sz w:val="24"/>
          <w:szCs w:val="24"/>
        </w:rPr>
        <w:t>syndicate investments with other VC</w:t>
      </w:r>
      <w:r w:rsidR="004E7094" w:rsidRPr="005F1FD6">
        <w:rPr>
          <w:rFonts w:ascii="Times New Roman" w:hAnsi="Times New Roman" w:cs="Times New Roman"/>
          <w:sz w:val="24"/>
          <w:szCs w:val="24"/>
        </w:rPr>
        <w:t xml:space="preserve"> firm</w:t>
      </w:r>
      <w:r w:rsidR="00C4396C" w:rsidRPr="005F1FD6">
        <w:rPr>
          <w:rFonts w:ascii="Times New Roman" w:hAnsi="Times New Roman" w:cs="Times New Roman"/>
          <w:sz w:val="24"/>
          <w:szCs w:val="24"/>
        </w:rPr>
        <w:t>s</w:t>
      </w:r>
      <w:r w:rsidR="004E7094" w:rsidRPr="005F1FD6">
        <w:rPr>
          <w:rFonts w:ascii="Times New Roman" w:hAnsi="Times New Roman" w:cs="Times New Roman"/>
          <w:sz w:val="24"/>
          <w:szCs w:val="24"/>
        </w:rPr>
        <w:t xml:space="preserve"> which </w:t>
      </w:r>
      <w:r w:rsidR="008101C3">
        <w:rPr>
          <w:rFonts w:ascii="Times New Roman" w:hAnsi="Times New Roman" w:cs="Times New Roman"/>
          <w:sz w:val="24"/>
          <w:szCs w:val="24"/>
        </w:rPr>
        <w:t xml:space="preserve">should </w:t>
      </w:r>
      <w:r w:rsidR="00C4396C" w:rsidRPr="005F1FD6">
        <w:rPr>
          <w:rFonts w:ascii="Times New Roman" w:hAnsi="Times New Roman" w:cs="Times New Roman"/>
          <w:sz w:val="24"/>
          <w:szCs w:val="24"/>
        </w:rPr>
        <w:t>provide a “second</w:t>
      </w:r>
      <w:r w:rsidR="00FC360A">
        <w:rPr>
          <w:rFonts w:ascii="Times New Roman" w:hAnsi="Times New Roman" w:cs="Times New Roman"/>
          <w:sz w:val="24"/>
          <w:szCs w:val="24"/>
        </w:rPr>
        <w:t xml:space="preserve"> opinion” from their peers</w:t>
      </w:r>
      <w:r w:rsidR="00CD505E">
        <w:rPr>
          <w:rFonts w:ascii="Times New Roman" w:hAnsi="Times New Roman" w:cs="Times New Roman"/>
          <w:sz w:val="24"/>
          <w:szCs w:val="24"/>
        </w:rPr>
        <w:t xml:space="preserve"> (Wright </w:t>
      </w:r>
      <w:r w:rsidR="002174D5">
        <w:rPr>
          <w:rFonts w:ascii="Times New Roman" w:hAnsi="Times New Roman" w:cs="Times New Roman"/>
          <w:sz w:val="24"/>
          <w:szCs w:val="24"/>
        </w:rPr>
        <w:t>and</w:t>
      </w:r>
      <w:r w:rsidR="00CD505E">
        <w:rPr>
          <w:rFonts w:ascii="Times New Roman" w:hAnsi="Times New Roman" w:cs="Times New Roman"/>
          <w:sz w:val="24"/>
          <w:szCs w:val="24"/>
        </w:rPr>
        <w:t xml:space="preserve"> Lockett, 2003)</w:t>
      </w:r>
      <w:r w:rsidR="00C4396C" w:rsidRPr="005F1FD6">
        <w:rPr>
          <w:rFonts w:ascii="Times New Roman" w:hAnsi="Times New Roman" w:cs="Times New Roman"/>
          <w:sz w:val="24"/>
          <w:szCs w:val="24"/>
        </w:rPr>
        <w:t>.</w:t>
      </w:r>
      <w:r w:rsidR="00F62C98" w:rsidRPr="005F1FD6">
        <w:rPr>
          <w:rFonts w:ascii="Times New Roman" w:hAnsi="Times New Roman" w:cs="Times New Roman"/>
          <w:sz w:val="24"/>
          <w:szCs w:val="24"/>
        </w:rPr>
        <w:t xml:space="preserve"> </w:t>
      </w:r>
      <w:r w:rsidR="008101C3">
        <w:rPr>
          <w:rFonts w:ascii="Times New Roman" w:hAnsi="Times New Roman" w:cs="Times New Roman"/>
          <w:sz w:val="24"/>
          <w:szCs w:val="24"/>
        </w:rPr>
        <w:t xml:space="preserve">Nevertheless, </w:t>
      </w:r>
      <w:r w:rsidR="00C350A2" w:rsidRPr="005F1FD6">
        <w:rPr>
          <w:rFonts w:ascii="Times New Roman" w:hAnsi="Times New Roman" w:cs="Times New Roman"/>
          <w:sz w:val="24"/>
          <w:szCs w:val="24"/>
        </w:rPr>
        <w:t>institutional in</w:t>
      </w:r>
      <w:r w:rsidR="00ED13B3" w:rsidRPr="005F1FD6">
        <w:rPr>
          <w:rFonts w:ascii="Times New Roman" w:hAnsi="Times New Roman" w:cs="Times New Roman"/>
          <w:sz w:val="24"/>
          <w:szCs w:val="24"/>
        </w:rPr>
        <w:t>fluences</w:t>
      </w:r>
      <w:r w:rsidR="007C5D85">
        <w:rPr>
          <w:rFonts w:ascii="Times New Roman" w:hAnsi="Times New Roman" w:cs="Times New Roman"/>
          <w:sz w:val="24"/>
          <w:szCs w:val="24"/>
        </w:rPr>
        <w:t>, including coercive and normative pressures from syndicate partners</w:t>
      </w:r>
      <w:r w:rsidR="00610B35">
        <w:rPr>
          <w:rFonts w:ascii="Times New Roman" w:hAnsi="Times New Roman" w:cs="Times New Roman"/>
          <w:sz w:val="24"/>
          <w:szCs w:val="24"/>
        </w:rPr>
        <w:t xml:space="preserve"> may explain escalation behavior</w:t>
      </w:r>
      <w:r w:rsidR="00A0428A">
        <w:rPr>
          <w:rFonts w:ascii="Times New Roman" w:hAnsi="Times New Roman" w:cs="Times New Roman"/>
          <w:sz w:val="24"/>
          <w:szCs w:val="24"/>
        </w:rPr>
        <w:t xml:space="preserve"> (Guler, 2007)</w:t>
      </w:r>
      <w:r w:rsidR="002F412B">
        <w:rPr>
          <w:rFonts w:ascii="Times New Roman" w:hAnsi="Times New Roman" w:cs="Times New Roman"/>
          <w:sz w:val="24"/>
          <w:szCs w:val="24"/>
        </w:rPr>
        <w:t>.</w:t>
      </w:r>
      <w:r w:rsidR="00AA4A96">
        <w:rPr>
          <w:rFonts w:ascii="Times New Roman" w:hAnsi="Times New Roman" w:cs="Times New Roman"/>
          <w:sz w:val="24"/>
          <w:szCs w:val="24"/>
        </w:rPr>
        <w:t xml:space="preserve"> </w:t>
      </w:r>
      <w:r w:rsidR="002F412B">
        <w:rPr>
          <w:rFonts w:ascii="Times New Roman" w:hAnsi="Times New Roman" w:cs="Times New Roman"/>
          <w:sz w:val="24"/>
          <w:szCs w:val="24"/>
        </w:rPr>
        <w:t>Coercive pressures from co-investors may be contractual, in that terminating investors may be disproportionally diluted or lose their rights (“pay-to-play” clauses</w:t>
      </w:r>
      <w:r w:rsidR="00BB1058">
        <w:rPr>
          <w:rFonts w:ascii="Times New Roman" w:hAnsi="Times New Roman" w:cs="Times New Roman"/>
          <w:sz w:val="24"/>
          <w:szCs w:val="24"/>
        </w:rPr>
        <w:t>)</w:t>
      </w:r>
      <w:r w:rsidR="002F412B">
        <w:rPr>
          <w:rFonts w:ascii="Times New Roman" w:hAnsi="Times New Roman" w:cs="Times New Roman"/>
          <w:sz w:val="24"/>
          <w:szCs w:val="24"/>
        </w:rPr>
        <w:t xml:space="preserve">. </w:t>
      </w:r>
      <w:r w:rsidR="005A3D32">
        <w:rPr>
          <w:rFonts w:ascii="Times New Roman" w:hAnsi="Times New Roman" w:cs="Times New Roman"/>
          <w:sz w:val="24"/>
          <w:szCs w:val="24"/>
        </w:rPr>
        <w:t xml:space="preserve">Syndicate partners may also impose normative pressures, as “standing by your venture and invest further even when the conditions get tough” (Guler, 2007:261) is considered the norm in the industry. Failing to comply </w:t>
      </w:r>
      <w:r w:rsidR="00CD505E">
        <w:rPr>
          <w:rFonts w:ascii="Times New Roman" w:hAnsi="Times New Roman" w:cs="Times New Roman"/>
          <w:sz w:val="24"/>
          <w:szCs w:val="24"/>
        </w:rPr>
        <w:t>with</w:t>
      </w:r>
      <w:r w:rsidR="005A3D32">
        <w:rPr>
          <w:rFonts w:ascii="Times New Roman" w:hAnsi="Times New Roman" w:cs="Times New Roman"/>
          <w:sz w:val="24"/>
          <w:szCs w:val="24"/>
        </w:rPr>
        <w:t xml:space="preserve"> this norm may </w:t>
      </w:r>
      <w:r w:rsidR="007D2870">
        <w:rPr>
          <w:rFonts w:ascii="Times New Roman" w:hAnsi="Times New Roman" w:cs="Times New Roman"/>
          <w:sz w:val="24"/>
          <w:szCs w:val="24"/>
        </w:rPr>
        <w:t>have a negative effect on the VC investor’s reputation and limit access to critical resources, such as future deal flow reciprocated by syndicate partners</w:t>
      </w:r>
      <w:r w:rsidR="00AF636F">
        <w:rPr>
          <w:rFonts w:ascii="Times New Roman" w:hAnsi="Times New Roman" w:cs="Times New Roman"/>
          <w:sz w:val="24"/>
          <w:szCs w:val="24"/>
        </w:rPr>
        <w:t xml:space="preserve"> (Mäkelä and Maula, 2006)</w:t>
      </w:r>
      <w:r w:rsidR="007D2870">
        <w:rPr>
          <w:rFonts w:ascii="Times New Roman" w:hAnsi="Times New Roman" w:cs="Times New Roman"/>
          <w:sz w:val="24"/>
          <w:szCs w:val="24"/>
        </w:rPr>
        <w:t xml:space="preserve">. </w:t>
      </w:r>
    </w:p>
    <w:p w14:paraId="62587E19" w14:textId="768CB042" w:rsidR="004E5F00" w:rsidRPr="004E5F00" w:rsidRDefault="00793AC1" w:rsidP="004E5F00">
      <w:pPr>
        <w:spacing w:after="0" w:line="480" w:lineRule="auto"/>
        <w:ind w:firstLine="432"/>
        <w:contextualSpacing/>
        <w:jc w:val="both"/>
        <w:rPr>
          <w:rFonts w:ascii="Times New Roman" w:hAnsi="Times New Roman" w:cs="Times New Roman"/>
          <w:sz w:val="24"/>
          <w:szCs w:val="24"/>
          <w:lang w:val="en-GB"/>
        </w:rPr>
      </w:pPr>
      <w:r w:rsidRPr="00793AC1">
        <w:rPr>
          <w:rFonts w:ascii="Times New Roman" w:hAnsi="Times New Roman" w:cs="Times New Roman"/>
          <w:sz w:val="24"/>
          <w:szCs w:val="24"/>
        </w:rPr>
        <w:t xml:space="preserve">Our </w:t>
      </w:r>
      <w:r w:rsidR="00A34F5F">
        <w:rPr>
          <w:rFonts w:ascii="Times New Roman" w:hAnsi="Times New Roman" w:cs="Times New Roman"/>
          <w:sz w:val="24"/>
          <w:szCs w:val="24"/>
        </w:rPr>
        <w:t>study</w:t>
      </w:r>
      <w:r w:rsidR="00A34F5F" w:rsidRPr="00793AC1">
        <w:rPr>
          <w:rFonts w:ascii="Times New Roman" w:hAnsi="Times New Roman" w:cs="Times New Roman"/>
          <w:sz w:val="24"/>
          <w:szCs w:val="24"/>
        </w:rPr>
        <w:t xml:space="preserve"> </w:t>
      </w:r>
      <w:r w:rsidR="00CD505E">
        <w:rPr>
          <w:rFonts w:ascii="Times New Roman" w:hAnsi="Times New Roman" w:cs="Times New Roman"/>
          <w:sz w:val="24"/>
          <w:szCs w:val="24"/>
        </w:rPr>
        <w:t>extends</w:t>
      </w:r>
      <w:r w:rsidRPr="00793AC1">
        <w:rPr>
          <w:rFonts w:ascii="Times New Roman" w:hAnsi="Times New Roman" w:cs="Times New Roman"/>
          <w:sz w:val="24"/>
          <w:szCs w:val="24"/>
        </w:rPr>
        <w:t xml:space="preserve"> this research stream by </w:t>
      </w:r>
      <w:r w:rsidR="00CD505E">
        <w:rPr>
          <w:rFonts w:ascii="Times New Roman" w:hAnsi="Times New Roman" w:cs="Times New Roman"/>
          <w:sz w:val="24"/>
          <w:szCs w:val="24"/>
        </w:rPr>
        <w:t xml:space="preserve">conceptualizing </w:t>
      </w:r>
      <w:r w:rsidRPr="00793AC1">
        <w:rPr>
          <w:rFonts w:ascii="Times New Roman" w:hAnsi="Times New Roman" w:cs="Times New Roman"/>
          <w:sz w:val="24"/>
          <w:szCs w:val="24"/>
        </w:rPr>
        <w:t>differen</w:t>
      </w:r>
      <w:r w:rsidR="00CD505E">
        <w:rPr>
          <w:rFonts w:ascii="Times New Roman" w:hAnsi="Times New Roman" w:cs="Times New Roman"/>
          <w:sz w:val="24"/>
          <w:szCs w:val="24"/>
        </w:rPr>
        <w:t>ces</w:t>
      </w:r>
      <w:r w:rsidRPr="00793AC1">
        <w:rPr>
          <w:rFonts w:ascii="Times New Roman" w:hAnsi="Times New Roman" w:cs="Times New Roman"/>
          <w:sz w:val="24"/>
          <w:szCs w:val="24"/>
        </w:rPr>
        <w:t xml:space="preserve"> between cross-border and domestic VC firms.</w:t>
      </w:r>
      <w:r w:rsidR="00576C47">
        <w:rPr>
          <w:rFonts w:ascii="Times New Roman" w:hAnsi="Times New Roman" w:cs="Times New Roman"/>
          <w:sz w:val="24"/>
          <w:szCs w:val="24"/>
        </w:rPr>
        <w:t xml:space="preserve"> </w:t>
      </w:r>
      <w:r w:rsidR="002B4409" w:rsidRPr="005F1FD6">
        <w:rPr>
          <w:rFonts w:ascii="Times New Roman" w:hAnsi="Times New Roman" w:cs="Times New Roman"/>
          <w:sz w:val="24"/>
          <w:szCs w:val="24"/>
        </w:rPr>
        <w:t xml:space="preserve">We first theorize how </w:t>
      </w:r>
      <w:r w:rsidR="00242AEA">
        <w:rPr>
          <w:rFonts w:ascii="Times New Roman" w:hAnsi="Times New Roman" w:cs="Times New Roman"/>
          <w:sz w:val="24"/>
          <w:szCs w:val="24"/>
        </w:rPr>
        <w:t>emotional</w:t>
      </w:r>
      <w:r w:rsidR="00995842">
        <w:rPr>
          <w:rFonts w:ascii="Times New Roman" w:hAnsi="Times New Roman" w:cs="Times New Roman"/>
          <w:sz w:val="24"/>
          <w:szCs w:val="24"/>
        </w:rPr>
        <w:t>,</w:t>
      </w:r>
      <w:r w:rsidR="00242AEA">
        <w:rPr>
          <w:rFonts w:ascii="Times New Roman" w:hAnsi="Times New Roman" w:cs="Times New Roman"/>
          <w:sz w:val="24"/>
          <w:szCs w:val="24"/>
        </w:rPr>
        <w:t xml:space="preserve"> </w:t>
      </w:r>
      <w:r w:rsidR="00573EBF">
        <w:rPr>
          <w:rFonts w:ascii="Times New Roman" w:hAnsi="Times New Roman" w:cs="Times New Roman"/>
          <w:sz w:val="24"/>
          <w:szCs w:val="24"/>
        </w:rPr>
        <w:t>social</w:t>
      </w:r>
      <w:r w:rsidR="00995842">
        <w:rPr>
          <w:rFonts w:ascii="Times New Roman" w:hAnsi="Times New Roman" w:cs="Times New Roman"/>
          <w:sz w:val="24"/>
          <w:szCs w:val="24"/>
        </w:rPr>
        <w:t xml:space="preserve"> and institutional</w:t>
      </w:r>
      <w:r w:rsidR="00573EBF">
        <w:rPr>
          <w:rFonts w:ascii="Times New Roman" w:hAnsi="Times New Roman" w:cs="Times New Roman"/>
          <w:sz w:val="24"/>
          <w:szCs w:val="24"/>
        </w:rPr>
        <w:t xml:space="preserve"> differences</w:t>
      </w:r>
      <w:r w:rsidR="00F64E49">
        <w:rPr>
          <w:rFonts w:ascii="Times New Roman" w:hAnsi="Times New Roman" w:cs="Times New Roman"/>
          <w:sz w:val="24"/>
          <w:szCs w:val="24"/>
        </w:rPr>
        <w:t xml:space="preserve"> between </w:t>
      </w:r>
      <w:r w:rsidR="002B4409" w:rsidRPr="005F1FD6">
        <w:rPr>
          <w:rFonts w:ascii="Times New Roman" w:hAnsi="Times New Roman" w:cs="Times New Roman"/>
          <w:sz w:val="24"/>
          <w:szCs w:val="24"/>
        </w:rPr>
        <w:t xml:space="preserve">cross-border </w:t>
      </w:r>
      <w:r w:rsidR="00F64E49">
        <w:rPr>
          <w:rFonts w:ascii="Times New Roman" w:hAnsi="Times New Roman" w:cs="Times New Roman"/>
          <w:sz w:val="24"/>
          <w:szCs w:val="24"/>
        </w:rPr>
        <w:t xml:space="preserve">and </w:t>
      </w:r>
      <w:r w:rsidR="002B4409" w:rsidRPr="005F1FD6">
        <w:rPr>
          <w:rFonts w:ascii="Times New Roman" w:hAnsi="Times New Roman" w:cs="Times New Roman"/>
          <w:sz w:val="24"/>
          <w:szCs w:val="24"/>
        </w:rPr>
        <w:t>domestic investors in</w:t>
      </w:r>
      <w:r w:rsidR="00F64E49">
        <w:rPr>
          <w:rFonts w:ascii="Times New Roman" w:hAnsi="Times New Roman" w:cs="Times New Roman"/>
          <w:sz w:val="24"/>
          <w:szCs w:val="24"/>
        </w:rPr>
        <w:t>fluence</w:t>
      </w:r>
      <w:r w:rsidR="002B4409" w:rsidRPr="005F1FD6">
        <w:rPr>
          <w:rFonts w:ascii="Times New Roman" w:hAnsi="Times New Roman" w:cs="Times New Roman"/>
          <w:sz w:val="24"/>
          <w:szCs w:val="24"/>
        </w:rPr>
        <w:t xml:space="preserve"> </w:t>
      </w:r>
      <w:r w:rsidR="00CD505E">
        <w:rPr>
          <w:rFonts w:ascii="Times New Roman" w:hAnsi="Times New Roman" w:cs="Times New Roman"/>
          <w:sz w:val="24"/>
          <w:szCs w:val="24"/>
        </w:rPr>
        <w:t>different</w:t>
      </w:r>
      <w:r w:rsidR="002B4409" w:rsidRPr="005F1FD6">
        <w:rPr>
          <w:rFonts w:ascii="Times New Roman" w:hAnsi="Times New Roman" w:cs="Times New Roman"/>
          <w:sz w:val="24"/>
          <w:szCs w:val="24"/>
        </w:rPr>
        <w:t xml:space="preserve"> tendenc</w:t>
      </w:r>
      <w:r w:rsidR="00CD505E">
        <w:rPr>
          <w:rFonts w:ascii="Times New Roman" w:hAnsi="Times New Roman" w:cs="Times New Roman"/>
          <w:sz w:val="24"/>
          <w:szCs w:val="24"/>
        </w:rPr>
        <w:t>ies</w:t>
      </w:r>
      <w:r w:rsidR="002B4409" w:rsidRPr="005F1FD6">
        <w:rPr>
          <w:rFonts w:ascii="Times New Roman" w:hAnsi="Times New Roman" w:cs="Times New Roman"/>
          <w:sz w:val="24"/>
          <w:szCs w:val="24"/>
        </w:rPr>
        <w:t xml:space="preserve"> to escalate commitment to a failing course of action. </w:t>
      </w:r>
      <w:r w:rsidR="00CD505E">
        <w:rPr>
          <w:rFonts w:ascii="Times New Roman" w:hAnsi="Times New Roman" w:cs="Times New Roman"/>
          <w:sz w:val="24"/>
          <w:szCs w:val="24"/>
        </w:rPr>
        <w:t>W</w:t>
      </w:r>
      <w:r w:rsidR="002B4409" w:rsidRPr="005F1FD6">
        <w:rPr>
          <w:rFonts w:ascii="Times New Roman" w:hAnsi="Times New Roman" w:cs="Times New Roman"/>
          <w:sz w:val="24"/>
          <w:szCs w:val="24"/>
        </w:rPr>
        <w:t xml:space="preserve">e </w:t>
      </w:r>
      <w:r w:rsidR="00CD505E">
        <w:rPr>
          <w:rFonts w:ascii="Times New Roman" w:hAnsi="Times New Roman" w:cs="Times New Roman"/>
          <w:sz w:val="24"/>
          <w:szCs w:val="24"/>
        </w:rPr>
        <w:t xml:space="preserve">then </w:t>
      </w:r>
      <w:r w:rsidR="002B4409" w:rsidRPr="005F1FD6">
        <w:rPr>
          <w:rFonts w:ascii="Times New Roman" w:hAnsi="Times New Roman" w:cs="Times New Roman"/>
          <w:sz w:val="24"/>
          <w:szCs w:val="24"/>
        </w:rPr>
        <w:t>theorize how investing from a local branch may affect escalation of commitment</w:t>
      </w:r>
      <w:r w:rsidR="00CD505E">
        <w:rPr>
          <w:rFonts w:ascii="Times New Roman" w:hAnsi="Times New Roman" w:cs="Times New Roman"/>
          <w:sz w:val="24"/>
          <w:szCs w:val="24"/>
        </w:rPr>
        <w:t xml:space="preserve"> differently from investing cross-border at arms’ length</w:t>
      </w:r>
      <w:r w:rsidR="002B4409" w:rsidRPr="005F1FD6">
        <w:rPr>
          <w:rFonts w:ascii="Times New Roman" w:hAnsi="Times New Roman" w:cs="Times New Roman"/>
          <w:sz w:val="24"/>
          <w:szCs w:val="24"/>
        </w:rPr>
        <w:t>.</w:t>
      </w:r>
    </w:p>
    <w:p w14:paraId="77EA7A6B" w14:textId="77777777" w:rsidR="00345C26" w:rsidRPr="005F1FD6" w:rsidRDefault="00AA6CEE" w:rsidP="009E0A45">
      <w:pPr>
        <w:spacing w:after="0" w:line="480" w:lineRule="auto"/>
        <w:jc w:val="both"/>
        <w:rPr>
          <w:rFonts w:ascii="Times New Roman" w:hAnsi="Times New Roman" w:cs="Times New Roman"/>
          <w:b/>
          <w:sz w:val="24"/>
          <w:szCs w:val="24"/>
        </w:rPr>
      </w:pPr>
      <w:r w:rsidRPr="005F1FD6">
        <w:rPr>
          <w:rFonts w:ascii="Times New Roman" w:hAnsi="Times New Roman" w:cs="Times New Roman"/>
          <w:b/>
          <w:sz w:val="24"/>
          <w:szCs w:val="24"/>
        </w:rPr>
        <w:t>Domestic versus cross-border</w:t>
      </w:r>
      <w:r w:rsidR="00F64E49">
        <w:rPr>
          <w:rFonts w:ascii="Times New Roman" w:hAnsi="Times New Roman" w:cs="Times New Roman"/>
          <w:b/>
          <w:sz w:val="24"/>
          <w:szCs w:val="24"/>
        </w:rPr>
        <w:t xml:space="preserve"> VC firms</w:t>
      </w:r>
    </w:p>
    <w:p w14:paraId="796745F1" w14:textId="77777777" w:rsidR="001A426A" w:rsidRPr="00BD5D2A" w:rsidRDefault="002B4409" w:rsidP="00BD5D2A">
      <w:pPr>
        <w:spacing w:after="0" w:line="480" w:lineRule="auto"/>
        <w:ind w:firstLine="432"/>
        <w:jc w:val="both"/>
        <w:rPr>
          <w:rFonts w:ascii="Times New Roman" w:hAnsi="Times New Roman" w:cs="Times New Roman"/>
          <w:sz w:val="24"/>
          <w:szCs w:val="24"/>
        </w:rPr>
      </w:pPr>
      <w:r w:rsidRPr="005F1FD6">
        <w:rPr>
          <w:rFonts w:ascii="Times New Roman" w:hAnsi="Times New Roman" w:cs="Times New Roman"/>
          <w:sz w:val="24"/>
          <w:szCs w:val="24"/>
        </w:rPr>
        <w:t>Compared to domestic VC firms, c</w:t>
      </w:r>
      <w:r w:rsidR="00F71644" w:rsidRPr="005F1FD6">
        <w:rPr>
          <w:rFonts w:ascii="Times New Roman" w:hAnsi="Times New Roman" w:cs="Times New Roman"/>
          <w:sz w:val="24"/>
          <w:szCs w:val="24"/>
        </w:rPr>
        <w:t>ross-border VC</w:t>
      </w:r>
      <w:r w:rsidR="009134CC" w:rsidRPr="005F1FD6">
        <w:rPr>
          <w:rFonts w:ascii="Times New Roman" w:hAnsi="Times New Roman" w:cs="Times New Roman"/>
          <w:sz w:val="24"/>
          <w:szCs w:val="24"/>
        </w:rPr>
        <w:t xml:space="preserve"> firms</w:t>
      </w:r>
      <w:r w:rsidR="00045FBF" w:rsidRPr="005F1FD6">
        <w:rPr>
          <w:rFonts w:ascii="Times New Roman" w:hAnsi="Times New Roman" w:cs="Times New Roman"/>
          <w:sz w:val="24"/>
          <w:szCs w:val="24"/>
        </w:rPr>
        <w:t xml:space="preserve"> face</w:t>
      </w:r>
      <w:r w:rsidR="00F71644" w:rsidRPr="005F1FD6">
        <w:rPr>
          <w:rFonts w:ascii="Times New Roman" w:hAnsi="Times New Roman" w:cs="Times New Roman"/>
          <w:sz w:val="24"/>
          <w:szCs w:val="24"/>
        </w:rPr>
        <w:t xml:space="preserve"> challenges of larger geographic distance </w:t>
      </w:r>
      <w:r w:rsidR="00AA3DF2">
        <w:rPr>
          <w:rFonts w:ascii="Times New Roman" w:hAnsi="Times New Roman" w:cs="Times New Roman"/>
          <w:sz w:val="24"/>
          <w:szCs w:val="24"/>
        </w:rPr>
        <w:t xml:space="preserve">to their portfolio companies </w:t>
      </w:r>
      <w:r w:rsidR="00F71644" w:rsidRPr="005F1FD6">
        <w:rPr>
          <w:rFonts w:ascii="Times New Roman" w:hAnsi="Times New Roman" w:cs="Times New Roman"/>
          <w:sz w:val="24"/>
          <w:szCs w:val="24"/>
        </w:rPr>
        <w:t xml:space="preserve">but also </w:t>
      </w:r>
      <w:r w:rsidRPr="005F1FD6">
        <w:rPr>
          <w:rFonts w:ascii="Times New Roman" w:hAnsi="Times New Roman" w:cs="Times New Roman"/>
          <w:sz w:val="24"/>
          <w:szCs w:val="24"/>
        </w:rPr>
        <w:t xml:space="preserve">of </w:t>
      </w:r>
      <w:r w:rsidR="00F71644" w:rsidRPr="005F1FD6">
        <w:rPr>
          <w:rFonts w:ascii="Times New Roman" w:hAnsi="Times New Roman" w:cs="Times New Roman"/>
          <w:sz w:val="24"/>
          <w:szCs w:val="24"/>
        </w:rPr>
        <w:t xml:space="preserve">cultural and legal differences. </w:t>
      </w:r>
      <w:r w:rsidR="00F64E49">
        <w:rPr>
          <w:rFonts w:ascii="Times New Roman" w:hAnsi="Times New Roman" w:cs="Times New Roman"/>
          <w:sz w:val="24"/>
          <w:szCs w:val="24"/>
        </w:rPr>
        <w:t xml:space="preserve">These lead to differences in </w:t>
      </w:r>
      <w:r w:rsidR="00AA3DF2">
        <w:rPr>
          <w:rFonts w:ascii="Times New Roman" w:hAnsi="Times New Roman" w:cs="Times New Roman"/>
          <w:sz w:val="24"/>
          <w:szCs w:val="24"/>
        </w:rPr>
        <w:t xml:space="preserve">emotional attachment and </w:t>
      </w:r>
      <w:r w:rsidR="00F64E49">
        <w:rPr>
          <w:rFonts w:ascii="Times New Roman" w:hAnsi="Times New Roman" w:cs="Times New Roman"/>
          <w:sz w:val="24"/>
          <w:szCs w:val="24"/>
        </w:rPr>
        <w:t xml:space="preserve">social embeddedness, which is expected to impact escalation of commitment. </w:t>
      </w:r>
      <w:r w:rsidR="0074530E" w:rsidRPr="005F1FD6">
        <w:rPr>
          <w:rFonts w:ascii="Times New Roman" w:hAnsi="Times New Roman" w:cs="Times New Roman"/>
          <w:sz w:val="24"/>
          <w:szCs w:val="24"/>
        </w:rPr>
        <w:t>Stakeholders</w:t>
      </w:r>
      <w:r w:rsidR="007442ED">
        <w:rPr>
          <w:rFonts w:ascii="Times New Roman" w:hAnsi="Times New Roman" w:cs="Times New Roman"/>
          <w:sz w:val="24"/>
          <w:szCs w:val="24"/>
        </w:rPr>
        <w:t xml:space="preserve"> of decision makers</w:t>
      </w:r>
      <w:r w:rsidR="0074530E" w:rsidRPr="005F1FD6">
        <w:rPr>
          <w:rFonts w:ascii="Times New Roman" w:hAnsi="Times New Roman" w:cs="Times New Roman"/>
          <w:sz w:val="24"/>
          <w:szCs w:val="24"/>
        </w:rPr>
        <w:t xml:space="preserve"> can give rise to </w:t>
      </w:r>
      <w:r w:rsidR="005315D1" w:rsidRPr="005F1FD6">
        <w:rPr>
          <w:rFonts w:ascii="Times New Roman" w:hAnsi="Times New Roman" w:cs="Times New Roman"/>
          <w:sz w:val="24"/>
          <w:szCs w:val="24"/>
        </w:rPr>
        <w:t xml:space="preserve">escalation of </w:t>
      </w:r>
      <w:r w:rsidR="0074530E" w:rsidRPr="005F1FD6">
        <w:rPr>
          <w:rFonts w:ascii="Times New Roman" w:hAnsi="Times New Roman" w:cs="Times New Roman"/>
          <w:sz w:val="24"/>
          <w:szCs w:val="24"/>
        </w:rPr>
        <w:t xml:space="preserve">commitment </w:t>
      </w:r>
      <w:r w:rsidR="005315D1" w:rsidRPr="005F1FD6">
        <w:rPr>
          <w:rFonts w:ascii="Times New Roman" w:hAnsi="Times New Roman" w:cs="Times New Roman"/>
          <w:sz w:val="24"/>
          <w:szCs w:val="24"/>
        </w:rPr>
        <w:t xml:space="preserve">as </w:t>
      </w:r>
      <w:r w:rsidR="00995842">
        <w:rPr>
          <w:rFonts w:ascii="Times New Roman" w:hAnsi="Times New Roman" w:cs="Times New Roman"/>
          <w:sz w:val="24"/>
          <w:szCs w:val="24"/>
        </w:rPr>
        <w:t>decision makers</w:t>
      </w:r>
      <w:r w:rsidR="00995842" w:rsidRPr="005F1FD6">
        <w:rPr>
          <w:rFonts w:ascii="Times New Roman" w:hAnsi="Times New Roman" w:cs="Times New Roman"/>
          <w:sz w:val="24"/>
          <w:szCs w:val="24"/>
        </w:rPr>
        <w:t xml:space="preserve"> </w:t>
      </w:r>
      <w:r w:rsidR="008B09DA" w:rsidRPr="005F1FD6">
        <w:rPr>
          <w:rFonts w:ascii="Times New Roman" w:hAnsi="Times New Roman" w:cs="Times New Roman"/>
          <w:sz w:val="24"/>
          <w:szCs w:val="24"/>
        </w:rPr>
        <w:t>may get emotionally involved</w:t>
      </w:r>
      <w:r w:rsidR="004D3797" w:rsidRPr="005F1FD6">
        <w:rPr>
          <w:rFonts w:ascii="Times New Roman" w:hAnsi="Times New Roman" w:cs="Times New Roman"/>
          <w:sz w:val="24"/>
          <w:szCs w:val="24"/>
        </w:rPr>
        <w:t xml:space="preserve"> </w:t>
      </w:r>
      <w:r w:rsidR="00995842">
        <w:rPr>
          <w:rFonts w:ascii="Times New Roman" w:hAnsi="Times New Roman" w:cs="Times New Roman"/>
          <w:sz w:val="24"/>
          <w:szCs w:val="24"/>
        </w:rPr>
        <w:t xml:space="preserve">with stakeholders </w:t>
      </w:r>
      <w:r w:rsidR="004D3797" w:rsidRPr="005F1FD6">
        <w:rPr>
          <w:rFonts w:ascii="Times New Roman" w:hAnsi="Times New Roman" w:cs="Times New Roman"/>
          <w:sz w:val="24"/>
          <w:szCs w:val="24"/>
        </w:rPr>
        <w:t xml:space="preserve">or may want to strategically manage the impressions others have </w:t>
      </w:r>
      <w:r w:rsidR="004D3797" w:rsidRPr="00397CAA">
        <w:rPr>
          <w:rFonts w:ascii="Times New Roman" w:hAnsi="Times New Roman" w:cs="Times New Roman"/>
          <w:sz w:val="24"/>
          <w:szCs w:val="24"/>
        </w:rPr>
        <w:t>of</w:t>
      </w:r>
      <w:r w:rsidR="001A426A" w:rsidRPr="00397CAA">
        <w:rPr>
          <w:rFonts w:ascii="Times New Roman" w:hAnsi="Times New Roman" w:cs="Times New Roman"/>
          <w:sz w:val="24"/>
          <w:szCs w:val="24"/>
        </w:rPr>
        <w:t xml:space="preserve"> </w:t>
      </w:r>
      <w:r w:rsidR="004D3797" w:rsidRPr="00397CAA">
        <w:rPr>
          <w:rFonts w:ascii="Times New Roman" w:hAnsi="Times New Roman" w:cs="Times New Roman"/>
          <w:sz w:val="24"/>
          <w:szCs w:val="24"/>
        </w:rPr>
        <w:t>them</w:t>
      </w:r>
      <w:r w:rsidR="001A426A" w:rsidRPr="00397CAA">
        <w:rPr>
          <w:rFonts w:ascii="Times New Roman" w:hAnsi="Times New Roman" w:cs="Times New Roman"/>
          <w:sz w:val="24"/>
          <w:szCs w:val="24"/>
        </w:rPr>
        <w:t xml:space="preserve"> (</w:t>
      </w:r>
      <w:r w:rsidR="00397CAA" w:rsidRPr="00397CAA">
        <w:rPr>
          <w:rFonts w:ascii="Times New Roman" w:hAnsi="Times New Roman" w:cs="Times New Roman"/>
          <w:sz w:val="24"/>
          <w:szCs w:val="24"/>
        </w:rPr>
        <w:t>Sleesman et al., 2012</w:t>
      </w:r>
      <w:r w:rsidR="001A426A" w:rsidRPr="00397CAA">
        <w:rPr>
          <w:rFonts w:ascii="Times New Roman" w:hAnsi="Times New Roman" w:cs="Times New Roman"/>
          <w:sz w:val="24"/>
          <w:szCs w:val="24"/>
        </w:rPr>
        <w:t>).</w:t>
      </w:r>
      <w:r w:rsidR="001A426A" w:rsidRPr="005F1FD6">
        <w:rPr>
          <w:rFonts w:ascii="Times New Roman" w:hAnsi="Times New Roman" w:cs="Times New Roman"/>
          <w:sz w:val="24"/>
          <w:szCs w:val="24"/>
        </w:rPr>
        <w:t xml:space="preserve"> The level of escalation of commitment that decision makers face may thus be contingent upon the extent that </w:t>
      </w:r>
      <w:r w:rsidR="001A426A" w:rsidRPr="005F1FD6">
        <w:rPr>
          <w:rFonts w:ascii="Times New Roman" w:hAnsi="Times New Roman" w:cs="Times New Roman"/>
          <w:sz w:val="24"/>
          <w:szCs w:val="24"/>
        </w:rPr>
        <w:lastRenderedPageBreak/>
        <w:t xml:space="preserve">doing so will portray them in a more favorable light towards external stakeholders. Escalation of commitment is therefore more likely to occur when continuing is more </w:t>
      </w:r>
      <w:r w:rsidR="00AA3DF2">
        <w:rPr>
          <w:rFonts w:ascii="Times New Roman" w:hAnsi="Times New Roman" w:cs="Times New Roman"/>
          <w:sz w:val="24"/>
          <w:szCs w:val="24"/>
        </w:rPr>
        <w:t xml:space="preserve">emotionally and </w:t>
      </w:r>
      <w:r w:rsidR="001A426A" w:rsidRPr="005F1FD6">
        <w:rPr>
          <w:rFonts w:ascii="Times New Roman" w:hAnsi="Times New Roman" w:cs="Times New Roman"/>
          <w:sz w:val="24"/>
          <w:szCs w:val="24"/>
        </w:rPr>
        <w:t>socially</w:t>
      </w:r>
      <w:r w:rsidR="002F67C0">
        <w:rPr>
          <w:rFonts w:ascii="Times New Roman" w:hAnsi="Times New Roman" w:cs="Times New Roman"/>
          <w:sz w:val="24"/>
          <w:szCs w:val="24"/>
        </w:rPr>
        <w:t xml:space="preserve"> </w:t>
      </w:r>
      <w:r w:rsidR="001A426A" w:rsidRPr="005F1FD6">
        <w:rPr>
          <w:rFonts w:ascii="Times New Roman" w:hAnsi="Times New Roman" w:cs="Times New Roman"/>
          <w:sz w:val="24"/>
          <w:szCs w:val="24"/>
        </w:rPr>
        <w:t xml:space="preserve">appropriate than quitting. </w:t>
      </w:r>
    </w:p>
    <w:p w14:paraId="09F31E1F" w14:textId="197C47B4" w:rsidR="00626441" w:rsidRPr="005F1FD6" w:rsidRDefault="00430E2F" w:rsidP="009E0A45">
      <w:pPr>
        <w:spacing w:after="0" w:line="480" w:lineRule="auto"/>
        <w:ind w:firstLine="432"/>
        <w:jc w:val="both"/>
        <w:rPr>
          <w:rFonts w:ascii="Times New Roman" w:hAnsi="Times New Roman" w:cs="Times New Roman"/>
          <w:sz w:val="24"/>
          <w:szCs w:val="24"/>
        </w:rPr>
      </w:pPr>
      <w:r w:rsidRPr="005F1FD6">
        <w:rPr>
          <w:rFonts w:ascii="Times New Roman" w:hAnsi="Times New Roman" w:cs="Times New Roman"/>
          <w:sz w:val="24"/>
          <w:szCs w:val="24"/>
        </w:rPr>
        <w:t>A</w:t>
      </w:r>
      <w:r w:rsidR="003A431F" w:rsidRPr="005F1FD6">
        <w:rPr>
          <w:rFonts w:ascii="Times New Roman" w:hAnsi="Times New Roman" w:cs="Times New Roman"/>
          <w:sz w:val="24"/>
          <w:szCs w:val="24"/>
        </w:rPr>
        <w:t xml:space="preserve"> </w:t>
      </w:r>
      <w:r w:rsidR="00E42949" w:rsidRPr="005F1FD6">
        <w:rPr>
          <w:rFonts w:ascii="Times New Roman" w:hAnsi="Times New Roman" w:cs="Times New Roman"/>
          <w:sz w:val="24"/>
          <w:szCs w:val="24"/>
        </w:rPr>
        <w:t xml:space="preserve">first </w:t>
      </w:r>
      <w:r w:rsidR="003A431F" w:rsidRPr="005F1FD6">
        <w:rPr>
          <w:rFonts w:ascii="Times New Roman" w:hAnsi="Times New Roman" w:cs="Times New Roman"/>
          <w:sz w:val="24"/>
          <w:szCs w:val="24"/>
        </w:rPr>
        <w:t xml:space="preserve">direct </w:t>
      </w:r>
      <w:r w:rsidR="008513E2" w:rsidRPr="005F1FD6">
        <w:rPr>
          <w:rFonts w:ascii="Times New Roman" w:hAnsi="Times New Roman" w:cs="Times New Roman"/>
          <w:sz w:val="24"/>
          <w:szCs w:val="24"/>
        </w:rPr>
        <w:t>key stakeholder for VC</w:t>
      </w:r>
      <w:r w:rsidR="00595944" w:rsidRPr="005F1FD6">
        <w:rPr>
          <w:rFonts w:ascii="Times New Roman" w:hAnsi="Times New Roman" w:cs="Times New Roman"/>
          <w:sz w:val="24"/>
          <w:szCs w:val="24"/>
        </w:rPr>
        <w:t xml:space="preserve"> firm</w:t>
      </w:r>
      <w:r w:rsidR="00024158" w:rsidRPr="005F1FD6">
        <w:rPr>
          <w:rFonts w:ascii="Times New Roman" w:hAnsi="Times New Roman" w:cs="Times New Roman"/>
          <w:sz w:val="24"/>
          <w:szCs w:val="24"/>
        </w:rPr>
        <w:t xml:space="preserve">s </w:t>
      </w:r>
      <w:r w:rsidR="006809DF" w:rsidRPr="005F1FD6">
        <w:rPr>
          <w:rFonts w:ascii="Times New Roman" w:hAnsi="Times New Roman" w:cs="Times New Roman"/>
          <w:sz w:val="24"/>
          <w:szCs w:val="24"/>
        </w:rPr>
        <w:t>is</w:t>
      </w:r>
      <w:r w:rsidR="00024158" w:rsidRPr="005F1FD6">
        <w:rPr>
          <w:rFonts w:ascii="Times New Roman" w:hAnsi="Times New Roman" w:cs="Times New Roman"/>
          <w:sz w:val="24"/>
          <w:szCs w:val="24"/>
        </w:rPr>
        <w:t xml:space="preserve"> the entrepreneur </w:t>
      </w:r>
      <w:r w:rsidR="008513E2" w:rsidRPr="005F1FD6">
        <w:rPr>
          <w:rFonts w:ascii="Times New Roman" w:hAnsi="Times New Roman" w:cs="Times New Roman"/>
          <w:sz w:val="24"/>
          <w:szCs w:val="24"/>
        </w:rPr>
        <w:t>in wh</w:t>
      </w:r>
      <w:r w:rsidR="009C6310">
        <w:rPr>
          <w:rFonts w:ascii="Times New Roman" w:hAnsi="Times New Roman" w:cs="Times New Roman"/>
          <w:sz w:val="24"/>
          <w:szCs w:val="24"/>
        </w:rPr>
        <w:t>om</w:t>
      </w:r>
      <w:r w:rsidR="008513E2" w:rsidRPr="005F1FD6">
        <w:rPr>
          <w:rFonts w:ascii="Times New Roman" w:hAnsi="Times New Roman" w:cs="Times New Roman"/>
          <w:sz w:val="24"/>
          <w:szCs w:val="24"/>
        </w:rPr>
        <w:t xml:space="preserve"> they invest.</w:t>
      </w:r>
      <w:r w:rsidR="00024158" w:rsidRPr="005F1FD6">
        <w:rPr>
          <w:rFonts w:ascii="Times New Roman" w:hAnsi="Times New Roman" w:cs="Times New Roman"/>
          <w:sz w:val="24"/>
          <w:szCs w:val="24"/>
        </w:rPr>
        <w:t xml:space="preserve"> </w:t>
      </w:r>
      <w:r w:rsidR="00A25DAF" w:rsidRPr="005F1FD6">
        <w:rPr>
          <w:rFonts w:ascii="Times New Roman" w:hAnsi="Times New Roman" w:cs="Times New Roman"/>
          <w:sz w:val="24"/>
          <w:szCs w:val="24"/>
        </w:rPr>
        <w:t>D</w:t>
      </w:r>
      <w:r w:rsidR="005E5BDA" w:rsidRPr="005F1FD6">
        <w:rPr>
          <w:rFonts w:ascii="Times New Roman" w:hAnsi="Times New Roman" w:cs="Times New Roman"/>
          <w:sz w:val="24"/>
          <w:szCs w:val="24"/>
        </w:rPr>
        <w:t>omestic VC</w:t>
      </w:r>
      <w:r w:rsidR="00595944" w:rsidRPr="005F1FD6">
        <w:rPr>
          <w:rFonts w:ascii="Times New Roman" w:hAnsi="Times New Roman" w:cs="Times New Roman"/>
          <w:sz w:val="24"/>
          <w:szCs w:val="24"/>
        </w:rPr>
        <w:t xml:space="preserve"> firm</w:t>
      </w:r>
      <w:r w:rsidR="005E5BDA" w:rsidRPr="005F1FD6">
        <w:rPr>
          <w:rFonts w:ascii="Times New Roman" w:hAnsi="Times New Roman" w:cs="Times New Roman"/>
          <w:sz w:val="24"/>
          <w:szCs w:val="24"/>
        </w:rPr>
        <w:t xml:space="preserve">s have </w:t>
      </w:r>
      <w:r w:rsidR="00AD5E26" w:rsidRPr="005F1FD6">
        <w:rPr>
          <w:rFonts w:ascii="Times New Roman" w:hAnsi="Times New Roman" w:cs="Times New Roman"/>
          <w:sz w:val="24"/>
          <w:szCs w:val="24"/>
        </w:rPr>
        <w:t xml:space="preserve">frequent </w:t>
      </w:r>
      <w:r w:rsidR="008B09DA" w:rsidRPr="005F1FD6">
        <w:rPr>
          <w:rFonts w:ascii="Times New Roman" w:hAnsi="Times New Roman" w:cs="Times New Roman"/>
          <w:sz w:val="24"/>
          <w:szCs w:val="24"/>
        </w:rPr>
        <w:t xml:space="preserve">social interaction </w:t>
      </w:r>
      <w:r w:rsidR="005E5BDA" w:rsidRPr="005F1FD6">
        <w:rPr>
          <w:rFonts w:ascii="Times New Roman" w:hAnsi="Times New Roman" w:cs="Times New Roman"/>
          <w:sz w:val="24"/>
          <w:szCs w:val="24"/>
        </w:rPr>
        <w:t xml:space="preserve">with </w:t>
      </w:r>
      <w:r w:rsidR="008B09DA" w:rsidRPr="005F1FD6">
        <w:rPr>
          <w:rFonts w:ascii="Times New Roman" w:hAnsi="Times New Roman" w:cs="Times New Roman"/>
          <w:sz w:val="24"/>
          <w:szCs w:val="24"/>
        </w:rPr>
        <w:t>entrepreneur</w:t>
      </w:r>
      <w:r w:rsidR="007442ED">
        <w:rPr>
          <w:rFonts w:ascii="Times New Roman" w:hAnsi="Times New Roman" w:cs="Times New Roman"/>
          <w:sz w:val="24"/>
          <w:szCs w:val="24"/>
        </w:rPr>
        <w:t>s</w:t>
      </w:r>
      <w:r w:rsidR="009C6310">
        <w:rPr>
          <w:rFonts w:ascii="Times New Roman" w:hAnsi="Times New Roman" w:cs="Times New Roman"/>
          <w:sz w:val="24"/>
          <w:szCs w:val="24"/>
        </w:rPr>
        <w:t xml:space="preserve">, </w:t>
      </w:r>
      <w:r w:rsidR="00A25DAF" w:rsidRPr="005F1FD6">
        <w:rPr>
          <w:rFonts w:ascii="Times New Roman" w:hAnsi="Times New Roman" w:cs="Times New Roman"/>
          <w:sz w:val="24"/>
          <w:szCs w:val="24"/>
        </w:rPr>
        <w:t>c</w:t>
      </w:r>
      <w:r w:rsidR="008B09DA" w:rsidRPr="005F1FD6">
        <w:rPr>
          <w:rFonts w:ascii="Times New Roman" w:hAnsi="Times New Roman" w:cs="Times New Roman"/>
          <w:sz w:val="24"/>
          <w:szCs w:val="24"/>
        </w:rPr>
        <w:t>reat</w:t>
      </w:r>
      <w:r w:rsidR="009C6310">
        <w:rPr>
          <w:rFonts w:ascii="Times New Roman" w:hAnsi="Times New Roman" w:cs="Times New Roman"/>
          <w:sz w:val="24"/>
          <w:szCs w:val="24"/>
        </w:rPr>
        <w:t>ing</w:t>
      </w:r>
      <w:r w:rsidR="008B09DA" w:rsidRPr="005F1FD6">
        <w:rPr>
          <w:rFonts w:ascii="Times New Roman" w:hAnsi="Times New Roman" w:cs="Times New Roman"/>
          <w:sz w:val="24"/>
          <w:szCs w:val="24"/>
        </w:rPr>
        <w:t xml:space="preserve"> positive feelings</w:t>
      </w:r>
      <w:r w:rsidR="0047428C">
        <w:rPr>
          <w:rFonts w:ascii="Times New Roman" w:hAnsi="Times New Roman" w:cs="Times New Roman"/>
          <w:sz w:val="24"/>
          <w:szCs w:val="24"/>
        </w:rPr>
        <w:t xml:space="preserve"> (De Clercq </w:t>
      </w:r>
      <w:r w:rsidR="002174D5">
        <w:rPr>
          <w:rFonts w:ascii="Times New Roman" w:hAnsi="Times New Roman" w:cs="Times New Roman"/>
          <w:sz w:val="24"/>
          <w:szCs w:val="24"/>
        </w:rPr>
        <w:t>and</w:t>
      </w:r>
      <w:r w:rsidR="008B09DA" w:rsidRPr="005F1FD6">
        <w:rPr>
          <w:rFonts w:ascii="Times New Roman" w:hAnsi="Times New Roman" w:cs="Times New Roman"/>
          <w:sz w:val="24"/>
          <w:szCs w:val="24"/>
        </w:rPr>
        <w:t xml:space="preserve"> Sapienza, 2006)</w:t>
      </w:r>
      <w:r w:rsidR="007442ED">
        <w:rPr>
          <w:rFonts w:ascii="Times New Roman" w:hAnsi="Times New Roman" w:cs="Times New Roman"/>
          <w:sz w:val="24"/>
          <w:szCs w:val="24"/>
        </w:rPr>
        <w:t xml:space="preserve"> and </w:t>
      </w:r>
      <w:r w:rsidR="008B09DA" w:rsidRPr="005F1FD6">
        <w:rPr>
          <w:rFonts w:ascii="Times New Roman" w:hAnsi="Times New Roman" w:cs="Times New Roman"/>
          <w:sz w:val="24"/>
          <w:szCs w:val="24"/>
        </w:rPr>
        <w:t xml:space="preserve">emotional </w:t>
      </w:r>
      <w:r w:rsidR="007442ED" w:rsidRPr="005F1FD6">
        <w:rPr>
          <w:rFonts w:ascii="Times New Roman" w:hAnsi="Times New Roman" w:cs="Times New Roman"/>
          <w:sz w:val="24"/>
          <w:szCs w:val="24"/>
        </w:rPr>
        <w:t>attachm</w:t>
      </w:r>
      <w:r w:rsidR="007442ED">
        <w:rPr>
          <w:rFonts w:ascii="Times New Roman" w:hAnsi="Times New Roman" w:cs="Times New Roman"/>
          <w:sz w:val="24"/>
          <w:szCs w:val="24"/>
        </w:rPr>
        <w:t>ent</w:t>
      </w:r>
      <w:r w:rsidR="00C75D7F">
        <w:rPr>
          <w:rFonts w:ascii="Times New Roman" w:hAnsi="Times New Roman" w:cs="Times New Roman"/>
          <w:sz w:val="24"/>
          <w:szCs w:val="24"/>
        </w:rPr>
        <w:t xml:space="preserve"> (Benson and Ziedonis, 2010)</w:t>
      </w:r>
      <w:r w:rsidR="00743B4F">
        <w:rPr>
          <w:rFonts w:ascii="Times New Roman" w:hAnsi="Times New Roman" w:cs="Times New Roman"/>
          <w:sz w:val="24"/>
          <w:szCs w:val="24"/>
        </w:rPr>
        <w:t>. This will increase</w:t>
      </w:r>
      <w:r w:rsidR="00A779D2" w:rsidRPr="005F1FD6">
        <w:rPr>
          <w:rFonts w:ascii="Times New Roman" w:hAnsi="Times New Roman" w:cs="Times New Roman"/>
          <w:sz w:val="24"/>
          <w:szCs w:val="24"/>
        </w:rPr>
        <w:t xml:space="preserve"> pressure to safeguard the portfolio company</w:t>
      </w:r>
      <w:r w:rsidR="00743B4F">
        <w:rPr>
          <w:rFonts w:ascii="Times New Roman" w:hAnsi="Times New Roman" w:cs="Times New Roman"/>
          <w:sz w:val="24"/>
          <w:szCs w:val="24"/>
        </w:rPr>
        <w:t>, as this is important for the entrepreneur</w:t>
      </w:r>
      <w:r w:rsidR="009F37B7">
        <w:rPr>
          <w:rFonts w:ascii="Times New Roman" w:hAnsi="Times New Roman" w:cs="Times New Roman"/>
          <w:sz w:val="24"/>
          <w:szCs w:val="24"/>
        </w:rPr>
        <w:t>.</w:t>
      </w:r>
      <w:r w:rsidR="000F33A3">
        <w:rPr>
          <w:rFonts w:ascii="Times New Roman" w:hAnsi="Times New Roman" w:cs="Times New Roman"/>
          <w:sz w:val="24"/>
          <w:szCs w:val="24"/>
        </w:rPr>
        <w:t xml:space="preserve"> </w:t>
      </w:r>
      <w:r w:rsidR="009F37B7">
        <w:rPr>
          <w:rFonts w:ascii="Times New Roman" w:hAnsi="Times New Roman" w:cs="Times New Roman"/>
          <w:sz w:val="24"/>
          <w:szCs w:val="24"/>
        </w:rPr>
        <w:t xml:space="preserve">Emotional attachment to the entrepreneur may therefore </w:t>
      </w:r>
      <w:r w:rsidR="000F33A3">
        <w:rPr>
          <w:rFonts w:ascii="Times New Roman" w:hAnsi="Times New Roman" w:cs="Times New Roman"/>
          <w:sz w:val="24"/>
          <w:szCs w:val="24"/>
        </w:rPr>
        <w:t>lead</w:t>
      </w:r>
      <w:r w:rsidR="008B09DA" w:rsidRPr="005F1FD6">
        <w:rPr>
          <w:rFonts w:ascii="Times New Roman" w:hAnsi="Times New Roman" w:cs="Times New Roman"/>
          <w:sz w:val="24"/>
          <w:szCs w:val="24"/>
        </w:rPr>
        <w:t xml:space="preserve"> to a higher probability to escalate commitment (</w:t>
      </w:r>
      <w:r w:rsidR="0047428C">
        <w:rPr>
          <w:rFonts w:ascii="Times New Roman" w:hAnsi="Times New Roman" w:cs="Times New Roman"/>
          <w:sz w:val="24"/>
          <w:szCs w:val="24"/>
        </w:rPr>
        <w:t xml:space="preserve">Wong, Yik, </w:t>
      </w:r>
      <w:r w:rsidR="002174D5">
        <w:rPr>
          <w:rFonts w:ascii="Times New Roman" w:hAnsi="Times New Roman" w:cs="Times New Roman"/>
          <w:sz w:val="24"/>
          <w:szCs w:val="24"/>
        </w:rPr>
        <w:t>and</w:t>
      </w:r>
      <w:r w:rsidR="0047428C">
        <w:rPr>
          <w:rFonts w:ascii="Times New Roman" w:hAnsi="Times New Roman" w:cs="Times New Roman"/>
          <w:sz w:val="24"/>
          <w:szCs w:val="24"/>
        </w:rPr>
        <w:t xml:space="preserve"> Kwong, 2006</w:t>
      </w:r>
      <w:r w:rsidR="00C73B35">
        <w:rPr>
          <w:rFonts w:ascii="Times New Roman" w:hAnsi="Times New Roman" w:cs="Times New Roman"/>
          <w:sz w:val="24"/>
          <w:szCs w:val="24"/>
        </w:rPr>
        <w:t>; Benson and Ziedonis, 2010</w:t>
      </w:r>
      <w:r w:rsidR="008B09DA" w:rsidRPr="005F1FD6">
        <w:rPr>
          <w:rFonts w:ascii="Times New Roman" w:hAnsi="Times New Roman" w:cs="Times New Roman"/>
          <w:sz w:val="24"/>
          <w:szCs w:val="24"/>
        </w:rPr>
        <w:t xml:space="preserve">). </w:t>
      </w:r>
      <w:r w:rsidR="00AE20C3">
        <w:rPr>
          <w:rFonts w:ascii="Times New Roman" w:hAnsi="Times New Roman" w:cs="Times New Roman"/>
          <w:sz w:val="24"/>
          <w:szCs w:val="24"/>
        </w:rPr>
        <w:t>T</w:t>
      </w:r>
      <w:r w:rsidR="009E1F49" w:rsidRPr="005F1FD6">
        <w:rPr>
          <w:rFonts w:ascii="Times New Roman" w:hAnsi="Times New Roman" w:cs="Times New Roman"/>
          <w:sz w:val="24"/>
          <w:szCs w:val="24"/>
        </w:rPr>
        <w:t xml:space="preserve">he </w:t>
      </w:r>
      <w:r w:rsidR="00AE20C3">
        <w:rPr>
          <w:rFonts w:ascii="Times New Roman" w:hAnsi="Times New Roman" w:cs="Times New Roman"/>
          <w:sz w:val="24"/>
          <w:szCs w:val="24"/>
        </w:rPr>
        <w:t>greater</w:t>
      </w:r>
      <w:r w:rsidR="009E1F49" w:rsidRPr="005F1FD6">
        <w:rPr>
          <w:rFonts w:ascii="Times New Roman" w:hAnsi="Times New Roman" w:cs="Times New Roman"/>
          <w:sz w:val="24"/>
          <w:szCs w:val="24"/>
        </w:rPr>
        <w:t xml:space="preserve"> geographical </w:t>
      </w:r>
      <w:r w:rsidR="004E5F00">
        <w:rPr>
          <w:rFonts w:ascii="Times New Roman" w:hAnsi="Times New Roman" w:cs="Times New Roman"/>
          <w:sz w:val="24"/>
          <w:szCs w:val="24"/>
        </w:rPr>
        <w:t xml:space="preserve">and social </w:t>
      </w:r>
      <w:r w:rsidR="009E1F49" w:rsidRPr="005F1FD6">
        <w:rPr>
          <w:rFonts w:ascii="Times New Roman" w:hAnsi="Times New Roman" w:cs="Times New Roman"/>
          <w:sz w:val="24"/>
          <w:szCs w:val="24"/>
        </w:rPr>
        <w:t xml:space="preserve">distance </w:t>
      </w:r>
      <w:r w:rsidR="00024158" w:rsidRPr="005F1FD6">
        <w:rPr>
          <w:rFonts w:ascii="Times New Roman" w:hAnsi="Times New Roman" w:cs="Times New Roman"/>
          <w:sz w:val="24"/>
          <w:szCs w:val="24"/>
        </w:rPr>
        <w:t xml:space="preserve">cross-border </w:t>
      </w:r>
      <w:r w:rsidR="009E1F49" w:rsidRPr="005F1FD6">
        <w:rPr>
          <w:rFonts w:ascii="Times New Roman" w:hAnsi="Times New Roman" w:cs="Times New Roman"/>
          <w:sz w:val="24"/>
          <w:szCs w:val="24"/>
        </w:rPr>
        <w:t>VC</w:t>
      </w:r>
      <w:r w:rsidR="00595944" w:rsidRPr="005F1FD6">
        <w:rPr>
          <w:rFonts w:ascii="Times New Roman" w:hAnsi="Times New Roman" w:cs="Times New Roman"/>
          <w:sz w:val="24"/>
          <w:szCs w:val="24"/>
        </w:rPr>
        <w:t xml:space="preserve"> firm</w:t>
      </w:r>
      <w:r w:rsidR="009E1F49" w:rsidRPr="005F1FD6">
        <w:rPr>
          <w:rFonts w:ascii="Times New Roman" w:hAnsi="Times New Roman" w:cs="Times New Roman"/>
          <w:sz w:val="24"/>
          <w:szCs w:val="24"/>
        </w:rPr>
        <w:t>s face make</w:t>
      </w:r>
      <w:r w:rsidR="00AB3D64">
        <w:rPr>
          <w:rFonts w:ascii="Times New Roman" w:hAnsi="Times New Roman" w:cs="Times New Roman"/>
          <w:sz w:val="24"/>
          <w:szCs w:val="24"/>
        </w:rPr>
        <w:t>s</w:t>
      </w:r>
      <w:r w:rsidR="009E1F49" w:rsidRPr="005F1FD6">
        <w:rPr>
          <w:rFonts w:ascii="Times New Roman" w:hAnsi="Times New Roman" w:cs="Times New Roman"/>
          <w:sz w:val="24"/>
          <w:szCs w:val="24"/>
        </w:rPr>
        <w:t xml:space="preserve"> it more difficult for them to </w:t>
      </w:r>
      <w:r w:rsidR="00024158" w:rsidRPr="005F1FD6">
        <w:rPr>
          <w:rFonts w:ascii="Times New Roman" w:hAnsi="Times New Roman" w:cs="Times New Roman"/>
          <w:sz w:val="24"/>
          <w:szCs w:val="24"/>
        </w:rPr>
        <w:t xml:space="preserve">have frequent informal contacts and thus to </w:t>
      </w:r>
      <w:r w:rsidR="009E1F49" w:rsidRPr="005F1FD6">
        <w:rPr>
          <w:rFonts w:ascii="Times New Roman" w:hAnsi="Times New Roman" w:cs="Times New Roman"/>
          <w:sz w:val="24"/>
          <w:szCs w:val="24"/>
        </w:rPr>
        <w:t>build and maintain high quality so</w:t>
      </w:r>
      <w:r w:rsidR="00C1419D" w:rsidRPr="005F1FD6">
        <w:rPr>
          <w:rFonts w:ascii="Times New Roman" w:hAnsi="Times New Roman" w:cs="Times New Roman"/>
          <w:sz w:val="24"/>
          <w:szCs w:val="24"/>
        </w:rPr>
        <w:t>cial and emotional relationship</w:t>
      </w:r>
      <w:r w:rsidR="00902821" w:rsidRPr="005F1FD6">
        <w:rPr>
          <w:rFonts w:ascii="Times New Roman" w:hAnsi="Times New Roman" w:cs="Times New Roman"/>
          <w:sz w:val="24"/>
          <w:szCs w:val="24"/>
        </w:rPr>
        <w:t>s</w:t>
      </w:r>
      <w:r w:rsidR="00AB7AB3">
        <w:rPr>
          <w:rFonts w:ascii="Times New Roman" w:hAnsi="Times New Roman" w:cs="Times New Roman"/>
          <w:sz w:val="24"/>
          <w:szCs w:val="24"/>
        </w:rPr>
        <w:t xml:space="preserve"> with entrepreneurs</w:t>
      </w:r>
      <w:r w:rsidR="009E1F49" w:rsidRPr="005F1FD6">
        <w:rPr>
          <w:rFonts w:ascii="Times New Roman" w:hAnsi="Times New Roman" w:cs="Times New Roman"/>
          <w:sz w:val="24"/>
          <w:szCs w:val="24"/>
        </w:rPr>
        <w:t>.</w:t>
      </w:r>
      <w:r w:rsidR="00024158" w:rsidRPr="005F1FD6">
        <w:rPr>
          <w:rFonts w:ascii="Times New Roman" w:hAnsi="Times New Roman" w:cs="Times New Roman"/>
          <w:sz w:val="24"/>
          <w:szCs w:val="24"/>
        </w:rPr>
        <w:t xml:space="preserve"> </w:t>
      </w:r>
      <w:r w:rsidR="002359FF" w:rsidRPr="005F1FD6">
        <w:rPr>
          <w:rFonts w:ascii="Times New Roman" w:hAnsi="Times New Roman" w:cs="Times New Roman"/>
          <w:sz w:val="24"/>
          <w:szCs w:val="24"/>
        </w:rPr>
        <w:t xml:space="preserve">Moreover, </w:t>
      </w:r>
      <w:r w:rsidR="00F02921" w:rsidRPr="005F1FD6">
        <w:rPr>
          <w:rFonts w:ascii="Times New Roman" w:hAnsi="Times New Roman" w:cs="Times New Roman"/>
          <w:sz w:val="24"/>
          <w:szCs w:val="24"/>
        </w:rPr>
        <w:t>cross-</w:t>
      </w:r>
      <w:r w:rsidR="00024158" w:rsidRPr="005F1FD6">
        <w:rPr>
          <w:rFonts w:ascii="Times New Roman" w:hAnsi="Times New Roman" w:cs="Times New Roman"/>
          <w:sz w:val="24"/>
          <w:szCs w:val="24"/>
        </w:rPr>
        <w:t>border V</w:t>
      </w:r>
      <w:r w:rsidR="002359FF" w:rsidRPr="005F1FD6">
        <w:rPr>
          <w:rFonts w:ascii="Times New Roman" w:hAnsi="Times New Roman" w:cs="Times New Roman"/>
          <w:sz w:val="24"/>
          <w:szCs w:val="24"/>
        </w:rPr>
        <w:t>C</w:t>
      </w:r>
      <w:r w:rsidR="00595944" w:rsidRPr="005F1FD6">
        <w:rPr>
          <w:rFonts w:ascii="Times New Roman" w:hAnsi="Times New Roman" w:cs="Times New Roman"/>
          <w:sz w:val="24"/>
          <w:szCs w:val="24"/>
        </w:rPr>
        <w:t xml:space="preserve"> firm</w:t>
      </w:r>
      <w:r w:rsidR="002359FF" w:rsidRPr="005F1FD6">
        <w:rPr>
          <w:rFonts w:ascii="Times New Roman" w:hAnsi="Times New Roman" w:cs="Times New Roman"/>
          <w:sz w:val="24"/>
          <w:szCs w:val="24"/>
        </w:rPr>
        <w:t xml:space="preserve">s generally face a greater cultural distance to the entrepreneur compared to </w:t>
      </w:r>
      <w:r w:rsidR="00024158" w:rsidRPr="005F1FD6">
        <w:rPr>
          <w:rFonts w:ascii="Times New Roman" w:hAnsi="Times New Roman" w:cs="Times New Roman"/>
          <w:sz w:val="24"/>
          <w:szCs w:val="24"/>
        </w:rPr>
        <w:t>domestic V</w:t>
      </w:r>
      <w:r w:rsidR="002359FF" w:rsidRPr="005F1FD6">
        <w:rPr>
          <w:rFonts w:ascii="Times New Roman" w:hAnsi="Times New Roman" w:cs="Times New Roman"/>
          <w:sz w:val="24"/>
          <w:szCs w:val="24"/>
        </w:rPr>
        <w:t>C</w:t>
      </w:r>
      <w:r w:rsidR="00595944" w:rsidRPr="005F1FD6">
        <w:rPr>
          <w:rFonts w:ascii="Times New Roman" w:hAnsi="Times New Roman" w:cs="Times New Roman"/>
          <w:sz w:val="24"/>
          <w:szCs w:val="24"/>
        </w:rPr>
        <w:t xml:space="preserve"> firm</w:t>
      </w:r>
      <w:r w:rsidR="002359FF" w:rsidRPr="005F1FD6">
        <w:rPr>
          <w:rFonts w:ascii="Times New Roman" w:hAnsi="Times New Roman" w:cs="Times New Roman"/>
          <w:sz w:val="24"/>
          <w:szCs w:val="24"/>
        </w:rPr>
        <w:t>s. This may cause difficulties in effective communication and lead to lower mutual levels of trust and emotional attachment (</w:t>
      </w:r>
      <w:r w:rsidR="0047428C" w:rsidRPr="0047428C">
        <w:rPr>
          <w:rFonts w:ascii="Times New Roman" w:hAnsi="Times New Roman" w:cs="Times New Roman"/>
          <w:sz w:val="24"/>
          <w:szCs w:val="24"/>
        </w:rPr>
        <w:t xml:space="preserve">Guiso, Sapienza, </w:t>
      </w:r>
      <w:r w:rsidR="002174D5">
        <w:rPr>
          <w:rFonts w:ascii="Times New Roman" w:hAnsi="Times New Roman" w:cs="Times New Roman"/>
          <w:sz w:val="24"/>
          <w:szCs w:val="24"/>
        </w:rPr>
        <w:t>and</w:t>
      </w:r>
      <w:r w:rsidR="0047428C" w:rsidRPr="0047428C">
        <w:rPr>
          <w:rFonts w:ascii="Times New Roman" w:hAnsi="Times New Roman" w:cs="Times New Roman"/>
          <w:sz w:val="24"/>
          <w:szCs w:val="24"/>
        </w:rPr>
        <w:t xml:space="preserve"> Zingales, 2008</w:t>
      </w:r>
      <w:r w:rsidR="002359FF" w:rsidRPr="005F1FD6">
        <w:rPr>
          <w:rFonts w:ascii="Times New Roman" w:hAnsi="Times New Roman" w:cs="Times New Roman"/>
          <w:sz w:val="24"/>
          <w:szCs w:val="24"/>
        </w:rPr>
        <w:t>)</w:t>
      </w:r>
      <w:r w:rsidR="00024158" w:rsidRPr="005F1FD6">
        <w:rPr>
          <w:rFonts w:ascii="Times New Roman" w:hAnsi="Times New Roman" w:cs="Times New Roman"/>
          <w:sz w:val="24"/>
          <w:szCs w:val="24"/>
        </w:rPr>
        <w:t>.</w:t>
      </w:r>
      <w:r w:rsidR="00117331" w:rsidRPr="005F1FD6">
        <w:rPr>
          <w:rFonts w:ascii="Times New Roman" w:hAnsi="Times New Roman" w:cs="Times New Roman"/>
          <w:sz w:val="24"/>
          <w:szCs w:val="24"/>
        </w:rPr>
        <w:t xml:space="preserve"> This leads cross-border VC</w:t>
      </w:r>
      <w:r w:rsidR="00595944" w:rsidRPr="005F1FD6">
        <w:rPr>
          <w:rFonts w:ascii="Times New Roman" w:hAnsi="Times New Roman" w:cs="Times New Roman"/>
          <w:sz w:val="24"/>
          <w:szCs w:val="24"/>
        </w:rPr>
        <w:t xml:space="preserve"> firm</w:t>
      </w:r>
      <w:r w:rsidR="00117331" w:rsidRPr="005F1FD6">
        <w:rPr>
          <w:rFonts w:ascii="Times New Roman" w:hAnsi="Times New Roman" w:cs="Times New Roman"/>
          <w:sz w:val="24"/>
          <w:szCs w:val="24"/>
        </w:rPr>
        <w:t xml:space="preserve">s to adopt a more transactional approach, </w:t>
      </w:r>
      <w:r w:rsidR="00180BDA">
        <w:rPr>
          <w:rFonts w:ascii="Times New Roman" w:hAnsi="Times New Roman" w:cs="Times New Roman"/>
          <w:sz w:val="24"/>
          <w:szCs w:val="24"/>
        </w:rPr>
        <w:t>evidenced by the use of high</w:t>
      </w:r>
      <w:r w:rsidR="00117331" w:rsidRPr="005F1FD6">
        <w:rPr>
          <w:rFonts w:ascii="Times New Roman" w:hAnsi="Times New Roman" w:cs="Times New Roman"/>
          <w:sz w:val="24"/>
          <w:szCs w:val="24"/>
        </w:rPr>
        <w:t>–powered contracts with well-defined and strict benchmarks (Dai et al.</w:t>
      </w:r>
      <w:r w:rsidR="009B07D7">
        <w:rPr>
          <w:rFonts w:ascii="Times New Roman" w:hAnsi="Times New Roman" w:cs="Times New Roman"/>
          <w:sz w:val="24"/>
          <w:szCs w:val="24"/>
        </w:rPr>
        <w:t>,</w:t>
      </w:r>
      <w:r w:rsidR="00117331" w:rsidRPr="005F1FD6">
        <w:rPr>
          <w:rFonts w:ascii="Times New Roman" w:hAnsi="Times New Roman" w:cs="Times New Roman"/>
          <w:sz w:val="24"/>
          <w:szCs w:val="24"/>
        </w:rPr>
        <w:t xml:space="preserve"> 2012).</w:t>
      </w:r>
      <w:r w:rsidR="00024158" w:rsidRPr="005F1FD6">
        <w:rPr>
          <w:rFonts w:ascii="Times New Roman" w:hAnsi="Times New Roman" w:cs="Times New Roman"/>
          <w:sz w:val="24"/>
          <w:szCs w:val="24"/>
        </w:rPr>
        <w:t xml:space="preserve"> </w:t>
      </w:r>
      <w:r w:rsidR="007C4292" w:rsidRPr="005F1FD6">
        <w:rPr>
          <w:rFonts w:ascii="Times New Roman" w:hAnsi="Times New Roman" w:cs="Times New Roman"/>
          <w:sz w:val="24"/>
          <w:szCs w:val="24"/>
        </w:rPr>
        <w:t xml:space="preserve">The transactional approach </w:t>
      </w:r>
      <w:r w:rsidR="00AB7AB3">
        <w:rPr>
          <w:rFonts w:ascii="Times New Roman" w:hAnsi="Times New Roman" w:cs="Times New Roman"/>
          <w:sz w:val="24"/>
          <w:szCs w:val="24"/>
        </w:rPr>
        <w:t>should make</w:t>
      </w:r>
      <w:r w:rsidR="00AB7AB3" w:rsidRPr="005F1FD6">
        <w:rPr>
          <w:rFonts w:ascii="Times New Roman" w:hAnsi="Times New Roman" w:cs="Times New Roman"/>
          <w:sz w:val="24"/>
          <w:szCs w:val="24"/>
        </w:rPr>
        <w:t xml:space="preserve"> </w:t>
      </w:r>
      <w:r w:rsidR="00AD5E26" w:rsidRPr="005F1FD6">
        <w:rPr>
          <w:rFonts w:ascii="Times New Roman" w:hAnsi="Times New Roman" w:cs="Times New Roman"/>
          <w:sz w:val="24"/>
          <w:szCs w:val="24"/>
        </w:rPr>
        <w:t>it</w:t>
      </w:r>
      <w:r w:rsidR="005E5BDA" w:rsidRPr="005F1FD6">
        <w:rPr>
          <w:rFonts w:ascii="Times New Roman" w:hAnsi="Times New Roman" w:cs="Times New Roman"/>
          <w:sz w:val="24"/>
          <w:szCs w:val="24"/>
        </w:rPr>
        <w:t xml:space="preserve"> </w:t>
      </w:r>
      <w:r w:rsidR="00AD5E26" w:rsidRPr="005F1FD6">
        <w:rPr>
          <w:rFonts w:ascii="Times New Roman" w:hAnsi="Times New Roman" w:cs="Times New Roman"/>
          <w:sz w:val="24"/>
          <w:szCs w:val="24"/>
        </w:rPr>
        <w:t xml:space="preserve">easier for a cross-border VC </w:t>
      </w:r>
      <w:r w:rsidR="00595944" w:rsidRPr="005F1FD6">
        <w:rPr>
          <w:rFonts w:ascii="Times New Roman" w:hAnsi="Times New Roman" w:cs="Times New Roman"/>
          <w:sz w:val="24"/>
          <w:szCs w:val="24"/>
        </w:rPr>
        <w:t xml:space="preserve">firm </w:t>
      </w:r>
      <w:r w:rsidR="00AD5E26" w:rsidRPr="005F1FD6">
        <w:rPr>
          <w:rFonts w:ascii="Times New Roman" w:hAnsi="Times New Roman" w:cs="Times New Roman"/>
          <w:sz w:val="24"/>
          <w:szCs w:val="24"/>
        </w:rPr>
        <w:t xml:space="preserve">to </w:t>
      </w:r>
      <w:r w:rsidR="0026093A">
        <w:rPr>
          <w:rFonts w:ascii="Times New Roman" w:hAnsi="Times New Roman" w:cs="Times New Roman"/>
          <w:sz w:val="24"/>
          <w:szCs w:val="24"/>
        </w:rPr>
        <w:t>terminate</w:t>
      </w:r>
      <w:r w:rsidR="00117331" w:rsidRPr="005F1FD6">
        <w:rPr>
          <w:rFonts w:ascii="Times New Roman" w:hAnsi="Times New Roman" w:cs="Times New Roman"/>
          <w:sz w:val="24"/>
          <w:szCs w:val="24"/>
        </w:rPr>
        <w:t xml:space="preserve"> </w:t>
      </w:r>
      <w:r w:rsidR="0026093A">
        <w:rPr>
          <w:rFonts w:ascii="Times New Roman" w:hAnsi="Times New Roman" w:cs="Times New Roman"/>
          <w:sz w:val="24"/>
          <w:szCs w:val="24"/>
        </w:rPr>
        <w:t xml:space="preserve">an investment </w:t>
      </w:r>
      <w:r w:rsidR="00117331" w:rsidRPr="005F1FD6">
        <w:rPr>
          <w:rFonts w:ascii="Times New Roman" w:hAnsi="Times New Roman" w:cs="Times New Roman"/>
          <w:sz w:val="24"/>
          <w:szCs w:val="24"/>
        </w:rPr>
        <w:t>compared to domestic VC</w:t>
      </w:r>
      <w:r w:rsidR="00595944" w:rsidRPr="005F1FD6">
        <w:rPr>
          <w:rFonts w:ascii="Times New Roman" w:hAnsi="Times New Roman" w:cs="Times New Roman"/>
          <w:sz w:val="24"/>
          <w:szCs w:val="24"/>
        </w:rPr>
        <w:t xml:space="preserve"> firm</w:t>
      </w:r>
      <w:r w:rsidR="00117331" w:rsidRPr="005F1FD6">
        <w:rPr>
          <w:rFonts w:ascii="Times New Roman" w:hAnsi="Times New Roman" w:cs="Times New Roman"/>
          <w:sz w:val="24"/>
          <w:szCs w:val="24"/>
        </w:rPr>
        <w:t>s</w:t>
      </w:r>
      <w:r w:rsidR="00AD5E26" w:rsidRPr="005F1FD6">
        <w:rPr>
          <w:rFonts w:ascii="Times New Roman" w:hAnsi="Times New Roman" w:cs="Times New Roman"/>
          <w:sz w:val="24"/>
          <w:szCs w:val="24"/>
        </w:rPr>
        <w:t xml:space="preserve"> (Mäkela </w:t>
      </w:r>
      <w:r w:rsidR="002174D5">
        <w:rPr>
          <w:rFonts w:ascii="Times New Roman" w:hAnsi="Times New Roman" w:cs="Times New Roman"/>
          <w:sz w:val="24"/>
          <w:szCs w:val="24"/>
        </w:rPr>
        <w:t>and</w:t>
      </w:r>
      <w:r w:rsidR="00AD5E26" w:rsidRPr="005F1FD6">
        <w:rPr>
          <w:rFonts w:ascii="Times New Roman" w:hAnsi="Times New Roman" w:cs="Times New Roman"/>
          <w:sz w:val="24"/>
          <w:szCs w:val="24"/>
        </w:rPr>
        <w:t xml:space="preserve"> Maula, 2006). </w:t>
      </w:r>
    </w:p>
    <w:p w14:paraId="4ED75092" w14:textId="189CCBA2" w:rsidR="004E5F00" w:rsidRDefault="00700919" w:rsidP="00DD4DDC">
      <w:pPr>
        <w:spacing w:after="0" w:line="480" w:lineRule="auto"/>
        <w:ind w:firstLine="432"/>
        <w:contextualSpacing/>
        <w:jc w:val="both"/>
        <w:rPr>
          <w:rFonts w:ascii="Times New Roman" w:hAnsi="Times New Roman" w:cs="Times New Roman"/>
          <w:sz w:val="24"/>
          <w:szCs w:val="24"/>
        </w:rPr>
      </w:pPr>
      <w:r w:rsidRPr="005F1FD6">
        <w:rPr>
          <w:rFonts w:ascii="Times New Roman" w:hAnsi="Times New Roman" w:cs="Times New Roman"/>
          <w:sz w:val="24"/>
          <w:szCs w:val="24"/>
        </w:rPr>
        <w:t xml:space="preserve">Other </w:t>
      </w:r>
      <w:r w:rsidR="00080A45" w:rsidRPr="005F1FD6">
        <w:rPr>
          <w:rFonts w:ascii="Times New Roman" w:hAnsi="Times New Roman" w:cs="Times New Roman"/>
          <w:sz w:val="24"/>
          <w:szCs w:val="24"/>
        </w:rPr>
        <w:t>local community</w:t>
      </w:r>
      <w:r w:rsidR="00AE20C3">
        <w:rPr>
          <w:rFonts w:ascii="Times New Roman" w:hAnsi="Times New Roman" w:cs="Times New Roman"/>
          <w:sz w:val="24"/>
          <w:szCs w:val="24"/>
        </w:rPr>
        <w:t xml:space="preserve"> stakeholders</w:t>
      </w:r>
      <w:r w:rsidR="008513E2" w:rsidRPr="005F1FD6">
        <w:rPr>
          <w:rFonts w:ascii="Times New Roman" w:hAnsi="Times New Roman" w:cs="Times New Roman"/>
          <w:sz w:val="24"/>
          <w:szCs w:val="24"/>
        </w:rPr>
        <w:t xml:space="preserve"> have a s</w:t>
      </w:r>
      <w:r w:rsidR="00C63A38" w:rsidRPr="005F1FD6">
        <w:rPr>
          <w:rFonts w:ascii="Times New Roman" w:hAnsi="Times New Roman" w:cs="Times New Roman"/>
          <w:sz w:val="24"/>
          <w:szCs w:val="24"/>
        </w:rPr>
        <w:t>trong interest in</w:t>
      </w:r>
      <w:r w:rsidR="000F75BB">
        <w:rPr>
          <w:rFonts w:ascii="Times New Roman" w:hAnsi="Times New Roman" w:cs="Times New Roman"/>
          <w:sz w:val="24"/>
          <w:szCs w:val="24"/>
        </w:rPr>
        <w:t xml:space="preserve"> </w:t>
      </w:r>
      <w:r w:rsidR="003F1EB2" w:rsidRPr="005F1FD6">
        <w:rPr>
          <w:rFonts w:ascii="Times New Roman" w:hAnsi="Times New Roman" w:cs="Times New Roman"/>
          <w:sz w:val="24"/>
          <w:szCs w:val="24"/>
        </w:rPr>
        <w:t>portfolio company</w:t>
      </w:r>
      <w:r w:rsidR="00036369">
        <w:rPr>
          <w:rFonts w:ascii="Times New Roman" w:hAnsi="Times New Roman" w:cs="Times New Roman"/>
          <w:sz w:val="24"/>
          <w:szCs w:val="24"/>
        </w:rPr>
        <w:t xml:space="preserve"> survival</w:t>
      </w:r>
      <w:r w:rsidR="008513E2" w:rsidRPr="005F1FD6">
        <w:rPr>
          <w:rFonts w:ascii="Times New Roman" w:hAnsi="Times New Roman" w:cs="Times New Roman"/>
          <w:sz w:val="24"/>
          <w:szCs w:val="24"/>
        </w:rPr>
        <w:t>.</w:t>
      </w:r>
      <w:r w:rsidR="00646F11">
        <w:rPr>
          <w:rFonts w:ascii="Times New Roman" w:hAnsi="Times New Roman" w:cs="Times New Roman"/>
          <w:sz w:val="24"/>
          <w:szCs w:val="24"/>
        </w:rPr>
        <w:t xml:space="preserve"> </w:t>
      </w:r>
      <w:r w:rsidR="004E5F00" w:rsidRPr="000E2893">
        <w:rPr>
          <w:rFonts w:ascii="Times New Roman" w:hAnsi="Times New Roman" w:cs="Times New Roman"/>
          <w:color w:val="000000"/>
          <w:sz w:val="24"/>
          <w:szCs w:val="24"/>
          <w:lang w:val="en-GB"/>
        </w:rPr>
        <w:t xml:space="preserve">VC firms may escalate their commitment in order to manage the impression of these stakeholders. </w:t>
      </w:r>
      <w:r w:rsidR="00646F11">
        <w:rPr>
          <w:rFonts w:ascii="Times New Roman" w:hAnsi="Times New Roman" w:cs="Times New Roman"/>
          <w:sz w:val="24"/>
          <w:szCs w:val="24"/>
        </w:rPr>
        <w:t>D</w:t>
      </w:r>
      <w:r w:rsidR="00AE23C2" w:rsidRPr="005F1FD6">
        <w:rPr>
          <w:rFonts w:ascii="Times New Roman" w:hAnsi="Times New Roman" w:cs="Times New Roman"/>
          <w:sz w:val="24"/>
          <w:szCs w:val="24"/>
        </w:rPr>
        <w:t xml:space="preserve">omestic </w:t>
      </w:r>
      <w:r w:rsidR="00646F11">
        <w:rPr>
          <w:rFonts w:ascii="Times New Roman" w:hAnsi="Times New Roman" w:cs="Times New Roman"/>
          <w:sz w:val="24"/>
          <w:szCs w:val="24"/>
        </w:rPr>
        <w:t xml:space="preserve">VC </w:t>
      </w:r>
      <w:r w:rsidR="00AE23C2" w:rsidRPr="005F1FD6">
        <w:rPr>
          <w:rFonts w:ascii="Times New Roman" w:hAnsi="Times New Roman" w:cs="Times New Roman"/>
          <w:sz w:val="24"/>
          <w:szCs w:val="24"/>
        </w:rPr>
        <w:t xml:space="preserve">managers </w:t>
      </w:r>
      <w:r w:rsidR="00C63A38" w:rsidRPr="005F1FD6">
        <w:rPr>
          <w:rFonts w:ascii="Times New Roman" w:hAnsi="Times New Roman" w:cs="Times New Roman"/>
          <w:sz w:val="24"/>
          <w:szCs w:val="24"/>
        </w:rPr>
        <w:t>are</w:t>
      </w:r>
      <w:r w:rsidR="00AE23C2" w:rsidRPr="005F1FD6">
        <w:rPr>
          <w:rFonts w:ascii="Times New Roman" w:hAnsi="Times New Roman" w:cs="Times New Roman"/>
          <w:sz w:val="24"/>
          <w:szCs w:val="24"/>
        </w:rPr>
        <w:t xml:space="preserve"> </w:t>
      </w:r>
      <w:r w:rsidR="004E5F00">
        <w:rPr>
          <w:rFonts w:ascii="Times New Roman" w:hAnsi="Times New Roman" w:cs="Times New Roman"/>
          <w:sz w:val="24"/>
          <w:szCs w:val="24"/>
        </w:rPr>
        <w:t xml:space="preserve">culturally more proximate to the portfolio company, and </w:t>
      </w:r>
      <w:r w:rsidR="00AE23C2" w:rsidRPr="005F1FD6">
        <w:rPr>
          <w:rFonts w:ascii="Times New Roman" w:hAnsi="Times New Roman" w:cs="Times New Roman"/>
          <w:sz w:val="24"/>
          <w:szCs w:val="24"/>
        </w:rPr>
        <w:t xml:space="preserve">more </w:t>
      </w:r>
      <w:r w:rsidR="008D55C2" w:rsidRPr="005F1FD6">
        <w:rPr>
          <w:rFonts w:ascii="Times New Roman" w:hAnsi="Times New Roman" w:cs="Times New Roman"/>
          <w:sz w:val="24"/>
          <w:szCs w:val="24"/>
        </w:rPr>
        <w:t>e</w:t>
      </w:r>
      <w:r w:rsidR="00191341" w:rsidRPr="005F1FD6">
        <w:rPr>
          <w:rFonts w:ascii="Times New Roman" w:hAnsi="Times New Roman" w:cs="Times New Roman"/>
          <w:sz w:val="24"/>
          <w:szCs w:val="24"/>
        </w:rPr>
        <w:t>mbedded in the local community</w:t>
      </w:r>
      <w:r w:rsidR="005307B7">
        <w:rPr>
          <w:rFonts w:ascii="Times New Roman" w:hAnsi="Times New Roman" w:cs="Times New Roman"/>
          <w:sz w:val="24"/>
          <w:szCs w:val="24"/>
        </w:rPr>
        <w:t xml:space="preserve"> (Mäkel</w:t>
      </w:r>
      <w:r w:rsidR="00706306">
        <w:rPr>
          <w:rFonts w:ascii="Times New Roman" w:hAnsi="Times New Roman" w:cs="Times New Roman"/>
          <w:sz w:val="24"/>
          <w:szCs w:val="24"/>
        </w:rPr>
        <w:t>ä and Maula, 200</w:t>
      </w:r>
      <w:r w:rsidR="005307B7">
        <w:rPr>
          <w:rFonts w:ascii="Times New Roman" w:hAnsi="Times New Roman" w:cs="Times New Roman"/>
          <w:sz w:val="24"/>
          <w:szCs w:val="24"/>
        </w:rPr>
        <w:t>6)</w:t>
      </w:r>
      <w:r w:rsidR="004E5F00">
        <w:rPr>
          <w:rFonts w:ascii="Times New Roman" w:hAnsi="Times New Roman" w:cs="Times New Roman"/>
          <w:sz w:val="24"/>
          <w:szCs w:val="24"/>
        </w:rPr>
        <w:t xml:space="preserve">. </w:t>
      </w:r>
      <w:r w:rsidR="00AB7AB3">
        <w:rPr>
          <w:rFonts w:ascii="Times New Roman" w:hAnsi="Times New Roman" w:cs="Times New Roman"/>
          <w:sz w:val="24"/>
          <w:szCs w:val="24"/>
        </w:rPr>
        <w:t xml:space="preserve">They frequently interact with local community stakeholders such as financiers, other local entrepreneurs or policy makers. </w:t>
      </w:r>
      <w:r w:rsidR="0081117F">
        <w:rPr>
          <w:rFonts w:ascii="Times New Roman" w:hAnsi="Times New Roman" w:cs="Times New Roman"/>
          <w:sz w:val="24"/>
          <w:szCs w:val="24"/>
        </w:rPr>
        <w:t xml:space="preserve">As a result, </w:t>
      </w:r>
      <w:r w:rsidR="0081117F">
        <w:rPr>
          <w:rFonts w:ascii="Times New Roman" w:hAnsi="Times New Roman" w:cs="Times New Roman"/>
          <w:sz w:val="24"/>
          <w:szCs w:val="24"/>
        </w:rPr>
        <w:lastRenderedPageBreak/>
        <w:t>t</w:t>
      </w:r>
      <w:r w:rsidR="004E5F00">
        <w:rPr>
          <w:rFonts w:ascii="Times New Roman" w:hAnsi="Times New Roman" w:cs="Times New Roman"/>
          <w:sz w:val="24"/>
          <w:szCs w:val="24"/>
        </w:rPr>
        <w:t>hey</w:t>
      </w:r>
      <w:r w:rsidR="00996A23">
        <w:rPr>
          <w:rFonts w:ascii="Times New Roman" w:hAnsi="Times New Roman" w:cs="Times New Roman"/>
          <w:sz w:val="24"/>
          <w:szCs w:val="24"/>
        </w:rPr>
        <w:t xml:space="preserve"> </w:t>
      </w:r>
      <w:r w:rsidR="00AE23C2" w:rsidRPr="005F1FD6">
        <w:rPr>
          <w:rFonts w:ascii="Times New Roman" w:hAnsi="Times New Roman" w:cs="Times New Roman"/>
          <w:sz w:val="24"/>
          <w:szCs w:val="24"/>
        </w:rPr>
        <w:t xml:space="preserve">likely have a higher nationalistic bond </w:t>
      </w:r>
      <w:r w:rsidR="007B0D53">
        <w:rPr>
          <w:rFonts w:ascii="Times New Roman" w:hAnsi="Times New Roman" w:cs="Times New Roman"/>
          <w:sz w:val="24"/>
          <w:szCs w:val="24"/>
        </w:rPr>
        <w:t>compared to cross-border VC investors</w:t>
      </w:r>
      <w:r w:rsidR="00AE23C2" w:rsidRPr="005F1FD6">
        <w:rPr>
          <w:rFonts w:ascii="Times New Roman" w:hAnsi="Times New Roman" w:cs="Times New Roman"/>
          <w:sz w:val="24"/>
          <w:szCs w:val="24"/>
        </w:rPr>
        <w:t>.</w:t>
      </w:r>
      <w:r w:rsidR="00634C67" w:rsidRPr="005F1FD6">
        <w:rPr>
          <w:rFonts w:ascii="Times New Roman" w:hAnsi="Times New Roman" w:cs="Times New Roman"/>
          <w:sz w:val="24"/>
          <w:szCs w:val="24"/>
        </w:rPr>
        <w:t xml:space="preserve"> </w:t>
      </w:r>
      <w:r w:rsidR="007B0D53">
        <w:rPr>
          <w:rFonts w:ascii="Times New Roman" w:hAnsi="Times New Roman" w:cs="Times New Roman"/>
          <w:sz w:val="24"/>
          <w:szCs w:val="24"/>
        </w:rPr>
        <w:t>D</w:t>
      </w:r>
      <w:r w:rsidR="003F1EB2" w:rsidRPr="005F1FD6">
        <w:rPr>
          <w:rFonts w:ascii="Times New Roman" w:hAnsi="Times New Roman" w:cs="Times New Roman"/>
          <w:sz w:val="24"/>
          <w:szCs w:val="24"/>
        </w:rPr>
        <w:t xml:space="preserve">omestic </w:t>
      </w:r>
      <w:r w:rsidR="008D55C2" w:rsidRPr="005F1FD6">
        <w:rPr>
          <w:rFonts w:ascii="Times New Roman" w:hAnsi="Times New Roman" w:cs="Times New Roman"/>
          <w:sz w:val="24"/>
          <w:szCs w:val="24"/>
        </w:rPr>
        <w:t>VC</w:t>
      </w:r>
      <w:r w:rsidR="00A84B8C" w:rsidRPr="005F1FD6">
        <w:rPr>
          <w:rFonts w:ascii="Times New Roman" w:hAnsi="Times New Roman" w:cs="Times New Roman"/>
          <w:sz w:val="24"/>
          <w:szCs w:val="24"/>
        </w:rPr>
        <w:t xml:space="preserve"> </w:t>
      </w:r>
      <w:r w:rsidR="007B0D53">
        <w:rPr>
          <w:rFonts w:ascii="Times New Roman" w:hAnsi="Times New Roman" w:cs="Times New Roman"/>
          <w:sz w:val="24"/>
          <w:szCs w:val="24"/>
        </w:rPr>
        <w:t>managers</w:t>
      </w:r>
      <w:r w:rsidR="008D55C2" w:rsidRPr="005F1FD6">
        <w:rPr>
          <w:rFonts w:ascii="Times New Roman" w:hAnsi="Times New Roman" w:cs="Times New Roman"/>
          <w:sz w:val="24"/>
          <w:szCs w:val="24"/>
        </w:rPr>
        <w:t xml:space="preserve"> </w:t>
      </w:r>
      <w:r w:rsidR="007B0D53">
        <w:rPr>
          <w:rFonts w:ascii="Times New Roman" w:hAnsi="Times New Roman" w:cs="Times New Roman"/>
          <w:sz w:val="24"/>
          <w:szCs w:val="24"/>
        </w:rPr>
        <w:t>will therefore</w:t>
      </w:r>
      <w:r w:rsidR="008D55C2" w:rsidRPr="005F1FD6">
        <w:rPr>
          <w:rFonts w:ascii="Times New Roman" w:hAnsi="Times New Roman" w:cs="Times New Roman"/>
          <w:sz w:val="24"/>
          <w:szCs w:val="24"/>
        </w:rPr>
        <w:t xml:space="preserve"> face higher </w:t>
      </w:r>
      <w:r w:rsidR="001C20C7" w:rsidRPr="005F1FD6">
        <w:rPr>
          <w:rFonts w:ascii="Times New Roman" w:hAnsi="Times New Roman" w:cs="Times New Roman"/>
          <w:sz w:val="24"/>
          <w:szCs w:val="24"/>
        </w:rPr>
        <w:t xml:space="preserve">social </w:t>
      </w:r>
      <w:r w:rsidR="008D55C2" w:rsidRPr="005F1FD6">
        <w:rPr>
          <w:rFonts w:ascii="Times New Roman" w:hAnsi="Times New Roman" w:cs="Times New Roman"/>
          <w:sz w:val="24"/>
          <w:szCs w:val="24"/>
        </w:rPr>
        <w:t>pressures from local stakeholders</w:t>
      </w:r>
      <w:r w:rsidR="0056758A">
        <w:rPr>
          <w:rFonts w:ascii="Times New Roman" w:hAnsi="Times New Roman" w:cs="Times New Roman"/>
          <w:sz w:val="24"/>
          <w:szCs w:val="24"/>
        </w:rPr>
        <w:t xml:space="preserve">. </w:t>
      </w:r>
      <w:r w:rsidR="007B0D53">
        <w:rPr>
          <w:rFonts w:ascii="Times New Roman" w:hAnsi="Times New Roman" w:cs="Times New Roman"/>
          <w:sz w:val="24"/>
          <w:szCs w:val="24"/>
        </w:rPr>
        <w:t>This may induce them to</w:t>
      </w:r>
      <w:r w:rsidR="003F1EB2" w:rsidRPr="005F1FD6">
        <w:rPr>
          <w:rFonts w:ascii="Times New Roman" w:hAnsi="Times New Roman" w:cs="Times New Roman"/>
          <w:sz w:val="24"/>
          <w:szCs w:val="24"/>
        </w:rPr>
        <w:t xml:space="preserve"> enroll in impression management by</w:t>
      </w:r>
      <w:r w:rsidR="008D55C2" w:rsidRPr="005F1FD6">
        <w:rPr>
          <w:rFonts w:ascii="Times New Roman" w:hAnsi="Times New Roman" w:cs="Times New Roman"/>
          <w:sz w:val="24"/>
          <w:szCs w:val="24"/>
        </w:rPr>
        <w:t xml:space="preserve"> </w:t>
      </w:r>
      <w:r w:rsidR="003F1EB2" w:rsidRPr="005F1FD6">
        <w:rPr>
          <w:rFonts w:ascii="Times New Roman" w:hAnsi="Times New Roman" w:cs="Times New Roman"/>
          <w:sz w:val="24"/>
          <w:szCs w:val="24"/>
        </w:rPr>
        <w:t>continuing</w:t>
      </w:r>
      <w:r w:rsidR="008D55C2" w:rsidRPr="005F1FD6">
        <w:rPr>
          <w:rFonts w:ascii="Times New Roman" w:hAnsi="Times New Roman" w:cs="Times New Roman"/>
          <w:sz w:val="24"/>
          <w:szCs w:val="24"/>
        </w:rPr>
        <w:t xml:space="preserve"> </w:t>
      </w:r>
      <w:r w:rsidRPr="005F1FD6">
        <w:rPr>
          <w:rFonts w:ascii="Times New Roman" w:hAnsi="Times New Roman" w:cs="Times New Roman"/>
          <w:sz w:val="24"/>
          <w:szCs w:val="24"/>
        </w:rPr>
        <w:t>to invest</w:t>
      </w:r>
      <w:r w:rsidR="008D55C2" w:rsidRPr="005F1FD6">
        <w:rPr>
          <w:rFonts w:ascii="Times New Roman" w:hAnsi="Times New Roman" w:cs="Times New Roman"/>
          <w:sz w:val="24"/>
          <w:szCs w:val="24"/>
        </w:rPr>
        <w:t>.</w:t>
      </w:r>
      <w:r w:rsidR="003F1EB2" w:rsidRPr="005F1FD6">
        <w:rPr>
          <w:rFonts w:ascii="Times New Roman" w:hAnsi="Times New Roman" w:cs="Times New Roman"/>
          <w:sz w:val="24"/>
          <w:szCs w:val="24"/>
        </w:rPr>
        <w:t xml:space="preserve"> </w:t>
      </w:r>
      <w:r w:rsidRPr="005F1FD6">
        <w:rPr>
          <w:rFonts w:ascii="Times New Roman" w:hAnsi="Times New Roman" w:cs="Times New Roman"/>
          <w:sz w:val="24"/>
          <w:szCs w:val="24"/>
        </w:rPr>
        <w:t>In contrast,</w:t>
      </w:r>
      <w:r w:rsidR="005F7E68" w:rsidRPr="005F1FD6">
        <w:rPr>
          <w:rFonts w:ascii="Times New Roman" w:hAnsi="Times New Roman" w:cs="Times New Roman"/>
          <w:sz w:val="24"/>
          <w:szCs w:val="24"/>
        </w:rPr>
        <w:t xml:space="preserve"> </w:t>
      </w:r>
      <w:r w:rsidR="003F1EB2" w:rsidRPr="005F1FD6">
        <w:rPr>
          <w:rFonts w:ascii="Times New Roman" w:hAnsi="Times New Roman" w:cs="Times New Roman"/>
          <w:sz w:val="24"/>
          <w:szCs w:val="24"/>
        </w:rPr>
        <w:t xml:space="preserve">cross-border </w:t>
      </w:r>
      <w:r w:rsidR="00AE23C2" w:rsidRPr="005F1FD6">
        <w:rPr>
          <w:rFonts w:ascii="Times New Roman" w:hAnsi="Times New Roman" w:cs="Times New Roman"/>
          <w:sz w:val="24"/>
          <w:szCs w:val="24"/>
        </w:rPr>
        <w:t xml:space="preserve">VC investment managers </w:t>
      </w:r>
      <w:r w:rsidR="007B0D53">
        <w:rPr>
          <w:rFonts w:ascii="Times New Roman" w:hAnsi="Times New Roman" w:cs="Times New Roman"/>
          <w:sz w:val="24"/>
          <w:szCs w:val="24"/>
        </w:rPr>
        <w:t xml:space="preserve">may </w:t>
      </w:r>
      <w:r w:rsidR="00AE23C2" w:rsidRPr="005F1FD6">
        <w:rPr>
          <w:rFonts w:ascii="Times New Roman" w:hAnsi="Times New Roman" w:cs="Times New Roman"/>
          <w:sz w:val="24"/>
          <w:szCs w:val="24"/>
        </w:rPr>
        <w:t xml:space="preserve">decide more easily to divest, as they are </w:t>
      </w:r>
      <w:r w:rsidR="009F37B7">
        <w:rPr>
          <w:rFonts w:ascii="Times New Roman" w:hAnsi="Times New Roman" w:cs="Times New Roman"/>
          <w:sz w:val="24"/>
          <w:szCs w:val="24"/>
        </w:rPr>
        <w:t>less embedded in</w:t>
      </w:r>
      <w:r w:rsidR="00AE23C2" w:rsidRPr="005F1FD6">
        <w:rPr>
          <w:rFonts w:ascii="Times New Roman" w:hAnsi="Times New Roman" w:cs="Times New Roman"/>
          <w:sz w:val="24"/>
          <w:szCs w:val="24"/>
        </w:rPr>
        <w:t xml:space="preserve"> the </w:t>
      </w:r>
      <w:r w:rsidR="00E97B74">
        <w:rPr>
          <w:rFonts w:ascii="Times New Roman" w:hAnsi="Times New Roman" w:cs="Times New Roman"/>
          <w:sz w:val="24"/>
          <w:szCs w:val="24"/>
        </w:rPr>
        <w:t xml:space="preserve">portfolio company’s </w:t>
      </w:r>
      <w:r w:rsidR="00AE23C2" w:rsidRPr="005F1FD6">
        <w:rPr>
          <w:rFonts w:ascii="Times New Roman" w:hAnsi="Times New Roman" w:cs="Times New Roman"/>
          <w:sz w:val="24"/>
          <w:szCs w:val="24"/>
        </w:rPr>
        <w:t>community (Boddewyn, 1983</w:t>
      </w:r>
      <w:r w:rsidR="00706306">
        <w:rPr>
          <w:rFonts w:ascii="Times New Roman" w:hAnsi="Times New Roman" w:cs="Times New Roman"/>
          <w:sz w:val="24"/>
          <w:szCs w:val="24"/>
        </w:rPr>
        <w:t>; Mäkelä and Maula, 2006</w:t>
      </w:r>
      <w:r w:rsidR="00AE23C2" w:rsidRPr="005F1FD6">
        <w:rPr>
          <w:rFonts w:ascii="Times New Roman" w:hAnsi="Times New Roman" w:cs="Times New Roman"/>
          <w:sz w:val="24"/>
          <w:szCs w:val="24"/>
        </w:rPr>
        <w:t xml:space="preserve">). </w:t>
      </w:r>
      <w:r w:rsidR="00036369">
        <w:rPr>
          <w:rFonts w:ascii="Times New Roman" w:hAnsi="Times New Roman" w:cs="Times New Roman"/>
          <w:sz w:val="24"/>
          <w:szCs w:val="24"/>
        </w:rPr>
        <w:t>S</w:t>
      </w:r>
      <w:r w:rsidR="007B0D53" w:rsidRPr="005F1FD6">
        <w:rPr>
          <w:rFonts w:ascii="Times New Roman" w:hAnsi="Times New Roman" w:cs="Times New Roman"/>
          <w:sz w:val="24"/>
          <w:szCs w:val="24"/>
        </w:rPr>
        <w:t>ocial pressures associated with terminating a portfolio company in their home market may hence impact a domestic VC firm more strongly compared to cross-border VC firms terminating an investment in a foreign country</w:t>
      </w:r>
      <w:r w:rsidR="007B0D53">
        <w:rPr>
          <w:rFonts w:ascii="Times New Roman" w:hAnsi="Times New Roman" w:cs="Times New Roman"/>
          <w:sz w:val="24"/>
          <w:szCs w:val="24"/>
        </w:rPr>
        <w:t>,</w:t>
      </w:r>
      <w:r w:rsidR="007B0D53" w:rsidRPr="005F1FD6">
        <w:rPr>
          <w:rFonts w:ascii="Times New Roman" w:hAnsi="Times New Roman" w:cs="Times New Roman"/>
          <w:sz w:val="24"/>
          <w:szCs w:val="24"/>
        </w:rPr>
        <w:t xml:space="preserve"> as it is more distant from their local ecosystem. </w:t>
      </w:r>
      <w:r w:rsidR="002025D7" w:rsidRPr="005F1FD6">
        <w:rPr>
          <w:rFonts w:ascii="Times New Roman" w:hAnsi="Times New Roman" w:cs="Times New Roman"/>
          <w:sz w:val="24"/>
          <w:szCs w:val="24"/>
        </w:rPr>
        <w:t xml:space="preserve">We thus expect </w:t>
      </w:r>
      <w:r w:rsidR="003F1EB2" w:rsidRPr="005F1FD6">
        <w:rPr>
          <w:rFonts w:ascii="Times New Roman" w:hAnsi="Times New Roman" w:cs="Times New Roman"/>
          <w:sz w:val="24"/>
          <w:szCs w:val="24"/>
        </w:rPr>
        <w:t xml:space="preserve">domestic </w:t>
      </w:r>
      <w:r w:rsidR="002025D7" w:rsidRPr="005F1FD6">
        <w:rPr>
          <w:rFonts w:ascii="Times New Roman" w:hAnsi="Times New Roman" w:cs="Times New Roman"/>
          <w:sz w:val="24"/>
          <w:szCs w:val="24"/>
        </w:rPr>
        <w:t>VC</w:t>
      </w:r>
      <w:r w:rsidR="00A84B8C" w:rsidRPr="005F1FD6">
        <w:rPr>
          <w:rFonts w:ascii="Times New Roman" w:hAnsi="Times New Roman" w:cs="Times New Roman"/>
          <w:sz w:val="24"/>
          <w:szCs w:val="24"/>
        </w:rPr>
        <w:t xml:space="preserve"> firm</w:t>
      </w:r>
      <w:r w:rsidR="002025D7" w:rsidRPr="005F1FD6">
        <w:rPr>
          <w:rFonts w:ascii="Times New Roman" w:hAnsi="Times New Roman" w:cs="Times New Roman"/>
          <w:sz w:val="24"/>
          <w:szCs w:val="24"/>
        </w:rPr>
        <w:t xml:space="preserve">s to be more prone to escalate commitment compared with </w:t>
      </w:r>
      <w:r w:rsidR="003F1EB2" w:rsidRPr="005F1FD6">
        <w:rPr>
          <w:rFonts w:ascii="Times New Roman" w:hAnsi="Times New Roman" w:cs="Times New Roman"/>
          <w:sz w:val="24"/>
          <w:szCs w:val="24"/>
        </w:rPr>
        <w:t xml:space="preserve">cross-border </w:t>
      </w:r>
      <w:r w:rsidR="002025D7" w:rsidRPr="005F1FD6">
        <w:rPr>
          <w:rFonts w:ascii="Times New Roman" w:hAnsi="Times New Roman" w:cs="Times New Roman"/>
          <w:sz w:val="24"/>
          <w:szCs w:val="24"/>
        </w:rPr>
        <w:t>VC</w:t>
      </w:r>
      <w:r w:rsidR="00A84B8C" w:rsidRPr="005F1FD6">
        <w:rPr>
          <w:rFonts w:ascii="Times New Roman" w:hAnsi="Times New Roman" w:cs="Times New Roman"/>
          <w:sz w:val="24"/>
          <w:szCs w:val="24"/>
        </w:rPr>
        <w:t xml:space="preserve"> firm</w:t>
      </w:r>
      <w:r w:rsidR="003F1EB2" w:rsidRPr="005F1FD6">
        <w:rPr>
          <w:rFonts w:ascii="Times New Roman" w:hAnsi="Times New Roman" w:cs="Times New Roman"/>
          <w:sz w:val="24"/>
          <w:szCs w:val="24"/>
        </w:rPr>
        <w:t>s</w:t>
      </w:r>
      <w:r w:rsidR="002025D7" w:rsidRPr="005F1FD6">
        <w:rPr>
          <w:rFonts w:ascii="Times New Roman" w:hAnsi="Times New Roman" w:cs="Times New Roman"/>
          <w:sz w:val="24"/>
          <w:szCs w:val="24"/>
        </w:rPr>
        <w:t>.</w:t>
      </w:r>
      <w:r w:rsidR="00853C7D">
        <w:rPr>
          <w:rFonts w:ascii="Times New Roman" w:hAnsi="Times New Roman" w:cs="Times New Roman"/>
          <w:sz w:val="24"/>
          <w:szCs w:val="24"/>
        </w:rPr>
        <w:t xml:space="preserve"> </w:t>
      </w:r>
    </w:p>
    <w:p w14:paraId="353ACB8E" w14:textId="36100202" w:rsidR="001C2F3C" w:rsidRDefault="004D5819" w:rsidP="00A67820">
      <w:pPr>
        <w:spacing w:after="0" w:line="480" w:lineRule="auto"/>
        <w:ind w:firstLine="432"/>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S</w:t>
      </w:r>
      <w:r w:rsidR="00495E51">
        <w:rPr>
          <w:rFonts w:ascii="Times New Roman" w:hAnsi="Times New Roman" w:cs="Times New Roman"/>
          <w:sz w:val="24"/>
          <w:szCs w:val="24"/>
          <w:lang w:val="en-GB"/>
        </w:rPr>
        <w:t>yndicate partners</w:t>
      </w:r>
      <w:r>
        <w:rPr>
          <w:rFonts w:ascii="Times New Roman" w:hAnsi="Times New Roman" w:cs="Times New Roman"/>
          <w:sz w:val="24"/>
          <w:szCs w:val="24"/>
          <w:lang w:val="en-GB"/>
        </w:rPr>
        <w:t>, as important stakeholders, also</w:t>
      </w:r>
      <w:r w:rsidR="00495E51">
        <w:rPr>
          <w:rFonts w:ascii="Times New Roman" w:hAnsi="Times New Roman" w:cs="Times New Roman"/>
          <w:sz w:val="24"/>
          <w:szCs w:val="24"/>
          <w:lang w:val="en-GB"/>
        </w:rPr>
        <w:t xml:space="preserve"> exert strong normative pressures to escalate commitment to a failing course of action, as terminating is expected to be associated with reputation </w:t>
      </w:r>
      <w:r w:rsidR="00036369">
        <w:rPr>
          <w:rFonts w:ascii="Times New Roman" w:hAnsi="Times New Roman" w:cs="Times New Roman"/>
          <w:sz w:val="24"/>
          <w:szCs w:val="24"/>
          <w:lang w:val="en-GB"/>
        </w:rPr>
        <w:t xml:space="preserve">loss </w:t>
      </w:r>
      <w:r w:rsidR="00495E51">
        <w:rPr>
          <w:rFonts w:ascii="Times New Roman" w:hAnsi="Times New Roman" w:cs="Times New Roman"/>
          <w:sz w:val="24"/>
          <w:szCs w:val="24"/>
          <w:lang w:val="en-GB"/>
        </w:rPr>
        <w:t>and future deal flow</w:t>
      </w:r>
      <w:r w:rsidR="00F41913">
        <w:rPr>
          <w:rFonts w:ascii="Times New Roman" w:hAnsi="Times New Roman" w:cs="Times New Roman"/>
          <w:sz w:val="24"/>
          <w:szCs w:val="24"/>
          <w:lang w:val="en-GB"/>
        </w:rPr>
        <w:t xml:space="preserve"> within the VC community (Guler</w:t>
      </w:r>
      <w:r w:rsidR="000F75BB">
        <w:rPr>
          <w:rFonts w:ascii="Times New Roman" w:hAnsi="Times New Roman" w:cs="Times New Roman"/>
          <w:sz w:val="24"/>
          <w:szCs w:val="24"/>
          <w:lang w:val="en-GB"/>
        </w:rPr>
        <w:t>,</w:t>
      </w:r>
      <w:r w:rsidR="00F41913">
        <w:rPr>
          <w:rFonts w:ascii="Times New Roman" w:hAnsi="Times New Roman" w:cs="Times New Roman"/>
          <w:sz w:val="24"/>
          <w:szCs w:val="24"/>
          <w:lang w:val="en-GB"/>
        </w:rPr>
        <w:t xml:space="preserve"> 2007</w:t>
      </w:r>
      <w:r w:rsidR="00AE09A2">
        <w:rPr>
          <w:rFonts w:ascii="Times New Roman" w:hAnsi="Times New Roman" w:cs="Times New Roman"/>
          <w:sz w:val="24"/>
          <w:szCs w:val="24"/>
          <w:lang w:val="en-GB"/>
        </w:rPr>
        <w:t>; Mäkelä and Maula, 2006</w:t>
      </w:r>
      <w:r w:rsidR="00F41913">
        <w:rPr>
          <w:rFonts w:ascii="Times New Roman" w:hAnsi="Times New Roman" w:cs="Times New Roman"/>
          <w:sz w:val="24"/>
          <w:szCs w:val="24"/>
          <w:lang w:val="en-GB"/>
        </w:rPr>
        <w:t>)</w:t>
      </w:r>
      <w:r w:rsidR="00495E51">
        <w:rPr>
          <w:rFonts w:ascii="Times New Roman" w:hAnsi="Times New Roman" w:cs="Times New Roman"/>
          <w:sz w:val="24"/>
          <w:szCs w:val="24"/>
          <w:lang w:val="en-GB"/>
        </w:rPr>
        <w:t xml:space="preserve">. As both are valuable resources for any VC firm, VCs tend to continue to invest in order not to jeopardize </w:t>
      </w:r>
      <w:r w:rsidR="00BB4E92">
        <w:rPr>
          <w:rFonts w:ascii="Times New Roman" w:hAnsi="Times New Roman" w:cs="Times New Roman"/>
          <w:sz w:val="24"/>
          <w:szCs w:val="24"/>
          <w:lang w:val="en-GB"/>
        </w:rPr>
        <w:t>them</w:t>
      </w:r>
      <w:r w:rsidR="00495E51">
        <w:rPr>
          <w:rFonts w:ascii="Times New Roman" w:hAnsi="Times New Roman" w:cs="Times New Roman"/>
          <w:sz w:val="24"/>
          <w:szCs w:val="24"/>
          <w:lang w:val="en-GB"/>
        </w:rPr>
        <w:t xml:space="preserve">. </w:t>
      </w:r>
      <w:r w:rsidR="002827FF">
        <w:rPr>
          <w:rFonts w:ascii="Times New Roman" w:hAnsi="Times New Roman" w:cs="Times New Roman"/>
          <w:sz w:val="24"/>
          <w:szCs w:val="24"/>
          <w:lang w:val="en-GB"/>
        </w:rPr>
        <w:t xml:space="preserve">We argue that local reputation and deal sourcing is more important for domestic VC investors compared with cross-border VC investors. </w:t>
      </w:r>
      <w:r w:rsidR="00F41913">
        <w:rPr>
          <w:rFonts w:ascii="Times New Roman" w:hAnsi="Times New Roman" w:cs="Times New Roman"/>
          <w:sz w:val="24"/>
          <w:szCs w:val="24"/>
          <w:lang w:val="en-GB"/>
        </w:rPr>
        <w:t xml:space="preserve">It is well </w:t>
      </w:r>
      <w:r w:rsidR="00A73D02">
        <w:rPr>
          <w:rFonts w:ascii="Times New Roman" w:hAnsi="Times New Roman" w:cs="Times New Roman"/>
          <w:sz w:val="24"/>
          <w:szCs w:val="24"/>
          <w:lang w:val="en-GB"/>
        </w:rPr>
        <w:t xml:space="preserve">documented </w:t>
      </w:r>
      <w:r w:rsidR="00F41913">
        <w:rPr>
          <w:rFonts w:ascii="Times New Roman" w:hAnsi="Times New Roman" w:cs="Times New Roman"/>
          <w:sz w:val="24"/>
          <w:szCs w:val="24"/>
          <w:lang w:val="en-GB"/>
        </w:rPr>
        <w:t>that VC investors exhibit a</w:t>
      </w:r>
      <w:r w:rsidR="00AB661D">
        <w:rPr>
          <w:rFonts w:ascii="Times New Roman" w:hAnsi="Times New Roman" w:cs="Times New Roman"/>
          <w:sz w:val="24"/>
          <w:szCs w:val="24"/>
          <w:lang w:val="en-GB"/>
        </w:rPr>
        <w:t>n</w:t>
      </w:r>
      <w:r w:rsidR="00F41913">
        <w:rPr>
          <w:rFonts w:ascii="Times New Roman" w:hAnsi="Times New Roman" w:cs="Times New Roman"/>
          <w:sz w:val="24"/>
          <w:szCs w:val="24"/>
          <w:lang w:val="en-GB"/>
        </w:rPr>
        <w:t xml:space="preserve"> investment bias</w:t>
      </w:r>
      <w:r w:rsidR="00AB661D">
        <w:rPr>
          <w:rFonts w:ascii="Times New Roman" w:hAnsi="Times New Roman" w:cs="Times New Roman"/>
          <w:sz w:val="24"/>
          <w:szCs w:val="24"/>
          <w:lang w:val="en-GB"/>
        </w:rPr>
        <w:t xml:space="preserve"> towards more proximate portfolio companies</w:t>
      </w:r>
      <w:r w:rsidR="00F41913">
        <w:rPr>
          <w:rFonts w:ascii="Times New Roman" w:hAnsi="Times New Roman" w:cs="Times New Roman"/>
          <w:sz w:val="24"/>
          <w:szCs w:val="24"/>
          <w:lang w:val="en-GB"/>
        </w:rPr>
        <w:t xml:space="preserve"> (Sorenson and Stuart</w:t>
      </w:r>
      <w:r w:rsidR="000F75BB">
        <w:rPr>
          <w:rFonts w:ascii="Times New Roman" w:hAnsi="Times New Roman" w:cs="Times New Roman"/>
          <w:sz w:val="24"/>
          <w:szCs w:val="24"/>
          <w:lang w:val="en-GB"/>
        </w:rPr>
        <w:t>,</w:t>
      </w:r>
      <w:r w:rsidR="00F41913">
        <w:rPr>
          <w:rFonts w:ascii="Times New Roman" w:hAnsi="Times New Roman" w:cs="Times New Roman"/>
          <w:sz w:val="24"/>
          <w:szCs w:val="24"/>
          <w:lang w:val="en-GB"/>
        </w:rPr>
        <w:t xml:space="preserve"> 2001</w:t>
      </w:r>
      <w:r w:rsidR="00A73D02">
        <w:rPr>
          <w:rFonts w:ascii="Times New Roman" w:hAnsi="Times New Roman" w:cs="Times New Roman"/>
          <w:sz w:val="24"/>
          <w:szCs w:val="24"/>
          <w:lang w:val="en-GB"/>
        </w:rPr>
        <w:t>; Cumming and Dai, 2010</w:t>
      </w:r>
      <w:r w:rsidR="00F41913">
        <w:rPr>
          <w:rFonts w:ascii="Times New Roman" w:hAnsi="Times New Roman" w:cs="Times New Roman"/>
          <w:sz w:val="24"/>
          <w:szCs w:val="24"/>
          <w:lang w:val="en-GB"/>
        </w:rPr>
        <w:t xml:space="preserve">). </w:t>
      </w:r>
      <w:r w:rsidR="00A73D02">
        <w:rPr>
          <w:rFonts w:ascii="Times New Roman" w:hAnsi="Times New Roman" w:cs="Times New Roman"/>
          <w:sz w:val="24"/>
          <w:szCs w:val="24"/>
          <w:lang w:val="en-GB"/>
        </w:rPr>
        <w:t>Some VC</w:t>
      </w:r>
      <w:r w:rsidR="00F376C5">
        <w:rPr>
          <w:rFonts w:ascii="Times New Roman" w:hAnsi="Times New Roman" w:cs="Times New Roman"/>
          <w:sz w:val="24"/>
          <w:szCs w:val="24"/>
          <w:lang w:val="en-GB"/>
        </w:rPr>
        <w:t xml:space="preserve"> investor</w:t>
      </w:r>
      <w:r w:rsidR="00A73D02">
        <w:rPr>
          <w:rFonts w:ascii="Times New Roman" w:hAnsi="Times New Roman" w:cs="Times New Roman"/>
          <w:sz w:val="24"/>
          <w:szCs w:val="24"/>
          <w:lang w:val="en-GB"/>
        </w:rPr>
        <w:t>s</w:t>
      </w:r>
      <w:r w:rsidR="00F376C5">
        <w:rPr>
          <w:rFonts w:ascii="Times New Roman" w:hAnsi="Times New Roman" w:cs="Times New Roman"/>
          <w:sz w:val="24"/>
          <w:szCs w:val="24"/>
          <w:lang w:val="en-GB"/>
        </w:rPr>
        <w:t xml:space="preserve"> exhibit less local bias, especially</w:t>
      </w:r>
      <w:r w:rsidR="00A73D02">
        <w:rPr>
          <w:rFonts w:ascii="Times New Roman" w:hAnsi="Times New Roman" w:cs="Times New Roman"/>
          <w:sz w:val="24"/>
          <w:szCs w:val="24"/>
          <w:lang w:val="en-GB"/>
        </w:rPr>
        <w:t xml:space="preserve"> large</w:t>
      </w:r>
      <w:r w:rsidR="00F376C5">
        <w:rPr>
          <w:rFonts w:ascii="Times New Roman" w:hAnsi="Times New Roman" w:cs="Times New Roman"/>
          <w:sz w:val="24"/>
          <w:szCs w:val="24"/>
          <w:lang w:val="en-GB"/>
        </w:rPr>
        <w:t>r</w:t>
      </w:r>
      <w:r w:rsidR="00A73D02">
        <w:rPr>
          <w:rFonts w:ascii="Times New Roman" w:hAnsi="Times New Roman" w:cs="Times New Roman"/>
          <w:sz w:val="24"/>
          <w:szCs w:val="24"/>
          <w:lang w:val="en-GB"/>
        </w:rPr>
        <w:t xml:space="preserve"> VC</w:t>
      </w:r>
      <w:r w:rsidR="00F376C5">
        <w:rPr>
          <w:rFonts w:ascii="Times New Roman" w:hAnsi="Times New Roman" w:cs="Times New Roman"/>
          <w:sz w:val="24"/>
          <w:szCs w:val="24"/>
          <w:lang w:val="en-GB"/>
        </w:rPr>
        <w:t xml:space="preserve"> investor</w:t>
      </w:r>
      <w:r w:rsidR="00A73D02">
        <w:rPr>
          <w:rFonts w:ascii="Times New Roman" w:hAnsi="Times New Roman" w:cs="Times New Roman"/>
          <w:sz w:val="24"/>
          <w:szCs w:val="24"/>
          <w:lang w:val="en-GB"/>
        </w:rPr>
        <w:t>s (Sorenson and Stuart, 2001) and VC</w:t>
      </w:r>
      <w:r w:rsidR="00175938">
        <w:rPr>
          <w:rFonts w:ascii="Times New Roman" w:hAnsi="Times New Roman" w:cs="Times New Roman"/>
          <w:sz w:val="24"/>
          <w:szCs w:val="24"/>
          <w:lang w:val="en-GB"/>
        </w:rPr>
        <w:t xml:space="preserve"> investor</w:t>
      </w:r>
      <w:r w:rsidR="00A73D02">
        <w:rPr>
          <w:rFonts w:ascii="Times New Roman" w:hAnsi="Times New Roman" w:cs="Times New Roman"/>
          <w:sz w:val="24"/>
          <w:szCs w:val="24"/>
          <w:lang w:val="en-GB"/>
        </w:rPr>
        <w:t xml:space="preserve">s with </w:t>
      </w:r>
      <w:r w:rsidR="00175938">
        <w:rPr>
          <w:rFonts w:ascii="Times New Roman" w:hAnsi="Times New Roman" w:cs="Times New Roman"/>
          <w:sz w:val="24"/>
          <w:szCs w:val="24"/>
          <w:lang w:val="en-GB"/>
        </w:rPr>
        <w:t xml:space="preserve">a </w:t>
      </w:r>
      <w:r w:rsidR="00A73D02">
        <w:rPr>
          <w:rFonts w:ascii="Times New Roman" w:hAnsi="Times New Roman" w:cs="Times New Roman"/>
          <w:sz w:val="24"/>
          <w:szCs w:val="24"/>
          <w:lang w:val="en-GB"/>
        </w:rPr>
        <w:t xml:space="preserve">broader </w:t>
      </w:r>
      <w:r w:rsidR="007510F7">
        <w:rPr>
          <w:rFonts w:ascii="Times New Roman" w:hAnsi="Times New Roman" w:cs="Times New Roman"/>
          <w:sz w:val="24"/>
          <w:szCs w:val="24"/>
          <w:lang w:val="en-GB"/>
        </w:rPr>
        <w:t xml:space="preserve">or more geographically diversified </w:t>
      </w:r>
      <w:r w:rsidR="00A73D02">
        <w:rPr>
          <w:rFonts w:ascii="Times New Roman" w:hAnsi="Times New Roman" w:cs="Times New Roman"/>
          <w:sz w:val="24"/>
          <w:szCs w:val="24"/>
          <w:lang w:val="en-GB"/>
        </w:rPr>
        <w:t>network</w:t>
      </w:r>
      <w:r w:rsidR="007510F7">
        <w:rPr>
          <w:rFonts w:ascii="Times New Roman" w:hAnsi="Times New Roman" w:cs="Times New Roman"/>
          <w:sz w:val="24"/>
          <w:szCs w:val="24"/>
          <w:lang w:val="en-GB"/>
        </w:rPr>
        <w:t xml:space="preserve"> (Cumming and Dai, 2010). </w:t>
      </w:r>
      <w:r w:rsidR="00175938">
        <w:rPr>
          <w:rFonts w:ascii="Times New Roman" w:hAnsi="Times New Roman" w:cs="Times New Roman"/>
          <w:sz w:val="24"/>
          <w:szCs w:val="24"/>
          <w:lang w:val="en-GB"/>
        </w:rPr>
        <w:t xml:space="preserve">Nevertheless, even the larger and better networked VC investors invest predominantly in their proximity (Sorenson and Stuart, 2001; Cumming and Dai, 2010). </w:t>
      </w:r>
      <w:r w:rsidR="00F41913">
        <w:rPr>
          <w:rFonts w:ascii="Times New Roman" w:hAnsi="Times New Roman" w:cs="Times New Roman"/>
          <w:sz w:val="24"/>
          <w:szCs w:val="24"/>
          <w:lang w:val="en-GB"/>
        </w:rPr>
        <w:t xml:space="preserve">This implies that the </w:t>
      </w:r>
      <w:r w:rsidR="00B23AAC">
        <w:rPr>
          <w:rFonts w:ascii="Times New Roman" w:hAnsi="Times New Roman" w:cs="Times New Roman"/>
          <w:sz w:val="24"/>
          <w:szCs w:val="24"/>
          <w:lang w:val="en-GB"/>
        </w:rPr>
        <w:t>home</w:t>
      </w:r>
      <w:r w:rsidR="00F41913">
        <w:rPr>
          <w:rFonts w:ascii="Times New Roman" w:hAnsi="Times New Roman" w:cs="Times New Roman"/>
          <w:sz w:val="24"/>
          <w:szCs w:val="24"/>
          <w:lang w:val="en-GB"/>
        </w:rPr>
        <w:t xml:space="preserve"> environment is more important for VC deal and syndicate partner sourcing compared to </w:t>
      </w:r>
      <w:r w:rsidR="00F41913" w:rsidRPr="007E519D">
        <w:rPr>
          <w:rFonts w:ascii="Times New Roman" w:hAnsi="Times New Roman"/>
          <w:i/>
          <w:sz w:val="24"/>
          <w:lang w:val="en-GB"/>
        </w:rPr>
        <w:t>any</w:t>
      </w:r>
      <w:r w:rsidR="00F41913">
        <w:rPr>
          <w:rFonts w:ascii="Times New Roman" w:hAnsi="Times New Roman" w:cs="Times New Roman"/>
          <w:sz w:val="24"/>
          <w:szCs w:val="24"/>
          <w:lang w:val="en-GB"/>
        </w:rPr>
        <w:t xml:space="preserve"> international environment, and hence </w:t>
      </w:r>
      <w:r w:rsidR="00B23AAC">
        <w:rPr>
          <w:rFonts w:ascii="Times New Roman" w:hAnsi="Times New Roman" w:cs="Times New Roman"/>
          <w:sz w:val="24"/>
          <w:szCs w:val="24"/>
          <w:lang w:val="en-GB"/>
        </w:rPr>
        <w:t>home</w:t>
      </w:r>
      <w:r w:rsidR="00F41913">
        <w:rPr>
          <w:rFonts w:ascii="Times New Roman" w:hAnsi="Times New Roman" w:cs="Times New Roman"/>
          <w:sz w:val="24"/>
          <w:szCs w:val="24"/>
          <w:lang w:val="en-GB"/>
        </w:rPr>
        <w:t xml:space="preserve"> reputation </w:t>
      </w:r>
      <w:r w:rsidR="00126286">
        <w:rPr>
          <w:rFonts w:ascii="Times New Roman" w:hAnsi="Times New Roman" w:cs="Times New Roman"/>
          <w:sz w:val="24"/>
          <w:szCs w:val="24"/>
          <w:lang w:val="en-GB"/>
        </w:rPr>
        <w:t xml:space="preserve">should be </w:t>
      </w:r>
      <w:r w:rsidR="009B07D7">
        <w:rPr>
          <w:rFonts w:ascii="Times New Roman" w:hAnsi="Times New Roman" w:cs="Times New Roman"/>
          <w:sz w:val="24"/>
          <w:szCs w:val="24"/>
          <w:lang w:val="en-GB"/>
        </w:rPr>
        <w:t xml:space="preserve">relatively </w:t>
      </w:r>
      <w:r w:rsidR="00F41913">
        <w:rPr>
          <w:rFonts w:ascii="Times New Roman" w:hAnsi="Times New Roman" w:cs="Times New Roman"/>
          <w:sz w:val="24"/>
          <w:szCs w:val="24"/>
          <w:lang w:val="en-GB"/>
        </w:rPr>
        <w:t xml:space="preserve">more of a concern compared to international reputation. </w:t>
      </w:r>
      <w:r w:rsidR="00B23AAC">
        <w:rPr>
          <w:rFonts w:ascii="Times New Roman" w:hAnsi="Times New Roman" w:cs="Times New Roman"/>
          <w:sz w:val="24"/>
          <w:szCs w:val="24"/>
          <w:lang w:val="en-GB"/>
        </w:rPr>
        <w:t xml:space="preserve">Cross-border VC investors </w:t>
      </w:r>
      <w:r w:rsidR="00B23AAC">
        <w:rPr>
          <w:rFonts w:ascii="Times New Roman" w:hAnsi="Times New Roman" w:cs="Times New Roman"/>
          <w:sz w:val="24"/>
          <w:szCs w:val="24"/>
          <w:lang w:val="en-GB"/>
        </w:rPr>
        <w:lastRenderedPageBreak/>
        <w:t xml:space="preserve">failing </w:t>
      </w:r>
      <w:r w:rsidR="00A8403C">
        <w:rPr>
          <w:rFonts w:ascii="Times New Roman" w:hAnsi="Times New Roman" w:cs="Times New Roman"/>
          <w:sz w:val="24"/>
          <w:szCs w:val="24"/>
          <w:lang w:val="en-GB"/>
        </w:rPr>
        <w:t xml:space="preserve">to continue to invest in a portfolio company outside their home market will have a </w:t>
      </w:r>
      <w:r w:rsidR="00867BCB">
        <w:rPr>
          <w:rFonts w:ascii="Times New Roman" w:hAnsi="Times New Roman" w:cs="Times New Roman"/>
          <w:sz w:val="24"/>
          <w:szCs w:val="24"/>
          <w:lang w:val="en-GB"/>
        </w:rPr>
        <w:t xml:space="preserve">more </w:t>
      </w:r>
      <w:r w:rsidR="00720725">
        <w:rPr>
          <w:rFonts w:ascii="Times New Roman" w:hAnsi="Times New Roman" w:cs="Times New Roman"/>
          <w:sz w:val="24"/>
          <w:szCs w:val="24"/>
          <w:lang w:val="en-GB"/>
        </w:rPr>
        <w:t>limited</w:t>
      </w:r>
      <w:r w:rsidR="00A8403C">
        <w:rPr>
          <w:rFonts w:ascii="Times New Roman" w:hAnsi="Times New Roman" w:cs="Times New Roman"/>
          <w:sz w:val="24"/>
          <w:szCs w:val="24"/>
          <w:lang w:val="en-GB"/>
        </w:rPr>
        <w:t xml:space="preserve"> </w:t>
      </w:r>
      <w:r w:rsidR="00720725">
        <w:rPr>
          <w:rFonts w:ascii="Times New Roman" w:hAnsi="Times New Roman" w:cs="Times New Roman"/>
          <w:sz w:val="24"/>
          <w:szCs w:val="24"/>
          <w:lang w:val="en-GB"/>
        </w:rPr>
        <w:t xml:space="preserve">impact on their </w:t>
      </w:r>
      <w:r w:rsidR="001C2F3C">
        <w:rPr>
          <w:rFonts w:ascii="Times New Roman" w:hAnsi="Times New Roman" w:cs="Times New Roman"/>
          <w:sz w:val="24"/>
          <w:szCs w:val="24"/>
          <w:lang w:val="en-GB"/>
        </w:rPr>
        <w:t xml:space="preserve">home </w:t>
      </w:r>
      <w:r w:rsidR="00720725">
        <w:rPr>
          <w:rFonts w:ascii="Times New Roman" w:hAnsi="Times New Roman" w:cs="Times New Roman"/>
          <w:sz w:val="24"/>
          <w:szCs w:val="24"/>
          <w:lang w:val="en-GB"/>
        </w:rPr>
        <w:t>reputation</w:t>
      </w:r>
      <w:r w:rsidR="003E22CC">
        <w:rPr>
          <w:rFonts w:ascii="Times New Roman" w:hAnsi="Times New Roman" w:cs="Times New Roman"/>
          <w:sz w:val="24"/>
          <w:szCs w:val="24"/>
          <w:lang w:val="en-GB"/>
        </w:rPr>
        <w:t xml:space="preserve">. </w:t>
      </w:r>
      <w:r w:rsidR="001C2F3C">
        <w:rPr>
          <w:rFonts w:ascii="Times New Roman" w:hAnsi="Times New Roman" w:cs="Times New Roman"/>
          <w:sz w:val="24"/>
          <w:szCs w:val="24"/>
          <w:lang w:val="en-GB"/>
        </w:rPr>
        <w:t>Their access to deal flow and syndicate partners in other markets will m</w:t>
      </w:r>
      <w:r w:rsidR="00D02919">
        <w:rPr>
          <w:rFonts w:ascii="Times New Roman" w:hAnsi="Times New Roman" w:cs="Times New Roman"/>
          <w:sz w:val="24"/>
          <w:szCs w:val="24"/>
          <w:lang w:val="en-GB"/>
        </w:rPr>
        <w:t>ean</w:t>
      </w:r>
      <w:r w:rsidR="001C2F3C">
        <w:rPr>
          <w:rFonts w:ascii="Times New Roman" w:hAnsi="Times New Roman" w:cs="Times New Roman"/>
          <w:sz w:val="24"/>
          <w:szCs w:val="24"/>
          <w:lang w:val="en-GB"/>
        </w:rPr>
        <w:t xml:space="preserve"> that their failure to comply to the norms in a particular deal outside their home market will have more limited negative consequences for them.</w:t>
      </w:r>
      <w:r w:rsidR="000C18B3" w:rsidRPr="000C18B3">
        <w:rPr>
          <w:rFonts w:ascii="Times New Roman" w:hAnsi="Times New Roman" w:cs="Times New Roman"/>
          <w:sz w:val="24"/>
          <w:szCs w:val="24"/>
          <w:lang w:val="en-GB"/>
        </w:rPr>
        <w:t xml:space="preserve"> </w:t>
      </w:r>
      <w:r w:rsidR="000C18B3">
        <w:rPr>
          <w:rFonts w:ascii="Times New Roman" w:hAnsi="Times New Roman" w:cs="Times New Roman"/>
          <w:sz w:val="24"/>
          <w:szCs w:val="24"/>
          <w:lang w:val="en-GB"/>
        </w:rPr>
        <w:t xml:space="preserve">Therefore, cross-border VC investors may feel </w:t>
      </w:r>
      <w:r w:rsidR="009B07D7">
        <w:rPr>
          <w:rFonts w:ascii="Times New Roman" w:hAnsi="Times New Roman" w:cs="Times New Roman"/>
          <w:sz w:val="24"/>
          <w:szCs w:val="24"/>
          <w:lang w:val="en-GB"/>
        </w:rPr>
        <w:t xml:space="preserve">relatively </w:t>
      </w:r>
      <w:r w:rsidR="000C18B3">
        <w:rPr>
          <w:rFonts w:ascii="Times New Roman" w:hAnsi="Times New Roman" w:cs="Times New Roman"/>
          <w:sz w:val="24"/>
          <w:szCs w:val="24"/>
          <w:lang w:val="en-GB"/>
        </w:rPr>
        <w:t>more secure terminating their investments and thereby deviating from the norms (Podolny, 2005).</w:t>
      </w:r>
    </w:p>
    <w:p w14:paraId="2B9FCA3F" w14:textId="77777777" w:rsidR="00B973A4" w:rsidRPr="005F1FD6" w:rsidRDefault="006F44B0" w:rsidP="00DD4DDC">
      <w:pPr>
        <w:spacing w:after="0" w:line="480" w:lineRule="auto"/>
        <w:ind w:firstLine="432"/>
        <w:contextualSpacing/>
        <w:jc w:val="both"/>
        <w:rPr>
          <w:rFonts w:ascii="Times New Roman" w:hAnsi="Times New Roman" w:cs="Times New Roman"/>
          <w:sz w:val="24"/>
          <w:szCs w:val="24"/>
        </w:rPr>
      </w:pPr>
      <w:r>
        <w:rPr>
          <w:rFonts w:ascii="Times New Roman" w:hAnsi="Times New Roman" w:cs="Times New Roman"/>
          <w:sz w:val="24"/>
          <w:szCs w:val="24"/>
          <w:lang w:val="en-GB"/>
        </w:rPr>
        <w:t>For domestic VC investors, in contrast, their local network and reputation</w:t>
      </w:r>
      <w:r w:rsidR="00F41913">
        <w:rPr>
          <w:rFonts w:ascii="Times New Roman" w:hAnsi="Times New Roman" w:cs="Times New Roman"/>
          <w:sz w:val="24"/>
          <w:szCs w:val="24"/>
          <w:lang w:val="en-GB"/>
        </w:rPr>
        <w:t xml:space="preserve"> in the local VC community</w:t>
      </w:r>
      <w:r>
        <w:rPr>
          <w:rFonts w:ascii="Times New Roman" w:hAnsi="Times New Roman" w:cs="Times New Roman"/>
          <w:sz w:val="24"/>
          <w:szCs w:val="24"/>
          <w:lang w:val="en-GB"/>
        </w:rPr>
        <w:t xml:space="preserve"> is very important. Domestic VC firms hence risk losing relatively more in terms of reputation and deal sourcing compared to cross-border VC investors</w:t>
      </w:r>
      <w:r w:rsidR="00706A8A">
        <w:rPr>
          <w:rFonts w:ascii="Times New Roman" w:hAnsi="Times New Roman" w:cs="Times New Roman"/>
          <w:sz w:val="24"/>
          <w:szCs w:val="24"/>
          <w:lang w:val="en-GB"/>
        </w:rPr>
        <w:t>, and will therefore be more strongly influenced by the normative pressures from their co-investors</w:t>
      </w:r>
      <w:r>
        <w:rPr>
          <w:rFonts w:ascii="Times New Roman" w:hAnsi="Times New Roman" w:cs="Times New Roman"/>
          <w:sz w:val="24"/>
          <w:szCs w:val="24"/>
          <w:lang w:val="en-GB"/>
        </w:rPr>
        <w:t xml:space="preserve">. </w:t>
      </w:r>
      <w:r w:rsidR="00036369">
        <w:rPr>
          <w:rFonts w:ascii="Times New Roman" w:hAnsi="Times New Roman" w:cs="Times New Roman"/>
          <w:sz w:val="24"/>
          <w:szCs w:val="24"/>
          <w:lang w:val="en-GB"/>
        </w:rPr>
        <w:t>Hence</w:t>
      </w:r>
      <w:r w:rsidR="00E57D3B" w:rsidRPr="005F1FD6">
        <w:rPr>
          <w:rFonts w:ascii="Times New Roman" w:hAnsi="Times New Roman" w:cs="Times New Roman"/>
          <w:sz w:val="24"/>
          <w:szCs w:val="24"/>
        </w:rPr>
        <w:t>:</w:t>
      </w:r>
    </w:p>
    <w:p w14:paraId="2C1EAD8D" w14:textId="77777777" w:rsidR="00667809" w:rsidRDefault="00667809" w:rsidP="009E0A45">
      <w:pPr>
        <w:spacing w:after="0" w:line="480" w:lineRule="auto"/>
        <w:contextualSpacing/>
        <w:jc w:val="both"/>
        <w:rPr>
          <w:rFonts w:ascii="Times New Roman" w:hAnsi="Times New Roman" w:cs="Times New Roman"/>
          <w:i/>
          <w:sz w:val="24"/>
          <w:szCs w:val="24"/>
        </w:rPr>
      </w:pPr>
    </w:p>
    <w:p w14:paraId="2A07699C" w14:textId="0A1DBA71" w:rsidR="00664952" w:rsidRDefault="00B973A4" w:rsidP="00664952">
      <w:pPr>
        <w:spacing w:after="0" w:line="480" w:lineRule="auto"/>
        <w:contextualSpacing/>
        <w:jc w:val="both"/>
        <w:rPr>
          <w:rFonts w:ascii="Times New Roman" w:hAnsi="Times New Roman" w:cs="Times New Roman"/>
          <w:i/>
          <w:sz w:val="24"/>
          <w:szCs w:val="24"/>
        </w:rPr>
      </w:pPr>
      <w:r w:rsidRPr="005F1FD6">
        <w:rPr>
          <w:rFonts w:ascii="Times New Roman" w:hAnsi="Times New Roman" w:cs="Times New Roman"/>
          <w:i/>
          <w:sz w:val="24"/>
          <w:szCs w:val="24"/>
        </w:rPr>
        <w:t>H</w:t>
      </w:r>
      <w:r w:rsidR="003B1365">
        <w:rPr>
          <w:rFonts w:ascii="Times New Roman" w:hAnsi="Times New Roman" w:cs="Times New Roman"/>
          <w:i/>
          <w:sz w:val="24"/>
          <w:szCs w:val="24"/>
        </w:rPr>
        <w:t xml:space="preserve">ypothesis </w:t>
      </w:r>
      <w:r w:rsidRPr="005F1FD6">
        <w:rPr>
          <w:rFonts w:ascii="Times New Roman" w:hAnsi="Times New Roman" w:cs="Times New Roman"/>
          <w:i/>
          <w:sz w:val="24"/>
          <w:szCs w:val="24"/>
        </w:rPr>
        <w:t xml:space="preserve">1: </w:t>
      </w:r>
      <w:r w:rsidR="00664952">
        <w:rPr>
          <w:rFonts w:ascii="Times New Roman" w:hAnsi="Times New Roman" w:cs="Times New Roman"/>
          <w:i/>
          <w:sz w:val="24"/>
          <w:szCs w:val="24"/>
        </w:rPr>
        <w:t xml:space="preserve">The </w:t>
      </w:r>
      <w:r w:rsidR="004B246E">
        <w:rPr>
          <w:rFonts w:ascii="Times New Roman" w:hAnsi="Times New Roman" w:cs="Times New Roman"/>
          <w:i/>
          <w:sz w:val="24"/>
          <w:szCs w:val="24"/>
        </w:rPr>
        <w:t>probability</w:t>
      </w:r>
      <w:r w:rsidR="00766A0D">
        <w:rPr>
          <w:rFonts w:ascii="Times New Roman" w:hAnsi="Times New Roman" w:cs="Times New Roman"/>
          <w:i/>
          <w:sz w:val="24"/>
          <w:szCs w:val="24"/>
        </w:rPr>
        <w:t xml:space="preserve"> that the hazard</w:t>
      </w:r>
      <w:r w:rsidR="00664952">
        <w:rPr>
          <w:rFonts w:ascii="Times New Roman" w:hAnsi="Times New Roman" w:cs="Times New Roman"/>
          <w:i/>
          <w:sz w:val="24"/>
          <w:szCs w:val="24"/>
        </w:rPr>
        <w:t xml:space="preserve"> </w:t>
      </w:r>
      <w:r w:rsidR="00766A0D">
        <w:rPr>
          <w:rFonts w:ascii="Times New Roman" w:hAnsi="Times New Roman" w:cs="Times New Roman"/>
          <w:i/>
          <w:sz w:val="24"/>
          <w:szCs w:val="24"/>
        </w:rPr>
        <w:t>of</w:t>
      </w:r>
      <w:r w:rsidR="00664952">
        <w:rPr>
          <w:rFonts w:ascii="Times New Roman" w:hAnsi="Times New Roman" w:cs="Times New Roman"/>
          <w:i/>
          <w:sz w:val="24"/>
          <w:szCs w:val="24"/>
        </w:rPr>
        <w:t xml:space="preserve"> a VC firm terminating investment in a </w:t>
      </w:r>
      <w:r w:rsidR="00766A0D">
        <w:rPr>
          <w:rFonts w:ascii="Times New Roman" w:hAnsi="Times New Roman" w:cs="Times New Roman"/>
          <w:i/>
          <w:sz w:val="24"/>
          <w:szCs w:val="24"/>
        </w:rPr>
        <w:t>portfolio company</w:t>
      </w:r>
      <w:r w:rsidR="00664952">
        <w:rPr>
          <w:rFonts w:ascii="Times New Roman" w:hAnsi="Times New Roman" w:cs="Times New Roman"/>
          <w:i/>
          <w:sz w:val="24"/>
          <w:szCs w:val="24"/>
        </w:rPr>
        <w:t xml:space="preserve"> </w:t>
      </w:r>
      <w:r w:rsidR="00766A0D">
        <w:rPr>
          <w:rFonts w:ascii="Times New Roman" w:hAnsi="Times New Roman" w:cs="Times New Roman"/>
          <w:i/>
          <w:sz w:val="24"/>
          <w:szCs w:val="24"/>
        </w:rPr>
        <w:t xml:space="preserve">will </w:t>
      </w:r>
      <w:r w:rsidR="00664952">
        <w:rPr>
          <w:rFonts w:ascii="Times New Roman" w:hAnsi="Times New Roman" w:cs="Times New Roman"/>
          <w:i/>
          <w:sz w:val="24"/>
          <w:szCs w:val="24"/>
        </w:rPr>
        <w:t xml:space="preserve">deviate from the conditional </w:t>
      </w:r>
      <w:r w:rsidR="00766A0D">
        <w:rPr>
          <w:rFonts w:ascii="Times New Roman" w:hAnsi="Times New Roman" w:cs="Times New Roman"/>
          <w:i/>
          <w:sz w:val="24"/>
          <w:szCs w:val="24"/>
        </w:rPr>
        <w:t>hazard</w:t>
      </w:r>
      <w:r w:rsidR="00664952">
        <w:rPr>
          <w:rFonts w:ascii="Times New Roman" w:hAnsi="Times New Roman" w:cs="Times New Roman"/>
          <w:i/>
          <w:sz w:val="24"/>
          <w:szCs w:val="24"/>
        </w:rPr>
        <w:t xml:space="preserve"> of success over rounds</w:t>
      </w:r>
      <w:r w:rsidR="00766A0D">
        <w:rPr>
          <w:rFonts w:ascii="Times New Roman" w:hAnsi="Times New Roman" w:cs="Times New Roman"/>
          <w:i/>
          <w:sz w:val="24"/>
          <w:szCs w:val="24"/>
        </w:rPr>
        <w:t xml:space="preserve"> is higher </w:t>
      </w:r>
      <w:r w:rsidR="00766A0D" w:rsidRPr="007E519D">
        <w:rPr>
          <w:rFonts w:ascii="Times New Roman" w:hAnsi="Times New Roman" w:cs="Times New Roman"/>
          <w:i/>
          <w:sz w:val="24"/>
          <w:szCs w:val="24"/>
        </w:rPr>
        <w:t>for domestic VC firms compared to cross-border VC firms</w:t>
      </w:r>
      <w:r w:rsidR="00664952">
        <w:rPr>
          <w:rFonts w:ascii="Times New Roman" w:hAnsi="Times New Roman" w:cs="Times New Roman"/>
          <w:i/>
          <w:sz w:val="24"/>
          <w:szCs w:val="24"/>
        </w:rPr>
        <w:t>.</w:t>
      </w:r>
    </w:p>
    <w:p w14:paraId="17728B7D" w14:textId="77777777" w:rsidR="00766A0D" w:rsidRDefault="00766A0D" w:rsidP="009E0A45">
      <w:pPr>
        <w:spacing w:after="0" w:line="480" w:lineRule="auto"/>
        <w:contextualSpacing/>
        <w:jc w:val="both"/>
        <w:rPr>
          <w:rFonts w:ascii="Times New Roman" w:hAnsi="Times New Roman" w:cs="Times New Roman"/>
          <w:i/>
          <w:sz w:val="24"/>
          <w:szCs w:val="24"/>
        </w:rPr>
      </w:pPr>
    </w:p>
    <w:p w14:paraId="25AF481C" w14:textId="77777777" w:rsidR="00115BF3" w:rsidRPr="005F1FD6" w:rsidRDefault="00013629" w:rsidP="009E0A45">
      <w:pPr>
        <w:spacing w:after="0" w:line="480" w:lineRule="auto"/>
        <w:contextualSpacing/>
        <w:jc w:val="both"/>
        <w:rPr>
          <w:rFonts w:ascii="Times New Roman" w:hAnsi="Times New Roman" w:cs="Times New Roman"/>
          <w:b/>
          <w:sz w:val="24"/>
          <w:szCs w:val="24"/>
        </w:rPr>
      </w:pPr>
      <w:r w:rsidRPr="005F1FD6">
        <w:rPr>
          <w:rFonts w:ascii="Times New Roman" w:hAnsi="Times New Roman" w:cs="Times New Roman"/>
          <w:b/>
          <w:sz w:val="24"/>
          <w:szCs w:val="24"/>
        </w:rPr>
        <w:t>Cross-border investments from headquarters versus from a local branch</w:t>
      </w:r>
    </w:p>
    <w:p w14:paraId="506E2CD1" w14:textId="77777777" w:rsidR="00CC5ADA" w:rsidRPr="00CC5ADA" w:rsidRDefault="00526A52" w:rsidP="000A5C50">
      <w:pPr>
        <w:spacing w:line="480" w:lineRule="auto"/>
        <w:ind w:firstLine="720"/>
        <w:jc w:val="both"/>
        <w:rPr>
          <w:rFonts w:ascii="Times New Roman" w:hAnsi="Times New Roman" w:cs="Times New Roman"/>
          <w:sz w:val="24"/>
          <w:szCs w:val="24"/>
        </w:rPr>
      </w:pPr>
      <w:r w:rsidRPr="000A5C50">
        <w:rPr>
          <w:rFonts w:ascii="Times New Roman" w:hAnsi="Times New Roman" w:cs="Times New Roman"/>
          <w:sz w:val="24"/>
          <w:szCs w:val="24"/>
        </w:rPr>
        <w:t>T</w:t>
      </w:r>
      <w:r w:rsidR="00B41593" w:rsidRPr="000A5C50">
        <w:rPr>
          <w:rFonts w:ascii="Times New Roman" w:hAnsi="Times New Roman" w:cs="Times New Roman"/>
          <w:sz w:val="24"/>
          <w:szCs w:val="24"/>
        </w:rPr>
        <w:t>o mitigate liabilities of foreignness, VC</w:t>
      </w:r>
      <w:r w:rsidR="00D60CC5" w:rsidRPr="000A5C50">
        <w:rPr>
          <w:rFonts w:ascii="Times New Roman" w:hAnsi="Times New Roman" w:cs="Times New Roman"/>
          <w:sz w:val="24"/>
          <w:szCs w:val="24"/>
        </w:rPr>
        <w:t xml:space="preserve"> firm</w:t>
      </w:r>
      <w:r w:rsidR="00470080" w:rsidRPr="000A5C50">
        <w:rPr>
          <w:rFonts w:ascii="Times New Roman" w:hAnsi="Times New Roman" w:cs="Times New Roman"/>
          <w:sz w:val="24"/>
          <w:szCs w:val="24"/>
        </w:rPr>
        <w:t xml:space="preserve">s </w:t>
      </w:r>
      <w:r w:rsidR="00B41593" w:rsidRPr="000A5C50">
        <w:rPr>
          <w:rFonts w:ascii="Times New Roman" w:hAnsi="Times New Roman" w:cs="Times New Roman"/>
          <w:sz w:val="24"/>
          <w:szCs w:val="24"/>
        </w:rPr>
        <w:t>pu</w:t>
      </w:r>
      <w:r w:rsidR="00470080" w:rsidRPr="000A5C50">
        <w:rPr>
          <w:rFonts w:ascii="Times New Roman" w:hAnsi="Times New Roman" w:cs="Times New Roman"/>
          <w:sz w:val="24"/>
          <w:szCs w:val="24"/>
        </w:rPr>
        <w:t>rsuing</w:t>
      </w:r>
      <w:r w:rsidR="00B41593" w:rsidRPr="000A5C50">
        <w:rPr>
          <w:rFonts w:ascii="Times New Roman" w:hAnsi="Times New Roman" w:cs="Times New Roman"/>
          <w:sz w:val="24"/>
          <w:szCs w:val="24"/>
        </w:rPr>
        <w:t xml:space="preserve"> an internationalization strategy may establish a local branch, thereby sharing characteristics of both </w:t>
      </w:r>
      <w:r w:rsidR="00470080" w:rsidRPr="000A5C50">
        <w:rPr>
          <w:rFonts w:ascii="Times New Roman" w:hAnsi="Times New Roman" w:cs="Times New Roman"/>
          <w:sz w:val="24"/>
          <w:szCs w:val="24"/>
        </w:rPr>
        <w:t xml:space="preserve">domestic </w:t>
      </w:r>
      <w:r w:rsidR="00B41593" w:rsidRPr="000A5C50">
        <w:rPr>
          <w:rFonts w:ascii="Times New Roman" w:hAnsi="Times New Roman" w:cs="Times New Roman"/>
          <w:sz w:val="24"/>
          <w:szCs w:val="24"/>
        </w:rPr>
        <w:t xml:space="preserve">and cross-border </w:t>
      </w:r>
      <w:r w:rsidR="00470080" w:rsidRPr="00CC5ADA">
        <w:rPr>
          <w:rFonts w:ascii="Times New Roman" w:hAnsi="Times New Roman" w:cs="Times New Roman"/>
          <w:sz w:val="24"/>
          <w:szCs w:val="24"/>
        </w:rPr>
        <w:t>VC investors</w:t>
      </w:r>
      <w:r w:rsidR="00B41593" w:rsidRPr="00CC5ADA">
        <w:rPr>
          <w:rFonts w:ascii="Times New Roman" w:hAnsi="Times New Roman" w:cs="Times New Roman"/>
          <w:sz w:val="24"/>
          <w:szCs w:val="24"/>
        </w:rPr>
        <w:t xml:space="preserve">. </w:t>
      </w:r>
      <w:r w:rsidR="00043EF5" w:rsidRPr="00CC5ADA">
        <w:rPr>
          <w:rFonts w:ascii="Times New Roman" w:hAnsi="Times New Roman" w:cs="Times New Roman"/>
          <w:sz w:val="24"/>
          <w:szCs w:val="24"/>
        </w:rPr>
        <w:t xml:space="preserve">A local branch </w:t>
      </w:r>
      <w:r w:rsidR="006B6449" w:rsidRPr="00CC5ADA">
        <w:rPr>
          <w:rFonts w:ascii="Times New Roman" w:hAnsi="Times New Roman" w:cs="Times New Roman"/>
          <w:sz w:val="24"/>
          <w:szCs w:val="24"/>
        </w:rPr>
        <w:t>ensures proximity to entrepreneurs, thereby reducing asymmetric information problems (Pruthi et al.</w:t>
      </w:r>
      <w:r w:rsidR="000F75BB">
        <w:rPr>
          <w:rFonts w:ascii="Times New Roman" w:hAnsi="Times New Roman" w:cs="Times New Roman"/>
          <w:sz w:val="24"/>
          <w:szCs w:val="24"/>
        </w:rPr>
        <w:t>,</w:t>
      </w:r>
      <w:r w:rsidR="006B6449" w:rsidRPr="00CC5ADA">
        <w:rPr>
          <w:rFonts w:ascii="Times New Roman" w:hAnsi="Times New Roman" w:cs="Times New Roman"/>
          <w:sz w:val="24"/>
          <w:szCs w:val="24"/>
        </w:rPr>
        <w:t xml:space="preserve"> 2009). When employing local investment professionals in the branches, cultural and institutional differences disappear</w:t>
      </w:r>
      <w:r w:rsidR="00853C7D">
        <w:rPr>
          <w:rFonts w:ascii="Times New Roman" w:hAnsi="Times New Roman" w:cs="Times New Roman"/>
          <w:sz w:val="24"/>
          <w:szCs w:val="24"/>
        </w:rPr>
        <w:t xml:space="preserve">, </w:t>
      </w:r>
      <w:r w:rsidR="006B6449" w:rsidRPr="00CC5ADA">
        <w:rPr>
          <w:rFonts w:ascii="Times New Roman" w:hAnsi="Times New Roman" w:cs="Times New Roman"/>
          <w:sz w:val="24"/>
          <w:szCs w:val="24"/>
        </w:rPr>
        <w:t xml:space="preserve">further facilitating transfer of knowledge and advice to the </w:t>
      </w:r>
      <w:r w:rsidR="00E3444D" w:rsidRPr="00CC5ADA">
        <w:rPr>
          <w:rFonts w:ascii="Times New Roman" w:hAnsi="Times New Roman" w:cs="Times New Roman"/>
          <w:sz w:val="24"/>
          <w:szCs w:val="24"/>
        </w:rPr>
        <w:t>portfolio company</w:t>
      </w:r>
      <w:r w:rsidR="006B6449" w:rsidRPr="00CC5ADA">
        <w:rPr>
          <w:rFonts w:ascii="Times New Roman" w:hAnsi="Times New Roman" w:cs="Times New Roman"/>
          <w:sz w:val="24"/>
          <w:szCs w:val="24"/>
        </w:rPr>
        <w:t xml:space="preserve"> (De Prijcker et al.</w:t>
      </w:r>
      <w:r w:rsidR="000F75BB">
        <w:rPr>
          <w:rFonts w:ascii="Times New Roman" w:hAnsi="Times New Roman" w:cs="Times New Roman"/>
          <w:sz w:val="24"/>
          <w:szCs w:val="24"/>
        </w:rPr>
        <w:t>,</w:t>
      </w:r>
      <w:r w:rsidR="006B6449" w:rsidRPr="00CC5ADA">
        <w:rPr>
          <w:rFonts w:ascii="Times New Roman" w:hAnsi="Times New Roman" w:cs="Times New Roman"/>
          <w:sz w:val="24"/>
          <w:szCs w:val="24"/>
        </w:rPr>
        <w:t xml:space="preserve"> 2012; Pruthi et al.</w:t>
      </w:r>
      <w:r w:rsidR="000F75BB">
        <w:rPr>
          <w:rFonts w:ascii="Times New Roman" w:hAnsi="Times New Roman" w:cs="Times New Roman"/>
          <w:sz w:val="24"/>
          <w:szCs w:val="24"/>
        </w:rPr>
        <w:t>,</w:t>
      </w:r>
      <w:r w:rsidR="006B6449" w:rsidRPr="00CC5ADA">
        <w:rPr>
          <w:rFonts w:ascii="Times New Roman" w:hAnsi="Times New Roman" w:cs="Times New Roman"/>
          <w:sz w:val="24"/>
          <w:szCs w:val="24"/>
        </w:rPr>
        <w:t xml:space="preserve"> 2009). </w:t>
      </w:r>
    </w:p>
    <w:p w14:paraId="5B96E4B9" w14:textId="0F6A04D1" w:rsidR="00FA0F9D" w:rsidRPr="005F1FD6" w:rsidRDefault="0003636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E</w:t>
      </w:r>
      <w:r w:rsidR="00A11926" w:rsidRPr="005F1FD6">
        <w:rPr>
          <w:rFonts w:ascii="Times New Roman" w:hAnsi="Times New Roman" w:cs="Times New Roman"/>
          <w:sz w:val="24"/>
          <w:szCs w:val="24"/>
        </w:rPr>
        <w:t>stablishment of a local branch is the most far-reaching form of local embeddedness</w:t>
      </w:r>
      <w:r w:rsidR="007B125A" w:rsidRPr="005F1FD6">
        <w:rPr>
          <w:rFonts w:ascii="Times New Roman" w:hAnsi="Times New Roman" w:cs="Times New Roman"/>
          <w:sz w:val="24"/>
          <w:szCs w:val="24"/>
        </w:rPr>
        <w:t xml:space="preserve"> </w:t>
      </w:r>
      <w:r w:rsidR="00CD14E7" w:rsidRPr="005F1FD6">
        <w:rPr>
          <w:rFonts w:ascii="Times New Roman" w:hAnsi="Times New Roman" w:cs="Times New Roman"/>
          <w:sz w:val="24"/>
          <w:szCs w:val="24"/>
        </w:rPr>
        <w:t xml:space="preserve">a cross-border </w:t>
      </w:r>
      <w:r w:rsidR="007B125A" w:rsidRPr="005F1FD6">
        <w:rPr>
          <w:rFonts w:ascii="Times New Roman" w:hAnsi="Times New Roman" w:cs="Times New Roman"/>
          <w:sz w:val="24"/>
          <w:szCs w:val="24"/>
        </w:rPr>
        <w:t xml:space="preserve">VC </w:t>
      </w:r>
      <w:r w:rsidR="00D60CC5" w:rsidRPr="005F1FD6">
        <w:rPr>
          <w:rFonts w:ascii="Times New Roman" w:hAnsi="Times New Roman" w:cs="Times New Roman"/>
          <w:sz w:val="24"/>
          <w:szCs w:val="24"/>
        </w:rPr>
        <w:t xml:space="preserve">firm </w:t>
      </w:r>
      <w:r w:rsidR="007B125A" w:rsidRPr="005F1FD6">
        <w:rPr>
          <w:rFonts w:ascii="Times New Roman" w:hAnsi="Times New Roman" w:cs="Times New Roman"/>
          <w:sz w:val="24"/>
          <w:szCs w:val="24"/>
        </w:rPr>
        <w:t>can display</w:t>
      </w:r>
      <w:r w:rsidR="00A11926" w:rsidRPr="005F1FD6">
        <w:rPr>
          <w:rFonts w:ascii="Times New Roman" w:hAnsi="Times New Roman" w:cs="Times New Roman"/>
          <w:sz w:val="24"/>
          <w:szCs w:val="24"/>
        </w:rPr>
        <w:t xml:space="preserve"> in the focal country. </w:t>
      </w:r>
      <w:r w:rsidR="004639E9" w:rsidRPr="005F1FD6">
        <w:rPr>
          <w:rFonts w:ascii="Times New Roman" w:hAnsi="Times New Roman" w:cs="Times New Roman"/>
          <w:sz w:val="24"/>
          <w:szCs w:val="24"/>
        </w:rPr>
        <w:t xml:space="preserve">A VC firm will </w:t>
      </w:r>
      <w:r w:rsidR="00A11926" w:rsidRPr="005F1FD6">
        <w:rPr>
          <w:rFonts w:ascii="Times New Roman" w:hAnsi="Times New Roman" w:cs="Times New Roman"/>
          <w:sz w:val="24"/>
          <w:szCs w:val="24"/>
        </w:rPr>
        <w:t xml:space="preserve">only </w:t>
      </w:r>
      <w:r w:rsidR="004639E9" w:rsidRPr="005F1FD6">
        <w:rPr>
          <w:rFonts w:ascii="Times New Roman" w:hAnsi="Times New Roman" w:cs="Times New Roman"/>
          <w:sz w:val="24"/>
          <w:szCs w:val="24"/>
        </w:rPr>
        <w:t xml:space="preserve">be </w:t>
      </w:r>
      <w:r w:rsidR="00A11926" w:rsidRPr="005F1FD6">
        <w:rPr>
          <w:rFonts w:ascii="Times New Roman" w:hAnsi="Times New Roman" w:cs="Times New Roman"/>
          <w:sz w:val="24"/>
          <w:szCs w:val="24"/>
        </w:rPr>
        <w:t>willing to bear</w:t>
      </w:r>
      <w:r w:rsidR="004639E9" w:rsidRPr="005F1FD6">
        <w:rPr>
          <w:rFonts w:ascii="Times New Roman" w:hAnsi="Times New Roman" w:cs="Times New Roman"/>
          <w:sz w:val="24"/>
          <w:szCs w:val="24"/>
        </w:rPr>
        <w:t xml:space="preserve"> the high investment</w:t>
      </w:r>
      <w:r w:rsidR="00A11926" w:rsidRPr="005F1FD6">
        <w:rPr>
          <w:rFonts w:ascii="Times New Roman" w:hAnsi="Times New Roman" w:cs="Times New Roman"/>
          <w:sz w:val="24"/>
          <w:szCs w:val="24"/>
        </w:rPr>
        <w:t xml:space="preserve"> if </w:t>
      </w:r>
      <w:r w:rsidR="004639E9" w:rsidRPr="005F1FD6">
        <w:rPr>
          <w:rFonts w:ascii="Times New Roman" w:hAnsi="Times New Roman" w:cs="Times New Roman"/>
          <w:sz w:val="24"/>
          <w:szCs w:val="24"/>
        </w:rPr>
        <w:t>it</w:t>
      </w:r>
      <w:r w:rsidR="00A11926" w:rsidRPr="005F1FD6">
        <w:rPr>
          <w:rFonts w:ascii="Times New Roman" w:hAnsi="Times New Roman" w:cs="Times New Roman"/>
          <w:sz w:val="24"/>
          <w:szCs w:val="24"/>
        </w:rPr>
        <w:t xml:space="preserve"> envisage</w:t>
      </w:r>
      <w:r w:rsidR="004639E9" w:rsidRPr="005F1FD6">
        <w:rPr>
          <w:rFonts w:ascii="Times New Roman" w:hAnsi="Times New Roman" w:cs="Times New Roman"/>
          <w:sz w:val="24"/>
          <w:szCs w:val="24"/>
        </w:rPr>
        <w:t>s</w:t>
      </w:r>
      <w:r w:rsidR="00A11926" w:rsidRPr="005F1FD6">
        <w:rPr>
          <w:rFonts w:ascii="Times New Roman" w:hAnsi="Times New Roman" w:cs="Times New Roman"/>
          <w:sz w:val="24"/>
          <w:szCs w:val="24"/>
        </w:rPr>
        <w:t xml:space="preserve"> expanding </w:t>
      </w:r>
      <w:r w:rsidR="004639E9" w:rsidRPr="005F1FD6">
        <w:rPr>
          <w:rFonts w:ascii="Times New Roman" w:hAnsi="Times New Roman" w:cs="Times New Roman"/>
          <w:sz w:val="24"/>
          <w:szCs w:val="24"/>
        </w:rPr>
        <w:t>its</w:t>
      </w:r>
      <w:r w:rsidR="00A11926" w:rsidRPr="005F1FD6">
        <w:rPr>
          <w:rFonts w:ascii="Times New Roman" w:hAnsi="Times New Roman" w:cs="Times New Roman"/>
          <w:sz w:val="24"/>
          <w:szCs w:val="24"/>
        </w:rPr>
        <w:t xml:space="preserve"> activities in that region. </w:t>
      </w:r>
      <w:r w:rsidR="00CD14E7" w:rsidRPr="005F1FD6">
        <w:rPr>
          <w:rFonts w:ascii="Times New Roman" w:hAnsi="Times New Roman" w:cs="Times New Roman"/>
          <w:sz w:val="24"/>
          <w:szCs w:val="24"/>
        </w:rPr>
        <w:t>Branches</w:t>
      </w:r>
      <w:r w:rsidR="00B67BE8" w:rsidRPr="005F1FD6">
        <w:rPr>
          <w:rFonts w:ascii="Times New Roman" w:hAnsi="Times New Roman" w:cs="Times New Roman"/>
          <w:sz w:val="24"/>
          <w:szCs w:val="24"/>
        </w:rPr>
        <w:t xml:space="preserve"> will therefore want to build and maintain a strong local reputation and avoid the cost of negative publicity surroundin</w:t>
      </w:r>
      <w:r w:rsidR="00CD14E7" w:rsidRPr="005F1FD6">
        <w:rPr>
          <w:rFonts w:ascii="Times New Roman" w:hAnsi="Times New Roman" w:cs="Times New Roman"/>
          <w:sz w:val="24"/>
          <w:szCs w:val="24"/>
        </w:rPr>
        <w:t xml:space="preserve">g the failure of </w:t>
      </w:r>
      <w:r w:rsidR="00526A52">
        <w:rPr>
          <w:rFonts w:ascii="Times New Roman" w:hAnsi="Times New Roman" w:cs="Times New Roman"/>
          <w:sz w:val="24"/>
          <w:szCs w:val="24"/>
        </w:rPr>
        <w:t>a</w:t>
      </w:r>
      <w:r w:rsidR="00201E17">
        <w:rPr>
          <w:rFonts w:ascii="Times New Roman" w:hAnsi="Times New Roman" w:cs="Times New Roman"/>
          <w:sz w:val="24"/>
          <w:szCs w:val="24"/>
        </w:rPr>
        <w:t xml:space="preserve"> portfolio company</w:t>
      </w:r>
      <w:r w:rsidR="00B67BE8" w:rsidRPr="005F1FD6">
        <w:rPr>
          <w:rFonts w:ascii="Times New Roman" w:hAnsi="Times New Roman" w:cs="Times New Roman"/>
          <w:sz w:val="24"/>
          <w:szCs w:val="24"/>
        </w:rPr>
        <w:t xml:space="preserve">, as a strong reputation is essential to attract high quality deal flow and syndication partners (Mäkelä </w:t>
      </w:r>
      <w:r w:rsidR="002174D5">
        <w:rPr>
          <w:rFonts w:ascii="Times New Roman" w:hAnsi="Times New Roman" w:cs="Times New Roman"/>
          <w:sz w:val="24"/>
          <w:szCs w:val="24"/>
        </w:rPr>
        <w:t>and</w:t>
      </w:r>
      <w:r w:rsidR="00B67BE8" w:rsidRPr="005F1FD6">
        <w:rPr>
          <w:rFonts w:ascii="Times New Roman" w:hAnsi="Times New Roman" w:cs="Times New Roman"/>
          <w:sz w:val="24"/>
          <w:szCs w:val="24"/>
        </w:rPr>
        <w:t xml:space="preserve"> Maula, 2006). </w:t>
      </w:r>
      <w:r w:rsidR="00A11926" w:rsidRPr="005F1FD6">
        <w:rPr>
          <w:rFonts w:ascii="Times New Roman" w:hAnsi="Times New Roman" w:cs="Times New Roman"/>
          <w:sz w:val="24"/>
          <w:szCs w:val="24"/>
        </w:rPr>
        <w:t>As a result of th</w:t>
      </w:r>
      <w:r w:rsidR="00CD14E7" w:rsidRPr="005F1FD6">
        <w:rPr>
          <w:rFonts w:ascii="Times New Roman" w:hAnsi="Times New Roman" w:cs="Times New Roman"/>
          <w:sz w:val="24"/>
          <w:szCs w:val="24"/>
        </w:rPr>
        <w:t>e stronger local embeddedness</w:t>
      </w:r>
      <w:r w:rsidR="00BA5906" w:rsidRPr="005F1FD6">
        <w:rPr>
          <w:rFonts w:ascii="Times New Roman" w:hAnsi="Times New Roman" w:cs="Times New Roman"/>
          <w:sz w:val="24"/>
          <w:szCs w:val="24"/>
        </w:rPr>
        <w:t xml:space="preserve"> and the strategic importance of the focal country for future investments</w:t>
      </w:r>
      <w:r w:rsidR="00CD14E7" w:rsidRPr="005F1FD6">
        <w:rPr>
          <w:rFonts w:ascii="Times New Roman" w:hAnsi="Times New Roman" w:cs="Times New Roman"/>
          <w:sz w:val="24"/>
          <w:szCs w:val="24"/>
        </w:rPr>
        <w:t xml:space="preserve">, </w:t>
      </w:r>
      <w:r w:rsidR="00A11926" w:rsidRPr="005F1FD6">
        <w:rPr>
          <w:rFonts w:ascii="Times New Roman" w:hAnsi="Times New Roman" w:cs="Times New Roman"/>
          <w:sz w:val="24"/>
          <w:szCs w:val="24"/>
        </w:rPr>
        <w:t>VC</w:t>
      </w:r>
      <w:r w:rsidR="00D60CC5" w:rsidRPr="005F1FD6">
        <w:rPr>
          <w:rFonts w:ascii="Times New Roman" w:hAnsi="Times New Roman" w:cs="Times New Roman"/>
          <w:sz w:val="24"/>
          <w:szCs w:val="24"/>
        </w:rPr>
        <w:t xml:space="preserve"> firm</w:t>
      </w:r>
      <w:r w:rsidR="00A11926" w:rsidRPr="005F1FD6">
        <w:rPr>
          <w:rFonts w:ascii="Times New Roman" w:hAnsi="Times New Roman" w:cs="Times New Roman"/>
          <w:sz w:val="24"/>
          <w:szCs w:val="24"/>
        </w:rPr>
        <w:t>s investing through a local branch may</w:t>
      </w:r>
      <w:r w:rsidR="009711D9" w:rsidRPr="005F1FD6">
        <w:rPr>
          <w:rFonts w:ascii="Times New Roman" w:hAnsi="Times New Roman" w:cs="Times New Roman"/>
          <w:sz w:val="24"/>
          <w:szCs w:val="24"/>
        </w:rPr>
        <w:t xml:space="preserve"> </w:t>
      </w:r>
      <w:r w:rsidR="00A11926" w:rsidRPr="005F1FD6">
        <w:rPr>
          <w:rFonts w:ascii="Times New Roman" w:hAnsi="Times New Roman" w:cs="Times New Roman"/>
          <w:sz w:val="24"/>
          <w:szCs w:val="24"/>
        </w:rPr>
        <w:t>be more susceptible to normative pressure</w:t>
      </w:r>
      <w:r w:rsidR="00942B24">
        <w:rPr>
          <w:rFonts w:ascii="Times New Roman" w:hAnsi="Times New Roman" w:cs="Times New Roman"/>
          <w:sz w:val="24"/>
          <w:szCs w:val="24"/>
        </w:rPr>
        <w:t>s</w:t>
      </w:r>
      <w:r w:rsidR="00A11926" w:rsidRPr="005F1FD6">
        <w:rPr>
          <w:rFonts w:ascii="Times New Roman" w:hAnsi="Times New Roman" w:cs="Times New Roman"/>
          <w:sz w:val="24"/>
          <w:szCs w:val="24"/>
        </w:rPr>
        <w:t xml:space="preserve"> from the local investment network</w:t>
      </w:r>
      <w:r w:rsidR="000D2F11" w:rsidRPr="005F1FD6">
        <w:rPr>
          <w:rFonts w:ascii="Times New Roman" w:hAnsi="Times New Roman" w:cs="Times New Roman"/>
          <w:sz w:val="24"/>
          <w:szCs w:val="24"/>
        </w:rPr>
        <w:t xml:space="preserve"> and from the local community</w:t>
      </w:r>
      <w:r w:rsidR="00B3468A" w:rsidRPr="00B3468A">
        <w:rPr>
          <w:rFonts w:ascii="Times New Roman" w:hAnsi="Times New Roman" w:cs="Times New Roman"/>
          <w:sz w:val="24"/>
          <w:szCs w:val="24"/>
        </w:rPr>
        <w:t xml:space="preserve"> </w:t>
      </w:r>
      <w:r w:rsidR="00B3468A">
        <w:rPr>
          <w:rFonts w:ascii="Times New Roman" w:hAnsi="Times New Roman" w:cs="Times New Roman"/>
          <w:sz w:val="24"/>
          <w:szCs w:val="24"/>
        </w:rPr>
        <w:t>compared</w:t>
      </w:r>
      <w:r w:rsidR="00B3468A" w:rsidRPr="005F1FD6">
        <w:rPr>
          <w:rFonts w:ascii="Times New Roman" w:hAnsi="Times New Roman" w:cs="Times New Roman"/>
          <w:sz w:val="24"/>
          <w:szCs w:val="24"/>
        </w:rPr>
        <w:t xml:space="preserve"> to </w:t>
      </w:r>
      <w:r w:rsidR="00B3468A">
        <w:rPr>
          <w:rFonts w:ascii="Times New Roman" w:hAnsi="Times New Roman" w:cs="Times New Roman"/>
          <w:sz w:val="24"/>
          <w:szCs w:val="24"/>
        </w:rPr>
        <w:t xml:space="preserve">VC firms </w:t>
      </w:r>
      <w:r w:rsidR="00B3468A" w:rsidRPr="005F1FD6">
        <w:rPr>
          <w:rFonts w:ascii="Times New Roman" w:hAnsi="Times New Roman" w:cs="Times New Roman"/>
          <w:sz w:val="24"/>
          <w:szCs w:val="24"/>
        </w:rPr>
        <w:t>i</w:t>
      </w:r>
      <w:r w:rsidR="00B3468A">
        <w:rPr>
          <w:rFonts w:ascii="Times New Roman" w:hAnsi="Times New Roman" w:cs="Times New Roman"/>
          <w:sz w:val="24"/>
          <w:szCs w:val="24"/>
        </w:rPr>
        <w:t>nvesting from their head office</w:t>
      </w:r>
      <w:r w:rsidR="00BA5906" w:rsidRPr="005F1FD6">
        <w:rPr>
          <w:rFonts w:ascii="Times New Roman" w:hAnsi="Times New Roman" w:cs="Times New Roman"/>
          <w:sz w:val="24"/>
          <w:szCs w:val="24"/>
        </w:rPr>
        <w:t xml:space="preserve">. </w:t>
      </w:r>
      <w:r w:rsidR="00D933AC" w:rsidRPr="005F1FD6">
        <w:rPr>
          <w:rFonts w:ascii="Times New Roman" w:hAnsi="Times New Roman" w:cs="Times New Roman"/>
          <w:sz w:val="24"/>
          <w:szCs w:val="24"/>
        </w:rPr>
        <w:t xml:space="preserve">We thus </w:t>
      </w:r>
      <w:r w:rsidR="005A03FA">
        <w:rPr>
          <w:rFonts w:ascii="Times New Roman" w:hAnsi="Times New Roman" w:cs="Times New Roman"/>
          <w:sz w:val="24"/>
          <w:szCs w:val="24"/>
        </w:rPr>
        <w:t>expect</w:t>
      </w:r>
      <w:r w:rsidR="00A11926" w:rsidRPr="005F1FD6">
        <w:rPr>
          <w:rFonts w:ascii="Times New Roman" w:hAnsi="Times New Roman" w:cs="Times New Roman"/>
          <w:sz w:val="24"/>
          <w:szCs w:val="24"/>
        </w:rPr>
        <w:t xml:space="preserve"> </w:t>
      </w:r>
      <w:r w:rsidR="00D933AC" w:rsidRPr="005F1FD6">
        <w:rPr>
          <w:rFonts w:ascii="Times New Roman" w:hAnsi="Times New Roman" w:cs="Times New Roman"/>
          <w:sz w:val="24"/>
          <w:szCs w:val="24"/>
        </w:rPr>
        <w:t xml:space="preserve">the </w:t>
      </w:r>
      <w:r w:rsidR="007B330A">
        <w:rPr>
          <w:rFonts w:ascii="Times New Roman" w:hAnsi="Times New Roman" w:cs="Times New Roman"/>
          <w:sz w:val="24"/>
          <w:szCs w:val="24"/>
        </w:rPr>
        <w:t>likelihood of</w:t>
      </w:r>
      <w:r w:rsidR="00D933AC" w:rsidRPr="005F1FD6">
        <w:rPr>
          <w:rFonts w:ascii="Times New Roman" w:hAnsi="Times New Roman" w:cs="Times New Roman"/>
          <w:sz w:val="24"/>
          <w:szCs w:val="24"/>
        </w:rPr>
        <w:t xml:space="preserve"> escalat</w:t>
      </w:r>
      <w:r w:rsidR="007B330A">
        <w:rPr>
          <w:rFonts w:ascii="Times New Roman" w:hAnsi="Times New Roman" w:cs="Times New Roman"/>
          <w:sz w:val="24"/>
          <w:szCs w:val="24"/>
        </w:rPr>
        <w:t>ion of</w:t>
      </w:r>
      <w:r w:rsidR="00A11926" w:rsidRPr="005F1FD6">
        <w:rPr>
          <w:rFonts w:ascii="Times New Roman" w:hAnsi="Times New Roman" w:cs="Times New Roman"/>
          <w:sz w:val="24"/>
          <w:szCs w:val="24"/>
        </w:rPr>
        <w:t xml:space="preserve"> commitment </w:t>
      </w:r>
      <w:r w:rsidR="007B330A">
        <w:rPr>
          <w:rFonts w:ascii="Times New Roman" w:hAnsi="Times New Roman" w:cs="Times New Roman"/>
          <w:sz w:val="24"/>
          <w:szCs w:val="24"/>
        </w:rPr>
        <w:t>by</w:t>
      </w:r>
      <w:r w:rsidR="00A11926" w:rsidRPr="005F1FD6">
        <w:rPr>
          <w:rFonts w:ascii="Times New Roman" w:hAnsi="Times New Roman" w:cs="Times New Roman"/>
          <w:sz w:val="24"/>
          <w:szCs w:val="24"/>
        </w:rPr>
        <w:t xml:space="preserve"> </w:t>
      </w:r>
      <w:r w:rsidR="00D933AC" w:rsidRPr="005F1FD6">
        <w:rPr>
          <w:rFonts w:ascii="Times New Roman" w:hAnsi="Times New Roman" w:cs="Times New Roman"/>
          <w:sz w:val="24"/>
          <w:szCs w:val="24"/>
        </w:rPr>
        <w:t>b</w:t>
      </w:r>
      <w:r w:rsidR="00A11926" w:rsidRPr="005F1FD6">
        <w:rPr>
          <w:rFonts w:ascii="Times New Roman" w:hAnsi="Times New Roman" w:cs="Times New Roman"/>
          <w:sz w:val="24"/>
          <w:szCs w:val="24"/>
        </w:rPr>
        <w:t>ranch</w:t>
      </w:r>
      <w:r w:rsidR="00D933AC" w:rsidRPr="005F1FD6">
        <w:rPr>
          <w:rFonts w:ascii="Times New Roman" w:hAnsi="Times New Roman" w:cs="Times New Roman"/>
          <w:sz w:val="24"/>
          <w:szCs w:val="24"/>
        </w:rPr>
        <w:t>es</w:t>
      </w:r>
      <w:r w:rsidR="00A11926" w:rsidRPr="005F1FD6">
        <w:rPr>
          <w:rFonts w:ascii="Times New Roman" w:hAnsi="Times New Roman" w:cs="Times New Roman"/>
          <w:sz w:val="24"/>
          <w:szCs w:val="24"/>
        </w:rPr>
        <w:t xml:space="preserve"> will be higher </w:t>
      </w:r>
      <w:r w:rsidR="00D933AC" w:rsidRPr="005F1FD6">
        <w:rPr>
          <w:rFonts w:ascii="Times New Roman" w:hAnsi="Times New Roman" w:cs="Times New Roman"/>
          <w:sz w:val="24"/>
          <w:szCs w:val="24"/>
        </w:rPr>
        <w:t>compared to cross-border VC</w:t>
      </w:r>
      <w:r w:rsidR="00D60CC5" w:rsidRPr="005F1FD6">
        <w:rPr>
          <w:rFonts w:ascii="Times New Roman" w:hAnsi="Times New Roman" w:cs="Times New Roman"/>
          <w:sz w:val="24"/>
          <w:szCs w:val="24"/>
        </w:rPr>
        <w:t xml:space="preserve"> firm</w:t>
      </w:r>
      <w:r w:rsidR="00D933AC" w:rsidRPr="005F1FD6">
        <w:rPr>
          <w:rFonts w:ascii="Times New Roman" w:hAnsi="Times New Roman" w:cs="Times New Roman"/>
          <w:sz w:val="24"/>
          <w:szCs w:val="24"/>
        </w:rPr>
        <w:t>s</w:t>
      </w:r>
      <w:r w:rsidR="007B330A">
        <w:rPr>
          <w:rFonts w:ascii="Times New Roman" w:hAnsi="Times New Roman" w:cs="Times New Roman"/>
          <w:sz w:val="24"/>
          <w:szCs w:val="24"/>
        </w:rPr>
        <w:t xml:space="preserve"> and hence they will have a lower probability of terminating investments in unsuccessful portfolio companies</w:t>
      </w:r>
      <w:r w:rsidR="00A11926" w:rsidRPr="005F1FD6">
        <w:rPr>
          <w:rFonts w:ascii="Times New Roman" w:hAnsi="Times New Roman" w:cs="Times New Roman"/>
          <w:sz w:val="24"/>
          <w:szCs w:val="24"/>
        </w:rPr>
        <w:t>.</w:t>
      </w:r>
      <w:r>
        <w:rPr>
          <w:rFonts w:ascii="Times New Roman" w:hAnsi="Times New Roman" w:cs="Times New Roman"/>
          <w:sz w:val="24"/>
          <w:szCs w:val="24"/>
        </w:rPr>
        <w:t xml:space="preserve"> Hence</w:t>
      </w:r>
      <w:r w:rsidR="00FA0F9D" w:rsidRPr="005F1FD6">
        <w:rPr>
          <w:rFonts w:ascii="Times New Roman" w:hAnsi="Times New Roman" w:cs="Times New Roman"/>
          <w:sz w:val="24"/>
          <w:szCs w:val="24"/>
        </w:rPr>
        <w:t>:</w:t>
      </w:r>
    </w:p>
    <w:p w14:paraId="46D18431" w14:textId="77777777" w:rsidR="00667809" w:rsidRDefault="00667809" w:rsidP="009E0A45">
      <w:pPr>
        <w:spacing w:after="0" w:line="480" w:lineRule="auto"/>
        <w:contextualSpacing/>
        <w:jc w:val="both"/>
        <w:rPr>
          <w:rFonts w:ascii="Times New Roman" w:hAnsi="Times New Roman" w:cs="Times New Roman"/>
          <w:i/>
          <w:sz w:val="24"/>
          <w:szCs w:val="24"/>
        </w:rPr>
      </w:pPr>
    </w:p>
    <w:p w14:paraId="7A217BAC" w14:textId="7E2C9E94" w:rsidR="005C35A5" w:rsidRDefault="00FA0F9D" w:rsidP="005C35A5">
      <w:pPr>
        <w:spacing w:after="0" w:line="480" w:lineRule="auto"/>
        <w:contextualSpacing/>
        <w:jc w:val="both"/>
        <w:rPr>
          <w:rFonts w:ascii="Times New Roman" w:hAnsi="Times New Roman" w:cs="Times New Roman"/>
          <w:i/>
          <w:sz w:val="24"/>
          <w:szCs w:val="24"/>
        </w:rPr>
      </w:pPr>
      <w:r w:rsidRPr="005F1FD6">
        <w:rPr>
          <w:rFonts w:ascii="Times New Roman" w:hAnsi="Times New Roman" w:cs="Times New Roman"/>
          <w:i/>
          <w:sz w:val="24"/>
          <w:szCs w:val="24"/>
        </w:rPr>
        <w:t>H</w:t>
      </w:r>
      <w:r w:rsidR="003B1365">
        <w:rPr>
          <w:rFonts w:ascii="Times New Roman" w:hAnsi="Times New Roman" w:cs="Times New Roman"/>
          <w:i/>
          <w:sz w:val="24"/>
          <w:szCs w:val="24"/>
        </w:rPr>
        <w:t xml:space="preserve">ypothesis </w:t>
      </w:r>
      <w:r w:rsidRPr="005F1FD6">
        <w:rPr>
          <w:rFonts w:ascii="Times New Roman" w:hAnsi="Times New Roman" w:cs="Times New Roman"/>
          <w:i/>
          <w:sz w:val="24"/>
          <w:szCs w:val="24"/>
        </w:rPr>
        <w:t xml:space="preserve">2: </w:t>
      </w:r>
      <w:r w:rsidR="005C35A5">
        <w:rPr>
          <w:rFonts w:ascii="Times New Roman" w:hAnsi="Times New Roman" w:cs="Times New Roman"/>
          <w:i/>
          <w:sz w:val="24"/>
          <w:szCs w:val="24"/>
        </w:rPr>
        <w:t xml:space="preserve">The probability that the hazard of a VC firm terminating investment in a portfolio company will deviate from the conditional hazard of success over rounds is higher </w:t>
      </w:r>
      <w:r w:rsidR="005C35A5" w:rsidRPr="00062690">
        <w:rPr>
          <w:rFonts w:ascii="Times New Roman" w:hAnsi="Times New Roman" w:cs="Times New Roman"/>
          <w:i/>
          <w:sz w:val="24"/>
          <w:szCs w:val="24"/>
        </w:rPr>
        <w:t xml:space="preserve">for cross-border VC firms </w:t>
      </w:r>
      <w:r w:rsidR="005C35A5">
        <w:rPr>
          <w:rFonts w:ascii="Times New Roman" w:hAnsi="Times New Roman" w:cs="Times New Roman"/>
          <w:i/>
          <w:sz w:val="24"/>
          <w:szCs w:val="24"/>
        </w:rPr>
        <w:t>i</w:t>
      </w:r>
      <w:r w:rsidR="005C35A5" w:rsidRPr="005F1FD6">
        <w:rPr>
          <w:rFonts w:ascii="Times New Roman" w:hAnsi="Times New Roman" w:cs="Times New Roman"/>
          <w:i/>
          <w:sz w:val="24"/>
          <w:szCs w:val="24"/>
        </w:rPr>
        <w:t>nvesting through a local branch as opposed to cross-border VC firms investing from headquarters</w:t>
      </w:r>
      <w:r w:rsidR="005C35A5">
        <w:rPr>
          <w:rFonts w:ascii="Times New Roman" w:hAnsi="Times New Roman" w:cs="Times New Roman"/>
          <w:i/>
          <w:sz w:val="24"/>
          <w:szCs w:val="24"/>
        </w:rPr>
        <w:t>.</w:t>
      </w:r>
    </w:p>
    <w:p w14:paraId="083526E3" w14:textId="77777777" w:rsidR="005C35A5" w:rsidRPr="005F1FD6" w:rsidRDefault="005C35A5" w:rsidP="00667809">
      <w:pPr>
        <w:spacing w:after="0" w:line="480" w:lineRule="auto"/>
        <w:contextualSpacing/>
        <w:jc w:val="both"/>
        <w:rPr>
          <w:rFonts w:ascii="Times New Roman" w:hAnsi="Times New Roman" w:cs="Times New Roman"/>
          <w:i/>
          <w:sz w:val="24"/>
          <w:szCs w:val="24"/>
        </w:rPr>
      </w:pPr>
    </w:p>
    <w:p w14:paraId="384538C4" w14:textId="77777777" w:rsidR="00C35C66" w:rsidRDefault="00C35C66" w:rsidP="009E0A45">
      <w:pPr>
        <w:spacing w:after="0" w:line="480" w:lineRule="auto"/>
        <w:jc w:val="both"/>
        <w:rPr>
          <w:rFonts w:ascii="Times New Roman" w:hAnsi="Times New Roman" w:cs="Times New Roman"/>
          <w:b/>
          <w:sz w:val="24"/>
          <w:szCs w:val="24"/>
        </w:rPr>
      </w:pPr>
    </w:p>
    <w:p w14:paraId="529F7DDC" w14:textId="77777777" w:rsidR="00CD0B44" w:rsidRPr="005F1FD6" w:rsidRDefault="00AA0147" w:rsidP="009E0A45">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Comparing</w:t>
      </w:r>
      <w:r w:rsidR="00CD0B44" w:rsidRPr="005F1FD6">
        <w:rPr>
          <w:rFonts w:ascii="Times New Roman" w:hAnsi="Times New Roman" w:cs="Times New Roman"/>
          <w:b/>
          <w:sz w:val="24"/>
          <w:szCs w:val="24"/>
        </w:rPr>
        <w:t xml:space="preserve"> a local branch </w:t>
      </w:r>
      <w:r>
        <w:rPr>
          <w:rFonts w:ascii="Times New Roman" w:hAnsi="Times New Roman" w:cs="Times New Roman"/>
          <w:b/>
          <w:sz w:val="24"/>
          <w:szCs w:val="24"/>
        </w:rPr>
        <w:t>VC firm with</w:t>
      </w:r>
      <w:r w:rsidR="00CD0B44" w:rsidRPr="005F1FD6">
        <w:rPr>
          <w:rFonts w:ascii="Times New Roman" w:hAnsi="Times New Roman" w:cs="Times New Roman"/>
          <w:b/>
          <w:sz w:val="24"/>
          <w:szCs w:val="24"/>
        </w:rPr>
        <w:t xml:space="preserve"> a domestic VC firm</w:t>
      </w:r>
    </w:p>
    <w:p w14:paraId="4BAC45C6" w14:textId="6157E58D" w:rsidR="006107A1" w:rsidRDefault="0003199D" w:rsidP="0008148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a corporate VC setting, Benson and Ziedonis (2010) have shown that organizational design impacts investment decisions. </w:t>
      </w:r>
      <w:r w:rsidR="0025020A">
        <w:rPr>
          <w:rFonts w:ascii="Times New Roman" w:hAnsi="Times New Roman" w:cs="Times New Roman"/>
          <w:sz w:val="24"/>
          <w:szCs w:val="24"/>
        </w:rPr>
        <w:t>In our setting, we argue that the organizational differences between l</w:t>
      </w:r>
      <w:r w:rsidR="004B7DC9" w:rsidRPr="005F1FD6">
        <w:rPr>
          <w:rFonts w:ascii="Times New Roman" w:hAnsi="Times New Roman" w:cs="Times New Roman"/>
          <w:sz w:val="24"/>
          <w:szCs w:val="24"/>
        </w:rPr>
        <w:t xml:space="preserve">ocal branches of foreign VC firms </w:t>
      </w:r>
      <w:r w:rsidR="0025020A">
        <w:rPr>
          <w:rFonts w:ascii="Times New Roman" w:hAnsi="Times New Roman" w:cs="Times New Roman"/>
          <w:sz w:val="24"/>
          <w:szCs w:val="24"/>
        </w:rPr>
        <w:t>and</w:t>
      </w:r>
      <w:r w:rsidR="004B7DC9" w:rsidRPr="005F1FD6">
        <w:rPr>
          <w:rFonts w:ascii="Times New Roman" w:hAnsi="Times New Roman" w:cs="Times New Roman"/>
          <w:sz w:val="24"/>
          <w:szCs w:val="24"/>
        </w:rPr>
        <w:t xml:space="preserve"> </w:t>
      </w:r>
      <w:r w:rsidR="009B07D7">
        <w:rPr>
          <w:rFonts w:ascii="Times New Roman" w:hAnsi="Times New Roman" w:cs="Times New Roman"/>
          <w:sz w:val="24"/>
          <w:szCs w:val="24"/>
        </w:rPr>
        <w:t>of</w:t>
      </w:r>
      <w:r w:rsidR="009B07D7" w:rsidRPr="005F1FD6">
        <w:rPr>
          <w:rFonts w:ascii="Times New Roman" w:hAnsi="Times New Roman" w:cs="Times New Roman"/>
          <w:sz w:val="24"/>
          <w:szCs w:val="24"/>
        </w:rPr>
        <w:t xml:space="preserve"> </w:t>
      </w:r>
      <w:r w:rsidR="004B7DC9" w:rsidRPr="005F1FD6">
        <w:rPr>
          <w:rFonts w:ascii="Times New Roman" w:hAnsi="Times New Roman" w:cs="Times New Roman"/>
          <w:sz w:val="24"/>
          <w:szCs w:val="24"/>
        </w:rPr>
        <w:t>domestic VC firms</w:t>
      </w:r>
      <w:r w:rsidR="00CD52F9">
        <w:rPr>
          <w:rFonts w:ascii="Times New Roman" w:hAnsi="Times New Roman" w:cs="Times New Roman"/>
          <w:sz w:val="24"/>
          <w:szCs w:val="24"/>
        </w:rPr>
        <w:t xml:space="preserve"> will impact their tendency </w:t>
      </w:r>
      <w:r w:rsidR="00CD52F9">
        <w:rPr>
          <w:rFonts w:ascii="Times New Roman" w:hAnsi="Times New Roman" w:cs="Times New Roman"/>
          <w:sz w:val="24"/>
          <w:szCs w:val="24"/>
        </w:rPr>
        <w:lastRenderedPageBreak/>
        <w:t>to escalate commitment</w:t>
      </w:r>
      <w:r w:rsidR="004B7DC9" w:rsidRPr="005F1FD6">
        <w:rPr>
          <w:rFonts w:ascii="Times New Roman" w:hAnsi="Times New Roman" w:cs="Times New Roman"/>
          <w:sz w:val="24"/>
          <w:szCs w:val="24"/>
        </w:rPr>
        <w:t xml:space="preserve">. </w:t>
      </w:r>
      <w:r w:rsidR="00CD52F9">
        <w:rPr>
          <w:rFonts w:ascii="Times New Roman" w:hAnsi="Times New Roman" w:cs="Times New Roman"/>
          <w:sz w:val="24"/>
          <w:szCs w:val="24"/>
        </w:rPr>
        <w:t>While</w:t>
      </w:r>
      <w:r w:rsidR="0073741A" w:rsidRPr="005F1FD6">
        <w:rPr>
          <w:rFonts w:ascii="Times New Roman" w:hAnsi="Times New Roman" w:cs="Times New Roman"/>
          <w:sz w:val="24"/>
          <w:szCs w:val="24"/>
        </w:rPr>
        <w:t xml:space="preserve"> each </w:t>
      </w:r>
      <w:r w:rsidR="00053C77" w:rsidRPr="005F1FD6">
        <w:rPr>
          <w:rFonts w:ascii="Times New Roman" w:hAnsi="Times New Roman" w:cs="Times New Roman"/>
          <w:sz w:val="24"/>
          <w:szCs w:val="24"/>
        </w:rPr>
        <w:t xml:space="preserve">portfolio company </w:t>
      </w:r>
      <w:r w:rsidR="0073741A" w:rsidRPr="005F1FD6">
        <w:rPr>
          <w:rFonts w:ascii="Times New Roman" w:hAnsi="Times New Roman" w:cs="Times New Roman"/>
          <w:sz w:val="24"/>
          <w:szCs w:val="24"/>
        </w:rPr>
        <w:t xml:space="preserve">is </w:t>
      </w:r>
      <w:r w:rsidR="00CD52F9">
        <w:rPr>
          <w:rFonts w:ascii="Times New Roman" w:hAnsi="Times New Roman" w:cs="Times New Roman"/>
          <w:sz w:val="24"/>
          <w:szCs w:val="24"/>
        </w:rPr>
        <w:t xml:space="preserve">typically </w:t>
      </w:r>
      <w:r w:rsidR="0073741A" w:rsidRPr="005F1FD6">
        <w:rPr>
          <w:rFonts w:ascii="Times New Roman" w:hAnsi="Times New Roman" w:cs="Times New Roman"/>
          <w:sz w:val="24"/>
          <w:szCs w:val="24"/>
        </w:rPr>
        <w:t xml:space="preserve">followed by </w:t>
      </w:r>
      <w:r w:rsidR="00597651">
        <w:rPr>
          <w:rFonts w:ascii="Times New Roman" w:hAnsi="Times New Roman" w:cs="Times New Roman"/>
          <w:sz w:val="24"/>
          <w:szCs w:val="24"/>
        </w:rPr>
        <w:t>one or two</w:t>
      </w:r>
      <w:r w:rsidR="0073741A" w:rsidRPr="005F1FD6">
        <w:rPr>
          <w:rFonts w:ascii="Times New Roman" w:hAnsi="Times New Roman" w:cs="Times New Roman"/>
          <w:sz w:val="24"/>
          <w:szCs w:val="24"/>
        </w:rPr>
        <w:t xml:space="preserve"> investment manager</w:t>
      </w:r>
      <w:r w:rsidR="00597651">
        <w:rPr>
          <w:rFonts w:ascii="Times New Roman" w:hAnsi="Times New Roman" w:cs="Times New Roman"/>
          <w:sz w:val="24"/>
          <w:szCs w:val="24"/>
        </w:rPr>
        <w:t>s</w:t>
      </w:r>
      <w:r w:rsidR="0073741A" w:rsidRPr="005F1FD6">
        <w:rPr>
          <w:rFonts w:ascii="Times New Roman" w:hAnsi="Times New Roman" w:cs="Times New Roman"/>
          <w:sz w:val="24"/>
          <w:szCs w:val="24"/>
        </w:rPr>
        <w:t>, all</w:t>
      </w:r>
      <w:r w:rsidR="00597651">
        <w:rPr>
          <w:rFonts w:ascii="Times New Roman" w:hAnsi="Times New Roman" w:cs="Times New Roman"/>
          <w:sz w:val="24"/>
          <w:szCs w:val="24"/>
        </w:rPr>
        <w:t xml:space="preserve"> new and follow-on</w:t>
      </w:r>
      <w:r w:rsidR="0073741A" w:rsidRPr="005F1FD6">
        <w:rPr>
          <w:rFonts w:ascii="Times New Roman" w:hAnsi="Times New Roman" w:cs="Times New Roman"/>
          <w:sz w:val="24"/>
          <w:szCs w:val="24"/>
        </w:rPr>
        <w:t xml:space="preserve"> investments have to be approved by an investment committee. Investment committees are specifically designed to mitigate individual biases of the VC investment managers</w:t>
      </w:r>
      <w:r w:rsidR="00C81FB7">
        <w:rPr>
          <w:rFonts w:ascii="Times New Roman" w:hAnsi="Times New Roman" w:cs="Times New Roman"/>
          <w:sz w:val="24"/>
          <w:szCs w:val="24"/>
        </w:rPr>
        <w:t xml:space="preserve"> (Guler</w:t>
      </w:r>
      <w:r w:rsidR="000F75BB">
        <w:rPr>
          <w:rFonts w:ascii="Times New Roman" w:hAnsi="Times New Roman" w:cs="Times New Roman"/>
          <w:sz w:val="24"/>
          <w:szCs w:val="24"/>
        </w:rPr>
        <w:t>,</w:t>
      </w:r>
      <w:r w:rsidR="00C81FB7">
        <w:rPr>
          <w:rFonts w:ascii="Times New Roman" w:hAnsi="Times New Roman" w:cs="Times New Roman"/>
          <w:sz w:val="24"/>
          <w:szCs w:val="24"/>
        </w:rPr>
        <w:t xml:space="preserve"> 2007)</w:t>
      </w:r>
      <w:r w:rsidR="0073741A" w:rsidRPr="005F1FD6">
        <w:rPr>
          <w:rFonts w:ascii="Times New Roman" w:hAnsi="Times New Roman" w:cs="Times New Roman"/>
          <w:sz w:val="24"/>
          <w:szCs w:val="24"/>
        </w:rPr>
        <w:t>.</w:t>
      </w:r>
      <w:r w:rsidR="00053C77" w:rsidRPr="005F1FD6">
        <w:rPr>
          <w:rFonts w:ascii="Times New Roman" w:hAnsi="Times New Roman" w:cs="Times New Roman"/>
          <w:sz w:val="24"/>
          <w:szCs w:val="24"/>
        </w:rPr>
        <w:t xml:space="preserve"> </w:t>
      </w:r>
      <w:r w:rsidR="00557B93">
        <w:rPr>
          <w:rFonts w:ascii="Times New Roman" w:hAnsi="Times New Roman" w:cs="Times New Roman"/>
          <w:sz w:val="24"/>
          <w:szCs w:val="24"/>
        </w:rPr>
        <w:t>While the investment committee of domestic VC firms will predominantly consist of local investment managers, t</w:t>
      </w:r>
      <w:r w:rsidR="006F6E99" w:rsidRPr="00557B93">
        <w:rPr>
          <w:rFonts w:ascii="Times New Roman" w:hAnsi="Times New Roman" w:cs="Times New Roman"/>
          <w:sz w:val="24"/>
          <w:szCs w:val="24"/>
        </w:rPr>
        <w:t xml:space="preserve">he foreign head office will typically be represented in the branches’ investment committee that decides on investments </w:t>
      </w:r>
      <w:r w:rsidR="00D259D6">
        <w:rPr>
          <w:rFonts w:ascii="Times New Roman" w:hAnsi="Times New Roman" w:cs="Times New Roman"/>
          <w:sz w:val="24"/>
          <w:szCs w:val="24"/>
        </w:rPr>
        <w:t xml:space="preserve">and terminations </w:t>
      </w:r>
      <w:r w:rsidR="006F6E99" w:rsidRPr="00557B93">
        <w:rPr>
          <w:rFonts w:ascii="Times New Roman" w:hAnsi="Times New Roman" w:cs="Times New Roman"/>
          <w:sz w:val="24"/>
          <w:szCs w:val="24"/>
        </w:rPr>
        <w:t>(Pruthi et al.</w:t>
      </w:r>
      <w:r w:rsidR="000F75BB">
        <w:rPr>
          <w:rFonts w:ascii="Times New Roman" w:hAnsi="Times New Roman" w:cs="Times New Roman"/>
          <w:sz w:val="24"/>
          <w:szCs w:val="24"/>
        </w:rPr>
        <w:t>,</w:t>
      </w:r>
      <w:r w:rsidR="006F6E99" w:rsidRPr="00557B93">
        <w:rPr>
          <w:rFonts w:ascii="Times New Roman" w:hAnsi="Times New Roman" w:cs="Times New Roman"/>
          <w:sz w:val="24"/>
          <w:szCs w:val="24"/>
        </w:rPr>
        <w:t xml:space="preserve"> 2009). </w:t>
      </w:r>
      <w:r w:rsidR="00081480">
        <w:rPr>
          <w:rFonts w:ascii="Times New Roman" w:hAnsi="Times New Roman" w:cs="Times New Roman"/>
          <w:sz w:val="24"/>
          <w:szCs w:val="24"/>
        </w:rPr>
        <w:t>Hence</w:t>
      </w:r>
      <w:r w:rsidR="00C65CAA" w:rsidRPr="005F1FD6">
        <w:rPr>
          <w:rFonts w:ascii="Times New Roman" w:hAnsi="Times New Roman" w:cs="Times New Roman"/>
          <w:sz w:val="24"/>
          <w:szCs w:val="24"/>
        </w:rPr>
        <w:t xml:space="preserve">, local branch decision making differs </w:t>
      </w:r>
      <w:r w:rsidR="0073741A" w:rsidRPr="005F1FD6">
        <w:rPr>
          <w:rFonts w:ascii="Times New Roman" w:hAnsi="Times New Roman" w:cs="Times New Roman"/>
          <w:sz w:val="24"/>
          <w:szCs w:val="24"/>
        </w:rPr>
        <w:t xml:space="preserve">as </w:t>
      </w:r>
      <w:r w:rsidR="00C65CAA" w:rsidRPr="005F1FD6">
        <w:rPr>
          <w:rFonts w:ascii="Times New Roman" w:hAnsi="Times New Roman" w:cs="Times New Roman"/>
          <w:sz w:val="24"/>
          <w:szCs w:val="24"/>
        </w:rPr>
        <w:t>it is primarily made by investment committees that combine the expertise and experience of branch executives and head office executives (</w:t>
      </w:r>
      <w:r w:rsidR="005207AA" w:rsidRPr="005207AA">
        <w:rPr>
          <w:rFonts w:ascii="Times New Roman" w:hAnsi="Times New Roman" w:cs="Times New Roman"/>
          <w:sz w:val="24"/>
          <w:szCs w:val="24"/>
        </w:rPr>
        <w:t>Pruthi</w:t>
      </w:r>
      <w:r w:rsidR="005207AA">
        <w:rPr>
          <w:rFonts w:ascii="Times New Roman" w:hAnsi="Times New Roman" w:cs="Times New Roman"/>
          <w:sz w:val="24"/>
          <w:szCs w:val="24"/>
        </w:rPr>
        <w:t xml:space="preserve">, Wright </w:t>
      </w:r>
      <w:r w:rsidR="002174D5">
        <w:rPr>
          <w:rFonts w:ascii="Times New Roman" w:hAnsi="Times New Roman" w:cs="Times New Roman"/>
          <w:sz w:val="24"/>
          <w:szCs w:val="24"/>
        </w:rPr>
        <w:t>and</w:t>
      </w:r>
      <w:r w:rsidR="005207AA" w:rsidRPr="005207AA">
        <w:rPr>
          <w:rFonts w:ascii="Times New Roman" w:hAnsi="Times New Roman" w:cs="Times New Roman"/>
          <w:sz w:val="24"/>
          <w:szCs w:val="24"/>
        </w:rPr>
        <w:t xml:space="preserve"> Meyer</w:t>
      </w:r>
      <w:r w:rsidR="000F75BB">
        <w:rPr>
          <w:rFonts w:ascii="Times New Roman" w:hAnsi="Times New Roman" w:cs="Times New Roman"/>
          <w:sz w:val="24"/>
          <w:szCs w:val="24"/>
        </w:rPr>
        <w:t>,</w:t>
      </w:r>
      <w:r w:rsidR="00C65CAA" w:rsidRPr="005F1FD6">
        <w:rPr>
          <w:rFonts w:ascii="Times New Roman" w:hAnsi="Times New Roman" w:cs="Times New Roman"/>
          <w:sz w:val="24"/>
          <w:szCs w:val="24"/>
        </w:rPr>
        <w:t xml:space="preserve"> 2009). </w:t>
      </w:r>
    </w:p>
    <w:p w14:paraId="2AFDA981" w14:textId="7A61BF2C" w:rsidR="00433C20" w:rsidRPr="005F1FD6" w:rsidRDefault="004B7DC9" w:rsidP="00A618CB">
      <w:pPr>
        <w:spacing w:line="480" w:lineRule="auto"/>
        <w:ind w:firstLine="720"/>
        <w:jc w:val="both"/>
        <w:rPr>
          <w:rFonts w:ascii="Times New Roman" w:hAnsi="Times New Roman" w:cs="Times New Roman"/>
          <w:i/>
          <w:sz w:val="24"/>
          <w:szCs w:val="24"/>
        </w:rPr>
      </w:pPr>
      <w:r w:rsidRPr="005F1FD6">
        <w:rPr>
          <w:rFonts w:ascii="Times New Roman" w:hAnsi="Times New Roman" w:cs="Times New Roman"/>
          <w:sz w:val="24"/>
          <w:szCs w:val="24"/>
        </w:rPr>
        <w:t>H</w:t>
      </w:r>
      <w:r w:rsidR="0071465A" w:rsidRPr="005F1FD6">
        <w:rPr>
          <w:rFonts w:ascii="Times New Roman" w:hAnsi="Times New Roman" w:cs="Times New Roman"/>
          <w:sz w:val="24"/>
          <w:szCs w:val="24"/>
        </w:rPr>
        <w:t xml:space="preserve">ead office executives </w:t>
      </w:r>
      <w:r w:rsidRPr="005F1FD6">
        <w:rPr>
          <w:rFonts w:ascii="Times New Roman" w:hAnsi="Times New Roman" w:cs="Times New Roman"/>
          <w:sz w:val="24"/>
          <w:szCs w:val="24"/>
        </w:rPr>
        <w:t>have</w:t>
      </w:r>
      <w:r w:rsidR="0071465A" w:rsidRPr="005F1FD6">
        <w:rPr>
          <w:rFonts w:ascii="Times New Roman" w:hAnsi="Times New Roman" w:cs="Times New Roman"/>
          <w:sz w:val="24"/>
          <w:szCs w:val="24"/>
        </w:rPr>
        <w:t xml:space="preserve"> a lower nationalistic bond</w:t>
      </w:r>
      <w:r w:rsidR="003221BB">
        <w:rPr>
          <w:rFonts w:ascii="Times New Roman" w:hAnsi="Times New Roman" w:cs="Times New Roman"/>
          <w:sz w:val="24"/>
          <w:szCs w:val="24"/>
        </w:rPr>
        <w:t>,</w:t>
      </w:r>
      <w:r w:rsidRPr="005F1FD6">
        <w:rPr>
          <w:rFonts w:ascii="Times New Roman" w:hAnsi="Times New Roman" w:cs="Times New Roman"/>
          <w:sz w:val="24"/>
          <w:szCs w:val="24"/>
        </w:rPr>
        <w:t xml:space="preserve"> </w:t>
      </w:r>
      <w:r w:rsidR="0071465A" w:rsidRPr="005F1FD6">
        <w:rPr>
          <w:rFonts w:ascii="Times New Roman" w:hAnsi="Times New Roman" w:cs="Times New Roman"/>
          <w:sz w:val="24"/>
          <w:szCs w:val="24"/>
        </w:rPr>
        <w:t>an increased geographical</w:t>
      </w:r>
      <w:r w:rsidR="00053C77" w:rsidRPr="005F1FD6">
        <w:rPr>
          <w:rFonts w:ascii="Times New Roman" w:hAnsi="Times New Roman" w:cs="Times New Roman"/>
          <w:sz w:val="24"/>
          <w:szCs w:val="24"/>
        </w:rPr>
        <w:t xml:space="preserve"> and cultural distance</w:t>
      </w:r>
      <w:r w:rsidR="003221BB">
        <w:rPr>
          <w:rFonts w:ascii="Times New Roman" w:hAnsi="Times New Roman" w:cs="Times New Roman"/>
          <w:sz w:val="24"/>
          <w:szCs w:val="24"/>
        </w:rPr>
        <w:t xml:space="preserve">, and a lower emotional attachment </w:t>
      </w:r>
      <w:r w:rsidR="00053C77" w:rsidRPr="005F1FD6">
        <w:rPr>
          <w:rFonts w:ascii="Times New Roman" w:hAnsi="Times New Roman" w:cs="Times New Roman"/>
          <w:sz w:val="24"/>
          <w:szCs w:val="24"/>
        </w:rPr>
        <w:t>to local portfolio companie</w:t>
      </w:r>
      <w:r w:rsidR="0071465A" w:rsidRPr="005F1FD6">
        <w:rPr>
          <w:rFonts w:ascii="Times New Roman" w:hAnsi="Times New Roman" w:cs="Times New Roman"/>
          <w:sz w:val="24"/>
          <w:szCs w:val="24"/>
        </w:rPr>
        <w:t>s and as a result have a more unbiased view on their performance.</w:t>
      </w:r>
      <w:r w:rsidR="00053C77" w:rsidRPr="005F1FD6">
        <w:rPr>
          <w:rFonts w:ascii="Times New Roman" w:hAnsi="Times New Roman" w:cs="Times New Roman"/>
          <w:sz w:val="24"/>
          <w:szCs w:val="24"/>
        </w:rPr>
        <w:t xml:space="preserve"> The</w:t>
      </w:r>
      <w:r w:rsidR="0071465A" w:rsidRPr="005F1FD6">
        <w:rPr>
          <w:rFonts w:ascii="Times New Roman" w:hAnsi="Times New Roman" w:cs="Times New Roman"/>
          <w:sz w:val="24"/>
          <w:szCs w:val="24"/>
        </w:rPr>
        <w:t xml:space="preserve"> influence </w:t>
      </w:r>
      <w:r w:rsidR="00053C77" w:rsidRPr="005F1FD6">
        <w:rPr>
          <w:rFonts w:ascii="Times New Roman" w:hAnsi="Times New Roman" w:cs="Times New Roman"/>
          <w:sz w:val="24"/>
          <w:szCs w:val="24"/>
        </w:rPr>
        <w:t xml:space="preserve">of head office executives </w:t>
      </w:r>
      <w:r w:rsidR="0071465A" w:rsidRPr="005F1FD6">
        <w:rPr>
          <w:rFonts w:ascii="Times New Roman" w:hAnsi="Times New Roman" w:cs="Times New Roman"/>
          <w:sz w:val="24"/>
          <w:szCs w:val="24"/>
        </w:rPr>
        <w:t>in the investment committee should therefore at least partially mitigate the probability of escalating commitment, compared to decision maki</w:t>
      </w:r>
      <w:r w:rsidR="00053C77" w:rsidRPr="005F1FD6">
        <w:rPr>
          <w:rFonts w:ascii="Times New Roman" w:hAnsi="Times New Roman" w:cs="Times New Roman"/>
          <w:sz w:val="24"/>
          <w:szCs w:val="24"/>
        </w:rPr>
        <w:t xml:space="preserve">ng in investment committees of domestic </w:t>
      </w:r>
      <w:r w:rsidR="0071465A" w:rsidRPr="005F1FD6">
        <w:rPr>
          <w:rFonts w:ascii="Times New Roman" w:hAnsi="Times New Roman" w:cs="Times New Roman"/>
          <w:sz w:val="24"/>
          <w:szCs w:val="24"/>
        </w:rPr>
        <w:t>VC</w:t>
      </w:r>
      <w:r w:rsidR="0007588D" w:rsidRPr="005F1FD6">
        <w:rPr>
          <w:rFonts w:ascii="Times New Roman" w:hAnsi="Times New Roman" w:cs="Times New Roman"/>
          <w:sz w:val="24"/>
          <w:szCs w:val="24"/>
        </w:rPr>
        <w:t xml:space="preserve"> firm</w:t>
      </w:r>
      <w:r w:rsidR="0071465A" w:rsidRPr="005F1FD6">
        <w:rPr>
          <w:rFonts w:ascii="Times New Roman" w:hAnsi="Times New Roman" w:cs="Times New Roman"/>
          <w:sz w:val="24"/>
          <w:szCs w:val="24"/>
        </w:rPr>
        <w:t>s.</w:t>
      </w:r>
      <w:r w:rsidR="00053C77" w:rsidRPr="005F1FD6">
        <w:rPr>
          <w:rFonts w:ascii="Times New Roman" w:hAnsi="Times New Roman" w:cs="Times New Roman"/>
          <w:sz w:val="24"/>
          <w:szCs w:val="24"/>
        </w:rPr>
        <w:t xml:space="preserve"> </w:t>
      </w:r>
      <w:r w:rsidR="00C66C76" w:rsidRPr="005F1FD6">
        <w:rPr>
          <w:rFonts w:ascii="Times New Roman" w:hAnsi="Times New Roman" w:cs="Times New Roman"/>
          <w:sz w:val="24"/>
          <w:szCs w:val="24"/>
        </w:rPr>
        <w:t xml:space="preserve">We hence expect </w:t>
      </w:r>
      <w:r w:rsidRPr="005F1FD6">
        <w:rPr>
          <w:rFonts w:ascii="Times New Roman" w:hAnsi="Times New Roman" w:cs="Times New Roman"/>
          <w:sz w:val="24"/>
          <w:szCs w:val="24"/>
        </w:rPr>
        <w:t>b</w:t>
      </w:r>
      <w:r w:rsidR="00C66C76" w:rsidRPr="005F1FD6">
        <w:rPr>
          <w:rFonts w:ascii="Times New Roman" w:hAnsi="Times New Roman" w:cs="Times New Roman"/>
          <w:sz w:val="24"/>
          <w:szCs w:val="24"/>
        </w:rPr>
        <w:t>ranch VC</w:t>
      </w:r>
      <w:r w:rsidR="0007588D" w:rsidRPr="005F1FD6">
        <w:rPr>
          <w:rFonts w:ascii="Times New Roman" w:hAnsi="Times New Roman" w:cs="Times New Roman"/>
          <w:sz w:val="24"/>
          <w:szCs w:val="24"/>
        </w:rPr>
        <w:t xml:space="preserve"> firm</w:t>
      </w:r>
      <w:r w:rsidR="0073741A" w:rsidRPr="005F1FD6">
        <w:rPr>
          <w:rFonts w:ascii="Times New Roman" w:hAnsi="Times New Roman" w:cs="Times New Roman"/>
          <w:sz w:val="24"/>
          <w:szCs w:val="24"/>
        </w:rPr>
        <w:t>s to have a lower probability to escalat</w:t>
      </w:r>
      <w:r w:rsidR="00C66C76" w:rsidRPr="005F1FD6">
        <w:rPr>
          <w:rFonts w:ascii="Times New Roman" w:hAnsi="Times New Roman" w:cs="Times New Roman"/>
          <w:sz w:val="24"/>
          <w:szCs w:val="24"/>
        </w:rPr>
        <w:t xml:space="preserve">e commitment as opposed to domestic </w:t>
      </w:r>
      <w:r w:rsidR="0073741A" w:rsidRPr="005F1FD6">
        <w:rPr>
          <w:rFonts w:ascii="Times New Roman" w:hAnsi="Times New Roman" w:cs="Times New Roman"/>
          <w:sz w:val="24"/>
          <w:szCs w:val="24"/>
        </w:rPr>
        <w:t>VC</w:t>
      </w:r>
      <w:r w:rsidR="0007588D" w:rsidRPr="005F1FD6">
        <w:rPr>
          <w:rFonts w:ascii="Times New Roman" w:hAnsi="Times New Roman" w:cs="Times New Roman"/>
          <w:sz w:val="24"/>
          <w:szCs w:val="24"/>
        </w:rPr>
        <w:t xml:space="preserve"> firm</w:t>
      </w:r>
      <w:r w:rsidR="0073741A" w:rsidRPr="005F1FD6">
        <w:rPr>
          <w:rFonts w:ascii="Times New Roman" w:hAnsi="Times New Roman" w:cs="Times New Roman"/>
          <w:sz w:val="24"/>
          <w:szCs w:val="24"/>
        </w:rPr>
        <w:t>s</w:t>
      </w:r>
      <w:r w:rsidR="0015307C" w:rsidRPr="0015307C">
        <w:rPr>
          <w:rFonts w:ascii="Times New Roman" w:hAnsi="Times New Roman" w:cs="Times New Roman"/>
          <w:sz w:val="24"/>
          <w:szCs w:val="24"/>
        </w:rPr>
        <w:t xml:space="preserve"> </w:t>
      </w:r>
      <w:r w:rsidR="0015307C">
        <w:rPr>
          <w:rFonts w:ascii="Times New Roman" w:hAnsi="Times New Roman" w:cs="Times New Roman"/>
          <w:sz w:val="24"/>
          <w:szCs w:val="24"/>
        </w:rPr>
        <w:t>and will therefore have a higher probability of terminating investments in unsuccessful portfolio companies</w:t>
      </w:r>
      <w:r w:rsidR="0073741A" w:rsidRPr="005F1FD6">
        <w:rPr>
          <w:rFonts w:ascii="Times New Roman" w:hAnsi="Times New Roman" w:cs="Times New Roman"/>
          <w:sz w:val="24"/>
          <w:szCs w:val="24"/>
        </w:rPr>
        <w:t>.</w:t>
      </w:r>
      <w:r w:rsidR="00853C7D">
        <w:rPr>
          <w:rFonts w:ascii="Times New Roman" w:hAnsi="Times New Roman" w:cs="Times New Roman"/>
          <w:sz w:val="24"/>
          <w:szCs w:val="24"/>
        </w:rPr>
        <w:t xml:space="preserve"> </w:t>
      </w:r>
      <w:r w:rsidR="00036369">
        <w:rPr>
          <w:rFonts w:ascii="Times New Roman" w:hAnsi="Times New Roman" w:cs="Times New Roman"/>
          <w:sz w:val="24"/>
          <w:szCs w:val="24"/>
        </w:rPr>
        <w:t>Hence</w:t>
      </w:r>
      <w:r w:rsidR="00433C20" w:rsidRPr="005F1FD6">
        <w:rPr>
          <w:rFonts w:ascii="Times New Roman" w:hAnsi="Times New Roman" w:cs="Times New Roman"/>
          <w:sz w:val="24"/>
          <w:szCs w:val="24"/>
        </w:rPr>
        <w:t>:</w:t>
      </w:r>
    </w:p>
    <w:p w14:paraId="605C74E8" w14:textId="77777777" w:rsidR="00667809" w:rsidRDefault="00667809" w:rsidP="009E0A45">
      <w:pPr>
        <w:spacing w:after="0" w:line="480" w:lineRule="auto"/>
        <w:contextualSpacing/>
        <w:jc w:val="both"/>
        <w:rPr>
          <w:rFonts w:ascii="Times New Roman" w:hAnsi="Times New Roman" w:cs="Times New Roman"/>
          <w:i/>
          <w:sz w:val="24"/>
          <w:szCs w:val="24"/>
        </w:rPr>
      </w:pPr>
    </w:p>
    <w:p w14:paraId="03D06825" w14:textId="282AC659" w:rsidR="00C35C66" w:rsidRDefault="00433C20" w:rsidP="009E0A45">
      <w:pPr>
        <w:spacing w:after="0" w:line="480" w:lineRule="auto"/>
        <w:contextualSpacing/>
        <w:jc w:val="both"/>
        <w:rPr>
          <w:rFonts w:ascii="Times New Roman" w:hAnsi="Times New Roman" w:cs="Times New Roman"/>
          <w:i/>
          <w:sz w:val="24"/>
          <w:szCs w:val="24"/>
        </w:rPr>
      </w:pPr>
      <w:r w:rsidRPr="005F1FD6">
        <w:rPr>
          <w:rFonts w:ascii="Times New Roman" w:hAnsi="Times New Roman" w:cs="Times New Roman"/>
          <w:i/>
          <w:sz w:val="24"/>
          <w:szCs w:val="24"/>
        </w:rPr>
        <w:t>H</w:t>
      </w:r>
      <w:r w:rsidR="003B1365">
        <w:rPr>
          <w:rFonts w:ascii="Times New Roman" w:hAnsi="Times New Roman" w:cs="Times New Roman"/>
          <w:i/>
          <w:sz w:val="24"/>
          <w:szCs w:val="24"/>
        </w:rPr>
        <w:t xml:space="preserve">ypothesis </w:t>
      </w:r>
      <w:r w:rsidR="00FA0F9D" w:rsidRPr="005F1FD6">
        <w:rPr>
          <w:rFonts w:ascii="Times New Roman" w:hAnsi="Times New Roman" w:cs="Times New Roman"/>
          <w:i/>
          <w:sz w:val="24"/>
          <w:szCs w:val="24"/>
        </w:rPr>
        <w:t>3</w:t>
      </w:r>
      <w:r w:rsidRPr="005F1FD6">
        <w:rPr>
          <w:rFonts w:ascii="Times New Roman" w:hAnsi="Times New Roman" w:cs="Times New Roman"/>
          <w:i/>
          <w:sz w:val="24"/>
          <w:szCs w:val="24"/>
        </w:rPr>
        <w:t xml:space="preserve">: </w:t>
      </w:r>
      <w:r w:rsidR="007D3153">
        <w:rPr>
          <w:rFonts w:ascii="Times New Roman" w:hAnsi="Times New Roman" w:cs="Times New Roman"/>
          <w:i/>
          <w:sz w:val="24"/>
          <w:szCs w:val="24"/>
        </w:rPr>
        <w:t xml:space="preserve">The probability that the hazard of a VC firm terminating investment in a portfolio company will deviate from the conditional hazard of success over rounds is higher </w:t>
      </w:r>
      <w:r w:rsidR="007D3153" w:rsidRPr="00062690">
        <w:rPr>
          <w:rFonts w:ascii="Times New Roman" w:hAnsi="Times New Roman" w:cs="Times New Roman"/>
          <w:i/>
          <w:sz w:val="24"/>
          <w:szCs w:val="24"/>
        </w:rPr>
        <w:t xml:space="preserve">for </w:t>
      </w:r>
      <w:r w:rsidR="007D3153">
        <w:rPr>
          <w:rFonts w:ascii="Times New Roman" w:hAnsi="Times New Roman" w:cs="Times New Roman"/>
          <w:i/>
          <w:sz w:val="24"/>
          <w:szCs w:val="24"/>
        </w:rPr>
        <w:t xml:space="preserve">domestic VC firms </w:t>
      </w:r>
      <w:r w:rsidR="007D3153" w:rsidRPr="005F1FD6">
        <w:rPr>
          <w:rFonts w:ascii="Times New Roman" w:hAnsi="Times New Roman" w:cs="Times New Roman"/>
          <w:i/>
          <w:sz w:val="24"/>
          <w:szCs w:val="24"/>
        </w:rPr>
        <w:t xml:space="preserve">as opposed </w:t>
      </w:r>
      <w:r w:rsidR="007D3153" w:rsidRPr="00062690">
        <w:rPr>
          <w:rFonts w:ascii="Times New Roman" w:hAnsi="Times New Roman" w:cs="Times New Roman"/>
          <w:i/>
          <w:sz w:val="24"/>
          <w:szCs w:val="24"/>
        </w:rPr>
        <w:t xml:space="preserve">cross-border VC firms </w:t>
      </w:r>
      <w:r w:rsidR="007D3153">
        <w:rPr>
          <w:rFonts w:ascii="Times New Roman" w:hAnsi="Times New Roman" w:cs="Times New Roman"/>
          <w:i/>
          <w:sz w:val="24"/>
          <w:szCs w:val="24"/>
        </w:rPr>
        <w:t>i</w:t>
      </w:r>
      <w:r w:rsidR="007D3153" w:rsidRPr="005F1FD6">
        <w:rPr>
          <w:rFonts w:ascii="Times New Roman" w:hAnsi="Times New Roman" w:cs="Times New Roman"/>
          <w:i/>
          <w:sz w:val="24"/>
          <w:szCs w:val="24"/>
        </w:rPr>
        <w:t>nvesting through a local branch</w:t>
      </w:r>
      <w:r w:rsidR="007D3153">
        <w:rPr>
          <w:rFonts w:ascii="Times New Roman" w:hAnsi="Times New Roman" w:cs="Times New Roman"/>
          <w:i/>
          <w:sz w:val="24"/>
          <w:szCs w:val="24"/>
        </w:rPr>
        <w:t>.</w:t>
      </w:r>
    </w:p>
    <w:p w14:paraId="6D37FAC7" w14:textId="77777777" w:rsidR="00AF3233" w:rsidRPr="005F1FD6" w:rsidRDefault="00AF3233" w:rsidP="009E0A45">
      <w:pPr>
        <w:spacing w:after="0" w:line="480" w:lineRule="auto"/>
        <w:ind w:firstLine="432"/>
        <w:contextualSpacing/>
        <w:jc w:val="center"/>
        <w:rPr>
          <w:rFonts w:ascii="Times New Roman" w:hAnsi="Times New Roman" w:cs="Times New Roman"/>
          <w:b/>
          <w:caps/>
          <w:sz w:val="24"/>
          <w:szCs w:val="24"/>
        </w:rPr>
      </w:pPr>
      <w:r w:rsidRPr="005F1FD6">
        <w:rPr>
          <w:rFonts w:ascii="Times New Roman" w:hAnsi="Times New Roman" w:cs="Times New Roman"/>
          <w:b/>
          <w:caps/>
          <w:sz w:val="24"/>
          <w:szCs w:val="24"/>
        </w:rPr>
        <w:t>method</w:t>
      </w:r>
    </w:p>
    <w:p w14:paraId="179C8BFF" w14:textId="77777777" w:rsidR="00AF2439" w:rsidRPr="005F1FD6" w:rsidRDefault="00036369" w:rsidP="00F64765">
      <w:pPr>
        <w:spacing w:after="0" w:line="480" w:lineRule="auto"/>
        <w:ind w:firstLine="432"/>
        <w:contextualSpacing/>
        <w:jc w:val="both"/>
        <w:rPr>
          <w:rFonts w:ascii="Times New Roman" w:hAnsi="Times New Roman" w:cs="Times New Roman"/>
          <w:sz w:val="24"/>
          <w:szCs w:val="24"/>
        </w:rPr>
      </w:pPr>
      <w:r>
        <w:rPr>
          <w:rFonts w:ascii="Times New Roman" w:hAnsi="Times New Roman" w:cs="Times New Roman"/>
          <w:sz w:val="24"/>
          <w:szCs w:val="24"/>
        </w:rPr>
        <w:lastRenderedPageBreak/>
        <w:t>We test</w:t>
      </w:r>
      <w:r w:rsidR="00AF2439" w:rsidRPr="005F1FD6">
        <w:rPr>
          <w:rFonts w:ascii="Times New Roman" w:hAnsi="Times New Roman" w:cs="Times New Roman"/>
          <w:sz w:val="24"/>
          <w:szCs w:val="24"/>
        </w:rPr>
        <w:t xml:space="preserve"> </w:t>
      </w:r>
      <w:r w:rsidR="009B07D7">
        <w:rPr>
          <w:rFonts w:ascii="Times New Roman" w:hAnsi="Times New Roman" w:cs="Times New Roman"/>
          <w:sz w:val="24"/>
          <w:szCs w:val="24"/>
        </w:rPr>
        <w:t xml:space="preserve">our </w:t>
      </w:r>
      <w:r w:rsidR="00AF2439" w:rsidRPr="005F1FD6">
        <w:rPr>
          <w:rFonts w:ascii="Times New Roman" w:hAnsi="Times New Roman" w:cs="Times New Roman"/>
          <w:sz w:val="24"/>
          <w:szCs w:val="24"/>
        </w:rPr>
        <w:t xml:space="preserve">hypotheses on a sample of VC investments in portfolio companies in Europe. </w:t>
      </w:r>
      <w:r w:rsidR="00927EF7">
        <w:rPr>
          <w:rFonts w:ascii="Times New Roman" w:hAnsi="Times New Roman" w:cs="Times New Roman"/>
          <w:sz w:val="24"/>
          <w:szCs w:val="24"/>
        </w:rPr>
        <w:t xml:space="preserve">The </w:t>
      </w:r>
      <w:r w:rsidR="00927EF7" w:rsidRPr="005F1FD6">
        <w:rPr>
          <w:rFonts w:ascii="Times New Roman" w:hAnsi="Times New Roman" w:cs="Times New Roman"/>
          <w:sz w:val="24"/>
          <w:szCs w:val="24"/>
        </w:rPr>
        <w:t>Europe</w:t>
      </w:r>
      <w:r w:rsidR="00927EF7">
        <w:rPr>
          <w:rFonts w:ascii="Times New Roman" w:hAnsi="Times New Roman" w:cs="Times New Roman"/>
          <w:sz w:val="24"/>
          <w:szCs w:val="24"/>
        </w:rPr>
        <w:t>an VC industry</w:t>
      </w:r>
      <w:r w:rsidR="00927EF7" w:rsidRPr="005F1FD6">
        <w:rPr>
          <w:rFonts w:ascii="Times New Roman" w:hAnsi="Times New Roman" w:cs="Times New Roman"/>
          <w:sz w:val="24"/>
          <w:szCs w:val="24"/>
        </w:rPr>
        <w:t xml:space="preserve"> offers an interesting environment </w:t>
      </w:r>
      <w:r w:rsidR="00927EF7" w:rsidRPr="00DE3B5F">
        <w:rPr>
          <w:rFonts w:ascii="Times New Roman" w:hAnsi="Times New Roman" w:cs="Times New Roman"/>
          <w:sz w:val="24"/>
          <w:szCs w:val="24"/>
        </w:rPr>
        <w:t xml:space="preserve">in which to examine whether international VC investors face different levels of escalation of commitment compared to domestic VC investors </w:t>
      </w:r>
      <w:r w:rsidR="00927EF7">
        <w:rPr>
          <w:rFonts w:ascii="Times New Roman" w:hAnsi="Times New Roman" w:cs="Times New Roman"/>
          <w:sz w:val="24"/>
          <w:szCs w:val="24"/>
        </w:rPr>
        <w:t>for three reasons</w:t>
      </w:r>
      <w:r w:rsidR="00927EF7" w:rsidRPr="005F1FD6">
        <w:rPr>
          <w:rFonts w:ascii="Times New Roman" w:hAnsi="Times New Roman" w:cs="Times New Roman"/>
          <w:sz w:val="24"/>
          <w:szCs w:val="24"/>
        </w:rPr>
        <w:t xml:space="preserve">. First, </w:t>
      </w:r>
      <w:r w:rsidR="00927EF7">
        <w:rPr>
          <w:rFonts w:ascii="Times New Roman" w:hAnsi="Times New Roman" w:cs="Times New Roman"/>
          <w:sz w:val="24"/>
          <w:szCs w:val="24"/>
        </w:rPr>
        <w:t xml:space="preserve">the </w:t>
      </w:r>
      <w:r w:rsidR="00927EF7" w:rsidRPr="005F1FD6">
        <w:rPr>
          <w:rFonts w:ascii="Times New Roman" w:hAnsi="Times New Roman" w:cs="Times New Roman"/>
          <w:sz w:val="24"/>
          <w:szCs w:val="24"/>
        </w:rPr>
        <w:t xml:space="preserve">European VC </w:t>
      </w:r>
      <w:r w:rsidR="00927EF7">
        <w:rPr>
          <w:rFonts w:ascii="Times New Roman" w:hAnsi="Times New Roman" w:cs="Times New Roman"/>
          <w:sz w:val="24"/>
          <w:szCs w:val="24"/>
        </w:rPr>
        <w:t>industry is characterized by more international investments compared to the</w:t>
      </w:r>
      <w:r w:rsidR="00927EF7" w:rsidRPr="005F1FD6">
        <w:rPr>
          <w:rFonts w:ascii="Times New Roman" w:hAnsi="Times New Roman" w:cs="Times New Roman"/>
          <w:sz w:val="24"/>
          <w:szCs w:val="24"/>
        </w:rPr>
        <w:t xml:space="preserve"> U.S. (</w:t>
      </w:r>
      <w:r w:rsidR="00927EF7">
        <w:rPr>
          <w:rFonts w:ascii="Times New Roman" w:hAnsi="Times New Roman" w:cs="Times New Roman"/>
          <w:sz w:val="24"/>
          <w:szCs w:val="24"/>
          <w:lang w:val="en-GB"/>
        </w:rPr>
        <w:t xml:space="preserve">Schertler </w:t>
      </w:r>
      <w:r w:rsidR="002174D5">
        <w:rPr>
          <w:rFonts w:ascii="Times New Roman" w:hAnsi="Times New Roman" w:cs="Times New Roman"/>
          <w:sz w:val="24"/>
          <w:szCs w:val="24"/>
          <w:lang w:val="en-GB"/>
        </w:rPr>
        <w:t>and</w:t>
      </w:r>
      <w:r w:rsidR="00927EF7">
        <w:rPr>
          <w:rFonts w:ascii="Times New Roman" w:hAnsi="Times New Roman" w:cs="Times New Roman"/>
          <w:sz w:val="24"/>
          <w:szCs w:val="24"/>
          <w:lang w:val="en-GB"/>
        </w:rPr>
        <w:t xml:space="preserve"> Tykvová</w:t>
      </w:r>
      <w:r w:rsidR="00927EF7" w:rsidRPr="00817E39">
        <w:rPr>
          <w:rFonts w:ascii="Times New Roman" w:hAnsi="Times New Roman" w:cs="Times New Roman"/>
          <w:sz w:val="24"/>
          <w:szCs w:val="24"/>
          <w:lang w:val="en-GB"/>
        </w:rPr>
        <w:t>, 2011</w:t>
      </w:r>
      <w:r w:rsidR="00927EF7" w:rsidRPr="00817E39">
        <w:rPr>
          <w:rFonts w:ascii="Times New Roman" w:hAnsi="Times New Roman" w:cs="Times New Roman"/>
          <w:sz w:val="24"/>
          <w:szCs w:val="24"/>
        </w:rPr>
        <w:t>).</w:t>
      </w:r>
      <w:r w:rsidR="00927EF7" w:rsidRPr="005F1FD6">
        <w:rPr>
          <w:rFonts w:ascii="Times New Roman" w:hAnsi="Times New Roman" w:cs="Times New Roman"/>
          <w:sz w:val="24"/>
          <w:szCs w:val="24"/>
        </w:rPr>
        <w:t xml:space="preserve"> Second, Europe is the second largest VC market after the U.S. (</w:t>
      </w:r>
      <w:r w:rsidR="00927EF7">
        <w:rPr>
          <w:rFonts w:ascii="Times New Roman" w:hAnsi="Times New Roman" w:cs="Times New Roman"/>
          <w:sz w:val="24"/>
          <w:szCs w:val="24"/>
          <w:lang w:val="en-GB"/>
        </w:rPr>
        <w:t xml:space="preserve">Schertler </w:t>
      </w:r>
      <w:r w:rsidR="002174D5">
        <w:rPr>
          <w:rFonts w:ascii="Times New Roman" w:hAnsi="Times New Roman" w:cs="Times New Roman"/>
          <w:sz w:val="24"/>
          <w:szCs w:val="24"/>
          <w:lang w:val="en-GB"/>
        </w:rPr>
        <w:t>and</w:t>
      </w:r>
      <w:r w:rsidR="00927EF7">
        <w:rPr>
          <w:rFonts w:ascii="Times New Roman" w:hAnsi="Times New Roman" w:cs="Times New Roman"/>
          <w:sz w:val="24"/>
          <w:szCs w:val="24"/>
          <w:lang w:val="en-GB"/>
        </w:rPr>
        <w:t xml:space="preserve"> Tykvová</w:t>
      </w:r>
      <w:r w:rsidR="00927EF7" w:rsidRPr="00817E39">
        <w:rPr>
          <w:rFonts w:ascii="Times New Roman" w:hAnsi="Times New Roman" w:cs="Times New Roman"/>
          <w:sz w:val="24"/>
          <w:szCs w:val="24"/>
          <w:lang w:val="en-GB"/>
        </w:rPr>
        <w:t>, 2011</w:t>
      </w:r>
      <w:r w:rsidR="00927EF7" w:rsidRPr="005F1FD6">
        <w:rPr>
          <w:rFonts w:ascii="Times New Roman" w:hAnsi="Times New Roman" w:cs="Times New Roman"/>
          <w:sz w:val="24"/>
          <w:szCs w:val="24"/>
        </w:rPr>
        <w:t xml:space="preserve">). </w:t>
      </w:r>
      <w:r w:rsidR="00927EF7">
        <w:rPr>
          <w:rFonts w:ascii="Times New Roman" w:hAnsi="Times New Roman" w:cs="Times New Roman"/>
          <w:sz w:val="24"/>
          <w:szCs w:val="24"/>
        </w:rPr>
        <w:t xml:space="preserve">Third, despite economic integration in the European Union, European countries still present huge differences in language, culture and legal environments. This allows us to disentangle the effects of geographic distance from those of crossing borders. For example, a Californian investor investing in an East Coast venture faces a huge geographic distance, but no language barrier, while cultural and legal differences between the East and West Coast are limited. In contrast, a German investor from Munich investing in Milan (Italy) will face a lower geographical distance (490km) compared to investing in </w:t>
      </w:r>
      <w:r w:rsidR="007D3B4B">
        <w:rPr>
          <w:rFonts w:ascii="Times New Roman" w:hAnsi="Times New Roman" w:cs="Times New Roman"/>
          <w:sz w:val="24"/>
          <w:szCs w:val="24"/>
        </w:rPr>
        <w:t xml:space="preserve">his or her </w:t>
      </w:r>
      <w:r w:rsidR="00927EF7">
        <w:rPr>
          <w:rFonts w:ascii="Times New Roman" w:hAnsi="Times New Roman" w:cs="Times New Roman"/>
          <w:sz w:val="24"/>
          <w:szCs w:val="24"/>
        </w:rPr>
        <w:t xml:space="preserve">own country in Berlin (580 km). Nevertheless, in dealing with its Italian portfolio company, the German investor has to cope with a different language, a different legal environment, and a different </w:t>
      </w:r>
      <w:r>
        <w:rPr>
          <w:rFonts w:ascii="Times New Roman" w:hAnsi="Times New Roman" w:cs="Times New Roman"/>
          <w:sz w:val="24"/>
          <w:szCs w:val="24"/>
        </w:rPr>
        <w:t xml:space="preserve">business </w:t>
      </w:r>
      <w:r w:rsidR="00927EF7">
        <w:rPr>
          <w:rFonts w:ascii="Times New Roman" w:hAnsi="Times New Roman" w:cs="Times New Roman"/>
          <w:sz w:val="24"/>
          <w:szCs w:val="24"/>
        </w:rPr>
        <w:t xml:space="preserve">culture. </w:t>
      </w:r>
    </w:p>
    <w:p w14:paraId="6BB37819" w14:textId="77777777" w:rsidR="00AF2439" w:rsidRDefault="00AF2439" w:rsidP="009E0A45">
      <w:pPr>
        <w:autoSpaceDE w:val="0"/>
        <w:autoSpaceDN w:val="0"/>
        <w:adjustRightInd w:val="0"/>
        <w:spacing w:after="0" w:line="480" w:lineRule="auto"/>
        <w:contextualSpacing/>
        <w:rPr>
          <w:rFonts w:ascii="Times New Roman" w:hAnsi="Times New Roman" w:cs="Times New Roman"/>
          <w:b/>
          <w:sz w:val="24"/>
          <w:szCs w:val="24"/>
        </w:rPr>
      </w:pPr>
    </w:p>
    <w:p w14:paraId="5F133557" w14:textId="77777777" w:rsidR="000C25F2" w:rsidRPr="005F1FD6" w:rsidRDefault="000C25F2" w:rsidP="009E0A45">
      <w:pPr>
        <w:autoSpaceDE w:val="0"/>
        <w:autoSpaceDN w:val="0"/>
        <w:adjustRightInd w:val="0"/>
        <w:spacing w:after="0" w:line="480" w:lineRule="auto"/>
        <w:contextualSpacing/>
        <w:rPr>
          <w:rFonts w:ascii="Times New Roman" w:hAnsi="Times New Roman" w:cs="Times New Roman"/>
          <w:b/>
          <w:sz w:val="24"/>
          <w:szCs w:val="24"/>
        </w:rPr>
      </w:pPr>
      <w:r w:rsidRPr="005F1FD6">
        <w:rPr>
          <w:rFonts w:ascii="Times New Roman" w:hAnsi="Times New Roman" w:cs="Times New Roman"/>
          <w:b/>
          <w:sz w:val="24"/>
          <w:szCs w:val="24"/>
        </w:rPr>
        <w:t>Sample and data</w:t>
      </w:r>
    </w:p>
    <w:p w14:paraId="7EF237EC" w14:textId="77777777" w:rsidR="00721186" w:rsidRPr="00A618CB" w:rsidRDefault="00005586" w:rsidP="009E0A45">
      <w:pPr>
        <w:spacing w:after="0" w:line="480" w:lineRule="auto"/>
        <w:ind w:firstLine="432"/>
        <w:jc w:val="both"/>
        <w:rPr>
          <w:rFonts w:ascii="Times New Roman" w:hAnsi="Times New Roman" w:cs="Times New Roman"/>
          <w:sz w:val="24"/>
          <w:szCs w:val="24"/>
        </w:rPr>
      </w:pPr>
      <w:r>
        <w:rPr>
          <w:rFonts w:ascii="Times New Roman" w:hAnsi="Times New Roman" w:cs="Times New Roman"/>
          <w:sz w:val="24"/>
          <w:szCs w:val="24"/>
        </w:rPr>
        <w:t>The</w:t>
      </w:r>
      <w:r w:rsidR="00BC49C0" w:rsidRPr="005F1FD6">
        <w:rPr>
          <w:rFonts w:ascii="Times New Roman" w:hAnsi="Times New Roman" w:cs="Times New Roman"/>
          <w:sz w:val="24"/>
          <w:szCs w:val="24"/>
        </w:rPr>
        <w:t xml:space="preserve"> sample</w:t>
      </w:r>
      <w:r w:rsidR="000C25F2" w:rsidRPr="005F1FD6">
        <w:rPr>
          <w:rFonts w:ascii="Times New Roman" w:hAnsi="Times New Roman" w:cs="Times New Roman"/>
          <w:sz w:val="24"/>
          <w:szCs w:val="24"/>
        </w:rPr>
        <w:t xml:space="preserve"> </w:t>
      </w:r>
      <w:r w:rsidR="00BC49C0" w:rsidRPr="005F1FD6">
        <w:rPr>
          <w:rFonts w:ascii="Times New Roman" w:hAnsi="Times New Roman" w:cs="Times New Roman"/>
          <w:sz w:val="24"/>
          <w:szCs w:val="24"/>
        </w:rPr>
        <w:t xml:space="preserve">is drawn from a </w:t>
      </w:r>
      <w:r w:rsidR="002432DD">
        <w:rPr>
          <w:rFonts w:ascii="Times New Roman" w:hAnsi="Times New Roman" w:cs="Times New Roman"/>
          <w:sz w:val="24"/>
          <w:szCs w:val="24"/>
        </w:rPr>
        <w:t>hand-collected</w:t>
      </w:r>
      <w:r w:rsidR="00BC49C0" w:rsidRPr="005F1FD6">
        <w:rPr>
          <w:rFonts w:ascii="Times New Roman" w:hAnsi="Times New Roman" w:cs="Times New Roman"/>
          <w:sz w:val="24"/>
          <w:szCs w:val="24"/>
        </w:rPr>
        <w:t xml:space="preserve"> dataset on European technology companies built by the </w:t>
      </w:r>
      <w:r w:rsidR="00C11023" w:rsidRPr="005F1FD6">
        <w:rPr>
          <w:rFonts w:ascii="Times New Roman" w:hAnsi="Times New Roman" w:cs="Times New Roman"/>
          <w:sz w:val="24"/>
          <w:szCs w:val="24"/>
        </w:rPr>
        <w:t xml:space="preserve">pan-European </w:t>
      </w:r>
      <w:r w:rsidR="00BC49C0" w:rsidRPr="005F1FD6">
        <w:rPr>
          <w:rFonts w:ascii="Times New Roman" w:hAnsi="Times New Roman" w:cs="Times New Roman"/>
          <w:sz w:val="24"/>
          <w:szCs w:val="24"/>
        </w:rPr>
        <w:t>VICO project</w:t>
      </w:r>
      <w:r w:rsidR="00A73432">
        <w:rPr>
          <w:rFonts w:ascii="Times New Roman" w:hAnsi="Times New Roman" w:cs="Times New Roman"/>
          <w:sz w:val="24"/>
          <w:szCs w:val="24"/>
        </w:rPr>
        <w:t xml:space="preserve"> (Bertoni and </w:t>
      </w:r>
      <w:r w:rsidR="008D432E">
        <w:rPr>
          <w:rFonts w:ascii="Times New Roman" w:hAnsi="Times New Roman" w:cs="Times New Roman"/>
          <w:sz w:val="24"/>
          <w:szCs w:val="24"/>
        </w:rPr>
        <w:t xml:space="preserve">Marti </w:t>
      </w:r>
      <w:r w:rsidR="00A73432">
        <w:rPr>
          <w:rFonts w:ascii="Times New Roman" w:hAnsi="Times New Roman" w:cs="Times New Roman"/>
          <w:sz w:val="24"/>
          <w:szCs w:val="24"/>
        </w:rPr>
        <w:t>Pell</w:t>
      </w:r>
      <w:r w:rsidR="00A73432" w:rsidRPr="00977375">
        <w:rPr>
          <w:rFonts w:ascii="Times New Roman" w:hAnsi="Times New Roman" w:cs="Times New Roman"/>
          <w:lang w:val="es-ES_tradnl"/>
        </w:rPr>
        <w:t>ó</w:t>
      </w:r>
      <w:r w:rsidR="00A73432">
        <w:rPr>
          <w:rFonts w:ascii="Times New Roman" w:hAnsi="Times New Roman" w:cs="Times New Roman"/>
          <w:sz w:val="24"/>
          <w:szCs w:val="24"/>
        </w:rPr>
        <w:t>n</w:t>
      </w:r>
      <w:r w:rsidR="000F75BB">
        <w:rPr>
          <w:rFonts w:ascii="Times New Roman" w:hAnsi="Times New Roman" w:cs="Times New Roman"/>
          <w:sz w:val="24"/>
          <w:szCs w:val="24"/>
        </w:rPr>
        <w:t>,</w:t>
      </w:r>
      <w:r w:rsidR="00A73432">
        <w:rPr>
          <w:rFonts w:ascii="Times New Roman" w:hAnsi="Times New Roman" w:cs="Times New Roman"/>
          <w:sz w:val="24"/>
          <w:szCs w:val="24"/>
        </w:rPr>
        <w:t xml:space="preserve"> 2011)</w:t>
      </w:r>
      <w:r w:rsidR="00BC49C0" w:rsidRPr="005F1FD6">
        <w:rPr>
          <w:rFonts w:ascii="Times New Roman" w:hAnsi="Times New Roman" w:cs="Times New Roman"/>
          <w:sz w:val="24"/>
          <w:szCs w:val="24"/>
        </w:rPr>
        <w:t>.</w:t>
      </w:r>
      <w:r w:rsidR="00F93DAD" w:rsidRPr="005F1FD6">
        <w:rPr>
          <w:rFonts w:ascii="Times New Roman" w:hAnsi="Times New Roman" w:cs="Times New Roman"/>
          <w:sz w:val="24"/>
          <w:szCs w:val="24"/>
        </w:rPr>
        <w:t xml:space="preserve"> </w:t>
      </w:r>
      <w:r w:rsidR="00F55961" w:rsidRPr="005F1FD6">
        <w:rPr>
          <w:rFonts w:ascii="Times New Roman" w:hAnsi="Times New Roman" w:cs="Times New Roman"/>
          <w:sz w:val="24"/>
          <w:szCs w:val="24"/>
        </w:rPr>
        <w:t xml:space="preserve">VC-backed companies were identified </w:t>
      </w:r>
      <w:r w:rsidR="00721186">
        <w:rPr>
          <w:rFonts w:ascii="Times New Roman" w:hAnsi="Times New Roman" w:cs="Times New Roman"/>
          <w:sz w:val="24"/>
          <w:szCs w:val="24"/>
        </w:rPr>
        <w:t xml:space="preserve">by local research teams, as no single commercial database provided an unbiased sample of European VC backed companies </w:t>
      </w:r>
      <w:r w:rsidR="00714622">
        <w:rPr>
          <w:rFonts w:ascii="Times New Roman" w:hAnsi="Times New Roman" w:cs="Times New Roman"/>
          <w:sz w:val="24"/>
          <w:szCs w:val="24"/>
        </w:rPr>
        <w:t>covering</w:t>
      </w:r>
      <w:r w:rsidR="00721186">
        <w:rPr>
          <w:rFonts w:ascii="Times New Roman" w:hAnsi="Times New Roman" w:cs="Times New Roman"/>
          <w:sz w:val="24"/>
          <w:szCs w:val="24"/>
        </w:rPr>
        <w:t xml:space="preserve"> the </w:t>
      </w:r>
      <w:r w:rsidR="00714622">
        <w:rPr>
          <w:rFonts w:ascii="Times New Roman" w:hAnsi="Times New Roman" w:cs="Times New Roman"/>
          <w:sz w:val="24"/>
          <w:szCs w:val="24"/>
        </w:rPr>
        <w:t>period of analysis</w:t>
      </w:r>
      <w:r w:rsidR="00721186">
        <w:rPr>
          <w:rFonts w:ascii="Times New Roman" w:hAnsi="Times New Roman" w:cs="Times New Roman"/>
          <w:sz w:val="24"/>
          <w:szCs w:val="24"/>
        </w:rPr>
        <w:t xml:space="preserve">. Therefore, </w:t>
      </w:r>
      <w:r w:rsidR="00721186" w:rsidRPr="00A618CB">
        <w:rPr>
          <w:rFonts w:ascii="Times New Roman" w:hAnsi="Times New Roman" w:cs="Times New Roman"/>
          <w:sz w:val="24"/>
          <w:szCs w:val="24"/>
        </w:rPr>
        <w:t>local sources of information w</w:t>
      </w:r>
      <w:r w:rsidR="00036369">
        <w:rPr>
          <w:rFonts w:ascii="Times New Roman" w:hAnsi="Times New Roman" w:cs="Times New Roman"/>
          <w:sz w:val="24"/>
          <w:szCs w:val="24"/>
        </w:rPr>
        <w:t>ere</w:t>
      </w:r>
      <w:r w:rsidR="00721186" w:rsidRPr="00A618CB">
        <w:rPr>
          <w:rFonts w:ascii="Times New Roman" w:hAnsi="Times New Roman" w:cs="Times New Roman"/>
          <w:sz w:val="24"/>
          <w:szCs w:val="24"/>
        </w:rPr>
        <w:t xml:space="preserve"> crucial in the data collection process, and an in-depth country-specific knowledge was essential for the quality of the outcome.</w:t>
      </w:r>
      <w:r w:rsidR="00721186" w:rsidRPr="004E23F8">
        <w:rPr>
          <w:rFonts w:ascii="Times New Roman" w:hAnsi="Times New Roman" w:cs="Times New Roman"/>
          <w:sz w:val="24"/>
          <w:szCs w:val="24"/>
        </w:rPr>
        <w:t xml:space="preserve"> </w:t>
      </w:r>
      <w:r w:rsidR="00721186" w:rsidRPr="00A618CB">
        <w:rPr>
          <w:rFonts w:ascii="Times New Roman" w:hAnsi="Times New Roman" w:cs="Times New Roman"/>
          <w:sz w:val="24"/>
          <w:szCs w:val="24"/>
        </w:rPr>
        <w:t>Data</w:t>
      </w:r>
      <w:r w:rsidR="00721186" w:rsidRPr="00A618CB">
        <w:rPr>
          <w:rFonts w:ascii="Times New Roman" w:eastAsia="Times New Roman" w:hAnsi="Times New Roman" w:cs="Times New Roman"/>
          <w:sz w:val="24"/>
          <w:szCs w:val="24"/>
        </w:rPr>
        <w:t xml:space="preserve"> </w:t>
      </w:r>
      <w:r w:rsidR="00721186" w:rsidRPr="00A618CB">
        <w:rPr>
          <w:rFonts w:ascii="Times New Roman" w:hAnsi="Times New Roman" w:cs="Times New Roman"/>
          <w:sz w:val="24"/>
          <w:szCs w:val="24"/>
        </w:rPr>
        <w:t xml:space="preserve">were first </w:t>
      </w:r>
      <w:r w:rsidR="00721186" w:rsidRPr="00A618CB">
        <w:rPr>
          <w:rFonts w:ascii="Times New Roman" w:eastAsia="Times New Roman" w:hAnsi="Times New Roman" w:cs="Times New Roman"/>
          <w:sz w:val="24"/>
          <w:szCs w:val="24"/>
        </w:rPr>
        <w:t xml:space="preserve">checked for reliability and </w:t>
      </w:r>
      <w:r w:rsidR="00721186" w:rsidRPr="00A618CB">
        <w:rPr>
          <w:rFonts w:ascii="Times New Roman" w:eastAsia="Times New Roman" w:hAnsi="Times New Roman" w:cs="Times New Roman"/>
          <w:sz w:val="24"/>
          <w:szCs w:val="24"/>
        </w:rPr>
        <w:lastRenderedPageBreak/>
        <w:t xml:space="preserve">internal consistency by each </w:t>
      </w:r>
      <w:r w:rsidR="00721186" w:rsidRPr="00A618CB">
        <w:rPr>
          <w:rFonts w:ascii="Times New Roman" w:hAnsi="Times New Roman" w:cs="Times New Roman"/>
          <w:sz w:val="24"/>
          <w:szCs w:val="24"/>
        </w:rPr>
        <w:t xml:space="preserve">local </w:t>
      </w:r>
      <w:r w:rsidR="00721186" w:rsidRPr="00A618CB">
        <w:rPr>
          <w:rFonts w:ascii="Times New Roman" w:eastAsia="Times New Roman" w:hAnsi="Times New Roman" w:cs="Times New Roman"/>
          <w:sz w:val="24"/>
          <w:szCs w:val="24"/>
        </w:rPr>
        <w:t>team</w:t>
      </w:r>
      <w:r w:rsidR="00721186" w:rsidRPr="00A618CB">
        <w:rPr>
          <w:rFonts w:ascii="Times New Roman" w:hAnsi="Times New Roman" w:cs="Times New Roman"/>
          <w:sz w:val="24"/>
          <w:szCs w:val="24"/>
        </w:rPr>
        <w:t>.</w:t>
      </w:r>
      <w:r w:rsidR="00721186" w:rsidRPr="00A618CB">
        <w:rPr>
          <w:rFonts w:ascii="Times New Roman" w:eastAsia="Times New Roman" w:hAnsi="Times New Roman" w:cs="Times New Roman"/>
          <w:sz w:val="24"/>
          <w:szCs w:val="24"/>
        </w:rPr>
        <w:t xml:space="preserve"> </w:t>
      </w:r>
      <w:r w:rsidR="00721186" w:rsidRPr="00A618CB">
        <w:rPr>
          <w:rFonts w:ascii="Times New Roman" w:hAnsi="Times New Roman" w:cs="Times New Roman"/>
          <w:sz w:val="24"/>
          <w:szCs w:val="24"/>
        </w:rPr>
        <w:t>Then data were</w:t>
      </w:r>
      <w:r w:rsidR="00721186" w:rsidRPr="00A618CB">
        <w:rPr>
          <w:rFonts w:ascii="Times New Roman" w:eastAsia="Times New Roman" w:hAnsi="Times New Roman" w:cs="Times New Roman"/>
          <w:sz w:val="24"/>
          <w:szCs w:val="24"/>
        </w:rPr>
        <w:t xml:space="preserve"> regularly sent to a central data collection unit which ensured that information across countries was consistent and comparable</w:t>
      </w:r>
      <w:r w:rsidR="00721186" w:rsidRPr="00A618CB">
        <w:rPr>
          <w:rFonts w:ascii="Times New Roman" w:hAnsi="Times New Roman" w:cs="Times New Roman"/>
          <w:sz w:val="24"/>
          <w:szCs w:val="24"/>
        </w:rPr>
        <w:t>. This two-tier structure allowed the early solution of problems. For instance, particular importance was given to the consistency</w:t>
      </w:r>
      <w:r w:rsidR="00D81D6E" w:rsidRPr="00A618CB">
        <w:rPr>
          <w:rFonts w:ascii="Times New Roman" w:hAnsi="Times New Roman" w:cs="Times New Roman"/>
          <w:sz w:val="24"/>
          <w:szCs w:val="24"/>
        </w:rPr>
        <w:t xml:space="preserve"> of the sample frame and</w:t>
      </w:r>
      <w:r w:rsidR="00721186" w:rsidRPr="00A618CB">
        <w:rPr>
          <w:rFonts w:ascii="Times New Roman" w:hAnsi="Times New Roman" w:cs="Times New Roman"/>
          <w:sz w:val="24"/>
          <w:szCs w:val="24"/>
        </w:rPr>
        <w:t xml:space="preserve"> in the definitions of accounting variables across countries.</w:t>
      </w:r>
      <w:r w:rsidR="008C1D1D" w:rsidRPr="00A618CB">
        <w:rPr>
          <w:rStyle w:val="FootnoteReference"/>
          <w:rFonts w:ascii="Times New Roman" w:hAnsi="Times New Roman" w:cs="Times New Roman"/>
          <w:sz w:val="24"/>
          <w:szCs w:val="24"/>
        </w:rPr>
        <w:footnoteReference w:id="2"/>
      </w:r>
      <w:r w:rsidR="00721186" w:rsidRPr="00A618CB">
        <w:rPr>
          <w:rFonts w:ascii="Times New Roman" w:hAnsi="Times New Roman" w:cs="Times New Roman"/>
          <w:sz w:val="24"/>
          <w:szCs w:val="24"/>
        </w:rPr>
        <w:t xml:space="preserve"> </w:t>
      </w:r>
    </w:p>
    <w:p w14:paraId="2D585976" w14:textId="72C2066C" w:rsidR="0040675D" w:rsidRDefault="007932B1" w:rsidP="009E0A45">
      <w:pPr>
        <w:spacing w:after="0" w:line="480" w:lineRule="auto"/>
        <w:ind w:firstLine="432"/>
        <w:jc w:val="both"/>
        <w:rPr>
          <w:rFonts w:ascii="Times New Roman" w:hAnsi="Times New Roman" w:cs="Times New Roman"/>
          <w:sz w:val="24"/>
          <w:szCs w:val="24"/>
        </w:rPr>
      </w:pPr>
      <w:r>
        <w:rPr>
          <w:rFonts w:ascii="Times New Roman" w:hAnsi="Times New Roman" w:cs="Times New Roman"/>
          <w:sz w:val="24"/>
          <w:szCs w:val="24"/>
        </w:rPr>
        <w:t>The research team identified 684 VC-backed companies t</w:t>
      </w:r>
      <w:r w:rsidR="00F55961" w:rsidRPr="005F1FD6">
        <w:rPr>
          <w:rFonts w:ascii="Times New Roman" w:hAnsi="Times New Roman" w:cs="Times New Roman"/>
          <w:sz w:val="24"/>
          <w:szCs w:val="24"/>
        </w:rPr>
        <w:t xml:space="preserve">hrough </w:t>
      </w:r>
      <w:r w:rsidR="00C349C7">
        <w:rPr>
          <w:rFonts w:ascii="Times New Roman" w:hAnsi="Times New Roman" w:cs="Times New Roman"/>
          <w:sz w:val="24"/>
          <w:szCs w:val="24"/>
        </w:rPr>
        <w:t>a variety of secondary sources, including</w:t>
      </w:r>
      <w:r w:rsidR="00C349C7" w:rsidRPr="005F1FD6">
        <w:rPr>
          <w:rFonts w:ascii="Times New Roman" w:hAnsi="Times New Roman" w:cs="Times New Roman"/>
          <w:sz w:val="24"/>
          <w:szCs w:val="24"/>
        </w:rPr>
        <w:t xml:space="preserve"> commercial databases </w:t>
      </w:r>
      <w:r w:rsidR="00C349C7">
        <w:rPr>
          <w:rFonts w:ascii="Times New Roman" w:hAnsi="Times New Roman" w:cs="Times New Roman"/>
          <w:sz w:val="24"/>
          <w:szCs w:val="24"/>
        </w:rPr>
        <w:t>V</w:t>
      </w:r>
      <w:r w:rsidR="00C349C7" w:rsidRPr="005F1FD6">
        <w:rPr>
          <w:rFonts w:ascii="Times New Roman" w:hAnsi="Times New Roman" w:cs="Times New Roman"/>
          <w:sz w:val="24"/>
          <w:szCs w:val="24"/>
        </w:rPr>
        <w:t>entureXpert</w:t>
      </w:r>
      <w:r w:rsidR="00C349C7">
        <w:rPr>
          <w:rFonts w:ascii="Times New Roman" w:hAnsi="Times New Roman" w:cs="Times New Roman"/>
          <w:sz w:val="24"/>
          <w:szCs w:val="24"/>
        </w:rPr>
        <w:t xml:space="preserve">, </w:t>
      </w:r>
      <w:r w:rsidR="00C349C7" w:rsidRPr="005F1FD6">
        <w:rPr>
          <w:rFonts w:ascii="Times New Roman" w:hAnsi="Times New Roman" w:cs="Times New Roman"/>
          <w:sz w:val="24"/>
          <w:szCs w:val="24"/>
        </w:rPr>
        <w:t>Zephyr</w:t>
      </w:r>
      <w:r w:rsidR="00C349C7">
        <w:rPr>
          <w:rFonts w:ascii="Times New Roman" w:hAnsi="Times New Roman" w:cs="Times New Roman"/>
          <w:sz w:val="24"/>
          <w:szCs w:val="24"/>
        </w:rPr>
        <w:t>,</w:t>
      </w:r>
      <w:r w:rsidR="00C349C7" w:rsidRPr="00E43437">
        <w:rPr>
          <w:rFonts w:ascii="Times New Roman" w:hAnsi="Times New Roman" w:cs="Times New Roman"/>
          <w:sz w:val="24"/>
          <w:szCs w:val="24"/>
        </w:rPr>
        <w:t xml:space="preserve"> </w:t>
      </w:r>
      <w:r w:rsidR="00C349C7">
        <w:rPr>
          <w:rFonts w:ascii="Times New Roman" w:hAnsi="Times New Roman" w:cs="Times New Roman"/>
          <w:sz w:val="24"/>
          <w:szCs w:val="24"/>
        </w:rPr>
        <w:t xml:space="preserve">Factiva, Mediargus, Google News, </w:t>
      </w:r>
      <w:r>
        <w:rPr>
          <w:rFonts w:ascii="Times New Roman" w:hAnsi="Times New Roman" w:cs="Times New Roman"/>
          <w:sz w:val="24"/>
          <w:szCs w:val="24"/>
        </w:rPr>
        <w:t xml:space="preserve">but also </w:t>
      </w:r>
      <w:r w:rsidR="00C349C7" w:rsidRPr="005F1FD6">
        <w:rPr>
          <w:rFonts w:ascii="Times New Roman" w:hAnsi="Times New Roman" w:cs="Times New Roman"/>
          <w:sz w:val="24"/>
          <w:szCs w:val="24"/>
        </w:rPr>
        <w:t>through VC firms’ and portfolio companies’ websites</w:t>
      </w:r>
      <w:r w:rsidR="00C349C7">
        <w:rPr>
          <w:rFonts w:ascii="Times New Roman" w:hAnsi="Times New Roman" w:cs="Times New Roman"/>
          <w:sz w:val="24"/>
          <w:szCs w:val="24"/>
        </w:rPr>
        <w:t>,</w:t>
      </w:r>
      <w:r w:rsidR="00C349C7" w:rsidRPr="005F1FD6">
        <w:rPr>
          <w:rFonts w:ascii="Times New Roman" w:hAnsi="Times New Roman" w:cs="Times New Roman"/>
          <w:sz w:val="24"/>
          <w:szCs w:val="24"/>
        </w:rPr>
        <w:t xml:space="preserve"> press releases</w:t>
      </w:r>
      <w:r w:rsidR="00C349C7">
        <w:rPr>
          <w:rFonts w:ascii="Times New Roman" w:hAnsi="Times New Roman" w:cs="Times New Roman"/>
          <w:sz w:val="24"/>
          <w:szCs w:val="24"/>
        </w:rPr>
        <w:t>, newspapers and official law gazettes</w:t>
      </w:r>
      <w:r w:rsidR="00F55961" w:rsidRPr="005F1FD6">
        <w:rPr>
          <w:rFonts w:ascii="Times New Roman" w:hAnsi="Times New Roman" w:cs="Times New Roman"/>
          <w:sz w:val="24"/>
          <w:szCs w:val="24"/>
        </w:rPr>
        <w:t xml:space="preserve">. </w:t>
      </w:r>
      <w:r>
        <w:rPr>
          <w:rFonts w:ascii="Times New Roman" w:hAnsi="Times New Roman" w:cs="Times New Roman"/>
          <w:sz w:val="24"/>
          <w:szCs w:val="24"/>
        </w:rPr>
        <w:t>All</w:t>
      </w:r>
      <w:r w:rsidR="00C349C7" w:rsidRPr="005F1FD6">
        <w:rPr>
          <w:rFonts w:ascii="Times New Roman" w:hAnsi="Times New Roman" w:cs="Times New Roman"/>
          <w:sz w:val="24"/>
          <w:szCs w:val="24"/>
        </w:rPr>
        <w:t xml:space="preserve"> portfolio companies </w:t>
      </w:r>
      <w:r>
        <w:rPr>
          <w:rFonts w:ascii="Times New Roman" w:hAnsi="Times New Roman" w:cs="Times New Roman"/>
          <w:sz w:val="24"/>
          <w:szCs w:val="24"/>
        </w:rPr>
        <w:t xml:space="preserve">were </w:t>
      </w:r>
      <w:r w:rsidR="00C349C7" w:rsidRPr="005F1FD6">
        <w:rPr>
          <w:rFonts w:ascii="Times New Roman" w:hAnsi="Times New Roman" w:cs="Times New Roman"/>
          <w:sz w:val="24"/>
          <w:szCs w:val="24"/>
        </w:rPr>
        <w:t xml:space="preserve">founded in one of seven European countries, </w:t>
      </w:r>
      <w:r w:rsidR="00C349C7">
        <w:rPr>
          <w:rFonts w:ascii="Times New Roman" w:hAnsi="Times New Roman" w:cs="Times New Roman"/>
          <w:sz w:val="24"/>
          <w:szCs w:val="24"/>
        </w:rPr>
        <w:t>comprisin</w:t>
      </w:r>
      <w:r w:rsidR="00C349C7" w:rsidRPr="005F1FD6">
        <w:rPr>
          <w:rFonts w:ascii="Times New Roman" w:hAnsi="Times New Roman" w:cs="Times New Roman"/>
          <w:sz w:val="24"/>
          <w:szCs w:val="24"/>
        </w:rPr>
        <w:t>g Belgium, Finland, France, Germany, Italy, Spain and the United Kingdom.</w:t>
      </w:r>
      <w:r w:rsidR="004E23F8">
        <w:rPr>
          <w:rFonts w:ascii="Times New Roman" w:hAnsi="Times New Roman" w:cs="Times New Roman"/>
          <w:sz w:val="24"/>
          <w:szCs w:val="24"/>
        </w:rPr>
        <w:t xml:space="preserve"> These countries were selected to </w:t>
      </w:r>
      <w:r w:rsidR="004E23F8" w:rsidRPr="00A618CB">
        <w:rPr>
          <w:rFonts w:ascii="Times New Roman" w:hAnsi="Times New Roman" w:cs="Times New Roman"/>
          <w:sz w:val="24"/>
          <w:szCs w:val="24"/>
        </w:rPr>
        <w:t>enable us to study VC decision making behavior in environments with different levels of VC maturity</w:t>
      </w:r>
      <w:r w:rsidR="004E23F8">
        <w:rPr>
          <w:rFonts w:ascii="Times New Roman" w:hAnsi="Times New Roman" w:cs="Times New Roman"/>
          <w:sz w:val="24"/>
          <w:szCs w:val="24"/>
        </w:rPr>
        <w:t xml:space="preserve">. </w:t>
      </w:r>
      <w:r w:rsidR="00C349C7">
        <w:rPr>
          <w:rFonts w:ascii="Times New Roman" w:hAnsi="Times New Roman" w:cs="Times New Roman"/>
          <w:sz w:val="24"/>
          <w:szCs w:val="24"/>
        </w:rPr>
        <w:t>S</w:t>
      </w:r>
      <w:r w:rsidR="00C349C7" w:rsidRPr="005F1FD6">
        <w:rPr>
          <w:rFonts w:ascii="Times New Roman" w:hAnsi="Times New Roman" w:cs="Times New Roman"/>
          <w:sz w:val="24"/>
          <w:szCs w:val="24"/>
        </w:rPr>
        <w:t xml:space="preserve">ample companies received initial VC financing </w:t>
      </w:r>
      <w:r w:rsidR="00C20FDC">
        <w:rPr>
          <w:rFonts w:ascii="Times New Roman" w:hAnsi="Times New Roman" w:cs="Times New Roman"/>
          <w:sz w:val="24"/>
          <w:szCs w:val="24"/>
        </w:rPr>
        <w:t>during</w:t>
      </w:r>
      <w:r w:rsidR="00C349C7" w:rsidRPr="005F1FD6">
        <w:rPr>
          <w:rFonts w:ascii="Times New Roman" w:hAnsi="Times New Roman" w:cs="Times New Roman"/>
          <w:sz w:val="24"/>
          <w:szCs w:val="24"/>
        </w:rPr>
        <w:t xml:space="preserve"> 1994</w:t>
      </w:r>
      <w:r w:rsidR="00C20FDC">
        <w:rPr>
          <w:rFonts w:ascii="Times New Roman" w:hAnsi="Times New Roman" w:cs="Times New Roman"/>
          <w:sz w:val="24"/>
          <w:szCs w:val="24"/>
        </w:rPr>
        <w:t>-</w:t>
      </w:r>
      <w:r w:rsidR="00C349C7" w:rsidRPr="005F1FD6">
        <w:rPr>
          <w:rFonts w:ascii="Times New Roman" w:hAnsi="Times New Roman" w:cs="Times New Roman"/>
          <w:sz w:val="24"/>
          <w:szCs w:val="24"/>
        </w:rPr>
        <w:t>2004</w:t>
      </w:r>
      <w:r w:rsidR="00C349C7">
        <w:rPr>
          <w:rFonts w:ascii="Times New Roman" w:hAnsi="Times New Roman" w:cs="Times New Roman"/>
          <w:sz w:val="24"/>
          <w:szCs w:val="24"/>
        </w:rPr>
        <w:t xml:space="preserve"> and were followed through 2011, </w:t>
      </w:r>
      <w:r w:rsidR="00C349C7" w:rsidRPr="005F1FD6">
        <w:rPr>
          <w:rFonts w:ascii="Times New Roman" w:hAnsi="Times New Roman" w:cs="Times New Roman"/>
          <w:sz w:val="24"/>
          <w:szCs w:val="24"/>
        </w:rPr>
        <w:t>ensur</w:t>
      </w:r>
      <w:r w:rsidR="00C349C7">
        <w:rPr>
          <w:rFonts w:ascii="Times New Roman" w:hAnsi="Times New Roman" w:cs="Times New Roman"/>
          <w:sz w:val="24"/>
          <w:szCs w:val="24"/>
        </w:rPr>
        <w:t>ing</w:t>
      </w:r>
      <w:r w:rsidR="00C349C7" w:rsidRPr="005F1FD6">
        <w:rPr>
          <w:rFonts w:ascii="Times New Roman" w:hAnsi="Times New Roman" w:cs="Times New Roman"/>
          <w:sz w:val="24"/>
          <w:szCs w:val="24"/>
        </w:rPr>
        <w:t xml:space="preserve"> a variety of investment periods are included in the sample. All companies were independent at start-up and</w:t>
      </w:r>
      <w:r w:rsidR="00C349C7">
        <w:rPr>
          <w:rFonts w:ascii="Times New Roman" w:hAnsi="Times New Roman" w:cs="Times New Roman"/>
          <w:sz w:val="24"/>
          <w:szCs w:val="24"/>
        </w:rPr>
        <w:t xml:space="preserve"> a </w:t>
      </w:r>
      <w:r w:rsidR="00C349C7" w:rsidRPr="005F1FD6">
        <w:rPr>
          <w:rFonts w:ascii="Times New Roman" w:hAnsi="Times New Roman" w:cs="Times New Roman"/>
          <w:sz w:val="24"/>
          <w:szCs w:val="24"/>
        </w:rPr>
        <w:t xml:space="preserve">maximum 10 years </w:t>
      </w:r>
      <w:r w:rsidR="00C349C7">
        <w:rPr>
          <w:rFonts w:ascii="Times New Roman" w:hAnsi="Times New Roman" w:cs="Times New Roman"/>
          <w:sz w:val="24"/>
          <w:szCs w:val="24"/>
        </w:rPr>
        <w:t>old when first raising VC</w:t>
      </w:r>
      <w:r w:rsidR="00C349C7" w:rsidRPr="005F1FD6">
        <w:rPr>
          <w:rFonts w:ascii="Times New Roman" w:hAnsi="Times New Roman" w:cs="Times New Roman"/>
          <w:sz w:val="24"/>
          <w:szCs w:val="24"/>
        </w:rPr>
        <w:t xml:space="preserve">. </w:t>
      </w:r>
      <w:r w:rsidR="00C349C7">
        <w:rPr>
          <w:rFonts w:ascii="Times New Roman" w:hAnsi="Times New Roman" w:cs="Times New Roman"/>
          <w:sz w:val="24"/>
          <w:szCs w:val="24"/>
        </w:rPr>
        <w:t>Some 44%</w:t>
      </w:r>
      <w:r w:rsidR="00C349C7" w:rsidRPr="005F1FD6">
        <w:rPr>
          <w:rFonts w:ascii="Times New Roman" w:hAnsi="Times New Roman" w:cs="Times New Roman"/>
          <w:sz w:val="24"/>
          <w:szCs w:val="24"/>
        </w:rPr>
        <w:t xml:space="preserve"> of portfolio companies were founded between 1998 and 2000, 35% between 1986 and 1997 and 21% between 2001 and 2004. The most important industry is software (34%), followed by biotechnology (18%) and ICT manufacturing (16%). </w:t>
      </w:r>
      <w:r w:rsidR="00C349C7">
        <w:rPr>
          <w:rFonts w:ascii="Times New Roman" w:hAnsi="Times New Roman" w:cs="Times New Roman"/>
          <w:sz w:val="24"/>
          <w:szCs w:val="24"/>
        </w:rPr>
        <w:t>Over 25% of sample companies come from the U.K., 19% from Germany, 16% from France and 13% from Italy. Belgian companies represent 12% of the sample and Spanish and Finnish companies approximately 8%.</w:t>
      </w:r>
      <w:r w:rsidR="00C349C7" w:rsidRPr="005F1FD6">
        <w:rPr>
          <w:rFonts w:ascii="Times New Roman" w:hAnsi="Times New Roman" w:cs="Times New Roman"/>
          <w:sz w:val="24"/>
          <w:szCs w:val="24"/>
        </w:rPr>
        <w:t xml:space="preserve"> </w:t>
      </w:r>
    </w:p>
    <w:p w14:paraId="316CE01B" w14:textId="77777777" w:rsidR="00C349C7" w:rsidRDefault="0040675D" w:rsidP="009E0A45">
      <w:pPr>
        <w:spacing w:after="0" w:line="480" w:lineRule="auto"/>
        <w:ind w:firstLine="432"/>
        <w:jc w:val="both"/>
        <w:rPr>
          <w:rFonts w:ascii="Times New Roman" w:hAnsi="Times New Roman" w:cs="Times New Roman"/>
          <w:sz w:val="24"/>
          <w:szCs w:val="24"/>
        </w:rPr>
      </w:pPr>
      <w:r w:rsidRPr="005F1FD6">
        <w:rPr>
          <w:rFonts w:ascii="Times New Roman" w:hAnsi="Times New Roman" w:cs="Times New Roman"/>
          <w:sz w:val="24"/>
          <w:szCs w:val="24"/>
        </w:rPr>
        <w:lastRenderedPageBreak/>
        <w:t>Our sample contains longitudinal data on 1618 unique</w:t>
      </w:r>
      <w:r>
        <w:rPr>
          <w:rFonts w:ascii="Times New Roman" w:hAnsi="Times New Roman" w:cs="Times New Roman"/>
          <w:sz w:val="24"/>
          <w:szCs w:val="24"/>
        </w:rPr>
        <w:t xml:space="preserve"> VC investment</w:t>
      </w:r>
      <w:r w:rsidRPr="005F1FD6">
        <w:rPr>
          <w:rFonts w:ascii="Times New Roman" w:hAnsi="Times New Roman" w:cs="Times New Roman"/>
          <w:sz w:val="24"/>
          <w:szCs w:val="24"/>
        </w:rPr>
        <w:t xml:space="preserve"> rounds by 1060 </w:t>
      </w:r>
      <w:r>
        <w:rPr>
          <w:rFonts w:ascii="Times New Roman" w:hAnsi="Times New Roman" w:cs="Times New Roman"/>
          <w:sz w:val="24"/>
          <w:szCs w:val="24"/>
        </w:rPr>
        <w:t xml:space="preserve">different </w:t>
      </w:r>
      <w:r w:rsidRPr="005F1FD6">
        <w:rPr>
          <w:rFonts w:ascii="Times New Roman" w:hAnsi="Times New Roman" w:cs="Times New Roman"/>
          <w:sz w:val="24"/>
          <w:szCs w:val="24"/>
        </w:rPr>
        <w:t>VC firms</w:t>
      </w:r>
      <w:r>
        <w:rPr>
          <w:rFonts w:ascii="Times New Roman" w:hAnsi="Times New Roman" w:cs="Times New Roman"/>
          <w:sz w:val="24"/>
          <w:szCs w:val="24"/>
        </w:rPr>
        <w:t>.</w:t>
      </w:r>
      <w:r w:rsidRPr="005F1FD6">
        <w:rPr>
          <w:rFonts w:ascii="Times New Roman" w:hAnsi="Times New Roman" w:cs="Times New Roman"/>
          <w:sz w:val="24"/>
          <w:szCs w:val="24"/>
        </w:rPr>
        <w:t xml:space="preserve"> </w:t>
      </w:r>
      <w:r w:rsidR="00C349C7" w:rsidRPr="005F1FD6">
        <w:rPr>
          <w:rFonts w:ascii="Times New Roman" w:hAnsi="Times New Roman" w:cs="Times New Roman"/>
          <w:sz w:val="24"/>
          <w:szCs w:val="24"/>
        </w:rPr>
        <w:t xml:space="preserve">The average number of investment rounds a portfolio company receives is relatively constant over time and industries. Each portfolio company received an average of 2.37 </w:t>
      </w:r>
      <w:r w:rsidR="00C349C7">
        <w:rPr>
          <w:rFonts w:ascii="Times New Roman" w:hAnsi="Times New Roman" w:cs="Times New Roman"/>
          <w:sz w:val="24"/>
          <w:szCs w:val="24"/>
        </w:rPr>
        <w:t>VC</w:t>
      </w:r>
      <w:r w:rsidR="00C349C7" w:rsidRPr="005F1FD6">
        <w:rPr>
          <w:rFonts w:ascii="Times New Roman" w:hAnsi="Times New Roman" w:cs="Times New Roman"/>
          <w:sz w:val="24"/>
          <w:szCs w:val="24"/>
        </w:rPr>
        <w:t xml:space="preserve"> rounds</w:t>
      </w:r>
      <w:r w:rsidR="00C349C7">
        <w:rPr>
          <w:rStyle w:val="FootnoteReference"/>
          <w:rFonts w:ascii="Times New Roman" w:hAnsi="Times New Roman" w:cs="Times New Roman"/>
          <w:sz w:val="24"/>
          <w:szCs w:val="24"/>
        </w:rPr>
        <w:footnoteReference w:id="3"/>
      </w:r>
      <w:r w:rsidR="00D54104">
        <w:rPr>
          <w:rFonts w:ascii="Times New Roman" w:hAnsi="Times New Roman" w:cs="Times New Roman"/>
          <w:sz w:val="24"/>
          <w:szCs w:val="24"/>
        </w:rPr>
        <w:t>.</w:t>
      </w:r>
      <w:r w:rsidR="00C349C7" w:rsidRPr="005F1FD6">
        <w:rPr>
          <w:rFonts w:ascii="Times New Roman" w:hAnsi="Times New Roman" w:cs="Times New Roman"/>
          <w:sz w:val="24"/>
          <w:szCs w:val="24"/>
        </w:rPr>
        <w:t xml:space="preserve"> </w:t>
      </w:r>
    </w:p>
    <w:p w14:paraId="38DE364A" w14:textId="77777777" w:rsidR="00FC761C" w:rsidRDefault="00FC761C" w:rsidP="009E0A45">
      <w:pPr>
        <w:autoSpaceDE w:val="0"/>
        <w:autoSpaceDN w:val="0"/>
        <w:adjustRightInd w:val="0"/>
        <w:spacing w:after="0" w:line="240" w:lineRule="auto"/>
        <w:ind w:firstLine="432"/>
        <w:jc w:val="center"/>
        <w:rPr>
          <w:rFonts w:ascii="Melior" w:hAnsi="Melior" w:cs="Melior"/>
          <w:sz w:val="18"/>
          <w:szCs w:val="18"/>
        </w:rPr>
      </w:pPr>
      <w:r>
        <w:rPr>
          <w:rFonts w:ascii="Melior" w:hAnsi="Melior" w:cs="Melior"/>
          <w:sz w:val="18"/>
          <w:szCs w:val="18"/>
        </w:rPr>
        <w:t>------------------------------------</w:t>
      </w:r>
      <w:r w:rsidR="00063B38">
        <w:rPr>
          <w:rFonts w:ascii="Melior" w:hAnsi="Melior" w:cs="Melior"/>
          <w:sz w:val="18"/>
          <w:szCs w:val="18"/>
        </w:rPr>
        <w:t>-----</w:t>
      </w:r>
    </w:p>
    <w:p w14:paraId="3FD57D7D" w14:textId="77777777" w:rsidR="00FC761C" w:rsidRPr="00FC761C" w:rsidRDefault="00FC761C" w:rsidP="009E0A45">
      <w:pPr>
        <w:autoSpaceDE w:val="0"/>
        <w:autoSpaceDN w:val="0"/>
        <w:adjustRightInd w:val="0"/>
        <w:spacing w:after="0" w:line="240" w:lineRule="auto"/>
        <w:ind w:firstLine="432"/>
        <w:jc w:val="center"/>
        <w:rPr>
          <w:rFonts w:ascii="Times New Roman" w:hAnsi="Times New Roman" w:cs="Times New Roman"/>
          <w:sz w:val="24"/>
          <w:szCs w:val="24"/>
        </w:rPr>
      </w:pPr>
      <w:r w:rsidRPr="00FC761C">
        <w:rPr>
          <w:rFonts w:ascii="Times New Roman" w:hAnsi="Times New Roman" w:cs="Times New Roman"/>
          <w:sz w:val="24"/>
          <w:szCs w:val="24"/>
        </w:rPr>
        <w:t xml:space="preserve">Insert Table </w:t>
      </w:r>
      <w:r>
        <w:rPr>
          <w:rFonts w:ascii="Times New Roman" w:hAnsi="Times New Roman" w:cs="Times New Roman"/>
          <w:sz w:val="24"/>
          <w:szCs w:val="24"/>
        </w:rPr>
        <w:t>2</w:t>
      </w:r>
      <w:r w:rsidRPr="00FC761C">
        <w:rPr>
          <w:rFonts w:ascii="Times New Roman" w:hAnsi="Times New Roman" w:cs="Times New Roman"/>
          <w:sz w:val="24"/>
          <w:szCs w:val="24"/>
        </w:rPr>
        <w:t xml:space="preserve"> about here</w:t>
      </w:r>
    </w:p>
    <w:p w14:paraId="7C3BFE9F" w14:textId="77777777" w:rsidR="00FC761C" w:rsidRPr="00FC761C" w:rsidRDefault="00FC761C" w:rsidP="009E0A45">
      <w:pPr>
        <w:autoSpaceDE w:val="0"/>
        <w:autoSpaceDN w:val="0"/>
        <w:adjustRightInd w:val="0"/>
        <w:spacing w:after="0" w:line="480" w:lineRule="auto"/>
        <w:ind w:firstLine="432"/>
        <w:contextualSpacing/>
        <w:jc w:val="center"/>
        <w:rPr>
          <w:rFonts w:ascii="Times New Roman" w:hAnsi="Times New Roman" w:cs="Times New Roman"/>
          <w:sz w:val="24"/>
          <w:szCs w:val="24"/>
          <w:u w:val="dotted"/>
        </w:rPr>
      </w:pPr>
      <w:r>
        <w:rPr>
          <w:rFonts w:ascii="Melior" w:hAnsi="Melior" w:cs="Melior"/>
          <w:sz w:val="18"/>
          <w:szCs w:val="18"/>
        </w:rPr>
        <w:t>------------------------------------</w:t>
      </w:r>
      <w:r w:rsidR="00063B38">
        <w:rPr>
          <w:rFonts w:ascii="Melior" w:hAnsi="Melior" w:cs="Melior"/>
          <w:sz w:val="18"/>
          <w:szCs w:val="18"/>
        </w:rPr>
        <w:t>-----</w:t>
      </w:r>
    </w:p>
    <w:p w14:paraId="24A40E47" w14:textId="77777777" w:rsidR="00927EF7" w:rsidRDefault="00A73432" w:rsidP="00A73432">
      <w:pPr>
        <w:spacing w:after="0" w:line="48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Our unit of analysis is the investment decision of each single VC investor in a portfolio company. Multiple VC investors may co-invest in an investment round, leading to multiple data points. </w:t>
      </w:r>
      <w:r w:rsidRPr="005F1FD6">
        <w:rPr>
          <w:rFonts w:ascii="Times New Roman" w:hAnsi="Times New Roman" w:cs="Times New Roman"/>
          <w:sz w:val="24"/>
          <w:szCs w:val="24"/>
        </w:rPr>
        <w:t>The dataset</w:t>
      </w:r>
      <w:r>
        <w:rPr>
          <w:rFonts w:ascii="Times New Roman" w:hAnsi="Times New Roman" w:cs="Times New Roman"/>
          <w:sz w:val="24"/>
          <w:szCs w:val="24"/>
        </w:rPr>
        <w:t xml:space="preserve"> hence</w:t>
      </w:r>
      <w:r w:rsidRPr="005F1FD6">
        <w:rPr>
          <w:rFonts w:ascii="Times New Roman" w:hAnsi="Times New Roman" w:cs="Times New Roman"/>
          <w:sz w:val="24"/>
          <w:szCs w:val="24"/>
        </w:rPr>
        <w:t xml:space="preserve"> includes 3445 investment decisions</w:t>
      </w:r>
      <w:r>
        <w:rPr>
          <w:rFonts w:ascii="Times New Roman" w:hAnsi="Times New Roman" w:cs="Times New Roman"/>
          <w:sz w:val="24"/>
          <w:szCs w:val="24"/>
        </w:rPr>
        <w:t>,</w:t>
      </w:r>
      <w:r w:rsidRPr="005F1FD6">
        <w:rPr>
          <w:rFonts w:ascii="Times New Roman" w:hAnsi="Times New Roman" w:cs="Times New Roman"/>
          <w:sz w:val="24"/>
          <w:szCs w:val="24"/>
        </w:rPr>
        <w:t xml:space="preserve"> 2399 by domestic VC </w:t>
      </w:r>
      <w:r>
        <w:rPr>
          <w:rFonts w:ascii="Times New Roman" w:hAnsi="Times New Roman" w:cs="Times New Roman"/>
          <w:sz w:val="24"/>
          <w:szCs w:val="24"/>
        </w:rPr>
        <w:t>investors</w:t>
      </w:r>
      <w:r w:rsidRPr="005F1FD6">
        <w:rPr>
          <w:rFonts w:ascii="Times New Roman" w:hAnsi="Times New Roman" w:cs="Times New Roman"/>
          <w:sz w:val="24"/>
          <w:szCs w:val="24"/>
        </w:rPr>
        <w:t xml:space="preserve">, 568 by cross-border VC </w:t>
      </w:r>
      <w:r>
        <w:rPr>
          <w:rFonts w:ascii="Times New Roman" w:hAnsi="Times New Roman" w:cs="Times New Roman"/>
          <w:sz w:val="24"/>
          <w:szCs w:val="24"/>
        </w:rPr>
        <w:t>investors</w:t>
      </w:r>
      <w:r w:rsidRPr="005F1FD6">
        <w:rPr>
          <w:rFonts w:ascii="Times New Roman" w:hAnsi="Times New Roman" w:cs="Times New Roman"/>
          <w:sz w:val="24"/>
          <w:szCs w:val="24"/>
        </w:rPr>
        <w:t xml:space="preserve"> and 255 by branch VC </w:t>
      </w:r>
      <w:r>
        <w:rPr>
          <w:rFonts w:ascii="Times New Roman" w:hAnsi="Times New Roman" w:cs="Times New Roman"/>
          <w:sz w:val="24"/>
          <w:szCs w:val="24"/>
        </w:rPr>
        <w:t>investors</w:t>
      </w:r>
      <w:r w:rsidRPr="005F1FD6">
        <w:rPr>
          <w:rFonts w:ascii="Times New Roman" w:hAnsi="Times New Roman" w:cs="Times New Roman"/>
          <w:sz w:val="24"/>
          <w:szCs w:val="24"/>
        </w:rPr>
        <w:t xml:space="preserve">. </w:t>
      </w:r>
      <w:r>
        <w:rPr>
          <w:rFonts w:ascii="Times New Roman" w:hAnsi="Times New Roman" w:cs="Times New Roman"/>
          <w:sz w:val="24"/>
          <w:szCs w:val="24"/>
        </w:rPr>
        <w:t xml:space="preserve">Almost half (45.4%) of the cross-border VC investors’ investments originate outside the EU. </w:t>
      </w:r>
      <w:r w:rsidRPr="005F1FD6">
        <w:rPr>
          <w:rFonts w:ascii="Times New Roman" w:hAnsi="Times New Roman" w:cs="Times New Roman"/>
          <w:sz w:val="24"/>
          <w:szCs w:val="24"/>
        </w:rPr>
        <w:t xml:space="preserve">Each VC </w:t>
      </w:r>
      <w:r>
        <w:rPr>
          <w:rFonts w:ascii="Times New Roman" w:hAnsi="Times New Roman" w:cs="Times New Roman"/>
          <w:sz w:val="24"/>
          <w:szCs w:val="24"/>
        </w:rPr>
        <w:t>investor</w:t>
      </w:r>
      <w:r w:rsidRPr="005F1FD6">
        <w:rPr>
          <w:rFonts w:ascii="Times New Roman" w:hAnsi="Times New Roman" w:cs="Times New Roman"/>
          <w:sz w:val="24"/>
          <w:szCs w:val="24"/>
        </w:rPr>
        <w:t xml:space="preserve"> takes part in an average of 1.62 financing rounds</w:t>
      </w:r>
      <w:r>
        <w:rPr>
          <w:rFonts w:ascii="Times New Roman" w:hAnsi="Times New Roman" w:cs="Times New Roman"/>
          <w:sz w:val="24"/>
          <w:szCs w:val="24"/>
        </w:rPr>
        <w:t xml:space="preserve"> per portfolio company.</w:t>
      </w:r>
      <w:r>
        <w:rPr>
          <w:rStyle w:val="FootnoteReference"/>
          <w:rFonts w:ascii="Times New Roman" w:hAnsi="Times New Roman" w:cs="Times New Roman"/>
          <w:sz w:val="24"/>
          <w:szCs w:val="24"/>
        </w:rPr>
        <w:footnoteReference w:id="4"/>
      </w:r>
      <w:r w:rsidRPr="005F1FD6">
        <w:rPr>
          <w:rFonts w:ascii="Times New Roman" w:hAnsi="Times New Roman" w:cs="Times New Roman"/>
          <w:sz w:val="24"/>
          <w:szCs w:val="24"/>
        </w:rPr>
        <w:t xml:space="preserve"> This is higher for domestic VC </w:t>
      </w:r>
      <w:r>
        <w:rPr>
          <w:rFonts w:ascii="Times New Roman" w:hAnsi="Times New Roman" w:cs="Times New Roman"/>
          <w:sz w:val="24"/>
          <w:szCs w:val="24"/>
        </w:rPr>
        <w:t>investors</w:t>
      </w:r>
      <w:r w:rsidRPr="005F1FD6">
        <w:rPr>
          <w:rFonts w:ascii="Times New Roman" w:hAnsi="Times New Roman" w:cs="Times New Roman"/>
          <w:sz w:val="24"/>
          <w:szCs w:val="24"/>
        </w:rPr>
        <w:t xml:space="preserve"> (1.68) and branch VC </w:t>
      </w:r>
      <w:r>
        <w:rPr>
          <w:rFonts w:ascii="Times New Roman" w:hAnsi="Times New Roman" w:cs="Times New Roman"/>
          <w:sz w:val="24"/>
          <w:szCs w:val="24"/>
        </w:rPr>
        <w:t>investors</w:t>
      </w:r>
      <w:r w:rsidRPr="005F1FD6">
        <w:rPr>
          <w:rFonts w:ascii="Times New Roman" w:hAnsi="Times New Roman" w:cs="Times New Roman"/>
          <w:sz w:val="24"/>
          <w:szCs w:val="24"/>
        </w:rPr>
        <w:t xml:space="preserve"> (1.96) and lower for cross-border VC </w:t>
      </w:r>
      <w:r>
        <w:rPr>
          <w:rFonts w:ascii="Times New Roman" w:hAnsi="Times New Roman" w:cs="Times New Roman"/>
          <w:sz w:val="24"/>
          <w:szCs w:val="24"/>
        </w:rPr>
        <w:t>investors</w:t>
      </w:r>
      <w:r w:rsidRPr="005F1FD6">
        <w:rPr>
          <w:rFonts w:ascii="Times New Roman" w:hAnsi="Times New Roman" w:cs="Times New Roman"/>
          <w:sz w:val="24"/>
          <w:szCs w:val="24"/>
        </w:rPr>
        <w:t xml:space="preserve"> investing </w:t>
      </w:r>
      <w:r>
        <w:rPr>
          <w:rFonts w:ascii="Times New Roman" w:hAnsi="Times New Roman" w:cs="Times New Roman"/>
          <w:sz w:val="24"/>
          <w:szCs w:val="24"/>
        </w:rPr>
        <w:t>via</w:t>
      </w:r>
      <w:r w:rsidRPr="005F1FD6">
        <w:rPr>
          <w:rFonts w:ascii="Times New Roman" w:hAnsi="Times New Roman" w:cs="Times New Roman"/>
          <w:sz w:val="24"/>
          <w:szCs w:val="24"/>
        </w:rPr>
        <w:t xml:space="preserve"> a head office (1.57). Successful portfolio companies have more investment rounds compared to unsuccessful (1.78 versus 1.43) for all VC </w:t>
      </w:r>
      <w:r>
        <w:rPr>
          <w:rFonts w:ascii="Times New Roman" w:hAnsi="Times New Roman" w:cs="Times New Roman"/>
          <w:sz w:val="24"/>
          <w:szCs w:val="24"/>
        </w:rPr>
        <w:t>investor</w:t>
      </w:r>
      <w:r w:rsidRPr="005F1FD6">
        <w:rPr>
          <w:rFonts w:ascii="Times New Roman" w:hAnsi="Times New Roman" w:cs="Times New Roman"/>
          <w:sz w:val="24"/>
          <w:szCs w:val="24"/>
        </w:rPr>
        <w:t xml:space="preserve"> origins. </w:t>
      </w:r>
      <w:r w:rsidR="00D54104">
        <w:rPr>
          <w:rFonts w:ascii="Times New Roman" w:hAnsi="Times New Roman" w:cs="Times New Roman"/>
          <w:sz w:val="24"/>
          <w:szCs w:val="24"/>
        </w:rPr>
        <w:t>Terminated</w:t>
      </w:r>
      <w:r w:rsidR="00D54104" w:rsidRPr="005F1FD6">
        <w:rPr>
          <w:rFonts w:ascii="Times New Roman" w:hAnsi="Times New Roman" w:cs="Times New Roman"/>
          <w:sz w:val="24"/>
          <w:szCs w:val="24"/>
        </w:rPr>
        <w:t xml:space="preserve"> </w:t>
      </w:r>
      <w:r w:rsidRPr="005F1FD6">
        <w:rPr>
          <w:rFonts w:ascii="Times New Roman" w:hAnsi="Times New Roman" w:cs="Times New Roman"/>
          <w:sz w:val="24"/>
          <w:szCs w:val="24"/>
        </w:rPr>
        <w:t xml:space="preserve">portfolio companies backed by cross-border VC </w:t>
      </w:r>
      <w:r>
        <w:rPr>
          <w:rFonts w:ascii="Times New Roman" w:hAnsi="Times New Roman" w:cs="Times New Roman"/>
          <w:sz w:val="24"/>
          <w:szCs w:val="24"/>
        </w:rPr>
        <w:t>investors</w:t>
      </w:r>
      <w:r w:rsidRPr="005F1FD6">
        <w:rPr>
          <w:rFonts w:ascii="Times New Roman" w:hAnsi="Times New Roman" w:cs="Times New Roman"/>
          <w:sz w:val="24"/>
          <w:szCs w:val="24"/>
        </w:rPr>
        <w:t xml:space="preserve"> </w:t>
      </w:r>
      <w:r>
        <w:rPr>
          <w:rFonts w:ascii="Times New Roman" w:hAnsi="Times New Roman" w:cs="Times New Roman"/>
          <w:sz w:val="24"/>
          <w:szCs w:val="24"/>
        </w:rPr>
        <w:t>receive</w:t>
      </w:r>
      <w:r w:rsidRPr="005F1FD6">
        <w:rPr>
          <w:rFonts w:ascii="Times New Roman" w:hAnsi="Times New Roman" w:cs="Times New Roman"/>
          <w:sz w:val="24"/>
          <w:szCs w:val="24"/>
        </w:rPr>
        <w:t xml:space="preserve"> the lowest number of rounds (1.35), while </w:t>
      </w:r>
      <w:r w:rsidR="00D54104">
        <w:rPr>
          <w:rFonts w:ascii="Times New Roman" w:hAnsi="Times New Roman" w:cs="Times New Roman"/>
          <w:sz w:val="24"/>
          <w:szCs w:val="24"/>
        </w:rPr>
        <w:t>terminated</w:t>
      </w:r>
      <w:r w:rsidR="00D54104" w:rsidRPr="005F1FD6">
        <w:rPr>
          <w:rFonts w:ascii="Times New Roman" w:hAnsi="Times New Roman" w:cs="Times New Roman"/>
          <w:sz w:val="24"/>
          <w:szCs w:val="24"/>
        </w:rPr>
        <w:t xml:space="preserve"> </w:t>
      </w:r>
      <w:r w:rsidRPr="005F1FD6">
        <w:rPr>
          <w:rFonts w:ascii="Times New Roman" w:hAnsi="Times New Roman" w:cs="Times New Roman"/>
          <w:sz w:val="24"/>
          <w:szCs w:val="24"/>
        </w:rPr>
        <w:t xml:space="preserve">portfolio companies backed by branch VC </w:t>
      </w:r>
      <w:r>
        <w:rPr>
          <w:rFonts w:ascii="Times New Roman" w:hAnsi="Times New Roman" w:cs="Times New Roman"/>
          <w:sz w:val="24"/>
          <w:szCs w:val="24"/>
        </w:rPr>
        <w:t>investors</w:t>
      </w:r>
      <w:r w:rsidRPr="005F1FD6">
        <w:rPr>
          <w:rFonts w:ascii="Times New Roman" w:hAnsi="Times New Roman" w:cs="Times New Roman"/>
          <w:sz w:val="24"/>
          <w:szCs w:val="24"/>
        </w:rPr>
        <w:t xml:space="preserve"> have the highest</w:t>
      </w:r>
      <w:r>
        <w:rPr>
          <w:rFonts w:ascii="Times New Roman" w:hAnsi="Times New Roman" w:cs="Times New Roman"/>
          <w:sz w:val="24"/>
          <w:szCs w:val="24"/>
        </w:rPr>
        <w:t xml:space="preserve"> </w:t>
      </w:r>
      <w:r w:rsidR="00927EF7">
        <w:rPr>
          <w:rFonts w:ascii="Times New Roman" w:hAnsi="Times New Roman" w:cs="Times New Roman"/>
          <w:sz w:val="24"/>
          <w:szCs w:val="24"/>
        </w:rPr>
        <w:t xml:space="preserve">number of rounds </w:t>
      </w:r>
      <w:r w:rsidRPr="005F1FD6">
        <w:rPr>
          <w:rFonts w:ascii="Times New Roman" w:hAnsi="Times New Roman" w:cs="Times New Roman"/>
          <w:sz w:val="24"/>
          <w:szCs w:val="24"/>
        </w:rPr>
        <w:t>(</w:t>
      </w:r>
      <w:r w:rsidR="00D54104">
        <w:rPr>
          <w:rFonts w:ascii="Times New Roman" w:hAnsi="Times New Roman" w:cs="Times New Roman"/>
          <w:sz w:val="24"/>
          <w:szCs w:val="24"/>
        </w:rPr>
        <w:t>1.70</w:t>
      </w:r>
      <w:r w:rsidRPr="005F1FD6">
        <w:rPr>
          <w:rFonts w:ascii="Times New Roman" w:hAnsi="Times New Roman" w:cs="Times New Roman"/>
          <w:sz w:val="24"/>
          <w:szCs w:val="24"/>
        </w:rPr>
        <w:t>).</w:t>
      </w:r>
    </w:p>
    <w:p w14:paraId="44C47EA7" w14:textId="77777777" w:rsidR="000C25F2" w:rsidRPr="005F1FD6" w:rsidRDefault="00D26779" w:rsidP="009E0A45">
      <w:pPr>
        <w:autoSpaceDE w:val="0"/>
        <w:autoSpaceDN w:val="0"/>
        <w:adjustRightInd w:val="0"/>
        <w:spacing w:after="0" w:line="480" w:lineRule="auto"/>
        <w:ind w:firstLine="432"/>
        <w:contextualSpacing/>
        <w:jc w:val="both"/>
        <w:rPr>
          <w:rFonts w:ascii="Times New Roman" w:hAnsi="Times New Roman" w:cs="Times New Roman"/>
          <w:sz w:val="24"/>
          <w:szCs w:val="24"/>
        </w:rPr>
      </w:pPr>
      <w:r w:rsidRPr="005F1FD6">
        <w:rPr>
          <w:rFonts w:ascii="Times New Roman" w:hAnsi="Times New Roman" w:cs="Times New Roman"/>
          <w:sz w:val="24"/>
          <w:szCs w:val="24"/>
        </w:rPr>
        <w:t>For each portfolio</w:t>
      </w:r>
      <w:r w:rsidR="000C25F2" w:rsidRPr="005F1FD6">
        <w:rPr>
          <w:rFonts w:ascii="Times New Roman" w:hAnsi="Times New Roman" w:cs="Times New Roman"/>
          <w:sz w:val="24"/>
          <w:szCs w:val="24"/>
        </w:rPr>
        <w:t xml:space="preserve"> company, detailed yearly financial statement data</w:t>
      </w:r>
      <w:r w:rsidRPr="005F1FD6">
        <w:rPr>
          <w:rFonts w:ascii="Times New Roman" w:hAnsi="Times New Roman" w:cs="Times New Roman"/>
          <w:sz w:val="24"/>
          <w:szCs w:val="24"/>
        </w:rPr>
        <w:t xml:space="preserve"> were collected</w:t>
      </w:r>
      <w:r w:rsidR="000C25F2" w:rsidRPr="005F1FD6">
        <w:rPr>
          <w:rFonts w:ascii="Times New Roman" w:hAnsi="Times New Roman" w:cs="Times New Roman"/>
          <w:sz w:val="24"/>
          <w:szCs w:val="24"/>
        </w:rPr>
        <w:t xml:space="preserve"> from financial accounts through the Amadeus database and country specific databases, from year of investment up </w:t>
      </w:r>
      <w:r w:rsidRPr="005F1FD6">
        <w:rPr>
          <w:rFonts w:ascii="Times New Roman" w:hAnsi="Times New Roman" w:cs="Times New Roman"/>
          <w:sz w:val="24"/>
          <w:szCs w:val="24"/>
        </w:rPr>
        <w:t>to</w:t>
      </w:r>
      <w:r w:rsidR="000C25F2" w:rsidRPr="005F1FD6">
        <w:rPr>
          <w:rFonts w:ascii="Times New Roman" w:hAnsi="Times New Roman" w:cs="Times New Roman"/>
          <w:sz w:val="24"/>
          <w:szCs w:val="24"/>
        </w:rPr>
        <w:t xml:space="preserve"> seven years thereafter. The number of patent applications pending and g</w:t>
      </w:r>
      <w:r w:rsidR="001D3674" w:rsidRPr="005F1FD6">
        <w:rPr>
          <w:rFonts w:ascii="Times New Roman" w:hAnsi="Times New Roman" w:cs="Times New Roman"/>
          <w:sz w:val="24"/>
          <w:szCs w:val="24"/>
        </w:rPr>
        <w:t xml:space="preserve">ranted </w:t>
      </w:r>
      <w:r w:rsidR="001D3674" w:rsidRPr="005F1FD6">
        <w:rPr>
          <w:rFonts w:ascii="Times New Roman" w:hAnsi="Times New Roman" w:cs="Times New Roman"/>
          <w:sz w:val="24"/>
          <w:szCs w:val="24"/>
        </w:rPr>
        <w:lastRenderedPageBreak/>
        <w:t xml:space="preserve">were retrieved for each portfolio company </w:t>
      </w:r>
      <w:r w:rsidR="000C25F2" w:rsidRPr="005F1FD6">
        <w:rPr>
          <w:rFonts w:ascii="Times New Roman" w:hAnsi="Times New Roman" w:cs="Times New Roman"/>
          <w:sz w:val="24"/>
          <w:szCs w:val="24"/>
        </w:rPr>
        <w:t xml:space="preserve">from the PATSTAT database. Data were added on financing rounds, exit type and exit timing of each company. </w:t>
      </w:r>
    </w:p>
    <w:p w14:paraId="413BA3BC" w14:textId="77777777" w:rsidR="00C35C66" w:rsidRDefault="00C35C66" w:rsidP="009E0A45">
      <w:pPr>
        <w:spacing w:after="0" w:line="480" w:lineRule="auto"/>
        <w:contextualSpacing/>
        <w:jc w:val="both"/>
        <w:rPr>
          <w:rFonts w:ascii="Times New Roman" w:hAnsi="Times New Roman" w:cs="Times New Roman"/>
          <w:b/>
          <w:sz w:val="24"/>
          <w:szCs w:val="24"/>
        </w:rPr>
      </w:pPr>
    </w:p>
    <w:p w14:paraId="28053FAF" w14:textId="77777777" w:rsidR="00F668FE" w:rsidRPr="005F1FD6" w:rsidRDefault="00F668FE" w:rsidP="009E0A45">
      <w:pPr>
        <w:spacing w:after="0" w:line="480" w:lineRule="auto"/>
        <w:contextualSpacing/>
        <w:jc w:val="both"/>
        <w:rPr>
          <w:rFonts w:ascii="Times New Roman" w:hAnsi="Times New Roman" w:cs="Times New Roman"/>
          <w:b/>
          <w:sz w:val="24"/>
          <w:szCs w:val="24"/>
        </w:rPr>
      </w:pPr>
      <w:r w:rsidRPr="005F1FD6">
        <w:rPr>
          <w:rFonts w:ascii="Times New Roman" w:hAnsi="Times New Roman" w:cs="Times New Roman"/>
          <w:b/>
          <w:sz w:val="24"/>
          <w:szCs w:val="24"/>
        </w:rPr>
        <w:t>Measuring escalation of commitment</w:t>
      </w:r>
    </w:p>
    <w:p w14:paraId="6C68F4FD" w14:textId="187D61A3" w:rsidR="00EF0998" w:rsidRPr="005F1FD6" w:rsidRDefault="00EF0998" w:rsidP="009E0A45">
      <w:pPr>
        <w:spacing w:after="0" w:line="480" w:lineRule="auto"/>
        <w:ind w:firstLine="432"/>
        <w:contextualSpacing/>
        <w:jc w:val="both"/>
        <w:rPr>
          <w:rFonts w:ascii="Times New Roman" w:hAnsi="Times New Roman" w:cs="Times New Roman"/>
          <w:sz w:val="24"/>
          <w:szCs w:val="24"/>
        </w:rPr>
      </w:pPr>
      <w:r w:rsidRPr="005F1FD6">
        <w:rPr>
          <w:rFonts w:ascii="Times New Roman" w:hAnsi="Times New Roman" w:cs="Times New Roman"/>
          <w:sz w:val="24"/>
          <w:szCs w:val="24"/>
        </w:rPr>
        <w:t>Following Guler (2007), a two-stage analysis</w:t>
      </w:r>
      <w:r w:rsidR="00406BC7" w:rsidRPr="005F1FD6">
        <w:rPr>
          <w:rFonts w:ascii="Times New Roman" w:hAnsi="Times New Roman" w:cs="Times New Roman"/>
          <w:sz w:val="24"/>
          <w:szCs w:val="24"/>
        </w:rPr>
        <w:t xml:space="preserve"> was implemented</w:t>
      </w:r>
      <w:r w:rsidRPr="005F1FD6">
        <w:rPr>
          <w:rFonts w:ascii="Times New Roman" w:hAnsi="Times New Roman" w:cs="Times New Roman"/>
          <w:sz w:val="24"/>
          <w:szCs w:val="24"/>
        </w:rPr>
        <w:t xml:space="preserve"> to investigate </w:t>
      </w:r>
      <w:r w:rsidR="00513870" w:rsidRPr="005F1FD6">
        <w:rPr>
          <w:rFonts w:ascii="Times New Roman" w:hAnsi="Times New Roman" w:cs="Times New Roman"/>
          <w:sz w:val="24"/>
          <w:szCs w:val="24"/>
        </w:rPr>
        <w:t>VC firms’</w:t>
      </w:r>
      <w:r w:rsidRPr="005F1FD6">
        <w:rPr>
          <w:rFonts w:ascii="Times New Roman" w:hAnsi="Times New Roman" w:cs="Times New Roman"/>
          <w:sz w:val="24"/>
          <w:szCs w:val="24"/>
        </w:rPr>
        <w:t xml:space="preserve"> behavior in sequential investment</w:t>
      </w:r>
      <w:r w:rsidR="001701E3" w:rsidRPr="005F1FD6">
        <w:rPr>
          <w:rFonts w:ascii="Times New Roman" w:hAnsi="Times New Roman" w:cs="Times New Roman"/>
          <w:sz w:val="24"/>
          <w:szCs w:val="24"/>
        </w:rPr>
        <w:t xml:space="preserve"> decisions. Controlling for portfolio company</w:t>
      </w:r>
      <w:r w:rsidRPr="005F1FD6">
        <w:rPr>
          <w:rFonts w:ascii="Times New Roman" w:hAnsi="Times New Roman" w:cs="Times New Roman"/>
          <w:sz w:val="24"/>
          <w:szCs w:val="24"/>
        </w:rPr>
        <w:t xml:space="preserve"> characteristics, VC</w:t>
      </w:r>
      <w:r w:rsidR="00513870" w:rsidRPr="005F1FD6">
        <w:rPr>
          <w:rFonts w:ascii="Times New Roman" w:hAnsi="Times New Roman" w:cs="Times New Roman"/>
          <w:sz w:val="24"/>
          <w:szCs w:val="24"/>
        </w:rPr>
        <w:t xml:space="preserve"> firm</w:t>
      </w:r>
      <w:r w:rsidRPr="005F1FD6">
        <w:rPr>
          <w:rFonts w:ascii="Times New Roman" w:hAnsi="Times New Roman" w:cs="Times New Roman"/>
          <w:sz w:val="24"/>
          <w:szCs w:val="24"/>
        </w:rPr>
        <w:t xml:space="preserve"> characteristics, </w:t>
      </w:r>
      <w:r w:rsidR="00593892" w:rsidRPr="005F1FD6">
        <w:rPr>
          <w:rFonts w:ascii="Times New Roman" w:hAnsi="Times New Roman" w:cs="Times New Roman"/>
          <w:sz w:val="24"/>
          <w:szCs w:val="24"/>
        </w:rPr>
        <w:t>deal</w:t>
      </w:r>
      <w:r w:rsidRPr="005F1FD6">
        <w:rPr>
          <w:rFonts w:ascii="Times New Roman" w:hAnsi="Times New Roman" w:cs="Times New Roman"/>
          <w:sz w:val="24"/>
          <w:szCs w:val="24"/>
        </w:rPr>
        <w:t xml:space="preserve"> characteristics and ma</w:t>
      </w:r>
      <w:r w:rsidR="001701E3" w:rsidRPr="005F1FD6">
        <w:rPr>
          <w:rFonts w:ascii="Times New Roman" w:hAnsi="Times New Roman" w:cs="Times New Roman"/>
          <w:sz w:val="24"/>
          <w:szCs w:val="24"/>
        </w:rPr>
        <w:t>rket conditions</w:t>
      </w:r>
      <w:r w:rsidR="00593892" w:rsidRPr="005F1FD6">
        <w:rPr>
          <w:rFonts w:ascii="Times New Roman" w:hAnsi="Times New Roman" w:cs="Times New Roman"/>
          <w:sz w:val="24"/>
          <w:szCs w:val="24"/>
        </w:rPr>
        <w:t>, industry, year and country effects</w:t>
      </w:r>
      <w:r w:rsidR="006833EF" w:rsidRPr="005F1FD6">
        <w:rPr>
          <w:rFonts w:ascii="Times New Roman" w:hAnsi="Times New Roman" w:cs="Times New Roman"/>
          <w:sz w:val="24"/>
          <w:szCs w:val="24"/>
        </w:rPr>
        <w:t>,</w:t>
      </w:r>
      <w:r w:rsidR="001701E3" w:rsidRPr="005F1FD6">
        <w:rPr>
          <w:rFonts w:ascii="Times New Roman" w:hAnsi="Times New Roman" w:cs="Times New Roman"/>
          <w:sz w:val="24"/>
          <w:szCs w:val="24"/>
        </w:rPr>
        <w:t xml:space="preserve"> the hazard</w:t>
      </w:r>
      <w:r w:rsidRPr="005F1FD6">
        <w:rPr>
          <w:rFonts w:ascii="Times New Roman" w:hAnsi="Times New Roman" w:cs="Times New Roman"/>
          <w:sz w:val="24"/>
          <w:szCs w:val="24"/>
        </w:rPr>
        <w:t xml:space="preserve"> of </w:t>
      </w:r>
      <w:r w:rsidR="00825C4E">
        <w:rPr>
          <w:rFonts w:ascii="Times New Roman" w:hAnsi="Times New Roman" w:cs="Times New Roman"/>
          <w:sz w:val="24"/>
          <w:szCs w:val="24"/>
        </w:rPr>
        <w:t>termination</w:t>
      </w:r>
      <w:r w:rsidRPr="005F1FD6">
        <w:rPr>
          <w:rFonts w:ascii="Times New Roman" w:hAnsi="Times New Roman" w:cs="Times New Roman"/>
          <w:sz w:val="24"/>
          <w:szCs w:val="24"/>
        </w:rPr>
        <w:t xml:space="preserve"> is estimated as a function of the number of fin</w:t>
      </w:r>
      <w:r w:rsidR="00B858A5" w:rsidRPr="005F1FD6">
        <w:rPr>
          <w:rFonts w:ascii="Times New Roman" w:hAnsi="Times New Roman" w:cs="Times New Roman"/>
          <w:sz w:val="24"/>
          <w:szCs w:val="24"/>
        </w:rPr>
        <w:t>ancing rounds invested in the portfolio company</w:t>
      </w:r>
      <w:r w:rsidRPr="005F1FD6">
        <w:rPr>
          <w:rFonts w:ascii="Times New Roman" w:hAnsi="Times New Roman" w:cs="Times New Roman"/>
          <w:sz w:val="24"/>
          <w:szCs w:val="24"/>
        </w:rPr>
        <w:t xml:space="preserve"> by the focal VC</w:t>
      </w:r>
      <w:r w:rsidR="00E04E80" w:rsidRPr="005F1FD6">
        <w:rPr>
          <w:rFonts w:ascii="Times New Roman" w:hAnsi="Times New Roman" w:cs="Times New Roman"/>
          <w:sz w:val="24"/>
          <w:szCs w:val="24"/>
        </w:rPr>
        <w:t xml:space="preserve"> firm</w:t>
      </w:r>
      <w:r w:rsidR="001701E3" w:rsidRPr="005F1FD6">
        <w:rPr>
          <w:rFonts w:ascii="Times New Roman" w:hAnsi="Times New Roman" w:cs="Times New Roman"/>
          <w:sz w:val="24"/>
          <w:szCs w:val="24"/>
        </w:rPr>
        <w:t>. A</w:t>
      </w:r>
      <w:r w:rsidRPr="005F1FD6">
        <w:rPr>
          <w:rFonts w:ascii="Times New Roman" w:hAnsi="Times New Roman" w:cs="Times New Roman"/>
          <w:sz w:val="24"/>
          <w:szCs w:val="24"/>
        </w:rPr>
        <w:t xml:space="preserve"> similar equation is estimated for </w:t>
      </w:r>
      <w:r w:rsidR="005A2A28">
        <w:rPr>
          <w:rFonts w:ascii="Times New Roman" w:hAnsi="Times New Roman" w:cs="Times New Roman"/>
          <w:sz w:val="24"/>
          <w:szCs w:val="24"/>
        </w:rPr>
        <w:t xml:space="preserve">the hazard of </w:t>
      </w:r>
      <w:r w:rsidR="00825C4E">
        <w:rPr>
          <w:rFonts w:ascii="Times New Roman" w:hAnsi="Times New Roman" w:cs="Times New Roman"/>
          <w:sz w:val="24"/>
          <w:szCs w:val="24"/>
        </w:rPr>
        <w:t>a successful exit</w:t>
      </w:r>
      <w:r w:rsidRPr="005F1FD6">
        <w:rPr>
          <w:rFonts w:ascii="Times New Roman" w:hAnsi="Times New Roman" w:cs="Times New Roman"/>
          <w:sz w:val="24"/>
          <w:szCs w:val="24"/>
        </w:rPr>
        <w:t xml:space="preserve">. </w:t>
      </w:r>
      <w:r w:rsidR="00C65A4D" w:rsidRPr="005F1FD6">
        <w:rPr>
          <w:rFonts w:ascii="Times New Roman" w:hAnsi="Times New Roman" w:cs="Times New Roman"/>
          <w:sz w:val="24"/>
          <w:szCs w:val="24"/>
        </w:rPr>
        <w:t>Both hazards are</w:t>
      </w:r>
      <w:r w:rsidRPr="005F1FD6">
        <w:rPr>
          <w:rFonts w:ascii="Times New Roman" w:hAnsi="Times New Roman" w:cs="Times New Roman"/>
          <w:sz w:val="24"/>
          <w:szCs w:val="24"/>
        </w:rPr>
        <w:t xml:space="preserve"> the</w:t>
      </w:r>
      <w:r w:rsidR="001701E3" w:rsidRPr="005F1FD6">
        <w:rPr>
          <w:rFonts w:ascii="Times New Roman" w:hAnsi="Times New Roman" w:cs="Times New Roman"/>
          <w:sz w:val="24"/>
          <w:szCs w:val="24"/>
        </w:rPr>
        <w:t xml:space="preserve">n </w:t>
      </w:r>
      <w:r w:rsidR="00C65A4D" w:rsidRPr="005F1FD6">
        <w:rPr>
          <w:rFonts w:ascii="Times New Roman" w:hAnsi="Times New Roman" w:cs="Times New Roman"/>
          <w:sz w:val="24"/>
          <w:szCs w:val="24"/>
        </w:rPr>
        <w:t xml:space="preserve">compared </w:t>
      </w:r>
      <w:r w:rsidRPr="005F1FD6">
        <w:rPr>
          <w:rFonts w:ascii="Times New Roman" w:hAnsi="Times New Roman" w:cs="Times New Roman"/>
          <w:sz w:val="24"/>
          <w:szCs w:val="24"/>
        </w:rPr>
        <w:t>in</w:t>
      </w:r>
      <w:r w:rsidR="00A3556C" w:rsidRPr="005F1FD6">
        <w:rPr>
          <w:rFonts w:ascii="Times New Roman" w:hAnsi="Times New Roman" w:cs="Times New Roman"/>
          <w:sz w:val="24"/>
          <w:szCs w:val="24"/>
        </w:rPr>
        <w:t xml:space="preserve"> the </w:t>
      </w:r>
      <w:r w:rsidR="00C65A4D" w:rsidRPr="005F1FD6">
        <w:rPr>
          <w:rFonts w:ascii="Times New Roman" w:hAnsi="Times New Roman" w:cs="Times New Roman"/>
          <w:sz w:val="24"/>
          <w:szCs w:val="24"/>
        </w:rPr>
        <w:t>second</w:t>
      </w:r>
      <w:r w:rsidR="00A3556C" w:rsidRPr="005F1FD6">
        <w:rPr>
          <w:rFonts w:ascii="Times New Roman" w:hAnsi="Times New Roman" w:cs="Times New Roman"/>
          <w:sz w:val="24"/>
          <w:szCs w:val="24"/>
        </w:rPr>
        <w:t xml:space="preserve"> stage. If VC</w:t>
      </w:r>
      <w:r w:rsidR="00E04E80" w:rsidRPr="005F1FD6">
        <w:rPr>
          <w:rFonts w:ascii="Times New Roman" w:hAnsi="Times New Roman" w:cs="Times New Roman"/>
          <w:sz w:val="24"/>
          <w:szCs w:val="24"/>
        </w:rPr>
        <w:t xml:space="preserve"> firm</w:t>
      </w:r>
      <w:r w:rsidRPr="005F1FD6">
        <w:rPr>
          <w:rFonts w:ascii="Times New Roman" w:hAnsi="Times New Roman" w:cs="Times New Roman"/>
          <w:sz w:val="24"/>
          <w:szCs w:val="24"/>
        </w:rPr>
        <w:t>s are rational and can evaluate the probability of success by staging investment</w:t>
      </w:r>
      <w:r w:rsidR="00C65A4D" w:rsidRPr="005F1FD6">
        <w:rPr>
          <w:rFonts w:ascii="Times New Roman" w:hAnsi="Times New Roman" w:cs="Times New Roman"/>
          <w:sz w:val="24"/>
          <w:szCs w:val="24"/>
        </w:rPr>
        <w:t>s</w:t>
      </w:r>
      <w:r w:rsidRPr="005F1FD6">
        <w:rPr>
          <w:rFonts w:ascii="Times New Roman" w:hAnsi="Times New Roman" w:cs="Times New Roman"/>
          <w:sz w:val="24"/>
          <w:szCs w:val="24"/>
        </w:rPr>
        <w:t>, they should increasingly terminate investments that have a decreasing probability of success. If t</w:t>
      </w:r>
      <w:r w:rsidR="00B858A5" w:rsidRPr="005F1FD6">
        <w:rPr>
          <w:rFonts w:ascii="Times New Roman" w:hAnsi="Times New Roman" w:cs="Times New Roman"/>
          <w:sz w:val="24"/>
          <w:szCs w:val="24"/>
        </w:rPr>
        <w:t>he updated information on the portfolio company</w:t>
      </w:r>
      <w:r w:rsidRPr="005F1FD6">
        <w:rPr>
          <w:rFonts w:ascii="Times New Roman" w:hAnsi="Times New Roman" w:cs="Times New Roman"/>
          <w:sz w:val="24"/>
          <w:szCs w:val="24"/>
        </w:rPr>
        <w:t xml:space="preserve"> is favorable at each stage, the likelihood of a successful exit - conditional on this new information - increases over time and the </w:t>
      </w:r>
      <w:r w:rsidR="001701E3" w:rsidRPr="005F1FD6">
        <w:rPr>
          <w:rFonts w:ascii="Times New Roman" w:hAnsi="Times New Roman" w:cs="Times New Roman"/>
          <w:sz w:val="24"/>
          <w:szCs w:val="24"/>
        </w:rPr>
        <w:t xml:space="preserve">probability of </w:t>
      </w:r>
      <w:r w:rsidR="005A2A28">
        <w:rPr>
          <w:rFonts w:ascii="Times New Roman" w:hAnsi="Times New Roman" w:cs="Times New Roman"/>
          <w:sz w:val="24"/>
          <w:szCs w:val="24"/>
        </w:rPr>
        <w:t>termination</w:t>
      </w:r>
      <w:r w:rsidRPr="005F1FD6">
        <w:rPr>
          <w:rFonts w:ascii="Times New Roman" w:hAnsi="Times New Roman" w:cs="Times New Roman"/>
          <w:sz w:val="24"/>
          <w:szCs w:val="24"/>
        </w:rPr>
        <w:t xml:space="preserve"> should hence decrease. If updated inf</w:t>
      </w:r>
      <w:r w:rsidR="001701E3" w:rsidRPr="005F1FD6">
        <w:rPr>
          <w:rFonts w:ascii="Times New Roman" w:hAnsi="Times New Roman" w:cs="Times New Roman"/>
          <w:sz w:val="24"/>
          <w:szCs w:val="24"/>
        </w:rPr>
        <w:t>ormation is on the contrary</w:t>
      </w:r>
      <w:r w:rsidRPr="005F1FD6">
        <w:rPr>
          <w:rFonts w:ascii="Times New Roman" w:hAnsi="Times New Roman" w:cs="Times New Roman"/>
          <w:sz w:val="24"/>
          <w:szCs w:val="24"/>
        </w:rPr>
        <w:t xml:space="preserve"> negative, the probability of a successful exit given this updated information declines over time a</w:t>
      </w:r>
      <w:r w:rsidR="001701E3" w:rsidRPr="005F1FD6">
        <w:rPr>
          <w:rFonts w:ascii="Times New Roman" w:hAnsi="Times New Roman" w:cs="Times New Roman"/>
          <w:sz w:val="24"/>
          <w:szCs w:val="24"/>
        </w:rPr>
        <w:t xml:space="preserve">nd the likelihood of </w:t>
      </w:r>
      <w:r w:rsidR="005A2A28">
        <w:rPr>
          <w:rFonts w:ascii="Times New Roman" w:hAnsi="Times New Roman" w:cs="Times New Roman"/>
          <w:sz w:val="24"/>
          <w:szCs w:val="24"/>
        </w:rPr>
        <w:t>termination</w:t>
      </w:r>
      <w:r w:rsidRPr="005F1FD6">
        <w:rPr>
          <w:rFonts w:ascii="Times New Roman" w:hAnsi="Times New Roman" w:cs="Times New Roman"/>
          <w:sz w:val="24"/>
          <w:szCs w:val="24"/>
        </w:rPr>
        <w:t xml:space="preserve"> should therefo</w:t>
      </w:r>
      <w:r w:rsidR="00A3556C" w:rsidRPr="005F1FD6">
        <w:rPr>
          <w:rFonts w:ascii="Times New Roman" w:hAnsi="Times New Roman" w:cs="Times New Roman"/>
          <w:sz w:val="24"/>
          <w:szCs w:val="24"/>
        </w:rPr>
        <w:t>re increase</w:t>
      </w:r>
      <w:r w:rsidR="009B07D7">
        <w:rPr>
          <w:rFonts w:ascii="Times New Roman" w:hAnsi="Times New Roman" w:cs="Times New Roman"/>
          <w:sz w:val="24"/>
          <w:szCs w:val="24"/>
        </w:rPr>
        <w:t xml:space="preserve"> (Benson and Ziedonis, 2010)</w:t>
      </w:r>
      <w:r w:rsidR="00A3556C" w:rsidRPr="005F1FD6">
        <w:rPr>
          <w:rFonts w:ascii="Times New Roman" w:hAnsi="Times New Roman" w:cs="Times New Roman"/>
          <w:sz w:val="24"/>
          <w:szCs w:val="24"/>
        </w:rPr>
        <w:t xml:space="preserve">. </w:t>
      </w:r>
      <w:r w:rsidR="009E13C1">
        <w:rPr>
          <w:rFonts w:ascii="Times New Roman" w:hAnsi="Times New Roman" w:cs="Times New Roman"/>
          <w:sz w:val="24"/>
          <w:szCs w:val="24"/>
        </w:rPr>
        <w:t>In sum</w:t>
      </w:r>
      <w:r w:rsidR="00A3556C" w:rsidRPr="005F1FD6">
        <w:rPr>
          <w:rFonts w:ascii="Times New Roman" w:hAnsi="Times New Roman" w:cs="Times New Roman"/>
          <w:sz w:val="24"/>
          <w:szCs w:val="24"/>
        </w:rPr>
        <w:t>, if VC</w:t>
      </w:r>
      <w:r w:rsidR="00E04E80" w:rsidRPr="005F1FD6">
        <w:rPr>
          <w:rFonts w:ascii="Times New Roman" w:hAnsi="Times New Roman" w:cs="Times New Roman"/>
          <w:sz w:val="24"/>
          <w:szCs w:val="24"/>
        </w:rPr>
        <w:t xml:space="preserve"> firm</w:t>
      </w:r>
      <w:r w:rsidR="00A3556C" w:rsidRPr="005F1FD6">
        <w:rPr>
          <w:rFonts w:ascii="Times New Roman" w:hAnsi="Times New Roman" w:cs="Times New Roman"/>
          <w:sz w:val="24"/>
          <w:szCs w:val="24"/>
        </w:rPr>
        <w:t xml:space="preserve">s </w:t>
      </w:r>
      <w:r w:rsidRPr="005F1FD6">
        <w:rPr>
          <w:rFonts w:ascii="Times New Roman" w:hAnsi="Times New Roman" w:cs="Times New Roman"/>
          <w:sz w:val="24"/>
          <w:szCs w:val="24"/>
        </w:rPr>
        <w:t>behave rationally</w:t>
      </w:r>
      <w:r w:rsidR="001701E3" w:rsidRPr="005F1FD6">
        <w:rPr>
          <w:rFonts w:ascii="Times New Roman" w:hAnsi="Times New Roman" w:cs="Times New Roman"/>
          <w:sz w:val="24"/>
          <w:szCs w:val="24"/>
        </w:rPr>
        <w:t xml:space="preserve">, the probability of </w:t>
      </w:r>
      <w:r w:rsidR="005A2A28">
        <w:rPr>
          <w:rFonts w:ascii="Times New Roman" w:hAnsi="Times New Roman" w:cs="Times New Roman"/>
          <w:sz w:val="24"/>
          <w:szCs w:val="24"/>
        </w:rPr>
        <w:t>termination</w:t>
      </w:r>
      <w:r w:rsidRPr="005F1FD6">
        <w:rPr>
          <w:rFonts w:ascii="Times New Roman" w:hAnsi="Times New Roman" w:cs="Times New Roman"/>
          <w:sz w:val="24"/>
          <w:szCs w:val="24"/>
        </w:rPr>
        <w:t xml:space="preserve"> should be inversely proportional to the conditional likelihood of a successful exit (Guler, 2007). </w:t>
      </w:r>
    </w:p>
    <w:p w14:paraId="118B74A4" w14:textId="77777777" w:rsidR="00E67440" w:rsidRDefault="00E67440" w:rsidP="009E0A45">
      <w:pPr>
        <w:spacing w:after="0" w:line="480" w:lineRule="auto"/>
        <w:contextualSpacing/>
        <w:jc w:val="both"/>
        <w:rPr>
          <w:rFonts w:ascii="Times New Roman" w:hAnsi="Times New Roman" w:cs="Times New Roman"/>
          <w:b/>
          <w:sz w:val="24"/>
          <w:szCs w:val="24"/>
        </w:rPr>
      </w:pPr>
    </w:p>
    <w:p w14:paraId="2E066C41" w14:textId="77777777" w:rsidR="00DD40DA" w:rsidRPr="005F1FD6" w:rsidRDefault="00AB5B74" w:rsidP="00E67440">
      <w:pPr>
        <w:keepNext/>
        <w:keepLines/>
        <w:spacing w:after="0" w:line="480" w:lineRule="auto"/>
        <w:contextualSpacing/>
        <w:jc w:val="both"/>
        <w:rPr>
          <w:rFonts w:ascii="Times New Roman" w:hAnsi="Times New Roman" w:cs="Times New Roman"/>
          <w:b/>
          <w:sz w:val="24"/>
          <w:szCs w:val="24"/>
        </w:rPr>
      </w:pPr>
      <w:r w:rsidRPr="005F1FD6">
        <w:rPr>
          <w:rFonts w:ascii="Times New Roman" w:hAnsi="Times New Roman" w:cs="Times New Roman"/>
          <w:b/>
          <w:sz w:val="24"/>
          <w:szCs w:val="24"/>
        </w:rPr>
        <w:t>Variable definitions</w:t>
      </w:r>
    </w:p>
    <w:p w14:paraId="4773C7B0" w14:textId="77777777" w:rsidR="00B469C3" w:rsidRDefault="00F844DD" w:rsidP="00B469C3">
      <w:pPr>
        <w:spacing w:after="0" w:line="480" w:lineRule="auto"/>
        <w:contextualSpacing/>
        <w:jc w:val="both"/>
        <w:rPr>
          <w:rFonts w:ascii="Times New Roman" w:hAnsi="Times New Roman" w:cs="Times New Roman"/>
          <w:sz w:val="24"/>
          <w:szCs w:val="24"/>
        </w:rPr>
      </w:pPr>
      <w:r>
        <w:rPr>
          <w:rFonts w:ascii="Times New Roman" w:hAnsi="Times New Roman" w:cs="Times New Roman"/>
          <w:b/>
          <w:i/>
          <w:sz w:val="24"/>
          <w:szCs w:val="24"/>
        </w:rPr>
        <w:t>Dependent variables</w:t>
      </w:r>
      <w:r w:rsidR="00667809">
        <w:rPr>
          <w:rFonts w:ascii="Times New Roman" w:hAnsi="Times New Roman" w:cs="Times New Roman"/>
          <w:b/>
          <w:i/>
          <w:sz w:val="24"/>
          <w:szCs w:val="24"/>
        </w:rPr>
        <w:t xml:space="preserve">. </w:t>
      </w:r>
      <w:r w:rsidR="00C51216" w:rsidRPr="005F1FD6">
        <w:rPr>
          <w:rFonts w:ascii="Times New Roman" w:hAnsi="Times New Roman" w:cs="Times New Roman"/>
          <w:sz w:val="24"/>
          <w:szCs w:val="24"/>
        </w:rPr>
        <w:t xml:space="preserve">As financial return data </w:t>
      </w:r>
      <w:r w:rsidR="003A765A" w:rsidRPr="005F1FD6">
        <w:rPr>
          <w:rFonts w:ascii="Times New Roman" w:hAnsi="Times New Roman" w:cs="Times New Roman"/>
          <w:sz w:val="24"/>
          <w:szCs w:val="24"/>
        </w:rPr>
        <w:t xml:space="preserve">on individual investments </w:t>
      </w:r>
      <w:r w:rsidR="00C51216" w:rsidRPr="005F1FD6">
        <w:rPr>
          <w:rFonts w:ascii="Times New Roman" w:hAnsi="Times New Roman" w:cs="Times New Roman"/>
          <w:sz w:val="24"/>
          <w:szCs w:val="24"/>
        </w:rPr>
        <w:t>are not available</w:t>
      </w:r>
      <w:r w:rsidR="003A765A" w:rsidRPr="005F1FD6">
        <w:rPr>
          <w:rFonts w:ascii="Times New Roman" w:hAnsi="Times New Roman" w:cs="Times New Roman"/>
          <w:sz w:val="24"/>
          <w:szCs w:val="24"/>
        </w:rPr>
        <w:t xml:space="preserve"> in the European VC industry</w:t>
      </w:r>
      <w:r w:rsidR="00C51216" w:rsidRPr="005F1FD6">
        <w:rPr>
          <w:rFonts w:ascii="Times New Roman" w:hAnsi="Times New Roman" w:cs="Times New Roman"/>
          <w:sz w:val="24"/>
          <w:szCs w:val="24"/>
        </w:rPr>
        <w:t xml:space="preserve">, the exit route is used as a proxy to evaluate the performance of VC </w:t>
      </w:r>
      <w:r w:rsidR="00C51216" w:rsidRPr="005F1FD6">
        <w:rPr>
          <w:rFonts w:ascii="Times New Roman" w:hAnsi="Times New Roman" w:cs="Times New Roman"/>
          <w:sz w:val="24"/>
          <w:szCs w:val="24"/>
        </w:rPr>
        <w:lastRenderedPageBreak/>
        <w:t>investments (</w:t>
      </w:r>
      <w:r w:rsidR="00E90328">
        <w:rPr>
          <w:rFonts w:ascii="Times New Roman" w:hAnsi="Times New Roman" w:cs="Times New Roman"/>
          <w:sz w:val="24"/>
          <w:szCs w:val="24"/>
        </w:rPr>
        <w:t>Guler, 2007</w:t>
      </w:r>
      <w:r w:rsidR="00C51216" w:rsidRPr="005F1FD6">
        <w:rPr>
          <w:rFonts w:ascii="Times New Roman" w:hAnsi="Times New Roman" w:cs="Times New Roman"/>
          <w:sz w:val="24"/>
          <w:szCs w:val="24"/>
        </w:rPr>
        <w:t xml:space="preserve">). </w:t>
      </w:r>
      <w:r w:rsidR="00B469C3" w:rsidRPr="005F1FD6">
        <w:rPr>
          <w:rFonts w:ascii="Times New Roman" w:hAnsi="Times New Roman" w:cs="Times New Roman"/>
          <w:sz w:val="24"/>
          <w:szCs w:val="24"/>
        </w:rPr>
        <w:t xml:space="preserve">The </w:t>
      </w:r>
      <w:r w:rsidR="00B469C3">
        <w:rPr>
          <w:rFonts w:ascii="Times New Roman" w:hAnsi="Times New Roman" w:cs="Times New Roman"/>
          <w:sz w:val="24"/>
          <w:szCs w:val="24"/>
        </w:rPr>
        <w:t>first</w:t>
      </w:r>
      <w:r w:rsidR="00B469C3" w:rsidRPr="005F1FD6">
        <w:rPr>
          <w:rFonts w:ascii="Times New Roman" w:hAnsi="Times New Roman" w:cs="Times New Roman"/>
          <w:sz w:val="24"/>
          <w:szCs w:val="24"/>
        </w:rPr>
        <w:t xml:space="preserve"> dependent variable embodies the hazard of successful exit fo</w:t>
      </w:r>
      <w:r w:rsidR="004B5535">
        <w:rPr>
          <w:rFonts w:ascii="Times New Roman" w:hAnsi="Times New Roman" w:cs="Times New Roman"/>
          <w:sz w:val="24"/>
          <w:szCs w:val="24"/>
        </w:rPr>
        <w:t>r a portfolio company at time t, while</w:t>
      </w:r>
      <w:r w:rsidR="00B469C3" w:rsidRPr="005F1FD6">
        <w:rPr>
          <w:rFonts w:ascii="Times New Roman" w:hAnsi="Times New Roman" w:cs="Times New Roman"/>
          <w:sz w:val="24"/>
          <w:szCs w:val="24"/>
        </w:rPr>
        <w:t xml:space="preserve"> </w:t>
      </w:r>
      <w:r w:rsidR="004B5535">
        <w:rPr>
          <w:rFonts w:ascii="Times New Roman" w:hAnsi="Times New Roman" w:cs="Times New Roman"/>
          <w:sz w:val="24"/>
          <w:szCs w:val="24"/>
        </w:rPr>
        <w:t>t</w:t>
      </w:r>
      <w:r w:rsidR="00C51216" w:rsidRPr="005F1FD6">
        <w:rPr>
          <w:rFonts w:ascii="Times New Roman" w:hAnsi="Times New Roman" w:cs="Times New Roman"/>
          <w:sz w:val="24"/>
          <w:szCs w:val="24"/>
        </w:rPr>
        <w:t xml:space="preserve">he </w:t>
      </w:r>
      <w:r w:rsidR="00B469C3">
        <w:rPr>
          <w:rFonts w:ascii="Times New Roman" w:hAnsi="Times New Roman" w:cs="Times New Roman"/>
          <w:sz w:val="24"/>
          <w:szCs w:val="24"/>
        </w:rPr>
        <w:t>second</w:t>
      </w:r>
      <w:r w:rsidR="00C51216" w:rsidRPr="005F1FD6">
        <w:rPr>
          <w:rFonts w:ascii="Times New Roman" w:hAnsi="Times New Roman" w:cs="Times New Roman"/>
          <w:sz w:val="24"/>
          <w:szCs w:val="24"/>
        </w:rPr>
        <w:t xml:space="preserve"> dependent variable embodies the hazard of </w:t>
      </w:r>
      <w:r w:rsidR="00B469C3">
        <w:rPr>
          <w:rFonts w:ascii="Times New Roman" w:hAnsi="Times New Roman" w:cs="Times New Roman"/>
          <w:sz w:val="24"/>
          <w:szCs w:val="24"/>
        </w:rPr>
        <w:t>termination</w:t>
      </w:r>
      <w:r w:rsidR="00C51216" w:rsidRPr="005F1FD6">
        <w:rPr>
          <w:rFonts w:ascii="Times New Roman" w:hAnsi="Times New Roman" w:cs="Times New Roman"/>
          <w:sz w:val="24"/>
          <w:szCs w:val="24"/>
        </w:rPr>
        <w:t xml:space="preserve"> at time t. Exits need to be classified as successful o</w:t>
      </w:r>
      <w:r w:rsidR="00F12174">
        <w:rPr>
          <w:rFonts w:ascii="Times New Roman" w:hAnsi="Times New Roman" w:cs="Times New Roman"/>
          <w:sz w:val="24"/>
          <w:szCs w:val="24"/>
        </w:rPr>
        <w:t xml:space="preserve">r </w:t>
      </w:r>
      <w:r w:rsidR="00B469C3">
        <w:rPr>
          <w:rFonts w:ascii="Times New Roman" w:hAnsi="Times New Roman" w:cs="Times New Roman"/>
          <w:sz w:val="24"/>
          <w:szCs w:val="24"/>
        </w:rPr>
        <w:t>terminated</w:t>
      </w:r>
      <w:r w:rsidR="00F12174">
        <w:rPr>
          <w:rFonts w:ascii="Times New Roman" w:hAnsi="Times New Roman" w:cs="Times New Roman"/>
          <w:sz w:val="24"/>
          <w:szCs w:val="24"/>
        </w:rPr>
        <w:t xml:space="preserve"> (</w:t>
      </w:r>
      <w:r w:rsidR="00A80793" w:rsidRPr="005F1FD6">
        <w:rPr>
          <w:rFonts w:ascii="Times New Roman" w:hAnsi="Times New Roman" w:cs="Times New Roman"/>
          <w:sz w:val="24"/>
          <w:szCs w:val="24"/>
        </w:rPr>
        <w:t>Birmingham et al., 2003</w:t>
      </w:r>
      <w:r w:rsidR="00A80793">
        <w:rPr>
          <w:rFonts w:ascii="Times New Roman" w:hAnsi="Times New Roman" w:cs="Times New Roman"/>
          <w:sz w:val="24"/>
          <w:szCs w:val="24"/>
        </w:rPr>
        <w:t xml:space="preserve">; </w:t>
      </w:r>
      <w:r w:rsidR="00F12174">
        <w:rPr>
          <w:rFonts w:ascii="Times New Roman" w:hAnsi="Times New Roman" w:cs="Times New Roman"/>
          <w:sz w:val="24"/>
          <w:szCs w:val="24"/>
        </w:rPr>
        <w:t>Guler, 2007</w:t>
      </w:r>
      <w:r w:rsidR="00C51216" w:rsidRPr="005F1FD6">
        <w:rPr>
          <w:rFonts w:ascii="Times New Roman" w:hAnsi="Times New Roman" w:cs="Times New Roman"/>
          <w:sz w:val="24"/>
          <w:szCs w:val="24"/>
        </w:rPr>
        <w:t xml:space="preserve">). </w:t>
      </w:r>
      <w:r w:rsidR="00CF583C" w:rsidRPr="005F1FD6">
        <w:rPr>
          <w:rFonts w:ascii="Times New Roman" w:hAnsi="Times New Roman" w:cs="Times New Roman"/>
          <w:sz w:val="24"/>
          <w:szCs w:val="24"/>
        </w:rPr>
        <w:t>In line with</w:t>
      </w:r>
      <w:r w:rsidR="005E30D0" w:rsidRPr="005F1FD6">
        <w:rPr>
          <w:rFonts w:ascii="Times New Roman" w:hAnsi="Times New Roman" w:cs="Times New Roman"/>
          <w:sz w:val="24"/>
          <w:szCs w:val="24"/>
        </w:rPr>
        <w:t xml:space="preserve"> the VC literature, </w:t>
      </w:r>
      <w:r w:rsidR="00C51216" w:rsidRPr="005F1FD6">
        <w:rPr>
          <w:rFonts w:ascii="Times New Roman" w:hAnsi="Times New Roman" w:cs="Times New Roman"/>
          <w:sz w:val="24"/>
          <w:szCs w:val="24"/>
        </w:rPr>
        <w:t xml:space="preserve">IPOs are </w:t>
      </w:r>
      <w:r w:rsidR="005E30D0" w:rsidRPr="005F1FD6">
        <w:rPr>
          <w:rFonts w:ascii="Times New Roman" w:hAnsi="Times New Roman" w:cs="Times New Roman"/>
          <w:sz w:val="24"/>
          <w:szCs w:val="24"/>
        </w:rPr>
        <w:t>categorized as successful exits</w:t>
      </w:r>
      <w:r w:rsidR="00C51216" w:rsidRPr="005F1FD6">
        <w:rPr>
          <w:rFonts w:ascii="Times New Roman" w:hAnsi="Times New Roman" w:cs="Times New Roman"/>
          <w:sz w:val="24"/>
          <w:szCs w:val="24"/>
        </w:rPr>
        <w:t xml:space="preserve"> (Gompers, 1995). </w:t>
      </w:r>
      <w:r w:rsidR="00B469C3">
        <w:rPr>
          <w:rFonts w:ascii="Times New Roman" w:hAnsi="Times New Roman" w:cs="Times New Roman"/>
          <w:sz w:val="24"/>
          <w:szCs w:val="24"/>
        </w:rPr>
        <w:t>E</w:t>
      </w:r>
      <w:r w:rsidR="00C51216" w:rsidRPr="005F1FD6">
        <w:rPr>
          <w:rFonts w:ascii="Times New Roman" w:hAnsi="Times New Roman" w:cs="Times New Roman"/>
          <w:sz w:val="24"/>
          <w:szCs w:val="24"/>
        </w:rPr>
        <w:t>xits through a trade sale or a buy-out are commonly considered a successful exit (</w:t>
      </w:r>
      <w:r w:rsidR="00D25481" w:rsidRPr="005F1FD6">
        <w:rPr>
          <w:rFonts w:ascii="Times New Roman" w:hAnsi="Times New Roman" w:cs="Times New Roman"/>
          <w:sz w:val="24"/>
          <w:szCs w:val="24"/>
        </w:rPr>
        <w:t xml:space="preserve">Guler, 2007). </w:t>
      </w:r>
      <w:r w:rsidR="00C51216" w:rsidRPr="005F1FD6">
        <w:rPr>
          <w:rFonts w:ascii="Times New Roman" w:hAnsi="Times New Roman" w:cs="Times New Roman"/>
          <w:sz w:val="24"/>
          <w:szCs w:val="24"/>
        </w:rPr>
        <w:t xml:space="preserve">However, unsuccessful portfolio companies may </w:t>
      </w:r>
      <w:r w:rsidR="006E7AB7" w:rsidRPr="005F1FD6">
        <w:rPr>
          <w:rFonts w:ascii="Times New Roman" w:hAnsi="Times New Roman" w:cs="Times New Roman"/>
          <w:sz w:val="24"/>
          <w:szCs w:val="24"/>
        </w:rPr>
        <w:t xml:space="preserve">also </w:t>
      </w:r>
      <w:r w:rsidR="00C51216" w:rsidRPr="005F1FD6">
        <w:rPr>
          <w:rFonts w:ascii="Times New Roman" w:hAnsi="Times New Roman" w:cs="Times New Roman"/>
          <w:sz w:val="24"/>
          <w:szCs w:val="24"/>
        </w:rPr>
        <w:t>be sold</w:t>
      </w:r>
      <w:r w:rsidR="001932ED" w:rsidRPr="005F1FD6">
        <w:rPr>
          <w:rFonts w:ascii="Times New Roman" w:hAnsi="Times New Roman" w:cs="Times New Roman"/>
          <w:sz w:val="24"/>
          <w:szCs w:val="24"/>
        </w:rPr>
        <w:t xml:space="preserve"> for a nominal value</w:t>
      </w:r>
      <w:r w:rsidR="00C51216" w:rsidRPr="005F1FD6">
        <w:rPr>
          <w:rFonts w:ascii="Times New Roman" w:hAnsi="Times New Roman" w:cs="Times New Roman"/>
          <w:sz w:val="24"/>
          <w:szCs w:val="24"/>
        </w:rPr>
        <w:t xml:space="preserve"> to a trade or financial acquirer in a fire sale. </w:t>
      </w:r>
      <w:r w:rsidR="00C20FDC">
        <w:rPr>
          <w:rFonts w:ascii="Times New Roman" w:hAnsi="Times New Roman" w:cs="Times New Roman"/>
          <w:sz w:val="24"/>
          <w:szCs w:val="24"/>
        </w:rPr>
        <w:t>T</w:t>
      </w:r>
      <w:r w:rsidR="00B469C3">
        <w:rPr>
          <w:rFonts w:ascii="Times New Roman" w:hAnsi="Times New Roman" w:cs="Times New Roman"/>
          <w:sz w:val="24"/>
          <w:szCs w:val="24"/>
        </w:rPr>
        <w:t xml:space="preserve">o differentiate fire sales from successful exits, </w:t>
      </w:r>
      <w:r w:rsidR="001932ED" w:rsidRPr="005F1FD6">
        <w:rPr>
          <w:rFonts w:ascii="Times New Roman" w:hAnsi="Times New Roman" w:cs="Times New Roman"/>
          <w:sz w:val="24"/>
          <w:szCs w:val="24"/>
        </w:rPr>
        <w:t xml:space="preserve">we performed </w:t>
      </w:r>
      <w:r w:rsidR="00132F13" w:rsidRPr="005F1FD6">
        <w:rPr>
          <w:rFonts w:ascii="Times New Roman" w:hAnsi="Times New Roman" w:cs="Times New Roman"/>
          <w:sz w:val="24"/>
          <w:szCs w:val="24"/>
        </w:rPr>
        <w:t xml:space="preserve">bankruptcy-prediction type </w:t>
      </w:r>
      <w:r w:rsidR="001932ED" w:rsidRPr="005F1FD6">
        <w:rPr>
          <w:rFonts w:ascii="Times New Roman" w:hAnsi="Times New Roman" w:cs="Times New Roman"/>
          <w:sz w:val="24"/>
          <w:szCs w:val="24"/>
        </w:rPr>
        <w:t>analyse</w:t>
      </w:r>
      <w:r w:rsidR="00C51216" w:rsidRPr="005F1FD6">
        <w:rPr>
          <w:rFonts w:ascii="Times New Roman" w:hAnsi="Times New Roman" w:cs="Times New Roman"/>
          <w:sz w:val="24"/>
          <w:szCs w:val="24"/>
        </w:rPr>
        <w:t xml:space="preserve">s to classify trade sales and buy-outs as successful exits. </w:t>
      </w:r>
      <w:r w:rsidR="00EB1C8B" w:rsidRPr="005F1FD6">
        <w:rPr>
          <w:rFonts w:ascii="Times New Roman" w:hAnsi="Times New Roman" w:cs="Times New Roman"/>
          <w:sz w:val="24"/>
          <w:szCs w:val="24"/>
        </w:rPr>
        <w:t>This procedure is explained in more detail in Appendix A</w:t>
      </w:r>
      <w:r w:rsidR="007656F0">
        <w:rPr>
          <w:rFonts w:ascii="Times New Roman" w:hAnsi="Times New Roman" w:cs="Times New Roman"/>
          <w:sz w:val="24"/>
          <w:szCs w:val="24"/>
        </w:rPr>
        <w:t xml:space="preserve"> and resulted in 33% of the trade sales or buy-outs being classified as successful exits</w:t>
      </w:r>
      <w:r w:rsidR="00EB1C8B" w:rsidRPr="005F1FD6">
        <w:rPr>
          <w:rFonts w:ascii="Times New Roman" w:hAnsi="Times New Roman" w:cs="Times New Roman"/>
          <w:sz w:val="24"/>
          <w:szCs w:val="24"/>
        </w:rPr>
        <w:t xml:space="preserve">. </w:t>
      </w:r>
    </w:p>
    <w:p w14:paraId="3FC08F1E" w14:textId="1D175C32" w:rsidR="00C51216" w:rsidRPr="005F1FD6" w:rsidRDefault="004B5535" w:rsidP="007656F0">
      <w:pPr>
        <w:spacing w:after="0" w:line="480" w:lineRule="auto"/>
        <w:ind w:firstLine="432"/>
        <w:contextualSpacing/>
        <w:jc w:val="both"/>
        <w:rPr>
          <w:rFonts w:ascii="Times New Roman" w:hAnsi="Times New Roman" w:cs="Times New Roman"/>
          <w:sz w:val="24"/>
          <w:szCs w:val="24"/>
        </w:rPr>
      </w:pPr>
      <w:r>
        <w:rPr>
          <w:rFonts w:ascii="Times New Roman" w:hAnsi="Times New Roman" w:cs="Times New Roman"/>
          <w:sz w:val="24"/>
          <w:szCs w:val="24"/>
        </w:rPr>
        <w:t xml:space="preserve">We identified three ways in which a VC firm </w:t>
      </w:r>
      <w:r w:rsidR="00A637CE">
        <w:rPr>
          <w:rFonts w:ascii="Times New Roman" w:hAnsi="Times New Roman" w:cs="Times New Roman"/>
          <w:sz w:val="24"/>
          <w:szCs w:val="24"/>
        </w:rPr>
        <w:t>may</w:t>
      </w:r>
      <w:r>
        <w:rPr>
          <w:rFonts w:ascii="Times New Roman" w:hAnsi="Times New Roman" w:cs="Times New Roman"/>
          <w:sz w:val="24"/>
          <w:szCs w:val="24"/>
        </w:rPr>
        <w:t xml:space="preserve"> terminate its investment. </w:t>
      </w:r>
      <w:r w:rsidR="007656F0">
        <w:rPr>
          <w:rFonts w:ascii="Times New Roman" w:hAnsi="Times New Roman" w:cs="Times New Roman"/>
          <w:sz w:val="24"/>
          <w:szCs w:val="24"/>
        </w:rPr>
        <w:t>F</w:t>
      </w:r>
      <w:r w:rsidR="00C51216" w:rsidRPr="005F1FD6">
        <w:rPr>
          <w:rFonts w:ascii="Times New Roman" w:hAnsi="Times New Roman" w:cs="Times New Roman"/>
          <w:sz w:val="24"/>
          <w:szCs w:val="24"/>
        </w:rPr>
        <w:t>ollowing Guler (2007</w:t>
      </w:r>
      <w:r w:rsidR="00402761" w:rsidRPr="005F1FD6">
        <w:rPr>
          <w:rFonts w:ascii="Times New Roman" w:hAnsi="Times New Roman" w:cs="Times New Roman"/>
          <w:sz w:val="24"/>
          <w:szCs w:val="24"/>
        </w:rPr>
        <w:t>,</w:t>
      </w:r>
      <w:r w:rsidR="00C51216" w:rsidRPr="005F1FD6">
        <w:rPr>
          <w:rFonts w:ascii="Times New Roman" w:hAnsi="Times New Roman" w:cs="Times New Roman"/>
          <w:sz w:val="24"/>
          <w:szCs w:val="24"/>
        </w:rPr>
        <w:t xml:space="preserve"> p264) we coded a “VC</w:t>
      </w:r>
      <w:r w:rsidR="0013422C" w:rsidRPr="005F1FD6">
        <w:rPr>
          <w:rFonts w:ascii="Times New Roman" w:hAnsi="Times New Roman" w:cs="Times New Roman"/>
          <w:sz w:val="24"/>
          <w:szCs w:val="24"/>
        </w:rPr>
        <w:t xml:space="preserve"> firm</w:t>
      </w:r>
      <w:r w:rsidR="00C51216" w:rsidRPr="005F1FD6">
        <w:rPr>
          <w:rFonts w:ascii="Times New Roman" w:hAnsi="Times New Roman" w:cs="Times New Roman"/>
          <w:sz w:val="24"/>
          <w:szCs w:val="24"/>
        </w:rPr>
        <w:t>-investment relationship as terminated</w:t>
      </w:r>
      <w:r w:rsidR="00A3556C" w:rsidRPr="005F1FD6">
        <w:rPr>
          <w:rFonts w:ascii="Times New Roman" w:hAnsi="Times New Roman" w:cs="Times New Roman"/>
          <w:sz w:val="24"/>
          <w:szCs w:val="24"/>
        </w:rPr>
        <w:t xml:space="preserve"> if the VC </w:t>
      </w:r>
      <w:r w:rsidR="007A25F8" w:rsidRPr="005F1FD6">
        <w:rPr>
          <w:rFonts w:ascii="Times New Roman" w:hAnsi="Times New Roman" w:cs="Times New Roman"/>
          <w:sz w:val="24"/>
          <w:szCs w:val="24"/>
        </w:rPr>
        <w:t xml:space="preserve">firm </w:t>
      </w:r>
      <w:r w:rsidR="00C51216" w:rsidRPr="005F1FD6">
        <w:rPr>
          <w:rFonts w:ascii="Times New Roman" w:hAnsi="Times New Roman" w:cs="Times New Roman"/>
          <w:sz w:val="24"/>
          <w:szCs w:val="24"/>
        </w:rPr>
        <w:t>did not appear in any of the subsequent investment rounds</w:t>
      </w:r>
      <w:r>
        <w:rPr>
          <w:rFonts w:ascii="Times New Roman" w:hAnsi="Times New Roman" w:cs="Times New Roman"/>
          <w:sz w:val="24"/>
          <w:szCs w:val="24"/>
        </w:rPr>
        <w:t>.”</w:t>
      </w:r>
      <w:r w:rsidR="00C51216" w:rsidRPr="005F1FD6">
        <w:rPr>
          <w:rFonts w:ascii="Times New Roman" w:hAnsi="Times New Roman" w:cs="Times New Roman"/>
          <w:sz w:val="24"/>
          <w:szCs w:val="24"/>
        </w:rPr>
        <w:t xml:space="preserve"> </w:t>
      </w:r>
      <w:r>
        <w:rPr>
          <w:rFonts w:ascii="Times New Roman" w:hAnsi="Times New Roman" w:cs="Times New Roman"/>
          <w:sz w:val="24"/>
          <w:szCs w:val="24"/>
        </w:rPr>
        <w:t>W</w:t>
      </w:r>
      <w:r w:rsidR="00C51216" w:rsidRPr="005F1FD6">
        <w:rPr>
          <w:rFonts w:ascii="Times New Roman" w:hAnsi="Times New Roman" w:cs="Times New Roman"/>
          <w:sz w:val="24"/>
          <w:szCs w:val="24"/>
        </w:rPr>
        <w:t xml:space="preserve">e assumed that the </w:t>
      </w:r>
      <w:r w:rsidR="00A637CE">
        <w:rPr>
          <w:rFonts w:ascii="Times New Roman" w:hAnsi="Times New Roman" w:cs="Times New Roman"/>
          <w:sz w:val="24"/>
          <w:szCs w:val="24"/>
        </w:rPr>
        <w:t xml:space="preserve">termination </w:t>
      </w:r>
      <w:r w:rsidR="00C51216" w:rsidRPr="005F1FD6">
        <w:rPr>
          <w:rFonts w:ascii="Times New Roman" w:hAnsi="Times New Roman" w:cs="Times New Roman"/>
          <w:sz w:val="24"/>
          <w:szCs w:val="24"/>
        </w:rPr>
        <w:t xml:space="preserve">event occurred </w:t>
      </w:r>
      <w:r w:rsidR="00A637CE">
        <w:rPr>
          <w:rFonts w:ascii="Times New Roman" w:hAnsi="Times New Roman" w:cs="Times New Roman"/>
          <w:sz w:val="24"/>
          <w:szCs w:val="24"/>
        </w:rPr>
        <w:t>“</w:t>
      </w:r>
      <w:r w:rsidR="00C51216" w:rsidRPr="005F1FD6">
        <w:rPr>
          <w:rFonts w:ascii="Times New Roman" w:hAnsi="Times New Roman" w:cs="Times New Roman"/>
          <w:sz w:val="24"/>
          <w:szCs w:val="24"/>
        </w:rPr>
        <w:t>at the earliest round date at which the VC</w:t>
      </w:r>
      <w:r w:rsidR="007A25F8" w:rsidRPr="005F1FD6">
        <w:rPr>
          <w:rFonts w:ascii="Times New Roman" w:hAnsi="Times New Roman" w:cs="Times New Roman"/>
          <w:sz w:val="24"/>
          <w:szCs w:val="24"/>
        </w:rPr>
        <w:t xml:space="preserve"> firm</w:t>
      </w:r>
      <w:r w:rsidR="00C51216" w:rsidRPr="005F1FD6">
        <w:rPr>
          <w:rFonts w:ascii="Times New Roman" w:hAnsi="Times New Roman" w:cs="Times New Roman"/>
          <w:sz w:val="24"/>
          <w:szCs w:val="24"/>
        </w:rPr>
        <w:t xml:space="preserve"> no longer appeared as an investor”</w:t>
      </w:r>
      <w:r w:rsidR="00A637CE">
        <w:rPr>
          <w:rFonts w:ascii="Times New Roman" w:hAnsi="Times New Roman" w:cs="Times New Roman"/>
          <w:sz w:val="24"/>
          <w:szCs w:val="24"/>
        </w:rPr>
        <w:t xml:space="preserve"> (Guler, 2007, p. 264)</w:t>
      </w:r>
      <w:r w:rsidR="00C51216" w:rsidRPr="005F1FD6">
        <w:rPr>
          <w:rFonts w:ascii="Times New Roman" w:hAnsi="Times New Roman" w:cs="Times New Roman"/>
          <w:sz w:val="24"/>
          <w:szCs w:val="24"/>
        </w:rPr>
        <w:t xml:space="preserve">. </w:t>
      </w:r>
      <w:r w:rsidR="00A637CE">
        <w:rPr>
          <w:rFonts w:ascii="Times New Roman" w:hAnsi="Times New Roman" w:cs="Times New Roman"/>
          <w:sz w:val="24"/>
          <w:szCs w:val="24"/>
        </w:rPr>
        <w:t>Second, we assumed that a VC firm terminated its relationship</w:t>
      </w:r>
      <w:r w:rsidRPr="005F1FD6">
        <w:rPr>
          <w:rFonts w:ascii="Times New Roman" w:hAnsi="Times New Roman" w:cs="Times New Roman"/>
          <w:sz w:val="24"/>
          <w:szCs w:val="24"/>
        </w:rPr>
        <w:t xml:space="preserve"> if the focal round was also the final round of </w:t>
      </w:r>
      <w:r w:rsidR="008055D5">
        <w:rPr>
          <w:rFonts w:ascii="Times New Roman" w:hAnsi="Times New Roman" w:cs="Times New Roman"/>
          <w:sz w:val="24"/>
          <w:szCs w:val="24"/>
        </w:rPr>
        <w:t>financing, suggesting investment inactivity</w:t>
      </w:r>
      <w:r w:rsidRPr="005F1FD6">
        <w:rPr>
          <w:rFonts w:ascii="Times New Roman" w:hAnsi="Times New Roman" w:cs="Times New Roman"/>
          <w:sz w:val="24"/>
          <w:szCs w:val="24"/>
        </w:rPr>
        <w:t xml:space="preserve">. </w:t>
      </w:r>
      <w:r w:rsidR="00C20FDC">
        <w:rPr>
          <w:rFonts w:ascii="Times New Roman" w:hAnsi="Times New Roman" w:cs="Times New Roman"/>
          <w:sz w:val="24"/>
          <w:szCs w:val="24"/>
        </w:rPr>
        <w:t>W</w:t>
      </w:r>
      <w:r w:rsidR="00A637CE">
        <w:rPr>
          <w:rFonts w:ascii="Times New Roman" w:hAnsi="Times New Roman" w:cs="Times New Roman"/>
          <w:sz w:val="24"/>
          <w:szCs w:val="24"/>
        </w:rPr>
        <w:t xml:space="preserve">e </w:t>
      </w:r>
      <w:r w:rsidR="00402C7A">
        <w:rPr>
          <w:rFonts w:ascii="Times New Roman" w:hAnsi="Times New Roman" w:cs="Times New Roman"/>
          <w:sz w:val="24"/>
          <w:szCs w:val="24"/>
        </w:rPr>
        <w:t xml:space="preserve">classified an investment round as final if no new financing round or exit was observed </w:t>
      </w:r>
      <w:r w:rsidR="00C51216" w:rsidRPr="005F1FD6">
        <w:rPr>
          <w:rFonts w:ascii="Times New Roman" w:hAnsi="Times New Roman" w:cs="Times New Roman"/>
          <w:sz w:val="24"/>
          <w:szCs w:val="24"/>
        </w:rPr>
        <w:t xml:space="preserve">within 1888 days after the </w:t>
      </w:r>
      <w:r w:rsidR="00402C7A">
        <w:rPr>
          <w:rFonts w:ascii="Times New Roman" w:hAnsi="Times New Roman" w:cs="Times New Roman"/>
          <w:sz w:val="24"/>
          <w:szCs w:val="24"/>
        </w:rPr>
        <w:t>focal</w:t>
      </w:r>
      <w:r w:rsidR="007924B9">
        <w:rPr>
          <w:rFonts w:ascii="Times New Roman" w:hAnsi="Times New Roman" w:cs="Times New Roman"/>
          <w:sz w:val="24"/>
          <w:szCs w:val="24"/>
        </w:rPr>
        <w:t xml:space="preserve"> round of financing</w:t>
      </w:r>
      <w:r w:rsidR="00C51216" w:rsidRPr="005F1FD6">
        <w:rPr>
          <w:rFonts w:ascii="Times New Roman" w:hAnsi="Times New Roman" w:cs="Times New Roman"/>
          <w:sz w:val="24"/>
          <w:szCs w:val="24"/>
        </w:rPr>
        <w:t xml:space="preserve"> </w:t>
      </w:r>
      <w:r w:rsidR="007924B9">
        <w:rPr>
          <w:rFonts w:ascii="Times New Roman" w:hAnsi="Times New Roman" w:cs="Times New Roman"/>
          <w:sz w:val="24"/>
          <w:szCs w:val="24"/>
        </w:rPr>
        <w:t>(</w:t>
      </w:r>
      <w:r w:rsidR="00C51216" w:rsidRPr="005F1FD6">
        <w:rPr>
          <w:rFonts w:ascii="Times New Roman" w:hAnsi="Times New Roman" w:cs="Times New Roman"/>
          <w:sz w:val="24"/>
          <w:szCs w:val="24"/>
        </w:rPr>
        <w:t xml:space="preserve">with 1888 days being the 75 percentile time to exit </w:t>
      </w:r>
      <w:r w:rsidR="008F15EA">
        <w:rPr>
          <w:rFonts w:ascii="Times New Roman" w:hAnsi="Times New Roman" w:cs="Times New Roman"/>
          <w:sz w:val="24"/>
          <w:szCs w:val="24"/>
        </w:rPr>
        <w:t>or to a following round in our</w:t>
      </w:r>
      <w:r w:rsidR="00C51216" w:rsidRPr="005F1FD6">
        <w:rPr>
          <w:rFonts w:ascii="Times New Roman" w:hAnsi="Times New Roman" w:cs="Times New Roman"/>
          <w:sz w:val="24"/>
          <w:szCs w:val="24"/>
        </w:rPr>
        <w:t xml:space="preserve"> sample</w:t>
      </w:r>
      <w:r w:rsidR="007924B9">
        <w:rPr>
          <w:rFonts w:ascii="Times New Roman" w:hAnsi="Times New Roman" w:cs="Times New Roman"/>
          <w:sz w:val="24"/>
          <w:szCs w:val="24"/>
        </w:rPr>
        <w:t>) and if the 1888 days cut-off occurred before the end of our observation period (31/12/2011)</w:t>
      </w:r>
      <w:r w:rsidR="00C20FDC">
        <w:rPr>
          <w:rFonts w:ascii="Times New Roman" w:hAnsi="Times New Roman" w:cs="Times New Roman"/>
          <w:sz w:val="24"/>
          <w:szCs w:val="24"/>
        </w:rPr>
        <w:t xml:space="preserve"> (Guler, 2007)</w:t>
      </w:r>
      <w:r w:rsidR="00C51216" w:rsidRPr="005F1FD6">
        <w:rPr>
          <w:rFonts w:ascii="Times New Roman" w:hAnsi="Times New Roman" w:cs="Times New Roman"/>
          <w:sz w:val="24"/>
          <w:szCs w:val="24"/>
        </w:rPr>
        <w:t>.</w:t>
      </w:r>
      <w:r w:rsidR="000A36BC">
        <w:rPr>
          <w:rFonts w:ascii="Times New Roman" w:hAnsi="Times New Roman" w:cs="Times New Roman"/>
          <w:sz w:val="24"/>
          <w:szCs w:val="24"/>
        </w:rPr>
        <w:t xml:space="preserve"> The termination event was then estimated as occurring 1888 </w:t>
      </w:r>
      <w:r w:rsidR="00DD6610">
        <w:rPr>
          <w:rFonts w:ascii="Times New Roman" w:hAnsi="Times New Roman" w:cs="Times New Roman"/>
          <w:sz w:val="24"/>
          <w:szCs w:val="24"/>
        </w:rPr>
        <w:t xml:space="preserve">days </w:t>
      </w:r>
      <w:r w:rsidR="000A36BC">
        <w:rPr>
          <w:rFonts w:ascii="Times New Roman" w:hAnsi="Times New Roman" w:cs="Times New Roman"/>
          <w:sz w:val="24"/>
          <w:szCs w:val="24"/>
        </w:rPr>
        <w:t>after the focal round.</w:t>
      </w:r>
      <w:r w:rsidR="00C51216" w:rsidRPr="005F1FD6">
        <w:rPr>
          <w:rFonts w:ascii="Times New Roman" w:hAnsi="Times New Roman" w:cs="Times New Roman"/>
          <w:sz w:val="24"/>
          <w:szCs w:val="24"/>
        </w:rPr>
        <w:t xml:space="preserve"> </w:t>
      </w:r>
      <w:r w:rsidR="00A637CE">
        <w:rPr>
          <w:rFonts w:ascii="Times New Roman" w:hAnsi="Times New Roman" w:cs="Times New Roman"/>
          <w:sz w:val="24"/>
          <w:szCs w:val="24"/>
        </w:rPr>
        <w:t>Third</w:t>
      </w:r>
      <w:r>
        <w:rPr>
          <w:rFonts w:ascii="Times New Roman" w:hAnsi="Times New Roman" w:cs="Times New Roman"/>
          <w:sz w:val="24"/>
          <w:szCs w:val="24"/>
        </w:rPr>
        <w:t xml:space="preserve">, </w:t>
      </w:r>
      <w:r w:rsidR="006F3E50">
        <w:rPr>
          <w:rFonts w:ascii="Times New Roman" w:hAnsi="Times New Roman" w:cs="Times New Roman"/>
          <w:sz w:val="24"/>
          <w:szCs w:val="24"/>
        </w:rPr>
        <w:t xml:space="preserve">unsuccessful exits, including </w:t>
      </w:r>
      <w:r>
        <w:rPr>
          <w:rFonts w:ascii="Times New Roman" w:hAnsi="Times New Roman" w:cs="Times New Roman"/>
          <w:sz w:val="24"/>
          <w:szCs w:val="24"/>
        </w:rPr>
        <w:t>l</w:t>
      </w:r>
      <w:r w:rsidRPr="005F1FD6">
        <w:rPr>
          <w:rFonts w:ascii="Times New Roman" w:hAnsi="Times New Roman" w:cs="Times New Roman"/>
          <w:sz w:val="24"/>
          <w:szCs w:val="24"/>
        </w:rPr>
        <w:t>iquidations, bankruptcies</w:t>
      </w:r>
      <w:r w:rsidR="00F72BDE">
        <w:rPr>
          <w:rFonts w:ascii="Times New Roman" w:hAnsi="Times New Roman" w:cs="Times New Roman"/>
          <w:sz w:val="24"/>
          <w:szCs w:val="24"/>
        </w:rPr>
        <w:t>,</w:t>
      </w:r>
      <w:r w:rsidRPr="005F1FD6">
        <w:rPr>
          <w:rFonts w:ascii="Times New Roman" w:hAnsi="Times New Roman" w:cs="Times New Roman"/>
          <w:sz w:val="24"/>
          <w:szCs w:val="24"/>
        </w:rPr>
        <w:t xml:space="preserve"> buy-backs</w:t>
      </w:r>
      <w:r w:rsidR="00F72BDE">
        <w:rPr>
          <w:rFonts w:ascii="Times New Roman" w:hAnsi="Times New Roman" w:cs="Times New Roman"/>
          <w:sz w:val="24"/>
          <w:szCs w:val="24"/>
        </w:rPr>
        <w:t xml:space="preserve"> </w:t>
      </w:r>
      <w:r w:rsidRPr="005F1FD6">
        <w:rPr>
          <w:rFonts w:ascii="Times New Roman" w:hAnsi="Times New Roman" w:cs="Times New Roman"/>
          <w:sz w:val="24"/>
          <w:szCs w:val="24"/>
        </w:rPr>
        <w:t xml:space="preserve">by entrepreneurs </w:t>
      </w:r>
      <w:r w:rsidR="00F72BDE">
        <w:rPr>
          <w:rFonts w:ascii="Times New Roman" w:hAnsi="Times New Roman" w:cs="Times New Roman"/>
          <w:sz w:val="24"/>
          <w:szCs w:val="24"/>
        </w:rPr>
        <w:t>and fire sales</w:t>
      </w:r>
      <w:r w:rsidR="006F3E50">
        <w:rPr>
          <w:rFonts w:ascii="Times New Roman" w:hAnsi="Times New Roman" w:cs="Times New Roman"/>
          <w:sz w:val="24"/>
          <w:szCs w:val="24"/>
        </w:rPr>
        <w:t>,</w:t>
      </w:r>
      <w:r w:rsidR="00F72BDE" w:rsidRPr="005F1FD6">
        <w:rPr>
          <w:rFonts w:ascii="Times New Roman" w:hAnsi="Times New Roman" w:cs="Times New Roman"/>
          <w:sz w:val="24"/>
          <w:szCs w:val="24"/>
        </w:rPr>
        <w:t xml:space="preserve"> </w:t>
      </w:r>
      <w:r w:rsidRPr="005F1FD6">
        <w:rPr>
          <w:rFonts w:ascii="Times New Roman" w:hAnsi="Times New Roman" w:cs="Times New Roman"/>
          <w:sz w:val="24"/>
          <w:szCs w:val="24"/>
        </w:rPr>
        <w:t xml:space="preserve">are </w:t>
      </w:r>
      <w:r>
        <w:rPr>
          <w:rFonts w:ascii="Times New Roman" w:hAnsi="Times New Roman" w:cs="Times New Roman"/>
          <w:sz w:val="24"/>
          <w:szCs w:val="24"/>
        </w:rPr>
        <w:t xml:space="preserve">also </w:t>
      </w:r>
      <w:r w:rsidRPr="005F1FD6">
        <w:rPr>
          <w:rFonts w:ascii="Times New Roman" w:hAnsi="Times New Roman" w:cs="Times New Roman"/>
          <w:sz w:val="24"/>
          <w:szCs w:val="24"/>
        </w:rPr>
        <w:t xml:space="preserve">classified as </w:t>
      </w:r>
      <w:r>
        <w:rPr>
          <w:rFonts w:ascii="Times New Roman" w:hAnsi="Times New Roman" w:cs="Times New Roman"/>
          <w:sz w:val="24"/>
          <w:szCs w:val="24"/>
        </w:rPr>
        <w:t>terminated</w:t>
      </w:r>
      <w:r w:rsidR="006F3E50">
        <w:rPr>
          <w:rFonts w:ascii="Times New Roman" w:hAnsi="Times New Roman" w:cs="Times New Roman"/>
          <w:sz w:val="24"/>
          <w:szCs w:val="24"/>
        </w:rPr>
        <w:t xml:space="preserve">, as these are mostly caused by the </w:t>
      </w:r>
      <w:r w:rsidR="006F3E50">
        <w:rPr>
          <w:rFonts w:ascii="Times New Roman" w:hAnsi="Times New Roman" w:cs="Times New Roman"/>
          <w:sz w:val="24"/>
          <w:szCs w:val="24"/>
        </w:rPr>
        <w:lastRenderedPageBreak/>
        <w:t>reluctance of the VC firms to further support the venture</w:t>
      </w:r>
      <w:r w:rsidR="006F3E50">
        <w:rPr>
          <w:rStyle w:val="FootnoteReference"/>
          <w:rFonts w:ascii="Times New Roman" w:hAnsi="Times New Roman" w:cs="Times New Roman"/>
          <w:sz w:val="24"/>
          <w:szCs w:val="24"/>
        </w:rPr>
        <w:footnoteReference w:id="5"/>
      </w:r>
      <w:r w:rsidR="006F3E50">
        <w:rPr>
          <w:rFonts w:ascii="Times New Roman" w:hAnsi="Times New Roman" w:cs="Times New Roman"/>
          <w:sz w:val="24"/>
          <w:szCs w:val="24"/>
        </w:rPr>
        <w:t xml:space="preserve">. We assumed that the termination event occurred </w:t>
      </w:r>
      <w:r w:rsidR="00C20FDC">
        <w:rPr>
          <w:rFonts w:ascii="Times New Roman" w:hAnsi="Times New Roman" w:cs="Times New Roman"/>
          <w:sz w:val="24"/>
          <w:szCs w:val="24"/>
        </w:rPr>
        <w:t>on</w:t>
      </w:r>
      <w:r w:rsidR="006F3E50">
        <w:rPr>
          <w:rFonts w:ascii="Times New Roman" w:hAnsi="Times New Roman" w:cs="Times New Roman"/>
          <w:sz w:val="24"/>
          <w:szCs w:val="24"/>
        </w:rPr>
        <w:t xml:space="preserve"> unsuccessful exit.</w:t>
      </w:r>
      <w:r w:rsidR="005E08DD">
        <w:rPr>
          <w:rFonts w:ascii="Times New Roman" w:hAnsi="Times New Roman" w:cs="Times New Roman"/>
          <w:sz w:val="24"/>
          <w:szCs w:val="24"/>
        </w:rPr>
        <w:t xml:space="preserve"> </w:t>
      </w:r>
    </w:p>
    <w:p w14:paraId="593F461E" w14:textId="77777777" w:rsidR="00FC761C" w:rsidRDefault="001E7913" w:rsidP="001E7913">
      <w:pPr>
        <w:spacing w:after="0" w:line="480" w:lineRule="auto"/>
        <w:ind w:firstLine="432"/>
        <w:jc w:val="both"/>
        <w:rPr>
          <w:rFonts w:ascii="Melior" w:hAnsi="Melior" w:cs="Melior"/>
          <w:sz w:val="18"/>
          <w:szCs w:val="18"/>
        </w:rPr>
      </w:pPr>
      <w:r>
        <w:rPr>
          <w:rFonts w:ascii="Times New Roman" w:hAnsi="Times New Roman" w:cs="Times New Roman"/>
          <w:sz w:val="24"/>
          <w:szCs w:val="24"/>
        </w:rPr>
        <w:t>Fewer VC-portfolio company pairs lead to successful exits (634 or 29.7%) compared to termination</w:t>
      </w:r>
      <w:r w:rsidR="00946D1B">
        <w:rPr>
          <w:rFonts w:ascii="Times New Roman" w:hAnsi="Times New Roman" w:cs="Times New Roman"/>
          <w:sz w:val="24"/>
          <w:szCs w:val="24"/>
        </w:rPr>
        <w:t>s</w:t>
      </w:r>
      <w:r>
        <w:rPr>
          <w:rFonts w:ascii="Times New Roman" w:hAnsi="Times New Roman" w:cs="Times New Roman"/>
          <w:sz w:val="24"/>
          <w:szCs w:val="24"/>
        </w:rPr>
        <w:t xml:space="preserve"> (</w:t>
      </w:r>
      <w:r w:rsidR="00CE2CD8" w:rsidRPr="005F1FD6">
        <w:rPr>
          <w:rFonts w:ascii="Times New Roman" w:hAnsi="Times New Roman" w:cs="Times New Roman"/>
          <w:sz w:val="24"/>
          <w:szCs w:val="24"/>
        </w:rPr>
        <w:t>998</w:t>
      </w:r>
      <w:r>
        <w:rPr>
          <w:rFonts w:ascii="Times New Roman" w:hAnsi="Times New Roman" w:cs="Times New Roman"/>
          <w:sz w:val="24"/>
          <w:szCs w:val="24"/>
        </w:rPr>
        <w:t xml:space="preserve"> or </w:t>
      </w:r>
      <w:r w:rsidR="006B3F80" w:rsidRPr="005F1FD6">
        <w:rPr>
          <w:rFonts w:ascii="Times New Roman" w:hAnsi="Times New Roman" w:cs="Times New Roman"/>
          <w:sz w:val="24"/>
          <w:szCs w:val="24"/>
        </w:rPr>
        <w:t>4</w:t>
      </w:r>
      <w:r w:rsidR="00CE2CD8" w:rsidRPr="005F1FD6">
        <w:rPr>
          <w:rFonts w:ascii="Times New Roman" w:hAnsi="Times New Roman" w:cs="Times New Roman"/>
          <w:sz w:val="24"/>
          <w:szCs w:val="24"/>
        </w:rPr>
        <w:t>6</w:t>
      </w:r>
      <w:r w:rsidR="00C51216" w:rsidRPr="005F1FD6">
        <w:rPr>
          <w:rFonts w:ascii="Times New Roman" w:hAnsi="Times New Roman" w:cs="Times New Roman"/>
          <w:sz w:val="24"/>
          <w:szCs w:val="24"/>
        </w:rPr>
        <w:t>.</w:t>
      </w:r>
      <w:r>
        <w:rPr>
          <w:rFonts w:ascii="Times New Roman" w:hAnsi="Times New Roman" w:cs="Times New Roman"/>
          <w:sz w:val="24"/>
          <w:szCs w:val="24"/>
        </w:rPr>
        <w:t>7</w:t>
      </w:r>
      <w:r w:rsidR="00C51216" w:rsidRPr="005F1FD6">
        <w:rPr>
          <w:rFonts w:ascii="Times New Roman" w:hAnsi="Times New Roman" w:cs="Times New Roman"/>
          <w:sz w:val="24"/>
          <w:szCs w:val="24"/>
        </w:rPr>
        <w:t>%).</w:t>
      </w:r>
      <w:r w:rsidR="00326D4E" w:rsidRPr="005F1FD6">
        <w:rPr>
          <w:rFonts w:ascii="Times New Roman" w:hAnsi="Times New Roman" w:cs="Times New Roman"/>
          <w:sz w:val="24"/>
          <w:szCs w:val="24"/>
        </w:rPr>
        <w:t xml:space="preserve"> </w:t>
      </w:r>
      <w:r w:rsidR="00C20FDC">
        <w:rPr>
          <w:rFonts w:ascii="Times New Roman" w:hAnsi="Times New Roman" w:cs="Times New Roman"/>
          <w:sz w:val="24"/>
          <w:szCs w:val="24"/>
        </w:rPr>
        <w:t>R</w:t>
      </w:r>
      <w:r w:rsidR="007D1C45">
        <w:rPr>
          <w:rFonts w:ascii="Times New Roman" w:hAnsi="Times New Roman" w:cs="Times New Roman"/>
          <w:sz w:val="24"/>
          <w:szCs w:val="24"/>
        </w:rPr>
        <w:t>emain</w:t>
      </w:r>
      <w:r w:rsidR="00CA65A8">
        <w:rPr>
          <w:rFonts w:ascii="Times New Roman" w:hAnsi="Times New Roman" w:cs="Times New Roman"/>
          <w:sz w:val="24"/>
          <w:szCs w:val="24"/>
        </w:rPr>
        <w:t>ing</w:t>
      </w:r>
      <w:r>
        <w:rPr>
          <w:rFonts w:ascii="Times New Roman" w:hAnsi="Times New Roman" w:cs="Times New Roman"/>
          <w:sz w:val="24"/>
          <w:szCs w:val="24"/>
        </w:rPr>
        <w:t xml:space="preserve"> observations </w:t>
      </w:r>
      <w:r w:rsidR="007D1C45">
        <w:rPr>
          <w:rFonts w:ascii="Times New Roman" w:hAnsi="Times New Roman" w:cs="Times New Roman"/>
          <w:sz w:val="24"/>
          <w:szCs w:val="24"/>
        </w:rPr>
        <w:t xml:space="preserve">are </w:t>
      </w:r>
      <w:r w:rsidR="0017162F">
        <w:rPr>
          <w:rFonts w:ascii="Times New Roman" w:hAnsi="Times New Roman" w:cs="Times New Roman"/>
          <w:sz w:val="24"/>
          <w:szCs w:val="24"/>
        </w:rPr>
        <w:t>right</w:t>
      </w:r>
      <w:r w:rsidR="007D1C45">
        <w:rPr>
          <w:rFonts w:ascii="Times New Roman" w:hAnsi="Times New Roman" w:cs="Times New Roman"/>
          <w:sz w:val="24"/>
          <w:szCs w:val="24"/>
        </w:rPr>
        <w:t xml:space="preserve"> censored</w:t>
      </w:r>
      <w:r w:rsidR="000A36BC">
        <w:rPr>
          <w:rFonts w:ascii="Times New Roman" w:hAnsi="Times New Roman" w:cs="Times New Roman"/>
          <w:sz w:val="24"/>
          <w:szCs w:val="24"/>
        </w:rPr>
        <w:t>, for whom no exit or termination has occurred at the end of the observation period</w:t>
      </w:r>
      <w:r w:rsidR="007D1C45">
        <w:rPr>
          <w:rFonts w:ascii="Times New Roman" w:hAnsi="Times New Roman" w:cs="Times New Roman"/>
          <w:sz w:val="24"/>
          <w:szCs w:val="24"/>
        </w:rPr>
        <w:t xml:space="preserve">. </w:t>
      </w:r>
      <w:r w:rsidR="008E2EBA" w:rsidRPr="005F1FD6">
        <w:rPr>
          <w:rFonts w:ascii="Times New Roman" w:hAnsi="Times New Roman" w:cs="Times New Roman"/>
          <w:sz w:val="24"/>
          <w:szCs w:val="24"/>
        </w:rPr>
        <w:t xml:space="preserve">The ratio of successful </w:t>
      </w:r>
      <w:r w:rsidR="00A873E4">
        <w:rPr>
          <w:rFonts w:ascii="Times New Roman" w:hAnsi="Times New Roman" w:cs="Times New Roman"/>
          <w:sz w:val="24"/>
          <w:szCs w:val="24"/>
        </w:rPr>
        <w:t xml:space="preserve">exits </w:t>
      </w:r>
      <w:r w:rsidR="008E2EBA" w:rsidRPr="005F1FD6">
        <w:rPr>
          <w:rFonts w:ascii="Times New Roman" w:hAnsi="Times New Roman" w:cs="Times New Roman"/>
          <w:sz w:val="24"/>
          <w:szCs w:val="24"/>
        </w:rPr>
        <w:t xml:space="preserve">versus </w:t>
      </w:r>
      <w:r w:rsidR="00A873E4">
        <w:rPr>
          <w:rFonts w:ascii="Times New Roman" w:hAnsi="Times New Roman" w:cs="Times New Roman"/>
          <w:sz w:val="24"/>
          <w:szCs w:val="24"/>
        </w:rPr>
        <w:t>terminations</w:t>
      </w:r>
      <w:r w:rsidR="008E2EBA" w:rsidRPr="005F1FD6">
        <w:rPr>
          <w:rFonts w:ascii="Times New Roman" w:hAnsi="Times New Roman" w:cs="Times New Roman"/>
          <w:sz w:val="24"/>
          <w:szCs w:val="24"/>
        </w:rPr>
        <w:t xml:space="preserve"> is 0.6</w:t>
      </w:r>
      <w:r w:rsidR="00DE66D4" w:rsidRPr="005F1FD6">
        <w:rPr>
          <w:rFonts w:ascii="Times New Roman" w:hAnsi="Times New Roman" w:cs="Times New Roman"/>
          <w:sz w:val="24"/>
          <w:szCs w:val="24"/>
        </w:rPr>
        <w:t>4</w:t>
      </w:r>
      <w:r w:rsidR="008E2EBA" w:rsidRPr="005F1FD6">
        <w:rPr>
          <w:rFonts w:ascii="Times New Roman" w:hAnsi="Times New Roman" w:cs="Times New Roman"/>
          <w:sz w:val="24"/>
          <w:szCs w:val="24"/>
        </w:rPr>
        <w:t xml:space="preserve"> for the full sample, but higher</w:t>
      </w:r>
      <w:r w:rsidR="00A873E4">
        <w:rPr>
          <w:rFonts w:ascii="Times New Roman" w:hAnsi="Times New Roman" w:cs="Times New Roman"/>
          <w:sz w:val="24"/>
          <w:szCs w:val="24"/>
        </w:rPr>
        <w:t xml:space="preserve"> for cross-border VC (0.76) and branch VC investment pairs</w:t>
      </w:r>
      <w:r w:rsidR="008E2EBA" w:rsidRPr="005F1FD6">
        <w:rPr>
          <w:rFonts w:ascii="Times New Roman" w:hAnsi="Times New Roman" w:cs="Times New Roman"/>
          <w:sz w:val="24"/>
          <w:szCs w:val="24"/>
        </w:rPr>
        <w:t xml:space="preserve"> (0.86).</w:t>
      </w:r>
      <w:r w:rsidR="006F1E02" w:rsidRPr="005F1FD6">
        <w:rPr>
          <w:rFonts w:ascii="Times New Roman" w:hAnsi="Times New Roman" w:cs="Times New Roman"/>
          <w:sz w:val="24"/>
          <w:szCs w:val="24"/>
        </w:rPr>
        <w:t xml:space="preserve"> </w:t>
      </w:r>
      <w:r w:rsidR="00C51216" w:rsidRPr="005F1FD6">
        <w:rPr>
          <w:rFonts w:ascii="Times New Roman" w:hAnsi="Times New Roman" w:cs="Times New Roman"/>
          <w:sz w:val="24"/>
          <w:szCs w:val="24"/>
        </w:rPr>
        <w:t>The</w:t>
      </w:r>
      <w:r w:rsidR="00777E8E" w:rsidRPr="005F1FD6">
        <w:rPr>
          <w:rFonts w:ascii="Times New Roman" w:hAnsi="Times New Roman" w:cs="Times New Roman"/>
          <w:sz w:val="24"/>
          <w:szCs w:val="24"/>
        </w:rPr>
        <w:t xml:space="preserve"> </w:t>
      </w:r>
      <w:r w:rsidR="007B4257" w:rsidRPr="005F1FD6">
        <w:rPr>
          <w:rFonts w:ascii="Times New Roman" w:hAnsi="Times New Roman" w:cs="Times New Roman"/>
          <w:sz w:val="24"/>
          <w:szCs w:val="24"/>
        </w:rPr>
        <w:t xml:space="preserve">dependent variable </w:t>
      </w:r>
      <w:r w:rsidR="00C51216" w:rsidRPr="005F1FD6">
        <w:rPr>
          <w:rFonts w:ascii="Times New Roman" w:hAnsi="Times New Roman" w:cs="Times New Roman"/>
          <w:sz w:val="24"/>
          <w:szCs w:val="24"/>
        </w:rPr>
        <w:t>measures the time in months from a VC</w:t>
      </w:r>
      <w:r w:rsidR="007B4257" w:rsidRPr="005F1FD6">
        <w:rPr>
          <w:rFonts w:ascii="Times New Roman" w:hAnsi="Times New Roman" w:cs="Times New Roman"/>
          <w:sz w:val="24"/>
          <w:szCs w:val="24"/>
        </w:rPr>
        <w:t xml:space="preserve"> firm</w:t>
      </w:r>
      <w:r w:rsidR="00C51216" w:rsidRPr="005F1FD6">
        <w:rPr>
          <w:rFonts w:ascii="Times New Roman" w:hAnsi="Times New Roman" w:cs="Times New Roman"/>
          <w:sz w:val="24"/>
          <w:szCs w:val="24"/>
        </w:rPr>
        <w:t>’s first investment date in a specific portfolio compan</w:t>
      </w:r>
      <w:r w:rsidR="00A3556C" w:rsidRPr="005F1FD6">
        <w:rPr>
          <w:rFonts w:ascii="Times New Roman" w:hAnsi="Times New Roman" w:cs="Times New Roman"/>
          <w:sz w:val="24"/>
          <w:szCs w:val="24"/>
        </w:rPr>
        <w:t xml:space="preserve">y until </w:t>
      </w:r>
      <w:r w:rsidR="0017162F">
        <w:rPr>
          <w:rFonts w:ascii="Times New Roman" w:hAnsi="Times New Roman" w:cs="Times New Roman"/>
          <w:sz w:val="24"/>
          <w:szCs w:val="24"/>
        </w:rPr>
        <w:t xml:space="preserve">termination or </w:t>
      </w:r>
      <w:r w:rsidR="007E7156">
        <w:rPr>
          <w:rFonts w:ascii="Times New Roman" w:hAnsi="Times New Roman" w:cs="Times New Roman"/>
          <w:sz w:val="24"/>
          <w:szCs w:val="24"/>
        </w:rPr>
        <w:t xml:space="preserve">successful </w:t>
      </w:r>
      <w:r w:rsidR="00A3556C" w:rsidRPr="005F1FD6">
        <w:rPr>
          <w:rFonts w:ascii="Times New Roman" w:hAnsi="Times New Roman" w:cs="Times New Roman"/>
          <w:sz w:val="24"/>
          <w:szCs w:val="24"/>
        </w:rPr>
        <w:t xml:space="preserve">exit. </w:t>
      </w:r>
    </w:p>
    <w:p w14:paraId="6B71CD07" w14:textId="2438A390" w:rsidR="00DD40DA" w:rsidRPr="005F1FD6" w:rsidRDefault="00566190" w:rsidP="00667809">
      <w:pPr>
        <w:spacing w:after="0" w:line="480" w:lineRule="auto"/>
        <w:contextualSpacing/>
        <w:jc w:val="both"/>
        <w:rPr>
          <w:rFonts w:ascii="Times New Roman" w:hAnsi="Times New Roman" w:cs="Times New Roman"/>
          <w:sz w:val="24"/>
          <w:szCs w:val="24"/>
        </w:rPr>
      </w:pPr>
      <w:r w:rsidRPr="00F844DD">
        <w:rPr>
          <w:rFonts w:ascii="Times New Roman" w:hAnsi="Times New Roman" w:cs="Times New Roman"/>
          <w:b/>
          <w:i/>
          <w:sz w:val="24"/>
          <w:szCs w:val="24"/>
        </w:rPr>
        <w:t>Ind</w:t>
      </w:r>
      <w:r w:rsidR="00AB5B74" w:rsidRPr="00F844DD">
        <w:rPr>
          <w:rFonts w:ascii="Times New Roman" w:hAnsi="Times New Roman" w:cs="Times New Roman"/>
          <w:b/>
          <w:i/>
          <w:sz w:val="24"/>
          <w:szCs w:val="24"/>
        </w:rPr>
        <w:t>ependent variables</w:t>
      </w:r>
      <w:r w:rsidR="00667809">
        <w:rPr>
          <w:rFonts w:ascii="Times New Roman" w:hAnsi="Times New Roman" w:cs="Times New Roman"/>
          <w:b/>
          <w:i/>
          <w:sz w:val="24"/>
          <w:szCs w:val="24"/>
        </w:rPr>
        <w:t xml:space="preserve">. </w:t>
      </w:r>
      <w:r w:rsidR="00DD40DA" w:rsidRPr="005F1FD6">
        <w:rPr>
          <w:rFonts w:ascii="Times New Roman" w:hAnsi="Times New Roman" w:cs="Times New Roman"/>
          <w:sz w:val="24"/>
          <w:szCs w:val="24"/>
        </w:rPr>
        <w:t xml:space="preserve">The key independent variables measure VC </w:t>
      </w:r>
      <w:r w:rsidR="009D1AE0" w:rsidRPr="005F1FD6">
        <w:rPr>
          <w:rFonts w:ascii="Times New Roman" w:hAnsi="Times New Roman" w:cs="Times New Roman"/>
          <w:sz w:val="24"/>
          <w:szCs w:val="24"/>
        </w:rPr>
        <w:t xml:space="preserve">firm </w:t>
      </w:r>
      <w:r w:rsidR="00DD40DA" w:rsidRPr="005F1FD6">
        <w:rPr>
          <w:rFonts w:ascii="Times New Roman" w:hAnsi="Times New Roman" w:cs="Times New Roman"/>
          <w:sz w:val="24"/>
          <w:szCs w:val="24"/>
        </w:rPr>
        <w:t xml:space="preserve">origin and the number of financing rounds </w:t>
      </w:r>
      <w:r w:rsidR="00FA3169" w:rsidRPr="005F1FD6">
        <w:rPr>
          <w:rFonts w:ascii="Times New Roman" w:hAnsi="Times New Roman" w:cs="Times New Roman"/>
          <w:sz w:val="24"/>
          <w:szCs w:val="24"/>
        </w:rPr>
        <w:t>invested by</w:t>
      </w:r>
      <w:r w:rsidR="00DD40DA" w:rsidRPr="005F1FD6">
        <w:rPr>
          <w:rFonts w:ascii="Times New Roman" w:hAnsi="Times New Roman" w:cs="Times New Roman"/>
          <w:sz w:val="24"/>
          <w:szCs w:val="24"/>
        </w:rPr>
        <w:t xml:space="preserve"> each VC</w:t>
      </w:r>
      <w:r w:rsidR="009D1AE0" w:rsidRPr="005F1FD6">
        <w:rPr>
          <w:rFonts w:ascii="Times New Roman" w:hAnsi="Times New Roman" w:cs="Times New Roman"/>
          <w:sz w:val="24"/>
          <w:szCs w:val="24"/>
        </w:rPr>
        <w:t xml:space="preserve"> firm</w:t>
      </w:r>
      <w:r w:rsidR="00DD40DA" w:rsidRPr="005F1FD6">
        <w:rPr>
          <w:rFonts w:ascii="Times New Roman" w:hAnsi="Times New Roman" w:cs="Times New Roman"/>
          <w:sz w:val="24"/>
          <w:szCs w:val="24"/>
        </w:rPr>
        <w:t>. VC</w:t>
      </w:r>
      <w:r w:rsidR="009D1AE0" w:rsidRPr="005F1FD6">
        <w:rPr>
          <w:rFonts w:ascii="Times New Roman" w:hAnsi="Times New Roman" w:cs="Times New Roman"/>
          <w:sz w:val="24"/>
          <w:szCs w:val="24"/>
        </w:rPr>
        <w:t xml:space="preserve"> firm</w:t>
      </w:r>
      <w:r w:rsidR="00DD40DA" w:rsidRPr="005F1FD6">
        <w:rPr>
          <w:rFonts w:ascii="Times New Roman" w:hAnsi="Times New Roman" w:cs="Times New Roman"/>
          <w:sz w:val="24"/>
          <w:szCs w:val="24"/>
        </w:rPr>
        <w:t xml:space="preserve"> origin is captured b</w:t>
      </w:r>
      <w:r w:rsidR="00FA3169" w:rsidRPr="005F1FD6">
        <w:rPr>
          <w:rFonts w:ascii="Times New Roman" w:hAnsi="Times New Roman" w:cs="Times New Roman"/>
          <w:sz w:val="24"/>
          <w:szCs w:val="24"/>
        </w:rPr>
        <w:t>y three</w:t>
      </w:r>
      <w:r w:rsidR="00DD40DA" w:rsidRPr="005F1FD6">
        <w:rPr>
          <w:rFonts w:ascii="Times New Roman" w:hAnsi="Times New Roman" w:cs="Times New Roman"/>
          <w:sz w:val="24"/>
          <w:szCs w:val="24"/>
        </w:rPr>
        <w:t xml:space="preserve"> mutually exclusive dummy variables</w:t>
      </w:r>
      <w:r w:rsidR="00FA3169" w:rsidRPr="005F1FD6">
        <w:rPr>
          <w:rFonts w:ascii="Times New Roman" w:hAnsi="Times New Roman" w:cs="Times New Roman"/>
          <w:sz w:val="24"/>
          <w:szCs w:val="24"/>
        </w:rPr>
        <w:t xml:space="preserve"> that equal one if the focal VC </w:t>
      </w:r>
      <w:r w:rsidR="009D1AE0" w:rsidRPr="005F1FD6">
        <w:rPr>
          <w:rFonts w:ascii="Times New Roman" w:hAnsi="Times New Roman" w:cs="Times New Roman"/>
          <w:sz w:val="24"/>
          <w:szCs w:val="24"/>
        </w:rPr>
        <w:t xml:space="preserve">firm </w:t>
      </w:r>
      <w:r w:rsidR="00FA3169" w:rsidRPr="005F1FD6">
        <w:rPr>
          <w:rFonts w:ascii="Times New Roman" w:hAnsi="Times New Roman" w:cs="Times New Roman"/>
          <w:sz w:val="24"/>
          <w:szCs w:val="24"/>
        </w:rPr>
        <w:t>satisfies the origin condition of the respective dummies and zero otherwise</w:t>
      </w:r>
      <w:r w:rsidR="00E32829" w:rsidRPr="005F1FD6">
        <w:rPr>
          <w:rFonts w:ascii="Times New Roman" w:hAnsi="Times New Roman" w:cs="Times New Roman"/>
          <w:sz w:val="24"/>
          <w:szCs w:val="24"/>
        </w:rPr>
        <w:t xml:space="preserve">: </w:t>
      </w:r>
      <w:r w:rsidR="00E32829" w:rsidRPr="005F1FD6">
        <w:rPr>
          <w:rFonts w:ascii="Times New Roman" w:hAnsi="Times New Roman" w:cs="Times New Roman"/>
          <w:i/>
          <w:sz w:val="24"/>
          <w:szCs w:val="24"/>
        </w:rPr>
        <w:t>domestic VC firm, cross-border VC firm, branch VC firm</w:t>
      </w:r>
      <w:r w:rsidR="00DD40DA" w:rsidRPr="005F1FD6">
        <w:rPr>
          <w:rFonts w:ascii="Times New Roman" w:hAnsi="Times New Roman" w:cs="Times New Roman"/>
          <w:sz w:val="24"/>
          <w:szCs w:val="24"/>
        </w:rPr>
        <w:t xml:space="preserve">. The </w:t>
      </w:r>
      <w:r w:rsidR="00DD40DA" w:rsidRPr="005F1FD6">
        <w:rPr>
          <w:rFonts w:ascii="Times New Roman" w:hAnsi="Times New Roman" w:cs="Times New Roman"/>
          <w:i/>
          <w:sz w:val="24"/>
          <w:szCs w:val="24"/>
        </w:rPr>
        <w:t>ROUNDS</w:t>
      </w:r>
      <w:r w:rsidR="00A040EF" w:rsidRPr="005F1FD6">
        <w:rPr>
          <w:rFonts w:ascii="Times New Roman" w:hAnsi="Times New Roman" w:cs="Times New Roman"/>
          <w:i/>
          <w:sz w:val="24"/>
          <w:szCs w:val="24"/>
        </w:rPr>
        <w:t xml:space="preserve"> (R)</w:t>
      </w:r>
      <w:r w:rsidR="00DD40DA" w:rsidRPr="005F1FD6">
        <w:rPr>
          <w:rFonts w:ascii="Times New Roman" w:hAnsi="Times New Roman" w:cs="Times New Roman"/>
          <w:sz w:val="24"/>
          <w:szCs w:val="24"/>
        </w:rPr>
        <w:t xml:space="preserve"> variable captures the investment ro</w:t>
      </w:r>
      <w:r w:rsidR="009D1AE0" w:rsidRPr="005F1FD6">
        <w:rPr>
          <w:rFonts w:ascii="Times New Roman" w:hAnsi="Times New Roman" w:cs="Times New Roman"/>
          <w:sz w:val="24"/>
          <w:szCs w:val="24"/>
        </w:rPr>
        <w:t xml:space="preserve">und number since the initial </w:t>
      </w:r>
      <w:r w:rsidR="00DD40DA" w:rsidRPr="005F1FD6">
        <w:rPr>
          <w:rFonts w:ascii="Times New Roman" w:hAnsi="Times New Roman" w:cs="Times New Roman"/>
          <w:sz w:val="24"/>
          <w:szCs w:val="24"/>
        </w:rPr>
        <w:t>investment</w:t>
      </w:r>
      <w:r w:rsidR="00FA3169" w:rsidRPr="005F1FD6">
        <w:rPr>
          <w:rFonts w:ascii="Times New Roman" w:hAnsi="Times New Roman" w:cs="Times New Roman"/>
          <w:sz w:val="24"/>
          <w:szCs w:val="24"/>
        </w:rPr>
        <w:t xml:space="preserve"> of the focal VC</w:t>
      </w:r>
      <w:r w:rsidR="00780C25" w:rsidRPr="005F1FD6">
        <w:rPr>
          <w:rFonts w:ascii="Times New Roman" w:hAnsi="Times New Roman" w:cs="Times New Roman"/>
          <w:sz w:val="24"/>
          <w:szCs w:val="24"/>
        </w:rPr>
        <w:t xml:space="preserve"> firm</w:t>
      </w:r>
      <w:r w:rsidR="00FA3169" w:rsidRPr="005F1FD6">
        <w:rPr>
          <w:rFonts w:ascii="Times New Roman" w:hAnsi="Times New Roman" w:cs="Times New Roman"/>
          <w:sz w:val="24"/>
          <w:szCs w:val="24"/>
        </w:rPr>
        <w:t>. C</w:t>
      </w:r>
      <w:r w:rsidR="00DD40DA" w:rsidRPr="005F1FD6">
        <w:rPr>
          <w:rFonts w:ascii="Times New Roman" w:hAnsi="Times New Roman" w:cs="Times New Roman"/>
          <w:sz w:val="24"/>
          <w:szCs w:val="24"/>
        </w:rPr>
        <w:t xml:space="preserve">ash investments occurring within a </w:t>
      </w:r>
      <w:r w:rsidR="00B31F5C">
        <w:rPr>
          <w:rFonts w:ascii="Times New Roman" w:hAnsi="Times New Roman" w:cs="Times New Roman"/>
          <w:sz w:val="24"/>
          <w:szCs w:val="24"/>
        </w:rPr>
        <w:t>six</w:t>
      </w:r>
      <w:r w:rsidR="00B31F5C" w:rsidRPr="005F1FD6">
        <w:rPr>
          <w:rFonts w:ascii="Times New Roman" w:hAnsi="Times New Roman" w:cs="Times New Roman"/>
          <w:sz w:val="24"/>
          <w:szCs w:val="24"/>
        </w:rPr>
        <w:t xml:space="preserve"> </w:t>
      </w:r>
      <w:r w:rsidR="00DD40DA" w:rsidRPr="005F1FD6">
        <w:rPr>
          <w:rFonts w:ascii="Times New Roman" w:hAnsi="Times New Roman" w:cs="Times New Roman"/>
          <w:sz w:val="24"/>
          <w:szCs w:val="24"/>
        </w:rPr>
        <w:t xml:space="preserve">months period </w:t>
      </w:r>
      <w:r w:rsidR="00FA3169" w:rsidRPr="005F1FD6">
        <w:rPr>
          <w:rFonts w:ascii="Times New Roman" w:hAnsi="Times New Roman" w:cs="Times New Roman"/>
          <w:sz w:val="24"/>
          <w:szCs w:val="24"/>
        </w:rPr>
        <w:t>are aggregated and treated</w:t>
      </w:r>
      <w:r w:rsidR="00DD40DA" w:rsidRPr="005F1FD6">
        <w:rPr>
          <w:rFonts w:ascii="Times New Roman" w:hAnsi="Times New Roman" w:cs="Times New Roman"/>
          <w:sz w:val="24"/>
          <w:szCs w:val="24"/>
        </w:rPr>
        <w:t xml:space="preserve"> as </w:t>
      </w:r>
      <w:r w:rsidR="00780C25" w:rsidRPr="005F1FD6">
        <w:rPr>
          <w:rFonts w:ascii="Times New Roman" w:hAnsi="Times New Roman" w:cs="Times New Roman"/>
          <w:sz w:val="24"/>
          <w:szCs w:val="24"/>
        </w:rPr>
        <w:t>a</w:t>
      </w:r>
      <w:r w:rsidR="00DD40DA" w:rsidRPr="005F1FD6">
        <w:rPr>
          <w:rFonts w:ascii="Times New Roman" w:hAnsi="Times New Roman" w:cs="Times New Roman"/>
          <w:sz w:val="24"/>
          <w:szCs w:val="24"/>
        </w:rPr>
        <w:t xml:space="preserve"> single round. To </w:t>
      </w:r>
      <w:r w:rsidR="00947214">
        <w:rPr>
          <w:rFonts w:ascii="Times New Roman" w:hAnsi="Times New Roman" w:cs="Times New Roman"/>
          <w:sz w:val="24"/>
          <w:szCs w:val="24"/>
        </w:rPr>
        <w:t>decrease correlation between independent variables</w:t>
      </w:r>
      <w:r w:rsidR="00FA3169" w:rsidRPr="005F1FD6">
        <w:rPr>
          <w:rFonts w:ascii="Times New Roman" w:hAnsi="Times New Roman" w:cs="Times New Roman"/>
          <w:sz w:val="24"/>
          <w:szCs w:val="24"/>
        </w:rPr>
        <w:t>, the</w:t>
      </w:r>
      <w:r w:rsidR="00DD40DA" w:rsidRPr="005F1FD6">
        <w:rPr>
          <w:rFonts w:ascii="Times New Roman" w:hAnsi="Times New Roman" w:cs="Times New Roman"/>
          <w:sz w:val="24"/>
          <w:szCs w:val="24"/>
        </w:rPr>
        <w:t xml:space="preserve"> </w:t>
      </w:r>
      <w:r w:rsidR="00DD40DA" w:rsidRPr="005F1FD6">
        <w:rPr>
          <w:rFonts w:ascii="Times New Roman" w:hAnsi="Times New Roman" w:cs="Times New Roman"/>
          <w:i/>
          <w:sz w:val="24"/>
          <w:szCs w:val="24"/>
        </w:rPr>
        <w:t>ROUNDS</w:t>
      </w:r>
      <w:r w:rsidR="00DD40DA" w:rsidRPr="005F1FD6">
        <w:rPr>
          <w:rFonts w:ascii="Times New Roman" w:hAnsi="Times New Roman" w:cs="Times New Roman"/>
          <w:sz w:val="24"/>
          <w:szCs w:val="24"/>
        </w:rPr>
        <w:t xml:space="preserve"> </w:t>
      </w:r>
      <w:r w:rsidR="00A239F1" w:rsidRPr="005F1FD6">
        <w:rPr>
          <w:rFonts w:ascii="Times New Roman" w:hAnsi="Times New Roman" w:cs="Times New Roman"/>
          <w:sz w:val="24"/>
          <w:szCs w:val="24"/>
        </w:rPr>
        <w:t>variable i</w:t>
      </w:r>
      <w:r w:rsidR="00FA3169" w:rsidRPr="005F1FD6">
        <w:rPr>
          <w:rFonts w:ascii="Times New Roman" w:hAnsi="Times New Roman" w:cs="Times New Roman"/>
          <w:sz w:val="24"/>
          <w:szCs w:val="24"/>
        </w:rPr>
        <w:t xml:space="preserve">s centered </w:t>
      </w:r>
      <w:r w:rsidR="00FE48B0" w:rsidRPr="005F1FD6">
        <w:rPr>
          <w:rFonts w:ascii="Times New Roman" w:hAnsi="Times New Roman" w:cs="Times New Roman"/>
          <w:sz w:val="24"/>
          <w:szCs w:val="24"/>
        </w:rPr>
        <w:t>by subtracting the</w:t>
      </w:r>
      <w:r w:rsidR="00DD40DA" w:rsidRPr="005F1FD6">
        <w:rPr>
          <w:rFonts w:ascii="Times New Roman" w:hAnsi="Times New Roman" w:cs="Times New Roman"/>
          <w:sz w:val="24"/>
          <w:szCs w:val="24"/>
        </w:rPr>
        <w:t xml:space="preserve"> mean. The interaction terms between the origin dummies and the </w:t>
      </w:r>
      <w:r w:rsidR="00DD40DA" w:rsidRPr="005F1FD6">
        <w:rPr>
          <w:rFonts w:ascii="Times New Roman" w:hAnsi="Times New Roman" w:cs="Times New Roman"/>
          <w:i/>
          <w:sz w:val="24"/>
          <w:szCs w:val="24"/>
        </w:rPr>
        <w:t>ROUNDS</w:t>
      </w:r>
      <w:r w:rsidR="00FE48B0" w:rsidRPr="005F1FD6">
        <w:rPr>
          <w:rFonts w:ascii="Times New Roman" w:hAnsi="Times New Roman" w:cs="Times New Roman"/>
          <w:sz w:val="24"/>
          <w:szCs w:val="24"/>
        </w:rPr>
        <w:t xml:space="preserve"> variable </w:t>
      </w:r>
      <w:r w:rsidR="00DD40DA" w:rsidRPr="005F1FD6">
        <w:rPr>
          <w:rFonts w:ascii="Times New Roman" w:hAnsi="Times New Roman" w:cs="Times New Roman"/>
          <w:sz w:val="24"/>
          <w:szCs w:val="24"/>
        </w:rPr>
        <w:t>test our hypotheses.</w:t>
      </w:r>
    </w:p>
    <w:p w14:paraId="07D38779" w14:textId="77777777" w:rsidR="004629F7" w:rsidRDefault="00AB5B74" w:rsidP="00A9455F">
      <w:pPr>
        <w:spacing w:after="0" w:line="480" w:lineRule="auto"/>
        <w:contextualSpacing/>
        <w:jc w:val="both"/>
        <w:rPr>
          <w:rFonts w:ascii="Times New Roman" w:hAnsi="Times New Roman" w:cs="Times New Roman"/>
          <w:sz w:val="24"/>
          <w:szCs w:val="24"/>
        </w:rPr>
      </w:pPr>
      <w:r w:rsidRPr="00F844DD">
        <w:rPr>
          <w:rFonts w:ascii="Times New Roman" w:hAnsi="Times New Roman" w:cs="Times New Roman"/>
          <w:b/>
          <w:i/>
          <w:sz w:val="24"/>
          <w:szCs w:val="24"/>
        </w:rPr>
        <w:t>Control variables</w:t>
      </w:r>
      <w:r w:rsidR="00667809">
        <w:rPr>
          <w:rFonts w:ascii="Times New Roman" w:hAnsi="Times New Roman" w:cs="Times New Roman"/>
          <w:b/>
          <w:i/>
          <w:sz w:val="24"/>
          <w:szCs w:val="24"/>
        </w:rPr>
        <w:t xml:space="preserve">. </w:t>
      </w:r>
      <w:r w:rsidRPr="005F1FD6">
        <w:rPr>
          <w:rFonts w:ascii="Times New Roman" w:hAnsi="Times New Roman" w:cs="Times New Roman"/>
          <w:sz w:val="24"/>
          <w:szCs w:val="24"/>
        </w:rPr>
        <w:t xml:space="preserve">We control for portfolio company characteristics, VC </w:t>
      </w:r>
      <w:r w:rsidR="00D86A5A" w:rsidRPr="005F1FD6">
        <w:rPr>
          <w:rFonts w:ascii="Times New Roman" w:hAnsi="Times New Roman" w:cs="Times New Roman"/>
          <w:sz w:val="24"/>
          <w:szCs w:val="24"/>
        </w:rPr>
        <w:t xml:space="preserve">firm </w:t>
      </w:r>
      <w:r w:rsidRPr="005F1FD6">
        <w:rPr>
          <w:rFonts w:ascii="Times New Roman" w:hAnsi="Times New Roman" w:cs="Times New Roman"/>
          <w:sz w:val="24"/>
          <w:szCs w:val="24"/>
        </w:rPr>
        <w:t xml:space="preserve">characteristics, </w:t>
      </w:r>
      <w:r w:rsidR="006017D1" w:rsidRPr="005F1FD6">
        <w:rPr>
          <w:rFonts w:ascii="Times New Roman" w:hAnsi="Times New Roman" w:cs="Times New Roman"/>
          <w:sz w:val="24"/>
          <w:szCs w:val="24"/>
        </w:rPr>
        <w:t>deal characteristics,</w:t>
      </w:r>
      <w:r w:rsidRPr="005F1FD6">
        <w:rPr>
          <w:rFonts w:ascii="Times New Roman" w:hAnsi="Times New Roman" w:cs="Times New Roman"/>
          <w:sz w:val="24"/>
          <w:szCs w:val="24"/>
        </w:rPr>
        <w:t xml:space="preserve"> market conditions, industry, year and country effects. </w:t>
      </w:r>
      <w:r w:rsidR="00A44F4A" w:rsidRPr="005F1FD6">
        <w:rPr>
          <w:rFonts w:ascii="Times New Roman" w:hAnsi="Times New Roman" w:cs="Times New Roman"/>
          <w:sz w:val="24"/>
          <w:szCs w:val="24"/>
        </w:rPr>
        <w:t xml:space="preserve">Since the relative efficacy of de-escalation strategies may vary based on the level </w:t>
      </w:r>
      <w:r w:rsidR="00A25C9E">
        <w:rPr>
          <w:rFonts w:ascii="Times New Roman" w:hAnsi="Times New Roman" w:cs="Times New Roman"/>
          <w:sz w:val="24"/>
          <w:szCs w:val="24"/>
        </w:rPr>
        <w:t xml:space="preserve">of </w:t>
      </w:r>
      <w:r w:rsidR="00A44F4A" w:rsidRPr="005F1FD6">
        <w:rPr>
          <w:rFonts w:ascii="Times New Roman" w:hAnsi="Times New Roman" w:cs="Times New Roman"/>
          <w:sz w:val="24"/>
          <w:szCs w:val="24"/>
        </w:rPr>
        <w:t>project completion (</w:t>
      </w:r>
      <w:r w:rsidR="00FE76AF">
        <w:rPr>
          <w:rFonts w:ascii="Times New Roman" w:hAnsi="Times New Roman" w:cs="Times New Roman"/>
          <w:sz w:val="24"/>
          <w:szCs w:val="24"/>
        </w:rPr>
        <w:t>Sleesman et al., 2012</w:t>
      </w:r>
      <w:r w:rsidR="00A44F4A" w:rsidRPr="005F1FD6">
        <w:rPr>
          <w:rFonts w:ascii="Times New Roman" w:hAnsi="Times New Roman" w:cs="Times New Roman"/>
          <w:sz w:val="24"/>
          <w:szCs w:val="24"/>
        </w:rPr>
        <w:t xml:space="preserve">), </w:t>
      </w:r>
      <w:r w:rsidR="004D05F0">
        <w:rPr>
          <w:rFonts w:ascii="Times New Roman" w:hAnsi="Times New Roman" w:cs="Times New Roman"/>
          <w:sz w:val="24"/>
          <w:szCs w:val="24"/>
        </w:rPr>
        <w:t xml:space="preserve">time varying </w:t>
      </w:r>
      <w:r w:rsidR="00A44F4A" w:rsidRPr="005F1FD6">
        <w:rPr>
          <w:rFonts w:ascii="Times New Roman" w:hAnsi="Times New Roman" w:cs="Times New Roman"/>
          <w:sz w:val="24"/>
          <w:szCs w:val="24"/>
        </w:rPr>
        <w:t xml:space="preserve">portfolio company characteristics </w:t>
      </w:r>
      <w:r w:rsidR="00334DA0" w:rsidRPr="005F1FD6">
        <w:rPr>
          <w:rFonts w:ascii="Times New Roman" w:hAnsi="Times New Roman" w:cs="Times New Roman"/>
          <w:sz w:val="24"/>
          <w:szCs w:val="24"/>
        </w:rPr>
        <w:t>are included</w:t>
      </w:r>
      <w:r w:rsidR="00A44F4A" w:rsidRPr="005F1FD6">
        <w:rPr>
          <w:rFonts w:ascii="Times New Roman" w:hAnsi="Times New Roman" w:cs="Times New Roman"/>
          <w:sz w:val="24"/>
          <w:szCs w:val="24"/>
        </w:rPr>
        <w:t xml:space="preserve">: </w:t>
      </w:r>
      <w:r w:rsidR="00DF05ED" w:rsidRPr="005F1FD6">
        <w:rPr>
          <w:rFonts w:ascii="Times New Roman" w:hAnsi="Times New Roman" w:cs="Times New Roman"/>
          <w:i/>
          <w:sz w:val="24"/>
          <w:szCs w:val="24"/>
        </w:rPr>
        <w:t xml:space="preserve">portfolio company </w:t>
      </w:r>
      <w:r w:rsidR="00436030">
        <w:rPr>
          <w:rFonts w:ascii="Times New Roman" w:hAnsi="Times New Roman" w:cs="Times New Roman"/>
          <w:i/>
          <w:sz w:val="24"/>
          <w:szCs w:val="24"/>
        </w:rPr>
        <w:t xml:space="preserve">development </w:t>
      </w:r>
      <w:r w:rsidR="00436030">
        <w:rPr>
          <w:rFonts w:ascii="Times New Roman" w:hAnsi="Times New Roman" w:cs="Times New Roman"/>
          <w:i/>
          <w:sz w:val="24"/>
          <w:szCs w:val="24"/>
        </w:rPr>
        <w:lastRenderedPageBreak/>
        <w:t xml:space="preserve">stage, </w:t>
      </w:r>
      <w:r w:rsidR="00DF05ED" w:rsidRPr="005F1FD6">
        <w:rPr>
          <w:rFonts w:ascii="Times New Roman" w:hAnsi="Times New Roman" w:cs="Times New Roman"/>
          <w:i/>
          <w:sz w:val="24"/>
          <w:szCs w:val="24"/>
        </w:rPr>
        <w:t xml:space="preserve">age, number of patents, </w:t>
      </w:r>
      <w:r w:rsidR="00436030" w:rsidRPr="00436030">
        <w:rPr>
          <w:rFonts w:ascii="Times New Roman" w:hAnsi="Times New Roman" w:cs="Times New Roman"/>
          <w:sz w:val="24"/>
          <w:szCs w:val="24"/>
        </w:rPr>
        <w:t>and</w:t>
      </w:r>
      <w:r w:rsidR="00436030">
        <w:rPr>
          <w:rFonts w:ascii="Times New Roman" w:hAnsi="Times New Roman" w:cs="Times New Roman"/>
          <w:i/>
          <w:sz w:val="24"/>
          <w:szCs w:val="24"/>
        </w:rPr>
        <w:t xml:space="preserve"> </w:t>
      </w:r>
      <w:r w:rsidR="00DF05ED" w:rsidRPr="00C331F5">
        <w:rPr>
          <w:rFonts w:ascii="Times New Roman" w:hAnsi="Times New Roman" w:cs="Times New Roman"/>
          <w:sz w:val="24"/>
          <w:szCs w:val="24"/>
        </w:rPr>
        <w:t>the natural logarithm of a portfolio company’s</w:t>
      </w:r>
      <w:r w:rsidR="00DF05ED" w:rsidRPr="005F1FD6">
        <w:rPr>
          <w:rFonts w:ascii="Times New Roman" w:hAnsi="Times New Roman" w:cs="Times New Roman"/>
          <w:i/>
          <w:sz w:val="24"/>
          <w:szCs w:val="24"/>
        </w:rPr>
        <w:t xml:space="preserve"> sales</w:t>
      </w:r>
      <w:r w:rsidR="00782171" w:rsidRPr="005F1FD6">
        <w:rPr>
          <w:rFonts w:ascii="Times New Roman" w:hAnsi="Times New Roman" w:cs="Times New Roman"/>
          <w:i/>
          <w:sz w:val="24"/>
          <w:szCs w:val="24"/>
        </w:rPr>
        <w:t xml:space="preserve"> </w:t>
      </w:r>
      <w:r w:rsidR="00DF05ED" w:rsidRPr="00C331F5">
        <w:rPr>
          <w:rFonts w:ascii="Times New Roman" w:hAnsi="Times New Roman" w:cs="Times New Roman"/>
          <w:sz w:val="24"/>
          <w:szCs w:val="24"/>
        </w:rPr>
        <w:t xml:space="preserve">at the time of VC </w:t>
      </w:r>
      <w:r w:rsidR="009E6D97" w:rsidRPr="00C331F5">
        <w:rPr>
          <w:rFonts w:ascii="Times New Roman" w:hAnsi="Times New Roman" w:cs="Times New Roman"/>
          <w:sz w:val="24"/>
          <w:szCs w:val="24"/>
        </w:rPr>
        <w:t xml:space="preserve">firm </w:t>
      </w:r>
      <w:r w:rsidR="00DF05ED" w:rsidRPr="00C331F5">
        <w:rPr>
          <w:rFonts w:ascii="Times New Roman" w:hAnsi="Times New Roman" w:cs="Times New Roman"/>
          <w:sz w:val="24"/>
          <w:szCs w:val="24"/>
        </w:rPr>
        <w:t>entry</w:t>
      </w:r>
      <w:r w:rsidR="009A5983" w:rsidRPr="00C331F5">
        <w:rPr>
          <w:rFonts w:ascii="Times New Roman" w:hAnsi="Times New Roman" w:cs="Times New Roman"/>
          <w:sz w:val="24"/>
          <w:szCs w:val="24"/>
        </w:rPr>
        <w:t>.</w:t>
      </w:r>
      <w:r w:rsidR="009A5983" w:rsidRPr="005F1FD6">
        <w:rPr>
          <w:rFonts w:ascii="Times New Roman" w:hAnsi="Times New Roman" w:cs="Times New Roman"/>
          <w:sz w:val="24"/>
          <w:szCs w:val="24"/>
        </w:rPr>
        <w:t xml:space="preserve"> </w:t>
      </w:r>
    </w:p>
    <w:p w14:paraId="5900DF3C" w14:textId="77777777" w:rsidR="00A9455F" w:rsidRDefault="00A9455F" w:rsidP="004629F7">
      <w:pPr>
        <w:spacing w:after="0" w:line="480" w:lineRule="auto"/>
        <w:ind w:firstLine="432"/>
        <w:contextualSpacing/>
        <w:jc w:val="both"/>
        <w:rPr>
          <w:rFonts w:ascii="Times New Roman" w:hAnsi="Times New Roman" w:cs="Times New Roman"/>
          <w:sz w:val="24"/>
          <w:szCs w:val="24"/>
        </w:rPr>
      </w:pPr>
      <w:r w:rsidRPr="004629F7">
        <w:rPr>
          <w:rFonts w:ascii="Times New Roman" w:hAnsi="Times New Roman" w:cs="Times New Roman"/>
          <w:sz w:val="24"/>
          <w:szCs w:val="24"/>
        </w:rPr>
        <w:t>Table 2</w:t>
      </w:r>
      <w:r w:rsidRPr="005F1FD6">
        <w:rPr>
          <w:rFonts w:ascii="Times New Roman" w:hAnsi="Times New Roman" w:cs="Times New Roman"/>
          <w:sz w:val="24"/>
          <w:szCs w:val="24"/>
        </w:rPr>
        <w:t xml:space="preserve"> gives an overview of the portfolio company development </w:t>
      </w:r>
      <w:r w:rsidRPr="00C331F5">
        <w:rPr>
          <w:rFonts w:ascii="Times New Roman" w:hAnsi="Times New Roman" w:cs="Times New Roman"/>
          <w:i/>
          <w:sz w:val="24"/>
          <w:szCs w:val="24"/>
        </w:rPr>
        <w:t>stage</w:t>
      </w:r>
      <w:r w:rsidRPr="005F1FD6">
        <w:rPr>
          <w:rFonts w:ascii="Times New Roman" w:hAnsi="Times New Roman" w:cs="Times New Roman"/>
          <w:sz w:val="24"/>
          <w:szCs w:val="24"/>
        </w:rPr>
        <w:t xml:space="preserve"> at </w:t>
      </w:r>
      <w:r w:rsidR="00C20FDC">
        <w:rPr>
          <w:rFonts w:ascii="Times New Roman" w:hAnsi="Times New Roman" w:cs="Times New Roman"/>
          <w:sz w:val="24"/>
          <w:szCs w:val="24"/>
        </w:rPr>
        <w:t xml:space="preserve">VC </w:t>
      </w:r>
      <w:r w:rsidRPr="005F1FD6">
        <w:rPr>
          <w:rFonts w:ascii="Times New Roman" w:hAnsi="Times New Roman" w:cs="Times New Roman"/>
          <w:sz w:val="24"/>
          <w:szCs w:val="24"/>
        </w:rPr>
        <w:t>entry</w:t>
      </w:r>
      <w:r w:rsidR="004629F7">
        <w:rPr>
          <w:rFonts w:ascii="Times New Roman" w:hAnsi="Times New Roman" w:cs="Times New Roman"/>
          <w:sz w:val="24"/>
          <w:szCs w:val="24"/>
        </w:rPr>
        <w:t>, depending on VC origin</w:t>
      </w:r>
      <w:r w:rsidRPr="005F1FD6">
        <w:rPr>
          <w:rFonts w:ascii="Times New Roman" w:hAnsi="Times New Roman" w:cs="Times New Roman"/>
          <w:sz w:val="24"/>
          <w:szCs w:val="24"/>
        </w:rPr>
        <w:t xml:space="preserve">. </w:t>
      </w:r>
      <w:r>
        <w:rPr>
          <w:rFonts w:ascii="Times New Roman" w:hAnsi="Times New Roman" w:cs="Times New Roman"/>
          <w:sz w:val="24"/>
          <w:szCs w:val="24"/>
        </w:rPr>
        <w:t>T</w:t>
      </w:r>
      <w:r w:rsidRPr="005F1FD6">
        <w:rPr>
          <w:rFonts w:ascii="Times New Roman" w:hAnsi="Times New Roman" w:cs="Times New Roman"/>
          <w:sz w:val="24"/>
          <w:szCs w:val="24"/>
        </w:rPr>
        <w:t xml:space="preserve">he majority of investments are made in portfolio companies in the </w:t>
      </w:r>
      <w:r>
        <w:rPr>
          <w:rFonts w:ascii="Times New Roman" w:hAnsi="Times New Roman" w:cs="Times New Roman"/>
          <w:sz w:val="24"/>
          <w:szCs w:val="24"/>
        </w:rPr>
        <w:t xml:space="preserve">seed and </w:t>
      </w:r>
      <w:r w:rsidRPr="005F1FD6">
        <w:rPr>
          <w:rFonts w:ascii="Times New Roman" w:hAnsi="Times New Roman" w:cs="Times New Roman"/>
          <w:sz w:val="24"/>
          <w:szCs w:val="24"/>
        </w:rPr>
        <w:t>start-up stage</w:t>
      </w:r>
      <w:r>
        <w:rPr>
          <w:rFonts w:ascii="Times New Roman" w:hAnsi="Times New Roman" w:cs="Times New Roman"/>
          <w:sz w:val="24"/>
          <w:szCs w:val="24"/>
        </w:rPr>
        <w:t xml:space="preserve"> (59%). </w:t>
      </w:r>
      <w:r w:rsidR="00D5680B">
        <w:rPr>
          <w:rFonts w:ascii="Times New Roman" w:hAnsi="Times New Roman" w:cs="Times New Roman"/>
          <w:sz w:val="24"/>
          <w:szCs w:val="24"/>
        </w:rPr>
        <w:t>D</w:t>
      </w:r>
      <w:r w:rsidRPr="005F1FD6">
        <w:rPr>
          <w:rFonts w:ascii="Times New Roman" w:hAnsi="Times New Roman" w:cs="Times New Roman"/>
          <w:sz w:val="24"/>
          <w:szCs w:val="24"/>
        </w:rPr>
        <w:t xml:space="preserve">omestic VC firms make </w:t>
      </w:r>
      <w:r>
        <w:rPr>
          <w:rFonts w:ascii="Times New Roman" w:hAnsi="Times New Roman" w:cs="Times New Roman"/>
          <w:sz w:val="24"/>
          <w:szCs w:val="24"/>
        </w:rPr>
        <w:t>slightly more investments in seed and start-up portfolio companies (60%) compared</w:t>
      </w:r>
      <w:r w:rsidRPr="005F1FD6">
        <w:rPr>
          <w:rFonts w:ascii="Times New Roman" w:hAnsi="Times New Roman" w:cs="Times New Roman"/>
          <w:sz w:val="24"/>
          <w:szCs w:val="24"/>
        </w:rPr>
        <w:t xml:space="preserve"> cross-border VC firms (</w:t>
      </w:r>
      <w:r>
        <w:rPr>
          <w:rFonts w:ascii="Times New Roman" w:hAnsi="Times New Roman" w:cs="Times New Roman"/>
          <w:sz w:val="24"/>
          <w:szCs w:val="24"/>
        </w:rPr>
        <w:t>5</w:t>
      </w:r>
      <w:r w:rsidRPr="005F1FD6">
        <w:rPr>
          <w:rFonts w:ascii="Times New Roman" w:hAnsi="Times New Roman" w:cs="Times New Roman"/>
          <w:sz w:val="24"/>
          <w:szCs w:val="24"/>
        </w:rPr>
        <w:t>2%) and branch VC firms (</w:t>
      </w:r>
      <w:r>
        <w:rPr>
          <w:rFonts w:ascii="Times New Roman" w:hAnsi="Times New Roman" w:cs="Times New Roman"/>
          <w:sz w:val="24"/>
          <w:szCs w:val="24"/>
        </w:rPr>
        <w:t>40</w:t>
      </w:r>
      <w:r w:rsidRPr="00D5680B">
        <w:rPr>
          <w:rFonts w:ascii="Times New Roman" w:hAnsi="Times New Roman" w:cs="Times New Roman"/>
          <w:sz w:val="24"/>
          <w:szCs w:val="24"/>
        </w:rPr>
        <w:t>%).</w:t>
      </w:r>
      <w:r w:rsidRPr="005F1FD6">
        <w:rPr>
          <w:rFonts w:ascii="Times New Roman" w:hAnsi="Times New Roman" w:cs="Times New Roman"/>
          <w:sz w:val="24"/>
          <w:szCs w:val="24"/>
        </w:rPr>
        <w:t xml:space="preserve"> </w:t>
      </w:r>
    </w:p>
    <w:p w14:paraId="1180D612" w14:textId="77777777" w:rsidR="00A9455F" w:rsidRDefault="00684E82" w:rsidP="00A9455F">
      <w:pPr>
        <w:autoSpaceDE w:val="0"/>
        <w:autoSpaceDN w:val="0"/>
        <w:adjustRightInd w:val="0"/>
        <w:spacing w:after="0" w:line="240" w:lineRule="auto"/>
        <w:ind w:firstLine="432"/>
        <w:jc w:val="center"/>
        <w:rPr>
          <w:rFonts w:ascii="Melior" w:hAnsi="Melior" w:cs="Melior"/>
          <w:sz w:val="18"/>
          <w:szCs w:val="18"/>
        </w:rPr>
      </w:pPr>
      <w:r>
        <w:rPr>
          <w:rFonts w:ascii="Melior" w:hAnsi="Melior" w:cs="Melior"/>
          <w:sz w:val="18"/>
          <w:szCs w:val="18"/>
        </w:rPr>
        <w:t>--------------</w:t>
      </w:r>
      <w:r w:rsidR="00A9455F">
        <w:rPr>
          <w:rFonts w:ascii="Melior" w:hAnsi="Melior" w:cs="Melior"/>
          <w:sz w:val="18"/>
          <w:szCs w:val="18"/>
        </w:rPr>
        <w:t>-----------------------------------------</w:t>
      </w:r>
    </w:p>
    <w:p w14:paraId="16A118C7" w14:textId="77777777" w:rsidR="00A9455F" w:rsidRPr="00FC761C" w:rsidRDefault="00A9455F" w:rsidP="00A9455F">
      <w:pPr>
        <w:autoSpaceDE w:val="0"/>
        <w:autoSpaceDN w:val="0"/>
        <w:adjustRightInd w:val="0"/>
        <w:spacing w:after="0" w:line="240" w:lineRule="auto"/>
        <w:ind w:firstLine="432"/>
        <w:jc w:val="center"/>
        <w:rPr>
          <w:rFonts w:ascii="Times New Roman" w:hAnsi="Times New Roman" w:cs="Times New Roman"/>
          <w:sz w:val="24"/>
          <w:szCs w:val="24"/>
        </w:rPr>
      </w:pPr>
      <w:r w:rsidRPr="00FC761C">
        <w:rPr>
          <w:rFonts w:ascii="Times New Roman" w:hAnsi="Times New Roman" w:cs="Times New Roman"/>
          <w:sz w:val="24"/>
          <w:szCs w:val="24"/>
        </w:rPr>
        <w:t>Insert Table</w:t>
      </w:r>
      <w:r w:rsidR="00684E82">
        <w:rPr>
          <w:rFonts w:ascii="Times New Roman" w:hAnsi="Times New Roman" w:cs="Times New Roman"/>
          <w:sz w:val="24"/>
          <w:szCs w:val="24"/>
        </w:rPr>
        <w:t>s 2 and</w:t>
      </w:r>
      <w:r w:rsidRPr="00FC761C">
        <w:rPr>
          <w:rFonts w:ascii="Times New Roman" w:hAnsi="Times New Roman" w:cs="Times New Roman"/>
          <w:sz w:val="24"/>
          <w:szCs w:val="24"/>
        </w:rPr>
        <w:t xml:space="preserve"> </w:t>
      </w:r>
      <w:r>
        <w:rPr>
          <w:rFonts w:ascii="Times New Roman" w:hAnsi="Times New Roman" w:cs="Times New Roman"/>
          <w:sz w:val="24"/>
          <w:szCs w:val="24"/>
        </w:rPr>
        <w:t>3</w:t>
      </w:r>
      <w:r w:rsidRPr="00FC761C">
        <w:rPr>
          <w:rFonts w:ascii="Times New Roman" w:hAnsi="Times New Roman" w:cs="Times New Roman"/>
          <w:sz w:val="24"/>
          <w:szCs w:val="24"/>
        </w:rPr>
        <w:t xml:space="preserve"> about here</w:t>
      </w:r>
    </w:p>
    <w:p w14:paraId="3D405286" w14:textId="77777777" w:rsidR="00A9455F" w:rsidRDefault="00A9455F" w:rsidP="00A9455F">
      <w:pPr>
        <w:autoSpaceDE w:val="0"/>
        <w:autoSpaceDN w:val="0"/>
        <w:adjustRightInd w:val="0"/>
        <w:spacing w:after="0" w:line="480" w:lineRule="auto"/>
        <w:ind w:firstLine="432"/>
        <w:contextualSpacing/>
        <w:jc w:val="center"/>
        <w:rPr>
          <w:rFonts w:ascii="Times New Roman" w:hAnsi="Times New Roman" w:cs="Times New Roman"/>
          <w:sz w:val="24"/>
          <w:szCs w:val="24"/>
          <w:u w:val="dotted"/>
        </w:rPr>
      </w:pPr>
      <w:r>
        <w:rPr>
          <w:rFonts w:ascii="Melior" w:hAnsi="Melior" w:cs="Melior"/>
          <w:sz w:val="18"/>
          <w:szCs w:val="18"/>
        </w:rPr>
        <w:t>---------</w:t>
      </w:r>
      <w:r w:rsidR="00684E82">
        <w:rPr>
          <w:rFonts w:ascii="Melior" w:hAnsi="Melior" w:cs="Melior"/>
          <w:sz w:val="18"/>
          <w:szCs w:val="18"/>
        </w:rPr>
        <w:t>--------------</w:t>
      </w:r>
      <w:r>
        <w:rPr>
          <w:rFonts w:ascii="Melior" w:hAnsi="Melior" w:cs="Melior"/>
          <w:sz w:val="18"/>
          <w:szCs w:val="18"/>
        </w:rPr>
        <w:t>--------------------------------</w:t>
      </w:r>
    </w:p>
    <w:p w14:paraId="67AABC6A" w14:textId="2BE78409" w:rsidR="00FC761C" w:rsidRDefault="007228F3" w:rsidP="007228F3">
      <w:pPr>
        <w:spacing w:after="0" w:line="480" w:lineRule="auto"/>
        <w:ind w:firstLine="432"/>
        <w:contextualSpacing/>
        <w:jc w:val="both"/>
        <w:rPr>
          <w:rFonts w:ascii="Melior" w:hAnsi="Melior" w:cs="Melior"/>
          <w:sz w:val="18"/>
          <w:szCs w:val="18"/>
        </w:rPr>
      </w:pPr>
      <w:r>
        <w:rPr>
          <w:rFonts w:ascii="Times New Roman" w:hAnsi="Times New Roman" w:cs="Times New Roman"/>
          <w:sz w:val="24"/>
          <w:szCs w:val="24"/>
        </w:rPr>
        <w:t>Table 3 shows that an</w:t>
      </w:r>
      <w:r w:rsidR="00C0226E">
        <w:rPr>
          <w:rFonts w:ascii="Times New Roman" w:hAnsi="Times New Roman" w:cs="Times New Roman"/>
          <w:sz w:val="24"/>
          <w:szCs w:val="24"/>
        </w:rPr>
        <w:t xml:space="preserve"> </w:t>
      </w:r>
      <w:r>
        <w:rPr>
          <w:rFonts w:ascii="Times New Roman" w:hAnsi="Times New Roman" w:cs="Times New Roman"/>
          <w:sz w:val="24"/>
          <w:szCs w:val="24"/>
        </w:rPr>
        <w:t>average</w:t>
      </w:r>
      <w:r w:rsidR="00C0226E">
        <w:rPr>
          <w:rFonts w:ascii="Times New Roman" w:hAnsi="Times New Roman" w:cs="Times New Roman"/>
          <w:sz w:val="24"/>
          <w:szCs w:val="24"/>
        </w:rPr>
        <w:t xml:space="preserve"> portfolio company is </w:t>
      </w:r>
      <w:r>
        <w:rPr>
          <w:rFonts w:ascii="Times New Roman" w:hAnsi="Times New Roman" w:cs="Times New Roman"/>
          <w:sz w:val="24"/>
          <w:szCs w:val="24"/>
        </w:rPr>
        <w:t>3.4</w:t>
      </w:r>
      <w:r w:rsidR="00C0226E">
        <w:rPr>
          <w:rFonts w:ascii="Times New Roman" w:hAnsi="Times New Roman" w:cs="Times New Roman"/>
          <w:sz w:val="24"/>
          <w:szCs w:val="24"/>
        </w:rPr>
        <w:t xml:space="preserve"> years old at time of </w:t>
      </w:r>
      <w:r w:rsidR="00F04FAC">
        <w:rPr>
          <w:rFonts w:ascii="Times New Roman" w:hAnsi="Times New Roman" w:cs="Times New Roman"/>
          <w:sz w:val="24"/>
          <w:szCs w:val="24"/>
        </w:rPr>
        <w:t xml:space="preserve">VC firm </w:t>
      </w:r>
      <w:r w:rsidR="00C0226E">
        <w:rPr>
          <w:rFonts w:ascii="Times New Roman" w:hAnsi="Times New Roman" w:cs="Times New Roman"/>
          <w:sz w:val="24"/>
          <w:szCs w:val="24"/>
        </w:rPr>
        <w:t>entry; portfolio company age is not significantly different between the three groups of VC firms</w:t>
      </w:r>
      <w:r w:rsidR="00C0226E" w:rsidRPr="005F1FD6">
        <w:rPr>
          <w:rFonts w:ascii="Times New Roman" w:hAnsi="Times New Roman" w:cs="Times New Roman"/>
          <w:sz w:val="24"/>
          <w:szCs w:val="24"/>
        </w:rPr>
        <w:t>.</w:t>
      </w:r>
      <w:r>
        <w:rPr>
          <w:rFonts w:ascii="Times New Roman" w:hAnsi="Times New Roman" w:cs="Times New Roman"/>
          <w:sz w:val="24"/>
          <w:szCs w:val="24"/>
        </w:rPr>
        <w:t xml:space="preserve"> </w:t>
      </w:r>
      <w:r w:rsidR="00C0226E" w:rsidRPr="005F1FD6">
        <w:rPr>
          <w:rFonts w:ascii="Times New Roman" w:hAnsi="Times New Roman" w:cs="Times New Roman"/>
          <w:sz w:val="24"/>
          <w:szCs w:val="24"/>
        </w:rPr>
        <w:t xml:space="preserve">The </w:t>
      </w:r>
      <w:r w:rsidR="00F04FAC">
        <w:rPr>
          <w:rFonts w:ascii="Times New Roman" w:hAnsi="Times New Roman" w:cs="Times New Roman"/>
          <w:sz w:val="24"/>
          <w:szCs w:val="24"/>
        </w:rPr>
        <w:t>average</w:t>
      </w:r>
      <w:r w:rsidR="00C0226E" w:rsidRPr="005F1FD6">
        <w:rPr>
          <w:rFonts w:ascii="Times New Roman" w:hAnsi="Times New Roman" w:cs="Times New Roman"/>
          <w:sz w:val="24"/>
          <w:szCs w:val="24"/>
        </w:rPr>
        <w:t xml:space="preserve"> portfolio company holds </w:t>
      </w:r>
      <w:r w:rsidR="00F04FAC">
        <w:rPr>
          <w:rFonts w:ascii="Times New Roman" w:hAnsi="Times New Roman" w:cs="Times New Roman"/>
          <w:sz w:val="24"/>
          <w:szCs w:val="24"/>
        </w:rPr>
        <w:t>0.44</w:t>
      </w:r>
      <w:r w:rsidR="00C0226E" w:rsidRPr="005F1FD6">
        <w:rPr>
          <w:rFonts w:ascii="Times New Roman" w:hAnsi="Times New Roman" w:cs="Times New Roman"/>
          <w:sz w:val="24"/>
          <w:szCs w:val="24"/>
        </w:rPr>
        <w:t xml:space="preserve"> </w:t>
      </w:r>
      <w:r w:rsidR="00C0226E" w:rsidRPr="005F1FD6">
        <w:rPr>
          <w:rFonts w:ascii="Times New Roman" w:hAnsi="Times New Roman" w:cs="Times New Roman"/>
          <w:i/>
          <w:sz w:val="24"/>
          <w:szCs w:val="24"/>
        </w:rPr>
        <w:t>patents</w:t>
      </w:r>
      <w:r w:rsidR="00C0226E" w:rsidRPr="005F1FD6">
        <w:rPr>
          <w:rFonts w:ascii="Times New Roman" w:hAnsi="Times New Roman" w:cs="Times New Roman"/>
          <w:sz w:val="24"/>
          <w:szCs w:val="24"/>
        </w:rPr>
        <w:t xml:space="preserve"> (</w:t>
      </w:r>
      <w:r w:rsidR="00F04FAC">
        <w:rPr>
          <w:rFonts w:ascii="Times New Roman" w:hAnsi="Times New Roman" w:cs="Times New Roman"/>
          <w:sz w:val="24"/>
          <w:szCs w:val="24"/>
        </w:rPr>
        <w:t>median: no patents</w:t>
      </w:r>
      <w:r w:rsidR="00C0226E" w:rsidRPr="005F1FD6">
        <w:rPr>
          <w:rFonts w:ascii="Times New Roman" w:hAnsi="Times New Roman" w:cs="Times New Roman"/>
          <w:sz w:val="24"/>
          <w:szCs w:val="24"/>
        </w:rPr>
        <w:t xml:space="preserve">) and generates </w:t>
      </w:r>
      <w:r w:rsidR="00680A8E" w:rsidRPr="005F1FD6">
        <w:rPr>
          <w:rFonts w:ascii="Times New Roman" w:hAnsi="Times New Roman" w:cs="Times New Roman"/>
          <w:sz w:val="24"/>
          <w:szCs w:val="24"/>
        </w:rPr>
        <w:t>€1</w:t>
      </w:r>
      <w:r w:rsidR="00687BF0">
        <w:rPr>
          <w:rFonts w:ascii="Times New Roman" w:hAnsi="Times New Roman" w:cs="Times New Roman"/>
          <w:sz w:val="24"/>
          <w:szCs w:val="24"/>
        </w:rPr>
        <w:t>,</w:t>
      </w:r>
      <w:r w:rsidR="00680A8E" w:rsidRPr="005F1FD6">
        <w:rPr>
          <w:rFonts w:ascii="Times New Roman" w:hAnsi="Times New Roman" w:cs="Times New Roman"/>
          <w:sz w:val="24"/>
          <w:szCs w:val="24"/>
        </w:rPr>
        <w:t>7</w:t>
      </w:r>
      <w:r w:rsidR="00680A8E">
        <w:rPr>
          <w:rFonts w:ascii="Times New Roman" w:hAnsi="Times New Roman" w:cs="Times New Roman"/>
          <w:sz w:val="24"/>
          <w:szCs w:val="24"/>
        </w:rPr>
        <w:t>6</w:t>
      </w:r>
      <w:r w:rsidR="00687BF0">
        <w:rPr>
          <w:rFonts w:ascii="Times New Roman" w:hAnsi="Times New Roman" w:cs="Times New Roman"/>
          <w:sz w:val="24"/>
          <w:szCs w:val="24"/>
        </w:rPr>
        <w:t>2,920</w:t>
      </w:r>
      <w:r w:rsidR="00680A8E">
        <w:rPr>
          <w:rFonts w:ascii="Times New Roman" w:hAnsi="Times New Roman" w:cs="Times New Roman"/>
          <w:sz w:val="24"/>
          <w:szCs w:val="24"/>
        </w:rPr>
        <w:t xml:space="preserve"> </w:t>
      </w:r>
      <w:r w:rsidR="004D05F0">
        <w:rPr>
          <w:rFonts w:ascii="Times New Roman" w:hAnsi="Times New Roman" w:cs="Times New Roman"/>
          <w:sz w:val="24"/>
          <w:szCs w:val="24"/>
        </w:rPr>
        <w:t xml:space="preserve">(median: €225,000) </w:t>
      </w:r>
      <w:r w:rsidR="00680A8E">
        <w:rPr>
          <w:rFonts w:ascii="Times New Roman" w:hAnsi="Times New Roman" w:cs="Times New Roman"/>
          <w:sz w:val="24"/>
          <w:szCs w:val="24"/>
        </w:rPr>
        <w:t xml:space="preserve">of </w:t>
      </w:r>
      <w:r w:rsidR="00C0226E" w:rsidRPr="005F1FD6">
        <w:rPr>
          <w:rFonts w:ascii="Times New Roman" w:hAnsi="Times New Roman" w:cs="Times New Roman"/>
          <w:i/>
          <w:sz w:val="24"/>
          <w:szCs w:val="24"/>
        </w:rPr>
        <w:t>sales</w:t>
      </w:r>
      <w:r w:rsidR="00C0226E" w:rsidRPr="005F1FD6">
        <w:rPr>
          <w:rFonts w:ascii="Times New Roman" w:hAnsi="Times New Roman" w:cs="Times New Roman"/>
          <w:sz w:val="24"/>
          <w:szCs w:val="24"/>
        </w:rPr>
        <w:t xml:space="preserve"> </w:t>
      </w:r>
      <w:r w:rsidR="00D52025">
        <w:rPr>
          <w:rFonts w:ascii="Times New Roman" w:hAnsi="Times New Roman" w:cs="Times New Roman"/>
          <w:sz w:val="24"/>
          <w:szCs w:val="24"/>
        </w:rPr>
        <w:t xml:space="preserve">at </w:t>
      </w:r>
      <w:r w:rsidR="00C0226E" w:rsidRPr="005F1FD6">
        <w:rPr>
          <w:rFonts w:ascii="Times New Roman" w:hAnsi="Times New Roman" w:cs="Times New Roman"/>
          <w:sz w:val="24"/>
          <w:szCs w:val="24"/>
        </w:rPr>
        <w:t xml:space="preserve">time of </w:t>
      </w:r>
      <w:r w:rsidR="00680A8E">
        <w:rPr>
          <w:rFonts w:ascii="Times New Roman" w:hAnsi="Times New Roman" w:cs="Times New Roman"/>
          <w:sz w:val="24"/>
          <w:szCs w:val="24"/>
        </w:rPr>
        <w:t xml:space="preserve">VC </w:t>
      </w:r>
      <w:r w:rsidR="00C0226E" w:rsidRPr="005F1FD6">
        <w:rPr>
          <w:rFonts w:ascii="Times New Roman" w:hAnsi="Times New Roman" w:cs="Times New Roman"/>
          <w:sz w:val="24"/>
          <w:szCs w:val="24"/>
        </w:rPr>
        <w:t xml:space="preserve">entry. </w:t>
      </w:r>
    </w:p>
    <w:p w14:paraId="1C0B1144" w14:textId="0E6324BB" w:rsidR="00B81A1E" w:rsidRPr="005F1FD6" w:rsidRDefault="00A25C9E" w:rsidP="009E0A45">
      <w:pPr>
        <w:spacing w:after="0" w:line="480" w:lineRule="auto"/>
        <w:ind w:firstLine="432"/>
        <w:contextualSpacing/>
        <w:jc w:val="both"/>
        <w:rPr>
          <w:rFonts w:ascii="Times New Roman" w:hAnsi="Times New Roman" w:cs="Times New Roman"/>
          <w:sz w:val="24"/>
          <w:szCs w:val="24"/>
        </w:rPr>
      </w:pPr>
      <w:r>
        <w:rPr>
          <w:rFonts w:ascii="Times New Roman" w:hAnsi="Times New Roman" w:cs="Times New Roman"/>
          <w:sz w:val="24"/>
          <w:szCs w:val="24"/>
        </w:rPr>
        <w:t>The f</w:t>
      </w:r>
      <w:r w:rsidR="000C549A">
        <w:rPr>
          <w:rFonts w:ascii="Times New Roman" w:hAnsi="Times New Roman" w:cs="Times New Roman"/>
          <w:sz w:val="24"/>
          <w:szCs w:val="24"/>
        </w:rPr>
        <w:t>ollowing VC firm characteristics are included</w:t>
      </w:r>
      <w:r w:rsidR="00AF56C6" w:rsidRPr="005F1FD6">
        <w:rPr>
          <w:rFonts w:ascii="Times New Roman" w:hAnsi="Times New Roman" w:cs="Times New Roman"/>
          <w:sz w:val="24"/>
          <w:szCs w:val="24"/>
        </w:rPr>
        <w:t>.</w:t>
      </w:r>
      <w:r w:rsidR="00B81A1E" w:rsidRPr="005F1FD6">
        <w:rPr>
          <w:rFonts w:ascii="Times New Roman" w:hAnsi="Times New Roman" w:cs="Times New Roman"/>
          <w:sz w:val="24"/>
          <w:szCs w:val="24"/>
        </w:rPr>
        <w:t xml:space="preserve"> </w:t>
      </w:r>
      <w:r w:rsidR="00B81A1E" w:rsidRPr="005F1FD6">
        <w:rPr>
          <w:rFonts w:ascii="Times New Roman" w:hAnsi="Times New Roman" w:cs="Times New Roman"/>
          <w:i/>
          <w:sz w:val="24"/>
          <w:szCs w:val="24"/>
        </w:rPr>
        <w:t xml:space="preserve">VC </w:t>
      </w:r>
      <w:r w:rsidR="00AF56C6" w:rsidRPr="005F1FD6">
        <w:rPr>
          <w:rFonts w:ascii="Times New Roman" w:hAnsi="Times New Roman" w:cs="Times New Roman"/>
          <w:i/>
          <w:sz w:val="24"/>
          <w:szCs w:val="24"/>
        </w:rPr>
        <w:t xml:space="preserve">firm </w:t>
      </w:r>
      <w:r w:rsidR="00B81A1E" w:rsidRPr="005F1FD6">
        <w:rPr>
          <w:rFonts w:ascii="Times New Roman" w:hAnsi="Times New Roman" w:cs="Times New Roman"/>
          <w:i/>
          <w:sz w:val="24"/>
          <w:szCs w:val="24"/>
        </w:rPr>
        <w:t>age</w:t>
      </w:r>
      <w:r w:rsidR="00AF56C6" w:rsidRPr="005F1FD6">
        <w:rPr>
          <w:rFonts w:ascii="Times New Roman" w:hAnsi="Times New Roman" w:cs="Times New Roman"/>
          <w:sz w:val="24"/>
          <w:szCs w:val="24"/>
        </w:rPr>
        <w:t xml:space="preserve"> is included</w:t>
      </w:r>
      <w:r w:rsidR="00B81A1E" w:rsidRPr="005F1FD6">
        <w:rPr>
          <w:rFonts w:ascii="Times New Roman" w:hAnsi="Times New Roman" w:cs="Times New Roman"/>
          <w:sz w:val="24"/>
          <w:szCs w:val="24"/>
        </w:rPr>
        <w:t>, a</w:t>
      </w:r>
      <w:r w:rsidR="00C3012C" w:rsidRPr="005F1FD6">
        <w:rPr>
          <w:rFonts w:ascii="Times New Roman" w:hAnsi="Times New Roman" w:cs="Times New Roman"/>
          <w:sz w:val="24"/>
          <w:szCs w:val="24"/>
        </w:rPr>
        <w:t>s older VC</w:t>
      </w:r>
      <w:r w:rsidR="007A25F8" w:rsidRPr="005F1FD6">
        <w:rPr>
          <w:rFonts w:ascii="Times New Roman" w:hAnsi="Times New Roman" w:cs="Times New Roman"/>
          <w:sz w:val="24"/>
          <w:szCs w:val="24"/>
        </w:rPr>
        <w:t xml:space="preserve"> firm</w:t>
      </w:r>
      <w:r w:rsidR="00C3012C" w:rsidRPr="005F1FD6">
        <w:rPr>
          <w:rFonts w:ascii="Times New Roman" w:hAnsi="Times New Roman" w:cs="Times New Roman"/>
          <w:sz w:val="24"/>
          <w:szCs w:val="24"/>
        </w:rPr>
        <w:t>s are more likely to stage their investments (</w:t>
      </w:r>
      <w:r w:rsidR="00F12174" w:rsidRPr="00F12174">
        <w:rPr>
          <w:rFonts w:ascii="Times New Roman" w:hAnsi="Times New Roman" w:cs="Times New Roman"/>
          <w:sz w:val="24"/>
          <w:szCs w:val="24"/>
        </w:rPr>
        <w:t>Ch</w:t>
      </w:r>
      <w:r w:rsidR="00F12174">
        <w:rPr>
          <w:rFonts w:ascii="Times New Roman" w:hAnsi="Times New Roman" w:cs="Times New Roman"/>
          <w:sz w:val="24"/>
          <w:szCs w:val="24"/>
        </w:rPr>
        <w:t>emmanur</w:t>
      </w:r>
      <w:r w:rsidR="00946D1B">
        <w:rPr>
          <w:rFonts w:ascii="Times New Roman" w:hAnsi="Times New Roman" w:cs="Times New Roman"/>
          <w:sz w:val="24"/>
          <w:szCs w:val="24"/>
        </w:rPr>
        <w:t xml:space="preserve"> et al.</w:t>
      </w:r>
      <w:r w:rsidR="00F12174">
        <w:rPr>
          <w:rFonts w:ascii="Times New Roman" w:hAnsi="Times New Roman" w:cs="Times New Roman"/>
          <w:sz w:val="24"/>
          <w:szCs w:val="24"/>
        </w:rPr>
        <w:t xml:space="preserve">, </w:t>
      </w:r>
      <w:r w:rsidR="00946D1B">
        <w:rPr>
          <w:rFonts w:ascii="Times New Roman" w:hAnsi="Times New Roman" w:cs="Times New Roman"/>
          <w:sz w:val="24"/>
          <w:szCs w:val="24"/>
        </w:rPr>
        <w:t>2012</w:t>
      </w:r>
      <w:r w:rsidR="00B81A1E" w:rsidRPr="005F1FD6">
        <w:rPr>
          <w:rFonts w:ascii="Times New Roman" w:hAnsi="Times New Roman" w:cs="Times New Roman"/>
          <w:sz w:val="24"/>
          <w:szCs w:val="24"/>
        </w:rPr>
        <w:t>)</w:t>
      </w:r>
      <w:r w:rsidR="00C3012C" w:rsidRPr="005F1FD6">
        <w:rPr>
          <w:rFonts w:ascii="Times New Roman" w:hAnsi="Times New Roman" w:cs="Times New Roman"/>
          <w:sz w:val="24"/>
          <w:szCs w:val="24"/>
        </w:rPr>
        <w:t xml:space="preserve">. </w:t>
      </w:r>
      <w:r w:rsidR="00116548">
        <w:rPr>
          <w:rFonts w:ascii="Times New Roman" w:hAnsi="Times New Roman" w:cs="Times New Roman"/>
          <w:sz w:val="24"/>
          <w:szCs w:val="24"/>
        </w:rPr>
        <w:t>Older VC firms are more experienced, an</w:t>
      </w:r>
      <w:r w:rsidR="007B1EAB">
        <w:rPr>
          <w:rFonts w:ascii="Times New Roman" w:hAnsi="Times New Roman" w:cs="Times New Roman"/>
          <w:sz w:val="24"/>
          <w:szCs w:val="24"/>
        </w:rPr>
        <w:t>d might therefore have a higher probability of successful exits (Dai et al., 2012</w:t>
      </w:r>
      <w:r w:rsidR="00116548">
        <w:rPr>
          <w:rFonts w:ascii="Times New Roman" w:hAnsi="Times New Roman" w:cs="Times New Roman"/>
          <w:sz w:val="24"/>
          <w:szCs w:val="24"/>
        </w:rPr>
        <w:t xml:space="preserve">). </w:t>
      </w:r>
      <w:r w:rsidR="002F5F0B" w:rsidRPr="005F1FD6">
        <w:rPr>
          <w:rFonts w:ascii="Times New Roman" w:hAnsi="Times New Roman" w:cs="Times New Roman"/>
          <w:sz w:val="24"/>
          <w:szCs w:val="24"/>
        </w:rPr>
        <w:t xml:space="preserve">Compared to the median cross-border and branch VC firm, a median domestic VC is three years younger at time of first investment. </w:t>
      </w:r>
      <w:r w:rsidR="000E7637">
        <w:rPr>
          <w:rFonts w:ascii="Times New Roman" w:hAnsi="Times New Roman" w:cs="Times New Roman"/>
          <w:sz w:val="24"/>
          <w:szCs w:val="24"/>
        </w:rPr>
        <w:t>As more experienced VC investors exhibit lower behavioral biases (Gomper, Kover, Lerner et al., 2008), and a</w:t>
      </w:r>
      <w:r w:rsidR="00DE5515" w:rsidRPr="005F1FD6">
        <w:rPr>
          <w:rFonts w:ascii="Times New Roman" w:hAnsi="Times New Roman" w:cs="Times New Roman"/>
          <w:sz w:val="24"/>
          <w:szCs w:val="24"/>
        </w:rPr>
        <w:t>s</w:t>
      </w:r>
      <w:r w:rsidR="00C3012C" w:rsidRPr="005F1FD6">
        <w:rPr>
          <w:rFonts w:ascii="Times New Roman" w:hAnsi="Times New Roman" w:cs="Times New Roman"/>
          <w:sz w:val="24"/>
          <w:szCs w:val="24"/>
        </w:rPr>
        <w:t xml:space="preserve"> </w:t>
      </w:r>
      <w:r w:rsidR="00DE5515" w:rsidRPr="005F1FD6">
        <w:rPr>
          <w:rFonts w:ascii="Times New Roman" w:hAnsi="Times New Roman" w:cs="Times New Roman"/>
          <w:sz w:val="24"/>
          <w:szCs w:val="24"/>
        </w:rPr>
        <w:t>a VC firm</w:t>
      </w:r>
      <w:r w:rsidR="00ED7157" w:rsidRPr="005F1FD6">
        <w:rPr>
          <w:rFonts w:ascii="Times New Roman" w:hAnsi="Times New Roman" w:cs="Times New Roman"/>
          <w:sz w:val="24"/>
          <w:szCs w:val="24"/>
        </w:rPr>
        <w:t>’s experience</w:t>
      </w:r>
      <w:r w:rsidR="00DE5515" w:rsidRPr="005F1FD6">
        <w:rPr>
          <w:rFonts w:ascii="Times New Roman" w:hAnsi="Times New Roman" w:cs="Times New Roman"/>
          <w:sz w:val="24"/>
          <w:szCs w:val="24"/>
        </w:rPr>
        <w:t xml:space="preserve"> may impact</w:t>
      </w:r>
      <w:r w:rsidR="00C3012C" w:rsidRPr="005F1FD6">
        <w:rPr>
          <w:rFonts w:ascii="Times New Roman" w:hAnsi="Times New Roman" w:cs="Times New Roman"/>
          <w:sz w:val="24"/>
          <w:szCs w:val="24"/>
        </w:rPr>
        <w:t xml:space="preserve"> the probability of a successful exit</w:t>
      </w:r>
      <w:r w:rsidR="000E7637">
        <w:rPr>
          <w:rFonts w:ascii="Times New Roman" w:hAnsi="Times New Roman" w:cs="Times New Roman"/>
          <w:sz w:val="24"/>
          <w:szCs w:val="24"/>
        </w:rPr>
        <w:t xml:space="preserve"> (Dai et al., 2012</w:t>
      </w:r>
      <w:r w:rsidR="000E7637" w:rsidRPr="005F1FD6">
        <w:rPr>
          <w:rFonts w:ascii="Times New Roman" w:hAnsi="Times New Roman" w:cs="Times New Roman"/>
          <w:sz w:val="24"/>
          <w:szCs w:val="24"/>
        </w:rPr>
        <w:t>)</w:t>
      </w:r>
      <w:r w:rsidR="00DE5515" w:rsidRPr="005F1FD6">
        <w:rPr>
          <w:rFonts w:ascii="Times New Roman" w:hAnsi="Times New Roman" w:cs="Times New Roman"/>
          <w:sz w:val="24"/>
          <w:szCs w:val="24"/>
        </w:rPr>
        <w:t>,</w:t>
      </w:r>
      <w:r w:rsidR="00C3012C" w:rsidRPr="005F1FD6">
        <w:rPr>
          <w:rFonts w:ascii="Times New Roman" w:hAnsi="Times New Roman" w:cs="Times New Roman"/>
          <w:sz w:val="24"/>
          <w:szCs w:val="24"/>
        </w:rPr>
        <w:t xml:space="preserve"> </w:t>
      </w:r>
      <w:r w:rsidR="008B316C" w:rsidRPr="005F1FD6">
        <w:rPr>
          <w:rFonts w:ascii="Times New Roman" w:hAnsi="Times New Roman" w:cs="Times New Roman"/>
          <w:sz w:val="24"/>
          <w:szCs w:val="24"/>
        </w:rPr>
        <w:t xml:space="preserve">the </w:t>
      </w:r>
      <w:r w:rsidR="00BC5394" w:rsidRPr="005F1FD6">
        <w:rPr>
          <w:rFonts w:ascii="Times New Roman" w:hAnsi="Times New Roman" w:cs="Times New Roman"/>
          <w:sz w:val="24"/>
          <w:szCs w:val="24"/>
        </w:rPr>
        <w:t>number</w:t>
      </w:r>
      <w:r w:rsidR="008B316C" w:rsidRPr="005F1FD6">
        <w:rPr>
          <w:rFonts w:ascii="Times New Roman" w:hAnsi="Times New Roman" w:cs="Times New Roman"/>
          <w:sz w:val="24"/>
          <w:szCs w:val="24"/>
        </w:rPr>
        <w:t xml:space="preserve"> of prior portfolio companie</w:t>
      </w:r>
      <w:r w:rsidR="00C3012C" w:rsidRPr="005F1FD6">
        <w:rPr>
          <w:rFonts w:ascii="Times New Roman" w:hAnsi="Times New Roman" w:cs="Times New Roman"/>
          <w:sz w:val="24"/>
          <w:szCs w:val="24"/>
        </w:rPr>
        <w:t>s the VC</w:t>
      </w:r>
      <w:r w:rsidR="007A25F8" w:rsidRPr="005F1FD6">
        <w:rPr>
          <w:rFonts w:ascii="Times New Roman" w:hAnsi="Times New Roman" w:cs="Times New Roman"/>
          <w:sz w:val="24"/>
          <w:szCs w:val="24"/>
        </w:rPr>
        <w:t xml:space="preserve"> firm</w:t>
      </w:r>
      <w:r w:rsidR="00C3012C" w:rsidRPr="005F1FD6">
        <w:rPr>
          <w:rFonts w:ascii="Times New Roman" w:hAnsi="Times New Roman" w:cs="Times New Roman"/>
          <w:sz w:val="24"/>
          <w:szCs w:val="24"/>
        </w:rPr>
        <w:t xml:space="preserve"> invested</w:t>
      </w:r>
      <w:r w:rsidR="00ED7157" w:rsidRPr="005F1FD6">
        <w:rPr>
          <w:rFonts w:ascii="Times New Roman" w:hAnsi="Times New Roman" w:cs="Times New Roman"/>
          <w:sz w:val="24"/>
          <w:szCs w:val="24"/>
        </w:rPr>
        <w:t xml:space="preserve"> in</w:t>
      </w:r>
      <w:r w:rsidR="00C3012C" w:rsidRPr="005F1FD6">
        <w:rPr>
          <w:rFonts w:ascii="Times New Roman" w:hAnsi="Times New Roman" w:cs="Times New Roman"/>
          <w:sz w:val="24"/>
          <w:szCs w:val="24"/>
        </w:rPr>
        <w:t xml:space="preserve"> </w:t>
      </w:r>
      <w:r w:rsidR="00DE5515" w:rsidRPr="005F1FD6">
        <w:rPr>
          <w:rFonts w:ascii="Times New Roman" w:hAnsi="Times New Roman" w:cs="Times New Roman"/>
          <w:sz w:val="24"/>
          <w:szCs w:val="24"/>
        </w:rPr>
        <w:t xml:space="preserve">is </w:t>
      </w:r>
      <w:r w:rsidR="00F64DE3" w:rsidRPr="005F1FD6">
        <w:rPr>
          <w:rFonts w:ascii="Times New Roman" w:hAnsi="Times New Roman" w:cs="Times New Roman"/>
          <w:sz w:val="24"/>
          <w:szCs w:val="24"/>
        </w:rPr>
        <w:t>measured</w:t>
      </w:r>
      <w:r w:rsidR="00BC5394" w:rsidRPr="005F1FD6">
        <w:rPr>
          <w:rFonts w:ascii="Times New Roman" w:hAnsi="Times New Roman" w:cs="Times New Roman"/>
          <w:sz w:val="24"/>
          <w:szCs w:val="24"/>
        </w:rPr>
        <w:t xml:space="preserve">. </w:t>
      </w:r>
      <w:r w:rsidR="00F64DE3" w:rsidRPr="005F1FD6">
        <w:rPr>
          <w:rFonts w:ascii="Times New Roman" w:hAnsi="Times New Roman" w:cs="Times New Roman"/>
          <w:sz w:val="24"/>
          <w:szCs w:val="24"/>
        </w:rPr>
        <w:t xml:space="preserve">Both a VC firm’s </w:t>
      </w:r>
      <w:r w:rsidR="00F64DE3" w:rsidRPr="005F1FD6">
        <w:rPr>
          <w:rFonts w:ascii="Times New Roman" w:hAnsi="Times New Roman" w:cs="Times New Roman"/>
          <w:i/>
          <w:sz w:val="24"/>
          <w:szCs w:val="24"/>
        </w:rPr>
        <w:t>general experience</w:t>
      </w:r>
      <w:r w:rsidR="00F64DE3" w:rsidRPr="005F1FD6">
        <w:rPr>
          <w:rFonts w:ascii="Times New Roman" w:hAnsi="Times New Roman" w:cs="Times New Roman"/>
          <w:sz w:val="24"/>
          <w:szCs w:val="24"/>
        </w:rPr>
        <w:t xml:space="preserve"> and its </w:t>
      </w:r>
      <w:r w:rsidR="00F64DE3" w:rsidRPr="005F1FD6">
        <w:rPr>
          <w:rFonts w:ascii="Times New Roman" w:hAnsi="Times New Roman" w:cs="Times New Roman"/>
          <w:i/>
          <w:sz w:val="24"/>
          <w:szCs w:val="24"/>
        </w:rPr>
        <w:t>country</w:t>
      </w:r>
      <w:r w:rsidR="00F95EC8">
        <w:rPr>
          <w:rFonts w:ascii="Times New Roman" w:hAnsi="Times New Roman" w:cs="Times New Roman"/>
          <w:i/>
          <w:sz w:val="24"/>
          <w:szCs w:val="24"/>
        </w:rPr>
        <w:t xml:space="preserve"> </w:t>
      </w:r>
      <w:r w:rsidR="00F64DE3" w:rsidRPr="005F1FD6">
        <w:rPr>
          <w:rFonts w:ascii="Times New Roman" w:hAnsi="Times New Roman" w:cs="Times New Roman"/>
          <w:i/>
          <w:sz w:val="24"/>
          <w:szCs w:val="24"/>
        </w:rPr>
        <w:t>specific experience</w:t>
      </w:r>
      <w:r w:rsidR="00F64DE3" w:rsidRPr="005F1FD6">
        <w:rPr>
          <w:rFonts w:ascii="Times New Roman" w:hAnsi="Times New Roman" w:cs="Times New Roman"/>
          <w:sz w:val="24"/>
          <w:szCs w:val="24"/>
        </w:rPr>
        <w:t xml:space="preserve"> are </w:t>
      </w:r>
      <w:r w:rsidR="00AF542E">
        <w:rPr>
          <w:rFonts w:ascii="Times New Roman" w:hAnsi="Times New Roman" w:cs="Times New Roman"/>
          <w:sz w:val="24"/>
          <w:szCs w:val="24"/>
        </w:rPr>
        <w:t>measured</w:t>
      </w:r>
      <w:r w:rsidR="00756D9C">
        <w:rPr>
          <w:rFonts w:ascii="Times New Roman" w:hAnsi="Times New Roman" w:cs="Times New Roman"/>
          <w:sz w:val="24"/>
          <w:szCs w:val="24"/>
        </w:rPr>
        <w:t xml:space="preserve">, although </w:t>
      </w:r>
      <w:r w:rsidR="00756D9C" w:rsidRPr="00DD4DDC">
        <w:rPr>
          <w:rFonts w:ascii="Times New Roman" w:hAnsi="Times New Roman" w:cs="Times New Roman"/>
          <w:sz w:val="24"/>
          <w:szCs w:val="24"/>
        </w:rPr>
        <w:t>a high correlation between both variables prevents us from including both variables in the same model</w:t>
      </w:r>
      <w:r w:rsidR="00F64DE3" w:rsidRPr="00756D9C">
        <w:rPr>
          <w:rFonts w:ascii="Times New Roman" w:hAnsi="Times New Roman" w:cs="Times New Roman"/>
          <w:sz w:val="24"/>
          <w:szCs w:val="24"/>
        </w:rPr>
        <w:t xml:space="preserve">. </w:t>
      </w:r>
      <w:r w:rsidR="00124832" w:rsidRPr="005F1FD6">
        <w:rPr>
          <w:rFonts w:ascii="Times New Roman" w:hAnsi="Times New Roman" w:cs="Times New Roman"/>
          <w:sz w:val="24"/>
          <w:szCs w:val="24"/>
        </w:rPr>
        <w:t xml:space="preserve">The median domestic VC </w:t>
      </w:r>
      <w:r w:rsidR="00171E98" w:rsidRPr="005F1FD6">
        <w:rPr>
          <w:rFonts w:ascii="Times New Roman" w:hAnsi="Times New Roman" w:cs="Times New Roman"/>
          <w:sz w:val="24"/>
          <w:szCs w:val="24"/>
        </w:rPr>
        <w:t xml:space="preserve">firm </w:t>
      </w:r>
      <w:r w:rsidR="00124832" w:rsidRPr="005F1FD6">
        <w:rPr>
          <w:rFonts w:ascii="Times New Roman" w:hAnsi="Times New Roman" w:cs="Times New Roman"/>
          <w:sz w:val="24"/>
          <w:szCs w:val="24"/>
        </w:rPr>
        <w:t>has the lowest general experience (</w:t>
      </w:r>
      <w:r w:rsidR="000B252C">
        <w:rPr>
          <w:rFonts w:ascii="Times New Roman" w:hAnsi="Times New Roman" w:cs="Times New Roman"/>
          <w:sz w:val="24"/>
          <w:szCs w:val="24"/>
        </w:rPr>
        <w:t>four</w:t>
      </w:r>
      <w:r w:rsidR="00D6044A" w:rsidRPr="005F1FD6">
        <w:rPr>
          <w:rFonts w:ascii="Times New Roman" w:hAnsi="Times New Roman" w:cs="Times New Roman"/>
          <w:sz w:val="24"/>
          <w:szCs w:val="24"/>
        </w:rPr>
        <w:t xml:space="preserve"> investments</w:t>
      </w:r>
      <w:r w:rsidR="00124832" w:rsidRPr="005F1FD6">
        <w:rPr>
          <w:rFonts w:ascii="Times New Roman" w:hAnsi="Times New Roman" w:cs="Times New Roman"/>
          <w:sz w:val="24"/>
          <w:szCs w:val="24"/>
        </w:rPr>
        <w:t>) but the highest country specific experience (</w:t>
      </w:r>
      <w:r w:rsidR="000B252C">
        <w:rPr>
          <w:rFonts w:ascii="Times New Roman" w:hAnsi="Times New Roman" w:cs="Times New Roman"/>
          <w:sz w:val="24"/>
          <w:szCs w:val="24"/>
        </w:rPr>
        <w:t>three investments</w:t>
      </w:r>
      <w:r w:rsidR="00124832" w:rsidRPr="005F1FD6">
        <w:rPr>
          <w:rFonts w:ascii="Times New Roman" w:hAnsi="Times New Roman" w:cs="Times New Roman"/>
          <w:sz w:val="24"/>
          <w:szCs w:val="24"/>
        </w:rPr>
        <w:t>)</w:t>
      </w:r>
      <w:r w:rsidR="00171E98" w:rsidRPr="005F1FD6">
        <w:rPr>
          <w:rFonts w:ascii="Times New Roman" w:hAnsi="Times New Roman" w:cs="Times New Roman"/>
          <w:sz w:val="24"/>
          <w:szCs w:val="24"/>
        </w:rPr>
        <w:t xml:space="preserve">. The median cross-border VC firm has no country specific experience, but has invested in 17 portfolio </w:t>
      </w:r>
      <w:r w:rsidR="00171E98" w:rsidRPr="005F1FD6">
        <w:rPr>
          <w:rFonts w:ascii="Times New Roman" w:hAnsi="Times New Roman" w:cs="Times New Roman"/>
          <w:sz w:val="24"/>
          <w:szCs w:val="24"/>
        </w:rPr>
        <w:lastRenderedPageBreak/>
        <w:t xml:space="preserve">companies worldwide. </w:t>
      </w:r>
      <w:r w:rsidR="00F64DE3" w:rsidRPr="005F1FD6">
        <w:rPr>
          <w:rFonts w:ascii="Times New Roman" w:hAnsi="Times New Roman" w:cs="Times New Roman"/>
          <w:sz w:val="24"/>
          <w:szCs w:val="24"/>
        </w:rPr>
        <w:t>While the median branch VC</w:t>
      </w:r>
      <w:r w:rsidR="007A25F8" w:rsidRPr="005F1FD6">
        <w:rPr>
          <w:rFonts w:ascii="Times New Roman" w:hAnsi="Times New Roman" w:cs="Times New Roman"/>
          <w:sz w:val="24"/>
          <w:szCs w:val="24"/>
        </w:rPr>
        <w:t xml:space="preserve"> firm</w:t>
      </w:r>
      <w:r w:rsidR="00F64DE3" w:rsidRPr="005F1FD6">
        <w:rPr>
          <w:rFonts w:ascii="Times New Roman" w:hAnsi="Times New Roman" w:cs="Times New Roman"/>
          <w:sz w:val="24"/>
          <w:szCs w:val="24"/>
        </w:rPr>
        <w:t xml:space="preserve"> has the highest </w:t>
      </w:r>
      <w:r w:rsidR="00F64DE3" w:rsidRPr="005F1FD6">
        <w:rPr>
          <w:rFonts w:ascii="Times New Roman" w:hAnsi="Times New Roman" w:cs="Times New Roman"/>
          <w:i/>
          <w:sz w:val="24"/>
          <w:szCs w:val="24"/>
        </w:rPr>
        <w:t>general experience</w:t>
      </w:r>
      <w:r w:rsidR="00F64DE3" w:rsidRPr="005F1FD6">
        <w:rPr>
          <w:rFonts w:ascii="Times New Roman" w:hAnsi="Times New Roman" w:cs="Times New Roman"/>
          <w:sz w:val="24"/>
          <w:szCs w:val="24"/>
        </w:rPr>
        <w:t xml:space="preserve"> (78 investments)</w:t>
      </w:r>
      <w:r w:rsidR="00ED7157" w:rsidRPr="005F1FD6">
        <w:rPr>
          <w:rFonts w:ascii="Times New Roman" w:hAnsi="Times New Roman" w:cs="Times New Roman"/>
          <w:sz w:val="24"/>
          <w:szCs w:val="24"/>
        </w:rPr>
        <w:t>, its</w:t>
      </w:r>
      <w:r w:rsidR="00F64DE3" w:rsidRPr="005F1FD6">
        <w:rPr>
          <w:rFonts w:ascii="Times New Roman" w:hAnsi="Times New Roman" w:cs="Times New Roman"/>
          <w:sz w:val="24"/>
          <w:szCs w:val="24"/>
        </w:rPr>
        <w:t xml:space="preserve"> </w:t>
      </w:r>
      <w:r w:rsidR="00F64DE3" w:rsidRPr="005F1FD6">
        <w:rPr>
          <w:rFonts w:ascii="Times New Roman" w:hAnsi="Times New Roman" w:cs="Times New Roman"/>
          <w:i/>
          <w:sz w:val="24"/>
          <w:szCs w:val="24"/>
        </w:rPr>
        <w:t>country specific experience</w:t>
      </w:r>
      <w:r w:rsidR="00F64DE3" w:rsidRPr="005F1FD6">
        <w:rPr>
          <w:rFonts w:ascii="Times New Roman" w:hAnsi="Times New Roman" w:cs="Times New Roman"/>
          <w:sz w:val="24"/>
          <w:szCs w:val="24"/>
        </w:rPr>
        <w:t xml:space="preserve"> is </w:t>
      </w:r>
      <w:r w:rsidR="004B70AF" w:rsidRPr="005F1FD6">
        <w:rPr>
          <w:rFonts w:ascii="Times New Roman" w:hAnsi="Times New Roman" w:cs="Times New Roman"/>
          <w:sz w:val="24"/>
          <w:szCs w:val="24"/>
        </w:rPr>
        <w:t>in between that of domestic and of cross-border VC firms</w:t>
      </w:r>
      <w:r w:rsidR="00171E98" w:rsidRPr="005F1FD6">
        <w:rPr>
          <w:rFonts w:ascii="Times New Roman" w:hAnsi="Times New Roman" w:cs="Times New Roman"/>
          <w:sz w:val="24"/>
          <w:szCs w:val="24"/>
        </w:rPr>
        <w:t xml:space="preserve"> (</w:t>
      </w:r>
      <w:r w:rsidR="000B252C">
        <w:rPr>
          <w:rFonts w:ascii="Times New Roman" w:hAnsi="Times New Roman" w:cs="Times New Roman"/>
          <w:sz w:val="24"/>
          <w:szCs w:val="24"/>
        </w:rPr>
        <w:t>two</w:t>
      </w:r>
      <w:r w:rsidR="00171E98" w:rsidRPr="005F1FD6">
        <w:rPr>
          <w:rFonts w:ascii="Times New Roman" w:hAnsi="Times New Roman" w:cs="Times New Roman"/>
          <w:sz w:val="24"/>
          <w:szCs w:val="24"/>
        </w:rPr>
        <w:t xml:space="preserve"> investments).</w:t>
      </w:r>
      <w:r w:rsidR="00ED7157" w:rsidRPr="005F1FD6">
        <w:rPr>
          <w:rFonts w:ascii="Times New Roman" w:hAnsi="Times New Roman" w:cs="Times New Roman"/>
          <w:sz w:val="24"/>
          <w:szCs w:val="24"/>
        </w:rPr>
        <w:t xml:space="preserve"> </w:t>
      </w:r>
      <w:r w:rsidR="00BC5394" w:rsidRPr="005F1FD6">
        <w:rPr>
          <w:rFonts w:ascii="Times New Roman" w:hAnsi="Times New Roman" w:cs="Times New Roman"/>
          <w:sz w:val="24"/>
          <w:szCs w:val="24"/>
        </w:rPr>
        <w:t>Since VC firm</w:t>
      </w:r>
      <w:r w:rsidR="00C3012C" w:rsidRPr="005F1FD6">
        <w:rPr>
          <w:rFonts w:ascii="Times New Roman" w:hAnsi="Times New Roman" w:cs="Times New Roman"/>
          <w:sz w:val="24"/>
          <w:szCs w:val="24"/>
        </w:rPr>
        <w:t>s</w:t>
      </w:r>
      <w:r w:rsidR="00BC5394" w:rsidRPr="005F1FD6">
        <w:rPr>
          <w:rFonts w:ascii="Times New Roman" w:hAnsi="Times New Roman" w:cs="Times New Roman"/>
          <w:sz w:val="24"/>
          <w:szCs w:val="24"/>
        </w:rPr>
        <w:t>’</w:t>
      </w:r>
      <w:r w:rsidR="00C3012C" w:rsidRPr="005F1FD6">
        <w:rPr>
          <w:rFonts w:ascii="Times New Roman" w:hAnsi="Times New Roman" w:cs="Times New Roman"/>
          <w:sz w:val="24"/>
          <w:szCs w:val="24"/>
        </w:rPr>
        <w:t xml:space="preserve"> reputational concerns </w:t>
      </w:r>
      <w:r w:rsidR="00BC5394" w:rsidRPr="005F1FD6">
        <w:rPr>
          <w:rFonts w:ascii="Times New Roman" w:hAnsi="Times New Roman" w:cs="Times New Roman"/>
          <w:sz w:val="24"/>
          <w:szCs w:val="24"/>
        </w:rPr>
        <w:t>may</w:t>
      </w:r>
      <w:r w:rsidR="00C3012C" w:rsidRPr="005F1FD6">
        <w:rPr>
          <w:rFonts w:ascii="Times New Roman" w:hAnsi="Times New Roman" w:cs="Times New Roman"/>
          <w:sz w:val="24"/>
          <w:szCs w:val="24"/>
        </w:rPr>
        <w:t xml:space="preserve"> impact </w:t>
      </w:r>
      <w:r w:rsidR="004E59CE" w:rsidRPr="005F1FD6">
        <w:rPr>
          <w:rFonts w:ascii="Times New Roman" w:hAnsi="Times New Roman" w:cs="Times New Roman"/>
          <w:sz w:val="24"/>
          <w:szCs w:val="24"/>
        </w:rPr>
        <w:t>exit</w:t>
      </w:r>
      <w:r w:rsidR="00C3012C" w:rsidRPr="005F1FD6">
        <w:rPr>
          <w:rFonts w:ascii="Times New Roman" w:hAnsi="Times New Roman" w:cs="Times New Roman"/>
          <w:sz w:val="24"/>
          <w:szCs w:val="24"/>
        </w:rPr>
        <w:t xml:space="preserve"> timing, </w:t>
      </w:r>
      <w:r w:rsidR="00BC5394" w:rsidRPr="005F1FD6">
        <w:rPr>
          <w:rFonts w:ascii="Times New Roman" w:hAnsi="Times New Roman" w:cs="Times New Roman"/>
          <w:sz w:val="24"/>
          <w:szCs w:val="24"/>
        </w:rPr>
        <w:t>their</w:t>
      </w:r>
      <w:r w:rsidR="00C3012C" w:rsidRPr="005F1FD6">
        <w:rPr>
          <w:rFonts w:ascii="Times New Roman" w:hAnsi="Times New Roman" w:cs="Times New Roman"/>
          <w:sz w:val="24"/>
          <w:szCs w:val="24"/>
        </w:rPr>
        <w:t xml:space="preserve"> reputation </w:t>
      </w:r>
      <w:r w:rsidR="00BC5394" w:rsidRPr="005F1FD6">
        <w:rPr>
          <w:rFonts w:ascii="Times New Roman" w:hAnsi="Times New Roman" w:cs="Times New Roman"/>
          <w:sz w:val="24"/>
          <w:szCs w:val="24"/>
        </w:rPr>
        <w:t>is</w:t>
      </w:r>
      <w:r w:rsidR="00C3012C" w:rsidRPr="005F1FD6">
        <w:rPr>
          <w:rFonts w:ascii="Times New Roman" w:hAnsi="Times New Roman" w:cs="Times New Roman"/>
          <w:sz w:val="24"/>
          <w:szCs w:val="24"/>
        </w:rPr>
        <w:t xml:space="preserve"> </w:t>
      </w:r>
      <w:r w:rsidR="00BC5394" w:rsidRPr="005F1FD6">
        <w:rPr>
          <w:rFonts w:ascii="Times New Roman" w:hAnsi="Times New Roman" w:cs="Times New Roman"/>
          <w:sz w:val="24"/>
          <w:szCs w:val="24"/>
        </w:rPr>
        <w:t>included and measured as</w:t>
      </w:r>
      <w:r w:rsidR="00C3012C" w:rsidRPr="005F1FD6">
        <w:rPr>
          <w:rFonts w:ascii="Times New Roman" w:hAnsi="Times New Roman" w:cs="Times New Roman"/>
          <w:sz w:val="24"/>
          <w:szCs w:val="24"/>
        </w:rPr>
        <w:t xml:space="preserve"> the </w:t>
      </w:r>
      <w:r w:rsidR="00BC5394" w:rsidRPr="005F1FD6">
        <w:rPr>
          <w:rFonts w:ascii="Times New Roman" w:hAnsi="Times New Roman" w:cs="Times New Roman"/>
          <w:i/>
          <w:sz w:val="24"/>
          <w:szCs w:val="24"/>
        </w:rPr>
        <w:t>number</w:t>
      </w:r>
      <w:r w:rsidR="00C3012C" w:rsidRPr="005F1FD6">
        <w:rPr>
          <w:rFonts w:ascii="Times New Roman" w:hAnsi="Times New Roman" w:cs="Times New Roman"/>
          <w:i/>
          <w:sz w:val="24"/>
          <w:szCs w:val="24"/>
        </w:rPr>
        <w:t xml:space="preserve"> of IPO exit</w:t>
      </w:r>
      <w:r w:rsidR="00BC5394" w:rsidRPr="005F1FD6">
        <w:rPr>
          <w:rFonts w:ascii="Times New Roman" w:hAnsi="Times New Roman" w:cs="Times New Roman"/>
          <w:i/>
          <w:sz w:val="24"/>
          <w:szCs w:val="24"/>
        </w:rPr>
        <w:t>s</w:t>
      </w:r>
      <w:r w:rsidR="00C3012C" w:rsidRPr="005F1FD6">
        <w:rPr>
          <w:rFonts w:ascii="Times New Roman" w:hAnsi="Times New Roman" w:cs="Times New Roman"/>
          <w:i/>
          <w:sz w:val="24"/>
          <w:szCs w:val="24"/>
        </w:rPr>
        <w:t xml:space="preserve"> </w:t>
      </w:r>
      <w:r w:rsidR="00CC629D">
        <w:rPr>
          <w:rFonts w:ascii="Times New Roman" w:hAnsi="Times New Roman" w:cs="Times New Roman"/>
          <w:sz w:val="24"/>
          <w:szCs w:val="24"/>
        </w:rPr>
        <w:t>(</w:t>
      </w:r>
      <w:r w:rsidR="002A4BE9" w:rsidRPr="005F1FD6">
        <w:rPr>
          <w:rFonts w:ascii="Times New Roman" w:hAnsi="Times New Roman" w:cs="Times New Roman"/>
          <w:sz w:val="24"/>
          <w:szCs w:val="24"/>
        </w:rPr>
        <w:t xml:space="preserve">Cumming </w:t>
      </w:r>
      <w:r w:rsidR="002174D5">
        <w:rPr>
          <w:rFonts w:ascii="Times New Roman" w:hAnsi="Times New Roman" w:cs="Times New Roman"/>
          <w:sz w:val="24"/>
          <w:szCs w:val="24"/>
        </w:rPr>
        <w:t>and</w:t>
      </w:r>
      <w:r w:rsidR="002A4BE9" w:rsidRPr="005F1FD6">
        <w:rPr>
          <w:rFonts w:ascii="Times New Roman" w:hAnsi="Times New Roman" w:cs="Times New Roman"/>
          <w:sz w:val="24"/>
          <w:szCs w:val="24"/>
        </w:rPr>
        <w:t xml:space="preserve"> Dai</w:t>
      </w:r>
      <w:r w:rsidR="00DD398A">
        <w:rPr>
          <w:rFonts w:ascii="Times New Roman" w:hAnsi="Times New Roman" w:cs="Times New Roman"/>
          <w:sz w:val="24"/>
          <w:szCs w:val="24"/>
        </w:rPr>
        <w:t>,</w:t>
      </w:r>
      <w:r w:rsidR="002A4BE9" w:rsidRPr="005F1FD6">
        <w:rPr>
          <w:rFonts w:ascii="Times New Roman" w:hAnsi="Times New Roman" w:cs="Times New Roman"/>
          <w:sz w:val="24"/>
          <w:szCs w:val="24"/>
        </w:rPr>
        <w:t xml:space="preserve"> 2010</w:t>
      </w:r>
      <w:r w:rsidR="00C3012C" w:rsidRPr="005F1FD6">
        <w:rPr>
          <w:rFonts w:ascii="Times New Roman" w:hAnsi="Times New Roman" w:cs="Times New Roman"/>
          <w:sz w:val="24"/>
          <w:szCs w:val="24"/>
        </w:rPr>
        <w:t>).</w:t>
      </w:r>
      <w:r w:rsidR="00CF774D" w:rsidRPr="005F1FD6">
        <w:rPr>
          <w:rFonts w:ascii="Times New Roman" w:hAnsi="Times New Roman" w:cs="Times New Roman"/>
          <w:sz w:val="24"/>
          <w:szCs w:val="24"/>
        </w:rPr>
        <w:t xml:space="preserve"> </w:t>
      </w:r>
      <w:r w:rsidR="00781B65" w:rsidRPr="005F1FD6">
        <w:rPr>
          <w:rFonts w:ascii="Times New Roman" w:hAnsi="Times New Roman" w:cs="Times New Roman"/>
          <w:sz w:val="24"/>
          <w:szCs w:val="24"/>
        </w:rPr>
        <w:t>While</w:t>
      </w:r>
      <w:r w:rsidR="004E59CE" w:rsidRPr="005F1FD6">
        <w:rPr>
          <w:rFonts w:ascii="Times New Roman" w:hAnsi="Times New Roman" w:cs="Times New Roman"/>
          <w:sz w:val="24"/>
          <w:szCs w:val="24"/>
        </w:rPr>
        <w:t xml:space="preserve"> the median domestic VC </w:t>
      </w:r>
      <w:r w:rsidR="00781B65" w:rsidRPr="005F1FD6">
        <w:rPr>
          <w:rFonts w:ascii="Times New Roman" w:hAnsi="Times New Roman" w:cs="Times New Roman"/>
          <w:sz w:val="24"/>
          <w:szCs w:val="24"/>
        </w:rPr>
        <w:t>firm</w:t>
      </w:r>
      <w:r w:rsidR="004E59CE" w:rsidRPr="005F1FD6">
        <w:rPr>
          <w:rFonts w:ascii="Times New Roman" w:hAnsi="Times New Roman" w:cs="Times New Roman"/>
          <w:sz w:val="24"/>
          <w:szCs w:val="24"/>
        </w:rPr>
        <w:t xml:space="preserve"> has no IPO experience, the median cross-border VC </w:t>
      </w:r>
      <w:r w:rsidR="00781B65" w:rsidRPr="005F1FD6">
        <w:rPr>
          <w:rFonts w:ascii="Times New Roman" w:hAnsi="Times New Roman" w:cs="Times New Roman"/>
          <w:sz w:val="24"/>
          <w:szCs w:val="24"/>
        </w:rPr>
        <w:t xml:space="preserve">firm </w:t>
      </w:r>
      <w:r w:rsidR="004E59CE" w:rsidRPr="005F1FD6">
        <w:rPr>
          <w:rFonts w:ascii="Times New Roman" w:hAnsi="Times New Roman" w:cs="Times New Roman"/>
          <w:sz w:val="24"/>
          <w:szCs w:val="24"/>
        </w:rPr>
        <w:t>and branch VC</w:t>
      </w:r>
      <w:r w:rsidR="00781B65" w:rsidRPr="005F1FD6">
        <w:rPr>
          <w:rFonts w:ascii="Times New Roman" w:hAnsi="Times New Roman" w:cs="Times New Roman"/>
          <w:sz w:val="24"/>
          <w:szCs w:val="24"/>
        </w:rPr>
        <w:t xml:space="preserve"> firm have</w:t>
      </w:r>
      <w:r w:rsidR="004E59CE" w:rsidRPr="005F1FD6">
        <w:rPr>
          <w:rFonts w:ascii="Times New Roman" w:hAnsi="Times New Roman" w:cs="Times New Roman"/>
          <w:sz w:val="24"/>
          <w:szCs w:val="24"/>
        </w:rPr>
        <w:t xml:space="preserve"> brought respectively one and three portfolio companies to the stock market before investing in the focal portfolio company. </w:t>
      </w:r>
      <w:r w:rsidR="00CF774D" w:rsidRPr="005F1FD6">
        <w:rPr>
          <w:rFonts w:ascii="Times New Roman" w:hAnsi="Times New Roman" w:cs="Times New Roman"/>
          <w:sz w:val="24"/>
          <w:szCs w:val="24"/>
        </w:rPr>
        <w:t xml:space="preserve">Finally, </w:t>
      </w:r>
      <w:r w:rsidR="000F6204" w:rsidRPr="005F1FD6">
        <w:rPr>
          <w:rFonts w:ascii="Times New Roman" w:hAnsi="Times New Roman" w:cs="Times New Roman"/>
          <w:sz w:val="24"/>
          <w:szCs w:val="24"/>
        </w:rPr>
        <w:t xml:space="preserve">a dummy variable </w:t>
      </w:r>
      <w:r w:rsidR="00F87FEB" w:rsidRPr="005F1FD6">
        <w:rPr>
          <w:rFonts w:ascii="Times New Roman" w:hAnsi="Times New Roman" w:cs="Times New Roman"/>
          <w:sz w:val="24"/>
          <w:szCs w:val="24"/>
        </w:rPr>
        <w:t>indicating</w:t>
      </w:r>
      <w:r w:rsidR="000F6204" w:rsidRPr="005F1FD6">
        <w:rPr>
          <w:rFonts w:ascii="Times New Roman" w:hAnsi="Times New Roman" w:cs="Times New Roman"/>
          <w:sz w:val="24"/>
          <w:szCs w:val="24"/>
        </w:rPr>
        <w:t xml:space="preserve"> whether the VC</w:t>
      </w:r>
      <w:r w:rsidR="00F87FEB" w:rsidRPr="005F1FD6">
        <w:rPr>
          <w:rFonts w:ascii="Times New Roman" w:hAnsi="Times New Roman" w:cs="Times New Roman"/>
          <w:sz w:val="24"/>
          <w:szCs w:val="24"/>
        </w:rPr>
        <w:t xml:space="preserve"> firm</w:t>
      </w:r>
      <w:r w:rsidR="000F6204" w:rsidRPr="005F1FD6">
        <w:rPr>
          <w:rFonts w:ascii="Times New Roman" w:hAnsi="Times New Roman" w:cs="Times New Roman"/>
          <w:sz w:val="24"/>
          <w:szCs w:val="24"/>
        </w:rPr>
        <w:t xml:space="preserve"> is the </w:t>
      </w:r>
      <w:r w:rsidR="000F6204" w:rsidRPr="005F1FD6">
        <w:rPr>
          <w:rFonts w:ascii="Times New Roman" w:hAnsi="Times New Roman" w:cs="Times New Roman"/>
          <w:i/>
          <w:sz w:val="24"/>
          <w:szCs w:val="24"/>
        </w:rPr>
        <w:t>lead investor</w:t>
      </w:r>
      <w:r w:rsidR="000F6204" w:rsidRPr="005F1FD6">
        <w:rPr>
          <w:rFonts w:ascii="Times New Roman" w:hAnsi="Times New Roman" w:cs="Times New Roman"/>
          <w:sz w:val="24"/>
          <w:szCs w:val="24"/>
        </w:rPr>
        <w:t xml:space="preserve"> in the round</w:t>
      </w:r>
      <w:r w:rsidR="00F87FEB" w:rsidRPr="005F1FD6">
        <w:rPr>
          <w:rFonts w:ascii="Times New Roman" w:hAnsi="Times New Roman" w:cs="Times New Roman"/>
          <w:sz w:val="24"/>
          <w:szCs w:val="24"/>
        </w:rPr>
        <w:t xml:space="preserve"> is included</w:t>
      </w:r>
      <w:r w:rsidR="000F6204" w:rsidRPr="005F1FD6">
        <w:rPr>
          <w:rFonts w:ascii="Times New Roman" w:hAnsi="Times New Roman" w:cs="Times New Roman"/>
          <w:sz w:val="24"/>
          <w:szCs w:val="24"/>
        </w:rPr>
        <w:t xml:space="preserve">. </w:t>
      </w:r>
      <w:r w:rsidR="00361E84">
        <w:rPr>
          <w:rFonts w:ascii="Times New Roman" w:hAnsi="Times New Roman" w:cs="Times New Roman"/>
          <w:sz w:val="24"/>
          <w:szCs w:val="24"/>
        </w:rPr>
        <w:t xml:space="preserve">The lead investor is defined as the largest investor in a specific investment round and is updated for every investment round. </w:t>
      </w:r>
      <w:r w:rsidR="004E59CE" w:rsidRPr="005F1FD6">
        <w:rPr>
          <w:rFonts w:ascii="Times New Roman" w:hAnsi="Times New Roman" w:cs="Times New Roman"/>
          <w:sz w:val="24"/>
          <w:szCs w:val="24"/>
        </w:rPr>
        <w:t>D</w:t>
      </w:r>
      <w:r w:rsidR="00B81A1E" w:rsidRPr="005F1FD6">
        <w:rPr>
          <w:rFonts w:ascii="Times New Roman" w:hAnsi="Times New Roman" w:cs="Times New Roman"/>
          <w:sz w:val="24"/>
          <w:szCs w:val="24"/>
        </w:rPr>
        <w:t>omestic, cross-border and branch VC</w:t>
      </w:r>
      <w:r w:rsidR="004E59CE" w:rsidRPr="005F1FD6">
        <w:rPr>
          <w:rFonts w:ascii="Times New Roman" w:hAnsi="Times New Roman" w:cs="Times New Roman"/>
          <w:sz w:val="24"/>
          <w:szCs w:val="24"/>
        </w:rPr>
        <w:t xml:space="preserve"> firm</w:t>
      </w:r>
      <w:r w:rsidR="00B81A1E" w:rsidRPr="005F1FD6">
        <w:rPr>
          <w:rFonts w:ascii="Times New Roman" w:hAnsi="Times New Roman" w:cs="Times New Roman"/>
          <w:sz w:val="24"/>
          <w:szCs w:val="24"/>
        </w:rPr>
        <w:t xml:space="preserve">s </w:t>
      </w:r>
      <w:r w:rsidR="00BF03F3" w:rsidRPr="005F1FD6">
        <w:rPr>
          <w:rFonts w:ascii="Times New Roman" w:hAnsi="Times New Roman" w:cs="Times New Roman"/>
          <w:sz w:val="24"/>
          <w:szCs w:val="24"/>
        </w:rPr>
        <w:t>act</w:t>
      </w:r>
      <w:r w:rsidR="00B81A1E" w:rsidRPr="005F1FD6">
        <w:rPr>
          <w:rFonts w:ascii="Times New Roman" w:hAnsi="Times New Roman" w:cs="Times New Roman"/>
          <w:sz w:val="24"/>
          <w:szCs w:val="24"/>
        </w:rPr>
        <w:t xml:space="preserve"> as lead investor in respectively 62, 40 and 56 percent of the investments</w:t>
      </w:r>
      <w:r w:rsidR="00B81A1E" w:rsidRPr="00591031">
        <w:rPr>
          <w:rFonts w:ascii="Times New Roman" w:hAnsi="Times New Roman" w:cs="Times New Roman"/>
          <w:sz w:val="24"/>
          <w:szCs w:val="24"/>
        </w:rPr>
        <w:t>.</w:t>
      </w:r>
      <w:r w:rsidR="00B81A1E" w:rsidRPr="005F1FD6">
        <w:rPr>
          <w:rFonts w:ascii="Times New Roman" w:hAnsi="Times New Roman" w:cs="Times New Roman"/>
          <w:sz w:val="24"/>
          <w:szCs w:val="24"/>
        </w:rPr>
        <w:t xml:space="preserve"> </w:t>
      </w:r>
    </w:p>
    <w:p w14:paraId="6FA2209D" w14:textId="5DC692DA" w:rsidR="00C3012C" w:rsidRPr="005F1FD6" w:rsidRDefault="00A25C9E" w:rsidP="009E0A45">
      <w:pPr>
        <w:spacing w:after="0" w:line="480" w:lineRule="auto"/>
        <w:ind w:firstLine="432"/>
        <w:contextualSpacing/>
        <w:jc w:val="both"/>
        <w:rPr>
          <w:rFonts w:ascii="Times New Roman" w:hAnsi="Times New Roman" w:cs="Times New Roman"/>
          <w:sz w:val="24"/>
          <w:szCs w:val="24"/>
        </w:rPr>
      </w:pPr>
      <w:r>
        <w:rPr>
          <w:rFonts w:ascii="Times New Roman" w:hAnsi="Times New Roman" w:cs="Times New Roman"/>
          <w:sz w:val="24"/>
          <w:szCs w:val="24"/>
        </w:rPr>
        <w:t>The f</w:t>
      </w:r>
      <w:r w:rsidR="002528FC" w:rsidRPr="005F1FD6">
        <w:rPr>
          <w:rFonts w:ascii="Times New Roman" w:hAnsi="Times New Roman" w:cs="Times New Roman"/>
          <w:sz w:val="24"/>
          <w:szCs w:val="24"/>
        </w:rPr>
        <w:t>ollowing</w:t>
      </w:r>
      <w:r w:rsidR="005F307C" w:rsidRPr="005F1FD6">
        <w:rPr>
          <w:rFonts w:ascii="Times New Roman" w:hAnsi="Times New Roman" w:cs="Times New Roman"/>
          <w:sz w:val="24"/>
          <w:szCs w:val="24"/>
        </w:rPr>
        <w:t xml:space="preserve"> deal characteristics </w:t>
      </w:r>
      <w:r w:rsidR="002528FC" w:rsidRPr="005F1FD6">
        <w:rPr>
          <w:rFonts w:ascii="Times New Roman" w:hAnsi="Times New Roman" w:cs="Times New Roman"/>
          <w:sz w:val="24"/>
          <w:szCs w:val="24"/>
        </w:rPr>
        <w:t>are</w:t>
      </w:r>
      <w:r w:rsidR="005F307C" w:rsidRPr="005F1FD6">
        <w:rPr>
          <w:rFonts w:ascii="Times New Roman" w:hAnsi="Times New Roman" w:cs="Times New Roman"/>
          <w:sz w:val="24"/>
          <w:szCs w:val="24"/>
        </w:rPr>
        <w:t xml:space="preserve"> include</w:t>
      </w:r>
      <w:r w:rsidR="008B1CDF" w:rsidRPr="005F1FD6">
        <w:rPr>
          <w:rFonts w:ascii="Times New Roman" w:hAnsi="Times New Roman" w:cs="Times New Roman"/>
          <w:sz w:val="24"/>
          <w:szCs w:val="24"/>
        </w:rPr>
        <w:t>d</w:t>
      </w:r>
      <w:r w:rsidR="002528FC" w:rsidRPr="005F1FD6">
        <w:rPr>
          <w:rFonts w:ascii="Times New Roman" w:hAnsi="Times New Roman" w:cs="Times New Roman"/>
          <w:sz w:val="24"/>
          <w:szCs w:val="24"/>
        </w:rPr>
        <w:t>:</w:t>
      </w:r>
      <w:r w:rsidR="005F307C" w:rsidRPr="005F1FD6">
        <w:rPr>
          <w:rFonts w:ascii="Times New Roman" w:hAnsi="Times New Roman" w:cs="Times New Roman"/>
          <w:sz w:val="24"/>
          <w:szCs w:val="24"/>
        </w:rPr>
        <w:t xml:space="preserve"> </w:t>
      </w:r>
      <w:r w:rsidR="005F307C" w:rsidRPr="005F1FD6">
        <w:rPr>
          <w:rFonts w:ascii="Times New Roman" w:hAnsi="Times New Roman" w:cs="Times New Roman"/>
          <w:i/>
          <w:sz w:val="24"/>
          <w:szCs w:val="24"/>
        </w:rPr>
        <w:t xml:space="preserve">geographic </w:t>
      </w:r>
      <w:r w:rsidR="00D534CC" w:rsidRPr="005F1FD6">
        <w:rPr>
          <w:rFonts w:ascii="Times New Roman" w:hAnsi="Times New Roman" w:cs="Times New Roman"/>
          <w:i/>
          <w:sz w:val="24"/>
          <w:szCs w:val="24"/>
        </w:rPr>
        <w:t xml:space="preserve">distance, </w:t>
      </w:r>
      <w:r w:rsidR="005F307C" w:rsidRPr="005F1FD6">
        <w:rPr>
          <w:rFonts w:ascii="Times New Roman" w:hAnsi="Times New Roman" w:cs="Times New Roman"/>
          <w:i/>
          <w:sz w:val="24"/>
          <w:szCs w:val="24"/>
        </w:rPr>
        <w:t>cumulative amount invested</w:t>
      </w:r>
      <w:r w:rsidR="00D534CC" w:rsidRPr="005F1FD6">
        <w:rPr>
          <w:rFonts w:ascii="Times New Roman" w:hAnsi="Times New Roman" w:cs="Times New Roman"/>
          <w:i/>
          <w:sz w:val="24"/>
          <w:szCs w:val="24"/>
        </w:rPr>
        <w:t>,</w:t>
      </w:r>
      <w:r w:rsidR="00782171" w:rsidRPr="005F1FD6">
        <w:rPr>
          <w:rFonts w:ascii="Times New Roman" w:hAnsi="Times New Roman" w:cs="Times New Roman"/>
          <w:i/>
          <w:sz w:val="24"/>
          <w:szCs w:val="24"/>
        </w:rPr>
        <w:t xml:space="preserve"> VC</w:t>
      </w:r>
      <w:r w:rsidR="001B77DF" w:rsidRPr="005F1FD6">
        <w:rPr>
          <w:rFonts w:ascii="Times New Roman" w:hAnsi="Times New Roman" w:cs="Times New Roman"/>
          <w:i/>
          <w:sz w:val="24"/>
          <w:szCs w:val="24"/>
        </w:rPr>
        <w:t xml:space="preserve"> firm</w:t>
      </w:r>
      <w:r w:rsidR="00782171" w:rsidRPr="005F1FD6">
        <w:rPr>
          <w:rFonts w:ascii="Times New Roman" w:hAnsi="Times New Roman" w:cs="Times New Roman"/>
          <w:i/>
          <w:sz w:val="24"/>
          <w:szCs w:val="24"/>
        </w:rPr>
        <w:t xml:space="preserve"> entry round,</w:t>
      </w:r>
      <w:r w:rsidR="00D534CC" w:rsidRPr="005F1FD6">
        <w:rPr>
          <w:rFonts w:ascii="Times New Roman" w:hAnsi="Times New Roman" w:cs="Times New Roman"/>
          <w:i/>
          <w:sz w:val="24"/>
          <w:szCs w:val="24"/>
        </w:rPr>
        <w:t xml:space="preserve"> syndication size </w:t>
      </w:r>
      <w:r w:rsidR="00D534CC" w:rsidRPr="006D0CF5">
        <w:rPr>
          <w:rFonts w:ascii="Times New Roman" w:hAnsi="Times New Roman" w:cs="Times New Roman"/>
          <w:sz w:val="24"/>
          <w:szCs w:val="24"/>
        </w:rPr>
        <w:t>and</w:t>
      </w:r>
      <w:r w:rsidR="00D534CC" w:rsidRPr="005F1FD6">
        <w:rPr>
          <w:rFonts w:ascii="Times New Roman" w:hAnsi="Times New Roman" w:cs="Times New Roman"/>
          <w:i/>
          <w:sz w:val="24"/>
          <w:szCs w:val="24"/>
        </w:rPr>
        <w:t xml:space="preserve"> </w:t>
      </w:r>
      <w:r w:rsidR="00F95EC8">
        <w:rPr>
          <w:rFonts w:ascii="Times New Roman" w:hAnsi="Times New Roman" w:cs="Times New Roman"/>
          <w:i/>
          <w:sz w:val="24"/>
          <w:szCs w:val="24"/>
        </w:rPr>
        <w:t>mixed syn</w:t>
      </w:r>
      <w:r w:rsidR="00D534CC" w:rsidRPr="005F1FD6">
        <w:rPr>
          <w:rFonts w:ascii="Times New Roman" w:hAnsi="Times New Roman" w:cs="Times New Roman"/>
          <w:i/>
          <w:sz w:val="24"/>
          <w:szCs w:val="24"/>
        </w:rPr>
        <w:t>dicat</w:t>
      </w:r>
      <w:r w:rsidR="00F95EC8">
        <w:rPr>
          <w:rFonts w:ascii="Times New Roman" w:hAnsi="Times New Roman" w:cs="Times New Roman"/>
          <w:i/>
          <w:sz w:val="24"/>
          <w:szCs w:val="24"/>
        </w:rPr>
        <w:t>e</w:t>
      </w:r>
      <w:r w:rsidR="005F307C" w:rsidRPr="005F1FD6">
        <w:rPr>
          <w:rFonts w:ascii="Times New Roman" w:hAnsi="Times New Roman" w:cs="Times New Roman"/>
          <w:sz w:val="24"/>
          <w:szCs w:val="24"/>
        </w:rPr>
        <w:t xml:space="preserve">. </w:t>
      </w:r>
      <w:r w:rsidR="007D13AA">
        <w:rPr>
          <w:rFonts w:ascii="Times New Roman" w:hAnsi="Times New Roman" w:cs="Times New Roman"/>
          <w:sz w:val="24"/>
          <w:szCs w:val="24"/>
        </w:rPr>
        <w:t xml:space="preserve">VC firms that are located closer to their ventures have a lower probability to </w:t>
      </w:r>
      <w:r w:rsidR="001F500F">
        <w:rPr>
          <w:rFonts w:ascii="Times New Roman" w:hAnsi="Times New Roman" w:cs="Times New Roman"/>
          <w:sz w:val="24"/>
          <w:szCs w:val="24"/>
        </w:rPr>
        <w:t xml:space="preserve">abandon their investment (Li and Chi, 2013). </w:t>
      </w:r>
      <w:r w:rsidR="004135EB">
        <w:rPr>
          <w:rFonts w:ascii="Times New Roman" w:hAnsi="Times New Roman" w:cs="Times New Roman"/>
          <w:sz w:val="24"/>
          <w:szCs w:val="24"/>
        </w:rPr>
        <w:t>G</w:t>
      </w:r>
      <w:r w:rsidR="005F307C" w:rsidRPr="005F1FD6">
        <w:rPr>
          <w:rFonts w:ascii="Times New Roman" w:hAnsi="Times New Roman" w:cs="Times New Roman"/>
          <w:sz w:val="24"/>
          <w:szCs w:val="24"/>
        </w:rPr>
        <w:t>eographical proximity impact</w:t>
      </w:r>
      <w:r w:rsidR="00F04139" w:rsidRPr="005F1FD6">
        <w:rPr>
          <w:rFonts w:ascii="Times New Roman" w:hAnsi="Times New Roman" w:cs="Times New Roman"/>
          <w:sz w:val="24"/>
          <w:szCs w:val="24"/>
        </w:rPr>
        <w:t>s a</w:t>
      </w:r>
      <w:r w:rsidR="005F307C" w:rsidRPr="005F1FD6">
        <w:rPr>
          <w:rFonts w:ascii="Times New Roman" w:hAnsi="Times New Roman" w:cs="Times New Roman"/>
          <w:sz w:val="24"/>
          <w:szCs w:val="24"/>
        </w:rPr>
        <w:t xml:space="preserve"> VC</w:t>
      </w:r>
      <w:r w:rsidR="00F04139" w:rsidRPr="005F1FD6">
        <w:rPr>
          <w:rFonts w:ascii="Times New Roman" w:hAnsi="Times New Roman" w:cs="Times New Roman"/>
          <w:sz w:val="24"/>
          <w:szCs w:val="24"/>
        </w:rPr>
        <w:t xml:space="preserve"> firm</w:t>
      </w:r>
      <w:r w:rsidR="005F307C" w:rsidRPr="005F1FD6">
        <w:rPr>
          <w:rFonts w:ascii="Times New Roman" w:hAnsi="Times New Roman" w:cs="Times New Roman"/>
          <w:sz w:val="24"/>
          <w:szCs w:val="24"/>
        </w:rPr>
        <w:t>’s information gathering, monitoring and advising functions</w:t>
      </w:r>
      <w:r w:rsidR="00F04139" w:rsidRPr="005F1FD6">
        <w:rPr>
          <w:rFonts w:ascii="Times New Roman" w:hAnsi="Times New Roman" w:cs="Times New Roman"/>
          <w:sz w:val="24"/>
          <w:szCs w:val="24"/>
        </w:rPr>
        <w:t xml:space="preserve">, </w:t>
      </w:r>
      <w:r w:rsidR="004135EB">
        <w:rPr>
          <w:rFonts w:ascii="Times New Roman" w:hAnsi="Times New Roman" w:cs="Times New Roman"/>
          <w:sz w:val="24"/>
          <w:szCs w:val="24"/>
        </w:rPr>
        <w:t>hence</w:t>
      </w:r>
      <w:r w:rsidR="005F307C" w:rsidRPr="005F1FD6">
        <w:rPr>
          <w:rFonts w:ascii="Times New Roman" w:hAnsi="Times New Roman" w:cs="Times New Roman"/>
          <w:sz w:val="24"/>
          <w:szCs w:val="24"/>
        </w:rPr>
        <w:t xml:space="preserve"> </w:t>
      </w:r>
      <w:r w:rsidR="005F307C" w:rsidRPr="005F1FD6">
        <w:rPr>
          <w:rFonts w:ascii="Times New Roman" w:hAnsi="Times New Roman" w:cs="Times New Roman"/>
          <w:i/>
          <w:sz w:val="24"/>
          <w:szCs w:val="24"/>
        </w:rPr>
        <w:t>geographical distance</w:t>
      </w:r>
      <w:r w:rsidR="005F307C" w:rsidRPr="005F1FD6">
        <w:rPr>
          <w:rFonts w:ascii="Times New Roman" w:hAnsi="Times New Roman" w:cs="Times New Roman"/>
          <w:sz w:val="24"/>
          <w:szCs w:val="24"/>
        </w:rPr>
        <w:t xml:space="preserve"> </w:t>
      </w:r>
      <w:r w:rsidR="00F04139" w:rsidRPr="005F1FD6">
        <w:rPr>
          <w:rFonts w:ascii="Times New Roman" w:hAnsi="Times New Roman" w:cs="Times New Roman"/>
          <w:sz w:val="24"/>
          <w:szCs w:val="24"/>
        </w:rPr>
        <w:t>is included and</w:t>
      </w:r>
      <w:r w:rsidR="005F307C" w:rsidRPr="005F1FD6">
        <w:rPr>
          <w:rFonts w:ascii="Times New Roman" w:hAnsi="Times New Roman" w:cs="Times New Roman"/>
          <w:sz w:val="24"/>
          <w:szCs w:val="24"/>
        </w:rPr>
        <w:t xml:space="preserve"> measured by computing the natural logarithm of the physical distance in kilometers between the focal VC</w:t>
      </w:r>
      <w:r w:rsidR="003C24A6" w:rsidRPr="005F1FD6">
        <w:rPr>
          <w:rFonts w:ascii="Times New Roman" w:hAnsi="Times New Roman" w:cs="Times New Roman"/>
          <w:sz w:val="24"/>
          <w:szCs w:val="24"/>
        </w:rPr>
        <w:t xml:space="preserve"> firm</w:t>
      </w:r>
      <w:r w:rsidR="005F307C" w:rsidRPr="005F1FD6">
        <w:rPr>
          <w:rFonts w:ascii="Times New Roman" w:hAnsi="Times New Roman" w:cs="Times New Roman"/>
          <w:sz w:val="24"/>
          <w:szCs w:val="24"/>
        </w:rPr>
        <w:t xml:space="preserve"> and </w:t>
      </w:r>
      <w:r w:rsidR="003C24A6" w:rsidRPr="005F1FD6">
        <w:rPr>
          <w:rFonts w:ascii="Times New Roman" w:hAnsi="Times New Roman" w:cs="Times New Roman"/>
          <w:sz w:val="24"/>
          <w:szCs w:val="24"/>
        </w:rPr>
        <w:t xml:space="preserve">the </w:t>
      </w:r>
      <w:r w:rsidR="005F307C" w:rsidRPr="005F1FD6">
        <w:rPr>
          <w:rFonts w:ascii="Times New Roman" w:hAnsi="Times New Roman" w:cs="Times New Roman"/>
          <w:sz w:val="24"/>
          <w:szCs w:val="24"/>
        </w:rPr>
        <w:t xml:space="preserve">portfolio company’s headquarter. </w:t>
      </w:r>
      <w:r w:rsidR="006F17F6" w:rsidRPr="005F1FD6">
        <w:rPr>
          <w:rFonts w:ascii="Times New Roman" w:hAnsi="Times New Roman" w:cs="Times New Roman"/>
          <w:sz w:val="24"/>
          <w:szCs w:val="24"/>
        </w:rPr>
        <w:t>The median distance between a VC</w:t>
      </w:r>
      <w:r w:rsidR="007A25F8" w:rsidRPr="005F1FD6">
        <w:rPr>
          <w:rFonts w:ascii="Times New Roman" w:hAnsi="Times New Roman" w:cs="Times New Roman"/>
          <w:sz w:val="24"/>
          <w:szCs w:val="24"/>
        </w:rPr>
        <w:t xml:space="preserve"> firm</w:t>
      </w:r>
      <w:r w:rsidR="006F17F6" w:rsidRPr="005F1FD6">
        <w:rPr>
          <w:rFonts w:ascii="Times New Roman" w:hAnsi="Times New Roman" w:cs="Times New Roman"/>
          <w:sz w:val="24"/>
          <w:szCs w:val="24"/>
        </w:rPr>
        <w:t xml:space="preserve"> and its portfolio company is respectively 75, 1091 and 81 kilometers for domestic, cross-border and branch VC firms. </w:t>
      </w:r>
      <w:r w:rsidR="005F307C" w:rsidRPr="005F1FD6">
        <w:rPr>
          <w:rFonts w:ascii="Times New Roman" w:hAnsi="Times New Roman" w:cs="Times New Roman"/>
          <w:sz w:val="24"/>
          <w:szCs w:val="24"/>
        </w:rPr>
        <w:t xml:space="preserve">The </w:t>
      </w:r>
      <w:r w:rsidR="005F307C" w:rsidRPr="005F1FD6">
        <w:rPr>
          <w:rFonts w:ascii="Times New Roman" w:hAnsi="Times New Roman" w:cs="Times New Roman"/>
          <w:i/>
          <w:sz w:val="24"/>
          <w:szCs w:val="24"/>
        </w:rPr>
        <w:t xml:space="preserve">cumulative amount </w:t>
      </w:r>
      <w:r w:rsidR="00946D1B">
        <w:rPr>
          <w:rFonts w:ascii="Times New Roman" w:hAnsi="Times New Roman" w:cs="Times New Roman"/>
          <w:i/>
          <w:sz w:val="24"/>
          <w:szCs w:val="24"/>
        </w:rPr>
        <w:t>invested</w:t>
      </w:r>
      <w:r w:rsidR="005F307C" w:rsidRPr="005F1FD6">
        <w:rPr>
          <w:rFonts w:ascii="Times New Roman" w:hAnsi="Times New Roman" w:cs="Times New Roman"/>
          <w:sz w:val="24"/>
          <w:szCs w:val="24"/>
        </w:rPr>
        <w:t xml:space="preserve"> by a VC</w:t>
      </w:r>
      <w:r w:rsidR="007A25F8" w:rsidRPr="005F1FD6">
        <w:rPr>
          <w:rFonts w:ascii="Times New Roman" w:hAnsi="Times New Roman" w:cs="Times New Roman"/>
          <w:sz w:val="24"/>
          <w:szCs w:val="24"/>
        </w:rPr>
        <w:t xml:space="preserve"> firm</w:t>
      </w:r>
      <w:r w:rsidR="005F307C" w:rsidRPr="005F1FD6">
        <w:rPr>
          <w:rFonts w:ascii="Times New Roman" w:hAnsi="Times New Roman" w:cs="Times New Roman"/>
          <w:sz w:val="24"/>
          <w:szCs w:val="24"/>
        </w:rPr>
        <w:t xml:space="preserve"> prior to the focal round </w:t>
      </w:r>
      <w:r w:rsidR="00706BD0" w:rsidRPr="005F1FD6">
        <w:rPr>
          <w:rFonts w:ascii="Times New Roman" w:hAnsi="Times New Roman" w:cs="Times New Roman"/>
          <w:sz w:val="24"/>
          <w:szCs w:val="24"/>
        </w:rPr>
        <w:t xml:space="preserve">is a proxy </w:t>
      </w:r>
      <w:r w:rsidR="005F307C" w:rsidRPr="005F1FD6">
        <w:rPr>
          <w:rFonts w:ascii="Times New Roman" w:hAnsi="Times New Roman" w:cs="Times New Roman"/>
          <w:sz w:val="24"/>
          <w:szCs w:val="24"/>
        </w:rPr>
        <w:t>of</w:t>
      </w:r>
      <w:r w:rsidR="00706BD0" w:rsidRPr="005F1FD6">
        <w:rPr>
          <w:rFonts w:ascii="Times New Roman" w:hAnsi="Times New Roman" w:cs="Times New Roman"/>
          <w:sz w:val="24"/>
          <w:szCs w:val="24"/>
        </w:rPr>
        <w:t xml:space="preserve"> its</w:t>
      </w:r>
      <w:r w:rsidR="005F307C" w:rsidRPr="005F1FD6">
        <w:rPr>
          <w:rFonts w:ascii="Times New Roman" w:hAnsi="Times New Roman" w:cs="Times New Roman"/>
          <w:sz w:val="24"/>
          <w:szCs w:val="24"/>
        </w:rPr>
        <w:t xml:space="preserve"> sunk costs</w:t>
      </w:r>
      <w:r w:rsidR="00706BD0" w:rsidRPr="005F1FD6">
        <w:rPr>
          <w:rFonts w:ascii="Times New Roman" w:hAnsi="Times New Roman" w:cs="Times New Roman"/>
          <w:sz w:val="24"/>
          <w:szCs w:val="24"/>
        </w:rPr>
        <w:t xml:space="preserve">, which </w:t>
      </w:r>
      <w:r w:rsidR="00BC462D" w:rsidRPr="005F1FD6">
        <w:rPr>
          <w:rFonts w:ascii="Times New Roman" w:hAnsi="Times New Roman" w:cs="Times New Roman"/>
          <w:sz w:val="24"/>
          <w:szCs w:val="24"/>
        </w:rPr>
        <w:t>may influence escalation of commitment. This measure i</w:t>
      </w:r>
      <w:r w:rsidR="005F307C" w:rsidRPr="005F1FD6">
        <w:rPr>
          <w:rFonts w:ascii="Times New Roman" w:hAnsi="Times New Roman" w:cs="Times New Roman"/>
          <w:sz w:val="24"/>
          <w:szCs w:val="24"/>
        </w:rPr>
        <w:t xml:space="preserve">s computed as the sum in millions of euro </w:t>
      </w:r>
      <w:r w:rsidR="00BC462D" w:rsidRPr="005F1FD6">
        <w:rPr>
          <w:rFonts w:ascii="Times New Roman" w:hAnsi="Times New Roman" w:cs="Times New Roman"/>
          <w:sz w:val="24"/>
          <w:szCs w:val="24"/>
        </w:rPr>
        <w:t xml:space="preserve">that </w:t>
      </w:r>
      <w:r w:rsidR="005F307C" w:rsidRPr="005F1FD6">
        <w:rPr>
          <w:rFonts w:ascii="Times New Roman" w:hAnsi="Times New Roman" w:cs="Times New Roman"/>
          <w:sz w:val="24"/>
          <w:szCs w:val="24"/>
        </w:rPr>
        <w:t xml:space="preserve">the VC </w:t>
      </w:r>
      <w:r w:rsidR="00BC462D" w:rsidRPr="005F1FD6">
        <w:rPr>
          <w:rFonts w:ascii="Times New Roman" w:hAnsi="Times New Roman" w:cs="Times New Roman"/>
          <w:sz w:val="24"/>
          <w:szCs w:val="24"/>
        </w:rPr>
        <w:t xml:space="preserve">firm </w:t>
      </w:r>
      <w:r w:rsidR="005F307C" w:rsidRPr="005F1FD6">
        <w:rPr>
          <w:rFonts w:ascii="Times New Roman" w:hAnsi="Times New Roman" w:cs="Times New Roman"/>
          <w:sz w:val="24"/>
          <w:szCs w:val="24"/>
        </w:rPr>
        <w:t xml:space="preserve">invested in the portfolio company in all rounds prior to the focal round. </w:t>
      </w:r>
      <w:r w:rsidR="00AD7E90" w:rsidRPr="005F1FD6">
        <w:rPr>
          <w:rFonts w:ascii="Times New Roman" w:hAnsi="Times New Roman" w:cs="Times New Roman"/>
          <w:sz w:val="24"/>
          <w:szCs w:val="24"/>
        </w:rPr>
        <w:t xml:space="preserve">Domestic, cross-border and branch VC firms invest a median amount of respectively 1.00, 2.40 and 2.53 million euro in the </w:t>
      </w:r>
      <w:r w:rsidR="001523B7">
        <w:rPr>
          <w:rFonts w:ascii="Times New Roman" w:hAnsi="Times New Roman" w:cs="Times New Roman"/>
          <w:sz w:val="24"/>
          <w:szCs w:val="24"/>
        </w:rPr>
        <w:t xml:space="preserve">entry </w:t>
      </w:r>
      <w:r w:rsidR="00AD7E90" w:rsidRPr="005F1FD6">
        <w:rPr>
          <w:rFonts w:ascii="Times New Roman" w:hAnsi="Times New Roman" w:cs="Times New Roman"/>
          <w:sz w:val="24"/>
          <w:szCs w:val="24"/>
        </w:rPr>
        <w:t xml:space="preserve">round. </w:t>
      </w:r>
      <w:r w:rsidR="00BC462D" w:rsidRPr="005F1FD6">
        <w:rPr>
          <w:rFonts w:ascii="Times New Roman" w:hAnsi="Times New Roman" w:cs="Times New Roman"/>
          <w:sz w:val="24"/>
          <w:szCs w:val="24"/>
        </w:rPr>
        <w:t xml:space="preserve">The </w:t>
      </w:r>
      <w:r w:rsidR="00BC462D" w:rsidRPr="005F1FD6">
        <w:rPr>
          <w:rFonts w:ascii="Times New Roman" w:hAnsi="Times New Roman" w:cs="Times New Roman"/>
          <w:i/>
          <w:sz w:val="24"/>
          <w:szCs w:val="24"/>
        </w:rPr>
        <w:t xml:space="preserve">VC </w:t>
      </w:r>
      <w:r w:rsidR="007A25F8" w:rsidRPr="005F1FD6">
        <w:rPr>
          <w:rFonts w:ascii="Times New Roman" w:hAnsi="Times New Roman" w:cs="Times New Roman"/>
          <w:i/>
          <w:sz w:val="24"/>
          <w:szCs w:val="24"/>
        </w:rPr>
        <w:t xml:space="preserve">firm </w:t>
      </w:r>
      <w:r w:rsidR="00BC462D" w:rsidRPr="005F1FD6">
        <w:rPr>
          <w:rFonts w:ascii="Times New Roman" w:hAnsi="Times New Roman" w:cs="Times New Roman"/>
          <w:i/>
          <w:sz w:val="24"/>
          <w:szCs w:val="24"/>
        </w:rPr>
        <w:t>entry round</w:t>
      </w:r>
      <w:r w:rsidR="00BC462D" w:rsidRPr="005F1FD6">
        <w:rPr>
          <w:rFonts w:ascii="Times New Roman" w:hAnsi="Times New Roman" w:cs="Times New Roman"/>
          <w:sz w:val="24"/>
          <w:szCs w:val="24"/>
        </w:rPr>
        <w:t xml:space="preserve"> is</w:t>
      </w:r>
      <w:r w:rsidR="00782171" w:rsidRPr="005F1FD6">
        <w:rPr>
          <w:rFonts w:ascii="Times New Roman" w:hAnsi="Times New Roman" w:cs="Times New Roman"/>
          <w:sz w:val="24"/>
          <w:szCs w:val="24"/>
        </w:rPr>
        <w:t xml:space="preserve"> defined as the roun</w:t>
      </w:r>
      <w:r w:rsidR="00BC462D" w:rsidRPr="005F1FD6">
        <w:rPr>
          <w:rFonts w:ascii="Times New Roman" w:hAnsi="Times New Roman" w:cs="Times New Roman"/>
          <w:sz w:val="24"/>
          <w:szCs w:val="24"/>
        </w:rPr>
        <w:t xml:space="preserve">d in which </w:t>
      </w:r>
      <w:r w:rsidR="00BC462D" w:rsidRPr="005F1FD6">
        <w:rPr>
          <w:rFonts w:ascii="Times New Roman" w:hAnsi="Times New Roman" w:cs="Times New Roman"/>
          <w:sz w:val="24"/>
          <w:szCs w:val="24"/>
        </w:rPr>
        <w:lastRenderedPageBreak/>
        <w:t xml:space="preserve">the VC </w:t>
      </w:r>
      <w:r w:rsidR="007A25F8" w:rsidRPr="005F1FD6">
        <w:rPr>
          <w:rFonts w:ascii="Times New Roman" w:hAnsi="Times New Roman" w:cs="Times New Roman"/>
          <w:sz w:val="24"/>
          <w:szCs w:val="24"/>
        </w:rPr>
        <w:t xml:space="preserve">firm </w:t>
      </w:r>
      <w:r w:rsidR="00BC462D" w:rsidRPr="005F1FD6">
        <w:rPr>
          <w:rFonts w:ascii="Times New Roman" w:hAnsi="Times New Roman" w:cs="Times New Roman"/>
          <w:sz w:val="24"/>
          <w:szCs w:val="24"/>
        </w:rPr>
        <w:t>first appears</w:t>
      </w:r>
      <w:r w:rsidR="00782171" w:rsidRPr="005F1FD6">
        <w:rPr>
          <w:rFonts w:ascii="Times New Roman" w:hAnsi="Times New Roman" w:cs="Times New Roman"/>
          <w:sz w:val="24"/>
          <w:szCs w:val="24"/>
        </w:rPr>
        <w:t xml:space="preserve"> as an investor in the portfolio company, because the likelihood of termination may </w:t>
      </w:r>
      <w:r w:rsidR="00BC462D" w:rsidRPr="005F1FD6">
        <w:rPr>
          <w:rFonts w:ascii="Times New Roman" w:hAnsi="Times New Roman" w:cs="Times New Roman"/>
          <w:sz w:val="24"/>
          <w:szCs w:val="24"/>
        </w:rPr>
        <w:t>be different for VC</w:t>
      </w:r>
      <w:r w:rsidR="007A25F8" w:rsidRPr="005F1FD6">
        <w:rPr>
          <w:rFonts w:ascii="Times New Roman" w:hAnsi="Times New Roman" w:cs="Times New Roman"/>
          <w:sz w:val="24"/>
          <w:szCs w:val="24"/>
        </w:rPr>
        <w:t xml:space="preserve"> firm</w:t>
      </w:r>
      <w:r w:rsidR="00BC462D" w:rsidRPr="005F1FD6">
        <w:rPr>
          <w:rFonts w:ascii="Times New Roman" w:hAnsi="Times New Roman" w:cs="Times New Roman"/>
          <w:sz w:val="24"/>
          <w:szCs w:val="24"/>
        </w:rPr>
        <w:t>s that join</w:t>
      </w:r>
      <w:r w:rsidR="00782171" w:rsidRPr="005F1FD6">
        <w:rPr>
          <w:rFonts w:ascii="Times New Roman" w:hAnsi="Times New Roman" w:cs="Times New Roman"/>
          <w:sz w:val="24"/>
          <w:szCs w:val="24"/>
        </w:rPr>
        <w:t xml:space="preserve"> the syndicate </w:t>
      </w:r>
      <w:r w:rsidR="00BC462D" w:rsidRPr="005F1FD6">
        <w:rPr>
          <w:rFonts w:ascii="Times New Roman" w:hAnsi="Times New Roman" w:cs="Times New Roman"/>
          <w:sz w:val="24"/>
          <w:szCs w:val="24"/>
        </w:rPr>
        <w:t>earlier rather than later</w:t>
      </w:r>
      <w:r w:rsidR="00782171" w:rsidRPr="005F1FD6">
        <w:rPr>
          <w:rFonts w:ascii="Times New Roman" w:hAnsi="Times New Roman" w:cs="Times New Roman"/>
          <w:sz w:val="24"/>
          <w:szCs w:val="24"/>
        </w:rPr>
        <w:t xml:space="preserve"> (Guler, 2007). </w:t>
      </w:r>
      <w:r w:rsidR="00AB71E8" w:rsidRPr="005F1FD6">
        <w:rPr>
          <w:rFonts w:ascii="Times New Roman" w:hAnsi="Times New Roman" w:cs="Times New Roman"/>
          <w:sz w:val="24"/>
          <w:szCs w:val="24"/>
        </w:rPr>
        <w:t xml:space="preserve">While </w:t>
      </w:r>
      <w:r w:rsidR="00AD5332" w:rsidRPr="005F1FD6">
        <w:rPr>
          <w:rFonts w:ascii="Times New Roman" w:hAnsi="Times New Roman" w:cs="Times New Roman"/>
          <w:sz w:val="24"/>
          <w:szCs w:val="24"/>
        </w:rPr>
        <w:t>a</w:t>
      </w:r>
      <w:r w:rsidR="00AB71E8" w:rsidRPr="005F1FD6">
        <w:rPr>
          <w:rFonts w:ascii="Times New Roman" w:hAnsi="Times New Roman" w:cs="Times New Roman"/>
          <w:sz w:val="24"/>
          <w:szCs w:val="24"/>
        </w:rPr>
        <w:t xml:space="preserve"> median domestic and branch VC </w:t>
      </w:r>
      <w:r w:rsidR="00AD5332" w:rsidRPr="005F1FD6">
        <w:rPr>
          <w:rFonts w:ascii="Times New Roman" w:hAnsi="Times New Roman" w:cs="Times New Roman"/>
          <w:sz w:val="24"/>
          <w:szCs w:val="24"/>
        </w:rPr>
        <w:t xml:space="preserve">firm </w:t>
      </w:r>
      <w:r w:rsidR="00AB71E8" w:rsidRPr="005F1FD6">
        <w:rPr>
          <w:rFonts w:ascii="Times New Roman" w:hAnsi="Times New Roman" w:cs="Times New Roman"/>
          <w:sz w:val="24"/>
          <w:szCs w:val="24"/>
        </w:rPr>
        <w:t>enter</w:t>
      </w:r>
      <w:r w:rsidR="00AD5332" w:rsidRPr="005F1FD6">
        <w:rPr>
          <w:rFonts w:ascii="Times New Roman" w:hAnsi="Times New Roman" w:cs="Times New Roman"/>
          <w:sz w:val="24"/>
          <w:szCs w:val="24"/>
        </w:rPr>
        <w:t>s</w:t>
      </w:r>
      <w:r w:rsidR="00AB71E8" w:rsidRPr="005F1FD6">
        <w:rPr>
          <w:rFonts w:ascii="Times New Roman" w:hAnsi="Times New Roman" w:cs="Times New Roman"/>
          <w:sz w:val="24"/>
          <w:szCs w:val="24"/>
        </w:rPr>
        <w:t xml:space="preserve"> the portfolio company in the first </w:t>
      </w:r>
      <w:r w:rsidR="00AD5332" w:rsidRPr="005F1FD6">
        <w:rPr>
          <w:rFonts w:ascii="Times New Roman" w:hAnsi="Times New Roman" w:cs="Times New Roman"/>
          <w:sz w:val="24"/>
          <w:szCs w:val="24"/>
        </w:rPr>
        <w:t xml:space="preserve">investment </w:t>
      </w:r>
      <w:r w:rsidR="00AB71E8" w:rsidRPr="005F1FD6">
        <w:rPr>
          <w:rFonts w:ascii="Times New Roman" w:hAnsi="Times New Roman" w:cs="Times New Roman"/>
          <w:sz w:val="24"/>
          <w:szCs w:val="24"/>
        </w:rPr>
        <w:t xml:space="preserve">round, </w:t>
      </w:r>
      <w:r w:rsidR="00AD5332" w:rsidRPr="005F1FD6">
        <w:rPr>
          <w:rFonts w:ascii="Times New Roman" w:hAnsi="Times New Roman" w:cs="Times New Roman"/>
          <w:sz w:val="24"/>
          <w:szCs w:val="24"/>
        </w:rPr>
        <w:t>a</w:t>
      </w:r>
      <w:r w:rsidR="00AB71E8" w:rsidRPr="005F1FD6">
        <w:rPr>
          <w:rFonts w:ascii="Times New Roman" w:hAnsi="Times New Roman" w:cs="Times New Roman"/>
          <w:sz w:val="24"/>
          <w:szCs w:val="24"/>
        </w:rPr>
        <w:t xml:space="preserve"> median cross-border VC</w:t>
      </w:r>
      <w:r w:rsidR="00AD5332" w:rsidRPr="005F1FD6">
        <w:rPr>
          <w:rFonts w:ascii="Times New Roman" w:hAnsi="Times New Roman" w:cs="Times New Roman"/>
          <w:sz w:val="24"/>
          <w:szCs w:val="24"/>
        </w:rPr>
        <w:t xml:space="preserve"> firm</w:t>
      </w:r>
      <w:r w:rsidR="00AB71E8" w:rsidRPr="005F1FD6">
        <w:rPr>
          <w:rFonts w:ascii="Times New Roman" w:hAnsi="Times New Roman" w:cs="Times New Roman"/>
          <w:sz w:val="24"/>
          <w:szCs w:val="24"/>
        </w:rPr>
        <w:t xml:space="preserve"> enters in the second investment round. </w:t>
      </w:r>
      <w:r w:rsidR="006D483D" w:rsidRPr="005F1FD6">
        <w:rPr>
          <w:rFonts w:ascii="Times New Roman" w:hAnsi="Times New Roman" w:cs="Times New Roman"/>
          <w:i/>
          <w:sz w:val="24"/>
          <w:szCs w:val="24"/>
        </w:rPr>
        <w:t>S</w:t>
      </w:r>
      <w:r w:rsidR="005F307C" w:rsidRPr="005F1FD6">
        <w:rPr>
          <w:rFonts w:ascii="Times New Roman" w:hAnsi="Times New Roman" w:cs="Times New Roman"/>
          <w:i/>
          <w:sz w:val="24"/>
          <w:szCs w:val="24"/>
        </w:rPr>
        <w:t>yndication size</w:t>
      </w:r>
      <w:r w:rsidR="006D483D" w:rsidRPr="005F1FD6">
        <w:rPr>
          <w:rFonts w:ascii="Times New Roman" w:hAnsi="Times New Roman" w:cs="Times New Roman"/>
          <w:sz w:val="24"/>
          <w:szCs w:val="24"/>
        </w:rPr>
        <w:t>, measured as the time-varying cumulative count of VC investors that participated in prior financing rounds or in the focal round,</w:t>
      </w:r>
      <w:r w:rsidR="005F307C" w:rsidRPr="005F1FD6">
        <w:rPr>
          <w:rFonts w:ascii="Times New Roman" w:hAnsi="Times New Roman" w:cs="Times New Roman"/>
          <w:sz w:val="24"/>
          <w:szCs w:val="24"/>
        </w:rPr>
        <w:t xml:space="preserve"> control</w:t>
      </w:r>
      <w:r w:rsidR="006D483D" w:rsidRPr="005F1FD6">
        <w:rPr>
          <w:rFonts w:ascii="Times New Roman" w:hAnsi="Times New Roman" w:cs="Times New Roman"/>
          <w:sz w:val="24"/>
          <w:szCs w:val="24"/>
        </w:rPr>
        <w:t>s</w:t>
      </w:r>
      <w:r w:rsidR="005F307C" w:rsidRPr="005F1FD6">
        <w:rPr>
          <w:rFonts w:ascii="Times New Roman" w:hAnsi="Times New Roman" w:cs="Times New Roman"/>
          <w:sz w:val="24"/>
          <w:szCs w:val="24"/>
        </w:rPr>
        <w:t xml:space="preserve"> for a possible effect of co-inv</w:t>
      </w:r>
      <w:r w:rsidR="006D483D" w:rsidRPr="005F1FD6">
        <w:rPr>
          <w:rFonts w:ascii="Times New Roman" w:hAnsi="Times New Roman" w:cs="Times New Roman"/>
          <w:sz w:val="24"/>
          <w:szCs w:val="24"/>
        </w:rPr>
        <w:t xml:space="preserve">estor pressure (Guler, 2007). </w:t>
      </w:r>
      <w:r w:rsidR="004362CF" w:rsidRPr="005F1FD6">
        <w:rPr>
          <w:rFonts w:ascii="Times New Roman" w:hAnsi="Times New Roman" w:cs="Times New Roman"/>
          <w:sz w:val="24"/>
          <w:szCs w:val="24"/>
        </w:rPr>
        <w:t>Respectively 74, 92 and 77 percent of the first round investments of domestic, cross-border and branch VC firms are syndicated. A median cross-border VC firm has twice as many co-investors (4) compared to a median domestic and branch VC firm (2). Finally</w:t>
      </w:r>
      <w:r w:rsidR="005F307C" w:rsidRPr="005F1FD6">
        <w:rPr>
          <w:rFonts w:ascii="Times New Roman" w:hAnsi="Times New Roman" w:cs="Times New Roman"/>
          <w:sz w:val="24"/>
          <w:szCs w:val="24"/>
        </w:rPr>
        <w:t xml:space="preserve">, a dynamic variable that captures whether there was a </w:t>
      </w:r>
      <w:r w:rsidR="00CC6B11" w:rsidRPr="005F1FD6">
        <w:rPr>
          <w:rFonts w:ascii="Times New Roman" w:hAnsi="Times New Roman" w:cs="Times New Roman"/>
          <w:sz w:val="24"/>
          <w:szCs w:val="24"/>
        </w:rPr>
        <w:t>syndicate comprised of</w:t>
      </w:r>
      <w:r w:rsidR="005F307C" w:rsidRPr="005F1FD6">
        <w:rPr>
          <w:rFonts w:ascii="Times New Roman" w:hAnsi="Times New Roman" w:cs="Times New Roman"/>
          <w:sz w:val="24"/>
          <w:szCs w:val="24"/>
        </w:rPr>
        <w:t xml:space="preserve"> both domestic and cross-border VC</w:t>
      </w:r>
      <w:r w:rsidR="00CC6B11" w:rsidRPr="005F1FD6">
        <w:rPr>
          <w:rFonts w:ascii="Times New Roman" w:hAnsi="Times New Roman" w:cs="Times New Roman"/>
          <w:sz w:val="24"/>
          <w:szCs w:val="24"/>
        </w:rPr>
        <w:t xml:space="preserve"> firm</w:t>
      </w:r>
      <w:r w:rsidR="005F307C" w:rsidRPr="005F1FD6">
        <w:rPr>
          <w:rFonts w:ascii="Times New Roman" w:hAnsi="Times New Roman" w:cs="Times New Roman"/>
          <w:sz w:val="24"/>
          <w:szCs w:val="24"/>
        </w:rPr>
        <w:t xml:space="preserve">s </w:t>
      </w:r>
      <w:r w:rsidR="00CC6B11" w:rsidRPr="005F1FD6">
        <w:rPr>
          <w:rFonts w:ascii="Times New Roman" w:hAnsi="Times New Roman" w:cs="Times New Roman"/>
          <w:sz w:val="24"/>
          <w:szCs w:val="24"/>
        </w:rPr>
        <w:t xml:space="preserve">is added to control for a possible effect of the syndicate composition </w:t>
      </w:r>
      <w:r w:rsidR="005F307C" w:rsidRPr="005F1FD6">
        <w:rPr>
          <w:rFonts w:ascii="Times New Roman" w:hAnsi="Times New Roman" w:cs="Times New Roman"/>
          <w:sz w:val="24"/>
          <w:szCs w:val="24"/>
        </w:rPr>
        <w:t>(Chemmanur et al., 201</w:t>
      </w:r>
      <w:r w:rsidR="00946D1B">
        <w:rPr>
          <w:rFonts w:ascii="Times New Roman" w:hAnsi="Times New Roman" w:cs="Times New Roman"/>
          <w:sz w:val="24"/>
          <w:szCs w:val="24"/>
        </w:rPr>
        <w:t>2</w:t>
      </w:r>
      <w:r w:rsidR="005F307C" w:rsidRPr="005F1FD6">
        <w:rPr>
          <w:rFonts w:ascii="Times New Roman" w:hAnsi="Times New Roman" w:cs="Times New Roman"/>
          <w:sz w:val="24"/>
          <w:szCs w:val="24"/>
        </w:rPr>
        <w:t xml:space="preserve">). </w:t>
      </w:r>
      <w:r w:rsidR="004362CF" w:rsidRPr="005F1FD6">
        <w:rPr>
          <w:rFonts w:ascii="Times New Roman" w:hAnsi="Times New Roman" w:cs="Times New Roman"/>
          <w:sz w:val="24"/>
          <w:szCs w:val="24"/>
        </w:rPr>
        <w:t>D</w:t>
      </w:r>
      <w:r w:rsidR="002E06CC" w:rsidRPr="005F1FD6">
        <w:rPr>
          <w:rFonts w:ascii="Times New Roman" w:hAnsi="Times New Roman" w:cs="Times New Roman"/>
          <w:sz w:val="24"/>
          <w:szCs w:val="24"/>
        </w:rPr>
        <w:t>omestic, cross-border and branch VC</w:t>
      </w:r>
      <w:r w:rsidR="004362CF" w:rsidRPr="005F1FD6">
        <w:rPr>
          <w:rFonts w:ascii="Times New Roman" w:hAnsi="Times New Roman" w:cs="Times New Roman"/>
          <w:sz w:val="24"/>
          <w:szCs w:val="24"/>
        </w:rPr>
        <w:t xml:space="preserve"> firm</w:t>
      </w:r>
      <w:r w:rsidR="002E06CC" w:rsidRPr="005F1FD6">
        <w:rPr>
          <w:rFonts w:ascii="Times New Roman" w:hAnsi="Times New Roman" w:cs="Times New Roman"/>
          <w:sz w:val="24"/>
          <w:szCs w:val="24"/>
        </w:rPr>
        <w:t xml:space="preserve">s enter in a </w:t>
      </w:r>
      <w:r w:rsidR="002E06CC" w:rsidRPr="005F1FD6">
        <w:rPr>
          <w:rFonts w:ascii="Times New Roman" w:hAnsi="Times New Roman" w:cs="Times New Roman"/>
          <w:i/>
          <w:sz w:val="24"/>
          <w:szCs w:val="24"/>
        </w:rPr>
        <w:t>mixed syndicate</w:t>
      </w:r>
      <w:r w:rsidR="002E06CC" w:rsidRPr="005F1FD6">
        <w:rPr>
          <w:rFonts w:ascii="Times New Roman" w:hAnsi="Times New Roman" w:cs="Times New Roman"/>
          <w:sz w:val="24"/>
          <w:szCs w:val="24"/>
        </w:rPr>
        <w:t xml:space="preserve"> at first investment in </w:t>
      </w:r>
      <w:r w:rsidR="00D73EAB" w:rsidRPr="005F1FD6">
        <w:rPr>
          <w:rFonts w:ascii="Times New Roman" w:hAnsi="Times New Roman" w:cs="Times New Roman"/>
          <w:sz w:val="24"/>
          <w:szCs w:val="24"/>
        </w:rPr>
        <w:t xml:space="preserve">respectively </w:t>
      </w:r>
      <w:r w:rsidR="002E06CC" w:rsidRPr="005F1FD6">
        <w:rPr>
          <w:rFonts w:ascii="Times New Roman" w:hAnsi="Times New Roman" w:cs="Times New Roman"/>
          <w:sz w:val="24"/>
          <w:szCs w:val="24"/>
        </w:rPr>
        <w:t>22, 84 and 33 percent of the investments</w:t>
      </w:r>
      <w:r w:rsidR="009703DB" w:rsidRPr="005F1FD6">
        <w:rPr>
          <w:rFonts w:ascii="Times New Roman" w:hAnsi="Times New Roman" w:cs="Times New Roman"/>
          <w:sz w:val="24"/>
          <w:szCs w:val="24"/>
        </w:rPr>
        <w:t>.</w:t>
      </w:r>
    </w:p>
    <w:p w14:paraId="39CA08BE" w14:textId="77777777" w:rsidR="00C35C66" w:rsidRPr="0039636E" w:rsidRDefault="009A5983" w:rsidP="007E519D">
      <w:pPr>
        <w:spacing w:after="0" w:line="480" w:lineRule="auto"/>
        <w:ind w:firstLine="431"/>
        <w:contextualSpacing/>
        <w:jc w:val="both"/>
        <w:rPr>
          <w:rFonts w:ascii="Times New Roman" w:hAnsi="Times New Roman" w:cs="Times New Roman"/>
          <w:sz w:val="24"/>
          <w:szCs w:val="24"/>
        </w:rPr>
      </w:pPr>
      <w:r w:rsidRPr="005F1FD6">
        <w:rPr>
          <w:rFonts w:ascii="Times New Roman" w:hAnsi="Times New Roman" w:cs="Times New Roman"/>
          <w:sz w:val="24"/>
          <w:szCs w:val="24"/>
        </w:rPr>
        <w:t xml:space="preserve">To control for general market conditions, the yearly </w:t>
      </w:r>
      <w:r w:rsidRPr="005F1FD6">
        <w:rPr>
          <w:rFonts w:ascii="Times New Roman" w:hAnsi="Times New Roman" w:cs="Times New Roman"/>
          <w:i/>
          <w:sz w:val="24"/>
          <w:szCs w:val="24"/>
        </w:rPr>
        <w:t>total number of VC backed IPO</w:t>
      </w:r>
      <w:r w:rsidR="0073748A" w:rsidRPr="005F1FD6">
        <w:rPr>
          <w:rFonts w:ascii="Times New Roman" w:hAnsi="Times New Roman" w:cs="Times New Roman"/>
          <w:i/>
          <w:sz w:val="24"/>
          <w:szCs w:val="24"/>
        </w:rPr>
        <w:t>s</w:t>
      </w:r>
      <w:r w:rsidR="0073748A" w:rsidRPr="005F1FD6">
        <w:rPr>
          <w:rFonts w:ascii="Times New Roman" w:hAnsi="Times New Roman" w:cs="Times New Roman"/>
          <w:sz w:val="24"/>
          <w:szCs w:val="24"/>
        </w:rPr>
        <w:t xml:space="preserve"> is added. This can affect a portfolio company</w:t>
      </w:r>
      <w:r w:rsidRPr="005F1FD6">
        <w:rPr>
          <w:rFonts w:ascii="Times New Roman" w:hAnsi="Times New Roman" w:cs="Times New Roman"/>
          <w:sz w:val="24"/>
          <w:szCs w:val="24"/>
        </w:rPr>
        <w:t>’s probability to go public, as well as VC investment practices (Guler, 2007).</w:t>
      </w:r>
      <w:r w:rsidR="002E06CC" w:rsidRPr="005F1FD6">
        <w:rPr>
          <w:rFonts w:ascii="Times New Roman" w:hAnsi="Times New Roman" w:cs="Times New Roman"/>
          <w:sz w:val="24"/>
          <w:szCs w:val="24"/>
        </w:rPr>
        <w:t xml:space="preserve"> </w:t>
      </w:r>
      <w:r w:rsidRPr="005F1FD6">
        <w:rPr>
          <w:rFonts w:ascii="Times New Roman" w:hAnsi="Times New Roman" w:cs="Times New Roman"/>
          <w:sz w:val="24"/>
          <w:szCs w:val="24"/>
        </w:rPr>
        <w:t>Finally, companies may exhibit different development patterns depending upon the time when they received their first VC investment. Both the time</w:t>
      </w:r>
      <w:r w:rsidR="00D27430" w:rsidRPr="005F1FD6">
        <w:rPr>
          <w:rFonts w:ascii="Times New Roman" w:hAnsi="Times New Roman" w:cs="Times New Roman"/>
          <w:sz w:val="24"/>
          <w:szCs w:val="24"/>
        </w:rPr>
        <w:t xml:space="preserve"> </w:t>
      </w:r>
      <w:r w:rsidRPr="005F1FD6">
        <w:rPr>
          <w:rFonts w:ascii="Times New Roman" w:hAnsi="Times New Roman" w:cs="Times New Roman"/>
          <w:sz w:val="24"/>
          <w:szCs w:val="24"/>
        </w:rPr>
        <w:t xml:space="preserve">frame of our study and our focus on high-tech sectors require us to control for the </w:t>
      </w:r>
      <w:r w:rsidRPr="005F1FD6">
        <w:rPr>
          <w:rFonts w:ascii="Times New Roman" w:hAnsi="Times New Roman" w:cs="Times New Roman"/>
          <w:i/>
          <w:sz w:val="24"/>
          <w:szCs w:val="24"/>
        </w:rPr>
        <w:t>year of first VC investment</w:t>
      </w:r>
      <w:r w:rsidRPr="005F1FD6">
        <w:rPr>
          <w:rFonts w:ascii="Times New Roman" w:hAnsi="Times New Roman" w:cs="Times New Roman"/>
          <w:sz w:val="24"/>
          <w:szCs w:val="24"/>
        </w:rPr>
        <w:t>.</w:t>
      </w:r>
      <w:r w:rsidR="005F307C" w:rsidRPr="005F1FD6">
        <w:rPr>
          <w:rFonts w:ascii="Times New Roman" w:hAnsi="Times New Roman" w:cs="Times New Roman"/>
          <w:sz w:val="24"/>
          <w:szCs w:val="24"/>
        </w:rPr>
        <w:t xml:space="preserve"> </w:t>
      </w:r>
      <w:r w:rsidR="00C3012C" w:rsidRPr="005F1FD6">
        <w:rPr>
          <w:rFonts w:ascii="Times New Roman" w:hAnsi="Times New Roman" w:cs="Times New Roman"/>
          <w:sz w:val="24"/>
          <w:szCs w:val="24"/>
        </w:rPr>
        <w:t xml:space="preserve">Companies in different industries may differ in terms of the milestones they need to meet, the number of rounds they typically receive, and the time they take before exiting (Guler, 2007). To control for potential industry and country effects, </w:t>
      </w:r>
      <w:r w:rsidR="00C3012C" w:rsidRPr="005F1FD6">
        <w:rPr>
          <w:rFonts w:ascii="Times New Roman" w:hAnsi="Times New Roman" w:cs="Times New Roman"/>
          <w:i/>
          <w:sz w:val="24"/>
          <w:szCs w:val="24"/>
        </w:rPr>
        <w:t>industry</w:t>
      </w:r>
      <w:r w:rsidR="00C3012C" w:rsidRPr="005F1FD6">
        <w:rPr>
          <w:rFonts w:ascii="Times New Roman" w:hAnsi="Times New Roman" w:cs="Times New Roman"/>
          <w:sz w:val="24"/>
          <w:szCs w:val="24"/>
        </w:rPr>
        <w:t xml:space="preserve"> and </w:t>
      </w:r>
      <w:r w:rsidR="00C3012C" w:rsidRPr="005F1FD6">
        <w:rPr>
          <w:rFonts w:ascii="Times New Roman" w:hAnsi="Times New Roman" w:cs="Times New Roman"/>
          <w:i/>
          <w:sz w:val="24"/>
          <w:szCs w:val="24"/>
        </w:rPr>
        <w:t>country dummies</w:t>
      </w:r>
      <w:r w:rsidR="00C3012C" w:rsidRPr="005F1FD6">
        <w:rPr>
          <w:rFonts w:ascii="Times New Roman" w:hAnsi="Times New Roman" w:cs="Times New Roman"/>
          <w:sz w:val="24"/>
          <w:szCs w:val="24"/>
        </w:rPr>
        <w:t xml:space="preserve"> are added. </w:t>
      </w:r>
    </w:p>
    <w:p w14:paraId="16BE3578" w14:textId="77777777" w:rsidR="009A5983" w:rsidRPr="005F1FD6" w:rsidRDefault="009A5983" w:rsidP="009E0A45">
      <w:pPr>
        <w:spacing w:after="0" w:line="480" w:lineRule="auto"/>
        <w:contextualSpacing/>
        <w:jc w:val="both"/>
        <w:rPr>
          <w:rFonts w:ascii="Times New Roman" w:hAnsi="Times New Roman" w:cs="Times New Roman"/>
          <w:b/>
          <w:sz w:val="24"/>
          <w:szCs w:val="24"/>
        </w:rPr>
      </w:pPr>
      <w:r w:rsidRPr="005F1FD6">
        <w:rPr>
          <w:rFonts w:ascii="Times New Roman" w:hAnsi="Times New Roman" w:cs="Times New Roman"/>
          <w:b/>
          <w:sz w:val="24"/>
          <w:szCs w:val="24"/>
        </w:rPr>
        <w:t>Method of Analysis</w:t>
      </w:r>
    </w:p>
    <w:p w14:paraId="1A160B45" w14:textId="77777777" w:rsidR="002434C3" w:rsidRDefault="009A5983" w:rsidP="002612BA">
      <w:pPr>
        <w:spacing w:after="0" w:line="480" w:lineRule="auto"/>
        <w:ind w:firstLine="431"/>
        <w:contextualSpacing/>
        <w:jc w:val="both"/>
        <w:rPr>
          <w:rFonts w:ascii="Times New Roman" w:hAnsi="Times New Roman" w:cs="Times New Roman"/>
          <w:sz w:val="24"/>
          <w:szCs w:val="24"/>
        </w:rPr>
      </w:pPr>
      <w:r w:rsidRPr="005F1FD6">
        <w:rPr>
          <w:rFonts w:ascii="Times New Roman" w:hAnsi="Times New Roman" w:cs="Times New Roman"/>
          <w:sz w:val="24"/>
          <w:szCs w:val="24"/>
        </w:rPr>
        <w:lastRenderedPageBreak/>
        <w:t xml:space="preserve">Event-history analysis is used to dynamically estimate the investment process through the distributions of the hazards of </w:t>
      </w:r>
      <w:r w:rsidR="001D240A">
        <w:rPr>
          <w:rFonts w:ascii="Times New Roman" w:hAnsi="Times New Roman" w:cs="Times New Roman"/>
          <w:sz w:val="24"/>
          <w:szCs w:val="24"/>
        </w:rPr>
        <w:t xml:space="preserve">terminations and </w:t>
      </w:r>
      <w:r w:rsidRPr="005F1FD6">
        <w:rPr>
          <w:rFonts w:ascii="Times New Roman" w:hAnsi="Times New Roman" w:cs="Times New Roman"/>
          <w:sz w:val="24"/>
          <w:szCs w:val="24"/>
        </w:rPr>
        <w:t xml:space="preserve">successful </w:t>
      </w:r>
      <w:r w:rsidR="001D240A">
        <w:rPr>
          <w:rFonts w:ascii="Times New Roman" w:hAnsi="Times New Roman" w:cs="Times New Roman"/>
          <w:sz w:val="24"/>
          <w:szCs w:val="24"/>
        </w:rPr>
        <w:t xml:space="preserve">exits </w:t>
      </w:r>
      <w:r w:rsidRPr="005F1FD6">
        <w:rPr>
          <w:rFonts w:ascii="Times New Roman" w:hAnsi="Times New Roman" w:cs="Times New Roman"/>
          <w:sz w:val="24"/>
          <w:szCs w:val="24"/>
        </w:rPr>
        <w:t xml:space="preserve">(Guler, 2007). The hazards of </w:t>
      </w:r>
      <w:r w:rsidR="001D240A">
        <w:rPr>
          <w:rFonts w:ascii="Times New Roman" w:hAnsi="Times New Roman" w:cs="Times New Roman"/>
          <w:sz w:val="24"/>
          <w:szCs w:val="24"/>
        </w:rPr>
        <w:t xml:space="preserve">termination and </w:t>
      </w:r>
      <w:r w:rsidRPr="005F1FD6">
        <w:rPr>
          <w:rFonts w:ascii="Times New Roman" w:hAnsi="Times New Roman" w:cs="Times New Roman"/>
          <w:sz w:val="24"/>
          <w:szCs w:val="24"/>
        </w:rPr>
        <w:t>successful exits are estimated using the semi-parametric competing risks Cox proportional hazard model, which does not require the distribution of time dependence of the hazard to be specified (</w:t>
      </w:r>
      <w:r w:rsidR="00B56ECE">
        <w:rPr>
          <w:rFonts w:ascii="Times New Roman" w:hAnsi="Times New Roman" w:cs="Times New Roman"/>
          <w:sz w:val="24"/>
          <w:szCs w:val="24"/>
        </w:rPr>
        <w:t>Guler</w:t>
      </w:r>
      <w:r w:rsidRPr="005F1FD6">
        <w:rPr>
          <w:rFonts w:ascii="Times New Roman" w:hAnsi="Times New Roman" w:cs="Times New Roman"/>
          <w:sz w:val="24"/>
          <w:szCs w:val="24"/>
        </w:rPr>
        <w:t>,</w:t>
      </w:r>
      <w:r w:rsidR="00B56ECE">
        <w:rPr>
          <w:rFonts w:ascii="Times New Roman" w:hAnsi="Times New Roman" w:cs="Times New Roman"/>
          <w:sz w:val="24"/>
          <w:szCs w:val="24"/>
        </w:rPr>
        <w:t xml:space="preserve"> 2007</w:t>
      </w:r>
      <w:r w:rsidRPr="005F1FD6">
        <w:rPr>
          <w:rFonts w:ascii="Times New Roman" w:hAnsi="Times New Roman" w:cs="Times New Roman"/>
          <w:sz w:val="24"/>
          <w:szCs w:val="24"/>
        </w:rPr>
        <w:t xml:space="preserve">). </w:t>
      </w:r>
      <w:r w:rsidR="0088456C" w:rsidRPr="005F1FD6">
        <w:rPr>
          <w:rFonts w:ascii="Times New Roman" w:hAnsi="Times New Roman" w:cs="Times New Roman"/>
          <w:sz w:val="24"/>
          <w:szCs w:val="24"/>
        </w:rPr>
        <w:t>Coefficients a</w:t>
      </w:r>
      <w:r w:rsidRPr="005F1FD6">
        <w:rPr>
          <w:rFonts w:ascii="Times New Roman" w:hAnsi="Times New Roman" w:cs="Times New Roman"/>
          <w:sz w:val="24"/>
          <w:szCs w:val="24"/>
        </w:rPr>
        <w:t>re estimated using partial likelihood estimation. The data is set up so that every individual</w:t>
      </w:r>
      <w:r w:rsidR="0088456C" w:rsidRPr="005F1FD6">
        <w:rPr>
          <w:rFonts w:ascii="Times New Roman" w:hAnsi="Times New Roman" w:cs="Times New Roman"/>
          <w:sz w:val="24"/>
          <w:szCs w:val="24"/>
        </w:rPr>
        <w:t xml:space="preserve"> VC investment round is a spell, leading to</w:t>
      </w:r>
      <w:r w:rsidRPr="005F1FD6">
        <w:rPr>
          <w:rFonts w:ascii="Times New Roman" w:hAnsi="Times New Roman" w:cs="Times New Roman"/>
          <w:sz w:val="24"/>
          <w:szCs w:val="24"/>
        </w:rPr>
        <w:t xml:space="preserve"> </w:t>
      </w:r>
      <w:r w:rsidR="00E7639B" w:rsidRPr="005F1FD6">
        <w:rPr>
          <w:rFonts w:ascii="Times New Roman" w:hAnsi="Times New Roman" w:cs="Times New Roman"/>
          <w:sz w:val="24"/>
          <w:szCs w:val="24"/>
        </w:rPr>
        <w:t>3445</w:t>
      </w:r>
      <w:r w:rsidRPr="005F1FD6">
        <w:rPr>
          <w:rFonts w:ascii="Times New Roman" w:hAnsi="Times New Roman" w:cs="Times New Roman"/>
          <w:sz w:val="24"/>
          <w:szCs w:val="24"/>
        </w:rPr>
        <w:t xml:space="preserve"> spells. A spell is treated as </w:t>
      </w:r>
      <w:r w:rsidR="00492FA8" w:rsidRPr="005F1FD6">
        <w:rPr>
          <w:rFonts w:ascii="Times New Roman" w:hAnsi="Times New Roman" w:cs="Times New Roman"/>
          <w:sz w:val="24"/>
          <w:szCs w:val="24"/>
        </w:rPr>
        <w:t xml:space="preserve">right </w:t>
      </w:r>
      <w:r w:rsidRPr="005F1FD6">
        <w:rPr>
          <w:rFonts w:ascii="Times New Roman" w:hAnsi="Times New Roman" w:cs="Times New Roman"/>
          <w:sz w:val="24"/>
          <w:szCs w:val="24"/>
        </w:rPr>
        <w:t xml:space="preserve">censored if it does </w:t>
      </w:r>
      <w:r w:rsidR="002144B6">
        <w:rPr>
          <w:rFonts w:ascii="Times New Roman" w:hAnsi="Times New Roman" w:cs="Times New Roman"/>
          <w:sz w:val="24"/>
          <w:szCs w:val="24"/>
        </w:rPr>
        <w:t>not result in a successful exit or a</w:t>
      </w:r>
      <w:r w:rsidRPr="005F1FD6">
        <w:rPr>
          <w:rFonts w:ascii="Times New Roman" w:hAnsi="Times New Roman" w:cs="Times New Roman"/>
          <w:sz w:val="24"/>
          <w:szCs w:val="24"/>
        </w:rPr>
        <w:t xml:space="preserve"> </w:t>
      </w:r>
      <w:r w:rsidR="002144B6">
        <w:rPr>
          <w:rFonts w:ascii="Times New Roman" w:hAnsi="Times New Roman" w:cs="Times New Roman"/>
          <w:sz w:val="24"/>
          <w:szCs w:val="24"/>
        </w:rPr>
        <w:t>termination</w:t>
      </w:r>
      <w:r w:rsidRPr="005F1FD6">
        <w:rPr>
          <w:rFonts w:ascii="Times New Roman" w:hAnsi="Times New Roman" w:cs="Times New Roman"/>
          <w:sz w:val="24"/>
          <w:szCs w:val="24"/>
        </w:rPr>
        <w:t xml:space="preserve">. Following Guler (2007), </w:t>
      </w:r>
      <w:r w:rsidR="001D240A">
        <w:rPr>
          <w:rFonts w:ascii="Times New Roman" w:hAnsi="Times New Roman" w:cs="Times New Roman"/>
          <w:sz w:val="24"/>
          <w:szCs w:val="24"/>
        </w:rPr>
        <w:t>successful</w:t>
      </w:r>
      <w:r w:rsidR="00587AFC" w:rsidRPr="005F1FD6">
        <w:rPr>
          <w:rFonts w:ascii="Times New Roman" w:hAnsi="Times New Roman" w:cs="Times New Roman"/>
          <w:sz w:val="24"/>
          <w:szCs w:val="24"/>
        </w:rPr>
        <w:t xml:space="preserve"> exits a</w:t>
      </w:r>
      <w:r w:rsidRPr="005F1FD6">
        <w:rPr>
          <w:rFonts w:ascii="Times New Roman" w:hAnsi="Times New Roman" w:cs="Times New Roman"/>
          <w:sz w:val="24"/>
          <w:szCs w:val="24"/>
        </w:rPr>
        <w:t xml:space="preserve">re treated as </w:t>
      </w:r>
      <w:r w:rsidR="00492FA8" w:rsidRPr="005F1FD6">
        <w:rPr>
          <w:rFonts w:ascii="Times New Roman" w:hAnsi="Times New Roman" w:cs="Times New Roman"/>
          <w:sz w:val="24"/>
          <w:szCs w:val="24"/>
        </w:rPr>
        <w:t xml:space="preserve">right </w:t>
      </w:r>
      <w:r w:rsidR="00DD4E5F" w:rsidRPr="005F1FD6">
        <w:rPr>
          <w:rFonts w:ascii="Times New Roman" w:hAnsi="Times New Roman" w:cs="Times New Roman"/>
          <w:sz w:val="24"/>
          <w:szCs w:val="24"/>
        </w:rPr>
        <w:t xml:space="preserve">censored in the model </w:t>
      </w:r>
      <w:r w:rsidRPr="005F1FD6">
        <w:rPr>
          <w:rFonts w:ascii="Times New Roman" w:hAnsi="Times New Roman" w:cs="Times New Roman"/>
          <w:sz w:val="24"/>
          <w:szCs w:val="24"/>
        </w:rPr>
        <w:t>e</w:t>
      </w:r>
      <w:r w:rsidR="00DD4E5F" w:rsidRPr="005F1FD6">
        <w:rPr>
          <w:rFonts w:ascii="Times New Roman" w:hAnsi="Times New Roman" w:cs="Times New Roman"/>
          <w:sz w:val="24"/>
          <w:szCs w:val="24"/>
        </w:rPr>
        <w:t>stimating</w:t>
      </w:r>
      <w:r w:rsidRPr="005F1FD6">
        <w:rPr>
          <w:rFonts w:ascii="Times New Roman" w:hAnsi="Times New Roman" w:cs="Times New Roman"/>
          <w:sz w:val="24"/>
          <w:szCs w:val="24"/>
        </w:rPr>
        <w:t xml:space="preserve"> the hazards of </w:t>
      </w:r>
      <w:r w:rsidR="001D240A">
        <w:rPr>
          <w:rFonts w:ascii="Times New Roman" w:hAnsi="Times New Roman" w:cs="Times New Roman"/>
          <w:sz w:val="24"/>
          <w:szCs w:val="24"/>
        </w:rPr>
        <w:t>terminations and vice versa</w:t>
      </w:r>
      <w:r w:rsidR="00587AFC" w:rsidRPr="005F1FD6">
        <w:rPr>
          <w:rFonts w:ascii="Times New Roman" w:hAnsi="Times New Roman" w:cs="Times New Roman"/>
          <w:sz w:val="24"/>
          <w:szCs w:val="24"/>
        </w:rPr>
        <w:t>. Analyses a</w:t>
      </w:r>
      <w:r w:rsidRPr="005F1FD6">
        <w:rPr>
          <w:rFonts w:ascii="Times New Roman" w:hAnsi="Times New Roman" w:cs="Times New Roman"/>
          <w:sz w:val="24"/>
          <w:szCs w:val="24"/>
        </w:rPr>
        <w:t>re clustered on VC</w:t>
      </w:r>
      <w:r w:rsidR="007A25F8" w:rsidRPr="005F1FD6">
        <w:rPr>
          <w:rFonts w:ascii="Times New Roman" w:hAnsi="Times New Roman" w:cs="Times New Roman"/>
          <w:sz w:val="24"/>
          <w:szCs w:val="24"/>
        </w:rPr>
        <w:t xml:space="preserve"> firm</w:t>
      </w:r>
      <w:r w:rsidR="00DC1096" w:rsidRPr="005F1FD6">
        <w:rPr>
          <w:rFonts w:ascii="Times New Roman" w:hAnsi="Times New Roman" w:cs="Times New Roman"/>
          <w:sz w:val="24"/>
          <w:szCs w:val="24"/>
        </w:rPr>
        <w:t>s</w:t>
      </w:r>
      <w:r w:rsidRPr="005F1FD6">
        <w:rPr>
          <w:rFonts w:ascii="Times New Roman" w:hAnsi="Times New Roman" w:cs="Times New Roman"/>
          <w:sz w:val="24"/>
          <w:szCs w:val="24"/>
        </w:rPr>
        <w:t>, as multiple observations for th</w:t>
      </w:r>
      <w:r w:rsidR="00C62157" w:rsidRPr="005F1FD6">
        <w:rPr>
          <w:rFonts w:ascii="Times New Roman" w:hAnsi="Times New Roman" w:cs="Times New Roman"/>
          <w:sz w:val="24"/>
          <w:szCs w:val="24"/>
        </w:rPr>
        <w:t>e same VC</w:t>
      </w:r>
      <w:r w:rsidR="007A25F8" w:rsidRPr="005F1FD6">
        <w:rPr>
          <w:rFonts w:ascii="Times New Roman" w:hAnsi="Times New Roman" w:cs="Times New Roman"/>
          <w:sz w:val="24"/>
          <w:szCs w:val="24"/>
        </w:rPr>
        <w:t xml:space="preserve"> firm</w:t>
      </w:r>
      <w:r w:rsidR="00C62157" w:rsidRPr="005F1FD6">
        <w:rPr>
          <w:rFonts w:ascii="Times New Roman" w:hAnsi="Times New Roman" w:cs="Times New Roman"/>
          <w:sz w:val="24"/>
          <w:szCs w:val="24"/>
        </w:rPr>
        <w:t xml:space="preserve"> investing in several portfolio companies</w:t>
      </w:r>
      <w:r w:rsidRPr="005F1FD6">
        <w:rPr>
          <w:rFonts w:ascii="Times New Roman" w:hAnsi="Times New Roman" w:cs="Times New Roman"/>
          <w:sz w:val="24"/>
          <w:szCs w:val="24"/>
        </w:rPr>
        <w:t xml:space="preserve"> could lead to correlations between the error structure and the independent variables a</w:t>
      </w:r>
      <w:r w:rsidR="00DD4E5F" w:rsidRPr="005F1FD6">
        <w:rPr>
          <w:rFonts w:ascii="Times New Roman" w:hAnsi="Times New Roman" w:cs="Times New Roman"/>
          <w:sz w:val="24"/>
          <w:szCs w:val="24"/>
        </w:rPr>
        <w:t>nd thus lead to underestimation</w:t>
      </w:r>
      <w:r w:rsidRPr="005F1FD6">
        <w:rPr>
          <w:rFonts w:ascii="Times New Roman" w:hAnsi="Times New Roman" w:cs="Times New Roman"/>
          <w:sz w:val="24"/>
          <w:szCs w:val="24"/>
        </w:rPr>
        <w:t xml:space="preserve"> of the standard errors.</w:t>
      </w:r>
      <w:r w:rsidR="00587AFC" w:rsidRPr="005F1FD6">
        <w:rPr>
          <w:rFonts w:ascii="Times New Roman" w:hAnsi="Times New Roman" w:cs="Times New Roman"/>
          <w:sz w:val="24"/>
          <w:szCs w:val="24"/>
        </w:rPr>
        <w:t xml:space="preserve"> </w:t>
      </w:r>
    </w:p>
    <w:p w14:paraId="5ABB2544" w14:textId="18DAFCAC" w:rsidR="00EE112D" w:rsidRDefault="00587AFC" w:rsidP="007E519D">
      <w:pPr>
        <w:spacing w:after="0" w:line="480" w:lineRule="auto"/>
        <w:ind w:firstLine="431"/>
        <w:contextualSpacing/>
        <w:jc w:val="both"/>
        <w:rPr>
          <w:rFonts w:ascii="Times New Roman" w:hAnsi="Times New Roman" w:cs="Times New Roman"/>
          <w:bCs/>
          <w:sz w:val="24"/>
          <w:szCs w:val="24"/>
        </w:rPr>
      </w:pPr>
      <w:r w:rsidRPr="005F1FD6">
        <w:rPr>
          <w:rFonts w:ascii="Times New Roman" w:hAnsi="Times New Roman" w:cs="Times New Roman"/>
          <w:sz w:val="24"/>
          <w:szCs w:val="24"/>
        </w:rPr>
        <w:t>P</w:t>
      </w:r>
      <w:r w:rsidR="00EE112D" w:rsidRPr="005F1FD6">
        <w:rPr>
          <w:rFonts w:ascii="Times New Roman" w:hAnsi="Times New Roman" w:cs="Times New Roman"/>
          <w:sz w:val="24"/>
          <w:szCs w:val="24"/>
        </w:rPr>
        <w:t>otential selection effects</w:t>
      </w:r>
      <w:r w:rsidRPr="005F1FD6">
        <w:rPr>
          <w:rFonts w:ascii="Times New Roman" w:hAnsi="Times New Roman" w:cs="Times New Roman"/>
          <w:sz w:val="24"/>
          <w:szCs w:val="24"/>
        </w:rPr>
        <w:t xml:space="preserve"> are controlled for</w:t>
      </w:r>
      <w:r w:rsidR="00EE112D" w:rsidRPr="005F1FD6">
        <w:rPr>
          <w:rFonts w:ascii="Times New Roman" w:hAnsi="Times New Roman" w:cs="Times New Roman"/>
          <w:sz w:val="24"/>
          <w:szCs w:val="24"/>
        </w:rPr>
        <w:t xml:space="preserve"> by using a two-stage model (</w:t>
      </w:r>
      <w:r w:rsidR="00F12174" w:rsidRPr="00F12174">
        <w:rPr>
          <w:rFonts w:ascii="Times New Roman" w:hAnsi="Times New Roman" w:cs="Times New Roman"/>
          <w:sz w:val="24"/>
          <w:szCs w:val="24"/>
        </w:rPr>
        <w:t>Rao, Greve and Davis, 2001</w:t>
      </w:r>
      <w:r w:rsidR="00EE112D" w:rsidRPr="005F1FD6">
        <w:rPr>
          <w:rFonts w:ascii="Times New Roman" w:hAnsi="Times New Roman" w:cs="Times New Roman"/>
          <w:sz w:val="24"/>
          <w:szCs w:val="24"/>
        </w:rPr>
        <w:t xml:space="preserve">). </w:t>
      </w:r>
      <w:r w:rsidR="00EB3A8E" w:rsidRPr="005F1FD6">
        <w:rPr>
          <w:rFonts w:ascii="Times New Roman" w:hAnsi="Times New Roman" w:cs="Times New Roman"/>
          <w:bCs/>
          <w:sz w:val="24"/>
          <w:szCs w:val="24"/>
        </w:rPr>
        <w:t>First,</w:t>
      </w:r>
      <w:r w:rsidR="00EE112D" w:rsidRPr="005F1FD6">
        <w:rPr>
          <w:rFonts w:ascii="Times New Roman" w:hAnsi="Times New Roman" w:cs="Times New Roman"/>
          <w:bCs/>
          <w:sz w:val="24"/>
          <w:szCs w:val="24"/>
        </w:rPr>
        <w:t xml:space="preserve"> a </w:t>
      </w:r>
      <w:r w:rsidR="00AA4218" w:rsidRPr="005F1FD6">
        <w:rPr>
          <w:rFonts w:ascii="Times New Roman" w:hAnsi="Times New Roman" w:cs="Times New Roman"/>
          <w:bCs/>
          <w:sz w:val="24"/>
          <w:szCs w:val="24"/>
        </w:rPr>
        <w:t xml:space="preserve">probit </w:t>
      </w:r>
      <w:r w:rsidR="00EE112D" w:rsidRPr="005F1FD6">
        <w:rPr>
          <w:rFonts w:ascii="Times New Roman" w:hAnsi="Times New Roman" w:cs="Times New Roman"/>
          <w:bCs/>
          <w:sz w:val="24"/>
          <w:szCs w:val="24"/>
        </w:rPr>
        <w:t>model</w:t>
      </w:r>
      <w:r w:rsidR="00AA4218" w:rsidRPr="005F1FD6">
        <w:rPr>
          <w:rFonts w:ascii="Times New Roman" w:hAnsi="Times New Roman" w:cs="Times New Roman"/>
          <w:bCs/>
          <w:sz w:val="24"/>
          <w:szCs w:val="24"/>
        </w:rPr>
        <w:t xml:space="preserve"> for cross-border investor choice</w:t>
      </w:r>
      <w:r w:rsidR="00EB3A8E" w:rsidRPr="005F1FD6">
        <w:rPr>
          <w:rFonts w:ascii="Times New Roman" w:hAnsi="Times New Roman" w:cs="Times New Roman"/>
          <w:bCs/>
          <w:sz w:val="24"/>
          <w:szCs w:val="24"/>
        </w:rPr>
        <w:t xml:space="preserve"> is estimated</w:t>
      </w:r>
      <w:r w:rsidR="00EE112D" w:rsidRPr="005F1FD6">
        <w:rPr>
          <w:rFonts w:ascii="Times New Roman" w:hAnsi="Times New Roman" w:cs="Times New Roman"/>
          <w:bCs/>
          <w:sz w:val="24"/>
          <w:szCs w:val="24"/>
        </w:rPr>
        <w:t xml:space="preserve">. </w:t>
      </w:r>
      <w:r w:rsidRPr="005F1FD6">
        <w:rPr>
          <w:rFonts w:ascii="Times New Roman" w:hAnsi="Times New Roman" w:cs="Times New Roman"/>
          <w:sz w:val="24"/>
          <w:szCs w:val="24"/>
        </w:rPr>
        <w:t>The</w:t>
      </w:r>
      <w:r w:rsidR="00EE112D" w:rsidRPr="005F1FD6">
        <w:rPr>
          <w:rFonts w:ascii="Times New Roman" w:hAnsi="Times New Roman" w:cs="Times New Roman"/>
          <w:sz w:val="24"/>
          <w:szCs w:val="24"/>
        </w:rPr>
        <w:t xml:space="preserve"> inverse Mill’s ratios </w:t>
      </w:r>
      <w:r w:rsidRPr="005F1FD6">
        <w:rPr>
          <w:rFonts w:ascii="Times New Roman" w:hAnsi="Times New Roman" w:cs="Times New Roman"/>
          <w:sz w:val="24"/>
          <w:szCs w:val="24"/>
        </w:rPr>
        <w:t>are</w:t>
      </w:r>
      <w:r w:rsidR="00EE112D" w:rsidRPr="005F1FD6">
        <w:rPr>
          <w:rFonts w:ascii="Times New Roman" w:hAnsi="Times New Roman" w:cs="Times New Roman"/>
          <w:sz w:val="24"/>
          <w:szCs w:val="24"/>
        </w:rPr>
        <w:t xml:space="preserve"> </w:t>
      </w:r>
      <w:r w:rsidR="004148B3" w:rsidRPr="005F1FD6">
        <w:rPr>
          <w:rFonts w:ascii="Times New Roman" w:hAnsi="Times New Roman" w:cs="Times New Roman"/>
          <w:sz w:val="24"/>
          <w:szCs w:val="24"/>
        </w:rPr>
        <w:t xml:space="preserve">then </w:t>
      </w:r>
      <w:r w:rsidR="00EE112D" w:rsidRPr="005F1FD6">
        <w:rPr>
          <w:rFonts w:ascii="Times New Roman" w:hAnsi="Times New Roman" w:cs="Times New Roman"/>
          <w:sz w:val="24"/>
          <w:szCs w:val="24"/>
        </w:rPr>
        <w:t>include</w:t>
      </w:r>
      <w:r w:rsidRPr="005F1FD6">
        <w:rPr>
          <w:rFonts w:ascii="Times New Roman" w:hAnsi="Times New Roman" w:cs="Times New Roman"/>
          <w:sz w:val="24"/>
          <w:szCs w:val="24"/>
        </w:rPr>
        <w:t>d</w:t>
      </w:r>
      <w:r w:rsidR="00EE112D" w:rsidRPr="005F1FD6">
        <w:rPr>
          <w:rFonts w:ascii="AdvGulliv-R" w:hAnsi="AdvGulliv-R" w:cs="AdvGulliv-R"/>
          <w:sz w:val="24"/>
          <w:szCs w:val="24"/>
        </w:rPr>
        <w:t xml:space="preserve"> </w:t>
      </w:r>
      <w:r w:rsidR="00EE112D" w:rsidRPr="005F1FD6">
        <w:rPr>
          <w:rFonts w:ascii="Times New Roman" w:hAnsi="Times New Roman" w:cs="Times New Roman"/>
          <w:bCs/>
          <w:sz w:val="24"/>
          <w:szCs w:val="24"/>
        </w:rPr>
        <w:t xml:space="preserve">as an instrument in the second stage </w:t>
      </w:r>
      <w:r w:rsidR="00436846" w:rsidRPr="005F1FD6">
        <w:rPr>
          <w:rFonts w:ascii="Times New Roman" w:hAnsi="Times New Roman" w:cs="Times New Roman"/>
          <w:sz w:val="24"/>
          <w:szCs w:val="24"/>
        </w:rPr>
        <w:t>event-history analyses</w:t>
      </w:r>
      <w:r w:rsidR="00EE112D" w:rsidRPr="005F1FD6">
        <w:rPr>
          <w:rFonts w:ascii="Times New Roman" w:hAnsi="Times New Roman" w:cs="Times New Roman"/>
          <w:bCs/>
          <w:sz w:val="24"/>
          <w:szCs w:val="24"/>
        </w:rPr>
        <w:t>.</w:t>
      </w:r>
      <w:r w:rsidR="000543FA">
        <w:rPr>
          <w:rFonts w:ascii="Times New Roman" w:hAnsi="Times New Roman" w:cs="Times New Roman"/>
          <w:bCs/>
          <w:sz w:val="24"/>
          <w:szCs w:val="24"/>
        </w:rPr>
        <w:t xml:space="preserve"> The dependent variable in the probit selection model is a dummy variable taking the value of 1 if the VC investor is a cross-border investor and 0 if a domestic investor. The exogenous variable used to model cross-border investor choice is the OECD </w:t>
      </w:r>
      <w:r w:rsidR="00EF6BF2">
        <w:rPr>
          <w:rFonts w:ascii="Times New Roman" w:hAnsi="Times New Roman" w:cs="Times New Roman"/>
          <w:bCs/>
          <w:sz w:val="24"/>
          <w:szCs w:val="24"/>
        </w:rPr>
        <w:t>Foreign Direct Investment (FDI)</w:t>
      </w:r>
      <w:r w:rsidR="000543FA">
        <w:rPr>
          <w:rFonts w:ascii="Times New Roman" w:hAnsi="Times New Roman" w:cs="Times New Roman"/>
          <w:bCs/>
          <w:sz w:val="24"/>
          <w:szCs w:val="24"/>
        </w:rPr>
        <w:t xml:space="preserve"> Regulatory Restrictiveness Index (lagged one year). </w:t>
      </w:r>
      <w:r w:rsidR="00EF6BF2">
        <w:rPr>
          <w:rFonts w:ascii="Times New Roman" w:hAnsi="Times New Roman" w:cs="Times New Roman"/>
          <w:bCs/>
          <w:sz w:val="24"/>
          <w:szCs w:val="24"/>
        </w:rPr>
        <w:t>This index measures statutory restrictions on FDI, including (i) foreign equity limitations, (ii) discriminatory screening or approval mechanisms; (iii) restrictions on the employment of foreigners as key personnel and (iv) other operational restrictions. The variable varies between 0 (open, no FDI restrictions) and 1 (closed to FDI).</w:t>
      </w:r>
      <w:r w:rsidR="00AB12FA">
        <w:rPr>
          <w:rFonts w:ascii="Times New Roman" w:hAnsi="Times New Roman" w:cs="Times New Roman"/>
          <w:bCs/>
          <w:sz w:val="24"/>
          <w:szCs w:val="24"/>
        </w:rPr>
        <w:t xml:space="preserve"> </w:t>
      </w:r>
      <w:r w:rsidR="002434C3">
        <w:rPr>
          <w:rFonts w:ascii="Times New Roman" w:hAnsi="Times New Roman" w:cs="Times New Roman"/>
          <w:bCs/>
          <w:sz w:val="24"/>
          <w:szCs w:val="24"/>
        </w:rPr>
        <w:t>Companies active in m</w:t>
      </w:r>
      <w:r w:rsidR="008870F6">
        <w:rPr>
          <w:rFonts w:ascii="Times New Roman" w:hAnsi="Times New Roman" w:cs="Times New Roman"/>
          <w:bCs/>
          <w:sz w:val="24"/>
          <w:szCs w:val="24"/>
        </w:rPr>
        <w:t xml:space="preserve">ore open countries should attract more cross-border VC investors. </w:t>
      </w:r>
      <w:r w:rsidR="00AB12FA">
        <w:rPr>
          <w:rFonts w:ascii="Times New Roman" w:hAnsi="Times New Roman" w:cs="Times New Roman"/>
          <w:bCs/>
          <w:sz w:val="24"/>
          <w:szCs w:val="24"/>
        </w:rPr>
        <w:t xml:space="preserve">Control </w:t>
      </w:r>
      <w:r w:rsidR="00AB12FA">
        <w:rPr>
          <w:rFonts w:ascii="Times New Roman" w:hAnsi="Times New Roman" w:cs="Times New Roman"/>
          <w:bCs/>
          <w:sz w:val="24"/>
          <w:szCs w:val="24"/>
        </w:rPr>
        <w:lastRenderedPageBreak/>
        <w:t xml:space="preserve">variables </w:t>
      </w:r>
      <w:r w:rsidR="002434C3">
        <w:rPr>
          <w:rFonts w:ascii="Times New Roman" w:hAnsi="Times New Roman" w:cs="Times New Roman"/>
          <w:bCs/>
          <w:sz w:val="24"/>
          <w:szCs w:val="24"/>
        </w:rPr>
        <w:t xml:space="preserve">in the selection model </w:t>
      </w:r>
      <w:r w:rsidR="00AB12FA">
        <w:rPr>
          <w:rFonts w:ascii="Times New Roman" w:hAnsi="Times New Roman" w:cs="Times New Roman"/>
          <w:bCs/>
          <w:sz w:val="24"/>
          <w:szCs w:val="24"/>
        </w:rPr>
        <w:t xml:space="preserve">include a dummy variable indicating whether a VC already invested, the age, </w:t>
      </w:r>
      <w:r w:rsidR="008B0FE8">
        <w:rPr>
          <w:rFonts w:ascii="Times New Roman" w:hAnsi="Times New Roman" w:cs="Times New Roman"/>
          <w:bCs/>
          <w:sz w:val="24"/>
          <w:szCs w:val="24"/>
        </w:rPr>
        <w:t xml:space="preserve">the </w:t>
      </w:r>
      <w:r w:rsidR="008B0FE8" w:rsidRPr="00C331F5">
        <w:rPr>
          <w:rFonts w:ascii="Times New Roman" w:hAnsi="Times New Roman" w:cs="Times New Roman"/>
          <w:sz w:val="24"/>
          <w:szCs w:val="24"/>
        </w:rPr>
        <w:t xml:space="preserve">natural logarithm </w:t>
      </w:r>
      <w:r w:rsidR="008B0FE8">
        <w:rPr>
          <w:rFonts w:ascii="Times New Roman" w:hAnsi="Times New Roman" w:cs="Times New Roman"/>
          <w:sz w:val="24"/>
          <w:szCs w:val="24"/>
        </w:rPr>
        <w:t xml:space="preserve">of </w:t>
      </w:r>
      <w:r w:rsidR="00AB12FA">
        <w:rPr>
          <w:rFonts w:ascii="Times New Roman" w:hAnsi="Times New Roman" w:cs="Times New Roman"/>
          <w:bCs/>
          <w:sz w:val="24"/>
          <w:szCs w:val="24"/>
        </w:rPr>
        <w:t>sales and number of patents of the portfolio company and dummies indicating its country, the amount of VC already invested</w:t>
      </w:r>
      <w:r w:rsidR="00FB522D">
        <w:rPr>
          <w:rFonts w:ascii="Times New Roman" w:hAnsi="Times New Roman" w:cs="Times New Roman"/>
          <w:bCs/>
          <w:sz w:val="24"/>
          <w:szCs w:val="24"/>
        </w:rPr>
        <w:t xml:space="preserve"> </w:t>
      </w:r>
      <w:r w:rsidR="00FB522D" w:rsidRPr="005F1FD6">
        <w:rPr>
          <w:rFonts w:ascii="Times New Roman" w:hAnsi="Times New Roman" w:cs="Times New Roman"/>
          <w:sz w:val="24"/>
          <w:szCs w:val="24"/>
        </w:rPr>
        <w:t>in millions of euro</w:t>
      </w:r>
      <w:r w:rsidR="003C59A0">
        <w:rPr>
          <w:rFonts w:ascii="Times New Roman" w:hAnsi="Times New Roman" w:cs="Times New Roman"/>
          <w:sz w:val="24"/>
          <w:szCs w:val="24"/>
        </w:rPr>
        <w:t>s</w:t>
      </w:r>
      <w:r w:rsidR="00AB12FA">
        <w:rPr>
          <w:rFonts w:ascii="Times New Roman" w:hAnsi="Times New Roman" w:cs="Times New Roman"/>
          <w:bCs/>
          <w:sz w:val="24"/>
          <w:szCs w:val="24"/>
        </w:rPr>
        <w:t xml:space="preserve">, the syndicate size, industry dummies, first VC investment year dummies. Appendix </w:t>
      </w:r>
      <w:r w:rsidR="00B76C81">
        <w:rPr>
          <w:rFonts w:ascii="Times New Roman" w:hAnsi="Times New Roman" w:cs="Times New Roman"/>
          <w:bCs/>
          <w:sz w:val="24"/>
          <w:szCs w:val="24"/>
        </w:rPr>
        <w:t>B</w:t>
      </w:r>
      <w:r w:rsidR="00AB12FA">
        <w:rPr>
          <w:rFonts w:ascii="Times New Roman" w:hAnsi="Times New Roman" w:cs="Times New Roman"/>
          <w:bCs/>
          <w:sz w:val="24"/>
          <w:szCs w:val="24"/>
        </w:rPr>
        <w:t xml:space="preserve"> show</w:t>
      </w:r>
      <w:r w:rsidR="00D62E33">
        <w:rPr>
          <w:rFonts w:ascii="Times New Roman" w:hAnsi="Times New Roman" w:cs="Times New Roman"/>
          <w:bCs/>
          <w:sz w:val="24"/>
          <w:szCs w:val="24"/>
        </w:rPr>
        <w:t>s</w:t>
      </w:r>
      <w:r w:rsidR="00AB12FA">
        <w:rPr>
          <w:rFonts w:ascii="Times New Roman" w:hAnsi="Times New Roman" w:cs="Times New Roman"/>
          <w:bCs/>
          <w:sz w:val="24"/>
          <w:szCs w:val="24"/>
        </w:rPr>
        <w:t xml:space="preserve"> the </w:t>
      </w:r>
      <w:r w:rsidR="00D62E33">
        <w:rPr>
          <w:rFonts w:ascii="Times New Roman" w:hAnsi="Times New Roman" w:cs="Times New Roman"/>
          <w:bCs/>
          <w:sz w:val="24"/>
          <w:szCs w:val="24"/>
        </w:rPr>
        <w:t>selection model</w:t>
      </w:r>
      <w:r w:rsidR="002434C3">
        <w:rPr>
          <w:rFonts w:ascii="Times New Roman" w:hAnsi="Times New Roman" w:cs="Times New Roman"/>
          <w:bCs/>
          <w:sz w:val="24"/>
          <w:szCs w:val="24"/>
        </w:rPr>
        <w:t>.</w:t>
      </w:r>
      <w:r w:rsidR="008870F6">
        <w:rPr>
          <w:rFonts w:ascii="Times New Roman" w:hAnsi="Times New Roman" w:cs="Times New Roman"/>
          <w:bCs/>
          <w:sz w:val="24"/>
          <w:szCs w:val="24"/>
        </w:rPr>
        <w:t xml:space="preserve"> </w:t>
      </w:r>
      <w:r w:rsidR="002434C3">
        <w:rPr>
          <w:rFonts w:ascii="Times New Roman" w:hAnsi="Times New Roman" w:cs="Times New Roman"/>
          <w:bCs/>
          <w:sz w:val="24"/>
          <w:szCs w:val="24"/>
        </w:rPr>
        <w:t xml:space="preserve">The coefficient of </w:t>
      </w:r>
      <w:r w:rsidR="008870F6">
        <w:rPr>
          <w:rFonts w:ascii="Times New Roman" w:hAnsi="Times New Roman" w:cs="Times New Roman"/>
          <w:bCs/>
          <w:sz w:val="24"/>
          <w:szCs w:val="24"/>
        </w:rPr>
        <w:t>the exogenous variable</w:t>
      </w:r>
      <w:r w:rsidR="00AA6D7E">
        <w:rPr>
          <w:rFonts w:ascii="Times New Roman" w:hAnsi="Times New Roman" w:cs="Times New Roman"/>
          <w:bCs/>
          <w:sz w:val="24"/>
          <w:szCs w:val="24"/>
        </w:rPr>
        <w:t xml:space="preserve"> is </w:t>
      </w:r>
      <w:r w:rsidR="002434C3">
        <w:rPr>
          <w:rFonts w:ascii="Times New Roman" w:hAnsi="Times New Roman" w:cs="Times New Roman"/>
          <w:bCs/>
          <w:sz w:val="24"/>
          <w:szCs w:val="24"/>
        </w:rPr>
        <w:t xml:space="preserve">significant (p&lt;0.05), suggesting that the instrument is </w:t>
      </w:r>
      <w:r w:rsidR="00AA6D7E">
        <w:rPr>
          <w:rFonts w:ascii="Times New Roman" w:hAnsi="Times New Roman" w:cs="Times New Roman"/>
          <w:bCs/>
          <w:sz w:val="24"/>
          <w:szCs w:val="24"/>
        </w:rPr>
        <w:t>appropriate</w:t>
      </w:r>
      <w:r w:rsidR="00D62E33">
        <w:rPr>
          <w:rFonts w:ascii="Times New Roman" w:hAnsi="Times New Roman" w:cs="Times New Roman"/>
          <w:bCs/>
          <w:sz w:val="24"/>
          <w:szCs w:val="24"/>
        </w:rPr>
        <w:t>.</w:t>
      </w:r>
    </w:p>
    <w:p w14:paraId="58917B51" w14:textId="77777777" w:rsidR="00E97B74" w:rsidRDefault="00E97B74" w:rsidP="009E0A45">
      <w:pPr>
        <w:spacing w:after="0" w:line="480" w:lineRule="auto"/>
        <w:ind w:firstLine="432"/>
        <w:jc w:val="center"/>
        <w:rPr>
          <w:rFonts w:ascii="Times New Roman" w:hAnsi="Times New Roman" w:cs="Times New Roman"/>
          <w:b/>
          <w:sz w:val="24"/>
          <w:szCs w:val="24"/>
        </w:rPr>
      </w:pPr>
    </w:p>
    <w:p w14:paraId="6034B58E" w14:textId="77777777" w:rsidR="004A61F6" w:rsidRPr="005F1FD6" w:rsidRDefault="004A61F6" w:rsidP="009E0A45">
      <w:pPr>
        <w:spacing w:after="0" w:line="480" w:lineRule="auto"/>
        <w:ind w:firstLine="432"/>
        <w:jc w:val="center"/>
        <w:rPr>
          <w:rFonts w:ascii="Times New Roman" w:hAnsi="Times New Roman" w:cs="Times New Roman"/>
          <w:b/>
          <w:sz w:val="24"/>
          <w:szCs w:val="24"/>
        </w:rPr>
      </w:pPr>
      <w:r w:rsidRPr="005F1FD6">
        <w:rPr>
          <w:rFonts w:ascii="Times New Roman" w:hAnsi="Times New Roman" w:cs="Times New Roman"/>
          <w:b/>
          <w:sz w:val="24"/>
          <w:szCs w:val="24"/>
        </w:rPr>
        <w:t>R</w:t>
      </w:r>
      <w:r w:rsidR="008671FA" w:rsidRPr="005F1FD6">
        <w:rPr>
          <w:rFonts w:ascii="Times New Roman" w:hAnsi="Times New Roman" w:cs="Times New Roman"/>
          <w:b/>
          <w:sz w:val="24"/>
          <w:szCs w:val="24"/>
        </w:rPr>
        <w:t>ESULTS</w:t>
      </w:r>
    </w:p>
    <w:p w14:paraId="6125EE56" w14:textId="77777777" w:rsidR="008671FA" w:rsidRPr="005F1FD6" w:rsidRDefault="008671FA" w:rsidP="009E0A45">
      <w:pPr>
        <w:spacing w:after="0" w:line="480" w:lineRule="auto"/>
        <w:jc w:val="both"/>
        <w:rPr>
          <w:rFonts w:ascii="Times New Roman" w:hAnsi="Times New Roman" w:cs="Times New Roman"/>
          <w:b/>
          <w:sz w:val="24"/>
          <w:szCs w:val="24"/>
        </w:rPr>
      </w:pPr>
      <w:r w:rsidRPr="005F1FD6">
        <w:rPr>
          <w:rFonts w:ascii="Times New Roman" w:hAnsi="Times New Roman" w:cs="Times New Roman"/>
          <w:b/>
          <w:sz w:val="24"/>
          <w:szCs w:val="24"/>
        </w:rPr>
        <w:t xml:space="preserve">Main analyses </w:t>
      </w:r>
    </w:p>
    <w:p w14:paraId="07354CB6" w14:textId="77777777" w:rsidR="00983008" w:rsidRDefault="0039636E" w:rsidP="0039636E">
      <w:pPr>
        <w:spacing w:after="0" w:line="480" w:lineRule="auto"/>
        <w:ind w:firstLine="431"/>
        <w:contextualSpacing/>
        <w:jc w:val="both"/>
        <w:rPr>
          <w:rFonts w:ascii="Times New Roman" w:hAnsi="Times New Roman" w:cs="Times New Roman"/>
          <w:sz w:val="24"/>
          <w:szCs w:val="24"/>
        </w:rPr>
      </w:pPr>
      <w:r>
        <w:rPr>
          <w:rFonts w:ascii="Times New Roman" w:hAnsi="Times New Roman" w:cs="Times New Roman"/>
          <w:sz w:val="24"/>
          <w:szCs w:val="24"/>
        </w:rPr>
        <w:t xml:space="preserve">Table </w:t>
      </w:r>
      <w:r w:rsidR="00AF45E6">
        <w:rPr>
          <w:rFonts w:ascii="Times New Roman" w:hAnsi="Times New Roman" w:cs="Times New Roman"/>
          <w:sz w:val="24"/>
          <w:szCs w:val="24"/>
        </w:rPr>
        <w:t>4</w:t>
      </w:r>
      <w:r>
        <w:rPr>
          <w:rFonts w:ascii="Times New Roman" w:hAnsi="Times New Roman" w:cs="Times New Roman"/>
          <w:sz w:val="24"/>
          <w:szCs w:val="24"/>
        </w:rPr>
        <w:t xml:space="preserve"> presents the correlation matrix. Most correlations are between -0.5 and 0.5. </w:t>
      </w:r>
      <w:r w:rsidR="00D7186D" w:rsidRPr="005F1FD6">
        <w:rPr>
          <w:rFonts w:ascii="Times New Roman" w:hAnsi="Times New Roman" w:cs="Times New Roman"/>
          <w:sz w:val="24"/>
          <w:szCs w:val="24"/>
        </w:rPr>
        <w:t>All variables have</w:t>
      </w:r>
      <w:r w:rsidR="00855696" w:rsidRPr="005F1FD6">
        <w:rPr>
          <w:rFonts w:ascii="Times New Roman" w:hAnsi="Times New Roman" w:cs="Times New Roman"/>
          <w:sz w:val="24"/>
          <w:szCs w:val="24"/>
        </w:rPr>
        <w:t xml:space="preserve"> variance inflation factors well below the usual warning level of 10</w:t>
      </w:r>
      <w:r w:rsidR="005A5070" w:rsidRPr="005F1FD6">
        <w:rPr>
          <w:rFonts w:ascii="Times New Roman" w:hAnsi="Times New Roman" w:cs="Times New Roman"/>
          <w:sz w:val="24"/>
          <w:szCs w:val="24"/>
        </w:rPr>
        <w:t xml:space="preserve"> except </w:t>
      </w:r>
      <w:r w:rsidR="00D77FA6" w:rsidRPr="005F1FD6">
        <w:rPr>
          <w:rFonts w:ascii="Times New Roman" w:hAnsi="Times New Roman" w:cs="Times New Roman"/>
          <w:sz w:val="24"/>
          <w:szCs w:val="24"/>
        </w:rPr>
        <w:t xml:space="preserve">for </w:t>
      </w:r>
      <w:r w:rsidR="005A5070" w:rsidRPr="005F1FD6">
        <w:rPr>
          <w:rFonts w:ascii="Times New Roman" w:hAnsi="Times New Roman" w:cs="Times New Roman"/>
          <w:sz w:val="24"/>
          <w:szCs w:val="24"/>
        </w:rPr>
        <w:t xml:space="preserve">the </w:t>
      </w:r>
      <w:r w:rsidR="005A5070" w:rsidRPr="00580661">
        <w:rPr>
          <w:rFonts w:ascii="Times New Roman" w:hAnsi="Times New Roman" w:cs="Times New Roman"/>
          <w:i/>
          <w:sz w:val="24"/>
          <w:szCs w:val="24"/>
        </w:rPr>
        <w:t>inverse mills ratio</w:t>
      </w:r>
      <w:r w:rsidR="005A5070" w:rsidRPr="005F1FD6">
        <w:rPr>
          <w:rFonts w:ascii="Times New Roman" w:hAnsi="Times New Roman" w:cs="Times New Roman"/>
          <w:sz w:val="24"/>
          <w:szCs w:val="24"/>
        </w:rPr>
        <w:t xml:space="preserve"> (16.75) and the </w:t>
      </w:r>
      <w:r w:rsidR="005A5070" w:rsidRPr="00580661">
        <w:rPr>
          <w:rFonts w:ascii="Times New Roman" w:hAnsi="Times New Roman" w:cs="Times New Roman"/>
          <w:i/>
          <w:sz w:val="24"/>
          <w:szCs w:val="24"/>
        </w:rPr>
        <w:t>sy</w:t>
      </w:r>
      <w:r w:rsidR="00DE32EE" w:rsidRPr="00580661">
        <w:rPr>
          <w:rFonts w:ascii="Times New Roman" w:hAnsi="Times New Roman" w:cs="Times New Roman"/>
          <w:i/>
          <w:sz w:val="24"/>
          <w:szCs w:val="24"/>
        </w:rPr>
        <w:t>ndication size</w:t>
      </w:r>
      <w:r w:rsidR="00DE32EE" w:rsidRPr="005F1FD6">
        <w:rPr>
          <w:rFonts w:ascii="Times New Roman" w:hAnsi="Times New Roman" w:cs="Times New Roman"/>
          <w:sz w:val="24"/>
          <w:szCs w:val="24"/>
        </w:rPr>
        <w:t xml:space="preserve"> variable (10.12)</w:t>
      </w:r>
      <w:r w:rsidR="00855696" w:rsidRPr="005F1FD6">
        <w:rPr>
          <w:rFonts w:ascii="Times New Roman" w:hAnsi="Times New Roman" w:cs="Times New Roman"/>
          <w:sz w:val="24"/>
          <w:szCs w:val="24"/>
        </w:rPr>
        <w:t>. The m</w:t>
      </w:r>
      <w:r w:rsidR="00D7186D" w:rsidRPr="005F1FD6">
        <w:rPr>
          <w:rFonts w:ascii="Times New Roman" w:hAnsi="Times New Roman" w:cs="Times New Roman"/>
          <w:sz w:val="24"/>
          <w:szCs w:val="24"/>
        </w:rPr>
        <w:t>ean variance inflation factor i</w:t>
      </w:r>
      <w:r w:rsidR="00855696" w:rsidRPr="005F1FD6">
        <w:rPr>
          <w:rFonts w:ascii="Times New Roman" w:hAnsi="Times New Roman" w:cs="Times New Roman"/>
          <w:sz w:val="24"/>
          <w:szCs w:val="24"/>
        </w:rPr>
        <w:t>s 2.5</w:t>
      </w:r>
      <w:r w:rsidR="005A5070" w:rsidRPr="005F1FD6">
        <w:rPr>
          <w:rFonts w:ascii="Times New Roman" w:hAnsi="Times New Roman" w:cs="Times New Roman"/>
          <w:sz w:val="24"/>
          <w:szCs w:val="24"/>
        </w:rPr>
        <w:t>2</w:t>
      </w:r>
      <w:r w:rsidR="00855696" w:rsidRPr="005F1FD6">
        <w:rPr>
          <w:rFonts w:ascii="Times New Roman" w:hAnsi="Times New Roman" w:cs="Times New Roman"/>
          <w:sz w:val="24"/>
          <w:szCs w:val="24"/>
        </w:rPr>
        <w:t>.</w:t>
      </w:r>
      <w:r w:rsidR="005A5070" w:rsidRPr="005F1FD6">
        <w:rPr>
          <w:rFonts w:ascii="Times New Roman" w:hAnsi="Times New Roman" w:cs="Times New Roman"/>
          <w:sz w:val="24"/>
          <w:szCs w:val="24"/>
        </w:rPr>
        <w:t xml:space="preserve"> </w:t>
      </w:r>
      <w:r w:rsidR="00D77FA6" w:rsidRPr="005F1FD6">
        <w:rPr>
          <w:rFonts w:ascii="Times New Roman" w:hAnsi="Times New Roman" w:cs="Times New Roman"/>
          <w:sz w:val="24"/>
          <w:szCs w:val="24"/>
        </w:rPr>
        <w:t xml:space="preserve">This indicates that problems </w:t>
      </w:r>
      <w:r w:rsidR="004E7D2E">
        <w:rPr>
          <w:rFonts w:ascii="Times New Roman" w:hAnsi="Times New Roman" w:cs="Times New Roman"/>
          <w:sz w:val="24"/>
          <w:szCs w:val="24"/>
        </w:rPr>
        <w:t>of</w:t>
      </w:r>
      <w:r w:rsidR="00D77FA6" w:rsidRPr="005F1FD6">
        <w:rPr>
          <w:rFonts w:ascii="Times New Roman" w:hAnsi="Times New Roman" w:cs="Times New Roman"/>
          <w:sz w:val="24"/>
          <w:szCs w:val="24"/>
        </w:rPr>
        <w:t xml:space="preserve"> multicollinearity are limited.</w:t>
      </w:r>
    </w:p>
    <w:p w14:paraId="22CC9213" w14:textId="77777777" w:rsidR="00FC761C" w:rsidRDefault="00FC761C" w:rsidP="00F83379">
      <w:pPr>
        <w:keepNext/>
        <w:keepLines/>
        <w:autoSpaceDE w:val="0"/>
        <w:autoSpaceDN w:val="0"/>
        <w:adjustRightInd w:val="0"/>
        <w:spacing w:after="0" w:line="240" w:lineRule="auto"/>
        <w:ind w:firstLine="431"/>
        <w:jc w:val="center"/>
        <w:rPr>
          <w:rFonts w:ascii="Melior" w:hAnsi="Melior" w:cs="Melior"/>
          <w:sz w:val="18"/>
          <w:szCs w:val="18"/>
        </w:rPr>
      </w:pPr>
      <w:r>
        <w:rPr>
          <w:rFonts w:ascii="Melior" w:hAnsi="Melior" w:cs="Melior"/>
          <w:sz w:val="18"/>
          <w:szCs w:val="18"/>
        </w:rPr>
        <w:t>------------------------------------</w:t>
      </w:r>
      <w:r w:rsidR="00063B38">
        <w:rPr>
          <w:rFonts w:ascii="Melior" w:hAnsi="Melior" w:cs="Melior"/>
          <w:sz w:val="18"/>
          <w:szCs w:val="18"/>
        </w:rPr>
        <w:t>-----</w:t>
      </w:r>
    </w:p>
    <w:p w14:paraId="1D0C9FF9" w14:textId="77777777" w:rsidR="00FC761C" w:rsidRPr="00FC761C" w:rsidRDefault="00FC761C" w:rsidP="00F83379">
      <w:pPr>
        <w:keepNext/>
        <w:keepLines/>
        <w:autoSpaceDE w:val="0"/>
        <w:autoSpaceDN w:val="0"/>
        <w:adjustRightInd w:val="0"/>
        <w:spacing w:after="0" w:line="240" w:lineRule="auto"/>
        <w:ind w:firstLine="431"/>
        <w:jc w:val="center"/>
        <w:rPr>
          <w:rFonts w:ascii="Times New Roman" w:hAnsi="Times New Roman" w:cs="Times New Roman"/>
          <w:sz w:val="24"/>
          <w:szCs w:val="24"/>
        </w:rPr>
      </w:pPr>
      <w:r w:rsidRPr="00FC761C">
        <w:rPr>
          <w:rFonts w:ascii="Times New Roman" w:hAnsi="Times New Roman" w:cs="Times New Roman"/>
          <w:sz w:val="24"/>
          <w:szCs w:val="24"/>
        </w:rPr>
        <w:t xml:space="preserve">Insert Table </w:t>
      </w:r>
      <w:r w:rsidR="00AF45E6">
        <w:rPr>
          <w:rFonts w:ascii="Times New Roman" w:hAnsi="Times New Roman" w:cs="Times New Roman"/>
          <w:sz w:val="24"/>
          <w:szCs w:val="24"/>
        </w:rPr>
        <w:t>4</w:t>
      </w:r>
      <w:r w:rsidRPr="00FC761C">
        <w:rPr>
          <w:rFonts w:ascii="Times New Roman" w:hAnsi="Times New Roman" w:cs="Times New Roman"/>
          <w:sz w:val="24"/>
          <w:szCs w:val="24"/>
        </w:rPr>
        <w:t xml:space="preserve"> about here</w:t>
      </w:r>
    </w:p>
    <w:p w14:paraId="0861C85C" w14:textId="77777777" w:rsidR="00FC761C" w:rsidRDefault="00FC761C" w:rsidP="00F83379">
      <w:pPr>
        <w:keepNext/>
        <w:keepLines/>
        <w:autoSpaceDE w:val="0"/>
        <w:autoSpaceDN w:val="0"/>
        <w:adjustRightInd w:val="0"/>
        <w:spacing w:after="0" w:line="480" w:lineRule="auto"/>
        <w:ind w:firstLine="431"/>
        <w:contextualSpacing/>
        <w:jc w:val="center"/>
        <w:rPr>
          <w:rFonts w:ascii="Times New Roman" w:hAnsi="Times New Roman" w:cs="Times New Roman"/>
          <w:sz w:val="24"/>
          <w:szCs w:val="24"/>
          <w:u w:val="dotted"/>
        </w:rPr>
      </w:pPr>
      <w:r>
        <w:rPr>
          <w:rFonts w:ascii="Melior" w:hAnsi="Melior" w:cs="Melior"/>
          <w:sz w:val="18"/>
          <w:szCs w:val="18"/>
        </w:rPr>
        <w:t>------------------------------------</w:t>
      </w:r>
      <w:r w:rsidR="00063B38">
        <w:rPr>
          <w:rFonts w:ascii="Melior" w:hAnsi="Melior" w:cs="Melior"/>
          <w:sz w:val="18"/>
          <w:szCs w:val="18"/>
        </w:rPr>
        <w:t>-----</w:t>
      </w:r>
    </w:p>
    <w:p w14:paraId="2A502E0A" w14:textId="2FD0A778" w:rsidR="00E8123B" w:rsidRDefault="000A73CB" w:rsidP="00E8123B">
      <w:pPr>
        <w:spacing w:after="0" w:line="480" w:lineRule="auto"/>
        <w:ind w:firstLine="432"/>
        <w:jc w:val="both"/>
        <w:rPr>
          <w:rFonts w:ascii="Times New Roman" w:hAnsi="Times New Roman" w:cs="Times New Roman"/>
          <w:sz w:val="24"/>
          <w:szCs w:val="24"/>
        </w:rPr>
      </w:pPr>
      <w:r>
        <w:rPr>
          <w:rFonts w:ascii="Times New Roman" w:hAnsi="Times New Roman" w:cs="Times New Roman"/>
          <w:sz w:val="24"/>
          <w:szCs w:val="24"/>
        </w:rPr>
        <w:t>We first measure whether VC firms exhibit</w:t>
      </w:r>
      <w:r w:rsidR="000C3B92">
        <w:rPr>
          <w:rFonts w:ascii="Times New Roman" w:hAnsi="Times New Roman" w:cs="Times New Roman"/>
          <w:sz w:val="24"/>
          <w:szCs w:val="24"/>
        </w:rPr>
        <w:t xml:space="preserve"> escalation of commitment, disregarding the origin of the VC firm. </w:t>
      </w:r>
      <w:r>
        <w:rPr>
          <w:rFonts w:ascii="Times New Roman" w:hAnsi="Times New Roman" w:cs="Times New Roman"/>
          <w:sz w:val="24"/>
          <w:szCs w:val="24"/>
        </w:rPr>
        <w:t xml:space="preserve">Table </w:t>
      </w:r>
      <w:r w:rsidR="00E65A1B">
        <w:rPr>
          <w:rFonts w:ascii="Times New Roman" w:hAnsi="Times New Roman" w:cs="Times New Roman"/>
          <w:sz w:val="24"/>
          <w:szCs w:val="24"/>
        </w:rPr>
        <w:t xml:space="preserve">5 </w:t>
      </w:r>
      <w:r>
        <w:rPr>
          <w:rFonts w:ascii="Times New Roman" w:hAnsi="Times New Roman" w:cs="Times New Roman"/>
          <w:sz w:val="24"/>
          <w:szCs w:val="24"/>
        </w:rPr>
        <w:t xml:space="preserve">reports the results </w:t>
      </w:r>
      <w:r w:rsidR="00B911FE" w:rsidRPr="005F1FD6">
        <w:rPr>
          <w:rFonts w:ascii="Times New Roman" w:hAnsi="Times New Roman" w:cs="Times New Roman"/>
          <w:sz w:val="24"/>
          <w:szCs w:val="24"/>
        </w:rPr>
        <w:t>for the hazard of successfu</w:t>
      </w:r>
      <w:r w:rsidR="001879E6" w:rsidRPr="005F1FD6">
        <w:rPr>
          <w:rFonts w:ascii="Times New Roman" w:hAnsi="Times New Roman" w:cs="Times New Roman"/>
          <w:sz w:val="24"/>
          <w:szCs w:val="24"/>
        </w:rPr>
        <w:t>l exits</w:t>
      </w:r>
      <w:r w:rsidR="00923A77">
        <w:rPr>
          <w:rFonts w:ascii="Times New Roman" w:hAnsi="Times New Roman" w:cs="Times New Roman"/>
          <w:sz w:val="24"/>
          <w:szCs w:val="24"/>
        </w:rPr>
        <w:t xml:space="preserve"> and termination</w:t>
      </w:r>
      <w:r>
        <w:rPr>
          <w:rFonts w:ascii="Times New Roman" w:hAnsi="Times New Roman" w:cs="Times New Roman"/>
          <w:sz w:val="24"/>
          <w:szCs w:val="24"/>
        </w:rPr>
        <w:t>, controlling for portfolio company, VC firm and general market conditions</w:t>
      </w:r>
      <w:r w:rsidR="001879E6" w:rsidRPr="005F1FD6">
        <w:rPr>
          <w:rFonts w:ascii="Times New Roman" w:hAnsi="Times New Roman" w:cs="Times New Roman"/>
          <w:sz w:val="24"/>
          <w:szCs w:val="24"/>
        </w:rPr>
        <w:t>. Model</w:t>
      </w:r>
      <w:r w:rsidR="00B911FE" w:rsidRPr="005F1FD6">
        <w:rPr>
          <w:rFonts w:ascii="Times New Roman" w:hAnsi="Times New Roman" w:cs="Times New Roman"/>
          <w:sz w:val="24"/>
          <w:szCs w:val="24"/>
        </w:rPr>
        <w:t xml:space="preserve"> 1a</w:t>
      </w:r>
      <w:r w:rsidR="001879E6" w:rsidRPr="005F1FD6">
        <w:rPr>
          <w:rFonts w:ascii="Times New Roman" w:hAnsi="Times New Roman" w:cs="Times New Roman"/>
          <w:sz w:val="24"/>
          <w:szCs w:val="24"/>
        </w:rPr>
        <w:t xml:space="preserve"> models the hazard of a successful exit, while model</w:t>
      </w:r>
      <w:r w:rsidR="00B911FE" w:rsidRPr="005F1FD6">
        <w:rPr>
          <w:rFonts w:ascii="Times New Roman" w:hAnsi="Times New Roman" w:cs="Times New Roman"/>
          <w:sz w:val="24"/>
          <w:szCs w:val="24"/>
        </w:rPr>
        <w:t xml:space="preserve"> 1b </w:t>
      </w:r>
      <w:r w:rsidR="001879E6" w:rsidRPr="005F1FD6">
        <w:rPr>
          <w:rFonts w:ascii="Times New Roman" w:hAnsi="Times New Roman" w:cs="Times New Roman"/>
          <w:sz w:val="24"/>
          <w:szCs w:val="24"/>
        </w:rPr>
        <w:t xml:space="preserve">models the hazard of </w:t>
      </w:r>
      <w:r>
        <w:rPr>
          <w:rFonts w:ascii="Times New Roman" w:hAnsi="Times New Roman" w:cs="Times New Roman"/>
          <w:sz w:val="24"/>
          <w:szCs w:val="24"/>
        </w:rPr>
        <w:t>termination</w:t>
      </w:r>
      <w:r w:rsidR="001879E6" w:rsidRPr="005F1FD6">
        <w:rPr>
          <w:rFonts w:ascii="Times New Roman" w:hAnsi="Times New Roman" w:cs="Times New Roman"/>
          <w:sz w:val="24"/>
          <w:szCs w:val="24"/>
        </w:rPr>
        <w:t xml:space="preserve">. </w:t>
      </w:r>
      <w:r w:rsidR="00400884" w:rsidRPr="005F1FD6">
        <w:rPr>
          <w:rFonts w:ascii="Times New Roman" w:hAnsi="Times New Roman" w:cs="Times New Roman"/>
          <w:sz w:val="24"/>
          <w:szCs w:val="24"/>
        </w:rPr>
        <w:t xml:space="preserve">Comparing the distribution of successful </w:t>
      </w:r>
      <w:r w:rsidR="00400884">
        <w:rPr>
          <w:rFonts w:ascii="Times New Roman" w:hAnsi="Times New Roman" w:cs="Times New Roman"/>
          <w:sz w:val="24"/>
          <w:szCs w:val="24"/>
        </w:rPr>
        <w:t xml:space="preserve">exits with termination decisions </w:t>
      </w:r>
      <w:r w:rsidR="00400884" w:rsidRPr="005F1FD6">
        <w:rPr>
          <w:rFonts w:ascii="Times New Roman" w:hAnsi="Times New Roman" w:cs="Times New Roman"/>
          <w:sz w:val="24"/>
          <w:szCs w:val="24"/>
        </w:rPr>
        <w:t>allows assess</w:t>
      </w:r>
      <w:r w:rsidR="00A25C9E">
        <w:rPr>
          <w:rFonts w:ascii="Times New Roman" w:hAnsi="Times New Roman" w:cs="Times New Roman"/>
          <w:sz w:val="24"/>
          <w:szCs w:val="24"/>
        </w:rPr>
        <w:t>ment of</w:t>
      </w:r>
      <w:r w:rsidR="00400884" w:rsidRPr="005F1FD6">
        <w:rPr>
          <w:rFonts w:ascii="Times New Roman" w:hAnsi="Times New Roman" w:cs="Times New Roman"/>
          <w:sz w:val="24"/>
          <w:szCs w:val="24"/>
        </w:rPr>
        <w:t xml:space="preserve"> whether VC firms show escalation of commitment (Guler, 2007). </w:t>
      </w:r>
      <w:r w:rsidR="003C268E">
        <w:rPr>
          <w:rFonts w:ascii="Times New Roman" w:hAnsi="Times New Roman" w:cs="Times New Roman"/>
          <w:sz w:val="24"/>
          <w:szCs w:val="24"/>
        </w:rPr>
        <w:t>The coefficient</w:t>
      </w:r>
      <w:r w:rsidR="007101C6">
        <w:rPr>
          <w:rFonts w:ascii="Times New Roman" w:hAnsi="Times New Roman" w:cs="Times New Roman"/>
          <w:sz w:val="24"/>
          <w:szCs w:val="24"/>
        </w:rPr>
        <w:t xml:space="preserve"> of </w:t>
      </w:r>
      <w:r w:rsidR="007101C6" w:rsidRPr="007101C6">
        <w:rPr>
          <w:rFonts w:ascii="Times New Roman" w:hAnsi="Times New Roman" w:cs="Times New Roman"/>
          <w:i/>
          <w:sz w:val="24"/>
          <w:szCs w:val="24"/>
        </w:rPr>
        <w:t>Rounds</w:t>
      </w:r>
      <w:r w:rsidR="007101C6">
        <w:rPr>
          <w:rFonts w:ascii="Times New Roman" w:hAnsi="Times New Roman" w:cs="Times New Roman"/>
          <w:sz w:val="24"/>
          <w:szCs w:val="24"/>
        </w:rPr>
        <w:t xml:space="preserve"> </w:t>
      </w:r>
      <w:r w:rsidR="003C268E">
        <w:rPr>
          <w:rFonts w:ascii="Times New Roman" w:hAnsi="Times New Roman" w:cs="Times New Roman"/>
          <w:sz w:val="24"/>
          <w:szCs w:val="24"/>
        </w:rPr>
        <w:t xml:space="preserve">is </w:t>
      </w:r>
      <w:r w:rsidR="00FD5871">
        <w:rPr>
          <w:rFonts w:ascii="Times New Roman" w:hAnsi="Times New Roman" w:cs="Times New Roman"/>
          <w:sz w:val="24"/>
          <w:szCs w:val="24"/>
        </w:rPr>
        <w:t xml:space="preserve">negative </w:t>
      </w:r>
      <w:r w:rsidR="003C268E">
        <w:rPr>
          <w:rFonts w:ascii="Times New Roman" w:hAnsi="Times New Roman" w:cs="Times New Roman"/>
          <w:sz w:val="24"/>
          <w:szCs w:val="24"/>
        </w:rPr>
        <w:t>(p</w:t>
      </w:r>
      <w:r w:rsidR="009B07D7">
        <w:rPr>
          <w:rFonts w:ascii="Times New Roman" w:hAnsi="Times New Roman" w:cs="Times New Roman"/>
          <w:sz w:val="24"/>
          <w:szCs w:val="24"/>
        </w:rPr>
        <w:t>&lt;0.</w:t>
      </w:r>
      <w:r w:rsidR="003C268E">
        <w:rPr>
          <w:rFonts w:ascii="Times New Roman" w:hAnsi="Times New Roman" w:cs="Times New Roman"/>
          <w:sz w:val="24"/>
          <w:szCs w:val="24"/>
        </w:rPr>
        <w:t xml:space="preserve">01) </w:t>
      </w:r>
      <w:r w:rsidR="007101C6">
        <w:rPr>
          <w:rFonts w:ascii="Times New Roman" w:hAnsi="Times New Roman" w:cs="Times New Roman"/>
          <w:sz w:val="24"/>
          <w:szCs w:val="24"/>
        </w:rPr>
        <w:t xml:space="preserve">and </w:t>
      </w:r>
      <w:r w:rsidR="003C268E">
        <w:rPr>
          <w:rFonts w:ascii="Times New Roman" w:hAnsi="Times New Roman" w:cs="Times New Roman"/>
          <w:sz w:val="24"/>
          <w:szCs w:val="24"/>
        </w:rPr>
        <w:t xml:space="preserve">that of </w:t>
      </w:r>
      <w:r w:rsidR="007101C6" w:rsidRPr="007101C6">
        <w:rPr>
          <w:rFonts w:ascii="Times New Roman" w:hAnsi="Times New Roman" w:cs="Times New Roman"/>
          <w:i/>
          <w:sz w:val="24"/>
          <w:szCs w:val="24"/>
        </w:rPr>
        <w:t>Rounds²</w:t>
      </w:r>
      <w:r w:rsidR="007101C6">
        <w:rPr>
          <w:rFonts w:ascii="Times New Roman" w:hAnsi="Times New Roman" w:cs="Times New Roman"/>
          <w:sz w:val="24"/>
          <w:szCs w:val="24"/>
        </w:rPr>
        <w:t xml:space="preserve"> </w:t>
      </w:r>
      <w:r w:rsidR="003C268E">
        <w:rPr>
          <w:rFonts w:ascii="Times New Roman" w:hAnsi="Times New Roman" w:cs="Times New Roman"/>
          <w:sz w:val="24"/>
          <w:szCs w:val="24"/>
        </w:rPr>
        <w:t xml:space="preserve">is </w:t>
      </w:r>
      <w:r w:rsidR="00FD5871">
        <w:rPr>
          <w:rFonts w:ascii="Times New Roman" w:hAnsi="Times New Roman" w:cs="Times New Roman"/>
          <w:sz w:val="24"/>
          <w:szCs w:val="24"/>
        </w:rPr>
        <w:t xml:space="preserve">positive </w:t>
      </w:r>
      <w:r w:rsidR="003C268E">
        <w:rPr>
          <w:rFonts w:ascii="Times New Roman" w:hAnsi="Times New Roman" w:cs="Times New Roman"/>
          <w:sz w:val="24"/>
          <w:szCs w:val="24"/>
        </w:rPr>
        <w:t>(p</w:t>
      </w:r>
      <w:r w:rsidR="009B07D7">
        <w:rPr>
          <w:rFonts w:ascii="Times New Roman" w:hAnsi="Times New Roman" w:cs="Times New Roman"/>
          <w:sz w:val="24"/>
          <w:szCs w:val="24"/>
        </w:rPr>
        <w:t>&lt;0.</w:t>
      </w:r>
      <w:r w:rsidR="003C268E">
        <w:rPr>
          <w:rFonts w:ascii="Times New Roman" w:hAnsi="Times New Roman" w:cs="Times New Roman"/>
          <w:sz w:val="24"/>
          <w:szCs w:val="24"/>
        </w:rPr>
        <w:t>01)</w:t>
      </w:r>
      <w:r w:rsidR="007101C6">
        <w:rPr>
          <w:rFonts w:ascii="Times New Roman" w:hAnsi="Times New Roman" w:cs="Times New Roman"/>
          <w:sz w:val="24"/>
          <w:szCs w:val="24"/>
        </w:rPr>
        <w:t xml:space="preserve"> in model 1</w:t>
      </w:r>
      <w:r w:rsidR="00822F02">
        <w:rPr>
          <w:rFonts w:ascii="Times New Roman" w:hAnsi="Times New Roman" w:cs="Times New Roman"/>
          <w:sz w:val="24"/>
          <w:szCs w:val="24"/>
        </w:rPr>
        <w:t>a</w:t>
      </w:r>
      <w:r w:rsidR="007101C6">
        <w:rPr>
          <w:rFonts w:ascii="Times New Roman" w:hAnsi="Times New Roman" w:cs="Times New Roman"/>
          <w:sz w:val="24"/>
          <w:szCs w:val="24"/>
        </w:rPr>
        <w:t xml:space="preserve">. This suggests that the probability of </w:t>
      </w:r>
      <w:r w:rsidR="00822F02">
        <w:rPr>
          <w:rFonts w:ascii="Times New Roman" w:hAnsi="Times New Roman" w:cs="Times New Roman"/>
          <w:sz w:val="24"/>
          <w:szCs w:val="24"/>
        </w:rPr>
        <w:t xml:space="preserve">a </w:t>
      </w:r>
      <w:r w:rsidR="007101C6">
        <w:rPr>
          <w:rFonts w:ascii="Times New Roman" w:hAnsi="Times New Roman" w:cs="Times New Roman"/>
          <w:sz w:val="24"/>
          <w:szCs w:val="24"/>
        </w:rPr>
        <w:t>success</w:t>
      </w:r>
      <w:r w:rsidR="00822F02">
        <w:rPr>
          <w:rFonts w:ascii="Times New Roman" w:hAnsi="Times New Roman" w:cs="Times New Roman"/>
          <w:sz w:val="24"/>
          <w:szCs w:val="24"/>
        </w:rPr>
        <w:t xml:space="preserve">ful </w:t>
      </w:r>
      <w:r w:rsidR="00822F02">
        <w:rPr>
          <w:rFonts w:ascii="Times New Roman" w:hAnsi="Times New Roman" w:cs="Times New Roman"/>
          <w:sz w:val="24"/>
          <w:szCs w:val="24"/>
        </w:rPr>
        <w:lastRenderedPageBreak/>
        <w:t>exit</w:t>
      </w:r>
      <w:r w:rsidR="007101C6">
        <w:rPr>
          <w:rFonts w:ascii="Times New Roman" w:hAnsi="Times New Roman" w:cs="Times New Roman"/>
          <w:sz w:val="24"/>
          <w:szCs w:val="24"/>
        </w:rPr>
        <w:t xml:space="preserve"> decreases with the number of rounds invested, but at a decreasing rate</w:t>
      </w:r>
      <w:r w:rsidR="00946D1B">
        <w:rPr>
          <w:rStyle w:val="FootnoteReference"/>
          <w:rFonts w:ascii="Times New Roman" w:hAnsi="Times New Roman" w:cs="Times New Roman"/>
          <w:sz w:val="24"/>
          <w:szCs w:val="24"/>
        </w:rPr>
        <w:footnoteReference w:id="6"/>
      </w:r>
      <w:r w:rsidR="007101C6">
        <w:rPr>
          <w:rFonts w:ascii="Times New Roman" w:hAnsi="Times New Roman" w:cs="Times New Roman"/>
          <w:sz w:val="24"/>
          <w:szCs w:val="24"/>
        </w:rPr>
        <w:t xml:space="preserve">. </w:t>
      </w:r>
      <w:r w:rsidR="003C268E">
        <w:rPr>
          <w:rFonts w:ascii="Times New Roman" w:hAnsi="Times New Roman" w:cs="Times New Roman"/>
          <w:sz w:val="24"/>
          <w:szCs w:val="24"/>
        </w:rPr>
        <w:t>If VC firms act to maximize the probability of success, the probability of termination should hence increase over the number of rounds. Model 1b, which models the hazard of termination, shows however that the rate of termination also decreases o</w:t>
      </w:r>
      <w:r w:rsidR="00822F02">
        <w:rPr>
          <w:rFonts w:ascii="Times New Roman" w:hAnsi="Times New Roman" w:cs="Times New Roman"/>
          <w:sz w:val="24"/>
          <w:szCs w:val="24"/>
        </w:rPr>
        <w:t xml:space="preserve">ver rounds at a decreasing rate: the coefficient of </w:t>
      </w:r>
      <w:r w:rsidR="00822F02" w:rsidRPr="007101C6">
        <w:rPr>
          <w:rFonts w:ascii="Times New Roman" w:hAnsi="Times New Roman" w:cs="Times New Roman"/>
          <w:i/>
          <w:sz w:val="24"/>
          <w:szCs w:val="24"/>
        </w:rPr>
        <w:t>Rounds</w:t>
      </w:r>
      <w:r w:rsidR="00822F02">
        <w:rPr>
          <w:rFonts w:ascii="Times New Roman" w:hAnsi="Times New Roman" w:cs="Times New Roman"/>
          <w:sz w:val="24"/>
          <w:szCs w:val="24"/>
        </w:rPr>
        <w:t xml:space="preserve"> is </w:t>
      </w:r>
      <w:r w:rsidR="0055079C">
        <w:rPr>
          <w:rFonts w:ascii="Times New Roman" w:hAnsi="Times New Roman" w:cs="Times New Roman"/>
          <w:sz w:val="24"/>
          <w:szCs w:val="24"/>
        </w:rPr>
        <w:t>negative</w:t>
      </w:r>
      <w:r w:rsidR="00822F02">
        <w:rPr>
          <w:rFonts w:ascii="Times New Roman" w:hAnsi="Times New Roman" w:cs="Times New Roman"/>
          <w:sz w:val="24"/>
          <w:szCs w:val="24"/>
        </w:rPr>
        <w:t xml:space="preserve"> (p</w:t>
      </w:r>
      <w:r w:rsidR="009B07D7">
        <w:rPr>
          <w:rFonts w:ascii="Times New Roman" w:hAnsi="Times New Roman" w:cs="Times New Roman"/>
          <w:sz w:val="24"/>
          <w:szCs w:val="24"/>
        </w:rPr>
        <w:t>&lt;0.</w:t>
      </w:r>
      <w:r w:rsidR="00822F02">
        <w:rPr>
          <w:rFonts w:ascii="Times New Roman" w:hAnsi="Times New Roman" w:cs="Times New Roman"/>
          <w:sz w:val="24"/>
          <w:szCs w:val="24"/>
        </w:rPr>
        <w:t xml:space="preserve">01) and that of </w:t>
      </w:r>
      <w:r w:rsidR="00822F02" w:rsidRPr="007101C6">
        <w:rPr>
          <w:rFonts w:ascii="Times New Roman" w:hAnsi="Times New Roman" w:cs="Times New Roman"/>
          <w:i/>
          <w:sz w:val="24"/>
          <w:szCs w:val="24"/>
        </w:rPr>
        <w:t>Rounds²</w:t>
      </w:r>
      <w:r w:rsidR="00822F02">
        <w:rPr>
          <w:rFonts w:ascii="Times New Roman" w:hAnsi="Times New Roman" w:cs="Times New Roman"/>
          <w:sz w:val="24"/>
          <w:szCs w:val="24"/>
        </w:rPr>
        <w:t xml:space="preserve"> is </w:t>
      </w:r>
      <w:r w:rsidR="0055079C">
        <w:rPr>
          <w:rFonts w:ascii="Times New Roman" w:hAnsi="Times New Roman" w:cs="Times New Roman"/>
          <w:sz w:val="24"/>
          <w:szCs w:val="24"/>
        </w:rPr>
        <w:t>posit</w:t>
      </w:r>
      <w:r w:rsidR="004E7D2E">
        <w:rPr>
          <w:rFonts w:ascii="Times New Roman" w:hAnsi="Times New Roman" w:cs="Times New Roman"/>
          <w:sz w:val="24"/>
          <w:szCs w:val="24"/>
        </w:rPr>
        <w:t>i</w:t>
      </w:r>
      <w:r w:rsidR="0055079C">
        <w:rPr>
          <w:rFonts w:ascii="Times New Roman" w:hAnsi="Times New Roman" w:cs="Times New Roman"/>
          <w:sz w:val="24"/>
          <w:szCs w:val="24"/>
        </w:rPr>
        <w:t>ve</w:t>
      </w:r>
      <w:r w:rsidR="00822F02">
        <w:rPr>
          <w:rFonts w:ascii="Times New Roman" w:hAnsi="Times New Roman" w:cs="Times New Roman"/>
          <w:sz w:val="24"/>
          <w:szCs w:val="24"/>
        </w:rPr>
        <w:t xml:space="preserve"> (p</w:t>
      </w:r>
      <w:r w:rsidR="009B07D7">
        <w:rPr>
          <w:rFonts w:ascii="Times New Roman" w:hAnsi="Times New Roman" w:cs="Times New Roman"/>
          <w:sz w:val="24"/>
          <w:szCs w:val="24"/>
        </w:rPr>
        <w:t>&lt;0.</w:t>
      </w:r>
      <w:r w:rsidR="00822F02">
        <w:rPr>
          <w:rFonts w:ascii="Times New Roman" w:hAnsi="Times New Roman" w:cs="Times New Roman"/>
          <w:sz w:val="24"/>
          <w:szCs w:val="24"/>
        </w:rPr>
        <w:t>01).</w:t>
      </w:r>
      <w:r w:rsidR="00BE13E7">
        <w:rPr>
          <w:rFonts w:ascii="Times New Roman" w:hAnsi="Times New Roman" w:cs="Times New Roman"/>
          <w:sz w:val="24"/>
          <w:szCs w:val="24"/>
        </w:rPr>
        <w:t xml:space="preserve"> </w:t>
      </w:r>
      <w:r w:rsidR="00E41AB0">
        <w:rPr>
          <w:rFonts w:ascii="Times New Roman" w:hAnsi="Times New Roman" w:cs="Times New Roman"/>
          <w:sz w:val="24"/>
          <w:szCs w:val="24"/>
        </w:rPr>
        <w:t xml:space="preserve">Comparing the coefficient estimates for </w:t>
      </w:r>
      <w:r w:rsidR="00E41AB0" w:rsidRPr="00E41AB0">
        <w:rPr>
          <w:rFonts w:ascii="Times New Roman" w:hAnsi="Times New Roman" w:cs="Times New Roman"/>
          <w:i/>
          <w:sz w:val="24"/>
          <w:szCs w:val="24"/>
        </w:rPr>
        <w:t>Rounds</w:t>
      </w:r>
      <w:r w:rsidR="00E41AB0">
        <w:rPr>
          <w:rFonts w:ascii="Times New Roman" w:hAnsi="Times New Roman" w:cs="Times New Roman"/>
          <w:sz w:val="24"/>
          <w:szCs w:val="24"/>
        </w:rPr>
        <w:t xml:space="preserve"> and </w:t>
      </w:r>
      <w:r w:rsidR="00E41AB0" w:rsidRPr="00E41AB0">
        <w:rPr>
          <w:rFonts w:ascii="Times New Roman" w:hAnsi="Times New Roman" w:cs="Times New Roman"/>
          <w:i/>
          <w:sz w:val="24"/>
          <w:szCs w:val="24"/>
        </w:rPr>
        <w:t>Rounds²</w:t>
      </w:r>
      <w:r w:rsidR="00E41AB0">
        <w:rPr>
          <w:rFonts w:ascii="Times New Roman" w:hAnsi="Times New Roman" w:cs="Times New Roman"/>
          <w:sz w:val="24"/>
          <w:szCs w:val="24"/>
        </w:rPr>
        <w:t xml:space="preserve"> in the termination model with the reverse-signed coefficient estimates for the same variables in the success model tests for deviation of the termination decision from the distribution of successful outcomes</w:t>
      </w:r>
      <w:r w:rsidR="00701103">
        <w:rPr>
          <w:rFonts w:ascii="Times New Roman" w:hAnsi="Times New Roman" w:cs="Times New Roman"/>
          <w:sz w:val="24"/>
          <w:szCs w:val="24"/>
        </w:rPr>
        <w:t xml:space="preserve"> (Guler, 2007)</w:t>
      </w:r>
      <w:r w:rsidR="00E41AB0">
        <w:rPr>
          <w:rFonts w:ascii="Times New Roman" w:hAnsi="Times New Roman" w:cs="Times New Roman"/>
          <w:sz w:val="24"/>
          <w:szCs w:val="24"/>
        </w:rPr>
        <w:t>.</w:t>
      </w:r>
      <w:r w:rsidR="00701103">
        <w:rPr>
          <w:rFonts w:ascii="Times New Roman" w:hAnsi="Times New Roman" w:cs="Times New Roman"/>
          <w:sz w:val="24"/>
          <w:szCs w:val="24"/>
        </w:rPr>
        <w:t xml:space="preserve"> </w:t>
      </w:r>
      <w:r w:rsidR="00710BBB" w:rsidRPr="00977C77">
        <w:rPr>
          <w:rFonts w:ascii="Times New Roman" w:hAnsi="Times New Roman" w:cs="Times New Roman"/>
          <w:sz w:val="24"/>
          <w:szCs w:val="24"/>
        </w:rPr>
        <w:t>Wald tests show that the estimates are significantly different for</w:t>
      </w:r>
      <w:r w:rsidR="001835BC" w:rsidRPr="00977C77">
        <w:rPr>
          <w:rFonts w:ascii="Times New Roman" w:hAnsi="Times New Roman" w:cs="Times New Roman"/>
          <w:sz w:val="24"/>
          <w:szCs w:val="24"/>
        </w:rPr>
        <w:t xml:space="preserve"> both</w:t>
      </w:r>
      <w:r w:rsidR="00710BBB" w:rsidRPr="00977C77">
        <w:rPr>
          <w:rFonts w:ascii="Times New Roman" w:hAnsi="Times New Roman" w:cs="Times New Roman"/>
          <w:sz w:val="24"/>
          <w:szCs w:val="24"/>
        </w:rPr>
        <w:t xml:space="preserve"> </w:t>
      </w:r>
      <w:r w:rsidR="00710BBB" w:rsidRPr="00977C77">
        <w:rPr>
          <w:rFonts w:ascii="Times New Roman" w:hAnsi="Times New Roman" w:cs="Times New Roman"/>
          <w:i/>
          <w:sz w:val="24"/>
          <w:szCs w:val="24"/>
        </w:rPr>
        <w:t>Rounds</w:t>
      </w:r>
      <w:r w:rsidR="00710BBB" w:rsidRPr="00977C77">
        <w:rPr>
          <w:rFonts w:ascii="Times New Roman" w:hAnsi="Times New Roman" w:cs="Times New Roman"/>
          <w:sz w:val="24"/>
          <w:szCs w:val="24"/>
        </w:rPr>
        <w:t xml:space="preserve"> and </w:t>
      </w:r>
      <w:r w:rsidR="00710BBB" w:rsidRPr="00977C77">
        <w:rPr>
          <w:rFonts w:ascii="Times New Roman" w:hAnsi="Times New Roman" w:cs="Times New Roman"/>
          <w:i/>
          <w:sz w:val="24"/>
          <w:szCs w:val="24"/>
        </w:rPr>
        <w:t>Rounds²</w:t>
      </w:r>
      <w:r w:rsidR="00D5680B">
        <w:rPr>
          <w:rFonts w:ascii="Times New Roman" w:hAnsi="Times New Roman" w:cs="Times New Roman"/>
          <w:i/>
          <w:sz w:val="24"/>
          <w:szCs w:val="24"/>
        </w:rPr>
        <w:t xml:space="preserve"> </w:t>
      </w:r>
      <w:r w:rsidR="00D5680B" w:rsidRPr="00DD4DDC">
        <w:rPr>
          <w:rFonts w:ascii="Times New Roman" w:hAnsi="Times New Roman" w:cs="Times New Roman"/>
          <w:sz w:val="24"/>
          <w:szCs w:val="24"/>
        </w:rPr>
        <w:t>(p&lt;0.01)</w:t>
      </w:r>
      <w:r w:rsidR="00710BBB" w:rsidRPr="00D5680B">
        <w:rPr>
          <w:rFonts w:ascii="Times New Roman" w:hAnsi="Times New Roman" w:cs="Times New Roman"/>
          <w:sz w:val="24"/>
          <w:szCs w:val="24"/>
        </w:rPr>
        <w:t>.</w:t>
      </w:r>
      <w:r w:rsidR="00710BBB">
        <w:rPr>
          <w:rFonts w:ascii="Times New Roman" w:hAnsi="Times New Roman" w:cs="Times New Roman"/>
          <w:sz w:val="24"/>
          <w:szCs w:val="24"/>
        </w:rPr>
        <w:t xml:space="preserve"> Taken together, </w:t>
      </w:r>
      <w:r w:rsidR="0055079C">
        <w:rPr>
          <w:rFonts w:ascii="Times New Roman" w:hAnsi="Times New Roman" w:cs="Times New Roman"/>
          <w:sz w:val="24"/>
          <w:szCs w:val="24"/>
        </w:rPr>
        <w:t xml:space="preserve">our results are consistent with Guler (2007) and suggest that VC firms in our European sample escalate their commitment to a failing course of action, as the likelihood of a VC firm terminating an investment declines as it invests in more rounds, even though the probability of success also decreases over rounds. </w:t>
      </w:r>
    </w:p>
    <w:p w14:paraId="61030D72" w14:textId="77777777" w:rsidR="00D10AAB" w:rsidRDefault="00D10AAB" w:rsidP="00645DF2">
      <w:pPr>
        <w:keepNext/>
        <w:keepLines/>
        <w:autoSpaceDE w:val="0"/>
        <w:autoSpaceDN w:val="0"/>
        <w:adjustRightInd w:val="0"/>
        <w:spacing w:after="0" w:line="240" w:lineRule="auto"/>
        <w:ind w:firstLine="431"/>
        <w:jc w:val="center"/>
        <w:rPr>
          <w:rFonts w:ascii="Melior" w:hAnsi="Melior" w:cs="Melior"/>
          <w:sz w:val="18"/>
          <w:szCs w:val="18"/>
        </w:rPr>
      </w:pPr>
      <w:r>
        <w:rPr>
          <w:rFonts w:ascii="Melior" w:hAnsi="Melior" w:cs="Melior"/>
          <w:sz w:val="18"/>
          <w:szCs w:val="18"/>
        </w:rPr>
        <w:t>-----------------------------------------</w:t>
      </w:r>
    </w:p>
    <w:p w14:paraId="4D27CA1F" w14:textId="77777777" w:rsidR="00D10AAB" w:rsidRPr="00FC761C" w:rsidRDefault="00D10AAB" w:rsidP="00645DF2">
      <w:pPr>
        <w:keepNext/>
        <w:keepLines/>
        <w:autoSpaceDE w:val="0"/>
        <w:autoSpaceDN w:val="0"/>
        <w:adjustRightInd w:val="0"/>
        <w:spacing w:after="0" w:line="240" w:lineRule="auto"/>
        <w:ind w:firstLine="431"/>
        <w:jc w:val="center"/>
        <w:rPr>
          <w:rFonts w:ascii="Times New Roman" w:hAnsi="Times New Roman" w:cs="Times New Roman"/>
          <w:sz w:val="24"/>
          <w:szCs w:val="24"/>
        </w:rPr>
      </w:pPr>
      <w:r w:rsidRPr="00FC761C">
        <w:rPr>
          <w:rFonts w:ascii="Times New Roman" w:hAnsi="Times New Roman" w:cs="Times New Roman"/>
          <w:sz w:val="24"/>
          <w:szCs w:val="24"/>
        </w:rPr>
        <w:t xml:space="preserve">Insert Table </w:t>
      </w:r>
      <w:r w:rsidR="0075147D">
        <w:rPr>
          <w:rFonts w:ascii="Times New Roman" w:hAnsi="Times New Roman" w:cs="Times New Roman"/>
          <w:sz w:val="24"/>
          <w:szCs w:val="24"/>
        </w:rPr>
        <w:t>5</w:t>
      </w:r>
      <w:r w:rsidRPr="00FC761C">
        <w:rPr>
          <w:rFonts w:ascii="Times New Roman" w:hAnsi="Times New Roman" w:cs="Times New Roman"/>
          <w:sz w:val="24"/>
          <w:szCs w:val="24"/>
        </w:rPr>
        <w:t xml:space="preserve"> about here</w:t>
      </w:r>
    </w:p>
    <w:p w14:paraId="0A81DCD5" w14:textId="77777777" w:rsidR="00D10AAB" w:rsidRPr="008D4C11" w:rsidRDefault="00D10AAB" w:rsidP="00645DF2">
      <w:pPr>
        <w:keepNext/>
        <w:keepLines/>
        <w:autoSpaceDE w:val="0"/>
        <w:autoSpaceDN w:val="0"/>
        <w:adjustRightInd w:val="0"/>
        <w:spacing w:after="0" w:line="480" w:lineRule="auto"/>
        <w:ind w:firstLine="431"/>
        <w:contextualSpacing/>
        <w:jc w:val="center"/>
        <w:rPr>
          <w:rFonts w:ascii="Times New Roman" w:hAnsi="Times New Roman" w:cs="Times New Roman"/>
          <w:sz w:val="24"/>
          <w:szCs w:val="24"/>
          <w:u w:val="dotted"/>
        </w:rPr>
      </w:pPr>
      <w:r>
        <w:rPr>
          <w:rFonts w:ascii="Melior" w:hAnsi="Melior" w:cs="Melior"/>
          <w:sz w:val="18"/>
          <w:szCs w:val="18"/>
        </w:rPr>
        <w:t>-----------------------------------------</w:t>
      </w:r>
    </w:p>
    <w:p w14:paraId="33019B7D" w14:textId="77777777" w:rsidR="00D10AAB" w:rsidRPr="005F1FD6" w:rsidRDefault="00D10AAB" w:rsidP="00D10AAB">
      <w:pPr>
        <w:spacing w:after="0" w:line="480" w:lineRule="auto"/>
        <w:ind w:firstLine="432"/>
        <w:jc w:val="both"/>
        <w:rPr>
          <w:rFonts w:ascii="Times New Roman" w:hAnsi="Times New Roman" w:cs="Times New Roman"/>
          <w:sz w:val="24"/>
          <w:szCs w:val="24"/>
        </w:rPr>
      </w:pPr>
      <w:r w:rsidRPr="005F1FD6">
        <w:rPr>
          <w:rFonts w:ascii="Times New Roman" w:hAnsi="Times New Roman" w:cs="Times New Roman"/>
          <w:sz w:val="24"/>
          <w:szCs w:val="24"/>
        </w:rPr>
        <w:t xml:space="preserve">Control variables are largely in line with prior findings. A portfolio company’s number of </w:t>
      </w:r>
      <w:r w:rsidRPr="005F1FD6">
        <w:rPr>
          <w:rFonts w:ascii="Times New Roman" w:hAnsi="Times New Roman" w:cs="Times New Roman"/>
          <w:i/>
          <w:sz w:val="24"/>
          <w:szCs w:val="24"/>
        </w:rPr>
        <w:t>patents</w:t>
      </w:r>
      <w:r w:rsidRPr="005F1FD6">
        <w:rPr>
          <w:rFonts w:ascii="Times New Roman" w:hAnsi="Times New Roman" w:cs="Times New Roman"/>
          <w:sz w:val="24"/>
          <w:szCs w:val="24"/>
        </w:rPr>
        <w:t xml:space="preserve">, </w:t>
      </w:r>
      <w:r w:rsidRPr="005F1FD6">
        <w:rPr>
          <w:rFonts w:ascii="Times New Roman" w:hAnsi="Times New Roman" w:cs="Times New Roman"/>
          <w:i/>
          <w:sz w:val="24"/>
          <w:szCs w:val="24"/>
        </w:rPr>
        <w:t>VC firm country experience</w:t>
      </w:r>
      <w:r w:rsidRPr="005F1FD6">
        <w:rPr>
          <w:rFonts w:ascii="Times New Roman" w:hAnsi="Times New Roman" w:cs="Times New Roman"/>
          <w:sz w:val="24"/>
          <w:szCs w:val="24"/>
        </w:rPr>
        <w:t xml:space="preserve"> and </w:t>
      </w:r>
      <w:r w:rsidRPr="005F1FD6">
        <w:rPr>
          <w:rFonts w:ascii="Times New Roman" w:hAnsi="Times New Roman" w:cs="Times New Roman"/>
          <w:i/>
          <w:sz w:val="24"/>
          <w:szCs w:val="24"/>
        </w:rPr>
        <w:t>IPO market conditions</w:t>
      </w:r>
      <w:r w:rsidRPr="005F1FD6">
        <w:rPr>
          <w:rFonts w:ascii="Times New Roman" w:hAnsi="Times New Roman" w:cs="Times New Roman"/>
          <w:sz w:val="24"/>
          <w:szCs w:val="24"/>
        </w:rPr>
        <w:t xml:space="preserve"> have a significant positive impact on the probability of both a successful and </w:t>
      </w:r>
      <w:r w:rsidR="00946D1B">
        <w:rPr>
          <w:rFonts w:ascii="Times New Roman" w:hAnsi="Times New Roman" w:cs="Times New Roman"/>
          <w:sz w:val="24"/>
          <w:szCs w:val="24"/>
        </w:rPr>
        <w:t>a termination</w:t>
      </w:r>
      <w:r w:rsidRPr="005F1FD6">
        <w:rPr>
          <w:rFonts w:ascii="Times New Roman" w:hAnsi="Times New Roman" w:cs="Times New Roman"/>
          <w:sz w:val="24"/>
          <w:szCs w:val="24"/>
        </w:rPr>
        <w:t xml:space="preserve">. Portfolio companies that generate higher </w:t>
      </w:r>
      <w:r w:rsidRPr="005F1FD6">
        <w:rPr>
          <w:rFonts w:ascii="Times New Roman" w:hAnsi="Times New Roman" w:cs="Times New Roman"/>
          <w:i/>
          <w:sz w:val="24"/>
          <w:szCs w:val="24"/>
        </w:rPr>
        <w:t>sales</w:t>
      </w:r>
      <w:r w:rsidRPr="005F1FD6">
        <w:rPr>
          <w:rFonts w:ascii="Times New Roman" w:hAnsi="Times New Roman" w:cs="Times New Roman"/>
          <w:sz w:val="24"/>
          <w:szCs w:val="24"/>
        </w:rPr>
        <w:t xml:space="preserve">, that are located further away from the VC firm (consistent with Dai et al., 2012) and entering a portfolio company in a later round are associated with a higher probability to have a successful exit, although these variables do not impact the probability to </w:t>
      </w:r>
      <w:r w:rsidR="00946D1B">
        <w:rPr>
          <w:rFonts w:ascii="Times New Roman" w:hAnsi="Times New Roman" w:cs="Times New Roman"/>
          <w:sz w:val="24"/>
          <w:szCs w:val="24"/>
        </w:rPr>
        <w:t>be terminated</w:t>
      </w:r>
      <w:r w:rsidRPr="005F1FD6">
        <w:rPr>
          <w:rFonts w:ascii="Times New Roman" w:hAnsi="Times New Roman" w:cs="Times New Roman"/>
          <w:sz w:val="24"/>
          <w:szCs w:val="24"/>
        </w:rPr>
        <w:t xml:space="preserve">. While </w:t>
      </w:r>
      <w:r w:rsidRPr="005F1FD6">
        <w:rPr>
          <w:rFonts w:ascii="Times New Roman" w:hAnsi="Times New Roman" w:cs="Times New Roman"/>
          <w:i/>
          <w:sz w:val="24"/>
          <w:szCs w:val="24"/>
        </w:rPr>
        <w:t>VC firm age</w:t>
      </w:r>
      <w:r w:rsidRPr="005F1FD6">
        <w:rPr>
          <w:rFonts w:ascii="Times New Roman" w:hAnsi="Times New Roman" w:cs="Times New Roman"/>
          <w:sz w:val="24"/>
          <w:szCs w:val="24"/>
        </w:rPr>
        <w:t xml:space="preserve"> has no impact on the hazard </w:t>
      </w:r>
      <w:r w:rsidR="00A25C9E">
        <w:rPr>
          <w:rFonts w:ascii="Times New Roman" w:hAnsi="Times New Roman" w:cs="Times New Roman"/>
          <w:sz w:val="24"/>
          <w:szCs w:val="24"/>
        </w:rPr>
        <w:t>of</w:t>
      </w:r>
      <w:r w:rsidRPr="005F1FD6">
        <w:rPr>
          <w:rFonts w:ascii="Times New Roman" w:hAnsi="Times New Roman" w:cs="Times New Roman"/>
          <w:sz w:val="24"/>
          <w:szCs w:val="24"/>
        </w:rPr>
        <w:t xml:space="preserve"> a successful exit, older VC firms have a higher probability to </w:t>
      </w:r>
      <w:r w:rsidR="00946D1B">
        <w:rPr>
          <w:rFonts w:ascii="Times New Roman" w:hAnsi="Times New Roman" w:cs="Times New Roman"/>
          <w:sz w:val="24"/>
          <w:szCs w:val="24"/>
        </w:rPr>
        <w:t>terminate</w:t>
      </w:r>
      <w:r w:rsidRPr="005F1FD6">
        <w:rPr>
          <w:rFonts w:ascii="Times New Roman" w:hAnsi="Times New Roman" w:cs="Times New Roman"/>
          <w:sz w:val="24"/>
          <w:szCs w:val="24"/>
        </w:rPr>
        <w:t xml:space="preserve">. </w:t>
      </w:r>
      <w:r w:rsidR="00BE62FF">
        <w:rPr>
          <w:rFonts w:ascii="Times New Roman" w:hAnsi="Times New Roman" w:cs="Times New Roman"/>
          <w:sz w:val="24"/>
          <w:szCs w:val="24"/>
        </w:rPr>
        <w:t>L</w:t>
      </w:r>
      <w:r w:rsidRPr="005F1FD6">
        <w:rPr>
          <w:rFonts w:ascii="Times New Roman" w:hAnsi="Times New Roman" w:cs="Times New Roman"/>
          <w:sz w:val="24"/>
          <w:szCs w:val="24"/>
        </w:rPr>
        <w:t xml:space="preserve">arger </w:t>
      </w:r>
      <w:r w:rsidRPr="00F5041E">
        <w:rPr>
          <w:rFonts w:ascii="Times New Roman" w:hAnsi="Times New Roman" w:cs="Times New Roman"/>
          <w:i/>
          <w:sz w:val="24"/>
          <w:szCs w:val="24"/>
        </w:rPr>
        <w:t>syndicates</w:t>
      </w:r>
      <w:r w:rsidRPr="005F1FD6">
        <w:rPr>
          <w:rFonts w:ascii="Times New Roman" w:hAnsi="Times New Roman" w:cs="Times New Roman"/>
          <w:sz w:val="24"/>
          <w:szCs w:val="24"/>
        </w:rPr>
        <w:t xml:space="preserve"> have lower probability of </w:t>
      </w:r>
      <w:r w:rsidR="00946D1B">
        <w:rPr>
          <w:rFonts w:ascii="Times New Roman" w:hAnsi="Times New Roman" w:cs="Times New Roman"/>
          <w:sz w:val="24"/>
          <w:szCs w:val="24"/>
        </w:rPr>
        <w:t>termination</w:t>
      </w:r>
      <w:r w:rsidRPr="005F1FD6">
        <w:rPr>
          <w:rFonts w:ascii="Times New Roman" w:hAnsi="Times New Roman" w:cs="Times New Roman"/>
          <w:sz w:val="24"/>
          <w:szCs w:val="24"/>
        </w:rPr>
        <w:t xml:space="preserve">, </w:t>
      </w:r>
      <w:r w:rsidR="00BE62FF">
        <w:rPr>
          <w:rFonts w:ascii="Times New Roman" w:hAnsi="Times New Roman" w:cs="Times New Roman"/>
          <w:sz w:val="24"/>
          <w:szCs w:val="24"/>
        </w:rPr>
        <w:t xml:space="preserve">but </w:t>
      </w:r>
      <w:r w:rsidRPr="005F1FD6">
        <w:rPr>
          <w:rFonts w:ascii="Times New Roman" w:hAnsi="Times New Roman" w:cs="Times New Roman"/>
          <w:i/>
          <w:sz w:val="24"/>
          <w:szCs w:val="24"/>
        </w:rPr>
        <w:t>mixed syndicates</w:t>
      </w:r>
      <w:r w:rsidRPr="005F1FD6">
        <w:rPr>
          <w:rFonts w:ascii="Times New Roman" w:hAnsi="Times New Roman" w:cs="Times New Roman"/>
          <w:sz w:val="24"/>
          <w:szCs w:val="24"/>
        </w:rPr>
        <w:t xml:space="preserve"> have a </w:t>
      </w:r>
      <w:r w:rsidRPr="005F1FD6">
        <w:rPr>
          <w:rFonts w:ascii="Times New Roman" w:hAnsi="Times New Roman" w:cs="Times New Roman"/>
          <w:sz w:val="24"/>
          <w:szCs w:val="24"/>
        </w:rPr>
        <w:lastRenderedPageBreak/>
        <w:t xml:space="preserve">higher probability of </w:t>
      </w:r>
      <w:r w:rsidR="00946D1B">
        <w:rPr>
          <w:rFonts w:ascii="Times New Roman" w:hAnsi="Times New Roman" w:cs="Times New Roman"/>
          <w:sz w:val="24"/>
          <w:szCs w:val="24"/>
        </w:rPr>
        <w:t>termination</w:t>
      </w:r>
      <w:r w:rsidRPr="005F1FD6">
        <w:rPr>
          <w:rFonts w:ascii="Times New Roman" w:hAnsi="Times New Roman" w:cs="Times New Roman"/>
          <w:sz w:val="24"/>
          <w:szCs w:val="24"/>
        </w:rPr>
        <w:t xml:space="preserve">. Finally, </w:t>
      </w:r>
      <w:r w:rsidRPr="005F1FD6">
        <w:rPr>
          <w:rFonts w:ascii="Times New Roman" w:hAnsi="Times New Roman" w:cs="Times New Roman"/>
          <w:i/>
          <w:sz w:val="24"/>
          <w:szCs w:val="24"/>
        </w:rPr>
        <w:t>first investment year</w:t>
      </w:r>
      <w:r w:rsidRPr="005F1FD6">
        <w:rPr>
          <w:rFonts w:ascii="Times New Roman" w:hAnsi="Times New Roman" w:cs="Times New Roman"/>
          <w:sz w:val="24"/>
          <w:szCs w:val="24"/>
        </w:rPr>
        <w:t xml:space="preserve">, </w:t>
      </w:r>
      <w:r w:rsidRPr="005F1FD6">
        <w:rPr>
          <w:rFonts w:ascii="Times New Roman" w:hAnsi="Times New Roman" w:cs="Times New Roman"/>
          <w:i/>
          <w:sz w:val="24"/>
          <w:szCs w:val="24"/>
        </w:rPr>
        <w:t>industry</w:t>
      </w:r>
      <w:r w:rsidRPr="005F1FD6">
        <w:rPr>
          <w:rFonts w:ascii="Times New Roman" w:hAnsi="Times New Roman" w:cs="Times New Roman"/>
          <w:sz w:val="24"/>
          <w:szCs w:val="24"/>
        </w:rPr>
        <w:t xml:space="preserve"> and portfolio company </w:t>
      </w:r>
      <w:r w:rsidRPr="005F1FD6">
        <w:rPr>
          <w:rFonts w:ascii="Times New Roman" w:hAnsi="Times New Roman" w:cs="Times New Roman"/>
          <w:i/>
          <w:sz w:val="24"/>
          <w:szCs w:val="24"/>
        </w:rPr>
        <w:t>country</w:t>
      </w:r>
      <w:r w:rsidRPr="005F1FD6">
        <w:rPr>
          <w:rFonts w:ascii="Times New Roman" w:hAnsi="Times New Roman" w:cs="Times New Roman"/>
          <w:sz w:val="24"/>
          <w:szCs w:val="24"/>
        </w:rPr>
        <w:t xml:space="preserve"> </w:t>
      </w:r>
      <w:r w:rsidRPr="005F1FD6">
        <w:rPr>
          <w:rFonts w:ascii="Times New Roman" w:hAnsi="Times New Roman" w:cs="Times New Roman"/>
          <w:i/>
          <w:sz w:val="24"/>
          <w:szCs w:val="24"/>
        </w:rPr>
        <w:t>dummies</w:t>
      </w:r>
      <w:r w:rsidRPr="005F1FD6">
        <w:rPr>
          <w:rFonts w:ascii="Times New Roman" w:hAnsi="Times New Roman" w:cs="Times New Roman"/>
          <w:sz w:val="24"/>
          <w:szCs w:val="24"/>
        </w:rPr>
        <w:t xml:space="preserve"> are significant in all models. Other control variables, including the </w:t>
      </w:r>
      <w:r w:rsidRPr="005F1FD6">
        <w:rPr>
          <w:rFonts w:ascii="Times New Roman" w:hAnsi="Times New Roman" w:cs="Times New Roman"/>
          <w:i/>
          <w:sz w:val="24"/>
          <w:szCs w:val="24"/>
        </w:rPr>
        <w:t>age</w:t>
      </w:r>
      <w:r w:rsidRPr="005F1FD6">
        <w:rPr>
          <w:rFonts w:ascii="Times New Roman" w:hAnsi="Times New Roman" w:cs="Times New Roman"/>
          <w:sz w:val="24"/>
          <w:szCs w:val="24"/>
        </w:rPr>
        <w:t xml:space="preserve"> of the portfolio company, a VC firm’s </w:t>
      </w:r>
      <w:r w:rsidRPr="005F1FD6">
        <w:rPr>
          <w:rFonts w:ascii="Times New Roman" w:hAnsi="Times New Roman" w:cs="Times New Roman"/>
          <w:i/>
          <w:sz w:val="24"/>
          <w:szCs w:val="24"/>
        </w:rPr>
        <w:t>IPO track record</w:t>
      </w:r>
      <w:r w:rsidRPr="005F1FD6">
        <w:rPr>
          <w:rFonts w:ascii="Times New Roman" w:hAnsi="Times New Roman" w:cs="Times New Roman"/>
          <w:sz w:val="24"/>
          <w:szCs w:val="24"/>
        </w:rPr>
        <w:t xml:space="preserve">, investing as the </w:t>
      </w:r>
      <w:r w:rsidRPr="005F1FD6">
        <w:rPr>
          <w:rFonts w:ascii="Times New Roman" w:hAnsi="Times New Roman" w:cs="Times New Roman"/>
          <w:i/>
          <w:sz w:val="24"/>
          <w:szCs w:val="24"/>
        </w:rPr>
        <w:t>lead investor</w:t>
      </w:r>
      <w:r w:rsidRPr="005F1FD6">
        <w:rPr>
          <w:rFonts w:ascii="Times New Roman" w:hAnsi="Times New Roman" w:cs="Times New Roman"/>
          <w:sz w:val="24"/>
          <w:szCs w:val="24"/>
        </w:rPr>
        <w:t xml:space="preserve">, the </w:t>
      </w:r>
      <w:r w:rsidRPr="005F1FD6">
        <w:rPr>
          <w:rFonts w:ascii="Times New Roman" w:hAnsi="Times New Roman" w:cs="Times New Roman"/>
          <w:i/>
          <w:sz w:val="24"/>
          <w:szCs w:val="24"/>
        </w:rPr>
        <w:t>cumulative amount invested</w:t>
      </w:r>
      <w:r w:rsidRPr="005F1FD6">
        <w:rPr>
          <w:rFonts w:ascii="Times New Roman" w:hAnsi="Times New Roman" w:cs="Times New Roman"/>
          <w:sz w:val="24"/>
          <w:szCs w:val="24"/>
        </w:rPr>
        <w:t xml:space="preserve"> and the </w:t>
      </w:r>
      <w:r w:rsidRPr="005F1FD6">
        <w:rPr>
          <w:rFonts w:ascii="Times New Roman" w:hAnsi="Times New Roman" w:cs="Times New Roman"/>
          <w:i/>
          <w:sz w:val="24"/>
          <w:szCs w:val="24"/>
        </w:rPr>
        <w:t>entry stage</w:t>
      </w:r>
      <w:r w:rsidRPr="005F1FD6">
        <w:rPr>
          <w:rFonts w:ascii="Times New Roman" w:hAnsi="Times New Roman" w:cs="Times New Roman"/>
          <w:sz w:val="24"/>
          <w:szCs w:val="24"/>
        </w:rPr>
        <w:t xml:space="preserve"> have neither a significant impact on the probability to have a successful exit, nor to </w:t>
      </w:r>
      <w:r w:rsidR="00946D1B">
        <w:rPr>
          <w:rFonts w:ascii="Times New Roman" w:hAnsi="Times New Roman" w:cs="Times New Roman"/>
          <w:sz w:val="24"/>
          <w:szCs w:val="24"/>
        </w:rPr>
        <w:t>terminate</w:t>
      </w:r>
      <w:r w:rsidRPr="005F1FD6">
        <w:rPr>
          <w:rFonts w:ascii="Times New Roman" w:hAnsi="Times New Roman" w:cs="Times New Roman"/>
          <w:sz w:val="24"/>
          <w:szCs w:val="24"/>
        </w:rPr>
        <w:t xml:space="preserve">. </w:t>
      </w:r>
    </w:p>
    <w:p w14:paraId="5FB6E885" w14:textId="72B5745E" w:rsidR="000A6901" w:rsidRDefault="00A25C9E" w:rsidP="00BC7938">
      <w:pPr>
        <w:spacing w:after="0" w:line="480" w:lineRule="auto"/>
        <w:ind w:firstLine="432"/>
        <w:jc w:val="both"/>
        <w:rPr>
          <w:rFonts w:ascii="Times New Roman" w:hAnsi="Times New Roman" w:cs="Times New Roman"/>
          <w:sz w:val="24"/>
          <w:szCs w:val="24"/>
        </w:rPr>
      </w:pPr>
      <w:r>
        <w:rPr>
          <w:rFonts w:ascii="Times New Roman" w:hAnsi="Times New Roman" w:cs="Times New Roman"/>
          <w:sz w:val="24"/>
          <w:szCs w:val="24"/>
        </w:rPr>
        <w:t>T</w:t>
      </w:r>
      <w:r w:rsidR="00E8123B">
        <w:rPr>
          <w:rFonts w:ascii="Times New Roman" w:hAnsi="Times New Roman" w:cs="Times New Roman"/>
          <w:sz w:val="24"/>
          <w:szCs w:val="24"/>
        </w:rPr>
        <w:t xml:space="preserve">o test the hypotheses on the impact of VC origin on the probability to escalate commitment, we conducted several </w:t>
      </w:r>
      <w:r w:rsidR="00624F47">
        <w:rPr>
          <w:rFonts w:ascii="Times New Roman" w:hAnsi="Times New Roman" w:cs="Times New Roman"/>
          <w:sz w:val="24"/>
          <w:szCs w:val="24"/>
        </w:rPr>
        <w:t>tests</w:t>
      </w:r>
      <w:r w:rsidR="00E8123B">
        <w:rPr>
          <w:rFonts w:ascii="Times New Roman" w:hAnsi="Times New Roman" w:cs="Times New Roman"/>
          <w:sz w:val="24"/>
          <w:szCs w:val="24"/>
        </w:rPr>
        <w:t xml:space="preserve">. </w:t>
      </w:r>
      <w:r w:rsidR="000A6901">
        <w:rPr>
          <w:rFonts w:ascii="Times New Roman" w:hAnsi="Times New Roman" w:cs="Times New Roman"/>
          <w:sz w:val="24"/>
          <w:szCs w:val="24"/>
        </w:rPr>
        <w:t>At a descriptive</w:t>
      </w:r>
      <w:r w:rsidR="00BC7938">
        <w:rPr>
          <w:rFonts w:ascii="Times New Roman" w:hAnsi="Times New Roman" w:cs="Times New Roman"/>
          <w:sz w:val="24"/>
          <w:szCs w:val="24"/>
        </w:rPr>
        <w:t xml:space="preserve"> level, we checked how many VC firms terminated their investments while other VC firms continued to invest in the same portfolio company, while this ultimately led to an unsuccessful outcome. The behavior of the latter can be a sign of escalation of commitment. </w:t>
      </w:r>
      <w:r w:rsidR="00FC48A9">
        <w:rPr>
          <w:rFonts w:ascii="Times New Roman" w:hAnsi="Times New Roman" w:cs="Times New Roman"/>
          <w:sz w:val="24"/>
          <w:szCs w:val="24"/>
        </w:rPr>
        <w:t xml:space="preserve">Both domestic VC investors and cross-border VC investors continue to invest in one in four syndicates where another syndicate member </w:t>
      </w:r>
      <w:r w:rsidR="008D32F9">
        <w:rPr>
          <w:rFonts w:ascii="Times New Roman" w:hAnsi="Times New Roman" w:cs="Times New Roman"/>
          <w:sz w:val="24"/>
          <w:szCs w:val="24"/>
        </w:rPr>
        <w:t xml:space="preserve">terminates. </w:t>
      </w:r>
      <w:r w:rsidR="00D02919" w:rsidRPr="00DD398A">
        <w:rPr>
          <w:rFonts w:ascii="Times New Roman" w:hAnsi="Times New Roman" w:cs="Times New Roman"/>
          <w:sz w:val="24"/>
          <w:szCs w:val="24"/>
        </w:rPr>
        <w:t>W</w:t>
      </w:r>
      <w:r w:rsidR="009C5392" w:rsidRPr="00DD398A">
        <w:rPr>
          <w:rFonts w:ascii="Times New Roman" w:hAnsi="Times New Roman" w:cs="Times New Roman"/>
          <w:sz w:val="24"/>
          <w:szCs w:val="24"/>
        </w:rPr>
        <w:t>hen a domestic VC continues while another VC terminates, the investment has a 50.2% probability of resulting in an unsuccessful exit</w:t>
      </w:r>
      <w:r w:rsidR="00CE1730" w:rsidRPr="00DD398A">
        <w:rPr>
          <w:rFonts w:ascii="Times New Roman" w:hAnsi="Times New Roman" w:cs="Times New Roman"/>
          <w:sz w:val="24"/>
          <w:szCs w:val="24"/>
        </w:rPr>
        <w:t>, while t</w:t>
      </w:r>
      <w:r w:rsidR="009C5392" w:rsidRPr="00DD398A">
        <w:rPr>
          <w:rFonts w:ascii="Times New Roman" w:hAnsi="Times New Roman" w:cs="Times New Roman"/>
          <w:sz w:val="24"/>
          <w:szCs w:val="24"/>
        </w:rPr>
        <w:t>his percentage drops to 36.1% for cross-border VC firms</w:t>
      </w:r>
      <w:r w:rsidR="008D32F9" w:rsidRPr="00DD398A">
        <w:rPr>
          <w:rFonts w:ascii="Times New Roman" w:hAnsi="Times New Roman" w:cs="Times New Roman"/>
          <w:sz w:val="24"/>
          <w:szCs w:val="24"/>
        </w:rPr>
        <w:t>. Branch VC firms have a higher tendency to continue to invest when other syndicate members terminate, as they do so in one in three cases.</w:t>
      </w:r>
      <w:r w:rsidR="009C5392" w:rsidRPr="00DD398A">
        <w:rPr>
          <w:rFonts w:ascii="Times New Roman" w:hAnsi="Times New Roman" w:cs="Times New Roman"/>
          <w:sz w:val="24"/>
          <w:szCs w:val="24"/>
        </w:rPr>
        <w:t xml:space="preserve"> </w:t>
      </w:r>
      <w:r w:rsidR="008D32F9" w:rsidRPr="00DD398A">
        <w:rPr>
          <w:rFonts w:ascii="Times New Roman" w:hAnsi="Times New Roman" w:cs="Times New Roman"/>
          <w:sz w:val="24"/>
          <w:szCs w:val="24"/>
        </w:rPr>
        <w:t xml:space="preserve">However, these continued investments have only a </w:t>
      </w:r>
      <w:r w:rsidR="009C5392" w:rsidRPr="00DD398A">
        <w:rPr>
          <w:rFonts w:ascii="Times New Roman" w:hAnsi="Times New Roman" w:cs="Times New Roman"/>
          <w:sz w:val="24"/>
          <w:szCs w:val="24"/>
        </w:rPr>
        <w:t xml:space="preserve">30.0% </w:t>
      </w:r>
      <w:r w:rsidR="008D32F9" w:rsidRPr="00DD398A">
        <w:rPr>
          <w:rFonts w:ascii="Times New Roman" w:hAnsi="Times New Roman" w:cs="Times New Roman"/>
          <w:sz w:val="24"/>
          <w:szCs w:val="24"/>
        </w:rPr>
        <w:t xml:space="preserve">probability </w:t>
      </w:r>
      <w:r w:rsidR="00D02919" w:rsidRPr="00DD398A">
        <w:rPr>
          <w:rFonts w:ascii="Times New Roman" w:hAnsi="Times New Roman" w:cs="Times New Roman"/>
          <w:sz w:val="24"/>
          <w:szCs w:val="24"/>
        </w:rPr>
        <w:t>of</w:t>
      </w:r>
      <w:r w:rsidR="008D32F9" w:rsidRPr="00DD398A">
        <w:rPr>
          <w:rFonts w:ascii="Times New Roman" w:hAnsi="Times New Roman" w:cs="Times New Roman"/>
          <w:sz w:val="24"/>
          <w:szCs w:val="24"/>
        </w:rPr>
        <w:t xml:space="preserve"> end</w:t>
      </w:r>
      <w:r w:rsidR="00D02919" w:rsidRPr="00DD398A">
        <w:rPr>
          <w:rFonts w:ascii="Times New Roman" w:hAnsi="Times New Roman" w:cs="Times New Roman"/>
          <w:sz w:val="24"/>
          <w:szCs w:val="24"/>
        </w:rPr>
        <w:t>ing</w:t>
      </w:r>
      <w:r w:rsidR="008D32F9" w:rsidRPr="00DD398A">
        <w:rPr>
          <w:rFonts w:ascii="Times New Roman" w:hAnsi="Times New Roman" w:cs="Times New Roman"/>
          <w:sz w:val="24"/>
          <w:szCs w:val="24"/>
        </w:rPr>
        <w:t xml:space="preserve"> unsuccessfully</w:t>
      </w:r>
      <w:r w:rsidR="009C5392" w:rsidRPr="00DD398A">
        <w:rPr>
          <w:rFonts w:ascii="Times New Roman" w:hAnsi="Times New Roman" w:cs="Times New Roman"/>
          <w:sz w:val="24"/>
          <w:szCs w:val="24"/>
        </w:rPr>
        <w:t>.</w:t>
      </w:r>
      <w:r w:rsidR="006C5525" w:rsidRPr="007E519D">
        <w:rPr>
          <w:rFonts w:ascii="Times New Roman" w:hAnsi="Times New Roman"/>
          <w:sz w:val="24"/>
        </w:rPr>
        <w:t xml:space="preserve"> </w:t>
      </w:r>
      <w:r w:rsidR="00EC36D8">
        <w:rPr>
          <w:rFonts w:ascii="Times New Roman" w:hAnsi="Times New Roman" w:cs="Times New Roman"/>
          <w:sz w:val="24"/>
          <w:szCs w:val="24"/>
        </w:rPr>
        <w:t>This is consistent with domestic VC firms having a higher tendency to escalate their commitment to a failing course of action</w:t>
      </w:r>
      <w:r w:rsidR="00CE1730">
        <w:rPr>
          <w:rFonts w:ascii="Times New Roman" w:hAnsi="Times New Roman" w:cs="Times New Roman"/>
          <w:sz w:val="24"/>
          <w:szCs w:val="24"/>
        </w:rPr>
        <w:t xml:space="preserve"> compared to cross-border and branch VC firms</w:t>
      </w:r>
      <w:r w:rsidR="00EC36D8">
        <w:rPr>
          <w:rFonts w:ascii="Times New Roman" w:hAnsi="Times New Roman" w:cs="Times New Roman"/>
          <w:sz w:val="24"/>
          <w:szCs w:val="24"/>
        </w:rPr>
        <w:t>.</w:t>
      </w:r>
    </w:p>
    <w:p w14:paraId="0703158E" w14:textId="5C90E4FE" w:rsidR="00E8123B" w:rsidRDefault="00FA6DA2" w:rsidP="00E8123B">
      <w:pPr>
        <w:spacing w:after="0" w:line="480" w:lineRule="auto"/>
        <w:ind w:firstLine="432"/>
        <w:jc w:val="both"/>
        <w:rPr>
          <w:rFonts w:ascii="Times New Roman" w:hAnsi="Times New Roman" w:cs="Times New Roman"/>
          <w:sz w:val="24"/>
          <w:szCs w:val="24"/>
        </w:rPr>
      </w:pPr>
      <w:r>
        <w:rPr>
          <w:rFonts w:ascii="Times New Roman" w:hAnsi="Times New Roman" w:cs="Times New Roman"/>
          <w:sz w:val="24"/>
          <w:szCs w:val="24"/>
        </w:rPr>
        <w:t>Next</w:t>
      </w:r>
      <w:r w:rsidR="00E8123B">
        <w:rPr>
          <w:rFonts w:ascii="Times New Roman" w:hAnsi="Times New Roman" w:cs="Times New Roman"/>
          <w:sz w:val="24"/>
          <w:szCs w:val="24"/>
        </w:rPr>
        <w:t xml:space="preserve">, </w:t>
      </w:r>
      <w:r w:rsidR="00545C19">
        <w:rPr>
          <w:rFonts w:ascii="Times New Roman" w:hAnsi="Times New Roman" w:cs="Times New Roman"/>
          <w:sz w:val="24"/>
          <w:szCs w:val="24"/>
        </w:rPr>
        <w:t>we analyzed the propensity to escalate commitment of domestic VC firms, cross-border VC firms and branch VC firms by estimating the hazards of successful exits and of termination in the subsamples of domestic VC investments</w:t>
      </w:r>
      <w:r w:rsidR="00952F7C">
        <w:rPr>
          <w:rFonts w:ascii="Times New Roman" w:hAnsi="Times New Roman" w:cs="Times New Roman"/>
          <w:sz w:val="24"/>
          <w:szCs w:val="24"/>
        </w:rPr>
        <w:t xml:space="preserve"> (</w:t>
      </w:r>
      <w:r>
        <w:rPr>
          <w:rFonts w:ascii="Times New Roman" w:hAnsi="Times New Roman" w:cs="Times New Roman"/>
          <w:sz w:val="24"/>
          <w:szCs w:val="24"/>
        </w:rPr>
        <w:t xml:space="preserve">Table 5 - </w:t>
      </w:r>
      <w:r w:rsidR="00952F7C">
        <w:rPr>
          <w:rFonts w:ascii="Times New Roman" w:hAnsi="Times New Roman" w:cs="Times New Roman"/>
          <w:sz w:val="24"/>
          <w:szCs w:val="24"/>
        </w:rPr>
        <w:t>Models 2a and 2b)</w:t>
      </w:r>
      <w:r w:rsidR="00E936B8">
        <w:rPr>
          <w:rFonts w:ascii="Times New Roman" w:hAnsi="Times New Roman" w:cs="Times New Roman"/>
          <w:sz w:val="24"/>
          <w:szCs w:val="24"/>
        </w:rPr>
        <w:t xml:space="preserve"> and of</w:t>
      </w:r>
      <w:r w:rsidR="00545C19">
        <w:rPr>
          <w:rFonts w:ascii="Times New Roman" w:hAnsi="Times New Roman" w:cs="Times New Roman"/>
          <w:sz w:val="24"/>
          <w:szCs w:val="24"/>
        </w:rPr>
        <w:t xml:space="preserve"> cross-border VC investments </w:t>
      </w:r>
      <w:r w:rsidR="00952F7C">
        <w:rPr>
          <w:rFonts w:ascii="Times New Roman" w:hAnsi="Times New Roman" w:cs="Times New Roman"/>
          <w:sz w:val="24"/>
          <w:szCs w:val="24"/>
        </w:rPr>
        <w:t>(Models 3a and 3b)</w:t>
      </w:r>
      <w:r w:rsidR="00545C19">
        <w:rPr>
          <w:rFonts w:ascii="Times New Roman" w:hAnsi="Times New Roman" w:cs="Times New Roman"/>
          <w:sz w:val="24"/>
          <w:szCs w:val="24"/>
        </w:rPr>
        <w:t xml:space="preserve">. </w:t>
      </w:r>
      <w:r w:rsidR="00086102">
        <w:rPr>
          <w:rFonts w:ascii="Times New Roman" w:hAnsi="Times New Roman" w:cs="Times New Roman"/>
          <w:sz w:val="24"/>
          <w:szCs w:val="24"/>
        </w:rPr>
        <w:t xml:space="preserve">Due to the low number of spells in the branch VC subsample, the </w:t>
      </w:r>
      <w:r w:rsidR="006C5525">
        <w:rPr>
          <w:rFonts w:ascii="Times New Roman" w:hAnsi="Times New Roman" w:cs="Times New Roman"/>
          <w:sz w:val="24"/>
          <w:szCs w:val="24"/>
        </w:rPr>
        <w:t xml:space="preserve">branch VC </w:t>
      </w:r>
      <w:r w:rsidR="00086102">
        <w:rPr>
          <w:rFonts w:ascii="Times New Roman" w:hAnsi="Times New Roman" w:cs="Times New Roman"/>
          <w:sz w:val="24"/>
          <w:szCs w:val="24"/>
        </w:rPr>
        <w:t xml:space="preserve">regression models did not converge. Taken together, Models 2a and 2b suggest that </w:t>
      </w:r>
      <w:r w:rsidR="00086102">
        <w:rPr>
          <w:rFonts w:ascii="Times New Roman" w:hAnsi="Times New Roman" w:cs="Times New Roman"/>
          <w:sz w:val="24"/>
          <w:szCs w:val="24"/>
        </w:rPr>
        <w:lastRenderedPageBreak/>
        <w:t>domestic VC firms escalate their commitment, as both the probability of a successful exit (p</w:t>
      </w:r>
      <w:r w:rsidR="009B07D7">
        <w:rPr>
          <w:rFonts w:ascii="Times New Roman" w:hAnsi="Times New Roman" w:cs="Times New Roman"/>
          <w:sz w:val="24"/>
          <w:szCs w:val="24"/>
        </w:rPr>
        <w:t>&lt;0.</w:t>
      </w:r>
      <w:r w:rsidR="00086102">
        <w:rPr>
          <w:rFonts w:ascii="Times New Roman" w:hAnsi="Times New Roman" w:cs="Times New Roman"/>
          <w:sz w:val="24"/>
          <w:szCs w:val="24"/>
        </w:rPr>
        <w:t>1) and of termination (p</w:t>
      </w:r>
      <w:r w:rsidR="009B07D7">
        <w:rPr>
          <w:rFonts w:ascii="Times New Roman" w:hAnsi="Times New Roman" w:cs="Times New Roman"/>
          <w:sz w:val="24"/>
          <w:szCs w:val="24"/>
        </w:rPr>
        <w:t>&lt;0.</w:t>
      </w:r>
      <w:r w:rsidR="00086102">
        <w:rPr>
          <w:rFonts w:ascii="Times New Roman" w:hAnsi="Times New Roman" w:cs="Times New Roman"/>
          <w:sz w:val="24"/>
          <w:szCs w:val="24"/>
        </w:rPr>
        <w:t>01) decrease over rounds.</w:t>
      </w:r>
      <w:r w:rsidR="002F664E">
        <w:rPr>
          <w:rFonts w:ascii="Times New Roman" w:hAnsi="Times New Roman" w:cs="Times New Roman"/>
          <w:sz w:val="24"/>
          <w:szCs w:val="24"/>
        </w:rPr>
        <w:t xml:space="preserve"> The coefficient of the </w:t>
      </w:r>
      <w:r w:rsidR="002F664E" w:rsidRPr="002F664E">
        <w:rPr>
          <w:rFonts w:ascii="Times New Roman" w:hAnsi="Times New Roman" w:cs="Times New Roman"/>
          <w:i/>
          <w:sz w:val="24"/>
          <w:szCs w:val="24"/>
        </w:rPr>
        <w:t>Rounds²</w:t>
      </w:r>
      <w:r w:rsidR="00086102">
        <w:rPr>
          <w:rFonts w:ascii="Times New Roman" w:hAnsi="Times New Roman" w:cs="Times New Roman"/>
          <w:sz w:val="24"/>
          <w:szCs w:val="24"/>
        </w:rPr>
        <w:t xml:space="preserve"> </w:t>
      </w:r>
      <w:r w:rsidR="002F664E">
        <w:rPr>
          <w:rFonts w:ascii="Times New Roman" w:hAnsi="Times New Roman" w:cs="Times New Roman"/>
          <w:sz w:val="24"/>
          <w:szCs w:val="24"/>
        </w:rPr>
        <w:t>variable is only significant and positive in the termination model. In contrast,</w:t>
      </w:r>
      <w:r w:rsidR="00377640">
        <w:rPr>
          <w:rFonts w:ascii="Times New Roman" w:hAnsi="Times New Roman" w:cs="Times New Roman"/>
          <w:sz w:val="24"/>
          <w:szCs w:val="24"/>
        </w:rPr>
        <w:t xml:space="preserve"> Models 3a and 3b suggest that cross-border VC firms do not escalate their commitment. In the cross-border subsample, t</w:t>
      </w:r>
      <w:r w:rsidR="002F664E">
        <w:rPr>
          <w:rFonts w:ascii="Times New Roman" w:hAnsi="Times New Roman" w:cs="Times New Roman"/>
          <w:sz w:val="24"/>
          <w:szCs w:val="24"/>
        </w:rPr>
        <w:t xml:space="preserve">he probability of a successful exit increases over rounds, as the coefficient of the </w:t>
      </w:r>
      <w:r w:rsidR="002F664E" w:rsidRPr="007E519D">
        <w:rPr>
          <w:rFonts w:ascii="Times New Roman" w:hAnsi="Times New Roman"/>
          <w:i/>
          <w:sz w:val="24"/>
        </w:rPr>
        <w:t>Round²</w:t>
      </w:r>
      <w:r w:rsidR="002F664E">
        <w:rPr>
          <w:rFonts w:ascii="Times New Roman" w:hAnsi="Times New Roman" w:cs="Times New Roman"/>
          <w:sz w:val="24"/>
          <w:szCs w:val="24"/>
        </w:rPr>
        <w:t xml:space="preserve"> variable is positive (p</w:t>
      </w:r>
      <w:r w:rsidR="009B07D7">
        <w:rPr>
          <w:rFonts w:ascii="Times New Roman" w:hAnsi="Times New Roman" w:cs="Times New Roman"/>
          <w:sz w:val="24"/>
          <w:szCs w:val="24"/>
        </w:rPr>
        <w:t>&lt;0.</w:t>
      </w:r>
      <w:r w:rsidR="002F664E">
        <w:rPr>
          <w:rFonts w:ascii="Times New Roman" w:hAnsi="Times New Roman" w:cs="Times New Roman"/>
          <w:sz w:val="24"/>
          <w:szCs w:val="24"/>
        </w:rPr>
        <w:t xml:space="preserve">05), </w:t>
      </w:r>
      <w:r w:rsidR="00377640">
        <w:rPr>
          <w:rFonts w:ascii="Times New Roman" w:hAnsi="Times New Roman" w:cs="Times New Roman"/>
          <w:sz w:val="24"/>
          <w:szCs w:val="24"/>
        </w:rPr>
        <w:t xml:space="preserve">while neither the </w:t>
      </w:r>
      <w:r w:rsidR="00377640" w:rsidRPr="007E519D">
        <w:rPr>
          <w:rFonts w:ascii="Times New Roman" w:hAnsi="Times New Roman"/>
          <w:i/>
          <w:sz w:val="24"/>
        </w:rPr>
        <w:t>Rounds</w:t>
      </w:r>
      <w:r w:rsidR="00377640">
        <w:rPr>
          <w:rFonts w:ascii="Times New Roman" w:hAnsi="Times New Roman" w:cs="Times New Roman"/>
          <w:sz w:val="24"/>
          <w:szCs w:val="24"/>
        </w:rPr>
        <w:t xml:space="preserve"> nor the </w:t>
      </w:r>
      <w:r w:rsidR="00377640" w:rsidRPr="007E519D">
        <w:rPr>
          <w:rFonts w:ascii="Times New Roman" w:hAnsi="Times New Roman"/>
          <w:i/>
          <w:sz w:val="24"/>
        </w:rPr>
        <w:t>Rounds²</w:t>
      </w:r>
      <w:r w:rsidR="00377640">
        <w:rPr>
          <w:rFonts w:ascii="Times New Roman" w:hAnsi="Times New Roman" w:cs="Times New Roman"/>
          <w:sz w:val="24"/>
          <w:szCs w:val="24"/>
        </w:rPr>
        <w:t xml:space="preserve"> variable have significant coefficients in the termination model. </w:t>
      </w:r>
    </w:p>
    <w:p w14:paraId="1C5E96E5" w14:textId="77777777" w:rsidR="00B62095" w:rsidRDefault="00B62095" w:rsidP="00B62095">
      <w:pPr>
        <w:keepNext/>
        <w:keepLines/>
        <w:autoSpaceDE w:val="0"/>
        <w:autoSpaceDN w:val="0"/>
        <w:adjustRightInd w:val="0"/>
        <w:spacing w:after="0" w:line="240" w:lineRule="auto"/>
        <w:ind w:firstLine="431"/>
        <w:jc w:val="center"/>
        <w:rPr>
          <w:rFonts w:ascii="Melior" w:hAnsi="Melior" w:cs="Melior"/>
          <w:sz w:val="18"/>
          <w:szCs w:val="18"/>
        </w:rPr>
      </w:pPr>
      <w:r>
        <w:rPr>
          <w:rFonts w:ascii="Melior" w:hAnsi="Melior" w:cs="Melior"/>
          <w:sz w:val="18"/>
          <w:szCs w:val="18"/>
        </w:rPr>
        <w:t>-----------------------------------------</w:t>
      </w:r>
    </w:p>
    <w:p w14:paraId="73CF8C68" w14:textId="77777777" w:rsidR="00B62095" w:rsidRPr="00FC761C" w:rsidRDefault="00B62095" w:rsidP="00B62095">
      <w:pPr>
        <w:keepNext/>
        <w:keepLines/>
        <w:autoSpaceDE w:val="0"/>
        <w:autoSpaceDN w:val="0"/>
        <w:adjustRightInd w:val="0"/>
        <w:spacing w:after="0" w:line="240" w:lineRule="auto"/>
        <w:ind w:firstLine="431"/>
        <w:jc w:val="center"/>
        <w:rPr>
          <w:rFonts w:ascii="Times New Roman" w:hAnsi="Times New Roman" w:cs="Times New Roman"/>
          <w:sz w:val="24"/>
          <w:szCs w:val="24"/>
        </w:rPr>
      </w:pPr>
      <w:r w:rsidRPr="00FC761C">
        <w:rPr>
          <w:rFonts w:ascii="Times New Roman" w:hAnsi="Times New Roman" w:cs="Times New Roman"/>
          <w:sz w:val="24"/>
          <w:szCs w:val="24"/>
        </w:rPr>
        <w:t xml:space="preserve">Insert Table </w:t>
      </w:r>
      <w:r>
        <w:rPr>
          <w:rFonts w:ascii="Times New Roman" w:hAnsi="Times New Roman" w:cs="Times New Roman"/>
          <w:sz w:val="24"/>
          <w:szCs w:val="24"/>
        </w:rPr>
        <w:t>6</w:t>
      </w:r>
      <w:r w:rsidRPr="00FC761C">
        <w:rPr>
          <w:rFonts w:ascii="Times New Roman" w:hAnsi="Times New Roman" w:cs="Times New Roman"/>
          <w:sz w:val="24"/>
          <w:szCs w:val="24"/>
        </w:rPr>
        <w:t xml:space="preserve"> about here</w:t>
      </w:r>
    </w:p>
    <w:p w14:paraId="7C4A5AFA" w14:textId="77777777" w:rsidR="00B62095" w:rsidRPr="008D4C11" w:rsidRDefault="00B62095" w:rsidP="00B62095">
      <w:pPr>
        <w:keepNext/>
        <w:keepLines/>
        <w:autoSpaceDE w:val="0"/>
        <w:autoSpaceDN w:val="0"/>
        <w:adjustRightInd w:val="0"/>
        <w:spacing w:after="0" w:line="480" w:lineRule="auto"/>
        <w:ind w:firstLine="431"/>
        <w:contextualSpacing/>
        <w:jc w:val="center"/>
        <w:rPr>
          <w:rFonts w:ascii="Times New Roman" w:hAnsi="Times New Roman" w:cs="Times New Roman"/>
          <w:sz w:val="24"/>
          <w:szCs w:val="24"/>
          <w:u w:val="dotted"/>
        </w:rPr>
      </w:pPr>
      <w:r>
        <w:rPr>
          <w:rFonts w:ascii="Melior" w:hAnsi="Melior" w:cs="Melior"/>
          <w:sz w:val="18"/>
          <w:szCs w:val="18"/>
        </w:rPr>
        <w:t>-----------------------------------------</w:t>
      </w:r>
    </w:p>
    <w:p w14:paraId="4B9129EC" w14:textId="3DADC9CD" w:rsidR="00A14A01" w:rsidRPr="005F1FD6" w:rsidRDefault="00D10AAB" w:rsidP="00DD398A">
      <w:pPr>
        <w:spacing w:after="0" w:line="48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In a </w:t>
      </w:r>
      <w:r w:rsidR="00B62095">
        <w:rPr>
          <w:rFonts w:ascii="Times New Roman" w:hAnsi="Times New Roman" w:cs="Times New Roman"/>
          <w:sz w:val="24"/>
          <w:szCs w:val="24"/>
        </w:rPr>
        <w:t>further</w:t>
      </w:r>
      <w:r>
        <w:rPr>
          <w:rFonts w:ascii="Times New Roman" w:hAnsi="Times New Roman" w:cs="Times New Roman"/>
          <w:sz w:val="24"/>
          <w:szCs w:val="24"/>
        </w:rPr>
        <w:t xml:space="preserve"> analysis, we pooled all spells </w:t>
      </w:r>
      <w:r w:rsidR="00474AB6">
        <w:rPr>
          <w:rFonts w:ascii="Times New Roman" w:hAnsi="Times New Roman" w:cs="Times New Roman"/>
          <w:sz w:val="24"/>
          <w:szCs w:val="24"/>
        </w:rPr>
        <w:t xml:space="preserve">and </w:t>
      </w:r>
      <w:r>
        <w:rPr>
          <w:rFonts w:ascii="Times New Roman" w:hAnsi="Times New Roman" w:cs="Times New Roman"/>
          <w:sz w:val="24"/>
          <w:szCs w:val="24"/>
        </w:rPr>
        <w:t>introduced dummy variables indicating VC firm origin</w:t>
      </w:r>
      <w:r w:rsidR="009D756E">
        <w:rPr>
          <w:rFonts w:ascii="Times New Roman" w:hAnsi="Times New Roman" w:cs="Times New Roman"/>
          <w:sz w:val="24"/>
          <w:szCs w:val="24"/>
        </w:rPr>
        <w:t xml:space="preserve"> and their interaction terms with the </w:t>
      </w:r>
      <w:r w:rsidR="009D756E" w:rsidRPr="009D756E">
        <w:rPr>
          <w:rFonts w:ascii="Times New Roman" w:hAnsi="Times New Roman" w:cs="Times New Roman"/>
          <w:i/>
          <w:sz w:val="24"/>
          <w:szCs w:val="24"/>
        </w:rPr>
        <w:t>Rounds</w:t>
      </w:r>
      <w:r w:rsidR="009D756E">
        <w:rPr>
          <w:rFonts w:ascii="Times New Roman" w:hAnsi="Times New Roman" w:cs="Times New Roman"/>
          <w:sz w:val="24"/>
          <w:szCs w:val="24"/>
        </w:rPr>
        <w:t xml:space="preserve"> variable</w:t>
      </w:r>
      <w:r>
        <w:rPr>
          <w:rFonts w:ascii="Times New Roman" w:hAnsi="Times New Roman" w:cs="Times New Roman"/>
          <w:sz w:val="24"/>
          <w:szCs w:val="24"/>
        </w:rPr>
        <w:t>.</w:t>
      </w:r>
      <w:r w:rsidR="00363605">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r w:rsidR="0064373E" w:rsidRPr="005F1FD6">
        <w:rPr>
          <w:rFonts w:ascii="Times New Roman" w:hAnsi="Times New Roman" w:cs="Times New Roman"/>
          <w:sz w:val="24"/>
          <w:szCs w:val="24"/>
        </w:rPr>
        <w:t xml:space="preserve">The </w:t>
      </w:r>
      <w:r w:rsidR="0071431D" w:rsidRPr="005F1FD6">
        <w:rPr>
          <w:rFonts w:ascii="Times New Roman" w:hAnsi="Times New Roman" w:cs="Times New Roman"/>
          <w:sz w:val="24"/>
          <w:szCs w:val="24"/>
        </w:rPr>
        <w:t>coefficient</w:t>
      </w:r>
      <w:r w:rsidR="00877912" w:rsidRPr="005F1FD6">
        <w:rPr>
          <w:rFonts w:ascii="Times New Roman" w:hAnsi="Times New Roman" w:cs="Times New Roman"/>
          <w:sz w:val="24"/>
          <w:szCs w:val="24"/>
        </w:rPr>
        <w:t>s</w:t>
      </w:r>
      <w:r w:rsidR="0071431D" w:rsidRPr="005F1FD6">
        <w:rPr>
          <w:rFonts w:ascii="Times New Roman" w:hAnsi="Times New Roman" w:cs="Times New Roman"/>
          <w:sz w:val="24"/>
          <w:szCs w:val="24"/>
        </w:rPr>
        <w:t xml:space="preserve"> o</w:t>
      </w:r>
      <w:r w:rsidR="00AF4FE8" w:rsidRPr="005F1FD6">
        <w:rPr>
          <w:rFonts w:ascii="Times New Roman" w:hAnsi="Times New Roman" w:cs="Times New Roman"/>
          <w:sz w:val="24"/>
          <w:szCs w:val="24"/>
        </w:rPr>
        <w:t>f</w:t>
      </w:r>
      <w:r w:rsidR="0071431D" w:rsidRPr="005F1FD6">
        <w:rPr>
          <w:rFonts w:ascii="Times New Roman" w:hAnsi="Times New Roman" w:cs="Times New Roman"/>
          <w:sz w:val="24"/>
          <w:szCs w:val="24"/>
        </w:rPr>
        <w:t xml:space="preserve"> the </w:t>
      </w:r>
      <w:r w:rsidR="0064373E" w:rsidRPr="006753CB">
        <w:rPr>
          <w:rFonts w:ascii="Times New Roman" w:hAnsi="Times New Roman" w:cs="Times New Roman"/>
          <w:i/>
          <w:sz w:val="24"/>
          <w:szCs w:val="24"/>
        </w:rPr>
        <w:t>inverse mills ratio</w:t>
      </w:r>
      <w:r w:rsidR="0071431D" w:rsidRPr="006753CB">
        <w:rPr>
          <w:rFonts w:ascii="Times New Roman" w:hAnsi="Times New Roman" w:cs="Times New Roman"/>
          <w:i/>
          <w:sz w:val="24"/>
          <w:szCs w:val="24"/>
        </w:rPr>
        <w:t>s</w:t>
      </w:r>
      <w:r w:rsidR="0071431D" w:rsidRPr="005F1FD6">
        <w:rPr>
          <w:rFonts w:ascii="Times New Roman" w:hAnsi="Times New Roman" w:cs="Times New Roman"/>
          <w:sz w:val="24"/>
          <w:szCs w:val="24"/>
        </w:rPr>
        <w:t xml:space="preserve"> are statistically significant in all models indicating tha</w:t>
      </w:r>
      <w:r w:rsidR="00AF4FE8" w:rsidRPr="005F1FD6">
        <w:rPr>
          <w:rFonts w:ascii="Times New Roman" w:hAnsi="Times New Roman" w:cs="Times New Roman"/>
          <w:sz w:val="24"/>
          <w:szCs w:val="24"/>
        </w:rPr>
        <w:t>t there is</w:t>
      </w:r>
      <w:r w:rsidR="0071431D" w:rsidRPr="005F1FD6">
        <w:rPr>
          <w:rFonts w:ascii="Times New Roman" w:hAnsi="Times New Roman" w:cs="Times New Roman"/>
          <w:sz w:val="24"/>
          <w:szCs w:val="24"/>
        </w:rPr>
        <w:t xml:space="preserve"> a selection bias.</w:t>
      </w:r>
      <w:r w:rsidR="0064373E" w:rsidRPr="005F1FD6">
        <w:rPr>
          <w:rFonts w:ascii="Times New Roman" w:hAnsi="Times New Roman" w:cs="Times New Roman"/>
          <w:sz w:val="24"/>
          <w:szCs w:val="24"/>
        </w:rPr>
        <w:t xml:space="preserve"> </w:t>
      </w:r>
    </w:p>
    <w:p w14:paraId="1B021B61" w14:textId="6D1359CE" w:rsidR="007D2BDA" w:rsidRDefault="00EB4077" w:rsidP="00047A15">
      <w:pPr>
        <w:spacing w:after="0" w:line="480" w:lineRule="auto"/>
        <w:ind w:firstLine="432"/>
        <w:jc w:val="both"/>
        <w:rPr>
          <w:rFonts w:ascii="Times New Roman" w:hAnsi="Times New Roman" w:cs="Times New Roman"/>
          <w:sz w:val="24"/>
          <w:szCs w:val="24"/>
        </w:rPr>
      </w:pPr>
      <w:r w:rsidRPr="005F1FD6">
        <w:rPr>
          <w:rFonts w:ascii="Times New Roman" w:hAnsi="Times New Roman" w:cs="Times New Roman"/>
          <w:sz w:val="24"/>
          <w:szCs w:val="24"/>
        </w:rPr>
        <w:t>To</w:t>
      </w:r>
      <w:r w:rsidR="000623AA">
        <w:rPr>
          <w:rFonts w:ascii="Times New Roman" w:hAnsi="Times New Roman" w:cs="Times New Roman"/>
          <w:sz w:val="24"/>
          <w:szCs w:val="24"/>
        </w:rPr>
        <w:t xml:space="preserve"> formally</w:t>
      </w:r>
      <w:r w:rsidRPr="005F1FD6">
        <w:rPr>
          <w:rFonts w:ascii="Times New Roman" w:hAnsi="Times New Roman" w:cs="Times New Roman"/>
          <w:sz w:val="24"/>
          <w:szCs w:val="24"/>
        </w:rPr>
        <w:t xml:space="preserve"> test our </w:t>
      </w:r>
      <w:r w:rsidR="000F3DFD" w:rsidRPr="005F1FD6">
        <w:rPr>
          <w:rFonts w:ascii="Times New Roman" w:hAnsi="Times New Roman" w:cs="Times New Roman"/>
          <w:sz w:val="24"/>
          <w:szCs w:val="24"/>
        </w:rPr>
        <w:t xml:space="preserve">first and </w:t>
      </w:r>
      <w:r w:rsidR="00EE112D" w:rsidRPr="005F1FD6">
        <w:rPr>
          <w:rFonts w:ascii="Times New Roman" w:hAnsi="Times New Roman" w:cs="Times New Roman"/>
          <w:sz w:val="24"/>
          <w:szCs w:val="24"/>
        </w:rPr>
        <w:t>second</w:t>
      </w:r>
      <w:r w:rsidR="000F3DFD" w:rsidRPr="005F1FD6">
        <w:rPr>
          <w:rFonts w:ascii="Times New Roman" w:hAnsi="Times New Roman" w:cs="Times New Roman"/>
          <w:sz w:val="24"/>
          <w:szCs w:val="24"/>
        </w:rPr>
        <w:t xml:space="preserve"> </w:t>
      </w:r>
      <w:r w:rsidRPr="005F1FD6">
        <w:rPr>
          <w:rFonts w:ascii="Times New Roman" w:hAnsi="Times New Roman" w:cs="Times New Roman"/>
          <w:sz w:val="24"/>
          <w:szCs w:val="24"/>
        </w:rPr>
        <w:t>hypotheses</w:t>
      </w:r>
      <w:r w:rsidR="000B61FB" w:rsidRPr="005F1FD6">
        <w:rPr>
          <w:rFonts w:ascii="Times New Roman" w:hAnsi="Times New Roman" w:cs="Times New Roman"/>
          <w:sz w:val="24"/>
          <w:szCs w:val="24"/>
        </w:rPr>
        <w:t>, escalation of commitment</w:t>
      </w:r>
      <w:r w:rsidR="007C6141" w:rsidRPr="005F1FD6">
        <w:rPr>
          <w:rFonts w:ascii="Times New Roman" w:hAnsi="Times New Roman" w:cs="Times New Roman"/>
          <w:sz w:val="24"/>
          <w:szCs w:val="24"/>
        </w:rPr>
        <w:t xml:space="preserve"> of </w:t>
      </w:r>
      <w:r w:rsidR="000116EC" w:rsidRPr="005F1FD6">
        <w:rPr>
          <w:rFonts w:ascii="Times New Roman" w:hAnsi="Times New Roman" w:cs="Times New Roman"/>
          <w:sz w:val="24"/>
          <w:szCs w:val="24"/>
        </w:rPr>
        <w:t xml:space="preserve">domestic </w:t>
      </w:r>
      <w:r w:rsidR="007C6141" w:rsidRPr="005F1FD6">
        <w:rPr>
          <w:rFonts w:ascii="Times New Roman" w:hAnsi="Times New Roman" w:cs="Times New Roman"/>
          <w:sz w:val="24"/>
          <w:szCs w:val="24"/>
        </w:rPr>
        <w:t>and branch VC</w:t>
      </w:r>
      <w:r w:rsidR="0000293B" w:rsidRPr="005F1FD6">
        <w:rPr>
          <w:rFonts w:ascii="Times New Roman" w:hAnsi="Times New Roman" w:cs="Times New Roman"/>
          <w:sz w:val="24"/>
          <w:szCs w:val="24"/>
        </w:rPr>
        <w:t xml:space="preserve"> firm</w:t>
      </w:r>
      <w:r w:rsidR="007C6141" w:rsidRPr="005F1FD6">
        <w:rPr>
          <w:rFonts w:ascii="Times New Roman" w:hAnsi="Times New Roman" w:cs="Times New Roman"/>
          <w:sz w:val="24"/>
          <w:szCs w:val="24"/>
        </w:rPr>
        <w:t xml:space="preserve">s is directly compared with </w:t>
      </w:r>
      <w:r w:rsidR="0000293B" w:rsidRPr="005F1FD6">
        <w:rPr>
          <w:rFonts w:ascii="Times New Roman" w:hAnsi="Times New Roman" w:cs="Times New Roman"/>
          <w:sz w:val="24"/>
          <w:szCs w:val="24"/>
        </w:rPr>
        <w:t xml:space="preserve">the escalation of commitment of </w:t>
      </w:r>
      <w:r w:rsidR="000116EC" w:rsidRPr="005F1FD6">
        <w:rPr>
          <w:rFonts w:ascii="Times New Roman" w:hAnsi="Times New Roman" w:cs="Times New Roman"/>
          <w:sz w:val="24"/>
          <w:szCs w:val="24"/>
        </w:rPr>
        <w:t xml:space="preserve">cross-border </w:t>
      </w:r>
      <w:r w:rsidR="000B61FB" w:rsidRPr="005F1FD6">
        <w:rPr>
          <w:rFonts w:ascii="Times New Roman" w:hAnsi="Times New Roman" w:cs="Times New Roman"/>
          <w:sz w:val="24"/>
          <w:szCs w:val="24"/>
        </w:rPr>
        <w:t>VC</w:t>
      </w:r>
      <w:r w:rsidR="0000293B" w:rsidRPr="005F1FD6">
        <w:rPr>
          <w:rFonts w:ascii="Times New Roman" w:hAnsi="Times New Roman" w:cs="Times New Roman"/>
          <w:sz w:val="24"/>
          <w:szCs w:val="24"/>
        </w:rPr>
        <w:t xml:space="preserve"> firm</w:t>
      </w:r>
      <w:r w:rsidR="000B61FB" w:rsidRPr="005F1FD6">
        <w:rPr>
          <w:rFonts w:ascii="Times New Roman" w:hAnsi="Times New Roman" w:cs="Times New Roman"/>
          <w:sz w:val="24"/>
          <w:szCs w:val="24"/>
        </w:rPr>
        <w:t xml:space="preserve">s. </w:t>
      </w:r>
      <w:r w:rsidR="00FF1511" w:rsidRPr="005F1FD6">
        <w:rPr>
          <w:rFonts w:ascii="Times New Roman" w:hAnsi="Times New Roman" w:cs="Times New Roman"/>
          <w:sz w:val="24"/>
          <w:szCs w:val="24"/>
        </w:rPr>
        <w:t>Cross-border VC firm is the reference category</w:t>
      </w:r>
      <w:r w:rsidR="00FF1511">
        <w:rPr>
          <w:rFonts w:ascii="Times New Roman" w:hAnsi="Times New Roman" w:cs="Times New Roman"/>
          <w:sz w:val="24"/>
          <w:szCs w:val="24"/>
        </w:rPr>
        <w:t xml:space="preserve"> in Models 1a and 1b</w:t>
      </w:r>
      <w:r w:rsidR="00FF1511" w:rsidRPr="00FF1511">
        <w:rPr>
          <w:rFonts w:ascii="Times New Roman" w:hAnsi="Times New Roman" w:cs="Times New Roman"/>
          <w:sz w:val="24"/>
          <w:szCs w:val="24"/>
        </w:rPr>
        <w:t xml:space="preserve"> </w:t>
      </w:r>
      <w:r w:rsidR="00FF1511">
        <w:rPr>
          <w:rFonts w:ascii="Times New Roman" w:hAnsi="Times New Roman" w:cs="Times New Roman"/>
          <w:sz w:val="24"/>
          <w:szCs w:val="24"/>
        </w:rPr>
        <w:t>in Table 6</w:t>
      </w:r>
      <w:r w:rsidR="00FF1511" w:rsidRPr="005F1FD6">
        <w:rPr>
          <w:rFonts w:ascii="Times New Roman" w:hAnsi="Times New Roman" w:cs="Times New Roman"/>
          <w:sz w:val="24"/>
          <w:szCs w:val="24"/>
        </w:rPr>
        <w:t xml:space="preserve">. </w:t>
      </w:r>
      <w:r w:rsidR="000B61FB" w:rsidRPr="005F1FD6">
        <w:rPr>
          <w:rFonts w:ascii="Times New Roman" w:hAnsi="Times New Roman" w:cs="Times New Roman"/>
          <w:sz w:val="24"/>
          <w:szCs w:val="24"/>
        </w:rPr>
        <w:t>Therefore,</w:t>
      </w:r>
      <w:r w:rsidR="000F3DFD" w:rsidRPr="005F1FD6">
        <w:rPr>
          <w:rFonts w:ascii="Times New Roman" w:hAnsi="Times New Roman" w:cs="Times New Roman"/>
          <w:sz w:val="24"/>
          <w:szCs w:val="24"/>
        </w:rPr>
        <w:t xml:space="preserve"> the interaction variable between </w:t>
      </w:r>
      <w:r w:rsidR="00400EEA">
        <w:rPr>
          <w:rFonts w:ascii="Times New Roman" w:hAnsi="Times New Roman" w:cs="Times New Roman"/>
          <w:i/>
          <w:sz w:val="24"/>
          <w:szCs w:val="24"/>
        </w:rPr>
        <w:t>C</w:t>
      </w:r>
      <w:r w:rsidR="0000293B" w:rsidRPr="005F1FD6">
        <w:rPr>
          <w:rFonts w:ascii="Times New Roman" w:hAnsi="Times New Roman" w:cs="Times New Roman"/>
          <w:i/>
          <w:sz w:val="24"/>
          <w:szCs w:val="24"/>
        </w:rPr>
        <w:t>ross-border VC firms</w:t>
      </w:r>
      <w:r w:rsidR="000F3DFD" w:rsidRPr="005F1FD6">
        <w:rPr>
          <w:rFonts w:ascii="Times New Roman" w:hAnsi="Times New Roman" w:cs="Times New Roman"/>
          <w:sz w:val="24"/>
          <w:szCs w:val="24"/>
        </w:rPr>
        <w:t xml:space="preserve"> and </w:t>
      </w:r>
      <w:r w:rsidR="0038326E">
        <w:rPr>
          <w:rFonts w:ascii="Times New Roman" w:hAnsi="Times New Roman" w:cs="Times New Roman"/>
          <w:i/>
          <w:sz w:val="24"/>
          <w:szCs w:val="24"/>
        </w:rPr>
        <w:t>Rounds</w:t>
      </w:r>
      <w:r w:rsidR="0038326E" w:rsidRPr="005F1FD6">
        <w:rPr>
          <w:rFonts w:ascii="Times New Roman" w:hAnsi="Times New Roman" w:cs="Times New Roman"/>
          <w:sz w:val="24"/>
          <w:szCs w:val="24"/>
        </w:rPr>
        <w:t xml:space="preserve"> </w:t>
      </w:r>
      <w:r w:rsidR="000B61FB" w:rsidRPr="005F1FD6">
        <w:rPr>
          <w:rFonts w:ascii="Times New Roman" w:hAnsi="Times New Roman" w:cs="Times New Roman"/>
          <w:sz w:val="24"/>
          <w:szCs w:val="24"/>
        </w:rPr>
        <w:t xml:space="preserve">is </w:t>
      </w:r>
      <w:r w:rsidR="00600C34">
        <w:rPr>
          <w:rFonts w:ascii="Times New Roman" w:hAnsi="Times New Roman" w:cs="Times New Roman"/>
          <w:sz w:val="24"/>
          <w:szCs w:val="24"/>
        </w:rPr>
        <w:t>not included</w:t>
      </w:r>
      <w:r w:rsidR="00600C34" w:rsidRPr="005F1FD6">
        <w:rPr>
          <w:rFonts w:ascii="Times New Roman" w:hAnsi="Times New Roman" w:cs="Times New Roman"/>
          <w:sz w:val="24"/>
          <w:szCs w:val="24"/>
        </w:rPr>
        <w:t xml:space="preserve"> </w:t>
      </w:r>
      <w:r w:rsidR="0000293B" w:rsidRPr="005F1FD6">
        <w:rPr>
          <w:rFonts w:ascii="Times New Roman" w:hAnsi="Times New Roman" w:cs="Times New Roman"/>
          <w:sz w:val="24"/>
          <w:szCs w:val="24"/>
        </w:rPr>
        <w:t xml:space="preserve">in </w:t>
      </w:r>
      <w:r w:rsidR="00FF1511">
        <w:rPr>
          <w:rFonts w:ascii="Times New Roman" w:hAnsi="Times New Roman" w:cs="Times New Roman"/>
          <w:sz w:val="24"/>
          <w:szCs w:val="24"/>
        </w:rPr>
        <w:t xml:space="preserve">these </w:t>
      </w:r>
      <w:r w:rsidR="0000293B" w:rsidRPr="005F1FD6">
        <w:rPr>
          <w:rFonts w:ascii="Times New Roman" w:hAnsi="Times New Roman" w:cs="Times New Roman"/>
          <w:sz w:val="24"/>
          <w:szCs w:val="24"/>
        </w:rPr>
        <w:t>models</w:t>
      </w:r>
      <w:r w:rsidR="000F3DFD" w:rsidRPr="005F1FD6">
        <w:rPr>
          <w:rFonts w:ascii="Times New Roman" w:hAnsi="Times New Roman" w:cs="Times New Roman"/>
          <w:sz w:val="24"/>
          <w:szCs w:val="24"/>
        </w:rPr>
        <w:t xml:space="preserve">. </w:t>
      </w:r>
      <w:r w:rsidR="005205D8" w:rsidRPr="005F1FD6">
        <w:rPr>
          <w:rFonts w:ascii="Times New Roman" w:hAnsi="Times New Roman" w:cs="Times New Roman"/>
          <w:sz w:val="24"/>
          <w:szCs w:val="24"/>
        </w:rPr>
        <w:t>Mo</w:t>
      </w:r>
      <w:r w:rsidR="00762E5F" w:rsidRPr="005F1FD6">
        <w:rPr>
          <w:rFonts w:ascii="Times New Roman" w:hAnsi="Times New Roman" w:cs="Times New Roman"/>
          <w:sz w:val="24"/>
          <w:szCs w:val="24"/>
        </w:rPr>
        <w:t xml:space="preserve">del </w:t>
      </w:r>
      <w:r w:rsidR="00600C34">
        <w:rPr>
          <w:rFonts w:ascii="Times New Roman" w:hAnsi="Times New Roman" w:cs="Times New Roman"/>
          <w:sz w:val="24"/>
          <w:szCs w:val="24"/>
        </w:rPr>
        <w:t>1</w:t>
      </w:r>
      <w:r w:rsidR="00600C34" w:rsidRPr="005F1FD6">
        <w:rPr>
          <w:rFonts w:ascii="Times New Roman" w:hAnsi="Times New Roman" w:cs="Times New Roman"/>
          <w:sz w:val="24"/>
          <w:szCs w:val="24"/>
        </w:rPr>
        <w:t xml:space="preserve">a </w:t>
      </w:r>
      <w:r w:rsidR="00762E5F" w:rsidRPr="005F1FD6">
        <w:rPr>
          <w:rFonts w:ascii="Times New Roman" w:hAnsi="Times New Roman" w:cs="Times New Roman"/>
          <w:sz w:val="24"/>
          <w:szCs w:val="24"/>
        </w:rPr>
        <w:t>estimates the hazar</w:t>
      </w:r>
      <w:r w:rsidR="007C6141" w:rsidRPr="005F1FD6">
        <w:rPr>
          <w:rFonts w:ascii="Times New Roman" w:hAnsi="Times New Roman" w:cs="Times New Roman"/>
          <w:sz w:val="24"/>
          <w:szCs w:val="24"/>
        </w:rPr>
        <w:t>d of a successful exit</w:t>
      </w:r>
      <w:r w:rsidR="0002379E">
        <w:rPr>
          <w:rFonts w:ascii="Times New Roman" w:hAnsi="Times New Roman" w:cs="Times New Roman"/>
          <w:sz w:val="24"/>
          <w:szCs w:val="24"/>
        </w:rPr>
        <w:t xml:space="preserve"> and Model 1b of a termination event</w:t>
      </w:r>
      <w:r w:rsidR="00762E5F" w:rsidRPr="005F1FD6">
        <w:rPr>
          <w:rFonts w:ascii="Times New Roman" w:hAnsi="Times New Roman" w:cs="Times New Roman"/>
          <w:sz w:val="24"/>
          <w:szCs w:val="24"/>
        </w:rPr>
        <w:t>.</w:t>
      </w:r>
      <w:r w:rsidR="00345AA0" w:rsidRPr="005F1FD6">
        <w:rPr>
          <w:rFonts w:ascii="Times New Roman" w:hAnsi="Times New Roman" w:cs="Times New Roman"/>
          <w:sz w:val="24"/>
          <w:szCs w:val="24"/>
        </w:rPr>
        <w:t xml:space="preserve"> </w:t>
      </w:r>
      <w:r w:rsidR="007C1E2F" w:rsidRPr="005F1FD6">
        <w:rPr>
          <w:rFonts w:ascii="Times New Roman" w:hAnsi="Times New Roman" w:cs="Times New Roman"/>
          <w:sz w:val="24"/>
          <w:szCs w:val="24"/>
        </w:rPr>
        <w:t xml:space="preserve">The results show that </w:t>
      </w:r>
      <w:r w:rsidR="0002379E">
        <w:rPr>
          <w:rFonts w:ascii="Times New Roman" w:hAnsi="Times New Roman" w:cs="Times New Roman"/>
          <w:sz w:val="24"/>
          <w:szCs w:val="24"/>
        </w:rPr>
        <w:t xml:space="preserve">the </w:t>
      </w:r>
      <w:r w:rsidR="0002379E" w:rsidRPr="00CE3EE7">
        <w:rPr>
          <w:rFonts w:ascii="Times New Roman" w:hAnsi="Times New Roman" w:cs="Times New Roman"/>
          <w:i/>
          <w:sz w:val="24"/>
          <w:szCs w:val="24"/>
        </w:rPr>
        <w:t>Rounds</w:t>
      </w:r>
      <w:r w:rsidR="0002379E">
        <w:rPr>
          <w:rFonts w:ascii="Times New Roman" w:hAnsi="Times New Roman" w:cs="Times New Roman"/>
          <w:sz w:val="24"/>
          <w:szCs w:val="24"/>
        </w:rPr>
        <w:t xml:space="preserve"> variable is not significant</w:t>
      </w:r>
      <w:r w:rsidR="00D77F0A">
        <w:rPr>
          <w:rFonts w:ascii="Times New Roman" w:hAnsi="Times New Roman" w:cs="Times New Roman"/>
          <w:sz w:val="24"/>
          <w:szCs w:val="24"/>
        </w:rPr>
        <w:t xml:space="preserve"> in either model</w:t>
      </w:r>
      <w:r w:rsidR="0002379E">
        <w:rPr>
          <w:rFonts w:ascii="Times New Roman" w:hAnsi="Times New Roman" w:cs="Times New Roman"/>
          <w:sz w:val="24"/>
          <w:szCs w:val="24"/>
        </w:rPr>
        <w:t>,</w:t>
      </w:r>
      <w:r w:rsidR="001F0712">
        <w:rPr>
          <w:rFonts w:ascii="Times New Roman" w:hAnsi="Times New Roman" w:cs="Times New Roman"/>
          <w:sz w:val="24"/>
          <w:szCs w:val="24"/>
        </w:rPr>
        <w:t xml:space="preserve"> although the coefficient is positive for the success model and negative for the termination model</w:t>
      </w:r>
      <w:r w:rsidR="00D77F0A">
        <w:rPr>
          <w:rFonts w:ascii="Times New Roman" w:hAnsi="Times New Roman" w:cs="Times New Roman"/>
          <w:sz w:val="24"/>
          <w:szCs w:val="24"/>
        </w:rPr>
        <w:t>.</w:t>
      </w:r>
      <w:r w:rsidR="00047A15">
        <w:rPr>
          <w:rFonts w:ascii="Times New Roman" w:hAnsi="Times New Roman" w:cs="Times New Roman"/>
          <w:sz w:val="24"/>
          <w:szCs w:val="24"/>
        </w:rPr>
        <w:t xml:space="preserve"> The interaction term between </w:t>
      </w:r>
      <w:r w:rsidR="00047A15" w:rsidRPr="00CE3EE7">
        <w:rPr>
          <w:rFonts w:ascii="Times New Roman" w:hAnsi="Times New Roman" w:cs="Times New Roman"/>
          <w:i/>
          <w:sz w:val="24"/>
          <w:szCs w:val="24"/>
        </w:rPr>
        <w:t>Rounds</w:t>
      </w:r>
      <w:r w:rsidR="00047A15">
        <w:rPr>
          <w:rFonts w:ascii="Times New Roman" w:hAnsi="Times New Roman" w:cs="Times New Roman"/>
          <w:sz w:val="24"/>
          <w:szCs w:val="24"/>
        </w:rPr>
        <w:t xml:space="preserve"> and </w:t>
      </w:r>
      <w:r w:rsidR="00047A15" w:rsidRPr="00CE3EE7">
        <w:rPr>
          <w:rFonts w:ascii="Times New Roman" w:hAnsi="Times New Roman" w:cs="Times New Roman"/>
          <w:i/>
          <w:sz w:val="24"/>
          <w:szCs w:val="24"/>
        </w:rPr>
        <w:t>Domestic VC</w:t>
      </w:r>
      <w:r w:rsidR="00047A15">
        <w:rPr>
          <w:rFonts w:ascii="Times New Roman" w:hAnsi="Times New Roman" w:cs="Times New Roman"/>
          <w:sz w:val="24"/>
          <w:szCs w:val="24"/>
        </w:rPr>
        <w:t xml:space="preserve"> is significant </w:t>
      </w:r>
      <w:r w:rsidR="00047A15" w:rsidRPr="005F1FD6">
        <w:rPr>
          <w:rFonts w:ascii="Times New Roman" w:hAnsi="Times New Roman" w:cs="Times New Roman"/>
          <w:sz w:val="24"/>
          <w:szCs w:val="24"/>
        </w:rPr>
        <w:t>(p&lt;0.01)</w:t>
      </w:r>
      <w:r w:rsidR="00047A15">
        <w:rPr>
          <w:rFonts w:ascii="Times New Roman" w:hAnsi="Times New Roman" w:cs="Times New Roman"/>
          <w:sz w:val="24"/>
          <w:szCs w:val="24"/>
        </w:rPr>
        <w:t xml:space="preserve"> and negative in the success sample, suggesting that </w:t>
      </w:r>
      <w:r w:rsidR="009D2EE8" w:rsidRPr="005F1FD6">
        <w:rPr>
          <w:rFonts w:ascii="Times New Roman" w:hAnsi="Times New Roman" w:cs="Times New Roman"/>
          <w:sz w:val="24"/>
          <w:szCs w:val="24"/>
        </w:rPr>
        <w:t>the</w:t>
      </w:r>
      <w:r w:rsidR="000116EC" w:rsidRPr="005F1FD6">
        <w:rPr>
          <w:rFonts w:ascii="Times New Roman" w:hAnsi="Times New Roman" w:cs="Times New Roman"/>
          <w:sz w:val="24"/>
          <w:szCs w:val="24"/>
        </w:rPr>
        <w:t xml:space="preserve"> </w:t>
      </w:r>
      <w:r w:rsidR="007C1E2F" w:rsidRPr="005F1FD6">
        <w:rPr>
          <w:rFonts w:ascii="Times New Roman" w:hAnsi="Times New Roman" w:cs="Times New Roman"/>
          <w:sz w:val="24"/>
          <w:szCs w:val="24"/>
        </w:rPr>
        <w:t>probability of having a successful exit declines sign</w:t>
      </w:r>
      <w:r w:rsidR="007C6141" w:rsidRPr="005F1FD6">
        <w:rPr>
          <w:rFonts w:ascii="Times New Roman" w:hAnsi="Times New Roman" w:cs="Times New Roman"/>
          <w:sz w:val="24"/>
          <w:szCs w:val="24"/>
        </w:rPr>
        <w:t xml:space="preserve">ificantly more over rounds for domestic </w:t>
      </w:r>
      <w:r w:rsidR="007C6141" w:rsidRPr="005F1FD6">
        <w:rPr>
          <w:rFonts w:ascii="Times New Roman" w:hAnsi="Times New Roman" w:cs="Times New Roman"/>
          <w:sz w:val="24"/>
          <w:szCs w:val="24"/>
        </w:rPr>
        <w:lastRenderedPageBreak/>
        <w:t>VC</w:t>
      </w:r>
      <w:r w:rsidR="00710E21" w:rsidRPr="005F1FD6">
        <w:rPr>
          <w:rFonts w:ascii="Times New Roman" w:hAnsi="Times New Roman" w:cs="Times New Roman"/>
          <w:sz w:val="24"/>
          <w:szCs w:val="24"/>
        </w:rPr>
        <w:t xml:space="preserve"> firm</w:t>
      </w:r>
      <w:r w:rsidR="007C6141" w:rsidRPr="005F1FD6">
        <w:rPr>
          <w:rFonts w:ascii="Times New Roman" w:hAnsi="Times New Roman" w:cs="Times New Roman"/>
          <w:sz w:val="24"/>
          <w:szCs w:val="24"/>
        </w:rPr>
        <w:t>s compared to cross-border V</w:t>
      </w:r>
      <w:r w:rsidR="007C1E2F" w:rsidRPr="005F1FD6">
        <w:rPr>
          <w:rFonts w:ascii="Times New Roman" w:hAnsi="Times New Roman" w:cs="Times New Roman"/>
          <w:sz w:val="24"/>
          <w:szCs w:val="24"/>
        </w:rPr>
        <w:t>C</w:t>
      </w:r>
      <w:r w:rsidR="00710E21" w:rsidRPr="005F1FD6">
        <w:rPr>
          <w:rFonts w:ascii="Times New Roman" w:hAnsi="Times New Roman" w:cs="Times New Roman"/>
          <w:sz w:val="24"/>
          <w:szCs w:val="24"/>
        </w:rPr>
        <w:t xml:space="preserve"> firm</w:t>
      </w:r>
      <w:r w:rsidR="007C1E2F" w:rsidRPr="005F1FD6">
        <w:rPr>
          <w:rFonts w:ascii="Times New Roman" w:hAnsi="Times New Roman" w:cs="Times New Roman"/>
          <w:sz w:val="24"/>
          <w:szCs w:val="24"/>
        </w:rPr>
        <w:t>s</w:t>
      </w:r>
      <w:r w:rsidR="00047A15">
        <w:rPr>
          <w:rFonts w:ascii="Times New Roman" w:hAnsi="Times New Roman" w:cs="Times New Roman"/>
          <w:sz w:val="24"/>
          <w:szCs w:val="24"/>
        </w:rPr>
        <w:t>.</w:t>
      </w:r>
      <w:r w:rsidR="000116EC" w:rsidRPr="005F1FD6">
        <w:rPr>
          <w:rFonts w:ascii="Times New Roman" w:hAnsi="Times New Roman" w:cs="Times New Roman"/>
          <w:sz w:val="24"/>
          <w:szCs w:val="24"/>
        </w:rPr>
        <w:t xml:space="preserve"> </w:t>
      </w:r>
      <w:r w:rsidR="00047A15">
        <w:rPr>
          <w:rFonts w:ascii="Times New Roman" w:hAnsi="Times New Roman" w:cs="Times New Roman"/>
          <w:sz w:val="24"/>
          <w:szCs w:val="24"/>
        </w:rPr>
        <w:t>Further, t</w:t>
      </w:r>
      <w:r w:rsidR="000116EC" w:rsidRPr="005F1FD6">
        <w:rPr>
          <w:rFonts w:ascii="Times New Roman" w:hAnsi="Times New Roman" w:cs="Times New Roman"/>
          <w:sz w:val="24"/>
          <w:szCs w:val="24"/>
        </w:rPr>
        <w:t xml:space="preserve">here </w:t>
      </w:r>
      <w:r w:rsidR="00047A15">
        <w:rPr>
          <w:rFonts w:ascii="Times New Roman" w:hAnsi="Times New Roman" w:cs="Times New Roman"/>
          <w:sz w:val="24"/>
          <w:szCs w:val="24"/>
        </w:rPr>
        <w:t>is</w:t>
      </w:r>
      <w:r w:rsidR="00047A15" w:rsidRPr="005F1FD6">
        <w:rPr>
          <w:rFonts w:ascii="Times New Roman" w:hAnsi="Times New Roman" w:cs="Times New Roman"/>
          <w:sz w:val="24"/>
          <w:szCs w:val="24"/>
        </w:rPr>
        <w:t xml:space="preserve"> </w:t>
      </w:r>
      <w:r w:rsidR="000116EC" w:rsidRPr="005F1FD6">
        <w:rPr>
          <w:rFonts w:ascii="Times New Roman" w:hAnsi="Times New Roman" w:cs="Times New Roman"/>
          <w:sz w:val="24"/>
          <w:szCs w:val="24"/>
        </w:rPr>
        <w:t>no difference in the probability to have a successful exit over rounds between branch VC</w:t>
      </w:r>
      <w:r w:rsidR="00710E21" w:rsidRPr="005F1FD6">
        <w:rPr>
          <w:rFonts w:ascii="Times New Roman" w:hAnsi="Times New Roman" w:cs="Times New Roman"/>
          <w:sz w:val="24"/>
          <w:szCs w:val="24"/>
        </w:rPr>
        <w:t xml:space="preserve"> firm</w:t>
      </w:r>
      <w:r w:rsidR="000116EC" w:rsidRPr="005F1FD6">
        <w:rPr>
          <w:rFonts w:ascii="Times New Roman" w:hAnsi="Times New Roman" w:cs="Times New Roman"/>
          <w:sz w:val="24"/>
          <w:szCs w:val="24"/>
        </w:rPr>
        <w:t>s and cross-border VC</w:t>
      </w:r>
      <w:r w:rsidR="00710E21" w:rsidRPr="005F1FD6">
        <w:rPr>
          <w:rFonts w:ascii="Times New Roman" w:hAnsi="Times New Roman" w:cs="Times New Roman"/>
          <w:sz w:val="24"/>
          <w:szCs w:val="24"/>
        </w:rPr>
        <w:t xml:space="preserve"> firm</w:t>
      </w:r>
      <w:r w:rsidR="000116EC" w:rsidRPr="005F1FD6">
        <w:rPr>
          <w:rFonts w:ascii="Times New Roman" w:hAnsi="Times New Roman" w:cs="Times New Roman"/>
          <w:sz w:val="24"/>
          <w:szCs w:val="24"/>
        </w:rPr>
        <w:t xml:space="preserve">s. </w:t>
      </w:r>
      <w:r w:rsidR="007C1E2F" w:rsidRPr="005F1FD6">
        <w:rPr>
          <w:rFonts w:ascii="Times New Roman" w:hAnsi="Times New Roman" w:cs="Times New Roman"/>
          <w:sz w:val="24"/>
          <w:szCs w:val="24"/>
        </w:rPr>
        <w:t>None of the coefficients of the interaction terms are significant</w:t>
      </w:r>
      <w:r w:rsidR="00047A15">
        <w:rPr>
          <w:rFonts w:ascii="Times New Roman" w:hAnsi="Times New Roman" w:cs="Times New Roman"/>
          <w:sz w:val="24"/>
          <w:szCs w:val="24"/>
        </w:rPr>
        <w:t xml:space="preserve"> in the termination model</w:t>
      </w:r>
      <w:r w:rsidR="00710E21" w:rsidRPr="005F1FD6">
        <w:rPr>
          <w:rFonts w:ascii="Times New Roman" w:hAnsi="Times New Roman" w:cs="Times New Roman"/>
          <w:sz w:val="24"/>
          <w:szCs w:val="24"/>
        </w:rPr>
        <w:t>,</w:t>
      </w:r>
      <w:r w:rsidR="007C1E2F" w:rsidRPr="005F1FD6">
        <w:rPr>
          <w:rFonts w:ascii="Times New Roman" w:hAnsi="Times New Roman" w:cs="Times New Roman"/>
          <w:sz w:val="24"/>
          <w:szCs w:val="24"/>
        </w:rPr>
        <w:t xml:space="preserve"> indicating that the distribution of </w:t>
      </w:r>
      <w:r w:rsidR="00CC7BE6">
        <w:rPr>
          <w:rFonts w:ascii="Times New Roman" w:hAnsi="Times New Roman" w:cs="Times New Roman"/>
          <w:sz w:val="24"/>
          <w:szCs w:val="24"/>
        </w:rPr>
        <w:t>termination</w:t>
      </w:r>
      <w:r w:rsidR="00710E21" w:rsidRPr="005F1FD6">
        <w:rPr>
          <w:rFonts w:ascii="Times New Roman" w:hAnsi="Times New Roman" w:cs="Times New Roman"/>
          <w:sz w:val="24"/>
          <w:szCs w:val="24"/>
        </w:rPr>
        <w:t xml:space="preserve"> events</w:t>
      </w:r>
      <w:r w:rsidR="007C6141" w:rsidRPr="005F1FD6">
        <w:rPr>
          <w:rFonts w:ascii="Times New Roman" w:hAnsi="Times New Roman" w:cs="Times New Roman"/>
          <w:sz w:val="24"/>
          <w:szCs w:val="24"/>
        </w:rPr>
        <w:t xml:space="preserve"> over rounds </w:t>
      </w:r>
      <w:r w:rsidR="009A5FD7">
        <w:rPr>
          <w:rFonts w:ascii="Times New Roman" w:hAnsi="Times New Roman" w:cs="Times New Roman"/>
          <w:sz w:val="24"/>
          <w:szCs w:val="24"/>
        </w:rPr>
        <w:t>is</w:t>
      </w:r>
      <w:r w:rsidR="007C1E2F" w:rsidRPr="005F1FD6">
        <w:rPr>
          <w:rFonts w:ascii="Times New Roman" w:hAnsi="Times New Roman" w:cs="Times New Roman"/>
          <w:sz w:val="24"/>
          <w:szCs w:val="24"/>
        </w:rPr>
        <w:t xml:space="preserve"> not signifi</w:t>
      </w:r>
      <w:r w:rsidR="007C6141" w:rsidRPr="005F1FD6">
        <w:rPr>
          <w:rFonts w:ascii="Times New Roman" w:hAnsi="Times New Roman" w:cs="Times New Roman"/>
          <w:sz w:val="24"/>
          <w:szCs w:val="24"/>
        </w:rPr>
        <w:t xml:space="preserve">cantly </w:t>
      </w:r>
      <w:r w:rsidR="000116EC" w:rsidRPr="005F1FD6">
        <w:rPr>
          <w:rFonts w:ascii="Times New Roman" w:hAnsi="Times New Roman" w:cs="Times New Roman"/>
          <w:sz w:val="24"/>
          <w:szCs w:val="24"/>
        </w:rPr>
        <w:t xml:space="preserve">different </w:t>
      </w:r>
      <w:r w:rsidR="00CC7BE6">
        <w:rPr>
          <w:rFonts w:ascii="Times New Roman" w:hAnsi="Times New Roman" w:cs="Times New Roman"/>
          <w:sz w:val="24"/>
          <w:szCs w:val="24"/>
        </w:rPr>
        <w:t>depending on VC firm origin</w:t>
      </w:r>
      <w:r w:rsidR="007C1E2F" w:rsidRPr="005F1FD6">
        <w:rPr>
          <w:rFonts w:ascii="Times New Roman" w:hAnsi="Times New Roman" w:cs="Times New Roman"/>
          <w:sz w:val="24"/>
          <w:szCs w:val="24"/>
        </w:rPr>
        <w:t xml:space="preserve">. </w:t>
      </w:r>
    </w:p>
    <w:p w14:paraId="3AE10725" w14:textId="77777777" w:rsidR="00881097" w:rsidRPr="005F1FD6" w:rsidRDefault="00881097" w:rsidP="009E0A45">
      <w:pPr>
        <w:spacing w:after="0" w:line="480" w:lineRule="auto"/>
        <w:ind w:firstLine="432"/>
        <w:jc w:val="both"/>
        <w:rPr>
          <w:rFonts w:ascii="Times New Roman" w:hAnsi="Times New Roman" w:cs="Times New Roman"/>
          <w:sz w:val="24"/>
          <w:szCs w:val="24"/>
        </w:rPr>
      </w:pPr>
      <w:r w:rsidRPr="005F1FD6">
        <w:rPr>
          <w:rFonts w:ascii="Times New Roman" w:hAnsi="Times New Roman" w:cs="Times New Roman"/>
          <w:sz w:val="24"/>
          <w:szCs w:val="24"/>
        </w:rPr>
        <w:t xml:space="preserve">The </w:t>
      </w:r>
      <w:r w:rsidR="00383267" w:rsidRPr="005F1FD6">
        <w:rPr>
          <w:rFonts w:ascii="Times New Roman" w:hAnsi="Times New Roman" w:cs="Times New Roman"/>
          <w:sz w:val="24"/>
          <w:szCs w:val="24"/>
        </w:rPr>
        <w:t xml:space="preserve">results of </w:t>
      </w:r>
      <w:r w:rsidR="007D2BDA">
        <w:rPr>
          <w:rFonts w:ascii="Times New Roman" w:hAnsi="Times New Roman" w:cs="Times New Roman"/>
          <w:sz w:val="24"/>
          <w:szCs w:val="24"/>
        </w:rPr>
        <w:t>all</w:t>
      </w:r>
      <w:r w:rsidR="00383267" w:rsidRPr="005F1FD6">
        <w:rPr>
          <w:rFonts w:ascii="Times New Roman" w:hAnsi="Times New Roman" w:cs="Times New Roman"/>
          <w:sz w:val="24"/>
          <w:szCs w:val="24"/>
        </w:rPr>
        <w:t xml:space="preserve"> analyses</w:t>
      </w:r>
      <w:r w:rsidRPr="005F1FD6">
        <w:rPr>
          <w:rFonts w:ascii="Times New Roman" w:hAnsi="Times New Roman" w:cs="Times New Roman"/>
          <w:sz w:val="24"/>
          <w:szCs w:val="24"/>
        </w:rPr>
        <w:t xml:space="preserve"> </w:t>
      </w:r>
      <w:r w:rsidR="00383267" w:rsidRPr="005F1FD6">
        <w:rPr>
          <w:rFonts w:ascii="Times New Roman" w:hAnsi="Times New Roman" w:cs="Times New Roman"/>
          <w:sz w:val="24"/>
          <w:szCs w:val="24"/>
        </w:rPr>
        <w:t xml:space="preserve">together hence </w:t>
      </w:r>
      <w:r w:rsidRPr="005F1FD6">
        <w:rPr>
          <w:rFonts w:ascii="Times New Roman" w:hAnsi="Times New Roman" w:cs="Times New Roman"/>
          <w:sz w:val="24"/>
          <w:szCs w:val="24"/>
        </w:rPr>
        <w:t>provide</w:t>
      </w:r>
      <w:r w:rsidR="00383267" w:rsidRPr="005F1FD6">
        <w:rPr>
          <w:rFonts w:ascii="Times New Roman" w:hAnsi="Times New Roman" w:cs="Times New Roman"/>
          <w:sz w:val="24"/>
          <w:szCs w:val="24"/>
        </w:rPr>
        <w:t xml:space="preserve"> </w:t>
      </w:r>
      <w:r w:rsidR="00600C34">
        <w:rPr>
          <w:rFonts w:ascii="Times New Roman" w:hAnsi="Times New Roman" w:cs="Times New Roman"/>
          <w:sz w:val="24"/>
          <w:szCs w:val="24"/>
        </w:rPr>
        <w:t xml:space="preserve">further </w:t>
      </w:r>
      <w:r w:rsidR="00383267" w:rsidRPr="005F1FD6">
        <w:rPr>
          <w:rFonts w:ascii="Times New Roman" w:hAnsi="Times New Roman" w:cs="Times New Roman"/>
          <w:sz w:val="24"/>
          <w:szCs w:val="24"/>
        </w:rPr>
        <w:t>strong</w:t>
      </w:r>
      <w:r w:rsidRPr="005F1FD6">
        <w:rPr>
          <w:rFonts w:ascii="Times New Roman" w:hAnsi="Times New Roman" w:cs="Times New Roman"/>
          <w:sz w:val="24"/>
          <w:szCs w:val="24"/>
        </w:rPr>
        <w:t xml:space="preserve"> </w:t>
      </w:r>
      <w:r w:rsidR="007C1E2F" w:rsidRPr="005F1FD6">
        <w:rPr>
          <w:rFonts w:ascii="Times New Roman" w:hAnsi="Times New Roman" w:cs="Times New Roman"/>
          <w:sz w:val="24"/>
          <w:szCs w:val="24"/>
        </w:rPr>
        <w:t xml:space="preserve">support for </w:t>
      </w:r>
      <w:r w:rsidRPr="005F1FD6">
        <w:rPr>
          <w:rFonts w:ascii="Times New Roman" w:hAnsi="Times New Roman" w:cs="Times New Roman"/>
          <w:sz w:val="24"/>
          <w:szCs w:val="24"/>
        </w:rPr>
        <w:t>hypothesis</w:t>
      </w:r>
      <w:r w:rsidR="00375C71" w:rsidRPr="005F1FD6">
        <w:rPr>
          <w:rFonts w:ascii="Times New Roman" w:hAnsi="Times New Roman" w:cs="Times New Roman"/>
          <w:sz w:val="24"/>
          <w:szCs w:val="24"/>
        </w:rPr>
        <w:t xml:space="preserve"> 1</w:t>
      </w:r>
      <w:r w:rsidR="00C20E9B" w:rsidRPr="005F1FD6">
        <w:rPr>
          <w:rFonts w:ascii="Times New Roman" w:hAnsi="Times New Roman" w:cs="Times New Roman"/>
          <w:sz w:val="24"/>
          <w:szCs w:val="24"/>
        </w:rPr>
        <w:t>:</w:t>
      </w:r>
      <w:r w:rsidR="003323E9" w:rsidRPr="005F1FD6">
        <w:rPr>
          <w:rFonts w:ascii="Times New Roman" w:hAnsi="Times New Roman" w:cs="Times New Roman"/>
          <w:sz w:val="24"/>
          <w:szCs w:val="24"/>
        </w:rPr>
        <w:t xml:space="preserve"> </w:t>
      </w:r>
      <w:r w:rsidR="007C6141" w:rsidRPr="005F1FD6">
        <w:rPr>
          <w:rFonts w:ascii="Times New Roman" w:hAnsi="Times New Roman" w:cs="Times New Roman"/>
          <w:sz w:val="24"/>
          <w:szCs w:val="24"/>
        </w:rPr>
        <w:t xml:space="preserve">domestic </w:t>
      </w:r>
      <w:r w:rsidR="00DC1096" w:rsidRPr="005F1FD6">
        <w:rPr>
          <w:rFonts w:ascii="Times New Roman" w:hAnsi="Times New Roman" w:cs="Times New Roman"/>
          <w:sz w:val="24"/>
          <w:szCs w:val="24"/>
        </w:rPr>
        <w:t>VC</w:t>
      </w:r>
      <w:r w:rsidR="00C20E9B" w:rsidRPr="005F1FD6">
        <w:rPr>
          <w:rFonts w:ascii="Times New Roman" w:hAnsi="Times New Roman" w:cs="Times New Roman"/>
          <w:sz w:val="24"/>
          <w:szCs w:val="24"/>
        </w:rPr>
        <w:t xml:space="preserve"> firm</w:t>
      </w:r>
      <w:r w:rsidR="00DC1096" w:rsidRPr="005F1FD6">
        <w:rPr>
          <w:rFonts w:ascii="Times New Roman" w:hAnsi="Times New Roman" w:cs="Times New Roman"/>
          <w:sz w:val="24"/>
          <w:szCs w:val="24"/>
        </w:rPr>
        <w:t xml:space="preserve">s </w:t>
      </w:r>
      <w:r w:rsidR="00C20E9B" w:rsidRPr="005F1FD6">
        <w:rPr>
          <w:rFonts w:ascii="Times New Roman" w:hAnsi="Times New Roman" w:cs="Times New Roman"/>
          <w:sz w:val="24"/>
          <w:szCs w:val="24"/>
        </w:rPr>
        <w:t>have a significantly higher probability</w:t>
      </w:r>
      <w:r w:rsidR="003323E9" w:rsidRPr="005F1FD6">
        <w:rPr>
          <w:rFonts w:ascii="Times New Roman" w:hAnsi="Times New Roman" w:cs="Times New Roman"/>
          <w:sz w:val="24"/>
          <w:szCs w:val="24"/>
        </w:rPr>
        <w:t xml:space="preserve"> to escalate commitment</w:t>
      </w:r>
      <w:r w:rsidR="005F0D32" w:rsidRPr="005F1FD6">
        <w:rPr>
          <w:rFonts w:ascii="Times New Roman" w:hAnsi="Times New Roman" w:cs="Times New Roman"/>
          <w:sz w:val="24"/>
          <w:szCs w:val="24"/>
        </w:rPr>
        <w:t xml:space="preserve"> </w:t>
      </w:r>
      <w:r w:rsidR="00C20E9B" w:rsidRPr="005F1FD6">
        <w:rPr>
          <w:rFonts w:ascii="Times New Roman" w:hAnsi="Times New Roman" w:cs="Times New Roman"/>
          <w:sz w:val="24"/>
          <w:szCs w:val="24"/>
        </w:rPr>
        <w:t xml:space="preserve">to a failing course of action </w:t>
      </w:r>
      <w:r w:rsidR="005F0D32" w:rsidRPr="005F1FD6">
        <w:rPr>
          <w:rFonts w:ascii="Times New Roman" w:hAnsi="Times New Roman" w:cs="Times New Roman"/>
          <w:sz w:val="24"/>
          <w:szCs w:val="24"/>
        </w:rPr>
        <w:t>compared to cross-border VC</w:t>
      </w:r>
      <w:r w:rsidR="00C20E9B" w:rsidRPr="005F1FD6">
        <w:rPr>
          <w:rFonts w:ascii="Times New Roman" w:hAnsi="Times New Roman" w:cs="Times New Roman"/>
          <w:sz w:val="24"/>
          <w:szCs w:val="24"/>
        </w:rPr>
        <w:t xml:space="preserve"> firm</w:t>
      </w:r>
      <w:r w:rsidR="005F0D32" w:rsidRPr="005F1FD6">
        <w:rPr>
          <w:rFonts w:ascii="Times New Roman" w:hAnsi="Times New Roman" w:cs="Times New Roman"/>
          <w:sz w:val="24"/>
          <w:szCs w:val="24"/>
        </w:rPr>
        <w:t>s</w:t>
      </w:r>
      <w:r w:rsidRPr="005F1FD6">
        <w:rPr>
          <w:rFonts w:ascii="Times New Roman" w:hAnsi="Times New Roman" w:cs="Times New Roman"/>
          <w:sz w:val="24"/>
          <w:szCs w:val="24"/>
        </w:rPr>
        <w:t>.</w:t>
      </w:r>
      <w:r w:rsidR="005F0D32" w:rsidRPr="005F1FD6">
        <w:rPr>
          <w:rFonts w:ascii="Times New Roman" w:hAnsi="Times New Roman" w:cs="Times New Roman"/>
          <w:sz w:val="24"/>
          <w:szCs w:val="24"/>
        </w:rPr>
        <w:t xml:space="preserve"> </w:t>
      </w:r>
      <w:r w:rsidR="00CE6792" w:rsidRPr="005F1FD6">
        <w:rPr>
          <w:rFonts w:ascii="Times New Roman" w:hAnsi="Times New Roman" w:cs="Times New Roman"/>
          <w:sz w:val="24"/>
          <w:szCs w:val="24"/>
        </w:rPr>
        <w:t xml:space="preserve">In contrast, we fail to find support for hypothesis </w:t>
      </w:r>
      <w:r w:rsidR="00375C71" w:rsidRPr="005F1FD6">
        <w:rPr>
          <w:rFonts w:ascii="Times New Roman" w:hAnsi="Times New Roman" w:cs="Times New Roman"/>
          <w:sz w:val="24"/>
          <w:szCs w:val="24"/>
        </w:rPr>
        <w:t xml:space="preserve">2 </w:t>
      </w:r>
      <w:r w:rsidR="00CE6792" w:rsidRPr="005F1FD6">
        <w:rPr>
          <w:rFonts w:ascii="Times New Roman" w:hAnsi="Times New Roman" w:cs="Times New Roman"/>
          <w:sz w:val="24"/>
          <w:szCs w:val="24"/>
        </w:rPr>
        <w:t>as no significant difference was found between branch VC</w:t>
      </w:r>
      <w:r w:rsidR="007A25F8" w:rsidRPr="005F1FD6">
        <w:rPr>
          <w:rFonts w:ascii="Times New Roman" w:hAnsi="Times New Roman" w:cs="Times New Roman"/>
          <w:sz w:val="24"/>
          <w:szCs w:val="24"/>
        </w:rPr>
        <w:t xml:space="preserve"> firm</w:t>
      </w:r>
      <w:r w:rsidR="00CE6792" w:rsidRPr="005F1FD6">
        <w:rPr>
          <w:rFonts w:ascii="Times New Roman" w:hAnsi="Times New Roman" w:cs="Times New Roman"/>
          <w:sz w:val="24"/>
          <w:szCs w:val="24"/>
        </w:rPr>
        <w:t>s and cross-border VC</w:t>
      </w:r>
      <w:r w:rsidR="007A25F8" w:rsidRPr="005F1FD6">
        <w:rPr>
          <w:rFonts w:ascii="Times New Roman" w:hAnsi="Times New Roman" w:cs="Times New Roman"/>
          <w:sz w:val="24"/>
          <w:szCs w:val="24"/>
        </w:rPr>
        <w:t xml:space="preserve"> firm</w:t>
      </w:r>
      <w:r w:rsidR="00CE6792" w:rsidRPr="005F1FD6">
        <w:rPr>
          <w:rFonts w:ascii="Times New Roman" w:hAnsi="Times New Roman" w:cs="Times New Roman"/>
          <w:sz w:val="24"/>
          <w:szCs w:val="24"/>
        </w:rPr>
        <w:t>s in their probability to escalate commitment.</w:t>
      </w:r>
    </w:p>
    <w:p w14:paraId="65DBE50A" w14:textId="1FD65F33" w:rsidR="00EB4077" w:rsidRPr="005F1FD6" w:rsidRDefault="00421A08" w:rsidP="009E0A45">
      <w:pPr>
        <w:spacing w:after="0" w:line="480" w:lineRule="auto"/>
        <w:ind w:firstLine="432"/>
        <w:jc w:val="both"/>
        <w:rPr>
          <w:rFonts w:ascii="Times New Roman" w:hAnsi="Times New Roman" w:cs="Times New Roman"/>
          <w:sz w:val="24"/>
          <w:szCs w:val="24"/>
        </w:rPr>
      </w:pPr>
      <w:r w:rsidRPr="005F1FD6">
        <w:rPr>
          <w:rFonts w:ascii="Times New Roman" w:hAnsi="Times New Roman" w:cs="Times New Roman"/>
          <w:sz w:val="24"/>
          <w:szCs w:val="24"/>
        </w:rPr>
        <w:t>The</w:t>
      </w:r>
      <w:r w:rsidR="000F0129" w:rsidRPr="005F1FD6">
        <w:rPr>
          <w:rFonts w:ascii="Times New Roman" w:hAnsi="Times New Roman" w:cs="Times New Roman"/>
          <w:sz w:val="24"/>
          <w:szCs w:val="24"/>
        </w:rPr>
        <w:t xml:space="preserve"> third hypothesis is tested in models </w:t>
      </w:r>
      <w:r w:rsidR="00600C34">
        <w:rPr>
          <w:rFonts w:ascii="Times New Roman" w:hAnsi="Times New Roman" w:cs="Times New Roman"/>
          <w:sz w:val="24"/>
          <w:szCs w:val="24"/>
        </w:rPr>
        <w:t>2</w:t>
      </w:r>
      <w:r w:rsidR="00600C34" w:rsidRPr="005F1FD6">
        <w:rPr>
          <w:rFonts w:ascii="Times New Roman" w:hAnsi="Times New Roman" w:cs="Times New Roman"/>
          <w:sz w:val="24"/>
          <w:szCs w:val="24"/>
        </w:rPr>
        <w:t xml:space="preserve">a </w:t>
      </w:r>
      <w:r w:rsidR="000F0129" w:rsidRPr="005F1FD6">
        <w:rPr>
          <w:rFonts w:ascii="Times New Roman" w:hAnsi="Times New Roman" w:cs="Times New Roman"/>
          <w:sz w:val="24"/>
          <w:szCs w:val="24"/>
        </w:rPr>
        <w:t xml:space="preserve">and </w:t>
      </w:r>
      <w:r w:rsidR="00600C34">
        <w:rPr>
          <w:rFonts w:ascii="Times New Roman" w:hAnsi="Times New Roman" w:cs="Times New Roman"/>
          <w:sz w:val="24"/>
          <w:szCs w:val="24"/>
        </w:rPr>
        <w:t>2</w:t>
      </w:r>
      <w:r w:rsidR="00600C34" w:rsidRPr="005F1FD6">
        <w:rPr>
          <w:rFonts w:ascii="Times New Roman" w:hAnsi="Times New Roman" w:cs="Times New Roman"/>
          <w:sz w:val="24"/>
          <w:szCs w:val="24"/>
        </w:rPr>
        <w:t xml:space="preserve">b </w:t>
      </w:r>
      <w:r w:rsidR="00BE62FF">
        <w:rPr>
          <w:rFonts w:ascii="Times New Roman" w:hAnsi="Times New Roman" w:cs="Times New Roman"/>
          <w:sz w:val="24"/>
          <w:szCs w:val="24"/>
        </w:rPr>
        <w:t>(Table 6)</w:t>
      </w:r>
      <w:r w:rsidR="00BF68EC">
        <w:rPr>
          <w:rFonts w:ascii="Times New Roman" w:hAnsi="Times New Roman" w:cs="Times New Roman"/>
          <w:sz w:val="24"/>
          <w:szCs w:val="24"/>
        </w:rPr>
        <w:t>.</w:t>
      </w:r>
      <w:r w:rsidR="00BE62FF">
        <w:rPr>
          <w:rFonts w:ascii="Times New Roman" w:hAnsi="Times New Roman" w:cs="Times New Roman"/>
          <w:sz w:val="24"/>
          <w:szCs w:val="24"/>
        </w:rPr>
        <w:t xml:space="preserve"> </w:t>
      </w:r>
      <w:r w:rsidR="00BF68EC">
        <w:rPr>
          <w:rFonts w:ascii="Times New Roman" w:hAnsi="Times New Roman" w:cs="Times New Roman"/>
          <w:sz w:val="24"/>
          <w:szCs w:val="24"/>
        </w:rPr>
        <w:t xml:space="preserve">Domestic VC firms is the reference category and </w:t>
      </w:r>
      <w:r w:rsidR="00881097" w:rsidRPr="005F1FD6">
        <w:rPr>
          <w:rFonts w:ascii="Times New Roman" w:hAnsi="Times New Roman" w:cs="Times New Roman"/>
          <w:sz w:val="24"/>
          <w:szCs w:val="24"/>
        </w:rPr>
        <w:t>interaction terms between</w:t>
      </w:r>
      <w:r w:rsidR="000F0129" w:rsidRPr="005F1FD6">
        <w:rPr>
          <w:rFonts w:ascii="Times New Roman" w:hAnsi="Times New Roman" w:cs="Times New Roman"/>
          <w:sz w:val="24"/>
          <w:szCs w:val="24"/>
        </w:rPr>
        <w:t xml:space="preserve"> the </w:t>
      </w:r>
      <w:r w:rsidR="00D0203B">
        <w:rPr>
          <w:rFonts w:ascii="Times New Roman" w:hAnsi="Times New Roman" w:cs="Times New Roman"/>
          <w:i/>
          <w:sz w:val="24"/>
          <w:szCs w:val="24"/>
        </w:rPr>
        <w:t>Rounds</w:t>
      </w:r>
      <w:r w:rsidR="00D0203B" w:rsidRPr="005F1FD6">
        <w:rPr>
          <w:rFonts w:ascii="Times New Roman" w:hAnsi="Times New Roman" w:cs="Times New Roman"/>
          <w:sz w:val="24"/>
          <w:szCs w:val="24"/>
        </w:rPr>
        <w:t xml:space="preserve"> </w:t>
      </w:r>
      <w:r w:rsidR="000F0129" w:rsidRPr="005F1FD6">
        <w:rPr>
          <w:rFonts w:ascii="Times New Roman" w:hAnsi="Times New Roman" w:cs="Times New Roman"/>
          <w:sz w:val="24"/>
          <w:szCs w:val="24"/>
        </w:rPr>
        <w:t>variable and</w:t>
      </w:r>
      <w:r w:rsidR="00881097" w:rsidRPr="005F1FD6">
        <w:rPr>
          <w:rFonts w:ascii="Times New Roman" w:hAnsi="Times New Roman" w:cs="Times New Roman"/>
          <w:sz w:val="24"/>
          <w:szCs w:val="24"/>
        </w:rPr>
        <w:t xml:space="preserve"> both the </w:t>
      </w:r>
      <w:r w:rsidR="000F0129" w:rsidRPr="005F1FD6">
        <w:rPr>
          <w:rFonts w:ascii="Times New Roman" w:hAnsi="Times New Roman" w:cs="Times New Roman"/>
          <w:i/>
          <w:sz w:val="24"/>
          <w:szCs w:val="24"/>
        </w:rPr>
        <w:t>cross-border</w:t>
      </w:r>
      <w:r w:rsidR="000F0129" w:rsidRPr="005F1FD6">
        <w:rPr>
          <w:rFonts w:ascii="Times New Roman" w:hAnsi="Times New Roman" w:cs="Times New Roman"/>
          <w:sz w:val="24"/>
          <w:szCs w:val="24"/>
        </w:rPr>
        <w:t xml:space="preserve"> </w:t>
      </w:r>
      <w:r w:rsidR="00881097" w:rsidRPr="005F1FD6">
        <w:rPr>
          <w:rFonts w:ascii="Times New Roman" w:hAnsi="Times New Roman" w:cs="Times New Roman"/>
          <w:sz w:val="24"/>
          <w:szCs w:val="24"/>
        </w:rPr>
        <w:t xml:space="preserve">and </w:t>
      </w:r>
      <w:r w:rsidR="000F0129" w:rsidRPr="005F1FD6">
        <w:rPr>
          <w:rFonts w:ascii="Times New Roman" w:hAnsi="Times New Roman" w:cs="Times New Roman"/>
          <w:i/>
          <w:sz w:val="24"/>
          <w:szCs w:val="24"/>
        </w:rPr>
        <w:t>branch VC firm dummies</w:t>
      </w:r>
      <w:r w:rsidR="00ED365C">
        <w:rPr>
          <w:rFonts w:ascii="Times New Roman" w:hAnsi="Times New Roman" w:cs="Times New Roman"/>
          <w:sz w:val="24"/>
          <w:szCs w:val="24"/>
        </w:rPr>
        <w:t xml:space="preserve"> </w:t>
      </w:r>
      <w:r w:rsidR="00BF68EC">
        <w:rPr>
          <w:rFonts w:ascii="Times New Roman" w:hAnsi="Times New Roman" w:cs="Times New Roman"/>
          <w:sz w:val="24"/>
          <w:szCs w:val="24"/>
        </w:rPr>
        <w:t>are included</w:t>
      </w:r>
      <w:r w:rsidR="00881097" w:rsidRPr="005F1FD6">
        <w:rPr>
          <w:rFonts w:ascii="Times New Roman" w:hAnsi="Times New Roman" w:cs="Times New Roman"/>
          <w:sz w:val="24"/>
          <w:szCs w:val="24"/>
        </w:rPr>
        <w:t xml:space="preserve">. </w:t>
      </w:r>
      <w:r w:rsidR="00EC45A8">
        <w:rPr>
          <w:rFonts w:ascii="Times New Roman" w:hAnsi="Times New Roman" w:cs="Times New Roman"/>
          <w:sz w:val="24"/>
          <w:szCs w:val="24"/>
        </w:rPr>
        <w:t xml:space="preserve">The </w:t>
      </w:r>
      <w:r w:rsidR="00EC45A8" w:rsidRPr="00CE3EE7">
        <w:rPr>
          <w:rFonts w:ascii="Times New Roman" w:hAnsi="Times New Roman" w:cs="Times New Roman"/>
          <w:i/>
          <w:sz w:val="24"/>
          <w:szCs w:val="24"/>
        </w:rPr>
        <w:t>Rounds</w:t>
      </w:r>
      <w:r w:rsidR="00EC45A8">
        <w:rPr>
          <w:rFonts w:ascii="Times New Roman" w:hAnsi="Times New Roman" w:cs="Times New Roman"/>
          <w:sz w:val="24"/>
          <w:szCs w:val="24"/>
        </w:rPr>
        <w:t xml:space="preserve"> variable is significant (p&lt;0.01) </w:t>
      </w:r>
      <w:r w:rsidR="00493C1D">
        <w:rPr>
          <w:rFonts w:ascii="Times New Roman" w:hAnsi="Times New Roman" w:cs="Times New Roman"/>
          <w:sz w:val="24"/>
          <w:szCs w:val="24"/>
        </w:rPr>
        <w:t xml:space="preserve">and negative </w:t>
      </w:r>
      <w:r w:rsidR="00EC45A8">
        <w:rPr>
          <w:rFonts w:ascii="Times New Roman" w:hAnsi="Times New Roman" w:cs="Times New Roman"/>
          <w:sz w:val="24"/>
          <w:szCs w:val="24"/>
        </w:rPr>
        <w:t xml:space="preserve">in both the success and the termination models, indicating that domestic VC firms have a decreasing probability of having a successful exit and a termination event over rounds. </w:t>
      </w:r>
      <w:r w:rsidR="00CE672D" w:rsidRPr="005F1FD6">
        <w:rPr>
          <w:rFonts w:ascii="Times New Roman" w:hAnsi="Times New Roman" w:cs="Times New Roman"/>
          <w:sz w:val="24"/>
          <w:szCs w:val="24"/>
        </w:rPr>
        <w:t>C</w:t>
      </w:r>
      <w:r w:rsidR="007C6141" w:rsidRPr="005F1FD6">
        <w:rPr>
          <w:rFonts w:ascii="Times New Roman" w:hAnsi="Times New Roman" w:cs="Times New Roman"/>
          <w:sz w:val="24"/>
          <w:szCs w:val="24"/>
        </w:rPr>
        <w:t xml:space="preserve">ompared to </w:t>
      </w:r>
      <w:r w:rsidR="00A2337F" w:rsidRPr="005F1FD6">
        <w:rPr>
          <w:rFonts w:ascii="Times New Roman" w:hAnsi="Times New Roman" w:cs="Times New Roman"/>
          <w:sz w:val="24"/>
          <w:szCs w:val="24"/>
        </w:rPr>
        <w:t>domestic</w:t>
      </w:r>
      <w:r w:rsidR="007C6141" w:rsidRPr="005F1FD6">
        <w:rPr>
          <w:rFonts w:ascii="Times New Roman" w:hAnsi="Times New Roman" w:cs="Times New Roman"/>
          <w:sz w:val="24"/>
          <w:szCs w:val="24"/>
        </w:rPr>
        <w:t xml:space="preserve"> VC</w:t>
      </w:r>
      <w:r w:rsidR="00CE672D" w:rsidRPr="005F1FD6">
        <w:rPr>
          <w:rFonts w:ascii="Times New Roman" w:hAnsi="Times New Roman" w:cs="Times New Roman"/>
          <w:sz w:val="24"/>
          <w:szCs w:val="24"/>
        </w:rPr>
        <w:t xml:space="preserve"> firm</w:t>
      </w:r>
      <w:r w:rsidR="007C6141" w:rsidRPr="005F1FD6">
        <w:rPr>
          <w:rFonts w:ascii="Times New Roman" w:hAnsi="Times New Roman" w:cs="Times New Roman"/>
          <w:sz w:val="24"/>
          <w:szCs w:val="24"/>
        </w:rPr>
        <w:t xml:space="preserve">s, </w:t>
      </w:r>
      <w:r w:rsidR="00942C56" w:rsidRPr="005F1FD6">
        <w:rPr>
          <w:rFonts w:ascii="Times New Roman" w:hAnsi="Times New Roman" w:cs="Times New Roman"/>
          <w:sz w:val="24"/>
          <w:szCs w:val="24"/>
        </w:rPr>
        <w:t>the probability of having a successful exit declines significantly less over rounds for branch VC</w:t>
      </w:r>
      <w:r w:rsidR="00CE672D" w:rsidRPr="005F1FD6">
        <w:rPr>
          <w:rFonts w:ascii="Times New Roman" w:hAnsi="Times New Roman" w:cs="Times New Roman"/>
          <w:sz w:val="24"/>
          <w:szCs w:val="24"/>
        </w:rPr>
        <w:t xml:space="preserve"> firm</w:t>
      </w:r>
      <w:r w:rsidR="00942C56" w:rsidRPr="005F1FD6">
        <w:rPr>
          <w:rFonts w:ascii="Times New Roman" w:hAnsi="Times New Roman" w:cs="Times New Roman"/>
          <w:sz w:val="24"/>
          <w:szCs w:val="24"/>
        </w:rPr>
        <w:t>s (p&lt;0.05</w:t>
      </w:r>
      <w:r w:rsidR="00CE672D" w:rsidRPr="005F1FD6">
        <w:rPr>
          <w:rFonts w:ascii="Times New Roman" w:hAnsi="Times New Roman" w:cs="Times New Roman"/>
          <w:sz w:val="24"/>
          <w:szCs w:val="24"/>
        </w:rPr>
        <w:t xml:space="preserve">, model </w:t>
      </w:r>
      <w:r w:rsidR="00600C34">
        <w:rPr>
          <w:rFonts w:ascii="Times New Roman" w:hAnsi="Times New Roman" w:cs="Times New Roman"/>
          <w:sz w:val="24"/>
          <w:szCs w:val="24"/>
        </w:rPr>
        <w:t>2</w:t>
      </w:r>
      <w:r w:rsidR="00600C34" w:rsidRPr="005F1FD6">
        <w:rPr>
          <w:rFonts w:ascii="Times New Roman" w:hAnsi="Times New Roman" w:cs="Times New Roman"/>
          <w:sz w:val="24"/>
          <w:szCs w:val="24"/>
        </w:rPr>
        <w:t>a</w:t>
      </w:r>
      <w:r w:rsidR="00942C56" w:rsidRPr="005F1FD6">
        <w:rPr>
          <w:rFonts w:ascii="Times New Roman" w:hAnsi="Times New Roman" w:cs="Times New Roman"/>
          <w:sz w:val="24"/>
          <w:szCs w:val="24"/>
        </w:rPr>
        <w:t>)</w:t>
      </w:r>
      <w:r w:rsidR="00CE672D" w:rsidRPr="005F1FD6">
        <w:rPr>
          <w:rFonts w:ascii="Times New Roman" w:hAnsi="Times New Roman" w:cs="Times New Roman"/>
          <w:sz w:val="24"/>
          <w:szCs w:val="24"/>
        </w:rPr>
        <w:t xml:space="preserve">, but there is </w:t>
      </w:r>
      <w:r w:rsidR="00941104" w:rsidRPr="005F1FD6">
        <w:rPr>
          <w:rFonts w:ascii="Times New Roman" w:hAnsi="Times New Roman" w:cs="Times New Roman"/>
          <w:sz w:val="24"/>
          <w:szCs w:val="24"/>
        </w:rPr>
        <w:t>no significant difference in probability of termination over rounds be</w:t>
      </w:r>
      <w:r w:rsidR="007C6141" w:rsidRPr="005F1FD6">
        <w:rPr>
          <w:rFonts w:ascii="Times New Roman" w:hAnsi="Times New Roman" w:cs="Times New Roman"/>
          <w:sz w:val="24"/>
          <w:szCs w:val="24"/>
        </w:rPr>
        <w:t xml:space="preserve">tween </w:t>
      </w:r>
      <w:r w:rsidR="00942C56" w:rsidRPr="005F1FD6">
        <w:rPr>
          <w:rFonts w:ascii="Times New Roman" w:hAnsi="Times New Roman" w:cs="Times New Roman"/>
          <w:sz w:val="24"/>
          <w:szCs w:val="24"/>
        </w:rPr>
        <w:t>branch</w:t>
      </w:r>
      <w:r w:rsidR="007C6141" w:rsidRPr="005F1FD6">
        <w:rPr>
          <w:rFonts w:ascii="Times New Roman" w:hAnsi="Times New Roman" w:cs="Times New Roman"/>
          <w:sz w:val="24"/>
          <w:szCs w:val="24"/>
        </w:rPr>
        <w:t xml:space="preserve"> VC</w:t>
      </w:r>
      <w:r w:rsidR="00CE672D" w:rsidRPr="005F1FD6">
        <w:rPr>
          <w:rFonts w:ascii="Times New Roman" w:hAnsi="Times New Roman" w:cs="Times New Roman"/>
          <w:sz w:val="24"/>
          <w:szCs w:val="24"/>
        </w:rPr>
        <w:t xml:space="preserve"> firm</w:t>
      </w:r>
      <w:r w:rsidR="007C6141" w:rsidRPr="005F1FD6">
        <w:rPr>
          <w:rFonts w:ascii="Times New Roman" w:hAnsi="Times New Roman" w:cs="Times New Roman"/>
          <w:sz w:val="24"/>
          <w:szCs w:val="24"/>
        </w:rPr>
        <w:t xml:space="preserve">s and </w:t>
      </w:r>
      <w:r w:rsidR="00942C56" w:rsidRPr="005F1FD6">
        <w:rPr>
          <w:rFonts w:ascii="Times New Roman" w:hAnsi="Times New Roman" w:cs="Times New Roman"/>
          <w:sz w:val="24"/>
          <w:szCs w:val="24"/>
        </w:rPr>
        <w:t>domestic</w:t>
      </w:r>
      <w:r w:rsidR="007C6141" w:rsidRPr="005F1FD6">
        <w:rPr>
          <w:rFonts w:ascii="Times New Roman" w:hAnsi="Times New Roman" w:cs="Times New Roman"/>
          <w:sz w:val="24"/>
          <w:szCs w:val="24"/>
        </w:rPr>
        <w:t xml:space="preserve"> VC</w:t>
      </w:r>
      <w:r w:rsidR="00CE672D" w:rsidRPr="005F1FD6">
        <w:rPr>
          <w:rFonts w:ascii="Times New Roman" w:hAnsi="Times New Roman" w:cs="Times New Roman"/>
          <w:sz w:val="24"/>
          <w:szCs w:val="24"/>
        </w:rPr>
        <w:t xml:space="preserve"> firms (model </w:t>
      </w:r>
      <w:r w:rsidR="00600C34">
        <w:rPr>
          <w:rFonts w:ascii="Times New Roman" w:hAnsi="Times New Roman" w:cs="Times New Roman"/>
          <w:sz w:val="24"/>
          <w:szCs w:val="24"/>
        </w:rPr>
        <w:t>2</w:t>
      </w:r>
      <w:r w:rsidR="00600C34" w:rsidRPr="005F1FD6">
        <w:rPr>
          <w:rFonts w:ascii="Times New Roman" w:hAnsi="Times New Roman" w:cs="Times New Roman"/>
          <w:sz w:val="24"/>
          <w:szCs w:val="24"/>
        </w:rPr>
        <w:t>b</w:t>
      </w:r>
      <w:r w:rsidR="00CE672D" w:rsidRPr="005F1FD6">
        <w:rPr>
          <w:rFonts w:ascii="Times New Roman" w:hAnsi="Times New Roman" w:cs="Times New Roman"/>
          <w:sz w:val="24"/>
          <w:szCs w:val="24"/>
        </w:rPr>
        <w:t>)</w:t>
      </w:r>
      <w:r w:rsidR="00941104" w:rsidRPr="005F1FD6">
        <w:rPr>
          <w:rFonts w:ascii="Times New Roman" w:hAnsi="Times New Roman" w:cs="Times New Roman"/>
          <w:sz w:val="24"/>
          <w:szCs w:val="24"/>
        </w:rPr>
        <w:t>.</w:t>
      </w:r>
      <w:r w:rsidR="00942C56" w:rsidRPr="005F1FD6">
        <w:rPr>
          <w:rFonts w:ascii="Times New Roman" w:hAnsi="Times New Roman" w:cs="Times New Roman"/>
          <w:sz w:val="24"/>
          <w:szCs w:val="24"/>
        </w:rPr>
        <w:t xml:space="preserve"> </w:t>
      </w:r>
      <w:r w:rsidR="00591702" w:rsidRPr="005F1FD6">
        <w:rPr>
          <w:rFonts w:ascii="Times New Roman" w:hAnsi="Times New Roman" w:cs="Times New Roman"/>
          <w:sz w:val="24"/>
          <w:szCs w:val="24"/>
        </w:rPr>
        <w:t xml:space="preserve">Combining these results with the earlier finding that </w:t>
      </w:r>
      <w:r w:rsidR="006F6157">
        <w:rPr>
          <w:rFonts w:ascii="Times New Roman" w:hAnsi="Times New Roman" w:cs="Times New Roman"/>
          <w:sz w:val="24"/>
          <w:szCs w:val="24"/>
        </w:rPr>
        <w:t xml:space="preserve">there is no difference between </w:t>
      </w:r>
      <w:r w:rsidR="005600E0">
        <w:rPr>
          <w:rFonts w:ascii="Times New Roman" w:hAnsi="Times New Roman" w:cs="Times New Roman"/>
          <w:sz w:val="24"/>
          <w:szCs w:val="24"/>
        </w:rPr>
        <w:t>cross-border</w:t>
      </w:r>
      <w:r w:rsidR="00591702" w:rsidRPr="005F1FD6">
        <w:rPr>
          <w:rFonts w:ascii="Times New Roman" w:hAnsi="Times New Roman" w:cs="Times New Roman"/>
          <w:sz w:val="24"/>
          <w:szCs w:val="24"/>
        </w:rPr>
        <w:t xml:space="preserve"> VC firms </w:t>
      </w:r>
      <w:r w:rsidR="006F6157">
        <w:rPr>
          <w:rFonts w:ascii="Times New Roman" w:hAnsi="Times New Roman" w:cs="Times New Roman"/>
          <w:sz w:val="24"/>
          <w:szCs w:val="24"/>
        </w:rPr>
        <w:t xml:space="preserve">and branch VC firms </w:t>
      </w:r>
      <w:r w:rsidR="001A2568">
        <w:rPr>
          <w:rFonts w:ascii="Times New Roman" w:hAnsi="Times New Roman" w:cs="Times New Roman"/>
          <w:sz w:val="24"/>
          <w:szCs w:val="24"/>
        </w:rPr>
        <w:t xml:space="preserve">and that they </w:t>
      </w:r>
      <w:r w:rsidR="00591702" w:rsidRPr="005F1FD6">
        <w:rPr>
          <w:rFonts w:ascii="Times New Roman" w:hAnsi="Times New Roman" w:cs="Times New Roman"/>
          <w:sz w:val="24"/>
          <w:szCs w:val="24"/>
        </w:rPr>
        <w:t xml:space="preserve">do not escalate their commitment while domestic VC firms do </w:t>
      </w:r>
      <w:r w:rsidR="00942C56" w:rsidRPr="005F1FD6">
        <w:rPr>
          <w:rFonts w:ascii="Times New Roman" w:hAnsi="Times New Roman" w:cs="Times New Roman"/>
          <w:sz w:val="24"/>
          <w:szCs w:val="24"/>
        </w:rPr>
        <w:t>provide</w:t>
      </w:r>
      <w:r w:rsidR="00591702" w:rsidRPr="005F1FD6">
        <w:rPr>
          <w:rFonts w:ascii="Times New Roman" w:hAnsi="Times New Roman" w:cs="Times New Roman"/>
          <w:sz w:val="24"/>
          <w:szCs w:val="24"/>
        </w:rPr>
        <w:t>s</w:t>
      </w:r>
      <w:r w:rsidR="00942C56" w:rsidRPr="005F1FD6">
        <w:rPr>
          <w:rFonts w:ascii="Times New Roman" w:hAnsi="Times New Roman" w:cs="Times New Roman"/>
          <w:sz w:val="24"/>
          <w:szCs w:val="24"/>
        </w:rPr>
        <w:t xml:space="preserve"> strong support for hypothesis </w:t>
      </w:r>
      <w:r w:rsidR="00591702" w:rsidRPr="005F1FD6">
        <w:rPr>
          <w:rFonts w:ascii="Times New Roman" w:hAnsi="Times New Roman" w:cs="Times New Roman"/>
          <w:sz w:val="24"/>
          <w:szCs w:val="24"/>
        </w:rPr>
        <w:t xml:space="preserve">3: </w:t>
      </w:r>
      <w:r w:rsidR="00942C56" w:rsidRPr="005F1FD6">
        <w:rPr>
          <w:rFonts w:ascii="Times New Roman" w:hAnsi="Times New Roman" w:cs="Times New Roman"/>
          <w:sz w:val="24"/>
          <w:szCs w:val="24"/>
        </w:rPr>
        <w:t>branch VC</w:t>
      </w:r>
      <w:r w:rsidR="00337C80" w:rsidRPr="005F1FD6">
        <w:rPr>
          <w:rFonts w:ascii="Times New Roman" w:hAnsi="Times New Roman" w:cs="Times New Roman"/>
          <w:sz w:val="24"/>
          <w:szCs w:val="24"/>
        </w:rPr>
        <w:t xml:space="preserve"> firm</w:t>
      </w:r>
      <w:r w:rsidR="00942C56" w:rsidRPr="005F1FD6">
        <w:rPr>
          <w:rFonts w:ascii="Times New Roman" w:hAnsi="Times New Roman" w:cs="Times New Roman"/>
          <w:sz w:val="24"/>
          <w:szCs w:val="24"/>
        </w:rPr>
        <w:t>s are less prone to escalate commitment compared to domestic VC</w:t>
      </w:r>
      <w:r w:rsidR="00337C80" w:rsidRPr="005F1FD6">
        <w:rPr>
          <w:rFonts w:ascii="Times New Roman" w:hAnsi="Times New Roman" w:cs="Times New Roman"/>
          <w:sz w:val="24"/>
          <w:szCs w:val="24"/>
        </w:rPr>
        <w:t xml:space="preserve"> firm</w:t>
      </w:r>
      <w:r w:rsidR="00942C56" w:rsidRPr="005F1FD6">
        <w:rPr>
          <w:rFonts w:ascii="Times New Roman" w:hAnsi="Times New Roman" w:cs="Times New Roman"/>
          <w:sz w:val="24"/>
          <w:szCs w:val="24"/>
        </w:rPr>
        <w:t xml:space="preserve">s. In addition, </w:t>
      </w:r>
      <w:r w:rsidRPr="005F1FD6">
        <w:rPr>
          <w:rFonts w:ascii="Times New Roman" w:hAnsi="Times New Roman" w:cs="Times New Roman"/>
          <w:sz w:val="24"/>
          <w:szCs w:val="24"/>
        </w:rPr>
        <w:t xml:space="preserve">models </w:t>
      </w:r>
      <w:r w:rsidR="00B27B7A">
        <w:rPr>
          <w:rFonts w:ascii="Times New Roman" w:hAnsi="Times New Roman" w:cs="Times New Roman"/>
          <w:sz w:val="24"/>
          <w:szCs w:val="24"/>
        </w:rPr>
        <w:t>2</w:t>
      </w:r>
      <w:r w:rsidR="00B27B7A" w:rsidRPr="005F1FD6">
        <w:rPr>
          <w:rFonts w:ascii="Times New Roman" w:hAnsi="Times New Roman" w:cs="Times New Roman"/>
          <w:sz w:val="24"/>
          <w:szCs w:val="24"/>
        </w:rPr>
        <w:t xml:space="preserve">a </w:t>
      </w:r>
      <w:r w:rsidR="007C0844" w:rsidRPr="005F1FD6">
        <w:rPr>
          <w:rFonts w:ascii="Times New Roman" w:hAnsi="Times New Roman" w:cs="Times New Roman"/>
          <w:sz w:val="24"/>
          <w:szCs w:val="24"/>
        </w:rPr>
        <w:t xml:space="preserve">and </w:t>
      </w:r>
      <w:r w:rsidR="00B27B7A">
        <w:rPr>
          <w:rFonts w:ascii="Times New Roman" w:hAnsi="Times New Roman" w:cs="Times New Roman"/>
          <w:sz w:val="24"/>
          <w:szCs w:val="24"/>
        </w:rPr>
        <w:t>2</w:t>
      </w:r>
      <w:r w:rsidR="00B27B7A" w:rsidRPr="005F1FD6">
        <w:rPr>
          <w:rFonts w:ascii="Times New Roman" w:hAnsi="Times New Roman" w:cs="Times New Roman"/>
          <w:sz w:val="24"/>
          <w:szCs w:val="24"/>
        </w:rPr>
        <w:t xml:space="preserve">b </w:t>
      </w:r>
      <w:r w:rsidRPr="005F1FD6">
        <w:rPr>
          <w:rFonts w:ascii="Times New Roman" w:hAnsi="Times New Roman" w:cs="Times New Roman"/>
          <w:sz w:val="24"/>
          <w:szCs w:val="24"/>
        </w:rPr>
        <w:t xml:space="preserve">again support the first </w:t>
      </w:r>
      <w:r w:rsidRPr="005F1FD6">
        <w:rPr>
          <w:rFonts w:ascii="Times New Roman" w:hAnsi="Times New Roman" w:cs="Times New Roman"/>
          <w:sz w:val="24"/>
          <w:szCs w:val="24"/>
        </w:rPr>
        <w:lastRenderedPageBreak/>
        <w:t>hypothesis that domestic VC</w:t>
      </w:r>
      <w:r w:rsidR="007C0844" w:rsidRPr="005F1FD6">
        <w:rPr>
          <w:rFonts w:ascii="Times New Roman" w:hAnsi="Times New Roman" w:cs="Times New Roman"/>
          <w:sz w:val="24"/>
          <w:szCs w:val="24"/>
        </w:rPr>
        <w:t xml:space="preserve"> firm</w:t>
      </w:r>
      <w:r w:rsidRPr="005F1FD6">
        <w:rPr>
          <w:rFonts w:ascii="Times New Roman" w:hAnsi="Times New Roman" w:cs="Times New Roman"/>
          <w:sz w:val="24"/>
          <w:szCs w:val="24"/>
        </w:rPr>
        <w:t xml:space="preserve">s have a higher tendency to escalate </w:t>
      </w:r>
      <w:r w:rsidR="007C0844" w:rsidRPr="005F1FD6">
        <w:rPr>
          <w:rFonts w:ascii="Times New Roman" w:hAnsi="Times New Roman" w:cs="Times New Roman"/>
          <w:sz w:val="24"/>
          <w:szCs w:val="24"/>
        </w:rPr>
        <w:t xml:space="preserve">their </w:t>
      </w:r>
      <w:r w:rsidRPr="005F1FD6">
        <w:rPr>
          <w:rFonts w:ascii="Times New Roman" w:hAnsi="Times New Roman" w:cs="Times New Roman"/>
          <w:sz w:val="24"/>
          <w:szCs w:val="24"/>
        </w:rPr>
        <w:t xml:space="preserve">commitment </w:t>
      </w:r>
      <w:r w:rsidR="007C0844" w:rsidRPr="005F1FD6">
        <w:rPr>
          <w:rFonts w:ascii="Times New Roman" w:hAnsi="Times New Roman" w:cs="Times New Roman"/>
          <w:sz w:val="24"/>
          <w:szCs w:val="24"/>
        </w:rPr>
        <w:t>than</w:t>
      </w:r>
      <w:r w:rsidRPr="005F1FD6">
        <w:rPr>
          <w:rFonts w:ascii="Times New Roman" w:hAnsi="Times New Roman" w:cs="Times New Roman"/>
          <w:sz w:val="24"/>
          <w:szCs w:val="24"/>
        </w:rPr>
        <w:t xml:space="preserve"> cross-border VC</w:t>
      </w:r>
      <w:r w:rsidR="007C0844" w:rsidRPr="005F1FD6">
        <w:rPr>
          <w:rFonts w:ascii="Times New Roman" w:hAnsi="Times New Roman" w:cs="Times New Roman"/>
          <w:sz w:val="24"/>
          <w:szCs w:val="24"/>
        </w:rPr>
        <w:t xml:space="preserve"> firm</w:t>
      </w:r>
      <w:r w:rsidRPr="005F1FD6">
        <w:rPr>
          <w:rFonts w:ascii="Times New Roman" w:hAnsi="Times New Roman" w:cs="Times New Roman"/>
          <w:sz w:val="24"/>
          <w:szCs w:val="24"/>
        </w:rPr>
        <w:t>s</w:t>
      </w:r>
      <w:r w:rsidR="0061001F" w:rsidRPr="005F1FD6">
        <w:rPr>
          <w:rFonts w:ascii="Times New Roman" w:hAnsi="Times New Roman" w:cs="Times New Roman"/>
          <w:sz w:val="24"/>
          <w:szCs w:val="24"/>
        </w:rPr>
        <w:t xml:space="preserve"> (p&lt;0.01)</w:t>
      </w:r>
      <w:r w:rsidRPr="005F1FD6">
        <w:rPr>
          <w:rFonts w:ascii="Times New Roman" w:hAnsi="Times New Roman" w:cs="Times New Roman"/>
          <w:sz w:val="24"/>
          <w:szCs w:val="24"/>
        </w:rPr>
        <w:t>.</w:t>
      </w:r>
    </w:p>
    <w:p w14:paraId="3FEE9F3A" w14:textId="77777777" w:rsidR="00A14A01" w:rsidRDefault="00E12B48" w:rsidP="009E0A45">
      <w:pPr>
        <w:spacing w:after="0" w:line="480" w:lineRule="auto"/>
        <w:ind w:firstLine="432"/>
        <w:jc w:val="both"/>
        <w:rPr>
          <w:rFonts w:ascii="Times New Roman" w:hAnsi="Times New Roman" w:cs="Times New Roman"/>
          <w:sz w:val="24"/>
          <w:szCs w:val="24"/>
        </w:rPr>
      </w:pPr>
      <w:r w:rsidRPr="005F1FD6">
        <w:rPr>
          <w:rFonts w:ascii="Times New Roman" w:hAnsi="Times New Roman" w:cs="Times New Roman"/>
          <w:sz w:val="24"/>
          <w:szCs w:val="24"/>
        </w:rPr>
        <w:t xml:space="preserve">Figure 1 graphically </w:t>
      </w:r>
      <w:r w:rsidR="00DF08B8" w:rsidRPr="005F1FD6">
        <w:rPr>
          <w:rFonts w:ascii="Times New Roman" w:hAnsi="Times New Roman" w:cs="Times New Roman"/>
          <w:sz w:val="24"/>
          <w:szCs w:val="24"/>
        </w:rPr>
        <w:t>shows</w:t>
      </w:r>
      <w:r w:rsidRPr="005F1FD6">
        <w:rPr>
          <w:rFonts w:ascii="Times New Roman" w:hAnsi="Times New Roman" w:cs="Times New Roman"/>
          <w:sz w:val="24"/>
          <w:szCs w:val="24"/>
        </w:rPr>
        <w:t xml:space="preserve"> the impact of an additional round of finance on the baseline hazard of a successful </w:t>
      </w:r>
      <w:r w:rsidR="00D9033F">
        <w:rPr>
          <w:rFonts w:ascii="Times New Roman" w:hAnsi="Times New Roman" w:cs="Times New Roman"/>
          <w:sz w:val="24"/>
          <w:szCs w:val="24"/>
        </w:rPr>
        <w:t xml:space="preserve">exit </w:t>
      </w:r>
      <w:r w:rsidRPr="005F1FD6">
        <w:rPr>
          <w:rFonts w:ascii="Times New Roman" w:hAnsi="Times New Roman" w:cs="Times New Roman"/>
          <w:sz w:val="24"/>
          <w:szCs w:val="24"/>
        </w:rPr>
        <w:t>and</w:t>
      </w:r>
      <w:r w:rsidR="00E83545" w:rsidRPr="005F1FD6">
        <w:rPr>
          <w:rFonts w:ascii="Times New Roman" w:hAnsi="Times New Roman" w:cs="Times New Roman"/>
          <w:sz w:val="24"/>
          <w:szCs w:val="24"/>
        </w:rPr>
        <w:t xml:space="preserve"> of</w:t>
      </w:r>
      <w:r w:rsidRPr="005F1FD6">
        <w:rPr>
          <w:rFonts w:ascii="Times New Roman" w:hAnsi="Times New Roman" w:cs="Times New Roman"/>
          <w:sz w:val="24"/>
          <w:szCs w:val="24"/>
        </w:rPr>
        <w:t xml:space="preserve"> </w:t>
      </w:r>
      <w:r w:rsidR="00D9033F">
        <w:rPr>
          <w:rFonts w:ascii="Times New Roman" w:hAnsi="Times New Roman" w:cs="Times New Roman"/>
          <w:sz w:val="24"/>
          <w:szCs w:val="24"/>
        </w:rPr>
        <w:t>a termination event</w:t>
      </w:r>
      <w:r w:rsidRPr="005F1FD6">
        <w:rPr>
          <w:rFonts w:ascii="Times New Roman" w:hAnsi="Times New Roman" w:cs="Times New Roman"/>
          <w:sz w:val="24"/>
          <w:szCs w:val="24"/>
        </w:rPr>
        <w:t xml:space="preserve"> for each VC </w:t>
      </w:r>
      <w:r w:rsidR="00E83545" w:rsidRPr="005F1FD6">
        <w:rPr>
          <w:rFonts w:ascii="Times New Roman" w:hAnsi="Times New Roman" w:cs="Times New Roman"/>
          <w:sz w:val="24"/>
          <w:szCs w:val="24"/>
        </w:rPr>
        <w:t xml:space="preserve">firm </w:t>
      </w:r>
      <w:r w:rsidR="00D9033F">
        <w:rPr>
          <w:rFonts w:ascii="Times New Roman" w:hAnsi="Times New Roman" w:cs="Times New Roman"/>
          <w:sz w:val="24"/>
          <w:szCs w:val="24"/>
        </w:rPr>
        <w:t>origin</w:t>
      </w:r>
      <w:r w:rsidRPr="005F1FD6">
        <w:rPr>
          <w:rFonts w:ascii="Times New Roman" w:hAnsi="Times New Roman" w:cs="Times New Roman"/>
          <w:sz w:val="24"/>
          <w:szCs w:val="24"/>
        </w:rPr>
        <w:t xml:space="preserve">. </w:t>
      </w:r>
      <w:r w:rsidR="00BE62FF">
        <w:rPr>
          <w:rFonts w:ascii="Times New Roman" w:hAnsi="Times New Roman" w:cs="Times New Roman"/>
          <w:sz w:val="24"/>
          <w:szCs w:val="24"/>
        </w:rPr>
        <w:t>D</w:t>
      </w:r>
      <w:r w:rsidR="002B1CD3" w:rsidRPr="005F1FD6">
        <w:rPr>
          <w:rFonts w:ascii="Times New Roman" w:hAnsi="Times New Roman" w:cs="Times New Roman"/>
          <w:sz w:val="24"/>
          <w:szCs w:val="24"/>
        </w:rPr>
        <w:t>omestic VC</w:t>
      </w:r>
      <w:r w:rsidR="00E83545" w:rsidRPr="005F1FD6">
        <w:rPr>
          <w:rFonts w:ascii="Times New Roman" w:hAnsi="Times New Roman" w:cs="Times New Roman"/>
          <w:sz w:val="24"/>
          <w:szCs w:val="24"/>
        </w:rPr>
        <w:t xml:space="preserve"> firm</w:t>
      </w:r>
      <w:r w:rsidR="002B1CD3" w:rsidRPr="005F1FD6">
        <w:rPr>
          <w:rFonts w:ascii="Times New Roman" w:hAnsi="Times New Roman" w:cs="Times New Roman"/>
          <w:sz w:val="24"/>
          <w:szCs w:val="24"/>
        </w:rPr>
        <w:t>s’ probability to</w:t>
      </w:r>
      <w:r w:rsidR="00E83545" w:rsidRPr="005F1FD6">
        <w:rPr>
          <w:rFonts w:ascii="Times New Roman" w:hAnsi="Times New Roman" w:cs="Times New Roman"/>
          <w:sz w:val="24"/>
          <w:szCs w:val="24"/>
        </w:rPr>
        <w:t xml:space="preserve"> both</w:t>
      </w:r>
      <w:r w:rsidR="002B1CD3" w:rsidRPr="005F1FD6">
        <w:rPr>
          <w:rFonts w:ascii="Times New Roman" w:hAnsi="Times New Roman" w:cs="Times New Roman"/>
          <w:sz w:val="24"/>
          <w:szCs w:val="24"/>
        </w:rPr>
        <w:t xml:space="preserve"> terminate and successfully exit investments decline</w:t>
      </w:r>
      <w:r w:rsidR="00E83545" w:rsidRPr="005F1FD6">
        <w:rPr>
          <w:rFonts w:ascii="Times New Roman" w:hAnsi="Times New Roman" w:cs="Times New Roman"/>
          <w:sz w:val="24"/>
          <w:szCs w:val="24"/>
        </w:rPr>
        <w:t>s</w:t>
      </w:r>
      <w:r w:rsidR="002B1CD3" w:rsidRPr="005F1FD6">
        <w:rPr>
          <w:rFonts w:ascii="Times New Roman" w:hAnsi="Times New Roman" w:cs="Times New Roman"/>
          <w:sz w:val="24"/>
          <w:szCs w:val="24"/>
        </w:rPr>
        <w:t xml:space="preserve"> as they participate in more financing rounds</w:t>
      </w:r>
      <w:r w:rsidR="00D9033F">
        <w:rPr>
          <w:rFonts w:ascii="Times New Roman" w:hAnsi="Times New Roman" w:cs="Times New Roman"/>
          <w:sz w:val="24"/>
          <w:szCs w:val="24"/>
        </w:rPr>
        <w:t xml:space="preserve">, </w:t>
      </w:r>
      <w:r w:rsidR="00D9033F" w:rsidRPr="005F1FD6">
        <w:rPr>
          <w:rFonts w:ascii="Times New Roman" w:hAnsi="Times New Roman" w:cs="Times New Roman"/>
          <w:sz w:val="24"/>
          <w:szCs w:val="24"/>
        </w:rPr>
        <w:t xml:space="preserve">in contrast to cross-border </w:t>
      </w:r>
      <w:r w:rsidR="00B27B7A">
        <w:rPr>
          <w:rFonts w:ascii="Times New Roman" w:hAnsi="Times New Roman" w:cs="Times New Roman"/>
          <w:sz w:val="24"/>
          <w:szCs w:val="24"/>
        </w:rPr>
        <w:t xml:space="preserve">and branch </w:t>
      </w:r>
      <w:r w:rsidR="00D9033F" w:rsidRPr="005F1FD6">
        <w:rPr>
          <w:rFonts w:ascii="Times New Roman" w:hAnsi="Times New Roman" w:cs="Times New Roman"/>
          <w:sz w:val="24"/>
          <w:szCs w:val="24"/>
        </w:rPr>
        <w:t>VC firm</w:t>
      </w:r>
      <w:r w:rsidR="00D9033F">
        <w:rPr>
          <w:rFonts w:ascii="Times New Roman" w:hAnsi="Times New Roman" w:cs="Times New Roman"/>
          <w:sz w:val="24"/>
          <w:szCs w:val="24"/>
        </w:rPr>
        <w:t>s</w:t>
      </w:r>
      <w:r w:rsidR="002B1CD3" w:rsidRPr="005F1FD6">
        <w:rPr>
          <w:rFonts w:ascii="Times New Roman" w:hAnsi="Times New Roman" w:cs="Times New Roman"/>
          <w:sz w:val="24"/>
          <w:szCs w:val="24"/>
        </w:rPr>
        <w:t>. Cross-border and branch VC</w:t>
      </w:r>
      <w:r w:rsidR="00E83545" w:rsidRPr="005F1FD6">
        <w:rPr>
          <w:rFonts w:ascii="Times New Roman" w:hAnsi="Times New Roman" w:cs="Times New Roman"/>
          <w:sz w:val="24"/>
          <w:szCs w:val="24"/>
        </w:rPr>
        <w:t xml:space="preserve"> firm</w:t>
      </w:r>
      <w:r w:rsidR="002B1CD3" w:rsidRPr="005F1FD6">
        <w:rPr>
          <w:rFonts w:ascii="Times New Roman" w:hAnsi="Times New Roman" w:cs="Times New Roman"/>
          <w:sz w:val="24"/>
          <w:szCs w:val="24"/>
        </w:rPr>
        <w:t xml:space="preserve">s also have a declining probability to terminate investments as they participate in more </w:t>
      </w:r>
      <w:r w:rsidR="00E83545" w:rsidRPr="005F1FD6">
        <w:rPr>
          <w:rFonts w:ascii="Times New Roman" w:hAnsi="Times New Roman" w:cs="Times New Roman"/>
          <w:sz w:val="24"/>
          <w:szCs w:val="24"/>
        </w:rPr>
        <w:t>rounds</w:t>
      </w:r>
      <w:r w:rsidR="002B1CD3" w:rsidRPr="005F1FD6">
        <w:rPr>
          <w:rFonts w:ascii="Times New Roman" w:hAnsi="Times New Roman" w:cs="Times New Roman"/>
          <w:sz w:val="24"/>
          <w:szCs w:val="24"/>
        </w:rPr>
        <w:t>, but</w:t>
      </w:r>
      <w:r w:rsidR="00E83545" w:rsidRPr="005F1FD6">
        <w:rPr>
          <w:rFonts w:ascii="Times New Roman" w:hAnsi="Times New Roman" w:cs="Times New Roman"/>
          <w:sz w:val="24"/>
          <w:szCs w:val="24"/>
        </w:rPr>
        <w:t>, in contrast,</w:t>
      </w:r>
      <w:r w:rsidR="002B1CD3" w:rsidRPr="005F1FD6">
        <w:rPr>
          <w:rFonts w:ascii="Times New Roman" w:hAnsi="Times New Roman" w:cs="Times New Roman"/>
          <w:sz w:val="24"/>
          <w:szCs w:val="24"/>
        </w:rPr>
        <w:t xml:space="preserve"> their probability to have a successful exit increases over rounds. </w:t>
      </w:r>
    </w:p>
    <w:p w14:paraId="405F51CE" w14:textId="77777777" w:rsidR="008D4C11" w:rsidRDefault="008D4C11" w:rsidP="009E0A45">
      <w:pPr>
        <w:autoSpaceDE w:val="0"/>
        <w:autoSpaceDN w:val="0"/>
        <w:adjustRightInd w:val="0"/>
        <w:spacing w:after="0" w:line="240" w:lineRule="auto"/>
        <w:ind w:firstLine="432"/>
        <w:jc w:val="center"/>
        <w:rPr>
          <w:rFonts w:ascii="Melior" w:hAnsi="Melior" w:cs="Melior"/>
          <w:sz w:val="18"/>
          <w:szCs w:val="18"/>
        </w:rPr>
      </w:pPr>
      <w:r>
        <w:rPr>
          <w:rFonts w:ascii="Melior" w:hAnsi="Melior" w:cs="Melior"/>
          <w:sz w:val="18"/>
          <w:szCs w:val="18"/>
        </w:rPr>
        <w:t>------------------------------------</w:t>
      </w:r>
      <w:r w:rsidR="00063B38">
        <w:rPr>
          <w:rFonts w:ascii="Melior" w:hAnsi="Melior" w:cs="Melior"/>
          <w:sz w:val="18"/>
          <w:szCs w:val="18"/>
        </w:rPr>
        <w:t>-----</w:t>
      </w:r>
    </w:p>
    <w:p w14:paraId="23D22E98" w14:textId="77777777" w:rsidR="008D4C11" w:rsidRPr="00FC761C" w:rsidRDefault="008D4C11" w:rsidP="009E0A45">
      <w:pPr>
        <w:autoSpaceDE w:val="0"/>
        <w:autoSpaceDN w:val="0"/>
        <w:adjustRightInd w:val="0"/>
        <w:spacing w:after="0" w:line="240" w:lineRule="auto"/>
        <w:ind w:firstLine="432"/>
        <w:jc w:val="center"/>
        <w:rPr>
          <w:rFonts w:ascii="Times New Roman" w:hAnsi="Times New Roman" w:cs="Times New Roman"/>
          <w:sz w:val="24"/>
          <w:szCs w:val="24"/>
        </w:rPr>
      </w:pPr>
      <w:r>
        <w:rPr>
          <w:rFonts w:ascii="Times New Roman" w:hAnsi="Times New Roman" w:cs="Times New Roman"/>
          <w:sz w:val="24"/>
          <w:szCs w:val="24"/>
        </w:rPr>
        <w:t>Insert Figure 1</w:t>
      </w:r>
      <w:r w:rsidRPr="00FC761C">
        <w:rPr>
          <w:rFonts w:ascii="Times New Roman" w:hAnsi="Times New Roman" w:cs="Times New Roman"/>
          <w:sz w:val="24"/>
          <w:szCs w:val="24"/>
        </w:rPr>
        <w:t xml:space="preserve"> about here</w:t>
      </w:r>
    </w:p>
    <w:p w14:paraId="51524021" w14:textId="77777777" w:rsidR="008D4C11" w:rsidRPr="008D4C11" w:rsidRDefault="008D4C11" w:rsidP="009E0A45">
      <w:pPr>
        <w:autoSpaceDE w:val="0"/>
        <w:autoSpaceDN w:val="0"/>
        <w:adjustRightInd w:val="0"/>
        <w:spacing w:after="0" w:line="480" w:lineRule="auto"/>
        <w:ind w:firstLine="432"/>
        <w:contextualSpacing/>
        <w:jc w:val="center"/>
        <w:rPr>
          <w:rFonts w:ascii="Times New Roman" w:hAnsi="Times New Roman" w:cs="Times New Roman"/>
          <w:sz w:val="24"/>
          <w:szCs w:val="24"/>
          <w:u w:val="dotted"/>
        </w:rPr>
      </w:pPr>
      <w:r>
        <w:rPr>
          <w:rFonts w:ascii="Melior" w:hAnsi="Melior" w:cs="Melior"/>
          <w:sz w:val="18"/>
          <w:szCs w:val="18"/>
        </w:rPr>
        <w:t>------------------------------------</w:t>
      </w:r>
      <w:r w:rsidR="00063B38">
        <w:rPr>
          <w:rFonts w:ascii="Melior" w:hAnsi="Melior" w:cs="Melior"/>
          <w:sz w:val="18"/>
          <w:szCs w:val="18"/>
        </w:rPr>
        <w:t>-----</w:t>
      </w:r>
    </w:p>
    <w:p w14:paraId="5B7313B2" w14:textId="77777777" w:rsidR="00A9425A" w:rsidRPr="005F1FD6" w:rsidRDefault="00D52374" w:rsidP="009E0A45">
      <w:pPr>
        <w:spacing w:after="0" w:line="480" w:lineRule="auto"/>
        <w:jc w:val="both"/>
        <w:rPr>
          <w:rFonts w:ascii="Times New Roman" w:hAnsi="Times New Roman" w:cs="Times New Roman"/>
          <w:sz w:val="24"/>
          <w:szCs w:val="24"/>
        </w:rPr>
      </w:pPr>
      <w:r w:rsidRPr="005F1FD6">
        <w:rPr>
          <w:rFonts w:ascii="Times New Roman" w:hAnsi="Times New Roman" w:cs="Times New Roman"/>
          <w:b/>
          <w:sz w:val="24"/>
          <w:szCs w:val="24"/>
        </w:rPr>
        <w:t xml:space="preserve">Robustness </w:t>
      </w:r>
      <w:r w:rsidR="00054FBB" w:rsidRPr="005F1FD6">
        <w:rPr>
          <w:rFonts w:ascii="Times New Roman" w:hAnsi="Times New Roman" w:cs="Times New Roman"/>
          <w:b/>
          <w:sz w:val="24"/>
          <w:szCs w:val="24"/>
        </w:rPr>
        <w:t>of results</w:t>
      </w:r>
    </w:p>
    <w:p w14:paraId="68C7681B" w14:textId="77777777" w:rsidR="002612BA" w:rsidRPr="002612BA" w:rsidRDefault="00975AAA" w:rsidP="002612BA">
      <w:pPr>
        <w:spacing w:after="0" w:line="480" w:lineRule="auto"/>
        <w:ind w:firstLine="432"/>
        <w:jc w:val="both"/>
        <w:rPr>
          <w:rFonts w:ascii="Times New Roman" w:hAnsi="Times New Roman" w:cs="Times New Roman"/>
          <w:sz w:val="24"/>
          <w:szCs w:val="24"/>
        </w:rPr>
      </w:pPr>
      <w:r w:rsidRPr="005F1FD6">
        <w:rPr>
          <w:rFonts w:ascii="Times New Roman" w:hAnsi="Times New Roman" w:cs="Times New Roman"/>
          <w:sz w:val="24"/>
          <w:szCs w:val="24"/>
        </w:rPr>
        <w:t>A</w:t>
      </w:r>
      <w:r w:rsidR="00D63911" w:rsidRPr="005F1FD6">
        <w:rPr>
          <w:rFonts w:ascii="Times New Roman" w:hAnsi="Times New Roman" w:cs="Times New Roman"/>
          <w:sz w:val="24"/>
          <w:szCs w:val="24"/>
        </w:rPr>
        <w:t xml:space="preserve">dditional models </w:t>
      </w:r>
      <w:r w:rsidRPr="005F1FD6">
        <w:rPr>
          <w:rFonts w:ascii="Times New Roman" w:hAnsi="Times New Roman" w:cs="Times New Roman"/>
          <w:sz w:val="24"/>
          <w:szCs w:val="24"/>
        </w:rPr>
        <w:t xml:space="preserve">were fitted </w:t>
      </w:r>
      <w:r w:rsidR="00D63911" w:rsidRPr="005F1FD6">
        <w:rPr>
          <w:rFonts w:ascii="Times New Roman" w:hAnsi="Times New Roman" w:cs="Times New Roman"/>
          <w:sz w:val="24"/>
          <w:szCs w:val="24"/>
        </w:rPr>
        <w:t>to test for the robustness</w:t>
      </w:r>
      <w:r w:rsidR="00AC6AC0" w:rsidRPr="005F1FD6">
        <w:rPr>
          <w:rFonts w:ascii="Times New Roman" w:hAnsi="Times New Roman" w:cs="Times New Roman"/>
          <w:sz w:val="24"/>
          <w:szCs w:val="24"/>
        </w:rPr>
        <w:t xml:space="preserve"> </w:t>
      </w:r>
      <w:r w:rsidR="006E0CAD" w:rsidRPr="005F1FD6">
        <w:rPr>
          <w:rFonts w:ascii="Times New Roman" w:hAnsi="Times New Roman" w:cs="Times New Roman"/>
          <w:sz w:val="24"/>
          <w:szCs w:val="24"/>
        </w:rPr>
        <w:t>a</w:t>
      </w:r>
      <w:r w:rsidR="00AC6AC0" w:rsidRPr="005F1FD6">
        <w:rPr>
          <w:rFonts w:ascii="Times New Roman" w:hAnsi="Times New Roman" w:cs="Times New Roman"/>
          <w:sz w:val="24"/>
          <w:szCs w:val="24"/>
        </w:rPr>
        <w:t xml:space="preserve">nd assess the strength of </w:t>
      </w:r>
      <w:r w:rsidR="00D63911" w:rsidRPr="005F1FD6">
        <w:rPr>
          <w:rFonts w:ascii="Times New Roman" w:hAnsi="Times New Roman" w:cs="Times New Roman"/>
          <w:sz w:val="24"/>
          <w:szCs w:val="24"/>
        </w:rPr>
        <w:t>alternative explanations. We</w:t>
      </w:r>
      <w:r w:rsidRPr="005F1FD6">
        <w:rPr>
          <w:rFonts w:ascii="Times New Roman" w:hAnsi="Times New Roman" w:cs="Times New Roman"/>
          <w:sz w:val="24"/>
          <w:szCs w:val="24"/>
        </w:rPr>
        <w:t xml:space="preserve"> </w:t>
      </w:r>
      <w:r w:rsidR="00D63911" w:rsidRPr="005F1FD6">
        <w:rPr>
          <w:rFonts w:ascii="Times New Roman" w:hAnsi="Times New Roman" w:cs="Times New Roman"/>
          <w:sz w:val="24"/>
          <w:szCs w:val="24"/>
        </w:rPr>
        <w:t xml:space="preserve">focus on </w:t>
      </w:r>
      <w:r w:rsidR="004074C8">
        <w:rPr>
          <w:rFonts w:ascii="Times New Roman" w:hAnsi="Times New Roman" w:cs="Times New Roman"/>
          <w:sz w:val="24"/>
          <w:szCs w:val="24"/>
        </w:rPr>
        <w:t>three</w:t>
      </w:r>
      <w:r w:rsidR="00D63911" w:rsidRPr="005F1FD6">
        <w:rPr>
          <w:rFonts w:ascii="Times New Roman" w:hAnsi="Times New Roman" w:cs="Times New Roman"/>
          <w:sz w:val="24"/>
          <w:szCs w:val="24"/>
        </w:rPr>
        <w:t xml:space="preserve"> potential concerns.</w:t>
      </w:r>
      <w:r w:rsidR="00B46A57">
        <w:rPr>
          <w:rFonts w:ascii="Times New Roman" w:hAnsi="Times New Roman" w:cs="Times New Roman"/>
          <w:sz w:val="24"/>
          <w:szCs w:val="24"/>
        </w:rPr>
        <w:t xml:space="preserve"> </w:t>
      </w:r>
    </w:p>
    <w:p w14:paraId="44F1C8D9" w14:textId="77777777" w:rsidR="008041EB" w:rsidRDefault="004074C8" w:rsidP="00BF29F8">
      <w:pPr>
        <w:spacing w:after="0" w:line="48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First, </w:t>
      </w:r>
      <w:r w:rsidR="00BF29F8">
        <w:rPr>
          <w:rFonts w:ascii="Times New Roman" w:hAnsi="Times New Roman" w:cs="Times New Roman"/>
          <w:sz w:val="24"/>
          <w:szCs w:val="24"/>
        </w:rPr>
        <w:t xml:space="preserve">endogeneity might be a concern, as cross-border and branch VC firms might invest in more developed, less risky companies. Therefore, </w:t>
      </w:r>
      <w:r w:rsidR="000C0916">
        <w:rPr>
          <w:rFonts w:ascii="Times New Roman" w:hAnsi="Times New Roman" w:cs="Times New Roman"/>
          <w:sz w:val="24"/>
          <w:szCs w:val="24"/>
        </w:rPr>
        <w:t>our main analyses</w:t>
      </w:r>
      <w:r>
        <w:rPr>
          <w:rFonts w:ascii="Times New Roman" w:hAnsi="Times New Roman" w:cs="Times New Roman"/>
          <w:sz w:val="24"/>
          <w:szCs w:val="24"/>
        </w:rPr>
        <w:t xml:space="preserve"> controlled for selection biases </w:t>
      </w:r>
      <w:r w:rsidR="000C0916">
        <w:rPr>
          <w:rFonts w:ascii="Times New Roman" w:hAnsi="Times New Roman" w:cs="Times New Roman"/>
          <w:sz w:val="24"/>
          <w:szCs w:val="24"/>
        </w:rPr>
        <w:t xml:space="preserve">in various ways. The </w:t>
      </w:r>
      <w:r w:rsidR="009819E0">
        <w:rPr>
          <w:rFonts w:ascii="Times New Roman" w:hAnsi="Times New Roman" w:cs="Times New Roman"/>
          <w:sz w:val="24"/>
          <w:szCs w:val="24"/>
        </w:rPr>
        <w:t xml:space="preserve">initial </w:t>
      </w:r>
      <w:r w:rsidR="000C0916">
        <w:rPr>
          <w:rFonts w:ascii="Times New Roman" w:hAnsi="Times New Roman" w:cs="Times New Roman"/>
          <w:sz w:val="24"/>
          <w:szCs w:val="24"/>
        </w:rPr>
        <w:t>split sample analyses are not prone to selection issues, as the behavior of investors is compared within</w:t>
      </w:r>
      <w:r w:rsidR="00DD398A">
        <w:rPr>
          <w:rFonts w:ascii="Times New Roman" w:hAnsi="Times New Roman" w:cs="Times New Roman"/>
          <w:sz w:val="24"/>
          <w:szCs w:val="24"/>
        </w:rPr>
        <w:t xml:space="preserve"> </w:t>
      </w:r>
      <w:r w:rsidR="000C0916">
        <w:rPr>
          <w:rFonts w:ascii="Times New Roman" w:hAnsi="Times New Roman" w:cs="Times New Roman"/>
          <w:sz w:val="24"/>
          <w:szCs w:val="24"/>
        </w:rPr>
        <w:t xml:space="preserve">subsamples of pure domestic and pure cross-border </w:t>
      </w:r>
      <w:r w:rsidR="00865208">
        <w:rPr>
          <w:rFonts w:ascii="Times New Roman" w:hAnsi="Times New Roman" w:cs="Times New Roman"/>
          <w:sz w:val="24"/>
          <w:szCs w:val="24"/>
        </w:rPr>
        <w:t>investments. Even if domestic and cross-border investor</w:t>
      </w:r>
      <w:r w:rsidR="00BF29F8">
        <w:rPr>
          <w:rFonts w:ascii="Times New Roman" w:hAnsi="Times New Roman" w:cs="Times New Roman"/>
          <w:sz w:val="24"/>
          <w:szCs w:val="24"/>
        </w:rPr>
        <w:t>s</w:t>
      </w:r>
      <w:r w:rsidR="00865208">
        <w:rPr>
          <w:rFonts w:ascii="Times New Roman" w:hAnsi="Times New Roman" w:cs="Times New Roman"/>
          <w:sz w:val="24"/>
          <w:szCs w:val="24"/>
        </w:rPr>
        <w:t xml:space="preserve"> select different portfolio firms, </w:t>
      </w:r>
      <w:r w:rsidR="00BF29F8">
        <w:rPr>
          <w:rFonts w:ascii="Times New Roman" w:hAnsi="Times New Roman" w:cs="Times New Roman"/>
          <w:sz w:val="24"/>
          <w:szCs w:val="24"/>
        </w:rPr>
        <w:t>the split samples should be homogeneous. In the pooled sample</w:t>
      </w:r>
      <w:r w:rsidR="00BE62FF">
        <w:rPr>
          <w:rFonts w:ascii="Times New Roman" w:hAnsi="Times New Roman" w:cs="Times New Roman"/>
          <w:sz w:val="24"/>
          <w:szCs w:val="24"/>
        </w:rPr>
        <w:t xml:space="preserve"> analyses</w:t>
      </w:r>
      <w:r w:rsidR="00BF29F8">
        <w:rPr>
          <w:rFonts w:ascii="Times New Roman" w:hAnsi="Times New Roman" w:cs="Times New Roman"/>
          <w:sz w:val="24"/>
          <w:szCs w:val="24"/>
        </w:rPr>
        <w:t xml:space="preserve">, we controlled for endogeneity </w:t>
      </w:r>
      <w:r>
        <w:rPr>
          <w:rFonts w:ascii="Times New Roman" w:hAnsi="Times New Roman" w:cs="Times New Roman"/>
          <w:sz w:val="24"/>
          <w:szCs w:val="24"/>
        </w:rPr>
        <w:t>through inclusion of a selection model and thr</w:t>
      </w:r>
      <w:r w:rsidR="000C0916">
        <w:rPr>
          <w:rFonts w:ascii="Times New Roman" w:hAnsi="Times New Roman" w:cs="Times New Roman"/>
          <w:sz w:val="24"/>
          <w:szCs w:val="24"/>
        </w:rPr>
        <w:t>ough numerous control variables. Nevertheless,</w:t>
      </w:r>
      <w:r>
        <w:rPr>
          <w:rFonts w:ascii="Times New Roman" w:hAnsi="Times New Roman" w:cs="Times New Roman"/>
          <w:sz w:val="24"/>
          <w:szCs w:val="24"/>
        </w:rPr>
        <w:t xml:space="preserve"> we </w:t>
      </w:r>
      <w:r w:rsidR="00BF29F8">
        <w:rPr>
          <w:rFonts w:ascii="Times New Roman" w:hAnsi="Times New Roman" w:cs="Times New Roman"/>
          <w:sz w:val="24"/>
          <w:szCs w:val="24"/>
        </w:rPr>
        <w:t xml:space="preserve">still </w:t>
      </w:r>
      <w:r>
        <w:rPr>
          <w:rFonts w:ascii="Times New Roman" w:hAnsi="Times New Roman" w:cs="Times New Roman"/>
          <w:sz w:val="24"/>
          <w:szCs w:val="24"/>
        </w:rPr>
        <w:t xml:space="preserve">might fail to fully control for selection issues. </w:t>
      </w:r>
    </w:p>
    <w:p w14:paraId="0AB2FC09" w14:textId="77777777" w:rsidR="002612BA" w:rsidRDefault="002612BA" w:rsidP="002612BA">
      <w:pPr>
        <w:keepNext/>
        <w:keepLines/>
        <w:autoSpaceDE w:val="0"/>
        <w:autoSpaceDN w:val="0"/>
        <w:adjustRightInd w:val="0"/>
        <w:spacing w:after="0" w:line="240" w:lineRule="auto"/>
        <w:ind w:firstLine="431"/>
        <w:jc w:val="center"/>
        <w:rPr>
          <w:rFonts w:ascii="Melior" w:hAnsi="Melior" w:cs="Melior"/>
          <w:sz w:val="18"/>
          <w:szCs w:val="18"/>
        </w:rPr>
      </w:pPr>
      <w:r>
        <w:rPr>
          <w:rFonts w:ascii="Melior" w:hAnsi="Melior" w:cs="Melior"/>
          <w:sz w:val="18"/>
          <w:szCs w:val="18"/>
        </w:rPr>
        <w:lastRenderedPageBreak/>
        <w:t>-----------------------------------------</w:t>
      </w:r>
    </w:p>
    <w:p w14:paraId="0F7B9886" w14:textId="77777777" w:rsidR="002612BA" w:rsidRPr="00FC761C" w:rsidRDefault="002612BA" w:rsidP="002612BA">
      <w:pPr>
        <w:keepNext/>
        <w:keepLines/>
        <w:autoSpaceDE w:val="0"/>
        <w:autoSpaceDN w:val="0"/>
        <w:adjustRightInd w:val="0"/>
        <w:spacing w:after="0" w:line="240" w:lineRule="auto"/>
        <w:ind w:firstLine="431"/>
        <w:jc w:val="center"/>
        <w:rPr>
          <w:rFonts w:ascii="Times New Roman" w:hAnsi="Times New Roman" w:cs="Times New Roman"/>
          <w:sz w:val="24"/>
          <w:szCs w:val="24"/>
        </w:rPr>
      </w:pPr>
      <w:r w:rsidRPr="00FC761C">
        <w:rPr>
          <w:rFonts w:ascii="Times New Roman" w:hAnsi="Times New Roman" w:cs="Times New Roman"/>
          <w:sz w:val="24"/>
          <w:szCs w:val="24"/>
        </w:rPr>
        <w:t xml:space="preserve">Insert Table </w:t>
      </w:r>
      <w:r>
        <w:rPr>
          <w:rFonts w:ascii="Times New Roman" w:hAnsi="Times New Roman" w:cs="Times New Roman"/>
          <w:sz w:val="24"/>
          <w:szCs w:val="24"/>
        </w:rPr>
        <w:t>7</w:t>
      </w:r>
      <w:r w:rsidRPr="00FC761C">
        <w:rPr>
          <w:rFonts w:ascii="Times New Roman" w:hAnsi="Times New Roman" w:cs="Times New Roman"/>
          <w:sz w:val="24"/>
          <w:szCs w:val="24"/>
        </w:rPr>
        <w:t xml:space="preserve"> about here</w:t>
      </w:r>
    </w:p>
    <w:p w14:paraId="13970973" w14:textId="77777777" w:rsidR="002612BA" w:rsidRPr="00E50C27" w:rsidRDefault="002612BA" w:rsidP="00E50C27">
      <w:pPr>
        <w:keepNext/>
        <w:keepLines/>
        <w:autoSpaceDE w:val="0"/>
        <w:autoSpaceDN w:val="0"/>
        <w:adjustRightInd w:val="0"/>
        <w:spacing w:after="0" w:line="480" w:lineRule="auto"/>
        <w:ind w:firstLine="431"/>
        <w:contextualSpacing/>
        <w:jc w:val="center"/>
        <w:rPr>
          <w:rFonts w:ascii="Times New Roman" w:hAnsi="Times New Roman" w:cs="Times New Roman"/>
          <w:sz w:val="24"/>
          <w:szCs w:val="24"/>
          <w:u w:val="dotted"/>
        </w:rPr>
      </w:pPr>
      <w:r>
        <w:rPr>
          <w:rFonts w:ascii="Melior" w:hAnsi="Melior" w:cs="Melior"/>
          <w:sz w:val="18"/>
          <w:szCs w:val="18"/>
        </w:rPr>
        <w:t>-----------------------------------------</w:t>
      </w:r>
    </w:p>
    <w:p w14:paraId="2452402B" w14:textId="7E0EDB99" w:rsidR="004074C8" w:rsidRDefault="004E7D2E" w:rsidP="007E519D">
      <w:pPr>
        <w:spacing w:after="0" w:line="480" w:lineRule="auto"/>
        <w:ind w:firstLine="431"/>
        <w:jc w:val="both"/>
        <w:rPr>
          <w:rFonts w:ascii="Times New Roman" w:hAnsi="Times New Roman" w:cs="Times New Roman"/>
          <w:sz w:val="24"/>
          <w:szCs w:val="24"/>
        </w:rPr>
      </w:pPr>
      <w:r>
        <w:rPr>
          <w:rFonts w:ascii="Times New Roman" w:hAnsi="Times New Roman" w:cs="Times New Roman"/>
          <w:sz w:val="24"/>
          <w:szCs w:val="24"/>
        </w:rPr>
        <w:t>T</w:t>
      </w:r>
      <w:r w:rsidR="00676CCE">
        <w:rPr>
          <w:rFonts w:ascii="Times New Roman" w:hAnsi="Times New Roman" w:cs="Times New Roman"/>
          <w:sz w:val="24"/>
          <w:szCs w:val="24"/>
        </w:rPr>
        <w:t>o address this concern, we re-</w:t>
      </w:r>
      <w:r w:rsidR="00A95FF9">
        <w:rPr>
          <w:rFonts w:ascii="Times New Roman" w:hAnsi="Times New Roman" w:cs="Times New Roman"/>
          <w:sz w:val="24"/>
          <w:szCs w:val="24"/>
        </w:rPr>
        <w:t>ran</w:t>
      </w:r>
      <w:r w:rsidR="00676CCE">
        <w:rPr>
          <w:rFonts w:ascii="Times New Roman" w:hAnsi="Times New Roman" w:cs="Times New Roman"/>
          <w:sz w:val="24"/>
          <w:szCs w:val="24"/>
        </w:rPr>
        <w:t xml:space="preserve"> </w:t>
      </w:r>
      <w:r w:rsidR="009A5FD7">
        <w:rPr>
          <w:rFonts w:ascii="Times New Roman" w:hAnsi="Times New Roman" w:cs="Times New Roman"/>
          <w:sz w:val="24"/>
          <w:szCs w:val="24"/>
        </w:rPr>
        <w:t xml:space="preserve">the </w:t>
      </w:r>
      <w:r w:rsidR="00676CCE">
        <w:rPr>
          <w:rFonts w:ascii="Times New Roman" w:hAnsi="Times New Roman" w:cs="Times New Roman"/>
          <w:sz w:val="24"/>
          <w:szCs w:val="24"/>
        </w:rPr>
        <w:t xml:space="preserve">foregoing analyses including only </w:t>
      </w:r>
      <w:r w:rsidR="00A95FF9">
        <w:rPr>
          <w:rFonts w:ascii="Times New Roman" w:hAnsi="Times New Roman" w:cs="Times New Roman"/>
          <w:sz w:val="24"/>
          <w:szCs w:val="24"/>
        </w:rPr>
        <w:t xml:space="preserve">VC firms that invested </w:t>
      </w:r>
      <w:r w:rsidR="00A95FF9" w:rsidRPr="008041EB">
        <w:rPr>
          <w:rFonts w:ascii="Times New Roman" w:hAnsi="Times New Roman" w:cs="Times New Roman"/>
          <w:i/>
          <w:sz w:val="24"/>
          <w:szCs w:val="24"/>
        </w:rPr>
        <w:t>as from the first investment round</w:t>
      </w:r>
      <w:r w:rsidR="00A95FF9">
        <w:rPr>
          <w:rFonts w:ascii="Times New Roman" w:hAnsi="Times New Roman" w:cs="Times New Roman"/>
          <w:sz w:val="24"/>
          <w:szCs w:val="24"/>
        </w:rPr>
        <w:t xml:space="preserve">. </w:t>
      </w:r>
      <w:r w:rsidR="00BF29F8">
        <w:rPr>
          <w:rFonts w:ascii="Times New Roman" w:hAnsi="Times New Roman" w:cs="Times New Roman"/>
          <w:sz w:val="24"/>
          <w:szCs w:val="24"/>
        </w:rPr>
        <w:t xml:space="preserve">This should address the concern that cross-border </w:t>
      </w:r>
      <w:r w:rsidR="00A40762">
        <w:rPr>
          <w:rFonts w:ascii="Times New Roman" w:hAnsi="Times New Roman" w:cs="Times New Roman"/>
          <w:sz w:val="24"/>
          <w:szCs w:val="24"/>
        </w:rPr>
        <w:t xml:space="preserve">and branch </w:t>
      </w:r>
      <w:r w:rsidR="00BF29F8">
        <w:rPr>
          <w:rFonts w:ascii="Times New Roman" w:hAnsi="Times New Roman" w:cs="Times New Roman"/>
          <w:sz w:val="24"/>
          <w:szCs w:val="24"/>
        </w:rPr>
        <w:t xml:space="preserve">VC firms prefer later stage companies. </w:t>
      </w:r>
      <w:r w:rsidR="00A95FF9">
        <w:rPr>
          <w:rFonts w:ascii="Times New Roman" w:hAnsi="Times New Roman" w:cs="Times New Roman"/>
          <w:sz w:val="24"/>
          <w:szCs w:val="24"/>
        </w:rPr>
        <w:t xml:space="preserve">The </w:t>
      </w:r>
      <w:r w:rsidR="00CF2CD6">
        <w:rPr>
          <w:rFonts w:ascii="Times New Roman" w:hAnsi="Times New Roman" w:cs="Times New Roman"/>
          <w:sz w:val="24"/>
          <w:szCs w:val="24"/>
        </w:rPr>
        <w:t>pooled sample</w:t>
      </w:r>
      <w:r w:rsidR="00BE62FF">
        <w:rPr>
          <w:rFonts w:ascii="Times New Roman" w:hAnsi="Times New Roman" w:cs="Times New Roman"/>
          <w:sz w:val="24"/>
          <w:szCs w:val="24"/>
        </w:rPr>
        <w:t xml:space="preserve"> analyses</w:t>
      </w:r>
      <w:r w:rsidR="00A95FF9">
        <w:rPr>
          <w:rFonts w:ascii="Times New Roman" w:hAnsi="Times New Roman" w:cs="Times New Roman"/>
          <w:sz w:val="24"/>
          <w:szCs w:val="24"/>
        </w:rPr>
        <w:t xml:space="preserve">, including the interaction terms between the </w:t>
      </w:r>
      <w:r w:rsidR="00A95FF9" w:rsidRPr="00A95FF9">
        <w:rPr>
          <w:rFonts w:ascii="Times New Roman" w:hAnsi="Times New Roman" w:cs="Times New Roman"/>
          <w:i/>
          <w:sz w:val="24"/>
          <w:szCs w:val="24"/>
        </w:rPr>
        <w:t>Round</w:t>
      </w:r>
      <w:r w:rsidR="00A95FF9">
        <w:rPr>
          <w:rFonts w:ascii="Times New Roman" w:hAnsi="Times New Roman" w:cs="Times New Roman"/>
          <w:sz w:val="24"/>
          <w:szCs w:val="24"/>
        </w:rPr>
        <w:t xml:space="preserve"> and </w:t>
      </w:r>
      <w:r w:rsidR="00A95FF9" w:rsidRPr="00A95FF9">
        <w:rPr>
          <w:rFonts w:ascii="Times New Roman" w:hAnsi="Times New Roman" w:cs="Times New Roman"/>
          <w:i/>
          <w:sz w:val="24"/>
          <w:szCs w:val="24"/>
        </w:rPr>
        <w:t>VC origin</w:t>
      </w:r>
      <w:r w:rsidR="00A95FF9">
        <w:rPr>
          <w:rFonts w:ascii="Times New Roman" w:hAnsi="Times New Roman" w:cs="Times New Roman"/>
          <w:sz w:val="24"/>
          <w:szCs w:val="24"/>
        </w:rPr>
        <w:t xml:space="preserve"> variables</w:t>
      </w:r>
      <w:r w:rsidR="00110B39">
        <w:rPr>
          <w:rFonts w:ascii="Times New Roman" w:hAnsi="Times New Roman" w:cs="Times New Roman"/>
          <w:sz w:val="24"/>
          <w:szCs w:val="24"/>
        </w:rPr>
        <w:t xml:space="preserve"> (See Table 7)</w:t>
      </w:r>
      <w:r w:rsidR="00A95FF9">
        <w:rPr>
          <w:rFonts w:ascii="Times New Roman" w:hAnsi="Times New Roman" w:cs="Times New Roman"/>
          <w:sz w:val="24"/>
          <w:szCs w:val="24"/>
        </w:rPr>
        <w:t xml:space="preserve">, yield comparable results as </w:t>
      </w:r>
      <w:r w:rsidR="00A6350B">
        <w:rPr>
          <w:rFonts w:ascii="Times New Roman" w:hAnsi="Times New Roman" w:cs="Times New Roman"/>
          <w:sz w:val="24"/>
          <w:szCs w:val="24"/>
        </w:rPr>
        <w:t xml:space="preserve">in the full sample. </w:t>
      </w:r>
      <w:r w:rsidR="008836DA">
        <w:rPr>
          <w:rFonts w:ascii="Times New Roman" w:hAnsi="Times New Roman" w:cs="Times New Roman"/>
          <w:sz w:val="24"/>
          <w:szCs w:val="24"/>
        </w:rPr>
        <w:t>We further estimated comparable models, but now only includ</w:t>
      </w:r>
      <w:r w:rsidR="00092148">
        <w:rPr>
          <w:rFonts w:ascii="Times New Roman" w:hAnsi="Times New Roman" w:cs="Times New Roman"/>
          <w:sz w:val="24"/>
          <w:szCs w:val="24"/>
        </w:rPr>
        <w:t>ed</w:t>
      </w:r>
      <w:r w:rsidR="008836DA">
        <w:rPr>
          <w:rFonts w:ascii="Times New Roman" w:hAnsi="Times New Roman" w:cs="Times New Roman"/>
          <w:sz w:val="24"/>
          <w:szCs w:val="24"/>
        </w:rPr>
        <w:t xml:space="preserve"> investors that entered in a second investment round. Again, results are consistent with earlier results although less significant (due to a small sample size). Our </w:t>
      </w:r>
      <w:r w:rsidR="009E769C">
        <w:rPr>
          <w:rFonts w:ascii="Times New Roman" w:hAnsi="Times New Roman" w:cs="Times New Roman"/>
          <w:sz w:val="24"/>
          <w:szCs w:val="24"/>
        </w:rPr>
        <w:t xml:space="preserve">key </w:t>
      </w:r>
      <w:r w:rsidR="008836DA">
        <w:rPr>
          <w:rFonts w:ascii="Times New Roman" w:hAnsi="Times New Roman" w:cs="Times New Roman"/>
          <w:sz w:val="24"/>
          <w:szCs w:val="24"/>
        </w:rPr>
        <w:t>results are hence unlikely to be driven by cross-border and branch VC firms investing in later stage companies.</w:t>
      </w:r>
    </w:p>
    <w:p w14:paraId="02747EBA" w14:textId="77777777" w:rsidR="002612BA" w:rsidRDefault="002612BA" w:rsidP="002612BA">
      <w:pPr>
        <w:keepNext/>
        <w:keepLines/>
        <w:autoSpaceDE w:val="0"/>
        <w:autoSpaceDN w:val="0"/>
        <w:adjustRightInd w:val="0"/>
        <w:spacing w:after="0" w:line="240" w:lineRule="auto"/>
        <w:ind w:firstLine="431"/>
        <w:jc w:val="center"/>
        <w:rPr>
          <w:rFonts w:ascii="Melior" w:hAnsi="Melior" w:cs="Melior"/>
          <w:sz w:val="18"/>
          <w:szCs w:val="18"/>
        </w:rPr>
      </w:pPr>
      <w:r>
        <w:rPr>
          <w:rFonts w:ascii="Melior" w:hAnsi="Melior" w:cs="Melior"/>
          <w:sz w:val="18"/>
          <w:szCs w:val="18"/>
        </w:rPr>
        <w:t>-----------------------------------------</w:t>
      </w:r>
    </w:p>
    <w:p w14:paraId="4A2E5586" w14:textId="77777777" w:rsidR="002612BA" w:rsidRPr="00FC761C" w:rsidRDefault="002612BA" w:rsidP="002612BA">
      <w:pPr>
        <w:keepNext/>
        <w:keepLines/>
        <w:autoSpaceDE w:val="0"/>
        <w:autoSpaceDN w:val="0"/>
        <w:adjustRightInd w:val="0"/>
        <w:spacing w:after="0" w:line="240" w:lineRule="auto"/>
        <w:ind w:firstLine="431"/>
        <w:jc w:val="center"/>
        <w:rPr>
          <w:rFonts w:ascii="Times New Roman" w:hAnsi="Times New Roman" w:cs="Times New Roman"/>
          <w:sz w:val="24"/>
          <w:szCs w:val="24"/>
        </w:rPr>
      </w:pPr>
      <w:r w:rsidRPr="00FC761C">
        <w:rPr>
          <w:rFonts w:ascii="Times New Roman" w:hAnsi="Times New Roman" w:cs="Times New Roman"/>
          <w:sz w:val="24"/>
          <w:szCs w:val="24"/>
        </w:rPr>
        <w:t xml:space="preserve">Insert Table </w:t>
      </w:r>
      <w:r>
        <w:rPr>
          <w:rFonts w:ascii="Times New Roman" w:hAnsi="Times New Roman" w:cs="Times New Roman"/>
          <w:sz w:val="24"/>
          <w:szCs w:val="24"/>
        </w:rPr>
        <w:t>8</w:t>
      </w:r>
      <w:r w:rsidRPr="00FC761C">
        <w:rPr>
          <w:rFonts w:ascii="Times New Roman" w:hAnsi="Times New Roman" w:cs="Times New Roman"/>
          <w:sz w:val="24"/>
          <w:szCs w:val="24"/>
        </w:rPr>
        <w:t xml:space="preserve"> about here</w:t>
      </w:r>
    </w:p>
    <w:p w14:paraId="6E93D91C" w14:textId="77777777" w:rsidR="002612BA" w:rsidRPr="00A41817" w:rsidRDefault="002612BA" w:rsidP="00A41817">
      <w:pPr>
        <w:keepNext/>
        <w:keepLines/>
        <w:autoSpaceDE w:val="0"/>
        <w:autoSpaceDN w:val="0"/>
        <w:adjustRightInd w:val="0"/>
        <w:spacing w:after="0" w:line="480" w:lineRule="auto"/>
        <w:ind w:firstLine="431"/>
        <w:contextualSpacing/>
        <w:jc w:val="center"/>
        <w:rPr>
          <w:rFonts w:ascii="Times New Roman" w:hAnsi="Times New Roman" w:cs="Times New Roman"/>
          <w:sz w:val="24"/>
          <w:szCs w:val="24"/>
          <w:u w:val="dotted"/>
        </w:rPr>
      </w:pPr>
      <w:r>
        <w:rPr>
          <w:rFonts w:ascii="Melior" w:hAnsi="Melior" w:cs="Melior"/>
          <w:sz w:val="18"/>
          <w:szCs w:val="18"/>
        </w:rPr>
        <w:t>-----------------------------------------</w:t>
      </w:r>
    </w:p>
    <w:p w14:paraId="38FCF970" w14:textId="0EC61040" w:rsidR="00A40762" w:rsidRPr="007E519D" w:rsidRDefault="00A40762" w:rsidP="007E519D">
      <w:pPr>
        <w:pStyle w:val="PlainText"/>
        <w:spacing w:line="480" w:lineRule="auto"/>
        <w:ind w:firstLine="431"/>
        <w:jc w:val="both"/>
        <w:rPr>
          <w:i/>
        </w:rPr>
      </w:pPr>
      <w:r>
        <w:rPr>
          <w:rFonts w:ascii="Times New Roman" w:hAnsi="Times New Roman" w:cs="Times New Roman"/>
          <w:sz w:val="24"/>
          <w:szCs w:val="24"/>
        </w:rPr>
        <w:t xml:space="preserve">Additionally, our initial results might be driven by domestic VC firms being more prone to be the lead investors than cross-border or branch VC firms. As lead investors are more active in their portfolio companies, they might be more emotionally attached to the portfolio firm </w:t>
      </w:r>
      <w:r w:rsidR="00092148">
        <w:rPr>
          <w:rFonts w:ascii="Times New Roman" w:hAnsi="Times New Roman" w:cs="Times New Roman"/>
          <w:sz w:val="24"/>
          <w:szCs w:val="24"/>
        </w:rPr>
        <w:t xml:space="preserve">(Wright and Lockett, 2003) </w:t>
      </w:r>
      <w:r>
        <w:rPr>
          <w:rFonts w:ascii="Times New Roman" w:hAnsi="Times New Roman" w:cs="Times New Roman"/>
          <w:sz w:val="24"/>
          <w:szCs w:val="24"/>
        </w:rPr>
        <w:t>and hence have a stronger tendency to escalate commitment.</w:t>
      </w:r>
      <w:r w:rsidR="00EB445F">
        <w:rPr>
          <w:rFonts w:ascii="Times New Roman" w:hAnsi="Times New Roman" w:cs="Times New Roman"/>
          <w:sz w:val="24"/>
          <w:szCs w:val="24"/>
        </w:rPr>
        <w:t xml:space="preserve"> </w:t>
      </w:r>
      <w:r w:rsidR="009E769C">
        <w:rPr>
          <w:rFonts w:ascii="Times New Roman" w:hAnsi="Times New Roman" w:cs="Times New Roman"/>
          <w:sz w:val="24"/>
          <w:szCs w:val="24"/>
        </w:rPr>
        <w:t>We therefor</w:t>
      </w:r>
      <w:r w:rsidR="00A416A7">
        <w:rPr>
          <w:rFonts w:ascii="Times New Roman" w:hAnsi="Times New Roman" w:cs="Times New Roman"/>
          <w:sz w:val="24"/>
          <w:szCs w:val="24"/>
        </w:rPr>
        <w:t>e tested the propensity of lead</w:t>
      </w:r>
      <w:r w:rsidR="009E769C">
        <w:rPr>
          <w:rFonts w:ascii="Times New Roman" w:hAnsi="Times New Roman" w:cs="Times New Roman"/>
          <w:sz w:val="24"/>
          <w:szCs w:val="24"/>
        </w:rPr>
        <w:t xml:space="preserve"> and non-lead VC firms to escalate commitment through </w:t>
      </w:r>
      <w:r w:rsidR="00D51325">
        <w:rPr>
          <w:rFonts w:ascii="Times New Roman" w:hAnsi="Times New Roman" w:cs="Times New Roman"/>
          <w:sz w:val="24"/>
          <w:szCs w:val="24"/>
        </w:rPr>
        <w:t xml:space="preserve">a </w:t>
      </w:r>
      <w:r w:rsidR="009E769C">
        <w:rPr>
          <w:rFonts w:ascii="Times New Roman" w:hAnsi="Times New Roman" w:cs="Times New Roman"/>
          <w:sz w:val="24"/>
          <w:szCs w:val="24"/>
        </w:rPr>
        <w:t xml:space="preserve">sample split procedure. </w:t>
      </w:r>
      <w:r w:rsidR="009F0167" w:rsidRPr="002612BA">
        <w:rPr>
          <w:rFonts w:ascii="Times New Roman" w:hAnsi="Times New Roman" w:cs="Times New Roman"/>
          <w:sz w:val="24"/>
          <w:szCs w:val="24"/>
        </w:rPr>
        <w:t xml:space="preserve">The first subsample comprises investments by lead investors only, the second subsample comprises investments by non-lead investors only. We assessed the propensity to escalate commitment in both subsamples in the same way as in the main analyses. </w:t>
      </w:r>
      <w:r w:rsidR="009F0167">
        <w:rPr>
          <w:rFonts w:ascii="Times New Roman" w:hAnsi="Times New Roman" w:cs="Times New Roman"/>
          <w:sz w:val="24"/>
          <w:szCs w:val="24"/>
        </w:rPr>
        <w:t xml:space="preserve">Table </w:t>
      </w:r>
      <w:r w:rsidR="00110B39">
        <w:rPr>
          <w:rFonts w:ascii="Times New Roman" w:hAnsi="Times New Roman" w:cs="Times New Roman"/>
          <w:sz w:val="24"/>
          <w:szCs w:val="24"/>
        </w:rPr>
        <w:t>8</w:t>
      </w:r>
      <w:r w:rsidR="00110B39" w:rsidRPr="002612BA">
        <w:rPr>
          <w:rFonts w:ascii="Times New Roman" w:hAnsi="Times New Roman" w:cs="Times New Roman"/>
          <w:sz w:val="24"/>
          <w:szCs w:val="24"/>
        </w:rPr>
        <w:t xml:space="preserve"> </w:t>
      </w:r>
      <w:r w:rsidR="009F0167" w:rsidRPr="002612BA">
        <w:rPr>
          <w:rFonts w:ascii="Times New Roman" w:hAnsi="Times New Roman" w:cs="Times New Roman"/>
          <w:sz w:val="24"/>
          <w:szCs w:val="24"/>
        </w:rPr>
        <w:t>provide</w:t>
      </w:r>
      <w:r w:rsidR="009F0167">
        <w:rPr>
          <w:rFonts w:ascii="Times New Roman" w:hAnsi="Times New Roman" w:cs="Times New Roman"/>
          <w:sz w:val="24"/>
          <w:szCs w:val="24"/>
        </w:rPr>
        <w:t>s</w:t>
      </w:r>
      <w:r w:rsidR="009F0167" w:rsidRPr="002612BA">
        <w:rPr>
          <w:rFonts w:ascii="Times New Roman" w:hAnsi="Times New Roman" w:cs="Times New Roman"/>
          <w:sz w:val="24"/>
          <w:szCs w:val="24"/>
        </w:rPr>
        <w:t xml:space="preserve"> the output of the models, focusing only on the variables of interest (</w:t>
      </w:r>
      <w:r w:rsidR="009F0167" w:rsidRPr="002612BA">
        <w:rPr>
          <w:rFonts w:ascii="Times New Roman" w:hAnsi="Times New Roman" w:cs="Times New Roman"/>
          <w:i/>
          <w:sz w:val="24"/>
          <w:szCs w:val="24"/>
        </w:rPr>
        <w:t>Round</w:t>
      </w:r>
      <w:r w:rsidR="009F0167" w:rsidRPr="002612BA">
        <w:rPr>
          <w:rFonts w:ascii="Times New Roman" w:hAnsi="Times New Roman" w:cs="Times New Roman"/>
          <w:sz w:val="24"/>
          <w:szCs w:val="24"/>
        </w:rPr>
        <w:t xml:space="preserve"> and </w:t>
      </w:r>
      <w:r w:rsidR="009F0167" w:rsidRPr="002612BA">
        <w:rPr>
          <w:rFonts w:ascii="Times New Roman" w:hAnsi="Times New Roman" w:cs="Times New Roman"/>
          <w:i/>
          <w:sz w:val="24"/>
          <w:szCs w:val="24"/>
        </w:rPr>
        <w:t>Round²</w:t>
      </w:r>
      <w:r w:rsidR="009F0167" w:rsidRPr="002612BA">
        <w:rPr>
          <w:rFonts w:ascii="Times New Roman" w:hAnsi="Times New Roman" w:cs="Times New Roman"/>
          <w:sz w:val="24"/>
          <w:szCs w:val="24"/>
        </w:rPr>
        <w:t xml:space="preserve">). Note that the models were run with all control variables, but these are not reported </w:t>
      </w:r>
      <w:r w:rsidR="004C012D">
        <w:rPr>
          <w:rFonts w:ascii="Times New Roman" w:hAnsi="Times New Roman" w:cs="Times New Roman"/>
          <w:sz w:val="24"/>
          <w:szCs w:val="24"/>
        </w:rPr>
        <w:t>because of</w:t>
      </w:r>
      <w:r w:rsidR="009F0167" w:rsidRPr="002612BA">
        <w:rPr>
          <w:rFonts w:ascii="Times New Roman" w:hAnsi="Times New Roman" w:cs="Times New Roman"/>
          <w:sz w:val="24"/>
          <w:szCs w:val="24"/>
        </w:rPr>
        <w:t xml:space="preserve"> space considerations. </w:t>
      </w:r>
      <w:r w:rsidR="009F0167" w:rsidRPr="009F0167">
        <w:rPr>
          <w:rFonts w:ascii="Times New Roman" w:hAnsi="Times New Roman" w:cs="Times New Roman"/>
          <w:sz w:val="24"/>
          <w:szCs w:val="24"/>
        </w:rPr>
        <w:t>The</w:t>
      </w:r>
      <w:r w:rsidR="009F0167" w:rsidRPr="002612BA">
        <w:rPr>
          <w:rFonts w:ascii="Times New Roman" w:hAnsi="Times New Roman" w:cs="Times New Roman"/>
          <w:sz w:val="24"/>
          <w:szCs w:val="24"/>
        </w:rPr>
        <w:t xml:space="preserve"> models show that the hazard of a successful exit does not change over rounds for lead investors, but their hazard of termination decreases over rounds. This provides evidence </w:t>
      </w:r>
      <w:r w:rsidR="009F0167" w:rsidRPr="002612BA">
        <w:rPr>
          <w:rFonts w:ascii="Times New Roman" w:hAnsi="Times New Roman" w:cs="Times New Roman"/>
          <w:sz w:val="24"/>
          <w:szCs w:val="24"/>
        </w:rPr>
        <w:lastRenderedPageBreak/>
        <w:t>that lead investors escalate their commitment, as the probability of termination decreases over rounds (at a decreasing rate), while the probability of a successful exit does not increase over rounds. Interestingly, the hazard of a successful exit decreases over rounds (at a decreasing rate) for non-lead investors, while the hazard of termination does not change over rounds. This is again consistent with escalation of commitment, as the probability of a successful exit decreases over rounds, while the probability of termination does not increase over rounds. Together, these results suggest that being a lead or a non-lead investor do</w:t>
      </w:r>
      <w:r w:rsidR="00D51325">
        <w:rPr>
          <w:rFonts w:ascii="Times New Roman" w:hAnsi="Times New Roman" w:cs="Times New Roman"/>
          <w:sz w:val="24"/>
          <w:szCs w:val="24"/>
        </w:rPr>
        <w:t>es</w:t>
      </w:r>
      <w:r w:rsidR="009F0167" w:rsidRPr="002612BA">
        <w:rPr>
          <w:rFonts w:ascii="Times New Roman" w:hAnsi="Times New Roman" w:cs="Times New Roman"/>
          <w:sz w:val="24"/>
          <w:szCs w:val="24"/>
        </w:rPr>
        <w:t xml:space="preserve"> not drive our findings on cross-border versus domestic investors.</w:t>
      </w:r>
      <w:r w:rsidR="009F0167">
        <w:rPr>
          <w:rFonts w:ascii="Times New Roman" w:hAnsi="Times New Roman" w:cs="Times New Roman"/>
          <w:sz w:val="24"/>
          <w:szCs w:val="24"/>
        </w:rPr>
        <w:t xml:space="preserve"> </w:t>
      </w:r>
    </w:p>
    <w:p w14:paraId="5BFA17AD" w14:textId="5F6A2896" w:rsidR="00881B71" w:rsidRPr="005F1FD6" w:rsidRDefault="00D51325" w:rsidP="009E0A45">
      <w:pPr>
        <w:spacing w:after="0" w:line="480" w:lineRule="auto"/>
        <w:ind w:firstLine="432"/>
        <w:jc w:val="both"/>
        <w:rPr>
          <w:rFonts w:ascii="Times New Roman" w:hAnsi="Times New Roman" w:cs="Times New Roman"/>
          <w:sz w:val="24"/>
          <w:szCs w:val="24"/>
        </w:rPr>
      </w:pPr>
      <w:r>
        <w:rPr>
          <w:rFonts w:ascii="Times New Roman" w:hAnsi="Times New Roman" w:cs="Times New Roman"/>
          <w:sz w:val="24"/>
          <w:szCs w:val="24"/>
        </w:rPr>
        <w:t>Further</w:t>
      </w:r>
      <w:r w:rsidR="004074C8">
        <w:rPr>
          <w:rFonts w:ascii="Times New Roman" w:hAnsi="Times New Roman" w:cs="Times New Roman"/>
          <w:sz w:val="24"/>
          <w:szCs w:val="24"/>
        </w:rPr>
        <w:t>, a</w:t>
      </w:r>
      <w:r w:rsidR="00500F1D" w:rsidRPr="005F1FD6">
        <w:rPr>
          <w:rFonts w:ascii="Times New Roman" w:hAnsi="Times New Roman" w:cs="Times New Roman"/>
          <w:sz w:val="24"/>
          <w:szCs w:val="24"/>
        </w:rPr>
        <w:t>dditional models</w:t>
      </w:r>
      <w:r w:rsidR="00B114C7" w:rsidRPr="005F1FD6">
        <w:rPr>
          <w:rFonts w:ascii="Times New Roman" w:hAnsi="Times New Roman" w:cs="Times New Roman"/>
          <w:sz w:val="24"/>
          <w:szCs w:val="24"/>
        </w:rPr>
        <w:t xml:space="preserve"> were </w:t>
      </w:r>
      <w:r w:rsidR="00CA07AA">
        <w:rPr>
          <w:rFonts w:ascii="Times New Roman" w:hAnsi="Times New Roman" w:cs="Times New Roman"/>
          <w:sz w:val="24"/>
          <w:szCs w:val="24"/>
        </w:rPr>
        <w:t xml:space="preserve">estimated </w:t>
      </w:r>
      <w:r w:rsidR="00BD3B25" w:rsidRPr="005F1FD6">
        <w:rPr>
          <w:rFonts w:ascii="Times New Roman" w:hAnsi="Times New Roman" w:cs="Times New Roman"/>
          <w:sz w:val="24"/>
          <w:szCs w:val="24"/>
        </w:rPr>
        <w:t>using alternative control variables</w:t>
      </w:r>
      <w:r w:rsidR="00500F1D" w:rsidRPr="005F1FD6">
        <w:rPr>
          <w:rFonts w:ascii="Times New Roman" w:hAnsi="Times New Roman" w:cs="Times New Roman"/>
          <w:sz w:val="24"/>
          <w:szCs w:val="24"/>
        </w:rPr>
        <w:t xml:space="preserve">. </w:t>
      </w:r>
      <w:r w:rsidR="00384503" w:rsidRPr="005F1FD6">
        <w:rPr>
          <w:rFonts w:ascii="Times New Roman" w:hAnsi="Times New Roman" w:cs="Times New Roman"/>
          <w:sz w:val="24"/>
          <w:szCs w:val="24"/>
        </w:rPr>
        <w:t>VC</w:t>
      </w:r>
      <w:r w:rsidR="00B114C7" w:rsidRPr="005F1FD6">
        <w:rPr>
          <w:rFonts w:ascii="Times New Roman" w:hAnsi="Times New Roman" w:cs="Times New Roman"/>
          <w:sz w:val="24"/>
          <w:szCs w:val="24"/>
        </w:rPr>
        <w:t xml:space="preserve"> firm</w:t>
      </w:r>
      <w:r w:rsidR="00384503" w:rsidRPr="005F1FD6">
        <w:rPr>
          <w:rFonts w:ascii="Times New Roman" w:hAnsi="Times New Roman" w:cs="Times New Roman"/>
          <w:sz w:val="24"/>
          <w:szCs w:val="24"/>
        </w:rPr>
        <w:t xml:space="preserve">’s </w:t>
      </w:r>
      <w:r w:rsidR="00384503" w:rsidRPr="005F1FD6">
        <w:rPr>
          <w:rFonts w:ascii="Times New Roman" w:hAnsi="Times New Roman" w:cs="Times New Roman"/>
          <w:i/>
          <w:sz w:val="24"/>
          <w:szCs w:val="24"/>
        </w:rPr>
        <w:t>general experience</w:t>
      </w:r>
      <w:r w:rsidR="00384503" w:rsidRPr="005F1FD6">
        <w:rPr>
          <w:rFonts w:ascii="Times New Roman" w:hAnsi="Times New Roman" w:cs="Times New Roman"/>
          <w:sz w:val="24"/>
          <w:szCs w:val="24"/>
        </w:rPr>
        <w:t xml:space="preserve"> </w:t>
      </w:r>
      <w:r w:rsidR="00B114C7" w:rsidRPr="005F1FD6">
        <w:rPr>
          <w:rFonts w:ascii="Times New Roman" w:hAnsi="Times New Roman" w:cs="Times New Roman"/>
          <w:sz w:val="24"/>
          <w:szCs w:val="24"/>
        </w:rPr>
        <w:t xml:space="preserve">is included </w:t>
      </w:r>
      <w:r w:rsidR="00384503" w:rsidRPr="005F1FD6">
        <w:rPr>
          <w:rFonts w:ascii="Times New Roman" w:hAnsi="Times New Roman" w:cs="Times New Roman"/>
          <w:sz w:val="24"/>
          <w:szCs w:val="24"/>
        </w:rPr>
        <w:t xml:space="preserve">instead of </w:t>
      </w:r>
      <w:r w:rsidR="00B114C7" w:rsidRPr="005F1FD6">
        <w:rPr>
          <w:rFonts w:ascii="Times New Roman" w:hAnsi="Times New Roman" w:cs="Times New Roman"/>
          <w:sz w:val="24"/>
          <w:szCs w:val="24"/>
        </w:rPr>
        <w:t xml:space="preserve">its </w:t>
      </w:r>
      <w:r w:rsidR="00384503" w:rsidRPr="005F1FD6">
        <w:rPr>
          <w:rFonts w:ascii="Times New Roman" w:hAnsi="Times New Roman" w:cs="Times New Roman"/>
          <w:i/>
          <w:sz w:val="24"/>
          <w:szCs w:val="24"/>
        </w:rPr>
        <w:t>country specific experience</w:t>
      </w:r>
      <w:r w:rsidR="00384503" w:rsidRPr="005F1FD6">
        <w:rPr>
          <w:rFonts w:ascii="Times New Roman" w:hAnsi="Times New Roman" w:cs="Times New Roman"/>
          <w:sz w:val="24"/>
          <w:szCs w:val="24"/>
        </w:rPr>
        <w:t xml:space="preserve">. </w:t>
      </w:r>
      <w:r w:rsidR="006E379A" w:rsidRPr="005F1FD6">
        <w:rPr>
          <w:rFonts w:ascii="Times New Roman" w:hAnsi="Times New Roman" w:cs="Times New Roman"/>
          <w:sz w:val="24"/>
          <w:szCs w:val="24"/>
        </w:rPr>
        <w:t xml:space="preserve">A high correlation between both variables prevents us from including both variables in the same model. </w:t>
      </w:r>
      <w:r w:rsidR="00BE62FF">
        <w:rPr>
          <w:rFonts w:ascii="Times New Roman" w:hAnsi="Times New Roman" w:cs="Times New Roman"/>
          <w:sz w:val="24"/>
          <w:szCs w:val="24"/>
        </w:rPr>
        <w:t>The</w:t>
      </w:r>
      <w:r w:rsidR="00384503" w:rsidRPr="005F1FD6">
        <w:rPr>
          <w:rFonts w:ascii="Times New Roman" w:hAnsi="Times New Roman" w:cs="Times New Roman"/>
          <w:sz w:val="24"/>
          <w:szCs w:val="24"/>
        </w:rPr>
        <w:t xml:space="preserve"> </w:t>
      </w:r>
      <w:r w:rsidR="00384503" w:rsidRPr="005F1FD6">
        <w:rPr>
          <w:rFonts w:ascii="Times New Roman" w:hAnsi="Times New Roman" w:cs="Times New Roman"/>
          <w:i/>
          <w:sz w:val="24"/>
          <w:szCs w:val="24"/>
        </w:rPr>
        <w:t>IPO market condition</w:t>
      </w:r>
      <w:r w:rsidR="00384503" w:rsidRPr="005F1FD6">
        <w:rPr>
          <w:rFonts w:ascii="Times New Roman" w:hAnsi="Times New Roman" w:cs="Times New Roman"/>
          <w:sz w:val="24"/>
          <w:szCs w:val="24"/>
        </w:rPr>
        <w:t xml:space="preserve"> variable </w:t>
      </w:r>
      <w:r w:rsidR="006E379A" w:rsidRPr="005F1FD6">
        <w:rPr>
          <w:rFonts w:ascii="Times New Roman" w:hAnsi="Times New Roman" w:cs="Times New Roman"/>
          <w:sz w:val="24"/>
          <w:szCs w:val="24"/>
        </w:rPr>
        <w:t xml:space="preserve">is replaced </w:t>
      </w:r>
      <w:r w:rsidR="00BF3D9D" w:rsidRPr="005F1FD6">
        <w:rPr>
          <w:rFonts w:ascii="Times New Roman" w:hAnsi="Times New Roman" w:cs="Times New Roman"/>
          <w:sz w:val="24"/>
          <w:szCs w:val="24"/>
        </w:rPr>
        <w:t xml:space="preserve">by </w:t>
      </w:r>
      <w:r w:rsidR="00384503" w:rsidRPr="005F1FD6">
        <w:rPr>
          <w:rFonts w:ascii="Times New Roman" w:hAnsi="Times New Roman" w:cs="Times New Roman"/>
          <w:sz w:val="24"/>
          <w:szCs w:val="24"/>
        </w:rPr>
        <w:t xml:space="preserve">respectively </w:t>
      </w:r>
      <w:r w:rsidR="00D52374" w:rsidRPr="005F1FD6">
        <w:rPr>
          <w:rFonts w:ascii="Times New Roman" w:hAnsi="Times New Roman" w:cs="Times New Roman"/>
          <w:sz w:val="24"/>
          <w:szCs w:val="24"/>
        </w:rPr>
        <w:t xml:space="preserve">the </w:t>
      </w:r>
      <w:r w:rsidR="00D52374" w:rsidRPr="005F1FD6">
        <w:rPr>
          <w:rFonts w:ascii="Times New Roman" w:hAnsi="Times New Roman" w:cs="Times New Roman"/>
          <w:i/>
          <w:sz w:val="24"/>
          <w:szCs w:val="24"/>
        </w:rPr>
        <w:t>total number of VC-financed ventures</w:t>
      </w:r>
      <w:r w:rsidR="00976BEE" w:rsidRPr="005F1FD6">
        <w:rPr>
          <w:rFonts w:ascii="Times New Roman" w:hAnsi="Times New Roman" w:cs="Times New Roman"/>
          <w:sz w:val="24"/>
          <w:szCs w:val="24"/>
        </w:rPr>
        <w:t xml:space="preserve"> </w:t>
      </w:r>
      <w:r w:rsidR="00976BEE" w:rsidRPr="00B26BE0">
        <w:rPr>
          <w:rFonts w:ascii="Times New Roman" w:hAnsi="Times New Roman" w:cs="Times New Roman"/>
          <w:i/>
          <w:sz w:val="24"/>
          <w:szCs w:val="24"/>
        </w:rPr>
        <w:t>worldwide</w:t>
      </w:r>
      <w:r w:rsidR="00D52374" w:rsidRPr="005F1FD6">
        <w:rPr>
          <w:rFonts w:ascii="Times New Roman" w:hAnsi="Times New Roman" w:cs="Times New Roman"/>
          <w:sz w:val="24"/>
          <w:szCs w:val="24"/>
        </w:rPr>
        <w:t xml:space="preserve">, the </w:t>
      </w:r>
      <w:r w:rsidR="00D52374" w:rsidRPr="005F1FD6">
        <w:rPr>
          <w:rFonts w:ascii="Times New Roman" w:hAnsi="Times New Roman" w:cs="Times New Roman"/>
          <w:i/>
          <w:sz w:val="24"/>
          <w:szCs w:val="24"/>
        </w:rPr>
        <w:t>total amount of VC money raised</w:t>
      </w:r>
      <w:r w:rsidR="00D52374" w:rsidRPr="005F1FD6">
        <w:rPr>
          <w:rFonts w:ascii="Times New Roman" w:hAnsi="Times New Roman" w:cs="Times New Roman"/>
          <w:sz w:val="24"/>
          <w:szCs w:val="24"/>
        </w:rPr>
        <w:t xml:space="preserve"> </w:t>
      </w:r>
      <w:r w:rsidR="00976BEE" w:rsidRPr="00B26BE0">
        <w:rPr>
          <w:rFonts w:ascii="Times New Roman" w:hAnsi="Times New Roman" w:cs="Times New Roman"/>
          <w:i/>
          <w:sz w:val="24"/>
          <w:szCs w:val="24"/>
        </w:rPr>
        <w:t>worldwide</w:t>
      </w:r>
      <w:r w:rsidR="00976BEE" w:rsidRPr="005F1FD6">
        <w:rPr>
          <w:rFonts w:ascii="Times New Roman" w:hAnsi="Times New Roman" w:cs="Times New Roman"/>
          <w:sz w:val="24"/>
          <w:szCs w:val="24"/>
        </w:rPr>
        <w:t xml:space="preserve"> </w:t>
      </w:r>
      <w:r w:rsidR="00D52374" w:rsidRPr="005F1FD6">
        <w:rPr>
          <w:rFonts w:ascii="Times New Roman" w:hAnsi="Times New Roman" w:cs="Times New Roman"/>
          <w:sz w:val="24"/>
          <w:szCs w:val="24"/>
        </w:rPr>
        <w:t xml:space="preserve">and the </w:t>
      </w:r>
      <w:r w:rsidR="00D52374" w:rsidRPr="005F1FD6">
        <w:rPr>
          <w:rFonts w:ascii="Times New Roman" w:hAnsi="Times New Roman" w:cs="Times New Roman"/>
          <w:i/>
          <w:sz w:val="24"/>
          <w:szCs w:val="24"/>
        </w:rPr>
        <w:t>number of M&amp;As in West Europe</w:t>
      </w:r>
      <w:r w:rsidR="00D52374" w:rsidRPr="005F1FD6">
        <w:rPr>
          <w:rFonts w:ascii="Times New Roman" w:hAnsi="Times New Roman" w:cs="Times New Roman"/>
          <w:sz w:val="24"/>
          <w:szCs w:val="24"/>
        </w:rPr>
        <w:t xml:space="preserve">. </w:t>
      </w:r>
      <w:r w:rsidR="00BE62FF">
        <w:rPr>
          <w:rFonts w:ascii="Times New Roman" w:hAnsi="Times New Roman" w:cs="Times New Roman"/>
          <w:sz w:val="24"/>
          <w:szCs w:val="24"/>
        </w:rPr>
        <w:t>B</w:t>
      </w:r>
      <w:r w:rsidR="002A4D29" w:rsidRPr="005F1FD6">
        <w:rPr>
          <w:rFonts w:ascii="Times New Roman" w:hAnsi="Times New Roman" w:cs="Times New Roman"/>
          <w:sz w:val="24"/>
          <w:szCs w:val="24"/>
        </w:rPr>
        <w:t xml:space="preserve">ecause access to capital may affect the likelihood of success, a control for the </w:t>
      </w:r>
      <w:r w:rsidR="002A4D29" w:rsidRPr="005F1FD6">
        <w:rPr>
          <w:rFonts w:ascii="Times New Roman" w:hAnsi="Times New Roman" w:cs="Times New Roman"/>
          <w:i/>
          <w:sz w:val="24"/>
          <w:szCs w:val="24"/>
        </w:rPr>
        <w:t>cumulative</w:t>
      </w:r>
      <w:r w:rsidR="00DC1096" w:rsidRPr="005F1FD6">
        <w:rPr>
          <w:rFonts w:ascii="Times New Roman" w:hAnsi="Times New Roman" w:cs="Times New Roman"/>
          <w:i/>
          <w:sz w:val="24"/>
          <w:szCs w:val="24"/>
        </w:rPr>
        <w:t xml:space="preserve"> total amount invested in the portfolio company</w:t>
      </w:r>
      <w:r w:rsidR="00DC1096" w:rsidRPr="005F1FD6">
        <w:rPr>
          <w:rFonts w:ascii="Times New Roman" w:hAnsi="Times New Roman" w:cs="Times New Roman"/>
          <w:sz w:val="24"/>
          <w:szCs w:val="24"/>
        </w:rPr>
        <w:t xml:space="preserve"> </w:t>
      </w:r>
      <w:r w:rsidR="002A4D29" w:rsidRPr="005F1FD6">
        <w:rPr>
          <w:rFonts w:ascii="Times New Roman" w:hAnsi="Times New Roman" w:cs="Times New Roman"/>
          <w:sz w:val="24"/>
          <w:szCs w:val="24"/>
        </w:rPr>
        <w:t>by all the VC</w:t>
      </w:r>
      <w:r w:rsidR="007A25F8" w:rsidRPr="005F1FD6">
        <w:rPr>
          <w:rFonts w:ascii="Times New Roman" w:hAnsi="Times New Roman" w:cs="Times New Roman"/>
          <w:sz w:val="24"/>
          <w:szCs w:val="24"/>
        </w:rPr>
        <w:t xml:space="preserve"> firms</w:t>
      </w:r>
      <w:r w:rsidR="002A4D29" w:rsidRPr="005F1FD6">
        <w:rPr>
          <w:rFonts w:ascii="Times New Roman" w:hAnsi="Times New Roman" w:cs="Times New Roman"/>
          <w:sz w:val="24"/>
          <w:szCs w:val="24"/>
        </w:rPr>
        <w:t xml:space="preserve"> prior to the focal round instead of the c</w:t>
      </w:r>
      <w:r w:rsidR="002A4D29" w:rsidRPr="005F1FD6">
        <w:rPr>
          <w:rFonts w:ascii="Times New Roman" w:hAnsi="Times New Roman" w:cs="Times New Roman"/>
          <w:i/>
          <w:sz w:val="24"/>
          <w:szCs w:val="24"/>
        </w:rPr>
        <w:t>umulative amount invested by the focal VC</w:t>
      </w:r>
      <w:r w:rsidR="004A1EEA" w:rsidRPr="005F1FD6">
        <w:rPr>
          <w:rFonts w:ascii="Times New Roman" w:hAnsi="Times New Roman" w:cs="Times New Roman"/>
          <w:i/>
          <w:sz w:val="24"/>
          <w:szCs w:val="24"/>
        </w:rPr>
        <w:t xml:space="preserve"> </w:t>
      </w:r>
      <w:r w:rsidR="006E379A" w:rsidRPr="005F1FD6">
        <w:rPr>
          <w:rFonts w:ascii="Times New Roman" w:hAnsi="Times New Roman" w:cs="Times New Roman"/>
          <w:i/>
          <w:sz w:val="24"/>
          <w:szCs w:val="24"/>
        </w:rPr>
        <w:t>firm</w:t>
      </w:r>
      <w:r w:rsidR="006E379A" w:rsidRPr="005F1FD6">
        <w:rPr>
          <w:rFonts w:ascii="Times New Roman" w:hAnsi="Times New Roman" w:cs="Times New Roman"/>
          <w:sz w:val="24"/>
          <w:szCs w:val="24"/>
        </w:rPr>
        <w:t xml:space="preserve"> is included </w:t>
      </w:r>
      <w:r w:rsidR="002A4D29" w:rsidRPr="005F1FD6">
        <w:rPr>
          <w:rFonts w:ascii="Times New Roman" w:hAnsi="Times New Roman" w:cs="Times New Roman"/>
          <w:sz w:val="24"/>
          <w:szCs w:val="24"/>
        </w:rPr>
        <w:t xml:space="preserve">(Guler, 2007). </w:t>
      </w:r>
      <w:r w:rsidR="00384503" w:rsidRPr="005F1FD6">
        <w:rPr>
          <w:rFonts w:ascii="Times New Roman" w:hAnsi="Times New Roman" w:cs="Times New Roman"/>
          <w:sz w:val="24"/>
          <w:szCs w:val="24"/>
        </w:rPr>
        <w:t xml:space="preserve">Finally, </w:t>
      </w:r>
      <w:r w:rsidR="00196D46">
        <w:rPr>
          <w:rFonts w:ascii="Times New Roman" w:hAnsi="Times New Roman" w:cs="Times New Roman"/>
          <w:sz w:val="24"/>
          <w:szCs w:val="24"/>
        </w:rPr>
        <w:t xml:space="preserve">portfolio company </w:t>
      </w:r>
      <w:r w:rsidR="00384503" w:rsidRPr="005F1FD6">
        <w:rPr>
          <w:rFonts w:ascii="Times New Roman" w:hAnsi="Times New Roman" w:cs="Times New Roman"/>
          <w:i/>
          <w:sz w:val="24"/>
          <w:szCs w:val="24"/>
        </w:rPr>
        <w:t>sales</w:t>
      </w:r>
      <w:r w:rsidR="006E379A" w:rsidRPr="005F1FD6">
        <w:rPr>
          <w:rFonts w:ascii="Times New Roman" w:hAnsi="Times New Roman" w:cs="Times New Roman"/>
          <w:sz w:val="24"/>
          <w:szCs w:val="24"/>
        </w:rPr>
        <w:t xml:space="preserve"> is replaced </w:t>
      </w:r>
      <w:r w:rsidR="00384503" w:rsidRPr="005F1FD6">
        <w:rPr>
          <w:rFonts w:ascii="Times New Roman" w:hAnsi="Times New Roman" w:cs="Times New Roman"/>
          <w:sz w:val="24"/>
          <w:szCs w:val="24"/>
        </w:rPr>
        <w:t>by the</w:t>
      </w:r>
      <w:r w:rsidR="00384503" w:rsidRPr="005F1FD6">
        <w:rPr>
          <w:rFonts w:ascii="Times New Roman" w:hAnsi="Times New Roman" w:cs="Times New Roman"/>
          <w:i/>
          <w:sz w:val="24"/>
          <w:szCs w:val="24"/>
        </w:rPr>
        <w:t xml:space="preserve"> nu</w:t>
      </w:r>
      <w:r w:rsidR="007A25F8" w:rsidRPr="005F1FD6">
        <w:rPr>
          <w:rFonts w:ascii="Times New Roman" w:hAnsi="Times New Roman" w:cs="Times New Roman"/>
          <w:i/>
          <w:sz w:val="24"/>
          <w:szCs w:val="24"/>
        </w:rPr>
        <w:t>mber of people employed</w:t>
      </w:r>
      <w:r w:rsidR="00384503" w:rsidRPr="005F1FD6">
        <w:rPr>
          <w:rFonts w:ascii="Times New Roman" w:hAnsi="Times New Roman" w:cs="Times New Roman"/>
          <w:sz w:val="24"/>
          <w:szCs w:val="24"/>
        </w:rPr>
        <w:t xml:space="preserve">. </w:t>
      </w:r>
      <w:r w:rsidR="001C58D9" w:rsidRPr="005F1FD6">
        <w:rPr>
          <w:rFonts w:ascii="Times New Roman" w:hAnsi="Times New Roman" w:cs="Times New Roman"/>
          <w:sz w:val="24"/>
          <w:szCs w:val="24"/>
        </w:rPr>
        <w:t>T</w:t>
      </w:r>
      <w:r w:rsidR="00384503" w:rsidRPr="005F1FD6">
        <w:rPr>
          <w:rFonts w:ascii="Times New Roman" w:hAnsi="Times New Roman" w:cs="Times New Roman"/>
          <w:sz w:val="24"/>
          <w:szCs w:val="24"/>
        </w:rPr>
        <w:t>he</w:t>
      </w:r>
      <w:r w:rsidR="001C58D9" w:rsidRPr="005F1FD6">
        <w:rPr>
          <w:rFonts w:ascii="Times New Roman" w:hAnsi="Times New Roman" w:cs="Times New Roman"/>
          <w:sz w:val="24"/>
          <w:szCs w:val="24"/>
        </w:rPr>
        <w:t xml:space="preserve"> main</w:t>
      </w:r>
      <w:r w:rsidR="00384503" w:rsidRPr="005F1FD6">
        <w:rPr>
          <w:rFonts w:ascii="Times New Roman" w:hAnsi="Times New Roman" w:cs="Times New Roman"/>
          <w:sz w:val="24"/>
          <w:szCs w:val="24"/>
        </w:rPr>
        <w:t xml:space="preserve"> results remained unchanged. </w:t>
      </w:r>
    </w:p>
    <w:p w14:paraId="246B2775" w14:textId="06A3EB52" w:rsidR="00E9171A" w:rsidRDefault="00A6350B" w:rsidP="009E0A45">
      <w:pPr>
        <w:spacing w:after="0" w:line="48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A </w:t>
      </w:r>
      <w:r w:rsidR="00D51325">
        <w:rPr>
          <w:rFonts w:ascii="Times New Roman" w:hAnsi="Times New Roman" w:cs="Times New Roman"/>
          <w:sz w:val="24"/>
          <w:szCs w:val="24"/>
        </w:rPr>
        <w:t>final</w:t>
      </w:r>
      <w:r w:rsidR="00D51325" w:rsidRPr="005F1FD6">
        <w:rPr>
          <w:rFonts w:ascii="Times New Roman" w:hAnsi="Times New Roman" w:cs="Times New Roman"/>
          <w:sz w:val="24"/>
          <w:szCs w:val="24"/>
        </w:rPr>
        <w:t xml:space="preserve"> </w:t>
      </w:r>
      <w:r w:rsidR="005F18F7" w:rsidRPr="005F1FD6">
        <w:rPr>
          <w:rFonts w:ascii="Times New Roman" w:hAnsi="Times New Roman" w:cs="Times New Roman"/>
          <w:sz w:val="24"/>
          <w:szCs w:val="24"/>
        </w:rPr>
        <w:t>potential problem is the presence of highly correlated explanatory variables. Multicollinearity makes the parameter estimates unreliable and inflates the s</w:t>
      </w:r>
      <w:r w:rsidR="004D2870">
        <w:rPr>
          <w:rFonts w:ascii="Times New Roman" w:hAnsi="Times New Roman" w:cs="Times New Roman"/>
          <w:sz w:val="24"/>
          <w:szCs w:val="24"/>
        </w:rPr>
        <w:t xml:space="preserve">tandard errors (Van den Poel </w:t>
      </w:r>
      <w:r w:rsidR="002174D5">
        <w:rPr>
          <w:rFonts w:ascii="Times New Roman" w:hAnsi="Times New Roman" w:cs="Times New Roman"/>
          <w:sz w:val="24"/>
          <w:szCs w:val="24"/>
        </w:rPr>
        <w:t>and</w:t>
      </w:r>
      <w:r w:rsidR="005F18F7" w:rsidRPr="005F1FD6">
        <w:rPr>
          <w:rFonts w:ascii="Times New Roman" w:hAnsi="Times New Roman" w:cs="Times New Roman"/>
          <w:sz w:val="24"/>
          <w:szCs w:val="24"/>
        </w:rPr>
        <w:t xml:space="preserve"> Larivière, 2004). An additional difficulty is caused by the time-varying nature of multiple variables in our study.</w:t>
      </w:r>
      <w:r w:rsidR="00993F86" w:rsidRPr="005F1FD6">
        <w:rPr>
          <w:rFonts w:ascii="Times New Roman" w:hAnsi="Times New Roman" w:cs="Times New Roman"/>
          <w:sz w:val="24"/>
          <w:szCs w:val="24"/>
        </w:rPr>
        <w:t xml:space="preserve"> The intercorrelations should therefore be analyzed dynamically. </w:t>
      </w:r>
      <w:r w:rsidR="00BE62FF">
        <w:rPr>
          <w:rFonts w:ascii="Times New Roman" w:hAnsi="Times New Roman" w:cs="Times New Roman"/>
          <w:sz w:val="24"/>
          <w:szCs w:val="24"/>
        </w:rPr>
        <w:t>V</w:t>
      </w:r>
      <w:r w:rsidR="00BF0F49" w:rsidRPr="005F1FD6">
        <w:rPr>
          <w:rFonts w:ascii="Times New Roman" w:hAnsi="Times New Roman" w:cs="Times New Roman"/>
          <w:sz w:val="24"/>
          <w:szCs w:val="24"/>
        </w:rPr>
        <w:t xml:space="preserve">ariables </w:t>
      </w:r>
      <w:r w:rsidR="001C58D9" w:rsidRPr="005F1FD6">
        <w:rPr>
          <w:rFonts w:ascii="Times New Roman" w:hAnsi="Times New Roman" w:cs="Times New Roman"/>
          <w:sz w:val="24"/>
          <w:szCs w:val="24"/>
        </w:rPr>
        <w:t xml:space="preserve">were added sequentially </w:t>
      </w:r>
      <w:r w:rsidR="00BF0F49" w:rsidRPr="005F1FD6">
        <w:rPr>
          <w:rFonts w:ascii="Times New Roman" w:hAnsi="Times New Roman" w:cs="Times New Roman"/>
          <w:sz w:val="24"/>
          <w:szCs w:val="24"/>
        </w:rPr>
        <w:t xml:space="preserve">to </w:t>
      </w:r>
      <w:r w:rsidR="001C58D9" w:rsidRPr="005F1FD6">
        <w:rPr>
          <w:rFonts w:ascii="Times New Roman" w:hAnsi="Times New Roman" w:cs="Times New Roman"/>
          <w:sz w:val="24"/>
          <w:szCs w:val="24"/>
        </w:rPr>
        <w:t>the main</w:t>
      </w:r>
      <w:r w:rsidR="00BF0F49" w:rsidRPr="005F1FD6">
        <w:rPr>
          <w:rFonts w:ascii="Times New Roman" w:hAnsi="Times New Roman" w:cs="Times New Roman"/>
          <w:sz w:val="24"/>
          <w:szCs w:val="24"/>
        </w:rPr>
        <w:t xml:space="preserve"> model</w:t>
      </w:r>
      <w:r w:rsidR="001C58D9" w:rsidRPr="005F1FD6">
        <w:rPr>
          <w:rFonts w:ascii="Times New Roman" w:hAnsi="Times New Roman" w:cs="Times New Roman"/>
          <w:sz w:val="24"/>
          <w:szCs w:val="24"/>
        </w:rPr>
        <w:t>s</w:t>
      </w:r>
      <w:r w:rsidR="00BF0F49" w:rsidRPr="005F1FD6">
        <w:rPr>
          <w:rFonts w:ascii="Times New Roman" w:hAnsi="Times New Roman" w:cs="Times New Roman"/>
          <w:sz w:val="24"/>
          <w:szCs w:val="24"/>
        </w:rPr>
        <w:t xml:space="preserve"> to assess the stability of the parameters </w:t>
      </w:r>
      <w:r w:rsidR="00E9171A" w:rsidRPr="005F1FD6">
        <w:rPr>
          <w:rFonts w:ascii="Times New Roman" w:hAnsi="Times New Roman" w:cs="Times New Roman"/>
          <w:sz w:val="24"/>
          <w:szCs w:val="24"/>
        </w:rPr>
        <w:t xml:space="preserve">and </w:t>
      </w:r>
      <w:r w:rsidR="00E9171A" w:rsidRPr="005F1FD6">
        <w:rPr>
          <w:rFonts w:ascii="Times New Roman" w:hAnsi="Times New Roman" w:cs="Times New Roman"/>
          <w:sz w:val="24"/>
          <w:szCs w:val="24"/>
        </w:rPr>
        <w:lastRenderedPageBreak/>
        <w:t xml:space="preserve">to </w:t>
      </w:r>
      <w:r w:rsidR="00BF0F49" w:rsidRPr="005F1FD6">
        <w:rPr>
          <w:rFonts w:ascii="Times New Roman" w:hAnsi="Times New Roman" w:cs="Times New Roman"/>
          <w:sz w:val="24"/>
          <w:szCs w:val="24"/>
        </w:rPr>
        <w:t>ensure that multicollinear</w:t>
      </w:r>
      <w:r w:rsidR="001C58D9" w:rsidRPr="005F1FD6">
        <w:rPr>
          <w:rFonts w:ascii="Times New Roman" w:hAnsi="Times New Roman" w:cs="Times New Roman"/>
          <w:sz w:val="24"/>
          <w:szCs w:val="24"/>
        </w:rPr>
        <w:t>ity has no harmful impact on the</w:t>
      </w:r>
      <w:r w:rsidR="00BF0F49" w:rsidRPr="005F1FD6">
        <w:rPr>
          <w:rFonts w:ascii="Times New Roman" w:hAnsi="Times New Roman" w:cs="Times New Roman"/>
          <w:sz w:val="24"/>
          <w:szCs w:val="24"/>
        </w:rPr>
        <w:t xml:space="preserve"> results</w:t>
      </w:r>
      <w:r w:rsidR="00993F86" w:rsidRPr="005F1FD6">
        <w:rPr>
          <w:rFonts w:ascii="Times New Roman" w:hAnsi="Times New Roman" w:cs="Times New Roman"/>
          <w:sz w:val="24"/>
          <w:szCs w:val="24"/>
        </w:rPr>
        <w:t xml:space="preserve"> (Van den Poel </w:t>
      </w:r>
      <w:r w:rsidR="002174D5">
        <w:rPr>
          <w:rFonts w:ascii="Times New Roman" w:hAnsi="Times New Roman" w:cs="Times New Roman"/>
          <w:sz w:val="24"/>
          <w:szCs w:val="24"/>
        </w:rPr>
        <w:t>and</w:t>
      </w:r>
      <w:r w:rsidR="004D2870">
        <w:rPr>
          <w:rFonts w:ascii="Times New Roman" w:hAnsi="Times New Roman" w:cs="Times New Roman"/>
          <w:sz w:val="24"/>
          <w:szCs w:val="24"/>
        </w:rPr>
        <w:t xml:space="preserve"> Larivière, 2004</w:t>
      </w:r>
      <w:r w:rsidR="00993F86" w:rsidRPr="005F1FD6">
        <w:rPr>
          <w:rFonts w:ascii="Times New Roman" w:hAnsi="Times New Roman" w:cs="Times New Roman"/>
          <w:sz w:val="24"/>
          <w:szCs w:val="24"/>
        </w:rPr>
        <w:t>)</w:t>
      </w:r>
      <w:r w:rsidR="00BF0F49" w:rsidRPr="005F1FD6">
        <w:rPr>
          <w:rFonts w:ascii="Times New Roman" w:hAnsi="Times New Roman" w:cs="Times New Roman"/>
          <w:sz w:val="24"/>
          <w:szCs w:val="24"/>
        </w:rPr>
        <w:t xml:space="preserve">. </w:t>
      </w:r>
      <w:r w:rsidR="001C58D9" w:rsidRPr="005F1FD6">
        <w:rPr>
          <w:rFonts w:ascii="Times New Roman" w:hAnsi="Times New Roman" w:cs="Times New Roman"/>
          <w:sz w:val="24"/>
          <w:szCs w:val="24"/>
        </w:rPr>
        <w:t>N</w:t>
      </w:r>
      <w:r w:rsidR="00E27AD7" w:rsidRPr="005F1FD6">
        <w:rPr>
          <w:rFonts w:ascii="Times New Roman" w:hAnsi="Times New Roman" w:cs="Times New Roman"/>
          <w:sz w:val="24"/>
          <w:szCs w:val="24"/>
        </w:rPr>
        <w:t xml:space="preserve">ew models </w:t>
      </w:r>
      <w:r w:rsidR="001C58D9" w:rsidRPr="005F1FD6">
        <w:rPr>
          <w:rFonts w:ascii="Times New Roman" w:hAnsi="Times New Roman" w:cs="Times New Roman"/>
          <w:sz w:val="24"/>
          <w:szCs w:val="24"/>
        </w:rPr>
        <w:t xml:space="preserve">were estimated </w:t>
      </w:r>
      <w:r w:rsidR="00E27AD7" w:rsidRPr="005F1FD6">
        <w:rPr>
          <w:rFonts w:ascii="Times New Roman" w:hAnsi="Times New Roman" w:cs="Times New Roman"/>
          <w:sz w:val="24"/>
          <w:szCs w:val="24"/>
        </w:rPr>
        <w:t>with a</w:t>
      </w:r>
      <w:r w:rsidR="00BF0F49" w:rsidRPr="005F1FD6">
        <w:rPr>
          <w:rFonts w:ascii="Times New Roman" w:hAnsi="Times New Roman" w:cs="Times New Roman"/>
          <w:sz w:val="24"/>
          <w:szCs w:val="24"/>
        </w:rPr>
        <w:t xml:space="preserve"> </w:t>
      </w:r>
      <w:r w:rsidR="00E27AD7" w:rsidRPr="005F1FD6">
        <w:rPr>
          <w:rFonts w:ascii="Times New Roman" w:hAnsi="Times New Roman" w:cs="Times New Roman"/>
          <w:sz w:val="24"/>
          <w:szCs w:val="24"/>
        </w:rPr>
        <w:t>correlation</w:t>
      </w:r>
      <w:r w:rsidR="001C58D9" w:rsidRPr="005F1FD6">
        <w:rPr>
          <w:rFonts w:ascii="Times New Roman" w:hAnsi="Times New Roman" w:cs="Times New Roman"/>
          <w:sz w:val="24"/>
          <w:szCs w:val="24"/>
        </w:rPr>
        <w:t xml:space="preserve"> cut-off</w:t>
      </w:r>
      <w:r w:rsidR="00E27AD7" w:rsidRPr="005F1FD6">
        <w:rPr>
          <w:rFonts w:ascii="Times New Roman" w:hAnsi="Times New Roman" w:cs="Times New Roman"/>
          <w:sz w:val="24"/>
          <w:szCs w:val="24"/>
        </w:rPr>
        <w:t xml:space="preserve"> of 0.6 and new</w:t>
      </w:r>
      <w:r w:rsidR="00524F2A" w:rsidRPr="005F1FD6">
        <w:rPr>
          <w:rFonts w:ascii="Times New Roman" w:hAnsi="Times New Roman" w:cs="Times New Roman"/>
          <w:sz w:val="24"/>
          <w:szCs w:val="24"/>
        </w:rPr>
        <w:t xml:space="preserve"> control</w:t>
      </w:r>
      <w:r w:rsidR="00E27AD7" w:rsidRPr="005F1FD6">
        <w:rPr>
          <w:rFonts w:ascii="Times New Roman" w:hAnsi="Times New Roman" w:cs="Times New Roman"/>
          <w:sz w:val="24"/>
          <w:szCs w:val="24"/>
        </w:rPr>
        <w:t xml:space="preserve"> variables </w:t>
      </w:r>
      <w:r w:rsidR="001C58D9" w:rsidRPr="005F1FD6">
        <w:rPr>
          <w:rFonts w:ascii="Times New Roman" w:hAnsi="Times New Roman" w:cs="Times New Roman"/>
          <w:sz w:val="24"/>
          <w:szCs w:val="24"/>
        </w:rPr>
        <w:t xml:space="preserve">were sequentially introduced, </w:t>
      </w:r>
      <w:r w:rsidR="00E27AD7" w:rsidRPr="005F1FD6">
        <w:rPr>
          <w:rFonts w:ascii="Times New Roman" w:hAnsi="Times New Roman" w:cs="Times New Roman"/>
          <w:sz w:val="24"/>
          <w:szCs w:val="24"/>
        </w:rPr>
        <w:t>based upon a less restrictive cut-off</w:t>
      </w:r>
      <w:r w:rsidR="001C58D9" w:rsidRPr="005F1FD6">
        <w:rPr>
          <w:rFonts w:ascii="Times New Roman" w:hAnsi="Times New Roman" w:cs="Times New Roman"/>
          <w:sz w:val="24"/>
          <w:szCs w:val="24"/>
        </w:rPr>
        <w:t xml:space="preserve"> point</w:t>
      </w:r>
      <w:r w:rsidR="00E27AD7" w:rsidRPr="005F1FD6">
        <w:rPr>
          <w:rFonts w:ascii="Times New Roman" w:hAnsi="Times New Roman" w:cs="Times New Roman"/>
          <w:sz w:val="24"/>
          <w:szCs w:val="24"/>
        </w:rPr>
        <w:t xml:space="preserve">. </w:t>
      </w:r>
      <w:r w:rsidR="00161A77" w:rsidRPr="005F1FD6">
        <w:rPr>
          <w:rFonts w:ascii="Times New Roman" w:hAnsi="Times New Roman" w:cs="Times New Roman"/>
          <w:sz w:val="24"/>
          <w:szCs w:val="24"/>
        </w:rPr>
        <w:t xml:space="preserve">The </w:t>
      </w:r>
      <w:r w:rsidR="00E9171A" w:rsidRPr="005F1FD6">
        <w:rPr>
          <w:rFonts w:ascii="Times New Roman" w:hAnsi="Times New Roman" w:cs="Times New Roman"/>
          <w:sz w:val="24"/>
          <w:szCs w:val="24"/>
        </w:rPr>
        <w:t xml:space="preserve">results </w:t>
      </w:r>
      <w:r w:rsidR="00161A77" w:rsidRPr="005F1FD6">
        <w:rPr>
          <w:rFonts w:ascii="Times New Roman" w:hAnsi="Times New Roman" w:cs="Times New Roman"/>
          <w:sz w:val="24"/>
          <w:szCs w:val="24"/>
        </w:rPr>
        <w:t xml:space="preserve">reveal that </w:t>
      </w:r>
      <w:r w:rsidR="00E9171A" w:rsidRPr="005F1FD6">
        <w:rPr>
          <w:rFonts w:ascii="Times New Roman" w:hAnsi="Times New Roman" w:cs="Times New Roman"/>
          <w:sz w:val="24"/>
          <w:szCs w:val="24"/>
        </w:rPr>
        <w:t xml:space="preserve">the coefficients and significance of </w:t>
      </w:r>
      <w:r w:rsidR="008F7025" w:rsidRPr="005F1FD6">
        <w:rPr>
          <w:rFonts w:ascii="Times New Roman" w:hAnsi="Times New Roman" w:cs="Times New Roman"/>
          <w:sz w:val="24"/>
          <w:szCs w:val="24"/>
        </w:rPr>
        <w:t xml:space="preserve">the control variables and </w:t>
      </w:r>
      <w:r w:rsidR="001C58D9" w:rsidRPr="005F1FD6">
        <w:rPr>
          <w:rFonts w:ascii="Times New Roman" w:hAnsi="Times New Roman" w:cs="Times New Roman"/>
          <w:sz w:val="24"/>
          <w:szCs w:val="24"/>
        </w:rPr>
        <w:t xml:space="preserve">of </w:t>
      </w:r>
      <w:r w:rsidR="008F7025" w:rsidRPr="005F1FD6">
        <w:rPr>
          <w:rFonts w:ascii="Times New Roman" w:hAnsi="Times New Roman" w:cs="Times New Roman"/>
          <w:sz w:val="24"/>
          <w:szCs w:val="24"/>
        </w:rPr>
        <w:t>the</w:t>
      </w:r>
      <w:r w:rsidR="00E9171A" w:rsidRPr="005F1FD6">
        <w:rPr>
          <w:rFonts w:ascii="Times New Roman" w:hAnsi="Times New Roman" w:cs="Times New Roman"/>
          <w:sz w:val="24"/>
          <w:szCs w:val="24"/>
        </w:rPr>
        <w:t xml:space="preserve"> mai</w:t>
      </w:r>
      <w:r w:rsidR="001C58D9" w:rsidRPr="005F1FD6">
        <w:rPr>
          <w:rFonts w:ascii="Times New Roman" w:hAnsi="Times New Roman" w:cs="Times New Roman"/>
          <w:sz w:val="24"/>
          <w:szCs w:val="24"/>
        </w:rPr>
        <w:t>n independent variables remain highly</w:t>
      </w:r>
      <w:r w:rsidR="00E9171A" w:rsidRPr="005F1FD6">
        <w:rPr>
          <w:rFonts w:ascii="Times New Roman" w:hAnsi="Times New Roman" w:cs="Times New Roman"/>
          <w:sz w:val="24"/>
          <w:szCs w:val="24"/>
        </w:rPr>
        <w:t xml:space="preserve"> stable in all models. </w:t>
      </w:r>
      <w:r w:rsidR="001C58D9" w:rsidRPr="005F1FD6">
        <w:rPr>
          <w:rFonts w:ascii="Times New Roman" w:hAnsi="Times New Roman" w:cs="Times New Roman"/>
          <w:sz w:val="24"/>
          <w:szCs w:val="24"/>
        </w:rPr>
        <w:t>It is hence unlikely that t</w:t>
      </w:r>
      <w:r w:rsidR="00E9171A" w:rsidRPr="005F1FD6">
        <w:rPr>
          <w:rFonts w:ascii="Times New Roman" w:hAnsi="Times New Roman" w:cs="Times New Roman"/>
          <w:sz w:val="24"/>
          <w:szCs w:val="24"/>
        </w:rPr>
        <w:t xml:space="preserve">he results are </w:t>
      </w:r>
      <w:r w:rsidR="001C58D9" w:rsidRPr="005F1FD6">
        <w:rPr>
          <w:rFonts w:ascii="Times New Roman" w:hAnsi="Times New Roman" w:cs="Times New Roman"/>
          <w:sz w:val="24"/>
          <w:szCs w:val="24"/>
        </w:rPr>
        <w:t xml:space="preserve">impacted by </w:t>
      </w:r>
      <w:r w:rsidR="00E9171A" w:rsidRPr="005F1FD6">
        <w:rPr>
          <w:rFonts w:ascii="Times New Roman" w:hAnsi="Times New Roman" w:cs="Times New Roman"/>
          <w:sz w:val="24"/>
          <w:szCs w:val="24"/>
        </w:rPr>
        <w:t>potential multicollinearity problem</w:t>
      </w:r>
      <w:r w:rsidR="001C58D9" w:rsidRPr="005F1FD6">
        <w:rPr>
          <w:rFonts w:ascii="Times New Roman" w:hAnsi="Times New Roman" w:cs="Times New Roman"/>
          <w:sz w:val="24"/>
          <w:szCs w:val="24"/>
        </w:rPr>
        <w:t>s</w:t>
      </w:r>
      <w:r w:rsidR="00E9171A" w:rsidRPr="005F1FD6">
        <w:rPr>
          <w:rFonts w:ascii="Times New Roman" w:hAnsi="Times New Roman" w:cs="Times New Roman"/>
          <w:sz w:val="24"/>
          <w:szCs w:val="24"/>
        </w:rPr>
        <w:t>.</w:t>
      </w:r>
    </w:p>
    <w:p w14:paraId="3DD584A7" w14:textId="77777777" w:rsidR="00C35C66" w:rsidRDefault="00C35C66" w:rsidP="009E0A45">
      <w:pPr>
        <w:spacing w:after="0" w:line="480" w:lineRule="auto"/>
        <w:ind w:firstLine="432"/>
        <w:jc w:val="both"/>
        <w:rPr>
          <w:rFonts w:ascii="Times New Roman" w:hAnsi="Times New Roman" w:cs="Times New Roman"/>
          <w:sz w:val="24"/>
          <w:szCs w:val="24"/>
        </w:rPr>
      </w:pPr>
    </w:p>
    <w:p w14:paraId="434EC9A4" w14:textId="77777777" w:rsidR="0035507C" w:rsidRDefault="0035507C" w:rsidP="009E0A45">
      <w:pPr>
        <w:spacing w:after="0" w:line="480" w:lineRule="auto"/>
        <w:ind w:firstLine="432"/>
        <w:contextualSpacing/>
        <w:mirrorIndents/>
        <w:jc w:val="center"/>
        <w:rPr>
          <w:rFonts w:ascii="Times New Roman" w:hAnsi="Times New Roman" w:cs="Times New Roman"/>
          <w:b/>
          <w:caps/>
        </w:rPr>
      </w:pPr>
      <w:r>
        <w:rPr>
          <w:rFonts w:ascii="Times New Roman" w:hAnsi="Times New Roman" w:cs="Times New Roman"/>
          <w:b/>
          <w:caps/>
        </w:rPr>
        <w:t>Discussion and conclusion</w:t>
      </w:r>
    </w:p>
    <w:p w14:paraId="409A83A7" w14:textId="5489A4E4" w:rsidR="00F01B63" w:rsidRDefault="00F01B63" w:rsidP="009F5241">
      <w:pPr>
        <w:spacing w:after="0" w:line="480" w:lineRule="auto"/>
        <w:ind w:firstLine="432"/>
        <w:jc w:val="both"/>
        <w:rPr>
          <w:rFonts w:ascii="Times New Roman" w:hAnsi="Times New Roman" w:cs="Times New Roman"/>
          <w:sz w:val="24"/>
          <w:szCs w:val="24"/>
        </w:rPr>
      </w:pPr>
      <w:r w:rsidRPr="000C2FCA">
        <w:rPr>
          <w:rFonts w:ascii="Times New Roman" w:hAnsi="Times New Roman" w:cs="Times New Roman"/>
          <w:sz w:val="24"/>
          <w:szCs w:val="24"/>
        </w:rPr>
        <w:t>Organizational decision makers have been shown to escalate their commitment towards a failing course of action</w:t>
      </w:r>
      <w:r>
        <w:rPr>
          <w:rFonts w:ascii="Times New Roman" w:hAnsi="Times New Roman" w:cs="Times New Roman"/>
          <w:sz w:val="24"/>
          <w:szCs w:val="24"/>
        </w:rPr>
        <w:t xml:space="preserve"> (Sleesman, 2012)</w:t>
      </w:r>
      <w:r w:rsidR="009F5241">
        <w:rPr>
          <w:rFonts w:ascii="Times New Roman" w:hAnsi="Times New Roman" w:cs="Times New Roman"/>
          <w:sz w:val="24"/>
          <w:szCs w:val="24"/>
        </w:rPr>
        <w:t xml:space="preserve">, even when expert decision makers such as VC investors are repeatedly confronted with this decision (Guler, 2007). </w:t>
      </w:r>
      <w:r>
        <w:rPr>
          <w:rFonts w:ascii="Times New Roman" w:hAnsi="Times New Roman" w:cs="Times New Roman"/>
          <w:sz w:val="24"/>
          <w:szCs w:val="24"/>
        </w:rPr>
        <w:t xml:space="preserve">We contribute </w:t>
      </w:r>
      <w:r w:rsidR="00D13CF8">
        <w:rPr>
          <w:rFonts w:ascii="Times New Roman" w:hAnsi="Times New Roman" w:cs="Times New Roman"/>
          <w:sz w:val="24"/>
          <w:szCs w:val="24"/>
        </w:rPr>
        <w:t xml:space="preserve">to this research </w:t>
      </w:r>
      <w:r>
        <w:rPr>
          <w:rFonts w:ascii="Times New Roman" w:hAnsi="Times New Roman" w:cs="Times New Roman"/>
          <w:sz w:val="24"/>
          <w:szCs w:val="24"/>
        </w:rPr>
        <w:t xml:space="preserve">by showing how </w:t>
      </w:r>
      <w:r w:rsidR="009F5241">
        <w:rPr>
          <w:rFonts w:ascii="Times New Roman" w:hAnsi="Times New Roman" w:cs="Times New Roman"/>
          <w:sz w:val="24"/>
          <w:szCs w:val="24"/>
        </w:rPr>
        <w:t xml:space="preserve">emotional, social and institutional </w:t>
      </w:r>
      <w:r>
        <w:rPr>
          <w:rFonts w:ascii="Times New Roman" w:hAnsi="Times New Roman" w:cs="Times New Roman"/>
          <w:sz w:val="24"/>
          <w:szCs w:val="24"/>
        </w:rPr>
        <w:t xml:space="preserve">differences related to investing internationally compared to investing domestically, may safeguard VC investors from escalating their commitment to a failing course of action. </w:t>
      </w:r>
      <w:r w:rsidR="009570E8">
        <w:rPr>
          <w:rFonts w:ascii="Times New Roman" w:hAnsi="Times New Roman" w:cs="Times New Roman"/>
          <w:sz w:val="24"/>
          <w:szCs w:val="24"/>
        </w:rPr>
        <w:t xml:space="preserve">We extend Guler’s work (2007) by </w:t>
      </w:r>
      <w:r w:rsidR="00964A8F">
        <w:rPr>
          <w:rFonts w:ascii="Times New Roman" w:hAnsi="Times New Roman" w:cs="Times New Roman"/>
          <w:sz w:val="24"/>
          <w:szCs w:val="24"/>
        </w:rPr>
        <w:t>showing how differences in</w:t>
      </w:r>
      <w:r w:rsidR="009570E8">
        <w:rPr>
          <w:rFonts w:ascii="Times New Roman" w:hAnsi="Times New Roman" w:cs="Times New Roman"/>
          <w:sz w:val="24"/>
          <w:szCs w:val="24"/>
        </w:rPr>
        <w:t xml:space="preserve"> </w:t>
      </w:r>
      <w:r w:rsidR="00314FFD">
        <w:rPr>
          <w:rFonts w:ascii="Times New Roman" w:hAnsi="Times New Roman" w:cs="Times New Roman"/>
          <w:sz w:val="24"/>
          <w:szCs w:val="24"/>
        </w:rPr>
        <w:t xml:space="preserve">emotional attachment and </w:t>
      </w:r>
      <w:r w:rsidR="009570E8">
        <w:rPr>
          <w:rFonts w:ascii="Times New Roman" w:hAnsi="Times New Roman" w:cs="Times New Roman"/>
          <w:sz w:val="24"/>
          <w:szCs w:val="24"/>
        </w:rPr>
        <w:t xml:space="preserve">social embeddedness </w:t>
      </w:r>
      <w:r w:rsidR="00964A8F">
        <w:rPr>
          <w:rFonts w:ascii="Times New Roman" w:hAnsi="Times New Roman" w:cs="Times New Roman"/>
          <w:sz w:val="24"/>
          <w:szCs w:val="24"/>
        </w:rPr>
        <w:t>influence</w:t>
      </w:r>
      <w:r w:rsidR="009570E8">
        <w:rPr>
          <w:rFonts w:ascii="Times New Roman" w:hAnsi="Times New Roman" w:cs="Times New Roman"/>
          <w:sz w:val="24"/>
          <w:szCs w:val="24"/>
        </w:rPr>
        <w:t xml:space="preserve"> escalation of commitment </w:t>
      </w:r>
      <w:r w:rsidR="00964A8F">
        <w:rPr>
          <w:rFonts w:ascii="Times New Roman" w:hAnsi="Times New Roman" w:cs="Times New Roman"/>
          <w:sz w:val="24"/>
          <w:szCs w:val="24"/>
        </w:rPr>
        <w:t>between different types of</w:t>
      </w:r>
      <w:r w:rsidR="009570E8">
        <w:rPr>
          <w:rFonts w:ascii="Times New Roman" w:hAnsi="Times New Roman" w:cs="Times New Roman"/>
          <w:sz w:val="24"/>
          <w:szCs w:val="24"/>
        </w:rPr>
        <w:t xml:space="preserve"> VC invest</w:t>
      </w:r>
      <w:r w:rsidR="00964A8F">
        <w:rPr>
          <w:rFonts w:ascii="Times New Roman" w:hAnsi="Times New Roman" w:cs="Times New Roman"/>
          <w:sz w:val="24"/>
          <w:szCs w:val="24"/>
        </w:rPr>
        <w:t>ing</w:t>
      </w:r>
      <w:r w:rsidR="009570E8">
        <w:rPr>
          <w:rFonts w:ascii="Times New Roman" w:hAnsi="Times New Roman" w:cs="Times New Roman"/>
          <w:sz w:val="24"/>
          <w:szCs w:val="24"/>
        </w:rPr>
        <w:t xml:space="preserve">. </w:t>
      </w:r>
      <w:r>
        <w:rPr>
          <w:rFonts w:ascii="Times New Roman" w:hAnsi="Times New Roman" w:cs="Times New Roman"/>
          <w:sz w:val="24"/>
          <w:szCs w:val="24"/>
        </w:rPr>
        <w:t>We</w:t>
      </w:r>
      <w:r w:rsidRPr="005F1FD6">
        <w:rPr>
          <w:rFonts w:ascii="Times New Roman" w:hAnsi="Times New Roman" w:cs="Times New Roman"/>
          <w:sz w:val="24"/>
          <w:szCs w:val="24"/>
        </w:rPr>
        <w:t xml:space="preserve"> show a robust and significant higher probability to escalate commitment for domestic </w:t>
      </w:r>
      <w:r>
        <w:rPr>
          <w:rFonts w:ascii="Times New Roman" w:hAnsi="Times New Roman" w:cs="Times New Roman"/>
          <w:sz w:val="24"/>
          <w:szCs w:val="24"/>
        </w:rPr>
        <w:t>VC investors</w:t>
      </w:r>
      <w:r w:rsidRPr="005F1FD6">
        <w:rPr>
          <w:rFonts w:ascii="Times New Roman" w:hAnsi="Times New Roman" w:cs="Times New Roman"/>
          <w:sz w:val="24"/>
          <w:szCs w:val="24"/>
        </w:rPr>
        <w:t xml:space="preserve"> as opposed to </w:t>
      </w:r>
      <w:r>
        <w:rPr>
          <w:rFonts w:ascii="Times New Roman" w:hAnsi="Times New Roman" w:cs="Times New Roman"/>
          <w:sz w:val="24"/>
          <w:szCs w:val="24"/>
        </w:rPr>
        <w:t>international</w:t>
      </w:r>
      <w:r w:rsidRPr="005F1FD6">
        <w:rPr>
          <w:rFonts w:ascii="Times New Roman" w:hAnsi="Times New Roman" w:cs="Times New Roman"/>
          <w:sz w:val="24"/>
          <w:szCs w:val="24"/>
        </w:rPr>
        <w:t xml:space="preserve"> </w:t>
      </w:r>
      <w:r>
        <w:rPr>
          <w:rFonts w:ascii="Times New Roman" w:hAnsi="Times New Roman" w:cs="Times New Roman"/>
          <w:sz w:val="24"/>
          <w:szCs w:val="24"/>
        </w:rPr>
        <w:t>VC investors, either investing through a local branch or from their headquarters</w:t>
      </w:r>
      <w:r w:rsidRPr="005F1FD6">
        <w:rPr>
          <w:rFonts w:ascii="Times New Roman" w:hAnsi="Times New Roman" w:cs="Times New Roman"/>
          <w:sz w:val="24"/>
          <w:szCs w:val="24"/>
        </w:rPr>
        <w:t>.</w:t>
      </w:r>
      <w:r>
        <w:rPr>
          <w:rFonts w:ascii="Times New Roman" w:hAnsi="Times New Roman" w:cs="Times New Roman"/>
          <w:sz w:val="24"/>
          <w:szCs w:val="24"/>
        </w:rPr>
        <w:t xml:space="preserve"> Interestingly, having a local presence does not lead to a higher escalation of commitment compared to investing across borders. As such, we illustrate how international VC firms may have an advantage over local VC firms, in contrast with the dominant </w:t>
      </w:r>
      <w:r w:rsidR="00645BF6">
        <w:rPr>
          <w:rFonts w:ascii="Times New Roman" w:hAnsi="Times New Roman" w:cs="Times New Roman"/>
          <w:sz w:val="24"/>
          <w:szCs w:val="24"/>
        </w:rPr>
        <w:t xml:space="preserve">assumption </w:t>
      </w:r>
      <w:r>
        <w:rPr>
          <w:rFonts w:ascii="Times New Roman" w:hAnsi="Times New Roman" w:cs="Times New Roman"/>
          <w:sz w:val="24"/>
          <w:szCs w:val="24"/>
        </w:rPr>
        <w:t xml:space="preserve">that international VC firms face mainly liabilities of foreignness. </w:t>
      </w:r>
      <w:r w:rsidR="005F30EC">
        <w:rPr>
          <w:rFonts w:ascii="Times New Roman" w:hAnsi="Times New Roman" w:cs="Times New Roman"/>
          <w:sz w:val="24"/>
          <w:szCs w:val="24"/>
        </w:rPr>
        <w:t xml:space="preserve">Given </w:t>
      </w:r>
      <w:r w:rsidR="00BC51E6">
        <w:rPr>
          <w:rFonts w:ascii="Times New Roman" w:hAnsi="Times New Roman" w:cs="Times New Roman"/>
          <w:sz w:val="24"/>
          <w:szCs w:val="24"/>
        </w:rPr>
        <w:t>our</w:t>
      </w:r>
      <w:r w:rsidR="005F30EC">
        <w:rPr>
          <w:rFonts w:ascii="Times New Roman" w:hAnsi="Times New Roman" w:cs="Times New Roman"/>
          <w:sz w:val="24"/>
          <w:szCs w:val="24"/>
        </w:rPr>
        <w:t xml:space="preserve"> methods of analysis, these results are not impacted by endogeneity issues, nor </w:t>
      </w:r>
      <w:r w:rsidR="00D51325">
        <w:rPr>
          <w:rFonts w:ascii="Times New Roman" w:hAnsi="Times New Roman" w:cs="Times New Roman"/>
          <w:sz w:val="24"/>
          <w:szCs w:val="24"/>
        </w:rPr>
        <w:t xml:space="preserve">are they explained </w:t>
      </w:r>
      <w:r w:rsidR="005F30EC">
        <w:rPr>
          <w:rFonts w:ascii="Times New Roman" w:hAnsi="Times New Roman" w:cs="Times New Roman"/>
          <w:sz w:val="24"/>
          <w:szCs w:val="24"/>
        </w:rPr>
        <w:t>by geographic distance alone.</w:t>
      </w:r>
    </w:p>
    <w:p w14:paraId="02B966CD" w14:textId="3F87A0FC" w:rsidR="00F01B63" w:rsidRPr="00397A27" w:rsidRDefault="00F01B63" w:rsidP="00F01B63">
      <w:pPr>
        <w:spacing w:after="0" w:line="480" w:lineRule="auto"/>
        <w:ind w:firstLine="432"/>
        <w:jc w:val="both"/>
        <w:rPr>
          <w:rFonts w:ascii="Times New Roman" w:hAnsi="Times New Roman" w:cs="Times New Roman"/>
          <w:sz w:val="24"/>
          <w:szCs w:val="24"/>
          <w:highlight w:val="yellow"/>
        </w:rPr>
      </w:pPr>
      <w:r w:rsidRPr="00397A27">
        <w:rPr>
          <w:rFonts w:ascii="Times New Roman" w:hAnsi="Times New Roman" w:cs="Times New Roman"/>
          <w:sz w:val="24"/>
          <w:szCs w:val="24"/>
        </w:rPr>
        <w:lastRenderedPageBreak/>
        <w:t>Our insights suggest</w:t>
      </w:r>
      <w:r>
        <w:rPr>
          <w:rFonts w:ascii="Times New Roman" w:hAnsi="Times New Roman" w:cs="Times New Roman"/>
          <w:sz w:val="24"/>
          <w:szCs w:val="24"/>
        </w:rPr>
        <w:t xml:space="preserve"> that, in contrast </w:t>
      </w:r>
      <w:r w:rsidR="00E4275A">
        <w:rPr>
          <w:rFonts w:ascii="Times New Roman" w:hAnsi="Times New Roman" w:cs="Times New Roman"/>
          <w:sz w:val="24"/>
          <w:szCs w:val="24"/>
        </w:rPr>
        <w:t>to</w:t>
      </w:r>
      <w:r>
        <w:rPr>
          <w:rFonts w:ascii="Times New Roman" w:hAnsi="Times New Roman" w:cs="Times New Roman"/>
          <w:sz w:val="24"/>
          <w:szCs w:val="24"/>
        </w:rPr>
        <w:t xml:space="preserve"> domestic VC investors, cross-border VC investors </w:t>
      </w:r>
      <w:r w:rsidR="00D51325">
        <w:rPr>
          <w:rFonts w:ascii="Times New Roman" w:hAnsi="Times New Roman" w:cs="Times New Roman"/>
          <w:sz w:val="24"/>
          <w:szCs w:val="24"/>
        </w:rPr>
        <w:t>are less prone to</w:t>
      </w:r>
      <w:r>
        <w:rPr>
          <w:rFonts w:ascii="Times New Roman" w:hAnsi="Times New Roman" w:cs="Times New Roman"/>
          <w:sz w:val="24"/>
          <w:szCs w:val="24"/>
        </w:rPr>
        <w:t xml:space="preserve"> escalate their commitment when a portfolio company fails to meet its expectations. This is consistent with cross-border investors facing a larger </w:t>
      </w:r>
      <w:r w:rsidRPr="00683D95">
        <w:rPr>
          <w:rFonts w:ascii="Times New Roman" w:hAnsi="Times New Roman" w:cs="Times New Roman"/>
          <w:sz w:val="24"/>
          <w:szCs w:val="24"/>
        </w:rPr>
        <w:t>cultural and legal distance</w:t>
      </w:r>
      <w:r>
        <w:rPr>
          <w:rFonts w:ascii="Times New Roman" w:hAnsi="Times New Roman" w:cs="Times New Roman"/>
          <w:sz w:val="24"/>
          <w:szCs w:val="24"/>
        </w:rPr>
        <w:t xml:space="preserve">. </w:t>
      </w:r>
      <w:r w:rsidR="00381049">
        <w:rPr>
          <w:rFonts w:ascii="Times New Roman" w:hAnsi="Times New Roman" w:cs="Times New Roman"/>
          <w:sz w:val="24"/>
          <w:szCs w:val="24"/>
        </w:rPr>
        <w:t>C</w:t>
      </w:r>
      <w:r w:rsidRPr="00683D95">
        <w:rPr>
          <w:rFonts w:ascii="Times New Roman" w:hAnsi="Times New Roman" w:cs="Times New Roman"/>
          <w:sz w:val="24"/>
          <w:szCs w:val="24"/>
        </w:rPr>
        <w:t xml:space="preserve">ross-border VC </w:t>
      </w:r>
      <w:r>
        <w:rPr>
          <w:rFonts w:ascii="Times New Roman" w:hAnsi="Times New Roman" w:cs="Times New Roman"/>
          <w:sz w:val="24"/>
          <w:szCs w:val="24"/>
        </w:rPr>
        <w:t>investors</w:t>
      </w:r>
      <w:r w:rsidRPr="00683D95">
        <w:rPr>
          <w:rFonts w:ascii="Times New Roman" w:hAnsi="Times New Roman" w:cs="Times New Roman"/>
          <w:sz w:val="24"/>
          <w:szCs w:val="24"/>
        </w:rPr>
        <w:t xml:space="preserve"> </w:t>
      </w:r>
      <w:r w:rsidR="00381049">
        <w:rPr>
          <w:rFonts w:ascii="Times New Roman" w:hAnsi="Times New Roman" w:cs="Times New Roman"/>
          <w:sz w:val="24"/>
          <w:szCs w:val="24"/>
        </w:rPr>
        <w:t>are th</w:t>
      </w:r>
      <w:r w:rsidR="002A5405">
        <w:rPr>
          <w:rFonts w:ascii="Times New Roman" w:hAnsi="Times New Roman" w:cs="Times New Roman"/>
          <w:sz w:val="24"/>
          <w:szCs w:val="24"/>
        </w:rPr>
        <w:t>us</w:t>
      </w:r>
      <w:r w:rsidR="00381049">
        <w:rPr>
          <w:rFonts w:ascii="Times New Roman" w:hAnsi="Times New Roman" w:cs="Times New Roman"/>
          <w:sz w:val="24"/>
          <w:szCs w:val="24"/>
        </w:rPr>
        <w:t xml:space="preserve"> </w:t>
      </w:r>
      <w:r w:rsidRPr="00683D95">
        <w:rPr>
          <w:rFonts w:ascii="Times New Roman" w:hAnsi="Times New Roman" w:cs="Times New Roman"/>
          <w:sz w:val="24"/>
          <w:szCs w:val="24"/>
        </w:rPr>
        <w:t>less</w:t>
      </w:r>
      <w:r w:rsidR="00381049">
        <w:rPr>
          <w:rFonts w:ascii="Times New Roman" w:hAnsi="Times New Roman" w:cs="Times New Roman"/>
          <w:sz w:val="24"/>
          <w:szCs w:val="24"/>
        </w:rPr>
        <w:t xml:space="preserve"> emotionally attached to the entrepreneur and less</w:t>
      </w:r>
      <w:r>
        <w:rPr>
          <w:rFonts w:ascii="Times New Roman" w:hAnsi="Times New Roman" w:cs="Times New Roman"/>
          <w:sz w:val="24"/>
          <w:szCs w:val="24"/>
        </w:rPr>
        <w:t xml:space="preserve"> socially embedded in the portfolio firm’s community, and hence less</w:t>
      </w:r>
      <w:r w:rsidRPr="00683D95">
        <w:rPr>
          <w:rFonts w:ascii="Times New Roman" w:hAnsi="Times New Roman" w:cs="Times New Roman"/>
          <w:sz w:val="24"/>
          <w:szCs w:val="24"/>
        </w:rPr>
        <w:t xml:space="preserve"> prone to emotional</w:t>
      </w:r>
      <w:r w:rsidR="00B27B7A">
        <w:rPr>
          <w:rFonts w:ascii="Times New Roman" w:hAnsi="Times New Roman" w:cs="Times New Roman"/>
          <w:sz w:val="24"/>
          <w:szCs w:val="24"/>
        </w:rPr>
        <w:t>,</w:t>
      </w:r>
      <w:r w:rsidRPr="00683D95">
        <w:rPr>
          <w:rFonts w:ascii="Times New Roman" w:hAnsi="Times New Roman" w:cs="Times New Roman"/>
          <w:sz w:val="24"/>
          <w:szCs w:val="24"/>
        </w:rPr>
        <w:t xml:space="preserve"> </w:t>
      </w:r>
      <w:r w:rsidR="004E6837" w:rsidRPr="00683D95">
        <w:rPr>
          <w:rFonts w:ascii="Times New Roman" w:hAnsi="Times New Roman" w:cs="Times New Roman"/>
          <w:sz w:val="24"/>
          <w:szCs w:val="24"/>
        </w:rPr>
        <w:t>social</w:t>
      </w:r>
      <w:r w:rsidR="00B27B7A">
        <w:rPr>
          <w:rFonts w:ascii="Times New Roman" w:hAnsi="Times New Roman" w:cs="Times New Roman"/>
          <w:sz w:val="24"/>
          <w:szCs w:val="24"/>
        </w:rPr>
        <w:t xml:space="preserve"> and normative</w:t>
      </w:r>
      <w:r w:rsidR="004E6837" w:rsidRPr="00683D95">
        <w:rPr>
          <w:rFonts w:ascii="Times New Roman" w:hAnsi="Times New Roman" w:cs="Times New Roman"/>
          <w:sz w:val="24"/>
          <w:szCs w:val="24"/>
        </w:rPr>
        <w:t xml:space="preserve"> </w:t>
      </w:r>
      <w:r w:rsidRPr="00683D95">
        <w:rPr>
          <w:rFonts w:ascii="Times New Roman" w:hAnsi="Times New Roman" w:cs="Times New Roman"/>
          <w:sz w:val="24"/>
          <w:szCs w:val="24"/>
        </w:rPr>
        <w:t xml:space="preserve">pressures from </w:t>
      </w:r>
      <w:r>
        <w:rPr>
          <w:rFonts w:ascii="Times New Roman" w:hAnsi="Times New Roman" w:cs="Times New Roman"/>
          <w:sz w:val="24"/>
          <w:szCs w:val="24"/>
        </w:rPr>
        <w:t xml:space="preserve">portfolio company </w:t>
      </w:r>
      <w:r w:rsidRPr="00683D95">
        <w:rPr>
          <w:rFonts w:ascii="Times New Roman" w:hAnsi="Times New Roman" w:cs="Times New Roman"/>
          <w:sz w:val="24"/>
          <w:szCs w:val="24"/>
        </w:rPr>
        <w:t>stakeholders</w:t>
      </w:r>
      <w:r>
        <w:rPr>
          <w:rFonts w:ascii="Times New Roman" w:hAnsi="Times New Roman" w:cs="Times New Roman"/>
          <w:sz w:val="24"/>
          <w:szCs w:val="24"/>
        </w:rPr>
        <w:t>, including the entrepreneur</w:t>
      </w:r>
      <w:r w:rsidRPr="00683D95">
        <w:rPr>
          <w:rFonts w:ascii="Times New Roman" w:hAnsi="Times New Roman" w:cs="Times New Roman"/>
          <w:sz w:val="24"/>
          <w:szCs w:val="24"/>
        </w:rPr>
        <w:t xml:space="preserve">. </w:t>
      </w:r>
    </w:p>
    <w:p w14:paraId="1DA984BE" w14:textId="7EF23216" w:rsidR="00F01B63" w:rsidRPr="00EF48B8" w:rsidRDefault="00F01B63" w:rsidP="00F01B63">
      <w:pPr>
        <w:spacing w:after="0" w:line="480" w:lineRule="auto"/>
        <w:ind w:firstLine="432"/>
        <w:jc w:val="both"/>
        <w:rPr>
          <w:rFonts w:ascii="Times New Roman" w:hAnsi="Times New Roman" w:cs="Times New Roman"/>
          <w:sz w:val="24"/>
          <w:szCs w:val="24"/>
        </w:rPr>
      </w:pPr>
      <w:r w:rsidRPr="005471A0">
        <w:rPr>
          <w:rFonts w:ascii="Times New Roman" w:hAnsi="Times New Roman" w:cs="Times New Roman"/>
          <w:sz w:val="24"/>
          <w:szCs w:val="24"/>
        </w:rPr>
        <w:t xml:space="preserve">Although the employment of local investment managers </w:t>
      </w:r>
      <w:r w:rsidRPr="0032164A">
        <w:rPr>
          <w:rFonts w:ascii="Times New Roman" w:hAnsi="Times New Roman" w:cs="Times New Roman"/>
          <w:sz w:val="24"/>
          <w:szCs w:val="24"/>
        </w:rPr>
        <w:t>and proximity to their portfolio companies</w:t>
      </w:r>
      <w:r w:rsidRPr="006537E4">
        <w:rPr>
          <w:rFonts w:ascii="Times New Roman" w:hAnsi="Times New Roman" w:cs="Times New Roman"/>
          <w:sz w:val="24"/>
          <w:szCs w:val="24"/>
        </w:rPr>
        <w:t xml:space="preserve"> </w:t>
      </w:r>
      <w:r w:rsidRPr="005471A0">
        <w:rPr>
          <w:rFonts w:ascii="Times New Roman" w:hAnsi="Times New Roman" w:cs="Times New Roman"/>
          <w:sz w:val="24"/>
          <w:szCs w:val="24"/>
        </w:rPr>
        <w:t>is expected</w:t>
      </w:r>
      <w:r w:rsidRPr="00683D95">
        <w:rPr>
          <w:rFonts w:ascii="Times New Roman" w:hAnsi="Times New Roman" w:cs="Times New Roman"/>
          <w:sz w:val="24"/>
          <w:szCs w:val="24"/>
        </w:rPr>
        <w:t xml:space="preserve"> to make branch VC firms behave similarly to domestic VC firms, </w:t>
      </w:r>
      <w:r w:rsidR="005F30EC">
        <w:rPr>
          <w:rFonts w:ascii="Times New Roman" w:hAnsi="Times New Roman" w:cs="Times New Roman"/>
          <w:sz w:val="24"/>
          <w:szCs w:val="24"/>
        </w:rPr>
        <w:t>r</w:t>
      </w:r>
      <w:r w:rsidRPr="00683D95">
        <w:rPr>
          <w:rFonts w:ascii="Times New Roman" w:hAnsi="Times New Roman" w:cs="Times New Roman"/>
          <w:sz w:val="24"/>
          <w:szCs w:val="24"/>
        </w:rPr>
        <w:t>esults show that branch VC firms behave as cross-border VC firms</w:t>
      </w:r>
      <w:r w:rsidR="005F30EC">
        <w:rPr>
          <w:rFonts w:ascii="Times New Roman" w:hAnsi="Times New Roman" w:cs="Times New Roman"/>
          <w:sz w:val="24"/>
          <w:szCs w:val="24"/>
        </w:rPr>
        <w:t xml:space="preserve"> in terminating underperforming ventures:</w:t>
      </w:r>
      <w:r w:rsidRPr="00683D95">
        <w:rPr>
          <w:rFonts w:ascii="Times New Roman" w:hAnsi="Times New Roman" w:cs="Times New Roman"/>
          <w:sz w:val="24"/>
          <w:szCs w:val="24"/>
        </w:rPr>
        <w:t xml:space="preserve"> </w:t>
      </w:r>
      <w:r w:rsidRPr="00E20E2D">
        <w:rPr>
          <w:rFonts w:ascii="Times New Roman" w:hAnsi="Times New Roman" w:cs="Times New Roman"/>
          <w:sz w:val="24"/>
          <w:szCs w:val="24"/>
        </w:rPr>
        <w:t xml:space="preserve">their probability to escalate commitment is lower than </w:t>
      </w:r>
      <w:r w:rsidR="00D51325">
        <w:rPr>
          <w:rFonts w:ascii="Times New Roman" w:hAnsi="Times New Roman" w:cs="Times New Roman"/>
          <w:sz w:val="24"/>
          <w:szCs w:val="24"/>
        </w:rPr>
        <w:t xml:space="preserve">that of </w:t>
      </w:r>
      <w:r w:rsidRPr="00E20E2D">
        <w:rPr>
          <w:rFonts w:ascii="Times New Roman" w:hAnsi="Times New Roman" w:cs="Times New Roman"/>
          <w:sz w:val="24"/>
          <w:szCs w:val="24"/>
        </w:rPr>
        <w:t>domestic VC firms. Moreover, we find no significant diffe</w:t>
      </w:r>
      <w:r w:rsidRPr="00683D95">
        <w:rPr>
          <w:rFonts w:ascii="Times New Roman" w:hAnsi="Times New Roman" w:cs="Times New Roman"/>
          <w:sz w:val="24"/>
          <w:szCs w:val="24"/>
        </w:rPr>
        <w:t xml:space="preserve">rence in escalation probability between cross-border VC firms investing from </w:t>
      </w:r>
      <w:r>
        <w:rPr>
          <w:rFonts w:ascii="Times New Roman" w:hAnsi="Times New Roman" w:cs="Times New Roman"/>
          <w:sz w:val="24"/>
          <w:szCs w:val="24"/>
        </w:rPr>
        <w:t xml:space="preserve">a </w:t>
      </w:r>
      <w:r w:rsidRPr="00683D95">
        <w:rPr>
          <w:rFonts w:ascii="Times New Roman" w:hAnsi="Times New Roman" w:cs="Times New Roman"/>
          <w:sz w:val="24"/>
          <w:szCs w:val="24"/>
        </w:rPr>
        <w:t xml:space="preserve">head office or through a local branch. </w:t>
      </w:r>
      <w:r w:rsidR="005F30EC">
        <w:rPr>
          <w:rFonts w:ascii="Times New Roman" w:hAnsi="Times New Roman" w:cs="Times New Roman"/>
          <w:sz w:val="24"/>
          <w:szCs w:val="24"/>
        </w:rPr>
        <w:t xml:space="preserve">This may be explained by branch </w:t>
      </w:r>
      <w:r w:rsidR="005F30EC" w:rsidRPr="00683D95">
        <w:rPr>
          <w:rFonts w:ascii="Times New Roman" w:hAnsi="Times New Roman" w:cs="Times New Roman"/>
          <w:sz w:val="24"/>
          <w:szCs w:val="24"/>
        </w:rPr>
        <w:t>investment committees including both local and head office executives prevent</w:t>
      </w:r>
      <w:r w:rsidR="005F30EC">
        <w:rPr>
          <w:rFonts w:ascii="Times New Roman" w:hAnsi="Times New Roman" w:cs="Times New Roman"/>
          <w:sz w:val="24"/>
          <w:szCs w:val="24"/>
        </w:rPr>
        <w:t>ing</w:t>
      </w:r>
      <w:r w:rsidR="005F30EC" w:rsidRPr="00683D95">
        <w:rPr>
          <w:rFonts w:ascii="Times New Roman" w:hAnsi="Times New Roman" w:cs="Times New Roman"/>
          <w:sz w:val="24"/>
          <w:szCs w:val="24"/>
        </w:rPr>
        <w:t xml:space="preserve"> escalation of commitment.</w:t>
      </w:r>
      <w:r w:rsidR="005F30EC">
        <w:rPr>
          <w:rFonts w:ascii="Times New Roman" w:hAnsi="Times New Roman" w:cs="Times New Roman"/>
          <w:sz w:val="24"/>
          <w:szCs w:val="24"/>
        </w:rPr>
        <w:t xml:space="preserve"> Head office executives are less embedded in the local community and have lower emotional ties to the entrepreneurs, hence </w:t>
      </w:r>
      <w:r w:rsidR="00F6528F">
        <w:rPr>
          <w:rFonts w:ascii="Times New Roman" w:hAnsi="Times New Roman" w:cs="Times New Roman"/>
          <w:sz w:val="24"/>
          <w:szCs w:val="24"/>
        </w:rPr>
        <w:t xml:space="preserve">effectively </w:t>
      </w:r>
      <w:r w:rsidR="005F30EC">
        <w:rPr>
          <w:rFonts w:ascii="Times New Roman" w:hAnsi="Times New Roman" w:cs="Times New Roman"/>
          <w:sz w:val="24"/>
          <w:szCs w:val="24"/>
        </w:rPr>
        <w:t xml:space="preserve">shielding them from institutional pressures to continue to invest. </w:t>
      </w:r>
    </w:p>
    <w:p w14:paraId="0B561E55" w14:textId="77777777" w:rsidR="00F01B63" w:rsidRDefault="00F01B63" w:rsidP="00F01B6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Implications for research</w:t>
      </w:r>
    </w:p>
    <w:p w14:paraId="01D65AEE" w14:textId="446E6F3D" w:rsidR="007F4CDE" w:rsidRDefault="00F01B63" w:rsidP="00DD4DDC">
      <w:pPr>
        <w:autoSpaceDE w:val="0"/>
        <w:autoSpaceDN w:val="0"/>
        <w:adjustRightInd w:val="0"/>
        <w:spacing w:after="0" w:line="48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Our findings contribute in several ways. </w:t>
      </w:r>
      <w:r w:rsidR="007F4CDE">
        <w:rPr>
          <w:rFonts w:ascii="Times New Roman" w:hAnsi="Times New Roman" w:cs="Times New Roman"/>
          <w:sz w:val="24"/>
          <w:szCs w:val="24"/>
        </w:rPr>
        <w:t xml:space="preserve">First, this study helps to further understand decision </w:t>
      </w:r>
      <w:r w:rsidR="007A7D77">
        <w:rPr>
          <w:rFonts w:ascii="Times New Roman" w:hAnsi="Times New Roman" w:cs="Times New Roman"/>
          <w:sz w:val="24"/>
          <w:szCs w:val="24"/>
        </w:rPr>
        <w:t>making</w:t>
      </w:r>
      <w:r w:rsidR="007F4CDE">
        <w:rPr>
          <w:rFonts w:ascii="Times New Roman" w:hAnsi="Times New Roman" w:cs="Times New Roman"/>
          <w:sz w:val="24"/>
          <w:szCs w:val="24"/>
        </w:rPr>
        <w:t xml:space="preserve"> in a VC setting</w:t>
      </w:r>
      <w:r w:rsidR="007A7D77">
        <w:rPr>
          <w:rFonts w:ascii="Times New Roman" w:hAnsi="Times New Roman" w:cs="Times New Roman"/>
          <w:sz w:val="24"/>
          <w:szCs w:val="24"/>
        </w:rPr>
        <w:t xml:space="preserve">, enriching the debate on whether </w:t>
      </w:r>
      <w:r w:rsidR="00EB4579">
        <w:rPr>
          <w:rFonts w:ascii="Times New Roman" w:hAnsi="Times New Roman" w:cs="Times New Roman"/>
          <w:sz w:val="24"/>
          <w:szCs w:val="24"/>
        </w:rPr>
        <w:t xml:space="preserve">VC </w:t>
      </w:r>
      <w:r w:rsidR="007A7D77">
        <w:rPr>
          <w:rFonts w:ascii="Times New Roman" w:hAnsi="Times New Roman" w:cs="Times New Roman"/>
          <w:sz w:val="24"/>
          <w:szCs w:val="24"/>
        </w:rPr>
        <w:t xml:space="preserve">decisions are made rationally or exhibit decision biases (Gompers et al., 2008). </w:t>
      </w:r>
      <w:r w:rsidR="00EB4579">
        <w:rPr>
          <w:rFonts w:ascii="Times New Roman" w:hAnsi="Times New Roman" w:cs="Times New Roman"/>
          <w:sz w:val="24"/>
          <w:szCs w:val="24"/>
        </w:rPr>
        <w:t xml:space="preserve">While directly measuring decision biases is </w:t>
      </w:r>
      <w:r w:rsidR="00D51325">
        <w:rPr>
          <w:rFonts w:ascii="Times New Roman" w:hAnsi="Times New Roman" w:cs="Times New Roman"/>
          <w:sz w:val="24"/>
          <w:szCs w:val="24"/>
        </w:rPr>
        <w:t xml:space="preserve">empirically </w:t>
      </w:r>
      <w:r w:rsidR="00EB4579">
        <w:rPr>
          <w:rFonts w:ascii="Times New Roman" w:hAnsi="Times New Roman" w:cs="Times New Roman"/>
          <w:sz w:val="24"/>
          <w:szCs w:val="24"/>
        </w:rPr>
        <w:t xml:space="preserve">difficult, current research suggests that some VC investors are more prone to decision biases than others. </w:t>
      </w:r>
      <w:r w:rsidR="00E15940">
        <w:rPr>
          <w:rFonts w:ascii="Times New Roman" w:hAnsi="Times New Roman" w:cs="Times New Roman"/>
          <w:sz w:val="24"/>
          <w:szCs w:val="24"/>
        </w:rPr>
        <w:t>E</w:t>
      </w:r>
      <w:r w:rsidR="00992D8C">
        <w:rPr>
          <w:rFonts w:ascii="Times New Roman" w:hAnsi="Times New Roman" w:cs="Times New Roman"/>
          <w:sz w:val="24"/>
          <w:szCs w:val="24"/>
        </w:rPr>
        <w:t xml:space="preserve">xperienced investors exhibit less behavioral investment biases (Gompers et al., 2008), </w:t>
      </w:r>
      <w:r w:rsidR="00E15940">
        <w:rPr>
          <w:rFonts w:ascii="Times New Roman" w:hAnsi="Times New Roman" w:cs="Times New Roman"/>
          <w:sz w:val="24"/>
          <w:szCs w:val="24"/>
        </w:rPr>
        <w:t xml:space="preserve">and </w:t>
      </w:r>
      <w:r w:rsidR="00A17563">
        <w:rPr>
          <w:rFonts w:ascii="Times New Roman" w:hAnsi="Times New Roman" w:cs="Times New Roman"/>
          <w:sz w:val="24"/>
          <w:szCs w:val="24"/>
        </w:rPr>
        <w:t>corporate VC investors that</w:t>
      </w:r>
      <w:r w:rsidR="007A7D77">
        <w:rPr>
          <w:rFonts w:ascii="Times New Roman" w:hAnsi="Times New Roman" w:cs="Times New Roman"/>
          <w:sz w:val="24"/>
          <w:szCs w:val="24"/>
        </w:rPr>
        <w:t xml:space="preserve"> </w:t>
      </w:r>
      <w:r w:rsidR="0083605E">
        <w:rPr>
          <w:rFonts w:ascii="Times New Roman" w:hAnsi="Times New Roman" w:cs="Times New Roman"/>
          <w:sz w:val="24"/>
          <w:szCs w:val="24"/>
        </w:rPr>
        <w:t xml:space="preserve">invest from dedicated organizational units exhibit less </w:t>
      </w:r>
      <w:r w:rsidR="0083605E">
        <w:rPr>
          <w:rFonts w:ascii="Times New Roman" w:hAnsi="Times New Roman" w:cs="Times New Roman"/>
          <w:sz w:val="24"/>
          <w:szCs w:val="24"/>
        </w:rPr>
        <w:lastRenderedPageBreak/>
        <w:t xml:space="preserve">overconfidence compared to corporate VC investors that </w:t>
      </w:r>
      <w:r w:rsidR="00A17563">
        <w:rPr>
          <w:rFonts w:ascii="Times New Roman" w:hAnsi="Times New Roman" w:cs="Times New Roman"/>
          <w:sz w:val="24"/>
          <w:szCs w:val="24"/>
        </w:rPr>
        <w:t>do not have autonomous VC units (Benson and Ziedonis, 2010).</w:t>
      </w:r>
      <w:r w:rsidR="00941D29">
        <w:rPr>
          <w:rFonts w:ascii="Times New Roman" w:hAnsi="Times New Roman" w:cs="Times New Roman"/>
          <w:sz w:val="24"/>
          <w:szCs w:val="24"/>
        </w:rPr>
        <w:t xml:space="preserve"> </w:t>
      </w:r>
      <w:r w:rsidR="006E1413">
        <w:rPr>
          <w:rFonts w:ascii="Times New Roman" w:hAnsi="Times New Roman" w:cs="Times New Roman"/>
          <w:sz w:val="24"/>
          <w:szCs w:val="24"/>
        </w:rPr>
        <w:t xml:space="preserve">Our findings suggest that </w:t>
      </w:r>
      <w:r w:rsidR="00DB6BEF">
        <w:rPr>
          <w:rFonts w:ascii="Times New Roman" w:hAnsi="Times New Roman" w:cs="Times New Roman"/>
          <w:sz w:val="24"/>
          <w:szCs w:val="24"/>
        </w:rPr>
        <w:t xml:space="preserve">international VC investors, whether investing from abroad or from a local branch office, </w:t>
      </w:r>
      <w:r w:rsidR="0095050B">
        <w:rPr>
          <w:rFonts w:ascii="Times New Roman" w:hAnsi="Times New Roman" w:cs="Times New Roman"/>
          <w:sz w:val="24"/>
          <w:szCs w:val="24"/>
        </w:rPr>
        <w:t xml:space="preserve">behave more rationally as they </w:t>
      </w:r>
      <w:r w:rsidR="00DB6BEF">
        <w:rPr>
          <w:rFonts w:ascii="Times New Roman" w:hAnsi="Times New Roman" w:cs="Times New Roman"/>
          <w:sz w:val="24"/>
          <w:szCs w:val="24"/>
        </w:rPr>
        <w:t>are less prone to escalation of commitment compared to domestic VC investors.</w:t>
      </w:r>
    </w:p>
    <w:p w14:paraId="176B0AD8" w14:textId="779C2E81" w:rsidR="00040625" w:rsidRDefault="007F4CDE" w:rsidP="00DD4DDC">
      <w:pPr>
        <w:autoSpaceDE w:val="0"/>
        <w:autoSpaceDN w:val="0"/>
        <w:adjustRightInd w:val="0"/>
        <w:spacing w:after="0" w:line="480" w:lineRule="auto"/>
        <w:ind w:firstLine="432"/>
        <w:jc w:val="both"/>
        <w:rPr>
          <w:rFonts w:ascii="Times New Roman" w:hAnsi="Times New Roman" w:cs="Times New Roman"/>
          <w:sz w:val="24"/>
          <w:szCs w:val="24"/>
        </w:rPr>
      </w:pPr>
      <w:r>
        <w:rPr>
          <w:rFonts w:ascii="Times New Roman" w:hAnsi="Times New Roman" w:cs="Times New Roman"/>
          <w:sz w:val="24"/>
          <w:szCs w:val="24"/>
        </w:rPr>
        <w:t>Second</w:t>
      </w:r>
      <w:r w:rsidR="00F01B63">
        <w:rPr>
          <w:rFonts w:ascii="Times New Roman" w:hAnsi="Times New Roman" w:cs="Times New Roman"/>
          <w:sz w:val="24"/>
          <w:szCs w:val="24"/>
        </w:rPr>
        <w:t xml:space="preserve">, </w:t>
      </w:r>
      <w:r w:rsidR="00520320">
        <w:rPr>
          <w:rFonts w:ascii="Times New Roman" w:hAnsi="Times New Roman" w:cs="Times New Roman"/>
          <w:sz w:val="24"/>
          <w:szCs w:val="24"/>
        </w:rPr>
        <w:t xml:space="preserve">we extend </w:t>
      </w:r>
      <w:r w:rsidR="00CD2C15">
        <w:rPr>
          <w:rFonts w:ascii="Times New Roman" w:hAnsi="Times New Roman" w:cs="Times New Roman"/>
          <w:sz w:val="24"/>
          <w:szCs w:val="24"/>
        </w:rPr>
        <w:t>insights from international management</w:t>
      </w:r>
      <w:r w:rsidR="00F01B63" w:rsidRPr="005F1FD6">
        <w:rPr>
          <w:rFonts w:ascii="Times New Roman" w:hAnsi="Times New Roman" w:cs="Times New Roman"/>
          <w:sz w:val="24"/>
          <w:szCs w:val="24"/>
        </w:rPr>
        <w:t xml:space="preserve"> that </w:t>
      </w:r>
      <w:r w:rsidR="00316814">
        <w:rPr>
          <w:rFonts w:ascii="Times New Roman" w:hAnsi="Times New Roman" w:cs="Times New Roman"/>
          <w:sz w:val="24"/>
          <w:szCs w:val="24"/>
        </w:rPr>
        <w:t xml:space="preserve">dominantly point to liabilities of foreignness. We suggest that </w:t>
      </w:r>
      <w:r w:rsidR="00F01B63">
        <w:rPr>
          <w:rFonts w:ascii="Times New Roman" w:hAnsi="Times New Roman" w:cs="Times New Roman"/>
          <w:sz w:val="24"/>
          <w:szCs w:val="24"/>
        </w:rPr>
        <w:t>being a foreigner</w:t>
      </w:r>
      <w:r w:rsidR="00F01B63" w:rsidRPr="005F1FD6">
        <w:rPr>
          <w:rFonts w:ascii="Times New Roman" w:hAnsi="Times New Roman" w:cs="Times New Roman"/>
          <w:sz w:val="24"/>
          <w:szCs w:val="24"/>
        </w:rPr>
        <w:t xml:space="preserve"> may not always </w:t>
      </w:r>
      <w:r w:rsidR="00F01B63">
        <w:rPr>
          <w:rFonts w:ascii="Times New Roman" w:hAnsi="Times New Roman" w:cs="Times New Roman"/>
          <w:sz w:val="24"/>
          <w:szCs w:val="24"/>
        </w:rPr>
        <w:t>be</w:t>
      </w:r>
      <w:r w:rsidR="00F01B63" w:rsidRPr="005F1FD6">
        <w:rPr>
          <w:rFonts w:ascii="Times New Roman" w:hAnsi="Times New Roman" w:cs="Times New Roman"/>
          <w:sz w:val="24"/>
          <w:szCs w:val="24"/>
        </w:rPr>
        <w:t xml:space="preserve"> negative but can induce more rational decision making and as a result maximize value creation</w:t>
      </w:r>
      <w:r w:rsidR="00F01B63">
        <w:rPr>
          <w:rFonts w:ascii="Times New Roman" w:hAnsi="Times New Roman" w:cs="Times New Roman"/>
          <w:sz w:val="24"/>
          <w:szCs w:val="24"/>
        </w:rPr>
        <w:t xml:space="preserve"> in the context of the abandonment of underperforming projects. </w:t>
      </w:r>
      <w:r w:rsidR="00F01B63" w:rsidRPr="005F1FD6">
        <w:rPr>
          <w:rFonts w:ascii="Times New Roman" w:hAnsi="Times New Roman" w:cs="Times New Roman"/>
          <w:sz w:val="24"/>
          <w:szCs w:val="24"/>
        </w:rPr>
        <w:t>Understanding how foreign</w:t>
      </w:r>
      <w:r w:rsidR="00F01B63">
        <w:rPr>
          <w:rFonts w:ascii="Times New Roman" w:hAnsi="Times New Roman" w:cs="Times New Roman"/>
          <w:sz w:val="24"/>
          <w:szCs w:val="24"/>
        </w:rPr>
        <w:t xml:space="preserve"> VC</w:t>
      </w:r>
      <w:r w:rsidR="00F01B63" w:rsidRPr="005F1FD6">
        <w:rPr>
          <w:rFonts w:ascii="Times New Roman" w:hAnsi="Times New Roman" w:cs="Times New Roman"/>
          <w:sz w:val="24"/>
          <w:szCs w:val="24"/>
        </w:rPr>
        <w:t xml:space="preserve"> investors as opposed to domestic </w:t>
      </w:r>
      <w:r w:rsidR="00F01B63">
        <w:rPr>
          <w:rFonts w:ascii="Times New Roman" w:hAnsi="Times New Roman" w:cs="Times New Roman"/>
          <w:sz w:val="24"/>
          <w:szCs w:val="24"/>
        </w:rPr>
        <w:t xml:space="preserve">VC </w:t>
      </w:r>
      <w:r w:rsidR="00F01B63" w:rsidRPr="005F1FD6">
        <w:rPr>
          <w:rFonts w:ascii="Times New Roman" w:hAnsi="Times New Roman" w:cs="Times New Roman"/>
          <w:sz w:val="24"/>
          <w:szCs w:val="24"/>
        </w:rPr>
        <w:t>investors behave when facing underperforming investments is hence important</w:t>
      </w:r>
      <w:r w:rsidR="00F01B63">
        <w:rPr>
          <w:rFonts w:ascii="Times New Roman" w:hAnsi="Times New Roman" w:cs="Times New Roman"/>
          <w:sz w:val="24"/>
          <w:szCs w:val="24"/>
        </w:rPr>
        <w:t xml:space="preserve">. </w:t>
      </w:r>
      <w:r w:rsidR="00F01B63" w:rsidRPr="00D768E5">
        <w:rPr>
          <w:rFonts w:ascii="Times New Roman" w:hAnsi="Times New Roman" w:cs="Times New Roman"/>
          <w:sz w:val="24"/>
          <w:szCs w:val="24"/>
        </w:rPr>
        <w:t xml:space="preserve">Second, </w:t>
      </w:r>
      <w:r w:rsidR="00F01B63">
        <w:rPr>
          <w:rFonts w:ascii="Times New Roman" w:hAnsi="Times New Roman" w:cs="Times New Roman"/>
          <w:sz w:val="24"/>
          <w:szCs w:val="24"/>
        </w:rPr>
        <w:t>we extend existing</w:t>
      </w:r>
      <w:r w:rsidR="00F01B63" w:rsidRPr="00D768E5">
        <w:rPr>
          <w:rFonts w:ascii="Times New Roman" w:hAnsi="Times New Roman" w:cs="Times New Roman"/>
          <w:sz w:val="24"/>
          <w:szCs w:val="24"/>
        </w:rPr>
        <w:t xml:space="preserve"> literature </w:t>
      </w:r>
      <w:r w:rsidR="00F01B63">
        <w:rPr>
          <w:rFonts w:ascii="Times New Roman" w:hAnsi="Times New Roman" w:cs="Times New Roman"/>
          <w:sz w:val="24"/>
          <w:szCs w:val="24"/>
        </w:rPr>
        <w:t>by examining</w:t>
      </w:r>
      <w:r w:rsidR="00F01B63" w:rsidRPr="00D768E5">
        <w:rPr>
          <w:rFonts w:ascii="Times New Roman" w:hAnsi="Times New Roman" w:cs="Times New Roman"/>
          <w:sz w:val="24"/>
          <w:szCs w:val="24"/>
        </w:rPr>
        <w:t xml:space="preserve"> VC </w:t>
      </w:r>
      <w:r w:rsidR="00F01B63">
        <w:rPr>
          <w:rFonts w:ascii="Times New Roman" w:hAnsi="Times New Roman" w:cs="Times New Roman"/>
          <w:sz w:val="24"/>
          <w:szCs w:val="24"/>
        </w:rPr>
        <w:t>investor</w:t>
      </w:r>
      <w:r w:rsidR="00F01B63" w:rsidRPr="00D768E5">
        <w:rPr>
          <w:rFonts w:ascii="Times New Roman" w:hAnsi="Times New Roman" w:cs="Times New Roman"/>
          <w:sz w:val="24"/>
          <w:szCs w:val="24"/>
        </w:rPr>
        <w:t xml:space="preserve"> heterogeneity </w:t>
      </w:r>
      <w:r w:rsidR="00F01B63">
        <w:rPr>
          <w:rFonts w:ascii="Times New Roman" w:hAnsi="Times New Roman" w:cs="Times New Roman"/>
          <w:sz w:val="24"/>
          <w:szCs w:val="24"/>
        </w:rPr>
        <w:t>by</w:t>
      </w:r>
      <w:r w:rsidR="00F01B63" w:rsidRPr="00D768E5">
        <w:rPr>
          <w:rFonts w:ascii="Times New Roman" w:hAnsi="Times New Roman" w:cs="Times New Roman"/>
          <w:sz w:val="24"/>
          <w:szCs w:val="24"/>
        </w:rPr>
        <w:t xml:space="preserve"> differentiat</w:t>
      </w:r>
      <w:r w:rsidR="00F01B63">
        <w:rPr>
          <w:rFonts w:ascii="Times New Roman" w:hAnsi="Times New Roman" w:cs="Times New Roman"/>
          <w:sz w:val="24"/>
          <w:szCs w:val="24"/>
        </w:rPr>
        <w:t>ing</w:t>
      </w:r>
      <w:r w:rsidR="00F01B63" w:rsidRPr="00D768E5">
        <w:rPr>
          <w:rFonts w:ascii="Times New Roman" w:hAnsi="Times New Roman" w:cs="Times New Roman"/>
          <w:sz w:val="24"/>
          <w:szCs w:val="24"/>
        </w:rPr>
        <w:t xml:space="preserve"> between domestic, cross-border and branch VC </w:t>
      </w:r>
      <w:r w:rsidR="00F01B63">
        <w:rPr>
          <w:rFonts w:ascii="Times New Roman" w:hAnsi="Times New Roman" w:cs="Times New Roman"/>
          <w:sz w:val="24"/>
          <w:szCs w:val="24"/>
        </w:rPr>
        <w:t>investors</w:t>
      </w:r>
      <w:r w:rsidR="00F01B63" w:rsidRPr="00D768E5">
        <w:rPr>
          <w:rFonts w:ascii="Times New Roman" w:hAnsi="Times New Roman" w:cs="Times New Roman"/>
          <w:sz w:val="24"/>
          <w:szCs w:val="24"/>
        </w:rPr>
        <w:t xml:space="preserve">. </w:t>
      </w:r>
      <w:r w:rsidR="00867BCB">
        <w:rPr>
          <w:rFonts w:ascii="Times New Roman" w:hAnsi="Times New Roman" w:cs="Times New Roman"/>
          <w:sz w:val="24"/>
          <w:szCs w:val="24"/>
        </w:rPr>
        <w:t xml:space="preserve">We extend earlier work by Guler (2007) on escalation of commitment by VC investors by </w:t>
      </w:r>
      <w:r w:rsidR="00663652">
        <w:rPr>
          <w:rFonts w:ascii="Times New Roman" w:hAnsi="Times New Roman" w:cs="Times New Roman"/>
          <w:sz w:val="24"/>
          <w:szCs w:val="24"/>
        </w:rPr>
        <w:t xml:space="preserve">hypothesizing and </w:t>
      </w:r>
      <w:r w:rsidR="00867BCB">
        <w:rPr>
          <w:rFonts w:ascii="Times New Roman" w:hAnsi="Times New Roman" w:cs="Times New Roman"/>
          <w:sz w:val="24"/>
          <w:szCs w:val="24"/>
        </w:rPr>
        <w:t xml:space="preserve">showing </w:t>
      </w:r>
      <w:r w:rsidR="009570E8">
        <w:rPr>
          <w:rFonts w:ascii="Times New Roman" w:hAnsi="Times New Roman" w:cs="Times New Roman"/>
          <w:sz w:val="24"/>
          <w:szCs w:val="24"/>
        </w:rPr>
        <w:t xml:space="preserve">how </w:t>
      </w:r>
      <w:r w:rsidR="002A5405">
        <w:rPr>
          <w:rFonts w:ascii="Times New Roman" w:hAnsi="Times New Roman" w:cs="Times New Roman"/>
          <w:sz w:val="24"/>
          <w:szCs w:val="24"/>
        </w:rPr>
        <w:t xml:space="preserve">differences in </w:t>
      </w:r>
      <w:r w:rsidR="009570E8">
        <w:rPr>
          <w:rFonts w:ascii="Times New Roman" w:hAnsi="Times New Roman" w:cs="Times New Roman"/>
          <w:sz w:val="24"/>
          <w:szCs w:val="24"/>
        </w:rPr>
        <w:t xml:space="preserve">social embeddedness lead to </w:t>
      </w:r>
      <w:r w:rsidR="002A5405">
        <w:rPr>
          <w:rFonts w:ascii="Times New Roman" w:hAnsi="Times New Roman" w:cs="Times New Roman"/>
          <w:sz w:val="24"/>
          <w:szCs w:val="24"/>
        </w:rPr>
        <w:t xml:space="preserve">differences in </w:t>
      </w:r>
      <w:r w:rsidR="009570E8">
        <w:rPr>
          <w:rFonts w:ascii="Times New Roman" w:hAnsi="Times New Roman" w:cs="Times New Roman"/>
          <w:sz w:val="24"/>
          <w:szCs w:val="24"/>
        </w:rPr>
        <w:t>escalation of commitment</w:t>
      </w:r>
      <w:r w:rsidR="002A5405">
        <w:rPr>
          <w:rFonts w:ascii="Times New Roman" w:hAnsi="Times New Roman" w:cs="Times New Roman"/>
          <w:sz w:val="24"/>
          <w:szCs w:val="24"/>
        </w:rPr>
        <w:t xml:space="preserve"> among VCs</w:t>
      </w:r>
      <w:r w:rsidR="00663652">
        <w:rPr>
          <w:rFonts w:ascii="Times New Roman" w:hAnsi="Times New Roman" w:cs="Times New Roman"/>
          <w:sz w:val="24"/>
          <w:szCs w:val="24"/>
        </w:rPr>
        <w:t xml:space="preserve"> investing from different geographical locations</w:t>
      </w:r>
      <w:r w:rsidR="00867BCB">
        <w:rPr>
          <w:rFonts w:ascii="Times New Roman" w:hAnsi="Times New Roman" w:cs="Times New Roman"/>
          <w:sz w:val="24"/>
          <w:szCs w:val="24"/>
        </w:rPr>
        <w:t xml:space="preserve">. </w:t>
      </w:r>
      <w:r w:rsidR="00F01B63" w:rsidRPr="00D768E5">
        <w:rPr>
          <w:rFonts w:ascii="Times New Roman" w:hAnsi="Times New Roman" w:cs="Times New Roman"/>
          <w:sz w:val="24"/>
          <w:szCs w:val="24"/>
        </w:rPr>
        <w:t xml:space="preserve">The findings are of direct relevance for future research on escalation behavior as </w:t>
      </w:r>
      <w:r w:rsidR="003514C9">
        <w:rPr>
          <w:rFonts w:ascii="Times New Roman" w:hAnsi="Times New Roman" w:cs="Times New Roman"/>
          <w:sz w:val="24"/>
          <w:szCs w:val="24"/>
        </w:rPr>
        <w:t xml:space="preserve">we showed that </w:t>
      </w:r>
      <w:r w:rsidR="00F01B63" w:rsidRPr="00D768E5">
        <w:rPr>
          <w:rFonts w:ascii="Times New Roman" w:hAnsi="Times New Roman" w:cs="Times New Roman"/>
          <w:sz w:val="24"/>
          <w:szCs w:val="24"/>
        </w:rPr>
        <w:t xml:space="preserve">organizations investing domestically or across borders exhibit different probabilities to escalate commitment. </w:t>
      </w:r>
    </w:p>
    <w:p w14:paraId="008BC4A9" w14:textId="3DB1036C" w:rsidR="00E4275A" w:rsidRDefault="00315583" w:rsidP="008E33DD">
      <w:pPr>
        <w:autoSpaceDE w:val="0"/>
        <w:autoSpaceDN w:val="0"/>
        <w:adjustRightInd w:val="0"/>
        <w:spacing w:after="0" w:line="480" w:lineRule="auto"/>
        <w:ind w:firstLine="432"/>
        <w:jc w:val="both"/>
        <w:rPr>
          <w:rFonts w:ascii="Times New Roman" w:hAnsi="Times New Roman" w:cs="Times New Roman"/>
          <w:sz w:val="24"/>
          <w:szCs w:val="24"/>
        </w:rPr>
      </w:pPr>
      <w:r>
        <w:rPr>
          <w:rFonts w:ascii="Times New Roman" w:hAnsi="Times New Roman" w:cs="Times New Roman"/>
          <w:sz w:val="24"/>
          <w:szCs w:val="24"/>
        </w:rPr>
        <w:t>Third, we acknowledge that escalation of commitment</w:t>
      </w:r>
      <w:r w:rsidR="00DF0F00">
        <w:rPr>
          <w:rFonts w:ascii="Times New Roman" w:hAnsi="Times New Roman" w:cs="Times New Roman"/>
          <w:sz w:val="24"/>
          <w:szCs w:val="24"/>
        </w:rPr>
        <w:t xml:space="preserve"> in investment decisions may</w:t>
      </w:r>
      <w:r w:rsidR="001D1981">
        <w:rPr>
          <w:rFonts w:ascii="Times New Roman" w:hAnsi="Times New Roman" w:cs="Times New Roman"/>
          <w:sz w:val="24"/>
          <w:szCs w:val="24"/>
        </w:rPr>
        <w:t xml:space="preserve"> be driven by organizational </w:t>
      </w:r>
      <w:r w:rsidR="00E328AE">
        <w:rPr>
          <w:rFonts w:ascii="Times New Roman" w:hAnsi="Times New Roman" w:cs="Times New Roman"/>
          <w:sz w:val="24"/>
          <w:szCs w:val="24"/>
        </w:rPr>
        <w:t>design</w:t>
      </w:r>
      <w:r w:rsidR="00DF0F00">
        <w:rPr>
          <w:rFonts w:ascii="Times New Roman" w:hAnsi="Times New Roman" w:cs="Times New Roman"/>
          <w:sz w:val="24"/>
          <w:szCs w:val="24"/>
        </w:rPr>
        <w:t>.</w:t>
      </w:r>
      <w:r w:rsidR="001D1981">
        <w:rPr>
          <w:rFonts w:ascii="Times New Roman" w:hAnsi="Times New Roman" w:cs="Times New Roman"/>
          <w:sz w:val="24"/>
          <w:szCs w:val="24"/>
        </w:rPr>
        <w:t xml:space="preserve"> </w:t>
      </w:r>
      <w:r w:rsidR="00DF0F00">
        <w:rPr>
          <w:rFonts w:ascii="Times New Roman" w:hAnsi="Times New Roman" w:cs="Times New Roman"/>
          <w:sz w:val="24"/>
          <w:szCs w:val="24"/>
        </w:rPr>
        <w:t xml:space="preserve">Benson and Ziedonis (2010) have shown that organizational design is important in explaining differences in investment behavior of corporate VC programs, with managers from dedicated </w:t>
      </w:r>
      <w:r w:rsidR="00DF30D0">
        <w:rPr>
          <w:rFonts w:ascii="Times New Roman" w:hAnsi="Times New Roman" w:cs="Times New Roman"/>
          <w:sz w:val="24"/>
          <w:szCs w:val="24"/>
        </w:rPr>
        <w:t xml:space="preserve">corporate VC </w:t>
      </w:r>
      <w:r w:rsidR="00DF0F00">
        <w:rPr>
          <w:rFonts w:ascii="Times New Roman" w:hAnsi="Times New Roman" w:cs="Times New Roman"/>
          <w:sz w:val="24"/>
          <w:szCs w:val="24"/>
        </w:rPr>
        <w:t xml:space="preserve">units showing lower levels of overconfidence in investment decisions. </w:t>
      </w:r>
      <w:r w:rsidR="00351722">
        <w:rPr>
          <w:rFonts w:ascii="Times New Roman" w:hAnsi="Times New Roman" w:cs="Times New Roman"/>
          <w:sz w:val="24"/>
          <w:szCs w:val="24"/>
        </w:rPr>
        <w:t>While</w:t>
      </w:r>
      <w:r w:rsidR="00B66F5B">
        <w:rPr>
          <w:rFonts w:ascii="Times New Roman" w:hAnsi="Times New Roman" w:cs="Times New Roman"/>
          <w:sz w:val="24"/>
          <w:szCs w:val="24"/>
        </w:rPr>
        <w:t xml:space="preserve"> </w:t>
      </w:r>
      <w:r w:rsidR="00C60DCE" w:rsidRPr="00C131DB">
        <w:rPr>
          <w:rFonts w:ascii="Times New Roman" w:hAnsi="Times New Roman" w:cs="Times New Roman"/>
          <w:sz w:val="24"/>
          <w:szCs w:val="24"/>
        </w:rPr>
        <w:t xml:space="preserve">we </w:t>
      </w:r>
      <w:r w:rsidR="001232B7">
        <w:rPr>
          <w:rFonts w:ascii="Times New Roman" w:hAnsi="Times New Roman" w:cs="Times New Roman"/>
          <w:sz w:val="24"/>
          <w:szCs w:val="24"/>
        </w:rPr>
        <w:t>lack</w:t>
      </w:r>
      <w:r w:rsidR="00C60DCE" w:rsidRPr="00C131DB">
        <w:rPr>
          <w:rFonts w:ascii="Times New Roman" w:hAnsi="Times New Roman" w:cs="Times New Roman"/>
          <w:sz w:val="24"/>
          <w:szCs w:val="24"/>
        </w:rPr>
        <w:t xml:space="preserve"> specific information on the </w:t>
      </w:r>
      <w:r w:rsidR="001232B7">
        <w:rPr>
          <w:rFonts w:ascii="Times New Roman" w:hAnsi="Times New Roman" w:cs="Times New Roman"/>
          <w:sz w:val="24"/>
          <w:szCs w:val="24"/>
        </w:rPr>
        <w:t xml:space="preserve">organizational </w:t>
      </w:r>
      <w:r w:rsidR="00C60DCE" w:rsidRPr="00C131DB">
        <w:rPr>
          <w:rFonts w:ascii="Times New Roman" w:hAnsi="Times New Roman" w:cs="Times New Roman"/>
          <w:sz w:val="24"/>
          <w:szCs w:val="24"/>
        </w:rPr>
        <w:t xml:space="preserve">composition of the investment </w:t>
      </w:r>
      <w:r w:rsidR="001232B7">
        <w:rPr>
          <w:rFonts w:ascii="Times New Roman" w:hAnsi="Times New Roman" w:cs="Times New Roman"/>
          <w:sz w:val="24"/>
          <w:szCs w:val="24"/>
        </w:rPr>
        <w:t>committee</w:t>
      </w:r>
      <w:r w:rsidR="00C60DCE" w:rsidRPr="00C131DB">
        <w:rPr>
          <w:rFonts w:ascii="Times New Roman" w:hAnsi="Times New Roman" w:cs="Times New Roman"/>
          <w:sz w:val="24"/>
          <w:szCs w:val="24"/>
        </w:rPr>
        <w:t xml:space="preserve">, survey evidence (Pruthi, Wright and Lockett, 2003) suggests that it is common practice that investment committees from international VC investors are composed of a </w:t>
      </w:r>
      <w:r w:rsidR="00C60DCE" w:rsidRPr="00C131DB">
        <w:rPr>
          <w:rFonts w:ascii="Times New Roman" w:hAnsi="Times New Roman" w:cs="Times New Roman"/>
          <w:sz w:val="24"/>
          <w:szCs w:val="24"/>
        </w:rPr>
        <w:lastRenderedPageBreak/>
        <w:t xml:space="preserve">mix of </w:t>
      </w:r>
      <w:r w:rsidR="00C60DCE">
        <w:rPr>
          <w:rFonts w:ascii="Times New Roman" w:hAnsi="Times New Roman" w:cs="Times New Roman"/>
          <w:sz w:val="24"/>
          <w:szCs w:val="24"/>
        </w:rPr>
        <w:t>local and international members</w:t>
      </w:r>
      <w:r w:rsidR="00B66F5B">
        <w:rPr>
          <w:rFonts w:ascii="Times New Roman" w:hAnsi="Times New Roman" w:cs="Times New Roman"/>
          <w:sz w:val="24"/>
          <w:szCs w:val="24"/>
        </w:rPr>
        <w:t xml:space="preserve">. </w:t>
      </w:r>
      <w:r w:rsidR="00351722">
        <w:rPr>
          <w:rFonts w:ascii="Times New Roman" w:hAnsi="Times New Roman" w:cs="Times New Roman"/>
          <w:sz w:val="24"/>
          <w:szCs w:val="24"/>
        </w:rPr>
        <w:t>While o</w:t>
      </w:r>
      <w:r w:rsidR="00B66F5B">
        <w:rPr>
          <w:rFonts w:ascii="Times New Roman" w:hAnsi="Times New Roman" w:cs="Times New Roman"/>
          <w:sz w:val="24"/>
          <w:szCs w:val="24"/>
        </w:rPr>
        <w:t>rganizational scholars</w:t>
      </w:r>
      <w:r w:rsidR="008E33DD">
        <w:rPr>
          <w:rFonts w:ascii="Times New Roman" w:hAnsi="Times New Roman" w:cs="Times New Roman"/>
          <w:sz w:val="24"/>
          <w:szCs w:val="24"/>
        </w:rPr>
        <w:t xml:space="preserve"> </w:t>
      </w:r>
      <w:r w:rsidR="001D1981" w:rsidRPr="00D768E5">
        <w:rPr>
          <w:rFonts w:ascii="Times New Roman" w:hAnsi="Times New Roman" w:cs="Times New Roman"/>
          <w:sz w:val="24"/>
          <w:szCs w:val="24"/>
        </w:rPr>
        <w:t>acknowledg</w:t>
      </w:r>
      <w:r w:rsidR="00B66F5B">
        <w:rPr>
          <w:rFonts w:ascii="Times New Roman" w:hAnsi="Times New Roman" w:cs="Times New Roman"/>
          <w:sz w:val="24"/>
          <w:szCs w:val="24"/>
        </w:rPr>
        <w:t>e</w:t>
      </w:r>
      <w:r w:rsidR="001D1981" w:rsidRPr="00D768E5">
        <w:rPr>
          <w:rFonts w:ascii="Times New Roman" w:hAnsi="Times New Roman" w:cs="Times New Roman"/>
          <w:sz w:val="24"/>
          <w:szCs w:val="24"/>
        </w:rPr>
        <w:t xml:space="preserve"> that escalation behavior </w:t>
      </w:r>
      <w:r w:rsidR="001D1981">
        <w:rPr>
          <w:rFonts w:ascii="Times New Roman" w:hAnsi="Times New Roman" w:cs="Times New Roman"/>
          <w:sz w:val="24"/>
          <w:szCs w:val="24"/>
        </w:rPr>
        <w:t>might be</w:t>
      </w:r>
      <w:r w:rsidR="001D1981" w:rsidRPr="00D768E5">
        <w:rPr>
          <w:rFonts w:ascii="Times New Roman" w:hAnsi="Times New Roman" w:cs="Times New Roman"/>
          <w:sz w:val="24"/>
          <w:szCs w:val="24"/>
        </w:rPr>
        <w:t xml:space="preserve"> determined by </w:t>
      </w:r>
      <w:r w:rsidR="001D1981">
        <w:rPr>
          <w:rFonts w:ascii="Times New Roman" w:hAnsi="Times New Roman" w:cs="Times New Roman"/>
          <w:sz w:val="24"/>
          <w:szCs w:val="24"/>
        </w:rPr>
        <w:t>organizational</w:t>
      </w:r>
      <w:r w:rsidR="001D1981" w:rsidRPr="00D768E5">
        <w:rPr>
          <w:rFonts w:ascii="Times New Roman" w:hAnsi="Times New Roman" w:cs="Times New Roman"/>
          <w:sz w:val="24"/>
          <w:szCs w:val="24"/>
        </w:rPr>
        <w:t xml:space="preserve"> factors</w:t>
      </w:r>
      <w:r w:rsidR="00B66F5B">
        <w:rPr>
          <w:rFonts w:ascii="Times New Roman" w:hAnsi="Times New Roman" w:cs="Times New Roman"/>
          <w:sz w:val="24"/>
          <w:szCs w:val="24"/>
        </w:rPr>
        <w:t>, t</w:t>
      </w:r>
      <w:r w:rsidR="00E328AE">
        <w:rPr>
          <w:rFonts w:ascii="Times New Roman" w:hAnsi="Times New Roman" w:cs="Times New Roman"/>
          <w:sz w:val="24"/>
          <w:szCs w:val="24"/>
        </w:rPr>
        <w:t>hese</w:t>
      </w:r>
      <w:r w:rsidR="00351722">
        <w:rPr>
          <w:rFonts w:ascii="Times New Roman" w:hAnsi="Times New Roman" w:cs="Times New Roman"/>
          <w:sz w:val="24"/>
          <w:szCs w:val="24"/>
        </w:rPr>
        <w:t xml:space="preserve"> have been largely ignored in previous studies</w:t>
      </w:r>
      <w:r w:rsidR="00351722" w:rsidRPr="00D768E5">
        <w:rPr>
          <w:rFonts w:ascii="Times New Roman" w:hAnsi="Times New Roman" w:cs="Times New Roman"/>
          <w:sz w:val="24"/>
          <w:szCs w:val="24"/>
        </w:rPr>
        <w:t xml:space="preserve"> (Sleesman et al., 2012)</w:t>
      </w:r>
      <w:r w:rsidR="001D1981">
        <w:rPr>
          <w:rFonts w:ascii="Times New Roman" w:hAnsi="Times New Roman" w:cs="Times New Roman"/>
          <w:sz w:val="24"/>
          <w:szCs w:val="24"/>
        </w:rPr>
        <w:t xml:space="preserve">. </w:t>
      </w:r>
      <w:r w:rsidR="00B66F5B">
        <w:rPr>
          <w:rFonts w:ascii="Times New Roman" w:hAnsi="Times New Roman" w:cs="Times New Roman"/>
          <w:sz w:val="24"/>
          <w:szCs w:val="24"/>
        </w:rPr>
        <w:t>Our study hence suggests an interesting environment in which o</w:t>
      </w:r>
      <w:r w:rsidR="00F01B63" w:rsidRPr="00D768E5">
        <w:rPr>
          <w:rFonts w:ascii="Times New Roman" w:hAnsi="Times New Roman" w:cs="Times New Roman"/>
          <w:sz w:val="24"/>
          <w:szCs w:val="24"/>
        </w:rPr>
        <w:t xml:space="preserve">rganizational </w:t>
      </w:r>
      <w:r w:rsidR="00B66F5B">
        <w:rPr>
          <w:rFonts w:ascii="Times New Roman" w:hAnsi="Times New Roman" w:cs="Times New Roman"/>
          <w:sz w:val="24"/>
          <w:szCs w:val="24"/>
        </w:rPr>
        <w:t>design could</w:t>
      </w:r>
      <w:r w:rsidR="00F01B63" w:rsidRPr="00D768E5">
        <w:rPr>
          <w:rFonts w:ascii="Times New Roman" w:hAnsi="Times New Roman" w:cs="Times New Roman"/>
          <w:sz w:val="24"/>
          <w:szCs w:val="24"/>
        </w:rPr>
        <w:t xml:space="preserve"> be included in future research on decision making behavior and more specifically in escalation of commitment research.</w:t>
      </w:r>
      <w:r w:rsidR="00F01B63">
        <w:rPr>
          <w:rFonts w:ascii="Times New Roman" w:hAnsi="Times New Roman" w:cs="Times New Roman"/>
          <w:sz w:val="24"/>
          <w:szCs w:val="24"/>
        </w:rPr>
        <w:t xml:space="preserve"> </w:t>
      </w:r>
    </w:p>
    <w:p w14:paraId="0D0436C1" w14:textId="77777777" w:rsidR="00F01B63" w:rsidRDefault="00F01B63" w:rsidP="00F01B63">
      <w:pPr>
        <w:autoSpaceDE w:val="0"/>
        <w:autoSpaceDN w:val="0"/>
        <w:adjustRightInd w:val="0"/>
        <w:spacing w:after="0" w:line="480" w:lineRule="auto"/>
        <w:ind w:firstLine="432"/>
        <w:jc w:val="both"/>
        <w:rPr>
          <w:rFonts w:ascii="Times New Roman" w:hAnsi="Times New Roman" w:cs="Times New Roman"/>
          <w:sz w:val="24"/>
          <w:szCs w:val="24"/>
        </w:rPr>
      </w:pPr>
      <w:r>
        <w:rPr>
          <w:rFonts w:ascii="Times New Roman" w:hAnsi="Times New Roman" w:cs="Times New Roman"/>
          <w:sz w:val="24"/>
          <w:szCs w:val="24"/>
        </w:rPr>
        <w:t>Finally, t</w:t>
      </w:r>
      <w:r w:rsidRPr="005F1FD6">
        <w:rPr>
          <w:rFonts w:ascii="Times New Roman" w:hAnsi="Times New Roman" w:cs="Times New Roman"/>
          <w:sz w:val="24"/>
          <w:szCs w:val="24"/>
        </w:rPr>
        <w:t>he classif</w:t>
      </w:r>
      <w:r>
        <w:rPr>
          <w:rFonts w:ascii="Times New Roman" w:hAnsi="Times New Roman" w:cs="Times New Roman"/>
          <w:sz w:val="24"/>
          <w:szCs w:val="24"/>
        </w:rPr>
        <w:t>ication of</w:t>
      </w:r>
      <w:r w:rsidRPr="005F1FD6">
        <w:rPr>
          <w:rFonts w:ascii="Times New Roman" w:hAnsi="Times New Roman" w:cs="Times New Roman"/>
          <w:sz w:val="24"/>
          <w:szCs w:val="24"/>
        </w:rPr>
        <w:t xml:space="preserve"> trade sales and buy-outs as successful or unsuccessful exits </w:t>
      </w:r>
      <w:r w:rsidRPr="008E4A10">
        <w:rPr>
          <w:rFonts w:ascii="Times New Roman" w:hAnsi="Times New Roman" w:cs="Times New Roman"/>
          <w:sz w:val="24"/>
          <w:szCs w:val="24"/>
        </w:rPr>
        <w:t xml:space="preserve">provides a more fine grained classification </w:t>
      </w:r>
      <w:r>
        <w:rPr>
          <w:rFonts w:ascii="Times New Roman" w:hAnsi="Times New Roman" w:cs="Times New Roman"/>
          <w:sz w:val="24"/>
          <w:szCs w:val="24"/>
        </w:rPr>
        <w:t xml:space="preserve">that </w:t>
      </w:r>
      <w:r w:rsidRPr="005F1FD6">
        <w:rPr>
          <w:rFonts w:ascii="Times New Roman" w:hAnsi="Times New Roman" w:cs="Times New Roman"/>
          <w:sz w:val="24"/>
          <w:szCs w:val="24"/>
        </w:rPr>
        <w:t xml:space="preserve">offers a methodological contribution to </w:t>
      </w:r>
      <w:r>
        <w:rPr>
          <w:rFonts w:ascii="Times New Roman" w:hAnsi="Times New Roman" w:cs="Times New Roman"/>
          <w:sz w:val="24"/>
          <w:szCs w:val="24"/>
        </w:rPr>
        <w:t>venture capital exit</w:t>
      </w:r>
      <w:r w:rsidRPr="005F1FD6">
        <w:rPr>
          <w:rFonts w:ascii="Times New Roman" w:hAnsi="Times New Roman" w:cs="Times New Roman"/>
          <w:sz w:val="24"/>
          <w:szCs w:val="24"/>
        </w:rPr>
        <w:t xml:space="preserve"> research, which typically views </w:t>
      </w:r>
      <w:r>
        <w:rPr>
          <w:rFonts w:ascii="Times New Roman" w:hAnsi="Times New Roman" w:cs="Times New Roman"/>
          <w:sz w:val="24"/>
          <w:szCs w:val="24"/>
        </w:rPr>
        <w:t>all trade sales and buy-outs either</w:t>
      </w:r>
      <w:r w:rsidRPr="005F1FD6">
        <w:rPr>
          <w:rFonts w:ascii="Times New Roman" w:hAnsi="Times New Roman" w:cs="Times New Roman"/>
          <w:sz w:val="24"/>
          <w:szCs w:val="24"/>
        </w:rPr>
        <w:t xml:space="preserve"> as successful, thereby ignoring fire sales (Guler, 2007)</w:t>
      </w:r>
      <w:r>
        <w:rPr>
          <w:rFonts w:ascii="Times New Roman" w:hAnsi="Times New Roman" w:cs="Times New Roman"/>
          <w:sz w:val="24"/>
          <w:szCs w:val="24"/>
        </w:rPr>
        <w:t>, or as unsuccessful, thereby ignoring distress acquisitions and buyouts</w:t>
      </w:r>
      <w:r w:rsidRPr="005F1FD6">
        <w:rPr>
          <w:rFonts w:ascii="Times New Roman" w:hAnsi="Times New Roman" w:cs="Times New Roman"/>
          <w:sz w:val="24"/>
          <w:szCs w:val="24"/>
        </w:rPr>
        <w:t xml:space="preserve">. </w:t>
      </w:r>
      <w:r w:rsidR="00520320">
        <w:rPr>
          <w:rFonts w:ascii="Times New Roman" w:hAnsi="Times New Roman" w:cs="Times New Roman"/>
          <w:sz w:val="24"/>
          <w:szCs w:val="24"/>
        </w:rPr>
        <w:t>We</w:t>
      </w:r>
      <w:r w:rsidRPr="005F1FD6">
        <w:rPr>
          <w:rFonts w:ascii="Times New Roman" w:hAnsi="Times New Roman" w:cs="Times New Roman"/>
          <w:sz w:val="24"/>
          <w:szCs w:val="24"/>
        </w:rPr>
        <w:t xml:space="preserve"> demonstrate</w:t>
      </w:r>
      <w:r>
        <w:rPr>
          <w:rFonts w:ascii="Times New Roman" w:hAnsi="Times New Roman" w:cs="Times New Roman"/>
          <w:sz w:val="24"/>
          <w:szCs w:val="24"/>
        </w:rPr>
        <w:t xml:space="preserve"> that trade sales and buy-outs may be positive as well as negative. This is important for future research on VC exits: a fine-grained approach is warranted to classify trade sales and buy-outs as either positive or negative.</w:t>
      </w:r>
    </w:p>
    <w:p w14:paraId="75B535CB" w14:textId="77777777" w:rsidR="00F01B63" w:rsidRPr="00F83D46" w:rsidRDefault="00F01B63" w:rsidP="00F01B63">
      <w:pPr>
        <w:autoSpaceDE w:val="0"/>
        <w:autoSpaceDN w:val="0"/>
        <w:adjustRightInd w:val="0"/>
        <w:spacing w:after="0" w:line="480" w:lineRule="auto"/>
        <w:rPr>
          <w:rFonts w:ascii="Times New Roman" w:hAnsi="Times New Roman" w:cs="Times New Roman"/>
          <w:b/>
          <w:sz w:val="24"/>
          <w:szCs w:val="24"/>
        </w:rPr>
      </w:pPr>
      <w:r w:rsidRPr="00F83D46">
        <w:rPr>
          <w:rFonts w:ascii="Times New Roman" w:hAnsi="Times New Roman" w:cs="Times New Roman"/>
          <w:b/>
          <w:sz w:val="24"/>
          <w:szCs w:val="24"/>
        </w:rPr>
        <w:t xml:space="preserve">Implications for practitioners </w:t>
      </w:r>
    </w:p>
    <w:p w14:paraId="43DDB47B" w14:textId="066094AA" w:rsidR="00B27B7A" w:rsidRDefault="00F01B63" w:rsidP="00DD4DDC">
      <w:pPr>
        <w:autoSpaceDE w:val="0"/>
        <w:autoSpaceDN w:val="0"/>
        <w:adjustRightInd w:val="0"/>
        <w:spacing w:line="480" w:lineRule="auto"/>
        <w:ind w:firstLine="432"/>
        <w:jc w:val="both"/>
        <w:rPr>
          <w:rFonts w:ascii="Times New Roman" w:hAnsi="Times New Roman" w:cs="Times New Roman"/>
          <w:sz w:val="24"/>
          <w:szCs w:val="24"/>
        </w:rPr>
      </w:pPr>
      <w:r w:rsidRPr="00F83D46">
        <w:rPr>
          <w:rFonts w:ascii="Times New Roman" w:hAnsi="Times New Roman" w:cs="Times New Roman"/>
          <w:sz w:val="24"/>
          <w:szCs w:val="24"/>
        </w:rPr>
        <w:t>Liabilities of foreignness may make foreign</w:t>
      </w:r>
      <w:r>
        <w:rPr>
          <w:rFonts w:ascii="Times New Roman" w:hAnsi="Times New Roman" w:cs="Times New Roman"/>
          <w:sz w:val="24"/>
          <w:szCs w:val="24"/>
        </w:rPr>
        <w:t xml:space="preserve"> VC</w:t>
      </w:r>
      <w:r w:rsidRPr="00F83D46">
        <w:rPr>
          <w:rFonts w:ascii="Times New Roman" w:hAnsi="Times New Roman" w:cs="Times New Roman"/>
          <w:sz w:val="24"/>
          <w:szCs w:val="24"/>
        </w:rPr>
        <w:t xml:space="preserve"> investors reluctant to invest across borders. We show that being foreign may also have positive effects as it reduces the probability to escalate commitment. Domestic VC </w:t>
      </w:r>
      <w:r>
        <w:rPr>
          <w:rFonts w:ascii="Times New Roman" w:hAnsi="Times New Roman" w:cs="Times New Roman"/>
          <w:sz w:val="24"/>
          <w:szCs w:val="24"/>
        </w:rPr>
        <w:t>investors</w:t>
      </w:r>
      <w:r w:rsidRPr="00F83D46">
        <w:rPr>
          <w:rFonts w:ascii="Times New Roman" w:hAnsi="Times New Roman" w:cs="Times New Roman"/>
          <w:sz w:val="24"/>
          <w:szCs w:val="24"/>
        </w:rPr>
        <w:t xml:space="preserve"> on the other hand should be ca</w:t>
      </w:r>
      <w:r>
        <w:rPr>
          <w:rFonts w:ascii="Times New Roman" w:hAnsi="Times New Roman" w:cs="Times New Roman"/>
          <w:sz w:val="24"/>
          <w:szCs w:val="24"/>
        </w:rPr>
        <w:t>utious</w:t>
      </w:r>
      <w:r w:rsidRPr="00F83D46">
        <w:rPr>
          <w:rFonts w:ascii="Times New Roman" w:hAnsi="Times New Roman" w:cs="Times New Roman"/>
          <w:sz w:val="24"/>
          <w:szCs w:val="24"/>
        </w:rPr>
        <w:t xml:space="preserve"> when evaluating portfolio companies. </w:t>
      </w:r>
      <w:r>
        <w:rPr>
          <w:rFonts w:ascii="Times New Roman" w:hAnsi="Times New Roman" w:cs="Times New Roman"/>
          <w:sz w:val="24"/>
          <w:szCs w:val="24"/>
        </w:rPr>
        <w:t>As t</w:t>
      </w:r>
      <w:r w:rsidRPr="00F83D46">
        <w:rPr>
          <w:rFonts w:ascii="Times New Roman" w:hAnsi="Times New Roman" w:cs="Times New Roman"/>
          <w:sz w:val="24"/>
          <w:szCs w:val="24"/>
        </w:rPr>
        <w:t xml:space="preserve">hey are </w:t>
      </w:r>
      <w:r>
        <w:rPr>
          <w:rFonts w:ascii="Times New Roman" w:hAnsi="Times New Roman" w:cs="Times New Roman"/>
          <w:sz w:val="24"/>
          <w:szCs w:val="24"/>
        </w:rPr>
        <w:t xml:space="preserve">likely more </w:t>
      </w:r>
      <w:r w:rsidRPr="00F83D46">
        <w:rPr>
          <w:rFonts w:ascii="Times New Roman" w:hAnsi="Times New Roman" w:cs="Times New Roman"/>
          <w:sz w:val="24"/>
          <w:szCs w:val="24"/>
        </w:rPr>
        <w:t>prone to escalate commitment</w:t>
      </w:r>
      <w:r>
        <w:rPr>
          <w:rFonts w:ascii="Times New Roman" w:hAnsi="Times New Roman" w:cs="Times New Roman"/>
          <w:sz w:val="24"/>
          <w:szCs w:val="24"/>
        </w:rPr>
        <w:t>, improvements in</w:t>
      </w:r>
      <w:r w:rsidRPr="00F83D46">
        <w:rPr>
          <w:rFonts w:ascii="Times New Roman" w:hAnsi="Times New Roman" w:cs="Times New Roman"/>
          <w:sz w:val="24"/>
          <w:szCs w:val="24"/>
        </w:rPr>
        <w:t xml:space="preserve"> their decision making process</w:t>
      </w:r>
      <w:r>
        <w:rPr>
          <w:rFonts w:ascii="Times New Roman" w:hAnsi="Times New Roman" w:cs="Times New Roman"/>
          <w:sz w:val="24"/>
          <w:szCs w:val="24"/>
        </w:rPr>
        <w:t>es</w:t>
      </w:r>
      <w:r w:rsidRPr="00F83D46">
        <w:rPr>
          <w:rFonts w:ascii="Times New Roman" w:hAnsi="Times New Roman" w:cs="Times New Roman"/>
          <w:sz w:val="24"/>
          <w:szCs w:val="24"/>
        </w:rPr>
        <w:t xml:space="preserve"> </w:t>
      </w:r>
      <w:r>
        <w:rPr>
          <w:rFonts w:ascii="Times New Roman" w:hAnsi="Times New Roman" w:cs="Times New Roman"/>
          <w:sz w:val="24"/>
          <w:szCs w:val="24"/>
        </w:rPr>
        <w:t>may help reduce</w:t>
      </w:r>
      <w:r w:rsidRPr="00F83D46">
        <w:rPr>
          <w:rFonts w:ascii="Times New Roman" w:hAnsi="Times New Roman" w:cs="Times New Roman"/>
          <w:sz w:val="24"/>
          <w:szCs w:val="24"/>
        </w:rPr>
        <w:t xml:space="preserve"> </w:t>
      </w:r>
      <w:r>
        <w:rPr>
          <w:rFonts w:ascii="Times New Roman" w:hAnsi="Times New Roman" w:cs="Times New Roman"/>
          <w:sz w:val="24"/>
          <w:szCs w:val="24"/>
        </w:rPr>
        <w:t>such</w:t>
      </w:r>
      <w:r w:rsidRPr="00F83D46">
        <w:rPr>
          <w:rFonts w:ascii="Times New Roman" w:hAnsi="Times New Roman" w:cs="Times New Roman"/>
          <w:sz w:val="24"/>
          <w:szCs w:val="24"/>
        </w:rPr>
        <w:t xml:space="preserve"> behavior. Moreover, the finding that branch VCs </w:t>
      </w:r>
      <w:r w:rsidR="001A2568">
        <w:rPr>
          <w:rFonts w:ascii="Times New Roman" w:hAnsi="Times New Roman" w:cs="Times New Roman"/>
          <w:sz w:val="24"/>
          <w:szCs w:val="24"/>
        </w:rPr>
        <w:t>are less prone to</w:t>
      </w:r>
      <w:r w:rsidRPr="00F83D46">
        <w:rPr>
          <w:rFonts w:ascii="Times New Roman" w:hAnsi="Times New Roman" w:cs="Times New Roman"/>
          <w:sz w:val="24"/>
          <w:szCs w:val="24"/>
        </w:rPr>
        <w:t xml:space="preserve"> escalate commitment</w:t>
      </w:r>
      <w:r w:rsidR="001A2568">
        <w:rPr>
          <w:rFonts w:ascii="Times New Roman" w:hAnsi="Times New Roman" w:cs="Times New Roman"/>
          <w:sz w:val="24"/>
          <w:szCs w:val="24"/>
        </w:rPr>
        <w:t xml:space="preserve"> compared to domestic VCs</w:t>
      </w:r>
      <w:r w:rsidRPr="00F83D46">
        <w:rPr>
          <w:rFonts w:ascii="Times New Roman" w:hAnsi="Times New Roman" w:cs="Times New Roman"/>
          <w:sz w:val="24"/>
          <w:szCs w:val="24"/>
        </w:rPr>
        <w:t xml:space="preserve"> - despite employment of local investment managers </w:t>
      </w:r>
      <w:r w:rsidRPr="00F71114">
        <w:rPr>
          <w:rFonts w:ascii="Times New Roman" w:hAnsi="Times New Roman" w:cs="Times New Roman"/>
          <w:sz w:val="24"/>
          <w:szCs w:val="24"/>
        </w:rPr>
        <w:t>and the geographical proximity to the portfolio companies</w:t>
      </w:r>
      <w:r w:rsidRPr="00F83D46">
        <w:rPr>
          <w:rFonts w:ascii="Times New Roman" w:hAnsi="Times New Roman" w:cs="Times New Roman"/>
          <w:sz w:val="24"/>
          <w:szCs w:val="24"/>
        </w:rPr>
        <w:t xml:space="preserve"> - </w:t>
      </w:r>
      <w:r w:rsidR="00B71E93">
        <w:rPr>
          <w:rFonts w:ascii="Times New Roman" w:hAnsi="Times New Roman" w:cs="Times New Roman"/>
          <w:sz w:val="24"/>
          <w:szCs w:val="24"/>
        </w:rPr>
        <w:t>suggests</w:t>
      </w:r>
      <w:r w:rsidR="00B71E93" w:rsidRPr="00F83D46">
        <w:rPr>
          <w:rFonts w:ascii="Times New Roman" w:hAnsi="Times New Roman" w:cs="Times New Roman"/>
          <w:sz w:val="24"/>
          <w:szCs w:val="24"/>
        </w:rPr>
        <w:t xml:space="preserve"> </w:t>
      </w:r>
      <w:r w:rsidRPr="00F83D46">
        <w:rPr>
          <w:rFonts w:ascii="Times New Roman" w:hAnsi="Times New Roman" w:cs="Times New Roman"/>
          <w:sz w:val="24"/>
          <w:szCs w:val="24"/>
        </w:rPr>
        <w:t xml:space="preserve">that their </w:t>
      </w:r>
      <w:r w:rsidR="00F00B43">
        <w:rPr>
          <w:rFonts w:ascii="Times New Roman" w:hAnsi="Times New Roman" w:cs="Times New Roman"/>
          <w:sz w:val="24"/>
          <w:szCs w:val="24"/>
        </w:rPr>
        <w:t>organizational</w:t>
      </w:r>
      <w:r w:rsidR="00F00B43" w:rsidRPr="00F83D46">
        <w:rPr>
          <w:rFonts w:ascii="Times New Roman" w:hAnsi="Times New Roman" w:cs="Times New Roman"/>
          <w:sz w:val="24"/>
          <w:szCs w:val="24"/>
        </w:rPr>
        <w:t xml:space="preserve"> </w:t>
      </w:r>
      <w:r w:rsidRPr="00F83D46">
        <w:rPr>
          <w:rFonts w:ascii="Times New Roman" w:hAnsi="Times New Roman" w:cs="Times New Roman"/>
          <w:sz w:val="24"/>
          <w:szCs w:val="24"/>
        </w:rPr>
        <w:t xml:space="preserve">safeguard provided by investment committees consisting of both local and head office executives prevents them </w:t>
      </w:r>
      <w:r>
        <w:rPr>
          <w:rFonts w:ascii="Times New Roman" w:hAnsi="Times New Roman" w:cs="Times New Roman"/>
          <w:sz w:val="24"/>
          <w:szCs w:val="24"/>
        </w:rPr>
        <w:t>from</w:t>
      </w:r>
      <w:r w:rsidRPr="00F83D46">
        <w:rPr>
          <w:rFonts w:ascii="Times New Roman" w:hAnsi="Times New Roman" w:cs="Times New Roman"/>
          <w:sz w:val="24"/>
          <w:szCs w:val="24"/>
        </w:rPr>
        <w:t xml:space="preserve"> escalat</w:t>
      </w:r>
      <w:r>
        <w:rPr>
          <w:rFonts w:ascii="Times New Roman" w:hAnsi="Times New Roman" w:cs="Times New Roman"/>
          <w:sz w:val="24"/>
          <w:szCs w:val="24"/>
        </w:rPr>
        <w:t>ing</w:t>
      </w:r>
      <w:r w:rsidRPr="00F83D46">
        <w:rPr>
          <w:rFonts w:ascii="Times New Roman" w:hAnsi="Times New Roman" w:cs="Times New Roman"/>
          <w:sz w:val="24"/>
          <w:szCs w:val="24"/>
        </w:rPr>
        <w:t xml:space="preserve"> commitment to a failing course of action. Domestic VC </w:t>
      </w:r>
      <w:r>
        <w:rPr>
          <w:rFonts w:ascii="Times New Roman" w:hAnsi="Times New Roman" w:cs="Times New Roman"/>
          <w:sz w:val="24"/>
          <w:szCs w:val="24"/>
        </w:rPr>
        <w:t>investor</w:t>
      </w:r>
      <w:r w:rsidRPr="00F83D46">
        <w:rPr>
          <w:rFonts w:ascii="Times New Roman" w:hAnsi="Times New Roman" w:cs="Times New Roman"/>
          <w:sz w:val="24"/>
          <w:szCs w:val="24"/>
        </w:rPr>
        <w:t xml:space="preserve">s may hence </w:t>
      </w:r>
      <w:r w:rsidR="00B71E93">
        <w:rPr>
          <w:rFonts w:ascii="Times New Roman" w:hAnsi="Times New Roman" w:cs="Times New Roman"/>
          <w:sz w:val="24"/>
          <w:szCs w:val="24"/>
        </w:rPr>
        <w:t>mimic</w:t>
      </w:r>
      <w:r w:rsidR="00B71E93" w:rsidRPr="00F83D46">
        <w:rPr>
          <w:rFonts w:ascii="Times New Roman" w:hAnsi="Times New Roman" w:cs="Times New Roman"/>
          <w:sz w:val="24"/>
          <w:szCs w:val="24"/>
        </w:rPr>
        <w:t xml:space="preserve"> </w:t>
      </w:r>
      <w:r w:rsidRPr="00F83D46">
        <w:rPr>
          <w:rFonts w:ascii="Times New Roman" w:hAnsi="Times New Roman" w:cs="Times New Roman"/>
          <w:sz w:val="24"/>
          <w:szCs w:val="24"/>
        </w:rPr>
        <w:t xml:space="preserve">this organizational safeguard by including distant </w:t>
      </w:r>
      <w:r w:rsidRPr="00F83D46">
        <w:rPr>
          <w:rFonts w:ascii="Times New Roman" w:hAnsi="Times New Roman" w:cs="Times New Roman"/>
          <w:sz w:val="24"/>
          <w:szCs w:val="24"/>
        </w:rPr>
        <w:lastRenderedPageBreak/>
        <w:t xml:space="preserve">executives in their investment committees. </w:t>
      </w:r>
      <w:r>
        <w:rPr>
          <w:rFonts w:ascii="Times New Roman" w:hAnsi="Times New Roman" w:cs="Times New Roman"/>
          <w:sz w:val="24"/>
          <w:szCs w:val="24"/>
        </w:rPr>
        <w:t xml:space="preserve">Further, if foreign syndicate members abandon a project, domestic investors should carefully consider whether and why they should invest further in the same project. </w:t>
      </w:r>
    </w:p>
    <w:p w14:paraId="2B619AFE" w14:textId="77777777" w:rsidR="00F01B63" w:rsidRPr="006509CE" w:rsidRDefault="00083EF4" w:rsidP="00DD4DDC">
      <w:pPr>
        <w:autoSpaceDE w:val="0"/>
        <w:autoSpaceDN w:val="0"/>
        <w:adjustRightInd w:val="0"/>
        <w:spacing w:line="480" w:lineRule="auto"/>
        <w:ind w:firstLine="432"/>
        <w:jc w:val="both"/>
        <w:rPr>
          <w:rFonts w:ascii="Times New Roman" w:hAnsi="Times New Roman" w:cs="Times New Roman"/>
          <w:sz w:val="24"/>
          <w:szCs w:val="24"/>
        </w:rPr>
      </w:pPr>
      <w:r w:rsidRPr="002A5405">
        <w:rPr>
          <w:rFonts w:ascii="Times New Roman" w:hAnsi="Times New Roman" w:cs="Times New Roman"/>
          <w:sz w:val="24"/>
          <w:szCs w:val="24"/>
        </w:rPr>
        <w:t>Of course</w:t>
      </w:r>
      <w:r w:rsidRPr="002A5405">
        <w:rPr>
          <w:rFonts w:ascii="Times New Roman" w:hAnsi="Times New Roman" w:cs="Times New Roman"/>
          <w:i/>
          <w:sz w:val="24"/>
          <w:szCs w:val="24"/>
        </w:rPr>
        <w:t xml:space="preserve">, </w:t>
      </w:r>
      <w:r w:rsidR="000B0787" w:rsidRPr="00DD4DDC">
        <w:rPr>
          <w:rFonts w:ascii="Times New Roman" w:hAnsi="Times New Roman" w:cs="Times New Roman"/>
          <w:sz w:val="24"/>
          <w:szCs w:val="24"/>
        </w:rPr>
        <w:t xml:space="preserve">because of their limited allocation of attention and limited life funds, </w:t>
      </w:r>
      <w:r w:rsidRPr="00DD4DDC">
        <w:rPr>
          <w:rFonts w:ascii="Times New Roman" w:hAnsi="Times New Roman" w:cs="Times New Roman"/>
          <w:sz w:val="24"/>
          <w:szCs w:val="24"/>
        </w:rPr>
        <w:t xml:space="preserve">VCs may </w:t>
      </w:r>
      <w:r w:rsidR="000B0787" w:rsidRPr="00DD4DDC">
        <w:rPr>
          <w:rFonts w:ascii="Times New Roman" w:hAnsi="Times New Roman" w:cs="Times New Roman"/>
          <w:sz w:val="24"/>
          <w:szCs w:val="24"/>
        </w:rPr>
        <w:t xml:space="preserve">after some time </w:t>
      </w:r>
      <w:r w:rsidRPr="00DD4DDC">
        <w:rPr>
          <w:rFonts w:ascii="Times New Roman" w:hAnsi="Times New Roman" w:cs="Times New Roman"/>
          <w:sz w:val="24"/>
          <w:szCs w:val="24"/>
        </w:rPr>
        <w:t xml:space="preserve">terminate investments </w:t>
      </w:r>
      <w:r w:rsidR="000B0787" w:rsidRPr="00DD4DDC">
        <w:rPr>
          <w:rFonts w:ascii="Times New Roman" w:hAnsi="Times New Roman" w:cs="Times New Roman"/>
          <w:sz w:val="24"/>
          <w:szCs w:val="24"/>
        </w:rPr>
        <w:t>with decreasing probability of success yet</w:t>
      </w:r>
      <w:r w:rsidRPr="00DD4DDC">
        <w:rPr>
          <w:rFonts w:ascii="Times New Roman" w:hAnsi="Times New Roman" w:cs="Times New Roman"/>
          <w:sz w:val="24"/>
          <w:szCs w:val="24"/>
        </w:rPr>
        <w:t xml:space="preserve"> </w:t>
      </w:r>
      <w:r w:rsidR="000B0787" w:rsidRPr="00DD4DDC">
        <w:rPr>
          <w:rFonts w:ascii="Times New Roman" w:hAnsi="Times New Roman" w:cs="Times New Roman"/>
          <w:sz w:val="24"/>
          <w:szCs w:val="24"/>
        </w:rPr>
        <w:t xml:space="preserve">subsequently </w:t>
      </w:r>
      <w:r w:rsidRPr="00DD4DDC">
        <w:rPr>
          <w:rFonts w:ascii="Times New Roman" w:hAnsi="Times New Roman" w:cs="Times New Roman"/>
          <w:sz w:val="24"/>
          <w:szCs w:val="24"/>
        </w:rPr>
        <w:t>see their former portfolio companies becoming very successful. Our findings emphasize the importance of including anti-embarrassment clauses to protect VCs against this risk. These clause</w:t>
      </w:r>
      <w:r w:rsidRPr="002A5405">
        <w:rPr>
          <w:rFonts w:ascii="Times New Roman" w:hAnsi="Times New Roman" w:cs="Times New Roman"/>
          <w:sz w:val="24"/>
          <w:szCs w:val="24"/>
        </w:rPr>
        <w:t>s</w:t>
      </w:r>
      <w:r w:rsidRPr="00DD4DDC">
        <w:rPr>
          <w:rFonts w:ascii="Times New Roman" w:hAnsi="Times New Roman" w:cs="Times New Roman"/>
          <w:sz w:val="24"/>
          <w:szCs w:val="24"/>
        </w:rPr>
        <w:t xml:space="preserve"> give VCs the right to claim a proportion of the proceeds of value creation, typically within a specified period after completion (Coibion, Ballegeer and Vanhulle, 2015).</w:t>
      </w:r>
      <w:r w:rsidRPr="00083EF4">
        <w:rPr>
          <w:rFonts w:ascii="Times New Roman" w:hAnsi="Times New Roman" w:cs="Times New Roman"/>
          <w:i/>
          <w:sz w:val="24"/>
          <w:szCs w:val="24"/>
        </w:rPr>
        <w:t xml:space="preserve"> </w:t>
      </w:r>
      <w:r w:rsidR="006509CE">
        <w:rPr>
          <w:rFonts w:ascii="Times New Roman" w:hAnsi="Times New Roman" w:cs="Times New Roman"/>
          <w:sz w:val="24"/>
          <w:szCs w:val="24"/>
        </w:rPr>
        <w:t>As this reduces the anticipated regret should their termination decision prove to be wrong, adding an anti-embarrassment clause when terminating while others continue to invest should further reduce escalation of commitment (Sleesman et al., 2012).</w:t>
      </w:r>
    </w:p>
    <w:p w14:paraId="5A83C09D" w14:textId="77777777" w:rsidR="00F01B63" w:rsidRPr="00F83D46" w:rsidRDefault="00F01B63" w:rsidP="00F01B63">
      <w:pPr>
        <w:autoSpaceDE w:val="0"/>
        <w:autoSpaceDN w:val="0"/>
        <w:adjustRightInd w:val="0"/>
        <w:spacing w:after="0" w:line="480" w:lineRule="auto"/>
        <w:ind w:firstLine="432"/>
        <w:jc w:val="both"/>
        <w:rPr>
          <w:rFonts w:ascii="Times New Roman" w:hAnsi="Times New Roman" w:cs="Times New Roman"/>
          <w:sz w:val="24"/>
          <w:szCs w:val="24"/>
        </w:rPr>
      </w:pPr>
      <w:r w:rsidRPr="00F83D46">
        <w:rPr>
          <w:rFonts w:ascii="Times New Roman" w:hAnsi="Times New Roman" w:cs="Times New Roman"/>
          <w:sz w:val="24"/>
          <w:szCs w:val="24"/>
        </w:rPr>
        <w:t>Our study also has important implications for high-tech entrepreneurs. Given the difficulty</w:t>
      </w:r>
      <w:r>
        <w:rPr>
          <w:rFonts w:ascii="Times New Roman" w:hAnsi="Times New Roman" w:cs="Times New Roman"/>
          <w:sz w:val="24"/>
          <w:szCs w:val="24"/>
        </w:rPr>
        <w:t xml:space="preserve"> in</w:t>
      </w:r>
      <w:r w:rsidRPr="00F83D46">
        <w:rPr>
          <w:rFonts w:ascii="Times New Roman" w:hAnsi="Times New Roman" w:cs="Times New Roman"/>
          <w:sz w:val="24"/>
          <w:szCs w:val="24"/>
        </w:rPr>
        <w:t xml:space="preserve"> rais</w:t>
      </w:r>
      <w:r>
        <w:rPr>
          <w:rFonts w:ascii="Times New Roman" w:hAnsi="Times New Roman" w:cs="Times New Roman"/>
          <w:sz w:val="24"/>
          <w:szCs w:val="24"/>
        </w:rPr>
        <w:t>ing</w:t>
      </w:r>
      <w:r w:rsidRPr="00F83D46">
        <w:rPr>
          <w:rFonts w:ascii="Times New Roman" w:hAnsi="Times New Roman" w:cs="Times New Roman"/>
          <w:sz w:val="24"/>
          <w:szCs w:val="24"/>
        </w:rPr>
        <w:t xml:space="preserve"> finance from outside investors, high-tech entrepreneurs are </w:t>
      </w:r>
      <w:r>
        <w:rPr>
          <w:rFonts w:ascii="Times New Roman" w:hAnsi="Times New Roman" w:cs="Times New Roman"/>
          <w:sz w:val="24"/>
          <w:szCs w:val="24"/>
        </w:rPr>
        <w:t xml:space="preserve">often </w:t>
      </w:r>
      <w:r w:rsidRPr="00F83D46">
        <w:rPr>
          <w:rFonts w:ascii="Times New Roman" w:hAnsi="Times New Roman" w:cs="Times New Roman"/>
          <w:sz w:val="24"/>
          <w:szCs w:val="24"/>
        </w:rPr>
        <w:t>under pressure to accept finance when</w:t>
      </w:r>
      <w:r>
        <w:rPr>
          <w:rFonts w:ascii="Times New Roman" w:hAnsi="Times New Roman" w:cs="Times New Roman"/>
          <w:sz w:val="24"/>
          <w:szCs w:val="24"/>
        </w:rPr>
        <w:t>ever</w:t>
      </w:r>
      <w:r w:rsidRPr="00F83D46">
        <w:rPr>
          <w:rFonts w:ascii="Times New Roman" w:hAnsi="Times New Roman" w:cs="Times New Roman"/>
          <w:sz w:val="24"/>
          <w:szCs w:val="24"/>
        </w:rPr>
        <w:t xml:space="preserve"> and where</w:t>
      </w:r>
      <w:r>
        <w:rPr>
          <w:rFonts w:ascii="Times New Roman" w:hAnsi="Times New Roman" w:cs="Times New Roman"/>
          <w:sz w:val="24"/>
          <w:szCs w:val="24"/>
        </w:rPr>
        <w:t>ver</w:t>
      </w:r>
      <w:r w:rsidRPr="00F83D46">
        <w:rPr>
          <w:rFonts w:ascii="Times New Roman" w:hAnsi="Times New Roman" w:cs="Times New Roman"/>
          <w:sz w:val="24"/>
          <w:szCs w:val="24"/>
        </w:rPr>
        <w:t xml:space="preserve"> they can find it. Yet, as we have demonstrated, not all VC </w:t>
      </w:r>
      <w:r>
        <w:rPr>
          <w:rFonts w:ascii="Times New Roman" w:hAnsi="Times New Roman" w:cs="Times New Roman"/>
          <w:sz w:val="24"/>
          <w:szCs w:val="24"/>
        </w:rPr>
        <w:t>investor</w:t>
      </w:r>
      <w:r w:rsidRPr="00F83D46">
        <w:rPr>
          <w:rFonts w:ascii="Times New Roman" w:hAnsi="Times New Roman" w:cs="Times New Roman"/>
          <w:sz w:val="24"/>
          <w:szCs w:val="24"/>
        </w:rPr>
        <w:t>s have the same commitment to portfolio companies that do not meet expectations. While attracting cross-border VC or branch VC may be beneficial for portfolio companies when they perform well</w:t>
      </w:r>
      <w:r>
        <w:rPr>
          <w:rFonts w:ascii="Times New Roman" w:hAnsi="Times New Roman" w:cs="Times New Roman"/>
          <w:sz w:val="24"/>
          <w:szCs w:val="24"/>
        </w:rPr>
        <w:t xml:space="preserve"> (Devigne et al., 2013)</w:t>
      </w:r>
      <w:r w:rsidRPr="00F83D46">
        <w:rPr>
          <w:rFonts w:ascii="Times New Roman" w:hAnsi="Times New Roman" w:cs="Times New Roman"/>
          <w:sz w:val="24"/>
          <w:szCs w:val="24"/>
        </w:rPr>
        <w:t>, they terminate investments more easily when portfolio companies do not meet expectations. We hence provide further evidence that entrepreneurs in their search for finance should carefully evaluate and target investors that match their needs.</w:t>
      </w:r>
    </w:p>
    <w:p w14:paraId="0B8125AC" w14:textId="77777777" w:rsidR="00F01B63" w:rsidRDefault="00F01B63" w:rsidP="00F01B63">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Limitations and directions for future research</w:t>
      </w:r>
    </w:p>
    <w:p w14:paraId="748EFAC4" w14:textId="6D19B9EE" w:rsidR="00F16842" w:rsidRDefault="00F01B63" w:rsidP="00F01B63">
      <w:pPr>
        <w:autoSpaceDE w:val="0"/>
        <w:autoSpaceDN w:val="0"/>
        <w:adjustRightInd w:val="0"/>
        <w:spacing w:after="0" w:line="480" w:lineRule="auto"/>
        <w:ind w:firstLine="432"/>
        <w:jc w:val="both"/>
        <w:rPr>
          <w:rFonts w:ascii="Times New Roman" w:hAnsi="Times New Roman" w:cs="Times New Roman"/>
          <w:sz w:val="24"/>
          <w:szCs w:val="24"/>
        </w:rPr>
      </w:pPr>
      <w:r w:rsidRPr="00AD4FAC">
        <w:rPr>
          <w:rFonts w:ascii="Times New Roman" w:hAnsi="Times New Roman" w:cs="Times New Roman"/>
          <w:sz w:val="24"/>
          <w:szCs w:val="24"/>
        </w:rPr>
        <w:t xml:space="preserve">As with all research, this study has limitations which provide opportunities for further research. First, our </w:t>
      </w:r>
      <w:r>
        <w:rPr>
          <w:rFonts w:ascii="Times New Roman" w:hAnsi="Times New Roman" w:cs="Times New Roman"/>
          <w:sz w:val="24"/>
          <w:szCs w:val="24"/>
        </w:rPr>
        <w:t>focus on VC</w:t>
      </w:r>
      <w:r w:rsidRPr="00AD4FAC">
        <w:rPr>
          <w:rFonts w:ascii="Times New Roman" w:hAnsi="Times New Roman" w:cs="Times New Roman"/>
          <w:sz w:val="24"/>
          <w:szCs w:val="24"/>
        </w:rPr>
        <w:t xml:space="preserve"> pos</w:t>
      </w:r>
      <w:r>
        <w:rPr>
          <w:rFonts w:ascii="Times New Roman" w:hAnsi="Times New Roman" w:cs="Times New Roman"/>
          <w:sz w:val="24"/>
          <w:szCs w:val="24"/>
        </w:rPr>
        <w:t>es</w:t>
      </w:r>
      <w:r w:rsidRPr="00AD4FAC">
        <w:rPr>
          <w:rFonts w:ascii="Times New Roman" w:hAnsi="Times New Roman" w:cs="Times New Roman"/>
          <w:sz w:val="24"/>
          <w:szCs w:val="24"/>
        </w:rPr>
        <w:t xml:space="preserve"> the question about the generalizability of our results to other </w:t>
      </w:r>
      <w:r w:rsidRPr="00AD4FAC">
        <w:rPr>
          <w:rFonts w:ascii="Times New Roman" w:hAnsi="Times New Roman" w:cs="Times New Roman"/>
          <w:sz w:val="24"/>
          <w:szCs w:val="24"/>
        </w:rPr>
        <w:lastRenderedPageBreak/>
        <w:t xml:space="preserve">contexts. The finding that </w:t>
      </w:r>
      <w:r w:rsidR="001E2056">
        <w:rPr>
          <w:rFonts w:ascii="Times New Roman" w:hAnsi="Times New Roman" w:cs="Times New Roman"/>
          <w:sz w:val="24"/>
          <w:szCs w:val="24"/>
        </w:rPr>
        <w:t>organizational</w:t>
      </w:r>
      <w:r w:rsidR="001E2056" w:rsidRPr="00AD4FAC">
        <w:rPr>
          <w:rFonts w:ascii="Times New Roman" w:hAnsi="Times New Roman" w:cs="Times New Roman"/>
          <w:sz w:val="24"/>
          <w:szCs w:val="24"/>
        </w:rPr>
        <w:t xml:space="preserve"> </w:t>
      </w:r>
      <w:r w:rsidRPr="00AD4FAC">
        <w:rPr>
          <w:rFonts w:ascii="Times New Roman" w:hAnsi="Times New Roman" w:cs="Times New Roman"/>
          <w:sz w:val="24"/>
          <w:szCs w:val="24"/>
        </w:rPr>
        <w:t>safeguards may limit escalation of commitment to a losing course of action</w:t>
      </w:r>
      <w:r>
        <w:rPr>
          <w:rFonts w:ascii="Times New Roman" w:hAnsi="Times New Roman" w:cs="Times New Roman"/>
          <w:sz w:val="24"/>
          <w:szCs w:val="24"/>
        </w:rPr>
        <w:t xml:space="preserve"> </w:t>
      </w:r>
      <w:r w:rsidRPr="00AD4FAC">
        <w:rPr>
          <w:rFonts w:ascii="Times New Roman" w:hAnsi="Times New Roman" w:cs="Times New Roman"/>
          <w:sz w:val="24"/>
          <w:szCs w:val="24"/>
        </w:rPr>
        <w:t xml:space="preserve">likely relates to other contexts. VC is an example of a general context where </w:t>
      </w:r>
      <w:r w:rsidR="00F00B43">
        <w:rPr>
          <w:rFonts w:ascii="Times New Roman" w:hAnsi="Times New Roman" w:cs="Times New Roman"/>
          <w:sz w:val="24"/>
          <w:szCs w:val="24"/>
        </w:rPr>
        <w:t xml:space="preserve">organizational </w:t>
      </w:r>
      <w:r>
        <w:rPr>
          <w:rFonts w:ascii="Times New Roman" w:hAnsi="Times New Roman" w:cs="Times New Roman"/>
          <w:sz w:val="24"/>
          <w:szCs w:val="24"/>
        </w:rPr>
        <w:t xml:space="preserve">safeguards like </w:t>
      </w:r>
      <w:r w:rsidRPr="00AD4FAC">
        <w:rPr>
          <w:rFonts w:ascii="Times New Roman" w:hAnsi="Times New Roman" w:cs="Times New Roman"/>
          <w:sz w:val="24"/>
          <w:szCs w:val="24"/>
        </w:rPr>
        <w:t>making decisions as a team rather than as an individual, co-investing with other VC firms or staging the investments, minimizes the risk of escalation of commitment. Nevertheless, extending our findings to other settings</w:t>
      </w:r>
      <w:r>
        <w:rPr>
          <w:rFonts w:ascii="Times New Roman" w:hAnsi="Times New Roman" w:cs="Times New Roman"/>
          <w:sz w:val="24"/>
          <w:szCs w:val="24"/>
        </w:rPr>
        <w:t>, such as other providers of entrepreneurial finance,</w:t>
      </w:r>
      <w:r w:rsidRPr="00AD4FAC">
        <w:rPr>
          <w:rFonts w:ascii="Times New Roman" w:hAnsi="Times New Roman" w:cs="Times New Roman"/>
          <w:sz w:val="24"/>
          <w:szCs w:val="24"/>
        </w:rPr>
        <w:t xml:space="preserve"> might be relevant.</w:t>
      </w:r>
      <w:r>
        <w:rPr>
          <w:rFonts w:ascii="Times New Roman" w:hAnsi="Times New Roman" w:cs="Times New Roman"/>
          <w:sz w:val="24"/>
          <w:szCs w:val="24"/>
        </w:rPr>
        <w:t xml:space="preserve"> Second</w:t>
      </w:r>
      <w:r w:rsidRPr="005F1FD6">
        <w:rPr>
          <w:rFonts w:ascii="Times New Roman" w:hAnsi="Times New Roman" w:cs="Times New Roman"/>
          <w:sz w:val="24"/>
          <w:szCs w:val="24"/>
        </w:rPr>
        <w:t xml:space="preserve">, a classification of exits based on actual returns </w:t>
      </w:r>
      <w:r>
        <w:rPr>
          <w:rFonts w:ascii="Times New Roman" w:hAnsi="Times New Roman" w:cs="Times New Roman"/>
          <w:sz w:val="24"/>
          <w:szCs w:val="24"/>
        </w:rPr>
        <w:t>to</w:t>
      </w:r>
      <w:r w:rsidRPr="005F1FD6">
        <w:rPr>
          <w:rFonts w:ascii="Times New Roman" w:hAnsi="Times New Roman" w:cs="Times New Roman"/>
          <w:sz w:val="24"/>
          <w:szCs w:val="24"/>
        </w:rPr>
        <w:t xml:space="preserve"> VC </w:t>
      </w:r>
      <w:r>
        <w:rPr>
          <w:rFonts w:ascii="Times New Roman" w:hAnsi="Times New Roman" w:cs="Times New Roman"/>
          <w:sz w:val="24"/>
          <w:szCs w:val="24"/>
        </w:rPr>
        <w:t>investors</w:t>
      </w:r>
      <w:r w:rsidRPr="005F1FD6">
        <w:rPr>
          <w:rFonts w:ascii="Times New Roman" w:hAnsi="Times New Roman" w:cs="Times New Roman"/>
          <w:sz w:val="24"/>
          <w:szCs w:val="24"/>
        </w:rPr>
        <w:t xml:space="preserve"> would provide a</w:t>
      </w:r>
      <w:r>
        <w:rPr>
          <w:rFonts w:ascii="Times New Roman" w:hAnsi="Times New Roman" w:cs="Times New Roman"/>
          <w:sz w:val="24"/>
          <w:szCs w:val="24"/>
        </w:rPr>
        <w:t xml:space="preserve"> more fine-grained</w:t>
      </w:r>
      <w:r w:rsidRPr="005F1FD6">
        <w:rPr>
          <w:rFonts w:ascii="Times New Roman" w:hAnsi="Times New Roman" w:cs="Times New Roman"/>
          <w:sz w:val="24"/>
          <w:szCs w:val="24"/>
        </w:rPr>
        <w:t xml:space="preserve"> categorization. Such data is however unavailable in the current database.</w:t>
      </w:r>
      <w:r>
        <w:rPr>
          <w:rFonts w:ascii="Times New Roman" w:hAnsi="Times New Roman" w:cs="Times New Roman"/>
          <w:sz w:val="24"/>
          <w:szCs w:val="24"/>
        </w:rPr>
        <w:t xml:space="preserve"> Future research might usefully focus on developing databases to encompass this data. Third, our study adopted a novel sample of European firms. Additional studies might usefully examine the issues addressed here in other regions such as North America and Asia to establish whether our findings apply to other institutional contexts.</w:t>
      </w:r>
      <w:r w:rsidR="00C410F6">
        <w:rPr>
          <w:rFonts w:ascii="Times New Roman" w:hAnsi="Times New Roman" w:cs="Times New Roman"/>
          <w:sz w:val="24"/>
          <w:szCs w:val="24"/>
        </w:rPr>
        <w:t xml:space="preserve"> </w:t>
      </w:r>
      <w:r w:rsidR="00C410F6" w:rsidRPr="002A5405">
        <w:rPr>
          <w:rFonts w:ascii="Times New Roman" w:hAnsi="Times New Roman" w:cs="Times New Roman"/>
          <w:sz w:val="24"/>
          <w:szCs w:val="24"/>
        </w:rPr>
        <w:t>Fourth</w:t>
      </w:r>
      <w:r w:rsidR="00C131DB">
        <w:rPr>
          <w:rFonts w:ascii="Times New Roman" w:hAnsi="Times New Roman" w:cs="Times New Roman"/>
          <w:sz w:val="24"/>
          <w:szCs w:val="24"/>
        </w:rPr>
        <w:t>,</w:t>
      </w:r>
      <w:r w:rsidR="00C410F6" w:rsidRPr="002A5405">
        <w:rPr>
          <w:rFonts w:ascii="Times New Roman" w:hAnsi="Times New Roman" w:cs="Times New Roman"/>
          <w:sz w:val="24"/>
          <w:szCs w:val="24"/>
        </w:rPr>
        <w:t xml:space="preserve"> although we note that cross-border investors typically have an international decision making committee with lower social involvement and lower embeddedness in the</w:t>
      </w:r>
      <w:r w:rsidR="00C410F6" w:rsidRPr="00C131DB">
        <w:rPr>
          <w:rFonts w:ascii="Times New Roman" w:hAnsi="Times New Roman" w:cs="Times New Roman"/>
          <w:sz w:val="24"/>
          <w:szCs w:val="24"/>
        </w:rPr>
        <w:t xml:space="preserve"> local economic and social environment, we do not have specific information on the composition of the investment decision committee. </w:t>
      </w:r>
      <w:r w:rsidR="00E63E02">
        <w:rPr>
          <w:rFonts w:ascii="Times New Roman" w:hAnsi="Times New Roman" w:cs="Times New Roman"/>
          <w:sz w:val="24"/>
          <w:szCs w:val="24"/>
        </w:rPr>
        <w:t xml:space="preserve">Explicitly examining the impact of organizational characteristics on investment decision making might be fruitful. </w:t>
      </w:r>
    </w:p>
    <w:p w14:paraId="2C3735C1" w14:textId="4EBE631F" w:rsidR="00F01B63" w:rsidRPr="00C410F6" w:rsidRDefault="00C131DB" w:rsidP="00DD1264">
      <w:pPr>
        <w:autoSpaceDE w:val="0"/>
        <w:autoSpaceDN w:val="0"/>
        <w:adjustRightInd w:val="0"/>
        <w:spacing w:after="0" w:line="480" w:lineRule="auto"/>
        <w:ind w:firstLine="432"/>
        <w:jc w:val="both"/>
        <w:rPr>
          <w:rFonts w:ascii="Times New Roman" w:hAnsi="Times New Roman" w:cs="Times New Roman"/>
          <w:sz w:val="24"/>
          <w:szCs w:val="24"/>
        </w:rPr>
      </w:pPr>
      <w:r w:rsidRPr="00C131DB">
        <w:rPr>
          <w:rFonts w:ascii="Times New Roman" w:hAnsi="Times New Roman" w:cs="Times New Roman"/>
          <w:sz w:val="24"/>
          <w:szCs w:val="24"/>
        </w:rPr>
        <w:t>F</w:t>
      </w:r>
      <w:r>
        <w:rPr>
          <w:rFonts w:ascii="Times New Roman" w:hAnsi="Times New Roman" w:cs="Times New Roman"/>
          <w:sz w:val="24"/>
          <w:szCs w:val="24"/>
        </w:rPr>
        <w:t>inally</w:t>
      </w:r>
      <w:r w:rsidRPr="00C131DB">
        <w:rPr>
          <w:rFonts w:ascii="Times New Roman" w:hAnsi="Times New Roman" w:cs="Times New Roman"/>
          <w:sz w:val="24"/>
          <w:szCs w:val="24"/>
        </w:rPr>
        <w:t xml:space="preserve">, it may be argued that </w:t>
      </w:r>
      <w:r w:rsidR="00C60DCE">
        <w:rPr>
          <w:rFonts w:ascii="Times New Roman" w:hAnsi="Times New Roman" w:cs="Times New Roman"/>
          <w:sz w:val="24"/>
          <w:szCs w:val="24"/>
        </w:rPr>
        <w:t xml:space="preserve">our findings could be explained as rational behavior by VC investors, for example through using </w:t>
      </w:r>
      <w:r w:rsidRPr="00C131DB">
        <w:rPr>
          <w:rFonts w:ascii="Times New Roman" w:hAnsi="Times New Roman" w:cs="Times New Roman"/>
          <w:sz w:val="24"/>
          <w:szCs w:val="24"/>
        </w:rPr>
        <w:t xml:space="preserve">a real options perspective </w:t>
      </w:r>
      <w:r w:rsidR="00C60DCE">
        <w:rPr>
          <w:rFonts w:ascii="Times New Roman" w:hAnsi="Times New Roman" w:cs="Times New Roman"/>
          <w:sz w:val="24"/>
          <w:szCs w:val="24"/>
        </w:rPr>
        <w:t>(Li and Chi, 2013)</w:t>
      </w:r>
      <w:r w:rsidRPr="00C131DB">
        <w:rPr>
          <w:rFonts w:ascii="Times New Roman" w:hAnsi="Times New Roman" w:cs="Times New Roman"/>
          <w:sz w:val="24"/>
          <w:szCs w:val="24"/>
        </w:rPr>
        <w:t>. A real options view would explain continued investment as being due to rational behavior associated with the value of the VC’s call option on the portfolio company’s upside potential becoming worthless if they terminate. In this view, the option is more valuable with higher uncertainty</w:t>
      </w:r>
      <w:r w:rsidR="0085661C">
        <w:rPr>
          <w:rFonts w:ascii="Times New Roman" w:hAnsi="Times New Roman" w:cs="Times New Roman"/>
          <w:sz w:val="24"/>
          <w:szCs w:val="24"/>
        </w:rPr>
        <w:t xml:space="preserve"> (Li and Chi, 2013)</w:t>
      </w:r>
      <w:r w:rsidRPr="00C131DB">
        <w:rPr>
          <w:rFonts w:ascii="Times New Roman" w:hAnsi="Times New Roman" w:cs="Times New Roman"/>
          <w:sz w:val="24"/>
          <w:szCs w:val="24"/>
        </w:rPr>
        <w:t xml:space="preserve">, but also with remaining time to expiration (Baldwin, 1988; Dixit, 1989). However, VC investments have a finite time horizon and investors face pressure to exit before the end of the fund life, </w:t>
      </w:r>
      <w:r w:rsidRPr="00C131DB">
        <w:rPr>
          <w:rFonts w:ascii="Times New Roman" w:hAnsi="Times New Roman" w:cs="Times New Roman"/>
          <w:sz w:val="24"/>
          <w:szCs w:val="24"/>
        </w:rPr>
        <w:lastRenderedPageBreak/>
        <w:t xml:space="preserve">considerably limiting the call option value. </w:t>
      </w:r>
      <w:r w:rsidR="002F7316">
        <w:rPr>
          <w:rFonts w:ascii="Times New Roman" w:hAnsi="Times New Roman" w:cs="Times New Roman"/>
          <w:sz w:val="24"/>
          <w:szCs w:val="24"/>
        </w:rPr>
        <w:t xml:space="preserve">Second, VC investors manage a portfolio of investments, but </w:t>
      </w:r>
      <w:r w:rsidRPr="00C131DB">
        <w:rPr>
          <w:rFonts w:ascii="Times New Roman" w:hAnsi="Times New Roman" w:cs="Times New Roman"/>
          <w:sz w:val="24"/>
          <w:szCs w:val="24"/>
        </w:rPr>
        <w:t>have a limited capability regarding the number of investments they can monitor effectively (Shepherd</w:t>
      </w:r>
      <w:r w:rsidR="008118AE">
        <w:rPr>
          <w:rFonts w:ascii="Times New Roman" w:hAnsi="Times New Roman" w:cs="Times New Roman"/>
          <w:sz w:val="24"/>
          <w:szCs w:val="24"/>
        </w:rPr>
        <w:t>, Armstrong and Levesque</w:t>
      </w:r>
      <w:r w:rsidRPr="00C131DB">
        <w:rPr>
          <w:rFonts w:ascii="Times New Roman" w:hAnsi="Times New Roman" w:cs="Times New Roman"/>
          <w:sz w:val="24"/>
          <w:szCs w:val="24"/>
        </w:rPr>
        <w:t>, 2005; Cumming and Dai, 2011)</w:t>
      </w:r>
      <w:r w:rsidR="002F7316">
        <w:rPr>
          <w:rFonts w:ascii="Times New Roman" w:hAnsi="Times New Roman" w:cs="Times New Roman"/>
          <w:sz w:val="24"/>
          <w:szCs w:val="24"/>
        </w:rPr>
        <w:t>.</w:t>
      </w:r>
      <w:r w:rsidRPr="00C131DB">
        <w:rPr>
          <w:rFonts w:ascii="Times New Roman" w:hAnsi="Times New Roman" w:cs="Times New Roman"/>
          <w:sz w:val="24"/>
          <w:szCs w:val="24"/>
        </w:rPr>
        <w:t xml:space="preserve"> </w:t>
      </w:r>
      <w:r w:rsidR="002F7316">
        <w:rPr>
          <w:rFonts w:ascii="Times New Roman" w:hAnsi="Times New Roman" w:cs="Times New Roman"/>
          <w:sz w:val="24"/>
          <w:szCs w:val="24"/>
        </w:rPr>
        <w:t>C</w:t>
      </w:r>
      <w:r w:rsidRPr="00C131DB">
        <w:rPr>
          <w:rFonts w:ascii="Times New Roman" w:hAnsi="Times New Roman" w:cs="Times New Roman"/>
          <w:sz w:val="24"/>
          <w:szCs w:val="24"/>
        </w:rPr>
        <w:t xml:space="preserve">ontinuing to invest in a failing course of action creates an opportunity cost, as it detracts the attention of VC investors from potentially more value creation projects. </w:t>
      </w:r>
      <w:r w:rsidR="002F7316">
        <w:rPr>
          <w:rFonts w:ascii="Times New Roman" w:hAnsi="Times New Roman" w:cs="Times New Roman"/>
          <w:sz w:val="24"/>
          <w:szCs w:val="24"/>
        </w:rPr>
        <w:t xml:space="preserve">This portfolio view incites VC investors to terminate investments early rather than late (Li and Chi, 2013). </w:t>
      </w:r>
      <w:r w:rsidR="009A20C8">
        <w:rPr>
          <w:rFonts w:ascii="Times New Roman" w:hAnsi="Times New Roman" w:cs="Times New Roman"/>
          <w:sz w:val="24"/>
          <w:szCs w:val="24"/>
        </w:rPr>
        <w:t>Both explanations suggest a lower</w:t>
      </w:r>
      <w:r w:rsidRPr="00C131DB">
        <w:rPr>
          <w:rFonts w:ascii="Times New Roman" w:hAnsi="Times New Roman" w:cs="Times New Roman"/>
          <w:sz w:val="24"/>
          <w:szCs w:val="24"/>
        </w:rPr>
        <w:t xml:space="preserve"> option value </w:t>
      </w:r>
      <w:r w:rsidR="002F7316">
        <w:rPr>
          <w:rFonts w:ascii="Times New Roman" w:hAnsi="Times New Roman" w:cs="Times New Roman"/>
          <w:sz w:val="24"/>
          <w:szCs w:val="24"/>
        </w:rPr>
        <w:t>to the VC investor</w:t>
      </w:r>
      <w:r w:rsidRPr="00C131DB">
        <w:rPr>
          <w:rFonts w:ascii="Times New Roman" w:hAnsi="Times New Roman" w:cs="Times New Roman"/>
          <w:sz w:val="24"/>
          <w:szCs w:val="24"/>
        </w:rPr>
        <w:t>, suggesting that the VC would not hold on to underperforming projects. This is at variance with the fine-grained insights from an escalation of commitment perspective that we have presented.</w:t>
      </w:r>
    </w:p>
    <w:p w14:paraId="5D15ED07" w14:textId="77777777" w:rsidR="00F01B63" w:rsidRDefault="00F01B63" w:rsidP="00DD4DDC">
      <w:pPr>
        <w:autoSpaceDE w:val="0"/>
        <w:autoSpaceDN w:val="0"/>
        <w:adjustRightInd w:val="0"/>
        <w:spacing w:after="0" w:line="480" w:lineRule="auto"/>
        <w:ind w:firstLine="431"/>
        <w:jc w:val="both"/>
        <w:rPr>
          <w:rFonts w:ascii="Times New Roman" w:hAnsi="Times New Roman" w:cs="Times New Roman"/>
          <w:sz w:val="24"/>
          <w:szCs w:val="24"/>
        </w:rPr>
      </w:pPr>
      <w:r>
        <w:rPr>
          <w:rFonts w:ascii="Times New Roman" w:hAnsi="Times New Roman" w:cs="Times New Roman"/>
          <w:sz w:val="24"/>
          <w:szCs w:val="24"/>
        </w:rPr>
        <w:t xml:space="preserve">To conclude, notwithstanding these </w:t>
      </w:r>
      <w:r w:rsidR="005257D2">
        <w:rPr>
          <w:rFonts w:ascii="Times New Roman" w:hAnsi="Times New Roman" w:cs="Times New Roman"/>
          <w:sz w:val="24"/>
          <w:szCs w:val="24"/>
        </w:rPr>
        <w:t>observations</w:t>
      </w:r>
      <w:r>
        <w:rPr>
          <w:rFonts w:ascii="Times New Roman" w:hAnsi="Times New Roman" w:cs="Times New Roman"/>
          <w:sz w:val="24"/>
          <w:szCs w:val="24"/>
        </w:rPr>
        <w:t>, o</w:t>
      </w:r>
      <w:r w:rsidRPr="00392F31">
        <w:rPr>
          <w:rFonts w:ascii="Times New Roman" w:hAnsi="Times New Roman" w:cs="Times New Roman"/>
          <w:sz w:val="24"/>
          <w:szCs w:val="24"/>
        </w:rPr>
        <w:t xml:space="preserve">ur focus on </w:t>
      </w:r>
      <w:r>
        <w:rPr>
          <w:rFonts w:ascii="Times New Roman" w:hAnsi="Times New Roman" w:cs="Times New Roman"/>
          <w:sz w:val="24"/>
          <w:szCs w:val="24"/>
        </w:rPr>
        <w:t xml:space="preserve">international </w:t>
      </w:r>
      <w:r w:rsidRPr="00392F31">
        <w:rPr>
          <w:rFonts w:ascii="Times New Roman" w:hAnsi="Times New Roman" w:cs="Times New Roman"/>
          <w:sz w:val="24"/>
          <w:szCs w:val="24"/>
        </w:rPr>
        <w:t>organizational structures as safeguards against escalation of commitment</w:t>
      </w:r>
      <w:r>
        <w:rPr>
          <w:rFonts w:ascii="Times New Roman" w:hAnsi="Times New Roman" w:cs="Times New Roman"/>
          <w:sz w:val="24"/>
          <w:szCs w:val="24"/>
        </w:rPr>
        <w:t xml:space="preserve"> helps extend the literature relating to both dealing with under-performing foreign activities and </w:t>
      </w:r>
      <w:r w:rsidRPr="00A22D1E">
        <w:rPr>
          <w:rFonts w:ascii="Times New Roman" w:hAnsi="Times New Roman" w:cs="Times New Roman"/>
          <w:sz w:val="24"/>
          <w:szCs w:val="24"/>
        </w:rPr>
        <w:t xml:space="preserve">boundaries </w:t>
      </w:r>
      <w:r>
        <w:rPr>
          <w:rFonts w:ascii="Times New Roman" w:hAnsi="Times New Roman" w:cs="Times New Roman"/>
          <w:sz w:val="24"/>
          <w:szCs w:val="24"/>
        </w:rPr>
        <w:t>of the liabilities of foreignness. More specifically we extend the international VC literature by emphasizing the salience of encompassing behavior relating to failed investments a</w:t>
      </w:r>
      <w:r w:rsidRPr="00653C8A">
        <w:rPr>
          <w:rFonts w:ascii="Times New Roman" w:hAnsi="Times New Roman" w:cs="Times New Roman"/>
          <w:sz w:val="24"/>
          <w:szCs w:val="24"/>
        </w:rPr>
        <w:t xml:space="preserve">nd </w:t>
      </w:r>
      <w:r>
        <w:rPr>
          <w:rFonts w:ascii="Times New Roman" w:hAnsi="Times New Roman" w:cs="Times New Roman"/>
          <w:sz w:val="24"/>
          <w:szCs w:val="24"/>
        </w:rPr>
        <w:t xml:space="preserve">of examining </w:t>
      </w:r>
      <w:r w:rsidR="005257D2">
        <w:rPr>
          <w:rFonts w:ascii="Times New Roman" w:hAnsi="Times New Roman" w:cs="Times New Roman"/>
          <w:sz w:val="24"/>
          <w:szCs w:val="24"/>
        </w:rPr>
        <w:t xml:space="preserve">the heterogeneity of the location of </w:t>
      </w:r>
      <w:r w:rsidRPr="00653C8A">
        <w:rPr>
          <w:rFonts w:ascii="Times New Roman" w:hAnsi="Times New Roman" w:cs="Times New Roman"/>
          <w:sz w:val="24"/>
          <w:szCs w:val="24"/>
        </w:rPr>
        <w:t>VC investors</w:t>
      </w:r>
      <w:r w:rsidR="005257D2">
        <w:rPr>
          <w:rFonts w:ascii="Times New Roman" w:hAnsi="Times New Roman" w:cs="Times New Roman"/>
          <w:sz w:val="24"/>
          <w:szCs w:val="24"/>
        </w:rPr>
        <w:t xml:space="preserve"> when making investment decisions</w:t>
      </w:r>
      <w:r>
        <w:rPr>
          <w:rFonts w:ascii="Times New Roman" w:hAnsi="Times New Roman" w:cs="Times New Roman"/>
          <w:sz w:val="24"/>
          <w:szCs w:val="24"/>
        </w:rPr>
        <w:t xml:space="preserve">. </w:t>
      </w:r>
    </w:p>
    <w:p w14:paraId="2D32FD10" w14:textId="77777777" w:rsidR="00F01B63" w:rsidRDefault="00F01B63" w:rsidP="00F01B63">
      <w:pPr>
        <w:autoSpaceDE w:val="0"/>
        <w:autoSpaceDN w:val="0"/>
        <w:adjustRightInd w:val="0"/>
        <w:spacing w:after="0" w:line="480" w:lineRule="auto"/>
        <w:jc w:val="both"/>
        <w:rPr>
          <w:rFonts w:ascii="Times New Roman" w:hAnsi="Times New Roman" w:cs="Times New Roman"/>
          <w:sz w:val="24"/>
          <w:szCs w:val="24"/>
        </w:rPr>
        <w:sectPr w:rsidR="00F01B63" w:rsidSect="00005718">
          <w:headerReference w:type="default" r:id="rId8"/>
          <w:footerReference w:type="default" r:id="rId9"/>
          <w:pgSz w:w="12240" w:h="15840"/>
          <w:pgMar w:top="1440" w:right="1440" w:bottom="1440" w:left="1440" w:header="720" w:footer="720" w:gutter="0"/>
          <w:cols w:space="720"/>
          <w:docGrid w:linePitch="360"/>
        </w:sectPr>
      </w:pPr>
    </w:p>
    <w:p w14:paraId="18230849" w14:textId="77777777" w:rsidR="004D682D" w:rsidRDefault="004D682D" w:rsidP="00571461">
      <w:pPr>
        <w:jc w:val="center"/>
        <w:rPr>
          <w:rFonts w:ascii="Times New Roman" w:hAnsi="Times New Roman" w:cs="Times New Roman"/>
          <w:b/>
        </w:rPr>
      </w:pPr>
      <w:r>
        <w:rPr>
          <w:rFonts w:ascii="Times New Roman" w:hAnsi="Times New Roman" w:cs="Times New Roman"/>
          <w:b/>
        </w:rPr>
        <w:lastRenderedPageBreak/>
        <w:t>FIGURES AND TABLES</w:t>
      </w:r>
    </w:p>
    <w:p w14:paraId="13019836" w14:textId="77777777" w:rsidR="00C44B53" w:rsidRDefault="00C44B53" w:rsidP="00FF6C03">
      <w:pPr>
        <w:spacing w:after="0" w:line="480" w:lineRule="auto"/>
        <w:contextualSpacing/>
        <w:mirrorIndents/>
        <w:rPr>
          <w:rFonts w:ascii="Times New Roman" w:hAnsi="Times New Roman" w:cs="Times New Roman"/>
          <w:b/>
        </w:rPr>
      </w:pPr>
      <w:r>
        <w:rPr>
          <w:rFonts w:ascii="Times New Roman" w:hAnsi="Times New Roman" w:cs="Times New Roman"/>
          <w:b/>
        </w:rPr>
        <w:t xml:space="preserve">Table 1: </w:t>
      </w:r>
      <w:r w:rsidR="00137EA0">
        <w:rPr>
          <w:rFonts w:ascii="Times New Roman" w:hAnsi="Times New Roman" w:cs="Times New Roman"/>
          <w:b/>
        </w:rPr>
        <w:t>A</w:t>
      </w:r>
      <w:r w:rsidR="00BF67C0">
        <w:rPr>
          <w:rFonts w:ascii="Times New Roman" w:hAnsi="Times New Roman" w:cs="Times New Roman"/>
          <w:b/>
        </w:rPr>
        <w:t>verage number of investment rounds</w:t>
      </w:r>
      <w:r w:rsidR="00BF67C0" w:rsidRPr="00BF67C0">
        <w:rPr>
          <w:rFonts w:ascii="Times New Roman" w:hAnsi="Times New Roman" w:cs="Times New Roman"/>
          <w:b/>
        </w:rPr>
        <w:t xml:space="preserve"> </w:t>
      </w:r>
      <w:r w:rsidR="00E41AFE">
        <w:rPr>
          <w:rFonts w:ascii="Times New Roman" w:hAnsi="Times New Roman" w:cs="Times New Roman"/>
          <w:b/>
        </w:rPr>
        <w:t xml:space="preserve">by venture capital </w:t>
      </w:r>
      <w:r w:rsidR="00331D0E">
        <w:rPr>
          <w:rFonts w:ascii="Times New Roman" w:hAnsi="Times New Roman" w:cs="Times New Roman"/>
          <w:b/>
        </w:rPr>
        <w:t xml:space="preserve">firm </w:t>
      </w:r>
      <w:r w:rsidR="00BF67C0">
        <w:rPr>
          <w:rFonts w:ascii="Times New Roman" w:hAnsi="Times New Roman" w:cs="Times New Roman"/>
          <w:b/>
        </w:rPr>
        <w:t xml:space="preserve">origin and exit </w:t>
      </w:r>
      <w:r w:rsidR="00272B49">
        <w:rPr>
          <w:rFonts w:ascii="Times New Roman" w:hAnsi="Times New Roman" w:cs="Times New Roman"/>
          <w:b/>
        </w:rPr>
        <w:t>success</w:t>
      </w:r>
      <w:r w:rsidR="0086728D">
        <w:rPr>
          <w:rFonts w:ascii="Times New Roman" w:hAnsi="Times New Roman" w:cs="Times New Roman"/>
          <w:b/>
        </w:rPr>
        <w:t xml:space="preserve"> versus termination</w:t>
      </w:r>
    </w:p>
    <w:tbl>
      <w:tblPr>
        <w:tblW w:w="5000" w:type="pct"/>
        <w:tblLook w:val="04A0" w:firstRow="1" w:lastRow="0" w:firstColumn="1" w:lastColumn="0" w:noHBand="0" w:noVBand="1"/>
      </w:tblPr>
      <w:tblGrid>
        <w:gridCol w:w="4209"/>
        <w:gridCol w:w="2175"/>
        <w:gridCol w:w="2229"/>
        <w:gridCol w:w="2175"/>
        <w:gridCol w:w="2172"/>
      </w:tblGrid>
      <w:tr w:rsidR="00CE3EE7" w:rsidRPr="00B82D24" w14:paraId="166A3D54" w14:textId="77777777" w:rsidTr="0084321F">
        <w:trPr>
          <w:trHeight w:val="300"/>
        </w:trPr>
        <w:tc>
          <w:tcPr>
            <w:tcW w:w="1624" w:type="pct"/>
            <w:tcBorders>
              <w:top w:val="single" w:sz="4" w:space="0" w:color="auto"/>
              <w:left w:val="nil"/>
              <w:bottom w:val="single" w:sz="4" w:space="0" w:color="auto"/>
              <w:right w:val="nil"/>
            </w:tcBorders>
            <w:shd w:val="clear" w:color="000000" w:fill="FFFFFF"/>
            <w:noWrap/>
            <w:vAlign w:val="center"/>
            <w:hideMark/>
          </w:tcPr>
          <w:p w14:paraId="3F39123B" w14:textId="77777777" w:rsidR="00137EA0" w:rsidRPr="00EA4A1C" w:rsidRDefault="00137EA0" w:rsidP="00ED0F70">
            <w:pPr>
              <w:spacing w:after="0" w:line="240" w:lineRule="auto"/>
              <w:rPr>
                <w:rFonts w:ascii="Times New Roman" w:eastAsia="Times New Roman" w:hAnsi="Times New Roman" w:cs="Times New Roman"/>
                <w:color w:val="000000"/>
                <w:sz w:val="18"/>
                <w:szCs w:val="18"/>
              </w:rPr>
            </w:pPr>
          </w:p>
        </w:tc>
        <w:tc>
          <w:tcPr>
            <w:tcW w:w="839" w:type="pct"/>
            <w:tcBorders>
              <w:top w:val="single" w:sz="4" w:space="0" w:color="auto"/>
              <w:left w:val="nil"/>
              <w:bottom w:val="single" w:sz="4" w:space="0" w:color="auto"/>
              <w:right w:val="nil"/>
            </w:tcBorders>
            <w:shd w:val="clear" w:color="000000" w:fill="FFFFFF"/>
            <w:noWrap/>
            <w:vAlign w:val="center"/>
          </w:tcPr>
          <w:p w14:paraId="0B7D2745" w14:textId="77777777" w:rsidR="00137EA0" w:rsidRPr="00EA4A1C" w:rsidRDefault="00137EA0" w:rsidP="006F5146">
            <w:pPr>
              <w:spacing w:after="0" w:line="240" w:lineRule="auto"/>
              <w:jc w:val="center"/>
              <w:rPr>
                <w:rFonts w:ascii="Times New Roman" w:eastAsia="Times New Roman" w:hAnsi="Times New Roman" w:cs="Times New Roman"/>
                <w:bCs/>
                <w:color w:val="000000"/>
                <w:sz w:val="18"/>
                <w:szCs w:val="18"/>
              </w:rPr>
            </w:pPr>
            <w:r w:rsidRPr="00EA4A1C">
              <w:rPr>
                <w:rFonts w:ascii="Times New Roman" w:eastAsia="Times New Roman" w:hAnsi="Times New Roman" w:cs="Times New Roman"/>
                <w:bCs/>
                <w:color w:val="000000"/>
                <w:sz w:val="18"/>
                <w:szCs w:val="18"/>
              </w:rPr>
              <w:t>All VC</w:t>
            </w:r>
            <w:r w:rsidR="00331D0E">
              <w:rPr>
                <w:rFonts w:ascii="Times New Roman" w:eastAsia="Times New Roman" w:hAnsi="Times New Roman" w:cs="Times New Roman"/>
                <w:bCs/>
                <w:color w:val="000000"/>
                <w:sz w:val="18"/>
                <w:szCs w:val="18"/>
              </w:rPr>
              <w:t xml:space="preserve"> firm</w:t>
            </w:r>
            <w:r w:rsidRPr="00EA4A1C">
              <w:rPr>
                <w:rFonts w:ascii="Times New Roman" w:eastAsia="Times New Roman" w:hAnsi="Times New Roman" w:cs="Times New Roman"/>
                <w:bCs/>
                <w:color w:val="000000"/>
                <w:sz w:val="18"/>
                <w:szCs w:val="18"/>
              </w:rPr>
              <w:t>s</w:t>
            </w:r>
          </w:p>
        </w:tc>
        <w:tc>
          <w:tcPr>
            <w:tcW w:w="860" w:type="pct"/>
            <w:tcBorders>
              <w:top w:val="single" w:sz="4" w:space="0" w:color="auto"/>
              <w:left w:val="nil"/>
              <w:bottom w:val="single" w:sz="4" w:space="0" w:color="auto"/>
              <w:right w:val="nil"/>
            </w:tcBorders>
            <w:shd w:val="clear" w:color="000000" w:fill="FFFFFF"/>
            <w:noWrap/>
            <w:vAlign w:val="center"/>
          </w:tcPr>
          <w:p w14:paraId="5B5840A1" w14:textId="77777777" w:rsidR="00137EA0" w:rsidRPr="00EA4A1C" w:rsidRDefault="00137EA0" w:rsidP="006F5146">
            <w:pPr>
              <w:spacing w:after="0" w:line="240" w:lineRule="auto"/>
              <w:jc w:val="center"/>
              <w:rPr>
                <w:rFonts w:ascii="Times New Roman" w:eastAsia="Times New Roman" w:hAnsi="Times New Roman" w:cs="Times New Roman"/>
                <w:bCs/>
                <w:color w:val="000000"/>
                <w:sz w:val="18"/>
                <w:szCs w:val="18"/>
              </w:rPr>
            </w:pPr>
            <w:r w:rsidRPr="00EA4A1C">
              <w:rPr>
                <w:rFonts w:ascii="Times New Roman" w:eastAsia="Times New Roman" w:hAnsi="Times New Roman" w:cs="Times New Roman"/>
                <w:bCs/>
                <w:color w:val="000000"/>
                <w:sz w:val="18"/>
                <w:szCs w:val="18"/>
              </w:rPr>
              <w:t>Domestic VC</w:t>
            </w:r>
            <w:r w:rsidR="00331D0E">
              <w:rPr>
                <w:rFonts w:ascii="Times New Roman" w:eastAsia="Times New Roman" w:hAnsi="Times New Roman" w:cs="Times New Roman"/>
                <w:bCs/>
                <w:color w:val="000000"/>
                <w:sz w:val="18"/>
                <w:szCs w:val="18"/>
              </w:rPr>
              <w:t xml:space="preserve"> firm</w:t>
            </w:r>
          </w:p>
        </w:tc>
        <w:tc>
          <w:tcPr>
            <w:tcW w:w="839" w:type="pct"/>
            <w:tcBorders>
              <w:top w:val="single" w:sz="4" w:space="0" w:color="auto"/>
              <w:left w:val="nil"/>
              <w:bottom w:val="single" w:sz="4" w:space="0" w:color="auto"/>
              <w:right w:val="nil"/>
            </w:tcBorders>
            <w:shd w:val="clear" w:color="000000" w:fill="FFFFFF"/>
            <w:noWrap/>
            <w:vAlign w:val="center"/>
          </w:tcPr>
          <w:p w14:paraId="63B45407" w14:textId="77777777" w:rsidR="00137EA0" w:rsidRPr="00EA4A1C" w:rsidRDefault="00137EA0" w:rsidP="006F5146">
            <w:pPr>
              <w:spacing w:after="0" w:line="240" w:lineRule="auto"/>
              <w:jc w:val="center"/>
              <w:rPr>
                <w:rFonts w:ascii="Times New Roman" w:eastAsia="Times New Roman" w:hAnsi="Times New Roman" w:cs="Times New Roman"/>
                <w:bCs/>
                <w:color w:val="000000"/>
                <w:sz w:val="18"/>
                <w:szCs w:val="18"/>
              </w:rPr>
            </w:pPr>
            <w:r w:rsidRPr="00EA4A1C">
              <w:rPr>
                <w:rFonts w:ascii="Times New Roman" w:eastAsia="Times New Roman" w:hAnsi="Times New Roman" w:cs="Times New Roman"/>
                <w:bCs/>
                <w:color w:val="000000"/>
                <w:sz w:val="18"/>
                <w:szCs w:val="18"/>
              </w:rPr>
              <w:t>Cross-border VC</w:t>
            </w:r>
            <w:r w:rsidR="00331D0E">
              <w:rPr>
                <w:rFonts w:ascii="Times New Roman" w:eastAsia="Times New Roman" w:hAnsi="Times New Roman" w:cs="Times New Roman"/>
                <w:bCs/>
                <w:color w:val="000000"/>
                <w:sz w:val="18"/>
                <w:szCs w:val="18"/>
              </w:rPr>
              <w:t xml:space="preserve"> firm</w:t>
            </w:r>
          </w:p>
        </w:tc>
        <w:tc>
          <w:tcPr>
            <w:tcW w:w="838" w:type="pct"/>
            <w:tcBorders>
              <w:top w:val="single" w:sz="4" w:space="0" w:color="auto"/>
              <w:left w:val="nil"/>
              <w:bottom w:val="single" w:sz="4" w:space="0" w:color="auto"/>
              <w:right w:val="nil"/>
            </w:tcBorders>
            <w:shd w:val="clear" w:color="000000" w:fill="FFFFFF"/>
            <w:noWrap/>
            <w:vAlign w:val="center"/>
          </w:tcPr>
          <w:p w14:paraId="18086DD5" w14:textId="77777777" w:rsidR="00137EA0" w:rsidRPr="00EA4A1C" w:rsidRDefault="00137EA0" w:rsidP="006F5146">
            <w:pPr>
              <w:spacing w:after="0" w:line="240" w:lineRule="auto"/>
              <w:jc w:val="center"/>
              <w:rPr>
                <w:rFonts w:ascii="Times New Roman" w:eastAsia="Times New Roman" w:hAnsi="Times New Roman" w:cs="Times New Roman"/>
                <w:bCs/>
                <w:color w:val="000000"/>
                <w:sz w:val="18"/>
                <w:szCs w:val="18"/>
              </w:rPr>
            </w:pPr>
            <w:r w:rsidRPr="00EA4A1C">
              <w:rPr>
                <w:rFonts w:ascii="Times New Roman" w:eastAsia="Times New Roman" w:hAnsi="Times New Roman" w:cs="Times New Roman"/>
                <w:bCs/>
                <w:color w:val="000000"/>
                <w:sz w:val="18"/>
                <w:szCs w:val="18"/>
              </w:rPr>
              <w:t>Branch VC</w:t>
            </w:r>
            <w:r w:rsidR="00331D0E">
              <w:rPr>
                <w:rFonts w:ascii="Times New Roman" w:eastAsia="Times New Roman" w:hAnsi="Times New Roman" w:cs="Times New Roman"/>
                <w:bCs/>
                <w:color w:val="000000"/>
                <w:sz w:val="18"/>
                <w:szCs w:val="18"/>
              </w:rPr>
              <w:t xml:space="preserve"> firm</w:t>
            </w:r>
          </w:p>
        </w:tc>
      </w:tr>
      <w:tr w:rsidR="00CE3EE7" w:rsidRPr="00B82D24" w14:paraId="4B46465E" w14:textId="77777777" w:rsidTr="0084321F">
        <w:trPr>
          <w:trHeight w:val="300"/>
        </w:trPr>
        <w:tc>
          <w:tcPr>
            <w:tcW w:w="1624" w:type="pct"/>
            <w:tcBorders>
              <w:top w:val="nil"/>
              <w:left w:val="nil"/>
              <w:bottom w:val="nil"/>
              <w:right w:val="nil"/>
            </w:tcBorders>
            <w:shd w:val="clear" w:color="000000" w:fill="FFFFFF"/>
            <w:noWrap/>
            <w:vAlign w:val="center"/>
            <w:hideMark/>
          </w:tcPr>
          <w:p w14:paraId="04BF74CB" w14:textId="77777777" w:rsidR="00137EA0" w:rsidRPr="00EA4A1C" w:rsidRDefault="00137EA0" w:rsidP="00E7087C">
            <w:pPr>
              <w:spacing w:after="0" w:line="240" w:lineRule="auto"/>
              <w:rPr>
                <w:rFonts w:ascii="Times New Roman" w:eastAsia="Times New Roman" w:hAnsi="Times New Roman" w:cs="Times New Roman"/>
                <w:color w:val="000000"/>
                <w:sz w:val="18"/>
                <w:szCs w:val="18"/>
              </w:rPr>
            </w:pPr>
            <w:r w:rsidRPr="00EA4A1C">
              <w:rPr>
                <w:rFonts w:ascii="Times New Roman" w:eastAsia="Times New Roman" w:hAnsi="Times New Roman" w:cs="Times New Roman"/>
                <w:color w:val="000000"/>
                <w:sz w:val="18"/>
                <w:szCs w:val="18"/>
              </w:rPr>
              <w:t>Full sample</w:t>
            </w:r>
          </w:p>
        </w:tc>
        <w:tc>
          <w:tcPr>
            <w:tcW w:w="839" w:type="pct"/>
            <w:tcBorders>
              <w:top w:val="nil"/>
              <w:left w:val="nil"/>
              <w:bottom w:val="nil"/>
              <w:right w:val="nil"/>
            </w:tcBorders>
            <w:shd w:val="clear" w:color="000000" w:fill="FFFFFF"/>
            <w:noWrap/>
            <w:vAlign w:val="center"/>
            <w:hideMark/>
          </w:tcPr>
          <w:p w14:paraId="3FF048D7" w14:textId="77777777" w:rsidR="00137EA0" w:rsidRPr="00EA4A1C" w:rsidRDefault="00137EA0" w:rsidP="00E7087C">
            <w:pPr>
              <w:spacing w:after="0" w:line="240" w:lineRule="auto"/>
              <w:jc w:val="center"/>
              <w:rPr>
                <w:rFonts w:ascii="Times New Roman" w:eastAsia="Times New Roman" w:hAnsi="Times New Roman" w:cs="Times New Roman"/>
                <w:color w:val="000000"/>
                <w:sz w:val="18"/>
                <w:szCs w:val="18"/>
              </w:rPr>
            </w:pPr>
            <w:r w:rsidRPr="00EA4A1C">
              <w:rPr>
                <w:rFonts w:ascii="Times New Roman" w:eastAsia="Times New Roman" w:hAnsi="Times New Roman" w:cs="Times New Roman"/>
                <w:color w:val="000000"/>
                <w:sz w:val="18"/>
                <w:szCs w:val="18"/>
              </w:rPr>
              <w:t>1.62</w:t>
            </w:r>
          </w:p>
        </w:tc>
        <w:tc>
          <w:tcPr>
            <w:tcW w:w="860" w:type="pct"/>
            <w:tcBorders>
              <w:top w:val="nil"/>
              <w:left w:val="nil"/>
              <w:bottom w:val="nil"/>
              <w:right w:val="nil"/>
            </w:tcBorders>
            <w:shd w:val="clear" w:color="000000" w:fill="FFFFFF"/>
            <w:noWrap/>
            <w:vAlign w:val="center"/>
            <w:hideMark/>
          </w:tcPr>
          <w:p w14:paraId="002749AF" w14:textId="77777777" w:rsidR="00137EA0" w:rsidRPr="00EA4A1C" w:rsidRDefault="00137EA0" w:rsidP="00E7087C">
            <w:pPr>
              <w:spacing w:after="0" w:line="240" w:lineRule="auto"/>
              <w:jc w:val="center"/>
              <w:rPr>
                <w:rFonts w:ascii="Times New Roman" w:eastAsia="Times New Roman" w:hAnsi="Times New Roman" w:cs="Times New Roman"/>
                <w:color w:val="000000"/>
                <w:sz w:val="18"/>
                <w:szCs w:val="18"/>
              </w:rPr>
            </w:pPr>
            <w:r w:rsidRPr="00EA4A1C">
              <w:rPr>
                <w:rFonts w:ascii="Times New Roman" w:eastAsia="Times New Roman" w:hAnsi="Times New Roman" w:cs="Times New Roman"/>
                <w:color w:val="000000"/>
                <w:sz w:val="18"/>
                <w:szCs w:val="18"/>
              </w:rPr>
              <w:t>1.68</w:t>
            </w:r>
          </w:p>
        </w:tc>
        <w:tc>
          <w:tcPr>
            <w:tcW w:w="839" w:type="pct"/>
            <w:tcBorders>
              <w:top w:val="nil"/>
              <w:left w:val="nil"/>
              <w:bottom w:val="nil"/>
              <w:right w:val="nil"/>
            </w:tcBorders>
            <w:shd w:val="clear" w:color="000000" w:fill="FFFFFF"/>
            <w:noWrap/>
            <w:vAlign w:val="center"/>
            <w:hideMark/>
          </w:tcPr>
          <w:p w14:paraId="7E426F6D" w14:textId="77777777" w:rsidR="00137EA0" w:rsidRPr="00EA4A1C" w:rsidRDefault="00137EA0" w:rsidP="00E7087C">
            <w:pPr>
              <w:spacing w:after="0" w:line="240" w:lineRule="auto"/>
              <w:jc w:val="center"/>
              <w:rPr>
                <w:rFonts w:ascii="Times New Roman" w:eastAsia="Times New Roman" w:hAnsi="Times New Roman" w:cs="Times New Roman"/>
                <w:color w:val="000000"/>
                <w:sz w:val="18"/>
                <w:szCs w:val="18"/>
              </w:rPr>
            </w:pPr>
            <w:r w:rsidRPr="00EA4A1C">
              <w:rPr>
                <w:rFonts w:ascii="Times New Roman" w:eastAsia="Times New Roman" w:hAnsi="Times New Roman" w:cs="Times New Roman"/>
                <w:color w:val="000000"/>
                <w:sz w:val="18"/>
                <w:szCs w:val="18"/>
              </w:rPr>
              <w:t>1.57</w:t>
            </w:r>
          </w:p>
        </w:tc>
        <w:tc>
          <w:tcPr>
            <w:tcW w:w="838" w:type="pct"/>
            <w:tcBorders>
              <w:top w:val="nil"/>
              <w:left w:val="nil"/>
              <w:bottom w:val="nil"/>
              <w:right w:val="nil"/>
            </w:tcBorders>
            <w:shd w:val="clear" w:color="000000" w:fill="FFFFFF"/>
            <w:noWrap/>
            <w:vAlign w:val="center"/>
            <w:hideMark/>
          </w:tcPr>
          <w:p w14:paraId="55B992EC" w14:textId="77777777" w:rsidR="00137EA0" w:rsidRPr="00EA4A1C" w:rsidRDefault="00137EA0" w:rsidP="00E7087C">
            <w:pPr>
              <w:spacing w:after="0" w:line="240" w:lineRule="auto"/>
              <w:jc w:val="center"/>
              <w:rPr>
                <w:rFonts w:ascii="Times New Roman" w:eastAsia="Times New Roman" w:hAnsi="Times New Roman" w:cs="Times New Roman"/>
                <w:color w:val="000000"/>
                <w:sz w:val="18"/>
                <w:szCs w:val="18"/>
              </w:rPr>
            </w:pPr>
            <w:r w:rsidRPr="00EA4A1C">
              <w:rPr>
                <w:rFonts w:ascii="Times New Roman" w:eastAsia="Times New Roman" w:hAnsi="Times New Roman" w:cs="Times New Roman"/>
                <w:color w:val="000000"/>
                <w:sz w:val="18"/>
                <w:szCs w:val="18"/>
              </w:rPr>
              <w:t>1.96</w:t>
            </w:r>
          </w:p>
        </w:tc>
      </w:tr>
      <w:tr w:rsidR="00CE3EE7" w:rsidRPr="00B82D24" w14:paraId="1588C95C" w14:textId="77777777" w:rsidTr="0084321F">
        <w:trPr>
          <w:trHeight w:val="300"/>
        </w:trPr>
        <w:tc>
          <w:tcPr>
            <w:tcW w:w="1624" w:type="pct"/>
            <w:tcBorders>
              <w:top w:val="nil"/>
              <w:left w:val="nil"/>
              <w:bottom w:val="nil"/>
              <w:right w:val="nil"/>
            </w:tcBorders>
            <w:shd w:val="clear" w:color="000000" w:fill="FFFFFF"/>
            <w:noWrap/>
            <w:vAlign w:val="center"/>
            <w:hideMark/>
          </w:tcPr>
          <w:p w14:paraId="62066DCC" w14:textId="77777777" w:rsidR="00137EA0" w:rsidRPr="00EA4A1C" w:rsidRDefault="00137EA0" w:rsidP="00E7087C">
            <w:pPr>
              <w:spacing w:after="0" w:line="240" w:lineRule="auto"/>
              <w:rPr>
                <w:rFonts w:ascii="Times New Roman" w:eastAsia="Times New Roman" w:hAnsi="Times New Roman" w:cs="Times New Roman"/>
                <w:color w:val="000000"/>
                <w:sz w:val="18"/>
                <w:szCs w:val="18"/>
              </w:rPr>
            </w:pPr>
            <w:r w:rsidRPr="00EA4A1C">
              <w:rPr>
                <w:rFonts w:ascii="Times New Roman" w:eastAsia="Times New Roman" w:hAnsi="Times New Roman" w:cs="Times New Roman"/>
                <w:color w:val="000000"/>
                <w:sz w:val="18"/>
                <w:szCs w:val="18"/>
              </w:rPr>
              <w:t>Successful</w:t>
            </w:r>
            <w:r w:rsidR="0064254D">
              <w:rPr>
                <w:rFonts w:ascii="Times New Roman" w:eastAsia="Times New Roman" w:hAnsi="Times New Roman" w:cs="Times New Roman"/>
                <w:color w:val="000000"/>
                <w:sz w:val="18"/>
                <w:szCs w:val="18"/>
              </w:rPr>
              <w:t xml:space="preserve"> exit</w:t>
            </w:r>
          </w:p>
        </w:tc>
        <w:tc>
          <w:tcPr>
            <w:tcW w:w="839" w:type="pct"/>
            <w:tcBorders>
              <w:top w:val="nil"/>
              <w:left w:val="nil"/>
              <w:bottom w:val="nil"/>
              <w:right w:val="nil"/>
            </w:tcBorders>
            <w:shd w:val="clear" w:color="000000" w:fill="FFFFFF"/>
            <w:noWrap/>
            <w:vAlign w:val="center"/>
            <w:hideMark/>
          </w:tcPr>
          <w:p w14:paraId="2BAF094C" w14:textId="77777777" w:rsidR="00137EA0" w:rsidRPr="00EA4A1C" w:rsidRDefault="00137EA0" w:rsidP="00E7087C">
            <w:pPr>
              <w:spacing w:after="0" w:line="240" w:lineRule="auto"/>
              <w:jc w:val="center"/>
              <w:rPr>
                <w:rFonts w:ascii="Times New Roman" w:eastAsia="Times New Roman" w:hAnsi="Times New Roman" w:cs="Times New Roman"/>
                <w:color w:val="000000"/>
                <w:sz w:val="18"/>
                <w:szCs w:val="18"/>
              </w:rPr>
            </w:pPr>
            <w:r w:rsidRPr="00EA4A1C">
              <w:rPr>
                <w:rFonts w:ascii="Times New Roman" w:eastAsia="Times New Roman" w:hAnsi="Times New Roman" w:cs="Times New Roman"/>
                <w:color w:val="000000"/>
                <w:sz w:val="18"/>
                <w:szCs w:val="18"/>
              </w:rPr>
              <w:t>1.78</w:t>
            </w:r>
          </w:p>
        </w:tc>
        <w:tc>
          <w:tcPr>
            <w:tcW w:w="860" w:type="pct"/>
            <w:tcBorders>
              <w:top w:val="nil"/>
              <w:left w:val="nil"/>
              <w:bottom w:val="nil"/>
              <w:right w:val="nil"/>
            </w:tcBorders>
            <w:shd w:val="clear" w:color="000000" w:fill="FFFFFF"/>
            <w:noWrap/>
            <w:vAlign w:val="center"/>
            <w:hideMark/>
          </w:tcPr>
          <w:p w14:paraId="75046872" w14:textId="77777777" w:rsidR="00137EA0" w:rsidRPr="00EA4A1C" w:rsidRDefault="00137EA0" w:rsidP="00E7087C">
            <w:pPr>
              <w:spacing w:after="0" w:line="240" w:lineRule="auto"/>
              <w:jc w:val="center"/>
              <w:rPr>
                <w:rFonts w:ascii="Times New Roman" w:eastAsia="Times New Roman" w:hAnsi="Times New Roman" w:cs="Times New Roman"/>
                <w:color w:val="000000"/>
                <w:sz w:val="18"/>
                <w:szCs w:val="18"/>
              </w:rPr>
            </w:pPr>
            <w:r w:rsidRPr="00EA4A1C">
              <w:rPr>
                <w:rFonts w:ascii="Times New Roman" w:eastAsia="Times New Roman" w:hAnsi="Times New Roman" w:cs="Times New Roman"/>
                <w:color w:val="000000"/>
                <w:sz w:val="18"/>
                <w:szCs w:val="18"/>
              </w:rPr>
              <w:t>1.78</w:t>
            </w:r>
          </w:p>
        </w:tc>
        <w:tc>
          <w:tcPr>
            <w:tcW w:w="839" w:type="pct"/>
            <w:tcBorders>
              <w:top w:val="nil"/>
              <w:left w:val="nil"/>
              <w:bottom w:val="nil"/>
              <w:right w:val="nil"/>
            </w:tcBorders>
            <w:shd w:val="clear" w:color="000000" w:fill="FFFFFF"/>
            <w:noWrap/>
            <w:vAlign w:val="center"/>
            <w:hideMark/>
          </w:tcPr>
          <w:p w14:paraId="4527D453" w14:textId="77777777" w:rsidR="00137EA0" w:rsidRPr="00EA4A1C" w:rsidRDefault="00137EA0" w:rsidP="00E7087C">
            <w:pPr>
              <w:spacing w:after="0" w:line="240" w:lineRule="auto"/>
              <w:jc w:val="center"/>
              <w:rPr>
                <w:rFonts w:ascii="Times New Roman" w:eastAsia="Times New Roman" w:hAnsi="Times New Roman" w:cs="Times New Roman"/>
                <w:color w:val="000000"/>
                <w:sz w:val="18"/>
                <w:szCs w:val="18"/>
              </w:rPr>
            </w:pPr>
            <w:r w:rsidRPr="00EA4A1C">
              <w:rPr>
                <w:rFonts w:ascii="Times New Roman" w:eastAsia="Times New Roman" w:hAnsi="Times New Roman" w:cs="Times New Roman"/>
                <w:color w:val="000000"/>
                <w:sz w:val="18"/>
                <w:szCs w:val="18"/>
              </w:rPr>
              <w:t>1.78</w:t>
            </w:r>
          </w:p>
        </w:tc>
        <w:tc>
          <w:tcPr>
            <w:tcW w:w="838" w:type="pct"/>
            <w:tcBorders>
              <w:top w:val="nil"/>
              <w:left w:val="nil"/>
              <w:bottom w:val="nil"/>
              <w:right w:val="nil"/>
            </w:tcBorders>
            <w:shd w:val="clear" w:color="000000" w:fill="FFFFFF"/>
            <w:noWrap/>
            <w:vAlign w:val="center"/>
            <w:hideMark/>
          </w:tcPr>
          <w:p w14:paraId="2409582F" w14:textId="77777777" w:rsidR="00137EA0" w:rsidRPr="00EA4A1C" w:rsidRDefault="00137EA0" w:rsidP="00E7087C">
            <w:pPr>
              <w:spacing w:after="0" w:line="240" w:lineRule="auto"/>
              <w:jc w:val="center"/>
              <w:rPr>
                <w:rFonts w:ascii="Times New Roman" w:eastAsia="Times New Roman" w:hAnsi="Times New Roman" w:cs="Times New Roman"/>
                <w:color w:val="000000"/>
                <w:sz w:val="18"/>
                <w:szCs w:val="18"/>
              </w:rPr>
            </w:pPr>
            <w:r w:rsidRPr="00EA4A1C">
              <w:rPr>
                <w:rFonts w:ascii="Times New Roman" w:eastAsia="Times New Roman" w:hAnsi="Times New Roman" w:cs="Times New Roman"/>
                <w:color w:val="000000"/>
                <w:sz w:val="18"/>
                <w:szCs w:val="18"/>
              </w:rPr>
              <w:t>2.38</w:t>
            </w:r>
          </w:p>
        </w:tc>
      </w:tr>
      <w:tr w:rsidR="00CE3EE7" w:rsidRPr="00B82D24" w14:paraId="3B18D2C9" w14:textId="77777777" w:rsidTr="0084321F">
        <w:trPr>
          <w:trHeight w:val="300"/>
        </w:trPr>
        <w:tc>
          <w:tcPr>
            <w:tcW w:w="1624" w:type="pct"/>
            <w:tcBorders>
              <w:top w:val="nil"/>
              <w:left w:val="nil"/>
              <w:bottom w:val="single" w:sz="4" w:space="0" w:color="auto"/>
              <w:right w:val="nil"/>
            </w:tcBorders>
            <w:shd w:val="clear" w:color="000000" w:fill="FFFFFF"/>
            <w:noWrap/>
            <w:vAlign w:val="center"/>
            <w:hideMark/>
          </w:tcPr>
          <w:p w14:paraId="3BA1906F" w14:textId="77777777" w:rsidR="00137EA0" w:rsidRPr="00EA4A1C" w:rsidRDefault="0086728D" w:rsidP="00E7087C">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Termination</w:t>
            </w:r>
          </w:p>
        </w:tc>
        <w:tc>
          <w:tcPr>
            <w:tcW w:w="839" w:type="pct"/>
            <w:tcBorders>
              <w:top w:val="nil"/>
              <w:left w:val="nil"/>
              <w:bottom w:val="single" w:sz="4" w:space="0" w:color="auto"/>
              <w:right w:val="nil"/>
            </w:tcBorders>
            <w:shd w:val="clear" w:color="000000" w:fill="FFFFFF"/>
            <w:noWrap/>
            <w:vAlign w:val="center"/>
            <w:hideMark/>
          </w:tcPr>
          <w:p w14:paraId="402ECD23" w14:textId="77777777" w:rsidR="00137EA0" w:rsidRPr="00EA4A1C" w:rsidRDefault="00137EA0" w:rsidP="00E7087C">
            <w:pPr>
              <w:spacing w:after="0" w:line="240" w:lineRule="auto"/>
              <w:jc w:val="center"/>
              <w:rPr>
                <w:rFonts w:ascii="Times New Roman" w:eastAsia="Times New Roman" w:hAnsi="Times New Roman" w:cs="Times New Roman"/>
                <w:color w:val="000000"/>
                <w:sz w:val="18"/>
                <w:szCs w:val="18"/>
              </w:rPr>
            </w:pPr>
            <w:r w:rsidRPr="00EA4A1C">
              <w:rPr>
                <w:rFonts w:ascii="Times New Roman" w:eastAsia="Times New Roman" w:hAnsi="Times New Roman" w:cs="Times New Roman"/>
                <w:color w:val="000000"/>
                <w:sz w:val="18"/>
                <w:szCs w:val="18"/>
              </w:rPr>
              <w:t>1.43</w:t>
            </w:r>
          </w:p>
        </w:tc>
        <w:tc>
          <w:tcPr>
            <w:tcW w:w="860" w:type="pct"/>
            <w:tcBorders>
              <w:top w:val="nil"/>
              <w:left w:val="nil"/>
              <w:bottom w:val="single" w:sz="4" w:space="0" w:color="auto"/>
              <w:right w:val="nil"/>
            </w:tcBorders>
            <w:shd w:val="clear" w:color="000000" w:fill="FFFFFF"/>
            <w:noWrap/>
            <w:vAlign w:val="center"/>
            <w:hideMark/>
          </w:tcPr>
          <w:p w14:paraId="5E80973F" w14:textId="77777777" w:rsidR="00137EA0" w:rsidRPr="00EA4A1C" w:rsidRDefault="00137EA0" w:rsidP="00E7087C">
            <w:pPr>
              <w:spacing w:after="0" w:line="240" w:lineRule="auto"/>
              <w:jc w:val="center"/>
              <w:rPr>
                <w:rFonts w:ascii="Times New Roman" w:eastAsia="Times New Roman" w:hAnsi="Times New Roman" w:cs="Times New Roman"/>
                <w:color w:val="000000"/>
                <w:sz w:val="18"/>
                <w:szCs w:val="18"/>
              </w:rPr>
            </w:pPr>
            <w:r w:rsidRPr="00EA4A1C">
              <w:rPr>
                <w:rFonts w:ascii="Times New Roman" w:eastAsia="Times New Roman" w:hAnsi="Times New Roman" w:cs="Times New Roman"/>
                <w:color w:val="000000"/>
                <w:sz w:val="18"/>
                <w:szCs w:val="18"/>
              </w:rPr>
              <w:t>1.51</w:t>
            </w:r>
          </w:p>
        </w:tc>
        <w:tc>
          <w:tcPr>
            <w:tcW w:w="839" w:type="pct"/>
            <w:tcBorders>
              <w:top w:val="nil"/>
              <w:left w:val="nil"/>
              <w:bottom w:val="single" w:sz="4" w:space="0" w:color="auto"/>
              <w:right w:val="nil"/>
            </w:tcBorders>
            <w:shd w:val="clear" w:color="000000" w:fill="FFFFFF"/>
            <w:noWrap/>
            <w:vAlign w:val="center"/>
            <w:hideMark/>
          </w:tcPr>
          <w:p w14:paraId="06373C6F" w14:textId="77777777" w:rsidR="00137EA0" w:rsidRPr="00EA4A1C" w:rsidRDefault="00137EA0" w:rsidP="00E7087C">
            <w:pPr>
              <w:spacing w:after="0" w:line="240" w:lineRule="auto"/>
              <w:jc w:val="center"/>
              <w:rPr>
                <w:rFonts w:ascii="Times New Roman" w:eastAsia="Times New Roman" w:hAnsi="Times New Roman" w:cs="Times New Roman"/>
                <w:color w:val="000000"/>
                <w:sz w:val="18"/>
                <w:szCs w:val="18"/>
              </w:rPr>
            </w:pPr>
            <w:r w:rsidRPr="00EA4A1C">
              <w:rPr>
                <w:rFonts w:ascii="Times New Roman" w:eastAsia="Times New Roman" w:hAnsi="Times New Roman" w:cs="Times New Roman"/>
                <w:color w:val="000000"/>
                <w:sz w:val="18"/>
                <w:szCs w:val="18"/>
              </w:rPr>
              <w:t>1.35</w:t>
            </w:r>
          </w:p>
        </w:tc>
        <w:tc>
          <w:tcPr>
            <w:tcW w:w="838" w:type="pct"/>
            <w:tcBorders>
              <w:top w:val="nil"/>
              <w:left w:val="nil"/>
              <w:bottom w:val="single" w:sz="4" w:space="0" w:color="auto"/>
              <w:right w:val="nil"/>
            </w:tcBorders>
            <w:shd w:val="clear" w:color="000000" w:fill="FFFFFF"/>
            <w:noWrap/>
            <w:vAlign w:val="center"/>
            <w:hideMark/>
          </w:tcPr>
          <w:p w14:paraId="10161B0F" w14:textId="77777777" w:rsidR="00137EA0" w:rsidRPr="00EA4A1C" w:rsidRDefault="00137EA0" w:rsidP="00E7087C">
            <w:pPr>
              <w:spacing w:after="0" w:line="240" w:lineRule="auto"/>
              <w:jc w:val="center"/>
              <w:rPr>
                <w:rFonts w:ascii="Times New Roman" w:eastAsia="Times New Roman" w:hAnsi="Times New Roman" w:cs="Times New Roman"/>
                <w:color w:val="000000"/>
                <w:sz w:val="18"/>
                <w:szCs w:val="18"/>
              </w:rPr>
            </w:pPr>
            <w:r w:rsidRPr="00EA4A1C">
              <w:rPr>
                <w:rFonts w:ascii="Times New Roman" w:eastAsia="Times New Roman" w:hAnsi="Times New Roman" w:cs="Times New Roman"/>
                <w:color w:val="000000"/>
                <w:sz w:val="18"/>
                <w:szCs w:val="18"/>
              </w:rPr>
              <w:t>1.70</w:t>
            </w:r>
          </w:p>
        </w:tc>
      </w:tr>
    </w:tbl>
    <w:p w14:paraId="425B35AC" w14:textId="77777777" w:rsidR="00ED0F70" w:rsidRDefault="00ED0F70" w:rsidP="00C44B53">
      <w:pPr>
        <w:spacing w:after="0" w:line="480" w:lineRule="auto"/>
        <w:contextualSpacing/>
        <w:mirrorIndents/>
        <w:jc w:val="center"/>
        <w:rPr>
          <w:rFonts w:ascii="Times New Roman" w:hAnsi="Times New Roman" w:cs="Times New Roman"/>
          <w:b/>
          <w:caps/>
        </w:rPr>
      </w:pPr>
    </w:p>
    <w:p w14:paraId="4026DA5B" w14:textId="77777777" w:rsidR="008B1CDF" w:rsidRDefault="008B1CDF" w:rsidP="008B1CDF">
      <w:pPr>
        <w:rPr>
          <w:rFonts w:ascii="Times New Roman" w:hAnsi="Times New Roman" w:cs="Times New Roman"/>
          <w:b/>
        </w:rPr>
      </w:pPr>
      <w:r>
        <w:rPr>
          <w:rFonts w:ascii="Times New Roman" w:hAnsi="Times New Roman" w:cs="Times New Roman"/>
          <w:b/>
        </w:rPr>
        <w:t xml:space="preserve">Table </w:t>
      </w:r>
      <w:r w:rsidR="00E41AFE">
        <w:rPr>
          <w:rFonts w:ascii="Times New Roman" w:hAnsi="Times New Roman" w:cs="Times New Roman"/>
          <w:b/>
        </w:rPr>
        <w:t>2: Venture capital</w:t>
      </w:r>
      <w:r>
        <w:rPr>
          <w:rFonts w:ascii="Times New Roman" w:hAnsi="Times New Roman" w:cs="Times New Roman"/>
          <w:b/>
        </w:rPr>
        <w:t xml:space="preserve"> </w:t>
      </w:r>
      <w:r w:rsidR="0062463E">
        <w:rPr>
          <w:rFonts w:ascii="Times New Roman" w:hAnsi="Times New Roman" w:cs="Times New Roman"/>
          <w:b/>
        </w:rPr>
        <w:t xml:space="preserve">firm </w:t>
      </w:r>
      <w:r>
        <w:rPr>
          <w:rFonts w:ascii="Times New Roman" w:hAnsi="Times New Roman" w:cs="Times New Roman"/>
          <w:b/>
        </w:rPr>
        <w:t>stage of entry</w:t>
      </w:r>
    </w:p>
    <w:tbl>
      <w:tblPr>
        <w:tblW w:w="5000" w:type="pct"/>
        <w:tblLook w:val="04A0" w:firstRow="1" w:lastRow="0" w:firstColumn="1" w:lastColumn="0" w:noHBand="0" w:noVBand="1"/>
      </w:tblPr>
      <w:tblGrid>
        <w:gridCol w:w="2327"/>
        <w:gridCol w:w="1653"/>
        <w:gridCol w:w="1011"/>
        <w:gridCol w:w="1649"/>
        <w:gridCol w:w="1008"/>
        <w:gridCol w:w="1649"/>
        <w:gridCol w:w="1008"/>
        <w:gridCol w:w="1649"/>
        <w:gridCol w:w="1006"/>
      </w:tblGrid>
      <w:tr w:rsidR="00CE3EE7" w:rsidRPr="0064254D" w14:paraId="7518294E" w14:textId="77777777" w:rsidTr="00C46F30">
        <w:trPr>
          <w:trHeight w:val="945"/>
        </w:trPr>
        <w:tc>
          <w:tcPr>
            <w:tcW w:w="898" w:type="pct"/>
            <w:tcBorders>
              <w:top w:val="single" w:sz="4" w:space="0" w:color="auto"/>
              <w:left w:val="nil"/>
              <w:bottom w:val="single" w:sz="4" w:space="0" w:color="auto"/>
              <w:right w:val="nil"/>
            </w:tcBorders>
            <w:shd w:val="clear" w:color="000000" w:fill="FFFFFF"/>
            <w:vAlign w:val="bottom"/>
            <w:hideMark/>
          </w:tcPr>
          <w:p w14:paraId="2D93AADA" w14:textId="77777777" w:rsidR="00A5657F" w:rsidRPr="0064254D" w:rsidRDefault="00A5657F" w:rsidP="00A5657F">
            <w:pPr>
              <w:spacing w:after="0" w:line="240" w:lineRule="auto"/>
              <w:rPr>
                <w:rFonts w:ascii="Times New Roman" w:eastAsia="Times New Roman" w:hAnsi="Times New Roman" w:cs="Times New Roman"/>
                <w:color w:val="000000"/>
                <w:sz w:val="18"/>
                <w:szCs w:val="18"/>
              </w:rPr>
            </w:pPr>
            <w:r w:rsidRPr="0064254D">
              <w:rPr>
                <w:rFonts w:ascii="Times New Roman" w:eastAsia="Times New Roman" w:hAnsi="Times New Roman" w:cs="Times New Roman"/>
                <w:color w:val="000000"/>
                <w:sz w:val="18"/>
                <w:szCs w:val="18"/>
              </w:rPr>
              <w:t>Investor Entry Stage</w:t>
            </w:r>
          </w:p>
        </w:tc>
        <w:tc>
          <w:tcPr>
            <w:tcW w:w="638" w:type="pct"/>
            <w:tcBorders>
              <w:top w:val="single" w:sz="4" w:space="0" w:color="auto"/>
              <w:left w:val="nil"/>
              <w:bottom w:val="single" w:sz="4" w:space="0" w:color="auto"/>
              <w:right w:val="nil"/>
            </w:tcBorders>
            <w:shd w:val="clear" w:color="000000" w:fill="FFFFFF"/>
            <w:vAlign w:val="center"/>
            <w:hideMark/>
          </w:tcPr>
          <w:p w14:paraId="150E4637" w14:textId="77777777" w:rsidR="00A5657F" w:rsidRPr="0064254D" w:rsidRDefault="00A5657F" w:rsidP="00A5657F">
            <w:pPr>
              <w:spacing w:after="0" w:line="240" w:lineRule="auto"/>
              <w:jc w:val="center"/>
              <w:rPr>
                <w:rFonts w:ascii="Times New Roman" w:eastAsia="Times New Roman" w:hAnsi="Times New Roman" w:cs="Times New Roman"/>
                <w:color w:val="000000"/>
                <w:sz w:val="18"/>
                <w:szCs w:val="18"/>
              </w:rPr>
            </w:pPr>
            <w:r w:rsidRPr="0064254D">
              <w:rPr>
                <w:rFonts w:ascii="Times New Roman" w:eastAsia="Times New Roman" w:hAnsi="Times New Roman" w:cs="Times New Roman"/>
                <w:color w:val="000000"/>
                <w:sz w:val="18"/>
                <w:szCs w:val="18"/>
              </w:rPr>
              <w:t>Full sample</w:t>
            </w:r>
          </w:p>
        </w:tc>
        <w:tc>
          <w:tcPr>
            <w:tcW w:w="390" w:type="pct"/>
            <w:tcBorders>
              <w:top w:val="single" w:sz="4" w:space="0" w:color="auto"/>
              <w:left w:val="nil"/>
              <w:bottom w:val="single" w:sz="4" w:space="0" w:color="auto"/>
              <w:right w:val="nil"/>
            </w:tcBorders>
            <w:shd w:val="clear" w:color="000000" w:fill="FFFFFF"/>
            <w:vAlign w:val="center"/>
            <w:hideMark/>
          </w:tcPr>
          <w:p w14:paraId="5FA8575D" w14:textId="77777777" w:rsidR="00A5657F" w:rsidRPr="0064254D" w:rsidRDefault="00A5657F" w:rsidP="00A5657F">
            <w:pPr>
              <w:spacing w:after="0" w:line="240" w:lineRule="auto"/>
              <w:jc w:val="center"/>
              <w:rPr>
                <w:rFonts w:ascii="Times New Roman" w:eastAsia="Times New Roman" w:hAnsi="Times New Roman" w:cs="Times New Roman"/>
                <w:color w:val="000000"/>
                <w:sz w:val="18"/>
                <w:szCs w:val="18"/>
              </w:rPr>
            </w:pPr>
            <w:r w:rsidRPr="0064254D">
              <w:rPr>
                <w:rFonts w:ascii="Times New Roman" w:eastAsia="Times New Roman" w:hAnsi="Times New Roman" w:cs="Times New Roman"/>
                <w:color w:val="000000"/>
                <w:sz w:val="18"/>
                <w:szCs w:val="18"/>
              </w:rPr>
              <w:t>%</w:t>
            </w:r>
          </w:p>
        </w:tc>
        <w:tc>
          <w:tcPr>
            <w:tcW w:w="636" w:type="pct"/>
            <w:tcBorders>
              <w:top w:val="single" w:sz="4" w:space="0" w:color="auto"/>
              <w:left w:val="nil"/>
              <w:bottom w:val="single" w:sz="4" w:space="0" w:color="auto"/>
              <w:right w:val="nil"/>
            </w:tcBorders>
            <w:shd w:val="clear" w:color="000000" w:fill="FFFFFF"/>
            <w:vAlign w:val="center"/>
            <w:hideMark/>
          </w:tcPr>
          <w:p w14:paraId="582C6B24" w14:textId="77777777" w:rsidR="00A5657F" w:rsidRPr="0064254D" w:rsidRDefault="00A5657F" w:rsidP="00A5657F">
            <w:pPr>
              <w:spacing w:after="0" w:line="240" w:lineRule="auto"/>
              <w:jc w:val="center"/>
              <w:rPr>
                <w:rFonts w:ascii="Times New Roman" w:eastAsia="Times New Roman" w:hAnsi="Times New Roman" w:cs="Times New Roman"/>
                <w:color w:val="000000"/>
                <w:sz w:val="18"/>
                <w:szCs w:val="18"/>
              </w:rPr>
            </w:pPr>
            <w:r w:rsidRPr="0064254D">
              <w:rPr>
                <w:rFonts w:ascii="Times New Roman" w:eastAsia="Times New Roman" w:hAnsi="Times New Roman" w:cs="Times New Roman"/>
                <w:color w:val="000000"/>
                <w:sz w:val="18"/>
                <w:szCs w:val="18"/>
              </w:rPr>
              <w:t>Domestic VC firm</w:t>
            </w:r>
          </w:p>
        </w:tc>
        <w:tc>
          <w:tcPr>
            <w:tcW w:w="389" w:type="pct"/>
            <w:tcBorders>
              <w:top w:val="single" w:sz="4" w:space="0" w:color="auto"/>
              <w:left w:val="nil"/>
              <w:bottom w:val="single" w:sz="4" w:space="0" w:color="auto"/>
              <w:right w:val="nil"/>
            </w:tcBorders>
            <w:shd w:val="clear" w:color="000000" w:fill="FFFFFF"/>
            <w:vAlign w:val="center"/>
            <w:hideMark/>
          </w:tcPr>
          <w:p w14:paraId="3B17348C" w14:textId="77777777" w:rsidR="00A5657F" w:rsidRPr="0064254D" w:rsidRDefault="00A5657F" w:rsidP="00A5657F">
            <w:pPr>
              <w:spacing w:after="0" w:line="240" w:lineRule="auto"/>
              <w:jc w:val="center"/>
              <w:rPr>
                <w:rFonts w:ascii="Times New Roman" w:eastAsia="Times New Roman" w:hAnsi="Times New Roman" w:cs="Times New Roman"/>
                <w:color w:val="000000"/>
                <w:sz w:val="18"/>
                <w:szCs w:val="18"/>
              </w:rPr>
            </w:pPr>
            <w:r w:rsidRPr="0064254D">
              <w:rPr>
                <w:rFonts w:ascii="Times New Roman" w:eastAsia="Times New Roman" w:hAnsi="Times New Roman" w:cs="Times New Roman"/>
                <w:color w:val="000000"/>
                <w:sz w:val="18"/>
                <w:szCs w:val="18"/>
              </w:rPr>
              <w:t>%</w:t>
            </w:r>
          </w:p>
        </w:tc>
        <w:tc>
          <w:tcPr>
            <w:tcW w:w="636" w:type="pct"/>
            <w:tcBorders>
              <w:top w:val="single" w:sz="4" w:space="0" w:color="auto"/>
              <w:left w:val="nil"/>
              <w:bottom w:val="single" w:sz="4" w:space="0" w:color="auto"/>
              <w:right w:val="nil"/>
            </w:tcBorders>
            <w:shd w:val="clear" w:color="000000" w:fill="FFFFFF"/>
            <w:vAlign w:val="center"/>
            <w:hideMark/>
          </w:tcPr>
          <w:p w14:paraId="0447AAFE" w14:textId="77777777" w:rsidR="00A5657F" w:rsidRPr="0064254D" w:rsidRDefault="00A5657F" w:rsidP="00A5657F">
            <w:pPr>
              <w:spacing w:after="0" w:line="240" w:lineRule="auto"/>
              <w:jc w:val="center"/>
              <w:rPr>
                <w:rFonts w:ascii="Times New Roman" w:eastAsia="Times New Roman" w:hAnsi="Times New Roman" w:cs="Times New Roman"/>
                <w:color w:val="000000"/>
                <w:sz w:val="18"/>
                <w:szCs w:val="18"/>
              </w:rPr>
            </w:pPr>
            <w:r w:rsidRPr="0064254D">
              <w:rPr>
                <w:rFonts w:ascii="Times New Roman" w:eastAsia="Times New Roman" w:hAnsi="Times New Roman" w:cs="Times New Roman"/>
                <w:color w:val="000000"/>
                <w:sz w:val="18"/>
                <w:szCs w:val="18"/>
              </w:rPr>
              <w:t>Cross-border VC firm</w:t>
            </w:r>
          </w:p>
        </w:tc>
        <w:tc>
          <w:tcPr>
            <w:tcW w:w="389" w:type="pct"/>
            <w:tcBorders>
              <w:top w:val="single" w:sz="4" w:space="0" w:color="auto"/>
              <w:left w:val="nil"/>
              <w:bottom w:val="single" w:sz="4" w:space="0" w:color="auto"/>
              <w:right w:val="nil"/>
            </w:tcBorders>
            <w:shd w:val="clear" w:color="000000" w:fill="FFFFFF"/>
            <w:vAlign w:val="center"/>
            <w:hideMark/>
          </w:tcPr>
          <w:p w14:paraId="4C77745E" w14:textId="77777777" w:rsidR="00A5657F" w:rsidRPr="0064254D" w:rsidRDefault="00A5657F" w:rsidP="00A5657F">
            <w:pPr>
              <w:spacing w:after="0" w:line="240" w:lineRule="auto"/>
              <w:jc w:val="center"/>
              <w:rPr>
                <w:rFonts w:ascii="Times New Roman" w:eastAsia="Times New Roman" w:hAnsi="Times New Roman" w:cs="Times New Roman"/>
                <w:color w:val="000000"/>
                <w:sz w:val="18"/>
                <w:szCs w:val="18"/>
              </w:rPr>
            </w:pPr>
            <w:r w:rsidRPr="0064254D">
              <w:rPr>
                <w:rFonts w:ascii="Times New Roman" w:eastAsia="Times New Roman" w:hAnsi="Times New Roman" w:cs="Times New Roman"/>
                <w:color w:val="000000"/>
                <w:sz w:val="18"/>
                <w:szCs w:val="18"/>
              </w:rPr>
              <w:t>%</w:t>
            </w:r>
          </w:p>
        </w:tc>
        <w:tc>
          <w:tcPr>
            <w:tcW w:w="636" w:type="pct"/>
            <w:tcBorders>
              <w:top w:val="single" w:sz="4" w:space="0" w:color="auto"/>
              <w:left w:val="nil"/>
              <w:bottom w:val="single" w:sz="4" w:space="0" w:color="auto"/>
              <w:right w:val="nil"/>
            </w:tcBorders>
            <w:shd w:val="clear" w:color="000000" w:fill="FFFFFF"/>
            <w:vAlign w:val="center"/>
            <w:hideMark/>
          </w:tcPr>
          <w:p w14:paraId="1DB8066E" w14:textId="77777777" w:rsidR="00A5657F" w:rsidRPr="0064254D" w:rsidRDefault="00A5657F" w:rsidP="00A5657F">
            <w:pPr>
              <w:spacing w:after="0" w:line="240" w:lineRule="auto"/>
              <w:jc w:val="center"/>
              <w:rPr>
                <w:rFonts w:ascii="Times New Roman" w:eastAsia="Times New Roman" w:hAnsi="Times New Roman" w:cs="Times New Roman"/>
                <w:color w:val="000000"/>
                <w:sz w:val="18"/>
                <w:szCs w:val="18"/>
              </w:rPr>
            </w:pPr>
            <w:r w:rsidRPr="0064254D">
              <w:rPr>
                <w:rFonts w:ascii="Times New Roman" w:eastAsia="Times New Roman" w:hAnsi="Times New Roman" w:cs="Times New Roman"/>
                <w:color w:val="000000"/>
                <w:sz w:val="18"/>
                <w:szCs w:val="18"/>
              </w:rPr>
              <w:t>Branch VC firm</w:t>
            </w:r>
          </w:p>
        </w:tc>
        <w:tc>
          <w:tcPr>
            <w:tcW w:w="389" w:type="pct"/>
            <w:tcBorders>
              <w:top w:val="single" w:sz="4" w:space="0" w:color="auto"/>
              <w:left w:val="nil"/>
              <w:bottom w:val="single" w:sz="4" w:space="0" w:color="auto"/>
              <w:right w:val="nil"/>
            </w:tcBorders>
            <w:shd w:val="clear" w:color="000000" w:fill="FFFFFF"/>
            <w:vAlign w:val="center"/>
            <w:hideMark/>
          </w:tcPr>
          <w:p w14:paraId="37DB59FE" w14:textId="77777777" w:rsidR="00A5657F" w:rsidRPr="0064254D" w:rsidRDefault="00A5657F" w:rsidP="00A5657F">
            <w:pPr>
              <w:spacing w:after="0" w:line="240" w:lineRule="auto"/>
              <w:jc w:val="center"/>
              <w:rPr>
                <w:rFonts w:ascii="Times New Roman" w:eastAsia="Times New Roman" w:hAnsi="Times New Roman" w:cs="Times New Roman"/>
                <w:color w:val="000000"/>
                <w:sz w:val="18"/>
                <w:szCs w:val="18"/>
              </w:rPr>
            </w:pPr>
            <w:r w:rsidRPr="0064254D">
              <w:rPr>
                <w:rFonts w:ascii="Times New Roman" w:eastAsia="Times New Roman" w:hAnsi="Times New Roman" w:cs="Times New Roman"/>
                <w:color w:val="000000"/>
                <w:sz w:val="18"/>
                <w:szCs w:val="18"/>
              </w:rPr>
              <w:t>%</w:t>
            </w:r>
          </w:p>
        </w:tc>
      </w:tr>
      <w:tr w:rsidR="00CE3EE7" w:rsidRPr="0064254D" w14:paraId="1ADDEE0E" w14:textId="77777777" w:rsidTr="00C46F30">
        <w:trPr>
          <w:trHeight w:val="255"/>
        </w:trPr>
        <w:tc>
          <w:tcPr>
            <w:tcW w:w="898" w:type="pct"/>
            <w:tcBorders>
              <w:top w:val="nil"/>
              <w:left w:val="nil"/>
              <w:bottom w:val="nil"/>
              <w:right w:val="nil"/>
            </w:tcBorders>
            <w:shd w:val="clear" w:color="000000" w:fill="FFFFFF"/>
            <w:noWrap/>
            <w:vAlign w:val="bottom"/>
          </w:tcPr>
          <w:p w14:paraId="3AF592D7" w14:textId="77777777" w:rsidR="00C46F30" w:rsidRPr="0064254D" w:rsidRDefault="00C46F30" w:rsidP="00A5657F">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Seed / Start-up</w:t>
            </w:r>
          </w:p>
        </w:tc>
        <w:tc>
          <w:tcPr>
            <w:tcW w:w="638" w:type="pct"/>
            <w:tcBorders>
              <w:top w:val="nil"/>
              <w:left w:val="nil"/>
              <w:bottom w:val="nil"/>
              <w:right w:val="nil"/>
            </w:tcBorders>
            <w:shd w:val="clear" w:color="000000" w:fill="FFFFFF"/>
            <w:noWrap/>
            <w:vAlign w:val="bottom"/>
          </w:tcPr>
          <w:p w14:paraId="7A0F2588" w14:textId="77777777" w:rsidR="00C46F30" w:rsidRPr="0064254D" w:rsidRDefault="00C46F30" w:rsidP="00A5657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1161</w:t>
            </w:r>
          </w:p>
        </w:tc>
        <w:tc>
          <w:tcPr>
            <w:tcW w:w="390" w:type="pct"/>
            <w:tcBorders>
              <w:top w:val="nil"/>
              <w:left w:val="nil"/>
              <w:bottom w:val="nil"/>
              <w:right w:val="nil"/>
            </w:tcBorders>
            <w:shd w:val="clear" w:color="000000" w:fill="FFFFFF"/>
            <w:noWrap/>
            <w:vAlign w:val="bottom"/>
          </w:tcPr>
          <w:p w14:paraId="321FD409" w14:textId="77777777" w:rsidR="00C46F30" w:rsidRPr="0064254D" w:rsidRDefault="00C46F30" w:rsidP="00A5657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58.52</w:t>
            </w:r>
          </w:p>
        </w:tc>
        <w:tc>
          <w:tcPr>
            <w:tcW w:w="636" w:type="pct"/>
            <w:tcBorders>
              <w:top w:val="nil"/>
              <w:left w:val="nil"/>
              <w:bottom w:val="nil"/>
              <w:right w:val="nil"/>
            </w:tcBorders>
            <w:shd w:val="clear" w:color="000000" w:fill="FFFFFF"/>
            <w:noWrap/>
            <w:vAlign w:val="bottom"/>
          </w:tcPr>
          <w:p w14:paraId="0A161A0A" w14:textId="77777777" w:rsidR="00C46F30" w:rsidRPr="0064254D" w:rsidRDefault="00C46F30" w:rsidP="00A5657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853</w:t>
            </w:r>
          </w:p>
        </w:tc>
        <w:tc>
          <w:tcPr>
            <w:tcW w:w="389" w:type="pct"/>
            <w:tcBorders>
              <w:top w:val="nil"/>
              <w:left w:val="nil"/>
              <w:bottom w:val="nil"/>
              <w:right w:val="nil"/>
            </w:tcBorders>
            <w:shd w:val="clear" w:color="000000" w:fill="FFFFFF"/>
            <w:noWrap/>
            <w:vAlign w:val="bottom"/>
          </w:tcPr>
          <w:p w14:paraId="0CF1B107" w14:textId="77777777" w:rsidR="00C46F30" w:rsidRPr="0064254D" w:rsidRDefault="00C46F30" w:rsidP="00A5657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60.49</w:t>
            </w:r>
          </w:p>
        </w:tc>
        <w:tc>
          <w:tcPr>
            <w:tcW w:w="636" w:type="pct"/>
            <w:tcBorders>
              <w:top w:val="nil"/>
              <w:left w:val="nil"/>
              <w:bottom w:val="nil"/>
              <w:right w:val="nil"/>
            </w:tcBorders>
            <w:shd w:val="clear" w:color="000000" w:fill="FFFFFF"/>
            <w:noWrap/>
            <w:vAlign w:val="bottom"/>
          </w:tcPr>
          <w:p w14:paraId="2F210048" w14:textId="77777777" w:rsidR="00C46F30" w:rsidRPr="0064254D" w:rsidRDefault="00C46F30" w:rsidP="00A5657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188</w:t>
            </w:r>
          </w:p>
        </w:tc>
        <w:tc>
          <w:tcPr>
            <w:tcW w:w="389" w:type="pct"/>
            <w:tcBorders>
              <w:top w:val="nil"/>
              <w:left w:val="nil"/>
              <w:bottom w:val="nil"/>
              <w:right w:val="nil"/>
            </w:tcBorders>
            <w:shd w:val="clear" w:color="000000" w:fill="FFFFFF"/>
            <w:noWrap/>
            <w:vAlign w:val="bottom"/>
          </w:tcPr>
          <w:p w14:paraId="2014A07A" w14:textId="77777777" w:rsidR="00C46F30" w:rsidRPr="0064254D" w:rsidRDefault="00C46F30" w:rsidP="00A5657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52.37</w:t>
            </w:r>
          </w:p>
        </w:tc>
        <w:tc>
          <w:tcPr>
            <w:tcW w:w="636" w:type="pct"/>
            <w:tcBorders>
              <w:top w:val="nil"/>
              <w:left w:val="nil"/>
              <w:bottom w:val="nil"/>
              <w:right w:val="nil"/>
            </w:tcBorders>
            <w:shd w:val="clear" w:color="000000" w:fill="FFFFFF"/>
            <w:noWrap/>
            <w:vAlign w:val="bottom"/>
          </w:tcPr>
          <w:p w14:paraId="525D2563" w14:textId="77777777" w:rsidR="00C46F30" w:rsidRPr="0064254D" w:rsidRDefault="00C46F30" w:rsidP="00A5657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51</w:t>
            </w:r>
          </w:p>
        </w:tc>
        <w:tc>
          <w:tcPr>
            <w:tcW w:w="389" w:type="pct"/>
            <w:tcBorders>
              <w:top w:val="nil"/>
              <w:left w:val="nil"/>
              <w:bottom w:val="nil"/>
              <w:right w:val="nil"/>
            </w:tcBorders>
            <w:shd w:val="clear" w:color="000000" w:fill="FFFFFF"/>
            <w:noWrap/>
            <w:vAlign w:val="bottom"/>
          </w:tcPr>
          <w:p w14:paraId="5A70223A" w14:textId="77777777" w:rsidR="00C46F30" w:rsidRPr="0064254D" w:rsidRDefault="00C46F30" w:rsidP="00A5657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39.54</w:t>
            </w:r>
          </w:p>
        </w:tc>
      </w:tr>
      <w:tr w:rsidR="00CE3EE7" w:rsidRPr="0064254D" w14:paraId="2D0C146E" w14:textId="77777777" w:rsidTr="00C46F30">
        <w:trPr>
          <w:trHeight w:val="255"/>
        </w:trPr>
        <w:tc>
          <w:tcPr>
            <w:tcW w:w="898" w:type="pct"/>
            <w:tcBorders>
              <w:top w:val="nil"/>
              <w:left w:val="nil"/>
              <w:bottom w:val="nil"/>
              <w:right w:val="nil"/>
            </w:tcBorders>
            <w:shd w:val="clear" w:color="000000" w:fill="FFFFFF"/>
            <w:noWrap/>
            <w:vAlign w:val="bottom"/>
            <w:hideMark/>
          </w:tcPr>
          <w:p w14:paraId="4F02408A" w14:textId="77777777" w:rsidR="00A5657F" w:rsidRPr="0064254D" w:rsidRDefault="00A5657F" w:rsidP="00A5657F">
            <w:pPr>
              <w:spacing w:after="0" w:line="240" w:lineRule="auto"/>
              <w:rPr>
                <w:rFonts w:ascii="Times New Roman" w:eastAsia="Times New Roman" w:hAnsi="Times New Roman" w:cs="Times New Roman"/>
                <w:color w:val="000000"/>
                <w:sz w:val="18"/>
                <w:szCs w:val="18"/>
              </w:rPr>
            </w:pPr>
            <w:r w:rsidRPr="0064254D">
              <w:rPr>
                <w:rFonts w:ascii="Times New Roman" w:eastAsia="Times New Roman" w:hAnsi="Times New Roman" w:cs="Times New Roman"/>
                <w:color w:val="000000"/>
                <w:sz w:val="18"/>
                <w:szCs w:val="18"/>
              </w:rPr>
              <w:t>Expansion</w:t>
            </w:r>
          </w:p>
        </w:tc>
        <w:tc>
          <w:tcPr>
            <w:tcW w:w="638" w:type="pct"/>
            <w:tcBorders>
              <w:top w:val="nil"/>
              <w:left w:val="nil"/>
              <w:bottom w:val="nil"/>
              <w:right w:val="nil"/>
            </w:tcBorders>
            <w:shd w:val="clear" w:color="000000" w:fill="FFFFFF"/>
            <w:noWrap/>
            <w:vAlign w:val="bottom"/>
            <w:hideMark/>
          </w:tcPr>
          <w:p w14:paraId="2472C37A" w14:textId="77777777" w:rsidR="00A5657F" w:rsidRPr="0064254D" w:rsidRDefault="00A5657F" w:rsidP="00A5657F">
            <w:pPr>
              <w:spacing w:after="0" w:line="240" w:lineRule="auto"/>
              <w:jc w:val="center"/>
              <w:rPr>
                <w:rFonts w:ascii="Times New Roman" w:eastAsia="Times New Roman" w:hAnsi="Times New Roman" w:cs="Times New Roman"/>
                <w:color w:val="000000"/>
                <w:sz w:val="18"/>
                <w:szCs w:val="18"/>
              </w:rPr>
            </w:pPr>
            <w:r w:rsidRPr="0064254D">
              <w:rPr>
                <w:rFonts w:ascii="Times New Roman" w:eastAsia="Times New Roman" w:hAnsi="Times New Roman" w:cs="Times New Roman"/>
                <w:color w:val="000000"/>
                <w:sz w:val="18"/>
                <w:szCs w:val="18"/>
              </w:rPr>
              <w:t>796</w:t>
            </w:r>
          </w:p>
        </w:tc>
        <w:tc>
          <w:tcPr>
            <w:tcW w:w="390" w:type="pct"/>
            <w:tcBorders>
              <w:top w:val="nil"/>
              <w:left w:val="nil"/>
              <w:bottom w:val="nil"/>
              <w:right w:val="nil"/>
            </w:tcBorders>
            <w:shd w:val="clear" w:color="000000" w:fill="FFFFFF"/>
            <w:noWrap/>
            <w:vAlign w:val="bottom"/>
            <w:hideMark/>
          </w:tcPr>
          <w:p w14:paraId="61C1F4E3" w14:textId="77777777" w:rsidR="00A5657F" w:rsidRPr="0064254D" w:rsidRDefault="00A5657F" w:rsidP="00A5657F">
            <w:pPr>
              <w:spacing w:after="0" w:line="240" w:lineRule="auto"/>
              <w:jc w:val="center"/>
              <w:rPr>
                <w:rFonts w:ascii="Times New Roman" w:eastAsia="Times New Roman" w:hAnsi="Times New Roman" w:cs="Times New Roman"/>
                <w:color w:val="000000"/>
                <w:sz w:val="18"/>
                <w:szCs w:val="18"/>
              </w:rPr>
            </w:pPr>
            <w:r w:rsidRPr="0064254D">
              <w:rPr>
                <w:rFonts w:ascii="Times New Roman" w:eastAsia="Times New Roman" w:hAnsi="Times New Roman" w:cs="Times New Roman"/>
                <w:color w:val="000000"/>
                <w:sz w:val="18"/>
                <w:szCs w:val="18"/>
              </w:rPr>
              <w:t>40.12</w:t>
            </w:r>
          </w:p>
        </w:tc>
        <w:tc>
          <w:tcPr>
            <w:tcW w:w="636" w:type="pct"/>
            <w:tcBorders>
              <w:top w:val="nil"/>
              <w:left w:val="nil"/>
              <w:bottom w:val="nil"/>
              <w:right w:val="nil"/>
            </w:tcBorders>
            <w:shd w:val="clear" w:color="000000" w:fill="FFFFFF"/>
            <w:noWrap/>
            <w:vAlign w:val="bottom"/>
            <w:hideMark/>
          </w:tcPr>
          <w:p w14:paraId="68DC92F0" w14:textId="77777777" w:rsidR="00A5657F" w:rsidRPr="0064254D" w:rsidRDefault="00A5657F" w:rsidP="00A5657F">
            <w:pPr>
              <w:spacing w:after="0" w:line="240" w:lineRule="auto"/>
              <w:jc w:val="center"/>
              <w:rPr>
                <w:rFonts w:ascii="Times New Roman" w:eastAsia="Times New Roman" w:hAnsi="Times New Roman" w:cs="Times New Roman"/>
                <w:color w:val="000000"/>
                <w:sz w:val="18"/>
                <w:szCs w:val="18"/>
              </w:rPr>
            </w:pPr>
            <w:r w:rsidRPr="0064254D">
              <w:rPr>
                <w:rFonts w:ascii="Times New Roman" w:eastAsia="Times New Roman" w:hAnsi="Times New Roman" w:cs="Times New Roman"/>
                <w:color w:val="000000"/>
                <w:sz w:val="18"/>
                <w:szCs w:val="18"/>
              </w:rPr>
              <w:t>538</w:t>
            </w:r>
          </w:p>
        </w:tc>
        <w:tc>
          <w:tcPr>
            <w:tcW w:w="389" w:type="pct"/>
            <w:tcBorders>
              <w:top w:val="nil"/>
              <w:left w:val="nil"/>
              <w:bottom w:val="nil"/>
              <w:right w:val="nil"/>
            </w:tcBorders>
            <w:shd w:val="clear" w:color="000000" w:fill="FFFFFF"/>
            <w:noWrap/>
            <w:vAlign w:val="bottom"/>
            <w:hideMark/>
          </w:tcPr>
          <w:p w14:paraId="70FDDF4B" w14:textId="77777777" w:rsidR="00A5657F" w:rsidRPr="0064254D" w:rsidRDefault="00A5657F" w:rsidP="00A5657F">
            <w:pPr>
              <w:spacing w:after="0" w:line="240" w:lineRule="auto"/>
              <w:jc w:val="center"/>
              <w:rPr>
                <w:rFonts w:ascii="Times New Roman" w:eastAsia="Times New Roman" w:hAnsi="Times New Roman" w:cs="Times New Roman"/>
                <w:color w:val="000000"/>
                <w:sz w:val="18"/>
                <w:szCs w:val="18"/>
              </w:rPr>
            </w:pPr>
            <w:r w:rsidRPr="0064254D">
              <w:rPr>
                <w:rFonts w:ascii="Times New Roman" w:eastAsia="Times New Roman" w:hAnsi="Times New Roman" w:cs="Times New Roman"/>
                <w:color w:val="000000"/>
                <w:sz w:val="18"/>
                <w:szCs w:val="18"/>
              </w:rPr>
              <w:t>38.16</w:t>
            </w:r>
          </w:p>
        </w:tc>
        <w:tc>
          <w:tcPr>
            <w:tcW w:w="636" w:type="pct"/>
            <w:tcBorders>
              <w:top w:val="nil"/>
              <w:left w:val="nil"/>
              <w:bottom w:val="nil"/>
              <w:right w:val="nil"/>
            </w:tcBorders>
            <w:shd w:val="clear" w:color="000000" w:fill="FFFFFF"/>
            <w:noWrap/>
            <w:vAlign w:val="bottom"/>
            <w:hideMark/>
          </w:tcPr>
          <w:p w14:paraId="566C45D8" w14:textId="77777777" w:rsidR="00A5657F" w:rsidRPr="0064254D" w:rsidRDefault="00A5657F" w:rsidP="00A5657F">
            <w:pPr>
              <w:spacing w:after="0" w:line="240" w:lineRule="auto"/>
              <w:jc w:val="center"/>
              <w:rPr>
                <w:rFonts w:ascii="Times New Roman" w:eastAsia="Times New Roman" w:hAnsi="Times New Roman" w:cs="Times New Roman"/>
                <w:color w:val="000000"/>
                <w:sz w:val="18"/>
                <w:szCs w:val="18"/>
              </w:rPr>
            </w:pPr>
            <w:r w:rsidRPr="0064254D">
              <w:rPr>
                <w:rFonts w:ascii="Times New Roman" w:eastAsia="Times New Roman" w:hAnsi="Times New Roman" w:cs="Times New Roman"/>
                <w:color w:val="000000"/>
                <w:sz w:val="18"/>
                <w:szCs w:val="18"/>
              </w:rPr>
              <w:t>168</w:t>
            </w:r>
          </w:p>
        </w:tc>
        <w:tc>
          <w:tcPr>
            <w:tcW w:w="389" w:type="pct"/>
            <w:tcBorders>
              <w:top w:val="nil"/>
              <w:left w:val="nil"/>
              <w:bottom w:val="nil"/>
              <w:right w:val="nil"/>
            </w:tcBorders>
            <w:shd w:val="clear" w:color="000000" w:fill="FFFFFF"/>
            <w:noWrap/>
            <w:vAlign w:val="bottom"/>
            <w:hideMark/>
          </w:tcPr>
          <w:p w14:paraId="12C04437" w14:textId="77777777" w:rsidR="00A5657F" w:rsidRPr="0064254D" w:rsidRDefault="00A5657F" w:rsidP="00A5657F">
            <w:pPr>
              <w:spacing w:after="0" w:line="240" w:lineRule="auto"/>
              <w:jc w:val="center"/>
              <w:rPr>
                <w:rFonts w:ascii="Times New Roman" w:eastAsia="Times New Roman" w:hAnsi="Times New Roman" w:cs="Times New Roman"/>
                <w:color w:val="000000"/>
                <w:sz w:val="18"/>
                <w:szCs w:val="18"/>
              </w:rPr>
            </w:pPr>
            <w:r w:rsidRPr="0064254D">
              <w:rPr>
                <w:rFonts w:ascii="Times New Roman" w:eastAsia="Times New Roman" w:hAnsi="Times New Roman" w:cs="Times New Roman"/>
                <w:color w:val="000000"/>
                <w:sz w:val="18"/>
                <w:szCs w:val="18"/>
              </w:rPr>
              <w:t>46.80</w:t>
            </w:r>
          </w:p>
        </w:tc>
        <w:tc>
          <w:tcPr>
            <w:tcW w:w="636" w:type="pct"/>
            <w:tcBorders>
              <w:top w:val="nil"/>
              <w:left w:val="nil"/>
              <w:bottom w:val="nil"/>
              <w:right w:val="nil"/>
            </w:tcBorders>
            <w:shd w:val="clear" w:color="000000" w:fill="FFFFFF"/>
            <w:noWrap/>
            <w:vAlign w:val="bottom"/>
            <w:hideMark/>
          </w:tcPr>
          <w:p w14:paraId="7505B62A" w14:textId="77777777" w:rsidR="00A5657F" w:rsidRPr="0064254D" w:rsidRDefault="00A5657F" w:rsidP="00A5657F">
            <w:pPr>
              <w:spacing w:after="0" w:line="240" w:lineRule="auto"/>
              <w:jc w:val="center"/>
              <w:rPr>
                <w:rFonts w:ascii="Times New Roman" w:eastAsia="Times New Roman" w:hAnsi="Times New Roman" w:cs="Times New Roman"/>
                <w:color w:val="000000"/>
                <w:sz w:val="18"/>
                <w:szCs w:val="18"/>
              </w:rPr>
            </w:pPr>
            <w:r w:rsidRPr="0064254D">
              <w:rPr>
                <w:rFonts w:ascii="Times New Roman" w:eastAsia="Times New Roman" w:hAnsi="Times New Roman" w:cs="Times New Roman"/>
                <w:color w:val="000000"/>
                <w:sz w:val="18"/>
                <w:szCs w:val="18"/>
              </w:rPr>
              <w:t>72</w:t>
            </w:r>
          </w:p>
        </w:tc>
        <w:tc>
          <w:tcPr>
            <w:tcW w:w="389" w:type="pct"/>
            <w:tcBorders>
              <w:top w:val="nil"/>
              <w:left w:val="nil"/>
              <w:bottom w:val="nil"/>
              <w:right w:val="nil"/>
            </w:tcBorders>
            <w:shd w:val="clear" w:color="000000" w:fill="FFFFFF"/>
            <w:noWrap/>
            <w:vAlign w:val="bottom"/>
            <w:hideMark/>
          </w:tcPr>
          <w:p w14:paraId="772A4E55" w14:textId="77777777" w:rsidR="00A5657F" w:rsidRPr="0064254D" w:rsidRDefault="00A5657F" w:rsidP="00A5657F">
            <w:pPr>
              <w:spacing w:after="0" w:line="240" w:lineRule="auto"/>
              <w:jc w:val="center"/>
              <w:rPr>
                <w:rFonts w:ascii="Times New Roman" w:eastAsia="Times New Roman" w:hAnsi="Times New Roman" w:cs="Times New Roman"/>
                <w:color w:val="000000"/>
                <w:sz w:val="18"/>
                <w:szCs w:val="18"/>
              </w:rPr>
            </w:pPr>
            <w:r w:rsidRPr="0064254D">
              <w:rPr>
                <w:rFonts w:ascii="Times New Roman" w:eastAsia="Times New Roman" w:hAnsi="Times New Roman" w:cs="Times New Roman"/>
                <w:color w:val="000000"/>
                <w:sz w:val="18"/>
                <w:szCs w:val="18"/>
              </w:rPr>
              <w:t>55.81</w:t>
            </w:r>
          </w:p>
        </w:tc>
      </w:tr>
      <w:tr w:rsidR="00CE3EE7" w:rsidRPr="0064254D" w14:paraId="77ED65CB" w14:textId="77777777" w:rsidTr="00C46F30">
        <w:trPr>
          <w:trHeight w:val="255"/>
        </w:trPr>
        <w:tc>
          <w:tcPr>
            <w:tcW w:w="898" w:type="pct"/>
            <w:tcBorders>
              <w:top w:val="nil"/>
              <w:left w:val="nil"/>
              <w:bottom w:val="nil"/>
              <w:right w:val="nil"/>
            </w:tcBorders>
            <w:shd w:val="clear" w:color="000000" w:fill="FFFFFF"/>
            <w:noWrap/>
            <w:vAlign w:val="bottom"/>
            <w:hideMark/>
          </w:tcPr>
          <w:p w14:paraId="43789C0C" w14:textId="77777777" w:rsidR="00A5657F" w:rsidRPr="0064254D" w:rsidRDefault="00A5657F" w:rsidP="00A5657F">
            <w:pPr>
              <w:spacing w:after="0" w:line="240" w:lineRule="auto"/>
              <w:rPr>
                <w:rFonts w:ascii="Times New Roman" w:eastAsia="Times New Roman" w:hAnsi="Times New Roman" w:cs="Times New Roman"/>
                <w:color w:val="000000"/>
                <w:sz w:val="18"/>
                <w:szCs w:val="18"/>
              </w:rPr>
            </w:pPr>
            <w:r w:rsidRPr="0064254D">
              <w:rPr>
                <w:rFonts w:ascii="Times New Roman" w:eastAsia="Times New Roman" w:hAnsi="Times New Roman" w:cs="Times New Roman"/>
                <w:color w:val="000000"/>
                <w:sz w:val="18"/>
                <w:szCs w:val="18"/>
              </w:rPr>
              <w:t>Later Stage</w:t>
            </w:r>
          </w:p>
        </w:tc>
        <w:tc>
          <w:tcPr>
            <w:tcW w:w="638" w:type="pct"/>
            <w:tcBorders>
              <w:top w:val="nil"/>
              <w:left w:val="nil"/>
              <w:bottom w:val="nil"/>
              <w:right w:val="nil"/>
            </w:tcBorders>
            <w:shd w:val="clear" w:color="000000" w:fill="FFFFFF"/>
            <w:noWrap/>
            <w:vAlign w:val="bottom"/>
            <w:hideMark/>
          </w:tcPr>
          <w:p w14:paraId="05075B45" w14:textId="77777777" w:rsidR="00A5657F" w:rsidRPr="0064254D" w:rsidRDefault="00A5657F" w:rsidP="00A5657F">
            <w:pPr>
              <w:spacing w:after="0" w:line="240" w:lineRule="auto"/>
              <w:jc w:val="center"/>
              <w:rPr>
                <w:rFonts w:ascii="Times New Roman" w:eastAsia="Times New Roman" w:hAnsi="Times New Roman" w:cs="Times New Roman"/>
                <w:color w:val="000000"/>
                <w:sz w:val="18"/>
                <w:szCs w:val="18"/>
              </w:rPr>
            </w:pPr>
            <w:r w:rsidRPr="0064254D">
              <w:rPr>
                <w:rFonts w:ascii="Times New Roman" w:eastAsia="Times New Roman" w:hAnsi="Times New Roman" w:cs="Times New Roman"/>
                <w:color w:val="000000"/>
                <w:sz w:val="18"/>
                <w:szCs w:val="18"/>
              </w:rPr>
              <w:t>27</w:t>
            </w:r>
          </w:p>
        </w:tc>
        <w:tc>
          <w:tcPr>
            <w:tcW w:w="390" w:type="pct"/>
            <w:tcBorders>
              <w:top w:val="nil"/>
              <w:left w:val="nil"/>
              <w:bottom w:val="nil"/>
              <w:right w:val="nil"/>
            </w:tcBorders>
            <w:shd w:val="clear" w:color="000000" w:fill="FFFFFF"/>
            <w:noWrap/>
            <w:vAlign w:val="bottom"/>
            <w:hideMark/>
          </w:tcPr>
          <w:p w14:paraId="0645108E" w14:textId="77777777" w:rsidR="00A5657F" w:rsidRPr="0064254D" w:rsidRDefault="00A5657F" w:rsidP="00A5657F">
            <w:pPr>
              <w:spacing w:after="0" w:line="240" w:lineRule="auto"/>
              <w:jc w:val="center"/>
              <w:rPr>
                <w:rFonts w:ascii="Times New Roman" w:eastAsia="Times New Roman" w:hAnsi="Times New Roman" w:cs="Times New Roman"/>
                <w:color w:val="000000"/>
                <w:sz w:val="18"/>
                <w:szCs w:val="18"/>
              </w:rPr>
            </w:pPr>
            <w:r w:rsidRPr="0064254D">
              <w:rPr>
                <w:rFonts w:ascii="Times New Roman" w:eastAsia="Times New Roman" w:hAnsi="Times New Roman" w:cs="Times New Roman"/>
                <w:color w:val="000000"/>
                <w:sz w:val="18"/>
                <w:szCs w:val="18"/>
              </w:rPr>
              <w:t>1.36</w:t>
            </w:r>
          </w:p>
        </w:tc>
        <w:tc>
          <w:tcPr>
            <w:tcW w:w="636" w:type="pct"/>
            <w:tcBorders>
              <w:top w:val="nil"/>
              <w:left w:val="nil"/>
              <w:bottom w:val="nil"/>
              <w:right w:val="nil"/>
            </w:tcBorders>
            <w:shd w:val="clear" w:color="000000" w:fill="FFFFFF"/>
            <w:noWrap/>
            <w:vAlign w:val="bottom"/>
            <w:hideMark/>
          </w:tcPr>
          <w:p w14:paraId="2298CAB0" w14:textId="77777777" w:rsidR="00A5657F" w:rsidRPr="0064254D" w:rsidRDefault="00A5657F" w:rsidP="00A5657F">
            <w:pPr>
              <w:spacing w:after="0" w:line="240" w:lineRule="auto"/>
              <w:jc w:val="center"/>
              <w:rPr>
                <w:rFonts w:ascii="Times New Roman" w:eastAsia="Times New Roman" w:hAnsi="Times New Roman" w:cs="Times New Roman"/>
                <w:color w:val="000000"/>
                <w:sz w:val="18"/>
                <w:szCs w:val="18"/>
              </w:rPr>
            </w:pPr>
            <w:r w:rsidRPr="0064254D">
              <w:rPr>
                <w:rFonts w:ascii="Times New Roman" w:eastAsia="Times New Roman" w:hAnsi="Times New Roman" w:cs="Times New Roman"/>
                <w:color w:val="000000"/>
                <w:sz w:val="18"/>
                <w:szCs w:val="18"/>
              </w:rPr>
              <w:t>19</w:t>
            </w:r>
          </w:p>
        </w:tc>
        <w:tc>
          <w:tcPr>
            <w:tcW w:w="389" w:type="pct"/>
            <w:tcBorders>
              <w:top w:val="nil"/>
              <w:left w:val="nil"/>
              <w:bottom w:val="nil"/>
              <w:right w:val="nil"/>
            </w:tcBorders>
            <w:shd w:val="clear" w:color="000000" w:fill="FFFFFF"/>
            <w:noWrap/>
            <w:vAlign w:val="bottom"/>
            <w:hideMark/>
          </w:tcPr>
          <w:p w14:paraId="5AA49721" w14:textId="77777777" w:rsidR="00A5657F" w:rsidRPr="0064254D" w:rsidRDefault="00A5657F" w:rsidP="00A5657F">
            <w:pPr>
              <w:spacing w:after="0" w:line="240" w:lineRule="auto"/>
              <w:jc w:val="center"/>
              <w:rPr>
                <w:rFonts w:ascii="Times New Roman" w:eastAsia="Times New Roman" w:hAnsi="Times New Roman" w:cs="Times New Roman"/>
                <w:color w:val="000000"/>
                <w:sz w:val="18"/>
                <w:szCs w:val="18"/>
              </w:rPr>
            </w:pPr>
            <w:r w:rsidRPr="0064254D">
              <w:rPr>
                <w:rFonts w:ascii="Times New Roman" w:eastAsia="Times New Roman" w:hAnsi="Times New Roman" w:cs="Times New Roman"/>
                <w:color w:val="000000"/>
                <w:sz w:val="18"/>
                <w:szCs w:val="18"/>
              </w:rPr>
              <w:t>1.35</w:t>
            </w:r>
          </w:p>
        </w:tc>
        <w:tc>
          <w:tcPr>
            <w:tcW w:w="636" w:type="pct"/>
            <w:tcBorders>
              <w:top w:val="nil"/>
              <w:left w:val="nil"/>
              <w:bottom w:val="nil"/>
              <w:right w:val="nil"/>
            </w:tcBorders>
            <w:shd w:val="clear" w:color="000000" w:fill="FFFFFF"/>
            <w:noWrap/>
            <w:vAlign w:val="bottom"/>
            <w:hideMark/>
          </w:tcPr>
          <w:p w14:paraId="7746BAFB" w14:textId="77777777" w:rsidR="00A5657F" w:rsidRPr="0064254D" w:rsidRDefault="00A5657F" w:rsidP="00A5657F">
            <w:pPr>
              <w:spacing w:after="0" w:line="240" w:lineRule="auto"/>
              <w:jc w:val="center"/>
              <w:rPr>
                <w:rFonts w:ascii="Times New Roman" w:eastAsia="Times New Roman" w:hAnsi="Times New Roman" w:cs="Times New Roman"/>
                <w:color w:val="000000"/>
                <w:sz w:val="18"/>
                <w:szCs w:val="18"/>
              </w:rPr>
            </w:pPr>
            <w:r w:rsidRPr="0064254D">
              <w:rPr>
                <w:rFonts w:ascii="Times New Roman" w:eastAsia="Times New Roman" w:hAnsi="Times New Roman" w:cs="Times New Roman"/>
                <w:color w:val="000000"/>
                <w:sz w:val="18"/>
                <w:szCs w:val="18"/>
              </w:rPr>
              <w:t>3</w:t>
            </w:r>
          </w:p>
        </w:tc>
        <w:tc>
          <w:tcPr>
            <w:tcW w:w="389" w:type="pct"/>
            <w:tcBorders>
              <w:top w:val="nil"/>
              <w:left w:val="nil"/>
              <w:bottom w:val="nil"/>
              <w:right w:val="nil"/>
            </w:tcBorders>
            <w:shd w:val="clear" w:color="000000" w:fill="FFFFFF"/>
            <w:noWrap/>
            <w:vAlign w:val="bottom"/>
            <w:hideMark/>
          </w:tcPr>
          <w:p w14:paraId="6F8021E5" w14:textId="77777777" w:rsidR="00A5657F" w:rsidRPr="0064254D" w:rsidRDefault="00A5657F" w:rsidP="00A5657F">
            <w:pPr>
              <w:spacing w:after="0" w:line="240" w:lineRule="auto"/>
              <w:jc w:val="center"/>
              <w:rPr>
                <w:rFonts w:ascii="Times New Roman" w:eastAsia="Times New Roman" w:hAnsi="Times New Roman" w:cs="Times New Roman"/>
                <w:color w:val="000000"/>
                <w:sz w:val="18"/>
                <w:szCs w:val="18"/>
              </w:rPr>
            </w:pPr>
            <w:r w:rsidRPr="0064254D">
              <w:rPr>
                <w:rFonts w:ascii="Times New Roman" w:eastAsia="Times New Roman" w:hAnsi="Times New Roman" w:cs="Times New Roman"/>
                <w:color w:val="000000"/>
                <w:sz w:val="18"/>
                <w:szCs w:val="18"/>
              </w:rPr>
              <w:t>0.84</w:t>
            </w:r>
          </w:p>
        </w:tc>
        <w:tc>
          <w:tcPr>
            <w:tcW w:w="636" w:type="pct"/>
            <w:tcBorders>
              <w:top w:val="nil"/>
              <w:left w:val="nil"/>
              <w:bottom w:val="nil"/>
              <w:right w:val="nil"/>
            </w:tcBorders>
            <w:shd w:val="clear" w:color="000000" w:fill="FFFFFF"/>
            <w:noWrap/>
            <w:vAlign w:val="bottom"/>
            <w:hideMark/>
          </w:tcPr>
          <w:p w14:paraId="21A151FE" w14:textId="77777777" w:rsidR="00A5657F" w:rsidRPr="0064254D" w:rsidRDefault="00A5657F" w:rsidP="00A5657F">
            <w:pPr>
              <w:spacing w:after="0" w:line="240" w:lineRule="auto"/>
              <w:jc w:val="center"/>
              <w:rPr>
                <w:rFonts w:ascii="Times New Roman" w:eastAsia="Times New Roman" w:hAnsi="Times New Roman" w:cs="Times New Roman"/>
                <w:color w:val="000000"/>
                <w:sz w:val="18"/>
                <w:szCs w:val="18"/>
              </w:rPr>
            </w:pPr>
            <w:r w:rsidRPr="0064254D">
              <w:rPr>
                <w:rFonts w:ascii="Times New Roman" w:eastAsia="Times New Roman" w:hAnsi="Times New Roman" w:cs="Times New Roman"/>
                <w:color w:val="000000"/>
                <w:sz w:val="18"/>
                <w:szCs w:val="18"/>
              </w:rPr>
              <w:t>4</w:t>
            </w:r>
          </w:p>
        </w:tc>
        <w:tc>
          <w:tcPr>
            <w:tcW w:w="389" w:type="pct"/>
            <w:tcBorders>
              <w:top w:val="nil"/>
              <w:left w:val="nil"/>
              <w:bottom w:val="nil"/>
              <w:right w:val="nil"/>
            </w:tcBorders>
            <w:shd w:val="clear" w:color="000000" w:fill="FFFFFF"/>
            <w:noWrap/>
            <w:vAlign w:val="bottom"/>
            <w:hideMark/>
          </w:tcPr>
          <w:p w14:paraId="44D3443B" w14:textId="77777777" w:rsidR="00A5657F" w:rsidRPr="0064254D" w:rsidRDefault="00A5657F" w:rsidP="00A5657F">
            <w:pPr>
              <w:spacing w:after="0" w:line="240" w:lineRule="auto"/>
              <w:jc w:val="center"/>
              <w:rPr>
                <w:rFonts w:ascii="Times New Roman" w:eastAsia="Times New Roman" w:hAnsi="Times New Roman" w:cs="Times New Roman"/>
                <w:color w:val="000000"/>
                <w:sz w:val="18"/>
                <w:szCs w:val="18"/>
              </w:rPr>
            </w:pPr>
            <w:r w:rsidRPr="0064254D">
              <w:rPr>
                <w:rFonts w:ascii="Times New Roman" w:eastAsia="Times New Roman" w:hAnsi="Times New Roman" w:cs="Times New Roman"/>
                <w:color w:val="000000"/>
                <w:sz w:val="18"/>
                <w:szCs w:val="18"/>
              </w:rPr>
              <w:t>3.10</w:t>
            </w:r>
          </w:p>
        </w:tc>
      </w:tr>
      <w:tr w:rsidR="00CE3EE7" w:rsidRPr="0064254D" w14:paraId="02DDDE4D" w14:textId="77777777" w:rsidTr="00C46F30">
        <w:trPr>
          <w:trHeight w:val="255"/>
        </w:trPr>
        <w:tc>
          <w:tcPr>
            <w:tcW w:w="898" w:type="pct"/>
            <w:tcBorders>
              <w:top w:val="nil"/>
              <w:left w:val="nil"/>
              <w:bottom w:val="nil"/>
              <w:right w:val="nil"/>
            </w:tcBorders>
            <w:shd w:val="clear" w:color="000000" w:fill="FFFFFF"/>
            <w:noWrap/>
            <w:vAlign w:val="bottom"/>
            <w:hideMark/>
          </w:tcPr>
          <w:p w14:paraId="69671F32" w14:textId="77777777" w:rsidR="00A5657F" w:rsidRPr="0064254D" w:rsidRDefault="00A5657F" w:rsidP="00A5657F">
            <w:pPr>
              <w:spacing w:after="0" w:line="240" w:lineRule="auto"/>
              <w:rPr>
                <w:rFonts w:ascii="Times New Roman" w:eastAsia="Times New Roman" w:hAnsi="Times New Roman" w:cs="Times New Roman"/>
                <w:color w:val="000000"/>
                <w:sz w:val="18"/>
                <w:szCs w:val="18"/>
              </w:rPr>
            </w:pPr>
            <w:r w:rsidRPr="0064254D">
              <w:rPr>
                <w:rFonts w:ascii="Times New Roman" w:eastAsia="Times New Roman" w:hAnsi="Times New Roman" w:cs="Times New Roman"/>
                <w:color w:val="000000"/>
                <w:sz w:val="18"/>
                <w:szCs w:val="18"/>
              </w:rPr>
              <w:t>Total</w:t>
            </w:r>
          </w:p>
        </w:tc>
        <w:tc>
          <w:tcPr>
            <w:tcW w:w="638" w:type="pct"/>
            <w:tcBorders>
              <w:top w:val="nil"/>
              <w:left w:val="nil"/>
              <w:bottom w:val="nil"/>
              <w:right w:val="nil"/>
            </w:tcBorders>
            <w:shd w:val="clear" w:color="000000" w:fill="FFFFFF"/>
            <w:noWrap/>
            <w:vAlign w:val="bottom"/>
            <w:hideMark/>
          </w:tcPr>
          <w:p w14:paraId="3424A425" w14:textId="77777777" w:rsidR="00A5657F" w:rsidRPr="0064254D" w:rsidRDefault="00A5657F" w:rsidP="00A5657F">
            <w:pPr>
              <w:spacing w:after="0" w:line="240" w:lineRule="auto"/>
              <w:jc w:val="center"/>
              <w:rPr>
                <w:rFonts w:ascii="Times New Roman" w:eastAsia="Times New Roman" w:hAnsi="Times New Roman" w:cs="Times New Roman"/>
                <w:color w:val="000000"/>
                <w:sz w:val="18"/>
                <w:szCs w:val="18"/>
              </w:rPr>
            </w:pPr>
            <w:r w:rsidRPr="0064254D">
              <w:rPr>
                <w:rFonts w:ascii="Times New Roman" w:eastAsia="Times New Roman" w:hAnsi="Times New Roman" w:cs="Times New Roman"/>
                <w:color w:val="000000"/>
                <w:sz w:val="18"/>
                <w:szCs w:val="18"/>
              </w:rPr>
              <w:t>1984</w:t>
            </w:r>
          </w:p>
        </w:tc>
        <w:tc>
          <w:tcPr>
            <w:tcW w:w="390" w:type="pct"/>
            <w:tcBorders>
              <w:top w:val="nil"/>
              <w:left w:val="nil"/>
              <w:bottom w:val="nil"/>
              <w:right w:val="nil"/>
            </w:tcBorders>
            <w:shd w:val="clear" w:color="000000" w:fill="FFFFFF"/>
            <w:noWrap/>
            <w:vAlign w:val="bottom"/>
            <w:hideMark/>
          </w:tcPr>
          <w:p w14:paraId="7CB9F741" w14:textId="77777777" w:rsidR="00A5657F" w:rsidRPr="0064254D" w:rsidRDefault="00A5657F" w:rsidP="00A5657F">
            <w:pPr>
              <w:spacing w:after="0" w:line="240" w:lineRule="auto"/>
              <w:jc w:val="center"/>
              <w:rPr>
                <w:rFonts w:ascii="Times New Roman" w:eastAsia="Times New Roman" w:hAnsi="Times New Roman" w:cs="Times New Roman"/>
                <w:color w:val="000000"/>
                <w:sz w:val="18"/>
                <w:szCs w:val="18"/>
              </w:rPr>
            </w:pPr>
            <w:r w:rsidRPr="0064254D">
              <w:rPr>
                <w:rFonts w:ascii="Times New Roman" w:eastAsia="Times New Roman" w:hAnsi="Times New Roman" w:cs="Times New Roman"/>
                <w:color w:val="000000"/>
                <w:sz w:val="18"/>
                <w:szCs w:val="18"/>
              </w:rPr>
              <w:t>100.00</w:t>
            </w:r>
          </w:p>
        </w:tc>
        <w:tc>
          <w:tcPr>
            <w:tcW w:w="636" w:type="pct"/>
            <w:tcBorders>
              <w:top w:val="nil"/>
              <w:left w:val="nil"/>
              <w:bottom w:val="nil"/>
              <w:right w:val="nil"/>
            </w:tcBorders>
            <w:shd w:val="clear" w:color="000000" w:fill="FFFFFF"/>
            <w:noWrap/>
            <w:vAlign w:val="bottom"/>
            <w:hideMark/>
          </w:tcPr>
          <w:p w14:paraId="054F7453" w14:textId="77777777" w:rsidR="00A5657F" w:rsidRPr="0064254D" w:rsidRDefault="00A5657F" w:rsidP="00A5657F">
            <w:pPr>
              <w:spacing w:after="0" w:line="240" w:lineRule="auto"/>
              <w:jc w:val="center"/>
              <w:rPr>
                <w:rFonts w:ascii="Times New Roman" w:eastAsia="Times New Roman" w:hAnsi="Times New Roman" w:cs="Times New Roman"/>
                <w:color w:val="000000"/>
                <w:sz w:val="18"/>
                <w:szCs w:val="18"/>
              </w:rPr>
            </w:pPr>
            <w:r w:rsidRPr="0064254D">
              <w:rPr>
                <w:rFonts w:ascii="Times New Roman" w:eastAsia="Times New Roman" w:hAnsi="Times New Roman" w:cs="Times New Roman"/>
                <w:color w:val="000000"/>
                <w:sz w:val="18"/>
                <w:szCs w:val="18"/>
              </w:rPr>
              <w:t>1410</w:t>
            </w:r>
          </w:p>
        </w:tc>
        <w:tc>
          <w:tcPr>
            <w:tcW w:w="389" w:type="pct"/>
            <w:tcBorders>
              <w:top w:val="nil"/>
              <w:left w:val="nil"/>
              <w:bottom w:val="nil"/>
              <w:right w:val="nil"/>
            </w:tcBorders>
            <w:shd w:val="clear" w:color="000000" w:fill="FFFFFF"/>
            <w:noWrap/>
            <w:vAlign w:val="bottom"/>
            <w:hideMark/>
          </w:tcPr>
          <w:p w14:paraId="542E436E" w14:textId="77777777" w:rsidR="00A5657F" w:rsidRPr="0064254D" w:rsidRDefault="00A5657F" w:rsidP="00A5657F">
            <w:pPr>
              <w:spacing w:after="0" w:line="240" w:lineRule="auto"/>
              <w:jc w:val="center"/>
              <w:rPr>
                <w:rFonts w:ascii="Times New Roman" w:eastAsia="Times New Roman" w:hAnsi="Times New Roman" w:cs="Times New Roman"/>
                <w:color w:val="000000"/>
                <w:sz w:val="18"/>
                <w:szCs w:val="18"/>
              </w:rPr>
            </w:pPr>
            <w:r w:rsidRPr="0064254D">
              <w:rPr>
                <w:rFonts w:ascii="Times New Roman" w:eastAsia="Times New Roman" w:hAnsi="Times New Roman" w:cs="Times New Roman"/>
                <w:color w:val="000000"/>
                <w:sz w:val="18"/>
                <w:szCs w:val="18"/>
              </w:rPr>
              <w:t>100.00</w:t>
            </w:r>
          </w:p>
        </w:tc>
        <w:tc>
          <w:tcPr>
            <w:tcW w:w="636" w:type="pct"/>
            <w:tcBorders>
              <w:top w:val="nil"/>
              <w:left w:val="nil"/>
              <w:bottom w:val="nil"/>
              <w:right w:val="nil"/>
            </w:tcBorders>
            <w:shd w:val="clear" w:color="000000" w:fill="FFFFFF"/>
            <w:noWrap/>
            <w:vAlign w:val="bottom"/>
            <w:hideMark/>
          </w:tcPr>
          <w:p w14:paraId="0DDDC468" w14:textId="77777777" w:rsidR="00A5657F" w:rsidRPr="0064254D" w:rsidRDefault="00A5657F" w:rsidP="00A5657F">
            <w:pPr>
              <w:spacing w:after="0" w:line="240" w:lineRule="auto"/>
              <w:jc w:val="center"/>
              <w:rPr>
                <w:rFonts w:ascii="Times New Roman" w:eastAsia="Times New Roman" w:hAnsi="Times New Roman" w:cs="Times New Roman"/>
                <w:color w:val="000000"/>
                <w:sz w:val="18"/>
                <w:szCs w:val="18"/>
              </w:rPr>
            </w:pPr>
            <w:r w:rsidRPr="0064254D">
              <w:rPr>
                <w:rFonts w:ascii="Times New Roman" w:eastAsia="Times New Roman" w:hAnsi="Times New Roman" w:cs="Times New Roman"/>
                <w:color w:val="000000"/>
                <w:sz w:val="18"/>
                <w:szCs w:val="18"/>
              </w:rPr>
              <w:t>359</w:t>
            </w:r>
          </w:p>
        </w:tc>
        <w:tc>
          <w:tcPr>
            <w:tcW w:w="389" w:type="pct"/>
            <w:tcBorders>
              <w:top w:val="nil"/>
              <w:left w:val="nil"/>
              <w:bottom w:val="nil"/>
              <w:right w:val="nil"/>
            </w:tcBorders>
            <w:shd w:val="clear" w:color="000000" w:fill="FFFFFF"/>
            <w:noWrap/>
            <w:vAlign w:val="bottom"/>
            <w:hideMark/>
          </w:tcPr>
          <w:p w14:paraId="0FC47D69" w14:textId="77777777" w:rsidR="00A5657F" w:rsidRPr="0064254D" w:rsidRDefault="00A5657F" w:rsidP="00A5657F">
            <w:pPr>
              <w:spacing w:after="0" w:line="240" w:lineRule="auto"/>
              <w:jc w:val="center"/>
              <w:rPr>
                <w:rFonts w:ascii="Times New Roman" w:eastAsia="Times New Roman" w:hAnsi="Times New Roman" w:cs="Times New Roman"/>
                <w:color w:val="000000"/>
                <w:sz w:val="18"/>
                <w:szCs w:val="18"/>
              </w:rPr>
            </w:pPr>
            <w:r w:rsidRPr="0064254D">
              <w:rPr>
                <w:rFonts w:ascii="Times New Roman" w:eastAsia="Times New Roman" w:hAnsi="Times New Roman" w:cs="Times New Roman"/>
                <w:color w:val="000000"/>
                <w:sz w:val="18"/>
                <w:szCs w:val="18"/>
              </w:rPr>
              <w:t>100.00</w:t>
            </w:r>
          </w:p>
        </w:tc>
        <w:tc>
          <w:tcPr>
            <w:tcW w:w="636" w:type="pct"/>
            <w:tcBorders>
              <w:top w:val="nil"/>
              <w:left w:val="nil"/>
              <w:bottom w:val="nil"/>
              <w:right w:val="nil"/>
            </w:tcBorders>
            <w:shd w:val="clear" w:color="000000" w:fill="FFFFFF"/>
            <w:noWrap/>
            <w:vAlign w:val="bottom"/>
            <w:hideMark/>
          </w:tcPr>
          <w:p w14:paraId="000BDE65" w14:textId="77777777" w:rsidR="00A5657F" w:rsidRPr="0064254D" w:rsidRDefault="00A5657F" w:rsidP="00A5657F">
            <w:pPr>
              <w:spacing w:after="0" w:line="240" w:lineRule="auto"/>
              <w:jc w:val="center"/>
              <w:rPr>
                <w:rFonts w:ascii="Times New Roman" w:eastAsia="Times New Roman" w:hAnsi="Times New Roman" w:cs="Times New Roman"/>
                <w:color w:val="000000"/>
                <w:sz w:val="18"/>
                <w:szCs w:val="18"/>
              </w:rPr>
            </w:pPr>
            <w:r w:rsidRPr="0064254D">
              <w:rPr>
                <w:rFonts w:ascii="Times New Roman" w:eastAsia="Times New Roman" w:hAnsi="Times New Roman" w:cs="Times New Roman"/>
                <w:color w:val="000000"/>
                <w:sz w:val="18"/>
                <w:szCs w:val="18"/>
              </w:rPr>
              <w:t>129</w:t>
            </w:r>
          </w:p>
        </w:tc>
        <w:tc>
          <w:tcPr>
            <w:tcW w:w="389" w:type="pct"/>
            <w:tcBorders>
              <w:top w:val="nil"/>
              <w:left w:val="nil"/>
              <w:bottom w:val="nil"/>
              <w:right w:val="nil"/>
            </w:tcBorders>
            <w:shd w:val="clear" w:color="000000" w:fill="FFFFFF"/>
            <w:noWrap/>
            <w:vAlign w:val="bottom"/>
            <w:hideMark/>
          </w:tcPr>
          <w:p w14:paraId="625F7379" w14:textId="77777777" w:rsidR="00A5657F" w:rsidRPr="0064254D" w:rsidRDefault="00A5657F" w:rsidP="00A5657F">
            <w:pPr>
              <w:spacing w:after="0" w:line="240" w:lineRule="auto"/>
              <w:jc w:val="center"/>
              <w:rPr>
                <w:rFonts w:ascii="Times New Roman" w:eastAsia="Times New Roman" w:hAnsi="Times New Roman" w:cs="Times New Roman"/>
                <w:color w:val="000000"/>
                <w:sz w:val="18"/>
                <w:szCs w:val="18"/>
              </w:rPr>
            </w:pPr>
            <w:r w:rsidRPr="0064254D">
              <w:rPr>
                <w:rFonts w:ascii="Times New Roman" w:eastAsia="Times New Roman" w:hAnsi="Times New Roman" w:cs="Times New Roman"/>
                <w:color w:val="000000"/>
                <w:sz w:val="18"/>
                <w:szCs w:val="18"/>
              </w:rPr>
              <w:t>100.00</w:t>
            </w:r>
          </w:p>
        </w:tc>
      </w:tr>
      <w:tr w:rsidR="00CE3EE7" w:rsidRPr="0064254D" w14:paraId="488DDA6B" w14:textId="77777777" w:rsidTr="00C46F30">
        <w:trPr>
          <w:trHeight w:val="255"/>
        </w:trPr>
        <w:tc>
          <w:tcPr>
            <w:tcW w:w="898" w:type="pct"/>
            <w:tcBorders>
              <w:top w:val="nil"/>
              <w:left w:val="nil"/>
              <w:bottom w:val="single" w:sz="4" w:space="0" w:color="auto"/>
              <w:right w:val="nil"/>
            </w:tcBorders>
            <w:shd w:val="clear" w:color="000000" w:fill="FFFFFF"/>
            <w:noWrap/>
            <w:vAlign w:val="bottom"/>
            <w:hideMark/>
          </w:tcPr>
          <w:p w14:paraId="14A5DBF5" w14:textId="77777777" w:rsidR="00A5657F" w:rsidRPr="0064254D" w:rsidRDefault="00A5657F" w:rsidP="00A5657F">
            <w:pPr>
              <w:spacing w:after="0" w:line="240" w:lineRule="auto"/>
              <w:rPr>
                <w:rFonts w:ascii="Times New Roman" w:eastAsia="Times New Roman" w:hAnsi="Times New Roman" w:cs="Times New Roman"/>
                <w:color w:val="000000"/>
                <w:sz w:val="18"/>
                <w:szCs w:val="18"/>
              </w:rPr>
            </w:pPr>
            <w:r w:rsidRPr="0064254D">
              <w:rPr>
                <w:rFonts w:ascii="Times New Roman" w:eastAsia="Times New Roman" w:hAnsi="Times New Roman" w:cs="Times New Roman"/>
                <w:color w:val="000000"/>
                <w:sz w:val="18"/>
                <w:szCs w:val="18"/>
              </w:rPr>
              <w:t>Missing</w:t>
            </w:r>
          </w:p>
        </w:tc>
        <w:tc>
          <w:tcPr>
            <w:tcW w:w="638" w:type="pct"/>
            <w:tcBorders>
              <w:top w:val="nil"/>
              <w:left w:val="nil"/>
              <w:bottom w:val="single" w:sz="4" w:space="0" w:color="auto"/>
              <w:right w:val="nil"/>
            </w:tcBorders>
            <w:shd w:val="clear" w:color="000000" w:fill="FFFFFF"/>
            <w:noWrap/>
            <w:vAlign w:val="bottom"/>
            <w:hideMark/>
          </w:tcPr>
          <w:p w14:paraId="39F41163" w14:textId="77777777" w:rsidR="00A5657F" w:rsidRPr="0064254D" w:rsidRDefault="00A5657F" w:rsidP="00A5657F">
            <w:pPr>
              <w:spacing w:after="0" w:line="240" w:lineRule="auto"/>
              <w:jc w:val="center"/>
              <w:rPr>
                <w:rFonts w:ascii="Times New Roman" w:eastAsia="Times New Roman" w:hAnsi="Times New Roman" w:cs="Times New Roman"/>
                <w:color w:val="000000"/>
                <w:sz w:val="18"/>
                <w:szCs w:val="18"/>
              </w:rPr>
            </w:pPr>
            <w:r w:rsidRPr="0064254D">
              <w:rPr>
                <w:rFonts w:ascii="Times New Roman" w:eastAsia="Times New Roman" w:hAnsi="Times New Roman" w:cs="Times New Roman"/>
                <w:color w:val="000000"/>
                <w:sz w:val="18"/>
                <w:szCs w:val="18"/>
              </w:rPr>
              <w:t>152</w:t>
            </w:r>
          </w:p>
        </w:tc>
        <w:tc>
          <w:tcPr>
            <w:tcW w:w="390" w:type="pct"/>
            <w:tcBorders>
              <w:top w:val="nil"/>
              <w:left w:val="nil"/>
              <w:bottom w:val="single" w:sz="4" w:space="0" w:color="auto"/>
              <w:right w:val="nil"/>
            </w:tcBorders>
            <w:shd w:val="clear" w:color="000000" w:fill="FFFFFF"/>
            <w:noWrap/>
            <w:vAlign w:val="bottom"/>
            <w:hideMark/>
          </w:tcPr>
          <w:p w14:paraId="634BC31A" w14:textId="77777777" w:rsidR="00A5657F" w:rsidRPr="0064254D" w:rsidRDefault="00136640" w:rsidP="00A5657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636" w:type="pct"/>
            <w:tcBorders>
              <w:top w:val="nil"/>
              <w:left w:val="nil"/>
              <w:bottom w:val="single" w:sz="4" w:space="0" w:color="auto"/>
              <w:right w:val="nil"/>
            </w:tcBorders>
            <w:shd w:val="clear" w:color="000000" w:fill="FFFFFF"/>
            <w:noWrap/>
            <w:vAlign w:val="bottom"/>
            <w:hideMark/>
          </w:tcPr>
          <w:p w14:paraId="6C88A8DD" w14:textId="77777777" w:rsidR="00A5657F" w:rsidRPr="0064254D" w:rsidRDefault="00A5657F" w:rsidP="00A5657F">
            <w:pPr>
              <w:spacing w:after="0" w:line="240" w:lineRule="auto"/>
              <w:jc w:val="center"/>
              <w:rPr>
                <w:rFonts w:ascii="Times New Roman" w:eastAsia="Times New Roman" w:hAnsi="Times New Roman" w:cs="Times New Roman"/>
                <w:color w:val="000000"/>
                <w:sz w:val="18"/>
                <w:szCs w:val="18"/>
              </w:rPr>
            </w:pPr>
            <w:r w:rsidRPr="0064254D">
              <w:rPr>
                <w:rFonts w:ascii="Times New Roman" w:eastAsia="Times New Roman" w:hAnsi="Times New Roman" w:cs="Times New Roman"/>
                <w:color w:val="000000"/>
                <w:sz w:val="18"/>
                <w:szCs w:val="18"/>
              </w:rPr>
              <w:t>22</w:t>
            </w:r>
          </w:p>
        </w:tc>
        <w:tc>
          <w:tcPr>
            <w:tcW w:w="389" w:type="pct"/>
            <w:tcBorders>
              <w:top w:val="nil"/>
              <w:left w:val="nil"/>
              <w:bottom w:val="single" w:sz="4" w:space="0" w:color="auto"/>
              <w:right w:val="nil"/>
            </w:tcBorders>
            <w:shd w:val="clear" w:color="000000" w:fill="FFFFFF"/>
            <w:noWrap/>
            <w:vAlign w:val="bottom"/>
            <w:hideMark/>
          </w:tcPr>
          <w:p w14:paraId="51C3201E" w14:textId="77777777" w:rsidR="00A5657F" w:rsidRPr="0064254D" w:rsidRDefault="00136640" w:rsidP="00A5657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636" w:type="pct"/>
            <w:tcBorders>
              <w:top w:val="nil"/>
              <w:left w:val="nil"/>
              <w:bottom w:val="single" w:sz="4" w:space="0" w:color="auto"/>
              <w:right w:val="nil"/>
            </w:tcBorders>
            <w:shd w:val="clear" w:color="000000" w:fill="FFFFFF"/>
            <w:noWrap/>
            <w:vAlign w:val="bottom"/>
            <w:hideMark/>
          </w:tcPr>
          <w:p w14:paraId="45B40639" w14:textId="77777777" w:rsidR="00A5657F" w:rsidRPr="0064254D" w:rsidRDefault="00A5657F" w:rsidP="00A5657F">
            <w:pPr>
              <w:spacing w:after="0" w:line="240" w:lineRule="auto"/>
              <w:jc w:val="center"/>
              <w:rPr>
                <w:rFonts w:ascii="Times New Roman" w:eastAsia="Times New Roman" w:hAnsi="Times New Roman" w:cs="Times New Roman"/>
                <w:color w:val="000000"/>
                <w:sz w:val="18"/>
                <w:szCs w:val="18"/>
              </w:rPr>
            </w:pPr>
            <w:r w:rsidRPr="0064254D">
              <w:rPr>
                <w:rFonts w:ascii="Times New Roman" w:eastAsia="Times New Roman" w:hAnsi="Times New Roman" w:cs="Times New Roman"/>
                <w:color w:val="000000"/>
                <w:sz w:val="18"/>
                <w:szCs w:val="18"/>
              </w:rPr>
              <w:t>1</w:t>
            </w:r>
          </w:p>
        </w:tc>
        <w:tc>
          <w:tcPr>
            <w:tcW w:w="389" w:type="pct"/>
            <w:tcBorders>
              <w:top w:val="nil"/>
              <w:left w:val="nil"/>
              <w:bottom w:val="single" w:sz="4" w:space="0" w:color="auto"/>
              <w:right w:val="nil"/>
            </w:tcBorders>
            <w:shd w:val="clear" w:color="000000" w:fill="FFFFFF"/>
            <w:noWrap/>
            <w:vAlign w:val="bottom"/>
            <w:hideMark/>
          </w:tcPr>
          <w:p w14:paraId="265FA50E" w14:textId="77777777" w:rsidR="00A5657F" w:rsidRPr="0064254D" w:rsidRDefault="00136640" w:rsidP="00A5657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c>
          <w:tcPr>
            <w:tcW w:w="636" w:type="pct"/>
            <w:tcBorders>
              <w:top w:val="nil"/>
              <w:left w:val="nil"/>
              <w:bottom w:val="single" w:sz="4" w:space="0" w:color="auto"/>
              <w:right w:val="nil"/>
            </w:tcBorders>
            <w:shd w:val="clear" w:color="000000" w:fill="FFFFFF"/>
            <w:noWrap/>
            <w:vAlign w:val="bottom"/>
            <w:hideMark/>
          </w:tcPr>
          <w:p w14:paraId="3E4BD697" w14:textId="77777777" w:rsidR="00A5657F" w:rsidRPr="0064254D" w:rsidRDefault="00A5657F" w:rsidP="00A5657F">
            <w:pPr>
              <w:spacing w:after="0" w:line="240" w:lineRule="auto"/>
              <w:jc w:val="center"/>
              <w:rPr>
                <w:rFonts w:ascii="Times New Roman" w:eastAsia="Times New Roman" w:hAnsi="Times New Roman" w:cs="Times New Roman"/>
                <w:color w:val="000000"/>
                <w:sz w:val="18"/>
                <w:szCs w:val="18"/>
              </w:rPr>
            </w:pPr>
            <w:r w:rsidRPr="0064254D">
              <w:rPr>
                <w:rFonts w:ascii="Times New Roman" w:eastAsia="Times New Roman" w:hAnsi="Times New Roman" w:cs="Times New Roman"/>
                <w:color w:val="000000"/>
                <w:sz w:val="18"/>
                <w:szCs w:val="18"/>
              </w:rPr>
              <w:t>2</w:t>
            </w:r>
          </w:p>
        </w:tc>
        <w:tc>
          <w:tcPr>
            <w:tcW w:w="389" w:type="pct"/>
            <w:tcBorders>
              <w:top w:val="nil"/>
              <w:left w:val="nil"/>
              <w:bottom w:val="single" w:sz="4" w:space="0" w:color="auto"/>
              <w:right w:val="nil"/>
            </w:tcBorders>
            <w:shd w:val="clear" w:color="000000" w:fill="FFFFFF"/>
            <w:noWrap/>
            <w:vAlign w:val="bottom"/>
            <w:hideMark/>
          </w:tcPr>
          <w:p w14:paraId="7E7423C9" w14:textId="77777777" w:rsidR="00A5657F" w:rsidRPr="0064254D" w:rsidRDefault="00136640" w:rsidP="00A5657F">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p>
        </w:tc>
      </w:tr>
    </w:tbl>
    <w:p w14:paraId="05011337" w14:textId="77777777" w:rsidR="008B1CDF" w:rsidRDefault="008B1CDF">
      <w:pPr>
        <w:rPr>
          <w:rFonts w:ascii="Times New Roman" w:hAnsi="Times New Roman" w:cs="Times New Roman"/>
          <w:b/>
          <w:caps/>
        </w:rPr>
      </w:pPr>
    </w:p>
    <w:p w14:paraId="154ADE61" w14:textId="77777777" w:rsidR="00E65A1B" w:rsidRDefault="00E41751" w:rsidP="007E519D">
      <w:pPr>
        <w:spacing w:after="0" w:line="480" w:lineRule="auto"/>
        <w:contextualSpacing/>
        <w:mirrorIndents/>
        <w:rPr>
          <w:rFonts w:ascii="Times New Roman" w:hAnsi="Times New Roman" w:cs="Times New Roman"/>
          <w:b/>
        </w:rPr>
      </w:pPr>
      <w:r>
        <w:rPr>
          <w:rFonts w:ascii="Times New Roman" w:hAnsi="Times New Roman" w:cs="Times New Roman"/>
          <w:b/>
          <w:caps/>
        </w:rPr>
        <w:lastRenderedPageBreak/>
        <w:t>T</w:t>
      </w:r>
      <w:r>
        <w:rPr>
          <w:rFonts w:ascii="Times New Roman" w:hAnsi="Times New Roman" w:cs="Times New Roman"/>
          <w:b/>
        </w:rPr>
        <w:t>able 3: Descriptive statistics at first investment of the focal venture capital firm</w:t>
      </w:r>
      <w:r w:rsidR="00E65A1B" w:rsidRPr="00E65A1B">
        <w:rPr>
          <w:noProof/>
          <w:lang w:val="en-GB" w:eastAsia="en-GB"/>
        </w:rPr>
        <w:drawing>
          <wp:inline distT="0" distB="0" distL="0" distR="0" wp14:anchorId="248017D3" wp14:editId="611EBE23">
            <wp:extent cx="4543425" cy="3248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43425" cy="3248025"/>
                    </a:xfrm>
                    <a:prstGeom prst="rect">
                      <a:avLst/>
                    </a:prstGeom>
                    <a:noFill/>
                    <a:ln>
                      <a:noFill/>
                    </a:ln>
                  </pic:spPr>
                </pic:pic>
              </a:graphicData>
            </a:graphic>
          </wp:inline>
        </w:drawing>
      </w:r>
    </w:p>
    <w:p w14:paraId="7441E7F5" w14:textId="77777777" w:rsidR="00E65A1B" w:rsidRDefault="00E65A1B">
      <w:pPr>
        <w:rPr>
          <w:rFonts w:ascii="Times New Roman" w:hAnsi="Times New Roman" w:cs="Times New Roman"/>
          <w:b/>
        </w:rPr>
      </w:pPr>
      <w:r>
        <w:rPr>
          <w:rFonts w:ascii="Times New Roman" w:hAnsi="Times New Roman" w:cs="Times New Roman"/>
          <w:b/>
        </w:rPr>
        <w:br w:type="page"/>
      </w:r>
    </w:p>
    <w:p w14:paraId="1F6C8F1A" w14:textId="77777777" w:rsidR="00155B10" w:rsidRDefault="002118C1" w:rsidP="000213A4">
      <w:pPr>
        <w:spacing w:after="0" w:line="480" w:lineRule="auto"/>
        <w:contextualSpacing/>
        <w:mirrorIndents/>
        <w:rPr>
          <w:rFonts w:ascii="Times New Roman" w:hAnsi="Times New Roman" w:cs="Times New Roman"/>
          <w:b/>
        </w:rPr>
      </w:pPr>
      <w:r>
        <w:rPr>
          <w:rFonts w:ascii="Times New Roman" w:hAnsi="Times New Roman" w:cs="Times New Roman"/>
          <w:b/>
        </w:rPr>
        <w:lastRenderedPageBreak/>
        <w:t xml:space="preserve">Table </w:t>
      </w:r>
      <w:r w:rsidR="004F5818">
        <w:rPr>
          <w:rFonts w:ascii="Times New Roman" w:hAnsi="Times New Roman" w:cs="Times New Roman"/>
          <w:b/>
        </w:rPr>
        <w:t>4</w:t>
      </w:r>
      <w:r>
        <w:rPr>
          <w:rFonts w:ascii="Times New Roman" w:hAnsi="Times New Roman" w:cs="Times New Roman"/>
          <w:b/>
        </w:rPr>
        <w:t>: Correlations (N=</w:t>
      </w:r>
      <w:r w:rsidR="00D772A8">
        <w:rPr>
          <w:rFonts w:ascii="Times New Roman" w:hAnsi="Times New Roman" w:cs="Times New Roman"/>
          <w:b/>
        </w:rPr>
        <w:t>1552</w:t>
      </w:r>
      <w:r>
        <w:rPr>
          <w:rFonts w:ascii="Times New Roman" w:hAnsi="Times New Roman" w:cs="Times New Roman"/>
          <w:b/>
        </w:rPr>
        <w:t>)</w:t>
      </w:r>
    </w:p>
    <w:p w14:paraId="22BA9DE8" w14:textId="77777777" w:rsidR="00151934" w:rsidRDefault="00151934" w:rsidP="000213A4">
      <w:pPr>
        <w:spacing w:after="0" w:line="480" w:lineRule="auto"/>
        <w:contextualSpacing/>
        <w:mirrorIndents/>
      </w:pPr>
    </w:p>
    <w:tbl>
      <w:tblPr>
        <w:tblW w:w="0" w:type="auto"/>
        <w:tblInd w:w="93" w:type="dxa"/>
        <w:tblLook w:val="04A0" w:firstRow="1" w:lastRow="0" w:firstColumn="1" w:lastColumn="0" w:noHBand="0" w:noVBand="1"/>
      </w:tblPr>
      <w:tblGrid>
        <w:gridCol w:w="396"/>
        <w:gridCol w:w="2806"/>
        <w:gridCol w:w="591"/>
        <w:gridCol w:w="591"/>
        <w:gridCol w:w="591"/>
        <w:gridCol w:w="591"/>
        <w:gridCol w:w="591"/>
        <w:gridCol w:w="591"/>
        <w:gridCol w:w="591"/>
        <w:gridCol w:w="591"/>
        <w:gridCol w:w="591"/>
        <w:gridCol w:w="591"/>
        <w:gridCol w:w="591"/>
        <w:gridCol w:w="591"/>
        <w:gridCol w:w="591"/>
        <w:gridCol w:w="591"/>
        <w:gridCol w:w="591"/>
        <w:gridCol w:w="591"/>
      </w:tblGrid>
      <w:tr w:rsidR="00EA4A1C" w:rsidRPr="00D800F1" w14:paraId="106D10A3" w14:textId="77777777" w:rsidTr="00250E5D">
        <w:trPr>
          <w:trHeight w:val="255"/>
        </w:trPr>
        <w:tc>
          <w:tcPr>
            <w:tcW w:w="0" w:type="auto"/>
            <w:tcBorders>
              <w:top w:val="single" w:sz="4" w:space="0" w:color="auto"/>
              <w:left w:val="nil"/>
              <w:bottom w:val="single" w:sz="4" w:space="0" w:color="auto"/>
              <w:right w:val="nil"/>
            </w:tcBorders>
            <w:shd w:val="clear" w:color="000000" w:fill="FFFFFF"/>
            <w:noWrap/>
            <w:vAlign w:val="bottom"/>
            <w:hideMark/>
          </w:tcPr>
          <w:p w14:paraId="6C488F5E"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single" w:sz="4" w:space="0" w:color="auto"/>
              <w:left w:val="nil"/>
              <w:bottom w:val="single" w:sz="4" w:space="0" w:color="auto"/>
              <w:right w:val="nil"/>
            </w:tcBorders>
            <w:shd w:val="clear" w:color="000000" w:fill="FFFFFF"/>
            <w:noWrap/>
            <w:vAlign w:val="bottom"/>
            <w:hideMark/>
          </w:tcPr>
          <w:p w14:paraId="36B0EAEE"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Variable</w:t>
            </w:r>
          </w:p>
        </w:tc>
        <w:tc>
          <w:tcPr>
            <w:tcW w:w="0" w:type="auto"/>
            <w:tcBorders>
              <w:top w:val="single" w:sz="4" w:space="0" w:color="auto"/>
              <w:left w:val="nil"/>
              <w:bottom w:val="single" w:sz="4" w:space="0" w:color="auto"/>
              <w:right w:val="nil"/>
            </w:tcBorders>
            <w:shd w:val="clear" w:color="000000" w:fill="FFFFFF"/>
            <w:noWrap/>
            <w:vAlign w:val="bottom"/>
            <w:hideMark/>
          </w:tcPr>
          <w:p w14:paraId="3C3187F3" w14:textId="77777777" w:rsidR="00EA4A1C" w:rsidRPr="00D800F1" w:rsidRDefault="00EA4A1C" w:rsidP="00250E5D">
            <w:pPr>
              <w:spacing w:after="0" w:line="240" w:lineRule="auto"/>
              <w:jc w:val="right"/>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1</w:t>
            </w:r>
          </w:p>
        </w:tc>
        <w:tc>
          <w:tcPr>
            <w:tcW w:w="0" w:type="auto"/>
            <w:tcBorders>
              <w:top w:val="single" w:sz="4" w:space="0" w:color="auto"/>
              <w:left w:val="nil"/>
              <w:bottom w:val="single" w:sz="4" w:space="0" w:color="auto"/>
              <w:right w:val="nil"/>
            </w:tcBorders>
            <w:shd w:val="clear" w:color="000000" w:fill="FFFFFF"/>
            <w:noWrap/>
            <w:vAlign w:val="bottom"/>
            <w:hideMark/>
          </w:tcPr>
          <w:p w14:paraId="533946CC" w14:textId="77777777" w:rsidR="00EA4A1C" w:rsidRPr="00D800F1" w:rsidRDefault="00EA4A1C" w:rsidP="00250E5D">
            <w:pPr>
              <w:spacing w:after="0" w:line="240" w:lineRule="auto"/>
              <w:jc w:val="right"/>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2</w:t>
            </w:r>
          </w:p>
        </w:tc>
        <w:tc>
          <w:tcPr>
            <w:tcW w:w="0" w:type="auto"/>
            <w:tcBorders>
              <w:top w:val="single" w:sz="4" w:space="0" w:color="auto"/>
              <w:left w:val="nil"/>
              <w:bottom w:val="single" w:sz="4" w:space="0" w:color="auto"/>
              <w:right w:val="nil"/>
            </w:tcBorders>
            <w:shd w:val="clear" w:color="000000" w:fill="FFFFFF"/>
            <w:noWrap/>
            <w:vAlign w:val="bottom"/>
            <w:hideMark/>
          </w:tcPr>
          <w:p w14:paraId="575DF1ED" w14:textId="77777777" w:rsidR="00EA4A1C" w:rsidRPr="00D800F1" w:rsidRDefault="00EA4A1C" w:rsidP="00250E5D">
            <w:pPr>
              <w:spacing w:after="0" w:line="240" w:lineRule="auto"/>
              <w:jc w:val="right"/>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3</w:t>
            </w:r>
          </w:p>
        </w:tc>
        <w:tc>
          <w:tcPr>
            <w:tcW w:w="0" w:type="auto"/>
            <w:tcBorders>
              <w:top w:val="single" w:sz="4" w:space="0" w:color="auto"/>
              <w:left w:val="nil"/>
              <w:bottom w:val="single" w:sz="4" w:space="0" w:color="auto"/>
              <w:right w:val="nil"/>
            </w:tcBorders>
            <w:shd w:val="clear" w:color="000000" w:fill="FFFFFF"/>
            <w:noWrap/>
            <w:vAlign w:val="bottom"/>
            <w:hideMark/>
          </w:tcPr>
          <w:p w14:paraId="4A16E791" w14:textId="77777777" w:rsidR="00EA4A1C" w:rsidRPr="00D800F1" w:rsidRDefault="00EA4A1C" w:rsidP="00250E5D">
            <w:pPr>
              <w:spacing w:after="0" w:line="240" w:lineRule="auto"/>
              <w:jc w:val="right"/>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4</w:t>
            </w:r>
          </w:p>
        </w:tc>
        <w:tc>
          <w:tcPr>
            <w:tcW w:w="0" w:type="auto"/>
            <w:tcBorders>
              <w:top w:val="single" w:sz="4" w:space="0" w:color="auto"/>
              <w:left w:val="nil"/>
              <w:bottom w:val="single" w:sz="4" w:space="0" w:color="auto"/>
              <w:right w:val="nil"/>
            </w:tcBorders>
            <w:shd w:val="clear" w:color="000000" w:fill="FFFFFF"/>
            <w:noWrap/>
            <w:vAlign w:val="bottom"/>
            <w:hideMark/>
          </w:tcPr>
          <w:p w14:paraId="6BBE70AD" w14:textId="77777777" w:rsidR="00EA4A1C" w:rsidRPr="00D800F1" w:rsidRDefault="00EA4A1C" w:rsidP="00250E5D">
            <w:pPr>
              <w:spacing w:after="0" w:line="240" w:lineRule="auto"/>
              <w:jc w:val="right"/>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5</w:t>
            </w:r>
          </w:p>
        </w:tc>
        <w:tc>
          <w:tcPr>
            <w:tcW w:w="0" w:type="auto"/>
            <w:tcBorders>
              <w:top w:val="single" w:sz="4" w:space="0" w:color="auto"/>
              <w:left w:val="nil"/>
              <w:bottom w:val="single" w:sz="4" w:space="0" w:color="auto"/>
              <w:right w:val="nil"/>
            </w:tcBorders>
            <w:shd w:val="clear" w:color="000000" w:fill="FFFFFF"/>
            <w:noWrap/>
            <w:vAlign w:val="bottom"/>
            <w:hideMark/>
          </w:tcPr>
          <w:p w14:paraId="03F5963C" w14:textId="77777777" w:rsidR="00EA4A1C" w:rsidRPr="00D800F1" w:rsidRDefault="00EA4A1C" w:rsidP="00250E5D">
            <w:pPr>
              <w:spacing w:after="0" w:line="240" w:lineRule="auto"/>
              <w:jc w:val="right"/>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6</w:t>
            </w:r>
          </w:p>
        </w:tc>
        <w:tc>
          <w:tcPr>
            <w:tcW w:w="0" w:type="auto"/>
            <w:tcBorders>
              <w:top w:val="single" w:sz="4" w:space="0" w:color="auto"/>
              <w:left w:val="nil"/>
              <w:bottom w:val="single" w:sz="4" w:space="0" w:color="auto"/>
              <w:right w:val="nil"/>
            </w:tcBorders>
            <w:shd w:val="clear" w:color="000000" w:fill="FFFFFF"/>
            <w:noWrap/>
            <w:vAlign w:val="bottom"/>
            <w:hideMark/>
          </w:tcPr>
          <w:p w14:paraId="7F913929" w14:textId="77777777" w:rsidR="00EA4A1C" w:rsidRPr="00D800F1" w:rsidRDefault="00EA4A1C" w:rsidP="00250E5D">
            <w:pPr>
              <w:spacing w:after="0" w:line="240" w:lineRule="auto"/>
              <w:jc w:val="right"/>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7</w:t>
            </w:r>
          </w:p>
        </w:tc>
        <w:tc>
          <w:tcPr>
            <w:tcW w:w="0" w:type="auto"/>
            <w:tcBorders>
              <w:top w:val="single" w:sz="4" w:space="0" w:color="auto"/>
              <w:left w:val="nil"/>
              <w:bottom w:val="single" w:sz="4" w:space="0" w:color="auto"/>
              <w:right w:val="nil"/>
            </w:tcBorders>
            <w:shd w:val="clear" w:color="000000" w:fill="FFFFFF"/>
            <w:noWrap/>
            <w:vAlign w:val="bottom"/>
            <w:hideMark/>
          </w:tcPr>
          <w:p w14:paraId="014AD109" w14:textId="77777777" w:rsidR="00EA4A1C" w:rsidRPr="00D800F1" w:rsidRDefault="00EA4A1C" w:rsidP="00250E5D">
            <w:pPr>
              <w:spacing w:after="0" w:line="240" w:lineRule="auto"/>
              <w:jc w:val="right"/>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8</w:t>
            </w:r>
          </w:p>
        </w:tc>
        <w:tc>
          <w:tcPr>
            <w:tcW w:w="0" w:type="auto"/>
            <w:tcBorders>
              <w:top w:val="single" w:sz="4" w:space="0" w:color="auto"/>
              <w:left w:val="nil"/>
              <w:bottom w:val="single" w:sz="4" w:space="0" w:color="auto"/>
              <w:right w:val="nil"/>
            </w:tcBorders>
            <w:shd w:val="clear" w:color="000000" w:fill="FFFFFF"/>
            <w:noWrap/>
            <w:vAlign w:val="bottom"/>
            <w:hideMark/>
          </w:tcPr>
          <w:p w14:paraId="2E41F28E" w14:textId="77777777" w:rsidR="00EA4A1C" w:rsidRPr="00D800F1" w:rsidRDefault="00EA4A1C" w:rsidP="00250E5D">
            <w:pPr>
              <w:spacing w:after="0" w:line="240" w:lineRule="auto"/>
              <w:jc w:val="right"/>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9</w:t>
            </w:r>
          </w:p>
        </w:tc>
        <w:tc>
          <w:tcPr>
            <w:tcW w:w="0" w:type="auto"/>
            <w:tcBorders>
              <w:top w:val="single" w:sz="4" w:space="0" w:color="auto"/>
              <w:left w:val="nil"/>
              <w:bottom w:val="single" w:sz="4" w:space="0" w:color="auto"/>
              <w:right w:val="nil"/>
            </w:tcBorders>
            <w:shd w:val="clear" w:color="000000" w:fill="FFFFFF"/>
            <w:noWrap/>
            <w:vAlign w:val="bottom"/>
            <w:hideMark/>
          </w:tcPr>
          <w:p w14:paraId="3302F27A" w14:textId="77777777" w:rsidR="00EA4A1C" w:rsidRPr="00D800F1" w:rsidRDefault="00EA4A1C" w:rsidP="00250E5D">
            <w:pPr>
              <w:spacing w:after="0" w:line="240" w:lineRule="auto"/>
              <w:jc w:val="right"/>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10</w:t>
            </w:r>
          </w:p>
        </w:tc>
        <w:tc>
          <w:tcPr>
            <w:tcW w:w="0" w:type="auto"/>
            <w:tcBorders>
              <w:top w:val="single" w:sz="4" w:space="0" w:color="auto"/>
              <w:left w:val="nil"/>
              <w:bottom w:val="single" w:sz="4" w:space="0" w:color="auto"/>
              <w:right w:val="nil"/>
            </w:tcBorders>
            <w:shd w:val="clear" w:color="000000" w:fill="FFFFFF"/>
            <w:noWrap/>
            <w:vAlign w:val="bottom"/>
            <w:hideMark/>
          </w:tcPr>
          <w:p w14:paraId="131CFCD7" w14:textId="77777777" w:rsidR="00EA4A1C" w:rsidRPr="00D800F1" w:rsidRDefault="00EA4A1C" w:rsidP="00250E5D">
            <w:pPr>
              <w:spacing w:after="0" w:line="240" w:lineRule="auto"/>
              <w:jc w:val="right"/>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11</w:t>
            </w:r>
          </w:p>
        </w:tc>
        <w:tc>
          <w:tcPr>
            <w:tcW w:w="0" w:type="auto"/>
            <w:tcBorders>
              <w:top w:val="single" w:sz="4" w:space="0" w:color="auto"/>
              <w:left w:val="nil"/>
              <w:bottom w:val="single" w:sz="4" w:space="0" w:color="auto"/>
              <w:right w:val="nil"/>
            </w:tcBorders>
            <w:shd w:val="clear" w:color="000000" w:fill="FFFFFF"/>
            <w:noWrap/>
            <w:vAlign w:val="bottom"/>
            <w:hideMark/>
          </w:tcPr>
          <w:p w14:paraId="5A1C7D03" w14:textId="77777777" w:rsidR="00EA4A1C" w:rsidRPr="00D800F1" w:rsidRDefault="00EA4A1C" w:rsidP="00250E5D">
            <w:pPr>
              <w:spacing w:after="0" w:line="240" w:lineRule="auto"/>
              <w:jc w:val="right"/>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12</w:t>
            </w:r>
          </w:p>
        </w:tc>
        <w:tc>
          <w:tcPr>
            <w:tcW w:w="0" w:type="auto"/>
            <w:tcBorders>
              <w:top w:val="single" w:sz="4" w:space="0" w:color="auto"/>
              <w:left w:val="nil"/>
              <w:bottom w:val="single" w:sz="4" w:space="0" w:color="auto"/>
              <w:right w:val="nil"/>
            </w:tcBorders>
            <w:shd w:val="clear" w:color="000000" w:fill="FFFFFF"/>
            <w:noWrap/>
            <w:vAlign w:val="bottom"/>
            <w:hideMark/>
          </w:tcPr>
          <w:p w14:paraId="11F4C76E" w14:textId="77777777" w:rsidR="00EA4A1C" w:rsidRPr="00D800F1" w:rsidRDefault="00EA4A1C" w:rsidP="00250E5D">
            <w:pPr>
              <w:spacing w:after="0" w:line="240" w:lineRule="auto"/>
              <w:jc w:val="right"/>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13</w:t>
            </w:r>
          </w:p>
        </w:tc>
        <w:tc>
          <w:tcPr>
            <w:tcW w:w="0" w:type="auto"/>
            <w:tcBorders>
              <w:top w:val="single" w:sz="4" w:space="0" w:color="auto"/>
              <w:left w:val="nil"/>
              <w:bottom w:val="single" w:sz="4" w:space="0" w:color="auto"/>
              <w:right w:val="nil"/>
            </w:tcBorders>
            <w:shd w:val="clear" w:color="000000" w:fill="FFFFFF"/>
            <w:noWrap/>
            <w:vAlign w:val="bottom"/>
            <w:hideMark/>
          </w:tcPr>
          <w:p w14:paraId="76936EF8" w14:textId="77777777" w:rsidR="00EA4A1C" w:rsidRPr="00D800F1" w:rsidRDefault="00EA4A1C" w:rsidP="00250E5D">
            <w:pPr>
              <w:spacing w:after="0" w:line="240" w:lineRule="auto"/>
              <w:jc w:val="right"/>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14</w:t>
            </w:r>
          </w:p>
        </w:tc>
        <w:tc>
          <w:tcPr>
            <w:tcW w:w="0" w:type="auto"/>
            <w:tcBorders>
              <w:top w:val="single" w:sz="4" w:space="0" w:color="auto"/>
              <w:left w:val="nil"/>
              <w:bottom w:val="single" w:sz="4" w:space="0" w:color="auto"/>
              <w:right w:val="nil"/>
            </w:tcBorders>
            <w:shd w:val="clear" w:color="000000" w:fill="FFFFFF"/>
            <w:noWrap/>
            <w:vAlign w:val="bottom"/>
            <w:hideMark/>
          </w:tcPr>
          <w:p w14:paraId="11152026" w14:textId="77777777" w:rsidR="00EA4A1C" w:rsidRPr="00D800F1" w:rsidRDefault="00EA4A1C" w:rsidP="00250E5D">
            <w:pPr>
              <w:spacing w:after="0" w:line="240" w:lineRule="auto"/>
              <w:jc w:val="right"/>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15</w:t>
            </w:r>
          </w:p>
        </w:tc>
        <w:tc>
          <w:tcPr>
            <w:tcW w:w="0" w:type="auto"/>
            <w:tcBorders>
              <w:top w:val="single" w:sz="4" w:space="0" w:color="auto"/>
              <w:left w:val="nil"/>
              <w:bottom w:val="single" w:sz="4" w:space="0" w:color="auto"/>
              <w:right w:val="nil"/>
            </w:tcBorders>
            <w:shd w:val="clear" w:color="000000" w:fill="FFFFFF"/>
            <w:noWrap/>
            <w:vAlign w:val="bottom"/>
            <w:hideMark/>
          </w:tcPr>
          <w:p w14:paraId="727F159D" w14:textId="77777777" w:rsidR="00EA4A1C" w:rsidRPr="00D800F1" w:rsidRDefault="00EA4A1C" w:rsidP="00250E5D">
            <w:pPr>
              <w:spacing w:after="0" w:line="240" w:lineRule="auto"/>
              <w:jc w:val="right"/>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16</w:t>
            </w:r>
          </w:p>
        </w:tc>
      </w:tr>
      <w:tr w:rsidR="00EA4A1C" w:rsidRPr="00D800F1" w14:paraId="0144611E" w14:textId="77777777" w:rsidTr="00250E5D">
        <w:trPr>
          <w:trHeight w:val="255"/>
        </w:trPr>
        <w:tc>
          <w:tcPr>
            <w:tcW w:w="0" w:type="auto"/>
            <w:gridSpan w:val="2"/>
            <w:tcBorders>
              <w:top w:val="nil"/>
              <w:left w:val="nil"/>
              <w:bottom w:val="nil"/>
              <w:right w:val="nil"/>
            </w:tcBorders>
            <w:shd w:val="clear" w:color="000000" w:fill="FFFFFF"/>
            <w:noWrap/>
            <w:vAlign w:val="bottom"/>
            <w:hideMark/>
          </w:tcPr>
          <w:p w14:paraId="43240692" w14:textId="77777777" w:rsidR="00EA4A1C" w:rsidRPr="00D800F1" w:rsidRDefault="00EA4A1C" w:rsidP="00250E5D">
            <w:pPr>
              <w:spacing w:after="0" w:line="240" w:lineRule="auto"/>
              <w:rPr>
                <w:rFonts w:ascii="Times New Roman" w:eastAsia="Times New Roman" w:hAnsi="Times New Roman" w:cs="Times New Roman"/>
                <w:i/>
                <w:iCs/>
                <w:color w:val="000000"/>
                <w:sz w:val="18"/>
                <w:szCs w:val="18"/>
              </w:rPr>
            </w:pPr>
            <w:r w:rsidRPr="00D800F1">
              <w:rPr>
                <w:rFonts w:ascii="Times New Roman" w:eastAsia="Times New Roman" w:hAnsi="Times New Roman" w:cs="Times New Roman"/>
                <w:i/>
                <w:iCs/>
                <w:color w:val="000000"/>
                <w:sz w:val="18"/>
                <w:szCs w:val="18"/>
              </w:rPr>
              <w:t>Independent variables</w:t>
            </w:r>
          </w:p>
        </w:tc>
        <w:tc>
          <w:tcPr>
            <w:tcW w:w="0" w:type="auto"/>
            <w:tcBorders>
              <w:top w:val="nil"/>
              <w:left w:val="nil"/>
              <w:bottom w:val="nil"/>
              <w:right w:val="nil"/>
            </w:tcBorders>
            <w:shd w:val="clear" w:color="000000" w:fill="FFFFFF"/>
            <w:noWrap/>
            <w:vAlign w:val="bottom"/>
            <w:hideMark/>
          </w:tcPr>
          <w:p w14:paraId="581CE235"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671EFCEB"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2AD9B244"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7C98ADF2"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0856158D"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698586C8"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42908837"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3DC66C7D"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003CCE55"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37C43AF7"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7E16F663"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51F72854"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11D2FBCE"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6612C6C8"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7960C24A"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100A96B5"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r>
      <w:tr w:rsidR="00EA4A1C" w:rsidRPr="00D800F1" w14:paraId="76E9FC4C" w14:textId="77777777" w:rsidTr="00250E5D">
        <w:trPr>
          <w:trHeight w:val="255"/>
        </w:trPr>
        <w:tc>
          <w:tcPr>
            <w:tcW w:w="0" w:type="auto"/>
            <w:tcBorders>
              <w:top w:val="nil"/>
              <w:left w:val="nil"/>
              <w:bottom w:val="nil"/>
              <w:right w:val="nil"/>
            </w:tcBorders>
            <w:shd w:val="clear" w:color="000000" w:fill="FFFFFF"/>
            <w:noWrap/>
            <w:vAlign w:val="bottom"/>
            <w:hideMark/>
          </w:tcPr>
          <w:p w14:paraId="374E7AB0" w14:textId="77777777" w:rsidR="00EA4A1C" w:rsidRPr="00D800F1" w:rsidRDefault="00EA4A1C" w:rsidP="00250E5D">
            <w:pPr>
              <w:spacing w:after="0" w:line="240" w:lineRule="auto"/>
              <w:jc w:val="right"/>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1</w:t>
            </w:r>
          </w:p>
        </w:tc>
        <w:tc>
          <w:tcPr>
            <w:tcW w:w="0" w:type="auto"/>
            <w:tcBorders>
              <w:top w:val="nil"/>
              <w:left w:val="nil"/>
              <w:bottom w:val="nil"/>
              <w:right w:val="nil"/>
            </w:tcBorders>
            <w:shd w:val="clear" w:color="000000" w:fill="FFFFFF"/>
            <w:noWrap/>
            <w:vAlign w:val="bottom"/>
            <w:hideMark/>
          </w:tcPr>
          <w:p w14:paraId="58C59405" w14:textId="77777777" w:rsidR="00EA4A1C" w:rsidRPr="00D800F1" w:rsidRDefault="00962BE6" w:rsidP="00250E5D">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ROUNDS</w:t>
            </w:r>
            <w:r w:rsidR="00EA4A1C" w:rsidRPr="00D800F1">
              <w:rPr>
                <w:rFonts w:ascii="Times New Roman" w:eastAsia="Times New Roman" w:hAnsi="Times New Roman" w:cs="Times New Roman"/>
                <w:color w:val="000000"/>
                <w:sz w:val="18"/>
                <w:szCs w:val="18"/>
              </w:rPr>
              <w:t xml:space="preserve"> (centered)</w:t>
            </w:r>
          </w:p>
        </w:tc>
        <w:tc>
          <w:tcPr>
            <w:tcW w:w="0" w:type="auto"/>
            <w:tcBorders>
              <w:top w:val="nil"/>
              <w:left w:val="nil"/>
              <w:bottom w:val="nil"/>
              <w:right w:val="nil"/>
            </w:tcBorders>
            <w:shd w:val="clear" w:color="000000" w:fill="FFFFFF"/>
            <w:noWrap/>
            <w:vAlign w:val="bottom"/>
            <w:hideMark/>
          </w:tcPr>
          <w:p w14:paraId="2ECC6034"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7193834E"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43212E10"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6AF0F6D9"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393AD745"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21615666"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2E3C42D9"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58DD56B9"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3E54D385"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574366C3"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4FCA31B0"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1AE10787"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45EA90AC"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52BCED07"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34DDF784"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426D51DA"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r>
      <w:tr w:rsidR="00EA4A1C" w:rsidRPr="00D800F1" w14:paraId="6865C044" w14:textId="77777777" w:rsidTr="00250E5D">
        <w:trPr>
          <w:trHeight w:val="255"/>
        </w:trPr>
        <w:tc>
          <w:tcPr>
            <w:tcW w:w="0" w:type="auto"/>
            <w:tcBorders>
              <w:top w:val="nil"/>
              <w:left w:val="nil"/>
              <w:bottom w:val="nil"/>
              <w:right w:val="nil"/>
            </w:tcBorders>
            <w:shd w:val="clear" w:color="000000" w:fill="FFFFFF"/>
            <w:noWrap/>
            <w:vAlign w:val="bottom"/>
            <w:hideMark/>
          </w:tcPr>
          <w:p w14:paraId="0980E33A" w14:textId="77777777" w:rsidR="00EA4A1C" w:rsidRPr="00D800F1" w:rsidRDefault="00EA4A1C" w:rsidP="00250E5D">
            <w:pPr>
              <w:spacing w:after="0" w:line="240" w:lineRule="auto"/>
              <w:jc w:val="right"/>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2</w:t>
            </w:r>
          </w:p>
        </w:tc>
        <w:tc>
          <w:tcPr>
            <w:tcW w:w="0" w:type="auto"/>
            <w:tcBorders>
              <w:top w:val="nil"/>
              <w:left w:val="nil"/>
              <w:bottom w:val="nil"/>
              <w:right w:val="nil"/>
            </w:tcBorders>
            <w:shd w:val="clear" w:color="000000" w:fill="FFFFFF"/>
            <w:noWrap/>
            <w:vAlign w:val="bottom"/>
            <w:hideMark/>
          </w:tcPr>
          <w:p w14:paraId="3099E60A" w14:textId="77777777" w:rsidR="00EA4A1C" w:rsidRPr="00D800F1" w:rsidRDefault="00AC2886" w:rsidP="00250E5D">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Domestic VC firm</w:t>
            </w:r>
            <w:r w:rsidR="00EA4A1C" w:rsidRPr="00D800F1">
              <w:rPr>
                <w:rFonts w:ascii="Times New Roman" w:eastAsia="Times New Roman" w:hAnsi="Times New Roman" w:cs="Times New Roman"/>
                <w:color w:val="000000"/>
                <w:sz w:val="18"/>
                <w:szCs w:val="18"/>
              </w:rPr>
              <w:t xml:space="preserve"> x R</w:t>
            </w:r>
          </w:p>
        </w:tc>
        <w:tc>
          <w:tcPr>
            <w:tcW w:w="0" w:type="auto"/>
            <w:tcBorders>
              <w:top w:val="nil"/>
              <w:left w:val="nil"/>
              <w:bottom w:val="nil"/>
              <w:right w:val="nil"/>
            </w:tcBorders>
            <w:shd w:val="clear" w:color="000000" w:fill="FFFFFF"/>
            <w:noWrap/>
            <w:vAlign w:val="bottom"/>
            <w:hideMark/>
          </w:tcPr>
          <w:p w14:paraId="1B1AC96E"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0.78</w:t>
            </w:r>
          </w:p>
        </w:tc>
        <w:tc>
          <w:tcPr>
            <w:tcW w:w="0" w:type="auto"/>
            <w:tcBorders>
              <w:top w:val="nil"/>
              <w:left w:val="nil"/>
              <w:bottom w:val="nil"/>
              <w:right w:val="nil"/>
            </w:tcBorders>
            <w:shd w:val="clear" w:color="000000" w:fill="FFFFFF"/>
            <w:noWrap/>
            <w:vAlign w:val="bottom"/>
            <w:hideMark/>
          </w:tcPr>
          <w:p w14:paraId="6DAE327C"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4ED3C1B9"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2CBBA7A8"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361B9C84"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5C504E8A"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0FE1F521"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6A85A32A"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23D17A98"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3658E81F"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0BCDAB02"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6C26129D"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0BA4F54B"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5262F338"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3919954B"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258131F1"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r>
      <w:tr w:rsidR="00EA4A1C" w:rsidRPr="00D800F1" w14:paraId="64E62BC2" w14:textId="77777777" w:rsidTr="00250E5D">
        <w:trPr>
          <w:trHeight w:val="255"/>
        </w:trPr>
        <w:tc>
          <w:tcPr>
            <w:tcW w:w="0" w:type="auto"/>
            <w:tcBorders>
              <w:top w:val="nil"/>
              <w:left w:val="nil"/>
              <w:bottom w:val="nil"/>
              <w:right w:val="nil"/>
            </w:tcBorders>
            <w:shd w:val="clear" w:color="000000" w:fill="FFFFFF"/>
            <w:noWrap/>
            <w:vAlign w:val="bottom"/>
            <w:hideMark/>
          </w:tcPr>
          <w:p w14:paraId="228DE91D" w14:textId="77777777" w:rsidR="00EA4A1C" w:rsidRPr="00D800F1" w:rsidRDefault="00EA4A1C" w:rsidP="00250E5D">
            <w:pPr>
              <w:spacing w:after="0" w:line="240" w:lineRule="auto"/>
              <w:jc w:val="right"/>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3</w:t>
            </w:r>
          </w:p>
        </w:tc>
        <w:tc>
          <w:tcPr>
            <w:tcW w:w="0" w:type="auto"/>
            <w:tcBorders>
              <w:top w:val="nil"/>
              <w:left w:val="nil"/>
              <w:bottom w:val="nil"/>
              <w:right w:val="nil"/>
            </w:tcBorders>
            <w:shd w:val="clear" w:color="000000" w:fill="FFFFFF"/>
            <w:noWrap/>
            <w:vAlign w:val="bottom"/>
            <w:hideMark/>
          </w:tcPr>
          <w:p w14:paraId="3934D367" w14:textId="77777777" w:rsidR="00EA4A1C" w:rsidRPr="00D800F1" w:rsidRDefault="00AC2886" w:rsidP="00250E5D">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Cross-border VC firm</w:t>
            </w:r>
            <w:r w:rsidR="00EA4A1C" w:rsidRPr="00D800F1">
              <w:rPr>
                <w:rFonts w:ascii="Times New Roman" w:eastAsia="Times New Roman" w:hAnsi="Times New Roman" w:cs="Times New Roman"/>
                <w:color w:val="000000"/>
                <w:sz w:val="18"/>
                <w:szCs w:val="18"/>
              </w:rPr>
              <w:t xml:space="preserve"> x R</w:t>
            </w:r>
          </w:p>
        </w:tc>
        <w:tc>
          <w:tcPr>
            <w:tcW w:w="0" w:type="auto"/>
            <w:tcBorders>
              <w:top w:val="nil"/>
              <w:left w:val="nil"/>
              <w:bottom w:val="nil"/>
              <w:right w:val="nil"/>
            </w:tcBorders>
            <w:shd w:val="clear" w:color="000000" w:fill="FFFFFF"/>
            <w:noWrap/>
            <w:vAlign w:val="bottom"/>
            <w:hideMark/>
          </w:tcPr>
          <w:p w14:paraId="3A9EF667"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0.47</w:t>
            </w:r>
          </w:p>
        </w:tc>
        <w:tc>
          <w:tcPr>
            <w:tcW w:w="0" w:type="auto"/>
            <w:tcBorders>
              <w:top w:val="nil"/>
              <w:left w:val="nil"/>
              <w:bottom w:val="nil"/>
              <w:right w:val="nil"/>
            </w:tcBorders>
            <w:shd w:val="clear" w:color="000000" w:fill="FFFFFF"/>
            <w:noWrap/>
            <w:vAlign w:val="bottom"/>
            <w:hideMark/>
          </w:tcPr>
          <w:p w14:paraId="7F5F9B0A" w14:textId="77777777" w:rsidR="00EA4A1C" w:rsidRPr="00D800F1" w:rsidRDefault="00EA4A1C" w:rsidP="00250E5D">
            <w:pPr>
              <w:spacing w:after="0" w:line="240" w:lineRule="auto"/>
              <w:jc w:val="right"/>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0.00</w:t>
            </w:r>
          </w:p>
        </w:tc>
        <w:tc>
          <w:tcPr>
            <w:tcW w:w="0" w:type="auto"/>
            <w:tcBorders>
              <w:top w:val="nil"/>
              <w:left w:val="nil"/>
              <w:bottom w:val="nil"/>
              <w:right w:val="nil"/>
            </w:tcBorders>
            <w:shd w:val="clear" w:color="000000" w:fill="FFFFFF"/>
            <w:noWrap/>
            <w:vAlign w:val="bottom"/>
            <w:hideMark/>
          </w:tcPr>
          <w:p w14:paraId="11CBD5BB"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53D32D97"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6788DEB5"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08D4B254"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62C9FB8F"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79C47BE1"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01D16C44"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5A331430"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749A6B13"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630AAF7C"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2BFB245B"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5CAE77A5"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2C30E4D0"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6AC6BA4E"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r>
      <w:tr w:rsidR="00EA4A1C" w:rsidRPr="00D800F1" w14:paraId="6F3DC885" w14:textId="77777777" w:rsidTr="00250E5D">
        <w:trPr>
          <w:trHeight w:val="255"/>
        </w:trPr>
        <w:tc>
          <w:tcPr>
            <w:tcW w:w="0" w:type="auto"/>
            <w:tcBorders>
              <w:top w:val="nil"/>
              <w:left w:val="nil"/>
              <w:bottom w:val="nil"/>
              <w:right w:val="nil"/>
            </w:tcBorders>
            <w:shd w:val="clear" w:color="000000" w:fill="FFFFFF"/>
            <w:noWrap/>
            <w:vAlign w:val="bottom"/>
            <w:hideMark/>
          </w:tcPr>
          <w:p w14:paraId="6D29A131" w14:textId="77777777" w:rsidR="00EA4A1C" w:rsidRPr="00D800F1" w:rsidRDefault="00EA4A1C" w:rsidP="00250E5D">
            <w:pPr>
              <w:spacing w:after="0" w:line="240" w:lineRule="auto"/>
              <w:jc w:val="right"/>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4</w:t>
            </w:r>
          </w:p>
        </w:tc>
        <w:tc>
          <w:tcPr>
            <w:tcW w:w="0" w:type="auto"/>
            <w:tcBorders>
              <w:top w:val="nil"/>
              <w:left w:val="nil"/>
              <w:bottom w:val="nil"/>
              <w:right w:val="nil"/>
            </w:tcBorders>
            <w:shd w:val="clear" w:color="000000" w:fill="FFFFFF"/>
            <w:noWrap/>
            <w:vAlign w:val="bottom"/>
            <w:hideMark/>
          </w:tcPr>
          <w:p w14:paraId="7119CE55" w14:textId="77777777" w:rsidR="00EA4A1C" w:rsidRPr="00D800F1" w:rsidRDefault="00AC2886" w:rsidP="00250E5D">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Branch VC firm</w:t>
            </w:r>
            <w:r w:rsidR="00EA4A1C" w:rsidRPr="00D800F1">
              <w:rPr>
                <w:rFonts w:ascii="Times New Roman" w:eastAsia="Times New Roman" w:hAnsi="Times New Roman" w:cs="Times New Roman"/>
                <w:color w:val="000000"/>
                <w:sz w:val="18"/>
                <w:szCs w:val="18"/>
              </w:rPr>
              <w:t xml:space="preserve"> x R</w:t>
            </w:r>
          </w:p>
        </w:tc>
        <w:tc>
          <w:tcPr>
            <w:tcW w:w="0" w:type="auto"/>
            <w:tcBorders>
              <w:top w:val="nil"/>
              <w:left w:val="nil"/>
              <w:bottom w:val="nil"/>
              <w:right w:val="nil"/>
            </w:tcBorders>
            <w:shd w:val="clear" w:color="000000" w:fill="FFFFFF"/>
            <w:noWrap/>
            <w:vAlign w:val="bottom"/>
            <w:hideMark/>
          </w:tcPr>
          <w:p w14:paraId="060D84B3"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0.41</w:t>
            </w:r>
          </w:p>
        </w:tc>
        <w:tc>
          <w:tcPr>
            <w:tcW w:w="0" w:type="auto"/>
            <w:tcBorders>
              <w:top w:val="nil"/>
              <w:left w:val="nil"/>
              <w:bottom w:val="nil"/>
              <w:right w:val="nil"/>
            </w:tcBorders>
            <w:shd w:val="clear" w:color="000000" w:fill="FFFFFF"/>
            <w:noWrap/>
            <w:vAlign w:val="bottom"/>
            <w:hideMark/>
          </w:tcPr>
          <w:p w14:paraId="4FA87735" w14:textId="77777777" w:rsidR="00EA4A1C" w:rsidRPr="00D800F1" w:rsidRDefault="00EA4A1C" w:rsidP="00250E5D">
            <w:pPr>
              <w:spacing w:after="0" w:line="240" w:lineRule="auto"/>
              <w:jc w:val="right"/>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-0.01</w:t>
            </w:r>
          </w:p>
        </w:tc>
        <w:tc>
          <w:tcPr>
            <w:tcW w:w="0" w:type="auto"/>
            <w:tcBorders>
              <w:top w:val="nil"/>
              <w:left w:val="nil"/>
              <w:bottom w:val="nil"/>
              <w:right w:val="nil"/>
            </w:tcBorders>
            <w:shd w:val="clear" w:color="000000" w:fill="FFFFFF"/>
            <w:noWrap/>
            <w:vAlign w:val="bottom"/>
            <w:hideMark/>
          </w:tcPr>
          <w:p w14:paraId="0CF1FE3B" w14:textId="77777777" w:rsidR="00EA4A1C" w:rsidRPr="00D800F1" w:rsidRDefault="00EA4A1C" w:rsidP="00250E5D">
            <w:pPr>
              <w:spacing w:after="0" w:line="240" w:lineRule="auto"/>
              <w:jc w:val="right"/>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-0.01</w:t>
            </w:r>
          </w:p>
        </w:tc>
        <w:tc>
          <w:tcPr>
            <w:tcW w:w="0" w:type="auto"/>
            <w:tcBorders>
              <w:top w:val="nil"/>
              <w:left w:val="nil"/>
              <w:bottom w:val="nil"/>
              <w:right w:val="nil"/>
            </w:tcBorders>
            <w:shd w:val="clear" w:color="000000" w:fill="FFFFFF"/>
            <w:noWrap/>
            <w:vAlign w:val="bottom"/>
            <w:hideMark/>
          </w:tcPr>
          <w:p w14:paraId="3AB2C5F8"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77619F32"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772534C6"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69669A9F"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2046A7FF"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51A79A22"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25D0E28B"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598FC051"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7AD1CAC0"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5D5C1418"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307BCFBC"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18DD322C"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78DA7169"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r>
      <w:tr w:rsidR="00EA4A1C" w:rsidRPr="00D800F1" w14:paraId="156BB5BC" w14:textId="77777777" w:rsidTr="00250E5D">
        <w:trPr>
          <w:trHeight w:val="255"/>
        </w:trPr>
        <w:tc>
          <w:tcPr>
            <w:tcW w:w="0" w:type="auto"/>
            <w:gridSpan w:val="2"/>
            <w:tcBorders>
              <w:top w:val="nil"/>
              <w:left w:val="nil"/>
              <w:bottom w:val="nil"/>
              <w:right w:val="nil"/>
            </w:tcBorders>
            <w:shd w:val="clear" w:color="000000" w:fill="FFFFFF"/>
            <w:noWrap/>
            <w:vAlign w:val="bottom"/>
            <w:hideMark/>
          </w:tcPr>
          <w:p w14:paraId="30428E6E" w14:textId="77777777" w:rsidR="00EA4A1C" w:rsidRPr="00D800F1" w:rsidRDefault="00EA4A1C" w:rsidP="00250E5D">
            <w:pPr>
              <w:spacing w:after="0" w:line="240" w:lineRule="auto"/>
              <w:rPr>
                <w:rFonts w:ascii="Times New Roman" w:eastAsia="Times New Roman" w:hAnsi="Times New Roman" w:cs="Times New Roman"/>
                <w:i/>
                <w:iCs/>
                <w:color w:val="000000"/>
                <w:sz w:val="18"/>
                <w:szCs w:val="18"/>
              </w:rPr>
            </w:pPr>
            <w:r w:rsidRPr="00D800F1">
              <w:rPr>
                <w:rFonts w:ascii="Times New Roman" w:eastAsia="Times New Roman" w:hAnsi="Times New Roman" w:cs="Times New Roman"/>
                <w:i/>
                <w:iCs/>
                <w:color w:val="000000"/>
                <w:sz w:val="18"/>
                <w:szCs w:val="18"/>
              </w:rPr>
              <w:t>Selection variable</w:t>
            </w:r>
          </w:p>
        </w:tc>
        <w:tc>
          <w:tcPr>
            <w:tcW w:w="0" w:type="auto"/>
            <w:tcBorders>
              <w:top w:val="nil"/>
              <w:left w:val="nil"/>
              <w:bottom w:val="nil"/>
              <w:right w:val="nil"/>
            </w:tcBorders>
            <w:shd w:val="clear" w:color="000000" w:fill="FFFFFF"/>
            <w:noWrap/>
            <w:vAlign w:val="bottom"/>
            <w:hideMark/>
          </w:tcPr>
          <w:p w14:paraId="045ECC09" w14:textId="77777777" w:rsidR="00EA4A1C" w:rsidRPr="007E519D" w:rsidRDefault="00EA4A1C" w:rsidP="00250E5D">
            <w:pPr>
              <w:spacing w:after="0" w:line="240" w:lineRule="auto"/>
              <w:rPr>
                <w:rFonts w:ascii="Times New Roman" w:hAnsi="Times New Roman"/>
                <w:b/>
                <w:i/>
                <w:color w:val="000000"/>
                <w:sz w:val="18"/>
              </w:rPr>
            </w:pPr>
            <w:r w:rsidRPr="007E519D">
              <w:rPr>
                <w:rFonts w:ascii="Times New Roman" w:hAnsi="Times New Roman"/>
                <w:b/>
                <w:i/>
                <w:color w:val="000000"/>
                <w:sz w:val="18"/>
              </w:rPr>
              <w:t> </w:t>
            </w:r>
          </w:p>
        </w:tc>
        <w:tc>
          <w:tcPr>
            <w:tcW w:w="0" w:type="auto"/>
            <w:tcBorders>
              <w:top w:val="nil"/>
              <w:left w:val="nil"/>
              <w:bottom w:val="nil"/>
              <w:right w:val="nil"/>
            </w:tcBorders>
            <w:shd w:val="clear" w:color="000000" w:fill="FFFFFF"/>
            <w:noWrap/>
            <w:vAlign w:val="bottom"/>
            <w:hideMark/>
          </w:tcPr>
          <w:p w14:paraId="43C61FFB"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22C5A831"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13D228A2"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006D979C"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075DFD76"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3BD15DC7"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6A076C53"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39D3AA2F"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0834947C"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6431107E"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49529B7F"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01243C4B"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6629C4F6"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6B7608A7"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2A36DA91"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r>
      <w:tr w:rsidR="00EA4A1C" w:rsidRPr="00D800F1" w14:paraId="6CD496F5" w14:textId="77777777" w:rsidTr="00250E5D">
        <w:trPr>
          <w:trHeight w:val="255"/>
        </w:trPr>
        <w:tc>
          <w:tcPr>
            <w:tcW w:w="0" w:type="auto"/>
            <w:tcBorders>
              <w:top w:val="nil"/>
              <w:left w:val="nil"/>
              <w:bottom w:val="nil"/>
              <w:right w:val="nil"/>
            </w:tcBorders>
            <w:shd w:val="clear" w:color="000000" w:fill="FFFFFF"/>
            <w:noWrap/>
            <w:vAlign w:val="bottom"/>
            <w:hideMark/>
          </w:tcPr>
          <w:p w14:paraId="6027A498" w14:textId="77777777" w:rsidR="00EA4A1C" w:rsidRPr="00D800F1" w:rsidRDefault="00EA4A1C" w:rsidP="00250E5D">
            <w:pPr>
              <w:spacing w:after="0" w:line="240" w:lineRule="auto"/>
              <w:jc w:val="right"/>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5</w:t>
            </w:r>
          </w:p>
        </w:tc>
        <w:tc>
          <w:tcPr>
            <w:tcW w:w="0" w:type="auto"/>
            <w:tcBorders>
              <w:top w:val="nil"/>
              <w:left w:val="nil"/>
              <w:bottom w:val="nil"/>
              <w:right w:val="nil"/>
            </w:tcBorders>
            <w:shd w:val="clear" w:color="000000" w:fill="FFFFFF"/>
            <w:noWrap/>
            <w:vAlign w:val="bottom"/>
            <w:hideMark/>
          </w:tcPr>
          <w:p w14:paraId="6BE23701"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Inverse Mills Ratio</w:t>
            </w:r>
          </w:p>
        </w:tc>
        <w:tc>
          <w:tcPr>
            <w:tcW w:w="0" w:type="auto"/>
            <w:tcBorders>
              <w:top w:val="nil"/>
              <w:left w:val="nil"/>
              <w:bottom w:val="nil"/>
              <w:right w:val="nil"/>
            </w:tcBorders>
            <w:shd w:val="clear" w:color="000000" w:fill="FFFFFF"/>
            <w:noWrap/>
            <w:vAlign w:val="bottom"/>
            <w:hideMark/>
          </w:tcPr>
          <w:p w14:paraId="60650EC2"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-0.34</w:t>
            </w:r>
          </w:p>
        </w:tc>
        <w:tc>
          <w:tcPr>
            <w:tcW w:w="0" w:type="auto"/>
            <w:tcBorders>
              <w:top w:val="nil"/>
              <w:left w:val="nil"/>
              <w:bottom w:val="nil"/>
              <w:right w:val="nil"/>
            </w:tcBorders>
            <w:shd w:val="clear" w:color="000000" w:fill="FFFFFF"/>
            <w:noWrap/>
            <w:vAlign w:val="bottom"/>
            <w:hideMark/>
          </w:tcPr>
          <w:p w14:paraId="1FF409D0"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-0.28</w:t>
            </w:r>
          </w:p>
        </w:tc>
        <w:tc>
          <w:tcPr>
            <w:tcW w:w="0" w:type="auto"/>
            <w:tcBorders>
              <w:top w:val="nil"/>
              <w:left w:val="nil"/>
              <w:bottom w:val="nil"/>
              <w:right w:val="nil"/>
            </w:tcBorders>
            <w:shd w:val="clear" w:color="000000" w:fill="FFFFFF"/>
            <w:noWrap/>
            <w:vAlign w:val="bottom"/>
            <w:hideMark/>
          </w:tcPr>
          <w:p w14:paraId="7029222A"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-0.15</w:t>
            </w:r>
          </w:p>
        </w:tc>
        <w:tc>
          <w:tcPr>
            <w:tcW w:w="0" w:type="auto"/>
            <w:tcBorders>
              <w:top w:val="nil"/>
              <w:left w:val="nil"/>
              <w:bottom w:val="nil"/>
              <w:right w:val="nil"/>
            </w:tcBorders>
            <w:shd w:val="clear" w:color="000000" w:fill="FFFFFF"/>
            <w:noWrap/>
            <w:vAlign w:val="bottom"/>
            <w:hideMark/>
          </w:tcPr>
          <w:p w14:paraId="75108889"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-0.11</w:t>
            </w:r>
          </w:p>
        </w:tc>
        <w:tc>
          <w:tcPr>
            <w:tcW w:w="0" w:type="auto"/>
            <w:tcBorders>
              <w:top w:val="nil"/>
              <w:left w:val="nil"/>
              <w:bottom w:val="nil"/>
              <w:right w:val="nil"/>
            </w:tcBorders>
            <w:shd w:val="clear" w:color="000000" w:fill="FFFFFF"/>
            <w:noWrap/>
            <w:vAlign w:val="bottom"/>
            <w:hideMark/>
          </w:tcPr>
          <w:p w14:paraId="1652E389"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04EFCAAD"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7E3F0265"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524BDBB2"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43381102"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58F14F4B"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3C7BDAB8"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7682A2F3"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0CB249E1"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2EC8EB1F"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6CF0C872"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6C46A27D"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r>
      <w:tr w:rsidR="00EA4A1C" w:rsidRPr="00D800F1" w14:paraId="604F2741" w14:textId="77777777" w:rsidTr="00250E5D">
        <w:trPr>
          <w:trHeight w:val="255"/>
        </w:trPr>
        <w:tc>
          <w:tcPr>
            <w:tcW w:w="0" w:type="auto"/>
            <w:gridSpan w:val="2"/>
            <w:tcBorders>
              <w:top w:val="nil"/>
              <w:left w:val="nil"/>
              <w:bottom w:val="nil"/>
              <w:right w:val="nil"/>
            </w:tcBorders>
            <w:shd w:val="clear" w:color="000000" w:fill="FFFFFF"/>
            <w:noWrap/>
            <w:vAlign w:val="bottom"/>
            <w:hideMark/>
          </w:tcPr>
          <w:p w14:paraId="32B03775" w14:textId="77777777" w:rsidR="00EA4A1C" w:rsidRPr="00D800F1" w:rsidRDefault="00EA4A1C" w:rsidP="00250E5D">
            <w:pPr>
              <w:spacing w:after="0" w:line="240" w:lineRule="auto"/>
              <w:rPr>
                <w:rFonts w:ascii="Times New Roman" w:eastAsia="Times New Roman" w:hAnsi="Times New Roman" w:cs="Times New Roman"/>
                <w:i/>
                <w:iCs/>
                <w:color w:val="000000"/>
                <w:sz w:val="18"/>
                <w:szCs w:val="18"/>
              </w:rPr>
            </w:pPr>
            <w:r w:rsidRPr="00D800F1">
              <w:rPr>
                <w:rFonts w:ascii="Times New Roman" w:eastAsia="Times New Roman" w:hAnsi="Times New Roman" w:cs="Times New Roman"/>
                <w:i/>
                <w:iCs/>
                <w:color w:val="000000"/>
                <w:sz w:val="18"/>
                <w:szCs w:val="18"/>
              </w:rPr>
              <w:t>Portfolio company characteristics</w:t>
            </w:r>
          </w:p>
        </w:tc>
        <w:tc>
          <w:tcPr>
            <w:tcW w:w="0" w:type="auto"/>
            <w:tcBorders>
              <w:top w:val="nil"/>
              <w:left w:val="nil"/>
              <w:bottom w:val="nil"/>
              <w:right w:val="nil"/>
            </w:tcBorders>
            <w:shd w:val="clear" w:color="000000" w:fill="FFFFFF"/>
            <w:noWrap/>
            <w:vAlign w:val="bottom"/>
            <w:hideMark/>
          </w:tcPr>
          <w:p w14:paraId="2D4C401F" w14:textId="77777777" w:rsidR="00EA4A1C" w:rsidRPr="007E519D" w:rsidRDefault="00EA4A1C" w:rsidP="00250E5D">
            <w:pPr>
              <w:spacing w:after="0" w:line="240" w:lineRule="auto"/>
              <w:rPr>
                <w:rFonts w:ascii="Times New Roman" w:hAnsi="Times New Roman"/>
                <w:b/>
                <w:i/>
                <w:color w:val="000000"/>
                <w:sz w:val="18"/>
              </w:rPr>
            </w:pPr>
            <w:r w:rsidRPr="007E519D">
              <w:rPr>
                <w:rFonts w:ascii="Times New Roman" w:hAnsi="Times New Roman"/>
                <w:b/>
                <w:i/>
                <w:color w:val="000000"/>
                <w:sz w:val="18"/>
              </w:rPr>
              <w:t> </w:t>
            </w:r>
          </w:p>
        </w:tc>
        <w:tc>
          <w:tcPr>
            <w:tcW w:w="0" w:type="auto"/>
            <w:tcBorders>
              <w:top w:val="nil"/>
              <w:left w:val="nil"/>
              <w:bottom w:val="nil"/>
              <w:right w:val="nil"/>
            </w:tcBorders>
            <w:shd w:val="clear" w:color="000000" w:fill="FFFFFF"/>
            <w:noWrap/>
            <w:vAlign w:val="bottom"/>
            <w:hideMark/>
          </w:tcPr>
          <w:p w14:paraId="6144BD13"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25167D9C"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6ADD9F3D"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5332D1A2"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5FA11209"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413DC979"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7A66F780"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5B31F3D1"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26637EC1"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5202862F"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45E28B45"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1F05B9E0"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39B877C1"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74D6F57C"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75949619"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r>
      <w:tr w:rsidR="00EA4A1C" w:rsidRPr="00D800F1" w14:paraId="0AF55F59" w14:textId="77777777" w:rsidTr="00250E5D">
        <w:trPr>
          <w:trHeight w:val="255"/>
        </w:trPr>
        <w:tc>
          <w:tcPr>
            <w:tcW w:w="0" w:type="auto"/>
            <w:tcBorders>
              <w:top w:val="nil"/>
              <w:left w:val="nil"/>
              <w:bottom w:val="nil"/>
              <w:right w:val="nil"/>
            </w:tcBorders>
            <w:shd w:val="clear" w:color="000000" w:fill="FFFFFF"/>
            <w:noWrap/>
            <w:vAlign w:val="bottom"/>
            <w:hideMark/>
          </w:tcPr>
          <w:p w14:paraId="57A1D149" w14:textId="77777777" w:rsidR="00EA4A1C" w:rsidRPr="00D800F1" w:rsidRDefault="00EA4A1C" w:rsidP="00250E5D">
            <w:pPr>
              <w:spacing w:after="0" w:line="240" w:lineRule="auto"/>
              <w:jc w:val="right"/>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6</w:t>
            </w:r>
          </w:p>
        </w:tc>
        <w:tc>
          <w:tcPr>
            <w:tcW w:w="0" w:type="auto"/>
            <w:tcBorders>
              <w:top w:val="nil"/>
              <w:left w:val="nil"/>
              <w:bottom w:val="nil"/>
              <w:right w:val="nil"/>
            </w:tcBorders>
            <w:shd w:val="clear" w:color="000000" w:fill="FFFFFF"/>
            <w:noWrap/>
            <w:vAlign w:val="bottom"/>
            <w:hideMark/>
          </w:tcPr>
          <w:p w14:paraId="75E6D434"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Portfolio company age</w:t>
            </w:r>
          </w:p>
        </w:tc>
        <w:tc>
          <w:tcPr>
            <w:tcW w:w="0" w:type="auto"/>
            <w:tcBorders>
              <w:top w:val="nil"/>
              <w:left w:val="nil"/>
              <w:bottom w:val="nil"/>
              <w:right w:val="nil"/>
            </w:tcBorders>
            <w:shd w:val="clear" w:color="000000" w:fill="FFFFFF"/>
            <w:noWrap/>
            <w:vAlign w:val="bottom"/>
            <w:hideMark/>
          </w:tcPr>
          <w:p w14:paraId="3367C44E"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0.42</w:t>
            </w:r>
          </w:p>
        </w:tc>
        <w:tc>
          <w:tcPr>
            <w:tcW w:w="0" w:type="auto"/>
            <w:tcBorders>
              <w:top w:val="nil"/>
              <w:left w:val="nil"/>
              <w:bottom w:val="nil"/>
              <w:right w:val="nil"/>
            </w:tcBorders>
            <w:shd w:val="clear" w:color="000000" w:fill="FFFFFF"/>
            <w:noWrap/>
            <w:vAlign w:val="bottom"/>
            <w:hideMark/>
          </w:tcPr>
          <w:p w14:paraId="2EE2B017"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0.36</w:t>
            </w:r>
          </w:p>
        </w:tc>
        <w:tc>
          <w:tcPr>
            <w:tcW w:w="0" w:type="auto"/>
            <w:tcBorders>
              <w:top w:val="nil"/>
              <w:left w:val="nil"/>
              <w:bottom w:val="nil"/>
              <w:right w:val="nil"/>
            </w:tcBorders>
            <w:shd w:val="clear" w:color="000000" w:fill="FFFFFF"/>
            <w:noWrap/>
            <w:vAlign w:val="bottom"/>
            <w:hideMark/>
          </w:tcPr>
          <w:p w14:paraId="498A2E55"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0.19</w:t>
            </w:r>
          </w:p>
        </w:tc>
        <w:tc>
          <w:tcPr>
            <w:tcW w:w="0" w:type="auto"/>
            <w:tcBorders>
              <w:top w:val="nil"/>
              <w:left w:val="nil"/>
              <w:bottom w:val="nil"/>
              <w:right w:val="nil"/>
            </w:tcBorders>
            <w:shd w:val="clear" w:color="000000" w:fill="FFFFFF"/>
            <w:noWrap/>
            <w:vAlign w:val="bottom"/>
            <w:hideMark/>
          </w:tcPr>
          <w:p w14:paraId="552053C3"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0.12</w:t>
            </w:r>
          </w:p>
        </w:tc>
        <w:tc>
          <w:tcPr>
            <w:tcW w:w="0" w:type="auto"/>
            <w:tcBorders>
              <w:top w:val="nil"/>
              <w:left w:val="nil"/>
              <w:bottom w:val="nil"/>
              <w:right w:val="nil"/>
            </w:tcBorders>
            <w:shd w:val="clear" w:color="000000" w:fill="FFFFFF"/>
            <w:noWrap/>
            <w:vAlign w:val="bottom"/>
            <w:hideMark/>
          </w:tcPr>
          <w:p w14:paraId="543A345C"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-0.22</w:t>
            </w:r>
          </w:p>
        </w:tc>
        <w:tc>
          <w:tcPr>
            <w:tcW w:w="0" w:type="auto"/>
            <w:tcBorders>
              <w:top w:val="nil"/>
              <w:left w:val="nil"/>
              <w:bottom w:val="nil"/>
              <w:right w:val="nil"/>
            </w:tcBorders>
            <w:shd w:val="clear" w:color="000000" w:fill="FFFFFF"/>
            <w:noWrap/>
            <w:vAlign w:val="bottom"/>
            <w:hideMark/>
          </w:tcPr>
          <w:p w14:paraId="57F78310"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4D6BEE41"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40A00D9A"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5736AC8D"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678694BB"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3104BF46"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1E2AA524"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650E1F35"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69D018E1"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6F576DC4"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081AE5FA"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r>
      <w:tr w:rsidR="00EA4A1C" w:rsidRPr="00D800F1" w14:paraId="32438773" w14:textId="77777777" w:rsidTr="00250E5D">
        <w:trPr>
          <w:trHeight w:val="255"/>
        </w:trPr>
        <w:tc>
          <w:tcPr>
            <w:tcW w:w="0" w:type="auto"/>
            <w:tcBorders>
              <w:top w:val="nil"/>
              <w:left w:val="nil"/>
              <w:bottom w:val="nil"/>
              <w:right w:val="nil"/>
            </w:tcBorders>
            <w:shd w:val="clear" w:color="000000" w:fill="FFFFFF"/>
            <w:noWrap/>
            <w:vAlign w:val="bottom"/>
            <w:hideMark/>
          </w:tcPr>
          <w:p w14:paraId="02577D4D" w14:textId="77777777" w:rsidR="00EA4A1C" w:rsidRPr="00D800F1" w:rsidRDefault="00EA4A1C" w:rsidP="00250E5D">
            <w:pPr>
              <w:spacing w:after="0" w:line="240" w:lineRule="auto"/>
              <w:jc w:val="right"/>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7</w:t>
            </w:r>
          </w:p>
        </w:tc>
        <w:tc>
          <w:tcPr>
            <w:tcW w:w="0" w:type="auto"/>
            <w:tcBorders>
              <w:top w:val="nil"/>
              <w:left w:val="nil"/>
              <w:bottom w:val="nil"/>
              <w:right w:val="nil"/>
            </w:tcBorders>
            <w:shd w:val="clear" w:color="000000" w:fill="FFFFFF"/>
            <w:noWrap/>
            <w:vAlign w:val="bottom"/>
            <w:hideMark/>
          </w:tcPr>
          <w:p w14:paraId="716EADA4"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Patents</w:t>
            </w:r>
          </w:p>
        </w:tc>
        <w:tc>
          <w:tcPr>
            <w:tcW w:w="0" w:type="auto"/>
            <w:tcBorders>
              <w:top w:val="nil"/>
              <w:left w:val="nil"/>
              <w:bottom w:val="nil"/>
              <w:right w:val="nil"/>
            </w:tcBorders>
            <w:shd w:val="clear" w:color="000000" w:fill="FFFFFF"/>
            <w:noWrap/>
            <w:vAlign w:val="bottom"/>
            <w:hideMark/>
          </w:tcPr>
          <w:p w14:paraId="3E084F09" w14:textId="77777777" w:rsidR="00EA4A1C" w:rsidRPr="00D800F1" w:rsidRDefault="00EA4A1C" w:rsidP="00250E5D">
            <w:pPr>
              <w:spacing w:after="0" w:line="240" w:lineRule="auto"/>
              <w:jc w:val="right"/>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0.00</w:t>
            </w:r>
          </w:p>
        </w:tc>
        <w:tc>
          <w:tcPr>
            <w:tcW w:w="0" w:type="auto"/>
            <w:tcBorders>
              <w:top w:val="nil"/>
              <w:left w:val="nil"/>
              <w:bottom w:val="nil"/>
              <w:right w:val="nil"/>
            </w:tcBorders>
            <w:shd w:val="clear" w:color="000000" w:fill="FFFFFF"/>
            <w:noWrap/>
            <w:vAlign w:val="bottom"/>
            <w:hideMark/>
          </w:tcPr>
          <w:p w14:paraId="5FCCF0BF" w14:textId="77777777" w:rsidR="00EA4A1C" w:rsidRPr="00D800F1" w:rsidRDefault="00EA4A1C" w:rsidP="00250E5D">
            <w:pPr>
              <w:spacing w:after="0" w:line="240" w:lineRule="auto"/>
              <w:jc w:val="right"/>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0.01</w:t>
            </w:r>
          </w:p>
        </w:tc>
        <w:tc>
          <w:tcPr>
            <w:tcW w:w="0" w:type="auto"/>
            <w:tcBorders>
              <w:top w:val="nil"/>
              <w:left w:val="nil"/>
              <w:bottom w:val="nil"/>
              <w:right w:val="nil"/>
            </w:tcBorders>
            <w:shd w:val="clear" w:color="000000" w:fill="FFFFFF"/>
            <w:noWrap/>
            <w:vAlign w:val="bottom"/>
            <w:hideMark/>
          </w:tcPr>
          <w:p w14:paraId="543CBF7B" w14:textId="77777777" w:rsidR="00EA4A1C" w:rsidRPr="00D800F1" w:rsidRDefault="00EA4A1C" w:rsidP="00250E5D">
            <w:pPr>
              <w:spacing w:after="0" w:line="240" w:lineRule="auto"/>
              <w:jc w:val="right"/>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-0.01</w:t>
            </w:r>
          </w:p>
        </w:tc>
        <w:tc>
          <w:tcPr>
            <w:tcW w:w="0" w:type="auto"/>
            <w:tcBorders>
              <w:top w:val="nil"/>
              <w:left w:val="nil"/>
              <w:bottom w:val="nil"/>
              <w:right w:val="nil"/>
            </w:tcBorders>
            <w:shd w:val="clear" w:color="000000" w:fill="FFFFFF"/>
            <w:noWrap/>
            <w:vAlign w:val="bottom"/>
            <w:hideMark/>
          </w:tcPr>
          <w:p w14:paraId="398AA155" w14:textId="77777777" w:rsidR="00EA4A1C" w:rsidRPr="00D800F1" w:rsidRDefault="00EA4A1C" w:rsidP="00250E5D">
            <w:pPr>
              <w:spacing w:after="0" w:line="240" w:lineRule="auto"/>
              <w:jc w:val="right"/>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-0.01</w:t>
            </w:r>
          </w:p>
        </w:tc>
        <w:tc>
          <w:tcPr>
            <w:tcW w:w="0" w:type="auto"/>
            <w:tcBorders>
              <w:top w:val="nil"/>
              <w:left w:val="nil"/>
              <w:bottom w:val="nil"/>
              <w:right w:val="nil"/>
            </w:tcBorders>
            <w:shd w:val="clear" w:color="000000" w:fill="FFFFFF"/>
            <w:noWrap/>
            <w:vAlign w:val="bottom"/>
            <w:hideMark/>
          </w:tcPr>
          <w:p w14:paraId="165C16F1"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-0.20</w:t>
            </w:r>
          </w:p>
        </w:tc>
        <w:tc>
          <w:tcPr>
            <w:tcW w:w="0" w:type="auto"/>
            <w:tcBorders>
              <w:top w:val="nil"/>
              <w:left w:val="nil"/>
              <w:bottom w:val="nil"/>
              <w:right w:val="nil"/>
            </w:tcBorders>
            <w:shd w:val="clear" w:color="000000" w:fill="FFFFFF"/>
            <w:noWrap/>
            <w:vAlign w:val="bottom"/>
            <w:hideMark/>
          </w:tcPr>
          <w:p w14:paraId="65E8E5F4" w14:textId="77777777" w:rsidR="00EA4A1C" w:rsidRPr="007E519D" w:rsidRDefault="00EA4A1C" w:rsidP="00250E5D">
            <w:pPr>
              <w:spacing w:after="0" w:line="240" w:lineRule="auto"/>
              <w:jc w:val="right"/>
              <w:rPr>
                <w:rFonts w:ascii="Times New Roman" w:hAnsi="Times New Roman"/>
                <w:i/>
                <w:color w:val="000000"/>
                <w:sz w:val="18"/>
              </w:rPr>
            </w:pPr>
            <w:r w:rsidRPr="007E519D">
              <w:rPr>
                <w:rFonts w:ascii="Times New Roman" w:hAnsi="Times New Roman"/>
                <w:i/>
                <w:color w:val="000000"/>
                <w:sz w:val="18"/>
              </w:rPr>
              <w:t>0.06</w:t>
            </w:r>
          </w:p>
        </w:tc>
        <w:tc>
          <w:tcPr>
            <w:tcW w:w="0" w:type="auto"/>
            <w:tcBorders>
              <w:top w:val="nil"/>
              <w:left w:val="nil"/>
              <w:bottom w:val="nil"/>
              <w:right w:val="nil"/>
            </w:tcBorders>
            <w:shd w:val="clear" w:color="000000" w:fill="FFFFFF"/>
            <w:noWrap/>
            <w:vAlign w:val="bottom"/>
            <w:hideMark/>
          </w:tcPr>
          <w:p w14:paraId="32CAA9A4"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23DAD6EA"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1D739CC9"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77529353"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35EABBDB"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09359F32"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69290473"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659C8DF6"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41FEFC92"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6E2C3D96"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r>
      <w:tr w:rsidR="00EA4A1C" w:rsidRPr="00D800F1" w14:paraId="1F2981FF" w14:textId="77777777" w:rsidTr="00250E5D">
        <w:trPr>
          <w:trHeight w:val="255"/>
        </w:trPr>
        <w:tc>
          <w:tcPr>
            <w:tcW w:w="0" w:type="auto"/>
            <w:tcBorders>
              <w:top w:val="nil"/>
              <w:left w:val="nil"/>
              <w:bottom w:val="nil"/>
              <w:right w:val="nil"/>
            </w:tcBorders>
            <w:shd w:val="clear" w:color="000000" w:fill="FFFFFF"/>
            <w:noWrap/>
            <w:vAlign w:val="bottom"/>
            <w:hideMark/>
          </w:tcPr>
          <w:p w14:paraId="63B0063D" w14:textId="77777777" w:rsidR="00EA4A1C" w:rsidRPr="00D800F1" w:rsidRDefault="00EA4A1C" w:rsidP="00250E5D">
            <w:pPr>
              <w:spacing w:after="0" w:line="240" w:lineRule="auto"/>
              <w:jc w:val="right"/>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8</w:t>
            </w:r>
          </w:p>
        </w:tc>
        <w:tc>
          <w:tcPr>
            <w:tcW w:w="0" w:type="auto"/>
            <w:tcBorders>
              <w:top w:val="nil"/>
              <w:left w:val="nil"/>
              <w:bottom w:val="nil"/>
              <w:right w:val="nil"/>
            </w:tcBorders>
            <w:shd w:val="clear" w:color="000000" w:fill="FFFFFF"/>
            <w:noWrap/>
            <w:vAlign w:val="bottom"/>
            <w:hideMark/>
          </w:tcPr>
          <w:p w14:paraId="72EC4C97"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Sales (LN)</w:t>
            </w:r>
          </w:p>
        </w:tc>
        <w:tc>
          <w:tcPr>
            <w:tcW w:w="0" w:type="auto"/>
            <w:tcBorders>
              <w:top w:val="nil"/>
              <w:left w:val="nil"/>
              <w:bottom w:val="nil"/>
              <w:right w:val="nil"/>
            </w:tcBorders>
            <w:shd w:val="clear" w:color="000000" w:fill="FFFFFF"/>
            <w:noWrap/>
            <w:vAlign w:val="bottom"/>
            <w:hideMark/>
          </w:tcPr>
          <w:p w14:paraId="6E43356A"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0.28</w:t>
            </w:r>
          </w:p>
        </w:tc>
        <w:tc>
          <w:tcPr>
            <w:tcW w:w="0" w:type="auto"/>
            <w:tcBorders>
              <w:top w:val="nil"/>
              <w:left w:val="nil"/>
              <w:bottom w:val="nil"/>
              <w:right w:val="nil"/>
            </w:tcBorders>
            <w:shd w:val="clear" w:color="000000" w:fill="FFFFFF"/>
            <w:noWrap/>
            <w:vAlign w:val="bottom"/>
            <w:hideMark/>
          </w:tcPr>
          <w:p w14:paraId="23650764"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0.25</w:t>
            </w:r>
          </w:p>
        </w:tc>
        <w:tc>
          <w:tcPr>
            <w:tcW w:w="0" w:type="auto"/>
            <w:tcBorders>
              <w:top w:val="nil"/>
              <w:left w:val="nil"/>
              <w:bottom w:val="nil"/>
              <w:right w:val="nil"/>
            </w:tcBorders>
            <w:shd w:val="clear" w:color="000000" w:fill="FFFFFF"/>
            <w:noWrap/>
            <w:vAlign w:val="bottom"/>
            <w:hideMark/>
          </w:tcPr>
          <w:p w14:paraId="75D93FBF"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0.10</w:t>
            </w:r>
          </w:p>
        </w:tc>
        <w:tc>
          <w:tcPr>
            <w:tcW w:w="0" w:type="auto"/>
            <w:tcBorders>
              <w:top w:val="nil"/>
              <w:left w:val="nil"/>
              <w:bottom w:val="nil"/>
              <w:right w:val="nil"/>
            </w:tcBorders>
            <w:shd w:val="clear" w:color="000000" w:fill="FFFFFF"/>
            <w:noWrap/>
            <w:vAlign w:val="bottom"/>
            <w:hideMark/>
          </w:tcPr>
          <w:p w14:paraId="2A6F79F9"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0.09</w:t>
            </w:r>
          </w:p>
        </w:tc>
        <w:tc>
          <w:tcPr>
            <w:tcW w:w="0" w:type="auto"/>
            <w:tcBorders>
              <w:top w:val="nil"/>
              <w:left w:val="nil"/>
              <w:bottom w:val="nil"/>
              <w:right w:val="nil"/>
            </w:tcBorders>
            <w:shd w:val="clear" w:color="000000" w:fill="FFFFFF"/>
            <w:noWrap/>
            <w:vAlign w:val="bottom"/>
            <w:hideMark/>
          </w:tcPr>
          <w:p w14:paraId="11A71B67"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-0.25</w:t>
            </w:r>
          </w:p>
        </w:tc>
        <w:tc>
          <w:tcPr>
            <w:tcW w:w="0" w:type="auto"/>
            <w:tcBorders>
              <w:top w:val="nil"/>
              <w:left w:val="nil"/>
              <w:bottom w:val="nil"/>
              <w:right w:val="nil"/>
            </w:tcBorders>
            <w:shd w:val="clear" w:color="000000" w:fill="FFFFFF"/>
            <w:noWrap/>
            <w:vAlign w:val="bottom"/>
            <w:hideMark/>
          </w:tcPr>
          <w:p w14:paraId="52D2FF01"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0.61</w:t>
            </w:r>
          </w:p>
        </w:tc>
        <w:tc>
          <w:tcPr>
            <w:tcW w:w="0" w:type="auto"/>
            <w:tcBorders>
              <w:top w:val="nil"/>
              <w:left w:val="nil"/>
              <w:bottom w:val="nil"/>
              <w:right w:val="nil"/>
            </w:tcBorders>
            <w:shd w:val="clear" w:color="000000" w:fill="FFFFFF"/>
            <w:noWrap/>
            <w:vAlign w:val="bottom"/>
            <w:hideMark/>
          </w:tcPr>
          <w:p w14:paraId="038DB93C"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0.09</w:t>
            </w:r>
          </w:p>
        </w:tc>
        <w:tc>
          <w:tcPr>
            <w:tcW w:w="0" w:type="auto"/>
            <w:tcBorders>
              <w:top w:val="nil"/>
              <w:left w:val="nil"/>
              <w:bottom w:val="nil"/>
              <w:right w:val="nil"/>
            </w:tcBorders>
            <w:shd w:val="clear" w:color="000000" w:fill="FFFFFF"/>
            <w:noWrap/>
            <w:vAlign w:val="bottom"/>
            <w:hideMark/>
          </w:tcPr>
          <w:p w14:paraId="6F07ED8A"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1E30B08F"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4CF2274E"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00DAAE83"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60657C87"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306735F0"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028D16E7"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79B43FCE"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1300C245"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r>
      <w:tr w:rsidR="00EA4A1C" w:rsidRPr="00D800F1" w14:paraId="4C57F6E1" w14:textId="77777777" w:rsidTr="00250E5D">
        <w:trPr>
          <w:trHeight w:val="255"/>
        </w:trPr>
        <w:tc>
          <w:tcPr>
            <w:tcW w:w="0" w:type="auto"/>
            <w:gridSpan w:val="2"/>
            <w:tcBorders>
              <w:top w:val="nil"/>
              <w:left w:val="nil"/>
              <w:bottom w:val="nil"/>
              <w:right w:val="nil"/>
            </w:tcBorders>
            <w:shd w:val="clear" w:color="000000" w:fill="FFFFFF"/>
            <w:noWrap/>
            <w:vAlign w:val="bottom"/>
            <w:hideMark/>
          </w:tcPr>
          <w:p w14:paraId="166CDE91" w14:textId="77777777" w:rsidR="00EA4A1C" w:rsidRPr="00D800F1" w:rsidRDefault="00EA4A1C" w:rsidP="00250E5D">
            <w:pPr>
              <w:spacing w:after="0" w:line="240" w:lineRule="auto"/>
              <w:rPr>
                <w:rFonts w:ascii="Times New Roman" w:eastAsia="Times New Roman" w:hAnsi="Times New Roman" w:cs="Times New Roman"/>
                <w:i/>
                <w:iCs/>
                <w:color w:val="000000"/>
                <w:sz w:val="18"/>
                <w:szCs w:val="18"/>
              </w:rPr>
            </w:pPr>
            <w:r w:rsidRPr="00D800F1">
              <w:rPr>
                <w:rFonts w:ascii="Times New Roman" w:eastAsia="Times New Roman" w:hAnsi="Times New Roman" w:cs="Times New Roman"/>
                <w:i/>
                <w:iCs/>
                <w:color w:val="000000"/>
                <w:sz w:val="18"/>
                <w:szCs w:val="18"/>
              </w:rPr>
              <w:t xml:space="preserve">VC </w:t>
            </w:r>
            <w:r w:rsidR="00AC2886">
              <w:rPr>
                <w:rFonts w:ascii="Times New Roman" w:eastAsia="Times New Roman" w:hAnsi="Times New Roman" w:cs="Times New Roman"/>
                <w:i/>
                <w:iCs/>
                <w:color w:val="000000"/>
                <w:sz w:val="18"/>
                <w:szCs w:val="18"/>
              </w:rPr>
              <w:t xml:space="preserve">firm </w:t>
            </w:r>
            <w:r w:rsidRPr="00D800F1">
              <w:rPr>
                <w:rFonts w:ascii="Times New Roman" w:eastAsia="Times New Roman" w:hAnsi="Times New Roman" w:cs="Times New Roman"/>
                <w:i/>
                <w:iCs/>
                <w:color w:val="000000"/>
                <w:sz w:val="18"/>
                <w:szCs w:val="18"/>
              </w:rPr>
              <w:t>characteristics</w:t>
            </w:r>
          </w:p>
        </w:tc>
        <w:tc>
          <w:tcPr>
            <w:tcW w:w="0" w:type="auto"/>
            <w:tcBorders>
              <w:top w:val="nil"/>
              <w:left w:val="nil"/>
              <w:bottom w:val="nil"/>
              <w:right w:val="nil"/>
            </w:tcBorders>
            <w:shd w:val="clear" w:color="000000" w:fill="FFFFFF"/>
            <w:noWrap/>
            <w:vAlign w:val="bottom"/>
            <w:hideMark/>
          </w:tcPr>
          <w:p w14:paraId="69A32CBA"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33F7C36C"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4310D6A2"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7806DADE"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3A076492"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48A9FA7F"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3BFBC296"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4464D646"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6B7D16D7"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38E22706"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56FFE0D4"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31610214"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719983AB"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295D1F20"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747FC698"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64F2A95B"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r>
      <w:tr w:rsidR="00EA4A1C" w:rsidRPr="00D800F1" w14:paraId="16E4EA90" w14:textId="77777777" w:rsidTr="00250E5D">
        <w:trPr>
          <w:trHeight w:val="255"/>
        </w:trPr>
        <w:tc>
          <w:tcPr>
            <w:tcW w:w="0" w:type="auto"/>
            <w:tcBorders>
              <w:top w:val="nil"/>
              <w:left w:val="nil"/>
              <w:bottom w:val="nil"/>
              <w:right w:val="nil"/>
            </w:tcBorders>
            <w:shd w:val="clear" w:color="000000" w:fill="FFFFFF"/>
            <w:noWrap/>
            <w:vAlign w:val="bottom"/>
            <w:hideMark/>
          </w:tcPr>
          <w:p w14:paraId="65A6E203" w14:textId="77777777" w:rsidR="00EA4A1C" w:rsidRPr="00D800F1" w:rsidRDefault="00EA4A1C" w:rsidP="00250E5D">
            <w:pPr>
              <w:spacing w:after="0" w:line="240" w:lineRule="auto"/>
              <w:jc w:val="right"/>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9</w:t>
            </w:r>
          </w:p>
        </w:tc>
        <w:tc>
          <w:tcPr>
            <w:tcW w:w="0" w:type="auto"/>
            <w:tcBorders>
              <w:top w:val="nil"/>
              <w:left w:val="nil"/>
              <w:bottom w:val="nil"/>
              <w:right w:val="nil"/>
            </w:tcBorders>
            <w:shd w:val="clear" w:color="000000" w:fill="FFFFFF"/>
            <w:noWrap/>
            <w:vAlign w:val="bottom"/>
            <w:hideMark/>
          </w:tcPr>
          <w:p w14:paraId="4E3989D8"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xml:space="preserve">VC </w:t>
            </w:r>
            <w:r w:rsidR="00AC2886">
              <w:rPr>
                <w:rFonts w:ascii="Times New Roman" w:eastAsia="Times New Roman" w:hAnsi="Times New Roman" w:cs="Times New Roman"/>
                <w:color w:val="000000"/>
                <w:sz w:val="18"/>
                <w:szCs w:val="18"/>
              </w:rPr>
              <w:t xml:space="preserve">firm </w:t>
            </w:r>
            <w:r w:rsidRPr="00D800F1">
              <w:rPr>
                <w:rFonts w:ascii="Times New Roman" w:eastAsia="Times New Roman" w:hAnsi="Times New Roman" w:cs="Times New Roman"/>
                <w:color w:val="000000"/>
                <w:sz w:val="18"/>
                <w:szCs w:val="18"/>
              </w:rPr>
              <w:t>age</w:t>
            </w:r>
          </w:p>
        </w:tc>
        <w:tc>
          <w:tcPr>
            <w:tcW w:w="0" w:type="auto"/>
            <w:tcBorders>
              <w:top w:val="nil"/>
              <w:left w:val="nil"/>
              <w:bottom w:val="nil"/>
              <w:right w:val="nil"/>
            </w:tcBorders>
            <w:shd w:val="clear" w:color="000000" w:fill="FFFFFF"/>
            <w:noWrap/>
            <w:vAlign w:val="bottom"/>
            <w:hideMark/>
          </w:tcPr>
          <w:p w14:paraId="106A0DDF" w14:textId="77777777" w:rsidR="00EA4A1C" w:rsidRPr="00D800F1" w:rsidRDefault="00EA4A1C" w:rsidP="00250E5D">
            <w:pPr>
              <w:spacing w:after="0" w:line="240" w:lineRule="auto"/>
              <w:jc w:val="right"/>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0.04</w:t>
            </w:r>
          </w:p>
        </w:tc>
        <w:tc>
          <w:tcPr>
            <w:tcW w:w="0" w:type="auto"/>
            <w:tcBorders>
              <w:top w:val="nil"/>
              <w:left w:val="nil"/>
              <w:bottom w:val="nil"/>
              <w:right w:val="nil"/>
            </w:tcBorders>
            <w:shd w:val="clear" w:color="000000" w:fill="FFFFFF"/>
            <w:noWrap/>
            <w:vAlign w:val="bottom"/>
            <w:hideMark/>
          </w:tcPr>
          <w:p w14:paraId="4FA2D4CA" w14:textId="77777777" w:rsidR="00EA4A1C" w:rsidRPr="00D800F1" w:rsidRDefault="00EA4A1C" w:rsidP="00250E5D">
            <w:pPr>
              <w:spacing w:after="0" w:line="240" w:lineRule="auto"/>
              <w:jc w:val="right"/>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0.01</w:t>
            </w:r>
          </w:p>
        </w:tc>
        <w:tc>
          <w:tcPr>
            <w:tcW w:w="0" w:type="auto"/>
            <w:tcBorders>
              <w:top w:val="nil"/>
              <w:left w:val="nil"/>
              <w:bottom w:val="nil"/>
              <w:right w:val="nil"/>
            </w:tcBorders>
            <w:shd w:val="clear" w:color="000000" w:fill="FFFFFF"/>
            <w:noWrap/>
            <w:vAlign w:val="bottom"/>
            <w:hideMark/>
          </w:tcPr>
          <w:p w14:paraId="34CA2CBD" w14:textId="77777777" w:rsidR="00EA4A1C" w:rsidRPr="007E519D" w:rsidRDefault="00EA4A1C" w:rsidP="00250E5D">
            <w:pPr>
              <w:spacing w:after="0" w:line="240" w:lineRule="auto"/>
              <w:jc w:val="right"/>
              <w:rPr>
                <w:rFonts w:ascii="Times New Roman" w:hAnsi="Times New Roman"/>
                <w:i/>
                <w:color w:val="000000"/>
                <w:sz w:val="18"/>
              </w:rPr>
            </w:pPr>
            <w:r w:rsidRPr="007E519D">
              <w:rPr>
                <w:rFonts w:ascii="Times New Roman" w:hAnsi="Times New Roman"/>
                <w:i/>
                <w:color w:val="000000"/>
                <w:sz w:val="18"/>
              </w:rPr>
              <w:t>0.05</w:t>
            </w:r>
          </w:p>
        </w:tc>
        <w:tc>
          <w:tcPr>
            <w:tcW w:w="0" w:type="auto"/>
            <w:tcBorders>
              <w:top w:val="nil"/>
              <w:left w:val="nil"/>
              <w:bottom w:val="nil"/>
              <w:right w:val="nil"/>
            </w:tcBorders>
            <w:shd w:val="clear" w:color="000000" w:fill="FFFFFF"/>
            <w:noWrap/>
            <w:vAlign w:val="bottom"/>
            <w:hideMark/>
          </w:tcPr>
          <w:p w14:paraId="4B2322F4" w14:textId="77777777" w:rsidR="00EA4A1C" w:rsidRPr="00D800F1" w:rsidRDefault="00EA4A1C" w:rsidP="00250E5D">
            <w:pPr>
              <w:spacing w:after="0" w:line="240" w:lineRule="auto"/>
              <w:jc w:val="right"/>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0.02</w:t>
            </w:r>
          </w:p>
        </w:tc>
        <w:tc>
          <w:tcPr>
            <w:tcW w:w="0" w:type="auto"/>
            <w:tcBorders>
              <w:top w:val="nil"/>
              <w:left w:val="nil"/>
              <w:bottom w:val="nil"/>
              <w:right w:val="nil"/>
            </w:tcBorders>
            <w:shd w:val="clear" w:color="000000" w:fill="FFFFFF"/>
            <w:noWrap/>
            <w:vAlign w:val="bottom"/>
            <w:hideMark/>
          </w:tcPr>
          <w:p w14:paraId="1E00D1BF" w14:textId="77777777" w:rsidR="00EA4A1C" w:rsidRPr="00D800F1" w:rsidRDefault="00EA4A1C" w:rsidP="00250E5D">
            <w:pPr>
              <w:spacing w:after="0" w:line="240" w:lineRule="auto"/>
              <w:jc w:val="right"/>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w:t>
            </w:r>
            <w:r w:rsidRPr="007E519D">
              <w:rPr>
                <w:rFonts w:ascii="Times New Roman" w:hAnsi="Times New Roman"/>
                <w:b/>
                <w:i/>
                <w:color w:val="000000"/>
                <w:sz w:val="18"/>
              </w:rPr>
              <w:t>0.09</w:t>
            </w:r>
          </w:p>
        </w:tc>
        <w:tc>
          <w:tcPr>
            <w:tcW w:w="0" w:type="auto"/>
            <w:tcBorders>
              <w:top w:val="nil"/>
              <w:left w:val="nil"/>
              <w:bottom w:val="nil"/>
              <w:right w:val="nil"/>
            </w:tcBorders>
            <w:shd w:val="clear" w:color="000000" w:fill="FFFFFF"/>
            <w:noWrap/>
            <w:vAlign w:val="bottom"/>
            <w:hideMark/>
          </w:tcPr>
          <w:p w14:paraId="207B3D78" w14:textId="77777777" w:rsidR="00EA4A1C" w:rsidRPr="007E519D" w:rsidRDefault="00EA4A1C" w:rsidP="00250E5D">
            <w:pPr>
              <w:spacing w:after="0" w:line="240" w:lineRule="auto"/>
              <w:jc w:val="right"/>
              <w:rPr>
                <w:rFonts w:ascii="Times New Roman" w:hAnsi="Times New Roman"/>
                <w:i/>
                <w:color w:val="000000"/>
                <w:sz w:val="18"/>
              </w:rPr>
            </w:pPr>
            <w:r w:rsidRPr="007E519D">
              <w:rPr>
                <w:rFonts w:ascii="Times New Roman" w:hAnsi="Times New Roman"/>
                <w:i/>
                <w:color w:val="000000"/>
                <w:sz w:val="18"/>
              </w:rPr>
              <w:t>0.06</w:t>
            </w:r>
          </w:p>
        </w:tc>
        <w:tc>
          <w:tcPr>
            <w:tcW w:w="0" w:type="auto"/>
            <w:tcBorders>
              <w:top w:val="nil"/>
              <w:left w:val="nil"/>
              <w:bottom w:val="nil"/>
              <w:right w:val="nil"/>
            </w:tcBorders>
            <w:shd w:val="clear" w:color="000000" w:fill="FFFFFF"/>
            <w:noWrap/>
            <w:vAlign w:val="bottom"/>
            <w:hideMark/>
          </w:tcPr>
          <w:p w14:paraId="32F1D719" w14:textId="77777777" w:rsidR="00EA4A1C" w:rsidRPr="00D800F1" w:rsidRDefault="00EA4A1C" w:rsidP="00250E5D">
            <w:pPr>
              <w:spacing w:after="0" w:line="240" w:lineRule="auto"/>
              <w:jc w:val="right"/>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0.01</w:t>
            </w:r>
          </w:p>
        </w:tc>
        <w:tc>
          <w:tcPr>
            <w:tcW w:w="0" w:type="auto"/>
            <w:tcBorders>
              <w:top w:val="nil"/>
              <w:left w:val="nil"/>
              <w:bottom w:val="nil"/>
              <w:right w:val="nil"/>
            </w:tcBorders>
            <w:shd w:val="clear" w:color="000000" w:fill="FFFFFF"/>
            <w:noWrap/>
            <w:vAlign w:val="bottom"/>
            <w:hideMark/>
          </w:tcPr>
          <w:p w14:paraId="02D59DE5" w14:textId="77777777" w:rsidR="00EA4A1C" w:rsidRPr="00D800F1" w:rsidRDefault="00EA4A1C" w:rsidP="00250E5D">
            <w:pPr>
              <w:spacing w:after="0" w:line="240" w:lineRule="auto"/>
              <w:jc w:val="right"/>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0.02</w:t>
            </w:r>
          </w:p>
        </w:tc>
        <w:tc>
          <w:tcPr>
            <w:tcW w:w="0" w:type="auto"/>
            <w:tcBorders>
              <w:top w:val="nil"/>
              <w:left w:val="nil"/>
              <w:bottom w:val="nil"/>
              <w:right w:val="nil"/>
            </w:tcBorders>
            <w:shd w:val="clear" w:color="000000" w:fill="FFFFFF"/>
            <w:noWrap/>
            <w:vAlign w:val="bottom"/>
            <w:hideMark/>
          </w:tcPr>
          <w:p w14:paraId="58171C6D"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09AA7152"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6ACA1A99"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666B482E"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3CBCFC6E"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392CDB22"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08DF72A8"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7F3E5F8F"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r>
      <w:tr w:rsidR="00EA4A1C" w:rsidRPr="00D800F1" w14:paraId="76CC8FF9" w14:textId="77777777" w:rsidTr="00250E5D">
        <w:trPr>
          <w:trHeight w:val="255"/>
        </w:trPr>
        <w:tc>
          <w:tcPr>
            <w:tcW w:w="0" w:type="auto"/>
            <w:tcBorders>
              <w:top w:val="nil"/>
              <w:left w:val="nil"/>
              <w:bottom w:val="nil"/>
              <w:right w:val="nil"/>
            </w:tcBorders>
            <w:shd w:val="clear" w:color="000000" w:fill="FFFFFF"/>
            <w:noWrap/>
            <w:vAlign w:val="bottom"/>
            <w:hideMark/>
          </w:tcPr>
          <w:p w14:paraId="6707424B" w14:textId="77777777" w:rsidR="00EA4A1C" w:rsidRPr="00D800F1" w:rsidRDefault="00EA4A1C" w:rsidP="00250E5D">
            <w:pPr>
              <w:spacing w:after="0" w:line="240" w:lineRule="auto"/>
              <w:jc w:val="right"/>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10</w:t>
            </w:r>
          </w:p>
        </w:tc>
        <w:tc>
          <w:tcPr>
            <w:tcW w:w="0" w:type="auto"/>
            <w:tcBorders>
              <w:top w:val="nil"/>
              <w:left w:val="nil"/>
              <w:bottom w:val="nil"/>
              <w:right w:val="nil"/>
            </w:tcBorders>
            <w:shd w:val="clear" w:color="000000" w:fill="FFFFFF"/>
            <w:noWrap/>
            <w:vAlign w:val="bottom"/>
            <w:hideMark/>
          </w:tcPr>
          <w:p w14:paraId="1C8728FD" w14:textId="77777777" w:rsidR="00EA4A1C" w:rsidRPr="00D800F1" w:rsidRDefault="00AC2886" w:rsidP="00AC2886">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VC firm c</w:t>
            </w:r>
            <w:r w:rsidR="00EA4A1C" w:rsidRPr="00D800F1">
              <w:rPr>
                <w:rFonts w:ascii="Times New Roman" w:eastAsia="Times New Roman" w:hAnsi="Times New Roman" w:cs="Times New Roman"/>
                <w:color w:val="000000"/>
                <w:sz w:val="18"/>
                <w:szCs w:val="18"/>
              </w:rPr>
              <w:t>ountry experience</w:t>
            </w:r>
          </w:p>
        </w:tc>
        <w:tc>
          <w:tcPr>
            <w:tcW w:w="0" w:type="auto"/>
            <w:tcBorders>
              <w:top w:val="nil"/>
              <w:left w:val="nil"/>
              <w:bottom w:val="nil"/>
              <w:right w:val="nil"/>
            </w:tcBorders>
            <w:shd w:val="clear" w:color="000000" w:fill="FFFFFF"/>
            <w:noWrap/>
            <w:vAlign w:val="bottom"/>
            <w:hideMark/>
          </w:tcPr>
          <w:p w14:paraId="083C416A"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0.12</w:t>
            </w:r>
          </w:p>
        </w:tc>
        <w:tc>
          <w:tcPr>
            <w:tcW w:w="0" w:type="auto"/>
            <w:tcBorders>
              <w:top w:val="nil"/>
              <w:left w:val="nil"/>
              <w:bottom w:val="nil"/>
              <w:right w:val="nil"/>
            </w:tcBorders>
            <w:shd w:val="clear" w:color="000000" w:fill="FFFFFF"/>
            <w:noWrap/>
            <w:vAlign w:val="bottom"/>
            <w:hideMark/>
          </w:tcPr>
          <w:p w14:paraId="0AA62846"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0.16</w:t>
            </w:r>
          </w:p>
        </w:tc>
        <w:tc>
          <w:tcPr>
            <w:tcW w:w="0" w:type="auto"/>
            <w:tcBorders>
              <w:top w:val="nil"/>
              <w:left w:val="nil"/>
              <w:bottom w:val="nil"/>
              <w:right w:val="nil"/>
            </w:tcBorders>
            <w:shd w:val="clear" w:color="000000" w:fill="FFFFFF"/>
            <w:noWrap/>
            <w:vAlign w:val="bottom"/>
            <w:hideMark/>
          </w:tcPr>
          <w:p w14:paraId="2363B1B7" w14:textId="77777777" w:rsidR="00EA4A1C" w:rsidRPr="00D800F1" w:rsidRDefault="00EA4A1C" w:rsidP="00250E5D">
            <w:pPr>
              <w:spacing w:after="0" w:line="240" w:lineRule="auto"/>
              <w:jc w:val="right"/>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-0.02</w:t>
            </w:r>
          </w:p>
        </w:tc>
        <w:tc>
          <w:tcPr>
            <w:tcW w:w="0" w:type="auto"/>
            <w:tcBorders>
              <w:top w:val="nil"/>
              <w:left w:val="nil"/>
              <w:bottom w:val="nil"/>
              <w:right w:val="nil"/>
            </w:tcBorders>
            <w:shd w:val="clear" w:color="000000" w:fill="FFFFFF"/>
            <w:noWrap/>
            <w:vAlign w:val="bottom"/>
            <w:hideMark/>
          </w:tcPr>
          <w:p w14:paraId="42A57A5E" w14:textId="77777777" w:rsidR="00EA4A1C" w:rsidRPr="00D800F1" w:rsidRDefault="00EA4A1C" w:rsidP="00250E5D">
            <w:pPr>
              <w:spacing w:after="0" w:line="240" w:lineRule="auto"/>
              <w:jc w:val="right"/>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0.02</w:t>
            </w:r>
          </w:p>
        </w:tc>
        <w:tc>
          <w:tcPr>
            <w:tcW w:w="0" w:type="auto"/>
            <w:tcBorders>
              <w:top w:val="nil"/>
              <w:left w:val="nil"/>
              <w:bottom w:val="nil"/>
              <w:right w:val="nil"/>
            </w:tcBorders>
            <w:shd w:val="clear" w:color="000000" w:fill="FFFFFF"/>
            <w:noWrap/>
            <w:vAlign w:val="bottom"/>
            <w:hideMark/>
          </w:tcPr>
          <w:p w14:paraId="61544D86" w14:textId="77777777" w:rsidR="00EA4A1C" w:rsidRPr="00D800F1" w:rsidRDefault="00EA4A1C" w:rsidP="00250E5D">
            <w:pPr>
              <w:spacing w:after="0" w:line="240" w:lineRule="auto"/>
              <w:jc w:val="right"/>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-0.02</w:t>
            </w:r>
          </w:p>
        </w:tc>
        <w:tc>
          <w:tcPr>
            <w:tcW w:w="0" w:type="auto"/>
            <w:tcBorders>
              <w:top w:val="nil"/>
              <w:left w:val="nil"/>
              <w:bottom w:val="nil"/>
              <w:right w:val="nil"/>
            </w:tcBorders>
            <w:shd w:val="clear" w:color="000000" w:fill="FFFFFF"/>
            <w:noWrap/>
            <w:vAlign w:val="bottom"/>
            <w:hideMark/>
          </w:tcPr>
          <w:p w14:paraId="7A2F04AA"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0.08</w:t>
            </w:r>
          </w:p>
        </w:tc>
        <w:tc>
          <w:tcPr>
            <w:tcW w:w="0" w:type="auto"/>
            <w:tcBorders>
              <w:top w:val="nil"/>
              <w:left w:val="nil"/>
              <w:bottom w:val="nil"/>
              <w:right w:val="nil"/>
            </w:tcBorders>
            <w:shd w:val="clear" w:color="000000" w:fill="FFFFFF"/>
            <w:noWrap/>
            <w:vAlign w:val="bottom"/>
            <w:hideMark/>
          </w:tcPr>
          <w:p w14:paraId="78D2D8AD" w14:textId="77777777" w:rsidR="00EA4A1C" w:rsidRPr="00D800F1" w:rsidRDefault="00EA4A1C" w:rsidP="00250E5D">
            <w:pPr>
              <w:spacing w:after="0" w:line="240" w:lineRule="auto"/>
              <w:jc w:val="right"/>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0.02</w:t>
            </w:r>
          </w:p>
        </w:tc>
        <w:tc>
          <w:tcPr>
            <w:tcW w:w="0" w:type="auto"/>
            <w:tcBorders>
              <w:top w:val="nil"/>
              <w:left w:val="nil"/>
              <w:bottom w:val="nil"/>
              <w:right w:val="nil"/>
            </w:tcBorders>
            <w:shd w:val="clear" w:color="000000" w:fill="FFFFFF"/>
            <w:noWrap/>
            <w:vAlign w:val="bottom"/>
            <w:hideMark/>
          </w:tcPr>
          <w:p w14:paraId="4BCF6CD8"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0.08</w:t>
            </w:r>
          </w:p>
        </w:tc>
        <w:tc>
          <w:tcPr>
            <w:tcW w:w="0" w:type="auto"/>
            <w:tcBorders>
              <w:top w:val="nil"/>
              <w:left w:val="nil"/>
              <w:bottom w:val="nil"/>
              <w:right w:val="nil"/>
            </w:tcBorders>
            <w:shd w:val="clear" w:color="000000" w:fill="FFFFFF"/>
            <w:noWrap/>
            <w:vAlign w:val="bottom"/>
            <w:hideMark/>
          </w:tcPr>
          <w:p w14:paraId="6F8F6804" w14:textId="77777777" w:rsidR="00EA4A1C" w:rsidRPr="00D800F1" w:rsidRDefault="00EA4A1C" w:rsidP="00250E5D">
            <w:pPr>
              <w:spacing w:after="0" w:line="240" w:lineRule="auto"/>
              <w:jc w:val="right"/>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0.00</w:t>
            </w:r>
          </w:p>
        </w:tc>
        <w:tc>
          <w:tcPr>
            <w:tcW w:w="0" w:type="auto"/>
            <w:tcBorders>
              <w:top w:val="nil"/>
              <w:left w:val="nil"/>
              <w:bottom w:val="nil"/>
              <w:right w:val="nil"/>
            </w:tcBorders>
            <w:shd w:val="clear" w:color="000000" w:fill="FFFFFF"/>
            <w:noWrap/>
            <w:vAlign w:val="bottom"/>
            <w:hideMark/>
          </w:tcPr>
          <w:p w14:paraId="6B966194"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032A5BFC"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0B1797B6"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2323C756"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2EA2EAC7"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3B1595E5"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462439DC"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r>
      <w:tr w:rsidR="00EA4A1C" w:rsidRPr="00D800F1" w14:paraId="2FAC7F5C" w14:textId="77777777" w:rsidTr="00250E5D">
        <w:trPr>
          <w:trHeight w:val="255"/>
        </w:trPr>
        <w:tc>
          <w:tcPr>
            <w:tcW w:w="0" w:type="auto"/>
            <w:tcBorders>
              <w:top w:val="nil"/>
              <w:left w:val="nil"/>
              <w:bottom w:val="nil"/>
              <w:right w:val="nil"/>
            </w:tcBorders>
            <w:shd w:val="clear" w:color="000000" w:fill="FFFFFF"/>
            <w:noWrap/>
            <w:vAlign w:val="bottom"/>
            <w:hideMark/>
          </w:tcPr>
          <w:p w14:paraId="20BC489B" w14:textId="77777777" w:rsidR="00EA4A1C" w:rsidRPr="00D800F1" w:rsidRDefault="00EA4A1C" w:rsidP="00250E5D">
            <w:pPr>
              <w:spacing w:after="0" w:line="240" w:lineRule="auto"/>
              <w:jc w:val="right"/>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11</w:t>
            </w:r>
          </w:p>
        </w:tc>
        <w:tc>
          <w:tcPr>
            <w:tcW w:w="0" w:type="auto"/>
            <w:tcBorders>
              <w:top w:val="nil"/>
              <w:left w:val="nil"/>
              <w:bottom w:val="nil"/>
              <w:right w:val="nil"/>
            </w:tcBorders>
            <w:shd w:val="clear" w:color="000000" w:fill="FFFFFF"/>
            <w:noWrap/>
            <w:vAlign w:val="bottom"/>
            <w:hideMark/>
          </w:tcPr>
          <w:p w14:paraId="723A339A" w14:textId="77777777" w:rsidR="00EA4A1C" w:rsidRPr="00D800F1" w:rsidRDefault="00AC2886" w:rsidP="00250E5D">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VC firm </w:t>
            </w:r>
            <w:r w:rsidR="00EA4A1C" w:rsidRPr="00D800F1">
              <w:rPr>
                <w:rFonts w:ascii="Times New Roman" w:eastAsia="Times New Roman" w:hAnsi="Times New Roman" w:cs="Times New Roman"/>
                <w:color w:val="000000"/>
                <w:sz w:val="18"/>
                <w:szCs w:val="18"/>
              </w:rPr>
              <w:t>IPO track record</w:t>
            </w:r>
          </w:p>
        </w:tc>
        <w:tc>
          <w:tcPr>
            <w:tcW w:w="0" w:type="auto"/>
            <w:tcBorders>
              <w:top w:val="nil"/>
              <w:left w:val="nil"/>
              <w:bottom w:val="nil"/>
              <w:right w:val="nil"/>
            </w:tcBorders>
            <w:shd w:val="clear" w:color="000000" w:fill="FFFFFF"/>
            <w:noWrap/>
            <w:vAlign w:val="bottom"/>
            <w:hideMark/>
          </w:tcPr>
          <w:p w14:paraId="3DDA9E38"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0.12</w:t>
            </w:r>
          </w:p>
        </w:tc>
        <w:tc>
          <w:tcPr>
            <w:tcW w:w="0" w:type="auto"/>
            <w:tcBorders>
              <w:top w:val="nil"/>
              <w:left w:val="nil"/>
              <w:bottom w:val="nil"/>
              <w:right w:val="nil"/>
            </w:tcBorders>
            <w:shd w:val="clear" w:color="000000" w:fill="FFFFFF"/>
            <w:noWrap/>
            <w:vAlign w:val="bottom"/>
            <w:hideMark/>
          </w:tcPr>
          <w:p w14:paraId="06F4AD2E" w14:textId="77777777" w:rsidR="00EA4A1C" w:rsidRPr="00D800F1" w:rsidRDefault="00EA4A1C" w:rsidP="00250E5D">
            <w:pPr>
              <w:spacing w:after="0" w:line="240" w:lineRule="auto"/>
              <w:jc w:val="right"/>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0.01</w:t>
            </w:r>
          </w:p>
        </w:tc>
        <w:tc>
          <w:tcPr>
            <w:tcW w:w="0" w:type="auto"/>
            <w:tcBorders>
              <w:top w:val="nil"/>
              <w:left w:val="nil"/>
              <w:bottom w:val="nil"/>
              <w:right w:val="nil"/>
            </w:tcBorders>
            <w:shd w:val="clear" w:color="000000" w:fill="FFFFFF"/>
            <w:noWrap/>
            <w:vAlign w:val="bottom"/>
            <w:hideMark/>
          </w:tcPr>
          <w:p w14:paraId="73A46139"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0.14</w:t>
            </w:r>
          </w:p>
        </w:tc>
        <w:tc>
          <w:tcPr>
            <w:tcW w:w="0" w:type="auto"/>
            <w:tcBorders>
              <w:top w:val="nil"/>
              <w:left w:val="nil"/>
              <w:bottom w:val="nil"/>
              <w:right w:val="nil"/>
            </w:tcBorders>
            <w:shd w:val="clear" w:color="000000" w:fill="FFFFFF"/>
            <w:noWrap/>
            <w:vAlign w:val="bottom"/>
            <w:hideMark/>
          </w:tcPr>
          <w:p w14:paraId="0432CBA9"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0.10</w:t>
            </w:r>
          </w:p>
        </w:tc>
        <w:tc>
          <w:tcPr>
            <w:tcW w:w="0" w:type="auto"/>
            <w:tcBorders>
              <w:top w:val="nil"/>
              <w:left w:val="nil"/>
              <w:bottom w:val="nil"/>
              <w:right w:val="nil"/>
            </w:tcBorders>
            <w:shd w:val="clear" w:color="000000" w:fill="FFFFFF"/>
            <w:noWrap/>
            <w:vAlign w:val="bottom"/>
            <w:hideMark/>
          </w:tcPr>
          <w:p w14:paraId="2BBBC0ED"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-0.22</w:t>
            </w:r>
          </w:p>
        </w:tc>
        <w:tc>
          <w:tcPr>
            <w:tcW w:w="0" w:type="auto"/>
            <w:tcBorders>
              <w:top w:val="nil"/>
              <w:left w:val="nil"/>
              <w:bottom w:val="nil"/>
              <w:right w:val="nil"/>
            </w:tcBorders>
            <w:shd w:val="clear" w:color="000000" w:fill="FFFFFF"/>
            <w:noWrap/>
            <w:vAlign w:val="bottom"/>
            <w:hideMark/>
          </w:tcPr>
          <w:p w14:paraId="5CE51638" w14:textId="77777777" w:rsidR="00EA4A1C" w:rsidRPr="007E519D" w:rsidRDefault="00EA4A1C" w:rsidP="00250E5D">
            <w:pPr>
              <w:spacing w:after="0" w:line="240" w:lineRule="auto"/>
              <w:jc w:val="right"/>
              <w:rPr>
                <w:rFonts w:ascii="Times New Roman" w:hAnsi="Times New Roman"/>
                <w:i/>
                <w:color w:val="000000"/>
                <w:sz w:val="18"/>
              </w:rPr>
            </w:pPr>
            <w:r w:rsidRPr="007E519D">
              <w:rPr>
                <w:rFonts w:ascii="Times New Roman" w:hAnsi="Times New Roman"/>
                <w:i/>
                <w:color w:val="000000"/>
                <w:sz w:val="18"/>
              </w:rPr>
              <w:t>0.07</w:t>
            </w:r>
          </w:p>
        </w:tc>
        <w:tc>
          <w:tcPr>
            <w:tcW w:w="0" w:type="auto"/>
            <w:tcBorders>
              <w:top w:val="nil"/>
              <w:left w:val="nil"/>
              <w:bottom w:val="nil"/>
              <w:right w:val="nil"/>
            </w:tcBorders>
            <w:shd w:val="clear" w:color="000000" w:fill="FFFFFF"/>
            <w:noWrap/>
            <w:vAlign w:val="bottom"/>
            <w:hideMark/>
          </w:tcPr>
          <w:p w14:paraId="5B923F2E"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0.09</w:t>
            </w:r>
          </w:p>
        </w:tc>
        <w:tc>
          <w:tcPr>
            <w:tcW w:w="0" w:type="auto"/>
            <w:tcBorders>
              <w:top w:val="nil"/>
              <w:left w:val="nil"/>
              <w:bottom w:val="nil"/>
              <w:right w:val="nil"/>
            </w:tcBorders>
            <w:shd w:val="clear" w:color="000000" w:fill="FFFFFF"/>
            <w:noWrap/>
            <w:vAlign w:val="bottom"/>
            <w:hideMark/>
          </w:tcPr>
          <w:p w14:paraId="148EA393" w14:textId="77777777" w:rsidR="00EA4A1C" w:rsidRPr="007E519D" w:rsidRDefault="00EA4A1C" w:rsidP="00250E5D">
            <w:pPr>
              <w:spacing w:after="0" w:line="240" w:lineRule="auto"/>
              <w:jc w:val="right"/>
              <w:rPr>
                <w:rFonts w:ascii="Times New Roman" w:hAnsi="Times New Roman"/>
                <w:b/>
                <w:color w:val="000000"/>
                <w:sz w:val="18"/>
              </w:rPr>
            </w:pPr>
            <w:r w:rsidRPr="007E519D">
              <w:rPr>
                <w:rFonts w:ascii="Times New Roman" w:hAnsi="Times New Roman"/>
                <w:b/>
                <w:color w:val="000000"/>
                <w:sz w:val="18"/>
              </w:rPr>
              <w:t>0.07</w:t>
            </w:r>
          </w:p>
        </w:tc>
        <w:tc>
          <w:tcPr>
            <w:tcW w:w="0" w:type="auto"/>
            <w:tcBorders>
              <w:top w:val="nil"/>
              <w:left w:val="nil"/>
              <w:bottom w:val="nil"/>
              <w:right w:val="nil"/>
            </w:tcBorders>
            <w:shd w:val="clear" w:color="000000" w:fill="FFFFFF"/>
            <w:noWrap/>
            <w:vAlign w:val="bottom"/>
            <w:hideMark/>
          </w:tcPr>
          <w:p w14:paraId="3F260C67"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0.13</w:t>
            </w:r>
          </w:p>
        </w:tc>
        <w:tc>
          <w:tcPr>
            <w:tcW w:w="0" w:type="auto"/>
            <w:tcBorders>
              <w:top w:val="nil"/>
              <w:left w:val="nil"/>
              <w:bottom w:val="nil"/>
              <w:right w:val="nil"/>
            </w:tcBorders>
            <w:shd w:val="clear" w:color="000000" w:fill="FFFFFF"/>
            <w:noWrap/>
            <w:vAlign w:val="bottom"/>
            <w:hideMark/>
          </w:tcPr>
          <w:p w14:paraId="31B6A8A1" w14:textId="77777777" w:rsidR="00EA4A1C" w:rsidRPr="007E519D" w:rsidRDefault="00EA4A1C" w:rsidP="00250E5D">
            <w:pPr>
              <w:spacing w:after="0" w:line="240" w:lineRule="auto"/>
              <w:jc w:val="right"/>
              <w:rPr>
                <w:rFonts w:ascii="Times New Roman" w:hAnsi="Times New Roman"/>
                <w:i/>
                <w:color w:val="000000"/>
                <w:sz w:val="18"/>
              </w:rPr>
            </w:pPr>
            <w:r w:rsidRPr="007E519D">
              <w:rPr>
                <w:rFonts w:ascii="Times New Roman" w:hAnsi="Times New Roman"/>
                <w:i/>
                <w:color w:val="000000"/>
                <w:sz w:val="18"/>
              </w:rPr>
              <w:t>0.06</w:t>
            </w:r>
          </w:p>
        </w:tc>
        <w:tc>
          <w:tcPr>
            <w:tcW w:w="0" w:type="auto"/>
            <w:tcBorders>
              <w:top w:val="nil"/>
              <w:left w:val="nil"/>
              <w:bottom w:val="nil"/>
              <w:right w:val="nil"/>
            </w:tcBorders>
            <w:shd w:val="clear" w:color="000000" w:fill="FFFFFF"/>
            <w:noWrap/>
            <w:vAlign w:val="bottom"/>
            <w:hideMark/>
          </w:tcPr>
          <w:p w14:paraId="477000D4"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2EDCA4C6"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61AA1F03"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5674A32F"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53A52DE5"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02DE92A5"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r>
      <w:tr w:rsidR="00EA4A1C" w:rsidRPr="00D800F1" w14:paraId="354A0809" w14:textId="77777777" w:rsidTr="00250E5D">
        <w:trPr>
          <w:trHeight w:val="255"/>
        </w:trPr>
        <w:tc>
          <w:tcPr>
            <w:tcW w:w="0" w:type="auto"/>
            <w:tcBorders>
              <w:top w:val="nil"/>
              <w:left w:val="nil"/>
              <w:bottom w:val="nil"/>
              <w:right w:val="nil"/>
            </w:tcBorders>
            <w:shd w:val="clear" w:color="000000" w:fill="FFFFFF"/>
            <w:noWrap/>
            <w:vAlign w:val="bottom"/>
            <w:hideMark/>
          </w:tcPr>
          <w:p w14:paraId="079EC7D7" w14:textId="77777777" w:rsidR="00EA4A1C" w:rsidRPr="00D800F1" w:rsidRDefault="00EA4A1C" w:rsidP="00250E5D">
            <w:pPr>
              <w:spacing w:after="0" w:line="240" w:lineRule="auto"/>
              <w:jc w:val="right"/>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12</w:t>
            </w:r>
          </w:p>
        </w:tc>
        <w:tc>
          <w:tcPr>
            <w:tcW w:w="0" w:type="auto"/>
            <w:tcBorders>
              <w:top w:val="nil"/>
              <w:left w:val="nil"/>
              <w:bottom w:val="nil"/>
              <w:right w:val="nil"/>
            </w:tcBorders>
            <w:shd w:val="clear" w:color="000000" w:fill="FFFFFF"/>
            <w:noWrap/>
            <w:vAlign w:val="bottom"/>
            <w:hideMark/>
          </w:tcPr>
          <w:p w14:paraId="71653E4C"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Lead investor</w:t>
            </w:r>
          </w:p>
        </w:tc>
        <w:tc>
          <w:tcPr>
            <w:tcW w:w="0" w:type="auto"/>
            <w:tcBorders>
              <w:top w:val="nil"/>
              <w:left w:val="nil"/>
              <w:bottom w:val="nil"/>
              <w:right w:val="nil"/>
            </w:tcBorders>
            <w:shd w:val="clear" w:color="000000" w:fill="FFFFFF"/>
            <w:noWrap/>
            <w:vAlign w:val="bottom"/>
            <w:hideMark/>
          </w:tcPr>
          <w:p w14:paraId="5413D67B"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-0.11</w:t>
            </w:r>
          </w:p>
        </w:tc>
        <w:tc>
          <w:tcPr>
            <w:tcW w:w="0" w:type="auto"/>
            <w:tcBorders>
              <w:top w:val="nil"/>
              <w:left w:val="nil"/>
              <w:bottom w:val="nil"/>
              <w:right w:val="nil"/>
            </w:tcBorders>
            <w:shd w:val="clear" w:color="000000" w:fill="FFFFFF"/>
            <w:noWrap/>
            <w:vAlign w:val="bottom"/>
            <w:hideMark/>
          </w:tcPr>
          <w:p w14:paraId="181803AE"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-0.11</w:t>
            </w:r>
          </w:p>
        </w:tc>
        <w:tc>
          <w:tcPr>
            <w:tcW w:w="0" w:type="auto"/>
            <w:tcBorders>
              <w:top w:val="nil"/>
              <w:left w:val="nil"/>
              <w:bottom w:val="nil"/>
              <w:right w:val="nil"/>
            </w:tcBorders>
            <w:shd w:val="clear" w:color="000000" w:fill="FFFFFF"/>
            <w:noWrap/>
            <w:vAlign w:val="bottom"/>
            <w:hideMark/>
          </w:tcPr>
          <w:p w14:paraId="6C51D943" w14:textId="77777777" w:rsidR="00EA4A1C" w:rsidRPr="00D800F1" w:rsidRDefault="00EA4A1C" w:rsidP="00250E5D">
            <w:pPr>
              <w:spacing w:after="0" w:line="240" w:lineRule="auto"/>
              <w:jc w:val="right"/>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-0.02</w:t>
            </w:r>
          </w:p>
        </w:tc>
        <w:tc>
          <w:tcPr>
            <w:tcW w:w="0" w:type="auto"/>
            <w:tcBorders>
              <w:top w:val="nil"/>
              <w:left w:val="nil"/>
              <w:bottom w:val="nil"/>
              <w:right w:val="nil"/>
            </w:tcBorders>
            <w:shd w:val="clear" w:color="000000" w:fill="FFFFFF"/>
            <w:noWrap/>
            <w:vAlign w:val="bottom"/>
            <w:hideMark/>
          </w:tcPr>
          <w:p w14:paraId="1B08E23E" w14:textId="77777777" w:rsidR="00EA4A1C" w:rsidRPr="00D800F1" w:rsidRDefault="00EA4A1C" w:rsidP="00250E5D">
            <w:pPr>
              <w:spacing w:after="0" w:line="240" w:lineRule="auto"/>
              <w:jc w:val="right"/>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-0.04</w:t>
            </w:r>
          </w:p>
        </w:tc>
        <w:tc>
          <w:tcPr>
            <w:tcW w:w="0" w:type="auto"/>
            <w:tcBorders>
              <w:top w:val="nil"/>
              <w:left w:val="nil"/>
              <w:bottom w:val="nil"/>
              <w:right w:val="nil"/>
            </w:tcBorders>
            <w:shd w:val="clear" w:color="000000" w:fill="FFFFFF"/>
            <w:noWrap/>
            <w:vAlign w:val="bottom"/>
            <w:hideMark/>
          </w:tcPr>
          <w:p w14:paraId="3EDC2496"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0.40</w:t>
            </w:r>
          </w:p>
        </w:tc>
        <w:tc>
          <w:tcPr>
            <w:tcW w:w="0" w:type="auto"/>
            <w:tcBorders>
              <w:top w:val="nil"/>
              <w:left w:val="nil"/>
              <w:bottom w:val="nil"/>
              <w:right w:val="nil"/>
            </w:tcBorders>
            <w:shd w:val="clear" w:color="000000" w:fill="FFFFFF"/>
            <w:noWrap/>
            <w:vAlign w:val="bottom"/>
            <w:hideMark/>
          </w:tcPr>
          <w:p w14:paraId="1E7473F3"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-0.09</w:t>
            </w:r>
          </w:p>
        </w:tc>
        <w:tc>
          <w:tcPr>
            <w:tcW w:w="0" w:type="auto"/>
            <w:tcBorders>
              <w:top w:val="nil"/>
              <w:left w:val="nil"/>
              <w:bottom w:val="nil"/>
              <w:right w:val="nil"/>
            </w:tcBorders>
            <w:shd w:val="clear" w:color="000000" w:fill="FFFFFF"/>
            <w:noWrap/>
            <w:vAlign w:val="bottom"/>
            <w:hideMark/>
          </w:tcPr>
          <w:p w14:paraId="7490E281"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-0.09</w:t>
            </w:r>
          </w:p>
        </w:tc>
        <w:tc>
          <w:tcPr>
            <w:tcW w:w="0" w:type="auto"/>
            <w:tcBorders>
              <w:top w:val="nil"/>
              <w:left w:val="nil"/>
              <w:bottom w:val="nil"/>
              <w:right w:val="nil"/>
            </w:tcBorders>
            <w:shd w:val="clear" w:color="000000" w:fill="FFFFFF"/>
            <w:noWrap/>
            <w:vAlign w:val="bottom"/>
            <w:hideMark/>
          </w:tcPr>
          <w:p w14:paraId="754E55A9"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-0.08</w:t>
            </w:r>
          </w:p>
        </w:tc>
        <w:tc>
          <w:tcPr>
            <w:tcW w:w="0" w:type="auto"/>
            <w:tcBorders>
              <w:top w:val="nil"/>
              <w:left w:val="nil"/>
              <w:bottom w:val="nil"/>
              <w:right w:val="nil"/>
            </w:tcBorders>
            <w:shd w:val="clear" w:color="000000" w:fill="FFFFFF"/>
            <w:noWrap/>
            <w:vAlign w:val="bottom"/>
            <w:hideMark/>
          </w:tcPr>
          <w:p w14:paraId="59393CB0" w14:textId="77777777" w:rsidR="00EA4A1C" w:rsidRPr="00D800F1" w:rsidRDefault="00EA4A1C" w:rsidP="00250E5D">
            <w:pPr>
              <w:spacing w:after="0" w:line="240" w:lineRule="auto"/>
              <w:jc w:val="right"/>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-0.02</w:t>
            </w:r>
          </w:p>
        </w:tc>
        <w:tc>
          <w:tcPr>
            <w:tcW w:w="0" w:type="auto"/>
            <w:tcBorders>
              <w:top w:val="nil"/>
              <w:left w:val="nil"/>
              <w:bottom w:val="nil"/>
              <w:right w:val="nil"/>
            </w:tcBorders>
            <w:shd w:val="clear" w:color="000000" w:fill="FFFFFF"/>
            <w:noWrap/>
            <w:vAlign w:val="bottom"/>
            <w:hideMark/>
          </w:tcPr>
          <w:p w14:paraId="03DA155E" w14:textId="77777777" w:rsidR="00EA4A1C" w:rsidRPr="007E519D" w:rsidRDefault="00EA4A1C" w:rsidP="00250E5D">
            <w:pPr>
              <w:spacing w:after="0" w:line="240" w:lineRule="auto"/>
              <w:jc w:val="right"/>
              <w:rPr>
                <w:rFonts w:ascii="Times New Roman" w:hAnsi="Times New Roman"/>
                <w:i/>
                <w:color w:val="000000"/>
                <w:sz w:val="18"/>
              </w:rPr>
            </w:pPr>
            <w:r w:rsidRPr="007E519D">
              <w:rPr>
                <w:rFonts w:ascii="Times New Roman" w:hAnsi="Times New Roman"/>
                <w:i/>
                <w:color w:val="000000"/>
                <w:sz w:val="18"/>
              </w:rPr>
              <w:t>0.06</w:t>
            </w:r>
          </w:p>
        </w:tc>
        <w:tc>
          <w:tcPr>
            <w:tcW w:w="0" w:type="auto"/>
            <w:tcBorders>
              <w:top w:val="nil"/>
              <w:left w:val="nil"/>
              <w:bottom w:val="nil"/>
              <w:right w:val="nil"/>
            </w:tcBorders>
            <w:shd w:val="clear" w:color="000000" w:fill="FFFFFF"/>
            <w:noWrap/>
            <w:vAlign w:val="bottom"/>
            <w:hideMark/>
          </w:tcPr>
          <w:p w14:paraId="60725A10"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-0.10</w:t>
            </w:r>
          </w:p>
        </w:tc>
        <w:tc>
          <w:tcPr>
            <w:tcW w:w="0" w:type="auto"/>
            <w:tcBorders>
              <w:top w:val="nil"/>
              <w:left w:val="nil"/>
              <w:bottom w:val="nil"/>
              <w:right w:val="nil"/>
            </w:tcBorders>
            <w:shd w:val="clear" w:color="000000" w:fill="FFFFFF"/>
            <w:noWrap/>
            <w:vAlign w:val="bottom"/>
            <w:hideMark/>
          </w:tcPr>
          <w:p w14:paraId="1DF60A61"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02F8FAAB"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24B513EA"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51C9CEC7"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460E7FCF"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r>
      <w:tr w:rsidR="00EA4A1C" w:rsidRPr="00D800F1" w14:paraId="4378811E" w14:textId="77777777" w:rsidTr="00250E5D">
        <w:trPr>
          <w:trHeight w:val="255"/>
        </w:trPr>
        <w:tc>
          <w:tcPr>
            <w:tcW w:w="0" w:type="auto"/>
            <w:gridSpan w:val="2"/>
            <w:tcBorders>
              <w:top w:val="nil"/>
              <w:left w:val="nil"/>
              <w:bottom w:val="nil"/>
              <w:right w:val="nil"/>
            </w:tcBorders>
            <w:shd w:val="clear" w:color="000000" w:fill="FFFFFF"/>
            <w:noWrap/>
            <w:vAlign w:val="bottom"/>
            <w:hideMark/>
          </w:tcPr>
          <w:p w14:paraId="742300F5" w14:textId="77777777" w:rsidR="00EA4A1C" w:rsidRPr="00D800F1" w:rsidRDefault="00EA4A1C" w:rsidP="00250E5D">
            <w:pPr>
              <w:spacing w:after="0" w:line="240" w:lineRule="auto"/>
              <w:rPr>
                <w:rFonts w:ascii="Times New Roman" w:eastAsia="Times New Roman" w:hAnsi="Times New Roman" w:cs="Times New Roman"/>
                <w:i/>
                <w:iCs/>
                <w:color w:val="000000"/>
                <w:sz w:val="18"/>
                <w:szCs w:val="18"/>
              </w:rPr>
            </w:pPr>
            <w:r w:rsidRPr="00D800F1">
              <w:rPr>
                <w:rFonts w:ascii="Times New Roman" w:eastAsia="Times New Roman" w:hAnsi="Times New Roman" w:cs="Times New Roman"/>
                <w:i/>
                <w:iCs/>
                <w:color w:val="000000"/>
                <w:sz w:val="18"/>
                <w:szCs w:val="18"/>
              </w:rPr>
              <w:t>Deal characteristics</w:t>
            </w:r>
          </w:p>
        </w:tc>
        <w:tc>
          <w:tcPr>
            <w:tcW w:w="0" w:type="auto"/>
            <w:tcBorders>
              <w:top w:val="nil"/>
              <w:left w:val="nil"/>
              <w:bottom w:val="nil"/>
              <w:right w:val="nil"/>
            </w:tcBorders>
            <w:shd w:val="clear" w:color="000000" w:fill="FFFFFF"/>
            <w:noWrap/>
            <w:vAlign w:val="bottom"/>
            <w:hideMark/>
          </w:tcPr>
          <w:p w14:paraId="7DE89FFA"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604E2617"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31182C54"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0769628B"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70F621AB"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2D769FA6"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3AD766F7"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7495EC64"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369AB04A"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6769D960"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62C5378D"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42F109D8"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34137358"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693CC292"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5B013F71"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59EBBB2D"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r>
      <w:tr w:rsidR="00EA4A1C" w:rsidRPr="00D800F1" w14:paraId="34DDD379" w14:textId="77777777" w:rsidTr="00250E5D">
        <w:trPr>
          <w:trHeight w:val="255"/>
        </w:trPr>
        <w:tc>
          <w:tcPr>
            <w:tcW w:w="0" w:type="auto"/>
            <w:tcBorders>
              <w:top w:val="nil"/>
              <w:left w:val="nil"/>
              <w:bottom w:val="nil"/>
              <w:right w:val="nil"/>
            </w:tcBorders>
            <w:shd w:val="clear" w:color="000000" w:fill="FFFFFF"/>
            <w:noWrap/>
            <w:vAlign w:val="bottom"/>
            <w:hideMark/>
          </w:tcPr>
          <w:p w14:paraId="00FE3897" w14:textId="77777777" w:rsidR="00EA4A1C" w:rsidRPr="00D800F1" w:rsidRDefault="00EA4A1C" w:rsidP="00250E5D">
            <w:pPr>
              <w:spacing w:after="0" w:line="240" w:lineRule="auto"/>
              <w:jc w:val="right"/>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13</w:t>
            </w:r>
          </w:p>
        </w:tc>
        <w:tc>
          <w:tcPr>
            <w:tcW w:w="0" w:type="auto"/>
            <w:tcBorders>
              <w:top w:val="nil"/>
              <w:left w:val="nil"/>
              <w:bottom w:val="nil"/>
              <w:right w:val="nil"/>
            </w:tcBorders>
            <w:shd w:val="clear" w:color="000000" w:fill="FFFFFF"/>
            <w:noWrap/>
            <w:vAlign w:val="bottom"/>
            <w:hideMark/>
          </w:tcPr>
          <w:p w14:paraId="33CDA06B"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Distance (LN)</w:t>
            </w:r>
          </w:p>
        </w:tc>
        <w:tc>
          <w:tcPr>
            <w:tcW w:w="0" w:type="auto"/>
            <w:tcBorders>
              <w:top w:val="nil"/>
              <w:left w:val="nil"/>
              <w:bottom w:val="nil"/>
              <w:right w:val="nil"/>
            </w:tcBorders>
            <w:shd w:val="clear" w:color="000000" w:fill="FFFFFF"/>
            <w:noWrap/>
            <w:vAlign w:val="bottom"/>
            <w:hideMark/>
          </w:tcPr>
          <w:p w14:paraId="728FFF1D" w14:textId="77777777" w:rsidR="00EA4A1C" w:rsidRPr="00D800F1" w:rsidRDefault="00EA4A1C" w:rsidP="00250E5D">
            <w:pPr>
              <w:spacing w:after="0" w:line="240" w:lineRule="auto"/>
              <w:jc w:val="right"/>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-0.01</w:t>
            </w:r>
          </w:p>
        </w:tc>
        <w:tc>
          <w:tcPr>
            <w:tcW w:w="0" w:type="auto"/>
            <w:tcBorders>
              <w:top w:val="nil"/>
              <w:left w:val="nil"/>
              <w:bottom w:val="nil"/>
              <w:right w:val="nil"/>
            </w:tcBorders>
            <w:shd w:val="clear" w:color="000000" w:fill="FFFFFF"/>
            <w:noWrap/>
            <w:vAlign w:val="bottom"/>
            <w:hideMark/>
          </w:tcPr>
          <w:p w14:paraId="193AE380" w14:textId="77777777" w:rsidR="00EA4A1C" w:rsidRPr="007E519D" w:rsidRDefault="00EA4A1C" w:rsidP="00250E5D">
            <w:pPr>
              <w:spacing w:after="0" w:line="240" w:lineRule="auto"/>
              <w:jc w:val="right"/>
              <w:rPr>
                <w:rFonts w:ascii="Times New Roman" w:hAnsi="Times New Roman"/>
                <w:i/>
                <w:color w:val="000000"/>
                <w:sz w:val="18"/>
              </w:rPr>
            </w:pPr>
            <w:r w:rsidRPr="007E519D">
              <w:rPr>
                <w:rFonts w:ascii="Times New Roman" w:hAnsi="Times New Roman"/>
                <w:i/>
                <w:color w:val="000000"/>
                <w:sz w:val="18"/>
              </w:rPr>
              <w:t>-0.06</w:t>
            </w:r>
          </w:p>
        </w:tc>
        <w:tc>
          <w:tcPr>
            <w:tcW w:w="0" w:type="auto"/>
            <w:tcBorders>
              <w:top w:val="nil"/>
              <w:left w:val="nil"/>
              <w:bottom w:val="nil"/>
              <w:right w:val="nil"/>
            </w:tcBorders>
            <w:shd w:val="clear" w:color="000000" w:fill="FFFFFF"/>
            <w:noWrap/>
            <w:vAlign w:val="bottom"/>
            <w:hideMark/>
          </w:tcPr>
          <w:p w14:paraId="03366D36"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0.12</w:t>
            </w:r>
          </w:p>
        </w:tc>
        <w:tc>
          <w:tcPr>
            <w:tcW w:w="0" w:type="auto"/>
            <w:tcBorders>
              <w:top w:val="nil"/>
              <w:left w:val="nil"/>
              <w:bottom w:val="nil"/>
              <w:right w:val="nil"/>
            </w:tcBorders>
            <w:shd w:val="clear" w:color="000000" w:fill="FFFFFF"/>
            <w:noWrap/>
            <w:vAlign w:val="bottom"/>
            <w:hideMark/>
          </w:tcPr>
          <w:p w14:paraId="5A085D93" w14:textId="77777777" w:rsidR="00EA4A1C" w:rsidRPr="007E519D" w:rsidRDefault="00EA4A1C" w:rsidP="00250E5D">
            <w:pPr>
              <w:spacing w:after="0" w:line="240" w:lineRule="auto"/>
              <w:jc w:val="right"/>
              <w:rPr>
                <w:rFonts w:ascii="Times New Roman" w:hAnsi="Times New Roman"/>
                <w:b/>
                <w:color w:val="000000"/>
                <w:sz w:val="18"/>
              </w:rPr>
            </w:pPr>
            <w:r w:rsidRPr="007E519D">
              <w:rPr>
                <w:rFonts w:ascii="Times New Roman" w:hAnsi="Times New Roman"/>
                <w:b/>
                <w:color w:val="000000"/>
                <w:sz w:val="18"/>
              </w:rPr>
              <w:t>-0.07</w:t>
            </w:r>
          </w:p>
        </w:tc>
        <w:tc>
          <w:tcPr>
            <w:tcW w:w="0" w:type="auto"/>
            <w:tcBorders>
              <w:top w:val="nil"/>
              <w:left w:val="nil"/>
              <w:bottom w:val="nil"/>
              <w:right w:val="nil"/>
            </w:tcBorders>
            <w:shd w:val="clear" w:color="000000" w:fill="FFFFFF"/>
            <w:noWrap/>
            <w:vAlign w:val="bottom"/>
            <w:hideMark/>
          </w:tcPr>
          <w:p w14:paraId="0DFAA9A6"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-0.21</w:t>
            </w:r>
          </w:p>
        </w:tc>
        <w:tc>
          <w:tcPr>
            <w:tcW w:w="0" w:type="auto"/>
            <w:tcBorders>
              <w:top w:val="nil"/>
              <w:left w:val="nil"/>
              <w:bottom w:val="nil"/>
              <w:right w:val="nil"/>
            </w:tcBorders>
            <w:shd w:val="clear" w:color="000000" w:fill="FFFFFF"/>
            <w:noWrap/>
            <w:vAlign w:val="bottom"/>
            <w:hideMark/>
          </w:tcPr>
          <w:p w14:paraId="644AF63B" w14:textId="77777777" w:rsidR="00EA4A1C" w:rsidRPr="007E519D" w:rsidRDefault="00EA4A1C" w:rsidP="00250E5D">
            <w:pPr>
              <w:spacing w:after="0" w:line="240" w:lineRule="auto"/>
              <w:jc w:val="right"/>
              <w:rPr>
                <w:rFonts w:ascii="Times New Roman" w:hAnsi="Times New Roman"/>
                <w:b/>
                <w:color w:val="000000"/>
                <w:sz w:val="18"/>
              </w:rPr>
            </w:pPr>
            <w:r w:rsidRPr="007E519D">
              <w:rPr>
                <w:rFonts w:ascii="Times New Roman" w:hAnsi="Times New Roman"/>
                <w:b/>
                <w:color w:val="000000"/>
                <w:sz w:val="18"/>
              </w:rPr>
              <w:t>0.07</w:t>
            </w:r>
          </w:p>
        </w:tc>
        <w:tc>
          <w:tcPr>
            <w:tcW w:w="0" w:type="auto"/>
            <w:tcBorders>
              <w:top w:val="nil"/>
              <w:left w:val="nil"/>
              <w:bottom w:val="nil"/>
              <w:right w:val="nil"/>
            </w:tcBorders>
            <w:shd w:val="clear" w:color="000000" w:fill="FFFFFF"/>
            <w:noWrap/>
            <w:vAlign w:val="bottom"/>
            <w:hideMark/>
          </w:tcPr>
          <w:p w14:paraId="2AD526BA"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0.11</w:t>
            </w:r>
          </w:p>
        </w:tc>
        <w:tc>
          <w:tcPr>
            <w:tcW w:w="0" w:type="auto"/>
            <w:tcBorders>
              <w:top w:val="nil"/>
              <w:left w:val="nil"/>
              <w:bottom w:val="nil"/>
              <w:right w:val="nil"/>
            </w:tcBorders>
            <w:shd w:val="clear" w:color="000000" w:fill="FFFFFF"/>
            <w:noWrap/>
            <w:vAlign w:val="bottom"/>
            <w:hideMark/>
          </w:tcPr>
          <w:p w14:paraId="4E3B799F"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0.13</w:t>
            </w:r>
          </w:p>
        </w:tc>
        <w:tc>
          <w:tcPr>
            <w:tcW w:w="0" w:type="auto"/>
            <w:tcBorders>
              <w:top w:val="nil"/>
              <w:left w:val="nil"/>
              <w:bottom w:val="nil"/>
              <w:right w:val="nil"/>
            </w:tcBorders>
            <w:shd w:val="clear" w:color="000000" w:fill="FFFFFF"/>
            <w:noWrap/>
            <w:vAlign w:val="bottom"/>
            <w:hideMark/>
          </w:tcPr>
          <w:p w14:paraId="5AB5B09C" w14:textId="77777777" w:rsidR="00EA4A1C" w:rsidRPr="00D800F1" w:rsidRDefault="00EA4A1C" w:rsidP="00250E5D">
            <w:pPr>
              <w:spacing w:after="0" w:line="240" w:lineRule="auto"/>
              <w:jc w:val="right"/>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0.03</w:t>
            </w:r>
          </w:p>
        </w:tc>
        <w:tc>
          <w:tcPr>
            <w:tcW w:w="0" w:type="auto"/>
            <w:tcBorders>
              <w:top w:val="nil"/>
              <w:left w:val="nil"/>
              <w:bottom w:val="nil"/>
              <w:right w:val="nil"/>
            </w:tcBorders>
            <w:shd w:val="clear" w:color="000000" w:fill="FFFFFF"/>
            <w:noWrap/>
            <w:vAlign w:val="bottom"/>
            <w:hideMark/>
          </w:tcPr>
          <w:p w14:paraId="07454770" w14:textId="77777777" w:rsidR="00EA4A1C" w:rsidRPr="007E519D" w:rsidRDefault="00EA4A1C" w:rsidP="00250E5D">
            <w:pPr>
              <w:spacing w:after="0" w:line="240" w:lineRule="auto"/>
              <w:jc w:val="right"/>
              <w:rPr>
                <w:rFonts w:ascii="Times New Roman" w:hAnsi="Times New Roman"/>
                <w:i/>
                <w:color w:val="000000"/>
                <w:sz w:val="18"/>
              </w:rPr>
            </w:pPr>
            <w:r w:rsidRPr="007E519D">
              <w:rPr>
                <w:rFonts w:ascii="Times New Roman" w:hAnsi="Times New Roman"/>
                <w:i/>
                <w:color w:val="000000"/>
                <w:sz w:val="18"/>
              </w:rPr>
              <w:t>-0.06</w:t>
            </w:r>
          </w:p>
        </w:tc>
        <w:tc>
          <w:tcPr>
            <w:tcW w:w="0" w:type="auto"/>
            <w:tcBorders>
              <w:top w:val="nil"/>
              <w:left w:val="nil"/>
              <w:bottom w:val="nil"/>
              <w:right w:val="nil"/>
            </w:tcBorders>
            <w:shd w:val="clear" w:color="000000" w:fill="FFFFFF"/>
            <w:noWrap/>
            <w:vAlign w:val="bottom"/>
            <w:hideMark/>
          </w:tcPr>
          <w:p w14:paraId="07D24358"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0.13</w:t>
            </w:r>
          </w:p>
        </w:tc>
        <w:tc>
          <w:tcPr>
            <w:tcW w:w="0" w:type="auto"/>
            <w:tcBorders>
              <w:top w:val="nil"/>
              <w:left w:val="nil"/>
              <w:bottom w:val="nil"/>
              <w:right w:val="nil"/>
            </w:tcBorders>
            <w:shd w:val="clear" w:color="000000" w:fill="FFFFFF"/>
            <w:noWrap/>
            <w:vAlign w:val="bottom"/>
            <w:hideMark/>
          </w:tcPr>
          <w:p w14:paraId="286E4E87"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-0.10</w:t>
            </w:r>
          </w:p>
        </w:tc>
        <w:tc>
          <w:tcPr>
            <w:tcW w:w="0" w:type="auto"/>
            <w:tcBorders>
              <w:top w:val="nil"/>
              <w:left w:val="nil"/>
              <w:bottom w:val="nil"/>
              <w:right w:val="nil"/>
            </w:tcBorders>
            <w:shd w:val="clear" w:color="000000" w:fill="FFFFFF"/>
            <w:noWrap/>
            <w:vAlign w:val="bottom"/>
            <w:hideMark/>
          </w:tcPr>
          <w:p w14:paraId="2AC7566E"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3C4B7514"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35D7662B"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23775AA9"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r>
      <w:tr w:rsidR="00EA4A1C" w:rsidRPr="00D800F1" w14:paraId="4A6A43B5" w14:textId="77777777" w:rsidTr="00250E5D">
        <w:trPr>
          <w:trHeight w:val="255"/>
        </w:trPr>
        <w:tc>
          <w:tcPr>
            <w:tcW w:w="0" w:type="auto"/>
            <w:tcBorders>
              <w:top w:val="nil"/>
              <w:left w:val="nil"/>
              <w:bottom w:val="nil"/>
              <w:right w:val="nil"/>
            </w:tcBorders>
            <w:shd w:val="clear" w:color="000000" w:fill="FFFFFF"/>
            <w:noWrap/>
            <w:vAlign w:val="bottom"/>
            <w:hideMark/>
          </w:tcPr>
          <w:p w14:paraId="3D0686C6" w14:textId="77777777" w:rsidR="00EA4A1C" w:rsidRPr="00D800F1" w:rsidRDefault="00EA4A1C" w:rsidP="00250E5D">
            <w:pPr>
              <w:spacing w:after="0" w:line="240" w:lineRule="auto"/>
              <w:jc w:val="right"/>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14</w:t>
            </w:r>
          </w:p>
        </w:tc>
        <w:tc>
          <w:tcPr>
            <w:tcW w:w="0" w:type="auto"/>
            <w:tcBorders>
              <w:top w:val="nil"/>
              <w:left w:val="nil"/>
              <w:bottom w:val="nil"/>
              <w:right w:val="nil"/>
            </w:tcBorders>
            <w:shd w:val="clear" w:color="000000" w:fill="FFFFFF"/>
            <w:noWrap/>
            <w:vAlign w:val="bottom"/>
            <w:hideMark/>
          </w:tcPr>
          <w:p w14:paraId="3E6D2E26"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Cumulative amount invested by VC</w:t>
            </w:r>
          </w:p>
        </w:tc>
        <w:tc>
          <w:tcPr>
            <w:tcW w:w="0" w:type="auto"/>
            <w:tcBorders>
              <w:top w:val="nil"/>
              <w:left w:val="nil"/>
              <w:bottom w:val="nil"/>
              <w:right w:val="nil"/>
            </w:tcBorders>
            <w:shd w:val="clear" w:color="000000" w:fill="FFFFFF"/>
            <w:noWrap/>
            <w:vAlign w:val="bottom"/>
            <w:hideMark/>
          </w:tcPr>
          <w:p w14:paraId="7D9047EF"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0.66</w:t>
            </w:r>
          </w:p>
        </w:tc>
        <w:tc>
          <w:tcPr>
            <w:tcW w:w="0" w:type="auto"/>
            <w:tcBorders>
              <w:top w:val="nil"/>
              <w:left w:val="nil"/>
              <w:bottom w:val="nil"/>
              <w:right w:val="nil"/>
            </w:tcBorders>
            <w:shd w:val="clear" w:color="000000" w:fill="FFFFFF"/>
            <w:noWrap/>
            <w:vAlign w:val="bottom"/>
            <w:hideMark/>
          </w:tcPr>
          <w:p w14:paraId="23249DC1"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0.44</w:t>
            </w:r>
          </w:p>
        </w:tc>
        <w:tc>
          <w:tcPr>
            <w:tcW w:w="0" w:type="auto"/>
            <w:tcBorders>
              <w:top w:val="nil"/>
              <w:left w:val="nil"/>
              <w:bottom w:val="nil"/>
              <w:right w:val="nil"/>
            </w:tcBorders>
            <w:shd w:val="clear" w:color="000000" w:fill="FFFFFF"/>
            <w:noWrap/>
            <w:vAlign w:val="bottom"/>
            <w:hideMark/>
          </w:tcPr>
          <w:p w14:paraId="4EC4A764"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0.48</w:t>
            </w:r>
          </w:p>
        </w:tc>
        <w:tc>
          <w:tcPr>
            <w:tcW w:w="0" w:type="auto"/>
            <w:tcBorders>
              <w:top w:val="nil"/>
              <w:left w:val="nil"/>
              <w:bottom w:val="nil"/>
              <w:right w:val="nil"/>
            </w:tcBorders>
            <w:shd w:val="clear" w:color="000000" w:fill="FFFFFF"/>
            <w:noWrap/>
            <w:vAlign w:val="bottom"/>
            <w:hideMark/>
          </w:tcPr>
          <w:p w14:paraId="69567C98"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0.21</w:t>
            </w:r>
          </w:p>
        </w:tc>
        <w:tc>
          <w:tcPr>
            <w:tcW w:w="0" w:type="auto"/>
            <w:tcBorders>
              <w:top w:val="nil"/>
              <w:left w:val="nil"/>
              <w:bottom w:val="nil"/>
              <w:right w:val="nil"/>
            </w:tcBorders>
            <w:shd w:val="clear" w:color="000000" w:fill="FFFFFF"/>
            <w:noWrap/>
            <w:vAlign w:val="bottom"/>
            <w:hideMark/>
          </w:tcPr>
          <w:p w14:paraId="35F6C82F"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-0.32</w:t>
            </w:r>
          </w:p>
        </w:tc>
        <w:tc>
          <w:tcPr>
            <w:tcW w:w="0" w:type="auto"/>
            <w:tcBorders>
              <w:top w:val="nil"/>
              <w:left w:val="nil"/>
              <w:bottom w:val="nil"/>
              <w:right w:val="nil"/>
            </w:tcBorders>
            <w:shd w:val="clear" w:color="000000" w:fill="FFFFFF"/>
            <w:noWrap/>
            <w:vAlign w:val="bottom"/>
            <w:hideMark/>
          </w:tcPr>
          <w:p w14:paraId="576A7B4E"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0.40</w:t>
            </w:r>
          </w:p>
        </w:tc>
        <w:tc>
          <w:tcPr>
            <w:tcW w:w="0" w:type="auto"/>
            <w:tcBorders>
              <w:top w:val="nil"/>
              <w:left w:val="nil"/>
              <w:bottom w:val="nil"/>
              <w:right w:val="nil"/>
            </w:tcBorders>
            <w:shd w:val="clear" w:color="000000" w:fill="FFFFFF"/>
            <w:noWrap/>
            <w:vAlign w:val="bottom"/>
            <w:hideMark/>
          </w:tcPr>
          <w:p w14:paraId="2B093D13" w14:textId="77777777" w:rsidR="00EA4A1C" w:rsidRPr="007E519D" w:rsidRDefault="00EA4A1C" w:rsidP="00250E5D">
            <w:pPr>
              <w:spacing w:after="0" w:line="240" w:lineRule="auto"/>
              <w:jc w:val="right"/>
              <w:rPr>
                <w:rFonts w:ascii="Times New Roman" w:hAnsi="Times New Roman"/>
                <w:i/>
                <w:color w:val="000000"/>
                <w:sz w:val="18"/>
              </w:rPr>
            </w:pPr>
            <w:r w:rsidRPr="007E519D">
              <w:rPr>
                <w:rFonts w:ascii="Times New Roman" w:hAnsi="Times New Roman"/>
                <w:i/>
                <w:color w:val="000000"/>
                <w:sz w:val="18"/>
              </w:rPr>
              <w:t>0.06</w:t>
            </w:r>
          </w:p>
        </w:tc>
        <w:tc>
          <w:tcPr>
            <w:tcW w:w="0" w:type="auto"/>
            <w:tcBorders>
              <w:top w:val="nil"/>
              <w:left w:val="nil"/>
              <w:bottom w:val="nil"/>
              <w:right w:val="nil"/>
            </w:tcBorders>
            <w:shd w:val="clear" w:color="000000" w:fill="FFFFFF"/>
            <w:noWrap/>
            <w:vAlign w:val="bottom"/>
            <w:hideMark/>
          </w:tcPr>
          <w:p w14:paraId="1C78BE4C"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0.27</w:t>
            </w:r>
          </w:p>
        </w:tc>
        <w:tc>
          <w:tcPr>
            <w:tcW w:w="0" w:type="auto"/>
            <w:tcBorders>
              <w:top w:val="nil"/>
              <w:left w:val="nil"/>
              <w:bottom w:val="nil"/>
              <w:right w:val="nil"/>
            </w:tcBorders>
            <w:shd w:val="clear" w:color="000000" w:fill="FFFFFF"/>
            <w:noWrap/>
            <w:vAlign w:val="bottom"/>
            <w:hideMark/>
          </w:tcPr>
          <w:p w14:paraId="5F292C85" w14:textId="77777777" w:rsidR="00EA4A1C" w:rsidRPr="00D800F1" w:rsidRDefault="00EA4A1C" w:rsidP="00250E5D">
            <w:pPr>
              <w:spacing w:after="0" w:line="240" w:lineRule="auto"/>
              <w:jc w:val="right"/>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0.04</w:t>
            </w:r>
          </w:p>
        </w:tc>
        <w:tc>
          <w:tcPr>
            <w:tcW w:w="0" w:type="auto"/>
            <w:tcBorders>
              <w:top w:val="nil"/>
              <w:left w:val="nil"/>
              <w:bottom w:val="nil"/>
              <w:right w:val="nil"/>
            </w:tcBorders>
            <w:shd w:val="clear" w:color="000000" w:fill="FFFFFF"/>
            <w:noWrap/>
            <w:vAlign w:val="bottom"/>
            <w:hideMark/>
          </w:tcPr>
          <w:p w14:paraId="499DCC06"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0.16</w:t>
            </w:r>
          </w:p>
        </w:tc>
        <w:tc>
          <w:tcPr>
            <w:tcW w:w="0" w:type="auto"/>
            <w:tcBorders>
              <w:top w:val="nil"/>
              <w:left w:val="nil"/>
              <w:bottom w:val="nil"/>
              <w:right w:val="nil"/>
            </w:tcBorders>
            <w:shd w:val="clear" w:color="000000" w:fill="FFFFFF"/>
            <w:noWrap/>
            <w:vAlign w:val="bottom"/>
            <w:hideMark/>
          </w:tcPr>
          <w:p w14:paraId="45A8D6A0"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0.19</w:t>
            </w:r>
          </w:p>
        </w:tc>
        <w:tc>
          <w:tcPr>
            <w:tcW w:w="0" w:type="auto"/>
            <w:tcBorders>
              <w:top w:val="nil"/>
              <w:left w:val="nil"/>
              <w:bottom w:val="nil"/>
              <w:right w:val="nil"/>
            </w:tcBorders>
            <w:shd w:val="clear" w:color="000000" w:fill="FFFFFF"/>
            <w:noWrap/>
            <w:vAlign w:val="bottom"/>
            <w:hideMark/>
          </w:tcPr>
          <w:p w14:paraId="793E86CC" w14:textId="77777777" w:rsidR="00EA4A1C" w:rsidRPr="007E519D" w:rsidRDefault="00EA4A1C" w:rsidP="00250E5D">
            <w:pPr>
              <w:spacing w:after="0" w:line="240" w:lineRule="auto"/>
              <w:jc w:val="right"/>
              <w:rPr>
                <w:rFonts w:ascii="Times New Roman" w:hAnsi="Times New Roman"/>
                <w:i/>
                <w:color w:val="000000"/>
                <w:sz w:val="18"/>
              </w:rPr>
            </w:pPr>
            <w:r w:rsidRPr="007E519D">
              <w:rPr>
                <w:rFonts w:ascii="Times New Roman" w:hAnsi="Times New Roman"/>
                <w:i/>
                <w:color w:val="000000"/>
                <w:sz w:val="18"/>
              </w:rPr>
              <w:t>-0.06</w:t>
            </w:r>
          </w:p>
        </w:tc>
        <w:tc>
          <w:tcPr>
            <w:tcW w:w="0" w:type="auto"/>
            <w:tcBorders>
              <w:top w:val="nil"/>
              <w:left w:val="nil"/>
              <w:bottom w:val="nil"/>
              <w:right w:val="nil"/>
            </w:tcBorders>
            <w:shd w:val="clear" w:color="000000" w:fill="FFFFFF"/>
            <w:noWrap/>
            <w:vAlign w:val="bottom"/>
            <w:hideMark/>
          </w:tcPr>
          <w:p w14:paraId="6EC635AB"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0.11</w:t>
            </w:r>
          </w:p>
        </w:tc>
        <w:tc>
          <w:tcPr>
            <w:tcW w:w="0" w:type="auto"/>
            <w:tcBorders>
              <w:top w:val="nil"/>
              <w:left w:val="nil"/>
              <w:bottom w:val="nil"/>
              <w:right w:val="nil"/>
            </w:tcBorders>
            <w:shd w:val="clear" w:color="000000" w:fill="FFFFFF"/>
            <w:noWrap/>
            <w:vAlign w:val="bottom"/>
            <w:hideMark/>
          </w:tcPr>
          <w:p w14:paraId="4505E12C"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0D9C3F29"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3E2FCA22"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r>
      <w:tr w:rsidR="00EA4A1C" w:rsidRPr="00D800F1" w14:paraId="70B9CF34" w14:textId="77777777" w:rsidTr="00250E5D">
        <w:trPr>
          <w:trHeight w:val="255"/>
        </w:trPr>
        <w:tc>
          <w:tcPr>
            <w:tcW w:w="0" w:type="auto"/>
            <w:tcBorders>
              <w:top w:val="nil"/>
              <w:left w:val="nil"/>
              <w:bottom w:val="nil"/>
              <w:right w:val="nil"/>
            </w:tcBorders>
            <w:shd w:val="clear" w:color="000000" w:fill="FFFFFF"/>
            <w:noWrap/>
            <w:vAlign w:val="bottom"/>
            <w:hideMark/>
          </w:tcPr>
          <w:p w14:paraId="69B449EC" w14:textId="77777777" w:rsidR="00EA4A1C" w:rsidRPr="00D800F1" w:rsidRDefault="00EA4A1C" w:rsidP="00250E5D">
            <w:pPr>
              <w:spacing w:after="0" w:line="240" w:lineRule="auto"/>
              <w:jc w:val="right"/>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15</w:t>
            </w:r>
          </w:p>
        </w:tc>
        <w:tc>
          <w:tcPr>
            <w:tcW w:w="0" w:type="auto"/>
            <w:tcBorders>
              <w:top w:val="nil"/>
              <w:left w:val="nil"/>
              <w:bottom w:val="nil"/>
              <w:right w:val="nil"/>
            </w:tcBorders>
            <w:shd w:val="clear" w:color="000000" w:fill="FFFFFF"/>
            <w:noWrap/>
            <w:vAlign w:val="bottom"/>
            <w:hideMark/>
          </w:tcPr>
          <w:p w14:paraId="4484D467"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Syndication size</w:t>
            </w:r>
          </w:p>
        </w:tc>
        <w:tc>
          <w:tcPr>
            <w:tcW w:w="0" w:type="auto"/>
            <w:tcBorders>
              <w:top w:val="nil"/>
              <w:left w:val="nil"/>
              <w:bottom w:val="nil"/>
              <w:right w:val="nil"/>
            </w:tcBorders>
            <w:shd w:val="clear" w:color="000000" w:fill="FFFFFF"/>
            <w:noWrap/>
            <w:vAlign w:val="bottom"/>
            <w:hideMark/>
          </w:tcPr>
          <w:p w14:paraId="36D53BF3"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0.37</w:t>
            </w:r>
          </w:p>
        </w:tc>
        <w:tc>
          <w:tcPr>
            <w:tcW w:w="0" w:type="auto"/>
            <w:tcBorders>
              <w:top w:val="nil"/>
              <w:left w:val="nil"/>
              <w:bottom w:val="nil"/>
              <w:right w:val="nil"/>
            </w:tcBorders>
            <w:shd w:val="clear" w:color="000000" w:fill="FFFFFF"/>
            <w:noWrap/>
            <w:vAlign w:val="bottom"/>
            <w:hideMark/>
          </w:tcPr>
          <w:p w14:paraId="2D69AC86"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0.31</w:t>
            </w:r>
          </w:p>
        </w:tc>
        <w:tc>
          <w:tcPr>
            <w:tcW w:w="0" w:type="auto"/>
            <w:tcBorders>
              <w:top w:val="nil"/>
              <w:left w:val="nil"/>
              <w:bottom w:val="nil"/>
              <w:right w:val="nil"/>
            </w:tcBorders>
            <w:shd w:val="clear" w:color="000000" w:fill="FFFFFF"/>
            <w:noWrap/>
            <w:vAlign w:val="bottom"/>
            <w:hideMark/>
          </w:tcPr>
          <w:p w14:paraId="4A0C62F3"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0.14</w:t>
            </w:r>
          </w:p>
        </w:tc>
        <w:tc>
          <w:tcPr>
            <w:tcW w:w="0" w:type="auto"/>
            <w:tcBorders>
              <w:top w:val="nil"/>
              <w:left w:val="nil"/>
              <w:bottom w:val="nil"/>
              <w:right w:val="nil"/>
            </w:tcBorders>
            <w:shd w:val="clear" w:color="000000" w:fill="FFFFFF"/>
            <w:noWrap/>
            <w:vAlign w:val="bottom"/>
            <w:hideMark/>
          </w:tcPr>
          <w:p w14:paraId="583CEF0D"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0.13</w:t>
            </w:r>
          </w:p>
        </w:tc>
        <w:tc>
          <w:tcPr>
            <w:tcW w:w="0" w:type="auto"/>
            <w:tcBorders>
              <w:top w:val="nil"/>
              <w:left w:val="nil"/>
              <w:bottom w:val="nil"/>
              <w:right w:val="nil"/>
            </w:tcBorders>
            <w:shd w:val="clear" w:color="000000" w:fill="FFFFFF"/>
            <w:noWrap/>
            <w:vAlign w:val="bottom"/>
            <w:hideMark/>
          </w:tcPr>
          <w:p w14:paraId="34AB9958"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-0.79</w:t>
            </w:r>
          </w:p>
        </w:tc>
        <w:tc>
          <w:tcPr>
            <w:tcW w:w="0" w:type="auto"/>
            <w:tcBorders>
              <w:top w:val="nil"/>
              <w:left w:val="nil"/>
              <w:bottom w:val="nil"/>
              <w:right w:val="nil"/>
            </w:tcBorders>
            <w:shd w:val="clear" w:color="000000" w:fill="FFFFFF"/>
            <w:noWrap/>
            <w:vAlign w:val="bottom"/>
            <w:hideMark/>
          </w:tcPr>
          <w:p w14:paraId="362693B8"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0.38</w:t>
            </w:r>
          </w:p>
        </w:tc>
        <w:tc>
          <w:tcPr>
            <w:tcW w:w="0" w:type="auto"/>
            <w:tcBorders>
              <w:top w:val="nil"/>
              <w:left w:val="nil"/>
              <w:bottom w:val="nil"/>
              <w:right w:val="nil"/>
            </w:tcBorders>
            <w:shd w:val="clear" w:color="000000" w:fill="FFFFFF"/>
            <w:noWrap/>
            <w:vAlign w:val="bottom"/>
            <w:hideMark/>
          </w:tcPr>
          <w:p w14:paraId="00FDD004"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0.14</w:t>
            </w:r>
          </w:p>
        </w:tc>
        <w:tc>
          <w:tcPr>
            <w:tcW w:w="0" w:type="auto"/>
            <w:tcBorders>
              <w:top w:val="nil"/>
              <w:left w:val="nil"/>
              <w:bottom w:val="nil"/>
              <w:right w:val="nil"/>
            </w:tcBorders>
            <w:shd w:val="clear" w:color="000000" w:fill="FFFFFF"/>
            <w:noWrap/>
            <w:vAlign w:val="bottom"/>
            <w:hideMark/>
          </w:tcPr>
          <w:p w14:paraId="2421D896"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0.29</w:t>
            </w:r>
          </w:p>
        </w:tc>
        <w:tc>
          <w:tcPr>
            <w:tcW w:w="0" w:type="auto"/>
            <w:tcBorders>
              <w:top w:val="nil"/>
              <w:left w:val="nil"/>
              <w:bottom w:val="nil"/>
              <w:right w:val="nil"/>
            </w:tcBorders>
            <w:shd w:val="clear" w:color="000000" w:fill="FFFFFF"/>
            <w:noWrap/>
            <w:vAlign w:val="bottom"/>
            <w:hideMark/>
          </w:tcPr>
          <w:p w14:paraId="417EAFA3"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0.09</w:t>
            </w:r>
          </w:p>
        </w:tc>
        <w:tc>
          <w:tcPr>
            <w:tcW w:w="0" w:type="auto"/>
            <w:tcBorders>
              <w:top w:val="nil"/>
              <w:left w:val="nil"/>
              <w:bottom w:val="nil"/>
              <w:right w:val="nil"/>
            </w:tcBorders>
            <w:shd w:val="clear" w:color="000000" w:fill="FFFFFF"/>
            <w:noWrap/>
            <w:vAlign w:val="bottom"/>
            <w:hideMark/>
          </w:tcPr>
          <w:p w14:paraId="3424C796" w14:textId="77777777" w:rsidR="00EA4A1C" w:rsidRPr="00D800F1" w:rsidRDefault="00EA4A1C" w:rsidP="00250E5D">
            <w:pPr>
              <w:spacing w:after="0" w:line="240" w:lineRule="auto"/>
              <w:jc w:val="right"/>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0.01</w:t>
            </w:r>
          </w:p>
        </w:tc>
        <w:tc>
          <w:tcPr>
            <w:tcW w:w="0" w:type="auto"/>
            <w:tcBorders>
              <w:top w:val="nil"/>
              <w:left w:val="nil"/>
              <w:bottom w:val="nil"/>
              <w:right w:val="nil"/>
            </w:tcBorders>
            <w:shd w:val="clear" w:color="000000" w:fill="FFFFFF"/>
            <w:noWrap/>
            <w:vAlign w:val="bottom"/>
            <w:hideMark/>
          </w:tcPr>
          <w:p w14:paraId="02098CAE"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0.18</w:t>
            </w:r>
          </w:p>
        </w:tc>
        <w:tc>
          <w:tcPr>
            <w:tcW w:w="0" w:type="auto"/>
            <w:tcBorders>
              <w:top w:val="nil"/>
              <w:left w:val="nil"/>
              <w:bottom w:val="nil"/>
              <w:right w:val="nil"/>
            </w:tcBorders>
            <w:shd w:val="clear" w:color="000000" w:fill="FFFFFF"/>
            <w:noWrap/>
            <w:vAlign w:val="bottom"/>
            <w:hideMark/>
          </w:tcPr>
          <w:p w14:paraId="436691C1"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-0.43</w:t>
            </w:r>
          </w:p>
        </w:tc>
        <w:tc>
          <w:tcPr>
            <w:tcW w:w="0" w:type="auto"/>
            <w:tcBorders>
              <w:top w:val="nil"/>
              <w:left w:val="nil"/>
              <w:bottom w:val="nil"/>
              <w:right w:val="nil"/>
            </w:tcBorders>
            <w:shd w:val="clear" w:color="000000" w:fill="FFFFFF"/>
            <w:noWrap/>
            <w:vAlign w:val="bottom"/>
            <w:hideMark/>
          </w:tcPr>
          <w:p w14:paraId="50F268D7"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0.21</w:t>
            </w:r>
          </w:p>
        </w:tc>
        <w:tc>
          <w:tcPr>
            <w:tcW w:w="0" w:type="auto"/>
            <w:tcBorders>
              <w:top w:val="nil"/>
              <w:left w:val="nil"/>
              <w:bottom w:val="nil"/>
              <w:right w:val="nil"/>
            </w:tcBorders>
            <w:shd w:val="clear" w:color="000000" w:fill="FFFFFF"/>
            <w:noWrap/>
            <w:vAlign w:val="bottom"/>
            <w:hideMark/>
          </w:tcPr>
          <w:p w14:paraId="7EACD4C5"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0.33</w:t>
            </w:r>
          </w:p>
        </w:tc>
        <w:tc>
          <w:tcPr>
            <w:tcW w:w="0" w:type="auto"/>
            <w:tcBorders>
              <w:top w:val="nil"/>
              <w:left w:val="nil"/>
              <w:bottom w:val="nil"/>
              <w:right w:val="nil"/>
            </w:tcBorders>
            <w:shd w:val="clear" w:color="000000" w:fill="FFFFFF"/>
            <w:noWrap/>
            <w:vAlign w:val="bottom"/>
            <w:hideMark/>
          </w:tcPr>
          <w:p w14:paraId="476B9382"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0506CB81"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r>
      <w:tr w:rsidR="00EA4A1C" w:rsidRPr="00D800F1" w14:paraId="1A250AE5" w14:textId="77777777" w:rsidTr="00250E5D">
        <w:trPr>
          <w:trHeight w:val="255"/>
        </w:trPr>
        <w:tc>
          <w:tcPr>
            <w:tcW w:w="0" w:type="auto"/>
            <w:tcBorders>
              <w:top w:val="nil"/>
              <w:left w:val="nil"/>
              <w:bottom w:val="nil"/>
              <w:right w:val="nil"/>
            </w:tcBorders>
            <w:shd w:val="clear" w:color="000000" w:fill="FFFFFF"/>
            <w:noWrap/>
            <w:vAlign w:val="bottom"/>
            <w:hideMark/>
          </w:tcPr>
          <w:p w14:paraId="234EF8B3" w14:textId="77777777" w:rsidR="00EA4A1C" w:rsidRPr="00D800F1" w:rsidRDefault="00EA4A1C" w:rsidP="00250E5D">
            <w:pPr>
              <w:spacing w:after="0" w:line="240" w:lineRule="auto"/>
              <w:jc w:val="right"/>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16</w:t>
            </w:r>
          </w:p>
        </w:tc>
        <w:tc>
          <w:tcPr>
            <w:tcW w:w="0" w:type="auto"/>
            <w:tcBorders>
              <w:top w:val="nil"/>
              <w:left w:val="nil"/>
              <w:bottom w:val="nil"/>
              <w:right w:val="nil"/>
            </w:tcBorders>
            <w:shd w:val="clear" w:color="000000" w:fill="FFFFFF"/>
            <w:noWrap/>
            <w:vAlign w:val="bottom"/>
            <w:hideMark/>
          </w:tcPr>
          <w:p w14:paraId="27A7B9C7"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Mixed syndicate</w:t>
            </w:r>
          </w:p>
        </w:tc>
        <w:tc>
          <w:tcPr>
            <w:tcW w:w="0" w:type="auto"/>
            <w:tcBorders>
              <w:top w:val="nil"/>
              <w:left w:val="nil"/>
              <w:bottom w:val="nil"/>
              <w:right w:val="nil"/>
            </w:tcBorders>
            <w:shd w:val="clear" w:color="000000" w:fill="FFFFFF"/>
            <w:noWrap/>
            <w:vAlign w:val="bottom"/>
            <w:hideMark/>
          </w:tcPr>
          <w:p w14:paraId="688EDD75"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0.16</w:t>
            </w:r>
          </w:p>
        </w:tc>
        <w:tc>
          <w:tcPr>
            <w:tcW w:w="0" w:type="auto"/>
            <w:tcBorders>
              <w:top w:val="nil"/>
              <w:left w:val="nil"/>
              <w:bottom w:val="nil"/>
              <w:right w:val="nil"/>
            </w:tcBorders>
            <w:shd w:val="clear" w:color="000000" w:fill="FFFFFF"/>
            <w:noWrap/>
            <w:vAlign w:val="bottom"/>
            <w:hideMark/>
          </w:tcPr>
          <w:p w14:paraId="4BD2CD5C"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0.14</w:t>
            </w:r>
          </w:p>
        </w:tc>
        <w:tc>
          <w:tcPr>
            <w:tcW w:w="0" w:type="auto"/>
            <w:tcBorders>
              <w:top w:val="nil"/>
              <w:left w:val="nil"/>
              <w:bottom w:val="nil"/>
              <w:right w:val="nil"/>
            </w:tcBorders>
            <w:shd w:val="clear" w:color="000000" w:fill="FFFFFF"/>
            <w:noWrap/>
            <w:vAlign w:val="bottom"/>
            <w:hideMark/>
          </w:tcPr>
          <w:p w14:paraId="711D25ED"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0.09</w:t>
            </w:r>
          </w:p>
        </w:tc>
        <w:tc>
          <w:tcPr>
            <w:tcW w:w="0" w:type="auto"/>
            <w:tcBorders>
              <w:top w:val="nil"/>
              <w:left w:val="nil"/>
              <w:bottom w:val="nil"/>
              <w:right w:val="nil"/>
            </w:tcBorders>
            <w:shd w:val="clear" w:color="000000" w:fill="FFFFFF"/>
            <w:noWrap/>
            <w:vAlign w:val="bottom"/>
            <w:hideMark/>
          </w:tcPr>
          <w:p w14:paraId="0644D755" w14:textId="77777777" w:rsidR="00EA4A1C" w:rsidRPr="00D800F1" w:rsidRDefault="00EA4A1C" w:rsidP="00250E5D">
            <w:pPr>
              <w:spacing w:after="0" w:line="240" w:lineRule="auto"/>
              <w:jc w:val="right"/>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0.01</w:t>
            </w:r>
          </w:p>
        </w:tc>
        <w:tc>
          <w:tcPr>
            <w:tcW w:w="0" w:type="auto"/>
            <w:tcBorders>
              <w:top w:val="nil"/>
              <w:left w:val="nil"/>
              <w:bottom w:val="nil"/>
              <w:right w:val="nil"/>
            </w:tcBorders>
            <w:shd w:val="clear" w:color="000000" w:fill="FFFFFF"/>
            <w:noWrap/>
            <w:vAlign w:val="bottom"/>
            <w:hideMark/>
          </w:tcPr>
          <w:p w14:paraId="1A059074"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-0.62</w:t>
            </w:r>
          </w:p>
        </w:tc>
        <w:tc>
          <w:tcPr>
            <w:tcW w:w="0" w:type="auto"/>
            <w:tcBorders>
              <w:top w:val="nil"/>
              <w:left w:val="nil"/>
              <w:bottom w:val="nil"/>
              <w:right w:val="nil"/>
            </w:tcBorders>
            <w:shd w:val="clear" w:color="000000" w:fill="FFFFFF"/>
            <w:noWrap/>
            <w:vAlign w:val="bottom"/>
            <w:hideMark/>
          </w:tcPr>
          <w:p w14:paraId="62836AEF"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0.16</w:t>
            </w:r>
          </w:p>
        </w:tc>
        <w:tc>
          <w:tcPr>
            <w:tcW w:w="0" w:type="auto"/>
            <w:tcBorders>
              <w:top w:val="nil"/>
              <w:left w:val="nil"/>
              <w:bottom w:val="nil"/>
              <w:right w:val="nil"/>
            </w:tcBorders>
            <w:shd w:val="clear" w:color="000000" w:fill="FFFFFF"/>
            <w:noWrap/>
            <w:vAlign w:val="bottom"/>
            <w:hideMark/>
          </w:tcPr>
          <w:p w14:paraId="66AA46E3"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0.15</w:t>
            </w:r>
          </w:p>
        </w:tc>
        <w:tc>
          <w:tcPr>
            <w:tcW w:w="0" w:type="auto"/>
            <w:tcBorders>
              <w:top w:val="nil"/>
              <w:left w:val="nil"/>
              <w:bottom w:val="nil"/>
              <w:right w:val="nil"/>
            </w:tcBorders>
            <w:shd w:val="clear" w:color="000000" w:fill="FFFFFF"/>
            <w:noWrap/>
            <w:vAlign w:val="bottom"/>
            <w:hideMark/>
          </w:tcPr>
          <w:p w14:paraId="2D6E5A2B"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0.19</w:t>
            </w:r>
          </w:p>
        </w:tc>
        <w:tc>
          <w:tcPr>
            <w:tcW w:w="0" w:type="auto"/>
            <w:tcBorders>
              <w:top w:val="nil"/>
              <w:left w:val="nil"/>
              <w:bottom w:val="nil"/>
              <w:right w:val="nil"/>
            </w:tcBorders>
            <w:shd w:val="clear" w:color="000000" w:fill="FFFFFF"/>
            <w:noWrap/>
            <w:vAlign w:val="bottom"/>
            <w:hideMark/>
          </w:tcPr>
          <w:p w14:paraId="7D85E614" w14:textId="77777777" w:rsidR="00EA4A1C" w:rsidRPr="007E519D" w:rsidRDefault="00EA4A1C" w:rsidP="00250E5D">
            <w:pPr>
              <w:spacing w:after="0" w:line="240" w:lineRule="auto"/>
              <w:jc w:val="right"/>
              <w:rPr>
                <w:rFonts w:ascii="Times New Roman" w:hAnsi="Times New Roman"/>
                <w:i/>
                <w:color w:val="000000"/>
                <w:sz w:val="18"/>
              </w:rPr>
            </w:pPr>
            <w:r w:rsidRPr="007E519D">
              <w:rPr>
                <w:rFonts w:ascii="Times New Roman" w:hAnsi="Times New Roman"/>
                <w:i/>
                <w:color w:val="000000"/>
                <w:sz w:val="18"/>
              </w:rPr>
              <w:t>0.06</w:t>
            </w:r>
          </w:p>
        </w:tc>
        <w:tc>
          <w:tcPr>
            <w:tcW w:w="0" w:type="auto"/>
            <w:tcBorders>
              <w:top w:val="nil"/>
              <w:left w:val="nil"/>
              <w:bottom w:val="nil"/>
              <w:right w:val="nil"/>
            </w:tcBorders>
            <w:shd w:val="clear" w:color="000000" w:fill="FFFFFF"/>
            <w:noWrap/>
            <w:vAlign w:val="bottom"/>
            <w:hideMark/>
          </w:tcPr>
          <w:p w14:paraId="14D891E4" w14:textId="77777777" w:rsidR="00EA4A1C" w:rsidRPr="00D800F1" w:rsidRDefault="00EA4A1C" w:rsidP="00250E5D">
            <w:pPr>
              <w:spacing w:after="0" w:line="240" w:lineRule="auto"/>
              <w:jc w:val="right"/>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0.00</w:t>
            </w:r>
          </w:p>
        </w:tc>
        <w:tc>
          <w:tcPr>
            <w:tcW w:w="0" w:type="auto"/>
            <w:tcBorders>
              <w:top w:val="nil"/>
              <w:left w:val="nil"/>
              <w:bottom w:val="nil"/>
              <w:right w:val="nil"/>
            </w:tcBorders>
            <w:shd w:val="clear" w:color="000000" w:fill="FFFFFF"/>
            <w:noWrap/>
            <w:vAlign w:val="bottom"/>
            <w:hideMark/>
          </w:tcPr>
          <w:p w14:paraId="53619EC9"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0.20</w:t>
            </w:r>
          </w:p>
        </w:tc>
        <w:tc>
          <w:tcPr>
            <w:tcW w:w="0" w:type="auto"/>
            <w:tcBorders>
              <w:top w:val="nil"/>
              <w:left w:val="nil"/>
              <w:bottom w:val="nil"/>
              <w:right w:val="nil"/>
            </w:tcBorders>
            <w:shd w:val="clear" w:color="000000" w:fill="FFFFFF"/>
            <w:noWrap/>
            <w:vAlign w:val="bottom"/>
            <w:hideMark/>
          </w:tcPr>
          <w:p w14:paraId="63155F62"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-0.37</w:t>
            </w:r>
          </w:p>
        </w:tc>
        <w:tc>
          <w:tcPr>
            <w:tcW w:w="0" w:type="auto"/>
            <w:tcBorders>
              <w:top w:val="nil"/>
              <w:left w:val="nil"/>
              <w:bottom w:val="nil"/>
              <w:right w:val="nil"/>
            </w:tcBorders>
            <w:shd w:val="clear" w:color="000000" w:fill="FFFFFF"/>
            <w:noWrap/>
            <w:vAlign w:val="bottom"/>
            <w:hideMark/>
          </w:tcPr>
          <w:p w14:paraId="45F90EB0"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0.23</w:t>
            </w:r>
          </w:p>
        </w:tc>
        <w:tc>
          <w:tcPr>
            <w:tcW w:w="0" w:type="auto"/>
            <w:tcBorders>
              <w:top w:val="nil"/>
              <w:left w:val="nil"/>
              <w:bottom w:val="nil"/>
              <w:right w:val="nil"/>
            </w:tcBorders>
            <w:shd w:val="clear" w:color="000000" w:fill="FFFFFF"/>
            <w:noWrap/>
            <w:vAlign w:val="bottom"/>
            <w:hideMark/>
          </w:tcPr>
          <w:p w14:paraId="7EB558D7"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0.20</w:t>
            </w:r>
          </w:p>
        </w:tc>
        <w:tc>
          <w:tcPr>
            <w:tcW w:w="0" w:type="auto"/>
            <w:tcBorders>
              <w:top w:val="nil"/>
              <w:left w:val="nil"/>
              <w:bottom w:val="nil"/>
              <w:right w:val="nil"/>
            </w:tcBorders>
            <w:shd w:val="clear" w:color="000000" w:fill="FFFFFF"/>
            <w:noWrap/>
            <w:vAlign w:val="bottom"/>
            <w:hideMark/>
          </w:tcPr>
          <w:p w14:paraId="0E1E2752"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0.57</w:t>
            </w:r>
          </w:p>
        </w:tc>
        <w:tc>
          <w:tcPr>
            <w:tcW w:w="0" w:type="auto"/>
            <w:tcBorders>
              <w:top w:val="nil"/>
              <w:left w:val="nil"/>
              <w:bottom w:val="nil"/>
              <w:right w:val="nil"/>
            </w:tcBorders>
            <w:shd w:val="clear" w:color="000000" w:fill="FFFFFF"/>
            <w:noWrap/>
            <w:vAlign w:val="bottom"/>
            <w:hideMark/>
          </w:tcPr>
          <w:p w14:paraId="35D727F7"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r>
      <w:tr w:rsidR="00EA4A1C" w:rsidRPr="00D800F1" w14:paraId="5F258709" w14:textId="77777777" w:rsidTr="00250E5D">
        <w:trPr>
          <w:trHeight w:val="255"/>
        </w:trPr>
        <w:tc>
          <w:tcPr>
            <w:tcW w:w="0" w:type="auto"/>
            <w:gridSpan w:val="2"/>
            <w:tcBorders>
              <w:top w:val="nil"/>
              <w:left w:val="nil"/>
              <w:bottom w:val="nil"/>
              <w:right w:val="nil"/>
            </w:tcBorders>
            <w:shd w:val="clear" w:color="000000" w:fill="FFFFFF"/>
            <w:noWrap/>
            <w:vAlign w:val="bottom"/>
            <w:hideMark/>
          </w:tcPr>
          <w:p w14:paraId="1A1FB6B4" w14:textId="77777777" w:rsidR="00EA4A1C" w:rsidRPr="00D800F1" w:rsidRDefault="00EA4A1C" w:rsidP="00250E5D">
            <w:pPr>
              <w:spacing w:after="0" w:line="240" w:lineRule="auto"/>
              <w:rPr>
                <w:rFonts w:ascii="Times New Roman" w:eastAsia="Times New Roman" w:hAnsi="Times New Roman" w:cs="Times New Roman"/>
                <w:i/>
                <w:iCs/>
                <w:color w:val="000000"/>
                <w:sz w:val="18"/>
                <w:szCs w:val="18"/>
              </w:rPr>
            </w:pPr>
            <w:r w:rsidRPr="00D800F1">
              <w:rPr>
                <w:rFonts w:ascii="Times New Roman" w:eastAsia="Times New Roman" w:hAnsi="Times New Roman" w:cs="Times New Roman"/>
                <w:i/>
                <w:iCs/>
                <w:color w:val="000000"/>
                <w:sz w:val="18"/>
                <w:szCs w:val="18"/>
              </w:rPr>
              <w:t>Market conditions</w:t>
            </w:r>
          </w:p>
        </w:tc>
        <w:tc>
          <w:tcPr>
            <w:tcW w:w="0" w:type="auto"/>
            <w:tcBorders>
              <w:top w:val="nil"/>
              <w:left w:val="nil"/>
              <w:bottom w:val="nil"/>
              <w:right w:val="nil"/>
            </w:tcBorders>
            <w:shd w:val="clear" w:color="000000" w:fill="FFFFFF"/>
            <w:noWrap/>
            <w:vAlign w:val="bottom"/>
            <w:hideMark/>
          </w:tcPr>
          <w:p w14:paraId="4DB0E41E" w14:textId="77777777" w:rsidR="00EA4A1C" w:rsidRPr="007E519D" w:rsidRDefault="00EA4A1C" w:rsidP="00250E5D">
            <w:pPr>
              <w:spacing w:after="0" w:line="240" w:lineRule="auto"/>
              <w:rPr>
                <w:rFonts w:ascii="Times New Roman" w:hAnsi="Times New Roman"/>
                <w:b/>
                <w:i/>
                <w:color w:val="000000"/>
                <w:sz w:val="18"/>
              </w:rPr>
            </w:pPr>
            <w:r w:rsidRPr="007E519D">
              <w:rPr>
                <w:rFonts w:ascii="Times New Roman" w:hAnsi="Times New Roman"/>
                <w:b/>
                <w:i/>
                <w:color w:val="000000"/>
                <w:sz w:val="18"/>
              </w:rPr>
              <w:t> </w:t>
            </w:r>
          </w:p>
        </w:tc>
        <w:tc>
          <w:tcPr>
            <w:tcW w:w="0" w:type="auto"/>
            <w:tcBorders>
              <w:top w:val="nil"/>
              <w:left w:val="nil"/>
              <w:bottom w:val="nil"/>
              <w:right w:val="nil"/>
            </w:tcBorders>
            <w:shd w:val="clear" w:color="000000" w:fill="FFFFFF"/>
            <w:noWrap/>
            <w:vAlign w:val="bottom"/>
            <w:hideMark/>
          </w:tcPr>
          <w:p w14:paraId="162C2CBE"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37BD2055"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6D8E3644"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03C4C34C"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2E84E000"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3A922BFA"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14ADF6B5"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70DE2BE8"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16475F4A"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4B1F6509"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0E73EB3B"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1013EB90"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67409E78"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350C5369"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34E8B99D"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 </w:t>
            </w:r>
          </w:p>
        </w:tc>
      </w:tr>
      <w:tr w:rsidR="00EA4A1C" w:rsidRPr="00D800F1" w14:paraId="38EC0687" w14:textId="77777777" w:rsidTr="00250E5D">
        <w:trPr>
          <w:trHeight w:val="255"/>
        </w:trPr>
        <w:tc>
          <w:tcPr>
            <w:tcW w:w="0" w:type="auto"/>
            <w:tcBorders>
              <w:top w:val="nil"/>
              <w:left w:val="nil"/>
              <w:bottom w:val="single" w:sz="4" w:space="0" w:color="auto"/>
              <w:right w:val="nil"/>
            </w:tcBorders>
            <w:shd w:val="clear" w:color="000000" w:fill="FFFFFF"/>
            <w:noWrap/>
            <w:vAlign w:val="bottom"/>
            <w:hideMark/>
          </w:tcPr>
          <w:p w14:paraId="3DBA5DA7" w14:textId="77777777" w:rsidR="00EA4A1C" w:rsidRPr="00D800F1" w:rsidRDefault="00EA4A1C" w:rsidP="00250E5D">
            <w:pPr>
              <w:spacing w:after="0" w:line="240" w:lineRule="auto"/>
              <w:jc w:val="right"/>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17</w:t>
            </w:r>
          </w:p>
        </w:tc>
        <w:tc>
          <w:tcPr>
            <w:tcW w:w="0" w:type="auto"/>
            <w:tcBorders>
              <w:top w:val="nil"/>
              <w:left w:val="nil"/>
              <w:bottom w:val="single" w:sz="4" w:space="0" w:color="auto"/>
              <w:right w:val="nil"/>
            </w:tcBorders>
            <w:shd w:val="clear" w:color="000000" w:fill="FFFFFF"/>
            <w:noWrap/>
            <w:vAlign w:val="bottom"/>
            <w:hideMark/>
          </w:tcPr>
          <w:p w14:paraId="31A7B366" w14:textId="77777777" w:rsidR="00EA4A1C" w:rsidRPr="00D800F1" w:rsidRDefault="00EA4A1C" w:rsidP="00250E5D">
            <w:pPr>
              <w:spacing w:after="0" w:line="240" w:lineRule="auto"/>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IPO market conditions</w:t>
            </w:r>
          </w:p>
        </w:tc>
        <w:tc>
          <w:tcPr>
            <w:tcW w:w="0" w:type="auto"/>
            <w:tcBorders>
              <w:top w:val="nil"/>
              <w:left w:val="nil"/>
              <w:bottom w:val="single" w:sz="4" w:space="0" w:color="auto"/>
              <w:right w:val="nil"/>
            </w:tcBorders>
            <w:shd w:val="clear" w:color="000000" w:fill="FFFFFF"/>
            <w:noWrap/>
            <w:vAlign w:val="bottom"/>
            <w:hideMark/>
          </w:tcPr>
          <w:p w14:paraId="099A20D5"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-0.28</w:t>
            </w:r>
          </w:p>
        </w:tc>
        <w:tc>
          <w:tcPr>
            <w:tcW w:w="0" w:type="auto"/>
            <w:tcBorders>
              <w:top w:val="nil"/>
              <w:left w:val="nil"/>
              <w:bottom w:val="single" w:sz="4" w:space="0" w:color="auto"/>
              <w:right w:val="nil"/>
            </w:tcBorders>
            <w:shd w:val="clear" w:color="000000" w:fill="FFFFFF"/>
            <w:noWrap/>
            <w:vAlign w:val="bottom"/>
            <w:hideMark/>
          </w:tcPr>
          <w:p w14:paraId="78EA3782"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-0.25</w:t>
            </w:r>
          </w:p>
        </w:tc>
        <w:tc>
          <w:tcPr>
            <w:tcW w:w="0" w:type="auto"/>
            <w:tcBorders>
              <w:top w:val="nil"/>
              <w:left w:val="nil"/>
              <w:bottom w:val="single" w:sz="4" w:space="0" w:color="auto"/>
              <w:right w:val="nil"/>
            </w:tcBorders>
            <w:shd w:val="clear" w:color="000000" w:fill="FFFFFF"/>
            <w:noWrap/>
            <w:vAlign w:val="bottom"/>
            <w:hideMark/>
          </w:tcPr>
          <w:p w14:paraId="4C6075E7"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-0.11</w:t>
            </w:r>
          </w:p>
        </w:tc>
        <w:tc>
          <w:tcPr>
            <w:tcW w:w="0" w:type="auto"/>
            <w:tcBorders>
              <w:top w:val="nil"/>
              <w:left w:val="nil"/>
              <w:bottom w:val="single" w:sz="4" w:space="0" w:color="auto"/>
              <w:right w:val="nil"/>
            </w:tcBorders>
            <w:shd w:val="clear" w:color="000000" w:fill="FFFFFF"/>
            <w:noWrap/>
            <w:vAlign w:val="bottom"/>
            <w:hideMark/>
          </w:tcPr>
          <w:p w14:paraId="2B980C8A"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-0.09</w:t>
            </w:r>
          </w:p>
        </w:tc>
        <w:tc>
          <w:tcPr>
            <w:tcW w:w="0" w:type="auto"/>
            <w:tcBorders>
              <w:top w:val="nil"/>
              <w:left w:val="nil"/>
              <w:bottom w:val="single" w:sz="4" w:space="0" w:color="auto"/>
              <w:right w:val="nil"/>
            </w:tcBorders>
            <w:shd w:val="clear" w:color="000000" w:fill="FFFFFF"/>
            <w:noWrap/>
            <w:vAlign w:val="bottom"/>
            <w:hideMark/>
          </w:tcPr>
          <w:p w14:paraId="0325DA03"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0.18</w:t>
            </w:r>
          </w:p>
        </w:tc>
        <w:tc>
          <w:tcPr>
            <w:tcW w:w="0" w:type="auto"/>
            <w:tcBorders>
              <w:top w:val="nil"/>
              <w:left w:val="nil"/>
              <w:bottom w:val="single" w:sz="4" w:space="0" w:color="auto"/>
              <w:right w:val="nil"/>
            </w:tcBorders>
            <w:shd w:val="clear" w:color="000000" w:fill="FFFFFF"/>
            <w:noWrap/>
            <w:vAlign w:val="bottom"/>
            <w:hideMark/>
          </w:tcPr>
          <w:p w14:paraId="5E294A54"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-0.31</w:t>
            </w:r>
          </w:p>
        </w:tc>
        <w:tc>
          <w:tcPr>
            <w:tcW w:w="0" w:type="auto"/>
            <w:tcBorders>
              <w:top w:val="nil"/>
              <w:left w:val="nil"/>
              <w:bottom w:val="single" w:sz="4" w:space="0" w:color="auto"/>
              <w:right w:val="nil"/>
            </w:tcBorders>
            <w:shd w:val="clear" w:color="000000" w:fill="FFFFFF"/>
            <w:noWrap/>
            <w:vAlign w:val="bottom"/>
            <w:hideMark/>
          </w:tcPr>
          <w:p w14:paraId="71155CEB" w14:textId="77777777" w:rsidR="00EA4A1C" w:rsidRPr="007E519D" w:rsidRDefault="00EA4A1C" w:rsidP="00250E5D">
            <w:pPr>
              <w:spacing w:after="0" w:line="240" w:lineRule="auto"/>
              <w:jc w:val="right"/>
              <w:rPr>
                <w:rFonts w:ascii="Times New Roman" w:hAnsi="Times New Roman"/>
                <w:i/>
                <w:color w:val="000000"/>
                <w:sz w:val="18"/>
              </w:rPr>
            </w:pPr>
            <w:r w:rsidRPr="007E519D">
              <w:rPr>
                <w:rFonts w:ascii="Times New Roman" w:hAnsi="Times New Roman"/>
                <w:i/>
                <w:color w:val="000000"/>
                <w:sz w:val="18"/>
              </w:rPr>
              <w:t>-0.05</w:t>
            </w:r>
          </w:p>
        </w:tc>
        <w:tc>
          <w:tcPr>
            <w:tcW w:w="0" w:type="auto"/>
            <w:tcBorders>
              <w:top w:val="nil"/>
              <w:left w:val="nil"/>
              <w:bottom w:val="single" w:sz="4" w:space="0" w:color="auto"/>
              <w:right w:val="nil"/>
            </w:tcBorders>
            <w:shd w:val="clear" w:color="000000" w:fill="FFFFFF"/>
            <w:noWrap/>
            <w:vAlign w:val="bottom"/>
            <w:hideMark/>
          </w:tcPr>
          <w:p w14:paraId="5B9AA37F"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-0.21</w:t>
            </w:r>
          </w:p>
        </w:tc>
        <w:tc>
          <w:tcPr>
            <w:tcW w:w="0" w:type="auto"/>
            <w:tcBorders>
              <w:top w:val="nil"/>
              <w:left w:val="nil"/>
              <w:bottom w:val="single" w:sz="4" w:space="0" w:color="auto"/>
              <w:right w:val="nil"/>
            </w:tcBorders>
            <w:shd w:val="clear" w:color="000000" w:fill="FFFFFF"/>
            <w:noWrap/>
            <w:vAlign w:val="bottom"/>
            <w:hideMark/>
          </w:tcPr>
          <w:p w14:paraId="567F305A" w14:textId="77777777" w:rsidR="00EA4A1C" w:rsidRPr="00D800F1" w:rsidRDefault="00EA4A1C" w:rsidP="00250E5D">
            <w:pPr>
              <w:spacing w:after="0" w:line="240" w:lineRule="auto"/>
              <w:jc w:val="right"/>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w:t>
            </w:r>
            <w:r w:rsidRPr="007E519D">
              <w:rPr>
                <w:rFonts w:ascii="Times New Roman" w:hAnsi="Times New Roman"/>
                <w:i/>
                <w:color w:val="000000"/>
                <w:sz w:val="18"/>
              </w:rPr>
              <w:t>0.06</w:t>
            </w:r>
          </w:p>
        </w:tc>
        <w:tc>
          <w:tcPr>
            <w:tcW w:w="0" w:type="auto"/>
            <w:tcBorders>
              <w:top w:val="nil"/>
              <w:left w:val="nil"/>
              <w:bottom w:val="single" w:sz="4" w:space="0" w:color="auto"/>
              <w:right w:val="nil"/>
            </w:tcBorders>
            <w:shd w:val="clear" w:color="000000" w:fill="FFFFFF"/>
            <w:noWrap/>
            <w:vAlign w:val="bottom"/>
            <w:hideMark/>
          </w:tcPr>
          <w:p w14:paraId="686ED824" w14:textId="77777777" w:rsidR="00EA4A1C" w:rsidRPr="00D800F1" w:rsidRDefault="00EA4A1C" w:rsidP="00250E5D">
            <w:pPr>
              <w:spacing w:after="0" w:line="240" w:lineRule="auto"/>
              <w:jc w:val="right"/>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w:t>
            </w:r>
            <w:r w:rsidRPr="007E519D">
              <w:rPr>
                <w:rFonts w:ascii="Times New Roman" w:hAnsi="Times New Roman"/>
                <w:b/>
                <w:i/>
                <w:color w:val="000000"/>
                <w:sz w:val="18"/>
              </w:rPr>
              <w:t>0.09</w:t>
            </w:r>
          </w:p>
        </w:tc>
        <w:tc>
          <w:tcPr>
            <w:tcW w:w="0" w:type="auto"/>
            <w:tcBorders>
              <w:top w:val="nil"/>
              <w:left w:val="nil"/>
              <w:bottom w:val="single" w:sz="4" w:space="0" w:color="auto"/>
              <w:right w:val="nil"/>
            </w:tcBorders>
            <w:shd w:val="clear" w:color="000000" w:fill="FFFFFF"/>
            <w:noWrap/>
            <w:vAlign w:val="bottom"/>
            <w:hideMark/>
          </w:tcPr>
          <w:p w14:paraId="7F66C90C" w14:textId="77777777" w:rsidR="00EA4A1C" w:rsidRPr="007E519D" w:rsidRDefault="00EA4A1C" w:rsidP="00250E5D">
            <w:pPr>
              <w:spacing w:after="0" w:line="240" w:lineRule="auto"/>
              <w:jc w:val="right"/>
              <w:rPr>
                <w:rFonts w:ascii="Times New Roman" w:hAnsi="Times New Roman"/>
                <w:i/>
                <w:color w:val="000000"/>
                <w:sz w:val="18"/>
              </w:rPr>
            </w:pPr>
            <w:r w:rsidRPr="007E519D">
              <w:rPr>
                <w:rFonts w:ascii="Times New Roman" w:hAnsi="Times New Roman"/>
                <w:i/>
                <w:color w:val="000000"/>
                <w:sz w:val="18"/>
              </w:rPr>
              <w:t>-0.06</w:t>
            </w:r>
          </w:p>
        </w:tc>
        <w:tc>
          <w:tcPr>
            <w:tcW w:w="0" w:type="auto"/>
            <w:tcBorders>
              <w:top w:val="nil"/>
              <w:left w:val="nil"/>
              <w:bottom w:val="single" w:sz="4" w:space="0" w:color="auto"/>
              <w:right w:val="nil"/>
            </w:tcBorders>
            <w:shd w:val="clear" w:color="000000" w:fill="FFFFFF"/>
            <w:noWrap/>
            <w:vAlign w:val="bottom"/>
            <w:hideMark/>
          </w:tcPr>
          <w:p w14:paraId="253BC7BF"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0.14</w:t>
            </w:r>
          </w:p>
        </w:tc>
        <w:tc>
          <w:tcPr>
            <w:tcW w:w="0" w:type="auto"/>
            <w:tcBorders>
              <w:top w:val="nil"/>
              <w:left w:val="nil"/>
              <w:bottom w:val="single" w:sz="4" w:space="0" w:color="auto"/>
              <w:right w:val="nil"/>
            </w:tcBorders>
            <w:shd w:val="clear" w:color="000000" w:fill="FFFFFF"/>
            <w:noWrap/>
            <w:vAlign w:val="bottom"/>
            <w:hideMark/>
          </w:tcPr>
          <w:p w14:paraId="016AC3EE" w14:textId="77777777" w:rsidR="00EA4A1C" w:rsidRPr="00D800F1" w:rsidRDefault="00EA4A1C" w:rsidP="00250E5D">
            <w:pPr>
              <w:spacing w:after="0" w:line="240" w:lineRule="auto"/>
              <w:jc w:val="right"/>
              <w:rPr>
                <w:rFonts w:ascii="Times New Roman" w:eastAsia="Times New Roman" w:hAnsi="Times New Roman" w:cs="Times New Roman"/>
                <w:color w:val="000000"/>
                <w:sz w:val="18"/>
                <w:szCs w:val="18"/>
              </w:rPr>
            </w:pPr>
            <w:r w:rsidRPr="00D800F1">
              <w:rPr>
                <w:rFonts w:ascii="Times New Roman" w:eastAsia="Times New Roman" w:hAnsi="Times New Roman" w:cs="Times New Roman"/>
                <w:color w:val="000000"/>
                <w:sz w:val="18"/>
                <w:szCs w:val="18"/>
              </w:rPr>
              <w:t>-0.01</w:t>
            </w:r>
          </w:p>
        </w:tc>
        <w:tc>
          <w:tcPr>
            <w:tcW w:w="0" w:type="auto"/>
            <w:tcBorders>
              <w:top w:val="nil"/>
              <w:left w:val="nil"/>
              <w:bottom w:val="single" w:sz="4" w:space="0" w:color="auto"/>
              <w:right w:val="nil"/>
            </w:tcBorders>
            <w:shd w:val="clear" w:color="000000" w:fill="FFFFFF"/>
            <w:noWrap/>
            <w:vAlign w:val="bottom"/>
            <w:hideMark/>
          </w:tcPr>
          <w:p w14:paraId="77EB3742"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-0.22</w:t>
            </w:r>
          </w:p>
        </w:tc>
        <w:tc>
          <w:tcPr>
            <w:tcW w:w="0" w:type="auto"/>
            <w:tcBorders>
              <w:top w:val="nil"/>
              <w:left w:val="nil"/>
              <w:bottom w:val="single" w:sz="4" w:space="0" w:color="auto"/>
              <w:right w:val="nil"/>
            </w:tcBorders>
            <w:shd w:val="clear" w:color="000000" w:fill="FFFFFF"/>
            <w:noWrap/>
            <w:vAlign w:val="bottom"/>
            <w:hideMark/>
          </w:tcPr>
          <w:p w14:paraId="15B3C8DB"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-0.26</w:t>
            </w:r>
          </w:p>
        </w:tc>
        <w:tc>
          <w:tcPr>
            <w:tcW w:w="0" w:type="auto"/>
            <w:tcBorders>
              <w:top w:val="nil"/>
              <w:left w:val="nil"/>
              <w:bottom w:val="single" w:sz="4" w:space="0" w:color="auto"/>
              <w:right w:val="nil"/>
            </w:tcBorders>
            <w:shd w:val="clear" w:color="000000" w:fill="FFFFFF"/>
            <w:noWrap/>
            <w:vAlign w:val="bottom"/>
            <w:hideMark/>
          </w:tcPr>
          <w:p w14:paraId="2D2D2B8A" w14:textId="77777777" w:rsidR="00EA4A1C" w:rsidRPr="007E519D" w:rsidRDefault="00EA4A1C" w:rsidP="00250E5D">
            <w:pPr>
              <w:spacing w:after="0" w:line="240" w:lineRule="auto"/>
              <w:jc w:val="right"/>
              <w:rPr>
                <w:rFonts w:ascii="Times New Roman" w:hAnsi="Times New Roman"/>
                <w:b/>
                <w:i/>
                <w:color w:val="000000"/>
                <w:sz w:val="18"/>
              </w:rPr>
            </w:pPr>
            <w:r w:rsidRPr="007E519D">
              <w:rPr>
                <w:rFonts w:ascii="Times New Roman" w:hAnsi="Times New Roman"/>
                <w:b/>
                <w:i/>
                <w:color w:val="000000"/>
                <w:sz w:val="18"/>
              </w:rPr>
              <w:t>-0.09</w:t>
            </w:r>
          </w:p>
        </w:tc>
      </w:tr>
    </w:tbl>
    <w:p w14:paraId="51C34820" w14:textId="77777777" w:rsidR="00C947AF" w:rsidRPr="00331763" w:rsidRDefault="00D80D36" w:rsidP="000213A4">
      <w:pPr>
        <w:spacing w:after="0" w:line="480" w:lineRule="auto"/>
        <w:contextualSpacing/>
        <w:mirrorIndents/>
        <w:rPr>
          <w:rFonts w:ascii="Times New Roman" w:hAnsi="Times New Roman" w:cs="Times New Roman"/>
          <w:sz w:val="18"/>
          <w:szCs w:val="18"/>
        </w:rPr>
        <w:sectPr w:rsidR="00C947AF" w:rsidRPr="00331763" w:rsidSect="00F83D46">
          <w:footerReference w:type="default" r:id="rId11"/>
          <w:pgSz w:w="15840" w:h="12240" w:orient="landscape"/>
          <w:pgMar w:top="1440" w:right="1440" w:bottom="1440" w:left="1440" w:header="720" w:footer="720" w:gutter="0"/>
          <w:cols w:space="720"/>
          <w:docGrid w:linePitch="360"/>
        </w:sectPr>
      </w:pPr>
      <w:r w:rsidRPr="00331763">
        <w:rPr>
          <w:rFonts w:ascii="Times New Roman" w:hAnsi="Times New Roman" w:cs="Times New Roman"/>
          <w:sz w:val="18"/>
          <w:szCs w:val="18"/>
        </w:rPr>
        <w:t xml:space="preserve">Significance levels: </w:t>
      </w:r>
      <w:r w:rsidRPr="00331763">
        <w:rPr>
          <w:rFonts w:ascii="Times New Roman" w:hAnsi="Times New Roman" w:cs="Times New Roman"/>
          <w:b/>
          <w:i/>
          <w:sz w:val="18"/>
          <w:szCs w:val="18"/>
        </w:rPr>
        <w:t>bold and</w:t>
      </w:r>
      <w:r w:rsidRPr="00331763">
        <w:rPr>
          <w:rFonts w:ascii="Times New Roman" w:hAnsi="Times New Roman" w:cs="Times New Roman"/>
          <w:sz w:val="18"/>
          <w:szCs w:val="18"/>
        </w:rPr>
        <w:t xml:space="preserve"> </w:t>
      </w:r>
      <w:r w:rsidRPr="00331763">
        <w:rPr>
          <w:rFonts w:ascii="Times New Roman" w:hAnsi="Times New Roman" w:cs="Times New Roman"/>
          <w:b/>
          <w:i/>
          <w:sz w:val="18"/>
          <w:szCs w:val="18"/>
        </w:rPr>
        <w:t>italic</w:t>
      </w:r>
      <w:r w:rsidRPr="00331763">
        <w:rPr>
          <w:rFonts w:ascii="Times New Roman" w:hAnsi="Times New Roman" w:cs="Times New Roman"/>
          <w:sz w:val="18"/>
          <w:szCs w:val="18"/>
        </w:rPr>
        <w:t xml:space="preserve">: p&lt;0.001; </w:t>
      </w:r>
      <w:r w:rsidRPr="00331763">
        <w:rPr>
          <w:rFonts w:ascii="Times New Roman" w:hAnsi="Times New Roman" w:cs="Times New Roman"/>
          <w:b/>
          <w:sz w:val="18"/>
          <w:szCs w:val="18"/>
        </w:rPr>
        <w:t>bold</w:t>
      </w:r>
      <w:r w:rsidRPr="00331763">
        <w:rPr>
          <w:rFonts w:ascii="Times New Roman" w:hAnsi="Times New Roman" w:cs="Times New Roman"/>
          <w:sz w:val="18"/>
          <w:szCs w:val="18"/>
        </w:rPr>
        <w:t xml:space="preserve">: p&lt;0.01; </w:t>
      </w:r>
      <w:r w:rsidRPr="00331763">
        <w:rPr>
          <w:rFonts w:ascii="Times New Roman" w:hAnsi="Times New Roman" w:cs="Times New Roman"/>
          <w:i/>
          <w:sz w:val="18"/>
          <w:szCs w:val="18"/>
        </w:rPr>
        <w:t>italic</w:t>
      </w:r>
      <w:r w:rsidRPr="00331763">
        <w:rPr>
          <w:rFonts w:ascii="Times New Roman" w:hAnsi="Times New Roman" w:cs="Times New Roman"/>
          <w:sz w:val="18"/>
          <w:szCs w:val="18"/>
        </w:rPr>
        <w:t>: p&lt;0.05</w:t>
      </w:r>
    </w:p>
    <w:p w14:paraId="4BB2E0B8" w14:textId="27AD7013" w:rsidR="00CF7EB4" w:rsidRDefault="002118C1" w:rsidP="000213A4">
      <w:pPr>
        <w:spacing w:after="0" w:line="480" w:lineRule="auto"/>
        <w:contextualSpacing/>
        <w:mirrorIndents/>
        <w:rPr>
          <w:rFonts w:ascii="Times New Roman" w:hAnsi="Times New Roman" w:cs="Times New Roman"/>
          <w:b/>
        </w:rPr>
      </w:pPr>
      <w:r>
        <w:rPr>
          <w:rFonts w:ascii="Times New Roman" w:hAnsi="Times New Roman" w:cs="Times New Roman"/>
          <w:b/>
        </w:rPr>
        <w:lastRenderedPageBreak/>
        <w:t>Table</w:t>
      </w:r>
      <w:r w:rsidR="00FC6432">
        <w:rPr>
          <w:rFonts w:ascii="Times New Roman" w:hAnsi="Times New Roman" w:cs="Times New Roman"/>
          <w:b/>
        </w:rPr>
        <w:t xml:space="preserve"> </w:t>
      </w:r>
      <w:r w:rsidR="00FA6DA2">
        <w:rPr>
          <w:rFonts w:ascii="Times New Roman" w:hAnsi="Times New Roman" w:cs="Times New Roman"/>
          <w:b/>
        </w:rPr>
        <w:t>5</w:t>
      </w:r>
      <w:r w:rsidR="003A4899">
        <w:rPr>
          <w:rFonts w:ascii="Times New Roman" w:hAnsi="Times New Roman" w:cs="Times New Roman"/>
          <w:b/>
        </w:rPr>
        <w:t xml:space="preserve">: </w:t>
      </w:r>
      <w:r w:rsidR="002D433B">
        <w:rPr>
          <w:rFonts w:ascii="Times New Roman" w:hAnsi="Times New Roman" w:cs="Times New Roman"/>
          <w:b/>
        </w:rPr>
        <w:t>Cox models predicting the hazard of e</w:t>
      </w:r>
      <w:r w:rsidR="004B362F" w:rsidRPr="004B362F">
        <w:rPr>
          <w:rFonts w:ascii="Times New Roman" w:hAnsi="Times New Roman" w:cs="Times New Roman"/>
          <w:b/>
        </w:rPr>
        <w:t>xit</w:t>
      </w:r>
      <w:r w:rsidR="0094138D">
        <w:rPr>
          <w:rFonts w:ascii="Times New Roman" w:hAnsi="Times New Roman" w:cs="Times New Roman"/>
          <w:b/>
        </w:rPr>
        <w:t>: Full sample and split samples</w:t>
      </w:r>
    </w:p>
    <w:tbl>
      <w:tblPr>
        <w:tblW w:w="10206" w:type="dxa"/>
        <w:tblInd w:w="93" w:type="dxa"/>
        <w:tblLook w:val="04A0" w:firstRow="1" w:lastRow="0" w:firstColumn="1" w:lastColumn="0" w:noHBand="0" w:noVBand="1"/>
      </w:tblPr>
      <w:tblGrid>
        <w:gridCol w:w="420"/>
        <w:gridCol w:w="2180"/>
        <w:gridCol w:w="806"/>
        <w:gridCol w:w="488"/>
        <w:gridCol w:w="806"/>
        <w:gridCol w:w="456"/>
        <w:gridCol w:w="793"/>
        <w:gridCol w:w="486"/>
        <w:gridCol w:w="793"/>
        <w:gridCol w:w="456"/>
        <w:gridCol w:w="835"/>
        <w:gridCol w:w="396"/>
        <w:gridCol w:w="835"/>
        <w:gridCol w:w="456"/>
      </w:tblGrid>
      <w:tr w:rsidR="00775C36" w:rsidRPr="00775C36" w14:paraId="79E1B08F" w14:textId="77777777" w:rsidTr="00E936B8">
        <w:trPr>
          <w:trHeight w:val="300"/>
        </w:trPr>
        <w:tc>
          <w:tcPr>
            <w:tcW w:w="420" w:type="dxa"/>
            <w:tcBorders>
              <w:top w:val="single" w:sz="8" w:space="0" w:color="auto"/>
              <w:left w:val="nil"/>
              <w:bottom w:val="nil"/>
              <w:right w:val="nil"/>
            </w:tcBorders>
            <w:shd w:val="clear" w:color="000000" w:fill="FFFFFF"/>
            <w:noWrap/>
            <w:vAlign w:val="center"/>
            <w:hideMark/>
          </w:tcPr>
          <w:p w14:paraId="2863DEAB" w14:textId="77777777" w:rsidR="00775C36" w:rsidRPr="00775C36" w:rsidRDefault="00775C36" w:rsidP="00775C36">
            <w:pPr>
              <w:spacing w:after="0" w:line="240" w:lineRule="auto"/>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 </w:t>
            </w:r>
          </w:p>
        </w:tc>
        <w:tc>
          <w:tcPr>
            <w:tcW w:w="2180" w:type="dxa"/>
            <w:tcBorders>
              <w:top w:val="single" w:sz="8" w:space="0" w:color="auto"/>
              <w:left w:val="nil"/>
              <w:bottom w:val="nil"/>
              <w:right w:val="nil"/>
            </w:tcBorders>
            <w:shd w:val="clear" w:color="000000" w:fill="FFFFFF"/>
            <w:noWrap/>
            <w:vAlign w:val="center"/>
            <w:hideMark/>
          </w:tcPr>
          <w:p w14:paraId="1A620836" w14:textId="77777777" w:rsidR="00775C36" w:rsidRPr="00775C36" w:rsidRDefault="00775C36" w:rsidP="00775C36">
            <w:pPr>
              <w:spacing w:after="0" w:line="240" w:lineRule="auto"/>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 </w:t>
            </w:r>
          </w:p>
        </w:tc>
        <w:tc>
          <w:tcPr>
            <w:tcW w:w="2556" w:type="dxa"/>
            <w:gridSpan w:val="4"/>
            <w:tcBorders>
              <w:top w:val="single" w:sz="8" w:space="0" w:color="auto"/>
              <w:left w:val="nil"/>
              <w:bottom w:val="nil"/>
              <w:right w:val="nil"/>
            </w:tcBorders>
            <w:shd w:val="clear" w:color="000000" w:fill="FFFFFF"/>
            <w:noWrap/>
            <w:vAlign w:val="center"/>
            <w:hideMark/>
          </w:tcPr>
          <w:p w14:paraId="3DE1BB09" w14:textId="77777777" w:rsidR="00775C36" w:rsidRPr="00775C36" w:rsidRDefault="00775C36" w:rsidP="00775C36">
            <w:pPr>
              <w:spacing w:after="0" w:line="240" w:lineRule="auto"/>
              <w:jc w:val="center"/>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Base Models: Full Sample</w:t>
            </w:r>
          </w:p>
        </w:tc>
        <w:tc>
          <w:tcPr>
            <w:tcW w:w="2528" w:type="dxa"/>
            <w:gridSpan w:val="4"/>
            <w:tcBorders>
              <w:top w:val="single" w:sz="8" w:space="0" w:color="auto"/>
              <w:left w:val="nil"/>
              <w:bottom w:val="nil"/>
              <w:right w:val="nil"/>
            </w:tcBorders>
            <w:shd w:val="clear" w:color="000000" w:fill="FFFFFF"/>
            <w:noWrap/>
            <w:vAlign w:val="center"/>
            <w:hideMark/>
          </w:tcPr>
          <w:p w14:paraId="17D123AF" w14:textId="77777777" w:rsidR="00775C36" w:rsidRPr="00775C36" w:rsidRDefault="00775C36" w:rsidP="00775C36">
            <w:pPr>
              <w:spacing w:after="0" w:line="240" w:lineRule="auto"/>
              <w:jc w:val="center"/>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Domestic VC Investments</w:t>
            </w:r>
          </w:p>
        </w:tc>
        <w:tc>
          <w:tcPr>
            <w:tcW w:w="2522" w:type="dxa"/>
            <w:gridSpan w:val="4"/>
            <w:tcBorders>
              <w:top w:val="single" w:sz="8" w:space="0" w:color="auto"/>
              <w:left w:val="nil"/>
              <w:bottom w:val="nil"/>
              <w:right w:val="nil"/>
            </w:tcBorders>
            <w:shd w:val="clear" w:color="000000" w:fill="FFFFFF"/>
            <w:noWrap/>
            <w:vAlign w:val="center"/>
            <w:hideMark/>
          </w:tcPr>
          <w:p w14:paraId="4D52BB21" w14:textId="77777777" w:rsidR="00775C36" w:rsidRPr="00775C36" w:rsidRDefault="00775C36" w:rsidP="00775C36">
            <w:pPr>
              <w:spacing w:after="0" w:line="240" w:lineRule="auto"/>
              <w:jc w:val="center"/>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Cross-Border VC Investments</w:t>
            </w:r>
          </w:p>
        </w:tc>
      </w:tr>
      <w:tr w:rsidR="00E936B8" w:rsidRPr="00775C36" w14:paraId="33684E77" w14:textId="77777777" w:rsidTr="00E936B8">
        <w:trPr>
          <w:trHeight w:val="300"/>
        </w:trPr>
        <w:tc>
          <w:tcPr>
            <w:tcW w:w="420" w:type="dxa"/>
            <w:tcBorders>
              <w:top w:val="nil"/>
              <w:left w:val="nil"/>
              <w:bottom w:val="nil"/>
              <w:right w:val="nil"/>
            </w:tcBorders>
            <w:shd w:val="clear" w:color="000000" w:fill="FFFFFF"/>
            <w:noWrap/>
            <w:vAlign w:val="center"/>
            <w:hideMark/>
          </w:tcPr>
          <w:p w14:paraId="623F5A67" w14:textId="77777777" w:rsidR="00775C36" w:rsidRPr="00775C36" w:rsidRDefault="00775C36" w:rsidP="00775C36">
            <w:pPr>
              <w:spacing w:after="0" w:line="240" w:lineRule="auto"/>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 </w:t>
            </w:r>
          </w:p>
        </w:tc>
        <w:tc>
          <w:tcPr>
            <w:tcW w:w="2180" w:type="dxa"/>
            <w:tcBorders>
              <w:top w:val="nil"/>
              <w:left w:val="nil"/>
              <w:bottom w:val="nil"/>
              <w:right w:val="nil"/>
            </w:tcBorders>
            <w:shd w:val="clear" w:color="000000" w:fill="FFFFFF"/>
            <w:noWrap/>
            <w:vAlign w:val="center"/>
            <w:hideMark/>
          </w:tcPr>
          <w:p w14:paraId="337C1662" w14:textId="77777777" w:rsidR="00775C36" w:rsidRPr="00775C36" w:rsidRDefault="00775C36" w:rsidP="00775C36">
            <w:pPr>
              <w:spacing w:after="0" w:line="240" w:lineRule="auto"/>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 </w:t>
            </w:r>
          </w:p>
        </w:tc>
        <w:tc>
          <w:tcPr>
            <w:tcW w:w="1294" w:type="dxa"/>
            <w:gridSpan w:val="2"/>
            <w:tcBorders>
              <w:top w:val="nil"/>
              <w:left w:val="nil"/>
              <w:bottom w:val="nil"/>
              <w:right w:val="nil"/>
            </w:tcBorders>
            <w:shd w:val="clear" w:color="000000" w:fill="FFFFFF"/>
            <w:noWrap/>
            <w:vAlign w:val="center"/>
            <w:hideMark/>
          </w:tcPr>
          <w:p w14:paraId="3A7375D5" w14:textId="77777777" w:rsidR="00775C36" w:rsidRPr="00775C36" w:rsidRDefault="00775C36" w:rsidP="00775C36">
            <w:pPr>
              <w:spacing w:after="0" w:line="240" w:lineRule="auto"/>
              <w:jc w:val="center"/>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Success</w:t>
            </w:r>
          </w:p>
        </w:tc>
        <w:tc>
          <w:tcPr>
            <w:tcW w:w="1262" w:type="dxa"/>
            <w:gridSpan w:val="2"/>
            <w:tcBorders>
              <w:top w:val="nil"/>
              <w:left w:val="nil"/>
              <w:bottom w:val="nil"/>
              <w:right w:val="nil"/>
            </w:tcBorders>
            <w:shd w:val="clear" w:color="000000" w:fill="FFFFFF"/>
            <w:noWrap/>
            <w:vAlign w:val="center"/>
            <w:hideMark/>
          </w:tcPr>
          <w:p w14:paraId="7A7C4A1C" w14:textId="77777777" w:rsidR="00775C36" w:rsidRPr="00775C36" w:rsidRDefault="00775C36" w:rsidP="00775C36">
            <w:pPr>
              <w:spacing w:after="0" w:line="240" w:lineRule="auto"/>
              <w:jc w:val="center"/>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Termination</w:t>
            </w:r>
          </w:p>
        </w:tc>
        <w:tc>
          <w:tcPr>
            <w:tcW w:w="1279" w:type="dxa"/>
            <w:gridSpan w:val="2"/>
            <w:tcBorders>
              <w:top w:val="nil"/>
              <w:left w:val="nil"/>
              <w:bottom w:val="nil"/>
              <w:right w:val="nil"/>
            </w:tcBorders>
            <w:shd w:val="clear" w:color="000000" w:fill="FFFFFF"/>
            <w:noWrap/>
            <w:vAlign w:val="center"/>
            <w:hideMark/>
          </w:tcPr>
          <w:p w14:paraId="0D341D4B" w14:textId="77777777" w:rsidR="00775C36" w:rsidRPr="00775C36" w:rsidRDefault="00775C36" w:rsidP="00775C36">
            <w:pPr>
              <w:spacing w:after="0" w:line="240" w:lineRule="auto"/>
              <w:jc w:val="center"/>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Success</w:t>
            </w:r>
          </w:p>
        </w:tc>
        <w:tc>
          <w:tcPr>
            <w:tcW w:w="1249" w:type="dxa"/>
            <w:gridSpan w:val="2"/>
            <w:tcBorders>
              <w:top w:val="nil"/>
              <w:left w:val="nil"/>
              <w:bottom w:val="nil"/>
              <w:right w:val="nil"/>
            </w:tcBorders>
            <w:shd w:val="clear" w:color="000000" w:fill="FFFFFF"/>
            <w:noWrap/>
            <w:vAlign w:val="center"/>
            <w:hideMark/>
          </w:tcPr>
          <w:p w14:paraId="2354894F" w14:textId="77777777" w:rsidR="00775C36" w:rsidRPr="00775C36" w:rsidRDefault="00775C36" w:rsidP="00775C36">
            <w:pPr>
              <w:spacing w:after="0" w:line="240" w:lineRule="auto"/>
              <w:jc w:val="center"/>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Termination</w:t>
            </w:r>
          </w:p>
        </w:tc>
        <w:tc>
          <w:tcPr>
            <w:tcW w:w="1231" w:type="dxa"/>
            <w:gridSpan w:val="2"/>
            <w:tcBorders>
              <w:top w:val="nil"/>
              <w:left w:val="nil"/>
              <w:bottom w:val="nil"/>
              <w:right w:val="nil"/>
            </w:tcBorders>
            <w:shd w:val="clear" w:color="000000" w:fill="FFFFFF"/>
            <w:noWrap/>
            <w:vAlign w:val="center"/>
            <w:hideMark/>
          </w:tcPr>
          <w:p w14:paraId="7D2464FA" w14:textId="77777777" w:rsidR="00775C36" w:rsidRPr="00775C36" w:rsidRDefault="00775C36" w:rsidP="00775C36">
            <w:pPr>
              <w:spacing w:after="0" w:line="240" w:lineRule="auto"/>
              <w:jc w:val="center"/>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Success</w:t>
            </w:r>
          </w:p>
        </w:tc>
        <w:tc>
          <w:tcPr>
            <w:tcW w:w="1291" w:type="dxa"/>
            <w:gridSpan w:val="2"/>
            <w:tcBorders>
              <w:top w:val="nil"/>
              <w:left w:val="nil"/>
              <w:bottom w:val="nil"/>
              <w:right w:val="nil"/>
            </w:tcBorders>
            <w:shd w:val="clear" w:color="000000" w:fill="FFFFFF"/>
            <w:noWrap/>
            <w:vAlign w:val="center"/>
            <w:hideMark/>
          </w:tcPr>
          <w:p w14:paraId="7842BD62" w14:textId="77777777" w:rsidR="00775C36" w:rsidRPr="00775C36" w:rsidRDefault="00775C36" w:rsidP="00775C36">
            <w:pPr>
              <w:spacing w:after="0" w:line="240" w:lineRule="auto"/>
              <w:jc w:val="center"/>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Termination</w:t>
            </w:r>
          </w:p>
        </w:tc>
      </w:tr>
      <w:tr w:rsidR="00E936B8" w:rsidRPr="00775C36" w14:paraId="4A06AD74" w14:textId="77777777" w:rsidTr="00E936B8">
        <w:trPr>
          <w:trHeight w:val="315"/>
        </w:trPr>
        <w:tc>
          <w:tcPr>
            <w:tcW w:w="420" w:type="dxa"/>
            <w:tcBorders>
              <w:top w:val="nil"/>
              <w:left w:val="nil"/>
              <w:bottom w:val="single" w:sz="8" w:space="0" w:color="auto"/>
              <w:right w:val="nil"/>
            </w:tcBorders>
            <w:shd w:val="clear" w:color="000000" w:fill="FFFFFF"/>
            <w:noWrap/>
            <w:vAlign w:val="center"/>
            <w:hideMark/>
          </w:tcPr>
          <w:p w14:paraId="4396FA6E" w14:textId="77777777" w:rsidR="00775C36" w:rsidRPr="00775C36" w:rsidRDefault="00775C36" w:rsidP="00775C36">
            <w:pPr>
              <w:spacing w:after="0" w:line="240" w:lineRule="auto"/>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 </w:t>
            </w:r>
          </w:p>
        </w:tc>
        <w:tc>
          <w:tcPr>
            <w:tcW w:w="2180" w:type="dxa"/>
            <w:tcBorders>
              <w:top w:val="nil"/>
              <w:left w:val="nil"/>
              <w:bottom w:val="single" w:sz="8" w:space="0" w:color="auto"/>
              <w:right w:val="nil"/>
            </w:tcBorders>
            <w:shd w:val="clear" w:color="000000" w:fill="FFFFFF"/>
            <w:noWrap/>
            <w:vAlign w:val="center"/>
            <w:hideMark/>
          </w:tcPr>
          <w:p w14:paraId="12122794" w14:textId="77777777" w:rsidR="00775C36" w:rsidRPr="00775C36" w:rsidRDefault="00775C36" w:rsidP="00775C36">
            <w:pPr>
              <w:spacing w:after="0" w:line="240" w:lineRule="auto"/>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 </w:t>
            </w:r>
          </w:p>
        </w:tc>
        <w:tc>
          <w:tcPr>
            <w:tcW w:w="1294" w:type="dxa"/>
            <w:gridSpan w:val="2"/>
            <w:tcBorders>
              <w:top w:val="nil"/>
              <w:left w:val="nil"/>
              <w:bottom w:val="single" w:sz="8" w:space="0" w:color="auto"/>
              <w:right w:val="nil"/>
            </w:tcBorders>
            <w:shd w:val="clear" w:color="000000" w:fill="FFFFFF"/>
            <w:noWrap/>
            <w:vAlign w:val="center"/>
            <w:hideMark/>
          </w:tcPr>
          <w:p w14:paraId="5D851588" w14:textId="77777777" w:rsidR="00775C36" w:rsidRPr="00775C36" w:rsidRDefault="00775C36" w:rsidP="00775C36">
            <w:pPr>
              <w:spacing w:after="0" w:line="240" w:lineRule="auto"/>
              <w:jc w:val="center"/>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1a</w:t>
            </w:r>
          </w:p>
        </w:tc>
        <w:tc>
          <w:tcPr>
            <w:tcW w:w="1262" w:type="dxa"/>
            <w:gridSpan w:val="2"/>
            <w:tcBorders>
              <w:top w:val="nil"/>
              <w:left w:val="nil"/>
              <w:bottom w:val="single" w:sz="8" w:space="0" w:color="auto"/>
              <w:right w:val="nil"/>
            </w:tcBorders>
            <w:shd w:val="clear" w:color="000000" w:fill="FFFFFF"/>
            <w:noWrap/>
            <w:vAlign w:val="center"/>
            <w:hideMark/>
          </w:tcPr>
          <w:p w14:paraId="5597E828" w14:textId="77777777" w:rsidR="00775C36" w:rsidRPr="00775C36" w:rsidRDefault="00775C36" w:rsidP="00775C36">
            <w:pPr>
              <w:spacing w:after="0" w:line="240" w:lineRule="auto"/>
              <w:jc w:val="center"/>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1b</w:t>
            </w:r>
          </w:p>
        </w:tc>
        <w:tc>
          <w:tcPr>
            <w:tcW w:w="1279" w:type="dxa"/>
            <w:gridSpan w:val="2"/>
            <w:tcBorders>
              <w:top w:val="nil"/>
              <w:left w:val="nil"/>
              <w:bottom w:val="single" w:sz="8" w:space="0" w:color="auto"/>
              <w:right w:val="nil"/>
            </w:tcBorders>
            <w:shd w:val="clear" w:color="000000" w:fill="FFFFFF"/>
            <w:noWrap/>
            <w:vAlign w:val="center"/>
            <w:hideMark/>
          </w:tcPr>
          <w:p w14:paraId="3FB239FF" w14:textId="77777777" w:rsidR="00775C36" w:rsidRPr="00775C36" w:rsidRDefault="00775C36" w:rsidP="00775C36">
            <w:pPr>
              <w:spacing w:after="0" w:line="240" w:lineRule="auto"/>
              <w:jc w:val="center"/>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2a</w:t>
            </w:r>
          </w:p>
        </w:tc>
        <w:tc>
          <w:tcPr>
            <w:tcW w:w="1249" w:type="dxa"/>
            <w:gridSpan w:val="2"/>
            <w:tcBorders>
              <w:top w:val="nil"/>
              <w:left w:val="nil"/>
              <w:bottom w:val="single" w:sz="8" w:space="0" w:color="auto"/>
              <w:right w:val="nil"/>
            </w:tcBorders>
            <w:shd w:val="clear" w:color="000000" w:fill="FFFFFF"/>
            <w:noWrap/>
            <w:vAlign w:val="center"/>
            <w:hideMark/>
          </w:tcPr>
          <w:p w14:paraId="3367C1F5" w14:textId="77777777" w:rsidR="00775C36" w:rsidRPr="00775C36" w:rsidRDefault="00775C36" w:rsidP="00775C36">
            <w:pPr>
              <w:spacing w:after="0" w:line="240" w:lineRule="auto"/>
              <w:jc w:val="center"/>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2b</w:t>
            </w:r>
          </w:p>
        </w:tc>
        <w:tc>
          <w:tcPr>
            <w:tcW w:w="1231" w:type="dxa"/>
            <w:gridSpan w:val="2"/>
            <w:tcBorders>
              <w:top w:val="nil"/>
              <w:left w:val="nil"/>
              <w:bottom w:val="single" w:sz="8" w:space="0" w:color="auto"/>
              <w:right w:val="nil"/>
            </w:tcBorders>
            <w:shd w:val="clear" w:color="000000" w:fill="FFFFFF"/>
            <w:noWrap/>
            <w:vAlign w:val="center"/>
            <w:hideMark/>
          </w:tcPr>
          <w:p w14:paraId="2E889112" w14:textId="77777777" w:rsidR="00775C36" w:rsidRPr="00775C36" w:rsidRDefault="00775C36" w:rsidP="00775C36">
            <w:pPr>
              <w:spacing w:after="0" w:line="240" w:lineRule="auto"/>
              <w:jc w:val="center"/>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3a</w:t>
            </w:r>
          </w:p>
        </w:tc>
        <w:tc>
          <w:tcPr>
            <w:tcW w:w="1291" w:type="dxa"/>
            <w:gridSpan w:val="2"/>
            <w:tcBorders>
              <w:top w:val="nil"/>
              <w:left w:val="nil"/>
              <w:bottom w:val="single" w:sz="8" w:space="0" w:color="auto"/>
              <w:right w:val="nil"/>
            </w:tcBorders>
            <w:shd w:val="clear" w:color="000000" w:fill="FFFFFF"/>
            <w:noWrap/>
            <w:vAlign w:val="center"/>
            <w:hideMark/>
          </w:tcPr>
          <w:p w14:paraId="48323ACD" w14:textId="77777777" w:rsidR="00775C36" w:rsidRPr="00775C36" w:rsidRDefault="00775C36" w:rsidP="00775C36">
            <w:pPr>
              <w:spacing w:after="0" w:line="240" w:lineRule="auto"/>
              <w:jc w:val="center"/>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3b</w:t>
            </w:r>
          </w:p>
        </w:tc>
      </w:tr>
      <w:tr w:rsidR="00775C36" w:rsidRPr="00775C36" w14:paraId="7F7339F1" w14:textId="77777777" w:rsidTr="00E936B8">
        <w:trPr>
          <w:trHeight w:val="300"/>
        </w:trPr>
        <w:tc>
          <w:tcPr>
            <w:tcW w:w="2600" w:type="dxa"/>
            <w:gridSpan w:val="2"/>
            <w:tcBorders>
              <w:top w:val="single" w:sz="8" w:space="0" w:color="auto"/>
              <w:left w:val="nil"/>
              <w:bottom w:val="nil"/>
              <w:right w:val="nil"/>
            </w:tcBorders>
            <w:shd w:val="clear" w:color="000000" w:fill="FFFFFF"/>
            <w:noWrap/>
            <w:vAlign w:val="center"/>
            <w:hideMark/>
          </w:tcPr>
          <w:p w14:paraId="7D3912F4" w14:textId="77777777" w:rsidR="00775C36" w:rsidRPr="00775C36" w:rsidRDefault="00775C36" w:rsidP="00775C36">
            <w:pPr>
              <w:spacing w:after="0" w:line="240" w:lineRule="auto"/>
              <w:rPr>
                <w:rFonts w:ascii="Times New Roman" w:eastAsia="Times New Roman" w:hAnsi="Times New Roman" w:cs="Times New Roman"/>
                <w:i/>
                <w:iCs/>
                <w:color w:val="000000"/>
                <w:sz w:val="18"/>
                <w:szCs w:val="18"/>
                <w:lang w:val="en-GB" w:eastAsia="en-GB"/>
              </w:rPr>
            </w:pPr>
            <w:r w:rsidRPr="00775C36">
              <w:rPr>
                <w:rFonts w:ascii="Times New Roman" w:eastAsia="Times New Roman" w:hAnsi="Times New Roman" w:cs="Times New Roman"/>
                <w:i/>
                <w:iCs/>
                <w:color w:val="000000"/>
                <w:sz w:val="18"/>
                <w:szCs w:val="18"/>
                <w:lang w:eastAsia="en-GB"/>
              </w:rPr>
              <w:t>Independent variables</w:t>
            </w:r>
          </w:p>
        </w:tc>
        <w:tc>
          <w:tcPr>
            <w:tcW w:w="806" w:type="dxa"/>
            <w:tcBorders>
              <w:top w:val="nil"/>
              <w:left w:val="nil"/>
              <w:bottom w:val="nil"/>
              <w:right w:val="nil"/>
            </w:tcBorders>
            <w:shd w:val="clear" w:color="000000" w:fill="FFFFFF"/>
            <w:noWrap/>
            <w:vAlign w:val="center"/>
            <w:hideMark/>
          </w:tcPr>
          <w:p w14:paraId="1199165A" w14:textId="77777777" w:rsidR="00775C36" w:rsidRPr="00775C36" w:rsidRDefault="00775C36" w:rsidP="00775C36">
            <w:pPr>
              <w:spacing w:after="0" w:line="240" w:lineRule="auto"/>
              <w:jc w:val="center"/>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 </w:t>
            </w:r>
          </w:p>
        </w:tc>
        <w:tc>
          <w:tcPr>
            <w:tcW w:w="488" w:type="dxa"/>
            <w:tcBorders>
              <w:top w:val="nil"/>
              <w:left w:val="nil"/>
              <w:bottom w:val="nil"/>
              <w:right w:val="nil"/>
            </w:tcBorders>
            <w:shd w:val="clear" w:color="000000" w:fill="FFFFFF"/>
            <w:noWrap/>
            <w:vAlign w:val="center"/>
            <w:hideMark/>
          </w:tcPr>
          <w:p w14:paraId="38FB29FA" w14:textId="77777777" w:rsidR="00775C36" w:rsidRPr="00775C36" w:rsidRDefault="00775C36" w:rsidP="00775C36">
            <w:pPr>
              <w:spacing w:after="0" w:line="240" w:lineRule="auto"/>
              <w:jc w:val="center"/>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eastAsia="en-GB"/>
              </w:rPr>
              <w:t> </w:t>
            </w:r>
          </w:p>
        </w:tc>
        <w:tc>
          <w:tcPr>
            <w:tcW w:w="806" w:type="dxa"/>
            <w:tcBorders>
              <w:top w:val="nil"/>
              <w:left w:val="nil"/>
              <w:bottom w:val="nil"/>
              <w:right w:val="nil"/>
            </w:tcBorders>
            <w:shd w:val="clear" w:color="000000" w:fill="FFFFFF"/>
            <w:noWrap/>
            <w:vAlign w:val="center"/>
            <w:hideMark/>
          </w:tcPr>
          <w:p w14:paraId="168626E7" w14:textId="77777777" w:rsidR="00775C36" w:rsidRPr="00775C36" w:rsidRDefault="00775C36" w:rsidP="00775C36">
            <w:pPr>
              <w:spacing w:after="0" w:line="240" w:lineRule="auto"/>
              <w:jc w:val="center"/>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 </w:t>
            </w:r>
          </w:p>
        </w:tc>
        <w:tc>
          <w:tcPr>
            <w:tcW w:w="456" w:type="dxa"/>
            <w:tcBorders>
              <w:top w:val="nil"/>
              <w:left w:val="nil"/>
              <w:bottom w:val="nil"/>
              <w:right w:val="nil"/>
            </w:tcBorders>
            <w:shd w:val="clear" w:color="000000" w:fill="FFFFFF"/>
            <w:noWrap/>
            <w:vAlign w:val="center"/>
            <w:hideMark/>
          </w:tcPr>
          <w:p w14:paraId="338F1F8B" w14:textId="77777777" w:rsidR="00775C36" w:rsidRPr="00775C36" w:rsidRDefault="00775C36" w:rsidP="00775C36">
            <w:pPr>
              <w:spacing w:after="0" w:line="240" w:lineRule="auto"/>
              <w:jc w:val="center"/>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eastAsia="en-GB"/>
              </w:rPr>
              <w:t> </w:t>
            </w:r>
          </w:p>
        </w:tc>
        <w:tc>
          <w:tcPr>
            <w:tcW w:w="793" w:type="dxa"/>
            <w:tcBorders>
              <w:top w:val="nil"/>
              <w:left w:val="nil"/>
              <w:bottom w:val="nil"/>
              <w:right w:val="nil"/>
            </w:tcBorders>
            <w:shd w:val="clear" w:color="000000" w:fill="FFFFFF"/>
            <w:noWrap/>
            <w:vAlign w:val="center"/>
            <w:hideMark/>
          </w:tcPr>
          <w:p w14:paraId="14B9F71C" w14:textId="77777777" w:rsidR="00775C36" w:rsidRPr="00775C36" w:rsidRDefault="00775C36" w:rsidP="00775C36">
            <w:pPr>
              <w:spacing w:after="0" w:line="240" w:lineRule="auto"/>
              <w:jc w:val="center"/>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 </w:t>
            </w:r>
          </w:p>
        </w:tc>
        <w:tc>
          <w:tcPr>
            <w:tcW w:w="486" w:type="dxa"/>
            <w:tcBorders>
              <w:top w:val="nil"/>
              <w:left w:val="nil"/>
              <w:bottom w:val="nil"/>
              <w:right w:val="nil"/>
            </w:tcBorders>
            <w:shd w:val="clear" w:color="000000" w:fill="FFFFFF"/>
            <w:noWrap/>
            <w:vAlign w:val="center"/>
            <w:hideMark/>
          </w:tcPr>
          <w:p w14:paraId="3D4997F5" w14:textId="77777777" w:rsidR="00775C36" w:rsidRPr="00775C36" w:rsidRDefault="00775C36" w:rsidP="00775C36">
            <w:pPr>
              <w:spacing w:after="0" w:line="240" w:lineRule="auto"/>
              <w:jc w:val="center"/>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eastAsia="en-GB"/>
              </w:rPr>
              <w:t> </w:t>
            </w:r>
          </w:p>
        </w:tc>
        <w:tc>
          <w:tcPr>
            <w:tcW w:w="793" w:type="dxa"/>
            <w:tcBorders>
              <w:top w:val="nil"/>
              <w:left w:val="nil"/>
              <w:bottom w:val="nil"/>
              <w:right w:val="nil"/>
            </w:tcBorders>
            <w:shd w:val="clear" w:color="000000" w:fill="FFFFFF"/>
            <w:noWrap/>
            <w:vAlign w:val="center"/>
            <w:hideMark/>
          </w:tcPr>
          <w:p w14:paraId="4B5760FA" w14:textId="77777777" w:rsidR="00775C36" w:rsidRPr="00775C36" w:rsidRDefault="00775C36" w:rsidP="00775C36">
            <w:pPr>
              <w:spacing w:after="0" w:line="240" w:lineRule="auto"/>
              <w:jc w:val="center"/>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 </w:t>
            </w:r>
          </w:p>
        </w:tc>
        <w:tc>
          <w:tcPr>
            <w:tcW w:w="456" w:type="dxa"/>
            <w:tcBorders>
              <w:top w:val="nil"/>
              <w:left w:val="nil"/>
              <w:bottom w:val="nil"/>
              <w:right w:val="nil"/>
            </w:tcBorders>
            <w:shd w:val="clear" w:color="000000" w:fill="FFFFFF"/>
            <w:noWrap/>
            <w:vAlign w:val="center"/>
            <w:hideMark/>
          </w:tcPr>
          <w:p w14:paraId="723041E4" w14:textId="77777777" w:rsidR="00775C36" w:rsidRPr="00775C36" w:rsidRDefault="00775C36" w:rsidP="00775C36">
            <w:pPr>
              <w:spacing w:after="0" w:line="240" w:lineRule="auto"/>
              <w:jc w:val="center"/>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eastAsia="en-GB"/>
              </w:rPr>
              <w:t> </w:t>
            </w:r>
          </w:p>
        </w:tc>
        <w:tc>
          <w:tcPr>
            <w:tcW w:w="835" w:type="dxa"/>
            <w:tcBorders>
              <w:top w:val="nil"/>
              <w:left w:val="nil"/>
              <w:bottom w:val="nil"/>
              <w:right w:val="nil"/>
            </w:tcBorders>
            <w:shd w:val="clear" w:color="000000" w:fill="FFFFFF"/>
            <w:noWrap/>
            <w:vAlign w:val="center"/>
            <w:hideMark/>
          </w:tcPr>
          <w:p w14:paraId="405CB752" w14:textId="77777777" w:rsidR="00775C36" w:rsidRPr="00775C36" w:rsidRDefault="00775C36" w:rsidP="00775C36">
            <w:pPr>
              <w:spacing w:after="0" w:line="240" w:lineRule="auto"/>
              <w:jc w:val="center"/>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 </w:t>
            </w:r>
          </w:p>
        </w:tc>
        <w:tc>
          <w:tcPr>
            <w:tcW w:w="396" w:type="dxa"/>
            <w:tcBorders>
              <w:top w:val="nil"/>
              <w:left w:val="nil"/>
              <w:bottom w:val="nil"/>
              <w:right w:val="nil"/>
            </w:tcBorders>
            <w:shd w:val="clear" w:color="000000" w:fill="FFFFFF"/>
            <w:noWrap/>
            <w:vAlign w:val="center"/>
            <w:hideMark/>
          </w:tcPr>
          <w:p w14:paraId="3FF1A96B" w14:textId="77777777" w:rsidR="00775C36" w:rsidRPr="00775C36" w:rsidRDefault="00775C36" w:rsidP="00775C36">
            <w:pPr>
              <w:spacing w:after="0" w:line="240" w:lineRule="auto"/>
              <w:jc w:val="center"/>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eastAsia="en-GB"/>
              </w:rPr>
              <w:t> </w:t>
            </w:r>
          </w:p>
        </w:tc>
        <w:tc>
          <w:tcPr>
            <w:tcW w:w="835" w:type="dxa"/>
            <w:tcBorders>
              <w:top w:val="nil"/>
              <w:left w:val="nil"/>
              <w:bottom w:val="nil"/>
              <w:right w:val="nil"/>
            </w:tcBorders>
            <w:shd w:val="clear" w:color="000000" w:fill="FFFFFF"/>
            <w:noWrap/>
            <w:vAlign w:val="center"/>
            <w:hideMark/>
          </w:tcPr>
          <w:p w14:paraId="34FD458A" w14:textId="77777777" w:rsidR="00775C36" w:rsidRPr="00775C36" w:rsidRDefault="00775C36" w:rsidP="00775C36">
            <w:pPr>
              <w:spacing w:after="0" w:line="240" w:lineRule="auto"/>
              <w:jc w:val="center"/>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 </w:t>
            </w:r>
          </w:p>
        </w:tc>
        <w:tc>
          <w:tcPr>
            <w:tcW w:w="456" w:type="dxa"/>
            <w:tcBorders>
              <w:top w:val="nil"/>
              <w:left w:val="nil"/>
              <w:bottom w:val="nil"/>
              <w:right w:val="nil"/>
            </w:tcBorders>
            <w:shd w:val="clear" w:color="000000" w:fill="FFFFFF"/>
            <w:noWrap/>
            <w:vAlign w:val="center"/>
            <w:hideMark/>
          </w:tcPr>
          <w:p w14:paraId="73618689" w14:textId="77777777" w:rsidR="00775C36" w:rsidRPr="00775C36" w:rsidRDefault="00775C36" w:rsidP="00775C36">
            <w:pPr>
              <w:spacing w:after="0" w:line="240" w:lineRule="auto"/>
              <w:jc w:val="center"/>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eastAsia="en-GB"/>
              </w:rPr>
              <w:t> </w:t>
            </w:r>
          </w:p>
        </w:tc>
      </w:tr>
      <w:tr w:rsidR="00775C36" w:rsidRPr="00775C36" w14:paraId="25EEC449" w14:textId="77777777" w:rsidTr="00E936B8">
        <w:trPr>
          <w:trHeight w:val="300"/>
        </w:trPr>
        <w:tc>
          <w:tcPr>
            <w:tcW w:w="420" w:type="dxa"/>
            <w:tcBorders>
              <w:top w:val="nil"/>
              <w:left w:val="nil"/>
              <w:bottom w:val="nil"/>
              <w:right w:val="nil"/>
            </w:tcBorders>
            <w:shd w:val="clear" w:color="000000" w:fill="FFFFFF"/>
            <w:noWrap/>
            <w:vAlign w:val="center"/>
            <w:hideMark/>
          </w:tcPr>
          <w:p w14:paraId="0282BC47" w14:textId="77777777" w:rsidR="00775C36" w:rsidRPr="00775C36" w:rsidRDefault="00775C36" w:rsidP="00775C36">
            <w:pPr>
              <w:spacing w:after="0" w:line="240" w:lineRule="auto"/>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 </w:t>
            </w:r>
          </w:p>
        </w:tc>
        <w:tc>
          <w:tcPr>
            <w:tcW w:w="2180" w:type="dxa"/>
            <w:tcBorders>
              <w:top w:val="nil"/>
              <w:left w:val="nil"/>
              <w:bottom w:val="nil"/>
              <w:right w:val="nil"/>
            </w:tcBorders>
            <w:shd w:val="clear" w:color="000000" w:fill="FFFFFF"/>
            <w:noWrap/>
            <w:vAlign w:val="center"/>
            <w:hideMark/>
          </w:tcPr>
          <w:p w14:paraId="6C7DAEA8" w14:textId="77777777" w:rsidR="00775C36" w:rsidRPr="00775C36" w:rsidRDefault="00775C36" w:rsidP="00775C36">
            <w:pPr>
              <w:spacing w:after="0" w:line="240" w:lineRule="auto"/>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Rounds</w:t>
            </w:r>
          </w:p>
        </w:tc>
        <w:tc>
          <w:tcPr>
            <w:tcW w:w="806" w:type="dxa"/>
            <w:tcBorders>
              <w:top w:val="nil"/>
              <w:left w:val="nil"/>
              <w:bottom w:val="nil"/>
              <w:right w:val="nil"/>
            </w:tcBorders>
            <w:shd w:val="clear" w:color="000000" w:fill="FFFFFF"/>
            <w:noWrap/>
            <w:vAlign w:val="center"/>
            <w:hideMark/>
          </w:tcPr>
          <w:p w14:paraId="2CA24C16"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-0.620</w:t>
            </w:r>
          </w:p>
        </w:tc>
        <w:tc>
          <w:tcPr>
            <w:tcW w:w="488" w:type="dxa"/>
            <w:tcBorders>
              <w:top w:val="nil"/>
              <w:left w:val="nil"/>
              <w:bottom w:val="nil"/>
              <w:right w:val="nil"/>
            </w:tcBorders>
            <w:shd w:val="clear" w:color="000000" w:fill="FFFFFF"/>
            <w:noWrap/>
            <w:vAlign w:val="center"/>
            <w:hideMark/>
          </w:tcPr>
          <w:p w14:paraId="694DA582"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eastAsia="en-GB"/>
              </w:rPr>
              <w:t>**</w:t>
            </w:r>
          </w:p>
        </w:tc>
        <w:tc>
          <w:tcPr>
            <w:tcW w:w="806" w:type="dxa"/>
            <w:tcBorders>
              <w:top w:val="nil"/>
              <w:left w:val="nil"/>
              <w:bottom w:val="nil"/>
              <w:right w:val="nil"/>
            </w:tcBorders>
            <w:shd w:val="clear" w:color="000000" w:fill="FFFFFF"/>
            <w:noWrap/>
            <w:vAlign w:val="center"/>
            <w:hideMark/>
          </w:tcPr>
          <w:p w14:paraId="62D34AEF"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-0.990</w:t>
            </w:r>
          </w:p>
        </w:tc>
        <w:tc>
          <w:tcPr>
            <w:tcW w:w="456" w:type="dxa"/>
            <w:tcBorders>
              <w:top w:val="nil"/>
              <w:left w:val="nil"/>
              <w:bottom w:val="nil"/>
              <w:right w:val="nil"/>
            </w:tcBorders>
            <w:shd w:val="clear" w:color="000000" w:fill="FFFFFF"/>
            <w:noWrap/>
            <w:vAlign w:val="center"/>
            <w:hideMark/>
          </w:tcPr>
          <w:p w14:paraId="5EEEA371" w14:textId="77777777" w:rsidR="00775C36" w:rsidRPr="00775C36" w:rsidRDefault="00954C18" w:rsidP="00775C36">
            <w:pPr>
              <w:spacing w:after="0" w:line="240" w:lineRule="auto"/>
              <w:rPr>
                <w:rFonts w:ascii="Times New Roman" w:eastAsia="Times New Roman" w:hAnsi="Times New Roman" w:cs="Times New Roman"/>
                <w:color w:val="000000"/>
                <w:sz w:val="16"/>
                <w:szCs w:val="16"/>
                <w:lang w:val="en-GB" w:eastAsia="en-GB"/>
              </w:rPr>
            </w:pPr>
            <w:r>
              <w:rPr>
                <w:rFonts w:ascii="Times New Roman" w:eastAsia="Times New Roman" w:hAnsi="Times New Roman" w:cs="Times New Roman"/>
                <w:color w:val="000000"/>
                <w:sz w:val="16"/>
                <w:szCs w:val="16"/>
                <w:lang w:eastAsia="en-GB"/>
              </w:rPr>
              <w:t>*</w:t>
            </w:r>
            <w:r w:rsidR="00775C36" w:rsidRPr="00775C36">
              <w:rPr>
                <w:rFonts w:ascii="Times New Roman" w:eastAsia="Times New Roman" w:hAnsi="Times New Roman" w:cs="Times New Roman"/>
                <w:color w:val="000000"/>
                <w:sz w:val="16"/>
                <w:szCs w:val="16"/>
                <w:lang w:eastAsia="en-GB"/>
              </w:rPr>
              <w:t>*</w:t>
            </w:r>
          </w:p>
        </w:tc>
        <w:tc>
          <w:tcPr>
            <w:tcW w:w="793" w:type="dxa"/>
            <w:tcBorders>
              <w:top w:val="nil"/>
              <w:left w:val="nil"/>
              <w:bottom w:val="nil"/>
              <w:right w:val="nil"/>
            </w:tcBorders>
            <w:shd w:val="clear" w:color="000000" w:fill="FFFFFF"/>
            <w:noWrap/>
            <w:vAlign w:val="center"/>
            <w:hideMark/>
          </w:tcPr>
          <w:p w14:paraId="0401001E"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-0.640</w:t>
            </w:r>
          </w:p>
        </w:tc>
        <w:tc>
          <w:tcPr>
            <w:tcW w:w="486" w:type="dxa"/>
            <w:tcBorders>
              <w:top w:val="nil"/>
              <w:left w:val="nil"/>
              <w:bottom w:val="nil"/>
              <w:right w:val="nil"/>
            </w:tcBorders>
            <w:shd w:val="clear" w:color="000000" w:fill="FFFFFF"/>
            <w:noWrap/>
            <w:vAlign w:val="center"/>
            <w:hideMark/>
          </w:tcPr>
          <w:p w14:paraId="356E3F1D"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eastAsia="en-GB"/>
              </w:rPr>
              <w:t>**</w:t>
            </w:r>
          </w:p>
        </w:tc>
        <w:tc>
          <w:tcPr>
            <w:tcW w:w="793" w:type="dxa"/>
            <w:tcBorders>
              <w:top w:val="nil"/>
              <w:left w:val="nil"/>
              <w:bottom w:val="nil"/>
              <w:right w:val="nil"/>
            </w:tcBorders>
            <w:shd w:val="clear" w:color="000000" w:fill="FFFFFF"/>
            <w:noWrap/>
            <w:vAlign w:val="center"/>
            <w:hideMark/>
          </w:tcPr>
          <w:p w14:paraId="6178088F"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-1.282</w:t>
            </w:r>
          </w:p>
        </w:tc>
        <w:tc>
          <w:tcPr>
            <w:tcW w:w="456" w:type="dxa"/>
            <w:tcBorders>
              <w:top w:val="nil"/>
              <w:left w:val="nil"/>
              <w:bottom w:val="nil"/>
              <w:right w:val="nil"/>
            </w:tcBorders>
            <w:shd w:val="clear" w:color="000000" w:fill="FFFFFF"/>
            <w:noWrap/>
            <w:vAlign w:val="center"/>
            <w:hideMark/>
          </w:tcPr>
          <w:p w14:paraId="54ED4BA9" w14:textId="77777777" w:rsidR="00775C36" w:rsidRPr="00775C36" w:rsidRDefault="00954C18" w:rsidP="00775C36">
            <w:pPr>
              <w:spacing w:after="0" w:line="240" w:lineRule="auto"/>
              <w:rPr>
                <w:rFonts w:ascii="Times New Roman" w:eastAsia="Times New Roman" w:hAnsi="Times New Roman" w:cs="Times New Roman"/>
                <w:color w:val="000000"/>
                <w:sz w:val="16"/>
                <w:szCs w:val="16"/>
                <w:lang w:val="en-GB" w:eastAsia="en-GB"/>
              </w:rPr>
            </w:pPr>
            <w:r>
              <w:rPr>
                <w:rFonts w:ascii="Times New Roman" w:eastAsia="Times New Roman" w:hAnsi="Times New Roman" w:cs="Times New Roman"/>
                <w:color w:val="000000"/>
                <w:sz w:val="16"/>
                <w:szCs w:val="16"/>
                <w:lang w:eastAsia="en-GB"/>
              </w:rPr>
              <w:t>*</w:t>
            </w:r>
            <w:r w:rsidR="00775C36" w:rsidRPr="00775C36">
              <w:rPr>
                <w:rFonts w:ascii="Times New Roman" w:eastAsia="Times New Roman" w:hAnsi="Times New Roman" w:cs="Times New Roman"/>
                <w:color w:val="000000"/>
                <w:sz w:val="16"/>
                <w:szCs w:val="16"/>
                <w:lang w:eastAsia="en-GB"/>
              </w:rPr>
              <w:t>*</w:t>
            </w:r>
          </w:p>
        </w:tc>
        <w:tc>
          <w:tcPr>
            <w:tcW w:w="835" w:type="dxa"/>
            <w:tcBorders>
              <w:top w:val="nil"/>
              <w:left w:val="nil"/>
              <w:bottom w:val="nil"/>
              <w:right w:val="nil"/>
            </w:tcBorders>
            <w:shd w:val="clear" w:color="000000" w:fill="FFFFFF"/>
            <w:noWrap/>
            <w:vAlign w:val="center"/>
            <w:hideMark/>
          </w:tcPr>
          <w:p w14:paraId="2E7C79F2"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-1.355</w:t>
            </w:r>
          </w:p>
        </w:tc>
        <w:tc>
          <w:tcPr>
            <w:tcW w:w="396" w:type="dxa"/>
            <w:tcBorders>
              <w:top w:val="nil"/>
              <w:left w:val="nil"/>
              <w:bottom w:val="nil"/>
              <w:right w:val="nil"/>
            </w:tcBorders>
            <w:shd w:val="clear" w:color="000000" w:fill="FFFFFF"/>
            <w:noWrap/>
            <w:vAlign w:val="center"/>
            <w:hideMark/>
          </w:tcPr>
          <w:p w14:paraId="785F13CD"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val="en-GB" w:eastAsia="en-GB"/>
              </w:rPr>
              <w:t> </w:t>
            </w:r>
          </w:p>
        </w:tc>
        <w:tc>
          <w:tcPr>
            <w:tcW w:w="835" w:type="dxa"/>
            <w:tcBorders>
              <w:top w:val="nil"/>
              <w:left w:val="nil"/>
              <w:bottom w:val="nil"/>
              <w:right w:val="nil"/>
            </w:tcBorders>
            <w:shd w:val="clear" w:color="000000" w:fill="FFFFFF"/>
            <w:noWrap/>
            <w:vAlign w:val="center"/>
            <w:hideMark/>
          </w:tcPr>
          <w:p w14:paraId="728785F9"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-0.676</w:t>
            </w:r>
          </w:p>
        </w:tc>
        <w:tc>
          <w:tcPr>
            <w:tcW w:w="456" w:type="dxa"/>
            <w:tcBorders>
              <w:top w:val="nil"/>
              <w:left w:val="nil"/>
              <w:bottom w:val="nil"/>
              <w:right w:val="nil"/>
            </w:tcBorders>
            <w:shd w:val="clear" w:color="000000" w:fill="FFFFFF"/>
            <w:noWrap/>
            <w:vAlign w:val="center"/>
            <w:hideMark/>
          </w:tcPr>
          <w:p w14:paraId="542B8DE1"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val="en-GB" w:eastAsia="en-GB"/>
              </w:rPr>
              <w:t> </w:t>
            </w:r>
          </w:p>
        </w:tc>
      </w:tr>
      <w:tr w:rsidR="00775C36" w:rsidRPr="00775C36" w14:paraId="468FEE8B" w14:textId="77777777" w:rsidTr="00E936B8">
        <w:trPr>
          <w:trHeight w:val="300"/>
        </w:trPr>
        <w:tc>
          <w:tcPr>
            <w:tcW w:w="420" w:type="dxa"/>
            <w:tcBorders>
              <w:top w:val="nil"/>
              <w:left w:val="nil"/>
              <w:bottom w:val="nil"/>
              <w:right w:val="nil"/>
            </w:tcBorders>
            <w:shd w:val="clear" w:color="000000" w:fill="FFFFFF"/>
            <w:noWrap/>
            <w:vAlign w:val="center"/>
            <w:hideMark/>
          </w:tcPr>
          <w:p w14:paraId="53ECEC4D" w14:textId="77777777" w:rsidR="00775C36" w:rsidRPr="00775C36" w:rsidRDefault="00775C36" w:rsidP="00775C36">
            <w:pPr>
              <w:spacing w:after="0" w:line="240" w:lineRule="auto"/>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 </w:t>
            </w:r>
          </w:p>
        </w:tc>
        <w:tc>
          <w:tcPr>
            <w:tcW w:w="2180" w:type="dxa"/>
            <w:tcBorders>
              <w:top w:val="nil"/>
              <w:left w:val="nil"/>
              <w:bottom w:val="nil"/>
              <w:right w:val="nil"/>
            </w:tcBorders>
            <w:shd w:val="clear" w:color="000000" w:fill="FFFFFF"/>
            <w:noWrap/>
            <w:vAlign w:val="center"/>
            <w:hideMark/>
          </w:tcPr>
          <w:p w14:paraId="43322043" w14:textId="77777777" w:rsidR="00775C36" w:rsidRPr="00775C36" w:rsidRDefault="00775C36" w:rsidP="00775C36">
            <w:pPr>
              <w:spacing w:after="0" w:line="240" w:lineRule="auto"/>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Rounds²</w:t>
            </w:r>
          </w:p>
        </w:tc>
        <w:tc>
          <w:tcPr>
            <w:tcW w:w="806" w:type="dxa"/>
            <w:tcBorders>
              <w:top w:val="nil"/>
              <w:left w:val="nil"/>
              <w:bottom w:val="nil"/>
              <w:right w:val="nil"/>
            </w:tcBorders>
            <w:shd w:val="clear" w:color="000000" w:fill="FFFFFF"/>
            <w:noWrap/>
            <w:vAlign w:val="center"/>
            <w:hideMark/>
          </w:tcPr>
          <w:p w14:paraId="750C7F75"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0.080</w:t>
            </w:r>
          </w:p>
        </w:tc>
        <w:tc>
          <w:tcPr>
            <w:tcW w:w="488" w:type="dxa"/>
            <w:tcBorders>
              <w:top w:val="nil"/>
              <w:left w:val="nil"/>
              <w:bottom w:val="nil"/>
              <w:right w:val="nil"/>
            </w:tcBorders>
            <w:shd w:val="clear" w:color="000000" w:fill="FFFFFF"/>
            <w:noWrap/>
            <w:vAlign w:val="center"/>
            <w:hideMark/>
          </w:tcPr>
          <w:p w14:paraId="7B829287" w14:textId="77777777" w:rsidR="00775C36" w:rsidRPr="00775C36" w:rsidRDefault="00954C18" w:rsidP="00775C36">
            <w:pPr>
              <w:spacing w:after="0" w:line="240" w:lineRule="auto"/>
              <w:rPr>
                <w:rFonts w:ascii="Times New Roman" w:eastAsia="Times New Roman" w:hAnsi="Times New Roman" w:cs="Times New Roman"/>
                <w:color w:val="000000"/>
                <w:sz w:val="16"/>
                <w:szCs w:val="16"/>
                <w:lang w:val="en-GB" w:eastAsia="en-GB"/>
              </w:rPr>
            </w:pPr>
            <w:r>
              <w:rPr>
                <w:rFonts w:ascii="Times New Roman" w:eastAsia="Times New Roman" w:hAnsi="Times New Roman" w:cs="Times New Roman"/>
                <w:color w:val="000000"/>
                <w:sz w:val="16"/>
                <w:szCs w:val="16"/>
                <w:lang w:val="en-GB" w:eastAsia="en-GB"/>
              </w:rPr>
              <w:t>*</w:t>
            </w:r>
            <w:r w:rsidR="00775C36" w:rsidRPr="00775C36">
              <w:rPr>
                <w:rFonts w:ascii="Times New Roman" w:eastAsia="Times New Roman" w:hAnsi="Times New Roman" w:cs="Times New Roman"/>
                <w:color w:val="000000"/>
                <w:sz w:val="16"/>
                <w:szCs w:val="16"/>
                <w:lang w:val="en-GB" w:eastAsia="en-GB"/>
              </w:rPr>
              <w:t>*</w:t>
            </w:r>
          </w:p>
        </w:tc>
        <w:tc>
          <w:tcPr>
            <w:tcW w:w="806" w:type="dxa"/>
            <w:tcBorders>
              <w:top w:val="nil"/>
              <w:left w:val="nil"/>
              <w:bottom w:val="nil"/>
              <w:right w:val="nil"/>
            </w:tcBorders>
            <w:shd w:val="clear" w:color="000000" w:fill="FFFFFF"/>
            <w:noWrap/>
            <w:vAlign w:val="center"/>
            <w:hideMark/>
          </w:tcPr>
          <w:p w14:paraId="5B3C3BF4"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0.127</w:t>
            </w:r>
          </w:p>
        </w:tc>
        <w:tc>
          <w:tcPr>
            <w:tcW w:w="456" w:type="dxa"/>
            <w:tcBorders>
              <w:top w:val="nil"/>
              <w:left w:val="nil"/>
              <w:bottom w:val="nil"/>
              <w:right w:val="nil"/>
            </w:tcBorders>
            <w:shd w:val="clear" w:color="000000" w:fill="FFFFFF"/>
            <w:noWrap/>
            <w:vAlign w:val="center"/>
            <w:hideMark/>
          </w:tcPr>
          <w:p w14:paraId="30D4E3AC" w14:textId="77777777" w:rsidR="00775C36" w:rsidRPr="00775C36" w:rsidRDefault="00954C18" w:rsidP="00775C36">
            <w:pPr>
              <w:spacing w:after="0" w:line="240" w:lineRule="auto"/>
              <w:rPr>
                <w:rFonts w:ascii="Times New Roman" w:eastAsia="Times New Roman" w:hAnsi="Times New Roman" w:cs="Times New Roman"/>
                <w:color w:val="000000"/>
                <w:sz w:val="16"/>
                <w:szCs w:val="16"/>
                <w:lang w:val="en-GB" w:eastAsia="en-GB"/>
              </w:rPr>
            </w:pPr>
            <w:r>
              <w:rPr>
                <w:rFonts w:ascii="Times New Roman" w:eastAsia="Times New Roman" w:hAnsi="Times New Roman" w:cs="Times New Roman"/>
                <w:color w:val="000000"/>
                <w:sz w:val="16"/>
                <w:szCs w:val="16"/>
                <w:lang w:val="en-GB" w:eastAsia="en-GB"/>
              </w:rPr>
              <w:t>*</w:t>
            </w:r>
            <w:r w:rsidR="00775C36" w:rsidRPr="00775C36">
              <w:rPr>
                <w:rFonts w:ascii="Times New Roman" w:eastAsia="Times New Roman" w:hAnsi="Times New Roman" w:cs="Times New Roman"/>
                <w:color w:val="000000"/>
                <w:sz w:val="16"/>
                <w:szCs w:val="16"/>
                <w:lang w:val="en-GB" w:eastAsia="en-GB"/>
              </w:rPr>
              <w:t>*</w:t>
            </w:r>
          </w:p>
        </w:tc>
        <w:tc>
          <w:tcPr>
            <w:tcW w:w="793" w:type="dxa"/>
            <w:tcBorders>
              <w:top w:val="nil"/>
              <w:left w:val="nil"/>
              <w:bottom w:val="nil"/>
              <w:right w:val="nil"/>
            </w:tcBorders>
            <w:shd w:val="clear" w:color="000000" w:fill="FFFFFF"/>
            <w:noWrap/>
            <w:vAlign w:val="center"/>
            <w:hideMark/>
          </w:tcPr>
          <w:p w14:paraId="722F03C4"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0.076</w:t>
            </w:r>
          </w:p>
        </w:tc>
        <w:tc>
          <w:tcPr>
            <w:tcW w:w="486" w:type="dxa"/>
            <w:tcBorders>
              <w:top w:val="nil"/>
              <w:left w:val="nil"/>
              <w:bottom w:val="nil"/>
              <w:right w:val="nil"/>
            </w:tcBorders>
            <w:shd w:val="clear" w:color="000000" w:fill="FFFFFF"/>
            <w:noWrap/>
            <w:vAlign w:val="center"/>
            <w:hideMark/>
          </w:tcPr>
          <w:p w14:paraId="10B05E95"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val="en-GB" w:eastAsia="en-GB"/>
              </w:rPr>
              <w:t> </w:t>
            </w:r>
          </w:p>
        </w:tc>
        <w:tc>
          <w:tcPr>
            <w:tcW w:w="793" w:type="dxa"/>
            <w:tcBorders>
              <w:top w:val="nil"/>
              <w:left w:val="nil"/>
              <w:bottom w:val="nil"/>
              <w:right w:val="nil"/>
            </w:tcBorders>
            <w:shd w:val="clear" w:color="000000" w:fill="FFFFFF"/>
            <w:noWrap/>
            <w:vAlign w:val="center"/>
            <w:hideMark/>
          </w:tcPr>
          <w:p w14:paraId="59292EA7"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0.164</w:t>
            </w:r>
          </w:p>
        </w:tc>
        <w:tc>
          <w:tcPr>
            <w:tcW w:w="456" w:type="dxa"/>
            <w:tcBorders>
              <w:top w:val="nil"/>
              <w:left w:val="nil"/>
              <w:bottom w:val="nil"/>
              <w:right w:val="nil"/>
            </w:tcBorders>
            <w:shd w:val="clear" w:color="000000" w:fill="FFFFFF"/>
            <w:noWrap/>
            <w:vAlign w:val="center"/>
            <w:hideMark/>
          </w:tcPr>
          <w:p w14:paraId="1BEFA32C" w14:textId="77777777" w:rsidR="00775C36" w:rsidRPr="00775C36" w:rsidRDefault="00954C18" w:rsidP="00775C36">
            <w:pPr>
              <w:spacing w:after="0" w:line="240" w:lineRule="auto"/>
              <w:rPr>
                <w:rFonts w:ascii="Times New Roman" w:eastAsia="Times New Roman" w:hAnsi="Times New Roman" w:cs="Times New Roman"/>
                <w:color w:val="000000"/>
                <w:sz w:val="16"/>
                <w:szCs w:val="16"/>
                <w:lang w:val="en-GB" w:eastAsia="en-GB"/>
              </w:rPr>
            </w:pPr>
            <w:r>
              <w:rPr>
                <w:rFonts w:ascii="Times New Roman" w:eastAsia="Times New Roman" w:hAnsi="Times New Roman" w:cs="Times New Roman"/>
                <w:color w:val="000000"/>
                <w:sz w:val="16"/>
                <w:szCs w:val="16"/>
                <w:lang w:val="en-GB" w:eastAsia="en-GB"/>
              </w:rPr>
              <w:t>*</w:t>
            </w:r>
            <w:r w:rsidR="00775C36" w:rsidRPr="00775C36">
              <w:rPr>
                <w:rFonts w:ascii="Times New Roman" w:eastAsia="Times New Roman" w:hAnsi="Times New Roman" w:cs="Times New Roman"/>
                <w:color w:val="000000"/>
                <w:sz w:val="16"/>
                <w:szCs w:val="16"/>
                <w:lang w:val="en-GB" w:eastAsia="en-GB"/>
              </w:rPr>
              <w:t>*</w:t>
            </w:r>
          </w:p>
        </w:tc>
        <w:tc>
          <w:tcPr>
            <w:tcW w:w="835" w:type="dxa"/>
            <w:tcBorders>
              <w:top w:val="nil"/>
              <w:left w:val="nil"/>
              <w:bottom w:val="nil"/>
              <w:right w:val="nil"/>
            </w:tcBorders>
            <w:shd w:val="clear" w:color="000000" w:fill="FFFFFF"/>
            <w:noWrap/>
            <w:vAlign w:val="center"/>
            <w:hideMark/>
          </w:tcPr>
          <w:p w14:paraId="5353950B"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0.217</w:t>
            </w:r>
          </w:p>
        </w:tc>
        <w:tc>
          <w:tcPr>
            <w:tcW w:w="396" w:type="dxa"/>
            <w:tcBorders>
              <w:top w:val="nil"/>
              <w:left w:val="nil"/>
              <w:bottom w:val="nil"/>
              <w:right w:val="nil"/>
            </w:tcBorders>
            <w:shd w:val="clear" w:color="000000" w:fill="FFFFFF"/>
            <w:noWrap/>
            <w:vAlign w:val="center"/>
            <w:hideMark/>
          </w:tcPr>
          <w:p w14:paraId="48899A77" w14:textId="77777777" w:rsidR="00775C36" w:rsidRPr="00775C36" w:rsidRDefault="00954C18" w:rsidP="00775C36">
            <w:pPr>
              <w:spacing w:after="0" w:line="240" w:lineRule="auto"/>
              <w:rPr>
                <w:rFonts w:ascii="Times New Roman" w:eastAsia="Times New Roman" w:hAnsi="Times New Roman" w:cs="Times New Roman"/>
                <w:color w:val="000000"/>
                <w:sz w:val="16"/>
                <w:szCs w:val="16"/>
                <w:lang w:val="en-GB" w:eastAsia="en-GB"/>
              </w:rPr>
            </w:pPr>
            <w:r>
              <w:rPr>
                <w:rFonts w:ascii="Times New Roman" w:eastAsia="Times New Roman" w:hAnsi="Times New Roman" w:cs="Times New Roman"/>
                <w:color w:val="000000"/>
                <w:sz w:val="16"/>
                <w:szCs w:val="16"/>
                <w:lang w:val="en-GB" w:eastAsia="en-GB"/>
              </w:rPr>
              <w:t>*</w:t>
            </w:r>
          </w:p>
        </w:tc>
        <w:tc>
          <w:tcPr>
            <w:tcW w:w="835" w:type="dxa"/>
            <w:tcBorders>
              <w:top w:val="nil"/>
              <w:left w:val="nil"/>
              <w:bottom w:val="nil"/>
              <w:right w:val="nil"/>
            </w:tcBorders>
            <w:shd w:val="clear" w:color="000000" w:fill="FFFFFF"/>
            <w:noWrap/>
            <w:vAlign w:val="center"/>
            <w:hideMark/>
          </w:tcPr>
          <w:p w14:paraId="61F7AE68"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0.086</w:t>
            </w:r>
          </w:p>
        </w:tc>
        <w:tc>
          <w:tcPr>
            <w:tcW w:w="456" w:type="dxa"/>
            <w:tcBorders>
              <w:top w:val="nil"/>
              <w:left w:val="nil"/>
              <w:bottom w:val="nil"/>
              <w:right w:val="nil"/>
            </w:tcBorders>
            <w:shd w:val="clear" w:color="000000" w:fill="FFFFFF"/>
            <w:noWrap/>
            <w:vAlign w:val="center"/>
            <w:hideMark/>
          </w:tcPr>
          <w:p w14:paraId="75EAAA30"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val="en-GB" w:eastAsia="en-GB"/>
              </w:rPr>
              <w:t> </w:t>
            </w:r>
          </w:p>
        </w:tc>
      </w:tr>
      <w:tr w:rsidR="00775C36" w:rsidRPr="00775C36" w14:paraId="1171A61D" w14:textId="77777777" w:rsidTr="00E936B8">
        <w:trPr>
          <w:trHeight w:val="300"/>
        </w:trPr>
        <w:tc>
          <w:tcPr>
            <w:tcW w:w="2600" w:type="dxa"/>
            <w:gridSpan w:val="2"/>
            <w:tcBorders>
              <w:top w:val="nil"/>
              <w:left w:val="nil"/>
              <w:bottom w:val="nil"/>
              <w:right w:val="nil"/>
            </w:tcBorders>
            <w:shd w:val="clear" w:color="000000" w:fill="FFFFFF"/>
            <w:noWrap/>
            <w:vAlign w:val="center"/>
            <w:hideMark/>
          </w:tcPr>
          <w:p w14:paraId="1ABF351F" w14:textId="77777777" w:rsidR="00775C36" w:rsidRPr="00775C36" w:rsidRDefault="00775C36" w:rsidP="00775C36">
            <w:pPr>
              <w:spacing w:after="0" w:line="240" w:lineRule="auto"/>
              <w:rPr>
                <w:rFonts w:ascii="Times New Roman" w:eastAsia="Times New Roman" w:hAnsi="Times New Roman" w:cs="Times New Roman"/>
                <w:i/>
                <w:iCs/>
                <w:color w:val="000000"/>
                <w:sz w:val="18"/>
                <w:szCs w:val="18"/>
                <w:lang w:val="en-GB" w:eastAsia="en-GB"/>
              </w:rPr>
            </w:pPr>
            <w:r w:rsidRPr="00775C36">
              <w:rPr>
                <w:rFonts w:ascii="Times New Roman" w:eastAsia="Times New Roman" w:hAnsi="Times New Roman" w:cs="Times New Roman"/>
                <w:i/>
                <w:iCs/>
                <w:color w:val="000000"/>
                <w:sz w:val="18"/>
                <w:szCs w:val="18"/>
                <w:lang w:eastAsia="en-GB"/>
              </w:rPr>
              <w:t>Selection variable</w:t>
            </w:r>
          </w:p>
        </w:tc>
        <w:tc>
          <w:tcPr>
            <w:tcW w:w="806" w:type="dxa"/>
            <w:tcBorders>
              <w:top w:val="nil"/>
              <w:left w:val="nil"/>
              <w:bottom w:val="nil"/>
              <w:right w:val="nil"/>
            </w:tcBorders>
            <w:shd w:val="clear" w:color="000000" w:fill="FFFFFF"/>
            <w:noWrap/>
            <w:vAlign w:val="center"/>
            <w:hideMark/>
          </w:tcPr>
          <w:p w14:paraId="3465ABF2"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 </w:t>
            </w:r>
          </w:p>
        </w:tc>
        <w:tc>
          <w:tcPr>
            <w:tcW w:w="488" w:type="dxa"/>
            <w:tcBorders>
              <w:top w:val="nil"/>
              <w:left w:val="nil"/>
              <w:bottom w:val="nil"/>
              <w:right w:val="nil"/>
            </w:tcBorders>
            <w:shd w:val="clear" w:color="000000" w:fill="FFFFFF"/>
            <w:noWrap/>
            <w:vAlign w:val="center"/>
            <w:hideMark/>
          </w:tcPr>
          <w:p w14:paraId="3B8239E8"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eastAsia="en-GB"/>
              </w:rPr>
              <w:t> </w:t>
            </w:r>
          </w:p>
        </w:tc>
        <w:tc>
          <w:tcPr>
            <w:tcW w:w="806" w:type="dxa"/>
            <w:tcBorders>
              <w:top w:val="nil"/>
              <w:left w:val="nil"/>
              <w:bottom w:val="nil"/>
              <w:right w:val="nil"/>
            </w:tcBorders>
            <w:shd w:val="clear" w:color="000000" w:fill="FFFFFF"/>
            <w:noWrap/>
            <w:vAlign w:val="center"/>
            <w:hideMark/>
          </w:tcPr>
          <w:p w14:paraId="0DF44EB4"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 </w:t>
            </w:r>
          </w:p>
        </w:tc>
        <w:tc>
          <w:tcPr>
            <w:tcW w:w="456" w:type="dxa"/>
            <w:tcBorders>
              <w:top w:val="nil"/>
              <w:left w:val="nil"/>
              <w:bottom w:val="nil"/>
              <w:right w:val="nil"/>
            </w:tcBorders>
            <w:shd w:val="clear" w:color="000000" w:fill="FFFFFF"/>
            <w:noWrap/>
            <w:vAlign w:val="center"/>
            <w:hideMark/>
          </w:tcPr>
          <w:p w14:paraId="707C0590"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eastAsia="en-GB"/>
              </w:rPr>
              <w:t> </w:t>
            </w:r>
          </w:p>
        </w:tc>
        <w:tc>
          <w:tcPr>
            <w:tcW w:w="793" w:type="dxa"/>
            <w:tcBorders>
              <w:top w:val="nil"/>
              <w:left w:val="nil"/>
              <w:bottom w:val="nil"/>
              <w:right w:val="nil"/>
            </w:tcBorders>
            <w:shd w:val="clear" w:color="000000" w:fill="FFFFFF"/>
            <w:noWrap/>
            <w:vAlign w:val="center"/>
            <w:hideMark/>
          </w:tcPr>
          <w:p w14:paraId="60EE4BAA"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 </w:t>
            </w:r>
          </w:p>
        </w:tc>
        <w:tc>
          <w:tcPr>
            <w:tcW w:w="486" w:type="dxa"/>
            <w:tcBorders>
              <w:top w:val="nil"/>
              <w:left w:val="nil"/>
              <w:bottom w:val="nil"/>
              <w:right w:val="nil"/>
            </w:tcBorders>
            <w:shd w:val="clear" w:color="000000" w:fill="FFFFFF"/>
            <w:noWrap/>
            <w:vAlign w:val="center"/>
            <w:hideMark/>
          </w:tcPr>
          <w:p w14:paraId="30D99765"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eastAsia="en-GB"/>
              </w:rPr>
              <w:t> </w:t>
            </w:r>
          </w:p>
        </w:tc>
        <w:tc>
          <w:tcPr>
            <w:tcW w:w="793" w:type="dxa"/>
            <w:tcBorders>
              <w:top w:val="nil"/>
              <w:left w:val="nil"/>
              <w:bottom w:val="nil"/>
              <w:right w:val="nil"/>
            </w:tcBorders>
            <w:shd w:val="clear" w:color="000000" w:fill="FFFFFF"/>
            <w:noWrap/>
            <w:vAlign w:val="center"/>
            <w:hideMark/>
          </w:tcPr>
          <w:p w14:paraId="2691C0FB"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 </w:t>
            </w:r>
          </w:p>
        </w:tc>
        <w:tc>
          <w:tcPr>
            <w:tcW w:w="456" w:type="dxa"/>
            <w:tcBorders>
              <w:top w:val="nil"/>
              <w:left w:val="nil"/>
              <w:bottom w:val="nil"/>
              <w:right w:val="nil"/>
            </w:tcBorders>
            <w:shd w:val="clear" w:color="000000" w:fill="FFFFFF"/>
            <w:noWrap/>
            <w:vAlign w:val="center"/>
            <w:hideMark/>
          </w:tcPr>
          <w:p w14:paraId="40A51501"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eastAsia="en-GB"/>
              </w:rPr>
              <w:t> </w:t>
            </w:r>
          </w:p>
        </w:tc>
        <w:tc>
          <w:tcPr>
            <w:tcW w:w="835" w:type="dxa"/>
            <w:tcBorders>
              <w:top w:val="nil"/>
              <w:left w:val="nil"/>
              <w:bottom w:val="nil"/>
              <w:right w:val="nil"/>
            </w:tcBorders>
            <w:shd w:val="clear" w:color="000000" w:fill="FFFFFF"/>
            <w:noWrap/>
            <w:vAlign w:val="center"/>
            <w:hideMark/>
          </w:tcPr>
          <w:p w14:paraId="1823AD91"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 </w:t>
            </w:r>
          </w:p>
        </w:tc>
        <w:tc>
          <w:tcPr>
            <w:tcW w:w="396" w:type="dxa"/>
            <w:tcBorders>
              <w:top w:val="nil"/>
              <w:left w:val="nil"/>
              <w:bottom w:val="nil"/>
              <w:right w:val="nil"/>
            </w:tcBorders>
            <w:shd w:val="clear" w:color="000000" w:fill="FFFFFF"/>
            <w:noWrap/>
            <w:vAlign w:val="center"/>
            <w:hideMark/>
          </w:tcPr>
          <w:p w14:paraId="2BC6643A"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eastAsia="en-GB"/>
              </w:rPr>
              <w:t> </w:t>
            </w:r>
          </w:p>
        </w:tc>
        <w:tc>
          <w:tcPr>
            <w:tcW w:w="835" w:type="dxa"/>
            <w:tcBorders>
              <w:top w:val="nil"/>
              <w:left w:val="nil"/>
              <w:bottom w:val="nil"/>
              <w:right w:val="nil"/>
            </w:tcBorders>
            <w:shd w:val="clear" w:color="000000" w:fill="FFFFFF"/>
            <w:noWrap/>
            <w:vAlign w:val="center"/>
            <w:hideMark/>
          </w:tcPr>
          <w:p w14:paraId="74FFC2A9"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 </w:t>
            </w:r>
          </w:p>
        </w:tc>
        <w:tc>
          <w:tcPr>
            <w:tcW w:w="456" w:type="dxa"/>
            <w:tcBorders>
              <w:top w:val="nil"/>
              <w:left w:val="nil"/>
              <w:bottom w:val="nil"/>
              <w:right w:val="nil"/>
            </w:tcBorders>
            <w:shd w:val="clear" w:color="000000" w:fill="FFFFFF"/>
            <w:noWrap/>
            <w:vAlign w:val="center"/>
            <w:hideMark/>
          </w:tcPr>
          <w:p w14:paraId="12DBB313"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eastAsia="en-GB"/>
              </w:rPr>
              <w:t> </w:t>
            </w:r>
          </w:p>
        </w:tc>
      </w:tr>
      <w:tr w:rsidR="00775C36" w:rsidRPr="00775C36" w14:paraId="53D6F3ED" w14:textId="77777777" w:rsidTr="00E936B8">
        <w:trPr>
          <w:trHeight w:val="300"/>
        </w:trPr>
        <w:tc>
          <w:tcPr>
            <w:tcW w:w="420" w:type="dxa"/>
            <w:tcBorders>
              <w:top w:val="nil"/>
              <w:left w:val="nil"/>
              <w:bottom w:val="nil"/>
              <w:right w:val="nil"/>
            </w:tcBorders>
            <w:shd w:val="clear" w:color="000000" w:fill="FFFFFF"/>
            <w:noWrap/>
            <w:vAlign w:val="center"/>
            <w:hideMark/>
          </w:tcPr>
          <w:p w14:paraId="4FFE6194" w14:textId="77777777" w:rsidR="00775C36" w:rsidRPr="00775C36" w:rsidRDefault="00775C36" w:rsidP="00775C36">
            <w:pPr>
              <w:spacing w:after="0" w:line="240" w:lineRule="auto"/>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 </w:t>
            </w:r>
          </w:p>
        </w:tc>
        <w:tc>
          <w:tcPr>
            <w:tcW w:w="2180" w:type="dxa"/>
            <w:tcBorders>
              <w:top w:val="nil"/>
              <w:left w:val="nil"/>
              <w:bottom w:val="nil"/>
              <w:right w:val="nil"/>
            </w:tcBorders>
            <w:shd w:val="clear" w:color="000000" w:fill="FFFFFF"/>
            <w:noWrap/>
            <w:vAlign w:val="center"/>
            <w:hideMark/>
          </w:tcPr>
          <w:p w14:paraId="6CF249B3" w14:textId="77777777" w:rsidR="00775C36" w:rsidRPr="00775C36" w:rsidRDefault="00775C36" w:rsidP="00775C36">
            <w:pPr>
              <w:spacing w:after="0" w:line="240" w:lineRule="auto"/>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Inverse Mills Ratio</w:t>
            </w:r>
          </w:p>
        </w:tc>
        <w:tc>
          <w:tcPr>
            <w:tcW w:w="806" w:type="dxa"/>
            <w:tcBorders>
              <w:top w:val="nil"/>
              <w:left w:val="nil"/>
              <w:bottom w:val="nil"/>
              <w:right w:val="nil"/>
            </w:tcBorders>
            <w:shd w:val="clear" w:color="000000" w:fill="FFFFFF"/>
            <w:noWrap/>
            <w:vAlign w:val="center"/>
            <w:hideMark/>
          </w:tcPr>
          <w:p w14:paraId="26023730"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-0.743</w:t>
            </w:r>
          </w:p>
        </w:tc>
        <w:tc>
          <w:tcPr>
            <w:tcW w:w="488" w:type="dxa"/>
            <w:tcBorders>
              <w:top w:val="nil"/>
              <w:left w:val="nil"/>
              <w:bottom w:val="nil"/>
              <w:right w:val="nil"/>
            </w:tcBorders>
            <w:shd w:val="clear" w:color="000000" w:fill="FFFFFF"/>
            <w:noWrap/>
            <w:vAlign w:val="center"/>
            <w:hideMark/>
          </w:tcPr>
          <w:p w14:paraId="3E0BFA4A" w14:textId="77777777" w:rsidR="00775C36" w:rsidRPr="00775C36" w:rsidRDefault="00954C18" w:rsidP="00775C36">
            <w:pPr>
              <w:spacing w:after="0" w:line="240" w:lineRule="auto"/>
              <w:rPr>
                <w:rFonts w:ascii="Times New Roman" w:eastAsia="Times New Roman" w:hAnsi="Times New Roman" w:cs="Times New Roman"/>
                <w:color w:val="000000"/>
                <w:sz w:val="16"/>
                <w:szCs w:val="16"/>
                <w:lang w:val="en-GB" w:eastAsia="en-GB"/>
              </w:rPr>
            </w:pPr>
            <w:r>
              <w:rPr>
                <w:rFonts w:ascii="Times New Roman" w:eastAsia="Times New Roman" w:hAnsi="Times New Roman" w:cs="Times New Roman"/>
                <w:color w:val="000000"/>
                <w:sz w:val="16"/>
                <w:szCs w:val="16"/>
                <w:lang w:val="en-GB" w:eastAsia="en-GB"/>
              </w:rPr>
              <w:t>*</w:t>
            </w:r>
            <w:r w:rsidR="00775C36" w:rsidRPr="00775C36">
              <w:rPr>
                <w:rFonts w:ascii="Times New Roman" w:eastAsia="Times New Roman" w:hAnsi="Times New Roman" w:cs="Times New Roman"/>
                <w:color w:val="000000"/>
                <w:sz w:val="16"/>
                <w:szCs w:val="16"/>
                <w:lang w:val="en-GB" w:eastAsia="en-GB"/>
              </w:rPr>
              <w:t>*</w:t>
            </w:r>
          </w:p>
        </w:tc>
        <w:tc>
          <w:tcPr>
            <w:tcW w:w="806" w:type="dxa"/>
            <w:tcBorders>
              <w:top w:val="nil"/>
              <w:left w:val="nil"/>
              <w:bottom w:val="nil"/>
              <w:right w:val="nil"/>
            </w:tcBorders>
            <w:shd w:val="clear" w:color="000000" w:fill="FFFFFF"/>
            <w:noWrap/>
            <w:vAlign w:val="center"/>
            <w:hideMark/>
          </w:tcPr>
          <w:p w14:paraId="6C8DB828"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-1.040</w:t>
            </w:r>
          </w:p>
        </w:tc>
        <w:tc>
          <w:tcPr>
            <w:tcW w:w="456" w:type="dxa"/>
            <w:tcBorders>
              <w:top w:val="nil"/>
              <w:left w:val="nil"/>
              <w:bottom w:val="nil"/>
              <w:right w:val="nil"/>
            </w:tcBorders>
            <w:shd w:val="clear" w:color="000000" w:fill="FFFFFF"/>
            <w:noWrap/>
            <w:vAlign w:val="center"/>
            <w:hideMark/>
          </w:tcPr>
          <w:p w14:paraId="13DEB71E" w14:textId="77777777" w:rsidR="00775C36" w:rsidRPr="00775C36" w:rsidRDefault="00954C18" w:rsidP="00775C36">
            <w:pPr>
              <w:spacing w:after="0" w:line="240" w:lineRule="auto"/>
              <w:rPr>
                <w:rFonts w:ascii="Times New Roman" w:eastAsia="Times New Roman" w:hAnsi="Times New Roman" w:cs="Times New Roman"/>
                <w:color w:val="000000"/>
                <w:sz w:val="16"/>
                <w:szCs w:val="16"/>
                <w:lang w:val="en-GB" w:eastAsia="en-GB"/>
              </w:rPr>
            </w:pPr>
            <w:r>
              <w:rPr>
                <w:rFonts w:ascii="Times New Roman" w:eastAsia="Times New Roman" w:hAnsi="Times New Roman" w:cs="Times New Roman"/>
                <w:color w:val="000000"/>
                <w:sz w:val="16"/>
                <w:szCs w:val="16"/>
                <w:lang w:val="en-GB" w:eastAsia="en-GB"/>
              </w:rPr>
              <w:t>*</w:t>
            </w:r>
            <w:r w:rsidR="00775C36" w:rsidRPr="00775C36">
              <w:rPr>
                <w:rFonts w:ascii="Times New Roman" w:eastAsia="Times New Roman" w:hAnsi="Times New Roman" w:cs="Times New Roman"/>
                <w:color w:val="000000"/>
                <w:sz w:val="16"/>
                <w:szCs w:val="16"/>
                <w:lang w:val="en-GB" w:eastAsia="en-GB"/>
              </w:rPr>
              <w:t>*</w:t>
            </w:r>
          </w:p>
        </w:tc>
        <w:tc>
          <w:tcPr>
            <w:tcW w:w="793" w:type="dxa"/>
            <w:tcBorders>
              <w:top w:val="nil"/>
              <w:left w:val="nil"/>
              <w:bottom w:val="nil"/>
              <w:right w:val="nil"/>
            </w:tcBorders>
            <w:shd w:val="clear" w:color="000000" w:fill="FFFFFF"/>
            <w:noWrap/>
            <w:vAlign w:val="center"/>
            <w:hideMark/>
          </w:tcPr>
          <w:p w14:paraId="6223B29E"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-0.940</w:t>
            </w:r>
          </w:p>
        </w:tc>
        <w:tc>
          <w:tcPr>
            <w:tcW w:w="486" w:type="dxa"/>
            <w:tcBorders>
              <w:top w:val="nil"/>
              <w:left w:val="nil"/>
              <w:bottom w:val="nil"/>
              <w:right w:val="nil"/>
            </w:tcBorders>
            <w:shd w:val="clear" w:color="000000" w:fill="FFFFFF"/>
            <w:noWrap/>
            <w:vAlign w:val="center"/>
            <w:hideMark/>
          </w:tcPr>
          <w:p w14:paraId="0E88447F" w14:textId="77777777" w:rsidR="00775C36" w:rsidRPr="00775C36" w:rsidRDefault="00E936B8" w:rsidP="00775C36">
            <w:pPr>
              <w:spacing w:after="0" w:line="240" w:lineRule="auto"/>
              <w:rPr>
                <w:rFonts w:ascii="Times New Roman" w:eastAsia="Times New Roman" w:hAnsi="Times New Roman" w:cs="Times New Roman"/>
                <w:color w:val="000000"/>
                <w:sz w:val="16"/>
                <w:szCs w:val="16"/>
                <w:lang w:val="en-GB" w:eastAsia="en-GB"/>
              </w:rPr>
            </w:pPr>
            <w:r w:rsidRPr="0001749F">
              <w:rPr>
                <w:rFonts w:ascii="Times New Roman" w:eastAsia="Times New Roman" w:hAnsi="Times New Roman" w:cs="Times New Roman"/>
                <w:b/>
                <w:bCs/>
                <w:color w:val="000000"/>
                <w:sz w:val="20"/>
                <w:szCs w:val="20"/>
              </w:rPr>
              <w:t>†</w:t>
            </w:r>
          </w:p>
        </w:tc>
        <w:tc>
          <w:tcPr>
            <w:tcW w:w="793" w:type="dxa"/>
            <w:tcBorders>
              <w:top w:val="nil"/>
              <w:left w:val="nil"/>
              <w:bottom w:val="nil"/>
              <w:right w:val="nil"/>
            </w:tcBorders>
            <w:shd w:val="clear" w:color="000000" w:fill="FFFFFF"/>
            <w:noWrap/>
            <w:vAlign w:val="center"/>
            <w:hideMark/>
          </w:tcPr>
          <w:p w14:paraId="1CB88199"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-1.142</w:t>
            </w:r>
          </w:p>
        </w:tc>
        <w:tc>
          <w:tcPr>
            <w:tcW w:w="456" w:type="dxa"/>
            <w:tcBorders>
              <w:top w:val="nil"/>
              <w:left w:val="nil"/>
              <w:bottom w:val="nil"/>
              <w:right w:val="nil"/>
            </w:tcBorders>
            <w:shd w:val="clear" w:color="000000" w:fill="FFFFFF"/>
            <w:noWrap/>
            <w:vAlign w:val="center"/>
            <w:hideMark/>
          </w:tcPr>
          <w:p w14:paraId="6D508CAB" w14:textId="77777777" w:rsidR="00775C36" w:rsidRPr="00775C36" w:rsidRDefault="00954C18" w:rsidP="00775C36">
            <w:pPr>
              <w:spacing w:after="0" w:line="240" w:lineRule="auto"/>
              <w:rPr>
                <w:rFonts w:ascii="Times New Roman" w:eastAsia="Times New Roman" w:hAnsi="Times New Roman" w:cs="Times New Roman"/>
                <w:color w:val="000000"/>
                <w:sz w:val="16"/>
                <w:szCs w:val="16"/>
                <w:lang w:val="en-GB" w:eastAsia="en-GB"/>
              </w:rPr>
            </w:pPr>
            <w:r>
              <w:rPr>
                <w:rFonts w:ascii="Times New Roman" w:eastAsia="Times New Roman" w:hAnsi="Times New Roman" w:cs="Times New Roman"/>
                <w:color w:val="000000"/>
                <w:sz w:val="16"/>
                <w:szCs w:val="16"/>
                <w:lang w:val="en-GB" w:eastAsia="en-GB"/>
              </w:rPr>
              <w:t>*</w:t>
            </w:r>
          </w:p>
        </w:tc>
        <w:tc>
          <w:tcPr>
            <w:tcW w:w="835" w:type="dxa"/>
            <w:tcBorders>
              <w:top w:val="nil"/>
              <w:left w:val="nil"/>
              <w:bottom w:val="nil"/>
              <w:right w:val="nil"/>
            </w:tcBorders>
            <w:shd w:val="clear" w:color="000000" w:fill="FFFFFF"/>
            <w:noWrap/>
            <w:vAlign w:val="center"/>
            <w:hideMark/>
          </w:tcPr>
          <w:p w14:paraId="46315DE7"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1.545</w:t>
            </w:r>
          </w:p>
        </w:tc>
        <w:tc>
          <w:tcPr>
            <w:tcW w:w="396" w:type="dxa"/>
            <w:tcBorders>
              <w:top w:val="nil"/>
              <w:left w:val="nil"/>
              <w:bottom w:val="nil"/>
              <w:right w:val="nil"/>
            </w:tcBorders>
            <w:shd w:val="clear" w:color="000000" w:fill="FFFFFF"/>
            <w:noWrap/>
            <w:vAlign w:val="center"/>
            <w:hideMark/>
          </w:tcPr>
          <w:p w14:paraId="6EEC4267"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val="en-GB" w:eastAsia="en-GB"/>
              </w:rPr>
              <w:t> </w:t>
            </w:r>
          </w:p>
        </w:tc>
        <w:tc>
          <w:tcPr>
            <w:tcW w:w="835" w:type="dxa"/>
            <w:tcBorders>
              <w:top w:val="nil"/>
              <w:left w:val="nil"/>
              <w:bottom w:val="nil"/>
              <w:right w:val="nil"/>
            </w:tcBorders>
            <w:shd w:val="clear" w:color="000000" w:fill="FFFFFF"/>
            <w:noWrap/>
            <w:vAlign w:val="center"/>
            <w:hideMark/>
          </w:tcPr>
          <w:p w14:paraId="78BC614D"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-2.760</w:t>
            </w:r>
          </w:p>
        </w:tc>
        <w:tc>
          <w:tcPr>
            <w:tcW w:w="456" w:type="dxa"/>
            <w:tcBorders>
              <w:top w:val="nil"/>
              <w:left w:val="nil"/>
              <w:bottom w:val="nil"/>
              <w:right w:val="nil"/>
            </w:tcBorders>
            <w:shd w:val="clear" w:color="000000" w:fill="FFFFFF"/>
            <w:noWrap/>
            <w:vAlign w:val="center"/>
            <w:hideMark/>
          </w:tcPr>
          <w:p w14:paraId="6DEDB8C9" w14:textId="77777777" w:rsidR="00775C36" w:rsidRPr="00775C36" w:rsidRDefault="00E936B8" w:rsidP="00775C36">
            <w:pPr>
              <w:spacing w:after="0" w:line="240" w:lineRule="auto"/>
              <w:rPr>
                <w:rFonts w:ascii="Times New Roman" w:eastAsia="Times New Roman" w:hAnsi="Times New Roman" w:cs="Times New Roman"/>
                <w:color w:val="000000"/>
                <w:sz w:val="16"/>
                <w:szCs w:val="16"/>
                <w:lang w:val="en-GB" w:eastAsia="en-GB"/>
              </w:rPr>
            </w:pPr>
            <w:r w:rsidRPr="0001749F">
              <w:rPr>
                <w:rFonts w:ascii="Times New Roman" w:eastAsia="Times New Roman" w:hAnsi="Times New Roman" w:cs="Times New Roman"/>
                <w:b/>
                <w:bCs/>
                <w:color w:val="000000"/>
                <w:sz w:val="20"/>
                <w:szCs w:val="20"/>
              </w:rPr>
              <w:t>†</w:t>
            </w:r>
          </w:p>
        </w:tc>
      </w:tr>
      <w:tr w:rsidR="00775C36" w:rsidRPr="00775C36" w14:paraId="7A916A4E" w14:textId="77777777" w:rsidTr="00E936B8">
        <w:trPr>
          <w:trHeight w:val="300"/>
        </w:trPr>
        <w:tc>
          <w:tcPr>
            <w:tcW w:w="10206" w:type="dxa"/>
            <w:gridSpan w:val="14"/>
            <w:tcBorders>
              <w:top w:val="nil"/>
              <w:left w:val="nil"/>
              <w:bottom w:val="nil"/>
              <w:right w:val="nil"/>
            </w:tcBorders>
            <w:shd w:val="clear" w:color="000000" w:fill="FFFFFF"/>
            <w:noWrap/>
            <w:vAlign w:val="center"/>
            <w:hideMark/>
          </w:tcPr>
          <w:p w14:paraId="78589D24" w14:textId="77777777" w:rsidR="00775C36" w:rsidRPr="00775C36" w:rsidRDefault="00775C36" w:rsidP="00775C36">
            <w:pPr>
              <w:spacing w:after="0" w:line="240" w:lineRule="auto"/>
              <w:rPr>
                <w:rFonts w:ascii="Times New Roman" w:eastAsia="Times New Roman" w:hAnsi="Times New Roman" w:cs="Times New Roman"/>
                <w:i/>
                <w:iCs/>
                <w:color w:val="000000"/>
                <w:sz w:val="18"/>
                <w:szCs w:val="18"/>
                <w:lang w:val="en-GB" w:eastAsia="en-GB"/>
              </w:rPr>
            </w:pPr>
            <w:r w:rsidRPr="00775C36">
              <w:rPr>
                <w:rFonts w:ascii="Times New Roman" w:eastAsia="Times New Roman" w:hAnsi="Times New Roman" w:cs="Times New Roman"/>
                <w:i/>
                <w:iCs/>
                <w:color w:val="000000"/>
                <w:sz w:val="18"/>
                <w:szCs w:val="18"/>
                <w:lang w:eastAsia="en-GB"/>
              </w:rPr>
              <w:t>Portfolio company characteristics</w:t>
            </w:r>
            <w:r w:rsidRPr="00775C36">
              <w:rPr>
                <w:rFonts w:ascii="Times New Roman" w:eastAsia="Times New Roman" w:hAnsi="Times New Roman" w:cs="Times New Roman"/>
                <w:color w:val="000000"/>
                <w:sz w:val="18"/>
                <w:szCs w:val="18"/>
                <w:lang w:eastAsia="en-GB"/>
              </w:rPr>
              <w:t> </w:t>
            </w:r>
          </w:p>
        </w:tc>
      </w:tr>
      <w:tr w:rsidR="00775C36" w:rsidRPr="00775C36" w14:paraId="2F0552B3" w14:textId="77777777" w:rsidTr="00E936B8">
        <w:trPr>
          <w:trHeight w:val="300"/>
        </w:trPr>
        <w:tc>
          <w:tcPr>
            <w:tcW w:w="420" w:type="dxa"/>
            <w:tcBorders>
              <w:top w:val="nil"/>
              <w:left w:val="nil"/>
              <w:bottom w:val="nil"/>
              <w:right w:val="nil"/>
            </w:tcBorders>
            <w:shd w:val="clear" w:color="000000" w:fill="FFFFFF"/>
            <w:noWrap/>
            <w:vAlign w:val="center"/>
            <w:hideMark/>
          </w:tcPr>
          <w:p w14:paraId="37A838D5" w14:textId="77777777" w:rsidR="00775C36" w:rsidRPr="00775C36" w:rsidRDefault="00775C36" w:rsidP="00775C36">
            <w:pPr>
              <w:spacing w:after="0" w:line="240" w:lineRule="auto"/>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 </w:t>
            </w:r>
          </w:p>
        </w:tc>
        <w:tc>
          <w:tcPr>
            <w:tcW w:w="2180" w:type="dxa"/>
            <w:tcBorders>
              <w:top w:val="nil"/>
              <w:left w:val="nil"/>
              <w:bottom w:val="nil"/>
              <w:right w:val="nil"/>
            </w:tcBorders>
            <w:shd w:val="clear" w:color="000000" w:fill="FFFFFF"/>
            <w:noWrap/>
            <w:vAlign w:val="center"/>
            <w:hideMark/>
          </w:tcPr>
          <w:p w14:paraId="4B991F04" w14:textId="77777777" w:rsidR="00775C36" w:rsidRPr="00775C36" w:rsidRDefault="00775C36" w:rsidP="00775C36">
            <w:pPr>
              <w:spacing w:after="0" w:line="240" w:lineRule="auto"/>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Portfolio company age</w:t>
            </w:r>
          </w:p>
        </w:tc>
        <w:tc>
          <w:tcPr>
            <w:tcW w:w="806" w:type="dxa"/>
            <w:tcBorders>
              <w:top w:val="nil"/>
              <w:left w:val="nil"/>
              <w:bottom w:val="nil"/>
              <w:right w:val="nil"/>
            </w:tcBorders>
            <w:shd w:val="clear" w:color="000000" w:fill="FFFFFF"/>
            <w:noWrap/>
            <w:vAlign w:val="center"/>
            <w:hideMark/>
          </w:tcPr>
          <w:p w14:paraId="4C47BBE9"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-0.020</w:t>
            </w:r>
          </w:p>
        </w:tc>
        <w:tc>
          <w:tcPr>
            <w:tcW w:w="488" w:type="dxa"/>
            <w:tcBorders>
              <w:top w:val="nil"/>
              <w:left w:val="nil"/>
              <w:bottom w:val="nil"/>
              <w:right w:val="nil"/>
            </w:tcBorders>
            <w:shd w:val="clear" w:color="000000" w:fill="FFFFFF"/>
            <w:noWrap/>
            <w:vAlign w:val="center"/>
            <w:hideMark/>
          </w:tcPr>
          <w:p w14:paraId="7700C337"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val="en-GB" w:eastAsia="en-GB"/>
              </w:rPr>
              <w:t> </w:t>
            </w:r>
          </w:p>
        </w:tc>
        <w:tc>
          <w:tcPr>
            <w:tcW w:w="806" w:type="dxa"/>
            <w:tcBorders>
              <w:top w:val="nil"/>
              <w:left w:val="nil"/>
              <w:bottom w:val="nil"/>
              <w:right w:val="nil"/>
            </w:tcBorders>
            <w:shd w:val="clear" w:color="000000" w:fill="FFFFFF"/>
            <w:noWrap/>
            <w:vAlign w:val="center"/>
            <w:hideMark/>
          </w:tcPr>
          <w:p w14:paraId="734E128F"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0.054</w:t>
            </w:r>
          </w:p>
        </w:tc>
        <w:tc>
          <w:tcPr>
            <w:tcW w:w="456" w:type="dxa"/>
            <w:tcBorders>
              <w:top w:val="nil"/>
              <w:left w:val="nil"/>
              <w:bottom w:val="nil"/>
              <w:right w:val="nil"/>
            </w:tcBorders>
            <w:shd w:val="clear" w:color="000000" w:fill="FFFFFF"/>
            <w:noWrap/>
            <w:vAlign w:val="center"/>
            <w:hideMark/>
          </w:tcPr>
          <w:p w14:paraId="152AE247"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val="en-GB" w:eastAsia="en-GB"/>
              </w:rPr>
              <w:t> </w:t>
            </w:r>
          </w:p>
        </w:tc>
        <w:tc>
          <w:tcPr>
            <w:tcW w:w="793" w:type="dxa"/>
            <w:tcBorders>
              <w:top w:val="nil"/>
              <w:left w:val="nil"/>
              <w:bottom w:val="nil"/>
              <w:right w:val="nil"/>
            </w:tcBorders>
            <w:shd w:val="clear" w:color="000000" w:fill="FFFFFF"/>
            <w:noWrap/>
            <w:vAlign w:val="center"/>
            <w:hideMark/>
          </w:tcPr>
          <w:p w14:paraId="293767AE"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0.008</w:t>
            </w:r>
          </w:p>
        </w:tc>
        <w:tc>
          <w:tcPr>
            <w:tcW w:w="486" w:type="dxa"/>
            <w:tcBorders>
              <w:top w:val="nil"/>
              <w:left w:val="nil"/>
              <w:bottom w:val="nil"/>
              <w:right w:val="nil"/>
            </w:tcBorders>
            <w:shd w:val="clear" w:color="000000" w:fill="FFFFFF"/>
            <w:noWrap/>
            <w:vAlign w:val="center"/>
            <w:hideMark/>
          </w:tcPr>
          <w:p w14:paraId="4D91464B"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val="en-GB" w:eastAsia="en-GB"/>
              </w:rPr>
              <w:t> </w:t>
            </w:r>
          </w:p>
        </w:tc>
        <w:tc>
          <w:tcPr>
            <w:tcW w:w="793" w:type="dxa"/>
            <w:tcBorders>
              <w:top w:val="nil"/>
              <w:left w:val="nil"/>
              <w:bottom w:val="nil"/>
              <w:right w:val="nil"/>
            </w:tcBorders>
            <w:shd w:val="clear" w:color="000000" w:fill="FFFFFF"/>
            <w:noWrap/>
            <w:vAlign w:val="center"/>
            <w:hideMark/>
          </w:tcPr>
          <w:p w14:paraId="59427B0B"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0.070</w:t>
            </w:r>
          </w:p>
        </w:tc>
        <w:tc>
          <w:tcPr>
            <w:tcW w:w="456" w:type="dxa"/>
            <w:tcBorders>
              <w:top w:val="nil"/>
              <w:left w:val="nil"/>
              <w:bottom w:val="nil"/>
              <w:right w:val="nil"/>
            </w:tcBorders>
            <w:shd w:val="clear" w:color="000000" w:fill="FFFFFF"/>
            <w:noWrap/>
            <w:vAlign w:val="center"/>
            <w:hideMark/>
          </w:tcPr>
          <w:p w14:paraId="66773FFE" w14:textId="77777777" w:rsidR="00775C36" w:rsidRPr="00775C36" w:rsidRDefault="00E936B8" w:rsidP="00775C36">
            <w:pPr>
              <w:spacing w:after="0" w:line="240" w:lineRule="auto"/>
              <w:rPr>
                <w:rFonts w:ascii="Times New Roman" w:eastAsia="Times New Roman" w:hAnsi="Times New Roman" w:cs="Times New Roman"/>
                <w:color w:val="000000"/>
                <w:sz w:val="16"/>
                <w:szCs w:val="16"/>
                <w:lang w:val="en-GB" w:eastAsia="en-GB"/>
              </w:rPr>
            </w:pPr>
            <w:r w:rsidRPr="0001749F">
              <w:rPr>
                <w:rFonts w:ascii="Times New Roman" w:eastAsia="Times New Roman" w:hAnsi="Times New Roman" w:cs="Times New Roman"/>
                <w:b/>
                <w:bCs/>
                <w:color w:val="000000"/>
                <w:sz w:val="20"/>
                <w:szCs w:val="20"/>
              </w:rPr>
              <w:t>†</w:t>
            </w:r>
          </w:p>
        </w:tc>
        <w:tc>
          <w:tcPr>
            <w:tcW w:w="835" w:type="dxa"/>
            <w:tcBorders>
              <w:top w:val="nil"/>
              <w:left w:val="nil"/>
              <w:bottom w:val="nil"/>
              <w:right w:val="nil"/>
            </w:tcBorders>
            <w:shd w:val="clear" w:color="000000" w:fill="FFFFFF"/>
            <w:noWrap/>
            <w:vAlign w:val="center"/>
            <w:hideMark/>
          </w:tcPr>
          <w:p w14:paraId="07DEDBCD"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0.308</w:t>
            </w:r>
          </w:p>
        </w:tc>
        <w:tc>
          <w:tcPr>
            <w:tcW w:w="396" w:type="dxa"/>
            <w:tcBorders>
              <w:top w:val="nil"/>
              <w:left w:val="nil"/>
              <w:bottom w:val="nil"/>
              <w:right w:val="nil"/>
            </w:tcBorders>
            <w:shd w:val="clear" w:color="000000" w:fill="FFFFFF"/>
            <w:noWrap/>
            <w:vAlign w:val="center"/>
            <w:hideMark/>
          </w:tcPr>
          <w:p w14:paraId="0BA309DD" w14:textId="77777777" w:rsidR="00775C36" w:rsidRPr="00775C36" w:rsidRDefault="00E936B8" w:rsidP="00775C36">
            <w:pPr>
              <w:spacing w:after="0" w:line="240" w:lineRule="auto"/>
              <w:rPr>
                <w:rFonts w:ascii="Times New Roman" w:eastAsia="Times New Roman" w:hAnsi="Times New Roman" w:cs="Times New Roman"/>
                <w:color w:val="000000"/>
                <w:sz w:val="16"/>
                <w:szCs w:val="16"/>
                <w:lang w:val="en-GB" w:eastAsia="en-GB"/>
              </w:rPr>
            </w:pPr>
            <w:r w:rsidRPr="0001749F">
              <w:rPr>
                <w:rFonts w:ascii="Times New Roman" w:eastAsia="Times New Roman" w:hAnsi="Times New Roman" w:cs="Times New Roman"/>
                <w:b/>
                <w:bCs/>
                <w:color w:val="000000"/>
                <w:sz w:val="20"/>
                <w:szCs w:val="20"/>
              </w:rPr>
              <w:t>†</w:t>
            </w:r>
          </w:p>
        </w:tc>
        <w:tc>
          <w:tcPr>
            <w:tcW w:w="835" w:type="dxa"/>
            <w:tcBorders>
              <w:top w:val="nil"/>
              <w:left w:val="nil"/>
              <w:bottom w:val="nil"/>
              <w:right w:val="nil"/>
            </w:tcBorders>
            <w:shd w:val="clear" w:color="000000" w:fill="FFFFFF"/>
            <w:noWrap/>
            <w:vAlign w:val="center"/>
            <w:hideMark/>
          </w:tcPr>
          <w:p w14:paraId="08BE1438"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0.091</w:t>
            </w:r>
          </w:p>
        </w:tc>
        <w:tc>
          <w:tcPr>
            <w:tcW w:w="456" w:type="dxa"/>
            <w:tcBorders>
              <w:top w:val="nil"/>
              <w:left w:val="nil"/>
              <w:bottom w:val="nil"/>
              <w:right w:val="nil"/>
            </w:tcBorders>
            <w:shd w:val="clear" w:color="000000" w:fill="FFFFFF"/>
            <w:noWrap/>
            <w:vAlign w:val="center"/>
            <w:hideMark/>
          </w:tcPr>
          <w:p w14:paraId="7F1A4CE8"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val="en-GB" w:eastAsia="en-GB"/>
              </w:rPr>
              <w:t> </w:t>
            </w:r>
          </w:p>
        </w:tc>
      </w:tr>
      <w:tr w:rsidR="00775C36" w:rsidRPr="00775C36" w14:paraId="0D9E849A" w14:textId="77777777" w:rsidTr="00E936B8">
        <w:trPr>
          <w:trHeight w:val="300"/>
        </w:trPr>
        <w:tc>
          <w:tcPr>
            <w:tcW w:w="420" w:type="dxa"/>
            <w:tcBorders>
              <w:top w:val="nil"/>
              <w:left w:val="nil"/>
              <w:bottom w:val="nil"/>
              <w:right w:val="nil"/>
            </w:tcBorders>
            <w:shd w:val="clear" w:color="000000" w:fill="FFFFFF"/>
            <w:noWrap/>
            <w:vAlign w:val="center"/>
            <w:hideMark/>
          </w:tcPr>
          <w:p w14:paraId="7A425E96" w14:textId="77777777" w:rsidR="00775C36" w:rsidRPr="00775C36" w:rsidRDefault="00775C36" w:rsidP="00775C36">
            <w:pPr>
              <w:spacing w:after="0" w:line="240" w:lineRule="auto"/>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 </w:t>
            </w:r>
          </w:p>
        </w:tc>
        <w:tc>
          <w:tcPr>
            <w:tcW w:w="2180" w:type="dxa"/>
            <w:tcBorders>
              <w:top w:val="nil"/>
              <w:left w:val="nil"/>
              <w:bottom w:val="nil"/>
              <w:right w:val="nil"/>
            </w:tcBorders>
            <w:shd w:val="clear" w:color="000000" w:fill="FFFFFF"/>
            <w:noWrap/>
            <w:vAlign w:val="center"/>
            <w:hideMark/>
          </w:tcPr>
          <w:p w14:paraId="5F339E38" w14:textId="77777777" w:rsidR="00775C36" w:rsidRPr="00775C36" w:rsidRDefault="00775C36" w:rsidP="00775C36">
            <w:pPr>
              <w:spacing w:after="0" w:line="240" w:lineRule="auto"/>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Patents</w:t>
            </w:r>
          </w:p>
        </w:tc>
        <w:tc>
          <w:tcPr>
            <w:tcW w:w="806" w:type="dxa"/>
            <w:tcBorders>
              <w:top w:val="nil"/>
              <w:left w:val="nil"/>
              <w:bottom w:val="nil"/>
              <w:right w:val="nil"/>
            </w:tcBorders>
            <w:shd w:val="clear" w:color="000000" w:fill="FFFFFF"/>
            <w:noWrap/>
            <w:vAlign w:val="center"/>
            <w:hideMark/>
          </w:tcPr>
          <w:p w14:paraId="5A49C2C1"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0.073</w:t>
            </w:r>
          </w:p>
        </w:tc>
        <w:tc>
          <w:tcPr>
            <w:tcW w:w="488" w:type="dxa"/>
            <w:tcBorders>
              <w:top w:val="nil"/>
              <w:left w:val="nil"/>
              <w:bottom w:val="nil"/>
              <w:right w:val="nil"/>
            </w:tcBorders>
            <w:shd w:val="clear" w:color="000000" w:fill="FFFFFF"/>
            <w:noWrap/>
            <w:vAlign w:val="center"/>
            <w:hideMark/>
          </w:tcPr>
          <w:p w14:paraId="5AC13BFB" w14:textId="77777777" w:rsidR="00775C36" w:rsidRPr="00775C36" w:rsidRDefault="00954C18" w:rsidP="00775C36">
            <w:pPr>
              <w:spacing w:after="0" w:line="240" w:lineRule="auto"/>
              <w:rPr>
                <w:rFonts w:ascii="Times New Roman" w:eastAsia="Times New Roman" w:hAnsi="Times New Roman" w:cs="Times New Roman"/>
                <w:color w:val="000000"/>
                <w:sz w:val="16"/>
                <w:szCs w:val="16"/>
                <w:lang w:val="en-GB" w:eastAsia="en-GB"/>
              </w:rPr>
            </w:pPr>
            <w:r>
              <w:rPr>
                <w:rFonts w:ascii="Times New Roman" w:eastAsia="Times New Roman" w:hAnsi="Times New Roman" w:cs="Times New Roman"/>
                <w:color w:val="000000"/>
                <w:sz w:val="16"/>
                <w:szCs w:val="16"/>
                <w:lang w:val="en-GB" w:eastAsia="en-GB"/>
              </w:rPr>
              <w:t>*</w:t>
            </w:r>
          </w:p>
        </w:tc>
        <w:tc>
          <w:tcPr>
            <w:tcW w:w="806" w:type="dxa"/>
            <w:tcBorders>
              <w:top w:val="nil"/>
              <w:left w:val="nil"/>
              <w:bottom w:val="nil"/>
              <w:right w:val="nil"/>
            </w:tcBorders>
            <w:shd w:val="clear" w:color="000000" w:fill="FFFFFF"/>
            <w:noWrap/>
            <w:vAlign w:val="center"/>
            <w:hideMark/>
          </w:tcPr>
          <w:p w14:paraId="4226EC2B"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0.063</w:t>
            </w:r>
          </w:p>
        </w:tc>
        <w:tc>
          <w:tcPr>
            <w:tcW w:w="456" w:type="dxa"/>
            <w:tcBorders>
              <w:top w:val="nil"/>
              <w:left w:val="nil"/>
              <w:bottom w:val="nil"/>
              <w:right w:val="nil"/>
            </w:tcBorders>
            <w:shd w:val="clear" w:color="000000" w:fill="FFFFFF"/>
            <w:noWrap/>
            <w:vAlign w:val="center"/>
            <w:hideMark/>
          </w:tcPr>
          <w:p w14:paraId="6A3EFB3F"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val="en-GB" w:eastAsia="en-GB"/>
              </w:rPr>
              <w:t>**</w:t>
            </w:r>
          </w:p>
        </w:tc>
        <w:tc>
          <w:tcPr>
            <w:tcW w:w="793" w:type="dxa"/>
            <w:tcBorders>
              <w:top w:val="nil"/>
              <w:left w:val="nil"/>
              <w:bottom w:val="nil"/>
              <w:right w:val="nil"/>
            </w:tcBorders>
            <w:shd w:val="clear" w:color="000000" w:fill="FFFFFF"/>
            <w:noWrap/>
            <w:vAlign w:val="center"/>
            <w:hideMark/>
          </w:tcPr>
          <w:p w14:paraId="0D39809F"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0.067</w:t>
            </w:r>
          </w:p>
        </w:tc>
        <w:tc>
          <w:tcPr>
            <w:tcW w:w="486" w:type="dxa"/>
            <w:tcBorders>
              <w:top w:val="nil"/>
              <w:left w:val="nil"/>
              <w:bottom w:val="nil"/>
              <w:right w:val="nil"/>
            </w:tcBorders>
            <w:shd w:val="clear" w:color="000000" w:fill="FFFFFF"/>
            <w:noWrap/>
            <w:vAlign w:val="center"/>
            <w:hideMark/>
          </w:tcPr>
          <w:p w14:paraId="72081A57" w14:textId="77777777" w:rsidR="00775C36" w:rsidRPr="00775C36" w:rsidRDefault="00E936B8" w:rsidP="00775C36">
            <w:pPr>
              <w:spacing w:after="0" w:line="240" w:lineRule="auto"/>
              <w:rPr>
                <w:rFonts w:ascii="Times New Roman" w:eastAsia="Times New Roman" w:hAnsi="Times New Roman" w:cs="Times New Roman"/>
                <w:color w:val="000000"/>
                <w:sz w:val="16"/>
                <w:szCs w:val="16"/>
                <w:lang w:val="en-GB" w:eastAsia="en-GB"/>
              </w:rPr>
            </w:pPr>
            <w:r w:rsidRPr="0001749F">
              <w:rPr>
                <w:rFonts w:ascii="Times New Roman" w:eastAsia="Times New Roman" w:hAnsi="Times New Roman" w:cs="Times New Roman"/>
                <w:b/>
                <w:bCs/>
                <w:color w:val="000000"/>
                <w:sz w:val="20"/>
                <w:szCs w:val="20"/>
              </w:rPr>
              <w:t>†</w:t>
            </w:r>
          </w:p>
        </w:tc>
        <w:tc>
          <w:tcPr>
            <w:tcW w:w="793" w:type="dxa"/>
            <w:tcBorders>
              <w:top w:val="nil"/>
              <w:left w:val="nil"/>
              <w:bottom w:val="nil"/>
              <w:right w:val="nil"/>
            </w:tcBorders>
            <w:shd w:val="clear" w:color="000000" w:fill="FFFFFF"/>
            <w:noWrap/>
            <w:vAlign w:val="center"/>
            <w:hideMark/>
          </w:tcPr>
          <w:p w14:paraId="3BE77FDB"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0.061</w:t>
            </w:r>
          </w:p>
        </w:tc>
        <w:tc>
          <w:tcPr>
            <w:tcW w:w="456" w:type="dxa"/>
            <w:tcBorders>
              <w:top w:val="nil"/>
              <w:left w:val="nil"/>
              <w:bottom w:val="nil"/>
              <w:right w:val="nil"/>
            </w:tcBorders>
            <w:shd w:val="clear" w:color="000000" w:fill="FFFFFF"/>
            <w:noWrap/>
            <w:vAlign w:val="center"/>
            <w:hideMark/>
          </w:tcPr>
          <w:p w14:paraId="3B20BEF7"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val="en-GB" w:eastAsia="en-GB"/>
              </w:rPr>
              <w:t>*</w:t>
            </w:r>
          </w:p>
        </w:tc>
        <w:tc>
          <w:tcPr>
            <w:tcW w:w="835" w:type="dxa"/>
            <w:tcBorders>
              <w:top w:val="nil"/>
              <w:left w:val="nil"/>
              <w:bottom w:val="nil"/>
              <w:right w:val="nil"/>
            </w:tcBorders>
            <w:shd w:val="clear" w:color="000000" w:fill="FFFFFF"/>
            <w:noWrap/>
            <w:vAlign w:val="center"/>
            <w:hideMark/>
          </w:tcPr>
          <w:p w14:paraId="724ACB5D"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0.270</w:t>
            </w:r>
          </w:p>
        </w:tc>
        <w:tc>
          <w:tcPr>
            <w:tcW w:w="396" w:type="dxa"/>
            <w:tcBorders>
              <w:top w:val="nil"/>
              <w:left w:val="nil"/>
              <w:bottom w:val="nil"/>
              <w:right w:val="nil"/>
            </w:tcBorders>
            <w:shd w:val="clear" w:color="000000" w:fill="FFFFFF"/>
            <w:noWrap/>
            <w:vAlign w:val="center"/>
            <w:hideMark/>
          </w:tcPr>
          <w:p w14:paraId="3A68B37C"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val="en-GB" w:eastAsia="en-GB"/>
              </w:rPr>
              <w:t> </w:t>
            </w:r>
          </w:p>
        </w:tc>
        <w:tc>
          <w:tcPr>
            <w:tcW w:w="835" w:type="dxa"/>
            <w:tcBorders>
              <w:top w:val="nil"/>
              <w:left w:val="nil"/>
              <w:bottom w:val="nil"/>
              <w:right w:val="nil"/>
            </w:tcBorders>
            <w:shd w:val="clear" w:color="000000" w:fill="FFFFFF"/>
            <w:noWrap/>
            <w:vAlign w:val="center"/>
            <w:hideMark/>
          </w:tcPr>
          <w:p w14:paraId="5DBA69E5"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0.190</w:t>
            </w:r>
          </w:p>
        </w:tc>
        <w:tc>
          <w:tcPr>
            <w:tcW w:w="456" w:type="dxa"/>
            <w:tcBorders>
              <w:top w:val="nil"/>
              <w:left w:val="nil"/>
              <w:bottom w:val="nil"/>
              <w:right w:val="nil"/>
            </w:tcBorders>
            <w:shd w:val="clear" w:color="000000" w:fill="FFFFFF"/>
            <w:noWrap/>
            <w:vAlign w:val="center"/>
            <w:hideMark/>
          </w:tcPr>
          <w:p w14:paraId="537D6BD4"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val="en-GB" w:eastAsia="en-GB"/>
              </w:rPr>
              <w:t>*</w:t>
            </w:r>
          </w:p>
        </w:tc>
      </w:tr>
      <w:tr w:rsidR="00775C36" w:rsidRPr="00775C36" w14:paraId="026E208C" w14:textId="77777777" w:rsidTr="00E936B8">
        <w:trPr>
          <w:trHeight w:val="240"/>
        </w:trPr>
        <w:tc>
          <w:tcPr>
            <w:tcW w:w="420" w:type="dxa"/>
            <w:tcBorders>
              <w:top w:val="nil"/>
              <w:left w:val="nil"/>
              <w:bottom w:val="nil"/>
              <w:right w:val="nil"/>
            </w:tcBorders>
            <w:shd w:val="clear" w:color="000000" w:fill="FFFFFF"/>
            <w:noWrap/>
            <w:vAlign w:val="center"/>
            <w:hideMark/>
          </w:tcPr>
          <w:p w14:paraId="1551C098" w14:textId="77777777" w:rsidR="00775C36" w:rsidRPr="00775C36" w:rsidRDefault="00775C36" w:rsidP="00775C36">
            <w:pPr>
              <w:spacing w:after="0" w:line="240" w:lineRule="auto"/>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 </w:t>
            </w:r>
          </w:p>
        </w:tc>
        <w:tc>
          <w:tcPr>
            <w:tcW w:w="2180" w:type="dxa"/>
            <w:tcBorders>
              <w:top w:val="nil"/>
              <w:left w:val="nil"/>
              <w:bottom w:val="nil"/>
              <w:right w:val="nil"/>
            </w:tcBorders>
            <w:shd w:val="clear" w:color="000000" w:fill="FFFFFF"/>
            <w:noWrap/>
            <w:vAlign w:val="center"/>
            <w:hideMark/>
          </w:tcPr>
          <w:p w14:paraId="7C5646FB" w14:textId="77777777" w:rsidR="00775C36" w:rsidRPr="00775C36" w:rsidRDefault="00775C36" w:rsidP="00775C36">
            <w:pPr>
              <w:spacing w:after="0" w:line="240" w:lineRule="auto"/>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Sales (LN)</w:t>
            </w:r>
          </w:p>
        </w:tc>
        <w:tc>
          <w:tcPr>
            <w:tcW w:w="806" w:type="dxa"/>
            <w:tcBorders>
              <w:top w:val="nil"/>
              <w:left w:val="nil"/>
              <w:bottom w:val="nil"/>
              <w:right w:val="nil"/>
            </w:tcBorders>
            <w:shd w:val="clear" w:color="000000" w:fill="FFFFFF"/>
            <w:noWrap/>
            <w:vAlign w:val="center"/>
            <w:hideMark/>
          </w:tcPr>
          <w:p w14:paraId="14EDFB21"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0.127</w:t>
            </w:r>
          </w:p>
        </w:tc>
        <w:tc>
          <w:tcPr>
            <w:tcW w:w="488" w:type="dxa"/>
            <w:tcBorders>
              <w:top w:val="nil"/>
              <w:left w:val="nil"/>
              <w:bottom w:val="nil"/>
              <w:right w:val="nil"/>
            </w:tcBorders>
            <w:shd w:val="clear" w:color="000000" w:fill="FFFFFF"/>
            <w:noWrap/>
            <w:vAlign w:val="center"/>
            <w:hideMark/>
          </w:tcPr>
          <w:p w14:paraId="08C7E2DB" w14:textId="77777777" w:rsidR="00775C36" w:rsidRPr="00775C36" w:rsidRDefault="00954C18" w:rsidP="00775C36">
            <w:pPr>
              <w:spacing w:after="0" w:line="240" w:lineRule="auto"/>
              <w:rPr>
                <w:rFonts w:ascii="Times New Roman" w:eastAsia="Times New Roman" w:hAnsi="Times New Roman" w:cs="Times New Roman"/>
                <w:color w:val="000000"/>
                <w:sz w:val="18"/>
                <w:szCs w:val="18"/>
                <w:lang w:val="en-GB" w:eastAsia="en-GB"/>
              </w:rPr>
            </w:pPr>
            <w:r>
              <w:rPr>
                <w:rFonts w:ascii="Times New Roman" w:eastAsia="Times New Roman" w:hAnsi="Times New Roman" w:cs="Times New Roman"/>
                <w:color w:val="000000"/>
                <w:sz w:val="18"/>
                <w:szCs w:val="18"/>
                <w:lang w:val="en-GB" w:eastAsia="en-GB"/>
              </w:rPr>
              <w:t>*</w:t>
            </w:r>
            <w:r w:rsidR="00775C36" w:rsidRPr="00775C36">
              <w:rPr>
                <w:rFonts w:ascii="Times New Roman" w:eastAsia="Times New Roman" w:hAnsi="Times New Roman" w:cs="Times New Roman"/>
                <w:color w:val="000000"/>
                <w:sz w:val="18"/>
                <w:szCs w:val="18"/>
                <w:lang w:val="en-GB" w:eastAsia="en-GB"/>
              </w:rPr>
              <w:t>*</w:t>
            </w:r>
            <w:r w:rsidR="0071755B">
              <w:rPr>
                <w:rFonts w:ascii="Times New Roman" w:eastAsia="Times New Roman" w:hAnsi="Times New Roman" w:cs="Times New Roman"/>
                <w:color w:val="000000"/>
                <w:sz w:val="18"/>
                <w:szCs w:val="18"/>
                <w:lang w:val="en-GB" w:eastAsia="en-GB"/>
              </w:rPr>
              <w:t>*</w:t>
            </w:r>
          </w:p>
        </w:tc>
        <w:tc>
          <w:tcPr>
            <w:tcW w:w="806" w:type="dxa"/>
            <w:tcBorders>
              <w:top w:val="nil"/>
              <w:left w:val="nil"/>
              <w:bottom w:val="nil"/>
              <w:right w:val="nil"/>
            </w:tcBorders>
            <w:shd w:val="clear" w:color="000000" w:fill="FFFFFF"/>
            <w:noWrap/>
            <w:vAlign w:val="center"/>
            <w:hideMark/>
          </w:tcPr>
          <w:p w14:paraId="77569212"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-0.014</w:t>
            </w:r>
          </w:p>
        </w:tc>
        <w:tc>
          <w:tcPr>
            <w:tcW w:w="456" w:type="dxa"/>
            <w:tcBorders>
              <w:top w:val="nil"/>
              <w:left w:val="nil"/>
              <w:bottom w:val="nil"/>
              <w:right w:val="nil"/>
            </w:tcBorders>
            <w:shd w:val="clear" w:color="000000" w:fill="FFFFFF"/>
            <w:noWrap/>
            <w:vAlign w:val="center"/>
            <w:hideMark/>
          </w:tcPr>
          <w:p w14:paraId="4F2EA450" w14:textId="77777777" w:rsidR="00775C36" w:rsidRPr="00775C36" w:rsidRDefault="00775C36" w:rsidP="00775C36">
            <w:pPr>
              <w:spacing w:after="0" w:line="240" w:lineRule="auto"/>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 </w:t>
            </w:r>
          </w:p>
        </w:tc>
        <w:tc>
          <w:tcPr>
            <w:tcW w:w="793" w:type="dxa"/>
            <w:tcBorders>
              <w:top w:val="nil"/>
              <w:left w:val="nil"/>
              <w:bottom w:val="nil"/>
              <w:right w:val="nil"/>
            </w:tcBorders>
            <w:shd w:val="clear" w:color="000000" w:fill="FFFFFF"/>
            <w:noWrap/>
            <w:vAlign w:val="center"/>
            <w:hideMark/>
          </w:tcPr>
          <w:p w14:paraId="4B6280EE"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0.118</w:t>
            </w:r>
          </w:p>
        </w:tc>
        <w:tc>
          <w:tcPr>
            <w:tcW w:w="486" w:type="dxa"/>
            <w:tcBorders>
              <w:top w:val="nil"/>
              <w:left w:val="nil"/>
              <w:bottom w:val="nil"/>
              <w:right w:val="nil"/>
            </w:tcBorders>
            <w:shd w:val="clear" w:color="000000" w:fill="FFFFFF"/>
            <w:noWrap/>
            <w:vAlign w:val="center"/>
            <w:hideMark/>
          </w:tcPr>
          <w:p w14:paraId="1CF90B92" w14:textId="77777777" w:rsidR="00775C36" w:rsidRPr="00775C36" w:rsidRDefault="00954C18" w:rsidP="00775C36">
            <w:pPr>
              <w:spacing w:after="0" w:line="240" w:lineRule="auto"/>
              <w:rPr>
                <w:rFonts w:ascii="Times New Roman" w:eastAsia="Times New Roman" w:hAnsi="Times New Roman" w:cs="Times New Roman"/>
                <w:color w:val="000000"/>
                <w:sz w:val="18"/>
                <w:szCs w:val="18"/>
                <w:lang w:val="en-GB" w:eastAsia="en-GB"/>
              </w:rPr>
            </w:pPr>
            <w:r>
              <w:rPr>
                <w:rFonts w:ascii="Times New Roman" w:eastAsia="Times New Roman" w:hAnsi="Times New Roman" w:cs="Times New Roman"/>
                <w:color w:val="000000"/>
                <w:sz w:val="18"/>
                <w:szCs w:val="18"/>
                <w:lang w:val="en-GB" w:eastAsia="en-GB"/>
              </w:rPr>
              <w:t>*</w:t>
            </w:r>
            <w:r w:rsidR="00775C36" w:rsidRPr="00775C36">
              <w:rPr>
                <w:rFonts w:ascii="Times New Roman" w:eastAsia="Times New Roman" w:hAnsi="Times New Roman" w:cs="Times New Roman"/>
                <w:color w:val="000000"/>
                <w:sz w:val="18"/>
                <w:szCs w:val="18"/>
                <w:lang w:val="en-GB" w:eastAsia="en-GB"/>
              </w:rPr>
              <w:t>*</w:t>
            </w:r>
          </w:p>
        </w:tc>
        <w:tc>
          <w:tcPr>
            <w:tcW w:w="793" w:type="dxa"/>
            <w:tcBorders>
              <w:top w:val="nil"/>
              <w:left w:val="nil"/>
              <w:bottom w:val="nil"/>
              <w:right w:val="nil"/>
            </w:tcBorders>
            <w:shd w:val="clear" w:color="000000" w:fill="FFFFFF"/>
            <w:noWrap/>
            <w:vAlign w:val="center"/>
            <w:hideMark/>
          </w:tcPr>
          <w:p w14:paraId="193DA31A"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-0.004</w:t>
            </w:r>
          </w:p>
        </w:tc>
        <w:tc>
          <w:tcPr>
            <w:tcW w:w="456" w:type="dxa"/>
            <w:tcBorders>
              <w:top w:val="nil"/>
              <w:left w:val="nil"/>
              <w:bottom w:val="nil"/>
              <w:right w:val="nil"/>
            </w:tcBorders>
            <w:shd w:val="clear" w:color="000000" w:fill="FFFFFF"/>
            <w:noWrap/>
            <w:vAlign w:val="center"/>
            <w:hideMark/>
          </w:tcPr>
          <w:p w14:paraId="6CA6E5B9" w14:textId="77777777" w:rsidR="00775C36" w:rsidRPr="00775C36" w:rsidRDefault="00775C36" w:rsidP="00775C36">
            <w:pPr>
              <w:spacing w:after="0" w:line="240" w:lineRule="auto"/>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 </w:t>
            </w:r>
          </w:p>
        </w:tc>
        <w:tc>
          <w:tcPr>
            <w:tcW w:w="835" w:type="dxa"/>
            <w:tcBorders>
              <w:top w:val="nil"/>
              <w:left w:val="nil"/>
              <w:bottom w:val="nil"/>
              <w:right w:val="nil"/>
            </w:tcBorders>
            <w:shd w:val="clear" w:color="000000" w:fill="FFFFFF"/>
            <w:noWrap/>
            <w:vAlign w:val="center"/>
            <w:hideMark/>
          </w:tcPr>
          <w:p w14:paraId="59C7DCC5"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-0.076</w:t>
            </w:r>
          </w:p>
        </w:tc>
        <w:tc>
          <w:tcPr>
            <w:tcW w:w="396" w:type="dxa"/>
            <w:tcBorders>
              <w:top w:val="nil"/>
              <w:left w:val="nil"/>
              <w:bottom w:val="nil"/>
              <w:right w:val="nil"/>
            </w:tcBorders>
            <w:shd w:val="clear" w:color="000000" w:fill="FFFFFF"/>
            <w:noWrap/>
            <w:vAlign w:val="center"/>
            <w:hideMark/>
          </w:tcPr>
          <w:p w14:paraId="636D676D" w14:textId="77777777" w:rsidR="00775C36" w:rsidRPr="00775C36" w:rsidRDefault="00775C36" w:rsidP="00775C36">
            <w:pPr>
              <w:spacing w:after="0" w:line="240" w:lineRule="auto"/>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 </w:t>
            </w:r>
          </w:p>
        </w:tc>
        <w:tc>
          <w:tcPr>
            <w:tcW w:w="835" w:type="dxa"/>
            <w:tcBorders>
              <w:top w:val="nil"/>
              <w:left w:val="nil"/>
              <w:bottom w:val="nil"/>
              <w:right w:val="nil"/>
            </w:tcBorders>
            <w:shd w:val="clear" w:color="000000" w:fill="FFFFFF"/>
            <w:noWrap/>
            <w:vAlign w:val="center"/>
            <w:hideMark/>
          </w:tcPr>
          <w:p w14:paraId="7725B615"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-0.207</w:t>
            </w:r>
          </w:p>
        </w:tc>
        <w:tc>
          <w:tcPr>
            <w:tcW w:w="456" w:type="dxa"/>
            <w:tcBorders>
              <w:top w:val="nil"/>
              <w:left w:val="nil"/>
              <w:bottom w:val="nil"/>
              <w:right w:val="nil"/>
            </w:tcBorders>
            <w:shd w:val="clear" w:color="000000" w:fill="FFFFFF"/>
            <w:noWrap/>
            <w:vAlign w:val="center"/>
            <w:hideMark/>
          </w:tcPr>
          <w:p w14:paraId="7CC73CA2" w14:textId="77777777" w:rsidR="00775C36" w:rsidRPr="00775C36" w:rsidRDefault="00775C36" w:rsidP="00775C36">
            <w:pPr>
              <w:spacing w:after="0" w:line="240" w:lineRule="auto"/>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w:t>
            </w:r>
          </w:p>
        </w:tc>
      </w:tr>
      <w:tr w:rsidR="00775C36" w:rsidRPr="00775C36" w14:paraId="041EAEF6" w14:textId="77777777" w:rsidTr="00E936B8">
        <w:trPr>
          <w:trHeight w:val="300"/>
        </w:trPr>
        <w:tc>
          <w:tcPr>
            <w:tcW w:w="2600" w:type="dxa"/>
            <w:gridSpan w:val="2"/>
            <w:tcBorders>
              <w:top w:val="nil"/>
              <w:left w:val="nil"/>
              <w:bottom w:val="nil"/>
              <w:right w:val="nil"/>
            </w:tcBorders>
            <w:shd w:val="clear" w:color="000000" w:fill="FFFFFF"/>
            <w:noWrap/>
            <w:vAlign w:val="center"/>
            <w:hideMark/>
          </w:tcPr>
          <w:p w14:paraId="55E33A8E" w14:textId="77777777" w:rsidR="00775C36" w:rsidRPr="00775C36" w:rsidRDefault="00775C36" w:rsidP="00775C36">
            <w:pPr>
              <w:spacing w:after="0" w:line="240" w:lineRule="auto"/>
              <w:rPr>
                <w:rFonts w:ascii="Times New Roman" w:eastAsia="Times New Roman" w:hAnsi="Times New Roman" w:cs="Times New Roman"/>
                <w:i/>
                <w:iCs/>
                <w:color w:val="000000"/>
                <w:sz w:val="18"/>
                <w:szCs w:val="18"/>
                <w:lang w:val="en-GB" w:eastAsia="en-GB"/>
              </w:rPr>
            </w:pPr>
            <w:r w:rsidRPr="00775C36">
              <w:rPr>
                <w:rFonts w:ascii="Times New Roman" w:eastAsia="Times New Roman" w:hAnsi="Times New Roman" w:cs="Times New Roman"/>
                <w:i/>
                <w:iCs/>
                <w:color w:val="000000"/>
                <w:sz w:val="18"/>
                <w:szCs w:val="18"/>
                <w:lang w:eastAsia="en-GB"/>
              </w:rPr>
              <w:t>VC firm characteristics</w:t>
            </w:r>
          </w:p>
        </w:tc>
        <w:tc>
          <w:tcPr>
            <w:tcW w:w="806" w:type="dxa"/>
            <w:tcBorders>
              <w:top w:val="nil"/>
              <w:left w:val="nil"/>
              <w:bottom w:val="nil"/>
              <w:right w:val="nil"/>
            </w:tcBorders>
            <w:shd w:val="clear" w:color="000000" w:fill="FFFFFF"/>
            <w:noWrap/>
            <w:vAlign w:val="center"/>
            <w:hideMark/>
          </w:tcPr>
          <w:p w14:paraId="094A2D10"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 </w:t>
            </w:r>
          </w:p>
        </w:tc>
        <w:tc>
          <w:tcPr>
            <w:tcW w:w="488" w:type="dxa"/>
            <w:tcBorders>
              <w:top w:val="nil"/>
              <w:left w:val="nil"/>
              <w:bottom w:val="nil"/>
              <w:right w:val="nil"/>
            </w:tcBorders>
            <w:shd w:val="clear" w:color="000000" w:fill="FFFFFF"/>
            <w:noWrap/>
            <w:vAlign w:val="center"/>
            <w:hideMark/>
          </w:tcPr>
          <w:p w14:paraId="7DAF7043"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eastAsia="en-GB"/>
              </w:rPr>
              <w:t> </w:t>
            </w:r>
          </w:p>
        </w:tc>
        <w:tc>
          <w:tcPr>
            <w:tcW w:w="806" w:type="dxa"/>
            <w:tcBorders>
              <w:top w:val="nil"/>
              <w:left w:val="nil"/>
              <w:bottom w:val="nil"/>
              <w:right w:val="nil"/>
            </w:tcBorders>
            <w:shd w:val="clear" w:color="000000" w:fill="FFFFFF"/>
            <w:noWrap/>
            <w:vAlign w:val="center"/>
            <w:hideMark/>
          </w:tcPr>
          <w:p w14:paraId="4E72B60C"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 </w:t>
            </w:r>
          </w:p>
        </w:tc>
        <w:tc>
          <w:tcPr>
            <w:tcW w:w="456" w:type="dxa"/>
            <w:tcBorders>
              <w:top w:val="nil"/>
              <w:left w:val="nil"/>
              <w:bottom w:val="nil"/>
              <w:right w:val="nil"/>
            </w:tcBorders>
            <w:shd w:val="clear" w:color="000000" w:fill="FFFFFF"/>
            <w:noWrap/>
            <w:vAlign w:val="center"/>
            <w:hideMark/>
          </w:tcPr>
          <w:p w14:paraId="21BEC001"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eastAsia="en-GB"/>
              </w:rPr>
              <w:t> </w:t>
            </w:r>
          </w:p>
        </w:tc>
        <w:tc>
          <w:tcPr>
            <w:tcW w:w="793" w:type="dxa"/>
            <w:tcBorders>
              <w:top w:val="nil"/>
              <w:left w:val="nil"/>
              <w:bottom w:val="nil"/>
              <w:right w:val="nil"/>
            </w:tcBorders>
            <w:shd w:val="clear" w:color="000000" w:fill="FFFFFF"/>
            <w:noWrap/>
            <w:vAlign w:val="center"/>
            <w:hideMark/>
          </w:tcPr>
          <w:p w14:paraId="2DD8B171"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 </w:t>
            </w:r>
          </w:p>
        </w:tc>
        <w:tc>
          <w:tcPr>
            <w:tcW w:w="486" w:type="dxa"/>
            <w:tcBorders>
              <w:top w:val="nil"/>
              <w:left w:val="nil"/>
              <w:bottom w:val="nil"/>
              <w:right w:val="nil"/>
            </w:tcBorders>
            <w:shd w:val="clear" w:color="000000" w:fill="FFFFFF"/>
            <w:noWrap/>
            <w:vAlign w:val="center"/>
            <w:hideMark/>
          </w:tcPr>
          <w:p w14:paraId="6D1C160A"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eastAsia="en-GB"/>
              </w:rPr>
              <w:t> </w:t>
            </w:r>
          </w:p>
        </w:tc>
        <w:tc>
          <w:tcPr>
            <w:tcW w:w="793" w:type="dxa"/>
            <w:tcBorders>
              <w:top w:val="nil"/>
              <w:left w:val="nil"/>
              <w:bottom w:val="nil"/>
              <w:right w:val="nil"/>
            </w:tcBorders>
            <w:shd w:val="clear" w:color="000000" w:fill="FFFFFF"/>
            <w:noWrap/>
            <w:vAlign w:val="center"/>
            <w:hideMark/>
          </w:tcPr>
          <w:p w14:paraId="69865D3D"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 </w:t>
            </w:r>
          </w:p>
        </w:tc>
        <w:tc>
          <w:tcPr>
            <w:tcW w:w="456" w:type="dxa"/>
            <w:tcBorders>
              <w:top w:val="nil"/>
              <w:left w:val="nil"/>
              <w:bottom w:val="nil"/>
              <w:right w:val="nil"/>
            </w:tcBorders>
            <w:shd w:val="clear" w:color="000000" w:fill="FFFFFF"/>
            <w:noWrap/>
            <w:vAlign w:val="center"/>
            <w:hideMark/>
          </w:tcPr>
          <w:p w14:paraId="62B3E4AB"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eastAsia="en-GB"/>
              </w:rPr>
              <w:t> </w:t>
            </w:r>
          </w:p>
        </w:tc>
        <w:tc>
          <w:tcPr>
            <w:tcW w:w="835" w:type="dxa"/>
            <w:tcBorders>
              <w:top w:val="nil"/>
              <w:left w:val="nil"/>
              <w:bottom w:val="nil"/>
              <w:right w:val="nil"/>
            </w:tcBorders>
            <w:shd w:val="clear" w:color="000000" w:fill="FFFFFF"/>
            <w:noWrap/>
            <w:vAlign w:val="center"/>
            <w:hideMark/>
          </w:tcPr>
          <w:p w14:paraId="2A586976"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 </w:t>
            </w:r>
          </w:p>
        </w:tc>
        <w:tc>
          <w:tcPr>
            <w:tcW w:w="396" w:type="dxa"/>
            <w:tcBorders>
              <w:top w:val="nil"/>
              <w:left w:val="nil"/>
              <w:bottom w:val="nil"/>
              <w:right w:val="nil"/>
            </w:tcBorders>
            <w:shd w:val="clear" w:color="000000" w:fill="FFFFFF"/>
            <w:noWrap/>
            <w:vAlign w:val="center"/>
            <w:hideMark/>
          </w:tcPr>
          <w:p w14:paraId="1CD29894"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eastAsia="en-GB"/>
              </w:rPr>
              <w:t> </w:t>
            </w:r>
          </w:p>
        </w:tc>
        <w:tc>
          <w:tcPr>
            <w:tcW w:w="835" w:type="dxa"/>
            <w:tcBorders>
              <w:top w:val="nil"/>
              <w:left w:val="nil"/>
              <w:bottom w:val="nil"/>
              <w:right w:val="nil"/>
            </w:tcBorders>
            <w:shd w:val="clear" w:color="000000" w:fill="FFFFFF"/>
            <w:noWrap/>
            <w:vAlign w:val="center"/>
            <w:hideMark/>
          </w:tcPr>
          <w:p w14:paraId="56342EE5"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 </w:t>
            </w:r>
          </w:p>
        </w:tc>
        <w:tc>
          <w:tcPr>
            <w:tcW w:w="456" w:type="dxa"/>
            <w:tcBorders>
              <w:top w:val="nil"/>
              <w:left w:val="nil"/>
              <w:bottom w:val="nil"/>
              <w:right w:val="nil"/>
            </w:tcBorders>
            <w:shd w:val="clear" w:color="000000" w:fill="FFFFFF"/>
            <w:noWrap/>
            <w:vAlign w:val="center"/>
            <w:hideMark/>
          </w:tcPr>
          <w:p w14:paraId="2AF7EBD2"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eastAsia="en-GB"/>
              </w:rPr>
              <w:t> </w:t>
            </w:r>
          </w:p>
        </w:tc>
      </w:tr>
      <w:tr w:rsidR="00775C36" w:rsidRPr="00775C36" w14:paraId="2D86C6EF" w14:textId="77777777" w:rsidTr="00E936B8">
        <w:trPr>
          <w:trHeight w:val="300"/>
        </w:trPr>
        <w:tc>
          <w:tcPr>
            <w:tcW w:w="420" w:type="dxa"/>
            <w:tcBorders>
              <w:top w:val="nil"/>
              <w:left w:val="nil"/>
              <w:bottom w:val="nil"/>
              <w:right w:val="nil"/>
            </w:tcBorders>
            <w:shd w:val="clear" w:color="000000" w:fill="FFFFFF"/>
            <w:noWrap/>
            <w:vAlign w:val="center"/>
            <w:hideMark/>
          </w:tcPr>
          <w:p w14:paraId="282AB46A" w14:textId="77777777" w:rsidR="00775C36" w:rsidRPr="00775C36" w:rsidRDefault="00775C36" w:rsidP="00775C36">
            <w:pPr>
              <w:spacing w:after="0" w:line="240" w:lineRule="auto"/>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 </w:t>
            </w:r>
          </w:p>
        </w:tc>
        <w:tc>
          <w:tcPr>
            <w:tcW w:w="2180" w:type="dxa"/>
            <w:tcBorders>
              <w:top w:val="nil"/>
              <w:left w:val="nil"/>
              <w:bottom w:val="nil"/>
              <w:right w:val="nil"/>
            </w:tcBorders>
            <w:shd w:val="clear" w:color="000000" w:fill="FFFFFF"/>
            <w:noWrap/>
            <w:vAlign w:val="center"/>
            <w:hideMark/>
          </w:tcPr>
          <w:p w14:paraId="0957FDF5" w14:textId="77777777" w:rsidR="00775C36" w:rsidRPr="00775C36" w:rsidRDefault="00775C36" w:rsidP="00775C36">
            <w:pPr>
              <w:spacing w:after="0" w:line="240" w:lineRule="auto"/>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VC firm age</w:t>
            </w:r>
          </w:p>
        </w:tc>
        <w:tc>
          <w:tcPr>
            <w:tcW w:w="806" w:type="dxa"/>
            <w:tcBorders>
              <w:top w:val="nil"/>
              <w:left w:val="nil"/>
              <w:bottom w:val="nil"/>
              <w:right w:val="nil"/>
            </w:tcBorders>
            <w:shd w:val="clear" w:color="000000" w:fill="FFFFFF"/>
            <w:noWrap/>
            <w:vAlign w:val="center"/>
            <w:hideMark/>
          </w:tcPr>
          <w:p w14:paraId="0FB6635E"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-0.001</w:t>
            </w:r>
          </w:p>
        </w:tc>
        <w:tc>
          <w:tcPr>
            <w:tcW w:w="488" w:type="dxa"/>
            <w:tcBorders>
              <w:top w:val="nil"/>
              <w:left w:val="nil"/>
              <w:bottom w:val="nil"/>
              <w:right w:val="nil"/>
            </w:tcBorders>
            <w:shd w:val="clear" w:color="000000" w:fill="FFFFFF"/>
            <w:noWrap/>
            <w:vAlign w:val="center"/>
            <w:hideMark/>
          </w:tcPr>
          <w:p w14:paraId="630ECBF0"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val="en-GB" w:eastAsia="en-GB"/>
              </w:rPr>
              <w:t> </w:t>
            </w:r>
          </w:p>
        </w:tc>
        <w:tc>
          <w:tcPr>
            <w:tcW w:w="806" w:type="dxa"/>
            <w:tcBorders>
              <w:top w:val="nil"/>
              <w:left w:val="nil"/>
              <w:bottom w:val="nil"/>
              <w:right w:val="nil"/>
            </w:tcBorders>
            <w:shd w:val="clear" w:color="000000" w:fill="FFFFFF"/>
            <w:noWrap/>
            <w:vAlign w:val="center"/>
            <w:hideMark/>
          </w:tcPr>
          <w:p w14:paraId="49B29845"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0.003</w:t>
            </w:r>
          </w:p>
        </w:tc>
        <w:tc>
          <w:tcPr>
            <w:tcW w:w="456" w:type="dxa"/>
            <w:tcBorders>
              <w:top w:val="nil"/>
              <w:left w:val="nil"/>
              <w:bottom w:val="nil"/>
              <w:right w:val="nil"/>
            </w:tcBorders>
            <w:shd w:val="clear" w:color="000000" w:fill="FFFFFF"/>
            <w:noWrap/>
            <w:vAlign w:val="center"/>
            <w:hideMark/>
          </w:tcPr>
          <w:p w14:paraId="63885FFD" w14:textId="77777777" w:rsidR="00775C36" w:rsidRPr="00775C36" w:rsidRDefault="00954C18" w:rsidP="00775C36">
            <w:pPr>
              <w:spacing w:after="0" w:line="240" w:lineRule="auto"/>
              <w:rPr>
                <w:rFonts w:ascii="Times New Roman" w:eastAsia="Times New Roman" w:hAnsi="Times New Roman" w:cs="Times New Roman"/>
                <w:color w:val="000000"/>
                <w:sz w:val="16"/>
                <w:szCs w:val="16"/>
                <w:lang w:val="en-GB" w:eastAsia="en-GB"/>
              </w:rPr>
            </w:pPr>
            <w:r>
              <w:rPr>
                <w:rFonts w:ascii="Times New Roman" w:eastAsia="Times New Roman" w:hAnsi="Times New Roman" w:cs="Times New Roman"/>
                <w:color w:val="000000"/>
                <w:sz w:val="16"/>
                <w:szCs w:val="16"/>
                <w:lang w:val="en-GB" w:eastAsia="en-GB"/>
              </w:rPr>
              <w:t>*</w:t>
            </w:r>
            <w:r w:rsidR="00775C36" w:rsidRPr="00775C36">
              <w:rPr>
                <w:rFonts w:ascii="Times New Roman" w:eastAsia="Times New Roman" w:hAnsi="Times New Roman" w:cs="Times New Roman"/>
                <w:color w:val="000000"/>
                <w:sz w:val="16"/>
                <w:szCs w:val="16"/>
                <w:lang w:val="en-GB" w:eastAsia="en-GB"/>
              </w:rPr>
              <w:t>*</w:t>
            </w:r>
          </w:p>
        </w:tc>
        <w:tc>
          <w:tcPr>
            <w:tcW w:w="793" w:type="dxa"/>
            <w:tcBorders>
              <w:top w:val="nil"/>
              <w:left w:val="nil"/>
              <w:bottom w:val="nil"/>
              <w:right w:val="nil"/>
            </w:tcBorders>
            <w:shd w:val="clear" w:color="000000" w:fill="FFFFFF"/>
            <w:noWrap/>
            <w:vAlign w:val="center"/>
            <w:hideMark/>
          </w:tcPr>
          <w:p w14:paraId="01D74D59"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-0.004</w:t>
            </w:r>
          </w:p>
        </w:tc>
        <w:tc>
          <w:tcPr>
            <w:tcW w:w="486" w:type="dxa"/>
            <w:tcBorders>
              <w:top w:val="nil"/>
              <w:left w:val="nil"/>
              <w:bottom w:val="nil"/>
              <w:right w:val="nil"/>
            </w:tcBorders>
            <w:shd w:val="clear" w:color="000000" w:fill="FFFFFF"/>
            <w:noWrap/>
            <w:vAlign w:val="center"/>
            <w:hideMark/>
          </w:tcPr>
          <w:p w14:paraId="3BBEFA0B"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val="en-GB" w:eastAsia="en-GB"/>
              </w:rPr>
              <w:t> </w:t>
            </w:r>
          </w:p>
        </w:tc>
        <w:tc>
          <w:tcPr>
            <w:tcW w:w="793" w:type="dxa"/>
            <w:tcBorders>
              <w:top w:val="nil"/>
              <w:left w:val="nil"/>
              <w:bottom w:val="nil"/>
              <w:right w:val="nil"/>
            </w:tcBorders>
            <w:shd w:val="clear" w:color="000000" w:fill="FFFFFF"/>
            <w:noWrap/>
            <w:vAlign w:val="center"/>
            <w:hideMark/>
          </w:tcPr>
          <w:p w14:paraId="288B4002"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0.003</w:t>
            </w:r>
          </w:p>
        </w:tc>
        <w:tc>
          <w:tcPr>
            <w:tcW w:w="456" w:type="dxa"/>
            <w:tcBorders>
              <w:top w:val="nil"/>
              <w:left w:val="nil"/>
              <w:bottom w:val="nil"/>
              <w:right w:val="nil"/>
            </w:tcBorders>
            <w:shd w:val="clear" w:color="000000" w:fill="FFFFFF"/>
            <w:noWrap/>
            <w:vAlign w:val="center"/>
            <w:hideMark/>
          </w:tcPr>
          <w:p w14:paraId="01234633" w14:textId="77777777" w:rsidR="00775C36" w:rsidRPr="00775C36" w:rsidRDefault="00954C18" w:rsidP="00775C36">
            <w:pPr>
              <w:spacing w:after="0" w:line="240" w:lineRule="auto"/>
              <w:rPr>
                <w:rFonts w:ascii="Times New Roman" w:eastAsia="Times New Roman" w:hAnsi="Times New Roman" w:cs="Times New Roman"/>
                <w:color w:val="000000"/>
                <w:sz w:val="16"/>
                <w:szCs w:val="16"/>
                <w:lang w:val="en-GB" w:eastAsia="en-GB"/>
              </w:rPr>
            </w:pPr>
            <w:r>
              <w:rPr>
                <w:rFonts w:ascii="Times New Roman" w:eastAsia="Times New Roman" w:hAnsi="Times New Roman" w:cs="Times New Roman"/>
                <w:color w:val="000000"/>
                <w:sz w:val="16"/>
                <w:szCs w:val="16"/>
                <w:lang w:val="en-GB" w:eastAsia="en-GB"/>
              </w:rPr>
              <w:t>*</w:t>
            </w:r>
            <w:r w:rsidR="00775C36" w:rsidRPr="00775C36">
              <w:rPr>
                <w:rFonts w:ascii="Times New Roman" w:eastAsia="Times New Roman" w:hAnsi="Times New Roman" w:cs="Times New Roman"/>
                <w:color w:val="000000"/>
                <w:sz w:val="16"/>
                <w:szCs w:val="16"/>
                <w:lang w:val="en-GB" w:eastAsia="en-GB"/>
              </w:rPr>
              <w:t>*</w:t>
            </w:r>
          </w:p>
        </w:tc>
        <w:tc>
          <w:tcPr>
            <w:tcW w:w="835" w:type="dxa"/>
            <w:tcBorders>
              <w:top w:val="nil"/>
              <w:left w:val="nil"/>
              <w:bottom w:val="nil"/>
              <w:right w:val="nil"/>
            </w:tcBorders>
            <w:shd w:val="clear" w:color="000000" w:fill="FFFFFF"/>
            <w:noWrap/>
            <w:vAlign w:val="center"/>
            <w:hideMark/>
          </w:tcPr>
          <w:p w14:paraId="4148D237"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0.003</w:t>
            </w:r>
          </w:p>
        </w:tc>
        <w:tc>
          <w:tcPr>
            <w:tcW w:w="396" w:type="dxa"/>
            <w:tcBorders>
              <w:top w:val="nil"/>
              <w:left w:val="nil"/>
              <w:bottom w:val="nil"/>
              <w:right w:val="nil"/>
            </w:tcBorders>
            <w:shd w:val="clear" w:color="000000" w:fill="FFFFFF"/>
            <w:noWrap/>
            <w:vAlign w:val="center"/>
            <w:hideMark/>
          </w:tcPr>
          <w:p w14:paraId="21B570F5"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val="en-GB" w:eastAsia="en-GB"/>
              </w:rPr>
              <w:t> </w:t>
            </w:r>
          </w:p>
        </w:tc>
        <w:tc>
          <w:tcPr>
            <w:tcW w:w="835" w:type="dxa"/>
            <w:tcBorders>
              <w:top w:val="nil"/>
              <w:left w:val="nil"/>
              <w:bottom w:val="nil"/>
              <w:right w:val="nil"/>
            </w:tcBorders>
            <w:shd w:val="clear" w:color="000000" w:fill="FFFFFF"/>
            <w:noWrap/>
            <w:vAlign w:val="center"/>
            <w:hideMark/>
          </w:tcPr>
          <w:p w14:paraId="48BB384D"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0.016</w:t>
            </w:r>
          </w:p>
        </w:tc>
        <w:tc>
          <w:tcPr>
            <w:tcW w:w="456" w:type="dxa"/>
            <w:tcBorders>
              <w:top w:val="nil"/>
              <w:left w:val="nil"/>
              <w:bottom w:val="nil"/>
              <w:right w:val="nil"/>
            </w:tcBorders>
            <w:shd w:val="clear" w:color="000000" w:fill="FFFFFF"/>
            <w:noWrap/>
            <w:vAlign w:val="center"/>
            <w:hideMark/>
          </w:tcPr>
          <w:p w14:paraId="516BBEE2"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val="en-GB" w:eastAsia="en-GB"/>
              </w:rPr>
              <w:t> </w:t>
            </w:r>
          </w:p>
        </w:tc>
      </w:tr>
      <w:tr w:rsidR="00775C36" w:rsidRPr="00775C36" w14:paraId="0FC43CBD" w14:textId="77777777" w:rsidTr="00E936B8">
        <w:trPr>
          <w:trHeight w:val="300"/>
        </w:trPr>
        <w:tc>
          <w:tcPr>
            <w:tcW w:w="420" w:type="dxa"/>
            <w:tcBorders>
              <w:top w:val="nil"/>
              <w:left w:val="nil"/>
              <w:bottom w:val="nil"/>
              <w:right w:val="nil"/>
            </w:tcBorders>
            <w:shd w:val="clear" w:color="000000" w:fill="FFFFFF"/>
            <w:noWrap/>
            <w:vAlign w:val="center"/>
            <w:hideMark/>
          </w:tcPr>
          <w:p w14:paraId="268A88B5" w14:textId="77777777" w:rsidR="00775C36" w:rsidRPr="00775C36" w:rsidRDefault="00775C36" w:rsidP="00775C36">
            <w:pPr>
              <w:spacing w:after="0" w:line="240" w:lineRule="auto"/>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 </w:t>
            </w:r>
          </w:p>
        </w:tc>
        <w:tc>
          <w:tcPr>
            <w:tcW w:w="2180" w:type="dxa"/>
            <w:tcBorders>
              <w:top w:val="nil"/>
              <w:left w:val="nil"/>
              <w:bottom w:val="nil"/>
              <w:right w:val="nil"/>
            </w:tcBorders>
            <w:shd w:val="clear" w:color="000000" w:fill="FFFFFF"/>
            <w:noWrap/>
            <w:vAlign w:val="center"/>
            <w:hideMark/>
          </w:tcPr>
          <w:p w14:paraId="2BAB3EFA" w14:textId="77777777" w:rsidR="00775C36" w:rsidRPr="00775C36" w:rsidRDefault="00775C36" w:rsidP="00775C36">
            <w:pPr>
              <w:spacing w:after="0" w:line="240" w:lineRule="auto"/>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VC firm country experience</w:t>
            </w:r>
          </w:p>
        </w:tc>
        <w:tc>
          <w:tcPr>
            <w:tcW w:w="806" w:type="dxa"/>
            <w:tcBorders>
              <w:top w:val="nil"/>
              <w:left w:val="nil"/>
              <w:bottom w:val="nil"/>
              <w:right w:val="nil"/>
            </w:tcBorders>
            <w:shd w:val="clear" w:color="000000" w:fill="FFFFFF"/>
            <w:noWrap/>
            <w:vAlign w:val="center"/>
            <w:hideMark/>
          </w:tcPr>
          <w:p w14:paraId="639BD1A3"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0.001</w:t>
            </w:r>
          </w:p>
        </w:tc>
        <w:tc>
          <w:tcPr>
            <w:tcW w:w="488" w:type="dxa"/>
            <w:tcBorders>
              <w:top w:val="nil"/>
              <w:left w:val="nil"/>
              <w:bottom w:val="nil"/>
              <w:right w:val="nil"/>
            </w:tcBorders>
            <w:shd w:val="clear" w:color="000000" w:fill="FFFFFF"/>
            <w:noWrap/>
            <w:vAlign w:val="center"/>
            <w:hideMark/>
          </w:tcPr>
          <w:p w14:paraId="6BC64BBB" w14:textId="77777777" w:rsidR="00775C36" w:rsidRPr="00775C36" w:rsidRDefault="00954C18" w:rsidP="00775C36">
            <w:pPr>
              <w:spacing w:after="0" w:line="240" w:lineRule="auto"/>
              <w:rPr>
                <w:rFonts w:ascii="Times New Roman" w:eastAsia="Times New Roman" w:hAnsi="Times New Roman" w:cs="Times New Roman"/>
                <w:color w:val="000000"/>
                <w:sz w:val="16"/>
                <w:szCs w:val="16"/>
                <w:lang w:val="en-GB" w:eastAsia="en-GB"/>
              </w:rPr>
            </w:pPr>
            <w:r>
              <w:rPr>
                <w:rFonts w:ascii="Times New Roman" w:eastAsia="Times New Roman" w:hAnsi="Times New Roman" w:cs="Times New Roman"/>
                <w:color w:val="000000"/>
                <w:sz w:val="16"/>
                <w:szCs w:val="16"/>
                <w:lang w:val="en-GB" w:eastAsia="en-GB"/>
              </w:rPr>
              <w:t>*</w:t>
            </w:r>
          </w:p>
        </w:tc>
        <w:tc>
          <w:tcPr>
            <w:tcW w:w="806" w:type="dxa"/>
            <w:tcBorders>
              <w:top w:val="nil"/>
              <w:left w:val="nil"/>
              <w:bottom w:val="nil"/>
              <w:right w:val="nil"/>
            </w:tcBorders>
            <w:shd w:val="clear" w:color="000000" w:fill="FFFFFF"/>
            <w:noWrap/>
            <w:vAlign w:val="center"/>
            <w:hideMark/>
          </w:tcPr>
          <w:p w14:paraId="315425E4"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0.001</w:t>
            </w:r>
          </w:p>
        </w:tc>
        <w:tc>
          <w:tcPr>
            <w:tcW w:w="456" w:type="dxa"/>
            <w:tcBorders>
              <w:top w:val="nil"/>
              <w:left w:val="nil"/>
              <w:bottom w:val="nil"/>
              <w:right w:val="nil"/>
            </w:tcBorders>
            <w:shd w:val="clear" w:color="000000" w:fill="FFFFFF"/>
            <w:noWrap/>
            <w:vAlign w:val="center"/>
            <w:hideMark/>
          </w:tcPr>
          <w:p w14:paraId="043E7778"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val="en-GB" w:eastAsia="en-GB"/>
              </w:rPr>
              <w:t>*</w:t>
            </w:r>
          </w:p>
        </w:tc>
        <w:tc>
          <w:tcPr>
            <w:tcW w:w="793" w:type="dxa"/>
            <w:tcBorders>
              <w:top w:val="nil"/>
              <w:left w:val="nil"/>
              <w:bottom w:val="nil"/>
              <w:right w:val="nil"/>
            </w:tcBorders>
            <w:shd w:val="clear" w:color="000000" w:fill="FFFFFF"/>
            <w:noWrap/>
            <w:vAlign w:val="center"/>
            <w:hideMark/>
          </w:tcPr>
          <w:p w14:paraId="6B79EFB0"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0.001</w:t>
            </w:r>
          </w:p>
        </w:tc>
        <w:tc>
          <w:tcPr>
            <w:tcW w:w="486" w:type="dxa"/>
            <w:tcBorders>
              <w:top w:val="nil"/>
              <w:left w:val="nil"/>
              <w:bottom w:val="nil"/>
              <w:right w:val="nil"/>
            </w:tcBorders>
            <w:shd w:val="clear" w:color="000000" w:fill="FFFFFF"/>
            <w:noWrap/>
            <w:vAlign w:val="center"/>
            <w:hideMark/>
          </w:tcPr>
          <w:p w14:paraId="3FED1C83" w14:textId="77777777" w:rsidR="00775C36" w:rsidRPr="00775C36" w:rsidRDefault="00E936B8" w:rsidP="00775C36">
            <w:pPr>
              <w:spacing w:after="0" w:line="240" w:lineRule="auto"/>
              <w:rPr>
                <w:rFonts w:ascii="Times New Roman" w:eastAsia="Times New Roman" w:hAnsi="Times New Roman" w:cs="Times New Roman"/>
                <w:color w:val="000000"/>
                <w:sz w:val="16"/>
                <w:szCs w:val="16"/>
                <w:lang w:val="en-GB" w:eastAsia="en-GB"/>
              </w:rPr>
            </w:pPr>
            <w:r w:rsidRPr="0001749F">
              <w:rPr>
                <w:rFonts w:ascii="Times New Roman" w:eastAsia="Times New Roman" w:hAnsi="Times New Roman" w:cs="Times New Roman"/>
                <w:b/>
                <w:bCs/>
                <w:color w:val="000000"/>
                <w:sz w:val="20"/>
                <w:szCs w:val="20"/>
              </w:rPr>
              <w:t>†</w:t>
            </w:r>
          </w:p>
        </w:tc>
        <w:tc>
          <w:tcPr>
            <w:tcW w:w="793" w:type="dxa"/>
            <w:tcBorders>
              <w:top w:val="nil"/>
              <w:left w:val="nil"/>
              <w:bottom w:val="nil"/>
              <w:right w:val="nil"/>
            </w:tcBorders>
            <w:shd w:val="clear" w:color="000000" w:fill="FFFFFF"/>
            <w:noWrap/>
            <w:vAlign w:val="center"/>
            <w:hideMark/>
          </w:tcPr>
          <w:p w14:paraId="066BA4E3"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0.002</w:t>
            </w:r>
          </w:p>
        </w:tc>
        <w:tc>
          <w:tcPr>
            <w:tcW w:w="456" w:type="dxa"/>
            <w:tcBorders>
              <w:top w:val="nil"/>
              <w:left w:val="nil"/>
              <w:bottom w:val="nil"/>
              <w:right w:val="nil"/>
            </w:tcBorders>
            <w:shd w:val="clear" w:color="000000" w:fill="FFFFFF"/>
            <w:noWrap/>
            <w:vAlign w:val="center"/>
            <w:hideMark/>
          </w:tcPr>
          <w:p w14:paraId="6AA13D07" w14:textId="77777777" w:rsidR="00775C36" w:rsidRPr="00775C36" w:rsidRDefault="00954C18" w:rsidP="00775C36">
            <w:pPr>
              <w:spacing w:after="0" w:line="240" w:lineRule="auto"/>
              <w:rPr>
                <w:rFonts w:ascii="Times New Roman" w:eastAsia="Times New Roman" w:hAnsi="Times New Roman" w:cs="Times New Roman"/>
                <w:color w:val="000000"/>
                <w:sz w:val="16"/>
                <w:szCs w:val="16"/>
                <w:lang w:val="en-GB" w:eastAsia="en-GB"/>
              </w:rPr>
            </w:pPr>
            <w:r>
              <w:rPr>
                <w:rFonts w:ascii="Times New Roman" w:eastAsia="Times New Roman" w:hAnsi="Times New Roman" w:cs="Times New Roman"/>
                <w:color w:val="000000"/>
                <w:sz w:val="16"/>
                <w:szCs w:val="16"/>
                <w:lang w:val="en-GB" w:eastAsia="en-GB"/>
              </w:rPr>
              <w:t>*</w:t>
            </w:r>
            <w:r w:rsidR="00775C36" w:rsidRPr="00775C36">
              <w:rPr>
                <w:rFonts w:ascii="Times New Roman" w:eastAsia="Times New Roman" w:hAnsi="Times New Roman" w:cs="Times New Roman"/>
                <w:color w:val="000000"/>
                <w:sz w:val="16"/>
                <w:szCs w:val="16"/>
                <w:lang w:val="en-GB" w:eastAsia="en-GB"/>
              </w:rPr>
              <w:t>*</w:t>
            </w:r>
          </w:p>
        </w:tc>
        <w:tc>
          <w:tcPr>
            <w:tcW w:w="835" w:type="dxa"/>
            <w:tcBorders>
              <w:top w:val="nil"/>
              <w:left w:val="nil"/>
              <w:bottom w:val="nil"/>
              <w:right w:val="nil"/>
            </w:tcBorders>
            <w:shd w:val="clear" w:color="000000" w:fill="FFFFFF"/>
            <w:noWrap/>
            <w:vAlign w:val="center"/>
            <w:hideMark/>
          </w:tcPr>
          <w:p w14:paraId="46AF27F5"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0.021</w:t>
            </w:r>
          </w:p>
        </w:tc>
        <w:tc>
          <w:tcPr>
            <w:tcW w:w="396" w:type="dxa"/>
            <w:tcBorders>
              <w:top w:val="nil"/>
              <w:left w:val="nil"/>
              <w:bottom w:val="nil"/>
              <w:right w:val="nil"/>
            </w:tcBorders>
            <w:shd w:val="clear" w:color="000000" w:fill="FFFFFF"/>
            <w:noWrap/>
            <w:vAlign w:val="center"/>
            <w:hideMark/>
          </w:tcPr>
          <w:p w14:paraId="489CC9DB"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val="en-GB" w:eastAsia="en-GB"/>
              </w:rPr>
              <w:t> </w:t>
            </w:r>
          </w:p>
        </w:tc>
        <w:tc>
          <w:tcPr>
            <w:tcW w:w="835" w:type="dxa"/>
            <w:tcBorders>
              <w:top w:val="nil"/>
              <w:left w:val="nil"/>
              <w:bottom w:val="nil"/>
              <w:right w:val="nil"/>
            </w:tcBorders>
            <w:shd w:val="clear" w:color="000000" w:fill="FFFFFF"/>
            <w:noWrap/>
            <w:vAlign w:val="center"/>
            <w:hideMark/>
          </w:tcPr>
          <w:p w14:paraId="41F8A6F5"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-0.000</w:t>
            </w:r>
          </w:p>
        </w:tc>
        <w:tc>
          <w:tcPr>
            <w:tcW w:w="456" w:type="dxa"/>
            <w:tcBorders>
              <w:top w:val="nil"/>
              <w:left w:val="nil"/>
              <w:bottom w:val="nil"/>
              <w:right w:val="nil"/>
            </w:tcBorders>
            <w:shd w:val="clear" w:color="000000" w:fill="FFFFFF"/>
            <w:noWrap/>
            <w:vAlign w:val="center"/>
            <w:hideMark/>
          </w:tcPr>
          <w:p w14:paraId="7B29DB05"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val="en-GB" w:eastAsia="en-GB"/>
              </w:rPr>
              <w:t> </w:t>
            </w:r>
          </w:p>
        </w:tc>
      </w:tr>
      <w:tr w:rsidR="00775C36" w:rsidRPr="00775C36" w14:paraId="4E098FAC" w14:textId="77777777" w:rsidTr="00E936B8">
        <w:trPr>
          <w:trHeight w:val="300"/>
        </w:trPr>
        <w:tc>
          <w:tcPr>
            <w:tcW w:w="420" w:type="dxa"/>
            <w:tcBorders>
              <w:top w:val="nil"/>
              <w:left w:val="nil"/>
              <w:bottom w:val="nil"/>
              <w:right w:val="nil"/>
            </w:tcBorders>
            <w:shd w:val="clear" w:color="000000" w:fill="FFFFFF"/>
            <w:noWrap/>
            <w:vAlign w:val="center"/>
            <w:hideMark/>
          </w:tcPr>
          <w:p w14:paraId="765AE41E" w14:textId="77777777" w:rsidR="00775C36" w:rsidRPr="00775C36" w:rsidRDefault="00775C36" w:rsidP="00775C36">
            <w:pPr>
              <w:spacing w:after="0" w:line="240" w:lineRule="auto"/>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 </w:t>
            </w:r>
          </w:p>
        </w:tc>
        <w:tc>
          <w:tcPr>
            <w:tcW w:w="2180" w:type="dxa"/>
            <w:tcBorders>
              <w:top w:val="nil"/>
              <w:left w:val="nil"/>
              <w:bottom w:val="nil"/>
              <w:right w:val="nil"/>
            </w:tcBorders>
            <w:shd w:val="clear" w:color="000000" w:fill="FFFFFF"/>
            <w:noWrap/>
            <w:vAlign w:val="center"/>
            <w:hideMark/>
          </w:tcPr>
          <w:p w14:paraId="17EE3B5A" w14:textId="77777777" w:rsidR="00775C36" w:rsidRPr="00775C36" w:rsidRDefault="00775C36" w:rsidP="00775C36">
            <w:pPr>
              <w:spacing w:after="0" w:line="240" w:lineRule="auto"/>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VC firm IPO track record</w:t>
            </w:r>
          </w:p>
        </w:tc>
        <w:tc>
          <w:tcPr>
            <w:tcW w:w="806" w:type="dxa"/>
            <w:tcBorders>
              <w:top w:val="nil"/>
              <w:left w:val="nil"/>
              <w:bottom w:val="nil"/>
              <w:right w:val="nil"/>
            </w:tcBorders>
            <w:shd w:val="clear" w:color="000000" w:fill="FFFFFF"/>
            <w:noWrap/>
            <w:vAlign w:val="center"/>
            <w:hideMark/>
          </w:tcPr>
          <w:p w14:paraId="2967A744"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-0.001</w:t>
            </w:r>
          </w:p>
        </w:tc>
        <w:tc>
          <w:tcPr>
            <w:tcW w:w="488" w:type="dxa"/>
            <w:tcBorders>
              <w:top w:val="nil"/>
              <w:left w:val="nil"/>
              <w:bottom w:val="nil"/>
              <w:right w:val="nil"/>
            </w:tcBorders>
            <w:shd w:val="clear" w:color="000000" w:fill="FFFFFF"/>
            <w:noWrap/>
            <w:vAlign w:val="center"/>
            <w:hideMark/>
          </w:tcPr>
          <w:p w14:paraId="08889EB1"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val="en-GB" w:eastAsia="en-GB"/>
              </w:rPr>
              <w:t> </w:t>
            </w:r>
          </w:p>
        </w:tc>
        <w:tc>
          <w:tcPr>
            <w:tcW w:w="806" w:type="dxa"/>
            <w:tcBorders>
              <w:top w:val="nil"/>
              <w:left w:val="nil"/>
              <w:bottom w:val="nil"/>
              <w:right w:val="nil"/>
            </w:tcBorders>
            <w:shd w:val="clear" w:color="000000" w:fill="FFFFFF"/>
            <w:noWrap/>
            <w:vAlign w:val="center"/>
            <w:hideMark/>
          </w:tcPr>
          <w:p w14:paraId="7C3CAE9C"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-0.005</w:t>
            </w:r>
          </w:p>
        </w:tc>
        <w:tc>
          <w:tcPr>
            <w:tcW w:w="456" w:type="dxa"/>
            <w:tcBorders>
              <w:top w:val="nil"/>
              <w:left w:val="nil"/>
              <w:bottom w:val="nil"/>
              <w:right w:val="nil"/>
            </w:tcBorders>
            <w:shd w:val="clear" w:color="000000" w:fill="FFFFFF"/>
            <w:noWrap/>
            <w:vAlign w:val="center"/>
            <w:hideMark/>
          </w:tcPr>
          <w:p w14:paraId="3F038D5C"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val="en-GB" w:eastAsia="en-GB"/>
              </w:rPr>
              <w:t> </w:t>
            </w:r>
          </w:p>
        </w:tc>
        <w:tc>
          <w:tcPr>
            <w:tcW w:w="793" w:type="dxa"/>
            <w:tcBorders>
              <w:top w:val="nil"/>
              <w:left w:val="nil"/>
              <w:bottom w:val="nil"/>
              <w:right w:val="nil"/>
            </w:tcBorders>
            <w:shd w:val="clear" w:color="000000" w:fill="FFFFFF"/>
            <w:noWrap/>
            <w:vAlign w:val="center"/>
            <w:hideMark/>
          </w:tcPr>
          <w:p w14:paraId="0652D17A"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0.021</w:t>
            </w:r>
          </w:p>
        </w:tc>
        <w:tc>
          <w:tcPr>
            <w:tcW w:w="486" w:type="dxa"/>
            <w:tcBorders>
              <w:top w:val="nil"/>
              <w:left w:val="nil"/>
              <w:bottom w:val="nil"/>
              <w:right w:val="nil"/>
            </w:tcBorders>
            <w:shd w:val="clear" w:color="000000" w:fill="FFFFFF"/>
            <w:noWrap/>
            <w:vAlign w:val="center"/>
            <w:hideMark/>
          </w:tcPr>
          <w:p w14:paraId="323ADAA3" w14:textId="77777777" w:rsidR="00775C36" w:rsidRPr="00775C36" w:rsidRDefault="00954C18" w:rsidP="00775C36">
            <w:pPr>
              <w:spacing w:after="0" w:line="240" w:lineRule="auto"/>
              <w:rPr>
                <w:rFonts w:ascii="Times New Roman" w:eastAsia="Times New Roman" w:hAnsi="Times New Roman" w:cs="Times New Roman"/>
                <w:color w:val="000000"/>
                <w:sz w:val="16"/>
                <w:szCs w:val="16"/>
                <w:lang w:val="en-GB" w:eastAsia="en-GB"/>
              </w:rPr>
            </w:pPr>
            <w:r>
              <w:rPr>
                <w:rFonts w:ascii="Times New Roman" w:eastAsia="Times New Roman" w:hAnsi="Times New Roman" w:cs="Times New Roman"/>
                <w:color w:val="000000"/>
                <w:sz w:val="16"/>
                <w:szCs w:val="16"/>
                <w:lang w:val="en-GB" w:eastAsia="en-GB"/>
              </w:rPr>
              <w:t>*</w:t>
            </w:r>
            <w:r w:rsidR="00775C36" w:rsidRPr="00775C36">
              <w:rPr>
                <w:rFonts w:ascii="Times New Roman" w:eastAsia="Times New Roman" w:hAnsi="Times New Roman" w:cs="Times New Roman"/>
                <w:color w:val="000000"/>
                <w:sz w:val="16"/>
                <w:szCs w:val="16"/>
                <w:lang w:val="en-GB" w:eastAsia="en-GB"/>
              </w:rPr>
              <w:t>*</w:t>
            </w:r>
          </w:p>
        </w:tc>
        <w:tc>
          <w:tcPr>
            <w:tcW w:w="793" w:type="dxa"/>
            <w:tcBorders>
              <w:top w:val="nil"/>
              <w:left w:val="nil"/>
              <w:bottom w:val="nil"/>
              <w:right w:val="nil"/>
            </w:tcBorders>
            <w:shd w:val="clear" w:color="000000" w:fill="FFFFFF"/>
            <w:noWrap/>
            <w:vAlign w:val="center"/>
            <w:hideMark/>
          </w:tcPr>
          <w:p w14:paraId="16E2643A"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-0.028</w:t>
            </w:r>
          </w:p>
        </w:tc>
        <w:tc>
          <w:tcPr>
            <w:tcW w:w="456" w:type="dxa"/>
            <w:tcBorders>
              <w:top w:val="nil"/>
              <w:left w:val="nil"/>
              <w:bottom w:val="nil"/>
              <w:right w:val="nil"/>
            </w:tcBorders>
            <w:shd w:val="clear" w:color="000000" w:fill="FFFFFF"/>
            <w:noWrap/>
            <w:vAlign w:val="center"/>
            <w:hideMark/>
          </w:tcPr>
          <w:p w14:paraId="062BC3B7"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val="en-GB" w:eastAsia="en-GB"/>
              </w:rPr>
              <w:t> </w:t>
            </w:r>
          </w:p>
        </w:tc>
        <w:tc>
          <w:tcPr>
            <w:tcW w:w="835" w:type="dxa"/>
            <w:tcBorders>
              <w:top w:val="nil"/>
              <w:left w:val="nil"/>
              <w:bottom w:val="nil"/>
              <w:right w:val="nil"/>
            </w:tcBorders>
            <w:shd w:val="clear" w:color="000000" w:fill="FFFFFF"/>
            <w:noWrap/>
            <w:vAlign w:val="center"/>
            <w:hideMark/>
          </w:tcPr>
          <w:p w14:paraId="57FFF143"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-0.004</w:t>
            </w:r>
          </w:p>
        </w:tc>
        <w:tc>
          <w:tcPr>
            <w:tcW w:w="396" w:type="dxa"/>
            <w:tcBorders>
              <w:top w:val="nil"/>
              <w:left w:val="nil"/>
              <w:bottom w:val="nil"/>
              <w:right w:val="nil"/>
            </w:tcBorders>
            <w:shd w:val="clear" w:color="000000" w:fill="FFFFFF"/>
            <w:noWrap/>
            <w:vAlign w:val="center"/>
            <w:hideMark/>
          </w:tcPr>
          <w:p w14:paraId="10D77082"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val="en-GB" w:eastAsia="en-GB"/>
              </w:rPr>
              <w:t> </w:t>
            </w:r>
          </w:p>
        </w:tc>
        <w:tc>
          <w:tcPr>
            <w:tcW w:w="835" w:type="dxa"/>
            <w:tcBorders>
              <w:top w:val="nil"/>
              <w:left w:val="nil"/>
              <w:bottom w:val="nil"/>
              <w:right w:val="nil"/>
            </w:tcBorders>
            <w:shd w:val="clear" w:color="000000" w:fill="FFFFFF"/>
            <w:noWrap/>
            <w:vAlign w:val="center"/>
            <w:hideMark/>
          </w:tcPr>
          <w:p w14:paraId="3403E48C"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-0.015</w:t>
            </w:r>
          </w:p>
        </w:tc>
        <w:tc>
          <w:tcPr>
            <w:tcW w:w="456" w:type="dxa"/>
            <w:tcBorders>
              <w:top w:val="nil"/>
              <w:left w:val="nil"/>
              <w:bottom w:val="nil"/>
              <w:right w:val="nil"/>
            </w:tcBorders>
            <w:shd w:val="clear" w:color="000000" w:fill="FFFFFF"/>
            <w:noWrap/>
            <w:vAlign w:val="center"/>
            <w:hideMark/>
          </w:tcPr>
          <w:p w14:paraId="1463A6FA"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val="en-GB" w:eastAsia="en-GB"/>
              </w:rPr>
              <w:t> </w:t>
            </w:r>
          </w:p>
        </w:tc>
      </w:tr>
      <w:tr w:rsidR="00775C36" w:rsidRPr="00775C36" w14:paraId="6DDF37D6" w14:textId="77777777" w:rsidTr="00E936B8">
        <w:trPr>
          <w:trHeight w:val="300"/>
        </w:trPr>
        <w:tc>
          <w:tcPr>
            <w:tcW w:w="420" w:type="dxa"/>
            <w:tcBorders>
              <w:top w:val="nil"/>
              <w:left w:val="nil"/>
              <w:bottom w:val="nil"/>
              <w:right w:val="nil"/>
            </w:tcBorders>
            <w:shd w:val="clear" w:color="000000" w:fill="FFFFFF"/>
            <w:noWrap/>
            <w:vAlign w:val="center"/>
            <w:hideMark/>
          </w:tcPr>
          <w:p w14:paraId="5FD9A4EE" w14:textId="77777777" w:rsidR="00775C36" w:rsidRPr="00775C36" w:rsidRDefault="00775C36" w:rsidP="00775C36">
            <w:pPr>
              <w:spacing w:after="0" w:line="240" w:lineRule="auto"/>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 </w:t>
            </w:r>
          </w:p>
        </w:tc>
        <w:tc>
          <w:tcPr>
            <w:tcW w:w="2180" w:type="dxa"/>
            <w:tcBorders>
              <w:top w:val="nil"/>
              <w:left w:val="nil"/>
              <w:bottom w:val="nil"/>
              <w:right w:val="nil"/>
            </w:tcBorders>
            <w:shd w:val="clear" w:color="000000" w:fill="FFFFFF"/>
            <w:noWrap/>
            <w:vAlign w:val="center"/>
            <w:hideMark/>
          </w:tcPr>
          <w:p w14:paraId="3B992A6F" w14:textId="77777777" w:rsidR="00775C36" w:rsidRPr="00775C36" w:rsidRDefault="00775C36" w:rsidP="00775C36">
            <w:pPr>
              <w:spacing w:after="0" w:line="240" w:lineRule="auto"/>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Lead investor</w:t>
            </w:r>
          </w:p>
        </w:tc>
        <w:tc>
          <w:tcPr>
            <w:tcW w:w="806" w:type="dxa"/>
            <w:tcBorders>
              <w:top w:val="nil"/>
              <w:left w:val="nil"/>
              <w:bottom w:val="nil"/>
              <w:right w:val="nil"/>
            </w:tcBorders>
            <w:shd w:val="clear" w:color="000000" w:fill="FFFFFF"/>
            <w:noWrap/>
            <w:vAlign w:val="center"/>
            <w:hideMark/>
          </w:tcPr>
          <w:p w14:paraId="7DFDB458"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-0.085</w:t>
            </w:r>
          </w:p>
        </w:tc>
        <w:tc>
          <w:tcPr>
            <w:tcW w:w="488" w:type="dxa"/>
            <w:tcBorders>
              <w:top w:val="nil"/>
              <w:left w:val="nil"/>
              <w:bottom w:val="nil"/>
              <w:right w:val="nil"/>
            </w:tcBorders>
            <w:shd w:val="clear" w:color="auto" w:fill="auto"/>
            <w:noWrap/>
            <w:vAlign w:val="bottom"/>
            <w:hideMark/>
          </w:tcPr>
          <w:p w14:paraId="08FC93E0" w14:textId="77777777" w:rsidR="00775C36" w:rsidRPr="00775C36" w:rsidRDefault="00775C36" w:rsidP="00775C36">
            <w:pPr>
              <w:spacing w:after="0" w:line="240" w:lineRule="auto"/>
              <w:rPr>
                <w:rFonts w:ascii="Calibri" w:eastAsia="Times New Roman" w:hAnsi="Calibri" w:cs="Times New Roman"/>
                <w:color w:val="000000"/>
                <w:lang w:val="en-GB" w:eastAsia="en-GB"/>
              </w:rPr>
            </w:pPr>
          </w:p>
        </w:tc>
        <w:tc>
          <w:tcPr>
            <w:tcW w:w="806" w:type="dxa"/>
            <w:tcBorders>
              <w:top w:val="nil"/>
              <w:left w:val="nil"/>
              <w:bottom w:val="nil"/>
              <w:right w:val="nil"/>
            </w:tcBorders>
            <w:shd w:val="clear" w:color="000000" w:fill="FFFFFF"/>
            <w:noWrap/>
            <w:vAlign w:val="center"/>
            <w:hideMark/>
          </w:tcPr>
          <w:p w14:paraId="5CC1AE3F"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-0.155</w:t>
            </w:r>
          </w:p>
        </w:tc>
        <w:tc>
          <w:tcPr>
            <w:tcW w:w="456" w:type="dxa"/>
            <w:tcBorders>
              <w:top w:val="nil"/>
              <w:left w:val="nil"/>
              <w:bottom w:val="nil"/>
              <w:right w:val="nil"/>
            </w:tcBorders>
            <w:shd w:val="clear" w:color="000000" w:fill="FFFFFF"/>
            <w:noWrap/>
            <w:vAlign w:val="center"/>
            <w:hideMark/>
          </w:tcPr>
          <w:p w14:paraId="0D4697BB"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val="en-GB" w:eastAsia="en-GB"/>
              </w:rPr>
              <w:t> </w:t>
            </w:r>
          </w:p>
        </w:tc>
        <w:tc>
          <w:tcPr>
            <w:tcW w:w="793" w:type="dxa"/>
            <w:tcBorders>
              <w:top w:val="nil"/>
              <w:left w:val="nil"/>
              <w:bottom w:val="nil"/>
              <w:right w:val="nil"/>
            </w:tcBorders>
            <w:shd w:val="clear" w:color="000000" w:fill="FFFFFF"/>
            <w:noWrap/>
            <w:vAlign w:val="center"/>
            <w:hideMark/>
          </w:tcPr>
          <w:p w14:paraId="6837A989"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0.104</w:t>
            </w:r>
          </w:p>
        </w:tc>
        <w:tc>
          <w:tcPr>
            <w:tcW w:w="486" w:type="dxa"/>
            <w:tcBorders>
              <w:top w:val="nil"/>
              <w:left w:val="nil"/>
              <w:bottom w:val="nil"/>
              <w:right w:val="nil"/>
            </w:tcBorders>
            <w:shd w:val="clear" w:color="auto" w:fill="auto"/>
            <w:noWrap/>
            <w:vAlign w:val="bottom"/>
            <w:hideMark/>
          </w:tcPr>
          <w:p w14:paraId="3A6FED59" w14:textId="77777777" w:rsidR="00775C36" w:rsidRPr="00775C36" w:rsidRDefault="00775C36" w:rsidP="00775C36">
            <w:pPr>
              <w:spacing w:after="0" w:line="240" w:lineRule="auto"/>
              <w:rPr>
                <w:rFonts w:ascii="Calibri" w:eastAsia="Times New Roman" w:hAnsi="Calibri" w:cs="Times New Roman"/>
                <w:color w:val="000000"/>
                <w:lang w:val="en-GB" w:eastAsia="en-GB"/>
              </w:rPr>
            </w:pPr>
          </w:p>
        </w:tc>
        <w:tc>
          <w:tcPr>
            <w:tcW w:w="793" w:type="dxa"/>
            <w:tcBorders>
              <w:top w:val="nil"/>
              <w:left w:val="nil"/>
              <w:bottom w:val="nil"/>
              <w:right w:val="nil"/>
            </w:tcBorders>
            <w:shd w:val="clear" w:color="000000" w:fill="FFFFFF"/>
            <w:noWrap/>
            <w:vAlign w:val="center"/>
            <w:hideMark/>
          </w:tcPr>
          <w:p w14:paraId="72F13D7B"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-0.033</w:t>
            </w:r>
          </w:p>
        </w:tc>
        <w:tc>
          <w:tcPr>
            <w:tcW w:w="456" w:type="dxa"/>
            <w:tcBorders>
              <w:top w:val="nil"/>
              <w:left w:val="nil"/>
              <w:bottom w:val="nil"/>
              <w:right w:val="nil"/>
            </w:tcBorders>
            <w:shd w:val="clear" w:color="000000" w:fill="FFFFFF"/>
            <w:noWrap/>
            <w:vAlign w:val="center"/>
            <w:hideMark/>
          </w:tcPr>
          <w:p w14:paraId="2BD082D5"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val="en-GB" w:eastAsia="en-GB"/>
              </w:rPr>
              <w:t> </w:t>
            </w:r>
          </w:p>
        </w:tc>
        <w:tc>
          <w:tcPr>
            <w:tcW w:w="835" w:type="dxa"/>
            <w:tcBorders>
              <w:top w:val="nil"/>
              <w:left w:val="nil"/>
              <w:bottom w:val="nil"/>
              <w:right w:val="nil"/>
            </w:tcBorders>
            <w:shd w:val="clear" w:color="000000" w:fill="FFFFFF"/>
            <w:noWrap/>
            <w:vAlign w:val="center"/>
            <w:hideMark/>
          </w:tcPr>
          <w:p w14:paraId="7937F5A0"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-0.736</w:t>
            </w:r>
          </w:p>
        </w:tc>
        <w:tc>
          <w:tcPr>
            <w:tcW w:w="396" w:type="dxa"/>
            <w:tcBorders>
              <w:top w:val="nil"/>
              <w:left w:val="nil"/>
              <w:bottom w:val="nil"/>
              <w:right w:val="nil"/>
            </w:tcBorders>
            <w:shd w:val="clear" w:color="000000" w:fill="FFFFFF"/>
            <w:noWrap/>
            <w:vAlign w:val="center"/>
            <w:hideMark/>
          </w:tcPr>
          <w:p w14:paraId="72D6E991" w14:textId="77777777" w:rsidR="00775C36" w:rsidRPr="00775C36" w:rsidRDefault="00775C36" w:rsidP="00775C36">
            <w:pPr>
              <w:spacing w:after="0" w:line="240" w:lineRule="auto"/>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w:t>
            </w:r>
          </w:p>
        </w:tc>
        <w:tc>
          <w:tcPr>
            <w:tcW w:w="835" w:type="dxa"/>
            <w:tcBorders>
              <w:top w:val="nil"/>
              <w:left w:val="nil"/>
              <w:bottom w:val="nil"/>
              <w:right w:val="nil"/>
            </w:tcBorders>
            <w:shd w:val="clear" w:color="000000" w:fill="FFFFFF"/>
            <w:noWrap/>
            <w:vAlign w:val="center"/>
            <w:hideMark/>
          </w:tcPr>
          <w:p w14:paraId="39CB55FD"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-0.875</w:t>
            </w:r>
          </w:p>
        </w:tc>
        <w:tc>
          <w:tcPr>
            <w:tcW w:w="456" w:type="dxa"/>
            <w:tcBorders>
              <w:top w:val="nil"/>
              <w:left w:val="nil"/>
              <w:bottom w:val="nil"/>
              <w:right w:val="nil"/>
            </w:tcBorders>
            <w:shd w:val="clear" w:color="000000" w:fill="FFFFFF"/>
            <w:noWrap/>
            <w:vAlign w:val="center"/>
            <w:hideMark/>
          </w:tcPr>
          <w:p w14:paraId="48AE9D8E"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val="en-GB" w:eastAsia="en-GB"/>
              </w:rPr>
              <w:t> </w:t>
            </w:r>
          </w:p>
        </w:tc>
      </w:tr>
      <w:tr w:rsidR="00775C36" w:rsidRPr="00775C36" w14:paraId="68B35048" w14:textId="77777777" w:rsidTr="00E936B8">
        <w:trPr>
          <w:trHeight w:val="300"/>
        </w:trPr>
        <w:tc>
          <w:tcPr>
            <w:tcW w:w="2600" w:type="dxa"/>
            <w:gridSpan w:val="2"/>
            <w:tcBorders>
              <w:top w:val="nil"/>
              <w:left w:val="nil"/>
              <w:bottom w:val="nil"/>
              <w:right w:val="nil"/>
            </w:tcBorders>
            <w:shd w:val="clear" w:color="000000" w:fill="FFFFFF"/>
            <w:noWrap/>
            <w:vAlign w:val="center"/>
            <w:hideMark/>
          </w:tcPr>
          <w:p w14:paraId="276DF21F" w14:textId="77777777" w:rsidR="00775C36" w:rsidRPr="00775C36" w:rsidRDefault="00775C36" w:rsidP="00775C36">
            <w:pPr>
              <w:spacing w:after="0" w:line="240" w:lineRule="auto"/>
              <w:rPr>
                <w:rFonts w:ascii="Times New Roman" w:eastAsia="Times New Roman" w:hAnsi="Times New Roman" w:cs="Times New Roman"/>
                <w:i/>
                <w:iCs/>
                <w:color w:val="000000"/>
                <w:sz w:val="18"/>
                <w:szCs w:val="18"/>
                <w:lang w:val="en-GB" w:eastAsia="en-GB"/>
              </w:rPr>
            </w:pPr>
            <w:r w:rsidRPr="00775C36">
              <w:rPr>
                <w:rFonts w:ascii="Times New Roman" w:eastAsia="Times New Roman" w:hAnsi="Times New Roman" w:cs="Times New Roman"/>
                <w:i/>
                <w:iCs/>
                <w:color w:val="000000"/>
                <w:sz w:val="18"/>
                <w:szCs w:val="18"/>
                <w:lang w:eastAsia="en-GB"/>
              </w:rPr>
              <w:t xml:space="preserve">Deal characteristics </w:t>
            </w:r>
          </w:p>
        </w:tc>
        <w:tc>
          <w:tcPr>
            <w:tcW w:w="806" w:type="dxa"/>
            <w:tcBorders>
              <w:top w:val="nil"/>
              <w:left w:val="nil"/>
              <w:bottom w:val="nil"/>
              <w:right w:val="nil"/>
            </w:tcBorders>
            <w:shd w:val="clear" w:color="000000" w:fill="FFFFFF"/>
            <w:noWrap/>
            <w:vAlign w:val="center"/>
            <w:hideMark/>
          </w:tcPr>
          <w:p w14:paraId="3FEE5FF6"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 </w:t>
            </w:r>
          </w:p>
        </w:tc>
        <w:tc>
          <w:tcPr>
            <w:tcW w:w="488" w:type="dxa"/>
            <w:tcBorders>
              <w:top w:val="nil"/>
              <w:left w:val="nil"/>
              <w:bottom w:val="nil"/>
              <w:right w:val="nil"/>
            </w:tcBorders>
            <w:shd w:val="clear" w:color="000000" w:fill="FFFFFF"/>
            <w:noWrap/>
            <w:vAlign w:val="center"/>
            <w:hideMark/>
          </w:tcPr>
          <w:p w14:paraId="36E42BE5"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eastAsia="en-GB"/>
              </w:rPr>
              <w:t> </w:t>
            </w:r>
          </w:p>
        </w:tc>
        <w:tc>
          <w:tcPr>
            <w:tcW w:w="806" w:type="dxa"/>
            <w:tcBorders>
              <w:top w:val="nil"/>
              <w:left w:val="nil"/>
              <w:bottom w:val="nil"/>
              <w:right w:val="nil"/>
            </w:tcBorders>
            <w:shd w:val="clear" w:color="000000" w:fill="FFFFFF"/>
            <w:noWrap/>
            <w:vAlign w:val="center"/>
            <w:hideMark/>
          </w:tcPr>
          <w:p w14:paraId="6A74CDA0"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 </w:t>
            </w:r>
          </w:p>
        </w:tc>
        <w:tc>
          <w:tcPr>
            <w:tcW w:w="456" w:type="dxa"/>
            <w:tcBorders>
              <w:top w:val="nil"/>
              <w:left w:val="nil"/>
              <w:bottom w:val="nil"/>
              <w:right w:val="nil"/>
            </w:tcBorders>
            <w:shd w:val="clear" w:color="000000" w:fill="FFFFFF"/>
            <w:noWrap/>
            <w:vAlign w:val="center"/>
            <w:hideMark/>
          </w:tcPr>
          <w:p w14:paraId="1E01605F"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eastAsia="en-GB"/>
              </w:rPr>
              <w:t> </w:t>
            </w:r>
          </w:p>
        </w:tc>
        <w:tc>
          <w:tcPr>
            <w:tcW w:w="793" w:type="dxa"/>
            <w:tcBorders>
              <w:top w:val="nil"/>
              <w:left w:val="nil"/>
              <w:bottom w:val="nil"/>
              <w:right w:val="nil"/>
            </w:tcBorders>
            <w:shd w:val="clear" w:color="000000" w:fill="FFFFFF"/>
            <w:noWrap/>
            <w:vAlign w:val="center"/>
            <w:hideMark/>
          </w:tcPr>
          <w:p w14:paraId="35DAEFE8"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 </w:t>
            </w:r>
          </w:p>
        </w:tc>
        <w:tc>
          <w:tcPr>
            <w:tcW w:w="486" w:type="dxa"/>
            <w:tcBorders>
              <w:top w:val="nil"/>
              <w:left w:val="nil"/>
              <w:bottom w:val="nil"/>
              <w:right w:val="nil"/>
            </w:tcBorders>
            <w:shd w:val="clear" w:color="000000" w:fill="FFFFFF"/>
            <w:noWrap/>
            <w:vAlign w:val="center"/>
            <w:hideMark/>
          </w:tcPr>
          <w:p w14:paraId="2B32777E"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eastAsia="en-GB"/>
              </w:rPr>
              <w:t> </w:t>
            </w:r>
          </w:p>
        </w:tc>
        <w:tc>
          <w:tcPr>
            <w:tcW w:w="793" w:type="dxa"/>
            <w:tcBorders>
              <w:top w:val="nil"/>
              <w:left w:val="nil"/>
              <w:bottom w:val="nil"/>
              <w:right w:val="nil"/>
            </w:tcBorders>
            <w:shd w:val="clear" w:color="000000" w:fill="FFFFFF"/>
            <w:noWrap/>
            <w:vAlign w:val="center"/>
            <w:hideMark/>
          </w:tcPr>
          <w:p w14:paraId="4A1ED8F1"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 </w:t>
            </w:r>
          </w:p>
        </w:tc>
        <w:tc>
          <w:tcPr>
            <w:tcW w:w="456" w:type="dxa"/>
            <w:tcBorders>
              <w:top w:val="nil"/>
              <w:left w:val="nil"/>
              <w:bottom w:val="nil"/>
              <w:right w:val="nil"/>
            </w:tcBorders>
            <w:shd w:val="clear" w:color="000000" w:fill="FFFFFF"/>
            <w:noWrap/>
            <w:vAlign w:val="center"/>
            <w:hideMark/>
          </w:tcPr>
          <w:p w14:paraId="1C7569EC"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eastAsia="en-GB"/>
              </w:rPr>
              <w:t> </w:t>
            </w:r>
          </w:p>
        </w:tc>
        <w:tc>
          <w:tcPr>
            <w:tcW w:w="835" w:type="dxa"/>
            <w:tcBorders>
              <w:top w:val="nil"/>
              <w:left w:val="nil"/>
              <w:bottom w:val="nil"/>
              <w:right w:val="nil"/>
            </w:tcBorders>
            <w:shd w:val="clear" w:color="000000" w:fill="FFFFFF"/>
            <w:noWrap/>
            <w:vAlign w:val="center"/>
            <w:hideMark/>
          </w:tcPr>
          <w:p w14:paraId="5F6D4A70"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 </w:t>
            </w:r>
          </w:p>
        </w:tc>
        <w:tc>
          <w:tcPr>
            <w:tcW w:w="396" w:type="dxa"/>
            <w:tcBorders>
              <w:top w:val="nil"/>
              <w:left w:val="nil"/>
              <w:bottom w:val="nil"/>
              <w:right w:val="nil"/>
            </w:tcBorders>
            <w:shd w:val="clear" w:color="000000" w:fill="FFFFFF"/>
            <w:noWrap/>
            <w:vAlign w:val="center"/>
            <w:hideMark/>
          </w:tcPr>
          <w:p w14:paraId="7ECDA45E"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eastAsia="en-GB"/>
              </w:rPr>
              <w:t> </w:t>
            </w:r>
          </w:p>
        </w:tc>
        <w:tc>
          <w:tcPr>
            <w:tcW w:w="835" w:type="dxa"/>
            <w:tcBorders>
              <w:top w:val="nil"/>
              <w:left w:val="nil"/>
              <w:bottom w:val="nil"/>
              <w:right w:val="nil"/>
            </w:tcBorders>
            <w:shd w:val="clear" w:color="000000" w:fill="FFFFFF"/>
            <w:noWrap/>
            <w:vAlign w:val="center"/>
            <w:hideMark/>
          </w:tcPr>
          <w:p w14:paraId="3227A9C1"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 </w:t>
            </w:r>
          </w:p>
        </w:tc>
        <w:tc>
          <w:tcPr>
            <w:tcW w:w="456" w:type="dxa"/>
            <w:tcBorders>
              <w:top w:val="nil"/>
              <w:left w:val="nil"/>
              <w:bottom w:val="nil"/>
              <w:right w:val="nil"/>
            </w:tcBorders>
            <w:shd w:val="clear" w:color="000000" w:fill="FFFFFF"/>
            <w:noWrap/>
            <w:vAlign w:val="center"/>
            <w:hideMark/>
          </w:tcPr>
          <w:p w14:paraId="36A8117A"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eastAsia="en-GB"/>
              </w:rPr>
              <w:t> </w:t>
            </w:r>
          </w:p>
        </w:tc>
      </w:tr>
      <w:tr w:rsidR="00775C36" w:rsidRPr="00775C36" w14:paraId="507ED902" w14:textId="77777777" w:rsidTr="00E936B8">
        <w:trPr>
          <w:trHeight w:val="300"/>
        </w:trPr>
        <w:tc>
          <w:tcPr>
            <w:tcW w:w="420" w:type="dxa"/>
            <w:tcBorders>
              <w:top w:val="nil"/>
              <w:left w:val="nil"/>
              <w:bottom w:val="nil"/>
              <w:right w:val="nil"/>
            </w:tcBorders>
            <w:shd w:val="clear" w:color="000000" w:fill="FFFFFF"/>
            <w:noWrap/>
            <w:vAlign w:val="center"/>
            <w:hideMark/>
          </w:tcPr>
          <w:p w14:paraId="421BC7A0" w14:textId="77777777" w:rsidR="00775C36" w:rsidRPr="00775C36" w:rsidRDefault="00775C36" w:rsidP="00775C36">
            <w:pPr>
              <w:spacing w:after="0" w:line="240" w:lineRule="auto"/>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 </w:t>
            </w:r>
          </w:p>
        </w:tc>
        <w:tc>
          <w:tcPr>
            <w:tcW w:w="2180" w:type="dxa"/>
            <w:tcBorders>
              <w:top w:val="nil"/>
              <w:left w:val="nil"/>
              <w:bottom w:val="nil"/>
              <w:right w:val="nil"/>
            </w:tcBorders>
            <w:shd w:val="clear" w:color="000000" w:fill="FFFFFF"/>
            <w:noWrap/>
            <w:vAlign w:val="center"/>
            <w:hideMark/>
          </w:tcPr>
          <w:p w14:paraId="3EC62D6D" w14:textId="77777777" w:rsidR="00775C36" w:rsidRPr="00775C36" w:rsidRDefault="00775C36" w:rsidP="00775C36">
            <w:pPr>
              <w:spacing w:after="0" w:line="240" w:lineRule="auto"/>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Distance (LN)</w:t>
            </w:r>
          </w:p>
        </w:tc>
        <w:tc>
          <w:tcPr>
            <w:tcW w:w="806" w:type="dxa"/>
            <w:tcBorders>
              <w:top w:val="nil"/>
              <w:left w:val="nil"/>
              <w:bottom w:val="nil"/>
              <w:right w:val="nil"/>
            </w:tcBorders>
            <w:shd w:val="clear" w:color="000000" w:fill="FFFFFF"/>
            <w:noWrap/>
            <w:vAlign w:val="center"/>
            <w:hideMark/>
          </w:tcPr>
          <w:p w14:paraId="53C98271"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0.082</w:t>
            </w:r>
          </w:p>
        </w:tc>
        <w:tc>
          <w:tcPr>
            <w:tcW w:w="488" w:type="dxa"/>
            <w:tcBorders>
              <w:top w:val="nil"/>
              <w:left w:val="nil"/>
              <w:bottom w:val="nil"/>
              <w:right w:val="nil"/>
            </w:tcBorders>
            <w:shd w:val="clear" w:color="000000" w:fill="FFFFFF"/>
            <w:noWrap/>
            <w:vAlign w:val="center"/>
            <w:hideMark/>
          </w:tcPr>
          <w:p w14:paraId="749E0CB4"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val="en-GB" w:eastAsia="en-GB"/>
              </w:rPr>
              <w:t>*</w:t>
            </w:r>
          </w:p>
        </w:tc>
        <w:tc>
          <w:tcPr>
            <w:tcW w:w="806" w:type="dxa"/>
            <w:tcBorders>
              <w:top w:val="nil"/>
              <w:left w:val="nil"/>
              <w:bottom w:val="nil"/>
              <w:right w:val="nil"/>
            </w:tcBorders>
            <w:shd w:val="clear" w:color="000000" w:fill="FFFFFF"/>
            <w:noWrap/>
            <w:vAlign w:val="center"/>
            <w:hideMark/>
          </w:tcPr>
          <w:p w14:paraId="6E5A458E"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0.005</w:t>
            </w:r>
          </w:p>
        </w:tc>
        <w:tc>
          <w:tcPr>
            <w:tcW w:w="456" w:type="dxa"/>
            <w:tcBorders>
              <w:top w:val="nil"/>
              <w:left w:val="nil"/>
              <w:bottom w:val="nil"/>
              <w:right w:val="nil"/>
            </w:tcBorders>
            <w:shd w:val="clear" w:color="000000" w:fill="FFFFFF"/>
            <w:noWrap/>
            <w:vAlign w:val="center"/>
            <w:hideMark/>
          </w:tcPr>
          <w:p w14:paraId="182B55A5"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val="en-GB" w:eastAsia="en-GB"/>
              </w:rPr>
              <w:t> </w:t>
            </w:r>
          </w:p>
        </w:tc>
        <w:tc>
          <w:tcPr>
            <w:tcW w:w="793" w:type="dxa"/>
            <w:tcBorders>
              <w:top w:val="nil"/>
              <w:left w:val="nil"/>
              <w:bottom w:val="nil"/>
              <w:right w:val="nil"/>
            </w:tcBorders>
            <w:shd w:val="clear" w:color="000000" w:fill="FFFFFF"/>
            <w:noWrap/>
            <w:vAlign w:val="center"/>
            <w:hideMark/>
          </w:tcPr>
          <w:p w14:paraId="5181548F"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0.104</w:t>
            </w:r>
          </w:p>
        </w:tc>
        <w:tc>
          <w:tcPr>
            <w:tcW w:w="486" w:type="dxa"/>
            <w:tcBorders>
              <w:top w:val="nil"/>
              <w:left w:val="nil"/>
              <w:bottom w:val="nil"/>
              <w:right w:val="nil"/>
            </w:tcBorders>
            <w:shd w:val="clear" w:color="000000" w:fill="FFFFFF"/>
            <w:noWrap/>
            <w:vAlign w:val="center"/>
            <w:hideMark/>
          </w:tcPr>
          <w:p w14:paraId="6995E5F0" w14:textId="77777777" w:rsidR="00775C36" w:rsidRPr="00775C36" w:rsidRDefault="00954C18" w:rsidP="00775C36">
            <w:pPr>
              <w:spacing w:after="0" w:line="240" w:lineRule="auto"/>
              <w:rPr>
                <w:rFonts w:ascii="Times New Roman" w:eastAsia="Times New Roman" w:hAnsi="Times New Roman" w:cs="Times New Roman"/>
                <w:color w:val="000000"/>
                <w:sz w:val="16"/>
                <w:szCs w:val="16"/>
                <w:lang w:val="en-GB" w:eastAsia="en-GB"/>
              </w:rPr>
            </w:pPr>
            <w:r>
              <w:rPr>
                <w:rFonts w:ascii="Times New Roman" w:eastAsia="Times New Roman" w:hAnsi="Times New Roman" w:cs="Times New Roman"/>
                <w:color w:val="000000"/>
                <w:sz w:val="16"/>
                <w:szCs w:val="16"/>
                <w:lang w:val="en-GB" w:eastAsia="en-GB"/>
              </w:rPr>
              <w:t>*</w:t>
            </w:r>
            <w:r w:rsidR="00775C36" w:rsidRPr="00775C36">
              <w:rPr>
                <w:rFonts w:ascii="Times New Roman" w:eastAsia="Times New Roman" w:hAnsi="Times New Roman" w:cs="Times New Roman"/>
                <w:color w:val="000000"/>
                <w:sz w:val="16"/>
                <w:szCs w:val="16"/>
                <w:lang w:val="en-GB" w:eastAsia="en-GB"/>
              </w:rPr>
              <w:t>*</w:t>
            </w:r>
          </w:p>
        </w:tc>
        <w:tc>
          <w:tcPr>
            <w:tcW w:w="793" w:type="dxa"/>
            <w:tcBorders>
              <w:top w:val="nil"/>
              <w:left w:val="nil"/>
              <w:bottom w:val="nil"/>
              <w:right w:val="nil"/>
            </w:tcBorders>
            <w:shd w:val="clear" w:color="000000" w:fill="FFFFFF"/>
            <w:noWrap/>
            <w:vAlign w:val="center"/>
            <w:hideMark/>
          </w:tcPr>
          <w:p w14:paraId="36A308EC"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-0.032</w:t>
            </w:r>
          </w:p>
        </w:tc>
        <w:tc>
          <w:tcPr>
            <w:tcW w:w="456" w:type="dxa"/>
            <w:tcBorders>
              <w:top w:val="nil"/>
              <w:left w:val="nil"/>
              <w:bottom w:val="nil"/>
              <w:right w:val="nil"/>
            </w:tcBorders>
            <w:shd w:val="clear" w:color="000000" w:fill="FFFFFF"/>
            <w:noWrap/>
            <w:vAlign w:val="center"/>
            <w:hideMark/>
          </w:tcPr>
          <w:p w14:paraId="279A0C52"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val="en-GB" w:eastAsia="en-GB"/>
              </w:rPr>
              <w:t> </w:t>
            </w:r>
          </w:p>
        </w:tc>
        <w:tc>
          <w:tcPr>
            <w:tcW w:w="835" w:type="dxa"/>
            <w:tcBorders>
              <w:top w:val="nil"/>
              <w:left w:val="nil"/>
              <w:bottom w:val="nil"/>
              <w:right w:val="nil"/>
            </w:tcBorders>
            <w:shd w:val="clear" w:color="000000" w:fill="FFFFFF"/>
            <w:noWrap/>
            <w:vAlign w:val="center"/>
            <w:hideMark/>
          </w:tcPr>
          <w:p w14:paraId="5BD75D4F"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-0.111</w:t>
            </w:r>
          </w:p>
        </w:tc>
        <w:tc>
          <w:tcPr>
            <w:tcW w:w="396" w:type="dxa"/>
            <w:tcBorders>
              <w:top w:val="nil"/>
              <w:left w:val="nil"/>
              <w:bottom w:val="nil"/>
              <w:right w:val="nil"/>
            </w:tcBorders>
            <w:shd w:val="clear" w:color="000000" w:fill="FFFFFF"/>
            <w:noWrap/>
            <w:vAlign w:val="center"/>
            <w:hideMark/>
          </w:tcPr>
          <w:p w14:paraId="70239064"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val="en-GB" w:eastAsia="en-GB"/>
              </w:rPr>
              <w:t> </w:t>
            </w:r>
          </w:p>
        </w:tc>
        <w:tc>
          <w:tcPr>
            <w:tcW w:w="835" w:type="dxa"/>
            <w:tcBorders>
              <w:top w:val="nil"/>
              <w:left w:val="nil"/>
              <w:bottom w:val="nil"/>
              <w:right w:val="nil"/>
            </w:tcBorders>
            <w:shd w:val="clear" w:color="000000" w:fill="FFFFFF"/>
            <w:noWrap/>
            <w:vAlign w:val="center"/>
            <w:hideMark/>
          </w:tcPr>
          <w:p w14:paraId="1F672D5D"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0.143</w:t>
            </w:r>
          </w:p>
        </w:tc>
        <w:tc>
          <w:tcPr>
            <w:tcW w:w="456" w:type="dxa"/>
            <w:tcBorders>
              <w:top w:val="nil"/>
              <w:left w:val="nil"/>
              <w:bottom w:val="nil"/>
              <w:right w:val="nil"/>
            </w:tcBorders>
            <w:shd w:val="clear" w:color="000000" w:fill="FFFFFF"/>
            <w:noWrap/>
            <w:vAlign w:val="center"/>
            <w:hideMark/>
          </w:tcPr>
          <w:p w14:paraId="544404F4"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val="en-GB" w:eastAsia="en-GB"/>
              </w:rPr>
              <w:t> </w:t>
            </w:r>
          </w:p>
        </w:tc>
      </w:tr>
      <w:tr w:rsidR="00775C36" w:rsidRPr="00775C36" w14:paraId="38A1BF31" w14:textId="77777777" w:rsidTr="00E936B8">
        <w:trPr>
          <w:trHeight w:val="300"/>
        </w:trPr>
        <w:tc>
          <w:tcPr>
            <w:tcW w:w="420" w:type="dxa"/>
            <w:tcBorders>
              <w:top w:val="nil"/>
              <w:left w:val="nil"/>
              <w:bottom w:val="nil"/>
              <w:right w:val="nil"/>
            </w:tcBorders>
            <w:shd w:val="clear" w:color="000000" w:fill="FFFFFF"/>
            <w:noWrap/>
            <w:vAlign w:val="center"/>
            <w:hideMark/>
          </w:tcPr>
          <w:p w14:paraId="2D580FCC" w14:textId="77777777" w:rsidR="00775C36" w:rsidRPr="00775C36" w:rsidRDefault="00775C36" w:rsidP="00775C36">
            <w:pPr>
              <w:spacing w:after="0" w:line="240" w:lineRule="auto"/>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 </w:t>
            </w:r>
          </w:p>
        </w:tc>
        <w:tc>
          <w:tcPr>
            <w:tcW w:w="2180" w:type="dxa"/>
            <w:tcBorders>
              <w:top w:val="nil"/>
              <w:left w:val="nil"/>
              <w:bottom w:val="nil"/>
              <w:right w:val="nil"/>
            </w:tcBorders>
            <w:shd w:val="clear" w:color="000000" w:fill="FFFFFF"/>
            <w:noWrap/>
            <w:vAlign w:val="center"/>
            <w:hideMark/>
          </w:tcPr>
          <w:p w14:paraId="2662D86E" w14:textId="77777777" w:rsidR="00775C36" w:rsidRPr="00775C36" w:rsidRDefault="00775C36" w:rsidP="00775C36">
            <w:pPr>
              <w:spacing w:after="0" w:line="240" w:lineRule="auto"/>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Cumulative amount invested</w:t>
            </w:r>
          </w:p>
        </w:tc>
        <w:tc>
          <w:tcPr>
            <w:tcW w:w="806" w:type="dxa"/>
            <w:tcBorders>
              <w:top w:val="nil"/>
              <w:left w:val="nil"/>
              <w:bottom w:val="nil"/>
              <w:right w:val="nil"/>
            </w:tcBorders>
            <w:shd w:val="clear" w:color="000000" w:fill="FFFFFF"/>
            <w:noWrap/>
            <w:vAlign w:val="center"/>
            <w:hideMark/>
          </w:tcPr>
          <w:p w14:paraId="3915CD34"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0.023</w:t>
            </w:r>
          </w:p>
        </w:tc>
        <w:tc>
          <w:tcPr>
            <w:tcW w:w="488" w:type="dxa"/>
            <w:tcBorders>
              <w:top w:val="nil"/>
              <w:left w:val="nil"/>
              <w:bottom w:val="nil"/>
              <w:right w:val="nil"/>
            </w:tcBorders>
            <w:shd w:val="clear" w:color="000000" w:fill="FFFFFF"/>
            <w:noWrap/>
            <w:vAlign w:val="center"/>
            <w:hideMark/>
          </w:tcPr>
          <w:p w14:paraId="146E042F"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val="en-GB" w:eastAsia="en-GB"/>
              </w:rPr>
              <w:t> </w:t>
            </w:r>
          </w:p>
        </w:tc>
        <w:tc>
          <w:tcPr>
            <w:tcW w:w="806" w:type="dxa"/>
            <w:tcBorders>
              <w:top w:val="nil"/>
              <w:left w:val="nil"/>
              <w:bottom w:val="nil"/>
              <w:right w:val="nil"/>
            </w:tcBorders>
            <w:shd w:val="clear" w:color="000000" w:fill="FFFFFF"/>
            <w:noWrap/>
            <w:vAlign w:val="center"/>
            <w:hideMark/>
          </w:tcPr>
          <w:p w14:paraId="5BA32CB4"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0.009</w:t>
            </w:r>
          </w:p>
        </w:tc>
        <w:tc>
          <w:tcPr>
            <w:tcW w:w="456" w:type="dxa"/>
            <w:tcBorders>
              <w:top w:val="nil"/>
              <w:left w:val="nil"/>
              <w:bottom w:val="nil"/>
              <w:right w:val="nil"/>
            </w:tcBorders>
            <w:shd w:val="clear" w:color="000000" w:fill="FFFFFF"/>
            <w:noWrap/>
            <w:vAlign w:val="center"/>
            <w:hideMark/>
          </w:tcPr>
          <w:p w14:paraId="1DF6E6FC"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val="en-GB" w:eastAsia="en-GB"/>
              </w:rPr>
              <w:t> </w:t>
            </w:r>
          </w:p>
        </w:tc>
        <w:tc>
          <w:tcPr>
            <w:tcW w:w="793" w:type="dxa"/>
            <w:tcBorders>
              <w:top w:val="nil"/>
              <w:left w:val="nil"/>
              <w:bottom w:val="nil"/>
              <w:right w:val="nil"/>
            </w:tcBorders>
            <w:shd w:val="clear" w:color="000000" w:fill="FFFFFF"/>
            <w:noWrap/>
            <w:vAlign w:val="center"/>
            <w:hideMark/>
          </w:tcPr>
          <w:p w14:paraId="2408131C"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0.007</w:t>
            </w:r>
          </w:p>
        </w:tc>
        <w:tc>
          <w:tcPr>
            <w:tcW w:w="486" w:type="dxa"/>
            <w:tcBorders>
              <w:top w:val="nil"/>
              <w:left w:val="nil"/>
              <w:bottom w:val="nil"/>
              <w:right w:val="nil"/>
            </w:tcBorders>
            <w:shd w:val="clear" w:color="000000" w:fill="FFFFFF"/>
            <w:noWrap/>
            <w:vAlign w:val="center"/>
            <w:hideMark/>
          </w:tcPr>
          <w:p w14:paraId="64D1F089"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val="en-GB" w:eastAsia="en-GB"/>
              </w:rPr>
              <w:t> </w:t>
            </w:r>
          </w:p>
        </w:tc>
        <w:tc>
          <w:tcPr>
            <w:tcW w:w="793" w:type="dxa"/>
            <w:tcBorders>
              <w:top w:val="nil"/>
              <w:left w:val="nil"/>
              <w:bottom w:val="nil"/>
              <w:right w:val="nil"/>
            </w:tcBorders>
            <w:shd w:val="clear" w:color="000000" w:fill="FFFFFF"/>
            <w:noWrap/>
            <w:vAlign w:val="center"/>
            <w:hideMark/>
          </w:tcPr>
          <w:p w14:paraId="6505B007"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0.044</w:t>
            </w:r>
          </w:p>
        </w:tc>
        <w:tc>
          <w:tcPr>
            <w:tcW w:w="456" w:type="dxa"/>
            <w:tcBorders>
              <w:top w:val="nil"/>
              <w:left w:val="nil"/>
              <w:bottom w:val="nil"/>
              <w:right w:val="nil"/>
            </w:tcBorders>
            <w:shd w:val="clear" w:color="000000" w:fill="FFFFFF"/>
            <w:noWrap/>
            <w:vAlign w:val="center"/>
            <w:hideMark/>
          </w:tcPr>
          <w:p w14:paraId="263EEAD7"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val="en-GB" w:eastAsia="en-GB"/>
              </w:rPr>
              <w:t> </w:t>
            </w:r>
          </w:p>
        </w:tc>
        <w:tc>
          <w:tcPr>
            <w:tcW w:w="835" w:type="dxa"/>
            <w:tcBorders>
              <w:top w:val="nil"/>
              <w:left w:val="nil"/>
              <w:bottom w:val="nil"/>
              <w:right w:val="nil"/>
            </w:tcBorders>
            <w:shd w:val="clear" w:color="000000" w:fill="FFFFFF"/>
            <w:noWrap/>
            <w:vAlign w:val="center"/>
            <w:hideMark/>
          </w:tcPr>
          <w:p w14:paraId="56C3FBF7"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-0.049</w:t>
            </w:r>
          </w:p>
        </w:tc>
        <w:tc>
          <w:tcPr>
            <w:tcW w:w="396" w:type="dxa"/>
            <w:tcBorders>
              <w:top w:val="nil"/>
              <w:left w:val="nil"/>
              <w:bottom w:val="nil"/>
              <w:right w:val="nil"/>
            </w:tcBorders>
            <w:shd w:val="clear" w:color="000000" w:fill="FFFFFF"/>
            <w:noWrap/>
            <w:vAlign w:val="center"/>
            <w:hideMark/>
          </w:tcPr>
          <w:p w14:paraId="37A625F9"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val="en-GB" w:eastAsia="en-GB"/>
              </w:rPr>
              <w:t> </w:t>
            </w:r>
          </w:p>
        </w:tc>
        <w:tc>
          <w:tcPr>
            <w:tcW w:w="835" w:type="dxa"/>
            <w:tcBorders>
              <w:top w:val="nil"/>
              <w:left w:val="nil"/>
              <w:bottom w:val="nil"/>
              <w:right w:val="nil"/>
            </w:tcBorders>
            <w:shd w:val="clear" w:color="000000" w:fill="FFFFFF"/>
            <w:noWrap/>
            <w:vAlign w:val="center"/>
            <w:hideMark/>
          </w:tcPr>
          <w:p w14:paraId="7C0B82DE"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-0.028</w:t>
            </w:r>
          </w:p>
        </w:tc>
        <w:tc>
          <w:tcPr>
            <w:tcW w:w="456" w:type="dxa"/>
            <w:tcBorders>
              <w:top w:val="nil"/>
              <w:left w:val="nil"/>
              <w:bottom w:val="nil"/>
              <w:right w:val="nil"/>
            </w:tcBorders>
            <w:shd w:val="clear" w:color="000000" w:fill="FFFFFF"/>
            <w:noWrap/>
            <w:vAlign w:val="center"/>
            <w:hideMark/>
          </w:tcPr>
          <w:p w14:paraId="60A86E71"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val="en-GB" w:eastAsia="en-GB"/>
              </w:rPr>
              <w:t> </w:t>
            </w:r>
          </w:p>
        </w:tc>
      </w:tr>
      <w:tr w:rsidR="00775C36" w:rsidRPr="00775C36" w14:paraId="12543921" w14:textId="77777777" w:rsidTr="00E936B8">
        <w:trPr>
          <w:trHeight w:val="300"/>
        </w:trPr>
        <w:tc>
          <w:tcPr>
            <w:tcW w:w="420" w:type="dxa"/>
            <w:tcBorders>
              <w:top w:val="nil"/>
              <w:left w:val="nil"/>
              <w:bottom w:val="nil"/>
              <w:right w:val="nil"/>
            </w:tcBorders>
            <w:shd w:val="clear" w:color="000000" w:fill="FFFFFF"/>
            <w:noWrap/>
            <w:vAlign w:val="center"/>
            <w:hideMark/>
          </w:tcPr>
          <w:p w14:paraId="303081FC" w14:textId="77777777" w:rsidR="00775C36" w:rsidRPr="00775C36" w:rsidRDefault="00775C36" w:rsidP="00775C36">
            <w:pPr>
              <w:spacing w:after="0" w:line="240" w:lineRule="auto"/>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 </w:t>
            </w:r>
          </w:p>
        </w:tc>
        <w:tc>
          <w:tcPr>
            <w:tcW w:w="2180" w:type="dxa"/>
            <w:tcBorders>
              <w:top w:val="nil"/>
              <w:left w:val="nil"/>
              <w:bottom w:val="nil"/>
              <w:right w:val="nil"/>
            </w:tcBorders>
            <w:shd w:val="clear" w:color="000000" w:fill="FFFFFF"/>
            <w:noWrap/>
            <w:vAlign w:val="center"/>
            <w:hideMark/>
          </w:tcPr>
          <w:p w14:paraId="4FF76974" w14:textId="77777777" w:rsidR="00775C36" w:rsidRPr="00775C36" w:rsidRDefault="00775C36" w:rsidP="00775C36">
            <w:pPr>
              <w:spacing w:after="0" w:line="240" w:lineRule="auto"/>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VC firm entry round</w:t>
            </w:r>
          </w:p>
        </w:tc>
        <w:tc>
          <w:tcPr>
            <w:tcW w:w="806" w:type="dxa"/>
            <w:tcBorders>
              <w:top w:val="nil"/>
              <w:left w:val="nil"/>
              <w:bottom w:val="nil"/>
              <w:right w:val="nil"/>
            </w:tcBorders>
            <w:shd w:val="clear" w:color="000000" w:fill="FFFFFF"/>
            <w:noWrap/>
            <w:vAlign w:val="center"/>
            <w:hideMark/>
          </w:tcPr>
          <w:p w14:paraId="619556DD"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0.293</w:t>
            </w:r>
          </w:p>
        </w:tc>
        <w:tc>
          <w:tcPr>
            <w:tcW w:w="488" w:type="dxa"/>
            <w:tcBorders>
              <w:top w:val="nil"/>
              <w:left w:val="nil"/>
              <w:bottom w:val="nil"/>
              <w:right w:val="nil"/>
            </w:tcBorders>
            <w:shd w:val="clear" w:color="000000" w:fill="FFFFFF"/>
            <w:noWrap/>
            <w:vAlign w:val="center"/>
            <w:hideMark/>
          </w:tcPr>
          <w:p w14:paraId="39324051" w14:textId="77777777" w:rsidR="00775C36" w:rsidRPr="00775C36" w:rsidRDefault="0071755B" w:rsidP="00775C36">
            <w:pPr>
              <w:spacing w:after="0" w:line="240" w:lineRule="auto"/>
              <w:rPr>
                <w:rFonts w:ascii="Times New Roman" w:eastAsia="Times New Roman" w:hAnsi="Times New Roman" w:cs="Times New Roman"/>
                <w:color w:val="000000"/>
                <w:sz w:val="16"/>
                <w:szCs w:val="16"/>
                <w:lang w:val="en-GB" w:eastAsia="en-GB"/>
              </w:rPr>
            </w:pPr>
            <w:r>
              <w:rPr>
                <w:rFonts w:ascii="Times New Roman" w:eastAsia="Times New Roman" w:hAnsi="Times New Roman" w:cs="Times New Roman"/>
                <w:color w:val="000000"/>
                <w:sz w:val="16"/>
                <w:szCs w:val="16"/>
                <w:lang w:val="en-GB" w:eastAsia="en-GB"/>
              </w:rPr>
              <w:t>*</w:t>
            </w:r>
            <w:r w:rsidR="00954C18">
              <w:rPr>
                <w:rFonts w:ascii="Times New Roman" w:eastAsia="Times New Roman" w:hAnsi="Times New Roman" w:cs="Times New Roman"/>
                <w:color w:val="000000"/>
                <w:sz w:val="16"/>
                <w:szCs w:val="16"/>
                <w:lang w:val="en-GB" w:eastAsia="en-GB"/>
              </w:rPr>
              <w:t>*</w:t>
            </w:r>
            <w:r w:rsidR="00775C36" w:rsidRPr="00775C36">
              <w:rPr>
                <w:rFonts w:ascii="Times New Roman" w:eastAsia="Times New Roman" w:hAnsi="Times New Roman" w:cs="Times New Roman"/>
                <w:color w:val="000000"/>
                <w:sz w:val="16"/>
                <w:szCs w:val="16"/>
                <w:lang w:val="en-GB" w:eastAsia="en-GB"/>
              </w:rPr>
              <w:t>*</w:t>
            </w:r>
          </w:p>
        </w:tc>
        <w:tc>
          <w:tcPr>
            <w:tcW w:w="806" w:type="dxa"/>
            <w:tcBorders>
              <w:top w:val="nil"/>
              <w:left w:val="nil"/>
              <w:bottom w:val="nil"/>
              <w:right w:val="nil"/>
            </w:tcBorders>
            <w:shd w:val="clear" w:color="000000" w:fill="FFFFFF"/>
            <w:noWrap/>
            <w:vAlign w:val="center"/>
            <w:hideMark/>
          </w:tcPr>
          <w:p w14:paraId="57DA29B5"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0.078</w:t>
            </w:r>
          </w:p>
        </w:tc>
        <w:tc>
          <w:tcPr>
            <w:tcW w:w="456" w:type="dxa"/>
            <w:tcBorders>
              <w:top w:val="nil"/>
              <w:left w:val="nil"/>
              <w:bottom w:val="nil"/>
              <w:right w:val="nil"/>
            </w:tcBorders>
            <w:shd w:val="clear" w:color="000000" w:fill="FFFFFF"/>
            <w:noWrap/>
            <w:vAlign w:val="center"/>
            <w:hideMark/>
          </w:tcPr>
          <w:p w14:paraId="677EED20"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val="en-GB" w:eastAsia="en-GB"/>
              </w:rPr>
              <w:t> </w:t>
            </w:r>
          </w:p>
        </w:tc>
        <w:tc>
          <w:tcPr>
            <w:tcW w:w="793" w:type="dxa"/>
            <w:tcBorders>
              <w:top w:val="nil"/>
              <w:left w:val="nil"/>
              <w:bottom w:val="nil"/>
              <w:right w:val="nil"/>
            </w:tcBorders>
            <w:shd w:val="clear" w:color="000000" w:fill="FFFFFF"/>
            <w:noWrap/>
            <w:vAlign w:val="center"/>
            <w:hideMark/>
          </w:tcPr>
          <w:p w14:paraId="0B5BE5CE"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0.314</w:t>
            </w:r>
          </w:p>
        </w:tc>
        <w:tc>
          <w:tcPr>
            <w:tcW w:w="486" w:type="dxa"/>
            <w:tcBorders>
              <w:top w:val="nil"/>
              <w:left w:val="nil"/>
              <w:bottom w:val="nil"/>
              <w:right w:val="nil"/>
            </w:tcBorders>
            <w:shd w:val="clear" w:color="000000" w:fill="FFFFFF"/>
            <w:noWrap/>
            <w:vAlign w:val="center"/>
            <w:hideMark/>
          </w:tcPr>
          <w:p w14:paraId="5F8BC901" w14:textId="77777777" w:rsidR="00775C36" w:rsidRPr="00775C36" w:rsidRDefault="0071755B" w:rsidP="00775C36">
            <w:pPr>
              <w:spacing w:after="0" w:line="240" w:lineRule="auto"/>
              <w:rPr>
                <w:rFonts w:ascii="Times New Roman" w:eastAsia="Times New Roman" w:hAnsi="Times New Roman" w:cs="Times New Roman"/>
                <w:color w:val="000000"/>
                <w:sz w:val="16"/>
                <w:szCs w:val="16"/>
                <w:lang w:val="en-GB" w:eastAsia="en-GB"/>
              </w:rPr>
            </w:pPr>
            <w:r>
              <w:rPr>
                <w:rFonts w:ascii="Times New Roman" w:eastAsia="Times New Roman" w:hAnsi="Times New Roman" w:cs="Times New Roman"/>
                <w:color w:val="000000"/>
                <w:sz w:val="16"/>
                <w:szCs w:val="16"/>
                <w:lang w:val="en-GB" w:eastAsia="en-GB"/>
              </w:rPr>
              <w:t>*</w:t>
            </w:r>
            <w:r w:rsidR="00954C18">
              <w:rPr>
                <w:rFonts w:ascii="Times New Roman" w:eastAsia="Times New Roman" w:hAnsi="Times New Roman" w:cs="Times New Roman"/>
                <w:color w:val="000000"/>
                <w:sz w:val="16"/>
                <w:szCs w:val="16"/>
                <w:lang w:val="en-GB" w:eastAsia="en-GB"/>
              </w:rPr>
              <w:t>*</w:t>
            </w:r>
            <w:r w:rsidR="00775C36" w:rsidRPr="00775C36">
              <w:rPr>
                <w:rFonts w:ascii="Times New Roman" w:eastAsia="Times New Roman" w:hAnsi="Times New Roman" w:cs="Times New Roman"/>
                <w:color w:val="000000"/>
                <w:sz w:val="16"/>
                <w:szCs w:val="16"/>
                <w:lang w:val="en-GB" w:eastAsia="en-GB"/>
              </w:rPr>
              <w:t>*</w:t>
            </w:r>
          </w:p>
        </w:tc>
        <w:tc>
          <w:tcPr>
            <w:tcW w:w="793" w:type="dxa"/>
            <w:tcBorders>
              <w:top w:val="nil"/>
              <w:left w:val="nil"/>
              <w:bottom w:val="nil"/>
              <w:right w:val="nil"/>
            </w:tcBorders>
            <w:shd w:val="clear" w:color="000000" w:fill="FFFFFF"/>
            <w:noWrap/>
            <w:vAlign w:val="center"/>
            <w:hideMark/>
          </w:tcPr>
          <w:p w14:paraId="10AB1BE9"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0.152</w:t>
            </w:r>
          </w:p>
        </w:tc>
        <w:tc>
          <w:tcPr>
            <w:tcW w:w="456" w:type="dxa"/>
            <w:tcBorders>
              <w:top w:val="nil"/>
              <w:left w:val="nil"/>
              <w:bottom w:val="nil"/>
              <w:right w:val="nil"/>
            </w:tcBorders>
            <w:shd w:val="clear" w:color="000000" w:fill="FFFFFF"/>
            <w:noWrap/>
            <w:vAlign w:val="center"/>
            <w:hideMark/>
          </w:tcPr>
          <w:p w14:paraId="0F5A6661"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val="en-GB" w:eastAsia="en-GB"/>
              </w:rPr>
              <w:t> </w:t>
            </w:r>
          </w:p>
        </w:tc>
        <w:tc>
          <w:tcPr>
            <w:tcW w:w="835" w:type="dxa"/>
            <w:tcBorders>
              <w:top w:val="nil"/>
              <w:left w:val="nil"/>
              <w:bottom w:val="nil"/>
              <w:right w:val="nil"/>
            </w:tcBorders>
            <w:shd w:val="clear" w:color="000000" w:fill="FFFFFF"/>
            <w:noWrap/>
            <w:vAlign w:val="center"/>
            <w:hideMark/>
          </w:tcPr>
          <w:p w14:paraId="1A165B93"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0.284</w:t>
            </w:r>
          </w:p>
        </w:tc>
        <w:tc>
          <w:tcPr>
            <w:tcW w:w="396" w:type="dxa"/>
            <w:tcBorders>
              <w:top w:val="nil"/>
              <w:left w:val="nil"/>
              <w:bottom w:val="nil"/>
              <w:right w:val="nil"/>
            </w:tcBorders>
            <w:shd w:val="clear" w:color="000000" w:fill="FFFFFF"/>
            <w:noWrap/>
            <w:vAlign w:val="center"/>
            <w:hideMark/>
          </w:tcPr>
          <w:p w14:paraId="66C3E30D"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val="en-GB" w:eastAsia="en-GB"/>
              </w:rPr>
              <w:t> </w:t>
            </w:r>
          </w:p>
        </w:tc>
        <w:tc>
          <w:tcPr>
            <w:tcW w:w="835" w:type="dxa"/>
            <w:tcBorders>
              <w:top w:val="nil"/>
              <w:left w:val="nil"/>
              <w:bottom w:val="nil"/>
              <w:right w:val="nil"/>
            </w:tcBorders>
            <w:shd w:val="clear" w:color="000000" w:fill="FFFFFF"/>
            <w:noWrap/>
            <w:vAlign w:val="center"/>
            <w:hideMark/>
          </w:tcPr>
          <w:p w14:paraId="03EA62F6"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0.143</w:t>
            </w:r>
          </w:p>
        </w:tc>
        <w:tc>
          <w:tcPr>
            <w:tcW w:w="456" w:type="dxa"/>
            <w:tcBorders>
              <w:top w:val="nil"/>
              <w:left w:val="nil"/>
              <w:bottom w:val="nil"/>
              <w:right w:val="nil"/>
            </w:tcBorders>
            <w:shd w:val="clear" w:color="000000" w:fill="FFFFFF"/>
            <w:noWrap/>
            <w:vAlign w:val="center"/>
            <w:hideMark/>
          </w:tcPr>
          <w:p w14:paraId="51E326CC"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val="en-GB" w:eastAsia="en-GB"/>
              </w:rPr>
              <w:t> </w:t>
            </w:r>
          </w:p>
        </w:tc>
      </w:tr>
      <w:tr w:rsidR="00775C36" w:rsidRPr="00775C36" w14:paraId="5D6F054C" w14:textId="77777777" w:rsidTr="00E936B8">
        <w:trPr>
          <w:trHeight w:val="300"/>
        </w:trPr>
        <w:tc>
          <w:tcPr>
            <w:tcW w:w="420" w:type="dxa"/>
            <w:tcBorders>
              <w:top w:val="nil"/>
              <w:left w:val="nil"/>
              <w:bottom w:val="nil"/>
              <w:right w:val="nil"/>
            </w:tcBorders>
            <w:shd w:val="clear" w:color="000000" w:fill="FFFFFF"/>
            <w:noWrap/>
            <w:vAlign w:val="center"/>
            <w:hideMark/>
          </w:tcPr>
          <w:p w14:paraId="4420525F" w14:textId="77777777" w:rsidR="00775C36" w:rsidRPr="00775C36" w:rsidRDefault="00775C36" w:rsidP="00775C36">
            <w:pPr>
              <w:spacing w:after="0" w:line="240" w:lineRule="auto"/>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 </w:t>
            </w:r>
          </w:p>
        </w:tc>
        <w:tc>
          <w:tcPr>
            <w:tcW w:w="2180" w:type="dxa"/>
            <w:tcBorders>
              <w:top w:val="nil"/>
              <w:left w:val="nil"/>
              <w:bottom w:val="nil"/>
              <w:right w:val="nil"/>
            </w:tcBorders>
            <w:shd w:val="clear" w:color="000000" w:fill="FFFFFF"/>
            <w:noWrap/>
            <w:vAlign w:val="center"/>
            <w:hideMark/>
          </w:tcPr>
          <w:p w14:paraId="2704E6DF" w14:textId="77777777" w:rsidR="00775C36" w:rsidRPr="00775C36" w:rsidRDefault="00775C36" w:rsidP="00775C36">
            <w:pPr>
              <w:spacing w:after="0" w:line="240" w:lineRule="auto"/>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Syndication size</w:t>
            </w:r>
          </w:p>
        </w:tc>
        <w:tc>
          <w:tcPr>
            <w:tcW w:w="806" w:type="dxa"/>
            <w:tcBorders>
              <w:top w:val="nil"/>
              <w:left w:val="nil"/>
              <w:bottom w:val="nil"/>
              <w:right w:val="nil"/>
            </w:tcBorders>
            <w:shd w:val="clear" w:color="000000" w:fill="FFFFFF"/>
            <w:noWrap/>
            <w:vAlign w:val="center"/>
            <w:hideMark/>
          </w:tcPr>
          <w:p w14:paraId="0219C31F"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-0.028</w:t>
            </w:r>
          </w:p>
        </w:tc>
        <w:tc>
          <w:tcPr>
            <w:tcW w:w="488" w:type="dxa"/>
            <w:tcBorders>
              <w:top w:val="nil"/>
              <w:left w:val="nil"/>
              <w:bottom w:val="nil"/>
              <w:right w:val="nil"/>
            </w:tcBorders>
            <w:shd w:val="clear" w:color="000000" w:fill="FFFFFF"/>
            <w:noWrap/>
            <w:vAlign w:val="center"/>
            <w:hideMark/>
          </w:tcPr>
          <w:p w14:paraId="315F2207"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val="en-GB" w:eastAsia="en-GB"/>
              </w:rPr>
              <w:t> </w:t>
            </w:r>
          </w:p>
        </w:tc>
        <w:tc>
          <w:tcPr>
            <w:tcW w:w="806" w:type="dxa"/>
            <w:tcBorders>
              <w:top w:val="nil"/>
              <w:left w:val="nil"/>
              <w:bottom w:val="nil"/>
              <w:right w:val="nil"/>
            </w:tcBorders>
            <w:shd w:val="clear" w:color="000000" w:fill="FFFFFF"/>
            <w:noWrap/>
            <w:vAlign w:val="center"/>
            <w:hideMark/>
          </w:tcPr>
          <w:p w14:paraId="29A92F01"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-0.162</w:t>
            </w:r>
          </w:p>
        </w:tc>
        <w:tc>
          <w:tcPr>
            <w:tcW w:w="456" w:type="dxa"/>
            <w:tcBorders>
              <w:top w:val="nil"/>
              <w:left w:val="nil"/>
              <w:bottom w:val="nil"/>
              <w:right w:val="nil"/>
            </w:tcBorders>
            <w:shd w:val="clear" w:color="000000" w:fill="FFFFFF"/>
            <w:noWrap/>
            <w:vAlign w:val="center"/>
            <w:hideMark/>
          </w:tcPr>
          <w:p w14:paraId="5A7CF647" w14:textId="77777777" w:rsidR="00775C36" w:rsidRPr="00775C36" w:rsidRDefault="00954C18" w:rsidP="00775C36">
            <w:pPr>
              <w:spacing w:after="0" w:line="240" w:lineRule="auto"/>
              <w:rPr>
                <w:rFonts w:ascii="Times New Roman" w:eastAsia="Times New Roman" w:hAnsi="Times New Roman" w:cs="Times New Roman"/>
                <w:color w:val="000000"/>
                <w:sz w:val="16"/>
                <w:szCs w:val="16"/>
                <w:lang w:val="en-GB" w:eastAsia="en-GB"/>
              </w:rPr>
            </w:pPr>
            <w:r>
              <w:rPr>
                <w:rFonts w:ascii="Times New Roman" w:eastAsia="Times New Roman" w:hAnsi="Times New Roman" w:cs="Times New Roman"/>
                <w:color w:val="000000"/>
                <w:sz w:val="16"/>
                <w:szCs w:val="16"/>
                <w:lang w:val="en-GB" w:eastAsia="en-GB"/>
              </w:rPr>
              <w:t>*</w:t>
            </w:r>
            <w:r w:rsidR="00775C36" w:rsidRPr="00775C36">
              <w:rPr>
                <w:rFonts w:ascii="Times New Roman" w:eastAsia="Times New Roman" w:hAnsi="Times New Roman" w:cs="Times New Roman"/>
                <w:color w:val="000000"/>
                <w:sz w:val="16"/>
                <w:szCs w:val="16"/>
                <w:lang w:val="en-GB" w:eastAsia="en-GB"/>
              </w:rPr>
              <w:t>*</w:t>
            </w:r>
          </w:p>
        </w:tc>
        <w:tc>
          <w:tcPr>
            <w:tcW w:w="793" w:type="dxa"/>
            <w:tcBorders>
              <w:top w:val="nil"/>
              <w:left w:val="nil"/>
              <w:bottom w:val="nil"/>
              <w:right w:val="nil"/>
            </w:tcBorders>
            <w:shd w:val="clear" w:color="000000" w:fill="FFFFFF"/>
            <w:noWrap/>
            <w:vAlign w:val="center"/>
            <w:hideMark/>
          </w:tcPr>
          <w:p w14:paraId="0700F57C"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-0.062</w:t>
            </w:r>
          </w:p>
        </w:tc>
        <w:tc>
          <w:tcPr>
            <w:tcW w:w="486" w:type="dxa"/>
            <w:tcBorders>
              <w:top w:val="nil"/>
              <w:left w:val="nil"/>
              <w:bottom w:val="nil"/>
              <w:right w:val="nil"/>
            </w:tcBorders>
            <w:shd w:val="clear" w:color="000000" w:fill="FFFFFF"/>
            <w:noWrap/>
            <w:vAlign w:val="center"/>
            <w:hideMark/>
          </w:tcPr>
          <w:p w14:paraId="4AD65AE8"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val="en-GB" w:eastAsia="en-GB"/>
              </w:rPr>
              <w:t> </w:t>
            </w:r>
          </w:p>
        </w:tc>
        <w:tc>
          <w:tcPr>
            <w:tcW w:w="793" w:type="dxa"/>
            <w:tcBorders>
              <w:top w:val="nil"/>
              <w:left w:val="nil"/>
              <w:bottom w:val="nil"/>
              <w:right w:val="nil"/>
            </w:tcBorders>
            <w:shd w:val="clear" w:color="000000" w:fill="FFFFFF"/>
            <w:noWrap/>
            <w:vAlign w:val="center"/>
            <w:hideMark/>
          </w:tcPr>
          <w:p w14:paraId="1C6A4D5A"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-0.194</w:t>
            </w:r>
          </w:p>
        </w:tc>
        <w:tc>
          <w:tcPr>
            <w:tcW w:w="456" w:type="dxa"/>
            <w:tcBorders>
              <w:top w:val="nil"/>
              <w:left w:val="nil"/>
              <w:bottom w:val="nil"/>
              <w:right w:val="nil"/>
            </w:tcBorders>
            <w:shd w:val="clear" w:color="000000" w:fill="FFFFFF"/>
            <w:noWrap/>
            <w:vAlign w:val="center"/>
            <w:hideMark/>
          </w:tcPr>
          <w:p w14:paraId="35262BB8"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val="en-GB" w:eastAsia="en-GB"/>
              </w:rPr>
              <w:t>*</w:t>
            </w:r>
          </w:p>
        </w:tc>
        <w:tc>
          <w:tcPr>
            <w:tcW w:w="835" w:type="dxa"/>
            <w:tcBorders>
              <w:top w:val="nil"/>
              <w:left w:val="nil"/>
              <w:bottom w:val="nil"/>
              <w:right w:val="nil"/>
            </w:tcBorders>
            <w:shd w:val="clear" w:color="000000" w:fill="FFFFFF"/>
            <w:noWrap/>
            <w:vAlign w:val="center"/>
            <w:hideMark/>
          </w:tcPr>
          <w:p w14:paraId="14680A43"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0.260</w:t>
            </w:r>
          </w:p>
        </w:tc>
        <w:tc>
          <w:tcPr>
            <w:tcW w:w="396" w:type="dxa"/>
            <w:tcBorders>
              <w:top w:val="nil"/>
              <w:left w:val="nil"/>
              <w:bottom w:val="nil"/>
              <w:right w:val="nil"/>
            </w:tcBorders>
            <w:shd w:val="clear" w:color="000000" w:fill="FFFFFF"/>
            <w:noWrap/>
            <w:vAlign w:val="center"/>
            <w:hideMark/>
          </w:tcPr>
          <w:p w14:paraId="765E6CB3" w14:textId="77777777" w:rsidR="00775C36" w:rsidRPr="00775C36" w:rsidRDefault="00E936B8" w:rsidP="00775C36">
            <w:pPr>
              <w:spacing w:after="0" w:line="240" w:lineRule="auto"/>
              <w:rPr>
                <w:rFonts w:ascii="Times New Roman" w:eastAsia="Times New Roman" w:hAnsi="Times New Roman" w:cs="Times New Roman"/>
                <w:color w:val="000000"/>
                <w:sz w:val="16"/>
                <w:szCs w:val="16"/>
                <w:lang w:val="en-GB" w:eastAsia="en-GB"/>
              </w:rPr>
            </w:pPr>
            <w:r w:rsidRPr="0001749F">
              <w:rPr>
                <w:rFonts w:ascii="Times New Roman" w:eastAsia="Times New Roman" w:hAnsi="Times New Roman" w:cs="Times New Roman"/>
                <w:b/>
                <w:bCs/>
                <w:color w:val="000000"/>
                <w:sz w:val="20"/>
                <w:szCs w:val="20"/>
              </w:rPr>
              <w:t>†</w:t>
            </w:r>
          </w:p>
        </w:tc>
        <w:tc>
          <w:tcPr>
            <w:tcW w:w="835" w:type="dxa"/>
            <w:tcBorders>
              <w:top w:val="nil"/>
              <w:left w:val="nil"/>
              <w:bottom w:val="nil"/>
              <w:right w:val="nil"/>
            </w:tcBorders>
            <w:shd w:val="clear" w:color="000000" w:fill="FFFFFF"/>
            <w:noWrap/>
            <w:vAlign w:val="center"/>
            <w:hideMark/>
          </w:tcPr>
          <w:p w14:paraId="1F7D105B"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-0.320</w:t>
            </w:r>
          </w:p>
        </w:tc>
        <w:tc>
          <w:tcPr>
            <w:tcW w:w="456" w:type="dxa"/>
            <w:tcBorders>
              <w:top w:val="nil"/>
              <w:left w:val="nil"/>
              <w:bottom w:val="nil"/>
              <w:right w:val="nil"/>
            </w:tcBorders>
            <w:shd w:val="clear" w:color="000000" w:fill="FFFFFF"/>
            <w:noWrap/>
            <w:vAlign w:val="center"/>
            <w:hideMark/>
          </w:tcPr>
          <w:p w14:paraId="1BE93A51" w14:textId="77777777" w:rsidR="00775C36" w:rsidRPr="00775C36" w:rsidRDefault="00E936B8" w:rsidP="00775C36">
            <w:pPr>
              <w:spacing w:after="0" w:line="240" w:lineRule="auto"/>
              <w:rPr>
                <w:rFonts w:ascii="Times New Roman" w:eastAsia="Times New Roman" w:hAnsi="Times New Roman" w:cs="Times New Roman"/>
                <w:color w:val="000000"/>
                <w:sz w:val="16"/>
                <w:szCs w:val="16"/>
                <w:lang w:val="en-GB" w:eastAsia="en-GB"/>
              </w:rPr>
            </w:pPr>
            <w:r w:rsidRPr="0001749F">
              <w:rPr>
                <w:rFonts w:ascii="Times New Roman" w:eastAsia="Times New Roman" w:hAnsi="Times New Roman" w:cs="Times New Roman"/>
                <w:b/>
                <w:bCs/>
                <w:color w:val="000000"/>
                <w:sz w:val="20"/>
                <w:szCs w:val="20"/>
              </w:rPr>
              <w:t>†</w:t>
            </w:r>
          </w:p>
        </w:tc>
      </w:tr>
      <w:tr w:rsidR="00775C36" w:rsidRPr="00775C36" w14:paraId="6D26F544" w14:textId="77777777" w:rsidTr="00E936B8">
        <w:trPr>
          <w:trHeight w:val="300"/>
        </w:trPr>
        <w:tc>
          <w:tcPr>
            <w:tcW w:w="420" w:type="dxa"/>
            <w:tcBorders>
              <w:top w:val="nil"/>
              <w:left w:val="nil"/>
              <w:bottom w:val="nil"/>
              <w:right w:val="nil"/>
            </w:tcBorders>
            <w:shd w:val="clear" w:color="000000" w:fill="FFFFFF"/>
            <w:noWrap/>
            <w:vAlign w:val="center"/>
            <w:hideMark/>
          </w:tcPr>
          <w:p w14:paraId="072B2694" w14:textId="77777777" w:rsidR="00775C36" w:rsidRPr="00775C36" w:rsidRDefault="00775C36" w:rsidP="00775C36">
            <w:pPr>
              <w:spacing w:after="0" w:line="240" w:lineRule="auto"/>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 </w:t>
            </w:r>
          </w:p>
        </w:tc>
        <w:tc>
          <w:tcPr>
            <w:tcW w:w="2180" w:type="dxa"/>
            <w:tcBorders>
              <w:top w:val="nil"/>
              <w:left w:val="nil"/>
              <w:bottom w:val="nil"/>
              <w:right w:val="nil"/>
            </w:tcBorders>
            <w:shd w:val="clear" w:color="000000" w:fill="FFFFFF"/>
            <w:noWrap/>
            <w:vAlign w:val="center"/>
            <w:hideMark/>
          </w:tcPr>
          <w:p w14:paraId="1D73B9CF" w14:textId="77777777" w:rsidR="00775C36" w:rsidRPr="00775C36" w:rsidRDefault="00775C36" w:rsidP="00775C36">
            <w:pPr>
              <w:spacing w:after="0" w:line="240" w:lineRule="auto"/>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Mixed syndicate</w:t>
            </w:r>
          </w:p>
        </w:tc>
        <w:tc>
          <w:tcPr>
            <w:tcW w:w="806" w:type="dxa"/>
            <w:tcBorders>
              <w:top w:val="nil"/>
              <w:left w:val="nil"/>
              <w:bottom w:val="nil"/>
              <w:right w:val="nil"/>
            </w:tcBorders>
            <w:shd w:val="clear" w:color="000000" w:fill="FFFFFF"/>
            <w:noWrap/>
            <w:vAlign w:val="center"/>
            <w:hideMark/>
          </w:tcPr>
          <w:p w14:paraId="7BABFCF5"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0.234</w:t>
            </w:r>
          </w:p>
        </w:tc>
        <w:tc>
          <w:tcPr>
            <w:tcW w:w="488" w:type="dxa"/>
            <w:tcBorders>
              <w:top w:val="nil"/>
              <w:left w:val="nil"/>
              <w:bottom w:val="nil"/>
              <w:right w:val="nil"/>
            </w:tcBorders>
            <w:shd w:val="clear" w:color="000000" w:fill="FFFFFF"/>
            <w:noWrap/>
            <w:vAlign w:val="center"/>
            <w:hideMark/>
          </w:tcPr>
          <w:p w14:paraId="10143D24"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val="en-GB" w:eastAsia="en-GB"/>
              </w:rPr>
              <w:t> </w:t>
            </w:r>
          </w:p>
        </w:tc>
        <w:tc>
          <w:tcPr>
            <w:tcW w:w="806" w:type="dxa"/>
            <w:tcBorders>
              <w:top w:val="nil"/>
              <w:left w:val="nil"/>
              <w:bottom w:val="nil"/>
              <w:right w:val="nil"/>
            </w:tcBorders>
            <w:shd w:val="clear" w:color="000000" w:fill="FFFFFF"/>
            <w:noWrap/>
            <w:vAlign w:val="center"/>
            <w:hideMark/>
          </w:tcPr>
          <w:p w14:paraId="737A448C"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0.473</w:t>
            </w:r>
          </w:p>
        </w:tc>
        <w:tc>
          <w:tcPr>
            <w:tcW w:w="456" w:type="dxa"/>
            <w:tcBorders>
              <w:top w:val="nil"/>
              <w:left w:val="nil"/>
              <w:bottom w:val="nil"/>
              <w:right w:val="nil"/>
            </w:tcBorders>
            <w:shd w:val="clear" w:color="000000" w:fill="FFFFFF"/>
            <w:noWrap/>
            <w:vAlign w:val="center"/>
            <w:hideMark/>
          </w:tcPr>
          <w:p w14:paraId="34A4B116" w14:textId="77777777" w:rsidR="00775C36" w:rsidRPr="00775C36" w:rsidRDefault="00954C18" w:rsidP="00775C36">
            <w:pPr>
              <w:spacing w:after="0" w:line="240" w:lineRule="auto"/>
              <w:rPr>
                <w:rFonts w:ascii="Times New Roman" w:eastAsia="Times New Roman" w:hAnsi="Times New Roman" w:cs="Times New Roman"/>
                <w:color w:val="000000"/>
                <w:sz w:val="16"/>
                <w:szCs w:val="16"/>
                <w:lang w:val="en-GB" w:eastAsia="en-GB"/>
              </w:rPr>
            </w:pPr>
            <w:r>
              <w:rPr>
                <w:rFonts w:ascii="Times New Roman" w:eastAsia="Times New Roman" w:hAnsi="Times New Roman" w:cs="Times New Roman"/>
                <w:color w:val="000000"/>
                <w:sz w:val="16"/>
                <w:szCs w:val="16"/>
                <w:lang w:val="en-GB" w:eastAsia="en-GB"/>
              </w:rPr>
              <w:t>*</w:t>
            </w:r>
            <w:r w:rsidR="00775C36" w:rsidRPr="00775C36">
              <w:rPr>
                <w:rFonts w:ascii="Times New Roman" w:eastAsia="Times New Roman" w:hAnsi="Times New Roman" w:cs="Times New Roman"/>
                <w:color w:val="000000"/>
                <w:sz w:val="16"/>
                <w:szCs w:val="16"/>
                <w:lang w:val="en-GB" w:eastAsia="en-GB"/>
              </w:rPr>
              <w:t>*</w:t>
            </w:r>
          </w:p>
        </w:tc>
        <w:tc>
          <w:tcPr>
            <w:tcW w:w="793" w:type="dxa"/>
            <w:tcBorders>
              <w:top w:val="nil"/>
              <w:left w:val="nil"/>
              <w:bottom w:val="nil"/>
              <w:right w:val="nil"/>
            </w:tcBorders>
            <w:shd w:val="clear" w:color="000000" w:fill="FFFFFF"/>
            <w:noWrap/>
            <w:vAlign w:val="center"/>
            <w:hideMark/>
          </w:tcPr>
          <w:p w14:paraId="2D2A6725"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0.161</w:t>
            </w:r>
          </w:p>
        </w:tc>
        <w:tc>
          <w:tcPr>
            <w:tcW w:w="486" w:type="dxa"/>
            <w:tcBorders>
              <w:top w:val="nil"/>
              <w:left w:val="nil"/>
              <w:bottom w:val="nil"/>
              <w:right w:val="nil"/>
            </w:tcBorders>
            <w:shd w:val="clear" w:color="000000" w:fill="FFFFFF"/>
            <w:noWrap/>
            <w:vAlign w:val="center"/>
            <w:hideMark/>
          </w:tcPr>
          <w:p w14:paraId="4EC3BB3A"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val="en-GB" w:eastAsia="en-GB"/>
              </w:rPr>
              <w:t> </w:t>
            </w:r>
          </w:p>
        </w:tc>
        <w:tc>
          <w:tcPr>
            <w:tcW w:w="793" w:type="dxa"/>
            <w:tcBorders>
              <w:top w:val="nil"/>
              <w:left w:val="nil"/>
              <w:bottom w:val="nil"/>
              <w:right w:val="nil"/>
            </w:tcBorders>
            <w:shd w:val="clear" w:color="000000" w:fill="FFFFFF"/>
            <w:noWrap/>
            <w:vAlign w:val="center"/>
            <w:hideMark/>
          </w:tcPr>
          <w:p w14:paraId="45F2702B"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0.512</w:t>
            </w:r>
          </w:p>
        </w:tc>
        <w:tc>
          <w:tcPr>
            <w:tcW w:w="456" w:type="dxa"/>
            <w:tcBorders>
              <w:top w:val="nil"/>
              <w:left w:val="nil"/>
              <w:bottom w:val="nil"/>
              <w:right w:val="nil"/>
            </w:tcBorders>
            <w:shd w:val="clear" w:color="000000" w:fill="FFFFFF"/>
            <w:noWrap/>
            <w:vAlign w:val="center"/>
            <w:hideMark/>
          </w:tcPr>
          <w:p w14:paraId="00C60222"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val="en-GB" w:eastAsia="en-GB"/>
              </w:rPr>
              <w:t>*</w:t>
            </w:r>
          </w:p>
        </w:tc>
        <w:tc>
          <w:tcPr>
            <w:tcW w:w="835" w:type="dxa"/>
            <w:tcBorders>
              <w:top w:val="nil"/>
              <w:left w:val="nil"/>
              <w:bottom w:val="nil"/>
              <w:right w:val="nil"/>
            </w:tcBorders>
            <w:shd w:val="clear" w:color="000000" w:fill="FFFFFF"/>
            <w:noWrap/>
            <w:vAlign w:val="center"/>
            <w:hideMark/>
          </w:tcPr>
          <w:p w14:paraId="474C8407"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-0.780</w:t>
            </w:r>
          </w:p>
        </w:tc>
        <w:tc>
          <w:tcPr>
            <w:tcW w:w="396" w:type="dxa"/>
            <w:tcBorders>
              <w:top w:val="nil"/>
              <w:left w:val="nil"/>
              <w:bottom w:val="nil"/>
              <w:right w:val="nil"/>
            </w:tcBorders>
            <w:shd w:val="clear" w:color="000000" w:fill="FFFFFF"/>
            <w:noWrap/>
            <w:vAlign w:val="center"/>
            <w:hideMark/>
          </w:tcPr>
          <w:p w14:paraId="5D71EACA"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val="en-GB" w:eastAsia="en-GB"/>
              </w:rPr>
              <w:t> </w:t>
            </w:r>
          </w:p>
        </w:tc>
        <w:tc>
          <w:tcPr>
            <w:tcW w:w="835" w:type="dxa"/>
            <w:tcBorders>
              <w:top w:val="nil"/>
              <w:left w:val="nil"/>
              <w:bottom w:val="nil"/>
              <w:right w:val="nil"/>
            </w:tcBorders>
            <w:shd w:val="clear" w:color="000000" w:fill="FFFFFF"/>
            <w:noWrap/>
            <w:vAlign w:val="center"/>
            <w:hideMark/>
          </w:tcPr>
          <w:p w14:paraId="76494269"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0.855</w:t>
            </w:r>
          </w:p>
        </w:tc>
        <w:tc>
          <w:tcPr>
            <w:tcW w:w="456" w:type="dxa"/>
            <w:tcBorders>
              <w:top w:val="nil"/>
              <w:left w:val="nil"/>
              <w:bottom w:val="nil"/>
              <w:right w:val="nil"/>
            </w:tcBorders>
            <w:shd w:val="clear" w:color="000000" w:fill="FFFFFF"/>
            <w:noWrap/>
            <w:vAlign w:val="center"/>
            <w:hideMark/>
          </w:tcPr>
          <w:p w14:paraId="7385C016"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val="en-GB" w:eastAsia="en-GB"/>
              </w:rPr>
              <w:t> </w:t>
            </w:r>
          </w:p>
        </w:tc>
      </w:tr>
      <w:tr w:rsidR="00775C36" w:rsidRPr="00775C36" w14:paraId="0784C674" w14:textId="77777777" w:rsidTr="00E936B8">
        <w:trPr>
          <w:trHeight w:val="300"/>
        </w:trPr>
        <w:tc>
          <w:tcPr>
            <w:tcW w:w="2600" w:type="dxa"/>
            <w:gridSpan w:val="2"/>
            <w:tcBorders>
              <w:top w:val="nil"/>
              <w:left w:val="nil"/>
              <w:bottom w:val="nil"/>
              <w:right w:val="nil"/>
            </w:tcBorders>
            <w:shd w:val="clear" w:color="000000" w:fill="FFFFFF"/>
            <w:noWrap/>
            <w:vAlign w:val="center"/>
            <w:hideMark/>
          </w:tcPr>
          <w:p w14:paraId="0A9C137D" w14:textId="77777777" w:rsidR="00775C36" w:rsidRPr="00775C36" w:rsidRDefault="00775C36" w:rsidP="00775C36">
            <w:pPr>
              <w:spacing w:after="0" w:line="240" w:lineRule="auto"/>
              <w:rPr>
                <w:rFonts w:ascii="Times New Roman" w:eastAsia="Times New Roman" w:hAnsi="Times New Roman" w:cs="Times New Roman"/>
                <w:i/>
                <w:iCs/>
                <w:color w:val="000000"/>
                <w:sz w:val="18"/>
                <w:szCs w:val="18"/>
                <w:lang w:val="en-GB" w:eastAsia="en-GB"/>
              </w:rPr>
            </w:pPr>
            <w:r w:rsidRPr="00775C36">
              <w:rPr>
                <w:rFonts w:ascii="Times New Roman" w:eastAsia="Times New Roman" w:hAnsi="Times New Roman" w:cs="Times New Roman"/>
                <w:i/>
                <w:iCs/>
                <w:color w:val="000000"/>
                <w:sz w:val="18"/>
                <w:szCs w:val="18"/>
                <w:lang w:eastAsia="en-GB"/>
              </w:rPr>
              <w:t>Market conditions</w:t>
            </w:r>
          </w:p>
        </w:tc>
        <w:tc>
          <w:tcPr>
            <w:tcW w:w="806" w:type="dxa"/>
            <w:tcBorders>
              <w:top w:val="nil"/>
              <w:left w:val="nil"/>
              <w:bottom w:val="nil"/>
              <w:right w:val="nil"/>
            </w:tcBorders>
            <w:shd w:val="clear" w:color="000000" w:fill="FFFFFF"/>
            <w:noWrap/>
            <w:vAlign w:val="center"/>
            <w:hideMark/>
          </w:tcPr>
          <w:p w14:paraId="20A45789"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 </w:t>
            </w:r>
          </w:p>
        </w:tc>
        <w:tc>
          <w:tcPr>
            <w:tcW w:w="488" w:type="dxa"/>
            <w:tcBorders>
              <w:top w:val="nil"/>
              <w:left w:val="nil"/>
              <w:bottom w:val="nil"/>
              <w:right w:val="nil"/>
            </w:tcBorders>
            <w:shd w:val="clear" w:color="000000" w:fill="FFFFFF"/>
            <w:noWrap/>
            <w:vAlign w:val="center"/>
            <w:hideMark/>
          </w:tcPr>
          <w:p w14:paraId="5BBEF44A"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val="en-GB" w:eastAsia="en-GB"/>
              </w:rPr>
              <w:t> </w:t>
            </w:r>
          </w:p>
        </w:tc>
        <w:tc>
          <w:tcPr>
            <w:tcW w:w="806" w:type="dxa"/>
            <w:tcBorders>
              <w:top w:val="nil"/>
              <w:left w:val="nil"/>
              <w:bottom w:val="nil"/>
              <w:right w:val="nil"/>
            </w:tcBorders>
            <w:shd w:val="clear" w:color="000000" w:fill="FFFFFF"/>
            <w:noWrap/>
            <w:vAlign w:val="center"/>
            <w:hideMark/>
          </w:tcPr>
          <w:p w14:paraId="47AEACB3"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 </w:t>
            </w:r>
          </w:p>
        </w:tc>
        <w:tc>
          <w:tcPr>
            <w:tcW w:w="456" w:type="dxa"/>
            <w:tcBorders>
              <w:top w:val="nil"/>
              <w:left w:val="nil"/>
              <w:bottom w:val="nil"/>
              <w:right w:val="nil"/>
            </w:tcBorders>
            <w:shd w:val="clear" w:color="000000" w:fill="FFFFFF"/>
            <w:noWrap/>
            <w:vAlign w:val="center"/>
            <w:hideMark/>
          </w:tcPr>
          <w:p w14:paraId="1324257F"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val="en-GB" w:eastAsia="en-GB"/>
              </w:rPr>
              <w:t> </w:t>
            </w:r>
          </w:p>
        </w:tc>
        <w:tc>
          <w:tcPr>
            <w:tcW w:w="793" w:type="dxa"/>
            <w:tcBorders>
              <w:top w:val="nil"/>
              <w:left w:val="nil"/>
              <w:bottom w:val="nil"/>
              <w:right w:val="nil"/>
            </w:tcBorders>
            <w:shd w:val="clear" w:color="000000" w:fill="FFFFFF"/>
            <w:noWrap/>
            <w:vAlign w:val="center"/>
            <w:hideMark/>
          </w:tcPr>
          <w:p w14:paraId="6CBF4423"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 </w:t>
            </w:r>
          </w:p>
        </w:tc>
        <w:tc>
          <w:tcPr>
            <w:tcW w:w="486" w:type="dxa"/>
            <w:tcBorders>
              <w:top w:val="nil"/>
              <w:left w:val="nil"/>
              <w:bottom w:val="nil"/>
              <w:right w:val="nil"/>
            </w:tcBorders>
            <w:shd w:val="clear" w:color="000000" w:fill="FFFFFF"/>
            <w:noWrap/>
            <w:vAlign w:val="center"/>
            <w:hideMark/>
          </w:tcPr>
          <w:p w14:paraId="00A5EC1A"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val="en-GB" w:eastAsia="en-GB"/>
              </w:rPr>
              <w:t> </w:t>
            </w:r>
          </w:p>
        </w:tc>
        <w:tc>
          <w:tcPr>
            <w:tcW w:w="793" w:type="dxa"/>
            <w:tcBorders>
              <w:top w:val="nil"/>
              <w:left w:val="nil"/>
              <w:bottom w:val="nil"/>
              <w:right w:val="nil"/>
            </w:tcBorders>
            <w:shd w:val="clear" w:color="000000" w:fill="FFFFFF"/>
            <w:noWrap/>
            <w:vAlign w:val="center"/>
            <w:hideMark/>
          </w:tcPr>
          <w:p w14:paraId="785F5ECF"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 </w:t>
            </w:r>
          </w:p>
        </w:tc>
        <w:tc>
          <w:tcPr>
            <w:tcW w:w="456" w:type="dxa"/>
            <w:tcBorders>
              <w:top w:val="nil"/>
              <w:left w:val="nil"/>
              <w:bottom w:val="nil"/>
              <w:right w:val="nil"/>
            </w:tcBorders>
            <w:shd w:val="clear" w:color="000000" w:fill="FFFFFF"/>
            <w:noWrap/>
            <w:vAlign w:val="center"/>
            <w:hideMark/>
          </w:tcPr>
          <w:p w14:paraId="7DC52255"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val="en-GB" w:eastAsia="en-GB"/>
              </w:rPr>
              <w:t> </w:t>
            </w:r>
          </w:p>
        </w:tc>
        <w:tc>
          <w:tcPr>
            <w:tcW w:w="835" w:type="dxa"/>
            <w:tcBorders>
              <w:top w:val="nil"/>
              <w:left w:val="nil"/>
              <w:bottom w:val="nil"/>
              <w:right w:val="nil"/>
            </w:tcBorders>
            <w:shd w:val="clear" w:color="000000" w:fill="FFFFFF"/>
            <w:noWrap/>
            <w:vAlign w:val="center"/>
            <w:hideMark/>
          </w:tcPr>
          <w:p w14:paraId="0EC31B48"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 </w:t>
            </w:r>
          </w:p>
        </w:tc>
        <w:tc>
          <w:tcPr>
            <w:tcW w:w="396" w:type="dxa"/>
            <w:tcBorders>
              <w:top w:val="nil"/>
              <w:left w:val="nil"/>
              <w:bottom w:val="nil"/>
              <w:right w:val="nil"/>
            </w:tcBorders>
            <w:shd w:val="clear" w:color="000000" w:fill="FFFFFF"/>
            <w:noWrap/>
            <w:vAlign w:val="center"/>
            <w:hideMark/>
          </w:tcPr>
          <w:p w14:paraId="6DFA4B22"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val="en-GB" w:eastAsia="en-GB"/>
              </w:rPr>
              <w:t> </w:t>
            </w:r>
          </w:p>
        </w:tc>
        <w:tc>
          <w:tcPr>
            <w:tcW w:w="835" w:type="dxa"/>
            <w:tcBorders>
              <w:top w:val="nil"/>
              <w:left w:val="nil"/>
              <w:bottom w:val="nil"/>
              <w:right w:val="nil"/>
            </w:tcBorders>
            <w:shd w:val="clear" w:color="000000" w:fill="FFFFFF"/>
            <w:noWrap/>
            <w:vAlign w:val="center"/>
            <w:hideMark/>
          </w:tcPr>
          <w:p w14:paraId="3621371C"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 </w:t>
            </w:r>
          </w:p>
        </w:tc>
        <w:tc>
          <w:tcPr>
            <w:tcW w:w="456" w:type="dxa"/>
            <w:tcBorders>
              <w:top w:val="nil"/>
              <w:left w:val="nil"/>
              <w:bottom w:val="nil"/>
              <w:right w:val="nil"/>
            </w:tcBorders>
            <w:shd w:val="clear" w:color="000000" w:fill="FFFFFF"/>
            <w:noWrap/>
            <w:vAlign w:val="center"/>
            <w:hideMark/>
          </w:tcPr>
          <w:p w14:paraId="334C0C68"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val="en-GB" w:eastAsia="en-GB"/>
              </w:rPr>
              <w:t> </w:t>
            </w:r>
          </w:p>
        </w:tc>
      </w:tr>
      <w:tr w:rsidR="00775C36" w:rsidRPr="00775C36" w14:paraId="42507C52" w14:textId="77777777" w:rsidTr="00E936B8">
        <w:trPr>
          <w:trHeight w:val="300"/>
        </w:trPr>
        <w:tc>
          <w:tcPr>
            <w:tcW w:w="420" w:type="dxa"/>
            <w:tcBorders>
              <w:top w:val="nil"/>
              <w:left w:val="nil"/>
              <w:bottom w:val="nil"/>
              <w:right w:val="nil"/>
            </w:tcBorders>
            <w:shd w:val="clear" w:color="000000" w:fill="FFFFFF"/>
            <w:noWrap/>
            <w:vAlign w:val="center"/>
            <w:hideMark/>
          </w:tcPr>
          <w:p w14:paraId="0BBE0D5C" w14:textId="77777777" w:rsidR="00775C36" w:rsidRPr="00775C36" w:rsidRDefault="00775C36" w:rsidP="00775C36">
            <w:pPr>
              <w:spacing w:after="0" w:line="240" w:lineRule="auto"/>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 </w:t>
            </w:r>
          </w:p>
        </w:tc>
        <w:tc>
          <w:tcPr>
            <w:tcW w:w="2180" w:type="dxa"/>
            <w:tcBorders>
              <w:top w:val="nil"/>
              <w:left w:val="nil"/>
              <w:bottom w:val="nil"/>
              <w:right w:val="nil"/>
            </w:tcBorders>
            <w:shd w:val="clear" w:color="000000" w:fill="FFFFFF"/>
            <w:noWrap/>
            <w:vAlign w:val="center"/>
            <w:hideMark/>
          </w:tcPr>
          <w:p w14:paraId="15134543" w14:textId="77777777" w:rsidR="00775C36" w:rsidRPr="00775C36" w:rsidRDefault="00775C36" w:rsidP="00775C36">
            <w:pPr>
              <w:spacing w:after="0" w:line="240" w:lineRule="auto"/>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IPO market conditions</w:t>
            </w:r>
          </w:p>
        </w:tc>
        <w:tc>
          <w:tcPr>
            <w:tcW w:w="806" w:type="dxa"/>
            <w:tcBorders>
              <w:top w:val="nil"/>
              <w:left w:val="nil"/>
              <w:bottom w:val="nil"/>
              <w:right w:val="nil"/>
            </w:tcBorders>
            <w:shd w:val="clear" w:color="000000" w:fill="FFFFFF"/>
            <w:noWrap/>
            <w:vAlign w:val="center"/>
            <w:hideMark/>
          </w:tcPr>
          <w:p w14:paraId="1F54CFB8"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0.002</w:t>
            </w:r>
          </w:p>
        </w:tc>
        <w:tc>
          <w:tcPr>
            <w:tcW w:w="488" w:type="dxa"/>
            <w:tcBorders>
              <w:top w:val="nil"/>
              <w:left w:val="nil"/>
              <w:bottom w:val="nil"/>
              <w:right w:val="nil"/>
            </w:tcBorders>
            <w:shd w:val="clear" w:color="000000" w:fill="FFFFFF"/>
            <w:noWrap/>
            <w:vAlign w:val="center"/>
            <w:hideMark/>
          </w:tcPr>
          <w:p w14:paraId="13B1780C"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val="en-GB" w:eastAsia="en-GB"/>
              </w:rPr>
              <w:t>*</w:t>
            </w:r>
          </w:p>
        </w:tc>
        <w:tc>
          <w:tcPr>
            <w:tcW w:w="806" w:type="dxa"/>
            <w:tcBorders>
              <w:top w:val="nil"/>
              <w:left w:val="nil"/>
              <w:bottom w:val="nil"/>
              <w:right w:val="nil"/>
            </w:tcBorders>
            <w:shd w:val="clear" w:color="000000" w:fill="FFFFFF"/>
            <w:noWrap/>
            <w:vAlign w:val="center"/>
            <w:hideMark/>
          </w:tcPr>
          <w:p w14:paraId="1A5732A9"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0.003</w:t>
            </w:r>
          </w:p>
        </w:tc>
        <w:tc>
          <w:tcPr>
            <w:tcW w:w="456" w:type="dxa"/>
            <w:tcBorders>
              <w:top w:val="nil"/>
              <w:left w:val="nil"/>
              <w:bottom w:val="nil"/>
              <w:right w:val="nil"/>
            </w:tcBorders>
            <w:shd w:val="clear" w:color="000000" w:fill="FFFFFF"/>
            <w:noWrap/>
            <w:vAlign w:val="center"/>
            <w:hideMark/>
          </w:tcPr>
          <w:p w14:paraId="1E3F501E" w14:textId="77777777" w:rsidR="00775C36" w:rsidRPr="00775C36" w:rsidRDefault="00954C18" w:rsidP="00775C36">
            <w:pPr>
              <w:spacing w:after="0" w:line="240" w:lineRule="auto"/>
              <w:rPr>
                <w:rFonts w:ascii="Times New Roman" w:eastAsia="Times New Roman" w:hAnsi="Times New Roman" w:cs="Times New Roman"/>
                <w:color w:val="000000"/>
                <w:sz w:val="16"/>
                <w:szCs w:val="16"/>
                <w:lang w:val="en-GB" w:eastAsia="en-GB"/>
              </w:rPr>
            </w:pPr>
            <w:r>
              <w:rPr>
                <w:rFonts w:ascii="Times New Roman" w:eastAsia="Times New Roman" w:hAnsi="Times New Roman" w:cs="Times New Roman"/>
                <w:color w:val="000000"/>
                <w:sz w:val="16"/>
                <w:szCs w:val="16"/>
                <w:lang w:val="en-GB" w:eastAsia="en-GB"/>
              </w:rPr>
              <w:t>*</w:t>
            </w:r>
            <w:r w:rsidR="0071755B">
              <w:rPr>
                <w:rFonts w:ascii="Times New Roman" w:eastAsia="Times New Roman" w:hAnsi="Times New Roman" w:cs="Times New Roman"/>
                <w:color w:val="000000"/>
                <w:sz w:val="16"/>
                <w:szCs w:val="16"/>
                <w:lang w:val="en-GB" w:eastAsia="en-GB"/>
              </w:rPr>
              <w:t>*</w:t>
            </w:r>
            <w:r w:rsidR="00775C36" w:rsidRPr="00775C36">
              <w:rPr>
                <w:rFonts w:ascii="Times New Roman" w:eastAsia="Times New Roman" w:hAnsi="Times New Roman" w:cs="Times New Roman"/>
                <w:color w:val="000000"/>
                <w:sz w:val="16"/>
                <w:szCs w:val="16"/>
                <w:lang w:val="en-GB" w:eastAsia="en-GB"/>
              </w:rPr>
              <w:t>*</w:t>
            </w:r>
          </w:p>
        </w:tc>
        <w:tc>
          <w:tcPr>
            <w:tcW w:w="793" w:type="dxa"/>
            <w:tcBorders>
              <w:top w:val="nil"/>
              <w:left w:val="nil"/>
              <w:bottom w:val="nil"/>
              <w:right w:val="nil"/>
            </w:tcBorders>
            <w:shd w:val="clear" w:color="000000" w:fill="FFFFFF"/>
            <w:noWrap/>
            <w:vAlign w:val="center"/>
            <w:hideMark/>
          </w:tcPr>
          <w:p w14:paraId="7DF156C0"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0.002</w:t>
            </w:r>
          </w:p>
        </w:tc>
        <w:tc>
          <w:tcPr>
            <w:tcW w:w="486" w:type="dxa"/>
            <w:tcBorders>
              <w:top w:val="nil"/>
              <w:left w:val="nil"/>
              <w:bottom w:val="nil"/>
              <w:right w:val="nil"/>
            </w:tcBorders>
            <w:shd w:val="clear" w:color="000000" w:fill="FFFFFF"/>
            <w:noWrap/>
            <w:vAlign w:val="center"/>
            <w:hideMark/>
          </w:tcPr>
          <w:p w14:paraId="2E9A0B5F"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val="en-GB" w:eastAsia="en-GB"/>
              </w:rPr>
              <w:t>*</w:t>
            </w:r>
          </w:p>
        </w:tc>
        <w:tc>
          <w:tcPr>
            <w:tcW w:w="793" w:type="dxa"/>
            <w:tcBorders>
              <w:top w:val="nil"/>
              <w:left w:val="nil"/>
              <w:bottom w:val="nil"/>
              <w:right w:val="nil"/>
            </w:tcBorders>
            <w:shd w:val="clear" w:color="000000" w:fill="FFFFFF"/>
            <w:noWrap/>
            <w:vAlign w:val="center"/>
            <w:hideMark/>
          </w:tcPr>
          <w:p w14:paraId="66B30CA8"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0.003</w:t>
            </w:r>
          </w:p>
        </w:tc>
        <w:tc>
          <w:tcPr>
            <w:tcW w:w="456" w:type="dxa"/>
            <w:tcBorders>
              <w:top w:val="nil"/>
              <w:left w:val="nil"/>
              <w:bottom w:val="nil"/>
              <w:right w:val="nil"/>
            </w:tcBorders>
            <w:shd w:val="clear" w:color="000000" w:fill="FFFFFF"/>
            <w:noWrap/>
            <w:vAlign w:val="center"/>
            <w:hideMark/>
          </w:tcPr>
          <w:p w14:paraId="7DF97E5E"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val="en-GB" w:eastAsia="en-GB"/>
              </w:rPr>
              <w:t>*</w:t>
            </w:r>
          </w:p>
        </w:tc>
        <w:tc>
          <w:tcPr>
            <w:tcW w:w="835" w:type="dxa"/>
            <w:tcBorders>
              <w:top w:val="nil"/>
              <w:left w:val="nil"/>
              <w:bottom w:val="nil"/>
              <w:right w:val="nil"/>
            </w:tcBorders>
            <w:shd w:val="clear" w:color="000000" w:fill="FFFFFF"/>
            <w:noWrap/>
            <w:vAlign w:val="center"/>
            <w:hideMark/>
          </w:tcPr>
          <w:p w14:paraId="6771C738"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0.002</w:t>
            </w:r>
          </w:p>
        </w:tc>
        <w:tc>
          <w:tcPr>
            <w:tcW w:w="396" w:type="dxa"/>
            <w:tcBorders>
              <w:top w:val="nil"/>
              <w:left w:val="nil"/>
              <w:bottom w:val="nil"/>
              <w:right w:val="nil"/>
            </w:tcBorders>
            <w:shd w:val="clear" w:color="000000" w:fill="FFFFFF"/>
            <w:noWrap/>
            <w:vAlign w:val="center"/>
            <w:hideMark/>
          </w:tcPr>
          <w:p w14:paraId="12F49EEA"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val="en-GB" w:eastAsia="en-GB"/>
              </w:rPr>
              <w:t> </w:t>
            </w:r>
          </w:p>
        </w:tc>
        <w:tc>
          <w:tcPr>
            <w:tcW w:w="835" w:type="dxa"/>
            <w:tcBorders>
              <w:top w:val="nil"/>
              <w:left w:val="nil"/>
              <w:bottom w:val="nil"/>
              <w:right w:val="nil"/>
            </w:tcBorders>
            <w:shd w:val="clear" w:color="000000" w:fill="FFFFFF"/>
            <w:noWrap/>
            <w:vAlign w:val="center"/>
            <w:hideMark/>
          </w:tcPr>
          <w:p w14:paraId="4D813C3E"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0.008</w:t>
            </w:r>
          </w:p>
        </w:tc>
        <w:tc>
          <w:tcPr>
            <w:tcW w:w="456" w:type="dxa"/>
            <w:tcBorders>
              <w:top w:val="nil"/>
              <w:left w:val="nil"/>
              <w:bottom w:val="nil"/>
              <w:right w:val="nil"/>
            </w:tcBorders>
            <w:shd w:val="clear" w:color="000000" w:fill="FFFFFF"/>
            <w:noWrap/>
            <w:vAlign w:val="center"/>
            <w:hideMark/>
          </w:tcPr>
          <w:p w14:paraId="71F0EA11"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val="en-GB" w:eastAsia="en-GB"/>
              </w:rPr>
              <w:t>**</w:t>
            </w:r>
          </w:p>
        </w:tc>
      </w:tr>
      <w:tr w:rsidR="00775C36" w:rsidRPr="00775C36" w14:paraId="2498846C" w14:textId="77777777" w:rsidTr="00E936B8">
        <w:trPr>
          <w:trHeight w:val="300"/>
        </w:trPr>
        <w:tc>
          <w:tcPr>
            <w:tcW w:w="2600" w:type="dxa"/>
            <w:gridSpan w:val="2"/>
            <w:tcBorders>
              <w:top w:val="nil"/>
              <w:left w:val="nil"/>
              <w:bottom w:val="nil"/>
              <w:right w:val="nil"/>
            </w:tcBorders>
            <w:shd w:val="clear" w:color="000000" w:fill="FFFFFF"/>
            <w:noWrap/>
            <w:vAlign w:val="center"/>
            <w:hideMark/>
          </w:tcPr>
          <w:p w14:paraId="24BE303B" w14:textId="77777777" w:rsidR="00775C36" w:rsidRPr="00775C36" w:rsidRDefault="00775C36" w:rsidP="00775C36">
            <w:pPr>
              <w:spacing w:after="0" w:line="240" w:lineRule="auto"/>
              <w:rPr>
                <w:rFonts w:ascii="Times New Roman" w:eastAsia="Times New Roman" w:hAnsi="Times New Roman" w:cs="Times New Roman"/>
                <w:i/>
                <w:iCs/>
                <w:color w:val="000000"/>
                <w:sz w:val="18"/>
                <w:szCs w:val="18"/>
                <w:lang w:val="en-GB" w:eastAsia="en-GB"/>
              </w:rPr>
            </w:pPr>
            <w:r w:rsidRPr="00775C36">
              <w:rPr>
                <w:rFonts w:ascii="Times New Roman" w:eastAsia="Times New Roman" w:hAnsi="Times New Roman" w:cs="Times New Roman"/>
                <w:i/>
                <w:iCs/>
                <w:color w:val="000000"/>
                <w:sz w:val="18"/>
                <w:szCs w:val="18"/>
                <w:lang w:eastAsia="en-GB"/>
              </w:rPr>
              <w:t xml:space="preserve">Other </w:t>
            </w:r>
          </w:p>
        </w:tc>
        <w:tc>
          <w:tcPr>
            <w:tcW w:w="806" w:type="dxa"/>
            <w:tcBorders>
              <w:top w:val="nil"/>
              <w:left w:val="nil"/>
              <w:bottom w:val="nil"/>
              <w:right w:val="nil"/>
            </w:tcBorders>
            <w:shd w:val="clear" w:color="000000" w:fill="FFFFFF"/>
            <w:noWrap/>
            <w:vAlign w:val="center"/>
            <w:hideMark/>
          </w:tcPr>
          <w:p w14:paraId="2F4D0420" w14:textId="77777777" w:rsidR="00775C36" w:rsidRPr="00775C36" w:rsidRDefault="00775C36" w:rsidP="00775C36">
            <w:pPr>
              <w:spacing w:after="0" w:line="240" w:lineRule="auto"/>
              <w:jc w:val="right"/>
              <w:rPr>
                <w:rFonts w:ascii="Times New Roman" w:eastAsia="Times New Roman" w:hAnsi="Times New Roman" w:cs="Times New Roman"/>
                <w:i/>
                <w:iCs/>
                <w:color w:val="000000"/>
                <w:sz w:val="18"/>
                <w:szCs w:val="18"/>
                <w:lang w:val="en-GB" w:eastAsia="en-GB"/>
              </w:rPr>
            </w:pPr>
            <w:r w:rsidRPr="00775C36">
              <w:rPr>
                <w:rFonts w:ascii="Times New Roman" w:eastAsia="Times New Roman" w:hAnsi="Times New Roman" w:cs="Times New Roman"/>
                <w:i/>
                <w:iCs/>
                <w:color w:val="000000"/>
                <w:sz w:val="18"/>
                <w:szCs w:val="18"/>
                <w:lang w:eastAsia="en-GB"/>
              </w:rPr>
              <w:t> </w:t>
            </w:r>
          </w:p>
        </w:tc>
        <w:tc>
          <w:tcPr>
            <w:tcW w:w="488" w:type="dxa"/>
            <w:tcBorders>
              <w:top w:val="nil"/>
              <w:left w:val="nil"/>
              <w:bottom w:val="nil"/>
              <w:right w:val="nil"/>
            </w:tcBorders>
            <w:shd w:val="clear" w:color="000000" w:fill="FFFFFF"/>
            <w:noWrap/>
            <w:vAlign w:val="center"/>
            <w:hideMark/>
          </w:tcPr>
          <w:p w14:paraId="38A41E69" w14:textId="77777777" w:rsidR="00775C36" w:rsidRPr="00775C36" w:rsidRDefault="00775C36" w:rsidP="00775C36">
            <w:pPr>
              <w:spacing w:after="0" w:line="240" w:lineRule="auto"/>
              <w:rPr>
                <w:rFonts w:ascii="Times New Roman" w:eastAsia="Times New Roman" w:hAnsi="Times New Roman" w:cs="Times New Roman"/>
                <w:i/>
                <w:iCs/>
                <w:color w:val="000000"/>
                <w:sz w:val="16"/>
                <w:szCs w:val="16"/>
                <w:lang w:val="en-GB" w:eastAsia="en-GB"/>
              </w:rPr>
            </w:pPr>
            <w:r w:rsidRPr="00775C36">
              <w:rPr>
                <w:rFonts w:ascii="Times New Roman" w:eastAsia="Times New Roman" w:hAnsi="Times New Roman" w:cs="Times New Roman"/>
                <w:i/>
                <w:iCs/>
                <w:color w:val="000000"/>
                <w:sz w:val="16"/>
                <w:szCs w:val="16"/>
                <w:lang w:eastAsia="en-GB"/>
              </w:rPr>
              <w:t> </w:t>
            </w:r>
          </w:p>
        </w:tc>
        <w:tc>
          <w:tcPr>
            <w:tcW w:w="806" w:type="dxa"/>
            <w:tcBorders>
              <w:top w:val="nil"/>
              <w:left w:val="nil"/>
              <w:bottom w:val="nil"/>
              <w:right w:val="nil"/>
            </w:tcBorders>
            <w:shd w:val="clear" w:color="000000" w:fill="FFFFFF"/>
            <w:noWrap/>
            <w:vAlign w:val="center"/>
            <w:hideMark/>
          </w:tcPr>
          <w:p w14:paraId="0B2F735F" w14:textId="77777777" w:rsidR="00775C36" w:rsidRPr="00775C36" w:rsidRDefault="00775C36" w:rsidP="00775C36">
            <w:pPr>
              <w:spacing w:after="0" w:line="240" w:lineRule="auto"/>
              <w:jc w:val="right"/>
              <w:rPr>
                <w:rFonts w:ascii="Times New Roman" w:eastAsia="Times New Roman" w:hAnsi="Times New Roman" w:cs="Times New Roman"/>
                <w:i/>
                <w:iCs/>
                <w:color w:val="000000"/>
                <w:sz w:val="18"/>
                <w:szCs w:val="18"/>
                <w:lang w:val="en-GB" w:eastAsia="en-GB"/>
              </w:rPr>
            </w:pPr>
            <w:r w:rsidRPr="00775C36">
              <w:rPr>
                <w:rFonts w:ascii="Times New Roman" w:eastAsia="Times New Roman" w:hAnsi="Times New Roman" w:cs="Times New Roman"/>
                <w:i/>
                <w:iCs/>
                <w:color w:val="000000"/>
                <w:sz w:val="18"/>
                <w:szCs w:val="18"/>
                <w:lang w:eastAsia="en-GB"/>
              </w:rPr>
              <w:t> </w:t>
            </w:r>
          </w:p>
        </w:tc>
        <w:tc>
          <w:tcPr>
            <w:tcW w:w="456" w:type="dxa"/>
            <w:tcBorders>
              <w:top w:val="nil"/>
              <w:left w:val="nil"/>
              <w:bottom w:val="nil"/>
              <w:right w:val="nil"/>
            </w:tcBorders>
            <w:shd w:val="clear" w:color="000000" w:fill="FFFFFF"/>
            <w:noWrap/>
            <w:vAlign w:val="center"/>
            <w:hideMark/>
          </w:tcPr>
          <w:p w14:paraId="3669B318" w14:textId="77777777" w:rsidR="00775C36" w:rsidRPr="00775C36" w:rsidRDefault="00775C36" w:rsidP="00775C36">
            <w:pPr>
              <w:spacing w:after="0" w:line="240" w:lineRule="auto"/>
              <w:rPr>
                <w:rFonts w:ascii="Times New Roman" w:eastAsia="Times New Roman" w:hAnsi="Times New Roman" w:cs="Times New Roman"/>
                <w:i/>
                <w:iCs/>
                <w:color w:val="000000"/>
                <w:sz w:val="16"/>
                <w:szCs w:val="16"/>
                <w:lang w:val="en-GB" w:eastAsia="en-GB"/>
              </w:rPr>
            </w:pPr>
            <w:r w:rsidRPr="00775C36">
              <w:rPr>
                <w:rFonts w:ascii="Times New Roman" w:eastAsia="Times New Roman" w:hAnsi="Times New Roman" w:cs="Times New Roman"/>
                <w:i/>
                <w:iCs/>
                <w:color w:val="000000"/>
                <w:sz w:val="16"/>
                <w:szCs w:val="16"/>
                <w:lang w:eastAsia="en-GB"/>
              </w:rPr>
              <w:t> </w:t>
            </w:r>
          </w:p>
        </w:tc>
        <w:tc>
          <w:tcPr>
            <w:tcW w:w="793" w:type="dxa"/>
            <w:tcBorders>
              <w:top w:val="nil"/>
              <w:left w:val="nil"/>
              <w:bottom w:val="nil"/>
              <w:right w:val="nil"/>
            </w:tcBorders>
            <w:shd w:val="clear" w:color="000000" w:fill="FFFFFF"/>
            <w:noWrap/>
            <w:vAlign w:val="center"/>
            <w:hideMark/>
          </w:tcPr>
          <w:p w14:paraId="1008604F" w14:textId="77777777" w:rsidR="00775C36" w:rsidRPr="00775C36" w:rsidRDefault="00775C36" w:rsidP="00775C36">
            <w:pPr>
              <w:spacing w:after="0" w:line="240" w:lineRule="auto"/>
              <w:jc w:val="right"/>
              <w:rPr>
                <w:rFonts w:ascii="Times New Roman" w:eastAsia="Times New Roman" w:hAnsi="Times New Roman" w:cs="Times New Roman"/>
                <w:i/>
                <w:iCs/>
                <w:color w:val="000000"/>
                <w:sz w:val="18"/>
                <w:szCs w:val="18"/>
                <w:lang w:val="en-GB" w:eastAsia="en-GB"/>
              </w:rPr>
            </w:pPr>
            <w:r w:rsidRPr="00775C36">
              <w:rPr>
                <w:rFonts w:ascii="Times New Roman" w:eastAsia="Times New Roman" w:hAnsi="Times New Roman" w:cs="Times New Roman"/>
                <w:i/>
                <w:iCs/>
                <w:color w:val="000000"/>
                <w:sz w:val="18"/>
                <w:szCs w:val="18"/>
                <w:lang w:eastAsia="en-GB"/>
              </w:rPr>
              <w:t> </w:t>
            </w:r>
          </w:p>
        </w:tc>
        <w:tc>
          <w:tcPr>
            <w:tcW w:w="486" w:type="dxa"/>
            <w:tcBorders>
              <w:top w:val="nil"/>
              <w:left w:val="nil"/>
              <w:bottom w:val="nil"/>
              <w:right w:val="nil"/>
            </w:tcBorders>
            <w:shd w:val="clear" w:color="000000" w:fill="FFFFFF"/>
            <w:noWrap/>
            <w:vAlign w:val="center"/>
            <w:hideMark/>
          </w:tcPr>
          <w:p w14:paraId="2C638035" w14:textId="77777777" w:rsidR="00775C36" w:rsidRPr="00775C36" w:rsidRDefault="00775C36" w:rsidP="00775C36">
            <w:pPr>
              <w:spacing w:after="0" w:line="240" w:lineRule="auto"/>
              <w:rPr>
                <w:rFonts w:ascii="Times New Roman" w:eastAsia="Times New Roman" w:hAnsi="Times New Roman" w:cs="Times New Roman"/>
                <w:i/>
                <w:iCs/>
                <w:color w:val="000000"/>
                <w:sz w:val="16"/>
                <w:szCs w:val="16"/>
                <w:lang w:val="en-GB" w:eastAsia="en-GB"/>
              </w:rPr>
            </w:pPr>
            <w:r w:rsidRPr="00775C36">
              <w:rPr>
                <w:rFonts w:ascii="Times New Roman" w:eastAsia="Times New Roman" w:hAnsi="Times New Roman" w:cs="Times New Roman"/>
                <w:i/>
                <w:iCs/>
                <w:color w:val="000000"/>
                <w:sz w:val="16"/>
                <w:szCs w:val="16"/>
                <w:lang w:eastAsia="en-GB"/>
              </w:rPr>
              <w:t> </w:t>
            </w:r>
          </w:p>
        </w:tc>
        <w:tc>
          <w:tcPr>
            <w:tcW w:w="793" w:type="dxa"/>
            <w:tcBorders>
              <w:top w:val="nil"/>
              <w:left w:val="nil"/>
              <w:bottom w:val="nil"/>
              <w:right w:val="nil"/>
            </w:tcBorders>
            <w:shd w:val="clear" w:color="000000" w:fill="FFFFFF"/>
            <w:noWrap/>
            <w:vAlign w:val="center"/>
            <w:hideMark/>
          </w:tcPr>
          <w:p w14:paraId="003A2C00" w14:textId="77777777" w:rsidR="00775C36" w:rsidRPr="00775C36" w:rsidRDefault="00775C36" w:rsidP="00775C36">
            <w:pPr>
              <w:spacing w:after="0" w:line="240" w:lineRule="auto"/>
              <w:jc w:val="right"/>
              <w:rPr>
                <w:rFonts w:ascii="Times New Roman" w:eastAsia="Times New Roman" w:hAnsi="Times New Roman" w:cs="Times New Roman"/>
                <w:i/>
                <w:iCs/>
                <w:color w:val="000000"/>
                <w:sz w:val="18"/>
                <w:szCs w:val="18"/>
                <w:lang w:val="en-GB" w:eastAsia="en-GB"/>
              </w:rPr>
            </w:pPr>
            <w:r w:rsidRPr="00775C36">
              <w:rPr>
                <w:rFonts w:ascii="Times New Roman" w:eastAsia="Times New Roman" w:hAnsi="Times New Roman" w:cs="Times New Roman"/>
                <w:i/>
                <w:iCs/>
                <w:color w:val="000000"/>
                <w:sz w:val="18"/>
                <w:szCs w:val="18"/>
                <w:lang w:eastAsia="en-GB"/>
              </w:rPr>
              <w:t> </w:t>
            </w:r>
          </w:p>
        </w:tc>
        <w:tc>
          <w:tcPr>
            <w:tcW w:w="456" w:type="dxa"/>
            <w:tcBorders>
              <w:top w:val="nil"/>
              <w:left w:val="nil"/>
              <w:bottom w:val="nil"/>
              <w:right w:val="nil"/>
            </w:tcBorders>
            <w:shd w:val="clear" w:color="000000" w:fill="FFFFFF"/>
            <w:noWrap/>
            <w:vAlign w:val="center"/>
            <w:hideMark/>
          </w:tcPr>
          <w:p w14:paraId="52B6BF0F" w14:textId="77777777" w:rsidR="00775C36" w:rsidRPr="00775C36" w:rsidRDefault="00775C36" w:rsidP="00775C36">
            <w:pPr>
              <w:spacing w:after="0" w:line="240" w:lineRule="auto"/>
              <w:rPr>
                <w:rFonts w:ascii="Times New Roman" w:eastAsia="Times New Roman" w:hAnsi="Times New Roman" w:cs="Times New Roman"/>
                <w:i/>
                <w:iCs/>
                <w:color w:val="000000"/>
                <w:sz w:val="16"/>
                <w:szCs w:val="16"/>
                <w:lang w:val="en-GB" w:eastAsia="en-GB"/>
              </w:rPr>
            </w:pPr>
            <w:r w:rsidRPr="00775C36">
              <w:rPr>
                <w:rFonts w:ascii="Times New Roman" w:eastAsia="Times New Roman" w:hAnsi="Times New Roman" w:cs="Times New Roman"/>
                <w:i/>
                <w:iCs/>
                <w:color w:val="000000"/>
                <w:sz w:val="16"/>
                <w:szCs w:val="16"/>
                <w:lang w:eastAsia="en-GB"/>
              </w:rPr>
              <w:t> </w:t>
            </w:r>
          </w:p>
        </w:tc>
        <w:tc>
          <w:tcPr>
            <w:tcW w:w="835" w:type="dxa"/>
            <w:tcBorders>
              <w:top w:val="nil"/>
              <w:left w:val="nil"/>
              <w:bottom w:val="nil"/>
              <w:right w:val="nil"/>
            </w:tcBorders>
            <w:shd w:val="clear" w:color="000000" w:fill="FFFFFF"/>
            <w:noWrap/>
            <w:vAlign w:val="center"/>
            <w:hideMark/>
          </w:tcPr>
          <w:p w14:paraId="47CC9218" w14:textId="77777777" w:rsidR="00775C36" w:rsidRPr="00775C36" w:rsidRDefault="00775C36" w:rsidP="00775C36">
            <w:pPr>
              <w:spacing w:after="0" w:line="240" w:lineRule="auto"/>
              <w:jc w:val="right"/>
              <w:rPr>
                <w:rFonts w:ascii="Times New Roman" w:eastAsia="Times New Roman" w:hAnsi="Times New Roman" w:cs="Times New Roman"/>
                <w:i/>
                <w:iCs/>
                <w:color w:val="000000"/>
                <w:sz w:val="18"/>
                <w:szCs w:val="18"/>
                <w:lang w:val="en-GB" w:eastAsia="en-GB"/>
              </w:rPr>
            </w:pPr>
            <w:r w:rsidRPr="00775C36">
              <w:rPr>
                <w:rFonts w:ascii="Times New Roman" w:eastAsia="Times New Roman" w:hAnsi="Times New Roman" w:cs="Times New Roman"/>
                <w:i/>
                <w:iCs/>
                <w:color w:val="000000"/>
                <w:sz w:val="18"/>
                <w:szCs w:val="18"/>
                <w:lang w:eastAsia="en-GB"/>
              </w:rPr>
              <w:t> </w:t>
            </w:r>
          </w:p>
        </w:tc>
        <w:tc>
          <w:tcPr>
            <w:tcW w:w="396" w:type="dxa"/>
            <w:tcBorders>
              <w:top w:val="nil"/>
              <w:left w:val="nil"/>
              <w:bottom w:val="nil"/>
              <w:right w:val="nil"/>
            </w:tcBorders>
            <w:shd w:val="clear" w:color="000000" w:fill="FFFFFF"/>
            <w:noWrap/>
            <w:vAlign w:val="center"/>
            <w:hideMark/>
          </w:tcPr>
          <w:p w14:paraId="0E0D7D4F" w14:textId="77777777" w:rsidR="00775C36" w:rsidRPr="00775C36" w:rsidRDefault="00775C36" w:rsidP="00775C36">
            <w:pPr>
              <w:spacing w:after="0" w:line="240" w:lineRule="auto"/>
              <w:rPr>
                <w:rFonts w:ascii="Times New Roman" w:eastAsia="Times New Roman" w:hAnsi="Times New Roman" w:cs="Times New Roman"/>
                <w:i/>
                <w:iCs/>
                <w:color w:val="000000"/>
                <w:sz w:val="16"/>
                <w:szCs w:val="16"/>
                <w:lang w:val="en-GB" w:eastAsia="en-GB"/>
              </w:rPr>
            </w:pPr>
            <w:r w:rsidRPr="00775C36">
              <w:rPr>
                <w:rFonts w:ascii="Times New Roman" w:eastAsia="Times New Roman" w:hAnsi="Times New Roman" w:cs="Times New Roman"/>
                <w:i/>
                <w:iCs/>
                <w:color w:val="000000"/>
                <w:sz w:val="16"/>
                <w:szCs w:val="16"/>
                <w:lang w:eastAsia="en-GB"/>
              </w:rPr>
              <w:t> </w:t>
            </w:r>
          </w:p>
        </w:tc>
        <w:tc>
          <w:tcPr>
            <w:tcW w:w="835" w:type="dxa"/>
            <w:tcBorders>
              <w:top w:val="nil"/>
              <w:left w:val="nil"/>
              <w:bottom w:val="nil"/>
              <w:right w:val="nil"/>
            </w:tcBorders>
            <w:shd w:val="clear" w:color="000000" w:fill="FFFFFF"/>
            <w:noWrap/>
            <w:vAlign w:val="center"/>
            <w:hideMark/>
          </w:tcPr>
          <w:p w14:paraId="368D0A54" w14:textId="77777777" w:rsidR="00775C36" w:rsidRPr="00775C36" w:rsidRDefault="00775C36" w:rsidP="00775C36">
            <w:pPr>
              <w:spacing w:after="0" w:line="240" w:lineRule="auto"/>
              <w:jc w:val="right"/>
              <w:rPr>
                <w:rFonts w:ascii="Times New Roman" w:eastAsia="Times New Roman" w:hAnsi="Times New Roman" w:cs="Times New Roman"/>
                <w:i/>
                <w:iCs/>
                <w:color w:val="000000"/>
                <w:sz w:val="18"/>
                <w:szCs w:val="18"/>
                <w:lang w:val="en-GB" w:eastAsia="en-GB"/>
              </w:rPr>
            </w:pPr>
            <w:r w:rsidRPr="00775C36">
              <w:rPr>
                <w:rFonts w:ascii="Times New Roman" w:eastAsia="Times New Roman" w:hAnsi="Times New Roman" w:cs="Times New Roman"/>
                <w:i/>
                <w:iCs/>
                <w:color w:val="000000"/>
                <w:sz w:val="18"/>
                <w:szCs w:val="18"/>
                <w:lang w:eastAsia="en-GB"/>
              </w:rPr>
              <w:t> </w:t>
            </w:r>
          </w:p>
        </w:tc>
        <w:tc>
          <w:tcPr>
            <w:tcW w:w="456" w:type="dxa"/>
            <w:tcBorders>
              <w:top w:val="nil"/>
              <w:left w:val="nil"/>
              <w:bottom w:val="nil"/>
              <w:right w:val="nil"/>
            </w:tcBorders>
            <w:shd w:val="clear" w:color="000000" w:fill="FFFFFF"/>
            <w:noWrap/>
            <w:vAlign w:val="center"/>
            <w:hideMark/>
          </w:tcPr>
          <w:p w14:paraId="5BD20F0E" w14:textId="77777777" w:rsidR="00775C36" w:rsidRPr="00775C36" w:rsidRDefault="00775C36" w:rsidP="00775C36">
            <w:pPr>
              <w:spacing w:after="0" w:line="240" w:lineRule="auto"/>
              <w:rPr>
                <w:rFonts w:ascii="Times New Roman" w:eastAsia="Times New Roman" w:hAnsi="Times New Roman" w:cs="Times New Roman"/>
                <w:i/>
                <w:iCs/>
                <w:color w:val="000000"/>
                <w:sz w:val="16"/>
                <w:szCs w:val="16"/>
                <w:lang w:val="en-GB" w:eastAsia="en-GB"/>
              </w:rPr>
            </w:pPr>
            <w:r w:rsidRPr="00775C36">
              <w:rPr>
                <w:rFonts w:ascii="Times New Roman" w:eastAsia="Times New Roman" w:hAnsi="Times New Roman" w:cs="Times New Roman"/>
                <w:i/>
                <w:iCs/>
                <w:color w:val="000000"/>
                <w:sz w:val="16"/>
                <w:szCs w:val="16"/>
                <w:lang w:eastAsia="en-GB"/>
              </w:rPr>
              <w:t> </w:t>
            </w:r>
          </w:p>
        </w:tc>
      </w:tr>
      <w:tr w:rsidR="00E936B8" w:rsidRPr="00775C36" w14:paraId="30AF95A1" w14:textId="77777777" w:rsidTr="00E936B8">
        <w:trPr>
          <w:trHeight w:val="300"/>
        </w:trPr>
        <w:tc>
          <w:tcPr>
            <w:tcW w:w="420" w:type="dxa"/>
            <w:tcBorders>
              <w:top w:val="nil"/>
              <w:left w:val="nil"/>
              <w:bottom w:val="nil"/>
              <w:right w:val="nil"/>
            </w:tcBorders>
            <w:shd w:val="clear" w:color="000000" w:fill="FFFFFF"/>
            <w:noWrap/>
            <w:vAlign w:val="center"/>
            <w:hideMark/>
          </w:tcPr>
          <w:p w14:paraId="0A1CF223" w14:textId="77777777" w:rsidR="00775C36" w:rsidRPr="00775C36" w:rsidRDefault="00775C36" w:rsidP="00775C36">
            <w:pPr>
              <w:spacing w:after="0" w:line="240" w:lineRule="auto"/>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 </w:t>
            </w:r>
          </w:p>
        </w:tc>
        <w:tc>
          <w:tcPr>
            <w:tcW w:w="2180" w:type="dxa"/>
            <w:tcBorders>
              <w:top w:val="nil"/>
              <w:left w:val="nil"/>
              <w:bottom w:val="nil"/>
              <w:right w:val="nil"/>
            </w:tcBorders>
            <w:shd w:val="clear" w:color="000000" w:fill="FFFFFF"/>
            <w:noWrap/>
            <w:vAlign w:val="center"/>
            <w:hideMark/>
          </w:tcPr>
          <w:p w14:paraId="1381E675" w14:textId="77777777" w:rsidR="00775C36" w:rsidRPr="00775C36" w:rsidRDefault="00775C36" w:rsidP="00775C36">
            <w:pPr>
              <w:spacing w:after="0" w:line="240" w:lineRule="auto"/>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Investor entry stage</w:t>
            </w:r>
          </w:p>
        </w:tc>
        <w:tc>
          <w:tcPr>
            <w:tcW w:w="1294" w:type="dxa"/>
            <w:gridSpan w:val="2"/>
            <w:tcBorders>
              <w:top w:val="nil"/>
              <w:left w:val="nil"/>
              <w:bottom w:val="nil"/>
              <w:right w:val="nil"/>
            </w:tcBorders>
            <w:shd w:val="clear" w:color="000000" w:fill="FFFFFF"/>
            <w:noWrap/>
            <w:vAlign w:val="center"/>
            <w:hideMark/>
          </w:tcPr>
          <w:p w14:paraId="7972E3C0" w14:textId="77777777" w:rsidR="00775C36" w:rsidRPr="00775C36" w:rsidRDefault="00775C36" w:rsidP="00775C36">
            <w:pPr>
              <w:spacing w:after="0" w:line="240" w:lineRule="auto"/>
              <w:jc w:val="center"/>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x</w:t>
            </w:r>
          </w:p>
        </w:tc>
        <w:tc>
          <w:tcPr>
            <w:tcW w:w="1262" w:type="dxa"/>
            <w:gridSpan w:val="2"/>
            <w:tcBorders>
              <w:top w:val="nil"/>
              <w:left w:val="nil"/>
              <w:bottom w:val="nil"/>
              <w:right w:val="nil"/>
            </w:tcBorders>
            <w:shd w:val="clear" w:color="000000" w:fill="FFFFFF"/>
            <w:noWrap/>
            <w:vAlign w:val="center"/>
            <w:hideMark/>
          </w:tcPr>
          <w:p w14:paraId="4798475E" w14:textId="77777777" w:rsidR="00775C36" w:rsidRPr="00775C36" w:rsidRDefault="00775C36" w:rsidP="00775C36">
            <w:pPr>
              <w:spacing w:after="0" w:line="240" w:lineRule="auto"/>
              <w:jc w:val="center"/>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x</w:t>
            </w:r>
          </w:p>
        </w:tc>
        <w:tc>
          <w:tcPr>
            <w:tcW w:w="1279" w:type="dxa"/>
            <w:gridSpan w:val="2"/>
            <w:tcBorders>
              <w:top w:val="nil"/>
              <w:left w:val="nil"/>
              <w:bottom w:val="nil"/>
              <w:right w:val="nil"/>
            </w:tcBorders>
            <w:shd w:val="clear" w:color="000000" w:fill="FFFFFF"/>
            <w:noWrap/>
            <w:vAlign w:val="center"/>
            <w:hideMark/>
          </w:tcPr>
          <w:p w14:paraId="37F6BC7D" w14:textId="77777777" w:rsidR="00775C36" w:rsidRPr="00775C36" w:rsidRDefault="00775C36" w:rsidP="00775C36">
            <w:pPr>
              <w:spacing w:after="0" w:line="240" w:lineRule="auto"/>
              <w:jc w:val="center"/>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x</w:t>
            </w:r>
          </w:p>
        </w:tc>
        <w:tc>
          <w:tcPr>
            <w:tcW w:w="1249" w:type="dxa"/>
            <w:gridSpan w:val="2"/>
            <w:tcBorders>
              <w:top w:val="nil"/>
              <w:left w:val="nil"/>
              <w:bottom w:val="nil"/>
              <w:right w:val="nil"/>
            </w:tcBorders>
            <w:shd w:val="clear" w:color="000000" w:fill="FFFFFF"/>
            <w:noWrap/>
            <w:vAlign w:val="center"/>
            <w:hideMark/>
          </w:tcPr>
          <w:p w14:paraId="0FA9CB00" w14:textId="77777777" w:rsidR="00775C36" w:rsidRPr="00775C36" w:rsidRDefault="00775C36" w:rsidP="00775C36">
            <w:pPr>
              <w:spacing w:after="0" w:line="240" w:lineRule="auto"/>
              <w:jc w:val="center"/>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x</w:t>
            </w:r>
          </w:p>
        </w:tc>
        <w:tc>
          <w:tcPr>
            <w:tcW w:w="1231" w:type="dxa"/>
            <w:gridSpan w:val="2"/>
            <w:tcBorders>
              <w:top w:val="nil"/>
              <w:left w:val="nil"/>
              <w:bottom w:val="nil"/>
              <w:right w:val="nil"/>
            </w:tcBorders>
            <w:shd w:val="clear" w:color="000000" w:fill="FFFFFF"/>
            <w:noWrap/>
            <w:vAlign w:val="center"/>
            <w:hideMark/>
          </w:tcPr>
          <w:p w14:paraId="7FDD6C54" w14:textId="77777777" w:rsidR="00775C36" w:rsidRPr="00775C36" w:rsidRDefault="00775C36" w:rsidP="00775C36">
            <w:pPr>
              <w:spacing w:after="0" w:line="240" w:lineRule="auto"/>
              <w:jc w:val="center"/>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x</w:t>
            </w:r>
          </w:p>
        </w:tc>
        <w:tc>
          <w:tcPr>
            <w:tcW w:w="1291" w:type="dxa"/>
            <w:gridSpan w:val="2"/>
            <w:tcBorders>
              <w:top w:val="nil"/>
              <w:left w:val="nil"/>
              <w:bottom w:val="nil"/>
              <w:right w:val="nil"/>
            </w:tcBorders>
            <w:shd w:val="clear" w:color="000000" w:fill="FFFFFF"/>
            <w:noWrap/>
            <w:vAlign w:val="center"/>
            <w:hideMark/>
          </w:tcPr>
          <w:p w14:paraId="6C91CE98" w14:textId="77777777" w:rsidR="00775C36" w:rsidRPr="00775C36" w:rsidRDefault="00775C36" w:rsidP="00775C36">
            <w:pPr>
              <w:spacing w:after="0" w:line="240" w:lineRule="auto"/>
              <w:jc w:val="center"/>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x</w:t>
            </w:r>
          </w:p>
        </w:tc>
      </w:tr>
      <w:tr w:rsidR="00E936B8" w:rsidRPr="00775C36" w14:paraId="57B8D390" w14:textId="77777777" w:rsidTr="00E936B8">
        <w:trPr>
          <w:trHeight w:val="300"/>
        </w:trPr>
        <w:tc>
          <w:tcPr>
            <w:tcW w:w="420" w:type="dxa"/>
            <w:tcBorders>
              <w:top w:val="nil"/>
              <w:left w:val="nil"/>
              <w:bottom w:val="nil"/>
              <w:right w:val="nil"/>
            </w:tcBorders>
            <w:shd w:val="clear" w:color="000000" w:fill="FFFFFF"/>
            <w:noWrap/>
            <w:vAlign w:val="center"/>
            <w:hideMark/>
          </w:tcPr>
          <w:p w14:paraId="5B0C176E" w14:textId="77777777" w:rsidR="00775C36" w:rsidRPr="00775C36" w:rsidRDefault="00775C36" w:rsidP="00775C36">
            <w:pPr>
              <w:spacing w:after="0" w:line="240" w:lineRule="auto"/>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 </w:t>
            </w:r>
          </w:p>
        </w:tc>
        <w:tc>
          <w:tcPr>
            <w:tcW w:w="2180" w:type="dxa"/>
            <w:tcBorders>
              <w:top w:val="nil"/>
              <w:left w:val="nil"/>
              <w:bottom w:val="nil"/>
              <w:right w:val="nil"/>
            </w:tcBorders>
            <w:shd w:val="clear" w:color="000000" w:fill="FFFFFF"/>
            <w:noWrap/>
            <w:vAlign w:val="center"/>
            <w:hideMark/>
          </w:tcPr>
          <w:p w14:paraId="79EBBDE9" w14:textId="77777777" w:rsidR="00775C36" w:rsidRPr="00775C36" w:rsidRDefault="00775C36" w:rsidP="00775C36">
            <w:pPr>
              <w:spacing w:after="0" w:line="240" w:lineRule="auto"/>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First investment year</w:t>
            </w:r>
          </w:p>
        </w:tc>
        <w:tc>
          <w:tcPr>
            <w:tcW w:w="1294" w:type="dxa"/>
            <w:gridSpan w:val="2"/>
            <w:tcBorders>
              <w:top w:val="nil"/>
              <w:left w:val="nil"/>
              <w:bottom w:val="nil"/>
              <w:right w:val="nil"/>
            </w:tcBorders>
            <w:shd w:val="clear" w:color="000000" w:fill="FFFFFF"/>
            <w:noWrap/>
            <w:vAlign w:val="center"/>
            <w:hideMark/>
          </w:tcPr>
          <w:p w14:paraId="63E18383" w14:textId="77777777" w:rsidR="00775C36" w:rsidRPr="00775C36" w:rsidRDefault="00775C36" w:rsidP="00775C36">
            <w:pPr>
              <w:spacing w:after="0" w:line="240" w:lineRule="auto"/>
              <w:jc w:val="center"/>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x</w:t>
            </w:r>
          </w:p>
        </w:tc>
        <w:tc>
          <w:tcPr>
            <w:tcW w:w="1262" w:type="dxa"/>
            <w:gridSpan w:val="2"/>
            <w:tcBorders>
              <w:top w:val="nil"/>
              <w:left w:val="nil"/>
              <w:bottom w:val="nil"/>
              <w:right w:val="nil"/>
            </w:tcBorders>
            <w:shd w:val="clear" w:color="000000" w:fill="FFFFFF"/>
            <w:noWrap/>
            <w:vAlign w:val="center"/>
            <w:hideMark/>
          </w:tcPr>
          <w:p w14:paraId="5D7F19C5" w14:textId="77777777" w:rsidR="00775C36" w:rsidRPr="00775C36" w:rsidRDefault="00775C36" w:rsidP="00775C36">
            <w:pPr>
              <w:spacing w:after="0" w:line="240" w:lineRule="auto"/>
              <w:jc w:val="center"/>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x</w:t>
            </w:r>
          </w:p>
        </w:tc>
        <w:tc>
          <w:tcPr>
            <w:tcW w:w="1279" w:type="dxa"/>
            <w:gridSpan w:val="2"/>
            <w:tcBorders>
              <w:top w:val="nil"/>
              <w:left w:val="nil"/>
              <w:bottom w:val="nil"/>
              <w:right w:val="nil"/>
            </w:tcBorders>
            <w:shd w:val="clear" w:color="000000" w:fill="FFFFFF"/>
            <w:noWrap/>
            <w:vAlign w:val="center"/>
            <w:hideMark/>
          </w:tcPr>
          <w:p w14:paraId="700C8AF5" w14:textId="77777777" w:rsidR="00775C36" w:rsidRPr="00775C36" w:rsidRDefault="00775C36" w:rsidP="00775C36">
            <w:pPr>
              <w:spacing w:after="0" w:line="240" w:lineRule="auto"/>
              <w:jc w:val="center"/>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x</w:t>
            </w:r>
          </w:p>
        </w:tc>
        <w:tc>
          <w:tcPr>
            <w:tcW w:w="1249" w:type="dxa"/>
            <w:gridSpan w:val="2"/>
            <w:tcBorders>
              <w:top w:val="nil"/>
              <w:left w:val="nil"/>
              <w:bottom w:val="nil"/>
              <w:right w:val="nil"/>
            </w:tcBorders>
            <w:shd w:val="clear" w:color="000000" w:fill="FFFFFF"/>
            <w:noWrap/>
            <w:vAlign w:val="center"/>
            <w:hideMark/>
          </w:tcPr>
          <w:p w14:paraId="2C3BC487" w14:textId="77777777" w:rsidR="00775C36" w:rsidRPr="00775C36" w:rsidRDefault="00775C36" w:rsidP="00775C36">
            <w:pPr>
              <w:spacing w:after="0" w:line="240" w:lineRule="auto"/>
              <w:jc w:val="center"/>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x</w:t>
            </w:r>
          </w:p>
        </w:tc>
        <w:tc>
          <w:tcPr>
            <w:tcW w:w="1231" w:type="dxa"/>
            <w:gridSpan w:val="2"/>
            <w:tcBorders>
              <w:top w:val="nil"/>
              <w:left w:val="nil"/>
              <w:bottom w:val="nil"/>
              <w:right w:val="nil"/>
            </w:tcBorders>
            <w:shd w:val="clear" w:color="000000" w:fill="FFFFFF"/>
            <w:noWrap/>
            <w:vAlign w:val="center"/>
            <w:hideMark/>
          </w:tcPr>
          <w:p w14:paraId="0BEF3BB3" w14:textId="77777777" w:rsidR="00775C36" w:rsidRPr="00775C36" w:rsidRDefault="00775C36" w:rsidP="00775C36">
            <w:pPr>
              <w:spacing w:after="0" w:line="240" w:lineRule="auto"/>
              <w:jc w:val="center"/>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x</w:t>
            </w:r>
          </w:p>
        </w:tc>
        <w:tc>
          <w:tcPr>
            <w:tcW w:w="1291" w:type="dxa"/>
            <w:gridSpan w:val="2"/>
            <w:tcBorders>
              <w:top w:val="nil"/>
              <w:left w:val="nil"/>
              <w:bottom w:val="nil"/>
              <w:right w:val="nil"/>
            </w:tcBorders>
            <w:shd w:val="clear" w:color="000000" w:fill="FFFFFF"/>
            <w:noWrap/>
            <w:vAlign w:val="center"/>
            <w:hideMark/>
          </w:tcPr>
          <w:p w14:paraId="73D1EE88" w14:textId="77777777" w:rsidR="00775C36" w:rsidRPr="00775C36" w:rsidRDefault="00775C36" w:rsidP="00775C36">
            <w:pPr>
              <w:spacing w:after="0" w:line="240" w:lineRule="auto"/>
              <w:jc w:val="center"/>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x</w:t>
            </w:r>
          </w:p>
        </w:tc>
      </w:tr>
      <w:tr w:rsidR="00E936B8" w:rsidRPr="00775C36" w14:paraId="0017FFFA" w14:textId="77777777" w:rsidTr="00E936B8">
        <w:trPr>
          <w:trHeight w:val="300"/>
        </w:trPr>
        <w:tc>
          <w:tcPr>
            <w:tcW w:w="420" w:type="dxa"/>
            <w:tcBorders>
              <w:top w:val="nil"/>
              <w:left w:val="nil"/>
              <w:bottom w:val="nil"/>
              <w:right w:val="nil"/>
            </w:tcBorders>
            <w:shd w:val="clear" w:color="000000" w:fill="FFFFFF"/>
            <w:noWrap/>
            <w:vAlign w:val="center"/>
            <w:hideMark/>
          </w:tcPr>
          <w:p w14:paraId="68991466" w14:textId="77777777" w:rsidR="00775C36" w:rsidRPr="00775C36" w:rsidRDefault="00775C36" w:rsidP="00775C36">
            <w:pPr>
              <w:spacing w:after="0" w:line="240" w:lineRule="auto"/>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 </w:t>
            </w:r>
          </w:p>
        </w:tc>
        <w:tc>
          <w:tcPr>
            <w:tcW w:w="2180" w:type="dxa"/>
            <w:tcBorders>
              <w:top w:val="nil"/>
              <w:left w:val="nil"/>
              <w:bottom w:val="nil"/>
              <w:right w:val="nil"/>
            </w:tcBorders>
            <w:shd w:val="clear" w:color="000000" w:fill="FFFFFF"/>
            <w:noWrap/>
            <w:vAlign w:val="center"/>
            <w:hideMark/>
          </w:tcPr>
          <w:p w14:paraId="53B08C22" w14:textId="77777777" w:rsidR="00775C36" w:rsidRPr="00775C36" w:rsidRDefault="00775C36" w:rsidP="00775C36">
            <w:pPr>
              <w:spacing w:after="0" w:line="240" w:lineRule="auto"/>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Portfolio company industry</w:t>
            </w:r>
          </w:p>
        </w:tc>
        <w:tc>
          <w:tcPr>
            <w:tcW w:w="1294" w:type="dxa"/>
            <w:gridSpan w:val="2"/>
            <w:tcBorders>
              <w:top w:val="nil"/>
              <w:left w:val="nil"/>
              <w:bottom w:val="nil"/>
              <w:right w:val="nil"/>
            </w:tcBorders>
            <w:shd w:val="clear" w:color="000000" w:fill="FFFFFF"/>
            <w:noWrap/>
            <w:vAlign w:val="center"/>
            <w:hideMark/>
          </w:tcPr>
          <w:p w14:paraId="36FCD097" w14:textId="77777777" w:rsidR="00775C36" w:rsidRPr="00775C36" w:rsidRDefault="00775C36" w:rsidP="00775C36">
            <w:pPr>
              <w:spacing w:after="0" w:line="240" w:lineRule="auto"/>
              <w:jc w:val="center"/>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x</w:t>
            </w:r>
          </w:p>
        </w:tc>
        <w:tc>
          <w:tcPr>
            <w:tcW w:w="1262" w:type="dxa"/>
            <w:gridSpan w:val="2"/>
            <w:tcBorders>
              <w:top w:val="nil"/>
              <w:left w:val="nil"/>
              <w:bottom w:val="nil"/>
              <w:right w:val="nil"/>
            </w:tcBorders>
            <w:shd w:val="clear" w:color="000000" w:fill="FFFFFF"/>
            <w:noWrap/>
            <w:vAlign w:val="center"/>
            <w:hideMark/>
          </w:tcPr>
          <w:p w14:paraId="1BDAFB56" w14:textId="77777777" w:rsidR="00775C36" w:rsidRPr="00775C36" w:rsidRDefault="00775C36" w:rsidP="00775C36">
            <w:pPr>
              <w:spacing w:after="0" w:line="240" w:lineRule="auto"/>
              <w:jc w:val="center"/>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x</w:t>
            </w:r>
          </w:p>
        </w:tc>
        <w:tc>
          <w:tcPr>
            <w:tcW w:w="1279" w:type="dxa"/>
            <w:gridSpan w:val="2"/>
            <w:tcBorders>
              <w:top w:val="nil"/>
              <w:left w:val="nil"/>
              <w:bottom w:val="nil"/>
              <w:right w:val="nil"/>
            </w:tcBorders>
            <w:shd w:val="clear" w:color="000000" w:fill="FFFFFF"/>
            <w:noWrap/>
            <w:vAlign w:val="center"/>
            <w:hideMark/>
          </w:tcPr>
          <w:p w14:paraId="3AE8DAD9" w14:textId="77777777" w:rsidR="00775C36" w:rsidRPr="00775C36" w:rsidRDefault="00775C36" w:rsidP="00775C36">
            <w:pPr>
              <w:spacing w:after="0" w:line="240" w:lineRule="auto"/>
              <w:jc w:val="center"/>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x</w:t>
            </w:r>
          </w:p>
        </w:tc>
        <w:tc>
          <w:tcPr>
            <w:tcW w:w="1249" w:type="dxa"/>
            <w:gridSpan w:val="2"/>
            <w:tcBorders>
              <w:top w:val="nil"/>
              <w:left w:val="nil"/>
              <w:bottom w:val="nil"/>
              <w:right w:val="nil"/>
            </w:tcBorders>
            <w:shd w:val="clear" w:color="000000" w:fill="FFFFFF"/>
            <w:noWrap/>
            <w:vAlign w:val="center"/>
            <w:hideMark/>
          </w:tcPr>
          <w:p w14:paraId="1220910C" w14:textId="77777777" w:rsidR="00775C36" w:rsidRPr="00775C36" w:rsidRDefault="00775C36" w:rsidP="00775C36">
            <w:pPr>
              <w:spacing w:after="0" w:line="240" w:lineRule="auto"/>
              <w:jc w:val="center"/>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x</w:t>
            </w:r>
          </w:p>
        </w:tc>
        <w:tc>
          <w:tcPr>
            <w:tcW w:w="1231" w:type="dxa"/>
            <w:gridSpan w:val="2"/>
            <w:tcBorders>
              <w:top w:val="nil"/>
              <w:left w:val="nil"/>
              <w:bottom w:val="nil"/>
              <w:right w:val="nil"/>
            </w:tcBorders>
            <w:shd w:val="clear" w:color="000000" w:fill="FFFFFF"/>
            <w:noWrap/>
            <w:vAlign w:val="center"/>
            <w:hideMark/>
          </w:tcPr>
          <w:p w14:paraId="06694783" w14:textId="77777777" w:rsidR="00775C36" w:rsidRPr="00775C36" w:rsidRDefault="00775C36" w:rsidP="00775C36">
            <w:pPr>
              <w:spacing w:after="0" w:line="240" w:lineRule="auto"/>
              <w:jc w:val="center"/>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x</w:t>
            </w:r>
          </w:p>
        </w:tc>
        <w:tc>
          <w:tcPr>
            <w:tcW w:w="1291" w:type="dxa"/>
            <w:gridSpan w:val="2"/>
            <w:tcBorders>
              <w:top w:val="nil"/>
              <w:left w:val="nil"/>
              <w:bottom w:val="nil"/>
              <w:right w:val="nil"/>
            </w:tcBorders>
            <w:shd w:val="clear" w:color="000000" w:fill="FFFFFF"/>
            <w:noWrap/>
            <w:vAlign w:val="center"/>
            <w:hideMark/>
          </w:tcPr>
          <w:p w14:paraId="0FE93161" w14:textId="77777777" w:rsidR="00775C36" w:rsidRPr="00775C36" w:rsidRDefault="00775C36" w:rsidP="00775C36">
            <w:pPr>
              <w:spacing w:after="0" w:line="240" w:lineRule="auto"/>
              <w:jc w:val="center"/>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x</w:t>
            </w:r>
          </w:p>
        </w:tc>
      </w:tr>
      <w:tr w:rsidR="00E936B8" w:rsidRPr="00775C36" w14:paraId="3DDF8157" w14:textId="77777777" w:rsidTr="00E936B8">
        <w:trPr>
          <w:trHeight w:val="300"/>
        </w:trPr>
        <w:tc>
          <w:tcPr>
            <w:tcW w:w="420" w:type="dxa"/>
            <w:tcBorders>
              <w:top w:val="nil"/>
              <w:left w:val="nil"/>
              <w:bottom w:val="nil"/>
              <w:right w:val="nil"/>
            </w:tcBorders>
            <w:shd w:val="clear" w:color="000000" w:fill="FFFFFF"/>
            <w:noWrap/>
            <w:vAlign w:val="center"/>
            <w:hideMark/>
          </w:tcPr>
          <w:p w14:paraId="33C3D3F7" w14:textId="77777777" w:rsidR="00775C36" w:rsidRPr="00775C36" w:rsidRDefault="00775C36" w:rsidP="00775C36">
            <w:pPr>
              <w:spacing w:after="0" w:line="240" w:lineRule="auto"/>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 </w:t>
            </w:r>
          </w:p>
        </w:tc>
        <w:tc>
          <w:tcPr>
            <w:tcW w:w="2180" w:type="dxa"/>
            <w:tcBorders>
              <w:top w:val="nil"/>
              <w:left w:val="nil"/>
              <w:bottom w:val="nil"/>
              <w:right w:val="nil"/>
            </w:tcBorders>
            <w:shd w:val="clear" w:color="000000" w:fill="FFFFFF"/>
            <w:noWrap/>
            <w:vAlign w:val="center"/>
            <w:hideMark/>
          </w:tcPr>
          <w:p w14:paraId="7AA782C5" w14:textId="77777777" w:rsidR="00775C36" w:rsidRPr="00775C36" w:rsidRDefault="00775C36" w:rsidP="00775C36">
            <w:pPr>
              <w:spacing w:after="0" w:line="240" w:lineRule="auto"/>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Portfolio company country</w:t>
            </w:r>
          </w:p>
        </w:tc>
        <w:tc>
          <w:tcPr>
            <w:tcW w:w="1294" w:type="dxa"/>
            <w:gridSpan w:val="2"/>
            <w:tcBorders>
              <w:top w:val="nil"/>
              <w:left w:val="nil"/>
              <w:bottom w:val="nil"/>
              <w:right w:val="nil"/>
            </w:tcBorders>
            <w:shd w:val="clear" w:color="000000" w:fill="FFFFFF"/>
            <w:noWrap/>
            <w:vAlign w:val="center"/>
            <w:hideMark/>
          </w:tcPr>
          <w:p w14:paraId="0750B775" w14:textId="77777777" w:rsidR="00775C36" w:rsidRPr="00775C36" w:rsidRDefault="00775C36" w:rsidP="00775C36">
            <w:pPr>
              <w:spacing w:after="0" w:line="240" w:lineRule="auto"/>
              <w:jc w:val="center"/>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x</w:t>
            </w:r>
          </w:p>
        </w:tc>
        <w:tc>
          <w:tcPr>
            <w:tcW w:w="1262" w:type="dxa"/>
            <w:gridSpan w:val="2"/>
            <w:tcBorders>
              <w:top w:val="nil"/>
              <w:left w:val="nil"/>
              <w:bottom w:val="nil"/>
              <w:right w:val="nil"/>
            </w:tcBorders>
            <w:shd w:val="clear" w:color="000000" w:fill="FFFFFF"/>
            <w:noWrap/>
            <w:vAlign w:val="center"/>
            <w:hideMark/>
          </w:tcPr>
          <w:p w14:paraId="3E9AA898" w14:textId="77777777" w:rsidR="00775C36" w:rsidRPr="00775C36" w:rsidRDefault="00775C36" w:rsidP="00775C36">
            <w:pPr>
              <w:spacing w:after="0" w:line="240" w:lineRule="auto"/>
              <w:jc w:val="center"/>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x</w:t>
            </w:r>
          </w:p>
        </w:tc>
        <w:tc>
          <w:tcPr>
            <w:tcW w:w="1279" w:type="dxa"/>
            <w:gridSpan w:val="2"/>
            <w:tcBorders>
              <w:top w:val="nil"/>
              <w:left w:val="nil"/>
              <w:bottom w:val="nil"/>
              <w:right w:val="nil"/>
            </w:tcBorders>
            <w:shd w:val="clear" w:color="000000" w:fill="FFFFFF"/>
            <w:noWrap/>
            <w:vAlign w:val="center"/>
            <w:hideMark/>
          </w:tcPr>
          <w:p w14:paraId="4E42A5AF" w14:textId="77777777" w:rsidR="00775C36" w:rsidRPr="00775C36" w:rsidRDefault="00775C36" w:rsidP="00775C36">
            <w:pPr>
              <w:spacing w:after="0" w:line="240" w:lineRule="auto"/>
              <w:jc w:val="center"/>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x</w:t>
            </w:r>
          </w:p>
        </w:tc>
        <w:tc>
          <w:tcPr>
            <w:tcW w:w="1249" w:type="dxa"/>
            <w:gridSpan w:val="2"/>
            <w:tcBorders>
              <w:top w:val="nil"/>
              <w:left w:val="nil"/>
              <w:bottom w:val="nil"/>
              <w:right w:val="nil"/>
            </w:tcBorders>
            <w:shd w:val="clear" w:color="000000" w:fill="FFFFFF"/>
            <w:noWrap/>
            <w:vAlign w:val="center"/>
            <w:hideMark/>
          </w:tcPr>
          <w:p w14:paraId="6DDB1BF0" w14:textId="77777777" w:rsidR="00775C36" w:rsidRPr="00775C36" w:rsidRDefault="00775C36" w:rsidP="00775C36">
            <w:pPr>
              <w:spacing w:after="0" w:line="240" w:lineRule="auto"/>
              <w:jc w:val="center"/>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x</w:t>
            </w:r>
          </w:p>
        </w:tc>
        <w:tc>
          <w:tcPr>
            <w:tcW w:w="1231" w:type="dxa"/>
            <w:gridSpan w:val="2"/>
            <w:tcBorders>
              <w:top w:val="nil"/>
              <w:left w:val="nil"/>
              <w:bottom w:val="nil"/>
              <w:right w:val="nil"/>
            </w:tcBorders>
            <w:shd w:val="clear" w:color="000000" w:fill="FFFFFF"/>
            <w:noWrap/>
            <w:vAlign w:val="center"/>
            <w:hideMark/>
          </w:tcPr>
          <w:p w14:paraId="09CBBF93" w14:textId="77777777" w:rsidR="00775C36" w:rsidRPr="00775C36" w:rsidRDefault="00775C36" w:rsidP="00775C36">
            <w:pPr>
              <w:spacing w:after="0" w:line="240" w:lineRule="auto"/>
              <w:jc w:val="center"/>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x</w:t>
            </w:r>
          </w:p>
        </w:tc>
        <w:tc>
          <w:tcPr>
            <w:tcW w:w="1291" w:type="dxa"/>
            <w:gridSpan w:val="2"/>
            <w:tcBorders>
              <w:top w:val="nil"/>
              <w:left w:val="nil"/>
              <w:bottom w:val="nil"/>
              <w:right w:val="nil"/>
            </w:tcBorders>
            <w:shd w:val="clear" w:color="000000" w:fill="FFFFFF"/>
            <w:noWrap/>
            <w:vAlign w:val="center"/>
            <w:hideMark/>
          </w:tcPr>
          <w:p w14:paraId="688127C4" w14:textId="77777777" w:rsidR="00775C36" w:rsidRPr="00775C36" w:rsidRDefault="00775C36" w:rsidP="00775C36">
            <w:pPr>
              <w:spacing w:after="0" w:line="240" w:lineRule="auto"/>
              <w:jc w:val="center"/>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x</w:t>
            </w:r>
          </w:p>
        </w:tc>
      </w:tr>
      <w:tr w:rsidR="00775C36" w:rsidRPr="00775C36" w14:paraId="79F6362F" w14:textId="77777777" w:rsidTr="00E936B8">
        <w:trPr>
          <w:trHeight w:val="300"/>
        </w:trPr>
        <w:tc>
          <w:tcPr>
            <w:tcW w:w="420" w:type="dxa"/>
            <w:tcBorders>
              <w:top w:val="nil"/>
              <w:left w:val="nil"/>
              <w:bottom w:val="nil"/>
              <w:right w:val="nil"/>
            </w:tcBorders>
            <w:shd w:val="clear" w:color="000000" w:fill="FFFFFF"/>
            <w:noWrap/>
            <w:vAlign w:val="center"/>
            <w:hideMark/>
          </w:tcPr>
          <w:p w14:paraId="4271B91A" w14:textId="77777777" w:rsidR="00775C36" w:rsidRPr="00775C36" w:rsidRDefault="00775C36" w:rsidP="00775C36">
            <w:pPr>
              <w:spacing w:after="0" w:line="240" w:lineRule="auto"/>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 </w:t>
            </w:r>
          </w:p>
        </w:tc>
        <w:tc>
          <w:tcPr>
            <w:tcW w:w="2180" w:type="dxa"/>
            <w:tcBorders>
              <w:top w:val="nil"/>
              <w:left w:val="nil"/>
              <w:bottom w:val="nil"/>
              <w:right w:val="nil"/>
            </w:tcBorders>
            <w:shd w:val="clear" w:color="000000" w:fill="FFFFFF"/>
            <w:noWrap/>
            <w:vAlign w:val="center"/>
            <w:hideMark/>
          </w:tcPr>
          <w:p w14:paraId="1FD6F3C3" w14:textId="77777777" w:rsidR="00775C36" w:rsidRPr="00775C36" w:rsidRDefault="00775C36" w:rsidP="00775C36">
            <w:pPr>
              <w:spacing w:after="0" w:line="240" w:lineRule="auto"/>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 </w:t>
            </w:r>
          </w:p>
        </w:tc>
        <w:tc>
          <w:tcPr>
            <w:tcW w:w="806" w:type="dxa"/>
            <w:tcBorders>
              <w:top w:val="nil"/>
              <w:left w:val="nil"/>
              <w:bottom w:val="nil"/>
              <w:right w:val="nil"/>
            </w:tcBorders>
            <w:shd w:val="clear" w:color="000000" w:fill="FFFFFF"/>
            <w:noWrap/>
            <w:vAlign w:val="center"/>
            <w:hideMark/>
          </w:tcPr>
          <w:p w14:paraId="1452471A"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 </w:t>
            </w:r>
          </w:p>
        </w:tc>
        <w:tc>
          <w:tcPr>
            <w:tcW w:w="488" w:type="dxa"/>
            <w:tcBorders>
              <w:top w:val="nil"/>
              <w:left w:val="nil"/>
              <w:bottom w:val="nil"/>
              <w:right w:val="nil"/>
            </w:tcBorders>
            <w:shd w:val="clear" w:color="000000" w:fill="FFFFFF"/>
            <w:noWrap/>
            <w:vAlign w:val="center"/>
            <w:hideMark/>
          </w:tcPr>
          <w:p w14:paraId="337E59F5"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eastAsia="en-GB"/>
              </w:rPr>
              <w:t> </w:t>
            </w:r>
          </w:p>
        </w:tc>
        <w:tc>
          <w:tcPr>
            <w:tcW w:w="806" w:type="dxa"/>
            <w:tcBorders>
              <w:top w:val="nil"/>
              <w:left w:val="nil"/>
              <w:bottom w:val="nil"/>
              <w:right w:val="nil"/>
            </w:tcBorders>
            <w:shd w:val="clear" w:color="000000" w:fill="FFFFFF"/>
            <w:noWrap/>
            <w:vAlign w:val="center"/>
            <w:hideMark/>
          </w:tcPr>
          <w:p w14:paraId="114DD79C"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 </w:t>
            </w:r>
          </w:p>
        </w:tc>
        <w:tc>
          <w:tcPr>
            <w:tcW w:w="456" w:type="dxa"/>
            <w:tcBorders>
              <w:top w:val="nil"/>
              <w:left w:val="nil"/>
              <w:bottom w:val="nil"/>
              <w:right w:val="nil"/>
            </w:tcBorders>
            <w:shd w:val="clear" w:color="000000" w:fill="FFFFFF"/>
            <w:noWrap/>
            <w:vAlign w:val="center"/>
            <w:hideMark/>
          </w:tcPr>
          <w:p w14:paraId="725539B6"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eastAsia="en-GB"/>
              </w:rPr>
              <w:t> </w:t>
            </w:r>
          </w:p>
        </w:tc>
        <w:tc>
          <w:tcPr>
            <w:tcW w:w="793" w:type="dxa"/>
            <w:tcBorders>
              <w:top w:val="nil"/>
              <w:left w:val="nil"/>
              <w:bottom w:val="nil"/>
              <w:right w:val="nil"/>
            </w:tcBorders>
            <w:shd w:val="clear" w:color="000000" w:fill="FFFFFF"/>
            <w:noWrap/>
            <w:vAlign w:val="center"/>
            <w:hideMark/>
          </w:tcPr>
          <w:p w14:paraId="4A93E43E"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 </w:t>
            </w:r>
          </w:p>
        </w:tc>
        <w:tc>
          <w:tcPr>
            <w:tcW w:w="486" w:type="dxa"/>
            <w:tcBorders>
              <w:top w:val="nil"/>
              <w:left w:val="nil"/>
              <w:bottom w:val="nil"/>
              <w:right w:val="nil"/>
            </w:tcBorders>
            <w:shd w:val="clear" w:color="000000" w:fill="FFFFFF"/>
            <w:noWrap/>
            <w:vAlign w:val="center"/>
            <w:hideMark/>
          </w:tcPr>
          <w:p w14:paraId="26A7F25F"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eastAsia="en-GB"/>
              </w:rPr>
              <w:t> </w:t>
            </w:r>
          </w:p>
        </w:tc>
        <w:tc>
          <w:tcPr>
            <w:tcW w:w="793" w:type="dxa"/>
            <w:tcBorders>
              <w:top w:val="nil"/>
              <w:left w:val="nil"/>
              <w:bottom w:val="nil"/>
              <w:right w:val="nil"/>
            </w:tcBorders>
            <w:shd w:val="clear" w:color="000000" w:fill="FFFFFF"/>
            <w:noWrap/>
            <w:vAlign w:val="center"/>
            <w:hideMark/>
          </w:tcPr>
          <w:p w14:paraId="1409E3CE"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 </w:t>
            </w:r>
          </w:p>
        </w:tc>
        <w:tc>
          <w:tcPr>
            <w:tcW w:w="456" w:type="dxa"/>
            <w:tcBorders>
              <w:top w:val="nil"/>
              <w:left w:val="nil"/>
              <w:bottom w:val="nil"/>
              <w:right w:val="nil"/>
            </w:tcBorders>
            <w:shd w:val="clear" w:color="000000" w:fill="FFFFFF"/>
            <w:noWrap/>
            <w:vAlign w:val="center"/>
            <w:hideMark/>
          </w:tcPr>
          <w:p w14:paraId="5A751FA4"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eastAsia="en-GB"/>
              </w:rPr>
              <w:t> </w:t>
            </w:r>
          </w:p>
        </w:tc>
        <w:tc>
          <w:tcPr>
            <w:tcW w:w="835" w:type="dxa"/>
            <w:tcBorders>
              <w:top w:val="nil"/>
              <w:left w:val="nil"/>
              <w:bottom w:val="nil"/>
              <w:right w:val="nil"/>
            </w:tcBorders>
            <w:shd w:val="clear" w:color="000000" w:fill="FFFFFF"/>
            <w:noWrap/>
            <w:vAlign w:val="center"/>
            <w:hideMark/>
          </w:tcPr>
          <w:p w14:paraId="5A4BAD32"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 </w:t>
            </w:r>
          </w:p>
        </w:tc>
        <w:tc>
          <w:tcPr>
            <w:tcW w:w="396" w:type="dxa"/>
            <w:tcBorders>
              <w:top w:val="nil"/>
              <w:left w:val="nil"/>
              <w:bottom w:val="nil"/>
              <w:right w:val="nil"/>
            </w:tcBorders>
            <w:shd w:val="clear" w:color="000000" w:fill="FFFFFF"/>
            <w:noWrap/>
            <w:vAlign w:val="center"/>
            <w:hideMark/>
          </w:tcPr>
          <w:p w14:paraId="2440301B"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eastAsia="en-GB"/>
              </w:rPr>
              <w:t> </w:t>
            </w:r>
          </w:p>
        </w:tc>
        <w:tc>
          <w:tcPr>
            <w:tcW w:w="835" w:type="dxa"/>
            <w:tcBorders>
              <w:top w:val="nil"/>
              <w:left w:val="nil"/>
              <w:bottom w:val="nil"/>
              <w:right w:val="nil"/>
            </w:tcBorders>
            <w:shd w:val="clear" w:color="000000" w:fill="FFFFFF"/>
            <w:noWrap/>
            <w:vAlign w:val="center"/>
            <w:hideMark/>
          </w:tcPr>
          <w:p w14:paraId="4D824696" w14:textId="77777777" w:rsidR="00775C36" w:rsidRPr="00775C36" w:rsidRDefault="00775C36" w:rsidP="00775C36">
            <w:pPr>
              <w:spacing w:after="0" w:line="240" w:lineRule="auto"/>
              <w:jc w:val="right"/>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 </w:t>
            </w:r>
          </w:p>
        </w:tc>
        <w:tc>
          <w:tcPr>
            <w:tcW w:w="456" w:type="dxa"/>
            <w:tcBorders>
              <w:top w:val="nil"/>
              <w:left w:val="nil"/>
              <w:bottom w:val="nil"/>
              <w:right w:val="nil"/>
            </w:tcBorders>
            <w:shd w:val="clear" w:color="000000" w:fill="FFFFFF"/>
            <w:noWrap/>
            <w:vAlign w:val="center"/>
            <w:hideMark/>
          </w:tcPr>
          <w:p w14:paraId="19DACCF9" w14:textId="77777777" w:rsidR="00775C36" w:rsidRPr="00775C36" w:rsidRDefault="00775C36" w:rsidP="00775C36">
            <w:pPr>
              <w:spacing w:after="0" w:line="240" w:lineRule="auto"/>
              <w:rPr>
                <w:rFonts w:ascii="Times New Roman" w:eastAsia="Times New Roman" w:hAnsi="Times New Roman" w:cs="Times New Roman"/>
                <w:color w:val="000000"/>
                <w:sz w:val="16"/>
                <w:szCs w:val="16"/>
                <w:lang w:val="en-GB" w:eastAsia="en-GB"/>
              </w:rPr>
            </w:pPr>
            <w:r w:rsidRPr="00775C36">
              <w:rPr>
                <w:rFonts w:ascii="Times New Roman" w:eastAsia="Times New Roman" w:hAnsi="Times New Roman" w:cs="Times New Roman"/>
                <w:color w:val="000000"/>
                <w:sz w:val="16"/>
                <w:szCs w:val="16"/>
                <w:lang w:eastAsia="en-GB"/>
              </w:rPr>
              <w:t> </w:t>
            </w:r>
          </w:p>
        </w:tc>
      </w:tr>
      <w:tr w:rsidR="00E936B8" w:rsidRPr="00775C36" w14:paraId="47EE5A98" w14:textId="77777777" w:rsidTr="00E936B8">
        <w:trPr>
          <w:trHeight w:val="300"/>
        </w:trPr>
        <w:tc>
          <w:tcPr>
            <w:tcW w:w="420" w:type="dxa"/>
            <w:tcBorders>
              <w:top w:val="nil"/>
              <w:left w:val="nil"/>
              <w:bottom w:val="nil"/>
              <w:right w:val="nil"/>
            </w:tcBorders>
            <w:shd w:val="clear" w:color="000000" w:fill="FFFFFF"/>
            <w:noWrap/>
            <w:vAlign w:val="center"/>
            <w:hideMark/>
          </w:tcPr>
          <w:p w14:paraId="75899F15" w14:textId="77777777" w:rsidR="00775C36" w:rsidRPr="00775C36" w:rsidRDefault="00775C36" w:rsidP="00775C36">
            <w:pPr>
              <w:spacing w:after="0" w:line="240" w:lineRule="auto"/>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 </w:t>
            </w:r>
          </w:p>
        </w:tc>
        <w:tc>
          <w:tcPr>
            <w:tcW w:w="2180" w:type="dxa"/>
            <w:tcBorders>
              <w:top w:val="nil"/>
              <w:left w:val="nil"/>
              <w:bottom w:val="nil"/>
              <w:right w:val="nil"/>
            </w:tcBorders>
            <w:shd w:val="clear" w:color="000000" w:fill="FFFFFF"/>
            <w:noWrap/>
            <w:vAlign w:val="center"/>
            <w:hideMark/>
          </w:tcPr>
          <w:p w14:paraId="3BA8EC21" w14:textId="77777777" w:rsidR="00775C36" w:rsidRPr="00775C36" w:rsidRDefault="00775C36" w:rsidP="00775C36">
            <w:pPr>
              <w:spacing w:after="0" w:line="240" w:lineRule="auto"/>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Observations</w:t>
            </w:r>
          </w:p>
        </w:tc>
        <w:tc>
          <w:tcPr>
            <w:tcW w:w="1294" w:type="dxa"/>
            <w:gridSpan w:val="2"/>
            <w:tcBorders>
              <w:top w:val="nil"/>
              <w:left w:val="nil"/>
              <w:bottom w:val="nil"/>
              <w:right w:val="nil"/>
            </w:tcBorders>
            <w:shd w:val="clear" w:color="000000" w:fill="FFFFFF"/>
            <w:noWrap/>
            <w:vAlign w:val="center"/>
            <w:hideMark/>
          </w:tcPr>
          <w:p w14:paraId="5A777F6F" w14:textId="77777777" w:rsidR="00775C36" w:rsidRPr="00775C36" w:rsidRDefault="00775C36" w:rsidP="00775C36">
            <w:pPr>
              <w:spacing w:after="0" w:line="240" w:lineRule="auto"/>
              <w:jc w:val="center"/>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1,382</w:t>
            </w:r>
          </w:p>
        </w:tc>
        <w:tc>
          <w:tcPr>
            <w:tcW w:w="1262" w:type="dxa"/>
            <w:gridSpan w:val="2"/>
            <w:tcBorders>
              <w:top w:val="nil"/>
              <w:left w:val="nil"/>
              <w:bottom w:val="nil"/>
              <w:right w:val="nil"/>
            </w:tcBorders>
            <w:shd w:val="clear" w:color="000000" w:fill="FFFFFF"/>
            <w:noWrap/>
            <w:vAlign w:val="center"/>
            <w:hideMark/>
          </w:tcPr>
          <w:p w14:paraId="3560B02C" w14:textId="77777777" w:rsidR="00775C36" w:rsidRPr="00775C36" w:rsidRDefault="00775C36" w:rsidP="00775C36">
            <w:pPr>
              <w:spacing w:after="0" w:line="240" w:lineRule="auto"/>
              <w:jc w:val="center"/>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1,382</w:t>
            </w:r>
          </w:p>
        </w:tc>
        <w:tc>
          <w:tcPr>
            <w:tcW w:w="1279" w:type="dxa"/>
            <w:gridSpan w:val="2"/>
            <w:tcBorders>
              <w:top w:val="nil"/>
              <w:left w:val="nil"/>
              <w:bottom w:val="nil"/>
              <w:right w:val="nil"/>
            </w:tcBorders>
            <w:shd w:val="clear" w:color="000000" w:fill="FFFFFF"/>
            <w:noWrap/>
            <w:vAlign w:val="center"/>
            <w:hideMark/>
          </w:tcPr>
          <w:p w14:paraId="59536292" w14:textId="77777777" w:rsidR="00775C36" w:rsidRPr="00775C36" w:rsidRDefault="00775C36" w:rsidP="00775C36">
            <w:pPr>
              <w:spacing w:after="0" w:line="240" w:lineRule="auto"/>
              <w:jc w:val="center"/>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962</w:t>
            </w:r>
          </w:p>
        </w:tc>
        <w:tc>
          <w:tcPr>
            <w:tcW w:w="1249" w:type="dxa"/>
            <w:gridSpan w:val="2"/>
            <w:tcBorders>
              <w:top w:val="nil"/>
              <w:left w:val="nil"/>
              <w:bottom w:val="nil"/>
              <w:right w:val="nil"/>
            </w:tcBorders>
            <w:shd w:val="clear" w:color="000000" w:fill="FFFFFF"/>
            <w:noWrap/>
            <w:vAlign w:val="center"/>
            <w:hideMark/>
          </w:tcPr>
          <w:p w14:paraId="6EF96C07" w14:textId="77777777" w:rsidR="00775C36" w:rsidRPr="00775C36" w:rsidRDefault="00775C36" w:rsidP="00775C36">
            <w:pPr>
              <w:spacing w:after="0" w:line="240" w:lineRule="auto"/>
              <w:jc w:val="center"/>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962</w:t>
            </w:r>
          </w:p>
        </w:tc>
        <w:tc>
          <w:tcPr>
            <w:tcW w:w="1231" w:type="dxa"/>
            <w:gridSpan w:val="2"/>
            <w:tcBorders>
              <w:top w:val="nil"/>
              <w:left w:val="nil"/>
              <w:bottom w:val="nil"/>
              <w:right w:val="nil"/>
            </w:tcBorders>
            <w:shd w:val="clear" w:color="000000" w:fill="FFFFFF"/>
            <w:noWrap/>
            <w:vAlign w:val="center"/>
            <w:hideMark/>
          </w:tcPr>
          <w:p w14:paraId="71B24572" w14:textId="77777777" w:rsidR="00775C36" w:rsidRPr="00775C36" w:rsidRDefault="00775C36" w:rsidP="00775C36">
            <w:pPr>
              <w:spacing w:after="0" w:line="240" w:lineRule="auto"/>
              <w:jc w:val="center"/>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280</w:t>
            </w:r>
          </w:p>
        </w:tc>
        <w:tc>
          <w:tcPr>
            <w:tcW w:w="1291" w:type="dxa"/>
            <w:gridSpan w:val="2"/>
            <w:tcBorders>
              <w:top w:val="nil"/>
              <w:left w:val="nil"/>
              <w:bottom w:val="nil"/>
              <w:right w:val="nil"/>
            </w:tcBorders>
            <w:shd w:val="clear" w:color="000000" w:fill="FFFFFF"/>
            <w:noWrap/>
            <w:vAlign w:val="center"/>
            <w:hideMark/>
          </w:tcPr>
          <w:p w14:paraId="5F1F1ED2" w14:textId="77777777" w:rsidR="00775C36" w:rsidRPr="00775C36" w:rsidRDefault="00775C36" w:rsidP="00775C36">
            <w:pPr>
              <w:spacing w:after="0" w:line="240" w:lineRule="auto"/>
              <w:jc w:val="center"/>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280</w:t>
            </w:r>
          </w:p>
        </w:tc>
      </w:tr>
      <w:tr w:rsidR="00E936B8" w:rsidRPr="00775C36" w14:paraId="08E1BF8E" w14:textId="77777777" w:rsidTr="00E936B8">
        <w:trPr>
          <w:trHeight w:val="315"/>
        </w:trPr>
        <w:tc>
          <w:tcPr>
            <w:tcW w:w="420" w:type="dxa"/>
            <w:tcBorders>
              <w:top w:val="nil"/>
              <w:left w:val="nil"/>
              <w:bottom w:val="single" w:sz="8" w:space="0" w:color="auto"/>
              <w:right w:val="nil"/>
            </w:tcBorders>
            <w:shd w:val="clear" w:color="000000" w:fill="FFFFFF"/>
            <w:noWrap/>
            <w:vAlign w:val="center"/>
            <w:hideMark/>
          </w:tcPr>
          <w:p w14:paraId="1E16602C" w14:textId="77777777" w:rsidR="00775C36" w:rsidRPr="00775C36" w:rsidRDefault="00775C36" w:rsidP="00775C36">
            <w:pPr>
              <w:spacing w:after="0" w:line="240" w:lineRule="auto"/>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 </w:t>
            </w:r>
          </w:p>
        </w:tc>
        <w:tc>
          <w:tcPr>
            <w:tcW w:w="2180" w:type="dxa"/>
            <w:tcBorders>
              <w:top w:val="nil"/>
              <w:left w:val="nil"/>
              <w:bottom w:val="single" w:sz="8" w:space="0" w:color="auto"/>
              <w:right w:val="nil"/>
            </w:tcBorders>
            <w:shd w:val="clear" w:color="000000" w:fill="FFFFFF"/>
            <w:noWrap/>
            <w:vAlign w:val="center"/>
            <w:hideMark/>
          </w:tcPr>
          <w:p w14:paraId="5B74417D" w14:textId="77777777" w:rsidR="00775C36" w:rsidRPr="00775C36" w:rsidRDefault="00775C36" w:rsidP="00775C36">
            <w:pPr>
              <w:spacing w:after="0" w:line="240" w:lineRule="auto"/>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eastAsia="en-GB"/>
              </w:rPr>
              <w:t>Log likelihood</w:t>
            </w:r>
          </w:p>
        </w:tc>
        <w:tc>
          <w:tcPr>
            <w:tcW w:w="1294" w:type="dxa"/>
            <w:gridSpan w:val="2"/>
            <w:tcBorders>
              <w:top w:val="nil"/>
              <w:left w:val="nil"/>
              <w:bottom w:val="single" w:sz="8" w:space="0" w:color="auto"/>
              <w:right w:val="nil"/>
            </w:tcBorders>
            <w:shd w:val="clear" w:color="000000" w:fill="FFFFFF"/>
            <w:noWrap/>
            <w:vAlign w:val="center"/>
            <w:hideMark/>
          </w:tcPr>
          <w:p w14:paraId="16013985" w14:textId="77777777" w:rsidR="00775C36" w:rsidRPr="00775C36" w:rsidRDefault="00775C36" w:rsidP="00775C36">
            <w:pPr>
              <w:spacing w:after="0" w:line="240" w:lineRule="auto"/>
              <w:jc w:val="center"/>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-1518</w:t>
            </w:r>
          </w:p>
        </w:tc>
        <w:tc>
          <w:tcPr>
            <w:tcW w:w="1262" w:type="dxa"/>
            <w:gridSpan w:val="2"/>
            <w:tcBorders>
              <w:top w:val="nil"/>
              <w:left w:val="nil"/>
              <w:bottom w:val="single" w:sz="8" w:space="0" w:color="auto"/>
              <w:right w:val="nil"/>
            </w:tcBorders>
            <w:shd w:val="clear" w:color="000000" w:fill="FFFFFF"/>
            <w:noWrap/>
            <w:vAlign w:val="center"/>
            <w:hideMark/>
          </w:tcPr>
          <w:p w14:paraId="48086661" w14:textId="77777777" w:rsidR="00775C36" w:rsidRPr="00775C36" w:rsidRDefault="00775C36" w:rsidP="00775C36">
            <w:pPr>
              <w:spacing w:after="0" w:line="240" w:lineRule="auto"/>
              <w:jc w:val="center"/>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-1710</w:t>
            </w:r>
          </w:p>
        </w:tc>
        <w:tc>
          <w:tcPr>
            <w:tcW w:w="1279" w:type="dxa"/>
            <w:gridSpan w:val="2"/>
            <w:tcBorders>
              <w:top w:val="nil"/>
              <w:left w:val="nil"/>
              <w:bottom w:val="single" w:sz="8" w:space="0" w:color="auto"/>
              <w:right w:val="nil"/>
            </w:tcBorders>
            <w:shd w:val="clear" w:color="000000" w:fill="FFFFFF"/>
            <w:noWrap/>
            <w:vAlign w:val="center"/>
            <w:hideMark/>
          </w:tcPr>
          <w:p w14:paraId="054C6086" w14:textId="77777777" w:rsidR="00775C36" w:rsidRPr="00775C36" w:rsidRDefault="00775C36" w:rsidP="00775C36">
            <w:pPr>
              <w:spacing w:after="0" w:line="240" w:lineRule="auto"/>
              <w:jc w:val="center"/>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-963</w:t>
            </w:r>
          </w:p>
        </w:tc>
        <w:tc>
          <w:tcPr>
            <w:tcW w:w="1249" w:type="dxa"/>
            <w:gridSpan w:val="2"/>
            <w:tcBorders>
              <w:top w:val="nil"/>
              <w:left w:val="nil"/>
              <w:bottom w:val="single" w:sz="8" w:space="0" w:color="auto"/>
              <w:right w:val="nil"/>
            </w:tcBorders>
            <w:shd w:val="clear" w:color="000000" w:fill="FFFFFF"/>
            <w:noWrap/>
            <w:vAlign w:val="center"/>
            <w:hideMark/>
          </w:tcPr>
          <w:p w14:paraId="5E1F9A84" w14:textId="77777777" w:rsidR="00775C36" w:rsidRPr="00775C36" w:rsidRDefault="00775C36" w:rsidP="00775C36">
            <w:pPr>
              <w:spacing w:after="0" w:line="240" w:lineRule="auto"/>
              <w:jc w:val="center"/>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-1164</w:t>
            </w:r>
          </w:p>
        </w:tc>
        <w:tc>
          <w:tcPr>
            <w:tcW w:w="1231" w:type="dxa"/>
            <w:gridSpan w:val="2"/>
            <w:tcBorders>
              <w:top w:val="nil"/>
              <w:left w:val="nil"/>
              <w:bottom w:val="single" w:sz="8" w:space="0" w:color="auto"/>
              <w:right w:val="nil"/>
            </w:tcBorders>
            <w:shd w:val="clear" w:color="000000" w:fill="FFFFFF"/>
            <w:noWrap/>
            <w:vAlign w:val="center"/>
            <w:hideMark/>
          </w:tcPr>
          <w:p w14:paraId="7D77AFBD" w14:textId="77777777" w:rsidR="00775C36" w:rsidRPr="00775C36" w:rsidRDefault="00775C36" w:rsidP="00775C36">
            <w:pPr>
              <w:spacing w:after="0" w:line="240" w:lineRule="auto"/>
              <w:jc w:val="center"/>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-203</w:t>
            </w:r>
          </w:p>
        </w:tc>
        <w:tc>
          <w:tcPr>
            <w:tcW w:w="1291" w:type="dxa"/>
            <w:gridSpan w:val="2"/>
            <w:tcBorders>
              <w:top w:val="nil"/>
              <w:left w:val="nil"/>
              <w:bottom w:val="single" w:sz="8" w:space="0" w:color="auto"/>
              <w:right w:val="nil"/>
            </w:tcBorders>
            <w:shd w:val="clear" w:color="000000" w:fill="FFFFFF"/>
            <w:noWrap/>
            <w:vAlign w:val="center"/>
            <w:hideMark/>
          </w:tcPr>
          <w:p w14:paraId="739DD42D" w14:textId="77777777" w:rsidR="00775C36" w:rsidRPr="00775C36" w:rsidRDefault="00775C36" w:rsidP="00775C36">
            <w:pPr>
              <w:spacing w:after="0" w:line="240" w:lineRule="auto"/>
              <w:jc w:val="center"/>
              <w:rPr>
                <w:rFonts w:ascii="Times New Roman" w:eastAsia="Times New Roman" w:hAnsi="Times New Roman" w:cs="Times New Roman"/>
                <w:color w:val="000000"/>
                <w:sz w:val="18"/>
                <w:szCs w:val="18"/>
                <w:lang w:val="en-GB" w:eastAsia="en-GB"/>
              </w:rPr>
            </w:pPr>
            <w:r w:rsidRPr="00775C36">
              <w:rPr>
                <w:rFonts w:ascii="Times New Roman" w:eastAsia="Times New Roman" w:hAnsi="Times New Roman" w:cs="Times New Roman"/>
                <w:color w:val="000000"/>
                <w:sz w:val="18"/>
                <w:szCs w:val="18"/>
                <w:lang w:val="en-GB" w:eastAsia="en-GB"/>
              </w:rPr>
              <w:t>-181</w:t>
            </w:r>
          </w:p>
        </w:tc>
      </w:tr>
    </w:tbl>
    <w:p w14:paraId="577E7224" w14:textId="77777777" w:rsidR="00E936B8" w:rsidRPr="0001749F" w:rsidRDefault="00A540F9" w:rsidP="00E936B8">
      <w:pPr>
        <w:spacing w:after="0" w:line="240" w:lineRule="auto"/>
        <w:rPr>
          <w:rFonts w:ascii="Times New Roman" w:eastAsia="Times New Roman" w:hAnsi="Times New Roman" w:cs="Times New Roman"/>
          <w:color w:val="000000"/>
          <w:sz w:val="20"/>
          <w:szCs w:val="20"/>
        </w:rPr>
      </w:pPr>
      <w:r w:rsidRPr="0001749F">
        <w:rPr>
          <w:rFonts w:ascii="Times New Roman" w:eastAsia="Times New Roman" w:hAnsi="Times New Roman" w:cs="Times New Roman"/>
          <w:color w:val="000000"/>
          <w:sz w:val="20"/>
          <w:szCs w:val="20"/>
        </w:rPr>
        <w:t xml:space="preserve">*** p&lt;0.001, </w:t>
      </w:r>
      <w:r w:rsidR="00E936B8" w:rsidRPr="0001749F">
        <w:rPr>
          <w:rFonts w:ascii="Times New Roman" w:eastAsia="Times New Roman" w:hAnsi="Times New Roman" w:cs="Times New Roman"/>
          <w:color w:val="000000"/>
          <w:sz w:val="20"/>
          <w:szCs w:val="20"/>
        </w:rPr>
        <w:t xml:space="preserve">** p&lt;0.01, * p&lt;0.05, </w:t>
      </w:r>
      <w:r w:rsidR="00E936B8" w:rsidRPr="0001749F">
        <w:rPr>
          <w:rFonts w:ascii="Symbol" w:eastAsia="Times New Roman" w:hAnsi="Symbol" w:cs="Times New Roman"/>
          <w:b/>
          <w:bCs/>
          <w:color w:val="000000"/>
          <w:sz w:val="20"/>
          <w:szCs w:val="20"/>
        </w:rPr>
        <w:t></w:t>
      </w:r>
      <w:r w:rsidR="00E936B8" w:rsidRPr="0001749F">
        <w:rPr>
          <w:rFonts w:ascii="Times New Roman" w:eastAsia="Times New Roman" w:hAnsi="Times New Roman" w:cs="Times New Roman"/>
          <w:b/>
          <w:bCs/>
          <w:color w:val="000000"/>
          <w:sz w:val="20"/>
          <w:szCs w:val="20"/>
        </w:rPr>
        <w:t xml:space="preserve">† </w:t>
      </w:r>
      <w:r w:rsidR="00E936B8" w:rsidRPr="0001749F">
        <w:rPr>
          <w:rFonts w:ascii="Times New Roman" w:eastAsia="Times New Roman" w:hAnsi="Times New Roman" w:cs="Times New Roman"/>
          <w:color w:val="000000"/>
          <w:sz w:val="20"/>
          <w:szCs w:val="20"/>
        </w:rPr>
        <w:t>p&lt;0.1</w:t>
      </w:r>
      <w:r w:rsidR="00E936B8" w:rsidRPr="00FC0C94">
        <w:rPr>
          <w:rFonts w:ascii="Times New Roman" w:eastAsia="Times New Roman" w:hAnsi="Times New Roman" w:cs="Times New Roman"/>
          <w:color w:val="000000"/>
          <w:sz w:val="20"/>
          <w:szCs w:val="20"/>
        </w:rPr>
        <w:t xml:space="preserve"> (conservative two-tailed tests)</w:t>
      </w:r>
    </w:p>
    <w:p w14:paraId="28EDBAD4" w14:textId="77777777" w:rsidR="00E936B8" w:rsidRDefault="009C6A81" w:rsidP="007E519D">
      <w:pPr>
        <w:spacing w:after="0" w:line="240" w:lineRule="auto"/>
        <w:contextualSpacing/>
        <w:mirrorIndents/>
        <w:jc w:val="both"/>
        <w:rPr>
          <w:rFonts w:ascii="Times New Roman" w:hAnsi="Times New Roman" w:cs="Times New Roman"/>
          <w:sz w:val="20"/>
          <w:szCs w:val="20"/>
        </w:rPr>
      </w:pPr>
      <w:r>
        <w:rPr>
          <w:rFonts w:ascii="Times New Roman" w:hAnsi="Times New Roman" w:cs="Times New Roman"/>
          <w:sz w:val="20"/>
          <w:szCs w:val="24"/>
        </w:rPr>
        <w:t>The dependent variable is</w:t>
      </w:r>
      <w:r w:rsidR="00E65A1B" w:rsidRPr="002612BA">
        <w:rPr>
          <w:rFonts w:ascii="Times New Roman" w:hAnsi="Times New Roman" w:cs="Times New Roman"/>
          <w:sz w:val="20"/>
          <w:szCs w:val="24"/>
        </w:rPr>
        <w:t xml:space="preserve"> the hazard of successful exits</w:t>
      </w:r>
      <w:r w:rsidR="00793337">
        <w:rPr>
          <w:rFonts w:ascii="Times New Roman" w:hAnsi="Times New Roman" w:cs="Times New Roman"/>
          <w:sz w:val="20"/>
          <w:szCs w:val="24"/>
        </w:rPr>
        <w:t xml:space="preserve"> (Models a)</w:t>
      </w:r>
      <w:r w:rsidR="00E65A1B" w:rsidRPr="002612BA">
        <w:rPr>
          <w:rFonts w:ascii="Times New Roman" w:hAnsi="Times New Roman" w:cs="Times New Roman"/>
          <w:sz w:val="20"/>
          <w:szCs w:val="24"/>
        </w:rPr>
        <w:t xml:space="preserve"> and termination</w:t>
      </w:r>
      <w:r w:rsidR="00793337">
        <w:rPr>
          <w:rFonts w:ascii="Times New Roman" w:hAnsi="Times New Roman" w:cs="Times New Roman"/>
          <w:sz w:val="20"/>
          <w:szCs w:val="24"/>
        </w:rPr>
        <w:t xml:space="preserve"> (Models b)</w:t>
      </w:r>
      <w:r w:rsidR="00E65A1B" w:rsidRPr="002612BA">
        <w:rPr>
          <w:rFonts w:ascii="Times New Roman" w:hAnsi="Times New Roman" w:cs="Times New Roman"/>
          <w:sz w:val="20"/>
          <w:szCs w:val="24"/>
        </w:rPr>
        <w:t>.</w:t>
      </w:r>
      <w:r w:rsidR="005405B7">
        <w:rPr>
          <w:rFonts w:ascii="Times New Roman" w:hAnsi="Times New Roman" w:cs="Times New Roman"/>
          <w:sz w:val="20"/>
          <w:szCs w:val="24"/>
        </w:rPr>
        <w:t xml:space="preserve"> Models 1a and 1b employ the full sample; Models 2a and 2b include domestic investments only; Models 3a and 3b include cross-border investments only</w:t>
      </w:r>
      <w:r w:rsidR="00E65A1B" w:rsidRPr="002612BA">
        <w:rPr>
          <w:rFonts w:ascii="Times New Roman" w:hAnsi="Times New Roman" w:cs="Times New Roman"/>
          <w:sz w:val="20"/>
          <w:szCs w:val="24"/>
        </w:rPr>
        <w:t xml:space="preserve">. </w:t>
      </w:r>
      <w:r w:rsidR="00E936B8" w:rsidRPr="004B362F">
        <w:rPr>
          <w:rFonts w:ascii="Times New Roman" w:hAnsi="Times New Roman" w:cs="Times New Roman"/>
          <w:sz w:val="20"/>
          <w:szCs w:val="20"/>
        </w:rPr>
        <w:t>The coefficients of the following dummy variables are not reported due to space conside</w:t>
      </w:r>
      <w:r w:rsidR="00E936B8">
        <w:rPr>
          <w:rFonts w:ascii="Times New Roman" w:hAnsi="Times New Roman" w:cs="Times New Roman"/>
          <w:sz w:val="20"/>
          <w:szCs w:val="20"/>
        </w:rPr>
        <w:t>rations: investor entry stage;</w:t>
      </w:r>
      <w:r w:rsidR="00E936B8" w:rsidRPr="0080081F">
        <w:rPr>
          <w:rFonts w:ascii="Times New Roman" w:hAnsi="Times New Roman" w:cs="Times New Roman"/>
          <w:sz w:val="20"/>
          <w:szCs w:val="20"/>
        </w:rPr>
        <w:t xml:space="preserve"> </w:t>
      </w:r>
      <w:r w:rsidR="00E936B8" w:rsidRPr="004B362F">
        <w:rPr>
          <w:rFonts w:ascii="Times New Roman" w:hAnsi="Times New Roman" w:cs="Times New Roman"/>
          <w:sz w:val="20"/>
          <w:szCs w:val="20"/>
        </w:rPr>
        <w:t>first investment year;</w:t>
      </w:r>
      <w:r w:rsidR="00E936B8">
        <w:rPr>
          <w:rFonts w:ascii="Times New Roman" w:hAnsi="Times New Roman" w:cs="Times New Roman"/>
          <w:sz w:val="20"/>
          <w:szCs w:val="20"/>
        </w:rPr>
        <w:t xml:space="preserve"> portfolio company</w:t>
      </w:r>
      <w:r w:rsidR="00E936B8" w:rsidRPr="004B362F">
        <w:rPr>
          <w:rFonts w:ascii="Times New Roman" w:hAnsi="Times New Roman" w:cs="Times New Roman"/>
          <w:sz w:val="20"/>
          <w:szCs w:val="20"/>
        </w:rPr>
        <w:t xml:space="preserve"> industry; </w:t>
      </w:r>
      <w:r w:rsidR="00E936B8">
        <w:rPr>
          <w:rFonts w:ascii="Times New Roman" w:hAnsi="Times New Roman" w:cs="Times New Roman"/>
          <w:sz w:val="20"/>
          <w:szCs w:val="20"/>
        </w:rPr>
        <w:t>portfolio company</w:t>
      </w:r>
      <w:r w:rsidR="00E936B8" w:rsidRPr="004B362F">
        <w:rPr>
          <w:rFonts w:ascii="Times New Roman" w:hAnsi="Times New Roman" w:cs="Times New Roman"/>
          <w:sz w:val="20"/>
          <w:szCs w:val="20"/>
        </w:rPr>
        <w:t xml:space="preserve"> country</w:t>
      </w:r>
    </w:p>
    <w:p w14:paraId="43251222" w14:textId="77777777" w:rsidR="00E936B8" w:rsidRDefault="00E936B8" w:rsidP="00E936B8">
      <w:pPr>
        <w:spacing w:after="0" w:line="240" w:lineRule="auto"/>
        <w:contextualSpacing/>
        <w:mirrorIndents/>
        <w:rPr>
          <w:rFonts w:ascii="Times New Roman" w:hAnsi="Times New Roman" w:cs="Times New Roman"/>
          <w:sz w:val="20"/>
          <w:szCs w:val="20"/>
        </w:rPr>
      </w:pPr>
      <w:r>
        <w:rPr>
          <w:rFonts w:ascii="Times New Roman" w:hAnsi="Times New Roman" w:cs="Times New Roman"/>
          <w:sz w:val="20"/>
          <w:szCs w:val="20"/>
        </w:rPr>
        <w:t>x: variables are included in the models</w:t>
      </w:r>
    </w:p>
    <w:p w14:paraId="00358842" w14:textId="77777777" w:rsidR="00775C36" w:rsidRDefault="00775C36" w:rsidP="000213A4">
      <w:pPr>
        <w:spacing w:after="0" w:line="480" w:lineRule="auto"/>
        <w:contextualSpacing/>
        <w:mirrorIndents/>
        <w:rPr>
          <w:rFonts w:ascii="Times New Roman" w:hAnsi="Times New Roman" w:cs="Times New Roman"/>
          <w:b/>
        </w:rPr>
      </w:pPr>
    </w:p>
    <w:p w14:paraId="20B900A7" w14:textId="77777777" w:rsidR="007B3980" w:rsidRDefault="007B3980">
      <w:pPr>
        <w:rPr>
          <w:rFonts w:ascii="Times New Roman" w:hAnsi="Times New Roman" w:cs="Times New Roman"/>
          <w:b/>
        </w:rPr>
      </w:pPr>
      <w:r>
        <w:rPr>
          <w:rFonts w:ascii="Times New Roman" w:hAnsi="Times New Roman" w:cs="Times New Roman"/>
          <w:b/>
        </w:rPr>
        <w:br w:type="page"/>
      </w:r>
    </w:p>
    <w:p w14:paraId="745AD4BE" w14:textId="2F854AEA" w:rsidR="007B3980" w:rsidRDefault="007B3980" w:rsidP="000213A4">
      <w:pPr>
        <w:spacing w:after="0" w:line="480" w:lineRule="auto"/>
        <w:contextualSpacing/>
        <w:mirrorIndents/>
        <w:rPr>
          <w:rFonts w:ascii="Times New Roman" w:hAnsi="Times New Roman" w:cs="Times New Roman"/>
          <w:b/>
        </w:rPr>
      </w:pPr>
      <w:r>
        <w:rPr>
          <w:rFonts w:ascii="Times New Roman" w:hAnsi="Times New Roman" w:cs="Times New Roman"/>
          <w:b/>
        </w:rPr>
        <w:lastRenderedPageBreak/>
        <w:t>Table 6: Cox models predicting the hazard of e</w:t>
      </w:r>
      <w:r w:rsidRPr="004B362F">
        <w:rPr>
          <w:rFonts w:ascii="Times New Roman" w:hAnsi="Times New Roman" w:cs="Times New Roman"/>
          <w:b/>
        </w:rPr>
        <w:t>xit</w:t>
      </w:r>
      <w:r>
        <w:rPr>
          <w:rFonts w:ascii="Times New Roman" w:hAnsi="Times New Roman" w:cs="Times New Roman"/>
          <w:b/>
        </w:rPr>
        <w:t xml:space="preserve">: </w:t>
      </w:r>
      <w:r w:rsidR="00CD32BA">
        <w:rPr>
          <w:rFonts w:ascii="Times New Roman" w:hAnsi="Times New Roman" w:cs="Times New Roman"/>
          <w:b/>
        </w:rPr>
        <w:t xml:space="preserve">Full sample, interactions with </w:t>
      </w:r>
      <w:r w:rsidR="00D0203B">
        <w:rPr>
          <w:rFonts w:ascii="Times New Roman" w:hAnsi="Times New Roman" w:cs="Times New Roman"/>
          <w:b/>
        </w:rPr>
        <w:t xml:space="preserve">VC </w:t>
      </w:r>
      <w:r w:rsidR="00CD32BA">
        <w:rPr>
          <w:rFonts w:ascii="Times New Roman" w:hAnsi="Times New Roman" w:cs="Times New Roman"/>
          <w:b/>
        </w:rPr>
        <w:t>origin</w:t>
      </w:r>
    </w:p>
    <w:tbl>
      <w:tblPr>
        <w:tblW w:w="0" w:type="auto"/>
        <w:tblInd w:w="93" w:type="dxa"/>
        <w:tblLook w:val="04A0" w:firstRow="1" w:lastRow="0" w:firstColumn="1" w:lastColumn="0" w:noHBand="0" w:noVBand="1"/>
      </w:tblPr>
      <w:tblGrid>
        <w:gridCol w:w="261"/>
        <w:gridCol w:w="2286"/>
        <w:gridCol w:w="681"/>
        <w:gridCol w:w="456"/>
        <w:gridCol w:w="681"/>
        <w:gridCol w:w="456"/>
        <w:gridCol w:w="681"/>
        <w:gridCol w:w="456"/>
        <w:gridCol w:w="681"/>
        <w:gridCol w:w="456"/>
      </w:tblGrid>
      <w:tr w:rsidR="00600C34" w:rsidRPr="00051C0E" w14:paraId="06F862B9" w14:textId="77777777" w:rsidTr="007E519D">
        <w:trPr>
          <w:trHeight w:val="255"/>
        </w:trPr>
        <w:tc>
          <w:tcPr>
            <w:tcW w:w="0" w:type="auto"/>
            <w:tcBorders>
              <w:top w:val="single" w:sz="4" w:space="0" w:color="auto"/>
              <w:left w:val="nil"/>
              <w:bottom w:val="nil"/>
              <w:right w:val="nil"/>
            </w:tcBorders>
            <w:shd w:val="clear" w:color="000000" w:fill="FFFFFF"/>
            <w:noWrap/>
            <w:vAlign w:val="bottom"/>
            <w:hideMark/>
          </w:tcPr>
          <w:p w14:paraId="5BA06F96" w14:textId="77777777" w:rsidR="00600C34" w:rsidRPr="00051C0E" w:rsidRDefault="00600C34" w:rsidP="00250E5D">
            <w:pPr>
              <w:spacing w:after="0" w:line="240" w:lineRule="auto"/>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tcBorders>
              <w:top w:val="single" w:sz="4" w:space="0" w:color="auto"/>
              <w:left w:val="nil"/>
              <w:bottom w:val="nil"/>
              <w:right w:val="nil"/>
            </w:tcBorders>
            <w:shd w:val="clear" w:color="000000" w:fill="FFFFFF"/>
            <w:noWrap/>
            <w:vAlign w:val="bottom"/>
            <w:hideMark/>
          </w:tcPr>
          <w:p w14:paraId="34E5C35B" w14:textId="77777777" w:rsidR="00600C34" w:rsidRPr="00051C0E" w:rsidRDefault="00600C34" w:rsidP="00250E5D">
            <w:pPr>
              <w:spacing w:after="0" w:line="240" w:lineRule="auto"/>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gridSpan w:val="8"/>
            <w:tcBorders>
              <w:top w:val="single" w:sz="4" w:space="0" w:color="auto"/>
              <w:left w:val="nil"/>
              <w:bottom w:val="nil"/>
              <w:right w:val="nil"/>
            </w:tcBorders>
            <w:shd w:val="clear" w:color="000000" w:fill="FFFFFF"/>
            <w:noWrap/>
            <w:vAlign w:val="bottom"/>
            <w:hideMark/>
          </w:tcPr>
          <w:p w14:paraId="6D84492E" w14:textId="77777777" w:rsidR="00600C34" w:rsidRPr="00051C0E" w:rsidRDefault="00600C34" w:rsidP="00250E5D">
            <w:pPr>
              <w:spacing w:after="0" w:line="240" w:lineRule="auto"/>
              <w:jc w:val="center"/>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xml:space="preserve">Comparison of VC </w:t>
            </w:r>
            <w:r>
              <w:rPr>
                <w:rFonts w:ascii="Times New Roman" w:eastAsia="Times New Roman" w:hAnsi="Times New Roman" w:cs="Times New Roman"/>
                <w:color w:val="000000"/>
                <w:sz w:val="18"/>
                <w:szCs w:val="18"/>
              </w:rPr>
              <w:t xml:space="preserve">Firm </w:t>
            </w:r>
            <w:r w:rsidRPr="00051C0E">
              <w:rPr>
                <w:rFonts w:ascii="Times New Roman" w:eastAsia="Times New Roman" w:hAnsi="Times New Roman" w:cs="Times New Roman"/>
                <w:color w:val="000000"/>
                <w:sz w:val="18"/>
                <w:szCs w:val="18"/>
              </w:rPr>
              <w:t>Origins</w:t>
            </w:r>
          </w:p>
        </w:tc>
      </w:tr>
      <w:tr w:rsidR="00CE3EE7" w:rsidRPr="00051C0E" w14:paraId="4F72D578" w14:textId="77777777" w:rsidTr="00250E5D">
        <w:trPr>
          <w:trHeight w:val="255"/>
        </w:trPr>
        <w:tc>
          <w:tcPr>
            <w:tcW w:w="0" w:type="auto"/>
            <w:tcBorders>
              <w:top w:val="nil"/>
              <w:left w:val="nil"/>
              <w:bottom w:val="nil"/>
              <w:right w:val="nil"/>
            </w:tcBorders>
            <w:shd w:val="clear" w:color="000000" w:fill="FFFFFF"/>
            <w:noWrap/>
            <w:vAlign w:val="bottom"/>
            <w:hideMark/>
          </w:tcPr>
          <w:p w14:paraId="01F0142D" w14:textId="77777777" w:rsidR="00600C34" w:rsidRPr="00051C0E" w:rsidRDefault="00600C34" w:rsidP="00250E5D">
            <w:pPr>
              <w:spacing w:after="0" w:line="240" w:lineRule="auto"/>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7242A1F7" w14:textId="77777777" w:rsidR="00600C34" w:rsidRPr="00051C0E" w:rsidRDefault="00600C34" w:rsidP="00250E5D">
            <w:pPr>
              <w:spacing w:after="0" w:line="240" w:lineRule="auto"/>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gridSpan w:val="2"/>
            <w:tcBorders>
              <w:top w:val="nil"/>
              <w:left w:val="nil"/>
              <w:bottom w:val="nil"/>
              <w:right w:val="nil"/>
            </w:tcBorders>
            <w:shd w:val="clear" w:color="000000" w:fill="FFFFFF"/>
            <w:noWrap/>
            <w:vAlign w:val="bottom"/>
            <w:hideMark/>
          </w:tcPr>
          <w:p w14:paraId="014C739A" w14:textId="77777777" w:rsidR="00600C34" w:rsidRPr="00051C0E" w:rsidRDefault="00600C34" w:rsidP="00250E5D">
            <w:pPr>
              <w:spacing w:after="0" w:line="240" w:lineRule="auto"/>
              <w:jc w:val="center"/>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Success</w:t>
            </w:r>
          </w:p>
        </w:tc>
        <w:tc>
          <w:tcPr>
            <w:tcW w:w="0" w:type="auto"/>
            <w:gridSpan w:val="2"/>
            <w:tcBorders>
              <w:top w:val="nil"/>
              <w:left w:val="nil"/>
              <w:bottom w:val="nil"/>
              <w:right w:val="nil"/>
            </w:tcBorders>
            <w:shd w:val="clear" w:color="000000" w:fill="FFFFFF"/>
            <w:noWrap/>
            <w:vAlign w:val="bottom"/>
            <w:hideMark/>
          </w:tcPr>
          <w:p w14:paraId="6CFB9084" w14:textId="77777777" w:rsidR="00600C34" w:rsidRPr="00051C0E" w:rsidRDefault="00600C34" w:rsidP="00250E5D">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Termination</w:t>
            </w:r>
          </w:p>
        </w:tc>
        <w:tc>
          <w:tcPr>
            <w:tcW w:w="0" w:type="auto"/>
            <w:gridSpan w:val="2"/>
            <w:tcBorders>
              <w:top w:val="nil"/>
              <w:left w:val="nil"/>
              <w:bottom w:val="nil"/>
              <w:right w:val="nil"/>
            </w:tcBorders>
            <w:shd w:val="clear" w:color="000000" w:fill="FFFFFF"/>
            <w:noWrap/>
            <w:vAlign w:val="bottom"/>
            <w:hideMark/>
          </w:tcPr>
          <w:p w14:paraId="09E4134A" w14:textId="77777777" w:rsidR="00600C34" w:rsidRPr="00051C0E" w:rsidRDefault="00600C34" w:rsidP="00250E5D">
            <w:pPr>
              <w:spacing w:after="0" w:line="240" w:lineRule="auto"/>
              <w:jc w:val="center"/>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Success</w:t>
            </w:r>
          </w:p>
        </w:tc>
        <w:tc>
          <w:tcPr>
            <w:tcW w:w="0" w:type="auto"/>
            <w:gridSpan w:val="2"/>
            <w:tcBorders>
              <w:top w:val="nil"/>
              <w:left w:val="nil"/>
              <w:bottom w:val="nil"/>
              <w:right w:val="nil"/>
            </w:tcBorders>
            <w:shd w:val="clear" w:color="000000" w:fill="FFFFFF"/>
            <w:noWrap/>
            <w:vAlign w:val="bottom"/>
            <w:hideMark/>
          </w:tcPr>
          <w:p w14:paraId="0DC4BC27" w14:textId="77777777" w:rsidR="00600C34" w:rsidRPr="00051C0E" w:rsidRDefault="00600C34" w:rsidP="00250E5D">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Termination</w:t>
            </w:r>
          </w:p>
        </w:tc>
      </w:tr>
      <w:tr w:rsidR="00CE3EE7" w:rsidRPr="00051C0E" w14:paraId="7C0E930E" w14:textId="77777777" w:rsidTr="00250E5D">
        <w:trPr>
          <w:trHeight w:val="255"/>
        </w:trPr>
        <w:tc>
          <w:tcPr>
            <w:tcW w:w="0" w:type="auto"/>
            <w:tcBorders>
              <w:top w:val="nil"/>
              <w:left w:val="nil"/>
              <w:bottom w:val="single" w:sz="4" w:space="0" w:color="auto"/>
              <w:right w:val="nil"/>
            </w:tcBorders>
            <w:shd w:val="clear" w:color="000000" w:fill="FFFFFF"/>
            <w:noWrap/>
            <w:vAlign w:val="bottom"/>
            <w:hideMark/>
          </w:tcPr>
          <w:p w14:paraId="03744A5E" w14:textId="77777777" w:rsidR="00600C34" w:rsidRPr="00051C0E" w:rsidRDefault="00600C34" w:rsidP="00250E5D">
            <w:pPr>
              <w:spacing w:after="0" w:line="240" w:lineRule="auto"/>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tcBorders>
              <w:top w:val="nil"/>
              <w:left w:val="nil"/>
              <w:bottom w:val="single" w:sz="4" w:space="0" w:color="auto"/>
              <w:right w:val="nil"/>
            </w:tcBorders>
            <w:shd w:val="clear" w:color="000000" w:fill="FFFFFF"/>
            <w:noWrap/>
            <w:vAlign w:val="bottom"/>
            <w:hideMark/>
          </w:tcPr>
          <w:p w14:paraId="1F55AF99" w14:textId="77777777" w:rsidR="00600C34" w:rsidRPr="00051C0E" w:rsidRDefault="00600C34" w:rsidP="00250E5D">
            <w:pPr>
              <w:spacing w:after="0" w:line="240" w:lineRule="auto"/>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gridSpan w:val="2"/>
            <w:tcBorders>
              <w:top w:val="nil"/>
              <w:left w:val="nil"/>
              <w:bottom w:val="single" w:sz="4" w:space="0" w:color="auto"/>
              <w:right w:val="nil"/>
            </w:tcBorders>
            <w:shd w:val="clear" w:color="000000" w:fill="FFFFFF"/>
            <w:noWrap/>
            <w:vAlign w:val="bottom"/>
            <w:hideMark/>
          </w:tcPr>
          <w:p w14:paraId="353E43F2" w14:textId="77777777" w:rsidR="00600C34" w:rsidRPr="00051C0E" w:rsidRDefault="00342DEA" w:rsidP="00250E5D">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Pr="00051C0E">
              <w:rPr>
                <w:rFonts w:ascii="Times New Roman" w:eastAsia="Times New Roman" w:hAnsi="Times New Roman" w:cs="Times New Roman"/>
                <w:color w:val="000000"/>
                <w:sz w:val="18"/>
                <w:szCs w:val="18"/>
              </w:rPr>
              <w:t>a</w:t>
            </w:r>
          </w:p>
        </w:tc>
        <w:tc>
          <w:tcPr>
            <w:tcW w:w="0" w:type="auto"/>
            <w:tcBorders>
              <w:top w:val="nil"/>
              <w:left w:val="nil"/>
              <w:bottom w:val="single" w:sz="4" w:space="0" w:color="auto"/>
              <w:right w:val="nil"/>
            </w:tcBorders>
            <w:shd w:val="clear" w:color="000000" w:fill="FFFFFF"/>
            <w:noWrap/>
            <w:vAlign w:val="bottom"/>
            <w:hideMark/>
          </w:tcPr>
          <w:p w14:paraId="30C159B5" w14:textId="77777777" w:rsidR="00600C34" w:rsidRPr="00051C0E" w:rsidRDefault="00342DEA" w:rsidP="00250E5D">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r w:rsidRPr="00051C0E">
              <w:rPr>
                <w:rFonts w:ascii="Times New Roman" w:eastAsia="Times New Roman" w:hAnsi="Times New Roman" w:cs="Times New Roman"/>
                <w:color w:val="000000"/>
                <w:sz w:val="18"/>
                <w:szCs w:val="18"/>
              </w:rPr>
              <w:t>b</w:t>
            </w:r>
          </w:p>
        </w:tc>
        <w:tc>
          <w:tcPr>
            <w:tcW w:w="0" w:type="auto"/>
            <w:tcBorders>
              <w:top w:val="nil"/>
              <w:left w:val="nil"/>
              <w:bottom w:val="single" w:sz="4" w:space="0" w:color="auto"/>
              <w:right w:val="nil"/>
            </w:tcBorders>
            <w:shd w:val="clear" w:color="000000" w:fill="FFFFFF"/>
            <w:noWrap/>
            <w:vAlign w:val="bottom"/>
            <w:hideMark/>
          </w:tcPr>
          <w:p w14:paraId="049B307A"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c>
          <w:tcPr>
            <w:tcW w:w="0" w:type="auto"/>
            <w:gridSpan w:val="2"/>
            <w:tcBorders>
              <w:top w:val="nil"/>
              <w:left w:val="nil"/>
              <w:bottom w:val="single" w:sz="4" w:space="0" w:color="auto"/>
              <w:right w:val="nil"/>
            </w:tcBorders>
            <w:shd w:val="clear" w:color="000000" w:fill="FFFFFF"/>
            <w:noWrap/>
            <w:vAlign w:val="bottom"/>
            <w:hideMark/>
          </w:tcPr>
          <w:p w14:paraId="509F62E1" w14:textId="77777777" w:rsidR="00600C34" w:rsidRPr="00051C0E" w:rsidRDefault="00342DEA" w:rsidP="00250E5D">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r w:rsidRPr="00051C0E">
              <w:rPr>
                <w:rFonts w:ascii="Times New Roman" w:eastAsia="Times New Roman" w:hAnsi="Times New Roman" w:cs="Times New Roman"/>
                <w:color w:val="000000"/>
                <w:sz w:val="18"/>
                <w:szCs w:val="18"/>
              </w:rPr>
              <w:t>a</w:t>
            </w:r>
          </w:p>
        </w:tc>
        <w:tc>
          <w:tcPr>
            <w:tcW w:w="0" w:type="auto"/>
            <w:gridSpan w:val="2"/>
            <w:tcBorders>
              <w:top w:val="nil"/>
              <w:left w:val="nil"/>
              <w:bottom w:val="single" w:sz="4" w:space="0" w:color="auto"/>
              <w:right w:val="nil"/>
            </w:tcBorders>
            <w:shd w:val="clear" w:color="000000" w:fill="FFFFFF"/>
            <w:noWrap/>
            <w:vAlign w:val="bottom"/>
            <w:hideMark/>
          </w:tcPr>
          <w:p w14:paraId="0DA1322D" w14:textId="77777777" w:rsidR="00600C34" w:rsidRPr="00051C0E" w:rsidRDefault="00342DEA" w:rsidP="00250E5D">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r w:rsidRPr="00051C0E">
              <w:rPr>
                <w:rFonts w:ascii="Times New Roman" w:eastAsia="Times New Roman" w:hAnsi="Times New Roman" w:cs="Times New Roman"/>
                <w:color w:val="000000"/>
                <w:sz w:val="18"/>
                <w:szCs w:val="18"/>
              </w:rPr>
              <w:t>b</w:t>
            </w:r>
          </w:p>
        </w:tc>
      </w:tr>
      <w:tr w:rsidR="00CE3EE7" w:rsidRPr="00051C0E" w14:paraId="7AA7F7B2" w14:textId="77777777" w:rsidTr="00250E5D">
        <w:trPr>
          <w:trHeight w:val="255"/>
        </w:trPr>
        <w:tc>
          <w:tcPr>
            <w:tcW w:w="0" w:type="auto"/>
            <w:gridSpan w:val="2"/>
            <w:tcBorders>
              <w:top w:val="nil"/>
              <w:left w:val="nil"/>
              <w:bottom w:val="nil"/>
              <w:right w:val="nil"/>
            </w:tcBorders>
            <w:shd w:val="clear" w:color="000000" w:fill="FFFFFF"/>
            <w:noWrap/>
            <w:vAlign w:val="bottom"/>
            <w:hideMark/>
          </w:tcPr>
          <w:p w14:paraId="562C6E74" w14:textId="77777777" w:rsidR="00600C34" w:rsidRPr="00051C0E" w:rsidRDefault="00600C34" w:rsidP="00250E5D">
            <w:pPr>
              <w:spacing w:after="0" w:line="240" w:lineRule="auto"/>
              <w:rPr>
                <w:rFonts w:ascii="Times New Roman" w:eastAsia="Times New Roman" w:hAnsi="Times New Roman" w:cs="Times New Roman"/>
                <w:i/>
                <w:iCs/>
                <w:color w:val="000000"/>
                <w:sz w:val="18"/>
                <w:szCs w:val="18"/>
              </w:rPr>
            </w:pPr>
            <w:r w:rsidRPr="00051C0E">
              <w:rPr>
                <w:rFonts w:ascii="Times New Roman" w:eastAsia="Times New Roman" w:hAnsi="Times New Roman" w:cs="Times New Roman"/>
                <w:i/>
                <w:iCs/>
                <w:color w:val="000000"/>
                <w:sz w:val="18"/>
                <w:szCs w:val="18"/>
              </w:rPr>
              <w:t>Independent variables</w:t>
            </w:r>
          </w:p>
        </w:tc>
        <w:tc>
          <w:tcPr>
            <w:tcW w:w="0" w:type="auto"/>
            <w:tcBorders>
              <w:top w:val="nil"/>
              <w:left w:val="nil"/>
              <w:bottom w:val="nil"/>
              <w:right w:val="nil"/>
            </w:tcBorders>
            <w:shd w:val="clear" w:color="000000" w:fill="FFFFFF"/>
            <w:noWrap/>
            <w:vAlign w:val="bottom"/>
            <w:hideMark/>
          </w:tcPr>
          <w:p w14:paraId="0196476A" w14:textId="77777777" w:rsidR="00600C34" w:rsidRPr="00051C0E" w:rsidRDefault="00600C34" w:rsidP="00250E5D">
            <w:pPr>
              <w:spacing w:after="0" w:line="240" w:lineRule="auto"/>
              <w:jc w:val="center"/>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7D3E56DD" w14:textId="77777777" w:rsidR="00600C34" w:rsidRPr="00051C0E" w:rsidRDefault="00600C34" w:rsidP="00250E5D">
            <w:pPr>
              <w:spacing w:after="0" w:line="240" w:lineRule="auto"/>
              <w:jc w:val="center"/>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c>
          <w:tcPr>
            <w:tcW w:w="0" w:type="auto"/>
            <w:tcBorders>
              <w:top w:val="nil"/>
              <w:left w:val="nil"/>
              <w:bottom w:val="nil"/>
              <w:right w:val="nil"/>
            </w:tcBorders>
            <w:shd w:val="clear" w:color="000000" w:fill="FFFFFF"/>
            <w:noWrap/>
            <w:vAlign w:val="bottom"/>
            <w:hideMark/>
          </w:tcPr>
          <w:p w14:paraId="5B9766AD" w14:textId="77777777" w:rsidR="00600C34" w:rsidRPr="00051C0E" w:rsidRDefault="00600C34" w:rsidP="00250E5D">
            <w:pPr>
              <w:spacing w:after="0" w:line="240" w:lineRule="auto"/>
              <w:jc w:val="center"/>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5A4AF31B"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c>
          <w:tcPr>
            <w:tcW w:w="0" w:type="auto"/>
            <w:tcBorders>
              <w:top w:val="nil"/>
              <w:left w:val="nil"/>
              <w:bottom w:val="nil"/>
              <w:right w:val="nil"/>
            </w:tcBorders>
            <w:shd w:val="clear" w:color="000000" w:fill="FFFFFF"/>
            <w:noWrap/>
            <w:vAlign w:val="bottom"/>
            <w:hideMark/>
          </w:tcPr>
          <w:p w14:paraId="085D411B" w14:textId="77777777" w:rsidR="00600C34" w:rsidRPr="00051C0E" w:rsidRDefault="00600C34" w:rsidP="00250E5D">
            <w:pPr>
              <w:spacing w:after="0" w:line="240" w:lineRule="auto"/>
              <w:jc w:val="center"/>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7C976AAB" w14:textId="77777777" w:rsidR="00600C34" w:rsidRPr="00051C0E" w:rsidRDefault="00600C34" w:rsidP="00250E5D">
            <w:pPr>
              <w:spacing w:after="0" w:line="240" w:lineRule="auto"/>
              <w:jc w:val="center"/>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c>
          <w:tcPr>
            <w:tcW w:w="0" w:type="auto"/>
            <w:tcBorders>
              <w:top w:val="nil"/>
              <w:left w:val="nil"/>
              <w:bottom w:val="nil"/>
              <w:right w:val="nil"/>
            </w:tcBorders>
            <w:shd w:val="clear" w:color="000000" w:fill="FFFFFF"/>
            <w:noWrap/>
            <w:vAlign w:val="bottom"/>
            <w:hideMark/>
          </w:tcPr>
          <w:p w14:paraId="57E4155C" w14:textId="77777777" w:rsidR="00600C34" w:rsidRPr="00051C0E" w:rsidRDefault="00600C34" w:rsidP="00250E5D">
            <w:pPr>
              <w:spacing w:after="0" w:line="240" w:lineRule="auto"/>
              <w:jc w:val="center"/>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64145258" w14:textId="77777777" w:rsidR="00600C34" w:rsidRPr="00051C0E" w:rsidRDefault="00600C34" w:rsidP="00250E5D">
            <w:pPr>
              <w:spacing w:after="0" w:line="240" w:lineRule="auto"/>
              <w:jc w:val="center"/>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r>
      <w:tr w:rsidR="00CE3EE7" w:rsidRPr="00051C0E" w14:paraId="45DDDA7A" w14:textId="77777777" w:rsidTr="00250E5D">
        <w:trPr>
          <w:trHeight w:val="255"/>
        </w:trPr>
        <w:tc>
          <w:tcPr>
            <w:tcW w:w="0" w:type="auto"/>
            <w:tcBorders>
              <w:top w:val="nil"/>
              <w:left w:val="nil"/>
              <w:bottom w:val="nil"/>
              <w:right w:val="nil"/>
            </w:tcBorders>
            <w:shd w:val="clear" w:color="000000" w:fill="FFFFFF"/>
            <w:noWrap/>
            <w:vAlign w:val="bottom"/>
            <w:hideMark/>
          </w:tcPr>
          <w:p w14:paraId="18D65FED" w14:textId="77777777" w:rsidR="00600C34" w:rsidRPr="00051C0E" w:rsidRDefault="00600C34" w:rsidP="00250E5D">
            <w:pPr>
              <w:spacing w:after="0" w:line="240" w:lineRule="auto"/>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732ACF1A" w14:textId="77777777" w:rsidR="00600C34" w:rsidRPr="00051C0E" w:rsidRDefault="00600C34" w:rsidP="00250E5D">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Rounds</w:t>
            </w:r>
          </w:p>
        </w:tc>
        <w:tc>
          <w:tcPr>
            <w:tcW w:w="0" w:type="auto"/>
            <w:tcBorders>
              <w:top w:val="nil"/>
              <w:left w:val="nil"/>
              <w:bottom w:val="nil"/>
              <w:right w:val="nil"/>
            </w:tcBorders>
            <w:shd w:val="clear" w:color="000000" w:fill="FFFFFF"/>
            <w:noWrap/>
            <w:vAlign w:val="bottom"/>
            <w:hideMark/>
          </w:tcPr>
          <w:p w14:paraId="4C5807A3"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0.118</w:t>
            </w:r>
          </w:p>
        </w:tc>
        <w:tc>
          <w:tcPr>
            <w:tcW w:w="0" w:type="auto"/>
            <w:tcBorders>
              <w:top w:val="nil"/>
              <w:left w:val="nil"/>
              <w:bottom w:val="nil"/>
              <w:right w:val="nil"/>
            </w:tcBorders>
            <w:shd w:val="clear" w:color="000000" w:fill="FFFFFF"/>
            <w:noWrap/>
            <w:vAlign w:val="bottom"/>
            <w:hideMark/>
          </w:tcPr>
          <w:p w14:paraId="6829E755"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c>
          <w:tcPr>
            <w:tcW w:w="0" w:type="auto"/>
            <w:tcBorders>
              <w:top w:val="nil"/>
              <w:left w:val="nil"/>
              <w:bottom w:val="nil"/>
              <w:right w:val="nil"/>
            </w:tcBorders>
            <w:shd w:val="clear" w:color="000000" w:fill="FFFFFF"/>
            <w:noWrap/>
            <w:vAlign w:val="bottom"/>
            <w:hideMark/>
          </w:tcPr>
          <w:p w14:paraId="2A9C9008"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-0.100</w:t>
            </w:r>
          </w:p>
        </w:tc>
        <w:tc>
          <w:tcPr>
            <w:tcW w:w="0" w:type="auto"/>
            <w:tcBorders>
              <w:top w:val="nil"/>
              <w:left w:val="nil"/>
              <w:bottom w:val="nil"/>
              <w:right w:val="nil"/>
            </w:tcBorders>
            <w:shd w:val="clear" w:color="000000" w:fill="FFFFFF"/>
            <w:noWrap/>
            <w:vAlign w:val="bottom"/>
            <w:hideMark/>
          </w:tcPr>
          <w:p w14:paraId="534E48D0"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c>
          <w:tcPr>
            <w:tcW w:w="0" w:type="auto"/>
            <w:tcBorders>
              <w:top w:val="nil"/>
              <w:left w:val="nil"/>
              <w:bottom w:val="nil"/>
              <w:right w:val="nil"/>
            </w:tcBorders>
            <w:shd w:val="clear" w:color="000000" w:fill="FFFFFF"/>
            <w:noWrap/>
            <w:vAlign w:val="bottom"/>
            <w:hideMark/>
          </w:tcPr>
          <w:p w14:paraId="7D4C3F75"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-0.257</w:t>
            </w:r>
          </w:p>
        </w:tc>
        <w:tc>
          <w:tcPr>
            <w:tcW w:w="0" w:type="auto"/>
            <w:tcBorders>
              <w:top w:val="nil"/>
              <w:left w:val="nil"/>
              <w:bottom w:val="nil"/>
              <w:right w:val="nil"/>
            </w:tcBorders>
            <w:shd w:val="clear" w:color="000000" w:fill="FFFFFF"/>
            <w:noWrap/>
            <w:vAlign w:val="bottom"/>
            <w:hideMark/>
          </w:tcPr>
          <w:p w14:paraId="712B5AEB"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w:t>
            </w:r>
          </w:p>
        </w:tc>
        <w:tc>
          <w:tcPr>
            <w:tcW w:w="0" w:type="auto"/>
            <w:tcBorders>
              <w:top w:val="nil"/>
              <w:left w:val="nil"/>
              <w:bottom w:val="nil"/>
              <w:right w:val="nil"/>
            </w:tcBorders>
            <w:shd w:val="clear" w:color="000000" w:fill="FFFFFF"/>
            <w:noWrap/>
            <w:vAlign w:val="bottom"/>
            <w:hideMark/>
          </w:tcPr>
          <w:p w14:paraId="274BED79"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-0.282</w:t>
            </w:r>
          </w:p>
        </w:tc>
        <w:tc>
          <w:tcPr>
            <w:tcW w:w="0" w:type="auto"/>
            <w:tcBorders>
              <w:top w:val="nil"/>
              <w:left w:val="nil"/>
              <w:bottom w:val="nil"/>
              <w:right w:val="nil"/>
            </w:tcBorders>
            <w:shd w:val="clear" w:color="000000" w:fill="FFFFFF"/>
            <w:noWrap/>
            <w:vAlign w:val="bottom"/>
            <w:hideMark/>
          </w:tcPr>
          <w:p w14:paraId="26E1F76D"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w:t>
            </w:r>
          </w:p>
        </w:tc>
      </w:tr>
      <w:tr w:rsidR="00CE3EE7" w:rsidRPr="00051C0E" w14:paraId="58395FDE" w14:textId="77777777" w:rsidTr="00250E5D">
        <w:trPr>
          <w:trHeight w:val="255"/>
        </w:trPr>
        <w:tc>
          <w:tcPr>
            <w:tcW w:w="0" w:type="auto"/>
            <w:tcBorders>
              <w:top w:val="nil"/>
              <w:left w:val="nil"/>
              <w:bottom w:val="nil"/>
              <w:right w:val="nil"/>
            </w:tcBorders>
            <w:shd w:val="clear" w:color="000000" w:fill="FFFFFF"/>
            <w:noWrap/>
            <w:vAlign w:val="bottom"/>
            <w:hideMark/>
          </w:tcPr>
          <w:p w14:paraId="6B1357E7" w14:textId="77777777" w:rsidR="00600C34" w:rsidRPr="00051C0E" w:rsidRDefault="00600C34" w:rsidP="00250E5D">
            <w:pPr>
              <w:spacing w:after="0" w:line="240" w:lineRule="auto"/>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60203419" w14:textId="77777777" w:rsidR="00600C34" w:rsidRPr="00051C0E" w:rsidRDefault="00600C34" w:rsidP="00250E5D">
            <w:pPr>
              <w:spacing w:after="0" w:line="240" w:lineRule="auto"/>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Domestic VC</w:t>
            </w:r>
            <w:r>
              <w:rPr>
                <w:rFonts w:ascii="Times New Roman" w:eastAsia="Times New Roman" w:hAnsi="Times New Roman" w:cs="Times New Roman"/>
                <w:color w:val="000000"/>
                <w:sz w:val="18"/>
                <w:szCs w:val="18"/>
              </w:rPr>
              <w:t xml:space="preserve"> firm</w:t>
            </w:r>
          </w:p>
        </w:tc>
        <w:tc>
          <w:tcPr>
            <w:tcW w:w="0" w:type="auto"/>
            <w:tcBorders>
              <w:top w:val="nil"/>
              <w:left w:val="nil"/>
              <w:bottom w:val="nil"/>
              <w:right w:val="nil"/>
            </w:tcBorders>
            <w:shd w:val="clear" w:color="000000" w:fill="FFFFFF"/>
            <w:noWrap/>
            <w:vAlign w:val="bottom"/>
            <w:hideMark/>
          </w:tcPr>
          <w:p w14:paraId="4E7B9499"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0.022</w:t>
            </w:r>
          </w:p>
        </w:tc>
        <w:tc>
          <w:tcPr>
            <w:tcW w:w="0" w:type="auto"/>
            <w:tcBorders>
              <w:top w:val="nil"/>
              <w:left w:val="nil"/>
              <w:bottom w:val="nil"/>
              <w:right w:val="nil"/>
            </w:tcBorders>
            <w:shd w:val="clear" w:color="000000" w:fill="FFFFFF"/>
            <w:noWrap/>
            <w:vAlign w:val="bottom"/>
            <w:hideMark/>
          </w:tcPr>
          <w:p w14:paraId="76009289"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c>
          <w:tcPr>
            <w:tcW w:w="0" w:type="auto"/>
            <w:tcBorders>
              <w:top w:val="nil"/>
              <w:left w:val="nil"/>
              <w:bottom w:val="nil"/>
              <w:right w:val="nil"/>
            </w:tcBorders>
            <w:shd w:val="clear" w:color="000000" w:fill="FFFFFF"/>
            <w:noWrap/>
            <w:vAlign w:val="bottom"/>
            <w:hideMark/>
          </w:tcPr>
          <w:p w14:paraId="0F0293A0"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-0.154</w:t>
            </w:r>
          </w:p>
        </w:tc>
        <w:tc>
          <w:tcPr>
            <w:tcW w:w="0" w:type="auto"/>
            <w:tcBorders>
              <w:top w:val="nil"/>
              <w:left w:val="nil"/>
              <w:bottom w:val="nil"/>
              <w:right w:val="nil"/>
            </w:tcBorders>
            <w:shd w:val="clear" w:color="000000" w:fill="FFFFFF"/>
            <w:noWrap/>
            <w:vAlign w:val="bottom"/>
            <w:hideMark/>
          </w:tcPr>
          <w:p w14:paraId="70E60C5B"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c>
          <w:tcPr>
            <w:tcW w:w="0" w:type="auto"/>
            <w:tcBorders>
              <w:top w:val="nil"/>
              <w:left w:val="nil"/>
              <w:bottom w:val="nil"/>
              <w:right w:val="nil"/>
            </w:tcBorders>
            <w:shd w:val="clear" w:color="000000" w:fill="FFFFFF"/>
            <w:noWrap/>
            <w:vAlign w:val="bottom"/>
            <w:hideMark/>
          </w:tcPr>
          <w:p w14:paraId="4474F7D8"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5654EBD0"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c>
          <w:tcPr>
            <w:tcW w:w="0" w:type="auto"/>
            <w:tcBorders>
              <w:top w:val="nil"/>
              <w:left w:val="nil"/>
              <w:bottom w:val="nil"/>
              <w:right w:val="nil"/>
            </w:tcBorders>
            <w:shd w:val="clear" w:color="000000" w:fill="FFFFFF"/>
            <w:noWrap/>
            <w:vAlign w:val="bottom"/>
            <w:hideMark/>
          </w:tcPr>
          <w:p w14:paraId="12E77C4F"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55988BD5"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r>
      <w:tr w:rsidR="00CE3EE7" w:rsidRPr="00051C0E" w14:paraId="05DCCD86" w14:textId="77777777" w:rsidTr="00250E5D">
        <w:trPr>
          <w:trHeight w:val="255"/>
        </w:trPr>
        <w:tc>
          <w:tcPr>
            <w:tcW w:w="0" w:type="auto"/>
            <w:tcBorders>
              <w:top w:val="nil"/>
              <w:left w:val="nil"/>
              <w:bottom w:val="nil"/>
              <w:right w:val="nil"/>
            </w:tcBorders>
            <w:shd w:val="clear" w:color="000000" w:fill="FFFFFF"/>
            <w:noWrap/>
            <w:vAlign w:val="bottom"/>
            <w:hideMark/>
          </w:tcPr>
          <w:p w14:paraId="2C1F9A4C" w14:textId="77777777" w:rsidR="00600C34" w:rsidRPr="00051C0E" w:rsidRDefault="00600C34" w:rsidP="00250E5D">
            <w:pPr>
              <w:spacing w:after="0" w:line="240" w:lineRule="auto"/>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536F167F" w14:textId="77777777" w:rsidR="00600C34" w:rsidRPr="00051C0E" w:rsidRDefault="00600C34" w:rsidP="00250E5D">
            <w:pPr>
              <w:spacing w:after="0" w:line="240" w:lineRule="auto"/>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Cross-border VC</w:t>
            </w:r>
            <w:r>
              <w:rPr>
                <w:rFonts w:ascii="Times New Roman" w:eastAsia="Times New Roman" w:hAnsi="Times New Roman" w:cs="Times New Roman"/>
                <w:color w:val="000000"/>
                <w:sz w:val="18"/>
                <w:szCs w:val="18"/>
              </w:rPr>
              <w:t xml:space="preserve"> firm</w:t>
            </w:r>
          </w:p>
        </w:tc>
        <w:tc>
          <w:tcPr>
            <w:tcW w:w="0" w:type="auto"/>
            <w:tcBorders>
              <w:top w:val="nil"/>
              <w:left w:val="nil"/>
              <w:bottom w:val="nil"/>
              <w:right w:val="nil"/>
            </w:tcBorders>
            <w:shd w:val="clear" w:color="000000" w:fill="FFFFFF"/>
            <w:noWrap/>
            <w:vAlign w:val="bottom"/>
            <w:hideMark/>
          </w:tcPr>
          <w:p w14:paraId="67BEEB83"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225DF794"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c>
          <w:tcPr>
            <w:tcW w:w="0" w:type="auto"/>
            <w:tcBorders>
              <w:top w:val="nil"/>
              <w:left w:val="nil"/>
              <w:bottom w:val="nil"/>
              <w:right w:val="nil"/>
            </w:tcBorders>
            <w:shd w:val="clear" w:color="000000" w:fill="FFFFFF"/>
            <w:noWrap/>
            <w:vAlign w:val="bottom"/>
            <w:hideMark/>
          </w:tcPr>
          <w:p w14:paraId="09EFAD54"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4AD92AB5"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c>
          <w:tcPr>
            <w:tcW w:w="0" w:type="auto"/>
            <w:tcBorders>
              <w:top w:val="nil"/>
              <w:left w:val="nil"/>
              <w:bottom w:val="nil"/>
              <w:right w:val="nil"/>
            </w:tcBorders>
            <w:shd w:val="clear" w:color="000000" w:fill="FFFFFF"/>
            <w:noWrap/>
            <w:vAlign w:val="bottom"/>
            <w:hideMark/>
          </w:tcPr>
          <w:p w14:paraId="08484EA1"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-0.022</w:t>
            </w:r>
          </w:p>
        </w:tc>
        <w:tc>
          <w:tcPr>
            <w:tcW w:w="0" w:type="auto"/>
            <w:tcBorders>
              <w:top w:val="nil"/>
              <w:left w:val="nil"/>
              <w:bottom w:val="nil"/>
              <w:right w:val="nil"/>
            </w:tcBorders>
            <w:shd w:val="clear" w:color="000000" w:fill="FFFFFF"/>
            <w:noWrap/>
            <w:vAlign w:val="bottom"/>
            <w:hideMark/>
          </w:tcPr>
          <w:p w14:paraId="58FD270A"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c>
          <w:tcPr>
            <w:tcW w:w="0" w:type="auto"/>
            <w:tcBorders>
              <w:top w:val="nil"/>
              <w:left w:val="nil"/>
              <w:bottom w:val="nil"/>
              <w:right w:val="nil"/>
            </w:tcBorders>
            <w:shd w:val="clear" w:color="000000" w:fill="FFFFFF"/>
            <w:noWrap/>
            <w:vAlign w:val="bottom"/>
            <w:hideMark/>
          </w:tcPr>
          <w:p w14:paraId="02CF9F73"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0.154</w:t>
            </w:r>
          </w:p>
        </w:tc>
        <w:tc>
          <w:tcPr>
            <w:tcW w:w="0" w:type="auto"/>
            <w:tcBorders>
              <w:top w:val="nil"/>
              <w:left w:val="nil"/>
              <w:bottom w:val="nil"/>
              <w:right w:val="nil"/>
            </w:tcBorders>
            <w:shd w:val="clear" w:color="000000" w:fill="FFFFFF"/>
            <w:noWrap/>
            <w:vAlign w:val="bottom"/>
            <w:hideMark/>
          </w:tcPr>
          <w:p w14:paraId="7224B912"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r>
      <w:tr w:rsidR="00CE3EE7" w:rsidRPr="00051C0E" w14:paraId="54AEFB0C" w14:textId="77777777" w:rsidTr="00250E5D">
        <w:trPr>
          <w:trHeight w:val="255"/>
        </w:trPr>
        <w:tc>
          <w:tcPr>
            <w:tcW w:w="0" w:type="auto"/>
            <w:tcBorders>
              <w:top w:val="nil"/>
              <w:left w:val="nil"/>
              <w:bottom w:val="nil"/>
              <w:right w:val="nil"/>
            </w:tcBorders>
            <w:shd w:val="clear" w:color="000000" w:fill="FFFFFF"/>
            <w:noWrap/>
            <w:vAlign w:val="bottom"/>
            <w:hideMark/>
          </w:tcPr>
          <w:p w14:paraId="02C539F7" w14:textId="77777777" w:rsidR="00600C34" w:rsidRPr="00051C0E" w:rsidRDefault="00600C34" w:rsidP="00250E5D">
            <w:pPr>
              <w:spacing w:after="0" w:line="240" w:lineRule="auto"/>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634D799E" w14:textId="77777777" w:rsidR="00600C34" w:rsidRPr="00051C0E" w:rsidRDefault="00600C34" w:rsidP="00AC2886">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Branch VC firm</w:t>
            </w:r>
          </w:p>
        </w:tc>
        <w:tc>
          <w:tcPr>
            <w:tcW w:w="0" w:type="auto"/>
            <w:tcBorders>
              <w:top w:val="nil"/>
              <w:left w:val="nil"/>
              <w:bottom w:val="nil"/>
              <w:right w:val="nil"/>
            </w:tcBorders>
            <w:shd w:val="clear" w:color="000000" w:fill="FFFFFF"/>
            <w:noWrap/>
            <w:vAlign w:val="bottom"/>
            <w:hideMark/>
          </w:tcPr>
          <w:p w14:paraId="2E3F87C8"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-0.341</w:t>
            </w:r>
          </w:p>
        </w:tc>
        <w:tc>
          <w:tcPr>
            <w:tcW w:w="0" w:type="auto"/>
            <w:tcBorders>
              <w:top w:val="nil"/>
              <w:left w:val="nil"/>
              <w:bottom w:val="nil"/>
              <w:right w:val="nil"/>
            </w:tcBorders>
            <w:shd w:val="clear" w:color="000000" w:fill="FFFFFF"/>
            <w:noWrap/>
            <w:vAlign w:val="bottom"/>
            <w:hideMark/>
          </w:tcPr>
          <w:p w14:paraId="5648C4EB"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c>
          <w:tcPr>
            <w:tcW w:w="0" w:type="auto"/>
            <w:tcBorders>
              <w:top w:val="nil"/>
              <w:left w:val="nil"/>
              <w:bottom w:val="nil"/>
              <w:right w:val="nil"/>
            </w:tcBorders>
            <w:shd w:val="clear" w:color="000000" w:fill="FFFFFF"/>
            <w:noWrap/>
            <w:vAlign w:val="bottom"/>
            <w:hideMark/>
          </w:tcPr>
          <w:p w14:paraId="40B74D3A"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0.069</w:t>
            </w:r>
          </w:p>
        </w:tc>
        <w:tc>
          <w:tcPr>
            <w:tcW w:w="0" w:type="auto"/>
            <w:tcBorders>
              <w:top w:val="nil"/>
              <w:left w:val="nil"/>
              <w:bottom w:val="nil"/>
              <w:right w:val="nil"/>
            </w:tcBorders>
            <w:shd w:val="clear" w:color="000000" w:fill="FFFFFF"/>
            <w:noWrap/>
            <w:vAlign w:val="bottom"/>
            <w:hideMark/>
          </w:tcPr>
          <w:p w14:paraId="531A8C73"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c>
          <w:tcPr>
            <w:tcW w:w="0" w:type="auto"/>
            <w:tcBorders>
              <w:top w:val="nil"/>
              <w:left w:val="nil"/>
              <w:bottom w:val="nil"/>
              <w:right w:val="nil"/>
            </w:tcBorders>
            <w:shd w:val="clear" w:color="000000" w:fill="FFFFFF"/>
            <w:noWrap/>
            <w:vAlign w:val="bottom"/>
            <w:hideMark/>
          </w:tcPr>
          <w:p w14:paraId="3C8B0493"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-0.363</w:t>
            </w:r>
          </w:p>
        </w:tc>
        <w:tc>
          <w:tcPr>
            <w:tcW w:w="0" w:type="auto"/>
            <w:tcBorders>
              <w:top w:val="nil"/>
              <w:left w:val="nil"/>
              <w:bottom w:val="nil"/>
              <w:right w:val="nil"/>
            </w:tcBorders>
            <w:shd w:val="clear" w:color="000000" w:fill="FFFFFF"/>
            <w:noWrap/>
            <w:vAlign w:val="bottom"/>
            <w:hideMark/>
          </w:tcPr>
          <w:p w14:paraId="3C3B4B5A"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c>
          <w:tcPr>
            <w:tcW w:w="0" w:type="auto"/>
            <w:tcBorders>
              <w:top w:val="nil"/>
              <w:left w:val="nil"/>
              <w:bottom w:val="nil"/>
              <w:right w:val="nil"/>
            </w:tcBorders>
            <w:shd w:val="clear" w:color="000000" w:fill="FFFFFF"/>
            <w:noWrap/>
            <w:vAlign w:val="bottom"/>
            <w:hideMark/>
          </w:tcPr>
          <w:p w14:paraId="49C68E44"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0.223</w:t>
            </w:r>
          </w:p>
        </w:tc>
        <w:tc>
          <w:tcPr>
            <w:tcW w:w="0" w:type="auto"/>
            <w:tcBorders>
              <w:top w:val="nil"/>
              <w:left w:val="nil"/>
              <w:bottom w:val="nil"/>
              <w:right w:val="nil"/>
            </w:tcBorders>
            <w:shd w:val="clear" w:color="000000" w:fill="FFFFFF"/>
            <w:noWrap/>
            <w:vAlign w:val="bottom"/>
            <w:hideMark/>
          </w:tcPr>
          <w:p w14:paraId="614CA6FC"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r>
      <w:tr w:rsidR="00CE3EE7" w:rsidRPr="00051C0E" w14:paraId="06489F1E" w14:textId="77777777" w:rsidTr="00250E5D">
        <w:trPr>
          <w:trHeight w:val="255"/>
        </w:trPr>
        <w:tc>
          <w:tcPr>
            <w:tcW w:w="0" w:type="auto"/>
            <w:tcBorders>
              <w:top w:val="nil"/>
              <w:left w:val="nil"/>
              <w:bottom w:val="nil"/>
              <w:right w:val="nil"/>
            </w:tcBorders>
            <w:shd w:val="clear" w:color="000000" w:fill="FFFFFF"/>
            <w:noWrap/>
            <w:vAlign w:val="bottom"/>
            <w:hideMark/>
          </w:tcPr>
          <w:p w14:paraId="57E1CB9B" w14:textId="77777777" w:rsidR="00600C34" w:rsidRPr="00051C0E" w:rsidRDefault="00600C34" w:rsidP="00250E5D">
            <w:pPr>
              <w:spacing w:after="0" w:line="240" w:lineRule="auto"/>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0C4CE7C2" w14:textId="77777777" w:rsidR="00600C34" w:rsidRPr="00051C0E" w:rsidRDefault="00600C34" w:rsidP="00250E5D">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Domestic VC firm</w:t>
            </w:r>
            <w:r w:rsidRPr="00051C0E">
              <w:rPr>
                <w:rFonts w:ascii="Times New Roman" w:eastAsia="Times New Roman" w:hAnsi="Times New Roman" w:cs="Times New Roman"/>
                <w:color w:val="000000"/>
                <w:sz w:val="18"/>
                <w:szCs w:val="18"/>
              </w:rPr>
              <w:t xml:space="preserve"> * R</w:t>
            </w:r>
          </w:p>
        </w:tc>
        <w:tc>
          <w:tcPr>
            <w:tcW w:w="0" w:type="auto"/>
            <w:tcBorders>
              <w:top w:val="nil"/>
              <w:left w:val="nil"/>
              <w:bottom w:val="nil"/>
              <w:right w:val="nil"/>
            </w:tcBorders>
            <w:shd w:val="clear" w:color="000000" w:fill="FFFFFF"/>
            <w:noWrap/>
            <w:vAlign w:val="bottom"/>
            <w:hideMark/>
          </w:tcPr>
          <w:p w14:paraId="7D63A6E9"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-0.375</w:t>
            </w:r>
          </w:p>
        </w:tc>
        <w:tc>
          <w:tcPr>
            <w:tcW w:w="0" w:type="auto"/>
            <w:tcBorders>
              <w:top w:val="nil"/>
              <w:left w:val="nil"/>
              <w:bottom w:val="nil"/>
              <w:right w:val="nil"/>
            </w:tcBorders>
            <w:shd w:val="clear" w:color="000000" w:fill="FFFFFF"/>
            <w:noWrap/>
            <w:vAlign w:val="bottom"/>
            <w:hideMark/>
          </w:tcPr>
          <w:p w14:paraId="730723A4"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w:t>
            </w:r>
          </w:p>
        </w:tc>
        <w:tc>
          <w:tcPr>
            <w:tcW w:w="0" w:type="auto"/>
            <w:tcBorders>
              <w:top w:val="nil"/>
              <w:left w:val="nil"/>
              <w:bottom w:val="nil"/>
              <w:right w:val="nil"/>
            </w:tcBorders>
            <w:shd w:val="clear" w:color="000000" w:fill="FFFFFF"/>
            <w:noWrap/>
            <w:vAlign w:val="bottom"/>
            <w:hideMark/>
          </w:tcPr>
          <w:p w14:paraId="73EF331A"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-0.181</w:t>
            </w:r>
          </w:p>
        </w:tc>
        <w:tc>
          <w:tcPr>
            <w:tcW w:w="0" w:type="auto"/>
            <w:tcBorders>
              <w:top w:val="nil"/>
              <w:left w:val="nil"/>
              <w:bottom w:val="nil"/>
              <w:right w:val="nil"/>
            </w:tcBorders>
            <w:shd w:val="clear" w:color="000000" w:fill="FFFFFF"/>
            <w:noWrap/>
            <w:vAlign w:val="bottom"/>
            <w:hideMark/>
          </w:tcPr>
          <w:p w14:paraId="3A885545"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c>
          <w:tcPr>
            <w:tcW w:w="0" w:type="auto"/>
            <w:tcBorders>
              <w:top w:val="nil"/>
              <w:left w:val="nil"/>
              <w:bottom w:val="nil"/>
              <w:right w:val="nil"/>
            </w:tcBorders>
            <w:shd w:val="clear" w:color="000000" w:fill="FFFFFF"/>
            <w:noWrap/>
            <w:vAlign w:val="bottom"/>
            <w:hideMark/>
          </w:tcPr>
          <w:p w14:paraId="1B3C1667"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6B343B31"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c>
          <w:tcPr>
            <w:tcW w:w="0" w:type="auto"/>
            <w:tcBorders>
              <w:top w:val="nil"/>
              <w:left w:val="nil"/>
              <w:bottom w:val="nil"/>
              <w:right w:val="nil"/>
            </w:tcBorders>
            <w:shd w:val="clear" w:color="000000" w:fill="FFFFFF"/>
            <w:noWrap/>
            <w:vAlign w:val="bottom"/>
            <w:hideMark/>
          </w:tcPr>
          <w:p w14:paraId="4DCFB578"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3471A160"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r>
      <w:tr w:rsidR="00CE3EE7" w:rsidRPr="00051C0E" w14:paraId="4499489A" w14:textId="77777777" w:rsidTr="00250E5D">
        <w:trPr>
          <w:trHeight w:val="255"/>
        </w:trPr>
        <w:tc>
          <w:tcPr>
            <w:tcW w:w="0" w:type="auto"/>
            <w:tcBorders>
              <w:top w:val="nil"/>
              <w:left w:val="nil"/>
              <w:bottom w:val="nil"/>
              <w:right w:val="nil"/>
            </w:tcBorders>
            <w:shd w:val="clear" w:color="000000" w:fill="FFFFFF"/>
            <w:noWrap/>
            <w:vAlign w:val="bottom"/>
            <w:hideMark/>
          </w:tcPr>
          <w:p w14:paraId="2B0D0111" w14:textId="77777777" w:rsidR="00600C34" w:rsidRPr="00051C0E" w:rsidRDefault="00600C34" w:rsidP="00250E5D">
            <w:pPr>
              <w:spacing w:after="0" w:line="240" w:lineRule="auto"/>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2CEEA160" w14:textId="77777777" w:rsidR="00600C34" w:rsidRPr="00051C0E" w:rsidRDefault="00600C34" w:rsidP="00250E5D">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Cross-border VC firm</w:t>
            </w:r>
            <w:r w:rsidRPr="00051C0E">
              <w:rPr>
                <w:rFonts w:ascii="Times New Roman" w:eastAsia="Times New Roman" w:hAnsi="Times New Roman" w:cs="Times New Roman"/>
                <w:color w:val="000000"/>
                <w:sz w:val="18"/>
                <w:szCs w:val="18"/>
              </w:rPr>
              <w:t xml:space="preserve"> * R</w:t>
            </w:r>
          </w:p>
        </w:tc>
        <w:tc>
          <w:tcPr>
            <w:tcW w:w="0" w:type="auto"/>
            <w:tcBorders>
              <w:top w:val="nil"/>
              <w:left w:val="nil"/>
              <w:bottom w:val="nil"/>
              <w:right w:val="nil"/>
            </w:tcBorders>
            <w:shd w:val="clear" w:color="000000" w:fill="FFFFFF"/>
            <w:noWrap/>
            <w:vAlign w:val="bottom"/>
            <w:hideMark/>
          </w:tcPr>
          <w:p w14:paraId="59B19C31"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0DC1E61C"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c>
          <w:tcPr>
            <w:tcW w:w="0" w:type="auto"/>
            <w:tcBorders>
              <w:top w:val="nil"/>
              <w:left w:val="nil"/>
              <w:bottom w:val="nil"/>
              <w:right w:val="nil"/>
            </w:tcBorders>
            <w:shd w:val="clear" w:color="000000" w:fill="FFFFFF"/>
            <w:noWrap/>
            <w:vAlign w:val="bottom"/>
            <w:hideMark/>
          </w:tcPr>
          <w:p w14:paraId="62A57FA2"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021E644A"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c>
          <w:tcPr>
            <w:tcW w:w="0" w:type="auto"/>
            <w:tcBorders>
              <w:top w:val="nil"/>
              <w:left w:val="nil"/>
              <w:bottom w:val="nil"/>
              <w:right w:val="nil"/>
            </w:tcBorders>
            <w:shd w:val="clear" w:color="000000" w:fill="FFFFFF"/>
            <w:noWrap/>
            <w:vAlign w:val="bottom"/>
            <w:hideMark/>
          </w:tcPr>
          <w:p w14:paraId="62FA16B7"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0.375</w:t>
            </w:r>
          </w:p>
        </w:tc>
        <w:tc>
          <w:tcPr>
            <w:tcW w:w="0" w:type="auto"/>
            <w:tcBorders>
              <w:top w:val="nil"/>
              <w:left w:val="nil"/>
              <w:bottom w:val="nil"/>
              <w:right w:val="nil"/>
            </w:tcBorders>
            <w:shd w:val="clear" w:color="000000" w:fill="FFFFFF"/>
            <w:noWrap/>
            <w:vAlign w:val="bottom"/>
            <w:hideMark/>
          </w:tcPr>
          <w:p w14:paraId="2F464E4A"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w:t>
            </w:r>
          </w:p>
        </w:tc>
        <w:tc>
          <w:tcPr>
            <w:tcW w:w="0" w:type="auto"/>
            <w:tcBorders>
              <w:top w:val="nil"/>
              <w:left w:val="nil"/>
              <w:bottom w:val="nil"/>
              <w:right w:val="nil"/>
            </w:tcBorders>
            <w:shd w:val="clear" w:color="000000" w:fill="FFFFFF"/>
            <w:noWrap/>
            <w:vAlign w:val="bottom"/>
            <w:hideMark/>
          </w:tcPr>
          <w:p w14:paraId="37363544"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0.181</w:t>
            </w:r>
          </w:p>
        </w:tc>
        <w:tc>
          <w:tcPr>
            <w:tcW w:w="0" w:type="auto"/>
            <w:tcBorders>
              <w:top w:val="nil"/>
              <w:left w:val="nil"/>
              <w:bottom w:val="nil"/>
              <w:right w:val="nil"/>
            </w:tcBorders>
            <w:shd w:val="clear" w:color="000000" w:fill="FFFFFF"/>
            <w:noWrap/>
            <w:vAlign w:val="bottom"/>
            <w:hideMark/>
          </w:tcPr>
          <w:p w14:paraId="35A63703"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r>
      <w:tr w:rsidR="00CE3EE7" w:rsidRPr="00051C0E" w14:paraId="52E74DE6" w14:textId="77777777" w:rsidTr="00250E5D">
        <w:trPr>
          <w:trHeight w:val="255"/>
        </w:trPr>
        <w:tc>
          <w:tcPr>
            <w:tcW w:w="0" w:type="auto"/>
            <w:tcBorders>
              <w:top w:val="nil"/>
              <w:left w:val="nil"/>
              <w:bottom w:val="nil"/>
              <w:right w:val="nil"/>
            </w:tcBorders>
            <w:shd w:val="clear" w:color="000000" w:fill="FFFFFF"/>
            <w:noWrap/>
            <w:vAlign w:val="bottom"/>
            <w:hideMark/>
          </w:tcPr>
          <w:p w14:paraId="478325F8" w14:textId="77777777" w:rsidR="00600C34" w:rsidRPr="00051C0E" w:rsidRDefault="00600C34" w:rsidP="00250E5D">
            <w:pPr>
              <w:spacing w:after="0" w:line="240" w:lineRule="auto"/>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0D5475C3" w14:textId="77777777" w:rsidR="00600C34" w:rsidRPr="00051C0E" w:rsidRDefault="00600C34" w:rsidP="00250E5D">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Branch VC firm</w:t>
            </w:r>
            <w:r w:rsidRPr="00051C0E">
              <w:rPr>
                <w:rFonts w:ascii="Times New Roman" w:eastAsia="Times New Roman" w:hAnsi="Times New Roman" w:cs="Times New Roman"/>
                <w:color w:val="000000"/>
                <w:sz w:val="18"/>
                <w:szCs w:val="18"/>
              </w:rPr>
              <w:t xml:space="preserve"> * R</w:t>
            </w:r>
          </w:p>
        </w:tc>
        <w:tc>
          <w:tcPr>
            <w:tcW w:w="0" w:type="auto"/>
            <w:tcBorders>
              <w:top w:val="nil"/>
              <w:left w:val="nil"/>
              <w:bottom w:val="nil"/>
              <w:right w:val="nil"/>
            </w:tcBorders>
            <w:shd w:val="clear" w:color="000000" w:fill="FFFFFF"/>
            <w:noWrap/>
            <w:vAlign w:val="bottom"/>
            <w:hideMark/>
          </w:tcPr>
          <w:p w14:paraId="7C366512"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-0.045</w:t>
            </w:r>
          </w:p>
        </w:tc>
        <w:tc>
          <w:tcPr>
            <w:tcW w:w="0" w:type="auto"/>
            <w:tcBorders>
              <w:top w:val="nil"/>
              <w:left w:val="nil"/>
              <w:bottom w:val="nil"/>
              <w:right w:val="nil"/>
            </w:tcBorders>
            <w:shd w:val="clear" w:color="000000" w:fill="FFFFFF"/>
            <w:noWrap/>
            <w:vAlign w:val="bottom"/>
            <w:hideMark/>
          </w:tcPr>
          <w:p w14:paraId="4DD05C53"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c>
          <w:tcPr>
            <w:tcW w:w="0" w:type="auto"/>
            <w:tcBorders>
              <w:top w:val="nil"/>
              <w:left w:val="nil"/>
              <w:bottom w:val="nil"/>
              <w:right w:val="nil"/>
            </w:tcBorders>
            <w:shd w:val="clear" w:color="000000" w:fill="FFFFFF"/>
            <w:noWrap/>
            <w:vAlign w:val="bottom"/>
            <w:hideMark/>
          </w:tcPr>
          <w:p w14:paraId="4D72AE7F"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-0.100</w:t>
            </w:r>
          </w:p>
        </w:tc>
        <w:tc>
          <w:tcPr>
            <w:tcW w:w="0" w:type="auto"/>
            <w:tcBorders>
              <w:top w:val="nil"/>
              <w:left w:val="nil"/>
              <w:bottom w:val="nil"/>
              <w:right w:val="nil"/>
            </w:tcBorders>
            <w:shd w:val="clear" w:color="000000" w:fill="FFFFFF"/>
            <w:noWrap/>
            <w:vAlign w:val="bottom"/>
            <w:hideMark/>
          </w:tcPr>
          <w:p w14:paraId="439D2FE1"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c>
          <w:tcPr>
            <w:tcW w:w="0" w:type="auto"/>
            <w:tcBorders>
              <w:top w:val="nil"/>
              <w:left w:val="nil"/>
              <w:bottom w:val="nil"/>
              <w:right w:val="nil"/>
            </w:tcBorders>
            <w:shd w:val="clear" w:color="000000" w:fill="FFFFFF"/>
            <w:noWrap/>
            <w:vAlign w:val="bottom"/>
            <w:hideMark/>
          </w:tcPr>
          <w:p w14:paraId="00429A3E"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0.331</w:t>
            </w:r>
          </w:p>
        </w:tc>
        <w:tc>
          <w:tcPr>
            <w:tcW w:w="0" w:type="auto"/>
            <w:tcBorders>
              <w:top w:val="nil"/>
              <w:left w:val="nil"/>
              <w:bottom w:val="nil"/>
              <w:right w:val="nil"/>
            </w:tcBorders>
            <w:shd w:val="clear" w:color="000000" w:fill="FFFFFF"/>
            <w:noWrap/>
            <w:vAlign w:val="bottom"/>
            <w:hideMark/>
          </w:tcPr>
          <w:p w14:paraId="1623E54A"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w:t>
            </w:r>
          </w:p>
        </w:tc>
        <w:tc>
          <w:tcPr>
            <w:tcW w:w="0" w:type="auto"/>
            <w:tcBorders>
              <w:top w:val="nil"/>
              <w:left w:val="nil"/>
              <w:bottom w:val="nil"/>
              <w:right w:val="nil"/>
            </w:tcBorders>
            <w:shd w:val="clear" w:color="000000" w:fill="FFFFFF"/>
            <w:noWrap/>
            <w:vAlign w:val="bottom"/>
            <w:hideMark/>
          </w:tcPr>
          <w:p w14:paraId="7A1FF42A"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0.082</w:t>
            </w:r>
          </w:p>
        </w:tc>
        <w:tc>
          <w:tcPr>
            <w:tcW w:w="0" w:type="auto"/>
            <w:tcBorders>
              <w:top w:val="nil"/>
              <w:left w:val="nil"/>
              <w:bottom w:val="nil"/>
              <w:right w:val="nil"/>
            </w:tcBorders>
            <w:shd w:val="clear" w:color="000000" w:fill="FFFFFF"/>
            <w:noWrap/>
            <w:vAlign w:val="bottom"/>
            <w:hideMark/>
          </w:tcPr>
          <w:p w14:paraId="36E6E4E1"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r>
      <w:tr w:rsidR="00CE3EE7" w:rsidRPr="00051C0E" w14:paraId="3B7592C0" w14:textId="77777777" w:rsidTr="00250E5D">
        <w:trPr>
          <w:trHeight w:val="255"/>
        </w:trPr>
        <w:tc>
          <w:tcPr>
            <w:tcW w:w="0" w:type="auto"/>
            <w:gridSpan w:val="2"/>
            <w:tcBorders>
              <w:top w:val="nil"/>
              <w:left w:val="nil"/>
              <w:bottom w:val="nil"/>
              <w:right w:val="nil"/>
            </w:tcBorders>
            <w:shd w:val="clear" w:color="000000" w:fill="FFFFFF"/>
            <w:noWrap/>
            <w:vAlign w:val="bottom"/>
            <w:hideMark/>
          </w:tcPr>
          <w:p w14:paraId="0EA4594F" w14:textId="77777777" w:rsidR="00600C34" w:rsidRPr="00051C0E" w:rsidRDefault="00600C34" w:rsidP="00250E5D">
            <w:pPr>
              <w:spacing w:after="0" w:line="240" w:lineRule="auto"/>
              <w:rPr>
                <w:rFonts w:ascii="Times New Roman" w:eastAsia="Times New Roman" w:hAnsi="Times New Roman" w:cs="Times New Roman"/>
                <w:i/>
                <w:iCs/>
                <w:color w:val="000000"/>
                <w:sz w:val="18"/>
                <w:szCs w:val="18"/>
              </w:rPr>
            </w:pPr>
            <w:r w:rsidRPr="00051C0E">
              <w:rPr>
                <w:rFonts w:ascii="Times New Roman" w:eastAsia="Times New Roman" w:hAnsi="Times New Roman" w:cs="Times New Roman"/>
                <w:i/>
                <w:iCs/>
                <w:color w:val="000000"/>
                <w:sz w:val="18"/>
                <w:szCs w:val="18"/>
              </w:rPr>
              <w:t>Selection variable</w:t>
            </w:r>
          </w:p>
        </w:tc>
        <w:tc>
          <w:tcPr>
            <w:tcW w:w="0" w:type="auto"/>
            <w:tcBorders>
              <w:top w:val="nil"/>
              <w:left w:val="nil"/>
              <w:bottom w:val="nil"/>
              <w:right w:val="nil"/>
            </w:tcBorders>
            <w:shd w:val="clear" w:color="000000" w:fill="FFFFFF"/>
            <w:noWrap/>
            <w:vAlign w:val="bottom"/>
            <w:hideMark/>
          </w:tcPr>
          <w:p w14:paraId="5202DCA0"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52D6D76A"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c>
          <w:tcPr>
            <w:tcW w:w="0" w:type="auto"/>
            <w:tcBorders>
              <w:top w:val="nil"/>
              <w:left w:val="nil"/>
              <w:bottom w:val="nil"/>
              <w:right w:val="nil"/>
            </w:tcBorders>
            <w:shd w:val="clear" w:color="000000" w:fill="FFFFFF"/>
            <w:noWrap/>
            <w:vAlign w:val="bottom"/>
            <w:hideMark/>
          </w:tcPr>
          <w:p w14:paraId="1712EFED"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4C8B1896"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c>
          <w:tcPr>
            <w:tcW w:w="0" w:type="auto"/>
            <w:tcBorders>
              <w:top w:val="nil"/>
              <w:left w:val="nil"/>
              <w:bottom w:val="nil"/>
              <w:right w:val="nil"/>
            </w:tcBorders>
            <w:shd w:val="clear" w:color="000000" w:fill="FFFFFF"/>
            <w:noWrap/>
            <w:vAlign w:val="bottom"/>
            <w:hideMark/>
          </w:tcPr>
          <w:p w14:paraId="0F3B02E5"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65EABAD8"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c>
          <w:tcPr>
            <w:tcW w:w="0" w:type="auto"/>
            <w:tcBorders>
              <w:top w:val="nil"/>
              <w:left w:val="nil"/>
              <w:bottom w:val="nil"/>
              <w:right w:val="nil"/>
            </w:tcBorders>
            <w:shd w:val="clear" w:color="000000" w:fill="FFFFFF"/>
            <w:noWrap/>
            <w:vAlign w:val="bottom"/>
            <w:hideMark/>
          </w:tcPr>
          <w:p w14:paraId="790EDE63"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4A7667B6"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r>
      <w:tr w:rsidR="00CE3EE7" w:rsidRPr="00051C0E" w14:paraId="7F425691" w14:textId="77777777" w:rsidTr="00600C34">
        <w:trPr>
          <w:trHeight w:val="255"/>
        </w:trPr>
        <w:tc>
          <w:tcPr>
            <w:tcW w:w="0" w:type="auto"/>
            <w:tcBorders>
              <w:top w:val="nil"/>
              <w:left w:val="nil"/>
              <w:right w:val="nil"/>
            </w:tcBorders>
            <w:shd w:val="clear" w:color="000000" w:fill="FFFFFF"/>
            <w:noWrap/>
            <w:vAlign w:val="bottom"/>
            <w:hideMark/>
          </w:tcPr>
          <w:p w14:paraId="288B9D3A" w14:textId="77777777" w:rsidR="00600C34" w:rsidRPr="00051C0E" w:rsidRDefault="00600C34" w:rsidP="00250E5D">
            <w:pPr>
              <w:spacing w:after="0" w:line="240" w:lineRule="auto"/>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tcBorders>
              <w:top w:val="nil"/>
              <w:left w:val="nil"/>
              <w:right w:val="nil"/>
            </w:tcBorders>
            <w:shd w:val="clear" w:color="000000" w:fill="FFFFFF"/>
            <w:noWrap/>
            <w:vAlign w:val="bottom"/>
            <w:hideMark/>
          </w:tcPr>
          <w:p w14:paraId="0F1B8CDF" w14:textId="77777777" w:rsidR="00600C34" w:rsidRPr="00051C0E" w:rsidRDefault="00600C34" w:rsidP="00250E5D">
            <w:pPr>
              <w:spacing w:after="0" w:line="240" w:lineRule="auto"/>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Inverse Mills Ratio</w:t>
            </w:r>
          </w:p>
        </w:tc>
        <w:tc>
          <w:tcPr>
            <w:tcW w:w="0" w:type="auto"/>
            <w:tcBorders>
              <w:top w:val="nil"/>
              <w:left w:val="nil"/>
              <w:right w:val="nil"/>
            </w:tcBorders>
            <w:shd w:val="clear" w:color="000000" w:fill="FFFFFF"/>
            <w:noWrap/>
            <w:vAlign w:val="bottom"/>
            <w:hideMark/>
          </w:tcPr>
          <w:p w14:paraId="2EF7EF79"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-0.653</w:t>
            </w:r>
          </w:p>
        </w:tc>
        <w:tc>
          <w:tcPr>
            <w:tcW w:w="0" w:type="auto"/>
            <w:tcBorders>
              <w:top w:val="nil"/>
              <w:left w:val="nil"/>
              <w:right w:val="nil"/>
            </w:tcBorders>
            <w:shd w:val="clear" w:color="000000" w:fill="FFFFFF"/>
            <w:noWrap/>
            <w:vAlign w:val="bottom"/>
            <w:hideMark/>
          </w:tcPr>
          <w:p w14:paraId="78AAD217"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w:t>
            </w:r>
          </w:p>
        </w:tc>
        <w:tc>
          <w:tcPr>
            <w:tcW w:w="0" w:type="auto"/>
            <w:tcBorders>
              <w:top w:val="nil"/>
              <w:left w:val="nil"/>
              <w:right w:val="nil"/>
            </w:tcBorders>
            <w:shd w:val="clear" w:color="000000" w:fill="FFFFFF"/>
            <w:noWrap/>
            <w:vAlign w:val="bottom"/>
            <w:hideMark/>
          </w:tcPr>
          <w:p w14:paraId="4C4AB417"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-0.805</w:t>
            </w:r>
          </w:p>
        </w:tc>
        <w:tc>
          <w:tcPr>
            <w:tcW w:w="0" w:type="auto"/>
            <w:tcBorders>
              <w:top w:val="nil"/>
              <w:left w:val="nil"/>
              <w:right w:val="nil"/>
            </w:tcBorders>
            <w:shd w:val="clear" w:color="000000" w:fill="FFFFFF"/>
            <w:noWrap/>
            <w:vAlign w:val="bottom"/>
            <w:hideMark/>
          </w:tcPr>
          <w:p w14:paraId="68EBBA62"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w:t>
            </w:r>
          </w:p>
        </w:tc>
        <w:tc>
          <w:tcPr>
            <w:tcW w:w="0" w:type="auto"/>
            <w:tcBorders>
              <w:top w:val="nil"/>
              <w:left w:val="nil"/>
              <w:bottom w:val="nil"/>
              <w:right w:val="nil"/>
            </w:tcBorders>
            <w:shd w:val="clear" w:color="000000" w:fill="FFFFFF"/>
            <w:noWrap/>
            <w:vAlign w:val="bottom"/>
            <w:hideMark/>
          </w:tcPr>
          <w:p w14:paraId="365A2E40"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-0.653</w:t>
            </w:r>
          </w:p>
        </w:tc>
        <w:tc>
          <w:tcPr>
            <w:tcW w:w="0" w:type="auto"/>
            <w:tcBorders>
              <w:top w:val="nil"/>
              <w:left w:val="nil"/>
              <w:bottom w:val="nil"/>
              <w:right w:val="nil"/>
            </w:tcBorders>
            <w:shd w:val="clear" w:color="000000" w:fill="FFFFFF"/>
            <w:noWrap/>
            <w:vAlign w:val="bottom"/>
            <w:hideMark/>
          </w:tcPr>
          <w:p w14:paraId="3CAD0F43"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w:t>
            </w:r>
          </w:p>
        </w:tc>
        <w:tc>
          <w:tcPr>
            <w:tcW w:w="0" w:type="auto"/>
            <w:tcBorders>
              <w:top w:val="nil"/>
              <w:left w:val="nil"/>
              <w:bottom w:val="nil"/>
              <w:right w:val="nil"/>
            </w:tcBorders>
            <w:shd w:val="clear" w:color="000000" w:fill="FFFFFF"/>
            <w:noWrap/>
            <w:vAlign w:val="bottom"/>
            <w:hideMark/>
          </w:tcPr>
          <w:p w14:paraId="562F5827"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-0.805</w:t>
            </w:r>
          </w:p>
        </w:tc>
        <w:tc>
          <w:tcPr>
            <w:tcW w:w="0" w:type="auto"/>
            <w:tcBorders>
              <w:top w:val="nil"/>
              <w:left w:val="nil"/>
              <w:bottom w:val="nil"/>
              <w:right w:val="nil"/>
            </w:tcBorders>
            <w:shd w:val="clear" w:color="000000" w:fill="FFFFFF"/>
            <w:noWrap/>
            <w:vAlign w:val="bottom"/>
            <w:hideMark/>
          </w:tcPr>
          <w:p w14:paraId="7155AFB3"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w:t>
            </w:r>
          </w:p>
        </w:tc>
      </w:tr>
      <w:tr w:rsidR="007E519D" w:rsidRPr="00600C34" w14:paraId="51792CEE" w14:textId="77777777" w:rsidTr="00BC2FAC">
        <w:trPr>
          <w:gridAfter w:val="4"/>
          <w:trHeight w:val="255"/>
        </w:trPr>
        <w:tc>
          <w:tcPr>
            <w:tcW w:w="0" w:type="auto"/>
            <w:gridSpan w:val="6"/>
            <w:tcBorders>
              <w:top w:val="nil"/>
              <w:left w:val="nil"/>
              <w:bottom w:val="nil"/>
              <w:right w:val="nil"/>
            </w:tcBorders>
            <w:shd w:val="clear" w:color="000000" w:fill="FFFFFF"/>
            <w:noWrap/>
            <w:vAlign w:val="bottom"/>
          </w:tcPr>
          <w:p w14:paraId="612E8A36" w14:textId="77777777" w:rsidR="007E519D" w:rsidRPr="00600C34" w:rsidRDefault="007E519D" w:rsidP="00250E5D">
            <w:pPr>
              <w:spacing w:after="0" w:line="240" w:lineRule="auto"/>
              <w:rPr>
                <w:rFonts w:ascii="Times New Roman" w:eastAsia="Times New Roman" w:hAnsi="Times New Roman" w:cs="Times New Roman"/>
                <w:i/>
                <w:color w:val="000000"/>
                <w:sz w:val="18"/>
                <w:szCs w:val="16"/>
              </w:rPr>
            </w:pPr>
            <w:r>
              <w:rPr>
                <w:rFonts w:ascii="Times New Roman" w:eastAsia="Times New Roman" w:hAnsi="Times New Roman" w:cs="Times New Roman"/>
                <w:i/>
                <w:color w:val="000000"/>
                <w:sz w:val="18"/>
                <w:szCs w:val="16"/>
              </w:rPr>
              <w:t>Portfolio company characteristics</w:t>
            </w:r>
          </w:p>
        </w:tc>
      </w:tr>
      <w:tr w:rsidR="00CE3EE7" w:rsidRPr="00051C0E" w14:paraId="20D334EC" w14:textId="77777777" w:rsidTr="00250E5D">
        <w:trPr>
          <w:trHeight w:val="255"/>
        </w:trPr>
        <w:tc>
          <w:tcPr>
            <w:tcW w:w="0" w:type="auto"/>
            <w:tcBorders>
              <w:top w:val="nil"/>
              <w:left w:val="nil"/>
              <w:bottom w:val="nil"/>
              <w:right w:val="nil"/>
            </w:tcBorders>
            <w:shd w:val="clear" w:color="000000" w:fill="FFFFFF"/>
            <w:noWrap/>
            <w:vAlign w:val="bottom"/>
            <w:hideMark/>
          </w:tcPr>
          <w:p w14:paraId="643A8C06" w14:textId="77777777" w:rsidR="00600C34" w:rsidRPr="00051C0E" w:rsidRDefault="00600C34" w:rsidP="00250E5D">
            <w:pPr>
              <w:spacing w:after="0" w:line="240" w:lineRule="auto"/>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351AB80B" w14:textId="77777777" w:rsidR="00600C34" w:rsidRPr="00051C0E" w:rsidRDefault="00600C34" w:rsidP="00250E5D">
            <w:pPr>
              <w:spacing w:after="0" w:line="240" w:lineRule="auto"/>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Portfolio company age</w:t>
            </w:r>
          </w:p>
        </w:tc>
        <w:tc>
          <w:tcPr>
            <w:tcW w:w="0" w:type="auto"/>
            <w:tcBorders>
              <w:top w:val="nil"/>
              <w:left w:val="nil"/>
              <w:bottom w:val="nil"/>
              <w:right w:val="nil"/>
            </w:tcBorders>
            <w:shd w:val="clear" w:color="000000" w:fill="FFFFFF"/>
            <w:noWrap/>
            <w:vAlign w:val="bottom"/>
            <w:hideMark/>
          </w:tcPr>
          <w:p w14:paraId="5D134D1E"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-0.023</w:t>
            </w:r>
          </w:p>
        </w:tc>
        <w:tc>
          <w:tcPr>
            <w:tcW w:w="0" w:type="auto"/>
            <w:tcBorders>
              <w:top w:val="nil"/>
              <w:left w:val="nil"/>
              <w:bottom w:val="nil"/>
              <w:right w:val="nil"/>
            </w:tcBorders>
            <w:shd w:val="clear" w:color="000000" w:fill="FFFFFF"/>
            <w:noWrap/>
            <w:vAlign w:val="bottom"/>
            <w:hideMark/>
          </w:tcPr>
          <w:p w14:paraId="488270E8"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c>
          <w:tcPr>
            <w:tcW w:w="0" w:type="auto"/>
            <w:tcBorders>
              <w:top w:val="nil"/>
              <w:left w:val="nil"/>
              <w:bottom w:val="nil"/>
              <w:right w:val="nil"/>
            </w:tcBorders>
            <w:shd w:val="clear" w:color="000000" w:fill="FFFFFF"/>
            <w:noWrap/>
            <w:vAlign w:val="bottom"/>
            <w:hideMark/>
          </w:tcPr>
          <w:p w14:paraId="4F325B88"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0.039</w:t>
            </w:r>
          </w:p>
        </w:tc>
        <w:tc>
          <w:tcPr>
            <w:tcW w:w="0" w:type="auto"/>
            <w:tcBorders>
              <w:top w:val="nil"/>
              <w:left w:val="nil"/>
              <w:bottom w:val="nil"/>
              <w:right w:val="nil"/>
            </w:tcBorders>
            <w:shd w:val="clear" w:color="000000" w:fill="FFFFFF"/>
            <w:noWrap/>
            <w:vAlign w:val="bottom"/>
            <w:hideMark/>
          </w:tcPr>
          <w:p w14:paraId="59EE55C8"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c>
          <w:tcPr>
            <w:tcW w:w="0" w:type="auto"/>
            <w:tcBorders>
              <w:top w:val="nil"/>
              <w:left w:val="nil"/>
              <w:bottom w:val="nil"/>
              <w:right w:val="nil"/>
            </w:tcBorders>
            <w:shd w:val="clear" w:color="000000" w:fill="FFFFFF"/>
            <w:noWrap/>
            <w:vAlign w:val="bottom"/>
            <w:hideMark/>
          </w:tcPr>
          <w:p w14:paraId="275DD0A5"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-0.023</w:t>
            </w:r>
          </w:p>
        </w:tc>
        <w:tc>
          <w:tcPr>
            <w:tcW w:w="0" w:type="auto"/>
            <w:tcBorders>
              <w:top w:val="nil"/>
              <w:left w:val="nil"/>
              <w:bottom w:val="nil"/>
              <w:right w:val="nil"/>
            </w:tcBorders>
            <w:shd w:val="clear" w:color="000000" w:fill="FFFFFF"/>
            <w:noWrap/>
            <w:vAlign w:val="bottom"/>
            <w:hideMark/>
          </w:tcPr>
          <w:p w14:paraId="551A0E80"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c>
          <w:tcPr>
            <w:tcW w:w="0" w:type="auto"/>
            <w:tcBorders>
              <w:top w:val="nil"/>
              <w:left w:val="nil"/>
              <w:bottom w:val="nil"/>
              <w:right w:val="nil"/>
            </w:tcBorders>
            <w:shd w:val="clear" w:color="000000" w:fill="FFFFFF"/>
            <w:noWrap/>
            <w:vAlign w:val="bottom"/>
            <w:hideMark/>
          </w:tcPr>
          <w:p w14:paraId="63AB260E"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0.039</w:t>
            </w:r>
          </w:p>
        </w:tc>
        <w:tc>
          <w:tcPr>
            <w:tcW w:w="0" w:type="auto"/>
            <w:tcBorders>
              <w:top w:val="nil"/>
              <w:left w:val="nil"/>
              <w:bottom w:val="nil"/>
              <w:right w:val="nil"/>
            </w:tcBorders>
            <w:shd w:val="clear" w:color="000000" w:fill="FFFFFF"/>
            <w:noWrap/>
            <w:vAlign w:val="bottom"/>
            <w:hideMark/>
          </w:tcPr>
          <w:p w14:paraId="37DFD3F5"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r>
      <w:tr w:rsidR="00CE3EE7" w:rsidRPr="00051C0E" w14:paraId="76184A31" w14:textId="77777777" w:rsidTr="00250E5D">
        <w:trPr>
          <w:trHeight w:val="255"/>
        </w:trPr>
        <w:tc>
          <w:tcPr>
            <w:tcW w:w="0" w:type="auto"/>
            <w:tcBorders>
              <w:top w:val="nil"/>
              <w:left w:val="nil"/>
              <w:bottom w:val="nil"/>
              <w:right w:val="nil"/>
            </w:tcBorders>
            <w:shd w:val="clear" w:color="000000" w:fill="FFFFFF"/>
            <w:noWrap/>
            <w:vAlign w:val="bottom"/>
            <w:hideMark/>
          </w:tcPr>
          <w:p w14:paraId="61A2102F" w14:textId="77777777" w:rsidR="00600C34" w:rsidRPr="00051C0E" w:rsidRDefault="00600C34" w:rsidP="00250E5D">
            <w:pPr>
              <w:spacing w:after="0" w:line="240" w:lineRule="auto"/>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2153BBBC" w14:textId="77777777" w:rsidR="00600C34" w:rsidRPr="00051C0E" w:rsidRDefault="00600C34" w:rsidP="00250E5D">
            <w:pPr>
              <w:spacing w:after="0" w:line="240" w:lineRule="auto"/>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Patents</w:t>
            </w:r>
          </w:p>
        </w:tc>
        <w:tc>
          <w:tcPr>
            <w:tcW w:w="0" w:type="auto"/>
            <w:tcBorders>
              <w:top w:val="nil"/>
              <w:left w:val="nil"/>
              <w:bottom w:val="nil"/>
              <w:right w:val="nil"/>
            </w:tcBorders>
            <w:shd w:val="clear" w:color="000000" w:fill="FFFFFF"/>
            <w:noWrap/>
            <w:vAlign w:val="bottom"/>
            <w:hideMark/>
          </w:tcPr>
          <w:p w14:paraId="2455DAEA"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0.070</w:t>
            </w:r>
          </w:p>
        </w:tc>
        <w:tc>
          <w:tcPr>
            <w:tcW w:w="0" w:type="auto"/>
            <w:tcBorders>
              <w:top w:val="nil"/>
              <w:left w:val="nil"/>
              <w:bottom w:val="nil"/>
              <w:right w:val="nil"/>
            </w:tcBorders>
            <w:shd w:val="clear" w:color="000000" w:fill="FFFFFF"/>
            <w:noWrap/>
            <w:vAlign w:val="bottom"/>
            <w:hideMark/>
          </w:tcPr>
          <w:p w14:paraId="0CBBFEA7"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w:t>
            </w:r>
          </w:p>
        </w:tc>
        <w:tc>
          <w:tcPr>
            <w:tcW w:w="0" w:type="auto"/>
            <w:tcBorders>
              <w:top w:val="nil"/>
              <w:left w:val="nil"/>
              <w:bottom w:val="nil"/>
              <w:right w:val="nil"/>
            </w:tcBorders>
            <w:shd w:val="clear" w:color="000000" w:fill="FFFFFF"/>
            <w:noWrap/>
            <w:vAlign w:val="bottom"/>
            <w:hideMark/>
          </w:tcPr>
          <w:p w14:paraId="232516A0"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0.071</w:t>
            </w:r>
          </w:p>
        </w:tc>
        <w:tc>
          <w:tcPr>
            <w:tcW w:w="0" w:type="auto"/>
            <w:tcBorders>
              <w:top w:val="nil"/>
              <w:left w:val="nil"/>
              <w:bottom w:val="nil"/>
              <w:right w:val="nil"/>
            </w:tcBorders>
            <w:shd w:val="clear" w:color="000000" w:fill="FFFFFF"/>
            <w:noWrap/>
            <w:vAlign w:val="bottom"/>
            <w:hideMark/>
          </w:tcPr>
          <w:p w14:paraId="60E1B650"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w:t>
            </w:r>
          </w:p>
        </w:tc>
        <w:tc>
          <w:tcPr>
            <w:tcW w:w="0" w:type="auto"/>
            <w:tcBorders>
              <w:top w:val="nil"/>
              <w:left w:val="nil"/>
              <w:bottom w:val="nil"/>
              <w:right w:val="nil"/>
            </w:tcBorders>
            <w:shd w:val="clear" w:color="000000" w:fill="FFFFFF"/>
            <w:noWrap/>
            <w:vAlign w:val="bottom"/>
            <w:hideMark/>
          </w:tcPr>
          <w:p w14:paraId="4E1C121F"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0.070</w:t>
            </w:r>
          </w:p>
        </w:tc>
        <w:tc>
          <w:tcPr>
            <w:tcW w:w="0" w:type="auto"/>
            <w:tcBorders>
              <w:top w:val="nil"/>
              <w:left w:val="nil"/>
              <w:bottom w:val="nil"/>
              <w:right w:val="nil"/>
            </w:tcBorders>
            <w:shd w:val="clear" w:color="000000" w:fill="FFFFFF"/>
            <w:noWrap/>
            <w:vAlign w:val="bottom"/>
            <w:hideMark/>
          </w:tcPr>
          <w:p w14:paraId="25F02128"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w:t>
            </w:r>
          </w:p>
        </w:tc>
        <w:tc>
          <w:tcPr>
            <w:tcW w:w="0" w:type="auto"/>
            <w:tcBorders>
              <w:top w:val="nil"/>
              <w:left w:val="nil"/>
              <w:bottom w:val="nil"/>
              <w:right w:val="nil"/>
            </w:tcBorders>
            <w:shd w:val="clear" w:color="000000" w:fill="FFFFFF"/>
            <w:noWrap/>
            <w:vAlign w:val="bottom"/>
            <w:hideMark/>
          </w:tcPr>
          <w:p w14:paraId="0834B29B"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0.071</w:t>
            </w:r>
          </w:p>
        </w:tc>
        <w:tc>
          <w:tcPr>
            <w:tcW w:w="0" w:type="auto"/>
            <w:tcBorders>
              <w:top w:val="nil"/>
              <w:left w:val="nil"/>
              <w:bottom w:val="nil"/>
              <w:right w:val="nil"/>
            </w:tcBorders>
            <w:shd w:val="clear" w:color="000000" w:fill="FFFFFF"/>
            <w:noWrap/>
            <w:vAlign w:val="bottom"/>
            <w:hideMark/>
          </w:tcPr>
          <w:p w14:paraId="68B4AB30"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w:t>
            </w:r>
          </w:p>
        </w:tc>
      </w:tr>
      <w:tr w:rsidR="00CE3EE7" w:rsidRPr="00051C0E" w14:paraId="118995C6" w14:textId="77777777" w:rsidTr="00250E5D">
        <w:trPr>
          <w:trHeight w:val="255"/>
        </w:trPr>
        <w:tc>
          <w:tcPr>
            <w:tcW w:w="0" w:type="auto"/>
            <w:tcBorders>
              <w:top w:val="nil"/>
              <w:left w:val="nil"/>
              <w:bottom w:val="nil"/>
              <w:right w:val="nil"/>
            </w:tcBorders>
            <w:shd w:val="clear" w:color="000000" w:fill="FFFFFF"/>
            <w:noWrap/>
            <w:vAlign w:val="bottom"/>
            <w:hideMark/>
          </w:tcPr>
          <w:p w14:paraId="1CE34060" w14:textId="77777777" w:rsidR="00600C34" w:rsidRPr="00051C0E" w:rsidRDefault="00600C34" w:rsidP="00250E5D">
            <w:pPr>
              <w:spacing w:after="0" w:line="240" w:lineRule="auto"/>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55295F0B" w14:textId="77777777" w:rsidR="00600C34" w:rsidRPr="00051C0E" w:rsidRDefault="00600C34" w:rsidP="00250E5D">
            <w:pPr>
              <w:spacing w:after="0" w:line="240" w:lineRule="auto"/>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Sales (LN)</w:t>
            </w:r>
          </w:p>
        </w:tc>
        <w:tc>
          <w:tcPr>
            <w:tcW w:w="0" w:type="auto"/>
            <w:tcBorders>
              <w:top w:val="nil"/>
              <w:left w:val="nil"/>
              <w:bottom w:val="nil"/>
              <w:right w:val="nil"/>
            </w:tcBorders>
            <w:shd w:val="clear" w:color="000000" w:fill="FFFFFF"/>
            <w:noWrap/>
            <w:vAlign w:val="bottom"/>
            <w:hideMark/>
          </w:tcPr>
          <w:p w14:paraId="2F2FFD5E"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0.126</w:t>
            </w:r>
          </w:p>
        </w:tc>
        <w:tc>
          <w:tcPr>
            <w:tcW w:w="0" w:type="auto"/>
            <w:tcBorders>
              <w:top w:val="nil"/>
              <w:left w:val="nil"/>
              <w:bottom w:val="nil"/>
              <w:right w:val="nil"/>
            </w:tcBorders>
            <w:shd w:val="clear" w:color="000000" w:fill="FFFFFF"/>
            <w:noWrap/>
            <w:vAlign w:val="bottom"/>
            <w:hideMark/>
          </w:tcPr>
          <w:p w14:paraId="5F17C6DA"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w:t>
            </w:r>
          </w:p>
        </w:tc>
        <w:tc>
          <w:tcPr>
            <w:tcW w:w="0" w:type="auto"/>
            <w:tcBorders>
              <w:top w:val="nil"/>
              <w:left w:val="nil"/>
              <w:bottom w:val="nil"/>
              <w:right w:val="nil"/>
            </w:tcBorders>
            <w:shd w:val="clear" w:color="000000" w:fill="FFFFFF"/>
            <w:noWrap/>
            <w:vAlign w:val="bottom"/>
            <w:hideMark/>
          </w:tcPr>
          <w:p w14:paraId="2E3492E1"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-0.015</w:t>
            </w:r>
          </w:p>
        </w:tc>
        <w:tc>
          <w:tcPr>
            <w:tcW w:w="0" w:type="auto"/>
            <w:tcBorders>
              <w:top w:val="nil"/>
              <w:left w:val="nil"/>
              <w:bottom w:val="nil"/>
              <w:right w:val="nil"/>
            </w:tcBorders>
            <w:shd w:val="clear" w:color="000000" w:fill="FFFFFF"/>
            <w:noWrap/>
            <w:vAlign w:val="bottom"/>
            <w:hideMark/>
          </w:tcPr>
          <w:p w14:paraId="31F39AFB"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c>
          <w:tcPr>
            <w:tcW w:w="0" w:type="auto"/>
            <w:tcBorders>
              <w:top w:val="nil"/>
              <w:left w:val="nil"/>
              <w:bottom w:val="nil"/>
              <w:right w:val="nil"/>
            </w:tcBorders>
            <w:shd w:val="clear" w:color="000000" w:fill="FFFFFF"/>
            <w:noWrap/>
            <w:vAlign w:val="bottom"/>
            <w:hideMark/>
          </w:tcPr>
          <w:p w14:paraId="698D4F78"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0.126</w:t>
            </w:r>
          </w:p>
        </w:tc>
        <w:tc>
          <w:tcPr>
            <w:tcW w:w="0" w:type="auto"/>
            <w:tcBorders>
              <w:top w:val="nil"/>
              <w:left w:val="nil"/>
              <w:bottom w:val="nil"/>
              <w:right w:val="nil"/>
            </w:tcBorders>
            <w:shd w:val="clear" w:color="000000" w:fill="FFFFFF"/>
            <w:noWrap/>
            <w:vAlign w:val="bottom"/>
            <w:hideMark/>
          </w:tcPr>
          <w:p w14:paraId="6D2EA8F3"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w:t>
            </w:r>
          </w:p>
        </w:tc>
        <w:tc>
          <w:tcPr>
            <w:tcW w:w="0" w:type="auto"/>
            <w:tcBorders>
              <w:top w:val="nil"/>
              <w:left w:val="nil"/>
              <w:bottom w:val="nil"/>
              <w:right w:val="nil"/>
            </w:tcBorders>
            <w:shd w:val="clear" w:color="000000" w:fill="FFFFFF"/>
            <w:noWrap/>
            <w:vAlign w:val="bottom"/>
            <w:hideMark/>
          </w:tcPr>
          <w:p w14:paraId="321463DF"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-0.015</w:t>
            </w:r>
          </w:p>
        </w:tc>
        <w:tc>
          <w:tcPr>
            <w:tcW w:w="0" w:type="auto"/>
            <w:tcBorders>
              <w:top w:val="nil"/>
              <w:left w:val="nil"/>
              <w:bottom w:val="nil"/>
              <w:right w:val="nil"/>
            </w:tcBorders>
            <w:shd w:val="clear" w:color="000000" w:fill="FFFFFF"/>
            <w:noWrap/>
            <w:vAlign w:val="bottom"/>
            <w:hideMark/>
          </w:tcPr>
          <w:p w14:paraId="53482393"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r>
      <w:tr w:rsidR="00CE3EE7" w:rsidRPr="00051C0E" w14:paraId="52C71D10" w14:textId="77777777" w:rsidTr="00250E5D">
        <w:trPr>
          <w:trHeight w:val="255"/>
        </w:trPr>
        <w:tc>
          <w:tcPr>
            <w:tcW w:w="0" w:type="auto"/>
            <w:gridSpan w:val="2"/>
            <w:tcBorders>
              <w:top w:val="nil"/>
              <w:left w:val="nil"/>
              <w:bottom w:val="nil"/>
              <w:right w:val="nil"/>
            </w:tcBorders>
            <w:shd w:val="clear" w:color="000000" w:fill="FFFFFF"/>
            <w:noWrap/>
            <w:vAlign w:val="bottom"/>
            <w:hideMark/>
          </w:tcPr>
          <w:p w14:paraId="66437876" w14:textId="77777777" w:rsidR="00600C34" w:rsidRPr="00051C0E" w:rsidRDefault="00600C34" w:rsidP="00250E5D">
            <w:pPr>
              <w:spacing w:after="0" w:line="240" w:lineRule="auto"/>
              <w:rPr>
                <w:rFonts w:ascii="Times New Roman" w:eastAsia="Times New Roman" w:hAnsi="Times New Roman" w:cs="Times New Roman"/>
                <w:i/>
                <w:iCs/>
                <w:color w:val="000000"/>
                <w:sz w:val="18"/>
                <w:szCs w:val="18"/>
              </w:rPr>
            </w:pPr>
            <w:r w:rsidRPr="00051C0E">
              <w:rPr>
                <w:rFonts w:ascii="Times New Roman" w:eastAsia="Times New Roman" w:hAnsi="Times New Roman" w:cs="Times New Roman"/>
                <w:i/>
                <w:iCs/>
                <w:color w:val="000000"/>
                <w:sz w:val="18"/>
                <w:szCs w:val="18"/>
              </w:rPr>
              <w:t xml:space="preserve">VC </w:t>
            </w:r>
            <w:r>
              <w:rPr>
                <w:rFonts w:ascii="Times New Roman" w:eastAsia="Times New Roman" w:hAnsi="Times New Roman" w:cs="Times New Roman"/>
                <w:i/>
                <w:iCs/>
                <w:color w:val="000000"/>
                <w:sz w:val="18"/>
                <w:szCs w:val="18"/>
              </w:rPr>
              <w:t xml:space="preserve">firm </w:t>
            </w:r>
            <w:r w:rsidRPr="00051C0E">
              <w:rPr>
                <w:rFonts w:ascii="Times New Roman" w:eastAsia="Times New Roman" w:hAnsi="Times New Roman" w:cs="Times New Roman"/>
                <w:i/>
                <w:iCs/>
                <w:color w:val="000000"/>
                <w:sz w:val="18"/>
                <w:szCs w:val="18"/>
              </w:rPr>
              <w:t>characteristics</w:t>
            </w:r>
          </w:p>
        </w:tc>
        <w:tc>
          <w:tcPr>
            <w:tcW w:w="0" w:type="auto"/>
            <w:tcBorders>
              <w:top w:val="nil"/>
              <w:left w:val="nil"/>
              <w:bottom w:val="nil"/>
              <w:right w:val="nil"/>
            </w:tcBorders>
            <w:shd w:val="clear" w:color="000000" w:fill="FFFFFF"/>
            <w:noWrap/>
            <w:vAlign w:val="bottom"/>
            <w:hideMark/>
          </w:tcPr>
          <w:p w14:paraId="45713529"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23114E1F"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c>
          <w:tcPr>
            <w:tcW w:w="0" w:type="auto"/>
            <w:tcBorders>
              <w:top w:val="nil"/>
              <w:left w:val="nil"/>
              <w:bottom w:val="nil"/>
              <w:right w:val="nil"/>
            </w:tcBorders>
            <w:shd w:val="clear" w:color="000000" w:fill="FFFFFF"/>
            <w:noWrap/>
            <w:vAlign w:val="bottom"/>
            <w:hideMark/>
          </w:tcPr>
          <w:p w14:paraId="69EEC823"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0880CE7F"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c>
          <w:tcPr>
            <w:tcW w:w="0" w:type="auto"/>
            <w:tcBorders>
              <w:top w:val="nil"/>
              <w:left w:val="nil"/>
              <w:bottom w:val="nil"/>
              <w:right w:val="nil"/>
            </w:tcBorders>
            <w:shd w:val="clear" w:color="000000" w:fill="FFFFFF"/>
            <w:noWrap/>
            <w:vAlign w:val="bottom"/>
            <w:hideMark/>
          </w:tcPr>
          <w:p w14:paraId="507E8134"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202F8208"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c>
          <w:tcPr>
            <w:tcW w:w="0" w:type="auto"/>
            <w:tcBorders>
              <w:top w:val="nil"/>
              <w:left w:val="nil"/>
              <w:bottom w:val="nil"/>
              <w:right w:val="nil"/>
            </w:tcBorders>
            <w:shd w:val="clear" w:color="000000" w:fill="FFFFFF"/>
            <w:noWrap/>
            <w:vAlign w:val="bottom"/>
            <w:hideMark/>
          </w:tcPr>
          <w:p w14:paraId="599C3416"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58871F42"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r>
      <w:tr w:rsidR="00CE3EE7" w:rsidRPr="00051C0E" w14:paraId="64DD652A" w14:textId="77777777" w:rsidTr="00250E5D">
        <w:trPr>
          <w:trHeight w:val="255"/>
        </w:trPr>
        <w:tc>
          <w:tcPr>
            <w:tcW w:w="0" w:type="auto"/>
            <w:tcBorders>
              <w:top w:val="nil"/>
              <w:left w:val="nil"/>
              <w:bottom w:val="nil"/>
              <w:right w:val="nil"/>
            </w:tcBorders>
            <w:shd w:val="clear" w:color="000000" w:fill="FFFFFF"/>
            <w:noWrap/>
            <w:vAlign w:val="bottom"/>
            <w:hideMark/>
          </w:tcPr>
          <w:p w14:paraId="3BB2D2D8" w14:textId="77777777" w:rsidR="00600C34" w:rsidRPr="00051C0E" w:rsidRDefault="00600C34" w:rsidP="00250E5D">
            <w:pPr>
              <w:spacing w:after="0" w:line="240" w:lineRule="auto"/>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564F6EC0" w14:textId="77777777" w:rsidR="00600C34" w:rsidRPr="00051C0E" w:rsidRDefault="00600C34" w:rsidP="00250E5D">
            <w:pPr>
              <w:spacing w:after="0" w:line="240" w:lineRule="auto"/>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xml:space="preserve">VC </w:t>
            </w:r>
            <w:r>
              <w:rPr>
                <w:rFonts w:ascii="Times New Roman" w:eastAsia="Times New Roman" w:hAnsi="Times New Roman" w:cs="Times New Roman"/>
                <w:color w:val="000000"/>
                <w:sz w:val="18"/>
                <w:szCs w:val="18"/>
              </w:rPr>
              <w:t xml:space="preserve">firm </w:t>
            </w:r>
            <w:r w:rsidRPr="00051C0E">
              <w:rPr>
                <w:rFonts w:ascii="Times New Roman" w:eastAsia="Times New Roman" w:hAnsi="Times New Roman" w:cs="Times New Roman"/>
                <w:color w:val="000000"/>
                <w:sz w:val="18"/>
                <w:szCs w:val="18"/>
              </w:rPr>
              <w:t>age</w:t>
            </w:r>
          </w:p>
        </w:tc>
        <w:tc>
          <w:tcPr>
            <w:tcW w:w="0" w:type="auto"/>
            <w:tcBorders>
              <w:top w:val="nil"/>
              <w:left w:val="nil"/>
              <w:bottom w:val="nil"/>
              <w:right w:val="nil"/>
            </w:tcBorders>
            <w:shd w:val="clear" w:color="000000" w:fill="FFFFFF"/>
            <w:noWrap/>
            <w:vAlign w:val="bottom"/>
            <w:hideMark/>
          </w:tcPr>
          <w:p w14:paraId="4058A420"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-0.002</w:t>
            </w:r>
          </w:p>
        </w:tc>
        <w:tc>
          <w:tcPr>
            <w:tcW w:w="0" w:type="auto"/>
            <w:tcBorders>
              <w:top w:val="nil"/>
              <w:left w:val="nil"/>
              <w:bottom w:val="nil"/>
              <w:right w:val="nil"/>
            </w:tcBorders>
            <w:shd w:val="clear" w:color="000000" w:fill="FFFFFF"/>
            <w:noWrap/>
            <w:vAlign w:val="bottom"/>
            <w:hideMark/>
          </w:tcPr>
          <w:p w14:paraId="239D3A71"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c>
          <w:tcPr>
            <w:tcW w:w="0" w:type="auto"/>
            <w:tcBorders>
              <w:top w:val="nil"/>
              <w:left w:val="nil"/>
              <w:bottom w:val="nil"/>
              <w:right w:val="nil"/>
            </w:tcBorders>
            <w:shd w:val="clear" w:color="000000" w:fill="FFFFFF"/>
            <w:noWrap/>
            <w:vAlign w:val="bottom"/>
            <w:hideMark/>
          </w:tcPr>
          <w:p w14:paraId="61D7BA38"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0.003</w:t>
            </w:r>
          </w:p>
        </w:tc>
        <w:tc>
          <w:tcPr>
            <w:tcW w:w="0" w:type="auto"/>
            <w:tcBorders>
              <w:top w:val="nil"/>
              <w:left w:val="nil"/>
              <w:bottom w:val="nil"/>
              <w:right w:val="nil"/>
            </w:tcBorders>
            <w:shd w:val="clear" w:color="000000" w:fill="FFFFFF"/>
            <w:noWrap/>
            <w:vAlign w:val="bottom"/>
            <w:hideMark/>
          </w:tcPr>
          <w:p w14:paraId="2C0FE6E3"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w:t>
            </w:r>
          </w:p>
        </w:tc>
        <w:tc>
          <w:tcPr>
            <w:tcW w:w="0" w:type="auto"/>
            <w:tcBorders>
              <w:top w:val="nil"/>
              <w:left w:val="nil"/>
              <w:bottom w:val="nil"/>
              <w:right w:val="nil"/>
            </w:tcBorders>
            <w:shd w:val="clear" w:color="000000" w:fill="FFFFFF"/>
            <w:noWrap/>
            <w:vAlign w:val="bottom"/>
            <w:hideMark/>
          </w:tcPr>
          <w:p w14:paraId="7919658F"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-0.002</w:t>
            </w:r>
          </w:p>
        </w:tc>
        <w:tc>
          <w:tcPr>
            <w:tcW w:w="0" w:type="auto"/>
            <w:tcBorders>
              <w:top w:val="nil"/>
              <w:left w:val="nil"/>
              <w:bottom w:val="nil"/>
              <w:right w:val="nil"/>
            </w:tcBorders>
            <w:shd w:val="clear" w:color="000000" w:fill="FFFFFF"/>
            <w:noWrap/>
            <w:vAlign w:val="bottom"/>
            <w:hideMark/>
          </w:tcPr>
          <w:p w14:paraId="5E5A09A5"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c>
          <w:tcPr>
            <w:tcW w:w="0" w:type="auto"/>
            <w:tcBorders>
              <w:top w:val="nil"/>
              <w:left w:val="nil"/>
              <w:bottom w:val="nil"/>
              <w:right w:val="nil"/>
            </w:tcBorders>
            <w:shd w:val="clear" w:color="000000" w:fill="FFFFFF"/>
            <w:noWrap/>
            <w:vAlign w:val="bottom"/>
            <w:hideMark/>
          </w:tcPr>
          <w:p w14:paraId="3F30F1F5"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0.003</w:t>
            </w:r>
          </w:p>
        </w:tc>
        <w:tc>
          <w:tcPr>
            <w:tcW w:w="0" w:type="auto"/>
            <w:tcBorders>
              <w:top w:val="nil"/>
              <w:left w:val="nil"/>
              <w:bottom w:val="nil"/>
              <w:right w:val="nil"/>
            </w:tcBorders>
            <w:shd w:val="clear" w:color="000000" w:fill="FFFFFF"/>
            <w:noWrap/>
            <w:vAlign w:val="bottom"/>
            <w:hideMark/>
          </w:tcPr>
          <w:p w14:paraId="53BF16E0"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w:t>
            </w:r>
          </w:p>
        </w:tc>
      </w:tr>
      <w:tr w:rsidR="00CE3EE7" w:rsidRPr="00051C0E" w14:paraId="2DD0A694" w14:textId="77777777" w:rsidTr="00250E5D">
        <w:trPr>
          <w:trHeight w:val="255"/>
        </w:trPr>
        <w:tc>
          <w:tcPr>
            <w:tcW w:w="0" w:type="auto"/>
            <w:tcBorders>
              <w:top w:val="nil"/>
              <w:left w:val="nil"/>
              <w:bottom w:val="nil"/>
              <w:right w:val="nil"/>
            </w:tcBorders>
            <w:shd w:val="clear" w:color="000000" w:fill="FFFFFF"/>
            <w:noWrap/>
            <w:vAlign w:val="bottom"/>
            <w:hideMark/>
          </w:tcPr>
          <w:p w14:paraId="1C7EFBA3" w14:textId="77777777" w:rsidR="00600C34" w:rsidRPr="00051C0E" w:rsidRDefault="00600C34" w:rsidP="00250E5D">
            <w:pPr>
              <w:spacing w:after="0" w:line="240" w:lineRule="auto"/>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4E886DF6" w14:textId="77777777" w:rsidR="00600C34" w:rsidRPr="00051C0E" w:rsidRDefault="00600C34" w:rsidP="00250E5D">
            <w:pPr>
              <w:spacing w:after="0" w:line="240" w:lineRule="auto"/>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xml:space="preserve">VC </w:t>
            </w:r>
            <w:r>
              <w:rPr>
                <w:rFonts w:ascii="Times New Roman" w:eastAsia="Times New Roman" w:hAnsi="Times New Roman" w:cs="Times New Roman"/>
                <w:color w:val="000000"/>
                <w:sz w:val="18"/>
                <w:szCs w:val="18"/>
              </w:rPr>
              <w:t xml:space="preserve">firm </w:t>
            </w:r>
            <w:r w:rsidRPr="00051C0E">
              <w:rPr>
                <w:rFonts w:ascii="Times New Roman" w:eastAsia="Times New Roman" w:hAnsi="Times New Roman" w:cs="Times New Roman"/>
                <w:color w:val="000000"/>
                <w:sz w:val="18"/>
                <w:szCs w:val="18"/>
              </w:rPr>
              <w:t>country experience</w:t>
            </w:r>
          </w:p>
        </w:tc>
        <w:tc>
          <w:tcPr>
            <w:tcW w:w="0" w:type="auto"/>
            <w:tcBorders>
              <w:top w:val="nil"/>
              <w:left w:val="nil"/>
              <w:bottom w:val="nil"/>
              <w:right w:val="nil"/>
            </w:tcBorders>
            <w:shd w:val="clear" w:color="000000" w:fill="FFFFFF"/>
            <w:noWrap/>
            <w:vAlign w:val="bottom"/>
            <w:hideMark/>
          </w:tcPr>
          <w:p w14:paraId="62EF56B9"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0.001</w:t>
            </w:r>
          </w:p>
        </w:tc>
        <w:tc>
          <w:tcPr>
            <w:tcW w:w="0" w:type="auto"/>
            <w:tcBorders>
              <w:top w:val="nil"/>
              <w:left w:val="nil"/>
              <w:bottom w:val="nil"/>
              <w:right w:val="nil"/>
            </w:tcBorders>
            <w:shd w:val="clear" w:color="000000" w:fill="FFFFFF"/>
            <w:noWrap/>
            <w:vAlign w:val="bottom"/>
            <w:hideMark/>
          </w:tcPr>
          <w:p w14:paraId="12DEE7AD"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w:t>
            </w:r>
          </w:p>
        </w:tc>
        <w:tc>
          <w:tcPr>
            <w:tcW w:w="0" w:type="auto"/>
            <w:tcBorders>
              <w:top w:val="nil"/>
              <w:left w:val="nil"/>
              <w:bottom w:val="nil"/>
              <w:right w:val="nil"/>
            </w:tcBorders>
            <w:shd w:val="clear" w:color="000000" w:fill="FFFFFF"/>
            <w:noWrap/>
            <w:vAlign w:val="bottom"/>
            <w:hideMark/>
          </w:tcPr>
          <w:p w14:paraId="0C6AA3FA"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0.001</w:t>
            </w:r>
          </w:p>
        </w:tc>
        <w:tc>
          <w:tcPr>
            <w:tcW w:w="0" w:type="auto"/>
            <w:tcBorders>
              <w:top w:val="nil"/>
              <w:left w:val="nil"/>
              <w:bottom w:val="nil"/>
              <w:right w:val="nil"/>
            </w:tcBorders>
            <w:shd w:val="clear" w:color="000000" w:fill="FFFFFF"/>
            <w:noWrap/>
            <w:vAlign w:val="bottom"/>
            <w:hideMark/>
          </w:tcPr>
          <w:p w14:paraId="72217646"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w:t>
            </w:r>
          </w:p>
        </w:tc>
        <w:tc>
          <w:tcPr>
            <w:tcW w:w="0" w:type="auto"/>
            <w:tcBorders>
              <w:top w:val="nil"/>
              <w:left w:val="nil"/>
              <w:bottom w:val="nil"/>
              <w:right w:val="nil"/>
            </w:tcBorders>
            <w:shd w:val="clear" w:color="000000" w:fill="FFFFFF"/>
            <w:noWrap/>
            <w:vAlign w:val="bottom"/>
            <w:hideMark/>
          </w:tcPr>
          <w:p w14:paraId="08C34E13"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0.001</w:t>
            </w:r>
          </w:p>
        </w:tc>
        <w:tc>
          <w:tcPr>
            <w:tcW w:w="0" w:type="auto"/>
            <w:tcBorders>
              <w:top w:val="nil"/>
              <w:left w:val="nil"/>
              <w:bottom w:val="nil"/>
              <w:right w:val="nil"/>
            </w:tcBorders>
            <w:shd w:val="clear" w:color="000000" w:fill="FFFFFF"/>
            <w:noWrap/>
            <w:vAlign w:val="bottom"/>
            <w:hideMark/>
          </w:tcPr>
          <w:p w14:paraId="4796DF15"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w:t>
            </w:r>
          </w:p>
        </w:tc>
        <w:tc>
          <w:tcPr>
            <w:tcW w:w="0" w:type="auto"/>
            <w:tcBorders>
              <w:top w:val="nil"/>
              <w:left w:val="nil"/>
              <w:bottom w:val="nil"/>
              <w:right w:val="nil"/>
            </w:tcBorders>
            <w:shd w:val="clear" w:color="000000" w:fill="FFFFFF"/>
            <w:noWrap/>
            <w:vAlign w:val="bottom"/>
            <w:hideMark/>
          </w:tcPr>
          <w:p w14:paraId="01F8FA9B"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0.001</w:t>
            </w:r>
          </w:p>
        </w:tc>
        <w:tc>
          <w:tcPr>
            <w:tcW w:w="0" w:type="auto"/>
            <w:tcBorders>
              <w:top w:val="nil"/>
              <w:left w:val="nil"/>
              <w:bottom w:val="nil"/>
              <w:right w:val="nil"/>
            </w:tcBorders>
            <w:shd w:val="clear" w:color="000000" w:fill="FFFFFF"/>
            <w:noWrap/>
            <w:vAlign w:val="bottom"/>
            <w:hideMark/>
          </w:tcPr>
          <w:p w14:paraId="47B2B4D8"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w:t>
            </w:r>
          </w:p>
        </w:tc>
      </w:tr>
      <w:tr w:rsidR="00CE3EE7" w:rsidRPr="00051C0E" w14:paraId="708291CF" w14:textId="77777777" w:rsidTr="00250E5D">
        <w:trPr>
          <w:trHeight w:val="255"/>
        </w:trPr>
        <w:tc>
          <w:tcPr>
            <w:tcW w:w="0" w:type="auto"/>
            <w:tcBorders>
              <w:top w:val="nil"/>
              <w:left w:val="nil"/>
              <w:bottom w:val="nil"/>
              <w:right w:val="nil"/>
            </w:tcBorders>
            <w:shd w:val="clear" w:color="000000" w:fill="FFFFFF"/>
            <w:noWrap/>
            <w:vAlign w:val="bottom"/>
            <w:hideMark/>
          </w:tcPr>
          <w:p w14:paraId="389339A8" w14:textId="77777777" w:rsidR="00600C34" w:rsidRPr="00051C0E" w:rsidRDefault="00600C34" w:rsidP="00250E5D">
            <w:pPr>
              <w:spacing w:after="0" w:line="240" w:lineRule="auto"/>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0317BD39" w14:textId="77777777" w:rsidR="00600C34" w:rsidRPr="00051C0E" w:rsidRDefault="00600C34" w:rsidP="00250E5D">
            <w:pPr>
              <w:spacing w:after="0" w:line="240" w:lineRule="auto"/>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xml:space="preserve">VC </w:t>
            </w:r>
            <w:r>
              <w:rPr>
                <w:rFonts w:ascii="Times New Roman" w:eastAsia="Times New Roman" w:hAnsi="Times New Roman" w:cs="Times New Roman"/>
                <w:color w:val="000000"/>
                <w:sz w:val="18"/>
                <w:szCs w:val="18"/>
              </w:rPr>
              <w:t xml:space="preserve">firm </w:t>
            </w:r>
            <w:r w:rsidRPr="00051C0E">
              <w:rPr>
                <w:rFonts w:ascii="Times New Roman" w:eastAsia="Times New Roman" w:hAnsi="Times New Roman" w:cs="Times New Roman"/>
                <w:color w:val="000000"/>
                <w:sz w:val="18"/>
                <w:szCs w:val="18"/>
              </w:rPr>
              <w:t>IPO track record</w:t>
            </w:r>
          </w:p>
        </w:tc>
        <w:tc>
          <w:tcPr>
            <w:tcW w:w="0" w:type="auto"/>
            <w:tcBorders>
              <w:top w:val="nil"/>
              <w:left w:val="nil"/>
              <w:bottom w:val="nil"/>
              <w:right w:val="nil"/>
            </w:tcBorders>
            <w:shd w:val="clear" w:color="000000" w:fill="FFFFFF"/>
            <w:noWrap/>
            <w:vAlign w:val="bottom"/>
            <w:hideMark/>
          </w:tcPr>
          <w:p w14:paraId="40C2E95B"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-0.002</w:t>
            </w:r>
          </w:p>
        </w:tc>
        <w:tc>
          <w:tcPr>
            <w:tcW w:w="0" w:type="auto"/>
            <w:tcBorders>
              <w:top w:val="nil"/>
              <w:left w:val="nil"/>
              <w:bottom w:val="nil"/>
              <w:right w:val="nil"/>
            </w:tcBorders>
            <w:shd w:val="clear" w:color="000000" w:fill="FFFFFF"/>
            <w:noWrap/>
            <w:vAlign w:val="bottom"/>
            <w:hideMark/>
          </w:tcPr>
          <w:p w14:paraId="107F2400"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c>
          <w:tcPr>
            <w:tcW w:w="0" w:type="auto"/>
            <w:tcBorders>
              <w:top w:val="nil"/>
              <w:left w:val="nil"/>
              <w:bottom w:val="nil"/>
              <w:right w:val="nil"/>
            </w:tcBorders>
            <w:shd w:val="clear" w:color="000000" w:fill="FFFFFF"/>
            <w:noWrap/>
            <w:vAlign w:val="bottom"/>
            <w:hideMark/>
          </w:tcPr>
          <w:p w14:paraId="7894D99B"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-0.007</w:t>
            </w:r>
          </w:p>
        </w:tc>
        <w:tc>
          <w:tcPr>
            <w:tcW w:w="0" w:type="auto"/>
            <w:tcBorders>
              <w:top w:val="nil"/>
              <w:left w:val="nil"/>
              <w:bottom w:val="nil"/>
              <w:right w:val="nil"/>
            </w:tcBorders>
            <w:shd w:val="clear" w:color="000000" w:fill="FFFFFF"/>
            <w:noWrap/>
            <w:vAlign w:val="bottom"/>
            <w:hideMark/>
          </w:tcPr>
          <w:p w14:paraId="016D05B3"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c>
          <w:tcPr>
            <w:tcW w:w="0" w:type="auto"/>
            <w:tcBorders>
              <w:top w:val="nil"/>
              <w:left w:val="nil"/>
              <w:bottom w:val="nil"/>
              <w:right w:val="nil"/>
            </w:tcBorders>
            <w:shd w:val="clear" w:color="000000" w:fill="FFFFFF"/>
            <w:noWrap/>
            <w:vAlign w:val="bottom"/>
            <w:hideMark/>
          </w:tcPr>
          <w:p w14:paraId="4E805734"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-0.002</w:t>
            </w:r>
          </w:p>
        </w:tc>
        <w:tc>
          <w:tcPr>
            <w:tcW w:w="0" w:type="auto"/>
            <w:tcBorders>
              <w:top w:val="nil"/>
              <w:left w:val="nil"/>
              <w:bottom w:val="nil"/>
              <w:right w:val="nil"/>
            </w:tcBorders>
            <w:shd w:val="clear" w:color="000000" w:fill="FFFFFF"/>
            <w:noWrap/>
            <w:vAlign w:val="bottom"/>
            <w:hideMark/>
          </w:tcPr>
          <w:p w14:paraId="2C9E420E"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c>
          <w:tcPr>
            <w:tcW w:w="0" w:type="auto"/>
            <w:tcBorders>
              <w:top w:val="nil"/>
              <w:left w:val="nil"/>
              <w:bottom w:val="nil"/>
              <w:right w:val="nil"/>
            </w:tcBorders>
            <w:shd w:val="clear" w:color="000000" w:fill="FFFFFF"/>
            <w:noWrap/>
            <w:vAlign w:val="bottom"/>
            <w:hideMark/>
          </w:tcPr>
          <w:p w14:paraId="4E58E20F"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-0.007</w:t>
            </w:r>
          </w:p>
        </w:tc>
        <w:tc>
          <w:tcPr>
            <w:tcW w:w="0" w:type="auto"/>
            <w:tcBorders>
              <w:top w:val="nil"/>
              <w:left w:val="nil"/>
              <w:bottom w:val="nil"/>
              <w:right w:val="nil"/>
            </w:tcBorders>
            <w:shd w:val="clear" w:color="000000" w:fill="FFFFFF"/>
            <w:noWrap/>
            <w:vAlign w:val="bottom"/>
            <w:hideMark/>
          </w:tcPr>
          <w:p w14:paraId="42E54486"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r>
      <w:tr w:rsidR="00CE3EE7" w:rsidRPr="00051C0E" w14:paraId="0798164D" w14:textId="77777777" w:rsidTr="00250E5D">
        <w:trPr>
          <w:trHeight w:val="255"/>
        </w:trPr>
        <w:tc>
          <w:tcPr>
            <w:tcW w:w="0" w:type="auto"/>
            <w:tcBorders>
              <w:top w:val="nil"/>
              <w:left w:val="nil"/>
              <w:bottom w:val="nil"/>
              <w:right w:val="nil"/>
            </w:tcBorders>
            <w:shd w:val="clear" w:color="000000" w:fill="FFFFFF"/>
            <w:noWrap/>
            <w:vAlign w:val="bottom"/>
            <w:hideMark/>
          </w:tcPr>
          <w:p w14:paraId="5C2096D4" w14:textId="77777777" w:rsidR="00600C34" w:rsidRPr="00051C0E" w:rsidRDefault="00600C34" w:rsidP="00250E5D">
            <w:pPr>
              <w:spacing w:after="0" w:line="240" w:lineRule="auto"/>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69471AC1" w14:textId="77777777" w:rsidR="00600C34" w:rsidRPr="00051C0E" w:rsidRDefault="00600C34" w:rsidP="00250E5D">
            <w:pPr>
              <w:spacing w:after="0" w:line="240" w:lineRule="auto"/>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Lead investor</w:t>
            </w:r>
          </w:p>
        </w:tc>
        <w:tc>
          <w:tcPr>
            <w:tcW w:w="0" w:type="auto"/>
            <w:tcBorders>
              <w:top w:val="nil"/>
              <w:left w:val="nil"/>
              <w:bottom w:val="nil"/>
              <w:right w:val="nil"/>
            </w:tcBorders>
            <w:shd w:val="clear" w:color="000000" w:fill="FFFFFF"/>
            <w:noWrap/>
            <w:vAlign w:val="bottom"/>
            <w:hideMark/>
          </w:tcPr>
          <w:p w14:paraId="67DA52D9"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-0.115</w:t>
            </w:r>
          </w:p>
        </w:tc>
        <w:tc>
          <w:tcPr>
            <w:tcW w:w="0" w:type="auto"/>
            <w:tcBorders>
              <w:top w:val="nil"/>
              <w:left w:val="nil"/>
              <w:bottom w:val="nil"/>
              <w:right w:val="nil"/>
            </w:tcBorders>
            <w:shd w:val="clear" w:color="000000" w:fill="FFFFFF"/>
            <w:noWrap/>
            <w:vAlign w:val="bottom"/>
            <w:hideMark/>
          </w:tcPr>
          <w:p w14:paraId="3DA94EE3"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c>
          <w:tcPr>
            <w:tcW w:w="0" w:type="auto"/>
            <w:tcBorders>
              <w:top w:val="nil"/>
              <w:left w:val="nil"/>
              <w:bottom w:val="nil"/>
              <w:right w:val="nil"/>
            </w:tcBorders>
            <w:shd w:val="clear" w:color="000000" w:fill="FFFFFF"/>
            <w:noWrap/>
            <w:vAlign w:val="bottom"/>
            <w:hideMark/>
          </w:tcPr>
          <w:p w14:paraId="23441E34"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-0.156</w:t>
            </w:r>
          </w:p>
        </w:tc>
        <w:tc>
          <w:tcPr>
            <w:tcW w:w="0" w:type="auto"/>
            <w:tcBorders>
              <w:top w:val="nil"/>
              <w:left w:val="nil"/>
              <w:bottom w:val="nil"/>
              <w:right w:val="nil"/>
            </w:tcBorders>
            <w:shd w:val="clear" w:color="000000" w:fill="FFFFFF"/>
            <w:noWrap/>
            <w:vAlign w:val="bottom"/>
            <w:hideMark/>
          </w:tcPr>
          <w:p w14:paraId="07476C2A"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c>
          <w:tcPr>
            <w:tcW w:w="0" w:type="auto"/>
            <w:tcBorders>
              <w:top w:val="nil"/>
              <w:left w:val="nil"/>
              <w:bottom w:val="nil"/>
              <w:right w:val="nil"/>
            </w:tcBorders>
            <w:shd w:val="clear" w:color="000000" w:fill="FFFFFF"/>
            <w:noWrap/>
            <w:vAlign w:val="bottom"/>
            <w:hideMark/>
          </w:tcPr>
          <w:p w14:paraId="5A0D2E5E"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-0.115</w:t>
            </w:r>
          </w:p>
        </w:tc>
        <w:tc>
          <w:tcPr>
            <w:tcW w:w="0" w:type="auto"/>
            <w:tcBorders>
              <w:top w:val="nil"/>
              <w:left w:val="nil"/>
              <w:bottom w:val="nil"/>
              <w:right w:val="nil"/>
            </w:tcBorders>
            <w:shd w:val="clear" w:color="000000" w:fill="FFFFFF"/>
            <w:noWrap/>
            <w:vAlign w:val="bottom"/>
            <w:hideMark/>
          </w:tcPr>
          <w:p w14:paraId="46B8C54F"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c>
          <w:tcPr>
            <w:tcW w:w="0" w:type="auto"/>
            <w:tcBorders>
              <w:top w:val="nil"/>
              <w:left w:val="nil"/>
              <w:bottom w:val="nil"/>
              <w:right w:val="nil"/>
            </w:tcBorders>
            <w:shd w:val="clear" w:color="000000" w:fill="FFFFFF"/>
            <w:noWrap/>
            <w:vAlign w:val="bottom"/>
            <w:hideMark/>
          </w:tcPr>
          <w:p w14:paraId="39763686"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-0.156</w:t>
            </w:r>
          </w:p>
        </w:tc>
        <w:tc>
          <w:tcPr>
            <w:tcW w:w="0" w:type="auto"/>
            <w:tcBorders>
              <w:top w:val="nil"/>
              <w:left w:val="nil"/>
              <w:bottom w:val="nil"/>
              <w:right w:val="nil"/>
            </w:tcBorders>
            <w:shd w:val="clear" w:color="000000" w:fill="FFFFFF"/>
            <w:noWrap/>
            <w:vAlign w:val="bottom"/>
            <w:hideMark/>
          </w:tcPr>
          <w:p w14:paraId="07168FD2"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r>
      <w:tr w:rsidR="00CE3EE7" w:rsidRPr="00051C0E" w14:paraId="02BE315A" w14:textId="77777777" w:rsidTr="00250E5D">
        <w:trPr>
          <w:trHeight w:val="255"/>
        </w:trPr>
        <w:tc>
          <w:tcPr>
            <w:tcW w:w="0" w:type="auto"/>
            <w:gridSpan w:val="2"/>
            <w:tcBorders>
              <w:top w:val="nil"/>
              <w:left w:val="nil"/>
              <w:bottom w:val="nil"/>
              <w:right w:val="nil"/>
            </w:tcBorders>
            <w:shd w:val="clear" w:color="000000" w:fill="FFFFFF"/>
            <w:noWrap/>
            <w:vAlign w:val="bottom"/>
            <w:hideMark/>
          </w:tcPr>
          <w:p w14:paraId="709C457C" w14:textId="77777777" w:rsidR="00600C34" w:rsidRPr="00051C0E" w:rsidRDefault="00600C34" w:rsidP="00250E5D">
            <w:pPr>
              <w:spacing w:after="0" w:line="240" w:lineRule="auto"/>
              <w:rPr>
                <w:rFonts w:ascii="Times New Roman" w:eastAsia="Times New Roman" w:hAnsi="Times New Roman" w:cs="Times New Roman"/>
                <w:i/>
                <w:iCs/>
                <w:color w:val="000000"/>
                <w:sz w:val="18"/>
                <w:szCs w:val="18"/>
              </w:rPr>
            </w:pPr>
            <w:r w:rsidRPr="00051C0E">
              <w:rPr>
                <w:rFonts w:ascii="Times New Roman" w:eastAsia="Times New Roman" w:hAnsi="Times New Roman" w:cs="Times New Roman"/>
                <w:i/>
                <w:iCs/>
                <w:color w:val="000000"/>
                <w:sz w:val="18"/>
                <w:szCs w:val="18"/>
              </w:rPr>
              <w:t xml:space="preserve">Deal characteristics </w:t>
            </w:r>
          </w:p>
        </w:tc>
        <w:tc>
          <w:tcPr>
            <w:tcW w:w="0" w:type="auto"/>
            <w:tcBorders>
              <w:top w:val="nil"/>
              <w:left w:val="nil"/>
              <w:bottom w:val="nil"/>
              <w:right w:val="nil"/>
            </w:tcBorders>
            <w:shd w:val="clear" w:color="000000" w:fill="FFFFFF"/>
            <w:noWrap/>
            <w:vAlign w:val="bottom"/>
            <w:hideMark/>
          </w:tcPr>
          <w:p w14:paraId="3622AB1F"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6B0B8E83"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c>
          <w:tcPr>
            <w:tcW w:w="0" w:type="auto"/>
            <w:tcBorders>
              <w:top w:val="nil"/>
              <w:left w:val="nil"/>
              <w:bottom w:val="nil"/>
              <w:right w:val="nil"/>
            </w:tcBorders>
            <w:shd w:val="clear" w:color="000000" w:fill="FFFFFF"/>
            <w:noWrap/>
            <w:vAlign w:val="bottom"/>
            <w:hideMark/>
          </w:tcPr>
          <w:p w14:paraId="35673805"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53DCD82E"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c>
          <w:tcPr>
            <w:tcW w:w="0" w:type="auto"/>
            <w:tcBorders>
              <w:top w:val="nil"/>
              <w:left w:val="nil"/>
              <w:bottom w:val="nil"/>
              <w:right w:val="nil"/>
            </w:tcBorders>
            <w:shd w:val="clear" w:color="000000" w:fill="FFFFFF"/>
            <w:noWrap/>
            <w:vAlign w:val="bottom"/>
            <w:hideMark/>
          </w:tcPr>
          <w:p w14:paraId="5A5E37AC"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6B8AAEF4"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c>
          <w:tcPr>
            <w:tcW w:w="0" w:type="auto"/>
            <w:tcBorders>
              <w:top w:val="nil"/>
              <w:left w:val="nil"/>
              <w:bottom w:val="nil"/>
              <w:right w:val="nil"/>
            </w:tcBorders>
            <w:shd w:val="clear" w:color="000000" w:fill="FFFFFF"/>
            <w:noWrap/>
            <w:vAlign w:val="bottom"/>
            <w:hideMark/>
          </w:tcPr>
          <w:p w14:paraId="4266AEF1"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78522764"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r>
      <w:tr w:rsidR="00CE3EE7" w:rsidRPr="00051C0E" w14:paraId="524184AB" w14:textId="77777777" w:rsidTr="00250E5D">
        <w:trPr>
          <w:trHeight w:val="255"/>
        </w:trPr>
        <w:tc>
          <w:tcPr>
            <w:tcW w:w="0" w:type="auto"/>
            <w:tcBorders>
              <w:top w:val="nil"/>
              <w:left w:val="nil"/>
              <w:bottom w:val="nil"/>
              <w:right w:val="nil"/>
            </w:tcBorders>
            <w:shd w:val="clear" w:color="000000" w:fill="FFFFFF"/>
            <w:noWrap/>
            <w:vAlign w:val="bottom"/>
            <w:hideMark/>
          </w:tcPr>
          <w:p w14:paraId="5577ED49" w14:textId="77777777" w:rsidR="00600C34" w:rsidRPr="00051C0E" w:rsidRDefault="00600C34" w:rsidP="00250E5D">
            <w:pPr>
              <w:spacing w:after="0" w:line="240" w:lineRule="auto"/>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74D6EE13" w14:textId="77777777" w:rsidR="00600C34" w:rsidRPr="00051C0E" w:rsidRDefault="00600C34" w:rsidP="00250E5D">
            <w:pPr>
              <w:spacing w:after="0" w:line="240" w:lineRule="auto"/>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Distance (LN)</w:t>
            </w:r>
          </w:p>
        </w:tc>
        <w:tc>
          <w:tcPr>
            <w:tcW w:w="0" w:type="auto"/>
            <w:tcBorders>
              <w:top w:val="nil"/>
              <w:left w:val="nil"/>
              <w:bottom w:val="nil"/>
              <w:right w:val="nil"/>
            </w:tcBorders>
            <w:shd w:val="clear" w:color="000000" w:fill="FFFFFF"/>
            <w:noWrap/>
            <w:vAlign w:val="bottom"/>
            <w:hideMark/>
          </w:tcPr>
          <w:p w14:paraId="7478369A"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0.078</w:t>
            </w:r>
          </w:p>
        </w:tc>
        <w:tc>
          <w:tcPr>
            <w:tcW w:w="0" w:type="auto"/>
            <w:tcBorders>
              <w:top w:val="nil"/>
              <w:left w:val="nil"/>
              <w:bottom w:val="nil"/>
              <w:right w:val="nil"/>
            </w:tcBorders>
            <w:shd w:val="clear" w:color="000000" w:fill="FFFFFF"/>
            <w:noWrap/>
            <w:vAlign w:val="bottom"/>
            <w:hideMark/>
          </w:tcPr>
          <w:p w14:paraId="42D39AC5"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w:t>
            </w:r>
          </w:p>
        </w:tc>
        <w:tc>
          <w:tcPr>
            <w:tcW w:w="0" w:type="auto"/>
            <w:tcBorders>
              <w:top w:val="nil"/>
              <w:left w:val="nil"/>
              <w:bottom w:val="nil"/>
              <w:right w:val="nil"/>
            </w:tcBorders>
            <w:shd w:val="clear" w:color="000000" w:fill="FFFFFF"/>
            <w:noWrap/>
            <w:vAlign w:val="bottom"/>
            <w:hideMark/>
          </w:tcPr>
          <w:p w14:paraId="4AE555E7"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-0.001</w:t>
            </w:r>
          </w:p>
        </w:tc>
        <w:tc>
          <w:tcPr>
            <w:tcW w:w="0" w:type="auto"/>
            <w:tcBorders>
              <w:top w:val="nil"/>
              <w:left w:val="nil"/>
              <w:bottom w:val="nil"/>
              <w:right w:val="nil"/>
            </w:tcBorders>
            <w:shd w:val="clear" w:color="000000" w:fill="FFFFFF"/>
            <w:noWrap/>
            <w:vAlign w:val="bottom"/>
            <w:hideMark/>
          </w:tcPr>
          <w:p w14:paraId="5B1D4CB1"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c>
          <w:tcPr>
            <w:tcW w:w="0" w:type="auto"/>
            <w:tcBorders>
              <w:top w:val="nil"/>
              <w:left w:val="nil"/>
              <w:bottom w:val="nil"/>
              <w:right w:val="nil"/>
            </w:tcBorders>
            <w:shd w:val="clear" w:color="000000" w:fill="FFFFFF"/>
            <w:noWrap/>
            <w:vAlign w:val="bottom"/>
            <w:hideMark/>
          </w:tcPr>
          <w:p w14:paraId="0E1410F9"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0.078</w:t>
            </w:r>
          </w:p>
        </w:tc>
        <w:tc>
          <w:tcPr>
            <w:tcW w:w="0" w:type="auto"/>
            <w:tcBorders>
              <w:top w:val="nil"/>
              <w:left w:val="nil"/>
              <w:bottom w:val="nil"/>
              <w:right w:val="nil"/>
            </w:tcBorders>
            <w:shd w:val="clear" w:color="000000" w:fill="FFFFFF"/>
            <w:noWrap/>
            <w:vAlign w:val="bottom"/>
            <w:hideMark/>
          </w:tcPr>
          <w:p w14:paraId="32DBDECC"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w:t>
            </w:r>
          </w:p>
        </w:tc>
        <w:tc>
          <w:tcPr>
            <w:tcW w:w="0" w:type="auto"/>
            <w:tcBorders>
              <w:top w:val="nil"/>
              <w:left w:val="nil"/>
              <w:bottom w:val="nil"/>
              <w:right w:val="nil"/>
            </w:tcBorders>
            <w:shd w:val="clear" w:color="000000" w:fill="FFFFFF"/>
            <w:noWrap/>
            <w:vAlign w:val="bottom"/>
            <w:hideMark/>
          </w:tcPr>
          <w:p w14:paraId="37FF16BF"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-0.001</w:t>
            </w:r>
          </w:p>
        </w:tc>
        <w:tc>
          <w:tcPr>
            <w:tcW w:w="0" w:type="auto"/>
            <w:tcBorders>
              <w:top w:val="nil"/>
              <w:left w:val="nil"/>
              <w:bottom w:val="nil"/>
              <w:right w:val="nil"/>
            </w:tcBorders>
            <w:shd w:val="clear" w:color="000000" w:fill="FFFFFF"/>
            <w:noWrap/>
            <w:vAlign w:val="bottom"/>
            <w:hideMark/>
          </w:tcPr>
          <w:p w14:paraId="501860AC"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r>
      <w:tr w:rsidR="00CE3EE7" w:rsidRPr="00051C0E" w14:paraId="7D5C44BF" w14:textId="77777777" w:rsidTr="00250E5D">
        <w:trPr>
          <w:trHeight w:val="255"/>
        </w:trPr>
        <w:tc>
          <w:tcPr>
            <w:tcW w:w="0" w:type="auto"/>
            <w:tcBorders>
              <w:top w:val="nil"/>
              <w:left w:val="nil"/>
              <w:bottom w:val="nil"/>
              <w:right w:val="nil"/>
            </w:tcBorders>
            <w:shd w:val="clear" w:color="000000" w:fill="FFFFFF"/>
            <w:noWrap/>
            <w:vAlign w:val="bottom"/>
            <w:hideMark/>
          </w:tcPr>
          <w:p w14:paraId="368B7A53" w14:textId="77777777" w:rsidR="00600C34" w:rsidRPr="00051C0E" w:rsidRDefault="00600C34" w:rsidP="00250E5D">
            <w:pPr>
              <w:spacing w:after="0" w:line="240" w:lineRule="auto"/>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1FE092B4" w14:textId="77777777" w:rsidR="00600C34" w:rsidRPr="00051C0E" w:rsidRDefault="00600C34" w:rsidP="00250E5D">
            <w:pPr>
              <w:spacing w:after="0" w:line="240" w:lineRule="auto"/>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Cumulative amount invested</w:t>
            </w:r>
          </w:p>
        </w:tc>
        <w:tc>
          <w:tcPr>
            <w:tcW w:w="0" w:type="auto"/>
            <w:tcBorders>
              <w:top w:val="nil"/>
              <w:left w:val="nil"/>
              <w:bottom w:val="nil"/>
              <w:right w:val="nil"/>
            </w:tcBorders>
            <w:shd w:val="clear" w:color="000000" w:fill="FFFFFF"/>
            <w:noWrap/>
            <w:vAlign w:val="bottom"/>
            <w:hideMark/>
          </w:tcPr>
          <w:p w14:paraId="0568C0FC"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0.010</w:t>
            </w:r>
          </w:p>
        </w:tc>
        <w:tc>
          <w:tcPr>
            <w:tcW w:w="0" w:type="auto"/>
            <w:tcBorders>
              <w:top w:val="nil"/>
              <w:left w:val="nil"/>
              <w:bottom w:val="nil"/>
              <w:right w:val="nil"/>
            </w:tcBorders>
            <w:shd w:val="clear" w:color="000000" w:fill="FFFFFF"/>
            <w:noWrap/>
            <w:vAlign w:val="bottom"/>
            <w:hideMark/>
          </w:tcPr>
          <w:p w14:paraId="1EC042DD"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c>
          <w:tcPr>
            <w:tcW w:w="0" w:type="auto"/>
            <w:tcBorders>
              <w:top w:val="nil"/>
              <w:left w:val="nil"/>
              <w:bottom w:val="nil"/>
              <w:right w:val="nil"/>
            </w:tcBorders>
            <w:shd w:val="clear" w:color="000000" w:fill="FFFFFF"/>
            <w:noWrap/>
            <w:vAlign w:val="bottom"/>
            <w:hideMark/>
          </w:tcPr>
          <w:p w14:paraId="50D1DE6B"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-0.005</w:t>
            </w:r>
          </w:p>
        </w:tc>
        <w:tc>
          <w:tcPr>
            <w:tcW w:w="0" w:type="auto"/>
            <w:tcBorders>
              <w:top w:val="nil"/>
              <w:left w:val="nil"/>
              <w:bottom w:val="nil"/>
              <w:right w:val="nil"/>
            </w:tcBorders>
            <w:shd w:val="clear" w:color="000000" w:fill="FFFFFF"/>
            <w:noWrap/>
            <w:vAlign w:val="bottom"/>
            <w:hideMark/>
          </w:tcPr>
          <w:p w14:paraId="1E4E8950"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c>
          <w:tcPr>
            <w:tcW w:w="0" w:type="auto"/>
            <w:tcBorders>
              <w:top w:val="nil"/>
              <w:left w:val="nil"/>
              <w:bottom w:val="nil"/>
              <w:right w:val="nil"/>
            </w:tcBorders>
            <w:shd w:val="clear" w:color="000000" w:fill="FFFFFF"/>
            <w:noWrap/>
            <w:vAlign w:val="bottom"/>
            <w:hideMark/>
          </w:tcPr>
          <w:p w14:paraId="45F67EC1"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0.010</w:t>
            </w:r>
          </w:p>
        </w:tc>
        <w:tc>
          <w:tcPr>
            <w:tcW w:w="0" w:type="auto"/>
            <w:tcBorders>
              <w:top w:val="nil"/>
              <w:left w:val="nil"/>
              <w:bottom w:val="nil"/>
              <w:right w:val="nil"/>
            </w:tcBorders>
            <w:shd w:val="clear" w:color="000000" w:fill="FFFFFF"/>
            <w:noWrap/>
            <w:vAlign w:val="bottom"/>
            <w:hideMark/>
          </w:tcPr>
          <w:p w14:paraId="1C6990E6"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c>
          <w:tcPr>
            <w:tcW w:w="0" w:type="auto"/>
            <w:tcBorders>
              <w:top w:val="nil"/>
              <w:left w:val="nil"/>
              <w:bottom w:val="nil"/>
              <w:right w:val="nil"/>
            </w:tcBorders>
            <w:shd w:val="clear" w:color="000000" w:fill="FFFFFF"/>
            <w:noWrap/>
            <w:vAlign w:val="bottom"/>
            <w:hideMark/>
          </w:tcPr>
          <w:p w14:paraId="18E898C8"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0.005</w:t>
            </w:r>
          </w:p>
        </w:tc>
        <w:tc>
          <w:tcPr>
            <w:tcW w:w="0" w:type="auto"/>
            <w:tcBorders>
              <w:top w:val="nil"/>
              <w:left w:val="nil"/>
              <w:bottom w:val="nil"/>
              <w:right w:val="nil"/>
            </w:tcBorders>
            <w:shd w:val="clear" w:color="000000" w:fill="FFFFFF"/>
            <w:noWrap/>
            <w:vAlign w:val="bottom"/>
            <w:hideMark/>
          </w:tcPr>
          <w:p w14:paraId="2E39E03D"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r>
      <w:tr w:rsidR="00CE3EE7" w:rsidRPr="00051C0E" w14:paraId="731DE9E7" w14:textId="77777777" w:rsidTr="00250E5D">
        <w:trPr>
          <w:trHeight w:val="255"/>
        </w:trPr>
        <w:tc>
          <w:tcPr>
            <w:tcW w:w="0" w:type="auto"/>
            <w:tcBorders>
              <w:top w:val="nil"/>
              <w:left w:val="nil"/>
              <w:bottom w:val="nil"/>
              <w:right w:val="nil"/>
            </w:tcBorders>
            <w:shd w:val="clear" w:color="000000" w:fill="FFFFFF"/>
            <w:noWrap/>
            <w:vAlign w:val="bottom"/>
            <w:hideMark/>
          </w:tcPr>
          <w:p w14:paraId="57C64341" w14:textId="77777777" w:rsidR="00600C34" w:rsidRPr="00051C0E" w:rsidRDefault="00600C34" w:rsidP="00250E5D">
            <w:pPr>
              <w:spacing w:after="0" w:line="240" w:lineRule="auto"/>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6C0EF5CB" w14:textId="77777777" w:rsidR="00600C34" w:rsidRPr="00051C0E" w:rsidRDefault="00600C34" w:rsidP="00250E5D">
            <w:pPr>
              <w:spacing w:after="0" w:line="240" w:lineRule="auto"/>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VC</w:t>
            </w:r>
            <w:r>
              <w:rPr>
                <w:rFonts w:ascii="Times New Roman" w:eastAsia="Times New Roman" w:hAnsi="Times New Roman" w:cs="Times New Roman"/>
                <w:color w:val="000000"/>
                <w:sz w:val="18"/>
                <w:szCs w:val="18"/>
              </w:rPr>
              <w:t xml:space="preserve"> firm</w:t>
            </w:r>
            <w:r w:rsidRPr="00051C0E">
              <w:rPr>
                <w:rFonts w:ascii="Times New Roman" w:eastAsia="Times New Roman" w:hAnsi="Times New Roman" w:cs="Times New Roman"/>
                <w:color w:val="000000"/>
                <w:sz w:val="18"/>
                <w:szCs w:val="18"/>
              </w:rPr>
              <w:t xml:space="preserve"> entry round</w:t>
            </w:r>
          </w:p>
        </w:tc>
        <w:tc>
          <w:tcPr>
            <w:tcW w:w="0" w:type="auto"/>
            <w:tcBorders>
              <w:top w:val="nil"/>
              <w:left w:val="nil"/>
              <w:bottom w:val="nil"/>
              <w:right w:val="nil"/>
            </w:tcBorders>
            <w:shd w:val="clear" w:color="000000" w:fill="FFFFFF"/>
            <w:noWrap/>
            <w:vAlign w:val="bottom"/>
            <w:hideMark/>
          </w:tcPr>
          <w:p w14:paraId="14F85D24"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0.304</w:t>
            </w:r>
          </w:p>
        </w:tc>
        <w:tc>
          <w:tcPr>
            <w:tcW w:w="0" w:type="auto"/>
            <w:tcBorders>
              <w:top w:val="nil"/>
              <w:left w:val="nil"/>
              <w:bottom w:val="nil"/>
              <w:right w:val="nil"/>
            </w:tcBorders>
            <w:shd w:val="clear" w:color="000000" w:fill="FFFFFF"/>
            <w:noWrap/>
            <w:vAlign w:val="bottom"/>
            <w:hideMark/>
          </w:tcPr>
          <w:p w14:paraId="1719F33D"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w:t>
            </w:r>
          </w:p>
        </w:tc>
        <w:tc>
          <w:tcPr>
            <w:tcW w:w="0" w:type="auto"/>
            <w:tcBorders>
              <w:top w:val="nil"/>
              <w:left w:val="nil"/>
              <w:bottom w:val="nil"/>
              <w:right w:val="nil"/>
            </w:tcBorders>
            <w:shd w:val="clear" w:color="000000" w:fill="FFFFFF"/>
            <w:noWrap/>
            <w:vAlign w:val="bottom"/>
            <w:hideMark/>
          </w:tcPr>
          <w:p w14:paraId="599537BC"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0.107</w:t>
            </w:r>
          </w:p>
        </w:tc>
        <w:tc>
          <w:tcPr>
            <w:tcW w:w="0" w:type="auto"/>
            <w:tcBorders>
              <w:top w:val="nil"/>
              <w:left w:val="nil"/>
              <w:bottom w:val="nil"/>
              <w:right w:val="nil"/>
            </w:tcBorders>
            <w:shd w:val="clear" w:color="000000" w:fill="FFFFFF"/>
            <w:noWrap/>
            <w:vAlign w:val="bottom"/>
            <w:hideMark/>
          </w:tcPr>
          <w:p w14:paraId="4C881990"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c>
          <w:tcPr>
            <w:tcW w:w="0" w:type="auto"/>
            <w:tcBorders>
              <w:top w:val="nil"/>
              <w:left w:val="nil"/>
              <w:bottom w:val="nil"/>
              <w:right w:val="nil"/>
            </w:tcBorders>
            <w:shd w:val="clear" w:color="000000" w:fill="FFFFFF"/>
            <w:noWrap/>
            <w:vAlign w:val="bottom"/>
            <w:hideMark/>
          </w:tcPr>
          <w:p w14:paraId="1C49833B"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0.304</w:t>
            </w:r>
          </w:p>
        </w:tc>
        <w:tc>
          <w:tcPr>
            <w:tcW w:w="0" w:type="auto"/>
            <w:tcBorders>
              <w:top w:val="nil"/>
              <w:left w:val="nil"/>
              <w:bottom w:val="nil"/>
              <w:right w:val="nil"/>
            </w:tcBorders>
            <w:shd w:val="clear" w:color="000000" w:fill="FFFFFF"/>
            <w:noWrap/>
            <w:vAlign w:val="bottom"/>
            <w:hideMark/>
          </w:tcPr>
          <w:p w14:paraId="4B3C20B6"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w:t>
            </w:r>
          </w:p>
        </w:tc>
        <w:tc>
          <w:tcPr>
            <w:tcW w:w="0" w:type="auto"/>
            <w:tcBorders>
              <w:top w:val="nil"/>
              <w:left w:val="nil"/>
              <w:bottom w:val="nil"/>
              <w:right w:val="nil"/>
            </w:tcBorders>
            <w:shd w:val="clear" w:color="000000" w:fill="FFFFFF"/>
            <w:noWrap/>
            <w:vAlign w:val="bottom"/>
            <w:hideMark/>
          </w:tcPr>
          <w:p w14:paraId="5CBFBB62"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0.107</w:t>
            </w:r>
          </w:p>
        </w:tc>
        <w:tc>
          <w:tcPr>
            <w:tcW w:w="0" w:type="auto"/>
            <w:tcBorders>
              <w:top w:val="nil"/>
              <w:left w:val="nil"/>
              <w:bottom w:val="nil"/>
              <w:right w:val="nil"/>
            </w:tcBorders>
            <w:shd w:val="clear" w:color="000000" w:fill="FFFFFF"/>
            <w:noWrap/>
            <w:vAlign w:val="bottom"/>
            <w:hideMark/>
          </w:tcPr>
          <w:p w14:paraId="42849391"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r>
      <w:tr w:rsidR="00CE3EE7" w:rsidRPr="00051C0E" w14:paraId="5616E080" w14:textId="77777777" w:rsidTr="00250E5D">
        <w:trPr>
          <w:trHeight w:val="255"/>
        </w:trPr>
        <w:tc>
          <w:tcPr>
            <w:tcW w:w="0" w:type="auto"/>
            <w:tcBorders>
              <w:top w:val="nil"/>
              <w:left w:val="nil"/>
              <w:bottom w:val="nil"/>
              <w:right w:val="nil"/>
            </w:tcBorders>
            <w:shd w:val="clear" w:color="000000" w:fill="FFFFFF"/>
            <w:noWrap/>
            <w:vAlign w:val="bottom"/>
            <w:hideMark/>
          </w:tcPr>
          <w:p w14:paraId="5DA34704" w14:textId="77777777" w:rsidR="00600C34" w:rsidRPr="00051C0E" w:rsidRDefault="00600C34" w:rsidP="00250E5D">
            <w:pPr>
              <w:spacing w:after="0" w:line="240" w:lineRule="auto"/>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5BE84748" w14:textId="77777777" w:rsidR="00600C34" w:rsidRPr="00051C0E" w:rsidRDefault="00600C34" w:rsidP="00250E5D">
            <w:pPr>
              <w:spacing w:after="0" w:line="240" w:lineRule="auto"/>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Syndication size</w:t>
            </w:r>
          </w:p>
        </w:tc>
        <w:tc>
          <w:tcPr>
            <w:tcW w:w="0" w:type="auto"/>
            <w:tcBorders>
              <w:top w:val="nil"/>
              <w:left w:val="nil"/>
              <w:bottom w:val="nil"/>
              <w:right w:val="nil"/>
            </w:tcBorders>
            <w:shd w:val="clear" w:color="000000" w:fill="FFFFFF"/>
            <w:noWrap/>
            <w:vAlign w:val="bottom"/>
            <w:hideMark/>
          </w:tcPr>
          <w:p w14:paraId="79038565"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-0.004</w:t>
            </w:r>
          </w:p>
        </w:tc>
        <w:tc>
          <w:tcPr>
            <w:tcW w:w="0" w:type="auto"/>
            <w:tcBorders>
              <w:top w:val="nil"/>
              <w:left w:val="nil"/>
              <w:bottom w:val="nil"/>
              <w:right w:val="nil"/>
            </w:tcBorders>
            <w:shd w:val="clear" w:color="000000" w:fill="FFFFFF"/>
            <w:noWrap/>
            <w:vAlign w:val="bottom"/>
            <w:hideMark/>
          </w:tcPr>
          <w:p w14:paraId="172177A5"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c>
          <w:tcPr>
            <w:tcW w:w="0" w:type="auto"/>
            <w:tcBorders>
              <w:top w:val="nil"/>
              <w:left w:val="nil"/>
              <w:bottom w:val="nil"/>
              <w:right w:val="nil"/>
            </w:tcBorders>
            <w:shd w:val="clear" w:color="000000" w:fill="FFFFFF"/>
            <w:noWrap/>
            <w:vAlign w:val="bottom"/>
            <w:hideMark/>
          </w:tcPr>
          <w:p w14:paraId="79F7A378"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-0.133</w:t>
            </w:r>
          </w:p>
        </w:tc>
        <w:tc>
          <w:tcPr>
            <w:tcW w:w="0" w:type="auto"/>
            <w:tcBorders>
              <w:top w:val="nil"/>
              <w:left w:val="nil"/>
              <w:bottom w:val="nil"/>
              <w:right w:val="nil"/>
            </w:tcBorders>
            <w:shd w:val="clear" w:color="000000" w:fill="FFFFFF"/>
            <w:noWrap/>
            <w:vAlign w:val="bottom"/>
            <w:hideMark/>
          </w:tcPr>
          <w:p w14:paraId="2C472B14"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w:t>
            </w:r>
          </w:p>
        </w:tc>
        <w:tc>
          <w:tcPr>
            <w:tcW w:w="0" w:type="auto"/>
            <w:tcBorders>
              <w:top w:val="nil"/>
              <w:left w:val="nil"/>
              <w:bottom w:val="nil"/>
              <w:right w:val="nil"/>
            </w:tcBorders>
            <w:shd w:val="clear" w:color="000000" w:fill="FFFFFF"/>
            <w:noWrap/>
            <w:vAlign w:val="bottom"/>
            <w:hideMark/>
          </w:tcPr>
          <w:p w14:paraId="414C7B1A"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-0.004</w:t>
            </w:r>
          </w:p>
        </w:tc>
        <w:tc>
          <w:tcPr>
            <w:tcW w:w="0" w:type="auto"/>
            <w:tcBorders>
              <w:top w:val="nil"/>
              <w:left w:val="nil"/>
              <w:bottom w:val="nil"/>
              <w:right w:val="nil"/>
            </w:tcBorders>
            <w:shd w:val="clear" w:color="000000" w:fill="FFFFFF"/>
            <w:noWrap/>
            <w:vAlign w:val="bottom"/>
            <w:hideMark/>
          </w:tcPr>
          <w:p w14:paraId="2E1B704F"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c>
          <w:tcPr>
            <w:tcW w:w="0" w:type="auto"/>
            <w:tcBorders>
              <w:top w:val="nil"/>
              <w:left w:val="nil"/>
              <w:bottom w:val="nil"/>
              <w:right w:val="nil"/>
            </w:tcBorders>
            <w:shd w:val="clear" w:color="000000" w:fill="FFFFFF"/>
            <w:noWrap/>
            <w:vAlign w:val="bottom"/>
            <w:hideMark/>
          </w:tcPr>
          <w:p w14:paraId="6DB054B2"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-0.133</w:t>
            </w:r>
          </w:p>
        </w:tc>
        <w:tc>
          <w:tcPr>
            <w:tcW w:w="0" w:type="auto"/>
            <w:tcBorders>
              <w:top w:val="nil"/>
              <w:left w:val="nil"/>
              <w:bottom w:val="nil"/>
              <w:right w:val="nil"/>
            </w:tcBorders>
            <w:shd w:val="clear" w:color="000000" w:fill="FFFFFF"/>
            <w:noWrap/>
            <w:vAlign w:val="bottom"/>
            <w:hideMark/>
          </w:tcPr>
          <w:p w14:paraId="20AE343E"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w:t>
            </w:r>
          </w:p>
        </w:tc>
      </w:tr>
      <w:tr w:rsidR="00CE3EE7" w:rsidRPr="00051C0E" w14:paraId="18202302" w14:textId="77777777" w:rsidTr="00250E5D">
        <w:trPr>
          <w:trHeight w:val="255"/>
        </w:trPr>
        <w:tc>
          <w:tcPr>
            <w:tcW w:w="0" w:type="auto"/>
            <w:tcBorders>
              <w:top w:val="nil"/>
              <w:left w:val="nil"/>
              <w:bottom w:val="nil"/>
              <w:right w:val="nil"/>
            </w:tcBorders>
            <w:shd w:val="clear" w:color="000000" w:fill="FFFFFF"/>
            <w:noWrap/>
            <w:vAlign w:val="bottom"/>
            <w:hideMark/>
          </w:tcPr>
          <w:p w14:paraId="46AF6E42" w14:textId="77777777" w:rsidR="00600C34" w:rsidRPr="00051C0E" w:rsidRDefault="00600C34" w:rsidP="00250E5D">
            <w:pPr>
              <w:spacing w:after="0" w:line="240" w:lineRule="auto"/>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5325B90F" w14:textId="77777777" w:rsidR="00600C34" w:rsidRPr="00051C0E" w:rsidRDefault="00600C34" w:rsidP="00250E5D">
            <w:pPr>
              <w:spacing w:after="0" w:line="240" w:lineRule="auto"/>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Mixed syndicate</w:t>
            </w:r>
          </w:p>
        </w:tc>
        <w:tc>
          <w:tcPr>
            <w:tcW w:w="0" w:type="auto"/>
            <w:tcBorders>
              <w:top w:val="nil"/>
              <w:left w:val="nil"/>
              <w:bottom w:val="nil"/>
              <w:right w:val="nil"/>
            </w:tcBorders>
            <w:shd w:val="clear" w:color="000000" w:fill="FFFFFF"/>
            <w:noWrap/>
            <w:vAlign w:val="bottom"/>
            <w:hideMark/>
          </w:tcPr>
          <w:p w14:paraId="6939618B"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0.208</w:t>
            </w:r>
          </w:p>
        </w:tc>
        <w:tc>
          <w:tcPr>
            <w:tcW w:w="0" w:type="auto"/>
            <w:tcBorders>
              <w:top w:val="nil"/>
              <w:left w:val="nil"/>
              <w:bottom w:val="nil"/>
              <w:right w:val="nil"/>
            </w:tcBorders>
            <w:shd w:val="clear" w:color="000000" w:fill="FFFFFF"/>
            <w:noWrap/>
            <w:vAlign w:val="bottom"/>
            <w:hideMark/>
          </w:tcPr>
          <w:p w14:paraId="595FFD51"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c>
          <w:tcPr>
            <w:tcW w:w="0" w:type="auto"/>
            <w:tcBorders>
              <w:top w:val="nil"/>
              <w:left w:val="nil"/>
              <w:bottom w:val="nil"/>
              <w:right w:val="nil"/>
            </w:tcBorders>
            <w:shd w:val="clear" w:color="000000" w:fill="FFFFFF"/>
            <w:noWrap/>
            <w:vAlign w:val="bottom"/>
            <w:hideMark/>
          </w:tcPr>
          <w:p w14:paraId="5285F4E0"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0.506</w:t>
            </w:r>
          </w:p>
        </w:tc>
        <w:tc>
          <w:tcPr>
            <w:tcW w:w="0" w:type="auto"/>
            <w:tcBorders>
              <w:top w:val="nil"/>
              <w:left w:val="nil"/>
              <w:bottom w:val="nil"/>
              <w:right w:val="nil"/>
            </w:tcBorders>
            <w:shd w:val="clear" w:color="000000" w:fill="FFFFFF"/>
            <w:noWrap/>
            <w:vAlign w:val="bottom"/>
            <w:hideMark/>
          </w:tcPr>
          <w:p w14:paraId="78101727"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w:t>
            </w:r>
          </w:p>
        </w:tc>
        <w:tc>
          <w:tcPr>
            <w:tcW w:w="0" w:type="auto"/>
            <w:tcBorders>
              <w:top w:val="nil"/>
              <w:left w:val="nil"/>
              <w:bottom w:val="nil"/>
              <w:right w:val="nil"/>
            </w:tcBorders>
            <w:shd w:val="clear" w:color="000000" w:fill="FFFFFF"/>
            <w:noWrap/>
            <w:vAlign w:val="bottom"/>
            <w:hideMark/>
          </w:tcPr>
          <w:p w14:paraId="1C5534F2"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0.208</w:t>
            </w:r>
          </w:p>
        </w:tc>
        <w:tc>
          <w:tcPr>
            <w:tcW w:w="0" w:type="auto"/>
            <w:tcBorders>
              <w:top w:val="nil"/>
              <w:left w:val="nil"/>
              <w:bottom w:val="nil"/>
              <w:right w:val="nil"/>
            </w:tcBorders>
            <w:shd w:val="clear" w:color="000000" w:fill="FFFFFF"/>
            <w:noWrap/>
            <w:vAlign w:val="bottom"/>
            <w:hideMark/>
          </w:tcPr>
          <w:p w14:paraId="0BDCF279"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c>
          <w:tcPr>
            <w:tcW w:w="0" w:type="auto"/>
            <w:tcBorders>
              <w:top w:val="nil"/>
              <w:left w:val="nil"/>
              <w:bottom w:val="nil"/>
              <w:right w:val="nil"/>
            </w:tcBorders>
            <w:shd w:val="clear" w:color="000000" w:fill="FFFFFF"/>
            <w:noWrap/>
            <w:vAlign w:val="bottom"/>
            <w:hideMark/>
          </w:tcPr>
          <w:p w14:paraId="364EB52B"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0.506</w:t>
            </w:r>
          </w:p>
        </w:tc>
        <w:tc>
          <w:tcPr>
            <w:tcW w:w="0" w:type="auto"/>
            <w:tcBorders>
              <w:top w:val="nil"/>
              <w:left w:val="nil"/>
              <w:bottom w:val="nil"/>
              <w:right w:val="nil"/>
            </w:tcBorders>
            <w:shd w:val="clear" w:color="000000" w:fill="FFFFFF"/>
            <w:noWrap/>
            <w:vAlign w:val="bottom"/>
            <w:hideMark/>
          </w:tcPr>
          <w:p w14:paraId="048908B8"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w:t>
            </w:r>
          </w:p>
        </w:tc>
      </w:tr>
      <w:tr w:rsidR="00CE3EE7" w:rsidRPr="00051C0E" w14:paraId="45683201" w14:textId="77777777" w:rsidTr="00250E5D">
        <w:trPr>
          <w:trHeight w:val="255"/>
        </w:trPr>
        <w:tc>
          <w:tcPr>
            <w:tcW w:w="0" w:type="auto"/>
            <w:gridSpan w:val="2"/>
            <w:tcBorders>
              <w:top w:val="nil"/>
              <w:left w:val="nil"/>
              <w:bottom w:val="nil"/>
              <w:right w:val="nil"/>
            </w:tcBorders>
            <w:shd w:val="clear" w:color="000000" w:fill="FFFFFF"/>
            <w:noWrap/>
            <w:vAlign w:val="bottom"/>
            <w:hideMark/>
          </w:tcPr>
          <w:p w14:paraId="23EBC4FE" w14:textId="77777777" w:rsidR="00600C34" w:rsidRPr="00051C0E" w:rsidRDefault="00600C34" w:rsidP="00250E5D">
            <w:pPr>
              <w:spacing w:after="0" w:line="240" w:lineRule="auto"/>
              <w:rPr>
                <w:rFonts w:ascii="Times New Roman" w:eastAsia="Times New Roman" w:hAnsi="Times New Roman" w:cs="Times New Roman"/>
                <w:i/>
                <w:iCs/>
                <w:color w:val="000000"/>
                <w:sz w:val="18"/>
                <w:szCs w:val="18"/>
              </w:rPr>
            </w:pPr>
            <w:r w:rsidRPr="00051C0E">
              <w:rPr>
                <w:rFonts w:ascii="Times New Roman" w:eastAsia="Times New Roman" w:hAnsi="Times New Roman" w:cs="Times New Roman"/>
                <w:i/>
                <w:iCs/>
                <w:color w:val="000000"/>
                <w:sz w:val="18"/>
                <w:szCs w:val="18"/>
              </w:rPr>
              <w:t>Market conditions</w:t>
            </w:r>
          </w:p>
        </w:tc>
        <w:tc>
          <w:tcPr>
            <w:tcW w:w="0" w:type="auto"/>
            <w:tcBorders>
              <w:top w:val="nil"/>
              <w:left w:val="nil"/>
              <w:bottom w:val="nil"/>
              <w:right w:val="nil"/>
            </w:tcBorders>
            <w:shd w:val="clear" w:color="000000" w:fill="FFFFFF"/>
            <w:noWrap/>
            <w:vAlign w:val="bottom"/>
            <w:hideMark/>
          </w:tcPr>
          <w:p w14:paraId="26F0FFC5"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0690E496"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c>
          <w:tcPr>
            <w:tcW w:w="0" w:type="auto"/>
            <w:tcBorders>
              <w:top w:val="nil"/>
              <w:left w:val="nil"/>
              <w:bottom w:val="nil"/>
              <w:right w:val="nil"/>
            </w:tcBorders>
            <w:shd w:val="clear" w:color="000000" w:fill="FFFFFF"/>
            <w:noWrap/>
            <w:vAlign w:val="bottom"/>
            <w:hideMark/>
          </w:tcPr>
          <w:p w14:paraId="7F9E14EC"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6E95980B"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c>
          <w:tcPr>
            <w:tcW w:w="0" w:type="auto"/>
            <w:tcBorders>
              <w:top w:val="nil"/>
              <w:left w:val="nil"/>
              <w:bottom w:val="nil"/>
              <w:right w:val="nil"/>
            </w:tcBorders>
            <w:shd w:val="clear" w:color="000000" w:fill="FFFFFF"/>
            <w:noWrap/>
            <w:vAlign w:val="bottom"/>
            <w:hideMark/>
          </w:tcPr>
          <w:p w14:paraId="7BF6D701"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47A328B0"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c>
          <w:tcPr>
            <w:tcW w:w="0" w:type="auto"/>
            <w:tcBorders>
              <w:top w:val="nil"/>
              <w:left w:val="nil"/>
              <w:bottom w:val="nil"/>
              <w:right w:val="nil"/>
            </w:tcBorders>
            <w:shd w:val="clear" w:color="000000" w:fill="FFFFFF"/>
            <w:noWrap/>
            <w:vAlign w:val="bottom"/>
            <w:hideMark/>
          </w:tcPr>
          <w:p w14:paraId="595CD45C"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594BA0E4"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r>
      <w:tr w:rsidR="00CE3EE7" w:rsidRPr="00051C0E" w14:paraId="7983CC04" w14:textId="77777777" w:rsidTr="00250E5D">
        <w:trPr>
          <w:trHeight w:val="255"/>
        </w:trPr>
        <w:tc>
          <w:tcPr>
            <w:tcW w:w="0" w:type="auto"/>
            <w:tcBorders>
              <w:top w:val="nil"/>
              <w:left w:val="nil"/>
              <w:bottom w:val="nil"/>
              <w:right w:val="nil"/>
            </w:tcBorders>
            <w:shd w:val="clear" w:color="000000" w:fill="FFFFFF"/>
            <w:noWrap/>
            <w:vAlign w:val="bottom"/>
            <w:hideMark/>
          </w:tcPr>
          <w:p w14:paraId="49532EC6" w14:textId="77777777" w:rsidR="00600C34" w:rsidRPr="00051C0E" w:rsidRDefault="00600C34" w:rsidP="00250E5D">
            <w:pPr>
              <w:spacing w:after="0" w:line="240" w:lineRule="auto"/>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173636AD" w14:textId="77777777" w:rsidR="00600C34" w:rsidRPr="00051C0E" w:rsidRDefault="00600C34" w:rsidP="00250E5D">
            <w:pPr>
              <w:spacing w:after="0" w:line="240" w:lineRule="auto"/>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IPO market conditions</w:t>
            </w:r>
          </w:p>
        </w:tc>
        <w:tc>
          <w:tcPr>
            <w:tcW w:w="0" w:type="auto"/>
            <w:tcBorders>
              <w:top w:val="nil"/>
              <w:left w:val="nil"/>
              <w:bottom w:val="nil"/>
              <w:right w:val="nil"/>
            </w:tcBorders>
            <w:shd w:val="clear" w:color="000000" w:fill="FFFFFF"/>
            <w:noWrap/>
            <w:vAlign w:val="bottom"/>
            <w:hideMark/>
          </w:tcPr>
          <w:p w14:paraId="15DC4F09"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0.002</w:t>
            </w:r>
          </w:p>
        </w:tc>
        <w:tc>
          <w:tcPr>
            <w:tcW w:w="0" w:type="auto"/>
            <w:tcBorders>
              <w:top w:val="nil"/>
              <w:left w:val="nil"/>
              <w:bottom w:val="nil"/>
              <w:right w:val="nil"/>
            </w:tcBorders>
            <w:shd w:val="clear" w:color="000000" w:fill="FFFFFF"/>
            <w:noWrap/>
            <w:vAlign w:val="bottom"/>
            <w:hideMark/>
          </w:tcPr>
          <w:p w14:paraId="3FD0CAFC"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w:t>
            </w:r>
          </w:p>
        </w:tc>
        <w:tc>
          <w:tcPr>
            <w:tcW w:w="0" w:type="auto"/>
            <w:tcBorders>
              <w:top w:val="nil"/>
              <w:left w:val="nil"/>
              <w:bottom w:val="nil"/>
              <w:right w:val="nil"/>
            </w:tcBorders>
            <w:shd w:val="clear" w:color="000000" w:fill="FFFFFF"/>
            <w:noWrap/>
            <w:vAlign w:val="bottom"/>
            <w:hideMark/>
          </w:tcPr>
          <w:p w14:paraId="480800A9"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0.003</w:t>
            </w:r>
          </w:p>
        </w:tc>
        <w:tc>
          <w:tcPr>
            <w:tcW w:w="0" w:type="auto"/>
            <w:tcBorders>
              <w:top w:val="nil"/>
              <w:left w:val="nil"/>
              <w:bottom w:val="nil"/>
              <w:right w:val="nil"/>
            </w:tcBorders>
            <w:shd w:val="clear" w:color="000000" w:fill="FFFFFF"/>
            <w:noWrap/>
            <w:vAlign w:val="bottom"/>
            <w:hideMark/>
          </w:tcPr>
          <w:p w14:paraId="760E286F"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w:t>
            </w:r>
          </w:p>
        </w:tc>
        <w:tc>
          <w:tcPr>
            <w:tcW w:w="0" w:type="auto"/>
            <w:tcBorders>
              <w:top w:val="nil"/>
              <w:left w:val="nil"/>
              <w:bottom w:val="nil"/>
              <w:right w:val="nil"/>
            </w:tcBorders>
            <w:shd w:val="clear" w:color="000000" w:fill="FFFFFF"/>
            <w:noWrap/>
            <w:vAlign w:val="bottom"/>
            <w:hideMark/>
          </w:tcPr>
          <w:p w14:paraId="183230C0"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0.002</w:t>
            </w:r>
          </w:p>
        </w:tc>
        <w:tc>
          <w:tcPr>
            <w:tcW w:w="0" w:type="auto"/>
            <w:tcBorders>
              <w:top w:val="nil"/>
              <w:left w:val="nil"/>
              <w:bottom w:val="nil"/>
              <w:right w:val="nil"/>
            </w:tcBorders>
            <w:shd w:val="clear" w:color="000000" w:fill="FFFFFF"/>
            <w:noWrap/>
            <w:vAlign w:val="bottom"/>
            <w:hideMark/>
          </w:tcPr>
          <w:p w14:paraId="5884E421"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w:t>
            </w:r>
          </w:p>
        </w:tc>
        <w:tc>
          <w:tcPr>
            <w:tcW w:w="0" w:type="auto"/>
            <w:tcBorders>
              <w:top w:val="nil"/>
              <w:left w:val="nil"/>
              <w:bottom w:val="nil"/>
              <w:right w:val="nil"/>
            </w:tcBorders>
            <w:shd w:val="clear" w:color="000000" w:fill="FFFFFF"/>
            <w:noWrap/>
            <w:vAlign w:val="bottom"/>
            <w:hideMark/>
          </w:tcPr>
          <w:p w14:paraId="7D30B088"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0.003</w:t>
            </w:r>
          </w:p>
        </w:tc>
        <w:tc>
          <w:tcPr>
            <w:tcW w:w="0" w:type="auto"/>
            <w:tcBorders>
              <w:top w:val="nil"/>
              <w:left w:val="nil"/>
              <w:bottom w:val="nil"/>
              <w:right w:val="nil"/>
            </w:tcBorders>
            <w:shd w:val="clear" w:color="000000" w:fill="FFFFFF"/>
            <w:noWrap/>
            <w:vAlign w:val="bottom"/>
            <w:hideMark/>
          </w:tcPr>
          <w:p w14:paraId="4FF15CD9"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w:t>
            </w:r>
          </w:p>
        </w:tc>
      </w:tr>
      <w:tr w:rsidR="00CE3EE7" w:rsidRPr="00051C0E" w14:paraId="4BB137C6" w14:textId="77777777" w:rsidTr="00250E5D">
        <w:trPr>
          <w:trHeight w:val="255"/>
        </w:trPr>
        <w:tc>
          <w:tcPr>
            <w:tcW w:w="0" w:type="auto"/>
            <w:gridSpan w:val="2"/>
            <w:tcBorders>
              <w:top w:val="nil"/>
              <w:left w:val="nil"/>
              <w:bottom w:val="nil"/>
              <w:right w:val="nil"/>
            </w:tcBorders>
            <w:shd w:val="clear" w:color="000000" w:fill="FFFFFF"/>
            <w:noWrap/>
            <w:vAlign w:val="bottom"/>
            <w:hideMark/>
          </w:tcPr>
          <w:p w14:paraId="5036B7D4" w14:textId="77777777" w:rsidR="00600C34" w:rsidRPr="00051C0E" w:rsidRDefault="00600C34" w:rsidP="00250E5D">
            <w:pPr>
              <w:spacing w:after="0" w:line="240" w:lineRule="auto"/>
              <w:rPr>
                <w:rFonts w:ascii="Times New Roman" w:eastAsia="Times New Roman" w:hAnsi="Times New Roman" w:cs="Times New Roman"/>
                <w:i/>
                <w:iCs/>
                <w:color w:val="000000"/>
                <w:sz w:val="18"/>
                <w:szCs w:val="18"/>
              </w:rPr>
            </w:pPr>
            <w:r w:rsidRPr="00051C0E">
              <w:rPr>
                <w:rFonts w:ascii="Times New Roman" w:eastAsia="Times New Roman" w:hAnsi="Times New Roman" w:cs="Times New Roman"/>
                <w:i/>
                <w:iCs/>
                <w:color w:val="000000"/>
                <w:sz w:val="18"/>
                <w:szCs w:val="18"/>
              </w:rPr>
              <w:t xml:space="preserve">Other </w:t>
            </w:r>
          </w:p>
        </w:tc>
        <w:tc>
          <w:tcPr>
            <w:tcW w:w="0" w:type="auto"/>
            <w:tcBorders>
              <w:top w:val="nil"/>
              <w:left w:val="nil"/>
              <w:bottom w:val="nil"/>
              <w:right w:val="nil"/>
            </w:tcBorders>
            <w:shd w:val="clear" w:color="000000" w:fill="FFFFFF"/>
            <w:noWrap/>
            <w:vAlign w:val="bottom"/>
            <w:hideMark/>
          </w:tcPr>
          <w:p w14:paraId="5E371BF3" w14:textId="77777777" w:rsidR="00600C34" w:rsidRPr="00051C0E" w:rsidRDefault="00600C34" w:rsidP="00250E5D">
            <w:pPr>
              <w:spacing w:after="0" w:line="240" w:lineRule="auto"/>
              <w:jc w:val="right"/>
              <w:rPr>
                <w:rFonts w:ascii="Times New Roman" w:eastAsia="Times New Roman" w:hAnsi="Times New Roman" w:cs="Times New Roman"/>
                <w:i/>
                <w:iCs/>
                <w:color w:val="000000"/>
                <w:sz w:val="18"/>
                <w:szCs w:val="18"/>
              </w:rPr>
            </w:pPr>
            <w:r w:rsidRPr="00051C0E">
              <w:rPr>
                <w:rFonts w:ascii="Times New Roman" w:eastAsia="Times New Roman" w:hAnsi="Times New Roman" w:cs="Times New Roman"/>
                <w:i/>
                <w:iCs/>
                <w:color w:val="000000"/>
                <w:sz w:val="18"/>
                <w:szCs w:val="18"/>
              </w:rPr>
              <w:t> </w:t>
            </w:r>
          </w:p>
        </w:tc>
        <w:tc>
          <w:tcPr>
            <w:tcW w:w="0" w:type="auto"/>
            <w:tcBorders>
              <w:top w:val="nil"/>
              <w:left w:val="nil"/>
              <w:bottom w:val="nil"/>
              <w:right w:val="nil"/>
            </w:tcBorders>
            <w:shd w:val="clear" w:color="000000" w:fill="FFFFFF"/>
            <w:noWrap/>
            <w:vAlign w:val="bottom"/>
            <w:hideMark/>
          </w:tcPr>
          <w:p w14:paraId="0338349D" w14:textId="77777777" w:rsidR="00600C34" w:rsidRPr="00051C0E" w:rsidRDefault="00600C34" w:rsidP="00250E5D">
            <w:pPr>
              <w:spacing w:after="0" w:line="240" w:lineRule="auto"/>
              <w:rPr>
                <w:rFonts w:ascii="Times New Roman" w:eastAsia="Times New Roman" w:hAnsi="Times New Roman" w:cs="Times New Roman"/>
                <w:i/>
                <w:iCs/>
                <w:color w:val="000000"/>
                <w:sz w:val="16"/>
                <w:szCs w:val="16"/>
              </w:rPr>
            </w:pPr>
            <w:r w:rsidRPr="00051C0E">
              <w:rPr>
                <w:rFonts w:ascii="Times New Roman" w:eastAsia="Times New Roman" w:hAnsi="Times New Roman" w:cs="Times New Roman"/>
                <w:i/>
                <w:iCs/>
                <w:color w:val="000000"/>
                <w:sz w:val="16"/>
                <w:szCs w:val="16"/>
              </w:rPr>
              <w:t> </w:t>
            </w:r>
          </w:p>
        </w:tc>
        <w:tc>
          <w:tcPr>
            <w:tcW w:w="0" w:type="auto"/>
            <w:tcBorders>
              <w:top w:val="nil"/>
              <w:left w:val="nil"/>
              <w:bottom w:val="nil"/>
              <w:right w:val="nil"/>
            </w:tcBorders>
            <w:shd w:val="clear" w:color="000000" w:fill="FFFFFF"/>
            <w:noWrap/>
            <w:vAlign w:val="bottom"/>
            <w:hideMark/>
          </w:tcPr>
          <w:p w14:paraId="1E471DC4" w14:textId="77777777" w:rsidR="00600C34" w:rsidRPr="00051C0E" w:rsidRDefault="00600C34" w:rsidP="00250E5D">
            <w:pPr>
              <w:spacing w:after="0" w:line="240" w:lineRule="auto"/>
              <w:jc w:val="right"/>
              <w:rPr>
                <w:rFonts w:ascii="Times New Roman" w:eastAsia="Times New Roman" w:hAnsi="Times New Roman" w:cs="Times New Roman"/>
                <w:i/>
                <w:iCs/>
                <w:color w:val="000000"/>
                <w:sz w:val="18"/>
                <w:szCs w:val="18"/>
              </w:rPr>
            </w:pPr>
            <w:r w:rsidRPr="00051C0E">
              <w:rPr>
                <w:rFonts w:ascii="Times New Roman" w:eastAsia="Times New Roman" w:hAnsi="Times New Roman" w:cs="Times New Roman"/>
                <w:i/>
                <w:iCs/>
                <w:color w:val="000000"/>
                <w:sz w:val="18"/>
                <w:szCs w:val="18"/>
              </w:rPr>
              <w:t> </w:t>
            </w:r>
          </w:p>
        </w:tc>
        <w:tc>
          <w:tcPr>
            <w:tcW w:w="0" w:type="auto"/>
            <w:tcBorders>
              <w:top w:val="nil"/>
              <w:left w:val="nil"/>
              <w:bottom w:val="nil"/>
              <w:right w:val="nil"/>
            </w:tcBorders>
            <w:shd w:val="clear" w:color="000000" w:fill="FFFFFF"/>
            <w:noWrap/>
            <w:vAlign w:val="bottom"/>
            <w:hideMark/>
          </w:tcPr>
          <w:p w14:paraId="294D9A8F" w14:textId="77777777" w:rsidR="00600C34" w:rsidRPr="00051C0E" w:rsidRDefault="00600C34" w:rsidP="00250E5D">
            <w:pPr>
              <w:spacing w:after="0" w:line="240" w:lineRule="auto"/>
              <w:rPr>
                <w:rFonts w:ascii="Times New Roman" w:eastAsia="Times New Roman" w:hAnsi="Times New Roman" w:cs="Times New Roman"/>
                <w:i/>
                <w:iCs/>
                <w:color w:val="000000"/>
                <w:sz w:val="16"/>
                <w:szCs w:val="16"/>
              </w:rPr>
            </w:pPr>
            <w:r w:rsidRPr="00051C0E">
              <w:rPr>
                <w:rFonts w:ascii="Times New Roman" w:eastAsia="Times New Roman" w:hAnsi="Times New Roman" w:cs="Times New Roman"/>
                <w:i/>
                <w:iCs/>
                <w:color w:val="000000"/>
                <w:sz w:val="16"/>
                <w:szCs w:val="16"/>
              </w:rPr>
              <w:t> </w:t>
            </w:r>
          </w:p>
        </w:tc>
        <w:tc>
          <w:tcPr>
            <w:tcW w:w="0" w:type="auto"/>
            <w:tcBorders>
              <w:top w:val="nil"/>
              <w:left w:val="nil"/>
              <w:bottom w:val="nil"/>
              <w:right w:val="nil"/>
            </w:tcBorders>
            <w:shd w:val="clear" w:color="000000" w:fill="FFFFFF"/>
            <w:noWrap/>
            <w:vAlign w:val="bottom"/>
            <w:hideMark/>
          </w:tcPr>
          <w:p w14:paraId="212F2CD4" w14:textId="77777777" w:rsidR="00600C34" w:rsidRPr="00051C0E" w:rsidRDefault="00600C34" w:rsidP="00250E5D">
            <w:pPr>
              <w:spacing w:after="0" w:line="240" w:lineRule="auto"/>
              <w:jc w:val="right"/>
              <w:rPr>
                <w:rFonts w:ascii="Times New Roman" w:eastAsia="Times New Roman" w:hAnsi="Times New Roman" w:cs="Times New Roman"/>
                <w:i/>
                <w:iCs/>
                <w:color w:val="000000"/>
                <w:sz w:val="18"/>
                <w:szCs w:val="18"/>
              </w:rPr>
            </w:pPr>
            <w:r w:rsidRPr="00051C0E">
              <w:rPr>
                <w:rFonts w:ascii="Times New Roman" w:eastAsia="Times New Roman" w:hAnsi="Times New Roman" w:cs="Times New Roman"/>
                <w:i/>
                <w:iCs/>
                <w:color w:val="000000"/>
                <w:sz w:val="18"/>
                <w:szCs w:val="18"/>
              </w:rPr>
              <w:t> </w:t>
            </w:r>
          </w:p>
        </w:tc>
        <w:tc>
          <w:tcPr>
            <w:tcW w:w="0" w:type="auto"/>
            <w:tcBorders>
              <w:top w:val="nil"/>
              <w:left w:val="nil"/>
              <w:bottom w:val="nil"/>
              <w:right w:val="nil"/>
            </w:tcBorders>
            <w:shd w:val="clear" w:color="000000" w:fill="FFFFFF"/>
            <w:noWrap/>
            <w:vAlign w:val="bottom"/>
            <w:hideMark/>
          </w:tcPr>
          <w:p w14:paraId="29D7826E" w14:textId="77777777" w:rsidR="00600C34" w:rsidRPr="00051C0E" w:rsidRDefault="00600C34" w:rsidP="00250E5D">
            <w:pPr>
              <w:spacing w:after="0" w:line="240" w:lineRule="auto"/>
              <w:rPr>
                <w:rFonts w:ascii="Times New Roman" w:eastAsia="Times New Roman" w:hAnsi="Times New Roman" w:cs="Times New Roman"/>
                <w:i/>
                <w:iCs/>
                <w:color w:val="000000"/>
                <w:sz w:val="16"/>
                <w:szCs w:val="16"/>
              </w:rPr>
            </w:pPr>
            <w:r w:rsidRPr="00051C0E">
              <w:rPr>
                <w:rFonts w:ascii="Times New Roman" w:eastAsia="Times New Roman" w:hAnsi="Times New Roman" w:cs="Times New Roman"/>
                <w:i/>
                <w:iCs/>
                <w:color w:val="000000"/>
                <w:sz w:val="16"/>
                <w:szCs w:val="16"/>
              </w:rPr>
              <w:t> </w:t>
            </w:r>
          </w:p>
        </w:tc>
        <w:tc>
          <w:tcPr>
            <w:tcW w:w="0" w:type="auto"/>
            <w:tcBorders>
              <w:top w:val="nil"/>
              <w:left w:val="nil"/>
              <w:bottom w:val="nil"/>
              <w:right w:val="nil"/>
            </w:tcBorders>
            <w:shd w:val="clear" w:color="000000" w:fill="FFFFFF"/>
            <w:noWrap/>
            <w:vAlign w:val="bottom"/>
            <w:hideMark/>
          </w:tcPr>
          <w:p w14:paraId="4BB37F64" w14:textId="77777777" w:rsidR="00600C34" w:rsidRPr="00051C0E" w:rsidRDefault="00600C34" w:rsidP="00250E5D">
            <w:pPr>
              <w:spacing w:after="0" w:line="240" w:lineRule="auto"/>
              <w:jc w:val="right"/>
              <w:rPr>
                <w:rFonts w:ascii="Times New Roman" w:eastAsia="Times New Roman" w:hAnsi="Times New Roman" w:cs="Times New Roman"/>
                <w:i/>
                <w:iCs/>
                <w:color w:val="000000"/>
                <w:sz w:val="18"/>
                <w:szCs w:val="18"/>
              </w:rPr>
            </w:pPr>
            <w:r w:rsidRPr="00051C0E">
              <w:rPr>
                <w:rFonts w:ascii="Times New Roman" w:eastAsia="Times New Roman" w:hAnsi="Times New Roman" w:cs="Times New Roman"/>
                <w:i/>
                <w:iCs/>
                <w:color w:val="000000"/>
                <w:sz w:val="18"/>
                <w:szCs w:val="18"/>
              </w:rPr>
              <w:t> </w:t>
            </w:r>
          </w:p>
        </w:tc>
        <w:tc>
          <w:tcPr>
            <w:tcW w:w="0" w:type="auto"/>
            <w:tcBorders>
              <w:top w:val="nil"/>
              <w:left w:val="nil"/>
              <w:bottom w:val="nil"/>
              <w:right w:val="nil"/>
            </w:tcBorders>
            <w:shd w:val="clear" w:color="000000" w:fill="FFFFFF"/>
            <w:noWrap/>
            <w:vAlign w:val="bottom"/>
            <w:hideMark/>
          </w:tcPr>
          <w:p w14:paraId="402AF978" w14:textId="77777777" w:rsidR="00600C34" w:rsidRPr="00051C0E" w:rsidRDefault="00600C34" w:rsidP="00250E5D">
            <w:pPr>
              <w:spacing w:after="0" w:line="240" w:lineRule="auto"/>
              <w:rPr>
                <w:rFonts w:ascii="Times New Roman" w:eastAsia="Times New Roman" w:hAnsi="Times New Roman" w:cs="Times New Roman"/>
                <w:i/>
                <w:iCs/>
                <w:color w:val="000000"/>
                <w:sz w:val="16"/>
                <w:szCs w:val="16"/>
              </w:rPr>
            </w:pPr>
            <w:r w:rsidRPr="00051C0E">
              <w:rPr>
                <w:rFonts w:ascii="Times New Roman" w:eastAsia="Times New Roman" w:hAnsi="Times New Roman" w:cs="Times New Roman"/>
                <w:i/>
                <w:iCs/>
                <w:color w:val="000000"/>
                <w:sz w:val="16"/>
                <w:szCs w:val="16"/>
              </w:rPr>
              <w:t> </w:t>
            </w:r>
          </w:p>
        </w:tc>
      </w:tr>
      <w:tr w:rsidR="00CE3EE7" w:rsidRPr="00051C0E" w14:paraId="41B457A9" w14:textId="77777777" w:rsidTr="00250E5D">
        <w:trPr>
          <w:trHeight w:val="255"/>
        </w:trPr>
        <w:tc>
          <w:tcPr>
            <w:tcW w:w="0" w:type="auto"/>
            <w:tcBorders>
              <w:top w:val="nil"/>
              <w:left w:val="nil"/>
              <w:bottom w:val="nil"/>
              <w:right w:val="nil"/>
            </w:tcBorders>
            <w:shd w:val="clear" w:color="000000" w:fill="FFFFFF"/>
            <w:noWrap/>
            <w:vAlign w:val="bottom"/>
            <w:hideMark/>
          </w:tcPr>
          <w:p w14:paraId="68B59632" w14:textId="77777777" w:rsidR="00600C34" w:rsidRPr="00051C0E" w:rsidRDefault="00600C34" w:rsidP="00250E5D">
            <w:pPr>
              <w:spacing w:after="0" w:line="240" w:lineRule="auto"/>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194FF241" w14:textId="77777777" w:rsidR="00600C34" w:rsidRPr="00051C0E" w:rsidRDefault="00600C34" w:rsidP="00250E5D">
            <w:pPr>
              <w:spacing w:after="0" w:line="240" w:lineRule="auto"/>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Investor entry stage</w:t>
            </w:r>
          </w:p>
        </w:tc>
        <w:tc>
          <w:tcPr>
            <w:tcW w:w="0" w:type="auto"/>
            <w:gridSpan w:val="2"/>
            <w:tcBorders>
              <w:top w:val="nil"/>
              <w:left w:val="nil"/>
              <w:bottom w:val="nil"/>
              <w:right w:val="nil"/>
            </w:tcBorders>
            <w:shd w:val="clear" w:color="000000" w:fill="FFFFFF"/>
            <w:noWrap/>
            <w:vAlign w:val="bottom"/>
            <w:hideMark/>
          </w:tcPr>
          <w:p w14:paraId="2B0D6548" w14:textId="77777777" w:rsidR="00600C34" w:rsidRPr="00051C0E" w:rsidRDefault="00600C34" w:rsidP="00250E5D">
            <w:pPr>
              <w:spacing w:after="0" w:line="240" w:lineRule="auto"/>
              <w:jc w:val="center"/>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x</w:t>
            </w:r>
          </w:p>
        </w:tc>
        <w:tc>
          <w:tcPr>
            <w:tcW w:w="0" w:type="auto"/>
            <w:gridSpan w:val="2"/>
            <w:tcBorders>
              <w:top w:val="nil"/>
              <w:left w:val="nil"/>
              <w:bottom w:val="nil"/>
              <w:right w:val="nil"/>
            </w:tcBorders>
            <w:shd w:val="clear" w:color="000000" w:fill="FFFFFF"/>
            <w:noWrap/>
            <w:vAlign w:val="bottom"/>
            <w:hideMark/>
          </w:tcPr>
          <w:p w14:paraId="3BF34171" w14:textId="77777777" w:rsidR="00600C34" w:rsidRPr="00051C0E" w:rsidRDefault="00600C34" w:rsidP="00250E5D">
            <w:pPr>
              <w:spacing w:after="0" w:line="240" w:lineRule="auto"/>
              <w:jc w:val="center"/>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x</w:t>
            </w:r>
          </w:p>
        </w:tc>
        <w:tc>
          <w:tcPr>
            <w:tcW w:w="0" w:type="auto"/>
            <w:gridSpan w:val="2"/>
            <w:tcBorders>
              <w:top w:val="nil"/>
              <w:left w:val="nil"/>
              <w:bottom w:val="nil"/>
              <w:right w:val="nil"/>
            </w:tcBorders>
            <w:shd w:val="clear" w:color="000000" w:fill="FFFFFF"/>
            <w:noWrap/>
            <w:vAlign w:val="bottom"/>
            <w:hideMark/>
          </w:tcPr>
          <w:p w14:paraId="7E224E0F" w14:textId="30BD9535" w:rsidR="00600C34" w:rsidRPr="00051C0E" w:rsidRDefault="001C7CEF" w:rsidP="00250E5D">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0" w:type="auto"/>
            <w:gridSpan w:val="2"/>
            <w:tcBorders>
              <w:top w:val="nil"/>
              <w:left w:val="nil"/>
              <w:bottom w:val="nil"/>
              <w:right w:val="nil"/>
            </w:tcBorders>
            <w:shd w:val="clear" w:color="000000" w:fill="FFFFFF"/>
            <w:noWrap/>
            <w:vAlign w:val="bottom"/>
            <w:hideMark/>
          </w:tcPr>
          <w:p w14:paraId="051996A1" w14:textId="7411D78F" w:rsidR="00600C34" w:rsidRPr="00051C0E" w:rsidRDefault="001C7CEF" w:rsidP="00250E5D">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r>
      <w:tr w:rsidR="00CE3EE7" w:rsidRPr="00051C0E" w14:paraId="362D75D3" w14:textId="77777777" w:rsidTr="00250E5D">
        <w:trPr>
          <w:trHeight w:val="255"/>
        </w:trPr>
        <w:tc>
          <w:tcPr>
            <w:tcW w:w="0" w:type="auto"/>
            <w:tcBorders>
              <w:top w:val="nil"/>
              <w:left w:val="nil"/>
              <w:bottom w:val="nil"/>
              <w:right w:val="nil"/>
            </w:tcBorders>
            <w:shd w:val="clear" w:color="000000" w:fill="FFFFFF"/>
            <w:noWrap/>
            <w:vAlign w:val="bottom"/>
            <w:hideMark/>
          </w:tcPr>
          <w:p w14:paraId="3E93B893" w14:textId="77777777" w:rsidR="00600C34" w:rsidRPr="00051C0E" w:rsidRDefault="00600C34" w:rsidP="00250E5D">
            <w:pPr>
              <w:spacing w:after="0" w:line="240" w:lineRule="auto"/>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441CB27F" w14:textId="77777777" w:rsidR="00600C34" w:rsidRPr="00051C0E" w:rsidRDefault="00600C34" w:rsidP="00250E5D">
            <w:pPr>
              <w:spacing w:after="0" w:line="240" w:lineRule="auto"/>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First investment year</w:t>
            </w:r>
          </w:p>
        </w:tc>
        <w:tc>
          <w:tcPr>
            <w:tcW w:w="0" w:type="auto"/>
            <w:gridSpan w:val="2"/>
            <w:tcBorders>
              <w:top w:val="nil"/>
              <w:left w:val="nil"/>
              <w:bottom w:val="nil"/>
              <w:right w:val="nil"/>
            </w:tcBorders>
            <w:shd w:val="clear" w:color="000000" w:fill="FFFFFF"/>
            <w:noWrap/>
            <w:vAlign w:val="bottom"/>
            <w:hideMark/>
          </w:tcPr>
          <w:p w14:paraId="1BF89CD6" w14:textId="77777777" w:rsidR="00600C34" w:rsidRPr="00051C0E" w:rsidRDefault="00600C34" w:rsidP="00250E5D">
            <w:pPr>
              <w:spacing w:after="0" w:line="240" w:lineRule="auto"/>
              <w:jc w:val="center"/>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x</w:t>
            </w:r>
          </w:p>
        </w:tc>
        <w:tc>
          <w:tcPr>
            <w:tcW w:w="0" w:type="auto"/>
            <w:gridSpan w:val="2"/>
            <w:tcBorders>
              <w:top w:val="nil"/>
              <w:left w:val="nil"/>
              <w:bottom w:val="nil"/>
              <w:right w:val="nil"/>
            </w:tcBorders>
            <w:shd w:val="clear" w:color="000000" w:fill="FFFFFF"/>
            <w:noWrap/>
            <w:vAlign w:val="bottom"/>
            <w:hideMark/>
          </w:tcPr>
          <w:p w14:paraId="2BA58A65" w14:textId="77777777" w:rsidR="00600C34" w:rsidRPr="00051C0E" w:rsidRDefault="00600C34" w:rsidP="00250E5D">
            <w:pPr>
              <w:spacing w:after="0" w:line="240" w:lineRule="auto"/>
              <w:jc w:val="center"/>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x</w:t>
            </w:r>
          </w:p>
        </w:tc>
        <w:tc>
          <w:tcPr>
            <w:tcW w:w="0" w:type="auto"/>
            <w:gridSpan w:val="2"/>
            <w:tcBorders>
              <w:top w:val="nil"/>
              <w:left w:val="nil"/>
              <w:bottom w:val="nil"/>
              <w:right w:val="nil"/>
            </w:tcBorders>
            <w:shd w:val="clear" w:color="000000" w:fill="FFFFFF"/>
            <w:noWrap/>
            <w:vAlign w:val="bottom"/>
            <w:hideMark/>
          </w:tcPr>
          <w:p w14:paraId="08BB1791" w14:textId="6B8789D3" w:rsidR="00600C34" w:rsidRPr="00051C0E" w:rsidRDefault="001C7CEF" w:rsidP="00250E5D">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0" w:type="auto"/>
            <w:gridSpan w:val="2"/>
            <w:tcBorders>
              <w:top w:val="nil"/>
              <w:left w:val="nil"/>
              <w:bottom w:val="nil"/>
              <w:right w:val="nil"/>
            </w:tcBorders>
            <w:shd w:val="clear" w:color="000000" w:fill="FFFFFF"/>
            <w:noWrap/>
            <w:vAlign w:val="bottom"/>
            <w:hideMark/>
          </w:tcPr>
          <w:p w14:paraId="0C83C51C" w14:textId="77777777" w:rsidR="00600C34" w:rsidRPr="00051C0E" w:rsidRDefault="00600C34" w:rsidP="00250E5D">
            <w:pPr>
              <w:spacing w:after="0" w:line="240" w:lineRule="auto"/>
              <w:jc w:val="center"/>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x</w:t>
            </w:r>
          </w:p>
        </w:tc>
      </w:tr>
      <w:tr w:rsidR="00CE3EE7" w:rsidRPr="00051C0E" w14:paraId="05E80513" w14:textId="77777777" w:rsidTr="00250E5D">
        <w:trPr>
          <w:trHeight w:val="255"/>
        </w:trPr>
        <w:tc>
          <w:tcPr>
            <w:tcW w:w="0" w:type="auto"/>
            <w:tcBorders>
              <w:top w:val="nil"/>
              <w:left w:val="nil"/>
              <w:bottom w:val="nil"/>
              <w:right w:val="nil"/>
            </w:tcBorders>
            <w:shd w:val="clear" w:color="000000" w:fill="FFFFFF"/>
            <w:noWrap/>
            <w:vAlign w:val="bottom"/>
            <w:hideMark/>
          </w:tcPr>
          <w:p w14:paraId="090DF167" w14:textId="77777777" w:rsidR="00600C34" w:rsidRPr="00051C0E" w:rsidRDefault="00600C34" w:rsidP="00250E5D">
            <w:pPr>
              <w:spacing w:after="0" w:line="240" w:lineRule="auto"/>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76F2B669" w14:textId="77777777" w:rsidR="00600C34" w:rsidRPr="00051C0E" w:rsidRDefault="00600C34" w:rsidP="00250E5D">
            <w:pPr>
              <w:spacing w:after="0" w:line="240" w:lineRule="auto"/>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Portfolio company industry</w:t>
            </w:r>
          </w:p>
        </w:tc>
        <w:tc>
          <w:tcPr>
            <w:tcW w:w="0" w:type="auto"/>
            <w:gridSpan w:val="2"/>
            <w:tcBorders>
              <w:top w:val="nil"/>
              <w:left w:val="nil"/>
              <w:bottom w:val="nil"/>
              <w:right w:val="nil"/>
            </w:tcBorders>
            <w:shd w:val="clear" w:color="000000" w:fill="FFFFFF"/>
            <w:noWrap/>
            <w:vAlign w:val="bottom"/>
            <w:hideMark/>
          </w:tcPr>
          <w:p w14:paraId="584CCA9C" w14:textId="77777777" w:rsidR="00600C34" w:rsidRPr="00051C0E" w:rsidRDefault="00600C34" w:rsidP="00250E5D">
            <w:pPr>
              <w:spacing w:after="0" w:line="240" w:lineRule="auto"/>
              <w:jc w:val="center"/>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x</w:t>
            </w:r>
          </w:p>
        </w:tc>
        <w:tc>
          <w:tcPr>
            <w:tcW w:w="0" w:type="auto"/>
            <w:gridSpan w:val="2"/>
            <w:tcBorders>
              <w:top w:val="nil"/>
              <w:left w:val="nil"/>
              <w:bottom w:val="nil"/>
              <w:right w:val="nil"/>
            </w:tcBorders>
            <w:shd w:val="clear" w:color="000000" w:fill="FFFFFF"/>
            <w:noWrap/>
            <w:vAlign w:val="bottom"/>
            <w:hideMark/>
          </w:tcPr>
          <w:p w14:paraId="1505B53D" w14:textId="77777777" w:rsidR="00600C34" w:rsidRPr="00051C0E" w:rsidRDefault="00600C34" w:rsidP="00250E5D">
            <w:pPr>
              <w:spacing w:after="0" w:line="240" w:lineRule="auto"/>
              <w:jc w:val="center"/>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x</w:t>
            </w:r>
          </w:p>
        </w:tc>
        <w:tc>
          <w:tcPr>
            <w:tcW w:w="0" w:type="auto"/>
            <w:gridSpan w:val="2"/>
            <w:tcBorders>
              <w:top w:val="nil"/>
              <w:left w:val="nil"/>
              <w:bottom w:val="nil"/>
              <w:right w:val="nil"/>
            </w:tcBorders>
            <w:shd w:val="clear" w:color="000000" w:fill="FFFFFF"/>
            <w:noWrap/>
            <w:vAlign w:val="bottom"/>
            <w:hideMark/>
          </w:tcPr>
          <w:p w14:paraId="1706B496" w14:textId="49BF4DAD" w:rsidR="00600C34" w:rsidRPr="00051C0E" w:rsidRDefault="001C7CEF" w:rsidP="00250E5D">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0" w:type="auto"/>
            <w:gridSpan w:val="2"/>
            <w:tcBorders>
              <w:top w:val="nil"/>
              <w:left w:val="nil"/>
              <w:bottom w:val="nil"/>
              <w:right w:val="nil"/>
            </w:tcBorders>
            <w:shd w:val="clear" w:color="000000" w:fill="FFFFFF"/>
            <w:noWrap/>
            <w:vAlign w:val="bottom"/>
            <w:hideMark/>
          </w:tcPr>
          <w:p w14:paraId="774AA6A5" w14:textId="77777777" w:rsidR="00600C34" w:rsidRPr="00051C0E" w:rsidRDefault="00600C34" w:rsidP="00250E5D">
            <w:pPr>
              <w:spacing w:after="0" w:line="240" w:lineRule="auto"/>
              <w:jc w:val="center"/>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x</w:t>
            </w:r>
          </w:p>
        </w:tc>
      </w:tr>
      <w:tr w:rsidR="00CE3EE7" w:rsidRPr="00051C0E" w14:paraId="64158A33" w14:textId="77777777" w:rsidTr="00250E5D">
        <w:trPr>
          <w:trHeight w:val="255"/>
        </w:trPr>
        <w:tc>
          <w:tcPr>
            <w:tcW w:w="0" w:type="auto"/>
            <w:tcBorders>
              <w:top w:val="nil"/>
              <w:left w:val="nil"/>
              <w:bottom w:val="nil"/>
              <w:right w:val="nil"/>
            </w:tcBorders>
            <w:shd w:val="clear" w:color="000000" w:fill="FFFFFF"/>
            <w:noWrap/>
            <w:vAlign w:val="bottom"/>
            <w:hideMark/>
          </w:tcPr>
          <w:p w14:paraId="31176A91" w14:textId="77777777" w:rsidR="00600C34" w:rsidRPr="00051C0E" w:rsidRDefault="00600C34" w:rsidP="00250E5D">
            <w:pPr>
              <w:spacing w:after="0" w:line="240" w:lineRule="auto"/>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6A600D26" w14:textId="77777777" w:rsidR="00600C34" w:rsidRPr="00051C0E" w:rsidRDefault="00600C34" w:rsidP="00250E5D">
            <w:pPr>
              <w:spacing w:after="0" w:line="240" w:lineRule="auto"/>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Portfolio company country</w:t>
            </w:r>
          </w:p>
        </w:tc>
        <w:tc>
          <w:tcPr>
            <w:tcW w:w="0" w:type="auto"/>
            <w:gridSpan w:val="2"/>
            <w:tcBorders>
              <w:top w:val="nil"/>
              <w:left w:val="nil"/>
              <w:bottom w:val="nil"/>
              <w:right w:val="nil"/>
            </w:tcBorders>
            <w:shd w:val="clear" w:color="000000" w:fill="FFFFFF"/>
            <w:noWrap/>
            <w:vAlign w:val="bottom"/>
            <w:hideMark/>
          </w:tcPr>
          <w:p w14:paraId="01E547CB" w14:textId="77777777" w:rsidR="00600C34" w:rsidRPr="00051C0E" w:rsidRDefault="00600C34" w:rsidP="00250E5D">
            <w:pPr>
              <w:spacing w:after="0" w:line="240" w:lineRule="auto"/>
              <w:jc w:val="center"/>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x</w:t>
            </w:r>
          </w:p>
        </w:tc>
        <w:tc>
          <w:tcPr>
            <w:tcW w:w="0" w:type="auto"/>
            <w:gridSpan w:val="2"/>
            <w:tcBorders>
              <w:top w:val="nil"/>
              <w:left w:val="nil"/>
              <w:bottom w:val="nil"/>
              <w:right w:val="nil"/>
            </w:tcBorders>
            <w:shd w:val="clear" w:color="000000" w:fill="FFFFFF"/>
            <w:noWrap/>
            <w:vAlign w:val="bottom"/>
            <w:hideMark/>
          </w:tcPr>
          <w:p w14:paraId="53FFFA2E" w14:textId="77777777" w:rsidR="00600C34" w:rsidRPr="00051C0E" w:rsidRDefault="00600C34" w:rsidP="00250E5D">
            <w:pPr>
              <w:spacing w:after="0" w:line="240" w:lineRule="auto"/>
              <w:jc w:val="center"/>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x</w:t>
            </w:r>
          </w:p>
        </w:tc>
        <w:tc>
          <w:tcPr>
            <w:tcW w:w="0" w:type="auto"/>
            <w:gridSpan w:val="2"/>
            <w:tcBorders>
              <w:top w:val="nil"/>
              <w:left w:val="nil"/>
              <w:bottom w:val="nil"/>
              <w:right w:val="nil"/>
            </w:tcBorders>
            <w:shd w:val="clear" w:color="000000" w:fill="FFFFFF"/>
            <w:noWrap/>
            <w:vAlign w:val="bottom"/>
            <w:hideMark/>
          </w:tcPr>
          <w:p w14:paraId="1E2DA2D6" w14:textId="4B13C096" w:rsidR="00600C34" w:rsidRPr="00051C0E" w:rsidRDefault="001C7CEF" w:rsidP="00250E5D">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x</w:t>
            </w:r>
          </w:p>
        </w:tc>
        <w:tc>
          <w:tcPr>
            <w:tcW w:w="0" w:type="auto"/>
            <w:gridSpan w:val="2"/>
            <w:tcBorders>
              <w:top w:val="nil"/>
              <w:left w:val="nil"/>
              <w:bottom w:val="nil"/>
              <w:right w:val="nil"/>
            </w:tcBorders>
            <w:shd w:val="clear" w:color="000000" w:fill="FFFFFF"/>
            <w:noWrap/>
            <w:vAlign w:val="bottom"/>
            <w:hideMark/>
          </w:tcPr>
          <w:p w14:paraId="57CCBA57" w14:textId="77777777" w:rsidR="00600C34" w:rsidRPr="00051C0E" w:rsidRDefault="00600C34" w:rsidP="00250E5D">
            <w:pPr>
              <w:spacing w:after="0" w:line="240" w:lineRule="auto"/>
              <w:jc w:val="center"/>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x</w:t>
            </w:r>
          </w:p>
        </w:tc>
      </w:tr>
      <w:tr w:rsidR="00CE3EE7" w:rsidRPr="00051C0E" w14:paraId="13071B06" w14:textId="77777777" w:rsidTr="00250E5D">
        <w:trPr>
          <w:trHeight w:val="135"/>
        </w:trPr>
        <w:tc>
          <w:tcPr>
            <w:tcW w:w="0" w:type="auto"/>
            <w:tcBorders>
              <w:top w:val="nil"/>
              <w:left w:val="nil"/>
              <w:bottom w:val="nil"/>
              <w:right w:val="nil"/>
            </w:tcBorders>
            <w:shd w:val="clear" w:color="000000" w:fill="FFFFFF"/>
            <w:noWrap/>
            <w:vAlign w:val="bottom"/>
            <w:hideMark/>
          </w:tcPr>
          <w:p w14:paraId="2963A444" w14:textId="77777777" w:rsidR="00600C34" w:rsidRPr="00051C0E" w:rsidRDefault="00600C34" w:rsidP="00250E5D">
            <w:pPr>
              <w:spacing w:after="0" w:line="240" w:lineRule="auto"/>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6EA18118" w14:textId="77777777" w:rsidR="00600C34" w:rsidRPr="00051C0E" w:rsidRDefault="00600C34" w:rsidP="00250E5D">
            <w:pPr>
              <w:spacing w:after="0" w:line="240" w:lineRule="auto"/>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44E25EFE" w14:textId="77777777" w:rsidR="00600C34" w:rsidRPr="00051C0E" w:rsidRDefault="00600C34" w:rsidP="00250E5D">
            <w:pPr>
              <w:spacing w:after="0" w:line="240" w:lineRule="auto"/>
              <w:jc w:val="center"/>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3B63180E"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c>
          <w:tcPr>
            <w:tcW w:w="0" w:type="auto"/>
            <w:tcBorders>
              <w:top w:val="nil"/>
              <w:left w:val="nil"/>
              <w:bottom w:val="nil"/>
              <w:right w:val="nil"/>
            </w:tcBorders>
            <w:shd w:val="clear" w:color="000000" w:fill="FFFFFF"/>
            <w:noWrap/>
            <w:vAlign w:val="bottom"/>
            <w:hideMark/>
          </w:tcPr>
          <w:p w14:paraId="639EAC7F" w14:textId="77777777" w:rsidR="00600C34" w:rsidRPr="00051C0E" w:rsidRDefault="00600C34" w:rsidP="00250E5D">
            <w:pPr>
              <w:spacing w:after="0" w:line="240" w:lineRule="auto"/>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594C750D"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c>
          <w:tcPr>
            <w:tcW w:w="0" w:type="auto"/>
            <w:tcBorders>
              <w:top w:val="nil"/>
              <w:left w:val="nil"/>
              <w:bottom w:val="nil"/>
              <w:right w:val="nil"/>
            </w:tcBorders>
            <w:shd w:val="clear" w:color="000000" w:fill="FFFFFF"/>
            <w:noWrap/>
            <w:vAlign w:val="bottom"/>
            <w:hideMark/>
          </w:tcPr>
          <w:p w14:paraId="653369A8" w14:textId="77777777" w:rsidR="00600C34" w:rsidRPr="00051C0E" w:rsidRDefault="00600C34" w:rsidP="00250E5D">
            <w:pPr>
              <w:spacing w:after="0" w:line="240" w:lineRule="auto"/>
              <w:jc w:val="center"/>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00694E7E"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c>
          <w:tcPr>
            <w:tcW w:w="0" w:type="auto"/>
            <w:tcBorders>
              <w:top w:val="nil"/>
              <w:left w:val="nil"/>
              <w:bottom w:val="nil"/>
              <w:right w:val="nil"/>
            </w:tcBorders>
            <w:shd w:val="clear" w:color="000000" w:fill="FFFFFF"/>
            <w:noWrap/>
            <w:vAlign w:val="bottom"/>
            <w:hideMark/>
          </w:tcPr>
          <w:p w14:paraId="62F4DFEF" w14:textId="77777777" w:rsidR="00600C34" w:rsidRPr="00051C0E" w:rsidRDefault="00600C34" w:rsidP="00250E5D">
            <w:pPr>
              <w:spacing w:after="0" w:line="240" w:lineRule="auto"/>
              <w:jc w:val="right"/>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673FBB73"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r>
      <w:tr w:rsidR="00CE3EE7" w:rsidRPr="00051C0E" w14:paraId="7111AB1A" w14:textId="77777777" w:rsidTr="00250E5D">
        <w:trPr>
          <w:trHeight w:val="255"/>
        </w:trPr>
        <w:tc>
          <w:tcPr>
            <w:tcW w:w="0" w:type="auto"/>
            <w:tcBorders>
              <w:top w:val="nil"/>
              <w:left w:val="nil"/>
              <w:bottom w:val="nil"/>
              <w:right w:val="nil"/>
            </w:tcBorders>
            <w:shd w:val="clear" w:color="000000" w:fill="FFFFFF"/>
            <w:noWrap/>
            <w:vAlign w:val="bottom"/>
            <w:hideMark/>
          </w:tcPr>
          <w:p w14:paraId="12A46C68" w14:textId="77777777" w:rsidR="00600C34" w:rsidRPr="00051C0E" w:rsidRDefault="00600C34" w:rsidP="00250E5D">
            <w:pPr>
              <w:spacing w:after="0" w:line="240" w:lineRule="auto"/>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tcBorders>
              <w:top w:val="nil"/>
              <w:left w:val="nil"/>
              <w:bottom w:val="nil"/>
              <w:right w:val="nil"/>
            </w:tcBorders>
            <w:shd w:val="clear" w:color="000000" w:fill="FFFFFF"/>
            <w:noWrap/>
            <w:vAlign w:val="bottom"/>
            <w:hideMark/>
          </w:tcPr>
          <w:p w14:paraId="48DF803D" w14:textId="77777777" w:rsidR="00600C34" w:rsidRPr="00051C0E" w:rsidRDefault="00600C34" w:rsidP="00250E5D">
            <w:pPr>
              <w:spacing w:after="0" w:line="240" w:lineRule="auto"/>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Observations</w:t>
            </w:r>
          </w:p>
        </w:tc>
        <w:tc>
          <w:tcPr>
            <w:tcW w:w="0" w:type="auto"/>
            <w:gridSpan w:val="2"/>
            <w:tcBorders>
              <w:top w:val="nil"/>
              <w:left w:val="nil"/>
              <w:bottom w:val="nil"/>
              <w:right w:val="nil"/>
            </w:tcBorders>
            <w:shd w:val="clear" w:color="000000" w:fill="FFFFFF"/>
            <w:noWrap/>
            <w:vAlign w:val="center"/>
            <w:hideMark/>
          </w:tcPr>
          <w:p w14:paraId="41476F50" w14:textId="77777777" w:rsidR="00600C34" w:rsidRPr="00051C0E" w:rsidRDefault="00600C34" w:rsidP="00250E5D">
            <w:pPr>
              <w:spacing w:after="0" w:line="240" w:lineRule="auto"/>
              <w:jc w:val="center"/>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1,382</w:t>
            </w:r>
          </w:p>
        </w:tc>
        <w:tc>
          <w:tcPr>
            <w:tcW w:w="0" w:type="auto"/>
            <w:tcBorders>
              <w:top w:val="nil"/>
              <w:left w:val="nil"/>
              <w:bottom w:val="nil"/>
              <w:right w:val="nil"/>
            </w:tcBorders>
            <w:shd w:val="clear" w:color="000000" w:fill="FFFFFF"/>
            <w:noWrap/>
            <w:vAlign w:val="center"/>
            <w:hideMark/>
          </w:tcPr>
          <w:p w14:paraId="6C863104" w14:textId="77777777" w:rsidR="00600C34" w:rsidRPr="00051C0E" w:rsidRDefault="00600C34" w:rsidP="00250E5D">
            <w:pPr>
              <w:spacing w:after="0" w:line="240" w:lineRule="auto"/>
              <w:jc w:val="center"/>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1,382</w:t>
            </w:r>
          </w:p>
        </w:tc>
        <w:tc>
          <w:tcPr>
            <w:tcW w:w="0" w:type="auto"/>
            <w:tcBorders>
              <w:top w:val="nil"/>
              <w:left w:val="nil"/>
              <w:bottom w:val="nil"/>
              <w:right w:val="nil"/>
            </w:tcBorders>
            <w:shd w:val="clear" w:color="000000" w:fill="FFFFFF"/>
            <w:noWrap/>
            <w:vAlign w:val="bottom"/>
            <w:hideMark/>
          </w:tcPr>
          <w:p w14:paraId="7313684D"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c>
          <w:tcPr>
            <w:tcW w:w="0" w:type="auto"/>
            <w:gridSpan w:val="2"/>
            <w:tcBorders>
              <w:top w:val="nil"/>
              <w:left w:val="nil"/>
              <w:bottom w:val="nil"/>
              <w:right w:val="nil"/>
            </w:tcBorders>
            <w:shd w:val="clear" w:color="000000" w:fill="FFFFFF"/>
            <w:noWrap/>
            <w:vAlign w:val="center"/>
            <w:hideMark/>
          </w:tcPr>
          <w:p w14:paraId="4A9549EF" w14:textId="77777777" w:rsidR="00600C34" w:rsidRPr="00051C0E" w:rsidRDefault="00600C34" w:rsidP="00250E5D">
            <w:pPr>
              <w:spacing w:after="0" w:line="240" w:lineRule="auto"/>
              <w:jc w:val="center"/>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1,382</w:t>
            </w:r>
          </w:p>
        </w:tc>
        <w:tc>
          <w:tcPr>
            <w:tcW w:w="0" w:type="auto"/>
            <w:gridSpan w:val="2"/>
            <w:tcBorders>
              <w:top w:val="nil"/>
              <w:left w:val="nil"/>
              <w:bottom w:val="nil"/>
              <w:right w:val="nil"/>
            </w:tcBorders>
            <w:shd w:val="clear" w:color="000000" w:fill="FFFFFF"/>
            <w:noWrap/>
            <w:vAlign w:val="center"/>
            <w:hideMark/>
          </w:tcPr>
          <w:p w14:paraId="5C422852" w14:textId="77777777" w:rsidR="00600C34" w:rsidRPr="00051C0E" w:rsidRDefault="00600C34" w:rsidP="00250E5D">
            <w:pPr>
              <w:spacing w:after="0" w:line="240" w:lineRule="auto"/>
              <w:jc w:val="center"/>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1,382</w:t>
            </w:r>
          </w:p>
        </w:tc>
      </w:tr>
      <w:tr w:rsidR="00CE3EE7" w:rsidRPr="00051C0E" w14:paraId="6D7B043F" w14:textId="77777777" w:rsidTr="00250E5D">
        <w:trPr>
          <w:trHeight w:val="255"/>
        </w:trPr>
        <w:tc>
          <w:tcPr>
            <w:tcW w:w="0" w:type="auto"/>
            <w:tcBorders>
              <w:top w:val="nil"/>
              <w:left w:val="nil"/>
              <w:bottom w:val="single" w:sz="4" w:space="0" w:color="auto"/>
              <w:right w:val="nil"/>
            </w:tcBorders>
            <w:shd w:val="clear" w:color="000000" w:fill="FFFFFF"/>
            <w:noWrap/>
            <w:vAlign w:val="bottom"/>
            <w:hideMark/>
          </w:tcPr>
          <w:p w14:paraId="4DDDF211" w14:textId="77777777" w:rsidR="00600C34" w:rsidRPr="00051C0E" w:rsidRDefault="00600C34" w:rsidP="00250E5D">
            <w:pPr>
              <w:spacing w:after="0" w:line="240" w:lineRule="auto"/>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 </w:t>
            </w:r>
          </w:p>
        </w:tc>
        <w:tc>
          <w:tcPr>
            <w:tcW w:w="0" w:type="auto"/>
            <w:tcBorders>
              <w:top w:val="nil"/>
              <w:left w:val="nil"/>
              <w:bottom w:val="single" w:sz="4" w:space="0" w:color="auto"/>
              <w:right w:val="nil"/>
            </w:tcBorders>
            <w:shd w:val="clear" w:color="000000" w:fill="FFFFFF"/>
            <w:noWrap/>
            <w:vAlign w:val="bottom"/>
            <w:hideMark/>
          </w:tcPr>
          <w:p w14:paraId="569C4620" w14:textId="77777777" w:rsidR="00600C34" w:rsidRPr="00051C0E" w:rsidRDefault="00600C34" w:rsidP="00250E5D">
            <w:pPr>
              <w:spacing w:after="0" w:line="240" w:lineRule="auto"/>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Log likelihood</w:t>
            </w:r>
          </w:p>
        </w:tc>
        <w:tc>
          <w:tcPr>
            <w:tcW w:w="0" w:type="auto"/>
            <w:gridSpan w:val="2"/>
            <w:tcBorders>
              <w:top w:val="nil"/>
              <w:left w:val="nil"/>
              <w:bottom w:val="single" w:sz="4" w:space="0" w:color="auto"/>
              <w:right w:val="nil"/>
            </w:tcBorders>
            <w:shd w:val="clear" w:color="000000" w:fill="FFFFFF"/>
            <w:noWrap/>
            <w:vAlign w:val="center"/>
            <w:hideMark/>
          </w:tcPr>
          <w:p w14:paraId="443B0C32" w14:textId="77777777" w:rsidR="00600C34" w:rsidRPr="00051C0E" w:rsidRDefault="00600C34" w:rsidP="00250E5D">
            <w:pPr>
              <w:spacing w:after="0" w:line="240" w:lineRule="auto"/>
              <w:jc w:val="center"/>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-1,516</w:t>
            </w:r>
          </w:p>
        </w:tc>
        <w:tc>
          <w:tcPr>
            <w:tcW w:w="0" w:type="auto"/>
            <w:tcBorders>
              <w:top w:val="nil"/>
              <w:left w:val="nil"/>
              <w:bottom w:val="single" w:sz="4" w:space="0" w:color="auto"/>
              <w:right w:val="nil"/>
            </w:tcBorders>
            <w:shd w:val="clear" w:color="000000" w:fill="FFFFFF"/>
            <w:noWrap/>
            <w:vAlign w:val="center"/>
            <w:hideMark/>
          </w:tcPr>
          <w:p w14:paraId="284FBA73" w14:textId="77777777" w:rsidR="00600C34" w:rsidRPr="00051C0E" w:rsidRDefault="00600C34" w:rsidP="00250E5D">
            <w:pPr>
              <w:spacing w:after="0" w:line="240" w:lineRule="auto"/>
              <w:jc w:val="center"/>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-1,716</w:t>
            </w:r>
          </w:p>
        </w:tc>
        <w:tc>
          <w:tcPr>
            <w:tcW w:w="0" w:type="auto"/>
            <w:tcBorders>
              <w:top w:val="nil"/>
              <w:left w:val="nil"/>
              <w:bottom w:val="single" w:sz="4" w:space="0" w:color="auto"/>
              <w:right w:val="nil"/>
            </w:tcBorders>
            <w:shd w:val="clear" w:color="000000" w:fill="FFFFFF"/>
            <w:noWrap/>
            <w:vAlign w:val="bottom"/>
            <w:hideMark/>
          </w:tcPr>
          <w:p w14:paraId="15B090EA" w14:textId="77777777" w:rsidR="00600C34" w:rsidRPr="00051C0E" w:rsidRDefault="00600C34" w:rsidP="00250E5D">
            <w:pPr>
              <w:spacing w:after="0" w:line="240" w:lineRule="auto"/>
              <w:rPr>
                <w:rFonts w:ascii="Times New Roman" w:eastAsia="Times New Roman" w:hAnsi="Times New Roman" w:cs="Times New Roman"/>
                <w:color w:val="000000"/>
                <w:sz w:val="16"/>
                <w:szCs w:val="16"/>
              </w:rPr>
            </w:pPr>
            <w:r w:rsidRPr="00051C0E">
              <w:rPr>
                <w:rFonts w:ascii="Times New Roman" w:eastAsia="Times New Roman" w:hAnsi="Times New Roman" w:cs="Times New Roman"/>
                <w:color w:val="000000"/>
                <w:sz w:val="16"/>
                <w:szCs w:val="16"/>
              </w:rPr>
              <w:t> </w:t>
            </w:r>
          </w:p>
        </w:tc>
        <w:tc>
          <w:tcPr>
            <w:tcW w:w="0" w:type="auto"/>
            <w:gridSpan w:val="2"/>
            <w:tcBorders>
              <w:top w:val="nil"/>
              <w:left w:val="nil"/>
              <w:bottom w:val="single" w:sz="4" w:space="0" w:color="auto"/>
              <w:right w:val="nil"/>
            </w:tcBorders>
            <w:shd w:val="clear" w:color="000000" w:fill="FFFFFF"/>
            <w:noWrap/>
            <w:vAlign w:val="center"/>
            <w:hideMark/>
          </w:tcPr>
          <w:p w14:paraId="31B43142" w14:textId="77777777" w:rsidR="00600C34" w:rsidRPr="00051C0E" w:rsidRDefault="00600C34" w:rsidP="00250E5D">
            <w:pPr>
              <w:spacing w:after="0" w:line="240" w:lineRule="auto"/>
              <w:jc w:val="center"/>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-1,516</w:t>
            </w:r>
          </w:p>
        </w:tc>
        <w:tc>
          <w:tcPr>
            <w:tcW w:w="0" w:type="auto"/>
            <w:gridSpan w:val="2"/>
            <w:tcBorders>
              <w:top w:val="nil"/>
              <w:left w:val="nil"/>
              <w:bottom w:val="single" w:sz="4" w:space="0" w:color="auto"/>
              <w:right w:val="nil"/>
            </w:tcBorders>
            <w:shd w:val="clear" w:color="000000" w:fill="FFFFFF"/>
            <w:noWrap/>
            <w:vAlign w:val="center"/>
            <w:hideMark/>
          </w:tcPr>
          <w:p w14:paraId="68D2790E" w14:textId="77777777" w:rsidR="00600C34" w:rsidRPr="00051C0E" w:rsidRDefault="00600C34" w:rsidP="00250E5D">
            <w:pPr>
              <w:spacing w:after="0" w:line="240" w:lineRule="auto"/>
              <w:jc w:val="center"/>
              <w:rPr>
                <w:rFonts w:ascii="Times New Roman" w:eastAsia="Times New Roman" w:hAnsi="Times New Roman" w:cs="Times New Roman"/>
                <w:color w:val="000000"/>
                <w:sz w:val="18"/>
                <w:szCs w:val="18"/>
              </w:rPr>
            </w:pPr>
            <w:r w:rsidRPr="00051C0E">
              <w:rPr>
                <w:rFonts w:ascii="Times New Roman" w:eastAsia="Times New Roman" w:hAnsi="Times New Roman" w:cs="Times New Roman"/>
                <w:color w:val="000000"/>
                <w:sz w:val="18"/>
                <w:szCs w:val="18"/>
              </w:rPr>
              <w:t>-1,716</w:t>
            </w:r>
          </w:p>
        </w:tc>
      </w:tr>
    </w:tbl>
    <w:p w14:paraId="0759F9A1" w14:textId="77777777" w:rsidR="0001749F" w:rsidRPr="0001749F" w:rsidRDefault="0001749F" w:rsidP="0001749F">
      <w:pPr>
        <w:spacing w:after="0" w:line="240" w:lineRule="auto"/>
        <w:rPr>
          <w:rFonts w:ascii="Times New Roman" w:eastAsia="Times New Roman" w:hAnsi="Times New Roman" w:cs="Times New Roman"/>
          <w:color w:val="000000"/>
          <w:sz w:val="20"/>
          <w:szCs w:val="20"/>
        </w:rPr>
      </w:pPr>
      <w:r w:rsidRPr="0001749F">
        <w:rPr>
          <w:rFonts w:ascii="Times New Roman" w:eastAsia="Times New Roman" w:hAnsi="Times New Roman" w:cs="Times New Roman"/>
          <w:color w:val="000000"/>
          <w:sz w:val="20"/>
          <w:szCs w:val="20"/>
        </w:rPr>
        <w:t xml:space="preserve">*** p&lt;0.001, ** p&lt;0.01, * p&lt;0.05, </w:t>
      </w:r>
      <w:r w:rsidRPr="0001749F">
        <w:rPr>
          <w:rFonts w:ascii="Symbol" w:eastAsia="Times New Roman" w:hAnsi="Symbol" w:cs="Times New Roman"/>
          <w:b/>
          <w:bCs/>
          <w:color w:val="000000"/>
          <w:sz w:val="20"/>
          <w:szCs w:val="20"/>
        </w:rPr>
        <w:t></w:t>
      </w:r>
      <w:r w:rsidRPr="0001749F">
        <w:rPr>
          <w:rFonts w:ascii="Times New Roman" w:eastAsia="Times New Roman" w:hAnsi="Times New Roman" w:cs="Times New Roman"/>
          <w:b/>
          <w:bCs/>
          <w:color w:val="000000"/>
          <w:sz w:val="20"/>
          <w:szCs w:val="20"/>
        </w:rPr>
        <w:t xml:space="preserve">† </w:t>
      </w:r>
      <w:r w:rsidRPr="0001749F">
        <w:rPr>
          <w:rFonts w:ascii="Times New Roman" w:eastAsia="Times New Roman" w:hAnsi="Times New Roman" w:cs="Times New Roman"/>
          <w:color w:val="000000"/>
          <w:sz w:val="20"/>
          <w:szCs w:val="20"/>
        </w:rPr>
        <w:t>p&lt;0.1</w:t>
      </w:r>
      <w:r w:rsidR="00FC0C94" w:rsidRPr="00FC0C94">
        <w:rPr>
          <w:rFonts w:ascii="Times New Roman" w:eastAsia="Times New Roman" w:hAnsi="Times New Roman" w:cs="Times New Roman"/>
          <w:color w:val="000000"/>
          <w:sz w:val="20"/>
          <w:szCs w:val="20"/>
        </w:rPr>
        <w:t xml:space="preserve"> (conservative two-tailed tests)</w:t>
      </w:r>
    </w:p>
    <w:p w14:paraId="21CA57E0" w14:textId="77777777" w:rsidR="004B362F" w:rsidRDefault="00AF4744" w:rsidP="007E519D">
      <w:pPr>
        <w:spacing w:after="0" w:line="240" w:lineRule="auto"/>
        <w:contextualSpacing/>
        <w:mirrorIndents/>
        <w:jc w:val="both"/>
        <w:rPr>
          <w:rFonts w:ascii="Times New Roman" w:hAnsi="Times New Roman" w:cs="Times New Roman"/>
          <w:sz w:val="20"/>
          <w:szCs w:val="20"/>
        </w:rPr>
      </w:pPr>
      <w:r>
        <w:rPr>
          <w:rFonts w:ascii="Times New Roman" w:hAnsi="Times New Roman" w:cs="Times New Roman"/>
          <w:sz w:val="20"/>
          <w:szCs w:val="24"/>
        </w:rPr>
        <w:t>The dependent variable is</w:t>
      </w:r>
      <w:r w:rsidRPr="00C13D01">
        <w:rPr>
          <w:rFonts w:ascii="Times New Roman" w:hAnsi="Times New Roman" w:cs="Times New Roman"/>
          <w:sz w:val="20"/>
          <w:szCs w:val="24"/>
        </w:rPr>
        <w:t xml:space="preserve"> the hazard of successful exits</w:t>
      </w:r>
      <w:r>
        <w:rPr>
          <w:rFonts w:ascii="Times New Roman" w:hAnsi="Times New Roman" w:cs="Times New Roman"/>
          <w:sz w:val="20"/>
          <w:szCs w:val="24"/>
        </w:rPr>
        <w:t xml:space="preserve"> (Models a)</w:t>
      </w:r>
      <w:r w:rsidRPr="00C13D01">
        <w:rPr>
          <w:rFonts w:ascii="Times New Roman" w:hAnsi="Times New Roman" w:cs="Times New Roman"/>
          <w:sz w:val="20"/>
          <w:szCs w:val="24"/>
        </w:rPr>
        <w:t xml:space="preserve"> and termination</w:t>
      </w:r>
      <w:r>
        <w:rPr>
          <w:rFonts w:ascii="Times New Roman" w:hAnsi="Times New Roman" w:cs="Times New Roman"/>
          <w:sz w:val="20"/>
          <w:szCs w:val="24"/>
        </w:rPr>
        <w:t xml:space="preserve"> (Models b) in the full sample. </w:t>
      </w:r>
      <w:r w:rsidR="00E3573D">
        <w:rPr>
          <w:rFonts w:ascii="Times New Roman" w:hAnsi="Times New Roman" w:cs="Times New Roman"/>
          <w:sz w:val="20"/>
          <w:szCs w:val="24"/>
        </w:rPr>
        <w:t>Cross-border VC firm is the reference category in the first two models, and Domestic VC firm is the reference category in the last two models</w:t>
      </w:r>
      <w:r>
        <w:rPr>
          <w:rFonts w:ascii="Times New Roman" w:hAnsi="Times New Roman" w:cs="Times New Roman"/>
          <w:sz w:val="20"/>
          <w:szCs w:val="24"/>
        </w:rPr>
        <w:t xml:space="preserve">. </w:t>
      </w:r>
      <w:r w:rsidR="004B362F" w:rsidRPr="004B362F">
        <w:rPr>
          <w:rFonts w:ascii="Times New Roman" w:hAnsi="Times New Roman" w:cs="Times New Roman"/>
          <w:sz w:val="20"/>
          <w:szCs w:val="20"/>
        </w:rPr>
        <w:t>The coefficients of the following dummy variables are not reported due to space conside</w:t>
      </w:r>
      <w:r w:rsidR="0080081F">
        <w:rPr>
          <w:rFonts w:ascii="Times New Roman" w:hAnsi="Times New Roman" w:cs="Times New Roman"/>
          <w:sz w:val="20"/>
          <w:szCs w:val="20"/>
        </w:rPr>
        <w:t>rations: investor entry stage;</w:t>
      </w:r>
      <w:r w:rsidR="0080081F" w:rsidRPr="0080081F">
        <w:rPr>
          <w:rFonts w:ascii="Times New Roman" w:hAnsi="Times New Roman" w:cs="Times New Roman"/>
          <w:sz w:val="20"/>
          <w:szCs w:val="20"/>
        </w:rPr>
        <w:t xml:space="preserve"> </w:t>
      </w:r>
      <w:r w:rsidR="0080081F" w:rsidRPr="004B362F">
        <w:rPr>
          <w:rFonts w:ascii="Times New Roman" w:hAnsi="Times New Roman" w:cs="Times New Roman"/>
          <w:sz w:val="20"/>
          <w:szCs w:val="20"/>
        </w:rPr>
        <w:t>first investment year;</w:t>
      </w:r>
      <w:r w:rsidR="002C1E64">
        <w:rPr>
          <w:rFonts w:ascii="Times New Roman" w:hAnsi="Times New Roman" w:cs="Times New Roman"/>
          <w:sz w:val="20"/>
          <w:szCs w:val="20"/>
        </w:rPr>
        <w:t xml:space="preserve"> portfolio company</w:t>
      </w:r>
      <w:r w:rsidR="004B362F" w:rsidRPr="004B362F">
        <w:rPr>
          <w:rFonts w:ascii="Times New Roman" w:hAnsi="Times New Roman" w:cs="Times New Roman"/>
          <w:sz w:val="20"/>
          <w:szCs w:val="20"/>
        </w:rPr>
        <w:t xml:space="preserve"> industry; </w:t>
      </w:r>
      <w:r w:rsidR="0080081F">
        <w:rPr>
          <w:rFonts w:ascii="Times New Roman" w:hAnsi="Times New Roman" w:cs="Times New Roman"/>
          <w:sz w:val="20"/>
          <w:szCs w:val="20"/>
        </w:rPr>
        <w:t>portfolio company</w:t>
      </w:r>
      <w:r w:rsidR="004B362F" w:rsidRPr="004B362F">
        <w:rPr>
          <w:rFonts w:ascii="Times New Roman" w:hAnsi="Times New Roman" w:cs="Times New Roman"/>
          <w:sz w:val="20"/>
          <w:szCs w:val="20"/>
        </w:rPr>
        <w:t xml:space="preserve"> country</w:t>
      </w:r>
    </w:p>
    <w:p w14:paraId="6A9A03AA" w14:textId="77777777" w:rsidR="00BE4D6A" w:rsidRDefault="00BE4D6A" w:rsidP="004B362F">
      <w:pPr>
        <w:spacing w:after="0" w:line="240" w:lineRule="auto"/>
        <w:contextualSpacing/>
        <w:mirrorIndents/>
        <w:rPr>
          <w:rFonts w:ascii="Times New Roman" w:hAnsi="Times New Roman" w:cs="Times New Roman"/>
          <w:sz w:val="20"/>
          <w:szCs w:val="20"/>
        </w:rPr>
      </w:pPr>
      <w:r>
        <w:rPr>
          <w:rFonts w:ascii="Times New Roman" w:hAnsi="Times New Roman" w:cs="Times New Roman"/>
          <w:sz w:val="20"/>
          <w:szCs w:val="20"/>
        </w:rPr>
        <w:t>x: variables are included in the models</w:t>
      </w:r>
    </w:p>
    <w:p w14:paraId="318B820D" w14:textId="77777777" w:rsidR="00646D28" w:rsidRDefault="00646D28">
      <w:pPr>
        <w:rPr>
          <w:rFonts w:ascii="Times New Roman" w:hAnsi="Times New Roman" w:cs="Times New Roman"/>
          <w:b/>
        </w:rPr>
      </w:pPr>
      <w:r>
        <w:rPr>
          <w:rFonts w:ascii="Times New Roman" w:hAnsi="Times New Roman" w:cs="Times New Roman"/>
          <w:b/>
        </w:rPr>
        <w:br w:type="page"/>
      </w:r>
    </w:p>
    <w:p w14:paraId="5008F8C6" w14:textId="4098124D" w:rsidR="00646D28" w:rsidRDefault="00646D28">
      <w:pPr>
        <w:rPr>
          <w:rFonts w:ascii="Times New Roman" w:hAnsi="Times New Roman" w:cs="Times New Roman"/>
          <w:b/>
        </w:rPr>
      </w:pPr>
      <w:r>
        <w:rPr>
          <w:rFonts w:ascii="Times New Roman" w:hAnsi="Times New Roman" w:cs="Times New Roman"/>
          <w:b/>
        </w:rPr>
        <w:lastRenderedPageBreak/>
        <w:t xml:space="preserve">Table </w:t>
      </w:r>
      <w:r w:rsidR="002612BA">
        <w:rPr>
          <w:rFonts w:ascii="Times New Roman" w:hAnsi="Times New Roman" w:cs="Times New Roman"/>
          <w:b/>
        </w:rPr>
        <w:t>7</w:t>
      </w:r>
      <w:r>
        <w:rPr>
          <w:rFonts w:ascii="Times New Roman" w:hAnsi="Times New Roman" w:cs="Times New Roman"/>
          <w:b/>
        </w:rPr>
        <w:t>: Cox models predicting the hazard of e</w:t>
      </w:r>
      <w:r w:rsidRPr="004B362F">
        <w:rPr>
          <w:rFonts w:ascii="Times New Roman" w:hAnsi="Times New Roman" w:cs="Times New Roman"/>
          <w:b/>
        </w:rPr>
        <w:t>xit</w:t>
      </w:r>
      <w:r>
        <w:rPr>
          <w:rFonts w:ascii="Times New Roman" w:hAnsi="Times New Roman" w:cs="Times New Roman"/>
          <w:b/>
        </w:rPr>
        <w:t>: First-round sample</w:t>
      </w:r>
      <w:r w:rsidR="006578C2">
        <w:rPr>
          <w:rFonts w:ascii="Times New Roman" w:hAnsi="Times New Roman" w:cs="Times New Roman"/>
          <w:b/>
        </w:rPr>
        <w:t>, interactions with origin</w:t>
      </w:r>
    </w:p>
    <w:p w14:paraId="033CABC9" w14:textId="77777777" w:rsidR="00291978" w:rsidRDefault="002612BA" w:rsidP="007E519D">
      <w:pPr>
        <w:spacing w:after="0"/>
        <w:rPr>
          <w:rFonts w:ascii="Times New Roman" w:hAnsi="Times New Roman" w:cs="Times New Roman"/>
          <w:b/>
          <w:lang w:val="en-GB"/>
        </w:rPr>
      </w:pPr>
      <w:r w:rsidRPr="002612BA">
        <w:rPr>
          <w:noProof/>
          <w:lang w:val="en-GB" w:eastAsia="en-GB"/>
        </w:rPr>
        <w:drawing>
          <wp:inline distT="0" distB="0" distL="0" distR="0" wp14:anchorId="3CEA1D9D" wp14:editId="7C7EF51C">
            <wp:extent cx="4581525" cy="24384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1525" cy="2438400"/>
                    </a:xfrm>
                    <a:prstGeom prst="rect">
                      <a:avLst/>
                    </a:prstGeom>
                    <a:noFill/>
                    <a:ln>
                      <a:noFill/>
                    </a:ln>
                  </pic:spPr>
                </pic:pic>
              </a:graphicData>
            </a:graphic>
          </wp:inline>
        </w:drawing>
      </w:r>
    </w:p>
    <w:p w14:paraId="4996E80E" w14:textId="77777777" w:rsidR="00291978" w:rsidRDefault="00291978" w:rsidP="007E519D">
      <w:pPr>
        <w:spacing w:after="0"/>
        <w:jc w:val="both"/>
        <w:rPr>
          <w:rFonts w:ascii="Times New Roman" w:hAnsi="Times New Roman" w:cs="Times New Roman"/>
          <w:sz w:val="20"/>
          <w:szCs w:val="20"/>
        </w:rPr>
      </w:pPr>
      <w:r>
        <w:rPr>
          <w:rFonts w:ascii="Times New Roman" w:hAnsi="Times New Roman" w:cs="Times New Roman"/>
          <w:sz w:val="20"/>
          <w:szCs w:val="24"/>
        </w:rPr>
        <w:t>The dependent variable is</w:t>
      </w:r>
      <w:r w:rsidRPr="00C13D01">
        <w:rPr>
          <w:rFonts w:ascii="Times New Roman" w:hAnsi="Times New Roman" w:cs="Times New Roman"/>
          <w:sz w:val="20"/>
          <w:szCs w:val="24"/>
        </w:rPr>
        <w:t xml:space="preserve"> the hazard of successful exits</w:t>
      </w:r>
      <w:r>
        <w:rPr>
          <w:rFonts w:ascii="Times New Roman" w:hAnsi="Times New Roman" w:cs="Times New Roman"/>
          <w:sz w:val="20"/>
          <w:szCs w:val="24"/>
        </w:rPr>
        <w:t xml:space="preserve"> </w:t>
      </w:r>
      <w:r w:rsidRPr="00C13D01">
        <w:rPr>
          <w:rFonts w:ascii="Times New Roman" w:hAnsi="Times New Roman" w:cs="Times New Roman"/>
          <w:sz w:val="20"/>
          <w:szCs w:val="24"/>
        </w:rPr>
        <w:t>and termination</w:t>
      </w:r>
      <w:r>
        <w:rPr>
          <w:rFonts w:ascii="Times New Roman" w:hAnsi="Times New Roman" w:cs="Times New Roman"/>
          <w:sz w:val="20"/>
          <w:szCs w:val="24"/>
        </w:rPr>
        <w:t xml:space="preserve"> in the sample of first round investments only.</w:t>
      </w:r>
      <w:r w:rsidR="00E3573D">
        <w:rPr>
          <w:rFonts w:ascii="Times New Roman" w:hAnsi="Times New Roman" w:cs="Times New Roman"/>
          <w:sz w:val="20"/>
          <w:szCs w:val="24"/>
        </w:rPr>
        <w:t xml:space="preserve"> Cross-border VC firm is the reference category in </w:t>
      </w:r>
      <w:r w:rsidR="002612BA">
        <w:rPr>
          <w:rFonts w:ascii="Times New Roman" w:hAnsi="Times New Roman" w:cs="Times New Roman"/>
          <w:sz w:val="20"/>
          <w:szCs w:val="24"/>
        </w:rPr>
        <w:t>Panel A</w:t>
      </w:r>
      <w:r w:rsidR="00E3573D">
        <w:rPr>
          <w:rFonts w:ascii="Times New Roman" w:hAnsi="Times New Roman" w:cs="Times New Roman"/>
          <w:sz w:val="20"/>
          <w:szCs w:val="24"/>
        </w:rPr>
        <w:t xml:space="preserve">, and Domestic VC firm is the reference category in </w:t>
      </w:r>
      <w:r w:rsidR="002612BA">
        <w:rPr>
          <w:rFonts w:ascii="Times New Roman" w:hAnsi="Times New Roman" w:cs="Times New Roman"/>
          <w:sz w:val="20"/>
          <w:szCs w:val="24"/>
        </w:rPr>
        <w:t>Panel B</w:t>
      </w:r>
      <w:r>
        <w:rPr>
          <w:rFonts w:ascii="Times New Roman" w:hAnsi="Times New Roman" w:cs="Times New Roman"/>
          <w:sz w:val="20"/>
          <w:szCs w:val="24"/>
        </w:rPr>
        <w:t xml:space="preserve">. </w:t>
      </w:r>
      <w:r w:rsidRPr="004B362F">
        <w:rPr>
          <w:rFonts w:ascii="Times New Roman" w:hAnsi="Times New Roman" w:cs="Times New Roman"/>
          <w:sz w:val="20"/>
          <w:szCs w:val="20"/>
        </w:rPr>
        <w:t xml:space="preserve">The coefficients of the </w:t>
      </w:r>
      <w:r w:rsidR="000C4D38">
        <w:rPr>
          <w:rFonts w:ascii="Times New Roman" w:hAnsi="Times New Roman" w:cs="Times New Roman"/>
          <w:sz w:val="20"/>
          <w:szCs w:val="20"/>
        </w:rPr>
        <w:t>control</w:t>
      </w:r>
      <w:r w:rsidRPr="004B362F">
        <w:rPr>
          <w:rFonts w:ascii="Times New Roman" w:hAnsi="Times New Roman" w:cs="Times New Roman"/>
          <w:sz w:val="20"/>
          <w:szCs w:val="20"/>
        </w:rPr>
        <w:t xml:space="preserve"> variables are not reported due to space conside</w:t>
      </w:r>
      <w:r w:rsidR="000C4D38">
        <w:rPr>
          <w:rFonts w:ascii="Times New Roman" w:hAnsi="Times New Roman" w:cs="Times New Roman"/>
          <w:sz w:val="20"/>
          <w:szCs w:val="20"/>
        </w:rPr>
        <w:t>rations.</w:t>
      </w:r>
    </w:p>
    <w:p w14:paraId="3D51371B" w14:textId="77777777" w:rsidR="002612BA" w:rsidRPr="002612BA" w:rsidRDefault="002612BA" w:rsidP="002612BA">
      <w:pPr>
        <w:jc w:val="both"/>
        <w:rPr>
          <w:rFonts w:ascii="Times New Roman" w:hAnsi="Times New Roman" w:cs="Times New Roman"/>
          <w:b/>
          <w:lang w:val="en-GB"/>
        </w:rPr>
      </w:pPr>
    </w:p>
    <w:p w14:paraId="6FBBE55E" w14:textId="2502F2D5" w:rsidR="00275499" w:rsidRDefault="00646D28">
      <w:pPr>
        <w:rPr>
          <w:rFonts w:ascii="Times New Roman" w:hAnsi="Times New Roman" w:cs="Times New Roman"/>
          <w:b/>
        </w:rPr>
      </w:pPr>
      <w:r>
        <w:rPr>
          <w:rFonts w:ascii="Times New Roman" w:hAnsi="Times New Roman" w:cs="Times New Roman"/>
          <w:b/>
        </w:rPr>
        <w:t xml:space="preserve">Table </w:t>
      </w:r>
      <w:r w:rsidR="002612BA">
        <w:rPr>
          <w:rFonts w:ascii="Times New Roman" w:hAnsi="Times New Roman" w:cs="Times New Roman"/>
          <w:b/>
        </w:rPr>
        <w:t>8</w:t>
      </w:r>
      <w:r>
        <w:rPr>
          <w:rFonts w:ascii="Times New Roman" w:hAnsi="Times New Roman" w:cs="Times New Roman"/>
          <w:b/>
        </w:rPr>
        <w:t>: Cox models predicting the hazard of e</w:t>
      </w:r>
      <w:r w:rsidRPr="004B362F">
        <w:rPr>
          <w:rFonts w:ascii="Times New Roman" w:hAnsi="Times New Roman" w:cs="Times New Roman"/>
          <w:b/>
        </w:rPr>
        <w:t>xit</w:t>
      </w:r>
      <w:r>
        <w:rPr>
          <w:rFonts w:ascii="Times New Roman" w:hAnsi="Times New Roman" w:cs="Times New Roman"/>
          <w:b/>
        </w:rPr>
        <w:t>: Lead versus non-lead sample</w:t>
      </w:r>
    </w:p>
    <w:p w14:paraId="165B29D5" w14:textId="77777777" w:rsidR="002612BA" w:rsidRDefault="002612BA" w:rsidP="007E519D">
      <w:pPr>
        <w:spacing w:after="0"/>
        <w:jc w:val="both"/>
        <w:rPr>
          <w:rFonts w:ascii="Times New Roman" w:hAnsi="Times New Roman" w:cs="Times New Roman"/>
          <w:b/>
        </w:rPr>
      </w:pPr>
      <w:r w:rsidRPr="002612BA">
        <w:rPr>
          <w:noProof/>
          <w:lang w:val="en-GB" w:eastAsia="en-GB"/>
        </w:rPr>
        <w:drawing>
          <wp:inline distT="0" distB="0" distL="0" distR="0" wp14:anchorId="59C6FEA2" wp14:editId="42236651">
            <wp:extent cx="5305425" cy="1628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05425" cy="1628775"/>
                    </a:xfrm>
                    <a:prstGeom prst="rect">
                      <a:avLst/>
                    </a:prstGeom>
                    <a:noFill/>
                    <a:ln>
                      <a:noFill/>
                    </a:ln>
                  </pic:spPr>
                </pic:pic>
              </a:graphicData>
            </a:graphic>
          </wp:inline>
        </w:drawing>
      </w:r>
    </w:p>
    <w:p w14:paraId="42608C66" w14:textId="77777777" w:rsidR="002612BA" w:rsidRPr="002612BA" w:rsidRDefault="002612BA" w:rsidP="007E519D">
      <w:pPr>
        <w:spacing w:after="0"/>
        <w:jc w:val="both"/>
        <w:rPr>
          <w:rFonts w:ascii="Times New Roman" w:hAnsi="Times New Roman" w:cs="Times New Roman"/>
          <w:b/>
        </w:rPr>
      </w:pPr>
      <w:r>
        <w:rPr>
          <w:rFonts w:ascii="Times New Roman" w:hAnsi="Times New Roman" w:cs="Times New Roman"/>
          <w:sz w:val="20"/>
          <w:szCs w:val="24"/>
        </w:rPr>
        <w:t>The dependent variable is</w:t>
      </w:r>
      <w:r w:rsidRPr="00C13D01">
        <w:rPr>
          <w:rFonts w:ascii="Times New Roman" w:hAnsi="Times New Roman" w:cs="Times New Roman"/>
          <w:sz w:val="20"/>
          <w:szCs w:val="24"/>
        </w:rPr>
        <w:t xml:space="preserve"> the hazard of successful exits</w:t>
      </w:r>
      <w:r>
        <w:rPr>
          <w:rFonts w:ascii="Times New Roman" w:hAnsi="Times New Roman" w:cs="Times New Roman"/>
          <w:sz w:val="20"/>
          <w:szCs w:val="24"/>
        </w:rPr>
        <w:t xml:space="preserve"> </w:t>
      </w:r>
      <w:r w:rsidRPr="00C13D01">
        <w:rPr>
          <w:rFonts w:ascii="Times New Roman" w:hAnsi="Times New Roman" w:cs="Times New Roman"/>
          <w:sz w:val="20"/>
          <w:szCs w:val="24"/>
        </w:rPr>
        <w:t>and termination</w:t>
      </w:r>
      <w:r>
        <w:rPr>
          <w:rFonts w:ascii="Times New Roman" w:hAnsi="Times New Roman" w:cs="Times New Roman"/>
          <w:sz w:val="20"/>
          <w:szCs w:val="24"/>
        </w:rPr>
        <w:t xml:space="preserve"> in the subsample of lead investments (Panel A) and of non-lead investments (Panel B). </w:t>
      </w:r>
      <w:r w:rsidRPr="004B362F">
        <w:rPr>
          <w:rFonts w:ascii="Times New Roman" w:hAnsi="Times New Roman" w:cs="Times New Roman"/>
          <w:sz w:val="20"/>
          <w:szCs w:val="20"/>
        </w:rPr>
        <w:t xml:space="preserve">The coefficients of the </w:t>
      </w:r>
      <w:r>
        <w:rPr>
          <w:rFonts w:ascii="Times New Roman" w:hAnsi="Times New Roman" w:cs="Times New Roman"/>
          <w:sz w:val="20"/>
          <w:szCs w:val="20"/>
        </w:rPr>
        <w:t>control</w:t>
      </w:r>
      <w:r w:rsidRPr="004B362F">
        <w:rPr>
          <w:rFonts w:ascii="Times New Roman" w:hAnsi="Times New Roman" w:cs="Times New Roman"/>
          <w:sz w:val="20"/>
          <w:szCs w:val="20"/>
        </w:rPr>
        <w:t xml:space="preserve"> variables are not reported due to space conside</w:t>
      </w:r>
      <w:r>
        <w:rPr>
          <w:rFonts w:ascii="Times New Roman" w:hAnsi="Times New Roman" w:cs="Times New Roman"/>
          <w:sz w:val="20"/>
          <w:szCs w:val="20"/>
        </w:rPr>
        <w:t>rations.</w:t>
      </w:r>
    </w:p>
    <w:p w14:paraId="0CF6EB7E" w14:textId="77777777" w:rsidR="002612BA" w:rsidRDefault="002612BA">
      <w:pPr>
        <w:rPr>
          <w:rFonts w:ascii="Times New Roman" w:hAnsi="Times New Roman" w:cs="Times New Roman"/>
          <w:b/>
        </w:rPr>
      </w:pPr>
    </w:p>
    <w:p w14:paraId="77B4EA5B" w14:textId="77777777" w:rsidR="002612BA" w:rsidRDefault="002612BA">
      <w:pPr>
        <w:rPr>
          <w:rFonts w:ascii="Times New Roman" w:hAnsi="Times New Roman" w:cs="Times New Roman"/>
          <w:b/>
        </w:rPr>
      </w:pPr>
      <w:r>
        <w:rPr>
          <w:rFonts w:ascii="Times New Roman" w:hAnsi="Times New Roman" w:cs="Times New Roman"/>
          <w:b/>
        </w:rPr>
        <w:br w:type="page"/>
      </w:r>
    </w:p>
    <w:p w14:paraId="728F9DFD" w14:textId="77777777" w:rsidR="00626773" w:rsidRPr="00626773" w:rsidRDefault="00626773" w:rsidP="00626773">
      <w:pPr>
        <w:spacing w:after="0" w:line="480" w:lineRule="auto"/>
        <w:contextualSpacing/>
        <w:mirrorIndents/>
        <w:rPr>
          <w:rFonts w:ascii="Times New Roman" w:hAnsi="Times New Roman" w:cs="Times New Roman"/>
          <w:b/>
        </w:rPr>
      </w:pPr>
      <w:r w:rsidRPr="00626773">
        <w:rPr>
          <w:rFonts w:ascii="Times New Roman" w:hAnsi="Times New Roman" w:cs="Times New Roman"/>
          <w:b/>
        </w:rPr>
        <w:lastRenderedPageBreak/>
        <w:t>Figure 1</w:t>
      </w:r>
      <w:r>
        <w:rPr>
          <w:rFonts w:ascii="Times New Roman" w:hAnsi="Times New Roman" w:cs="Times New Roman"/>
          <w:b/>
        </w:rPr>
        <w:t>:</w:t>
      </w:r>
      <w:r w:rsidRPr="00626773">
        <w:rPr>
          <w:rFonts w:ascii="Times New Roman" w:hAnsi="Times New Roman" w:cs="Times New Roman"/>
          <w:b/>
        </w:rPr>
        <w:t xml:space="preserve"> Impact of </w:t>
      </w:r>
      <w:r w:rsidR="007969E2" w:rsidRPr="007969E2">
        <w:rPr>
          <w:rFonts w:ascii="Times New Roman" w:hAnsi="Times New Roman" w:cs="Times New Roman"/>
          <w:b/>
          <w:i/>
        </w:rPr>
        <w:t>ROUNDS</w:t>
      </w:r>
      <w:r w:rsidRPr="00626773">
        <w:rPr>
          <w:rFonts w:ascii="Times New Roman" w:hAnsi="Times New Roman" w:cs="Times New Roman"/>
          <w:b/>
        </w:rPr>
        <w:t xml:space="preserve"> on the baseline hazard of exit</w:t>
      </w:r>
    </w:p>
    <w:p w14:paraId="0AACF9B6" w14:textId="77777777" w:rsidR="00C006D7" w:rsidRDefault="00B86CB6" w:rsidP="004B362F">
      <w:pPr>
        <w:spacing w:after="0" w:line="240" w:lineRule="auto"/>
        <w:contextualSpacing/>
        <w:mirrorIndents/>
        <w:rPr>
          <w:rFonts w:ascii="Times New Roman" w:hAnsi="Times New Roman" w:cs="Times New Roman"/>
          <w:sz w:val="20"/>
          <w:szCs w:val="20"/>
        </w:rPr>
      </w:pPr>
      <w:r>
        <w:rPr>
          <w:noProof/>
          <w:lang w:val="en-GB" w:eastAsia="en-GB"/>
        </w:rPr>
        <w:drawing>
          <wp:inline distT="0" distB="0" distL="0" distR="0" wp14:anchorId="05178B6B" wp14:editId="734C3DE4">
            <wp:extent cx="504825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2F61DE4" w14:textId="77777777" w:rsidR="00B86CB6" w:rsidRPr="00DD1264" w:rsidRDefault="00B86CB6" w:rsidP="004B362F">
      <w:pPr>
        <w:spacing w:after="0" w:line="240" w:lineRule="auto"/>
        <w:contextualSpacing/>
        <w:mirrorIndents/>
        <w:rPr>
          <w:rFonts w:ascii="Times New Roman" w:hAnsi="Times New Roman" w:cs="Times New Roman"/>
          <w:sz w:val="18"/>
          <w:szCs w:val="20"/>
        </w:rPr>
      </w:pPr>
      <w:r>
        <w:rPr>
          <w:rFonts w:ascii="Times New Roman" w:hAnsi="Times New Roman" w:cs="Times New Roman"/>
          <w:sz w:val="20"/>
          <w:szCs w:val="20"/>
        </w:rPr>
        <w:t>Figure 1 shows how the baseline hazard of exit changes over rounds. The exit hazard over rounds is not different for unsuccessful exits and for successful domestic VC firm exits. The impact of additional investment rounds on the hazard of a successful exit is significantly different between domestic VC firms and respectively cross-border and branch VC firms.</w:t>
      </w:r>
      <w:r w:rsidR="00004545">
        <w:rPr>
          <w:rFonts w:ascii="Times New Roman" w:hAnsi="Times New Roman" w:cs="Times New Roman"/>
          <w:sz w:val="20"/>
          <w:szCs w:val="20"/>
        </w:rPr>
        <w:t xml:space="preserve"> </w:t>
      </w:r>
      <w:r w:rsidR="00004545" w:rsidRPr="00CE3EE7">
        <w:rPr>
          <w:rFonts w:ascii="Times New Roman" w:hAnsi="Times New Roman" w:cs="Times New Roman"/>
          <w:sz w:val="20"/>
        </w:rPr>
        <w:t>The impact of additional investment rounds on the hazard of a successful exit between cross-border and branch VC firms is not significantly different.</w:t>
      </w:r>
    </w:p>
    <w:p w14:paraId="76E59EE6" w14:textId="77777777" w:rsidR="009E0A45" w:rsidRDefault="009E0A45" w:rsidP="009E0A45">
      <w:pPr>
        <w:spacing w:line="240" w:lineRule="auto"/>
        <w:jc w:val="center"/>
        <w:rPr>
          <w:rFonts w:ascii="Times New Roman" w:hAnsi="Times New Roman" w:cs="Times New Roman"/>
          <w:b/>
        </w:rPr>
      </w:pPr>
    </w:p>
    <w:p w14:paraId="620DCD0C" w14:textId="77777777" w:rsidR="00C35C66" w:rsidRDefault="00C35C66">
      <w:pPr>
        <w:rPr>
          <w:rFonts w:ascii="Times New Roman" w:hAnsi="Times New Roman" w:cs="Times New Roman"/>
          <w:b/>
          <w:sz w:val="24"/>
          <w:szCs w:val="24"/>
        </w:rPr>
      </w:pPr>
      <w:r>
        <w:rPr>
          <w:rFonts w:ascii="Times New Roman" w:hAnsi="Times New Roman" w:cs="Times New Roman"/>
          <w:b/>
          <w:sz w:val="24"/>
          <w:szCs w:val="24"/>
        </w:rPr>
        <w:br w:type="page"/>
      </w:r>
    </w:p>
    <w:p w14:paraId="468029FD" w14:textId="77777777" w:rsidR="002D399E" w:rsidRDefault="002D399E" w:rsidP="009E0A45">
      <w:pPr>
        <w:spacing w:line="240" w:lineRule="auto"/>
        <w:jc w:val="center"/>
        <w:rPr>
          <w:rFonts w:ascii="Times New Roman" w:hAnsi="Times New Roman" w:cs="Times New Roman"/>
          <w:b/>
        </w:rPr>
      </w:pPr>
      <w:r w:rsidRPr="004A61F6">
        <w:rPr>
          <w:rFonts w:ascii="Times New Roman" w:hAnsi="Times New Roman" w:cs="Times New Roman"/>
          <w:b/>
        </w:rPr>
        <w:lastRenderedPageBreak/>
        <w:t>REFERENCES</w:t>
      </w:r>
    </w:p>
    <w:p w14:paraId="3DD7A694" w14:textId="77777777" w:rsidR="000B515D" w:rsidRDefault="00895DBD" w:rsidP="00275499">
      <w:pPr>
        <w:spacing w:after="0" w:line="240" w:lineRule="auto"/>
        <w:ind w:firstLine="432"/>
        <w:jc w:val="both"/>
        <w:rPr>
          <w:rFonts w:ascii="Times New Roman" w:hAnsi="Times New Roman" w:cs="Times New Roman"/>
          <w:sz w:val="24"/>
          <w:szCs w:val="24"/>
        </w:rPr>
      </w:pPr>
      <w:r w:rsidRPr="00895DBD">
        <w:rPr>
          <w:rFonts w:ascii="Times New Roman" w:hAnsi="Times New Roman" w:cs="Times New Roman"/>
          <w:sz w:val="24"/>
          <w:szCs w:val="24"/>
        </w:rPr>
        <w:t xml:space="preserve">Altman, E. I., </w:t>
      </w:r>
      <w:r w:rsidR="00995842">
        <w:rPr>
          <w:rFonts w:ascii="Times New Roman" w:hAnsi="Times New Roman" w:cs="Times New Roman"/>
          <w:sz w:val="24"/>
          <w:szCs w:val="24"/>
        </w:rPr>
        <w:t>and</w:t>
      </w:r>
      <w:r w:rsidRPr="00895DBD">
        <w:rPr>
          <w:rFonts w:ascii="Times New Roman" w:hAnsi="Times New Roman" w:cs="Times New Roman"/>
          <w:sz w:val="24"/>
          <w:szCs w:val="24"/>
        </w:rPr>
        <w:t xml:space="preserve"> Sabato, G. 2007. Modelling Credit Risk for SMEs: Evidence from the U.S. Market. Abacus, 43(3): 332-357.</w:t>
      </w:r>
    </w:p>
    <w:p w14:paraId="151E432D" w14:textId="0A84CC62" w:rsidR="001B7FB5" w:rsidRPr="00275499" w:rsidRDefault="001B7FB5" w:rsidP="00275499">
      <w:pPr>
        <w:spacing w:after="0" w:line="240" w:lineRule="auto"/>
        <w:ind w:firstLine="432"/>
        <w:jc w:val="both"/>
        <w:rPr>
          <w:rFonts w:ascii="Times New Roman" w:hAnsi="Times New Roman" w:cs="Times New Roman"/>
          <w:sz w:val="24"/>
          <w:szCs w:val="24"/>
        </w:rPr>
      </w:pPr>
      <w:r w:rsidRPr="00275499">
        <w:rPr>
          <w:rFonts w:ascii="Times New Roman" w:hAnsi="Times New Roman" w:cs="Times New Roman"/>
          <w:sz w:val="24"/>
          <w:szCs w:val="24"/>
        </w:rPr>
        <w:t xml:space="preserve">Baldwin, R. 1988. Hysteresis in import prices: The beachhead effect. American </w:t>
      </w:r>
      <w:r w:rsidR="0060112F">
        <w:rPr>
          <w:rFonts w:ascii="Times New Roman" w:hAnsi="Times New Roman" w:cs="Times New Roman"/>
          <w:sz w:val="24"/>
          <w:szCs w:val="24"/>
        </w:rPr>
        <w:t>E</w:t>
      </w:r>
      <w:r w:rsidRPr="00275499">
        <w:rPr>
          <w:rFonts w:ascii="Times New Roman" w:hAnsi="Times New Roman" w:cs="Times New Roman"/>
          <w:sz w:val="24"/>
          <w:szCs w:val="24"/>
        </w:rPr>
        <w:t xml:space="preserve">conomic </w:t>
      </w:r>
      <w:r w:rsidR="0060112F">
        <w:rPr>
          <w:rFonts w:ascii="Times New Roman" w:hAnsi="Times New Roman" w:cs="Times New Roman"/>
          <w:sz w:val="24"/>
          <w:szCs w:val="24"/>
        </w:rPr>
        <w:t>R</w:t>
      </w:r>
      <w:r w:rsidRPr="00275499">
        <w:rPr>
          <w:rFonts w:ascii="Times New Roman" w:hAnsi="Times New Roman" w:cs="Times New Roman"/>
          <w:sz w:val="24"/>
          <w:szCs w:val="24"/>
        </w:rPr>
        <w:t>eview</w:t>
      </w:r>
      <w:r w:rsidR="0060112F">
        <w:rPr>
          <w:rFonts w:ascii="Times New Roman" w:hAnsi="Times New Roman" w:cs="Times New Roman"/>
          <w:sz w:val="24"/>
          <w:szCs w:val="24"/>
        </w:rPr>
        <w:t>,</w:t>
      </w:r>
      <w:r w:rsidRPr="00275499">
        <w:rPr>
          <w:rFonts w:ascii="Times New Roman" w:hAnsi="Times New Roman" w:cs="Times New Roman"/>
          <w:sz w:val="24"/>
          <w:szCs w:val="24"/>
        </w:rPr>
        <w:t xml:space="preserve"> 78(4): 773-785.</w:t>
      </w:r>
    </w:p>
    <w:p w14:paraId="4503CCCB" w14:textId="77777777" w:rsidR="00A44704" w:rsidRDefault="00A44704" w:rsidP="00B8400A">
      <w:pPr>
        <w:spacing w:after="0" w:line="240" w:lineRule="auto"/>
        <w:ind w:firstLine="432"/>
        <w:jc w:val="both"/>
        <w:rPr>
          <w:rFonts w:ascii="Times New Roman" w:hAnsi="Times New Roman" w:cs="Times New Roman"/>
          <w:sz w:val="24"/>
          <w:szCs w:val="24"/>
        </w:rPr>
      </w:pPr>
      <w:r>
        <w:rPr>
          <w:rFonts w:ascii="Times New Roman" w:hAnsi="Times New Roman" w:cs="Times New Roman"/>
          <w:sz w:val="24"/>
          <w:szCs w:val="24"/>
        </w:rPr>
        <w:t>Benson, D., and Ziedonis, R.H., 2010. Corporate venture capital and the returns to acquiring portfolio companies. Journal of Financial Economics, 98:478-499.</w:t>
      </w:r>
    </w:p>
    <w:p w14:paraId="3DD47178" w14:textId="77777777" w:rsidR="00A73432" w:rsidRPr="00A73432" w:rsidRDefault="00A73432" w:rsidP="00B8400A">
      <w:pPr>
        <w:spacing w:after="0" w:line="24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Bertoni, F., </w:t>
      </w:r>
      <w:r w:rsidR="00995842">
        <w:rPr>
          <w:rFonts w:ascii="Times New Roman" w:hAnsi="Times New Roman" w:cs="Times New Roman"/>
          <w:sz w:val="24"/>
          <w:szCs w:val="24"/>
        </w:rPr>
        <w:t>and</w:t>
      </w:r>
      <w:r>
        <w:rPr>
          <w:rFonts w:ascii="Times New Roman" w:hAnsi="Times New Roman" w:cs="Times New Roman"/>
          <w:sz w:val="24"/>
          <w:szCs w:val="24"/>
        </w:rPr>
        <w:t xml:space="preserve"> Marti Pell</w:t>
      </w:r>
      <w:r w:rsidR="008D432E" w:rsidRPr="00977375">
        <w:rPr>
          <w:rFonts w:ascii="Times New Roman" w:hAnsi="Times New Roman" w:cs="Times New Roman"/>
          <w:lang w:val="es-ES_tradnl"/>
        </w:rPr>
        <w:t>ó</w:t>
      </w:r>
      <w:r>
        <w:rPr>
          <w:rFonts w:ascii="Times New Roman" w:hAnsi="Times New Roman" w:cs="Times New Roman"/>
          <w:sz w:val="24"/>
          <w:szCs w:val="24"/>
        </w:rPr>
        <w:t xml:space="preserve">n, J. 2011. Financing entrepreneurial ventures in Europe: The VICO dataset. </w:t>
      </w:r>
      <w:r w:rsidRPr="00A73432">
        <w:rPr>
          <w:rFonts w:ascii="Times New Roman" w:hAnsi="Times New Roman" w:cs="Times New Roman"/>
          <w:sz w:val="24"/>
          <w:szCs w:val="24"/>
        </w:rPr>
        <w:t>http://ssrn.com/abstract=1904297</w:t>
      </w:r>
    </w:p>
    <w:p w14:paraId="1A11EDC0" w14:textId="77777777" w:rsidR="00895DBD" w:rsidRPr="00895DBD" w:rsidRDefault="00895DBD" w:rsidP="00B8400A">
      <w:pPr>
        <w:spacing w:after="0" w:line="240" w:lineRule="auto"/>
        <w:ind w:firstLine="432"/>
        <w:jc w:val="both"/>
        <w:rPr>
          <w:rFonts w:ascii="Times New Roman" w:hAnsi="Times New Roman" w:cs="Times New Roman"/>
          <w:sz w:val="24"/>
          <w:szCs w:val="24"/>
        </w:rPr>
      </w:pPr>
      <w:r w:rsidRPr="00895DBD">
        <w:rPr>
          <w:rFonts w:ascii="Times New Roman" w:hAnsi="Times New Roman" w:cs="Times New Roman"/>
          <w:sz w:val="24"/>
          <w:szCs w:val="24"/>
        </w:rPr>
        <w:t xml:space="preserve">Birmingham, C., Busenitz, L. W., </w:t>
      </w:r>
      <w:r w:rsidR="00995842">
        <w:rPr>
          <w:rFonts w:ascii="Times New Roman" w:hAnsi="Times New Roman" w:cs="Times New Roman"/>
          <w:sz w:val="24"/>
          <w:szCs w:val="24"/>
        </w:rPr>
        <w:t>and</w:t>
      </w:r>
      <w:r w:rsidRPr="00895DBD">
        <w:rPr>
          <w:rFonts w:ascii="Times New Roman" w:hAnsi="Times New Roman" w:cs="Times New Roman"/>
          <w:sz w:val="24"/>
          <w:szCs w:val="24"/>
        </w:rPr>
        <w:t xml:space="preserve"> Arthurs, J. D. 2003. The escalation of commitment by venture capitalists in reinvestment decisions. Venture Capital, 5(3): 218-230.</w:t>
      </w:r>
    </w:p>
    <w:p w14:paraId="3CDA9A78" w14:textId="77777777" w:rsidR="00895DBD" w:rsidRPr="00895DBD" w:rsidRDefault="00895DBD" w:rsidP="00B8400A">
      <w:pPr>
        <w:spacing w:after="0" w:line="240" w:lineRule="auto"/>
        <w:ind w:firstLine="432"/>
        <w:jc w:val="both"/>
        <w:rPr>
          <w:rFonts w:ascii="Times New Roman" w:hAnsi="Times New Roman" w:cs="Times New Roman"/>
          <w:sz w:val="24"/>
          <w:szCs w:val="24"/>
        </w:rPr>
      </w:pPr>
      <w:r w:rsidRPr="00895DBD">
        <w:rPr>
          <w:rFonts w:ascii="Times New Roman" w:hAnsi="Times New Roman" w:cs="Times New Roman"/>
          <w:sz w:val="24"/>
          <w:szCs w:val="24"/>
        </w:rPr>
        <w:t>Boddewyn, J. J. 1983. Foreign and Domestic Divestment and Investment Decisions - Like or Unlike. Journal of International Business Studies, 14(3): 23-35.</w:t>
      </w:r>
    </w:p>
    <w:p w14:paraId="2964BE85" w14:textId="77777777" w:rsidR="00895DBD" w:rsidRPr="00895DBD" w:rsidRDefault="00895DBD" w:rsidP="00B8400A">
      <w:pPr>
        <w:spacing w:after="0" w:line="240" w:lineRule="auto"/>
        <w:ind w:firstLine="432"/>
        <w:jc w:val="both"/>
        <w:rPr>
          <w:rFonts w:ascii="Times New Roman" w:hAnsi="Times New Roman" w:cs="Times New Roman"/>
          <w:sz w:val="24"/>
          <w:szCs w:val="24"/>
        </w:rPr>
      </w:pPr>
      <w:r w:rsidRPr="00895DBD">
        <w:rPr>
          <w:rFonts w:ascii="Times New Roman" w:hAnsi="Times New Roman" w:cs="Times New Roman"/>
          <w:sz w:val="24"/>
          <w:szCs w:val="24"/>
        </w:rPr>
        <w:t xml:space="preserve">Bragger, J. D., Bragger, D., Hantula, D. A., </w:t>
      </w:r>
      <w:r w:rsidR="00995842">
        <w:rPr>
          <w:rFonts w:ascii="Times New Roman" w:hAnsi="Times New Roman" w:cs="Times New Roman"/>
          <w:sz w:val="24"/>
          <w:szCs w:val="24"/>
        </w:rPr>
        <w:t>and</w:t>
      </w:r>
      <w:r w:rsidRPr="00895DBD">
        <w:rPr>
          <w:rFonts w:ascii="Times New Roman" w:hAnsi="Times New Roman" w:cs="Times New Roman"/>
          <w:sz w:val="24"/>
          <w:szCs w:val="24"/>
        </w:rPr>
        <w:t xml:space="preserve"> Kirnan, J. 1998. Hysteresis and uncertainty: The effect of uncertainty on delays to exit decisions. Organizational Behavior and Human Decision Processes, 74(3): 229-253.</w:t>
      </w:r>
    </w:p>
    <w:p w14:paraId="18EDAE63" w14:textId="77777777" w:rsidR="002A0EB5" w:rsidRPr="00B8400A" w:rsidRDefault="002A0EB5" w:rsidP="00B8400A">
      <w:pPr>
        <w:spacing w:after="0" w:line="240" w:lineRule="auto"/>
        <w:ind w:firstLine="432"/>
        <w:jc w:val="both"/>
        <w:rPr>
          <w:rFonts w:ascii="Times New Roman" w:hAnsi="Times New Roman" w:cs="Times New Roman"/>
          <w:sz w:val="24"/>
          <w:szCs w:val="24"/>
        </w:rPr>
      </w:pPr>
      <w:r w:rsidRPr="00B8400A">
        <w:rPr>
          <w:rFonts w:ascii="Times New Roman" w:hAnsi="Times New Roman" w:cs="Times New Roman"/>
          <w:sz w:val="24"/>
          <w:szCs w:val="24"/>
        </w:rPr>
        <w:t xml:space="preserve">Chemmanur, T.J., Hull, T., and Krishnan, </w:t>
      </w:r>
      <w:r w:rsidR="0030156D" w:rsidRPr="00B8400A">
        <w:rPr>
          <w:rFonts w:ascii="Times New Roman" w:hAnsi="Times New Roman" w:cs="Times New Roman"/>
          <w:sz w:val="24"/>
          <w:szCs w:val="24"/>
        </w:rPr>
        <w:t xml:space="preserve">K. 2012. </w:t>
      </w:r>
      <w:r w:rsidRPr="00B8400A">
        <w:rPr>
          <w:rFonts w:ascii="Times New Roman" w:hAnsi="Times New Roman" w:cs="Times New Roman"/>
          <w:sz w:val="24"/>
          <w:szCs w:val="24"/>
        </w:rPr>
        <w:t xml:space="preserve">Do </w:t>
      </w:r>
      <w:r w:rsidR="00B8400A">
        <w:rPr>
          <w:rFonts w:ascii="Times New Roman" w:hAnsi="Times New Roman" w:cs="Times New Roman"/>
          <w:sz w:val="24"/>
          <w:szCs w:val="24"/>
        </w:rPr>
        <w:t>l</w:t>
      </w:r>
      <w:r w:rsidR="00B8400A" w:rsidRPr="00B8400A">
        <w:rPr>
          <w:rFonts w:ascii="Times New Roman" w:hAnsi="Times New Roman" w:cs="Times New Roman"/>
          <w:sz w:val="24"/>
          <w:szCs w:val="24"/>
        </w:rPr>
        <w:t xml:space="preserve">ocal </w:t>
      </w:r>
      <w:r w:rsidRPr="00B8400A">
        <w:rPr>
          <w:rFonts w:ascii="Times New Roman" w:hAnsi="Times New Roman" w:cs="Times New Roman"/>
          <w:sz w:val="24"/>
          <w:szCs w:val="24"/>
        </w:rPr>
        <w:t xml:space="preserve">and </w:t>
      </w:r>
      <w:r w:rsidR="00B8400A">
        <w:rPr>
          <w:rFonts w:ascii="Times New Roman" w:hAnsi="Times New Roman" w:cs="Times New Roman"/>
          <w:sz w:val="24"/>
          <w:szCs w:val="24"/>
        </w:rPr>
        <w:t>i</w:t>
      </w:r>
      <w:r w:rsidR="00B8400A" w:rsidRPr="00B8400A">
        <w:rPr>
          <w:rFonts w:ascii="Times New Roman" w:hAnsi="Times New Roman" w:cs="Times New Roman"/>
          <w:sz w:val="24"/>
          <w:szCs w:val="24"/>
        </w:rPr>
        <w:t xml:space="preserve">nternational </w:t>
      </w:r>
      <w:r w:rsidR="00B8400A">
        <w:rPr>
          <w:rFonts w:ascii="Times New Roman" w:hAnsi="Times New Roman" w:cs="Times New Roman"/>
          <w:sz w:val="24"/>
          <w:szCs w:val="24"/>
        </w:rPr>
        <w:t>v</w:t>
      </w:r>
      <w:r w:rsidR="00B8400A" w:rsidRPr="00B8400A">
        <w:rPr>
          <w:rFonts w:ascii="Times New Roman" w:hAnsi="Times New Roman" w:cs="Times New Roman"/>
          <w:sz w:val="24"/>
          <w:szCs w:val="24"/>
        </w:rPr>
        <w:t xml:space="preserve">enture </w:t>
      </w:r>
      <w:r w:rsidR="00B8400A">
        <w:rPr>
          <w:rFonts w:ascii="Times New Roman" w:hAnsi="Times New Roman" w:cs="Times New Roman"/>
          <w:sz w:val="24"/>
          <w:szCs w:val="24"/>
        </w:rPr>
        <w:t>c</w:t>
      </w:r>
      <w:r w:rsidR="00B8400A" w:rsidRPr="00B8400A">
        <w:rPr>
          <w:rFonts w:ascii="Times New Roman" w:hAnsi="Times New Roman" w:cs="Times New Roman"/>
          <w:sz w:val="24"/>
          <w:szCs w:val="24"/>
        </w:rPr>
        <w:t xml:space="preserve">apitalists </w:t>
      </w:r>
      <w:r w:rsidR="00B8400A">
        <w:rPr>
          <w:rFonts w:ascii="Times New Roman" w:hAnsi="Times New Roman" w:cs="Times New Roman"/>
          <w:sz w:val="24"/>
          <w:szCs w:val="24"/>
        </w:rPr>
        <w:t>p</w:t>
      </w:r>
      <w:r w:rsidR="00B8400A" w:rsidRPr="00B8400A">
        <w:rPr>
          <w:rFonts w:ascii="Times New Roman" w:hAnsi="Times New Roman" w:cs="Times New Roman"/>
          <w:sz w:val="24"/>
          <w:szCs w:val="24"/>
        </w:rPr>
        <w:t xml:space="preserve">lay </w:t>
      </w:r>
      <w:r w:rsidR="00B8400A">
        <w:rPr>
          <w:rFonts w:ascii="Times New Roman" w:hAnsi="Times New Roman" w:cs="Times New Roman"/>
          <w:sz w:val="24"/>
          <w:szCs w:val="24"/>
        </w:rPr>
        <w:t>w</w:t>
      </w:r>
      <w:r w:rsidR="00B8400A" w:rsidRPr="00B8400A">
        <w:rPr>
          <w:rFonts w:ascii="Times New Roman" w:hAnsi="Times New Roman" w:cs="Times New Roman"/>
          <w:sz w:val="24"/>
          <w:szCs w:val="24"/>
        </w:rPr>
        <w:t xml:space="preserve">ell </w:t>
      </w:r>
      <w:r w:rsidR="00B8400A">
        <w:rPr>
          <w:rFonts w:ascii="Times New Roman" w:hAnsi="Times New Roman" w:cs="Times New Roman"/>
          <w:sz w:val="24"/>
          <w:szCs w:val="24"/>
        </w:rPr>
        <w:t>t</w:t>
      </w:r>
      <w:r w:rsidR="00B8400A" w:rsidRPr="00B8400A">
        <w:rPr>
          <w:rFonts w:ascii="Times New Roman" w:hAnsi="Times New Roman" w:cs="Times New Roman"/>
          <w:sz w:val="24"/>
          <w:szCs w:val="24"/>
        </w:rPr>
        <w:t>ogether</w:t>
      </w:r>
      <w:r w:rsidRPr="00B8400A">
        <w:rPr>
          <w:rFonts w:ascii="Times New Roman" w:hAnsi="Times New Roman" w:cs="Times New Roman"/>
          <w:sz w:val="24"/>
          <w:szCs w:val="24"/>
        </w:rPr>
        <w:t xml:space="preserve">? International </w:t>
      </w:r>
      <w:r w:rsidR="00B8400A">
        <w:rPr>
          <w:rFonts w:ascii="Times New Roman" w:hAnsi="Times New Roman" w:cs="Times New Roman"/>
          <w:sz w:val="24"/>
          <w:szCs w:val="24"/>
        </w:rPr>
        <w:t>v</w:t>
      </w:r>
      <w:r w:rsidR="00B8400A" w:rsidRPr="00B8400A">
        <w:rPr>
          <w:rFonts w:ascii="Times New Roman" w:hAnsi="Times New Roman" w:cs="Times New Roman"/>
          <w:sz w:val="24"/>
          <w:szCs w:val="24"/>
        </w:rPr>
        <w:t xml:space="preserve">enture </w:t>
      </w:r>
      <w:r w:rsidR="00B8400A">
        <w:rPr>
          <w:rFonts w:ascii="Times New Roman" w:hAnsi="Times New Roman" w:cs="Times New Roman"/>
          <w:sz w:val="24"/>
          <w:szCs w:val="24"/>
        </w:rPr>
        <w:t>c</w:t>
      </w:r>
      <w:r w:rsidR="00B8400A" w:rsidRPr="00B8400A">
        <w:rPr>
          <w:rFonts w:ascii="Times New Roman" w:hAnsi="Times New Roman" w:cs="Times New Roman"/>
          <w:sz w:val="24"/>
          <w:szCs w:val="24"/>
        </w:rPr>
        <w:t xml:space="preserve">apital </w:t>
      </w:r>
      <w:r w:rsidR="00B8400A">
        <w:rPr>
          <w:rFonts w:ascii="Times New Roman" w:hAnsi="Times New Roman" w:cs="Times New Roman"/>
          <w:sz w:val="24"/>
          <w:szCs w:val="24"/>
        </w:rPr>
        <w:t>i</w:t>
      </w:r>
      <w:r w:rsidR="00B8400A" w:rsidRPr="00B8400A">
        <w:rPr>
          <w:rFonts w:ascii="Times New Roman" w:hAnsi="Times New Roman" w:cs="Times New Roman"/>
          <w:sz w:val="24"/>
          <w:szCs w:val="24"/>
        </w:rPr>
        <w:t xml:space="preserve">nvestments </w:t>
      </w:r>
      <w:r w:rsidRPr="00B8400A">
        <w:rPr>
          <w:rFonts w:ascii="Times New Roman" w:hAnsi="Times New Roman" w:cs="Times New Roman"/>
          <w:sz w:val="24"/>
          <w:szCs w:val="24"/>
        </w:rPr>
        <w:t xml:space="preserve">and the </w:t>
      </w:r>
      <w:r w:rsidR="00B8400A">
        <w:rPr>
          <w:rFonts w:ascii="Times New Roman" w:hAnsi="Times New Roman" w:cs="Times New Roman"/>
          <w:sz w:val="24"/>
          <w:szCs w:val="24"/>
        </w:rPr>
        <w:t>d</w:t>
      </w:r>
      <w:r w:rsidR="00B8400A" w:rsidRPr="00B8400A">
        <w:rPr>
          <w:rFonts w:ascii="Times New Roman" w:hAnsi="Times New Roman" w:cs="Times New Roman"/>
          <w:sz w:val="24"/>
          <w:szCs w:val="24"/>
        </w:rPr>
        <w:t xml:space="preserve">evelopment </w:t>
      </w:r>
      <w:r w:rsidRPr="00B8400A">
        <w:rPr>
          <w:rFonts w:ascii="Times New Roman" w:hAnsi="Times New Roman" w:cs="Times New Roman"/>
          <w:sz w:val="24"/>
          <w:szCs w:val="24"/>
        </w:rPr>
        <w:t xml:space="preserve">of </w:t>
      </w:r>
      <w:r w:rsidR="00B8400A">
        <w:rPr>
          <w:rFonts w:ascii="Times New Roman" w:hAnsi="Times New Roman" w:cs="Times New Roman"/>
          <w:sz w:val="24"/>
          <w:szCs w:val="24"/>
        </w:rPr>
        <w:t>v</w:t>
      </w:r>
      <w:r w:rsidR="00B8400A" w:rsidRPr="00B8400A">
        <w:rPr>
          <w:rFonts w:ascii="Times New Roman" w:hAnsi="Times New Roman" w:cs="Times New Roman"/>
          <w:sz w:val="24"/>
          <w:szCs w:val="24"/>
        </w:rPr>
        <w:t xml:space="preserve">enture </w:t>
      </w:r>
      <w:r w:rsidR="00B8400A">
        <w:rPr>
          <w:rFonts w:ascii="Times New Roman" w:hAnsi="Times New Roman" w:cs="Times New Roman"/>
          <w:sz w:val="24"/>
          <w:szCs w:val="24"/>
        </w:rPr>
        <w:t>c</w:t>
      </w:r>
      <w:r w:rsidR="00B8400A" w:rsidRPr="00B8400A">
        <w:rPr>
          <w:rFonts w:ascii="Times New Roman" w:hAnsi="Times New Roman" w:cs="Times New Roman"/>
          <w:sz w:val="24"/>
          <w:szCs w:val="24"/>
        </w:rPr>
        <w:t xml:space="preserve">apital </w:t>
      </w:r>
      <w:r w:rsidR="00B8400A">
        <w:rPr>
          <w:rFonts w:ascii="Times New Roman" w:hAnsi="Times New Roman" w:cs="Times New Roman"/>
          <w:sz w:val="24"/>
          <w:szCs w:val="24"/>
        </w:rPr>
        <w:t>m</w:t>
      </w:r>
      <w:r w:rsidR="00B8400A" w:rsidRPr="00B8400A">
        <w:rPr>
          <w:rFonts w:ascii="Times New Roman" w:hAnsi="Times New Roman" w:cs="Times New Roman"/>
          <w:sz w:val="24"/>
          <w:szCs w:val="24"/>
        </w:rPr>
        <w:t>arkets</w:t>
      </w:r>
      <w:r w:rsidRPr="00B8400A">
        <w:rPr>
          <w:rFonts w:ascii="Times New Roman" w:hAnsi="Times New Roman" w:cs="Times New Roman"/>
          <w:sz w:val="24"/>
          <w:szCs w:val="24"/>
        </w:rPr>
        <w:t>. AFA</w:t>
      </w:r>
      <w:r w:rsidR="0030156D" w:rsidRPr="00B8400A">
        <w:rPr>
          <w:rFonts w:ascii="Times New Roman" w:hAnsi="Times New Roman" w:cs="Times New Roman"/>
          <w:sz w:val="24"/>
          <w:szCs w:val="24"/>
        </w:rPr>
        <w:t xml:space="preserve"> 2012</w:t>
      </w:r>
      <w:r w:rsidRPr="00B8400A">
        <w:rPr>
          <w:rFonts w:ascii="Times New Roman" w:hAnsi="Times New Roman" w:cs="Times New Roman"/>
          <w:sz w:val="24"/>
          <w:szCs w:val="24"/>
        </w:rPr>
        <w:t xml:space="preserve"> Chicago Meetings Paper. SSRN: </w:t>
      </w:r>
      <w:hyperlink r:id="rId15" w:tgtFrame="_blank" w:history="1">
        <w:r w:rsidRPr="00B8400A">
          <w:rPr>
            <w:rStyle w:val="Hyperlink"/>
            <w:rFonts w:ascii="Times New Roman" w:hAnsi="Times New Roman" w:cs="Times New Roman"/>
            <w:color w:val="auto"/>
            <w:sz w:val="24"/>
            <w:szCs w:val="24"/>
          </w:rPr>
          <w:t>http://ssrn.com/abstract=1670319</w:t>
        </w:r>
      </w:hyperlink>
      <w:r w:rsidRPr="00B8400A">
        <w:rPr>
          <w:rFonts w:ascii="Times New Roman" w:hAnsi="Times New Roman" w:cs="Times New Roman"/>
          <w:sz w:val="24"/>
          <w:szCs w:val="24"/>
        </w:rPr>
        <w:t xml:space="preserve"> </w:t>
      </w:r>
    </w:p>
    <w:p w14:paraId="7147DD09" w14:textId="77777777" w:rsidR="00B643C4" w:rsidRPr="00C0790E" w:rsidRDefault="00083EF4" w:rsidP="00B643C4">
      <w:pPr>
        <w:spacing w:after="0" w:line="240" w:lineRule="auto"/>
        <w:ind w:firstLine="432"/>
        <w:jc w:val="both"/>
        <w:rPr>
          <w:rFonts w:ascii="Times New Roman" w:hAnsi="Times New Roman" w:cs="Times New Roman"/>
          <w:sz w:val="24"/>
          <w:szCs w:val="24"/>
        </w:rPr>
      </w:pPr>
      <w:r w:rsidRPr="00C0790E">
        <w:rPr>
          <w:rFonts w:ascii="Times New Roman" w:hAnsi="Times New Roman" w:cs="Times New Roman"/>
          <w:sz w:val="24"/>
          <w:szCs w:val="24"/>
        </w:rPr>
        <w:t>Coibion,</w:t>
      </w:r>
      <w:r w:rsidR="00C4117B">
        <w:rPr>
          <w:rFonts w:ascii="Times New Roman" w:hAnsi="Times New Roman" w:cs="Times New Roman"/>
          <w:sz w:val="24"/>
          <w:szCs w:val="24"/>
        </w:rPr>
        <w:t xml:space="preserve"> A.,</w:t>
      </w:r>
      <w:r w:rsidRPr="00C0790E">
        <w:rPr>
          <w:rFonts w:ascii="Times New Roman" w:hAnsi="Times New Roman" w:cs="Times New Roman"/>
          <w:sz w:val="24"/>
          <w:szCs w:val="24"/>
        </w:rPr>
        <w:t xml:space="preserve"> Ballegeer</w:t>
      </w:r>
      <w:r w:rsidR="00C4117B">
        <w:rPr>
          <w:rFonts w:ascii="Times New Roman" w:hAnsi="Times New Roman" w:cs="Times New Roman"/>
          <w:sz w:val="24"/>
          <w:szCs w:val="24"/>
        </w:rPr>
        <w:t>, D.</w:t>
      </w:r>
      <w:r w:rsidR="00B643C4">
        <w:rPr>
          <w:rFonts w:ascii="Times New Roman" w:hAnsi="Times New Roman" w:cs="Times New Roman"/>
          <w:sz w:val="24"/>
          <w:szCs w:val="24"/>
        </w:rPr>
        <w:t>,</w:t>
      </w:r>
      <w:r w:rsidRPr="00C0790E">
        <w:rPr>
          <w:rFonts w:ascii="Times New Roman" w:hAnsi="Times New Roman" w:cs="Times New Roman"/>
          <w:sz w:val="24"/>
          <w:szCs w:val="24"/>
        </w:rPr>
        <w:t xml:space="preserve"> and Vanhulle</w:t>
      </w:r>
      <w:r w:rsidR="00C4117B">
        <w:rPr>
          <w:rFonts w:ascii="Times New Roman" w:hAnsi="Times New Roman" w:cs="Times New Roman"/>
          <w:sz w:val="24"/>
          <w:szCs w:val="24"/>
        </w:rPr>
        <w:t>, H.</w:t>
      </w:r>
      <w:r w:rsidRPr="00C0790E">
        <w:rPr>
          <w:rFonts w:ascii="Times New Roman" w:hAnsi="Times New Roman" w:cs="Times New Roman"/>
          <w:sz w:val="24"/>
          <w:szCs w:val="24"/>
        </w:rPr>
        <w:t xml:space="preserve"> </w:t>
      </w:r>
      <w:r w:rsidR="00C0790E" w:rsidRPr="00C0790E">
        <w:rPr>
          <w:rFonts w:ascii="Times New Roman" w:hAnsi="Times New Roman" w:cs="Times New Roman"/>
          <w:sz w:val="24"/>
          <w:szCs w:val="24"/>
        </w:rPr>
        <w:t xml:space="preserve">2015. On the up again. </w:t>
      </w:r>
      <w:r w:rsidR="00C0790E" w:rsidRPr="00B643C4">
        <w:rPr>
          <w:rFonts w:ascii="Times New Roman" w:hAnsi="Times New Roman" w:cs="Times New Roman"/>
          <w:sz w:val="24"/>
          <w:szCs w:val="24"/>
        </w:rPr>
        <w:t xml:space="preserve">IFLR Private Equity and Venture Capital. </w:t>
      </w:r>
      <w:hyperlink r:id="rId16" w:history="1">
        <w:r w:rsidR="00C0790E" w:rsidRPr="007E519D">
          <w:rPr>
            <w:rStyle w:val="Hyperlink"/>
            <w:rFonts w:ascii="Times New Roman" w:eastAsia="Times New Roman" w:hAnsi="Times New Roman" w:cs="Times New Roman"/>
            <w:color w:val="auto"/>
            <w:sz w:val="24"/>
            <w:szCs w:val="24"/>
            <w:u w:val="none"/>
            <w:lang w:val="en-GB"/>
          </w:rPr>
          <w:t>http://www.linklaters.com/pdfs/mkt/brussels/IFLR_PEVC_Linklaters_Belgium.pdf</w:t>
        </w:r>
      </w:hyperlink>
    </w:p>
    <w:p w14:paraId="6CF790A3" w14:textId="77777777" w:rsidR="00083EF4" w:rsidRPr="00895DBD" w:rsidRDefault="00895DBD" w:rsidP="00B8400A">
      <w:pPr>
        <w:spacing w:after="0" w:line="240" w:lineRule="auto"/>
        <w:ind w:firstLine="432"/>
        <w:jc w:val="both"/>
        <w:rPr>
          <w:rFonts w:ascii="Times New Roman" w:hAnsi="Times New Roman" w:cs="Times New Roman"/>
          <w:sz w:val="24"/>
          <w:szCs w:val="24"/>
        </w:rPr>
      </w:pPr>
      <w:r w:rsidRPr="00895DBD">
        <w:rPr>
          <w:rFonts w:ascii="Times New Roman" w:hAnsi="Times New Roman" w:cs="Times New Roman"/>
          <w:sz w:val="24"/>
          <w:szCs w:val="24"/>
        </w:rPr>
        <w:t xml:space="preserve">Cumming, D., </w:t>
      </w:r>
      <w:r w:rsidR="00995842">
        <w:rPr>
          <w:rFonts w:ascii="Times New Roman" w:hAnsi="Times New Roman" w:cs="Times New Roman"/>
          <w:sz w:val="24"/>
          <w:szCs w:val="24"/>
        </w:rPr>
        <w:t>and</w:t>
      </w:r>
      <w:r w:rsidRPr="00895DBD">
        <w:rPr>
          <w:rFonts w:ascii="Times New Roman" w:hAnsi="Times New Roman" w:cs="Times New Roman"/>
          <w:sz w:val="24"/>
          <w:szCs w:val="24"/>
        </w:rPr>
        <w:t xml:space="preserve"> Dai, N. 2010. Local bias in venture capital investments. Journal of Empirical Finance, 17(3): 362-380.</w:t>
      </w:r>
    </w:p>
    <w:p w14:paraId="7074AC7B" w14:textId="77777777" w:rsidR="00895DBD" w:rsidRPr="00895DBD" w:rsidRDefault="00895DBD" w:rsidP="00B8400A">
      <w:pPr>
        <w:spacing w:after="0" w:line="240" w:lineRule="auto"/>
        <w:ind w:firstLine="432"/>
        <w:jc w:val="both"/>
        <w:rPr>
          <w:rFonts w:ascii="Times New Roman" w:hAnsi="Times New Roman" w:cs="Times New Roman"/>
          <w:sz w:val="24"/>
          <w:szCs w:val="24"/>
        </w:rPr>
      </w:pPr>
      <w:r w:rsidRPr="00895DBD">
        <w:rPr>
          <w:rFonts w:ascii="Times New Roman" w:hAnsi="Times New Roman" w:cs="Times New Roman"/>
          <w:sz w:val="24"/>
          <w:szCs w:val="24"/>
        </w:rPr>
        <w:t xml:space="preserve">Dai, N., Jo, H., </w:t>
      </w:r>
      <w:r w:rsidR="00995842">
        <w:rPr>
          <w:rFonts w:ascii="Times New Roman" w:hAnsi="Times New Roman" w:cs="Times New Roman"/>
          <w:sz w:val="24"/>
          <w:szCs w:val="24"/>
        </w:rPr>
        <w:t>and</w:t>
      </w:r>
      <w:r w:rsidRPr="00895DBD">
        <w:rPr>
          <w:rFonts w:ascii="Times New Roman" w:hAnsi="Times New Roman" w:cs="Times New Roman"/>
          <w:sz w:val="24"/>
          <w:szCs w:val="24"/>
        </w:rPr>
        <w:t xml:space="preserve"> Kassicieh, S. 2012. Cross-border venture capital investments in Asia: Selection and exit performance. Journal of Business Venturing, 27(6): 666-684.</w:t>
      </w:r>
    </w:p>
    <w:p w14:paraId="4709E0D8" w14:textId="77777777" w:rsidR="00895DBD" w:rsidRPr="00895DBD" w:rsidRDefault="00895DBD" w:rsidP="00B8400A">
      <w:pPr>
        <w:spacing w:after="0" w:line="240" w:lineRule="auto"/>
        <w:ind w:firstLine="432"/>
        <w:jc w:val="both"/>
        <w:rPr>
          <w:rFonts w:ascii="Times New Roman" w:hAnsi="Times New Roman" w:cs="Times New Roman"/>
          <w:sz w:val="24"/>
          <w:szCs w:val="24"/>
        </w:rPr>
      </w:pPr>
      <w:r w:rsidRPr="00895DBD">
        <w:rPr>
          <w:rFonts w:ascii="Times New Roman" w:hAnsi="Times New Roman" w:cs="Times New Roman"/>
          <w:sz w:val="24"/>
          <w:szCs w:val="24"/>
        </w:rPr>
        <w:t xml:space="preserve">De Clercq, D., </w:t>
      </w:r>
      <w:r w:rsidR="00995842">
        <w:rPr>
          <w:rFonts w:ascii="Times New Roman" w:hAnsi="Times New Roman" w:cs="Times New Roman"/>
          <w:sz w:val="24"/>
          <w:szCs w:val="24"/>
        </w:rPr>
        <w:t>and</w:t>
      </w:r>
      <w:r w:rsidRPr="00895DBD">
        <w:rPr>
          <w:rFonts w:ascii="Times New Roman" w:hAnsi="Times New Roman" w:cs="Times New Roman"/>
          <w:sz w:val="24"/>
          <w:szCs w:val="24"/>
        </w:rPr>
        <w:t xml:space="preserve"> Sapienza, H. J. 2006. Effects of relational capital and commitment on venture capitalists' perception of portfolio company performance. Journal of Business Venturing, 21(3): 326-347.</w:t>
      </w:r>
    </w:p>
    <w:p w14:paraId="6103A98A" w14:textId="77777777" w:rsidR="001B7FB5" w:rsidRDefault="001B7FB5" w:rsidP="001B7FB5">
      <w:pPr>
        <w:spacing w:after="0" w:line="240" w:lineRule="auto"/>
        <w:ind w:firstLine="432"/>
        <w:jc w:val="both"/>
        <w:rPr>
          <w:rFonts w:ascii="Times New Roman" w:hAnsi="Times New Roman" w:cs="Times New Roman"/>
        </w:rPr>
      </w:pPr>
      <w:r w:rsidRPr="0026368C">
        <w:rPr>
          <w:rFonts w:ascii="Times New Roman" w:hAnsi="Times New Roman" w:cs="Times New Roman"/>
          <w:bCs/>
          <w:lang w:val="en-GB"/>
        </w:rPr>
        <w:t>De Prijcker, S., Manigart, S., Wright, M.</w:t>
      </w:r>
      <w:r w:rsidR="00B643C4" w:rsidRPr="0026368C">
        <w:rPr>
          <w:rFonts w:ascii="Times New Roman" w:hAnsi="Times New Roman" w:cs="Times New Roman"/>
          <w:bCs/>
          <w:lang w:val="en-GB"/>
        </w:rPr>
        <w:t>,</w:t>
      </w:r>
      <w:r w:rsidRPr="0026368C">
        <w:rPr>
          <w:rFonts w:ascii="Times New Roman" w:hAnsi="Times New Roman" w:cs="Times New Roman"/>
          <w:bCs/>
          <w:lang w:val="en-GB"/>
        </w:rPr>
        <w:t xml:space="preserve"> and De Maeseneire, W. 2012.</w:t>
      </w:r>
      <w:r w:rsidRPr="0026368C">
        <w:rPr>
          <w:rFonts w:ascii="Times New Roman" w:hAnsi="Times New Roman" w:cs="Times New Roman"/>
          <w:lang w:val="en-GB"/>
        </w:rPr>
        <w:t xml:space="preserve"> </w:t>
      </w:r>
      <w:r w:rsidRPr="005B6316">
        <w:rPr>
          <w:rFonts w:ascii="Times New Roman" w:hAnsi="Times New Roman" w:cs="Times New Roman"/>
        </w:rPr>
        <w:t xml:space="preserve">The influence of experiential, inherited and external knowledge on the internationalization of venture capital firms. </w:t>
      </w:r>
      <w:r w:rsidRPr="007E519D">
        <w:rPr>
          <w:rFonts w:ascii="Times New Roman" w:hAnsi="Times New Roman" w:cs="Times New Roman"/>
        </w:rPr>
        <w:t>International Business Review</w:t>
      </w:r>
      <w:r w:rsidRPr="005B6316">
        <w:rPr>
          <w:rFonts w:ascii="Times New Roman" w:hAnsi="Times New Roman" w:cs="Times New Roman"/>
        </w:rPr>
        <w:t xml:space="preserve">, </w:t>
      </w:r>
      <w:r>
        <w:rPr>
          <w:rFonts w:ascii="Times New Roman" w:hAnsi="Times New Roman" w:cs="Times New Roman"/>
        </w:rPr>
        <w:t>21(5):929-940</w:t>
      </w:r>
      <w:r w:rsidRPr="00F3684B">
        <w:rPr>
          <w:rFonts w:ascii="Times New Roman" w:hAnsi="Times New Roman" w:cs="Times New Roman"/>
        </w:rPr>
        <w:t>.</w:t>
      </w:r>
    </w:p>
    <w:p w14:paraId="648C02A0" w14:textId="77777777" w:rsidR="001B7FB5" w:rsidRPr="00600F2B" w:rsidRDefault="001B7FB5" w:rsidP="001B7FB5">
      <w:pPr>
        <w:spacing w:after="0" w:line="240" w:lineRule="auto"/>
        <w:ind w:firstLine="432"/>
        <w:jc w:val="both"/>
        <w:rPr>
          <w:rFonts w:ascii="Times New Roman" w:hAnsi="Times New Roman" w:cs="Times New Roman"/>
          <w:sz w:val="24"/>
          <w:szCs w:val="24"/>
          <w:lang w:val="en-GB"/>
        </w:rPr>
      </w:pPr>
      <w:r w:rsidRPr="00600F2B">
        <w:rPr>
          <w:rFonts w:ascii="Times New Roman" w:hAnsi="Times New Roman" w:cs="Times New Roman"/>
          <w:sz w:val="24"/>
          <w:szCs w:val="24"/>
          <w:lang w:val="en-GB"/>
        </w:rPr>
        <w:t>Devigne, D., Vanacker, T., Manigart, S.</w:t>
      </w:r>
      <w:r w:rsidR="00B643C4">
        <w:rPr>
          <w:rFonts w:ascii="Times New Roman" w:hAnsi="Times New Roman" w:cs="Times New Roman"/>
          <w:sz w:val="24"/>
          <w:szCs w:val="24"/>
          <w:lang w:val="en-GB"/>
        </w:rPr>
        <w:t>,</w:t>
      </w:r>
      <w:r w:rsidRPr="00600F2B">
        <w:rPr>
          <w:rFonts w:ascii="Times New Roman" w:hAnsi="Times New Roman" w:cs="Times New Roman"/>
          <w:sz w:val="24"/>
          <w:szCs w:val="24"/>
          <w:lang w:val="en-GB"/>
        </w:rPr>
        <w:t xml:space="preserve"> </w:t>
      </w:r>
      <w:r>
        <w:rPr>
          <w:rFonts w:ascii="Times New Roman" w:hAnsi="Times New Roman" w:cs="Times New Roman"/>
          <w:sz w:val="24"/>
          <w:szCs w:val="24"/>
          <w:lang w:val="en-GB"/>
        </w:rPr>
        <w:t>and</w:t>
      </w:r>
      <w:r w:rsidRPr="00600F2B">
        <w:rPr>
          <w:rFonts w:ascii="Times New Roman" w:hAnsi="Times New Roman" w:cs="Times New Roman"/>
          <w:sz w:val="24"/>
          <w:szCs w:val="24"/>
          <w:lang w:val="en-GB"/>
        </w:rPr>
        <w:t xml:space="preserve"> Paeleman, I. 2013. </w:t>
      </w:r>
      <w:r w:rsidRPr="00600F2B">
        <w:rPr>
          <w:rFonts w:ascii="Times New Roman" w:hAnsi="Times New Roman"/>
          <w:sz w:val="24"/>
          <w:szCs w:val="24"/>
        </w:rPr>
        <w:t>The role of domestic and cross-border venture capital investors in the growth of portfolio companies. Small Business Economics, 40(3):553-573.</w:t>
      </w:r>
    </w:p>
    <w:p w14:paraId="6A4D98C0" w14:textId="77777777" w:rsidR="00F14EC7" w:rsidRPr="00275499" w:rsidRDefault="00F14EC7" w:rsidP="00B8400A">
      <w:pPr>
        <w:spacing w:after="0" w:line="240" w:lineRule="auto"/>
        <w:ind w:firstLine="432"/>
        <w:jc w:val="both"/>
        <w:rPr>
          <w:rFonts w:ascii="Times New Roman" w:hAnsi="Times New Roman" w:cs="Times New Roman"/>
          <w:sz w:val="24"/>
        </w:rPr>
      </w:pPr>
      <w:r w:rsidRPr="00275499">
        <w:rPr>
          <w:rFonts w:ascii="Times New Roman" w:hAnsi="Times New Roman" w:cs="Times New Roman"/>
          <w:sz w:val="24"/>
        </w:rPr>
        <w:t>Dixit, A.K. 1989. Hysteresis, import penetration, and exchange rate pass-through. Quarterly journal of economics 104(2): 205-228.</w:t>
      </w:r>
    </w:p>
    <w:p w14:paraId="3DE9FBC8" w14:textId="77777777" w:rsidR="00895DBD" w:rsidRDefault="00895DBD" w:rsidP="00B8400A">
      <w:pPr>
        <w:spacing w:after="0" w:line="240" w:lineRule="auto"/>
        <w:ind w:firstLine="432"/>
        <w:jc w:val="both"/>
        <w:rPr>
          <w:rFonts w:ascii="Times New Roman" w:hAnsi="Times New Roman" w:cs="Times New Roman"/>
          <w:sz w:val="24"/>
          <w:szCs w:val="24"/>
        </w:rPr>
      </w:pPr>
      <w:r w:rsidRPr="00895DBD">
        <w:rPr>
          <w:rFonts w:ascii="Times New Roman" w:hAnsi="Times New Roman" w:cs="Times New Roman"/>
          <w:sz w:val="24"/>
          <w:szCs w:val="24"/>
        </w:rPr>
        <w:t>Gompers, P. A. 1995. Optimal Investment, Monitoring, and the Staging of Venture Capital. Journal of Finance, 50(5): 1461-1489.</w:t>
      </w:r>
    </w:p>
    <w:p w14:paraId="546CEF10" w14:textId="77777777" w:rsidR="00667506" w:rsidRPr="00667506" w:rsidRDefault="00667506" w:rsidP="00B8400A">
      <w:pPr>
        <w:spacing w:after="0" w:line="240" w:lineRule="auto"/>
        <w:ind w:firstLine="432"/>
        <w:jc w:val="both"/>
        <w:rPr>
          <w:rFonts w:ascii="Times New Roman" w:hAnsi="Times New Roman" w:cs="Times New Roman"/>
          <w:sz w:val="24"/>
          <w:szCs w:val="24"/>
          <w:lang w:val="en-GB"/>
        </w:rPr>
      </w:pPr>
      <w:r w:rsidRPr="00667506">
        <w:rPr>
          <w:rFonts w:ascii="Times New Roman" w:hAnsi="Times New Roman" w:cs="Times New Roman"/>
          <w:sz w:val="24"/>
          <w:szCs w:val="24"/>
          <w:lang w:val="en-GB"/>
        </w:rPr>
        <w:t xml:space="preserve">Gompers, P., Kovner, A., Lerner, J., and Scharfstein, D. 2008. Venture capital investment cycles: The impact of public markets. </w:t>
      </w:r>
      <w:r>
        <w:rPr>
          <w:rFonts w:ascii="Times New Roman" w:hAnsi="Times New Roman" w:cs="Times New Roman"/>
          <w:sz w:val="24"/>
          <w:szCs w:val="24"/>
          <w:lang w:val="en-GB"/>
        </w:rPr>
        <w:t>Journal of Financial Economics, 87(1):1-23.</w:t>
      </w:r>
    </w:p>
    <w:p w14:paraId="721C169F" w14:textId="77777777" w:rsidR="00895DBD" w:rsidRPr="00895DBD" w:rsidRDefault="00895DBD" w:rsidP="00B8400A">
      <w:pPr>
        <w:spacing w:after="0" w:line="240" w:lineRule="auto"/>
        <w:ind w:firstLine="432"/>
        <w:jc w:val="both"/>
        <w:rPr>
          <w:rFonts w:ascii="Times New Roman" w:hAnsi="Times New Roman" w:cs="Times New Roman"/>
          <w:sz w:val="24"/>
          <w:szCs w:val="24"/>
        </w:rPr>
      </w:pPr>
      <w:r w:rsidRPr="00895DBD">
        <w:rPr>
          <w:rFonts w:ascii="Times New Roman" w:hAnsi="Times New Roman" w:cs="Times New Roman"/>
          <w:sz w:val="24"/>
          <w:szCs w:val="24"/>
        </w:rPr>
        <w:t xml:space="preserve">Guiso, L., Sapienza, P., </w:t>
      </w:r>
      <w:r w:rsidR="00995842">
        <w:rPr>
          <w:rFonts w:ascii="Times New Roman" w:hAnsi="Times New Roman" w:cs="Times New Roman"/>
          <w:sz w:val="24"/>
          <w:szCs w:val="24"/>
        </w:rPr>
        <w:t>and</w:t>
      </w:r>
      <w:r w:rsidRPr="00895DBD">
        <w:rPr>
          <w:rFonts w:ascii="Times New Roman" w:hAnsi="Times New Roman" w:cs="Times New Roman"/>
          <w:sz w:val="24"/>
          <w:szCs w:val="24"/>
        </w:rPr>
        <w:t xml:space="preserve"> Zingales, L. 2008. Trusting the Stock Market. The Journal of Finance, 63(6): 2557-2600.</w:t>
      </w:r>
    </w:p>
    <w:p w14:paraId="3A9CBB7C" w14:textId="77777777" w:rsidR="00895DBD" w:rsidRDefault="00895DBD" w:rsidP="00B8400A">
      <w:pPr>
        <w:spacing w:after="0" w:line="240" w:lineRule="auto"/>
        <w:ind w:firstLine="432"/>
        <w:jc w:val="both"/>
        <w:rPr>
          <w:rFonts w:ascii="Times New Roman" w:hAnsi="Times New Roman" w:cs="Times New Roman"/>
          <w:sz w:val="24"/>
          <w:szCs w:val="24"/>
        </w:rPr>
      </w:pPr>
      <w:r w:rsidRPr="00895DBD">
        <w:rPr>
          <w:rFonts w:ascii="Times New Roman" w:hAnsi="Times New Roman" w:cs="Times New Roman"/>
          <w:sz w:val="24"/>
          <w:szCs w:val="24"/>
        </w:rPr>
        <w:lastRenderedPageBreak/>
        <w:t>Guler, I. 2007. Throwing good money after bad? Political and institutional influences on sequential decision making in the venture capital industry. Administrative Science Quarterly, 52(2): 248-285.</w:t>
      </w:r>
    </w:p>
    <w:p w14:paraId="29D16947" w14:textId="77777777" w:rsidR="00F005BA" w:rsidRPr="00895DBD" w:rsidRDefault="00F005BA" w:rsidP="00B8400A">
      <w:pPr>
        <w:spacing w:after="0" w:line="240" w:lineRule="auto"/>
        <w:ind w:firstLine="432"/>
        <w:jc w:val="both"/>
        <w:rPr>
          <w:rFonts w:ascii="Times New Roman" w:hAnsi="Times New Roman" w:cs="Times New Roman"/>
          <w:sz w:val="24"/>
          <w:szCs w:val="24"/>
        </w:rPr>
      </w:pPr>
      <w:r>
        <w:rPr>
          <w:rFonts w:ascii="Times New Roman" w:hAnsi="Times New Roman" w:cs="Times New Roman"/>
          <w:sz w:val="24"/>
          <w:szCs w:val="24"/>
        </w:rPr>
        <w:t>Guler, I.</w:t>
      </w:r>
      <w:r w:rsidR="00B643C4">
        <w:rPr>
          <w:rFonts w:ascii="Times New Roman" w:hAnsi="Times New Roman" w:cs="Times New Roman"/>
          <w:sz w:val="24"/>
          <w:szCs w:val="24"/>
        </w:rPr>
        <w:t>,</w:t>
      </w:r>
      <w:r>
        <w:rPr>
          <w:rFonts w:ascii="Times New Roman" w:hAnsi="Times New Roman" w:cs="Times New Roman"/>
          <w:sz w:val="24"/>
          <w:szCs w:val="24"/>
        </w:rPr>
        <w:t xml:space="preserve"> and Guillen, M.F. 20</w:t>
      </w:r>
      <w:r w:rsidR="00DF67FB">
        <w:rPr>
          <w:rFonts w:ascii="Times New Roman" w:hAnsi="Times New Roman" w:cs="Times New Roman"/>
          <w:sz w:val="24"/>
          <w:szCs w:val="24"/>
        </w:rPr>
        <w:t>1</w:t>
      </w:r>
      <w:r>
        <w:rPr>
          <w:rFonts w:ascii="Times New Roman" w:hAnsi="Times New Roman" w:cs="Times New Roman"/>
          <w:sz w:val="24"/>
          <w:szCs w:val="24"/>
        </w:rPr>
        <w:t>0. Home country networks and foreign expansion: Evidence from the venture capital industry. Academy of Management Journal, 53(2): 390-410.</w:t>
      </w:r>
    </w:p>
    <w:p w14:paraId="61C08B7A" w14:textId="77777777" w:rsidR="00F14EC7" w:rsidRDefault="00F14EC7" w:rsidP="00B8400A">
      <w:pPr>
        <w:spacing w:after="0" w:line="240" w:lineRule="auto"/>
        <w:ind w:firstLine="432"/>
        <w:jc w:val="both"/>
        <w:rPr>
          <w:rFonts w:ascii="Times New Roman" w:hAnsi="Times New Roman" w:cs="Times New Roman"/>
          <w:sz w:val="24"/>
          <w:szCs w:val="24"/>
        </w:rPr>
      </w:pPr>
      <w:r>
        <w:rPr>
          <w:rFonts w:ascii="Times New Roman" w:hAnsi="Times New Roman" w:cs="Times New Roman"/>
          <w:sz w:val="24"/>
          <w:szCs w:val="24"/>
        </w:rPr>
        <w:t>Gupta, A.K., and Sapienza, H.J. 1992. Determinants of venture capital firms’ preferences regarding the industry diversity and geographic scope of their investments. Journal of Business Venturing, 7(5):347-362.</w:t>
      </w:r>
    </w:p>
    <w:p w14:paraId="32B3BA7C" w14:textId="77777777" w:rsidR="0086062D" w:rsidRDefault="0086062D" w:rsidP="00B8400A">
      <w:pPr>
        <w:spacing w:after="0" w:line="240" w:lineRule="auto"/>
        <w:ind w:firstLine="432"/>
        <w:jc w:val="both"/>
        <w:rPr>
          <w:rFonts w:ascii="Times New Roman" w:hAnsi="Times New Roman" w:cs="Times New Roman"/>
          <w:sz w:val="24"/>
          <w:szCs w:val="24"/>
        </w:rPr>
      </w:pPr>
      <w:r>
        <w:rPr>
          <w:rFonts w:ascii="Times New Roman" w:hAnsi="Times New Roman" w:cs="Times New Roman"/>
          <w:sz w:val="24"/>
          <w:szCs w:val="24"/>
        </w:rPr>
        <w:t>Hardymon, F., Lerner, J., and Leamon, A. 2007. Best practices: Decision-making among venture capital firms. Harvard Business School Case #9-864-176, 1-15.</w:t>
      </w:r>
    </w:p>
    <w:p w14:paraId="340607DB" w14:textId="77777777" w:rsidR="004D0D10" w:rsidRDefault="004D0D10" w:rsidP="00B8400A">
      <w:pPr>
        <w:spacing w:after="0" w:line="240" w:lineRule="auto"/>
        <w:ind w:firstLine="432"/>
        <w:jc w:val="both"/>
        <w:rPr>
          <w:rFonts w:ascii="Times New Roman" w:hAnsi="Times New Roman" w:cs="Times New Roman"/>
          <w:sz w:val="24"/>
          <w:szCs w:val="24"/>
        </w:rPr>
      </w:pPr>
      <w:r>
        <w:rPr>
          <w:rFonts w:ascii="Times New Roman" w:hAnsi="Times New Roman" w:cs="Times New Roman"/>
          <w:sz w:val="24"/>
          <w:szCs w:val="24"/>
        </w:rPr>
        <w:t>Humphery-Jenner, M., and Suchard, J.A. 2013. Foreign VCs and venture success: Evidence from China. Journal of Corporate Finance, 21:16-35.</w:t>
      </w:r>
    </w:p>
    <w:p w14:paraId="66682A1B" w14:textId="23A17F14" w:rsidR="00DE2AB8" w:rsidRDefault="00DE2AB8" w:rsidP="00B8400A">
      <w:pPr>
        <w:spacing w:after="0" w:line="24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Li, Y., and Chi, T. 2013. Venture capitalists’ decision to withdraw: The role of portfolio configuration from a real options lens. Strategic </w:t>
      </w:r>
      <w:r w:rsidR="005600E0">
        <w:rPr>
          <w:rFonts w:ascii="Times New Roman" w:hAnsi="Times New Roman" w:cs="Times New Roman"/>
          <w:sz w:val="24"/>
          <w:szCs w:val="24"/>
        </w:rPr>
        <w:t>M</w:t>
      </w:r>
      <w:r>
        <w:rPr>
          <w:rFonts w:ascii="Times New Roman" w:hAnsi="Times New Roman" w:cs="Times New Roman"/>
          <w:sz w:val="24"/>
          <w:szCs w:val="24"/>
        </w:rPr>
        <w:t>anagement Journal, 34:1351-1366.</w:t>
      </w:r>
    </w:p>
    <w:p w14:paraId="45244DF0" w14:textId="77777777" w:rsidR="00895DBD" w:rsidRPr="00895DBD" w:rsidRDefault="00895DBD" w:rsidP="00B8400A">
      <w:pPr>
        <w:spacing w:after="0" w:line="240" w:lineRule="auto"/>
        <w:ind w:firstLine="432"/>
        <w:jc w:val="both"/>
        <w:rPr>
          <w:rFonts w:ascii="Times New Roman" w:hAnsi="Times New Roman" w:cs="Times New Roman"/>
          <w:sz w:val="24"/>
          <w:szCs w:val="24"/>
        </w:rPr>
      </w:pPr>
      <w:r w:rsidRPr="00895DBD">
        <w:rPr>
          <w:rFonts w:ascii="Times New Roman" w:hAnsi="Times New Roman" w:cs="Times New Roman"/>
          <w:sz w:val="24"/>
          <w:szCs w:val="24"/>
        </w:rPr>
        <w:t xml:space="preserve">Mäkelä, M. M., </w:t>
      </w:r>
      <w:r w:rsidR="00995842">
        <w:rPr>
          <w:rFonts w:ascii="Times New Roman" w:hAnsi="Times New Roman" w:cs="Times New Roman"/>
          <w:sz w:val="24"/>
          <w:szCs w:val="24"/>
        </w:rPr>
        <w:t>and</w:t>
      </w:r>
      <w:r w:rsidRPr="00895DBD">
        <w:rPr>
          <w:rFonts w:ascii="Times New Roman" w:hAnsi="Times New Roman" w:cs="Times New Roman"/>
          <w:sz w:val="24"/>
          <w:szCs w:val="24"/>
        </w:rPr>
        <w:t xml:space="preserve"> Maula, M. V. J. 2006. Interorganizational commitment in syndicated cross-border venture capital investments. Entrepreneurship Theory and Practice, 30(2): 273-298.</w:t>
      </w:r>
    </w:p>
    <w:p w14:paraId="1CCEBAE5" w14:textId="77777777" w:rsidR="00F96028" w:rsidRPr="00DD4DDC" w:rsidRDefault="00F96028" w:rsidP="00B8400A">
      <w:pPr>
        <w:spacing w:after="0" w:line="240" w:lineRule="auto"/>
        <w:ind w:firstLine="432"/>
        <w:jc w:val="both"/>
        <w:rPr>
          <w:rFonts w:ascii="Times New Roman" w:hAnsi="Times New Roman"/>
          <w:sz w:val="24"/>
        </w:rPr>
      </w:pPr>
      <w:r w:rsidRPr="00DD4DDC">
        <w:rPr>
          <w:rFonts w:ascii="Times New Roman" w:hAnsi="Times New Roman"/>
          <w:sz w:val="24"/>
        </w:rPr>
        <w:t>Manigart, S.</w:t>
      </w:r>
      <w:r w:rsidR="00F14EC7">
        <w:rPr>
          <w:rFonts w:ascii="Times New Roman" w:hAnsi="Times New Roman"/>
          <w:sz w:val="24"/>
        </w:rPr>
        <w:t>,</w:t>
      </w:r>
      <w:r w:rsidRPr="00DD4DDC">
        <w:rPr>
          <w:rFonts w:ascii="Times New Roman" w:hAnsi="Times New Roman"/>
          <w:sz w:val="24"/>
        </w:rPr>
        <w:t xml:space="preserve"> </w:t>
      </w:r>
      <w:r w:rsidR="00995842">
        <w:rPr>
          <w:rFonts w:ascii="Times New Roman" w:hAnsi="Times New Roman"/>
          <w:sz w:val="24"/>
        </w:rPr>
        <w:t>and</w:t>
      </w:r>
      <w:r w:rsidRPr="00DD4DDC">
        <w:rPr>
          <w:rFonts w:ascii="Times New Roman" w:hAnsi="Times New Roman"/>
          <w:sz w:val="24"/>
        </w:rPr>
        <w:t xml:space="preserve"> Wright, M. 2013. Reassessing the relationships between private equity investors and their portfolio companies. </w:t>
      </w:r>
      <w:r w:rsidRPr="00B8400A">
        <w:rPr>
          <w:rFonts w:ascii="Times New Roman" w:hAnsi="Times New Roman"/>
          <w:sz w:val="24"/>
        </w:rPr>
        <w:t>Small Business Economics</w:t>
      </w:r>
      <w:r w:rsidRPr="00DD4DDC">
        <w:rPr>
          <w:rFonts w:ascii="Times New Roman" w:hAnsi="Times New Roman"/>
          <w:sz w:val="24"/>
        </w:rPr>
        <w:t xml:space="preserve">, 40(3):479-492. </w:t>
      </w:r>
    </w:p>
    <w:p w14:paraId="41E49A57" w14:textId="77777777" w:rsidR="00F14EC7" w:rsidRDefault="00F14EC7" w:rsidP="00B8400A">
      <w:pPr>
        <w:spacing w:after="0" w:line="240" w:lineRule="auto"/>
        <w:ind w:firstLine="432"/>
        <w:jc w:val="both"/>
        <w:rPr>
          <w:rFonts w:ascii="Times New Roman" w:hAnsi="Times New Roman" w:cs="Times New Roman"/>
          <w:sz w:val="24"/>
          <w:szCs w:val="24"/>
        </w:rPr>
      </w:pPr>
      <w:r>
        <w:rPr>
          <w:rFonts w:ascii="Times New Roman" w:hAnsi="Times New Roman" w:cs="Times New Roman"/>
          <w:sz w:val="24"/>
          <w:szCs w:val="24"/>
        </w:rPr>
        <w:t>Meuleman, M., and Wright, M. 2011. Cross-border private equity syndication: Institutional context and learning. Journal of Business Venturing, 26(1):35-48.</w:t>
      </w:r>
    </w:p>
    <w:p w14:paraId="7A01C974" w14:textId="77777777" w:rsidR="00895DBD" w:rsidRDefault="00895DBD" w:rsidP="00B8400A">
      <w:pPr>
        <w:spacing w:after="0" w:line="240" w:lineRule="auto"/>
        <w:ind w:firstLine="432"/>
        <w:jc w:val="both"/>
        <w:rPr>
          <w:rFonts w:ascii="Times New Roman" w:hAnsi="Times New Roman" w:cs="Times New Roman"/>
          <w:sz w:val="24"/>
          <w:szCs w:val="24"/>
        </w:rPr>
      </w:pPr>
      <w:r w:rsidRPr="00895DBD">
        <w:rPr>
          <w:rFonts w:ascii="Times New Roman" w:hAnsi="Times New Roman" w:cs="Times New Roman"/>
          <w:sz w:val="24"/>
          <w:szCs w:val="24"/>
        </w:rPr>
        <w:t>Ohlson, J. A. 1980. Financial Ratios and the Probabilistic Prediction of Bankruptcy. Journal of Accounting Research, 18(1): 109-131.</w:t>
      </w:r>
    </w:p>
    <w:p w14:paraId="319A5CC7" w14:textId="77777777" w:rsidR="00E31A71" w:rsidRPr="00E31A71" w:rsidRDefault="00E31A71" w:rsidP="00B8400A">
      <w:pPr>
        <w:spacing w:after="0" w:line="240" w:lineRule="auto"/>
        <w:ind w:firstLine="432"/>
        <w:jc w:val="both"/>
        <w:rPr>
          <w:rFonts w:ascii="Times New Roman" w:hAnsi="Times New Roman" w:cs="Times New Roman"/>
          <w:sz w:val="24"/>
          <w:szCs w:val="24"/>
        </w:rPr>
      </w:pPr>
      <w:r w:rsidRPr="00DD4DDC">
        <w:rPr>
          <w:rFonts w:ascii="Times New Roman" w:hAnsi="Times New Roman" w:cs="Times New Roman"/>
          <w:sz w:val="24"/>
          <w:szCs w:val="24"/>
        </w:rPr>
        <w:t>Podoln</w:t>
      </w:r>
      <w:r w:rsidR="00A22ED6">
        <w:rPr>
          <w:rFonts w:ascii="Times New Roman" w:hAnsi="Times New Roman" w:cs="Times New Roman"/>
          <w:sz w:val="24"/>
          <w:szCs w:val="24"/>
        </w:rPr>
        <w:t>y</w:t>
      </w:r>
      <w:r w:rsidRPr="00DD4DDC">
        <w:rPr>
          <w:rFonts w:ascii="Times New Roman" w:hAnsi="Times New Roman" w:cs="Times New Roman"/>
          <w:sz w:val="24"/>
          <w:szCs w:val="24"/>
        </w:rPr>
        <w:t>, J.M. 2005</w:t>
      </w:r>
      <w:r w:rsidR="000F2DA7">
        <w:rPr>
          <w:rFonts w:ascii="Times New Roman" w:hAnsi="Times New Roman" w:cs="Times New Roman"/>
          <w:sz w:val="24"/>
          <w:szCs w:val="24"/>
        </w:rPr>
        <w:t>.</w:t>
      </w:r>
      <w:r w:rsidRPr="00DD4DDC">
        <w:rPr>
          <w:rFonts w:ascii="Times New Roman" w:hAnsi="Times New Roman" w:cs="Times New Roman"/>
          <w:sz w:val="24"/>
          <w:szCs w:val="24"/>
        </w:rPr>
        <w:t xml:space="preserve"> Status Signals: A Sociological Study of Market Competitio</w:t>
      </w:r>
      <w:r w:rsidR="000F2DA7" w:rsidRPr="000F2DA7">
        <w:rPr>
          <w:rFonts w:ascii="Times New Roman" w:hAnsi="Times New Roman" w:cs="Times New Roman"/>
          <w:sz w:val="24"/>
          <w:szCs w:val="24"/>
        </w:rPr>
        <w:t>n. Princeton, NJ: Princeton Uni</w:t>
      </w:r>
      <w:r w:rsidRPr="00DD4DDC">
        <w:rPr>
          <w:rFonts w:ascii="Times New Roman" w:hAnsi="Times New Roman" w:cs="Times New Roman"/>
          <w:sz w:val="24"/>
          <w:szCs w:val="24"/>
        </w:rPr>
        <w:t xml:space="preserve">versity Press. </w:t>
      </w:r>
    </w:p>
    <w:p w14:paraId="09E61F07" w14:textId="77777777" w:rsidR="00895DBD" w:rsidRPr="00895DBD" w:rsidRDefault="00895DBD" w:rsidP="00B8400A">
      <w:pPr>
        <w:spacing w:after="0" w:line="240" w:lineRule="auto"/>
        <w:ind w:firstLine="432"/>
        <w:jc w:val="both"/>
        <w:rPr>
          <w:rFonts w:ascii="Times New Roman" w:hAnsi="Times New Roman" w:cs="Times New Roman"/>
          <w:sz w:val="24"/>
          <w:szCs w:val="24"/>
        </w:rPr>
      </w:pPr>
      <w:r w:rsidRPr="00895DBD">
        <w:rPr>
          <w:rFonts w:ascii="Times New Roman" w:hAnsi="Times New Roman" w:cs="Times New Roman"/>
          <w:sz w:val="24"/>
          <w:szCs w:val="24"/>
        </w:rPr>
        <w:t xml:space="preserve">Pruthi, S., Wright, M., </w:t>
      </w:r>
      <w:r w:rsidR="00995842">
        <w:rPr>
          <w:rFonts w:ascii="Times New Roman" w:hAnsi="Times New Roman" w:cs="Times New Roman"/>
          <w:sz w:val="24"/>
          <w:szCs w:val="24"/>
        </w:rPr>
        <w:t>and</w:t>
      </w:r>
      <w:r w:rsidRPr="00895DBD">
        <w:rPr>
          <w:rFonts w:ascii="Times New Roman" w:hAnsi="Times New Roman" w:cs="Times New Roman"/>
          <w:sz w:val="24"/>
          <w:szCs w:val="24"/>
        </w:rPr>
        <w:t xml:space="preserve"> Meyer, K. 2009. Staffing venture capital firms' international operations. International Journal of Human Resource Management, 20(1): 186-205.</w:t>
      </w:r>
    </w:p>
    <w:p w14:paraId="5C411620" w14:textId="77777777" w:rsidR="00895DBD" w:rsidRPr="00895DBD" w:rsidRDefault="00895DBD" w:rsidP="00B8400A">
      <w:pPr>
        <w:spacing w:after="0" w:line="240" w:lineRule="auto"/>
        <w:ind w:firstLine="432"/>
        <w:jc w:val="both"/>
        <w:rPr>
          <w:rFonts w:ascii="Times New Roman" w:hAnsi="Times New Roman" w:cs="Times New Roman"/>
          <w:sz w:val="24"/>
          <w:szCs w:val="24"/>
        </w:rPr>
      </w:pPr>
      <w:r w:rsidRPr="00895DBD">
        <w:rPr>
          <w:rFonts w:ascii="Times New Roman" w:hAnsi="Times New Roman" w:cs="Times New Roman"/>
          <w:sz w:val="24"/>
          <w:szCs w:val="24"/>
        </w:rPr>
        <w:t xml:space="preserve">Puri, M., </w:t>
      </w:r>
      <w:r w:rsidR="00995842">
        <w:rPr>
          <w:rFonts w:ascii="Times New Roman" w:hAnsi="Times New Roman" w:cs="Times New Roman"/>
          <w:sz w:val="24"/>
          <w:szCs w:val="24"/>
        </w:rPr>
        <w:t>and</w:t>
      </w:r>
      <w:r w:rsidRPr="00895DBD">
        <w:rPr>
          <w:rFonts w:ascii="Times New Roman" w:hAnsi="Times New Roman" w:cs="Times New Roman"/>
          <w:sz w:val="24"/>
          <w:szCs w:val="24"/>
        </w:rPr>
        <w:t xml:space="preserve"> Zarutskie, R. 2012. On the Life Cycle Dynamics of Venture-Capital- and Non-Venture-Capital-Financed Firms. The Journal of Finance, 67(6): 2247-2293.</w:t>
      </w:r>
    </w:p>
    <w:p w14:paraId="47FAA783" w14:textId="77777777" w:rsidR="00895DBD" w:rsidRPr="00895DBD" w:rsidRDefault="00895DBD" w:rsidP="00B8400A">
      <w:pPr>
        <w:spacing w:after="0" w:line="240" w:lineRule="auto"/>
        <w:ind w:firstLine="432"/>
        <w:jc w:val="both"/>
        <w:rPr>
          <w:rFonts w:ascii="Times New Roman" w:hAnsi="Times New Roman" w:cs="Times New Roman"/>
          <w:sz w:val="24"/>
          <w:szCs w:val="24"/>
        </w:rPr>
      </w:pPr>
      <w:r w:rsidRPr="00895DBD">
        <w:rPr>
          <w:rFonts w:ascii="Times New Roman" w:hAnsi="Times New Roman" w:cs="Times New Roman"/>
          <w:sz w:val="24"/>
          <w:szCs w:val="24"/>
        </w:rPr>
        <w:t xml:space="preserve">Rao, H., Greve, H. R., </w:t>
      </w:r>
      <w:r w:rsidR="00995842">
        <w:rPr>
          <w:rFonts w:ascii="Times New Roman" w:hAnsi="Times New Roman" w:cs="Times New Roman"/>
          <w:sz w:val="24"/>
          <w:szCs w:val="24"/>
        </w:rPr>
        <w:t>and</w:t>
      </w:r>
      <w:r w:rsidRPr="00895DBD">
        <w:rPr>
          <w:rFonts w:ascii="Times New Roman" w:hAnsi="Times New Roman" w:cs="Times New Roman"/>
          <w:sz w:val="24"/>
          <w:szCs w:val="24"/>
        </w:rPr>
        <w:t xml:space="preserve"> Davis, G. F. 2001. Fool's gold: Social proof in the initiation and abandonment of coverage by Wall Street analysts. Administrative Science Quarterly, 46(3): 502-526.</w:t>
      </w:r>
    </w:p>
    <w:p w14:paraId="75F916EA" w14:textId="77777777" w:rsidR="00895DBD" w:rsidRPr="00895DBD" w:rsidRDefault="00895DBD" w:rsidP="00B8400A">
      <w:pPr>
        <w:spacing w:after="0" w:line="240" w:lineRule="auto"/>
        <w:ind w:firstLine="432"/>
        <w:jc w:val="both"/>
        <w:rPr>
          <w:rFonts w:ascii="Times New Roman" w:hAnsi="Times New Roman" w:cs="Times New Roman"/>
          <w:sz w:val="24"/>
          <w:szCs w:val="24"/>
        </w:rPr>
      </w:pPr>
      <w:r w:rsidRPr="00895DBD">
        <w:rPr>
          <w:rFonts w:ascii="Times New Roman" w:hAnsi="Times New Roman" w:cs="Times New Roman"/>
          <w:sz w:val="24"/>
          <w:szCs w:val="24"/>
        </w:rPr>
        <w:t>Sahlman, W. A. 1990. The structure and governance of venture-capital organizations. Journal of Financial Economics, 27(2): 473-521.</w:t>
      </w:r>
    </w:p>
    <w:p w14:paraId="6FF11667" w14:textId="77777777" w:rsidR="00895DBD" w:rsidRPr="00895DBD" w:rsidRDefault="00895DBD" w:rsidP="00B8400A">
      <w:pPr>
        <w:spacing w:after="0" w:line="240" w:lineRule="auto"/>
        <w:ind w:firstLine="432"/>
        <w:jc w:val="both"/>
        <w:rPr>
          <w:rFonts w:ascii="Times New Roman" w:hAnsi="Times New Roman" w:cs="Times New Roman"/>
          <w:sz w:val="24"/>
          <w:szCs w:val="24"/>
        </w:rPr>
      </w:pPr>
      <w:r w:rsidRPr="00895DBD">
        <w:rPr>
          <w:rFonts w:ascii="Times New Roman" w:hAnsi="Times New Roman" w:cs="Times New Roman"/>
          <w:sz w:val="24"/>
          <w:szCs w:val="24"/>
        </w:rPr>
        <w:t xml:space="preserve">Schertler, A., </w:t>
      </w:r>
      <w:r w:rsidR="00995842">
        <w:rPr>
          <w:rFonts w:ascii="Times New Roman" w:hAnsi="Times New Roman" w:cs="Times New Roman"/>
          <w:sz w:val="24"/>
          <w:szCs w:val="24"/>
        </w:rPr>
        <w:t>and</w:t>
      </w:r>
      <w:r w:rsidRPr="00895DBD">
        <w:rPr>
          <w:rFonts w:ascii="Times New Roman" w:hAnsi="Times New Roman" w:cs="Times New Roman"/>
          <w:sz w:val="24"/>
          <w:szCs w:val="24"/>
        </w:rPr>
        <w:t xml:space="preserve"> Tykvova, T. 2011. Venture capital and internationalization. International Business Review, 20(4): 423-439.</w:t>
      </w:r>
    </w:p>
    <w:p w14:paraId="0EF54FF4" w14:textId="77777777" w:rsidR="008118AE" w:rsidRDefault="008118AE" w:rsidP="00B8400A">
      <w:pPr>
        <w:spacing w:after="0" w:line="240" w:lineRule="auto"/>
        <w:ind w:firstLine="432"/>
        <w:jc w:val="both"/>
        <w:rPr>
          <w:rFonts w:ascii="Times New Roman" w:hAnsi="Times New Roman" w:cs="Times New Roman"/>
          <w:sz w:val="24"/>
          <w:szCs w:val="24"/>
        </w:rPr>
      </w:pPr>
      <w:r>
        <w:rPr>
          <w:rFonts w:ascii="Times New Roman" w:hAnsi="Times New Roman" w:cs="Times New Roman"/>
          <w:sz w:val="24"/>
          <w:szCs w:val="24"/>
        </w:rPr>
        <w:t>Shepherd, D.A., Armstrong, M.J.</w:t>
      </w:r>
      <w:r w:rsidR="00B643C4">
        <w:rPr>
          <w:rFonts w:ascii="Times New Roman" w:hAnsi="Times New Roman" w:cs="Times New Roman"/>
          <w:sz w:val="24"/>
          <w:szCs w:val="24"/>
        </w:rPr>
        <w:t>,</w:t>
      </w:r>
      <w:r>
        <w:rPr>
          <w:rFonts w:ascii="Times New Roman" w:hAnsi="Times New Roman" w:cs="Times New Roman"/>
          <w:sz w:val="24"/>
          <w:szCs w:val="24"/>
        </w:rPr>
        <w:t xml:space="preserve"> and Levesque, M. 2005. Allocation of attention within venture capital firms. European Journal of Operational Research, 163(2):545-564.</w:t>
      </w:r>
    </w:p>
    <w:p w14:paraId="7408F1B8" w14:textId="77777777" w:rsidR="00895DBD" w:rsidRPr="00895DBD" w:rsidRDefault="00895DBD" w:rsidP="00B8400A">
      <w:pPr>
        <w:spacing w:after="0" w:line="240" w:lineRule="auto"/>
        <w:ind w:firstLine="432"/>
        <w:jc w:val="both"/>
        <w:rPr>
          <w:rFonts w:ascii="Times New Roman" w:hAnsi="Times New Roman" w:cs="Times New Roman"/>
          <w:sz w:val="24"/>
          <w:szCs w:val="24"/>
        </w:rPr>
      </w:pPr>
      <w:r w:rsidRPr="00895DBD">
        <w:rPr>
          <w:rFonts w:ascii="Times New Roman" w:hAnsi="Times New Roman" w:cs="Times New Roman"/>
          <w:sz w:val="24"/>
          <w:szCs w:val="24"/>
        </w:rPr>
        <w:t xml:space="preserve">Sleesman, D. J., Conlon, D. E., McNamara, G., </w:t>
      </w:r>
      <w:r w:rsidR="00995842">
        <w:rPr>
          <w:rFonts w:ascii="Times New Roman" w:hAnsi="Times New Roman" w:cs="Times New Roman"/>
          <w:sz w:val="24"/>
          <w:szCs w:val="24"/>
        </w:rPr>
        <w:t>and</w:t>
      </w:r>
      <w:r w:rsidRPr="00895DBD">
        <w:rPr>
          <w:rFonts w:ascii="Times New Roman" w:hAnsi="Times New Roman" w:cs="Times New Roman"/>
          <w:sz w:val="24"/>
          <w:szCs w:val="24"/>
        </w:rPr>
        <w:t xml:space="preserve"> Miles, J. E. 2012. Cleaning Up the Big Muddy: A Meta-Analytic Review of the Determinants of Escalation of Commitment. Academy of Management Journal, 55(3): 541-562.</w:t>
      </w:r>
    </w:p>
    <w:p w14:paraId="162E14E2" w14:textId="77777777" w:rsidR="00895DBD" w:rsidRPr="00895DBD" w:rsidRDefault="00895DBD" w:rsidP="00B8400A">
      <w:pPr>
        <w:spacing w:after="0" w:line="240" w:lineRule="auto"/>
        <w:ind w:firstLine="432"/>
        <w:jc w:val="both"/>
        <w:rPr>
          <w:rFonts w:ascii="Times New Roman" w:hAnsi="Times New Roman" w:cs="Times New Roman"/>
          <w:sz w:val="24"/>
          <w:szCs w:val="24"/>
        </w:rPr>
      </w:pPr>
      <w:r w:rsidRPr="00895DBD">
        <w:rPr>
          <w:rFonts w:ascii="Times New Roman" w:hAnsi="Times New Roman" w:cs="Times New Roman"/>
          <w:sz w:val="24"/>
          <w:szCs w:val="24"/>
        </w:rPr>
        <w:t>Soman, D. 2001. The mental accounting of sunk time costs: Why time is not like money. Journal of Behavioral Decision Making, 14(3): 169-185.</w:t>
      </w:r>
    </w:p>
    <w:p w14:paraId="00E3F174" w14:textId="77777777" w:rsidR="00F14EC7" w:rsidRPr="00275499" w:rsidRDefault="00F14EC7" w:rsidP="00B8400A">
      <w:pPr>
        <w:spacing w:after="0" w:line="240" w:lineRule="auto"/>
        <w:ind w:firstLine="432"/>
        <w:jc w:val="both"/>
        <w:rPr>
          <w:rFonts w:ascii="Times New Roman" w:hAnsi="Times New Roman" w:cs="Times New Roman"/>
          <w:sz w:val="24"/>
          <w:szCs w:val="24"/>
          <w:lang w:val="en-GB"/>
        </w:rPr>
      </w:pPr>
      <w:r w:rsidRPr="00275499">
        <w:rPr>
          <w:rFonts w:ascii="Times New Roman" w:hAnsi="Times New Roman" w:cs="Times New Roman"/>
          <w:sz w:val="24"/>
          <w:szCs w:val="24"/>
          <w:lang w:val="en-GB"/>
        </w:rPr>
        <w:t>Sorenson, O., and Stuart, T.</w:t>
      </w:r>
      <w:r w:rsidR="0088270B">
        <w:rPr>
          <w:rFonts w:ascii="Times New Roman" w:hAnsi="Times New Roman" w:cs="Times New Roman"/>
          <w:sz w:val="24"/>
          <w:szCs w:val="24"/>
          <w:lang w:val="en-GB"/>
        </w:rPr>
        <w:t>E</w:t>
      </w:r>
      <w:r w:rsidRPr="00275499">
        <w:rPr>
          <w:rFonts w:ascii="Times New Roman" w:hAnsi="Times New Roman" w:cs="Times New Roman"/>
          <w:sz w:val="24"/>
          <w:szCs w:val="24"/>
          <w:lang w:val="en-GB"/>
        </w:rPr>
        <w:t xml:space="preserve">. 2001. </w:t>
      </w:r>
      <w:r>
        <w:rPr>
          <w:rFonts w:ascii="Times New Roman" w:hAnsi="Times New Roman" w:cs="Times New Roman"/>
          <w:sz w:val="24"/>
          <w:szCs w:val="24"/>
          <w:lang w:val="en-GB"/>
        </w:rPr>
        <w:t>Syndication networks and the spatial distribution of venture capital investments. American Journal of Sociology, 106(6):1546-88.</w:t>
      </w:r>
    </w:p>
    <w:p w14:paraId="43B2B054" w14:textId="77777777" w:rsidR="004D0D10" w:rsidRPr="00275499" w:rsidRDefault="004D0D10" w:rsidP="00B8400A">
      <w:pPr>
        <w:spacing w:after="0" w:line="240" w:lineRule="auto"/>
        <w:ind w:firstLine="432"/>
        <w:jc w:val="both"/>
        <w:rPr>
          <w:rFonts w:ascii="Times New Roman" w:hAnsi="Times New Roman" w:cs="Times New Roman"/>
          <w:sz w:val="24"/>
          <w:szCs w:val="24"/>
          <w:lang w:val="en-GB"/>
        </w:rPr>
      </w:pPr>
      <w:r w:rsidRPr="00275499">
        <w:rPr>
          <w:rFonts w:ascii="Times New Roman" w:hAnsi="Times New Roman" w:cs="Times New Roman"/>
          <w:sz w:val="24"/>
          <w:szCs w:val="24"/>
          <w:lang w:val="en-GB"/>
        </w:rPr>
        <w:lastRenderedPageBreak/>
        <w:t>Tykvova, T.,</w:t>
      </w:r>
      <w:r>
        <w:rPr>
          <w:rFonts w:ascii="Times New Roman" w:hAnsi="Times New Roman" w:cs="Times New Roman"/>
          <w:sz w:val="24"/>
          <w:szCs w:val="24"/>
          <w:lang w:val="en-GB"/>
        </w:rPr>
        <w:t xml:space="preserve"> and Schertler, A. 2011. Cross-border venture capital flows and local ties: Evidence from developed countries. The Quarterly Review of Economics and Finance, 51(1):36-48.</w:t>
      </w:r>
    </w:p>
    <w:p w14:paraId="39236168" w14:textId="77777777" w:rsidR="00895DBD" w:rsidRPr="00895DBD" w:rsidRDefault="00895DBD" w:rsidP="00B8400A">
      <w:pPr>
        <w:spacing w:after="0" w:line="240" w:lineRule="auto"/>
        <w:ind w:firstLine="432"/>
        <w:jc w:val="both"/>
        <w:rPr>
          <w:rFonts w:ascii="Times New Roman" w:hAnsi="Times New Roman" w:cs="Times New Roman"/>
          <w:sz w:val="24"/>
          <w:szCs w:val="24"/>
        </w:rPr>
      </w:pPr>
      <w:r w:rsidRPr="00275499">
        <w:rPr>
          <w:rFonts w:ascii="Times New Roman" w:hAnsi="Times New Roman" w:cs="Times New Roman"/>
          <w:sz w:val="24"/>
          <w:szCs w:val="24"/>
          <w:lang w:val="en-GB"/>
        </w:rPr>
        <w:t xml:space="preserve">Van den Poel, D., </w:t>
      </w:r>
      <w:r w:rsidR="00995842" w:rsidRPr="00275499">
        <w:rPr>
          <w:rFonts w:ascii="Times New Roman" w:hAnsi="Times New Roman" w:cs="Times New Roman"/>
          <w:sz w:val="24"/>
          <w:szCs w:val="24"/>
          <w:lang w:val="en-GB"/>
        </w:rPr>
        <w:t>and</w:t>
      </w:r>
      <w:r w:rsidRPr="00275499">
        <w:rPr>
          <w:rFonts w:ascii="Times New Roman" w:hAnsi="Times New Roman" w:cs="Times New Roman"/>
          <w:sz w:val="24"/>
          <w:szCs w:val="24"/>
          <w:lang w:val="en-GB"/>
        </w:rPr>
        <w:t xml:space="preserve"> Larivière, B. 2004. </w:t>
      </w:r>
      <w:r w:rsidRPr="00895DBD">
        <w:rPr>
          <w:rFonts w:ascii="Times New Roman" w:hAnsi="Times New Roman" w:cs="Times New Roman"/>
          <w:sz w:val="24"/>
          <w:szCs w:val="24"/>
        </w:rPr>
        <w:t>Customer attrition analysis for financial services using proportional hazard models. European Journal of Operational Research, 157(1): 196-217.</w:t>
      </w:r>
    </w:p>
    <w:p w14:paraId="1D5C9E63" w14:textId="77777777" w:rsidR="00895DBD" w:rsidRPr="00895DBD" w:rsidRDefault="00895DBD" w:rsidP="00B8400A">
      <w:pPr>
        <w:spacing w:after="0" w:line="240" w:lineRule="auto"/>
        <w:ind w:firstLine="432"/>
        <w:jc w:val="both"/>
        <w:rPr>
          <w:rFonts w:ascii="Times New Roman" w:hAnsi="Times New Roman" w:cs="Times New Roman"/>
          <w:sz w:val="24"/>
          <w:szCs w:val="24"/>
        </w:rPr>
      </w:pPr>
      <w:r w:rsidRPr="00895DBD">
        <w:rPr>
          <w:rFonts w:ascii="Times New Roman" w:hAnsi="Times New Roman" w:cs="Times New Roman"/>
          <w:sz w:val="24"/>
          <w:szCs w:val="24"/>
        </w:rPr>
        <w:t xml:space="preserve">Wong, K. F. E., Yik, M., </w:t>
      </w:r>
      <w:r w:rsidR="00995842">
        <w:rPr>
          <w:rFonts w:ascii="Times New Roman" w:hAnsi="Times New Roman" w:cs="Times New Roman"/>
          <w:sz w:val="24"/>
          <w:szCs w:val="24"/>
        </w:rPr>
        <w:t>and</w:t>
      </w:r>
      <w:r w:rsidRPr="00895DBD">
        <w:rPr>
          <w:rFonts w:ascii="Times New Roman" w:hAnsi="Times New Roman" w:cs="Times New Roman"/>
          <w:sz w:val="24"/>
          <w:szCs w:val="24"/>
        </w:rPr>
        <w:t xml:space="preserve"> Kwong, J. Y. Y. 2006. Understanding the emotional aspects of escalation of commitment: The role of negative affect. Journal of Applied Psychology, 91(2): 282-297.</w:t>
      </w:r>
    </w:p>
    <w:p w14:paraId="0534FA02" w14:textId="77777777" w:rsidR="009A5FD7" w:rsidRDefault="009A5FD7" w:rsidP="00B8400A">
      <w:pPr>
        <w:spacing w:after="0" w:line="240" w:lineRule="auto"/>
        <w:ind w:firstLine="432"/>
        <w:jc w:val="both"/>
        <w:rPr>
          <w:rFonts w:ascii="Times New Roman" w:hAnsi="Times New Roman" w:cs="Times New Roman"/>
          <w:sz w:val="24"/>
          <w:szCs w:val="24"/>
          <w:lang w:val="en-GB"/>
        </w:rPr>
      </w:pPr>
      <w:r>
        <w:rPr>
          <w:rFonts w:ascii="Times New Roman" w:hAnsi="Times New Roman" w:cs="Times New Roman"/>
          <w:sz w:val="24"/>
          <w:szCs w:val="24"/>
          <w:lang w:val="en-GB"/>
        </w:rPr>
        <w:t>Wright, M.</w:t>
      </w:r>
      <w:r w:rsidR="00B643C4">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995842">
        <w:rPr>
          <w:rFonts w:ascii="Times New Roman" w:hAnsi="Times New Roman" w:cs="Times New Roman"/>
          <w:sz w:val="24"/>
          <w:szCs w:val="24"/>
          <w:lang w:val="en-GB"/>
        </w:rPr>
        <w:t>and</w:t>
      </w:r>
      <w:r>
        <w:rPr>
          <w:rFonts w:ascii="Times New Roman" w:hAnsi="Times New Roman" w:cs="Times New Roman"/>
          <w:sz w:val="24"/>
          <w:szCs w:val="24"/>
          <w:lang w:val="en-GB"/>
        </w:rPr>
        <w:t xml:space="preserve"> </w:t>
      </w:r>
      <w:r w:rsidRPr="009A5FD7">
        <w:rPr>
          <w:rFonts w:ascii="Times New Roman" w:hAnsi="Times New Roman" w:cs="Times New Roman"/>
          <w:sz w:val="24"/>
          <w:szCs w:val="24"/>
          <w:lang w:val="en-GB"/>
        </w:rPr>
        <w:t>Lockett</w:t>
      </w:r>
      <w:r>
        <w:rPr>
          <w:rFonts w:ascii="Times New Roman" w:hAnsi="Times New Roman" w:cs="Times New Roman"/>
          <w:sz w:val="24"/>
          <w:szCs w:val="24"/>
          <w:lang w:val="en-GB"/>
        </w:rPr>
        <w:t xml:space="preserve">, A. 2003. </w:t>
      </w:r>
      <w:r w:rsidRPr="009A5FD7">
        <w:rPr>
          <w:rFonts w:ascii="Times New Roman" w:hAnsi="Times New Roman" w:cs="Times New Roman"/>
          <w:sz w:val="24"/>
          <w:szCs w:val="24"/>
          <w:lang w:val="en-GB"/>
        </w:rPr>
        <w:t xml:space="preserve">Structure and </w:t>
      </w:r>
      <w:r>
        <w:rPr>
          <w:rFonts w:ascii="Times New Roman" w:hAnsi="Times New Roman" w:cs="Times New Roman"/>
          <w:sz w:val="24"/>
          <w:szCs w:val="24"/>
          <w:lang w:val="en-GB"/>
        </w:rPr>
        <w:t>m</w:t>
      </w:r>
      <w:r w:rsidRPr="009A5FD7">
        <w:rPr>
          <w:rFonts w:ascii="Times New Roman" w:hAnsi="Times New Roman" w:cs="Times New Roman"/>
          <w:sz w:val="24"/>
          <w:szCs w:val="24"/>
          <w:lang w:val="en-GB"/>
        </w:rPr>
        <w:t xml:space="preserve">anagement of </w:t>
      </w:r>
      <w:r>
        <w:rPr>
          <w:rFonts w:ascii="Times New Roman" w:hAnsi="Times New Roman" w:cs="Times New Roman"/>
          <w:sz w:val="24"/>
          <w:szCs w:val="24"/>
          <w:lang w:val="en-GB"/>
        </w:rPr>
        <w:t>a</w:t>
      </w:r>
      <w:r w:rsidRPr="009A5FD7">
        <w:rPr>
          <w:rFonts w:ascii="Times New Roman" w:hAnsi="Times New Roman" w:cs="Times New Roman"/>
          <w:sz w:val="24"/>
          <w:szCs w:val="24"/>
          <w:lang w:val="en-GB"/>
        </w:rPr>
        <w:t xml:space="preserve">lliances: Syndication of </w:t>
      </w:r>
      <w:r>
        <w:rPr>
          <w:rFonts w:ascii="Times New Roman" w:hAnsi="Times New Roman" w:cs="Times New Roman"/>
          <w:sz w:val="24"/>
          <w:szCs w:val="24"/>
          <w:lang w:val="en-GB"/>
        </w:rPr>
        <w:t>v</w:t>
      </w:r>
      <w:r w:rsidRPr="009A5FD7">
        <w:rPr>
          <w:rFonts w:ascii="Times New Roman" w:hAnsi="Times New Roman" w:cs="Times New Roman"/>
          <w:sz w:val="24"/>
          <w:szCs w:val="24"/>
          <w:lang w:val="en-GB"/>
        </w:rPr>
        <w:t>enture capital investments</w:t>
      </w:r>
      <w:r>
        <w:rPr>
          <w:rFonts w:ascii="Times New Roman" w:hAnsi="Times New Roman" w:cs="Times New Roman"/>
          <w:sz w:val="24"/>
          <w:szCs w:val="24"/>
          <w:lang w:val="en-GB"/>
        </w:rPr>
        <w:t>.</w:t>
      </w:r>
      <w:r w:rsidRPr="009A5FD7">
        <w:rPr>
          <w:rFonts w:ascii="Times New Roman" w:hAnsi="Times New Roman" w:cs="Times New Roman"/>
          <w:sz w:val="24"/>
          <w:szCs w:val="24"/>
          <w:lang w:val="en-GB"/>
        </w:rPr>
        <w:t xml:space="preserve"> </w:t>
      </w:r>
      <w:r w:rsidRPr="00B643C4">
        <w:rPr>
          <w:rFonts w:ascii="Times New Roman" w:hAnsi="Times New Roman" w:cs="Times New Roman"/>
          <w:sz w:val="24"/>
          <w:szCs w:val="24"/>
          <w:lang w:val="en-GB"/>
        </w:rPr>
        <w:t>Journal of Management Studies</w:t>
      </w:r>
      <w:r w:rsidRPr="009A5FD7">
        <w:rPr>
          <w:rFonts w:ascii="Times New Roman" w:hAnsi="Times New Roman" w:cs="Times New Roman"/>
          <w:sz w:val="24"/>
          <w:szCs w:val="24"/>
          <w:lang w:val="en-GB"/>
        </w:rPr>
        <w:t>, 40(8): 2073-2104.</w:t>
      </w:r>
    </w:p>
    <w:p w14:paraId="5C67E17C" w14:textId="77777777" w:rsidR="00895DBD" w:rsidRPr="00895DBD" w:rsidRDefault="00895DBD" w:rsidP="00B8400A">
      <w:pPr>
        <w:spacing w:after="0" w:line="240" w:lineRule="auto"/>
        <w:ind w:firstLine="432"/>
        <w:jc w:val="both"/>
        <w:rPr>
          <w:rFonts w:ascii="Times New Roman" w:hAnsi="Times New Roman" w:cs="Times New Roman"/>
          <w:sz w:val="24"/>
          <w:szCs w:val="24"/>
        </w:rPr>
      </w:pPr>
      <w:r w:rsidRPr="00895DBD">
        <w:rPr>
          <w:rFonts w:ascii="Times New Roman" w:hAnsi="Times New Roman" w:cs="Times New Roman"/>
          <w:sz w:val="24"/>
          <w:szCs w:val="24"/>
        </w:rPr>
        <w:t xml:space="preserve">Wright, M., Pruthi, S., </w:t>
      </w:r>
      <w:r w:rsidR="00995842">
        <w:rPr>
          <w:rFonts w:ascii="Times New Roman" w:hAnsi="Times New Roman" w:cs="Times New Roman"/>
          <w:sz w:val="24"/>
          <w:szCs w:val="24"/>
        </w:rPr>
        <w:t>and</w:t>
      </w:r>
      <w:r w:rsidRPr="00895DBD">
        <w:rPr>
          <w:rFonts w:ascii="Times New Roman" w:hAnsi="Times New Roman" w:cs="Times New Roman"/>
          <w:sz w:val="24"/>
          <w:szCs w:val="24"/>
        </w:rPr>
        <w:t xml:space="preserve"> Lockett, A. 2005. International venture capital research: From cross-country comparisons to crossing borders. International Journal of Management Reviews, 7(3): 135-165.</w:t>
      </w:r>
    </w:p>
    <w:p w14:paraId="18424C2F" w14:textId="77777777" w:rsidR="00895DBD" w:rsidRPr="00895DBD" w:rsidRDefault="00895DBD" w:rsidP="00B8400A">
      <w:pPr>
        <w:spacing w:after="0" w:line="240" w:lineRule="auto"/>
        <w:ind w:firstLine="432"/>
        <w:jc w:val="both"/>
        <w:rPr>
          <w:rFonts w:ascii="Times New Roman" w:hAnsi="Times New Roman" w:cs="Times New Roman"/>
          <w:sz w:val="24"/>
          <w:szCs w:val="24"/>
        </w:rPr>
      </w:pPr>
      <w:r w:rsidRPr="00895DBD">
        <w:rPr>
          <w:rFonts w:ascii="Times New Roman" w:hAnsi="Times New Roman" w:cs="Times New Roman"/>
          <w:sz w:val="24"/>
          <w:szCs w:val="24"/>
        </w:rPr>
        <w:t xml:space="preserve">Wright, M., </w:t>
      </w:r>
      <w:r w:rsidR="00995842">
        <w:rPr>
          <w:rFonts w:ascii="Times New Roman" w:hAnsi="Times New Roman" w:cs="Times New Roman"/>
          <w:sz w:val="24"/>
          <w:szCs w:val="24"/>
        </w:rPr>
        <w:t>and</w:t>
      </w:r>
      <w:r w:rsidRPr="00895DBD">
        <w:rPr>
          <w:rFonts w:ascii="Times New Roman" w:hAnsi="Times New Roman" w:cs="Times New Roman"/>
          <w:sz w:val="24"/>
          <w:szCs w:val="24"/>
        </w:rPr>
        <w:t xml:space="preserve"> Robbie, K. 1998. Venture Capital and Private Equity: A Review and Synthesis. Journal of Business Finance </w:t>
      </w:r>
      <w:r w:rsidR="00995842">
        <w:rPr>
          <w:rFonts w:ascii="Times New Roman" w:hAnsi="Times New Roman" w:cs="Times New Roman"/>
          <w:sz w:val="24"/>
          <w:szCs w:val="24"/>
        </w:rPr>
        <w:t>and</w:t>
      </w:r>
      <w:r w:rsidRPr="00895DBD">
        <w:rPr>
          <w:rFonts w:ascii="Times New Roman" w:hAnsi="Times New Roman" w:cs="Times New Roman"/>
          <w:sz w:val="24"/>
          <w:szCs w:val="24"/>
        </w:rPr>
        <w:t xml:space="preserve"> Accounting, 25(5-6): 521-570.</w:t>
      </w:r>
    </w:p>
    <w:p w14:paraId="42715D66" w14:textId="77777777" w:rsidR="00895DBD" w:rsidRPr="00895DBD" w:rsidRDefault="00895DBD" w:rsidP="00895DBD">
      <w:pPr>
        <w:spacing w:line="240" w:lineRule="auto"/>
        <w:ind w:firstLine="720"/>
        <w:rPr>
          <w:rFonts w:ascii="Times New Roman" w:hAnsi="Times New Roman" w:cs="Times New Roman"/>
          <w:sz w:val="20"/>
          <w:szCs w:val="20"/>
        </w:rPr>
      </w:pPr>
    </w:p>
    <w:p w14:paraId="1218DFFC" w14:textId="77777777" w:rsidR="00B338B2" w:rsidRDefault="00B338B2">
      <w:pPr>
        <w:rPr>
          <w:rFonts w:ascii="Times New Roman" w:hAnsi="Times New Roman" w:cs="Times New Roman"/>
          <w:sz w:val="20"/>
          <w:szCs w:val="20"/>
        </w:rPr>
      </w:pPr>
      <w:r>
        <w:rPr>
          <w:rFonts w:ascii="Times New Roman" w:hAnsi="Times New Roman" w:cs="Times New Roman"/>
          <w:sz w:val="20"/>
          <w:szCs w:val="20"/>
        </w:rPr>
        <w:br w:type="page"/>
      </w:r>
    </w:p>
    <w:p w14:paraId="5F55766D" w14:textId="77777777" w:rsidR="00B338B2" w:rsidRPr="00DD4DDC" w:rsidRDefault="00B338B2" w:rsidP="00DD4DDC">
      <w:pPr>
        <w:autoSpaceDE w:val="0"/>
        <w:autoSpaceDN w:val="0"/>
        <w:adjustRightInd w:val="0"/>
        <w:spacing w:after="0" w:line="480" w:lineRule="auto"/>
        <w:ind w:firstLine="431"/>
        <w:jc w:val="center"/>
        <w:rPr>
          <w:rFonts w:ascii="Times New Roman" w:hAnsi="Times New Roman" w:cs="Times New Roman"/>
          <w:b/>
          <w:caps/>
          <w:sz w:val="24"/>
          <w:szCs w:val="24"/>
        </w:rPr>
      </w:pPr>
      <w:r w:rsidRPr="00DD4DDC">
        <w:rPr>
          <w:rFonts w:ascii="Times New Roman" w:hAnsi="Times New Roman" w:cs="Times New Roman"/>
          <w:b/>
          <w:caps/>
          <w:sz w:val="24"/>
          <w:szCs w:val="24"/>
        </w:rPr>
        <w:lastRenderedPageBreak/>
        <w:t xml:space="preserve">Appendix A: Classification of </w:t>
      </w:r>
      <w:r w:rsidR="00DB4A9B">
        <w:rPr>
          <w:rFonts w:ascii="Times New Roman" w:hAnsi="Times New Roman" w:cs="Times New Roman"/>
          <w:b/>
          <w:caps/>
          <w:sz w:val="24"/>
          <w:szCs w:val="24"/>
        </w:rPr>
        <w:t>trade sales and buyouts</w:t>
      </w:r>
    </w:p>
    <w:p w14:paraId="6CAD100F" w14:textId="77777777" w:rsidR="00B338B2" w:rsidRPr="00DD4DDC" w:rsidRDefault="00DB4A9B" w:rsidP="00DD4DDC">
      <w:pPr>
        <w:autoSpaceDE w:val="0"/>
        <w:autoSpaceDN w:val="0"/>
        <w:adjustRightInd w:val="0"/>
        <w:spacing w:after="0" w:line="480" w:lineRule="auto"/>
        <w:ind w:firstLine="431"/>
        <w:jc w:val="both"/>
        <w:rPr>
          <w:rFonts w:ascii="Times New Roman" w:hAnsi="Times New Roman" w:cs="Times New Roman"/>
          <w:sz w:val="24"/>
          <w:szCs w:val="24"/>
        </w:rPr>
      </w:pPr>
      <w:r>
        <w:rPr>
          <w:rFonts w:ascii="Times New Roman" w:hAnsi="Times New Roman" w:cs="Times New Roman"/>
          <w:sz w:val="24"/>
          <w:szCs w:val="24"/>
        </w:rPr>
        <w:t>B</w:t>
      </w:r>
      <w:r w:rsidR="00B338B2" w:rsidRPr="00DD4DDC">
        <w:rPr>
          <w:rFonts w:ascii="Times New Roman" w:hAnsi="Times New Roman" w:cs="Times New Roman"/>
          <w:sz w:val="24"/>
          <w:szCs w:val="24"/>
        </w:rPr>
        <w:t>ased upon the characteristics of the companies for which it is known whether the exit was successful or not, we developed a model to predict whether a</w:t>
      </w:r>
      <w:r w:rsidR="00ED68FC">
        <w:rPr>
          <w:rFonts w:ascii="Times New Roman" w:hAnsi="Times New Roman" w:cs="Times New Roman"/>
          <w:sz w:val="24"/>
          <w:szCs w:val="24"/>
        </w:rPr>
        <w:t xml:space="preserve"> trade sale or buyout </w:t>
      </w:r>
      <w:r w:rsidR="00B338B2" w:rsidRPr="00DD4DDC">
        <w:rPr>
          <w:rFonts w:ascii="Times New Roman" w:hAnsi="Times New Roman" w:cs="Times New Roman"/>
          <w:sz w:val="24"/>
          <w:szCs w:val="24"/>
        </w:rPr>
        <w:t>exit was success</w:t>
      </w:r>
      <w:r w:rsidR="00ED68FC" w:rsidRPr="00747A19">
        <w:rPr>
          <w:rFonts w:ascii="Times New Roman" w:hAnsi="Times New Roman" w:cs="Times New Roman"/>
          <w:sz w:val="24"/>
          <w:szCs w:val="24"/>
        </w:rPr>
        <w:t>ful</w:t>
      </w:r>
      <w:r w:rsidR="00B338B2" w:rsidRPr="00DD4DDC">
        <w:rPr>
          <w:rFonts w:ascii="Times New Roman" w:hAnsi="Times New Roman" w:cs="Times New Roman"/>
          <w:sz w:val="24"/>
          <w:szCs w:val="24"/>
        </w:rPr>
        <w:t xml:space="preserve">. This approach is comparable with failure prediction models (see e.g. </w:t>
      </w:r>
      <w:r w:rsidR="00B338B2" w:rsidRPr="0026368C">
        <w:rPr>
          <w:rFonts w:ascii="Times New Roman" w:hAnsi="Times New Roman" w:cs="Times New Roman"/>
          <w:sz w:val="24"/>
          <w:szCs w:val="24"/>
        </w:rPr>
        <w:t xml:space="preserve">Ohlson, 1980; Altman </w:t>
      </w:r>
      <w:r w:rsidR="00995842" w:rsidRPr="0026368C">
        <w:rPr>
          <w:rFonts w:ascii="Times New Roman" w:hAnsi="Times New Roman" w:cs="Times New Roman"/>
          <w:sz w:val="24"/>
          <w:szCs w:val="24"/>
        </w:rPr>
        <w:t>and</w:t>
      </w:r>
      <w:r w:rsidR="00B338B2" w:rsidRPr="0026368C">
        <w:rPr>
          <w:rFonts w:ascii="Times New Roman" w:hAnsi="Times New Roman" w:cs="Times New Roman"/>
          <w:sz w:val="24"/>
          <w:szCs w:val="24"/>
        </w:rPr>
        <w:t xml:space="preserve"> Sabato, 2007</w:t>
      </w:r>
      <w:r w:rsidR="00B338B2" w:rsidRPr="00B27B7A">
        <w:rPr>
          <w:rFonts w:ascii="Times New Roman" w:hAnsi="Times New Roman" w:cs="Times New Roman"/>
          <w:sz w:val="24"/>
          <w:szCs w:val="24"/>
        </w:rPr>
        <w:t>). The prediction model used the exit information of th</w:t>
      </w:r>
      <w:r w:rsidR="00B338B2" w:rsidRPr="00DD4DDC">
        <w:rPr>
          <w:rFonts w:ascii="Times New Roman" w:hAnsi="Times New Roman" w:cs="Times New Roman"/>
          <w:sz w:val="24"/>
          <w:szCs w:val="24"/>
        </w:rPr>
        <w:t>e known exits in the full dataset (759 portfolio companies). We classified an exit as successful if it was an IPO (54 portfolio companies),</w:t>
      </w:r>
      <w:r>
        <w:rPr>
          <w:rFonts w:ascii="Times New Roman" w:hAnsi="Times New Roman" w:cs="Times New Roman"/>
          <w:sz w:val="24"/>
          <w:szCs w:val="24"/>
        </w:rPr>
        <w:t xml:space="preserve"> or if the exit value was higher than the amount invested in</w:t>
      </w:r>
      <w:r w:rsidR="00B338B2" w:rsidRPr="00DD4DDC">
        <w:rPr>
          <w:rFonts w:ascii="Times New Roman" w:hAnsi="Times New Roman" w:cs="Times New Roman"/>
          <w:sz w:val="24"/>
          <w:szCs w:val="24"/>
        </w:rPr>
        <w:t xml:space="preserve"> a trade sale (35 portfolio companies)</w:t>
      </w:r>
      <w:r w:rsidRPr="00DB4A9B">
        <w:rPr>
          <w:rFonts w:ascii="Times New Roman" w:hAnsi="Times New Roman" w:cs="Times New Roman"/>
          <w:sz w:val="24"/>
          <w:szCs w:val="24"/>
        </w:rPr>
        <w:t xml:space="preserve"> </w:t>
      </w:r>
      <w:r>
        <w:rPr>
          <w:rFonts w:ascii="Times New Roman" w:hAnsi="Times New Roman" w:cs="Times New Roman"/>
          <w:sz w:val="24"/>
          <w:szCs w:val="24"/>
        </w:rPr>
        <w:t xml:space="preserve">or a </w:t>
      </w:r>
      <w:r w:rsidRPr="00846FE7">
        <w:rPr>
          <w:rFonts w:ascii="Times New Roman" w:hAnsi="Times New Roman" w:cs="Times New Roman"/>
          <w:sz w:val="24"/>
          <w:szCs w:val="24"/>
        </w:rPr>
        <w:t>buy-out (5 portfolio companies)</w:t>
      </w:r>
      <w:r w:rsidR="00B338B2" w:rsidRPr="00DD4DDC">
        <w:rPr>
          <w:rFonts w:ascii="Times New Roman" w:hAnsi="Times New Roman" w:cs="Times New Roman"/>
          <w:sz w:val="24"/>
          <w:szCs w:val="24"/>
        </w:rPr>
        <w:t xml:space="preserve">. </w:t>
      </w:r>
      <w:r w:rsidR="00B27B7A">
        <w:rPr>
          <w:rFonts w:ascii="Times New Roman" w:hAnsi="Times New Roman" w:cs="Times New Roman"/>
          <w:sz w:val="24"/>
          <w:szCs w:val="24"/>
        </w:rPr>
        <w:t>Unsuccessful exits</w:t>
      </w:r>
      <w:r w:rsidR="00B27B7A" w:rsidRPr="00DD4DDC">
        <w:rPr>
          <w:rFonts w:ascii="Times New Roman" w:hAnsi="Times New Roman" w:cs="Times New Roman"/>
          <w:sz w:val="24"/>
          <w:szCs w:val="24"/>
        </w:rPr>
        <w:t xml:space="preserve"> </w:t>
      </w:r>
      <w:r w:rsidR="00B338B2" w:rsidRPr="00DD4DDC">
        <w:rPr>
          <w:rFonts w:ascii="Times New Roman" w:hAnsi="Times New Roman" w:cs="Times New Roman"/>
          <w:sz w:val="24"/>
          <w:szCs w:val="24"/>
        </w:rPr>
        <w:t>comprise</w:t>
      </w:r>
      <w:r w:rsidR="00F705D4">
        <w:rPr>
          <w:rFonts w:ascii="Times New Roman" w:hAnsi="Times New Roman" w:cs="Times New Roman"/>
          <w:sz w:val="24"/>
          <w:szCs w:val="24"/>
        </w:rPr>
        <w:t>d</w:t>
      </w:r>
      <w:r w:rsidR="00B338B2" w:rsidRPr="00DD4DDC">
        <w:rPr>
          <w:rFonts w:ascii="Times New Roman" w:hAnsi="Times New Roman" w:cs="Times New Roman"/>
          <w:sz w:val="24"/>
          <w:szCs w:val="24"/>
        </w:rPr>
        <w:t xml:space="preserve"> liquidations (147 portfolio companies), buy-backs (31 companies) and buy-out or trade sale exits with a transaction value below the total amount invested (11 portfolio companies).</w:t>
      </w:r>
    </w:p>
    <w:p w14:paraId="464DEED5" w14:textId="77777777" w:rsidR="00B338B2" w:rsidRPr="00DD4DDC" w:rsidRDefault="00B338B2" w:rsidP="00DD4DDC">
      <w:pPr>
        <w:autoSpaceDE w:val="0"/>
        <w:autoSpaceDN w:val="0"/>
        <w:adjustRightInd w:val="0"/>
        <w:spacing w:after="0" w:line="480" w:lineRule="auto"/>
        <w:ind w:firstLine="431"/>
        <w:jc w:val="both"/>
        <w:rPr>
          <w:rFonts w:ascii="Times New Roman" w:hAnsi="Times New Roman" w:cs="Times New Roman"/>
          <w:sz w:val="24"/>
          <w:szCs w:val="24"/>
        </w:rPr>
      </w:pPr>
      <w:r w:rsidRPr="00DD4DDC">
        <w:rPr>
          <w:rFonts w:ascii="Times New Roman" w:hAnsi="Times New Roman" w:cs="Times New Roman"/>
          <w:sz w:val="24"/>
          <w:szCs w:val="24"/>
        </w:rPr>
        <w:t xml:space="preserve">The 94 successful exits and 189 </w:t>
      </w:r>
      <w:r w:rsidR="00B27B7A">
        <w:rPr>
          <w:rFonts w:ascii="Times New Roman" w:hAnsi="Times New Roman" w:cs="Times New Roman"/>
          <w:sz w:val="24"/>
          <w:szCs w:val="24"/>
        </w:rPr>
        <w:t>unsuccessful exits</w:t>
      </w:r>
      <w:r w:rsidR="00B27B7A" w:rsidRPr="00DD4DDC">
        <w:rPr>
          <w:rFonts w:ascii="Times New Roman" w:hAnsi="Times New Roman" w:cs="Times New Roman"/>
          <w:sz w:val="24"/>
          <w:szCs w:val="24"/>
        </w:rPr>
        <w:t xml:space="preserve"> </w:t>
      </w:r>
      <w:r w:rsidRPr="00DD4DDC">
        <w:rPr>
          <w:rFonts w:ascii="Times New Roman" w:hAnsi="Times New Roman" w:cs="Times New Roman"/>
          <w:sz w:val="24"/>
          <w:szCs w:val="24"/>
        </w:rPr>
        <w:t xml:space="preserve">were used as the learning sample in our logit models (Ohlson, 1980; Altman </w:t>
      </w:r>
      <w:r w:rsidR="00995842">
        <w:rPr>
          <w:rFonts w:ascii="Times New Roman" w:hAnsi="Times New Roman" w:cs="Times New Roman"/>
          <w:sz w:val="24"/>
          <w:szCs w:val="24"/>
        </w:rPr>
        <w:t>and</w:t>
      </w:r>
      <w:r w:rsidRPr="00DD4DDC">
        <w:rPr>
          <w:rFonts w:ascii="Times New Roman" w:hAnsi="Times New Roman" w:cs="Times New Roman"/>
          <w:sz w:val="24"/>
          <w:szCs w:val="24"/>
        </w:rPr>
        <w:t xml:space="preserve"> Sabato, 2007). </w:t>
      </w:r>
      <w:r w:rsidR="00F705D4">
        <w:rPr>
          <w:rFonts w:ascii="Times New Roman" w:hAnsi="Times New Roman" w:cs="Times New Roman"/>
          <w:sz w:val="24"/>
          <w:szCs w:val="24"/>
        </w:rPr>
        <w:t>T</w:t>
      </w:r>
      <w:r w:rsidRPr="00DD4DDC">
        <w:rPr>
          <w:rFonts w:ascii="Times New Roman" w:hAnsi="Times New Roman" w:cs="Times New Roman"/>
          <w:sz w:val="24"/>
          <w:szCs w:val="24"/>
        </w:rPr>
        <w:t>wo different logit models</w:t>
      </w:r>
      <w:r w:rsidR="00BF5331">
        <w:rPr>
          <w:rFonts w:ascii="Times New Roman" w:hAnsi="Times New Roman" w:cs="Times New Roman"/>
          <w:sz w:val="24"/>
          <w:szCs w:val="24"/>
        </w:rPr>
        <w:t>, including different sets of variables,</w:t>
      </w:r>
      <w:r w:rsidRPr="00DD4DDC">
        <w:rPr>
          <w:rFonts w:ascii="Times New Roman" w:hAnsi="Times New Roman" w:cs="Times New Roman"/>
          <w:sz w:val="24"/>
          <w:szCs w:val="24"/>
        </w:rPr>
        <w:t xml:space="preserve"> were estimated in order to test the robustness of our classification. The dependent variable in both models is a dummy variable, taking the value of one if the exit was successful. Both models have a high predictive power, with adjusted R² values of 0.63 (model 1) and 0.60 (model 2). The </w:t>
      </w:r>
      <w:r w:rsidR="00BF5331">
        <w:rPr>
          <w:rFonts w:ascii="Times New Roman" w:hAnsi="Times New Roman" w:cs="Times New Roman"/>
          <w:sz w:val="24"/>
          <w:szCs w:val="24"/>
        </w:rPr>
        <w:t>variables</w:t>
      </w:r>
      <w:r w:rsidRPr="00DD4DDC">
        <w:rPr>
          <w:rFonts w:ascii="Times New Roman" w:hAnsi="Times New Roman" w:cs="Times New Roman"/>
          <w:sz w:val="24"/>
          <w:szCs w:val="24"/>
        </w:rPr>
        <w:t xml:space="preserve"> were included based on their significance and their predictive power (Ohlson, 1980; Altman </w:t>
      </w:r>
      <w:r w:rsidR="00995842">
        <w:rPr>
          <w:rFonts w:ascii="Times New Roman" w:hAnsi="Times New Roman" w:cs="Times New Roman"/>
          <w:sz w:val="24"/>
          <w:szCs w:val="24"/>
        </w:rPr>
        <w:t>and</w:t>
      </w:r>
      <w:r w:rsidRPr="00DD4DDC">
        <w:rPr>
          <w:rFonts w:ascii="Times New Roman" w:hAnsi="Times New Roman" w:cs="Times New Roman"/>
          <w:sz w:val="24"/>
          <w:szCs w:val="24"/>
        </w:rPr>
        <w:t xml:space="preserve"> Sabato, 2007). Both logit models include portfolio company characteristics: the first round investment amount, the pre-exit cash flow, assets and the ratio of value adding over payroll expenses. </w:t>
      </w:r>
      <w:r w:rsidR="006B667E">
        <w:rPr>
          <w:rFonts w:ascii="Times New Roman" w:hAnsi="Times New Roman" w:cs="Times New Roman"/>
          <w:sz w:val="24"/>
          <w:szCs w:val="24"/>
        </w:rPr>
        <w:t>We also</w:t>
      </w:r>
      <w:r w:rsidRPr="00DD4DDC">
        <w:rPr>
          <w:rFonts w:ascii="Times New Roman" w:hAnsi="Times New Roman" w:cs="Times New Roman"/>
          <w:sz w:val="24"/>
          <w:szCs w:val="24"/>
        </w:rPr>
        <w:t xml:space="preserve"> include</w:t>
      </w:r>
      <w:r w:rsidR="00423BD1">
        <w:rPr>
          <w:rFonts w:ascii="Times New Roman" w:hAnsi="Times New Roman" w:cs="Times New Roman"/>
          <w:sz w:val="24"/>
          <w:szCs w:val="24"/>
        </w:rPr>
        <w:t>d</w:t>
      </w:r>
      <w:r w:rsidRPr="00DD4DDC">
        <w:rPr>
          <w:rFonts w:ascii="Times New Roman" w:hAnsi="Times New Roman" w:cs="Times New Roman"/>
          <w:sz w:val="24"/>
          <w:szCs w:val="24"/>
        </w:rPr>
        <w:t xml:space="preserve"> dummy variables to control for the first investment year and for the portfolio company’s industry and country characteristics. Model 1 further includes the time between first investment and exit, the pre-exit sales, the long term debt over total assets ratio and the sales over total assets ratio. Model 2 includes the portfolio company’s pre-exit value adding, amount of cash holdings and its value adding over total assets ratio</w:t>
      </w:r>
      <w:r w:rsidR="006B667E">
        <w:rPr>
          <w:rFonts w:ascii="Times New Roman" w:hAnsi="Times New Roman" w:cs="Times New Roman"/>
          <w:sz w:val="24"/>
          <w:szCs w:val="24"/>
        </w:rPr>
        <w:t xml:space="preserve">, as sales </w:t>
      </w:r>
      <w:r w:rsidR="006B667E">
        <w:rPr>
          <w:rFonts w:ascii="Times New Roman" w:hAnsi="Times New Roman" w:cs="Times New Roman"/>
          <w:sz w:val="24"/>
          <w:szCs w:val="24"/>
        </w:rPr>
        <w:lastRenderedPageBreak/>
        <w:t>information is not available for all companies</w:t>
      </w:r>
      <w:r w:rsidRPr="00DD4DDC">
        <w:rPr>
          <w:rFonts w:ascii="Times New Roman" w:hAnsi="Times New Roman" w:cs="Times New Roman"/>
          <w:sz w:val="24"/>
          <w:szCs w:val="24"/>
        </w:rPr>
        <w:t xml:space="preserve">. The highest variance inflation factor </w:t>
      </w:r>
      <w:r w:rsidRPr="00DD4DDC">
        <w:rPr>
          <w:rFonts w:ascii="Times New Roman" w:hAnsi="Times New Roman" w:cs="Times New Roman"/>
          <w:bCs/>
          <w:sz w:val="24"/>
          <w:szCs w:val="24"/>
        </w:rPr>
        <w:t xml:space="preserve">was 3.72, which </w:t>
      </w:r>
      <w:r w:rsidR="00BB5E93">
        <w:rPr>
          <w:rFonts w:ascii="Times New Roman" w:hAnsi="Times New Roman" w:cs="Times New Roman"/>
          <w:bCs/>
          <w:sz w:val="24"/>
          <w:szCs w:val="24"/>
        </w:rPr>
        <w:t>is</w:t>
      </w:r>
      <w:r w:rsidRPr="00DD4DDC">
        <w:rPr>
          <w:rFonts w:ascii="Times New Roman" w:hAnsi="Times New Roman" w:cs="Times New Roman"/>
          <w:bCs/>
          <w:sz w:val="24"/>
          <w:szCs w:val="24"/>
        </w:rPr>
        <w:t xml:space="preserve"> </w:t>
      </w:r>
      <w:r w:rsidRPr="00DD4DDC">
        <w:rPr>
          <w:rFonts w:ascii="Times New Roman" w:hAnsi="Times New Roman" w:cs="Times New Roman"/>
          <w:sz w:val="24"/>
          <w:szCs w:val="24"/>
        </w:rPr>
        <w:t xml:space="preserve">well below the usual threshold level of </w:t>
      </w:r>
      <w:r w:rsidRPr="00B27B7A">
        <w:rPr>
          <w:rFonts w:ascii="Times New Roman" w:hAnsi="Times New Roman" w:cs="Times New Roman"/>
          <w:sz w:val="24"/>
          <w:szCs w:val="24"/>
        </w:rPr>
        <w:t>10 (</w:t>
      </w:r>
      <w:r w:rsidRPr="0026368C">
        <w:rPr>
          <w:rFonts w:ascii="Times New Roman" w:hAnsi="Times New Roman" w:cs="Times New Roman"/>
          <w:sz w:val="24"/>
          <w:szCs w:val="24"/>
        </w:rPr>
        <w:t>Rao et al., 2001</w:t>
      </w:r>
      <w:r w:rsidRPr="00B27B7A">
        <w:rPr>
          <w:rFonts w:ascii="Times New Roman" w:hAnsi="Times New Roman" w:cs="Times New Roman"/>
          <w:sz w:val="24"/>
          <w:szCs w:val="24"/>
        </w:rPr>
        <w:t>).</w:t>
      </w:r>
    </w:p>
    <w:p w14:paraId="36D0440F" w14:textId="77777777" w:rsidR="00B338B2" w:rsidRPr="00DD4DDC" w:rsidRDefault="00B338B2" w:rsidP="00DD4DDC">
      <w:pPr>
        <w:autoSpaceDE w:val="0"/>
        <w:autoSpaceDN w:val="0"/>
        <w:adjustRightInd w:val="0"/>
        <w:spacing w:after="0" w:line="480" w:lineRule="auto"/>
        <w:ind w:firstLine="431"/>
        <w:jc w:val="both"/>
        <w:rPr>
          <w:rFonts w:ascii="Times New Roman" w:hAnsi="Times New Roman" w:cs="Times New Roman"/>
          <w:sz w:val="24"/>
          <w:szCs w:val="24"/>
          <w:u w:val="single"/>
        </w:rPr>
      </w:pPr>
      <w:r w:rsidRPr="00DD4DDC">
        <w:rPr>
          <w:rFonts w:ascii="Times New Roman" w:hAnsi="Times New Roman" w:cs="Times New Roman"/>
          <w:bCs/>
          <w:sz w:val="24"/>
          <w:szCs w:val="24"/>
        </w:rPr>
        <w:t>The outcome of the learning models serve</w:t>
      </w:r>
      <w:r w:rsidR="00BB5E93">
        <w:rPr>
          <w:rFonts w:ascii="Times New Roman" w:hAnsi="Times New Roman" w:cs="Times New Roman"/>
          <w:bCs/>
          <w:sz w:val="24"/>
          <w:szCs w:val="24"/>
        </w:rPr>
        <w:t>d</w:t>
      </w:r>
      <w:r w:rsidRPr="00DD4DDC">
        <w:rPr>
          <w:rFonts w:ascii="Times New Roman" w:hAnsi="Times New Roman" w:cs="Times New Roman"/>
          <w:bCs/>
          <w:sz w:val="24"/>
          <w:szCs w:val="24"/>
        </w:rPr>
        <w:t xml:space="preserve"> as input to classify portfolio companies for which insufficient information is available to classify their exit as successful. We first estimate</w:t>
      </w:r>
      <w:r w:rsidR="00410492">
        <w:rPr>
          <w:rFonts w:ascii="Times New Roman" w:hAnsi="Times New Roman" w:cs="Times New Roman"/>
          <w:bCs/>
          <w:sz w:val="24"/>
          <w:szCs w:val="24"/>
        </w:rPr>
        <w:t>d</w:t>
      </w:r>
      <w:r w:rsidRPr="00DD4DDC">
        <w:rPr>
          <w:rFonts w:ascii="Times New Roman" w:hAnsi="Times New Roman" w:cs="Times New Roman"/>
          <w:bCs/>
          <w:sz w:val="24"/>
          <w:szCs w:val="24"/>
        </w:rPr>
        <w:t xml:space="preserve"> the exit year for those companies for which the exact exit time was lacking. Thereafter, we estimated the likelihood of the exit being successful.</w:t>
      </w:r>
      <w:r w:rsidR="00410492">
        <w:rPr>
          <w:rFonts w:ascii="Times New Roman" w:hAnsi="Times New Roman" w:cs="Times New Roman"/>
          <w:sz w:val="24"/>
          <w:szCs w:val="24"/>
          <w:u w:val="single"/>
        </w:rPr>
        <w:t xml:space="preserve"> </w:t>
      </w:r>
      <w:r w:rsidR="00410492">
        <w:rPr>
          <w:rFonts w:ascii="Times New Roman" w:hAnsi="Times New Roman" w:cs="Times New Roman"/>
          <w:sz w:val="24"/>
          <w:szCs w:val="24"/>
        </w:rPr>
        <w:t>We therefore</w:t>
      </w:r>
      <w:r w:rsidRPr="00DD4DDC">
        <w:rPr>
          <w:rFonts w:ascii="Times New Roman" w:hAnsi="Times New Roman" w:cs="Times New Roman"/>
          <w:sz w:val="24"/>
          <w:szCs w:val="24"/>
        </w:rPr>
        <w:t xml:space="preserve"> calculated the logit scores predicted by the two classification prediction models based upon pre-exit company characteristics</w:t>
      </w:r>
      <w:r w:rsidR="00410492">
        <w:rPr>
          <w:rFonts w:ascii="Times New Roman" w:hAnsi="Times New Roman" w:cs="Times New Roman"/>
          <w:sz w:val="24"/>
          <w:szCs w:val="24"/>
        </w:rPr>
        <w:t>, year, industry and country dummies</w:t>
      </w:r>
      <w:r w:rsidRPr="00DD4DDC">
        <w:rPr>
          <w:rFonts w:ascii="Times New Roman" w:hAnsi="Times New Roman" w:cs="Times New Roman"/>
          <w:sz w:val="24"/>
          <w:szCs w:val="24"/>
        </w:rPr>
        <w:t xml:space="preserve">. Companies with logit scores for both models below 0.25 were classified as having been unsuccessfully exited (74 companies or 9.75%) and companies with logit scores for both models above 0.75 as having been successfully exited (155 companies or 20.42%). Companies with a logit score between 0.25 and 0.75, with contradicting scores on both models or without pre-exit accounting data were not classified and treated as right censored data in our main analyses (229 companies or 30.17%). </w:t>
      </w:r>
    </w:p>
    <w:p w14:paraId="6ECFD5C1" w14:textId="77777777" w:rsidR="00B338B2" w:rsidRDefault="00410492" w:rsidP="00DD4DDC">
      <w:pPr>
        <w:autoSpaceDE w:val="0"/>
        <w:autoSpaceDN w:val="0"/>
        <w:adjustRightInd w:val="0"/>
        <w:spacing w:after="0" w:line="480" w:lineRule="auto"/>
        <w:ind w:firstLine="431"/>
        <w:jc w:val="both"/>
        <w:rPr>
          <w:rFonts w:ascii="Times New Roman" w:hAnsi="Times New Roman" w:cs="Times New Roman"/>
          <w:sz w:val="24"/>
          <w:szCs w:val="24"/>
        </w:rPr>
      </w:pPr>
      <w:r>
        <w:rPr>
          <w:rFonts w:ascii="Times New Roman" w:hAnsi="Times New Roman" w:cs="Times New Roman"/>
          <w:sz w:val="24"/>
          <w:szCs w:val="24"/>
        </w:rPr>
        <w:t>This leads to</w:t>
      </w:r>
      <w:r w:rsidR="00B338B2" w:rsidRPr="00DD4DDC">
        <w:rPr>
          <w:rFonts w:ascii="Times New Roman" w:hAnsi="Times New Roman" w:cs="Times New Roman"/>
          <w:sz w:val="24"/>
          <w:szCs w:val="24"/>
        </w:rPr>
        <w:t xml:space="preserve"> a total of 249 companies categorized as having experienced a successful exit, </w:t>
      </w:r>
      <w:r>
        <w:rPr>
          <w:rFonts w:ascii="Times New Roman" w:hAnsi="Times New Roman" w:cs="Times New Roman"/>
          <w:sz w:val="24"/>
          <w:szCs w:val="24"/>
        </w:rPr>
        <w:t xml:space="preserve">and </w:t>
      </w:r>
      <w:r w:rsidR="00B338B2" w:rsidRPr="00DD4DDC">
        <w:rPr>
          <w:rFonts w:ascii="Times New Roman" w:hAnsi="Times New Roman" w:cs="Times New Roman"/>
          <w:sz w:val="24"/>
          <w:szCs w:val="24"/>
        </w:rPr>
        <w:t xml:space="preserve">263 portfolio companies categorized as having </w:t>
      </w:r>
      <w:r>
        <w:rPr>
          <w:rFonts w:ascii="Times New Roman" w:hAnsi="Times New Roman" w:cs="Times New Roman"/>
          <w:sz w:val="24"/>
          <w:szCs w:val="24"/>
        </w:rPr>
        <w:t xml:space="preserve">been </w:t>
      </w:r>
      <w:r w:rsidR="00B27B7A">
        <w:rPr>
          <w:rFonts w:ascii="Times New Roman" w:hAnsi="Times New Roman" w:cs="Times New Roman"/>
          <w:sz w:val="24"/>
          <w:szCs w:val="24"/>
        </w:rPr>
        <w:t>unsuccessfully exited</w:t>
      </w:r>
      <w:r w:rsidR="00B338B2" w:rsidRPr="00DD4DDC">
        <w:rPr>
          <w:rFonts w:ascii="Times New Roman" w:hAnsi="Times New Roman" w:cs="Times New Roman"/>
          <w:sz w:val="24"/>
          <w:szCs w:val="24"/>
        </w:rPr>
        <w:t xml:space="preserve">. The remaining 247 companies were treated as censored, the majority because </w:t>
      </w:r>
      <w:r w:rsidR="00091E33">
        <w:rPr>
          <w:rFonts w:ascii="Times New Roman" w:hAnsi="Times New Roman" w:cs="Times New Roman"/>
          <w:sz w:val="24"/>
          <w:szCs w:val="24"/>
        </w:rPr>
        <w:t>key</w:t>
      </w:r>
      <w:r w:rsidR="00B338B2" w:rsidRPr="00DD4DDC">
        <w:rPr>
          <w:rFonts w:ascii="Times New Roman" w:hAnsi="Times New Roman" w:cs="Times New Roman"/>
          <w:sz w:val="24"/>
          <w:szCs w:val="24"/>
        </w:rPr>
        <w:t xml:space="preserve"> data was lacking (200 companies) or because the logit scores of the two models were contradicting or inconclusive (29 companies). </w:t>
      </w:r>
      <w:r w:rsidR="00B27B7A">
        <w:rPr>
          <w:rFonts w:ascii="Times New Roman" w:hAnsi="Times New Roman" w:cs="Times New Roman"/>
          <w:sz w:val="24"/>
          <w:szCs w:val="24"/>
        </w:rPr>
        <w:t>An unsuccessful exit is associated with a termination event.</w:t>
      </w:r>
    </w:p>
    <w:p w14:paraId="364832F1" w14:textId="77777777" w:rsidR="00B76C81" w:rsidRDefault="00B76C81">
      <w:pPr>
        <w:rPr>
          <w:rFonts w:ascii="Times New Roman" w:hAnsi="Times New Roman" w:cs="Times New Roman"/>
          <w:sz w:val="24"/>
          <w:szCs w:val="24"/>
        </w:rPr>
      </w:pPr>
      <w:r>
        <w:rPr>
          <w:rFonts w:ascii="Times New Roman" w:hAnsi="Times New Roman" w:cs="Times New Roman"/>
          <w:sz w:val="24"/>
          <w:szCs w:val="24"/>
        </w:rPr>
        <w:br w:type="page"/>
      </w:r>
    </w:p>
    <w:p w14:paraId="0AD71BB3" w14:textId="77777777" w:rsidR="00B76C81" w:rsidRPr="00DD4DDC" w:rsidRDefault="00B76C81" w:rsidP="00B76C81">
      <w:pPr>
        <w:autoSpaceDE w:val="0"/>
        <w:autoSpaceDN w:val="0"/>
        <w:adjustRightInd w:val="0"/>
        <w:spacing w:after="0" w:line="480" w:lineRule="auto"/>
        <w:ind w:firstLine="431"/>
        <w:jc w:val="center"/>
        <w:rPr>
          <w:rFonts w:ascii="Times New Roman" w:hAnsi="Times New Roman" w:cs="Times New Roman"/>
          <w:b/>
          <w:caps/>
          <w:sz w:val="24"/>
          <w:szCs w:val="24"/>
        </w:rPr>
      </w:pPr>
      <w:r>
        <w:rPr>
          <w:rFonts w:ascii="Times New Roman" w:hAnsi="Times New Roman" w:cs="Times New Roman"/>
          <w:b/>
          <w:caps/>
          <w:sz w:val="24"/>
          <w:szCs w:val="24"/>
        </w:rPr>
        <w:lastRenderedPageBreak/>
        <w:t>Appendix B</w:t>
      </w:r>
      <w:r w:rsidRPr="00DD4DDC">
        <w:rPr>
          <w:rFonts w:ascii="Times New Roman" w:hAnsi="Times New Roman" w:cs="Times New Roman"/>
          <w:b/>
          <w:caps/>
          <w:sz w:val="24"/>
          <w:szCs w:val="24"/>
        </w:rPr>
        <w:t xml:space="preserve">: </w:t>
      </w:r>
      <w:r>
        <w:rPr>
          <w:rFonts w:ascii="Times New Roman" w:hAnsi="Times New Roman" w:cs="Times New Roman"/>
          <w:b/>
          <w:caps/>
          <w:sz w:val="24"/>
          <w:szCs w:val="24"/>
        </w:rPr>
        <w:t xml:space="preserve">Probit selection model </w:t>
      </w:r>
    </w:p>
    <w:p w14:paraId="794E54D3" w14:textId="77777777" w:rsidR="00E11BBE" w:rsidRDefault="00DF2288" w:rsidP="002612BA">
      <w:pPr>
        <w:autoSpaceDE w:val="0"/>
        <w:autoSpaceDN w:val="0"/>
        <w:adjustRightInd w:val="0"/>
        <w:spacing w:after="0" w:line="240" w:lineRule="auto"/>
        <w:jc w:val="both"/>
        <w:rPr>
          <w:rFonts w:ascii="Times New Roman" w:hAnsi="Times New Roman" w:cs="Times New Roman"/>
          <w:sz w:val="20"/>
          <w:szCs w:val="24"/>
        </w:rPr>
      </w:pPr>
      <w:r w:rsidRPr="00DF2288">
        <w:rPr>
          <w:noProof/>
          <w:lang w:val="en-GB" w:eastAsia="en-GB"/>
        </w:rPr>
        <w:drawing>
          <wp:inline distT="0" distB="0" distL="0" distR="0" wp14:anchorId="52A06CE2" wp14:editId="6F7E05B2">
            <wp:extent cx="4305300" cy="34385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05300" cy="3438525"/>
                    </a:xfrm>
                    <a:prstGeom prst="rect">
                      <a:avLst/>
                    </a:prstGeom>
                    <a:noFill/>
                    <a:ln>
                      <a:noFill/>
                    </a:ln>
                  </pic:spPr>
                </pic:pic>
              </a:graphicData>
            </a:graphic>
          </wp:inline>
        </w:drawing>
      </w:r>
      <w:bookmarkStart w:id="0" w:name="_GoBack"/>
      <w:bookmarkEnd w:id="0"/>
    </w:p>
    <w:p w14:paraId="4D1928B3" w14:textId="77777777" w:rsidR="00DF2288" w:rsidRPr="002612BA" w:rsidRDefault="00DF2288" w:rsidP="002612BA">
      <w:pPr>
        <w:autoSpaceDE w:val="0"/>
        <w:autoSpaceDN w:val="0"/>
        <w:adjustRightInd w:val="0"/>
        <w:spacing w:after="0" w:line="240" w:lineRule="auto"/>
        <w:jc w:val="both"/>
        <w:rPr>
          <w:rFonts w:ascii="Times New Roman" w:hAnsi="Times New Roman" w:cs="Times New Roman"/>
          <w:sz w:val="20"/>
          <w:szCs w:val="24"/>
        </w:rPr>
      </w:pPr>
      <w:r w:rsidRPr="002612BA">
        <w:rPr>
          <w:rFonts w:ascii="Times New Roman" w:hAnsi="Times New Roman" w:cs="Times New Roman"/>
          <w:sz w:val="20"/>
          <w:szCs w:val="24"/>
        </w:rPr>
        <w:t xml:space="preserve">The dependent variable is </w:t>
      </w:r>
      <w:r>
        <w:rPr>
          <w:rFonts w:ascii="Times New Roman" w:hAnsi="Times New Roman" w:cs="Times New Roman"/>
          <w:sz w:val="20"/>
          <w:szCs w:val="24"/>
        </w:rPr>
        <w:t xml:space="preserve">a dummy variable taking the value of 1 if the VC investor is cross-border and 0 if domestic. The exogenous variable </w:t>
      </w:r>
      <w:r w:rsidR="00A66401">
        <w:rPr>
          <w:rFonts w:ascii="Times New Roman" w:hAnsi="Times New Roman" w:cs="Times New Roman"/>
          <w:sz w:val="20"/>
          <w:szCs w:val="24"/>
        </w:rPr>
        <w:t>is the one-year lagged OECD FDI Regulatory Restrictiveness Index.</w:t>
      </w:r>
    </w:p>
    <w:p w14:paraId="593B3337" w14:textId="77777777" w:rsidR="00DF2288" w:rsidRPr="00DD4DDC" w:rsidRDefault="00DF2288" w:rsidP="00B76C81">
      <w:pPr>
        <w:autoSpaceDE w:val="0"/>
        <w:autoSpaceDN w:val="0"/>
        <w:adjustRightInd w:val="0"/>
        <w:spacing w:after="0" w:line="480" w:lineRule="auto"/>
        <w:ind w:firstLine="431"/>
        <w:jc w:val="both"/>
        <w:rPr>
          <w:rFonts w:ascii="Times New Roman" w:hAnsi="Times New Roman" w:cs="Times New Roman"/>
          <w:sz w:val="24"/>
          <w:szCs w:val="24"/>
        </w:rPr>
      </w:pPr>
    </w:p>
    <w:p w14:paraId="4F28BD2A" w14:textId="77777777" w:rsidR="00DF279B" w:rsidRPr="004B362F" w:rsidRDefault="00DF279B" w:rsidP="007E519D">
      <w:pPr>
        <w:spacing w:line="240" w:lineRule="auto"/>
        <w:rPr>
          <w:rFonts w:ascii="Times New Roman" w:hAnsi="Times New Roman" w:cs="Times New Roman"/>
          <w:sz w:val="20"/>
          <w:szCs w:val="20"/>
        </w:rPr>
      </w:pPr>
    </w:p>
    <w:sectPr w:rsidR="00DF279B" w:rsidRPr="004B362F" w:rsidSect="00F83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327303" w14:textId="77777777" w:rsidR="006F6157" w:rsidRDefault="006F6157" w:rsidP="006F2E7A">
      <w:pPr>
        <w:spacing w:after="0" w:line="240" w:lineRule="auto"/>
      </w:pPr>
      <w:r>
        <w:separator/>
      </w:r>
    </w:p>
  </w:endnote>
  <w:endnote w:type="continuationSeparator" w:id="0">
    <w:p w14:paraId="5DC22F4A" w14:textId="77777777" w:rsidR="006F6157" w:rsidRDefault="006F6157" w:rsidP="006F2E7A">
      <w:pPr>
        <w:spacing w:after="0" w:line="240" w:lineRule="auto"/>
      </w:pPr>
      <w:r>
        <w:continuationSeparator/>
      </w:r>
    </w:p>
  </w:endnote>
  <w:endnote w:type="continuationNotice" w:id="1">
    <w:p w14:paraId="0C231C31" w14:textId="77777777" w:rsidR="006F6157" w:rsidRDefault="006F61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Univers-Light">
    <w:panose1 w:val="00000000000000000000"/>
    <w:charset w:val="00"/>
    <w:family w:val="swiss"/>
    <w:notTrueType/>
    <w:pitch w:val="default"/>
    <w:sig w:usb0="00000003" w:usb1="00000000" w:usb2="00000000" w:usb3="00000000" w:csb0="00000001" w:csb1="00000000"/>
  </w:font>
  <w:font w:name="Melior">
    <w:altName w:val="Cambria"/>
    <w:panose1 w:val="00000000000000000000"/>
    <w:charset w:val="00"/>
    <w:family w:val="roman"/>
    <w:notTrueType/>
    <w:pitch w:val="default"/>
    <w:sig w:usb0="00000003" w:usb1="00000000" w:usb2="00000000" w:usb3="00000000" w:csb0="00000001" w:csb1="00000000"/>
  </w:font>
  <w:font w:name="AdvGulliv-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785512"/>
      <w:docPartObj>
        <w:docPartGallery w:val="Page Numbers (Bottom of Page)"/>
        <w:docPartUnique/>
      </w:docPartObj>
    </w:sdtPr>
    <w:sdtEndPr>
      <w:rPr>
        <w:noProof/>
      </w:rPr>
    </w:sdtEndPr>
    <w:sdtContent>
      <w:p w14:paraId="2C14947E" w14:textId="77777777" w:rsidR="006F6157" w:rsidRDefault="006F6157">
        <w:pPr>
          <w:pStyle w:val="Footer"/>
          <w:jc w:val="right"/>
        </w:pPr>
        <w:r>
          <w:fldChar w:fldCharType="begin"/>
        </w:r>
        <w:r>
          <w:instrText xml:space="preserve"> PAGE   \* MERGEFORMAT </w:instrText>
        </w:r>
        <w:r>
          <w:fldChar w:fldCharType="separate"/>
        </w:r>
        <w:r w:rsidR="0056086E">
          <w:rPr>
            <w:noProof/>
          </w:rPr>
          <w:t>2</w:t>
        </w:r>
        <w:r>
          <w:rPr>
            <w:noProof/>
          </w:rPr>
          <w:fldChar w:fldCharType="end"/>
        </w:r>
      </w:p>
    </w:sdtContent>
  </w:sdt>
  <w:p w14:paraId="2C9162B1" w14:textId="77777777" w:rsidR="006F6157" w:rsidRDefault="006F61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266235"/>
      <w:docPartObj>
        <w:docPartGallery w:val="Page Numbers (Bottom of Page)"/>
        <w:docPartUnique/>
      </w:docPartObj>
    </w:sdtPr>
    <w:sdtEndPr>
      <w:rPr>
        <w:noProof/>
      </w:rPr>
    </w:sdtEndPr>
    <w:sdtContent>
      <w:p w14:paraId="403FFE59" w14:textId="77777777" w:rsidR="006F6157" w:rsidRDefault="006F6157">
        <w:pPr>
          <w:pStyle w:val="Footer"/>
          <w:jc w:val="right"/>
        </w:pPr>
        <w:r>
          <w:fldChar w:fldCharType="begin"/>
        </w:r>
        <w:r>
          <w:instrText xml:space="preserve"> PAGE   \* MERGEFORMAT </w:instrText>
        </w:r>
        <w:r>
          <w:fldChar w:fldCharType="separate"/>
        </w:r>
        <w:r w:rsidR="0056086E">
          <w:rPr>
            <w:noProof/>
          </w:rPr>
          <w:t>46</w:t>
        </w:r>
        <w:r>
          <w:rPr>
            <w:noProof/>
          </w:rPr>
          <w:fldChar w:fldCharType="end"/>
        </w:r>
      </w:p>
    </w:sdtContent>
  </w:sdt>
  <w:p w14:paraId="720D7365" w14:textId="77777777" w:rsidR="006F6157" w:rsidRDefault="006F61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B24517" w14:textId="77777777" w:rsidR="006F6157" w:rsidRDefault="006F6157" w:rsidP="006F2E7A">
      <w:pPr>
        <w:spacing w:after="0" w:line="240" w:lineRule="auto"/>
      </w:pPr>
      <w:r>
        <w:separator/>
      </w:r>
    </w:p>
  </w:footnote>
  <w:footnote w:type="continuationSeparator" w:id="0">
    <w:p w14:paraId="2CA05A3E" w14:textId="77777777" w:rsidR="006F6157" w:rsidRDefault="006F6157" w:rsidP="006F2E7A">
      <w:pPr>
        <w:spacing w:after="0" w:line="240" w:lineRule="auto"/>
      </w:pPr>
      <w:r>
        <w:continuationSeparator/>
      </w:r>
    </w:p>
  </w:footnote>
  <w:footnote w:type="continuationNotice" w:id="1">
    <w:p w14:paraId="4DD0BFB7" w14:textId="77777777" w:rsidR="006F6157" w:rsidRDefault="006F6157">
      <w:pPr>
        <w:spacing w:after="0" w:line="240" w:lineRule="auto"/>
      </w:pPr>
    </w:p>
  </w:footnote>
  <w:footnote w:id="2">
    <w:p w14:paraId="68EDDB95" w14:textId="1FA01A3E" w:rsidR="006F6157" w:rsidRPr="007E519D" w:rsidRDefault="006F6157">
      <w:pPr>
        <w:pStyle w:val="FootnoteText"/>
        <w:rPr>
          <w:rFonts w:ascii="Times New Roman" w:hAnsi="Times New Roman" w:cs="Times New Roman"/>
        </w:rPr>
      </w:pPr>
      <w:r w:rsidRPr="007E519D">
        <w:rPr>
          <w:rStyle w:val="FootnoteReference"/>
          <w:rFonts w:ascii="Times New Roman" w:hAnsi="Times New Roman" w:cs="Times New Roman"/>
        </w:rPr>
        <w:footnoteRef/>
      </w:r>
      <w:r w:rsidRPr="007E519D">
        <w:rPr>
          <w:rFonts w:ascii="Times New Roman" w:hAnsi="Times New Roman" w:cs="Times New Roman"/>
        </w:rPr>
        <w:t xml:space="preserve"> More information on the data collection process is provided in Bertoni and Marti Pell</w:t>
      </w:r>
      <w:r w:rsidRPr="007E519D">
        <w:rPr>
          <w:rFonts w:ascii="Times New Roman" w:hAnsi="Times New Roman" w:cs="Times New Roman"/>
          <w:lang w:val="es-ES_tradnl"/>
        </w:rPr>
        <w:t>ó</w:t>
      </w:r>
      <w:r w:rsidRPr="007E519D">
        <w:rPr>
          <w:rFonts w:ascii="Times New Roman" w:hAnsi="Times New Roman" w:cs="Times New Roman"/>
        </w:rPr>
        <w:t>n (2011).</w:t>
      </w:r>
      <w:r>
        <w:rPr>
          <w:rFonts w:ascii="Times New Roman" w:hAnsi="Times New Roman" w:cs="Times New Roman"/>
        </w:rPr>
        <w:t xml:space="preserve"> As government VC firms exhibit an investment pattern that differs from all other VC investor types, we exclude these investments in order to test the hypotheses.</w:t>
      </w:r>
    </w:p>
  </w:footnote>
  <w:footnote w:id="3">
    <w:p w14:paraId="080DCF7B" w14:textId="77777777" w:rsidR="006F6157" w:rsidRPr="00C00BD6" w:rsidRDefault="006F6157" w:rsidP="00C349C7">
      <w:pPr>
        <w:pStyle w:val="FootnoteText"/>
        <w:rPr>
          <w:rFonts w:ascii="Times New Roman" w:hAnsi="Times New Roman" w:cs="Times New Roman"/>
          <w:lang w:val="en-GB"/>
        </w:rPr>
      </w:pPr>
      <w:r w:rsidRPr="00C00BD6">
        <w:rPr>
          <w:rStyle w:val="FootnoteReference"/>
          <w:rFonts w:ascii="Times New Roman" w:hAnsi="Times New Roman" w:cs="Times New Roman"/>
        </w:rPr>
        <w:footnoteRef/>
      </w:r>
      <w:r w:rsidRPr="00C00BD6">
        <w:rPr>
          <w:rFonts w:ascii="Times New Roman" w:hAnsi="Times New Roman" w:cs="Times New Roman"/>
        </w:rPr>
        <w:t xml:space="preserve"> </w:t>
      </w:r>
      <w:r w:rsidRPr="00C00BD6">
        <w:rPr>
          <w:rFonts w:ascii="Times New Roman" w:hAnsi="Times New Roman" w:cs="Times New Roman"/>
          <w:lang w:val="en-GB"/>
        </w:rPr>
        <w:t>This is lower than the average of 4.05 VC rounds in U.S. portfolio companies, as reported by Guler (2007). This is consistent with more European VC investors providing a single investment round.</w:t>
      </w:r>
    </w:p>
  </w:footnote>
  <w:footnote w:id="4">
    <w:p w14:paraId="14DD47D3" w14:textId="77777777" w:rsidR="006F6157" w:rsidRPr="00C00BD6" w:rsidRDefault="006F6157" w:rsidP="00A73432">
      <w:pPr>
        <w:pStyle w:val="FootnoteText"/>
        <w:rPr>
          <w:rFonts w:ascii="Times New Roman" w:hAnsi="Times New Roman" w:cs="Times New Roman"/>
          <w:lang w:val="en-GB"/>
        </w:rPr>
      </w:pPr>
      <w:r w:rsidRPr="00C00BD6">
        <w:rPr>
          <w:rStyle w:val="FootnoteReference"/>
          <w:rFonts w:ascii="Times New Roman" w:hAnsi="Times New Roman" w:cs="Times New Roman"/>
        </w:rPr>
        <w:footnoteRef/>
      </w:r>
      <w:r w:rsidRPr="00C00BD6">
        <w:rPr>
          <w:rFonts w:ascii="Times New Roman" w:hAnsi="Times New Roman" w:cs="Times New Roman"/>
        </w:rPr>
        <w:t xml:space="preserve"> </w:t>
      </w:r>
      <w:r w:rsidRPr="00C00BD6">
        <w:rPr>
          <w:rFonts w:ascii="Times New Roman" w:hAnsi="Times New Roman" w:cs="Times New Roman"/>
          <w:lang w:val="en-GB"/>
        </w:rPr>
        <w:t>This is consistent with an average of 1.93 investment rounds per VC per portfolio company, as reported by Guler (2007).</w:t>
      </w:r>
      <w:r>
        <w:rPr>
          <w:rFonts w:ascii="Times New Roman" w:hAnsi="Times New Roman" w:cs="Times New Roman"/>
          <w:lang w:val="en-GB"/>
        </w:rPr>
        <w:t xml:space="preserve"> More extensive descriptive details are available from the authors.</w:t>
      </w:r>
    </w:p>
  </w:footnote>
  <w:footnote w:id="5">
    <w:p w14:paraId="08192E97" w14:textId="77777777" w:rsidR="006F6157" w:rsidRPr="007E519D" w:rsidRDefault="006F6157" w:rsidP="006F3E50">
      <w:pPr>
        <w:pStyle w:val="FootnoteText"/>
        <w:rPr>
          <w:rFonts w:ascii="Times New Roman" w:hAnsi="Times New Roman" w:cs="Times New Roman"/>
          <w:lang w:val="en-GB"/>
        </w:rPr>
      </w:pPr>
      <w:r w:rsidRPr="007E519D">
        <w:rPr>
          <w:rStyle w:val="FootnoteReference"/>
          <w:rFonts w:ascii="Times New Roman" w:hAnsi="Times New Roman" w:cs="Times New Roman"/>
        </w:rPr>
        <w:footnoteRef/>
      </w:r>
      <w:r w:rsidRPr="007E519D">
        <w:rPr>
          <w:rFonts w:ascii="Times New Roman" w:hAnsi="Times New Roman" w:cs="Times New Roman"/>
        </w:rPr>
        <w:t xml:space="preserve"> Note</w:t>
      </w:r>
      <w:r w:rsidRPr="007E519D">
        <w:rPr>
          <w:rFonts w:ascii="Times New Roman" w:hAnsi="Times New Roman" w:cs="Times New Roman"/>
          <w:lang w:val="en-GB"/>
        </w:rPr>
        <w:t xml:space="preserve"> that Guler (2007) considered bankrupt or defunct companies as censored.</w:t>
      </w:r>
    </w:p>
  </w:footnote>
  <w:footnote w:id="6">
    <w:p w14:paraId="491D0E87" w14:textId="77777777" w:rsidR="006F6157" w:rsidRPr="007E519D" w:rsidRDefault="006F6157" w:rsidP="00946D1B">
      <w:pPr>
        <w:pStyle w:val="FootnoteText"/>
        <w:rPr>
          <w:rFonts w:ascii="Times New Roman" w:hAnsi="Times New Roman" w:cs="Times New Roman"/>
          <w:lang w:val="en-GB"/>
        </w:rPr>
      </w:pPr>
      <w:r w:rsidRPr="007E519D">
        <w:rPr>
          <w:rStyle w:val="FootnoteReference"/>
          <w:rFonts w:ascii="Times New Roman" w:hAnsi="Times New Roman" w:cs="Times New Roman"/>
        </w:rPr>
        <w:footnoteRef/>
      </w:r>
      <w:r w:rsidRPr="007E519D">
        <w:rPr>
          <w:rFonts w:ascii="Times New Roman" w:hAnsi="Times New Roman" w:cs="Times New Roman"/>
        </w:rPr>
        <w:t xml:space="preserve"> </w:t>
      </w:r>
      <w:r w:rsidRPr="007E519D">
        <w:rPr>
          <w:rFonts w:ascii="Times New Roman" w:hAnsi="Times New Roman" w:cs="Times New Roman"/>
          <w:lang w:val="en-GB"/>
        </w:rPr>
        <w:t>The turning point from negative to positive occurs outside the range of observation in our sample for both successful exit and termination models. This is true for all subsequent analyses.</w:t>
      </w:r>
    </w:p>
  </w:footnote>
  <w:footnote w:id="7">
    <w:p w14:paraId="7AC3294E" w14:textId="77777777" w:rsidR="006F6157" w:rsidRPr="006E2262" w:rsidRDefault="006F6157" w:rsidP="00CE3EE7">
      <w:pPr>
        <w:pStyle w:val="FootnoteText"/>
        <w:jc w:val="both"/>
        <w:rPr>
          <w:rFonts w:ascii="Times New Roman" w:hAnsi="Times New Roman" w:cs="Times New Roman"/>
          <w:lang w:val="en-GB"/>
        </w:rPr>
      </w:pPr>
      <w:r w:rsidRPr="007E519D">
        <w:rPr>
          <w:rStyle w:val="FootnoteReference"/>
          <w:rFonts w:ascii="Times New Roman" w:hAnsi="Times New Roman" w:cs="Times New Roman"/>
        </w:rPr>
        <w:footnoteRef/>
      </w:r>
      <w:r w:rsidRPr="007E519D">
        <w:rPr>
          <w:rFonts w:ascii="Times New Roman" w:hAnsi="Times New Roman" w:cs="Times New Roman"/>
        </w:rPr>
        <w:t xml:space="preserve"> </w:t>
      </w:r>
      <w:r w:rsidRPr="006E2262">
        <w:rPr>
          <w:rFonts w:ascii="Times New Roman" w:hAnsi="Times New Roman" w:cs="Times New Roman"/>
          <w:lang w:val="en-GB"/>
        </w:rPr>
        <w:t xml:space="preserve">We do not include </w:t>
      </w:r>
      <w:r w:rsidRPr="006E2262">
        <w:rPr>
          <w:rFonts w:ascii="Times New Roman" w:hAnsi="Times New Roman" w:cs="Times New Roman"/>
          <w:i/>
          <w:lang w:val="en-GB"/>
        </w:rPr>
        <w:t>Rounds</w:t>
      </w:r>
      <w:r w:rsidRPr="00B84892">
        <w:rPr>
          <w:rFonts w:ascii="Times New Roman" w:hAnsi="Times New Roman" w:cs="Times New Roman"/>
          <w:lang w:val="en-GB"/>
        </w:rPr>
        <w:t xml:space="preserve">² in these analyses, as </w:t>
      </w:r>
      <w:r w:rsidRPr="00766A0D">
        <w:rPr>
          <w:rFonts w:ascii="Times New Roman" w:hAnsi="Times New Roman" w:cs="Times New Roman"/>
          <w:i/>
          <w:lang w:val="en-GB"/>
        </w:rPr>
        <w:t>Rounds</w:t>
      </w:r>
      <w:r w:rsidRPr="00766A0D">
        <w:rPr>
          <w:rFonts w:ascii="Times New Roman" w:hAnsi="Times New Roman" w:cs="Times New Roman"/>
          <w:lang w:val="en-GB"/>
        </w:rPr>
        <w:t xml:space="preserve">, </w:t>
      </w:r>
      <w:r w:rsidRPr="00766A0D">
        <w:rPr>
          <w:rFonts w:ascii="Times New Roman" w:hAnsi="Times New Roman" w:cs="Times New Roman"/>
          <w:i/>
          <w:lang w:val="en-GB"/>
        </w:rPr>
        <w:t>Rounds</w:t>
      </w:r>
      <w:r w:rsidRPr="00766A0D">
        <w:rPr>
          <w:rFonts w:ascii="Times New Roman" w:hAnsi="Times New Roman" w:cs="Times New Roman"/>
          <w:lang w:val="en-GB"/>
        </w:rPr>
        <w:t>² and the</w:t>
      </w:r>
      <w:r w:rsidRPr="005C35A5">
        <w:rPr>
          <w:rFonts w:ascii="Times New Roman" w:hAnsi="Times New Roman" w:cs="Times New Roman"/>
          <w:lang w:val="en-GB"/>
        </w:rPr>
        <w:t>ir</w:t>
      </w:r>
      <w:r w:rsidRPr="007D3153">
        <w:rPr>
          <w:rFonts w:ascii="Times New Roman" w:hAnsi="Times New Roman" w:cs="Times New Roman"/>
          <w:lang w:val="en-GB"/>
        </w:rPr>
        <w:t xml:space="preserve"> interaction terms are </w:t>
      </w:r>
      <w:r w:rsidRPr="003D2BAE">
        <w:rPr>
          <w:rFonts w:ascii="Times New Roman" w:hAnsi="Times New Roman" w:cs="Times New Roman"/>
          <w:lang w:val="en-GB"/>
        </w:rPr>
        <w:t xml:space="preserve">too highly correlated. </w:t>
      </w:r>
      <w:r w:rsidRPr="006E2262">
        <w:rPr>
          <w:rFonts w:ascii="Times New Roman" w:hAnsi="Times New Roman" w:cs="Times New Roman"/>
        </w:rPr>
        <w:t xml:space="preserve">Moreover, the relationship between the hazard rate and investment rounds is monotonously decreasing and not curvilinear, except for a very small minority of observations. Both observations together warrant not including </w:t>
      </w:r>
      <w:r w:rsidRPr="006E2262">
        <w:rPr>
          <w:rFonts w:ascii="Times New Roman" w:hAnsi="Times New Roman" w:cs="Times New Roman"/>
          <w:i/>
        </w:rPr>
        <w:t>Rounds²</w:t>
      </w:r>
      <w:r w:rsidRPr="006E2262">
        <w:rPr>
          <w:rFonts w:ascii="Times New Roman" w:hAnsi="Times New Roman" w:cs="Times New Roman"/>
        </w:rPr>
        <w:t xml:space="preserve"> in the models with origin interaction dummies.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C093C" w14:textId="77777777" w:rsidR="006F6157" w:rsidRDefault="006F61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E4943"/>
    <w:multiLevelType w:val="hybridMultilevel"/>
    <w:tmpl w:val="98403AF0"/>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B2750E1"/>
    <w:multiLevelType w:val="hybridMultilevel"/>
    <w:tmpl w:val="586A7662"/>
    <w:lvl w:ilvl="0" w:tplc="7598BB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B3070"/>
    <w:multiLevelType w:val="hybridMultilevel"/>
    <w:tmpl w:val="C6CE5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957660"/>
    <w:multiLevelType w:val="hybridMultilevel"/>
    <w:tmpl w:val="CB2E16EA"/>
    <w:lvl w:ilvl="0" w:tplc="EC261A6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785F75"/>
    <w:multiLevelType w:val="hybridMultilevel"/>
    <w:tmpl w:val="CD2E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362755"/>
    <w:multiLevelType w:val="hybridMultilevel"/>
    <w:tmpl w:val="6156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84516F"/>
    <w:multiLevelType w:val="hybridMultilevel"/>
    <w:tmpl w:val="69C87B06"/>
    <w:lvl w:ilvl="0" w:tplc="310279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0F18B3"/>
    <w:multiLevelType w:val="hybridMultilevel"/>
    <w:tmpl w:val="5F4A1B98"/>
    <w:lvl w:ilvl="0" w:tplc="31005D8C">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0B11C9"/>
    <w:multiLevelType w:val="hybridMultilevel"/>
    <w:tmpl w:val="15CEC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7170E4"/>
    <w:multiLevelType w:val="hybridMultilevel"/>
    <w:tmpl w:val="9EB2842C"/>
    <w:lvl w:ilvl="0" w:tplc="EC1ED84E">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57E0BD78">
      <w:start w:val="1"/>
      <w:numFmt w:val="decimal"/>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2163B5C"/>
    <w:multiLevelType w:val="hybridMultilevel"/>
    <w:tmpl w:val="807A6C8E"/>
    <w:lvl w:ilvl="0" w:tplc="3CB8BA0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1C12A5"/>
    <w:multiLevelType w:val="hybridMultilevel"/>
    <w:tmpl w:val="66E4B446"/>
    <w:lvl w:ilvl="0" w:tplc="AEB4B78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22B2A0B"/>
    <w:multiLevelType w:val="hybridMultilevel"/>
    <w:tmpl w:val="43349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9"/>
  </w:num>
  <w:num w:numId="4">
    <w:abstractNumId w:val="1"/>
  </w:num>
  <w:num w:numId="5">
    <w:abstractNumId w:val="3"/>
  </w:num>
  <w:num w:numId="6">
    <w:abstractNumId w:val="7"/>
  </w:num>
  <w:num w:numId="7">
    <w:abstractNumId w:val="5"/>
  </w:num>
  <w:num w:numId="8">
    <w:abstractNumId w:val="2"/>
  </w:num>
  <w:num w:numId="9">
    <w:abstractNumId w:val="12"/>
  </w:num>
  <w:num w:numId="10">
    <w:abstractNumId w:val="8"/>
  </w:num>
  <w:num w:numId="11">
    <w:abstractNumId w:val="4"/>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cademy Management Review&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wz002wauxaezoexv5op5t9fe2wtwvsfta0z&quot;&gt;David Devigne Endnote&lt;record-ids&gt;&lt;item&gt;270&lt;/item&gt;&lt;/record-ids&gt;&lt;/item&gt;&lt;/Libraries&gt;"/>
  </w:docVars>
  <w:rsids>
    <w:rsidRoot w:val="004B7B61"/>
    <w:rsid w:val="0000157A"/>
    <w:rsid w:val="0000293B"/>
    <w:rsid w:val="00002D9B"/>
    <w:rsid w:val="0000341B"/>
    <w:rsid w:val="00003A52"/>
    <w:rsid w:val="000041D7"/>
    <w:rsid w:val="00004545"/>
    <w:rsid w:val="0000461C"/>
    <w:rsid w:val="00004684"/>
    <w:rsid w:val="00004D58"/>
    <w:rsid w:val="00005137"/>
    <w:rsid w:val="00005212"/>
    <w:rsid w:val="00005586"/>
    <w:rsid w:val="0000565C"/>
    <w:rsid w:val="00005718"/>
    <w:rsid w:val="00005A96"/>
    <w:rsid w:val="00006859"/>
    <w:rsid w:val="00007020"/>
    <w:rsid w:val="0000730B"/>
    <w:rsid w:val="00010498"/>
    <w:rsid w:val="00010FE4"/>
    <w:rsid w:val="000112EE"/>
    <w:rsid w:val="000116EC"/>
    <w:rsid w:val="000120A8"/>
    <w:rsid w:val="00013629"/>
    <w:rsid w:val="00013C96"/>
    <w:rsid w:val="00014EC2"/>
    <w:rsid w:val="00014EF4"/>
    <w:rsid w:val="000152AF"/>
    <w:rsid w:val="00016798"/>
    <w:rsid w:val="00016B9B"/>
    <w:rsid w:val="00017074"/>
    <w:rsid w:val="0001749F"/>
    <w:rsid w:val="00017C41"/>
    <w:rsid w:val="000205E8"/>
    <w:rsid w:val="00020FFF"/>
    <w:rsid w:val="000213A4"/>
    <w:rsid w:val="00021EE9"/>
    <w:rsid w:val="00022854"/>
    <w:rsid w:val="00022FC1"/>
    <w:rsid w:val="0002379E"/>
    <w:rsid w:val="00023AB6"/>
    <w:rsid w:val="00024158"/>
    <w:rsid w:val="00024238"/>
    <w:rsid w:val="00024516"/>
    <w:rsid w:val="0002500A"/>
    <w:rsid w:val="00027092"/>
    <w:rsid w:val="000272F1"/>
    <w:rsid w:val="00030BCA"/>
    <w:rsid w:val="00030E17"/>
    <w:rsid w:val="00031612"/>
    <w:rsid w:val="0003199D"/>
    <w:rsid w:val="00031E4E"/>
    <w:rsid w:val="00031E5C"/>
    <w:rsid w:val="00031F9E"/>
    <w:rsid w:val="00032F13"/>
    <w:rsid w:val="00033D8E"/>
    <w:rsid w:val="000342FD"/>
    <w:rsid w:val="00034AD1"/>
    <w:rsid w:val="000361B3"/>
    <w:rsid w:val="00036369"/>
    <w:rsid w:val="000365D1"/>
    <w:rsid w:val="00036701"/>
    <w:rsid w:val="0004007B"/>
    <w:rsid w:val="00040625"/>
    <w:rsid w:val="00040725"/>
    <w:rsid w:val="00041AD9"/>
    <w:rsid w:val="00041EFD"/>
    <w:rsid w:val="000422C1"/>
    <w:rsid w:val="000425F7"/>
    <w:rsid w:val="000428EB"/>
    <w:rsid w:val="00042B71"/>
    <w:rsid w:val="00042C80"/>
    <w:rsid w:val="00042E73"/>
    <w:rsid w:val="00043EF5"/>
    <w:rsid w:val="000440B6"/>
    <w:rsid w:val="0004476E"/>
    <w:rsid w:val="00045FBF"/>
    <w:rsid w:val="0004660B"/>
    <w:rsid w:val="0004687F"/>
    <w:rsid w:val="00046A03"/>
    <w:rsid w:val="00046EE5"/>
    <w:rsid w:val="00047A15"/>
    <w:rsid w:val="00050257"/>
    <w:rsid w:val="00050FC0"/>
    <w:rsid w:val="000513E1"/>
    <w:rsid w:val="000519D9"/>
    <w:rsid w:val="00052978"/>
    <w:rsid w:val="0005346A"/>
    <w:rsid w:val="00053C77"/>
    <w:rsid w:val="000543FA"/>
    <w:rsid w:val="00054F12"/>
    <w:rsid w:val="00054FBB"/>
    <w:rsid w:val="0005573A"/>
    <w:rsid w:val="00055DCC"/>
    <w:rsid w:val="000569F8"/>
    <w:rsid w:val="000601EF"/>
    <w:rsid w:val="00060931"/>
    <w:rsid w:val="00060CB2"/>
    <w:rsid w:val="00060DAE"/>
    <w:rsid w:val="00061050"/>
    <w:rsid w:val="00061374"/>
    <w:rsid w:val="0006139E"/>
    <w:rsid w:val="00061F0E"/>
    <w:rsid w:val="000623AA"/>
    <w:rsid w:val="00063B38"/>
    <w:rsid w:val="00063B93"/>
    <w:rsid w:val="00064E08"/>
    <w:rsid w:val="00065EAB"/>
    <w:rsid w:val="00066FC4"/>
    <w:rsid w:val="00067010"/>
    <w:rsid w:val="000671F7"/>
    <w:rsid w:val="00067835"/>
    <w:rsid w:val="00067CAA"/>
    <w:rsid w:val="00070523"/>
    <w:rsid w:val="00070C64"/>
    <w:rsid w:val="00070E93"/>
    <w:rsid w:val="00072793"/>
    <w:rsid w:val="0007588D"/>
    <w:rsid w:val="000759F4"/>
    <w:rsid w:val="000764E1"/>
    <w:rsid w:val="00076CE3"/>
    <w:rsid w:val="000771FB"/>
    <w:rsid w:val="00077937"/>
    <w:rsid w:val="0008027F"/>
    <w:rsid w:val="00080825"/>
    <w:rsid w:val="00080A45"/>
    <w:rsid w:val="00080F9B"/>
    <w:rsid w:val="00081480"/>
    <w:rsid w:val="000827A8"/>
    <w:rsid w:val="00082A8E"/>
    <w:rsid w:val="00083000"/>
    <w:rsid w:val="00083EF4"/>
    <w:rsid w:val="00084281"/>
    <w:rsid w:val="000849CB"/>
    <w:rsid w:val="00084DC1"/>
    <w:rsid w:val="00086102"/>
    <w:rsid w:val="0008664E"/>
    <w:rsid w:val="00086A48"/>
    <w:rsid w:val="00090285"/>
    <w:rsid w:val="0009055A"/>
    <w:rsid w:val="000909FE"/>
    <w:rsid w:val="000911D3"/>
    <w:rsid w:val="000913F3"/>
    <w:rsid w:val="00091E33"/>
    <w:rsid w:val="00092148"/>
    <w:rsid w:val="00093FD3"/>
    <w:rsid w:val="00094CD2"/>
    <w:rsid w:val="00096511"/>
    <w:rsid w:val="00096CD4"/>
    <w:rsid w:val="000A0518"/>
    <w:rsid w:val="000A1781"/>
    <w:rsid w:val="000A19D7"/>
    <w:rsid w:val="000A1B09"/>
    <w:rsid w:val="000A1D8B"/>
    <w:rsid w:val="000A2E04"/>
    <w:rsid w:val="000A3586"/>
    <w:rsid w:val="000A36BC"/>
    <w:rsid w:val="000A3828"/>
    <w:rsid w:val="000A4E98"/>
    <w:rsid w:val="000A5347"/>
    <w:rsid w:val="000A5A61"/>
    <w:rsid w:val="000A5C1E"/>
    <w:rsid w:val="000A5C50"/>
    <w:rsid w:val="000A6901"/>
    <w:rsid w:val="000A73CB"/>
    <w:rsid w:val="000A77D5"/>
    <w:rsid w:val="000A7B8D"/>
    <w:rsid w:val="000B0787"/>
    <w:rsid w:val="000B0BD9"/>
    <w:rsid w:val="000B17F2"/>
    <w:rsid w:val="000B1D5D"/>
    <w:rsid w:val="000B252C"/>
    <w:rsid w:val="000B2B12"/>
    <w:rsid w:val="000B3E34"/>
    <w:rsid w:val="000B515D"/>
    <w:rsid w:val="000B5F69"/>
    <w:rsid w:val="000B6175"/>
    <w:rsid w:val="000B61C8"/>
    <w:rsid w:val="000B61FB"/>
    <w:rsid w:val="000B6B46"/>
    <w:rsid w:val="000C0916"/>
    <w:rsid w:val="000C1226"/>
    <w:rsid w:val="000C18B3"/>
    <w:rsid w:val="000C1B12"/>
    <w:rsid w:val="000C1C49"/>
    <w:rsid w:val="000C25F2"/>
    <w:rsid w:val="000C2DA6"/>
    <w:rsid w:val="000C2FCA"/>
    <w:rsid w:val="000C3B92"/>
    <w:rsid w:val="000C4B50"/>
    <w:rsid w:val="000C4D38"/>
    <w:rsid w:val="000C549A"/>
    <w:rsid w:val="000C7341"/>
    <w:rsid w:val="000D06CC"/>
    <w:rsid w:val="000D0F0A"/>
    <w:rsid w:val="000D0FCB"/>
    <w:rsid w:val="000D2EAA"/>
    <w:rsid w:val="000D2F11"/>
    <w:rsid w:val="000D38A7"/>
    <w:rsid w:val="000D5466"/>
    <w:rsid w:val="000D5D5F"/>
    <w:rsid w:val="000D6F74"/>
    <w:rsid w:val="000D7A85"/>
    <w:rsid w:val="000E0B6B"/>
    <w:rsid w:val="000E1855"/>
    <w:rsid w:val="000E2663"/>
    <w:rsid w:val="000E391F"/>
    <w:rsid w:val="000E4EDC"/>
    <w:rsid w:val="000E4FA2"/>
    <w:rsid w:val="000E6A4C"/>
    <w:rsid w:val="000E6C2E"/>
    <w:rsid w:val="000E7325"/>
    <w:rsid w:val="000E7637"/>
    <w:rsid w:val="000E7706"/>
    <w:rsid w:val="000E788A"/>
    <w:rsid w:val="000E7DEA"/>
    <w:rsid w:val="000F0129"/>
    <w:rsid w:val="000F22F9"/>
    <w:rsid w:val="000F2DA7"/>
    <w:rsid w:val="000F33A3"/>
    <w:rsid w:val="000F3DFD"/>
    <w:rsid w:val="000F4F7E"/>
    <w:rsid w:val="000F551E"/>
    <w:rsid w:val="000F5A63"/>
    <w:rsid w:val="000F6204"/>
    <w:rsid w:val="000F75BB"/>
    <w:rsid w:val="000F7727"/>
    <w:rsid w:val="001008F5"/>
    <w:rsid w:val="00100F60"/>
    <w:rsid w:val="00100FD4"/>
    <w:rsid w:val="001011B1"/>
    <w:rsid w:val="00101FA9"/>
    <w:rsid w:val="001026C7"/>
    <w:rsid w:val="001046A9"/>
    <w:rsid w:val="00104B00"/>
    <w:rsid w:val="001056BE"/>
    <w:rsid w:val="001066B2"/>
    <w:rsid w:val="00107013"/>
    <w:rsid w:val="001075FE"/>
    <w:rsid w:val="00107D09"/>
    <w:rsid w:val="00107E2D"/>
    <w:rsid w:val="0011009A"/>
    <w:rsid w:val="00110252"/>
    <w:rsid w:val="00110611"/>
    <w:rsid w:val="00110B39"/>
    <w:rsid w:val="00110F7B"/>
    <w:rsid w:val="0011165E"/>
    <w:rsid w:val="00112784"/>
    <w:rsid w:val="00114886"/>
    <w:rsid w:val="00115748"/>
    <w:rsid w:val="00115BF3"/>
    <w:rsid w:val="001161D9"/>
    <w:rsid w:val="00116548"/>
    <w:rsid w:val="00116625"/>
    <w:rsid w:val="00116932"/>
    <w:rsid w:val="00117331"/>
    <w:rsid w:val="00117D16"/>
    <w:rsid w:val="00117D65"/>
    <w:rsid w:val="0012005E"/>
    <w:rsid w:val="001200DA"/>
    <w:rsid w:val="00122C83"/>
    <w:rsid w:val="001232B7"/>
    <w:rsid w:val="00123575"/>
    <w:rsid w:val="001242EF"/>
    <w:rsid w:val="00124832"/>
    <w:rsid w:val="00124D81"/>
    <w:rsid w:val="00125CF8"/>
    <w:rsid w:val="00126286"/>
    <w:rsid w:val="00126E66"/>
    <w:rsid w:val="00132337"/>
    <w:rsid w:val="001329F6"/>
    <w:rsid w:val="00132E5F"/>
    <w:rsid w:val="00132F13"/>
    <w:rsid w:val="001334FB"/>
    <w:rsid w:val="00133F25"/>
    <w:rsid w:val="001340F5"/>
    <w:rsid w:val="001341EF"/>
    <w:rsid w:val="0013422C"/>
    <w:rsid w:val="00135AB1"/>
    <w:rsid w:val="00135B87"/>
    <w:rsid w:val="001361EA"/>
    <w:rsid w:val="001363D5"/>
    <w:rsid w:val="00136640"/>
    <w:rsid w:val="00137EA0"/>
    <w:rsid w:val="00141E12"/>
    <w:rsid w:val="00145887"/>
    <w:rsid w:val="00145935"/>
    <w:rsid w:val="00146660"/>
    <w:rsid w:val="00146FA4"/>
    <w:rsid w:val="00147084"/>
    <w:rsid w:val="00147D34"/>
    <w:rsid w:val="00147F01"/>
    <w:rsid w:val="001505F0"/>
    <w:rsid w:val="00151934"/>
    <w:rsid w:val="001523B7"/>
    <w:rsid w:val="001524B5"/>
    <w:rsid w:val="0015307C"/>
    <w:rsid w:val="001532C5"/>
    <w:rsid w:val="001534C4"/>
    <w:rsid w:val="00153FD1"/>
    <w:rsid w:val="001545D7"/>
    <w:rsid w:val="001548D9"/>
    <w:rsid w:val="00154B96"/>
    <w:rsid w:val="00155180"/>
    <w:rsid w:val="00155718"/>
    <w:rsid w:val="00155B10"/>
    <w:rsid w:val="00156C47"/>
    <w:rsid w:val="00156F90"/>
    <w:rsid w:val="00157B9B"/>
    <w:rsid w:val="001600CB"/>
    <w:rsid w:val="00160D4C"/>
    <w:rsid w:val="00160E91"/>
    <w:rsid w:val="00161842"/>
    <w:rsid w:val="00161942"/>
    <w:rsid w:val="00161A77"/>
    <w:rsid w:val="0016270A"/>
    <w:rsid w:val="00162BF7"/>
    <w:rsid w:val="00163643"/>
    <w:rsid w:val="00163BDC"/>
    <w:rsid w:val="001640D8"/>
    <w:rsid w:val="00164164"/>
    <w:rsid w:val="00165D95"/>
    <w:rsid w:val="00166805"/>
    <w:rsid w:val="00167855"/>
    <w:rsid w:val="00167943"/>
    <w:rsid w:val="00167A7C"/>
    <w:rsid w:val="001701E3"/>
    <w:rsid w:val="00170B06"/>
    <w:rsid w:val="00171446"/>
    <w:rsid w:val="0017162F"/>
    <w:rsid w:val="00171BEF"/>
    <w:rsid w:val="00171E98"/>
    <w:rsid w:val="00172526"/>
    <w:rsid w:val="0017269E"/>
    <w:rsid w:val="00174138"/>
    <w:rsid w:val="00175938"/>
    <w:rsid w:val="00176094"/>
    <w:rsid w:val="0017684E"/>
    <w:rsid w:val="00177903"/>
    <w:rsid w:val="00177D08"/>
    <w:rsid w:val="00180BDA"/>
    <w:rsid w:val="001813C2"/>
    <w:rsid w:val="00183232"/>
    <w:rsid w:val="001835BC"/>
    <w:rsid w:val="001835FC"/>
    <w:rsid w:val="00183F2E"/>
    <w:rsid w:val="001844B4"/>
    <w:rsid w:val="00184FAD"/>
    <w:rsid w:val="0018568E"/>
    <w:rsid w:val="00185BC5"/>
    <w:rsid w:val="00185D43"/>
    <w:rsid w:val="0018657A"/>
    <w:rsid w:val="00187819"/>
    <w:rsid w:val="001878D7"/>
    <w:rsid w:val="001879E6"/>
    <w:rsid w:val="0019076B"/>
    <w:rsid w:val="0019109C"/>
    <w:rsid w:val="0019115E"/>
    <w:rsid w:val="001911FD"/>
    <w:rsid w:val="00191341"/>
    <w:rsid w:val="00191C80"/>
    <w:rsid w:val="00193113"/>
    <w:rsid w:val="001932ED"/>
    <w:rsid w:val="00194F92"/>
    <w:rsid w:val="00195023"/>
    <w:rsid w:val="00195A52"/>
    <w:rsid w:val="00196D46"/>
    <w:rsid w:val="001974C2"/>
    <w:rsid w:val="00197776"/>
    <w:rsid w:val="001A10AA"/>
    <w:rsid w:val="001A1623"/>
    <w:rsid w:val="001A19A4"/>
    <w:rsid w:val="001A1D03"/>
    <w:rsid w:val="001A2172"/>
    <w:rsid w:val="001A2568"/>
    <w:rsid w:val="001A28FE"/>
    <w:rsid w:val="001A2EEA"/>
    <w:rsid w:val="001A426A"/>
    <w:rsid w:val="001A4A18"/>
    <w:rsid w:val="001A4CAF"/>
    <w:rsid w:val="001A6144"/>
    <w:rsid w:val="001A64D4"/>
    <w:rsid w:val="001A702C"/>
    <w:rsid w:val="001A7124"/>
    <w:rsid w:val="001A71CA"/>
    <w:rsid w:val="001A727C"/>
    <w:rsid w:val="001A72F4"/>
    <w:rsid w:val="001A7F02"/>
    <w:rsid w:val="001A7F27"/>
    <w:rsid w:val="001B0027"/>
    <w:rsid w:val="001B0204"/>
    <w:rsid w:val="001B148C"/>
    <w:rsid w:val="001B1D13"/>
    <w:rsid w:val="001B27CC"/>
    <w:rsid w:val="001B2AA1"/>
    <w:rsid w:val="001B35EC"/>
    <w:rsid w:val="001B4180"/>
    <w:rsid w:val="001B4D0C"/>
    <w:rsid w:val="001B60C8"/>
    <w:rsid w:val="001B7440"/>
    <w:rsid w:val="001B77DF"/>
    <w:rsid w:val="001B77E1"/>
    <w:rsid w:val="001B7915"/>
    <w:rsid w:val="001B7FB5"/>
    <w:rsid w:val="001C0284"/>
    <w:rsid w:val="001C0689"/>
    <w:rsid w:val="001C20C7"/>
    <w:rsid w:val="001C2A55"/>
    <w:rsid w:val="001C2F3C"/>
    <w:rsid w:val="001C4A91"/>
    <w:rsid w:val="001C58D9"/>
    <w:rsid w:val="001C6413"/>
    <w:rsid w:val="001C68DE"/>
    <w:rsid w:val="001C69F4"/>
    <w:rsid w:val="001C7100"/>
    <w:rsid w:val="001C74FD"/>
    <w:rsid w:val="001C7935"/>
    <w:rsid w:val="001C7CEF"/>
    <w:rsid w:val="001D01FC"/>
    <w:rsid w:val="001D061E"/>
    <w:rsid w:val="001D143B"/>
    <w:rsid w:val="001D182C"/>
    <w:rsid w:val="001D1981"/>
    <w:rsid w:val="001D240A"/>
    <w:rsid w:val="001D2684"/>
    <w:rsid w:val="001D3674"/>
    <w:rsid w:val="001D4524"/>
    <w:rsid w:val="001D4587"/>
    <w:rsid w:val="001D4BD1"/>
    <w:rsid w:val="001D4BE7"/>
    <w:rsid w:val="001D54F9"/>
    <w:rsid w:val="001D5B4C"/>
    <w:rsid w:val="001D729E"/>
    <w:rsid w:val="001D7FE8"/>
    <w:rsid w:val="001E0D1C"/>
    <w:rsid w:val="001E2056"/>
    <w:rsid w:val="001E29D6"/>
    <w:rsid w:val="001E33F5"/>
    <w:rsid w:val="001E45A1"/>
    <w:rsid w:val="001E48A1"/>
    <w:rsid w:val="001E55D3"/>
    <w:rsid w:val="001E64B2"/>
    <w:rsid w:val="001E66A0"/>
    <w:rsid w:val="001E6F17"/>
    <w:rsid w:val="001E7913"/>
    <w:rsid w:val="001E7FDA"/>
    <w:rsid w:val="001F03FD"/>
    <w:rsid w:val="001F0712"/>
    <w:rsid w:val="001F1E45"/>
    <w:rsid w:val="001F4052"/>
    <w:rsid w:val="001F500F"/>
    <w:rsid w:val="001F5502"/>
    <w:rsid w:val="001F5658"/>
    <w:rsid w:val="00201E17"/>
    <w:rsid w:val="002025D7"/>
    <w:rsid w:val="002029DE"/>
    <w:rsid w:val="00202DA5"/>
    <w:rsid w:val="0020360F"/>
    <w:rsid w:val="00203C02"/>
    <w:rsid w:val="002047C6"/>
    <w:rsid w:val="00207950"/>
    <w:rsid w:val="00207E49"/>
    <w:rsid w:val="002118C1"/>
    <w:rsid w:val="00211AAF"/>
    <w:rsid w:val="00211ADD"/>
    <w:rsid w:val="00212DD9"/>
    <w:rsid w:val="00213A5A"/>
    <w:rsid w:val="002144B6"/>
    <w:rsid w:val="0021584E"/>
    <w:rsid w:val="002174D5"/>
    <w:rsid w:val="002177FE"/>
    <w:rsid w:val="00217AD9"/>
    <w:rsid w:val="00220F55"/>
    <w:rsid w:val="002210A0"/>
    <w:rsid w:val="00221EE4"/>
    <w:rsid w:val="00222036"/>
    <w:rsid w:val="00222186"/>
    <w:rsid w:val="002229D4"/>
    <w:rsid w:val="00225162"/>
    <w:rsid w:val="002265A4"/>
    <w:rsid w:val="00227B09"/>
    <w:rsid w:val="002301AE"/>
    <w:rsid w:val="00230B43"/>
    <w:rsid w:val="002314D4"/>
    <w:rsid w:val="0023291A"/>
    <w:rsid w:val="00233537"/>
    <w:rsid w:val="00235046"/>
    <w:rsid w:val="002358F7"/>
    <w:rsid w:val="002359FF"/>
    <w:rsid w:val="0023637A"/>
    <w:rsid w:val="0023774F"/>
    <w:rsid w:val="00237CA5"/>
    <w:rsid w:val="0024150C"/>
    <w:rsid w:val="00241BB0"/>
    <w:rsid w:val="002420C0"/>
    <w:rsid w:val="00242AEA"/>
    <w:rsid w:val="00242FC3"/>
    <w:rsid w:val="002432DD"/>
    <w:rsid w:val="002434C3"/>
    <w:rsid w:val="00243A58"/>
    <w:rsid w:val="002447BF"/>
    <w:rsid w:val="0024498F"/>
    <w:rsid w:val="0024530C"/>
    <w:rsid w:val="002467D5"/>
    <w:rsid w:val="00246A55"/>
    <w:rsid w:val="00246C25"/>
    <w:rsid w:val="0025020A"/>
    <w:rsid w:val="00250E5D"/>
    <w:rsid w:val="00251655"/>
    <w:rsid w:val="002518D6"/>
    <w:rsid w:val="00251F81"/>
    <w:rsid w:val="002525E0"/>
    <w:rsid w:val="002528C4"/>
    <w:rsid w:val="002528FC"/>
    <w:rsid w:val="002534AE"/>
    <w:rsid w:val="002536CA"/>
    <w:rsid w:val="00253DFB"/>
    <w:rsid w:val="00254208"/>
    <w:rsid w:val="00254B62"/>
    <w:rsid w:val="002550AD"/>
    <w:rsid w:val="002578E7"/>
    <w:rsid w:val="00257A8B"/>
    <w:rsid w:val="0026093A"/>
    <w:rsid w:val="002612BA"/>
    <w:rsid w:val="00261AD3"/>
    <w:rsid w:val="00261B56"/>
    <w:rsid w:val="00262597"/>
    <w:rsid w:val="00262A82"/>
    <w:rsid w:val="0026368C"/>
    <w:rsid w:val="0026462F"/>
    <w:rsid w:val="0026551D"/>
    <w:rsid w:val="00265D0B"/>
    <w:rsid w:val="00266C82"/>
    <w:rsid w:val="00270C7F"/>
    <w:rsid w:val="00271D23"/>
    <w:rsid w:val="0027264F"/>
    <w:rsid w:val="002729A1"/>
    <w:rsid w:val="00272A4F"/>
    <w:rsid w:val="00272AF3"/>
    <w:rsid w:val="00272B49"/>
    <w:rsid w:val="002739E8"/>
    <w:rsid w:val="00273D4E"/>
    <w:rsid w:val="0027421A"/>
    <w:rsid w:val="002749B1"/>
    <w:rsid w:val="00275104"/>
    <w:rsid w:val="00275499"/>
    <w:rsid w:val="00275CF0"/>
    <w:rsid w:val="002768C7"/>
    <w:rsid w:val="00277B63"/>
    <w:rsid w:val="00281A2A"/>
    <w:rsid w:val="00282498"/>
    <w:rsid w:val="0028279E"/>
    <w:rsid w:val="002827FF"/>
    <w:rsid w:val="00282CCD"/>
    <w:rsid w:val="002838FD"/>
    <w:rsid w:val="00283F8D"/>
    <w:rsid w:val="0028429A"/>
    <w:rsid w:val="002867E7"/>
    <w:rsid w:val="00290348"/>
    <w:rsid w:val="0029070B"/>
    <w:rsid w:val="00291978"/>
    <w:rsid w:val="002935CE"/>
    <w:rsid w:val="00293CC7"/>
    <w:rsid w:val="00294603"/>
    <w:rsid w:val="002947F8"/>
    <w:rsid w:val="00295D65"/>
    <w:rsid w:val="00296D22"/>
    <w:rsid w:val="00297B6B"/>
    <w:rsid w:val="002A01DD"/>
    <w:rsid w:val="002A058C"/>
    <w:rsid w:val="002A0B44"/>
    <w:rsid w:val="002A0EB5"/>
    <w:rsid w:val="002A11BE"/>
    <w:rsid w:val="002A4006"/>
    <w:rsid w:val="002A4307"/>
    <w:rsid w:val="002A430C"/>
    <w:rsid w:val="002A4BE9"/>
    <w:rsid w:val="002A4D29"/>
    <w:rsid w:val="002A506D"/>
    <w:rsid w:val="002A5293"/>
    <w:rsid w:val="002A5405"/>
    <w:rsid w:val="002A5BBE"/>
    <w:rsid w:val="002A5F03"/>
    <w:rsid w:val="002A60A0"/>
    <w:rsid w:val="002A6517"/>
    <w:rsid w:val="002A6E8D"/>
    <w:rsid w:val="002A7D32"/>
    <w:rsid w:val="002B08BF"/>
    <w:rsid w:val="002B0D88"/>
    <w:rsid w:val="002B1CD3"/>
    <w:rsid w:val="002B2062"/>
    <w:rsid w:val="002B2835"/>
    <w:rsid w:val="002B4409"/>
    <w:rsid w:val="002B4B48"/>
    <w:rsid w:val="002B4E9B"/>
    <w:rsid w:val="002B5D7E"/>
    <w:rsid w:val="002B7007"/>
    <w:rsid w:val="002C10AA"/>
    <w:rsid w:val="002C15B6"/>
    <w:rsid w:val="002C1764"/>
    <w:rsid w:val="002C1E64"/>
    <w:rsid w:val="002C2021"/>
    <w:rsid w:val="002C2115"/>
    <w:rsid w:val="002C27EF"/>
    <w:rsid w:val="002C2A0C"/>
    <w:rsid w:val="002C4625"/>
    <w:rsid w:val="002C4D5E"/>
    <w:rsid w:val="002C4F7A"/>
    <w:rsid w:val="002C50A0"/>
    <w:rsid w:val="002C5B82"/>
    <w:rsid w:val="002C70AF"/>
    <w:rsid w:val="002C72FD"/>
    <w:rsid w:val="002C73F2"/>
    <w:rsid w:val="002C7404"/>
    <w:rsid w:val="002C760F"/>
    <w:rsid w:val="002C787A"/>
    <w:rsid w:val="002D1A6B"/>
    <w:rsid w:val="002D1BD3"/>
    <w:rsid w:val="002D2598"/>
    <w:rsid w:val="002D2694"/>
    <w:rsid w:val="002D2CAD"/>
    <w:rsid w:val="002D3282"/>
    <w:rsid w:val="002D399E"/>
    <w:rsid w:val="002D3C05"/>
    <w:rsid w:val="002D3CE0"/>
    <w:rsid w:val="002D412D"/>
    <w:rsid w:val="002D433B"/>
    <w:rsid w:val="002D4E88"/>
    <w:rsid w:val="002D603D"/>
    <w:rsid w:val="002D6A0F"/>
    <w:rsid w:val="002D6AEE"/>
    <w:rsid w:val="002D6C01"/>
    <w:rsid w:val="002D6CDB"/>
    <w:rsid w:val="002D72C2"/>
    <w:rsid w:val="002D73C8"/>
    <w:rsid w:val="002E004C"/>
    <w:rsid w:val="002E0423"/>
    <w:rsid w:val="002E06CC"/>
    <w:rsid w:val="002E167B"/>
    <w:rsid w:val="002E229B"/>
    <w:rsid w:val="002E2E3E"/>
    <w:rsid w:val="002E4D1E"/>
    <w:rsid w:val="002E5211"/>
    <w:rsid w:val="002E6008"/>
    <w:rsid w:val="002E7619"/>
    <w:rsid w:val="002F0CE6"/>
    <w:rsid w:val="002F0DC3"/>
    <w:rsid w:val="002F1911"/>
    <w:rsid w:val="002F2406"/>
    <w:rsid w:val="002F337E"/>
    <w:rsid w:val="002F367C"/>
    <w:rsid w:val="002F367F"/>
    <w:rsid w:val="002F412B"/>
    <w:rsid w:val="002F42F1"/>
    <w:rsid w:val="002F43BD"/>
    <w:rsid w:val="002F47A9"/>
    <w:rsid w:val="002F5C70"/>
    <w:rsid w:val="002F5F0B"/>
    <w:rsid w:val="002F664E"/>
    <w:rsid w:val="002F67C0"/>
    <w:rsid w:val="002F7316"/>
    <w:rsid w:val="002F78A4"/>
    <w:rsid w:val="002F7A89"/>
    <w:rsid w:val="00300549"/>
    <w:rsid w:val="00300752"/>
    <w:rsid w:val="0030156D"/>
    <w:rsid w:val="00302D17"/>
    <w:rsid w:val="00303994"/>
    <w:rsid w:val="00304CD6"/>
    <w:rsid w:val="00304D66"/>
    <w:rsid w:val="00310AEE"/>
    <w:rsid w:val="0031116B"/>
    <w:rsid w:val="003129C8"/>
    <w:rsid w:val="00312C60"/>
    <w:rsid w:val="003130DA"/>
    <w:rsid w:val="003138CE"/>
    <w:rsid w:val="00314FFD"/>
    <w:rsid w:val="00315583"/>
    <w:rsid w:val="003162CD"/>
    <w:rsid w:val="00316814"/>
    <w:rsid w:val="00316EC6"/>
    <w:rsid w:val="0031766E"/>
    <w:rsid w:val="00317A12"/>
    <w:rsid w:val="003205B5"/>
    <w:rsid w:val="003214CF"/>
    <w:rsid w:val="0032158B"/>
    <w:rsid w:val="00321659"/>
    <w:rsid w:val="003216D5"/>
    <w:rsid w:val="00322115"/>
    <w:rsid w:val="003221BB"/>
    <w:rsid w:val="00323A05"/>
    <w:rsid w:val="003240A2"/>
    <w:rsid w:val="003242C2"/>
    <w:rsid w:val="00324E8E"/>
    <w:rsid w:val="00325850"/>
    <w:rsid w:val="00325994"/>
    <w:rsid w:val="00326D4E"/>
    <w:rsid w:val="003270AE"/>
    <w:rsid w:val="003273C6"/>
    <w:rsid w:val="00330D4A"/>
    <w:rsid w:val="00331460"/>
    <w:rsid w:val="00331763"/>
    <w:rsid w:val="003318D1"/>
    <w:rsid w:val="00331D0E"/>
    <w:rsid w:val="003320A3"/>
    <w:rsid w:val="003323E9"/>
    <w:rsid w:val="00332F48"/>
    <w:rsid w:val="00333083"/>
    <w:rsid w:val="00334596"/>
    <w:rsid w:val="00334DA0"/>
    <w:rsid w:val="00336567"/>
    <w:rsid w:val="00336B07"/>
    <w:rsid w:val="00337352"/>
    <w:rsid w:val="00337C80"/>
    <w:rsid w:val="00337F28"/>
    <w:rsid w:val="00341339"/>
    <w:rsid w:val="00341859"/>
    <w:rsid w:val="00341AE5"/>
    <w:rsid w:val="00341F06"/>
    <w:rsid w:val="003420CF"/>
    <w:rsid w:val="00342165"/>
    <w:rsid w:val="00342358"/>
    <w:rsid w:val="00342DEA"/>
    <w:rsid w:val="0034359D"/>
    <w:rsid w:val="00343D09"/>
    <w:rsid w:val="00344E1A"/>
    <w:rsid w:val="00344E64"/>
    <w:rsid w:val="0034551A"/>
    <w:rsid w:val="00345AA0"/>
    <w:rsid w:val="00345C26"/>
    <w:rsid w:val="00346935"/>
    <w:rsid w:val="00346C7E"/>
    <w:rsid w:val="00346DE0"/>
    <w:rsid w:val="00347B59"/>
    <w:rsid w:val="003508B7"/>
    <w:rsid w:val="003514C9"/>
    <w:rsid w:val="00351707"/>
    <w:rsid w:val="00351722"/>
    <w:rsid w:val="00352F31"/>
    <w:rsid w:val="0035507C"/>
    <w:rsid w:val="00355A8D"/>
    <w:rsid w:val="00356A0A"/>
    <w:rsid w:val="0035738E"/>
    <w:rsid w:val="00357D26"/>
    <w:rsid w:val="003612C1"/>
    <w:rsid w:val="003613C2"/>
    <w:rsid w:val="00361B6E"/>
    <w:rsid w:val="00361E84"/>
    <w:rsid w:val="00361ED1"/>
    <w:rsid w:val="0036206A"/>
    <w:rsid w:val="0036212A"/>
    <w:rsid w:val="0036239C"/>
    <w:rsid w:val="0036307C"/>
    <w:rsid w:val="00363605"/>
    <w:rsid w:val="0036398B"/>
    <w:rsid w:val="00363D67"/>
    <w:rsid w:val="00363D7E"/>
    <w:rsid w:val="0036457A"/>
    <w:rsid w:val="00366535"/>
    <w:rsid w:val="003701AE"/>
    <w:rsid w:val="003708A1"/>
    <w:rsid w:val="003711FB"/>
    <w:rsid w:val="00371ADF"/>
    <w:rsid w:val="003729B2"/>
    <w:rsid w:val="00373933"/>
    <w:rsid w:val="00373BE1"/>
    <w:rsid w:val="003744EB"/>
    <w:rsid w:val="00375C71"/>
    <w:rsid w:val="00376AD8"/>
    <w:rsid w:val="00377216"/>
    <w:rsid w:val="00377640"/>
    <w:rsid w:val="003805AE"/>
    <w:rsid w:val="00381049"/>
    <w:rsid w:val="003820D1"/>
    <w:rsid w:val="003821CA"/>
    <w:rsid w:val="00382B59"/>
    <w:rsid w:val="00383267"/>
    <w:rsid w:val="0038326E"/>
    <w:rsid w:val="00383B3E"/>
    <w:rsid w:val="003843C5"/>
    <w:rsid w:val="00384503"/>
    <w:rsid w:val="00384A09"/>
    <w:rsid w:val="0038504B"/>
    <w:rsid w:val="003852F1"/>
    <w:rsid w:val="0038562E"/>
    <w:rsid w:val="00386F83"/>
    <w:rsid w:val="003873DF"/>
    <w:rsid w:val="00390D26"/>
    <w:rsid w:val="0039208D"/>
    <w:rsid w:val="00392CA9"/>
    <w:rsid w:val="00392DB7"/>
    <w:rsid w:val="0039412B"/>
    <w:rsid w:val="003941B9"/>
    <w:rsid w:val="0039636E"/>
    <w:rsid w:val="003964D6"/>
    <w:rsid w:val="00396668"/>
    <w:rsid w:val="0039671F"/>
    <w:rsid w:val="00397A89"/>
    <w:rsid w:val="00397C7D"/>
    <w:rsid w:val="00397CAA"/>
    <w:rsid w:val="00397E80"/>
    <w:rsid w:val="003A0619"/>
    <w:rsid w:val="003A0C5A"/>
    <w:rsid w:val="003A12DB"/>
    <w:rsid w:val="003A2262"/>
    <w:rsid w:val="003A260D"/>
    <w:rsid w:val="003A2D49"/>
    <w:rsid w:val="003A3932"/>
    <w:rsid w:val="003A431F"/>
    <w:rsid w:val="003A4899"/>
    <w:rsid w:val="003A4B94"/>
    <w:rsid w:val="003A4C54"/>
    <w:rsid w:val="003A5735"/>
    <w:rsid w:val="003A57C4"/>
    <w:rsid w:val="003A5B3B"/>
    <w:rsid w:val="003A6621"/>
    <w:rsid w:val="003A702D"/>
    <w:rsid w:val="003A765A"/>
    <w:rsid w:val="003B00CE"/>
    <w:rsid w:val="003B1365"/>
    <w:rsid w:val="003B22ED"/>
    <w:rsid w:val="003B2D57"/>
    <w:rsid w:val="003B2FB9"/>
    <w:rsid w:val="003B301E"/>
    <w:rsid w:val="003B3F62"/>
    <w:rsid w:val="003B4001"/>
    <w:rsid w:val="003B4DCF"/>
    <w:rsid w:val="003B5522"/>
    <w:rsid w:val="003B5EC2"/>
    <w:rsid w:val="003B674D"/>
    <w:rsid w:val="003B6FEA"/>
    <w:rsid w:val="003B7F86"/>
    <w:rsid w:val="003C1620"/>
    <w:rsid w:val="003C17AA"/>
    <w:rsid w:val="003C24A6"/>
    <w:rsid w:val="003C268E"/>
    <w:rsid w:val="003C45B0"/>
    <w:rsid w:val="003C4AAB"/>
    <w:rsid w:val="003C4BD2"/>
    <w:rsid w:val="003C56B5"/>
    <w:rsid w:val="003C59A0"/>
    <w:rsid w:val="003C5A13"/>
    <w:rsid w:val="003C619E"/>
    <w:rsid w:val="003C61A5"/>
    <w:rsid w:val="003C7726"/>
    <w:rsid w:val="003D06A8"/>
    <w:rsid w:val="003D2BAE"/>
    <w:rsid w:val="003D4311"/>
    <w:rsid w:val="003D4325"/>
    <w:rsid w:val="003D5266"/>
    <w:rsid w:val="003D5B14"/>
    <w:rsid w:val="003D6359"/>
    <w:rsid w:val="003D79EE"/>
    <w:rsid w:val="003E0E99"/>
    <w:rsid w:val="003E22CC"/>
    <w:rsid w:val="003E281C"/>
    <w:rsid w:val="003E29E0"/>
    <w:rsid w:val="003E2FCD"/>
    <w:rsid w:val="003E4031"/>
    <w:rsid w:val="003E479D"/>
    <w:rsid w:val="003E49A3"/>
    <w:rsid w:val="003E4C4E"/>
    <w:rsid w:val="003E5816"/>
    <w:rsid w:val="003E5DB4"/>
    <w:rsid w:val="003E62FE"/>
    <w:rsid w:val="003E67FA"/>
    <w:rsid w:val="003E6A96"/>
    <w:rsid w:val="003F04D3"/>
    <w:rsid w:val="003F1EB2"/>
    <w:rsid w:val="003F2A11"/>
    <w:rsid w:val="003F37FE"/>
    <w:rsid w:val="003F457B"/>
    <w:rsid w:val="003F4B84"/>
    <w:rsid w:val="003F58DB"/>
    <w:rsid w:val="003F6435"/>
    <w:rsid w:val="003F724A"/>
    <w:rsid w:val="00400719"/>
    <w:rsid w:val="00400884"/>
    <w:rsid w:val="00400EDD"/>
    <w:rsid w:val="00400EEA"/>
    <w:rsid w:val="00402761"/>
    <w:rsid w:val="004028A8"/>
    <w:rsid w:val="00402C7A"/>
    <w:rsid w:val="00402E29"/>
    <w:rsid w:val="0040398E"/>
    <w:rsid w:val="00403D77"/>
    <w:rsid w:val="004045DE"/>
    <w:rsid w:val="004046DC"/>
    <w:rsid w:val="00404DE0"/>
    <w:rsid w:val="00405DFA"/>
    <w:rsid w:val="0040675D"/>
    <w:rsid w:val="00406760"/>
    <w:rsid w:val="00406BC7"/>
    <w:rsid w:val="0040748E"/>
    <w:rsid w:val="004074C8"/>
    <w:rsid w:val="00407912"/>
    <w:rsid w:val="00410492"/>
    <w:rsid w:val="004115E0"/>
    <w:rsid w:val="004119FC"/>
    <w:rsid w:val="00411F36"/>
    <w:rsid w:val="004128C7"/>
    <w:rsid w:val="00412C8F"/>
    <w:rsid w:val="004130F9"/>
    <w:rsid w:val="004135EB"/>
    <w:rsid w:val="00414431"/>
    <w:rsid w:val="004148B3"/>
    <w:rsid w:val="00414C0C"/>
    <w:rsid w:val="004161A7"/>
    <w:rsid w:val="00416762"/>
    <w:rsid w:val="004171EF"/>
    <w:rsid w:val="00417D8C"/>
    <w:rsid w:val="00420151"/>
    <w:rsid w:val="00420793"/>
    <w:rsid w:val="00421001"/>
    <w:rsid w:val="00421A08"/>
    <w:rsid w:val="00421D49"/>
    <w:rsid w:val="00422A86"/>
    <w:rsid w:val="00422B43"/>
    <w:rsid w:val="00423BD1"/>
    <w:rsid w:val="00425686"/>
    <w:rsid w:val="00425A18"/>
    <w:rsid w:val="00425FD6"/>
    <w:rsid w:val="00426267"/>
    <w:rsid w:val="00427777"/>
    <w:rsid w:val="004309F9"/>
    <w:rsid w:val="00430E2F"/>
    <w:rsid w:val="004327ED"/>
    <w:rsid w:val="00433C20"/>
    <w:rsid w:val="00434345"/>
    <w:rsid w:val="00434E11"/>
    <w:rsid w:val="00435977"/>
    <w:rsid w:val="00435D24"/>
    <w:rsid w:val="00436030"/>
    <w:rsid w:val="004360C9"/>
    <w:rsid w:val="004362CF"/>
    <w:rsid w:val="00436846"/>
    <w:rsid w:val="004372CB"/>
    <w:rsid w:val="00437567"/>
    <w:rsid w:val="00440F21"/>
    <w:rsid w:val="00441DF9"/>
    <w:rsid w:val="00442F92"/>
    <w:rsid w:val="00443B52"/>
    <w:rsid w:val="00444688"/>
    <w:rsid w:val="004448F0"/>
    <w:rsid w:val="00446986"/>
    <w:rsid w:val="00447DEE"/>
    <w:rsid w:val="004503C1"/>
    <w:rsid w:val="00451900"/>
    <w:rsid w:val="00451952"/>
    <w:rsid w:val="004530B6"/>
    <w:rsid w:val="00453B5F"/>
    <w:rsid w:val="00454340"/>
    <w:rsid w:val="00454723"/>
    <w:rsid w:val="00454D7F"/>
    <w:rsid w:val="00455AAD"/>
    <w:rsid w:val="004560D9"/>
    <w:rsid w:val="0045676F"/>
    <w:rsid w:val="00456AA0"/>
    <w:rsid w:val="004601BE"/>
    <w:rsid w:val="00460547"/>
    <w:rsid w:val="00460C3E"/>
    <w:rsid w:val="00460CE1"/>
    <w:rsid w:val="00460CF1"/>
    <w:rsid w:val="00461724"/>
    <w:rsid w:val="004619E2"/>
    <w:rsid w:val="004629F7"/>
    <w:rsid w:val="00462BC7"/>
    <w:rsid w:val="004632A9"/>
    <w:rsid w:val="0046337E"/>
    <w:rsid w:val="004639E9"/>
    <w:rsid w:val="00464490"/>
    <w:rsid w:val="004647BE"/>
    <w:rsid w:val="0046551B"/>
    <w:rsid w:val="00465555"/>
    <w:rsid w:val="00467110"/>
    <w:rsid w:val="00467F72"/>
    <w:rsid w:val="00470080"/>
    <w:rsid w:val="004713F4"/>
    <w:rsid w:val="00471F56"/>
    <w:rsid w:val="00472046"/>
    <w:rsid w:val="00472FA4"/>
    <w:rsid w:val="0047335D"/>
    <w:rsid w:val="004735A5"/>
    <w:rsid w:val="00474170"/>
    <w:rsid w:val="0047428C"/>
    <w:rsid w:val="004748C2"/>
    <w:rsid w:val="00474AA1"/>
    <w:rsid w:val="00474AB6"/>
    <w:rsid w:val="00474E5B"/>
    <w:rsid w:val="00474F8F"/>
    <w:rsid w:val="0047501D"/>
    <w:rsid w:val="00475400"/>
    <w:rsid w:val="004755CD"/>
    <w:rsid w:val="00475D16"/>
    <w:rsid w:val="00476BD7"/>
    <w:rsid w:val="00477EDF"/>
    <w:rsid w:val="00481F42"/>
    <w:rsid w:val="0048264C"/>
    <w:rsid w:val="004827CA"/>
    <w:rsid w:val="004854E2"/>
    <w:rsid w:val="0048628C"/>
    <w:rsid w:val="00486F90"/>
    <w:rsid w:val="00487B30"/>
    <w:rsid w:val="00490CF5"/>
    <w:rsid w:val="00490E97"/>
    <w:rsid w:val="0049204C"/>
    <w:rsid w:val="004921E7"/>
    <w:rsid w:val="004923E0"/>
    <w:rsid w:val="00492FA8"/>
    <w:rsid w:val="00493C1D"/>
    <w:rsid w:val="00493C7F"/>
    <w:rsid w:val="00494526"/>
    <w:rsid w:val="004951B6"/>
    <w:rsid w:val="004955E3"/>
    <w:rsid w:val="00495D0F"/>
    <w:rsid w:val="00495E1D"/>
    <w:rsid w:val="00495E51"/>
    <w:rsid w:val="00495EAD"/>
    <w:rsid w:val="00496728"/>
    <w:rsid w:val="00496BC4"/>
    <w:rsid w:val="0049781C"/>
    <w:rsid w:val="004A0826"/>
    <w:rsid w:val="004A13A5"/>
    <w:rsid w:val="004A1EEA"/>
    <w:rsid w:val="004A1FE7"/>
    <w:rsid w:val="004A252D"/>
    <w:rsid w:val="004A27BA"/>
    <w:rsid w:val="004A44A6"/>
    <w:rsid w:val="004A56DB"/>
    <w:rsid w:val="004A5D25"/>
    <w:rsid w:val="004A5E44"/>
    <w:rsid w:val="004A5F7E"/>
    <w:rsid w:val="004A61F6"/>
    <w:rsid w:val="004A633C"/>
    <w:rsid w:val="004A667E"/>
    <w:rsid w:val="004A6C1D"/>
    <w:rsid w:val="004B0909"/>
    <w:rsid w:val="004B144D"/>
    <w:rsid w:val="004B1DEC"/>
    <w:rsid w:val="004B1E23"/>
    <w:rsid w:val="004B246E"/>
    <w:rsid w:val="004B341F"/>
    <w:rsid w:val="004B362F"/>
    <w:rsid w:val="004B36CA"/>
    <w:rsid w:val="004B3C26"/>
    <w:rsid w:val="004B3E3F"/>
    <w:rsid w:val="004B50B7"/>
    <w:rsid w:val="004B5535"/>
    <w:rsid w:val="004B5B42"/>
    <w:rsid w:val="004B5C82"/>
    <w:rsid w:val="004B5DBE"/>
    <w:rsid w:val="004B6A7E"/>
    <w:rsid w:val="004B6AE4"/>
    <w:rsid w:val="004B70AF"/>
    <w:rsid w:val="004B7369"/>
    <w:rsid w:val="004B7B61"/>
    <w:rsid w:val="004B7DC9"/>
    <w:rsid w:val="004C012D"/>
    <w:rsid w:val="004C0CDC"/>
    <w:rsid w:val="004C17DF"/>
    <w:rsid w:val="004C23C1"/>
    <w:rsid w:val="004C256B"/>
    <w:rsid w:val="004C2877"/>
    <w:rsid w:val="004C2BCD"/>
    <w:rsid w:val="004C44F8"/>
    <w:rsid w:val="004C459E"/>
    <w:rsid w:val="004C47A2"/>
    <w:rsid w:val="004C58E1"/>
    <w:rsid w:val="004C62D4"/>
    <w:rsid w:val="004C6D5C"/>
    <w:rsid w:val="004C775F"/>
    <w:rsid w:val="004D005B"/>
    <w:rsid w:val="004D05F0"/>
    <w:rsid w:val="004D0D10"/>
    <w:rsid w:val="004D1697"/>
    <w:rsid w:val="004D1AF1"/>
    <w:rsid w:val="004D2626"/>
    <w:rsid w:val="004D267D"/>
    <w:rsid w:val="004D2870"/>
    <w:rsid w:val="004D36D9"/>
    <w:rsid w:val="004D3797"/>
    <w:rsid w:val="004D4582"/>
    <w:rsid w:val="004D4780"/>
    <w:rsid w:val="004D5819"/>
    <w:rsid w:val="004D58BA"/>
    <w:rsid w:val="004D62F6"/>
    <w:rsid w:val="004D682D"/>
    <w:rsid w:val="004D6E5F"/>
    <w:rsid w:val="004D7710"/>
    <w:rsid w:val="004D7FAF"/>
    <w:rsid w:val="004E04FF"/>
    <w:rsid w:val="004E09A7"/>
    <w:rsid w:val="004E13D0"/>
    <w:rsid w:val="004E2012"/>
    <w:rsid w:val="004E22B8"/>
    <w:rsid w:val="004E23F8"/>
    <w:rsid w:val="004E36FF"/>
    <w:rsid w:val="004E3EAC"/>
    <w:rsid w:val="004E4D80"/>
    <w:rsid w:val="004E4DB9"/>
    <w:rsid w:val="004E59CE"/>
    <w:rsid w:val="004E5F00"/>
    <w:rsid w:val="004E5F2F"/>
    <w:rsid w:val="004E629A"/>
    <w:rsid w:val="004E6837"/>
    <w:rsid w:val="004E6EB7"/>
    <w:rsid w:val="004E7094"/>
    <w:rsid w:val="004E7D2E"/>
    <w:rsid w:val="004F047B"/>
    <w:rsid w:val="004F08DD"/>
    <w:rsid w:val="004F1C08"/>
    <w:rsid w:val="004F3A75"/>
    <w:rsid w:val="004F3D9A"/>
    <w:rsid w:val="004F4B04"/>
    <w:rsid w:val="004F4DBA"/>
    <w:rsid w:val="004F4DBF"/>
    <w:rsid w:val="004F5818"/>
    <w:rsid w:val="004F5AA3"/>
    <w:rsid w:val="004F5B39"/>
    <w:rsid w:val="004F5F9D"/>
    <w:rsid w:val="004F5FAA"/>
    <w:rsid w:val="004F64FC"/>
    <w:rsid w:val="004F7768"/>
    <w:rsid w:val="00500840"/>
    <w:rsid w:val="00500DDC"/>
    <w:rsid w:val="00500F1D"/>
    <w:rsid w:val="0050104C"/>
    <w:rsid w:val="0050157D"/>
    <w:rsid w:val="0050182B"/>
    <w:rsid w:val="00501B45"/>
    <w:rsid w:val="00501BA9"/>
    <w:rsid w:val="00502060"/>
    <w:rsid w:val="00502A07"/>
    <w:rsid w:val="00503A31"/>
    <w:rsid w:val="00503E71"/>
    <w:rsid w:val="0050400B"/>
    <w:rsid w:val="005040F4"/>
    <w:rsid w:val="005049B8"/>
    <w:rsid w:val="00505A2C"/>
    <w:rsid w:val="00506850"/>
    <w:rsid w:val="00507213"/>
    <w:rsid w:val="00507B35"/>
    <w:rsid w:val="00507B99"/>
    <w:rsid w:val="00510C43"/>
    <w:rsid w:val="00511BF1"/>
    <w:rsid w:val="00512F1B"/>
    <w:rsid w:val="00513870"/>
    <w:rsid w:val="00514683"/>
    <w:rsid w:val="0051482C"/>
    <w:rsid w:val="005165C4"/>
    <w:rsid w:val="00516F52"/>
    <w:rsid w:val="00517FE2"/>
    <w:rsid w:val="00520002"/>
    <w:rsid w:val="005200EC"/>
    <w:rsid w:val="00520320"/>
    <w:rsid w:val="005205D8"/>
    <w:rsid w:val="00520661"/>
    <w:rsid w:val="005207AA"/>
    <w:rsid w:val="0052102F"/>
    <w:rsid w:val="00521E4F"/>
    <w:rsid w:val="005227BF"/>
    <w:rsid w:val="00524335"/>
    <w:rsid w:val="00524F2A"/>
    <w:rsid w:val="00525000"/>
    <w:rsid w:val="0052504A"/>
    <w:rsid w:val="005257D2"/>
    <w:rsid w:val="00525E6E"/>
    <w:rsid w:val="0052625E"/>
    <w:rsid w:val="00526A52"/>
    <w:rsid w:val="00526F6C"/>
    <w:rsid w:val="0052732B"/>
    <w:rsid w:val="005307B7"/>
    <w:rsid w:val="005315D1"/>
    <w:rsid w:val="00531870"/>
    <w:rsid w:val="00532D1E"/>
    <w:rsid w:val="00532E5F"/>
    <w:rsid w:val="00534548"/>
    <w:rsid w:val="005348EE"/>
    <w:rsid w:val="005352D3"/>
    <w:rsid w:val="0053600E"/>
    <w:rsid w:val="00536D84"/>
    <w:rsid w:val="005405B7"/>
    <w:rsid w:val="00540B22"/>
    <w:rsid w:val="00541889"/>
    <w:rsid w:val="00542B15"/>
    <w:rsid w:val="005431F9"/>
    <w:rsid w:val="00543237"/>
    <w:rsid w:val="00543F94"/>
    <w:rsid w:val="0054401B"/>
    <w:rsid w:val="005440C2"/>
    <w:rsid w:val="00544960"/>
    <w:rsid w:val="005454EF"/>
    <w:rsid w:val="00545605"/>
    <w:rsid w:val="0054586F"/>
    <w:rsid w:val="00545C19"/>
    <w:rsid w:val="005460F3"/>
    <w:rsid w:val="00546592"/>
    <w:rsid w:val="005474AB"/>
    <w:rsid w:val="00547DE1"/>
    <w:rsid w:val="005502DA"/>
    <w:rsid w:val="0055079C"/>
    <w:rsid w:val="00550826"/>
    <w:rsid w:val="00550F39"/>
    <w:rsid w:val="005518DC"/>
    <w:rsid w:val="00552A2F"/>
    <w:rsid w:val="00553336"/>
    <w:rsid w:val="00554696"/>
    <w:rsid w:val="00554854"/>
    <w:rsid w:val="005555B8"/>
    <w:rsid w:val="005555C6"/>
    <w:rsid w:val="005556DC"/>
    <w:rsid w:val="00555A8B"/>
    <w:rsid w:val="00556411"/>
    <w:rsid w:val="00556B4B"/>
    <w:rsid w:val="00557322"/>
    <w:rsid w:val="005574C3"/>
    <w:rsid w:val="00557B93"/>
    <w:rsid w:val="005600E0"/>
    <w:rsid w:val="0056086E"/>
    <w:rsid w:val="00560B78"/>
    <w:rsid w:val="0056145E"/>
    <w:rsid w:val="00562138"/>
    <w:rsid w:val="00562318"/>
    <w:rsid w:val="0056246F"/>
    <w:rsid w:val="00562D95"/>
    <w:rsid w:val="0056356B"/>
    <w:rsid w:val="00563DBE"/>
    <w:rsid w:val="00564208"/>
    <w:rsid w:val="005644E2"/>
    <w:rsid w:val="005645A4"/>
    <w:rsid w:val="00564863"/>
    <w:rsid w:val="0056493C"/>
    <w:rsid w:val="0056606C"/>
    <w:rsid w:val="00566190"/>
    <w:rsid w:val="00566D99"/>
    <w:rsid w:val="00566F32"/>
    <w:rsid w:val="00566F47"/>
    <w:rsid w:val="0056758A"/>
    <w:rsid w:val="00567EAD"/>
    <w:rsid w:val="005707FD"/>
    <w:rsid w:val="00570EF1"/>
    <w:rsid w:val="00571461"/>
    <w:rsid w:val="005714CA"/>
    <w:rsid w:val="005727F3"/>
    <w:rsid w:val="005731B9"/>
    <w:rsid w:val="00573DE2"/>
    <w:rsid w:val="00573EBF"/>
    <w:rsid w:val="005745B0"/>
    <w:rsid w:val="005745E8"/>
    <w:rsid w:val="00574C70"/>
    <w:rsid w:val="00575B2E"/>
    <w:rsid w:val="005766CB"/>
    <w:rsid w:val="00576C47"/>
    <w:rsid w:val="005770B5"/>
    <w:rsid w:val="00577B70"/>
    <w:rsid w:val="00577F2A"/>
    <w:rsid w:val="00580500"/>
    <w:rsid w:val="00580661"/>
    <w:rsid w:val="00580D75"/>
    <w:rsid w:val="00581A04"/>
    <w:rsid w:val="005827EF"/>
    <w:rsid w:val="00583425"/>
    <w:rsid w:val="0058405E"/>
    <w:rsid w:val="00584063"/>
    <w:rsid w:val="0058488F"/>
    <w:rsid w:val="0058523B"/>
    <w:rsid w:val="005852EE"/>
    <w:rsid w:val="00587AFC"/>
    <w:rsid w:val="00590ACB"/>
    <w:rsid w:val="00591031"/>
    <w:rsid w:val="00591702"/>
    <w:rsid w:val="005919F9"/>
    <w:rsid w:val="00591F69"/>
    <w:rsid w:val="00591F93"/>
    <w:rsid w:val="00592188"/>
    <w:rsid w:val="005936B8"/>
    <w:rsid w:val="0059378C"/>
    <w:rsid w:val="00593892"/>
    <w:rsid w:val="00595386"/>
    <w:rsid w:val="00595944"/>
    <w:rsid w:val="005959EA"/>
    <w:rsid w:val="005967B2"/>
    <w:rsid w:val="0059710F"/>
    <w:rsid w:val="00597651"/>
    <w:rsid w:val="005A03FA"/>
    <w:rsid w:val="005A0D18"/>
    <w:rsid w:val="005A0F72"/>
    <w:rsid w:val="005A0F8C"/>
    <w:rsid w:val="005A1BA1"/>
    <w:rsid w:val="005A2A28"/>
    <w:rsid w:val="005A2E64"/>
    <w:rsid w:val="005A359B"/>
    <w:rsid w:val="005A385B"/>
    <w:rsid w:val="005A3AA5"/>
    <w:rsid w:val="005A3D32"/>
    <w:rsid w:val="005A4D2B"/>
    <w:rsid w:val="005A5070"/>
    <w:rsid w:val="005A536B"/>
    <w:rsid w:val="005A57FB"/>
    <w:rsid w:val="005A654D"/>
    <w:rsid w:val="005A67C9"/>
    <w:rsid w:val="005A6C37"/>
    <w:rsid w:val="005A7575"/>
    <w:rsid w:val="005A7C9C"/>
    <w:rsid w:val="005A7DDE"/>
    <w:rsid w:val="005A7DE5"/>
    <w:rsid w:val="005B0807"/>
    <w:rsid w:val="005B0C36"/>
    <w:rsid w:val="005B11A4"/>
    <w:rsid w:val="005B2424"/>
    <w:rsid w:val="005B24AA"/>
    <w:rsid w:val="005B2CCA"/>
    <w:rsid w:val="005B304D"/>
    <w:rsid w:val="005B338B"/>
    <w:rsid w:val="005B3957"/>
    <w:rsid w:val="005B4D68"/>
    <w:rsid w:val="005B50B1"/>
    <w:rsid w:val="005B52A2"/>
    <w:rsid w:val="005B57BE"/>
    <w:rsid w:val="005B597B"/>
    <w:rsid w:val="005B60D2"/>
    <w:rsid w:val="005C1BF3"/>
    <w:rsid w:val="005C1FDE"/>
    <w:rsid w:val="005C2C38"/>
    <w:rsid w:val="005C35A5"/>
    <w:rsid w:val="005C3A7C"/>
    <w:rsid w:val="005C3CD1"/>
    <w:rsid w:val="005C4CB8"/>
    <w:rsid w:val="005C560C"/>
    <w:rsid w:val="005C5A34"/>
    <w:rsid w:val="005C6756"/>
    <w:rsid w:val="005C76E0"/>
    <w:rsid w:val="005D0041"/>
    <w:rsid w:val="005D02A7"/>
    <w:rsid w:val="005D0309"/>
    <w:rsid w:val="005D063D"/>
    <w:rsid w:val="005D0F28"/>
    <w:rsid w:val="005D13EA"/>
    <w:rsid w:val="005D1B88"/>
    <w:rsid w:val="005D1E11"/>
    <w:rsid w:val="005D4ACA"/>
    <w:rsid w:val="005D5C4D"/>
    <w:rsid w:val="005D6837"/>
    <w:rsid w:val="005D6BB3"/>
    <w:rsid w:val="005D7E99"/>
    <w:rsid w:val="005D7F9A"/>
    <w:rsid w:val="005E0785"/>
    <w:rsid w:val="005E08DD"/>
    <w:rsid w:val="005E13FB"/>
    <w:rsid w:val="005E30D0"/>
    <w:rsid w:val="005E3BE8"/>
    <w:rsid w:val="005E45C8"/>
    <w:rsid w:val="005E4A78"/>
    <w:rsid w:val="005E5BDA"/>
    <w:rsid w:val="005E5C78"/>
    <w:rsid w:val="005E5EC0"/>
    <w:rsid w:val="005E62BF"/>
    <w:rsid w:val="005E6D1D"/>
    <w:rsid w:val="005E7296"/>
    <w:rsid w:val="005E776A"/>
    <w:rsid w:val="005E7F79"/>
    <w:rsid w:val="005F0B20"/>
    <w:rsid w:val="005F0D32"/>
    <w:rsid w:val="005F0DE0"/>
    <w:rsid w:val="005F10C0"/>
    <w:rsid w:val="005F1313"/>
    <w:rsid w:val="005F18F7"/>
    <w:rsid w:val="005F1FD6"/>
    <w:rsid w:val="005F307C"/>
    <w:rsid w:val="005F30EC"/>
    <w:rsid w:val="005F4068"/>
    <w:rsid w:val="005F42D9"/>
    <w:rsid w:val="005F4348"/>
    <w:rsid w:val="005F4761"/>
    <w:rsid w:val="005F4B1E"/>
    <w:rsid w:val="005F79F0"/>
    <w:rsid w:val="005F7E68"/>
    <w:rsid w:val="006008CD"/>
    <w:rsid w:val="00600A61"/>
    <w:rsid w:val="00600C34"/>
    <w:rsid w:val="0060112F"/>
    <w:rsid w:val="00601251"/>
    <w:rsid w:val="006017D1"/>
    <w:rsid w:val="006027E9"/>
    <w:rsid w:val="006027F2"/>
    <w:rsid w:val="00603391"/>
    <w:rsid w:val="0060354C"/>
    <w:rsid w:val="00604091"/>
    <w:rsid w:val="00605428"/>
    <w:rsid w:val="00605EC1"/>
    <w:rsid w:val="00607D60"/>
    <w:rsid w:val="00607F44"/>
    <w:rsid w:val="0061001F"/>
    <w:rsid w:val="00610066"/>
    <w:rsid w:val="006107A1"/>
    <w:rsid w:val="00610B35"/>
    <w:rsid w:val="00610F4F"/>
    <w:rsid w:val="00611EBF"/>
    <w:rsid w:val="00612471"/>
    <w:rsid w:val="00612723"/>
    <w:rsid w:val="0061279E"/>
    <w:rsid w:val="00612B65"/>
    <w:rsid w:val="00612C0D"/>
    <w:rsid w:val="00612DF8"/>
    <w:rsid w:val="006134B5"/>
    <w:rsid w:val="00613973"/>
    <w:rsid w:val="00614564"/>
    <w:rsid w:val="006150C5"/>
    <w:rsid w:val="00615591"/>
    <w:rsid w:val="00615A4F"/>
    <w:rsid w:val="006164DF"/>
    <w:rsid w:val="006172F2"/>
    <w:rsid w:val="00622E4D"/>
    <w:rsid w:val="00623377"/>
    <w:rsid w:val="00623C97"/>
    <w:rsid w:val="0062463E"/>
    <w:rsid w:val="00624D73"/>
    <w:rsid w:val="00624F47"/>
    <w:rsid w:val="00625412"/>
    <w:rsid w:val="00625A16"/>
    <w:rsid w:val="00626441"/>
    <w:rsid w:val="00626773"/>
    <w:rsid w:val="00627E50"/>
    <w:rsid w:val="00630EDC"/>
    <w:rsid w:val="0063164A"/>
    <w:rsid w:val="006317B4"/>
    <w:rsid w:val="00631F32"/>
    <w:rsid w:val="00632783"/>
    <w:rsid w:val="006336A2"/>
    <w:rsid w:val="00634456"/>
    <w:rsid w:val="0063465C"/>
    <w:rsid w:val="00634C67"/>
    <w:rsid w:val="00634D8F"/>
    <w:rsid w:val="00634EE7"/>
    <w:rsid w:val="0063500D"/>
    <w:rsid w:val="006357AC"/>
    <w:rsid w:val="00635932"/>
    <w:rsid w:val="00636045"/>
    <w:rsid w:val="00636140"/>
    <w:rsid w:val="0063627B"/>
    <w:rsid w:val="00636D4E"/>
    <w:rsid w:val="00640C0E"/>
    <w:rsid w:val="00640C17"/>
    <w:rsid w:val="00641302"/>
    <w:rsid w:val="0064254D"/>
    <w:rsid w:val="00642AC7"/>
    <w:rsid w:val="00642CC9"/>
    <w:rsid w:val="00642E87"/>
    <w:rsid w:val="00643736"/>
    <w:rsid w:val="0064373E"/>
    <w:rsid w:val="00645BF6"/>
    <w:rsid w:val="00645DF2"/>
    <w:rsid w:val="00646491"/>
    <w:rsid w:val="00646C67"/>
    <w:rsid w:val="00646D28"/>
    <w:rsid w:val="00646F11"/>
    <w:rsid w:val="006506AF"/>
    <w:rsid w:val="006509CE"/>
    <w:rsid w:val="00650E5D"/>
    <w:rsid w:val="00652AD0"/>
    <w:rsid w:val="006540FA"/>
    <w:rsid w:val="0065448F"/>
    <w:rsid w:val="006548B8"/>
    <w:rsid w:val="00655896"/>
    <w:rsid w:val="0065603B"/>
    <w:rsid w:val="0065603C"/>
    <w:rsid w:val="006569D5"/>
    <w:rsid w:val="00656DC0"/>
    <w:rsid w:val="006578C2"/>
    <w:rsid w:val="006579BD"/>
    <w:rsid w:val="00660E83"/>
    <w:rsid w:val="00662783"/>
    <w:rsid w:val="00662FDB"/>
    <w:rsid w:val="00663652"/>
    <w:rsid w:val="00663DC5"/>
    <w:rsid w:val="00664482"/>
    <w:rsid w:val="0066480C"/>
    <w:rsid w:val="00664952"/>
    <w:rsid w:val="00666764"/>
    <w:rsid w:val="0066716A"/>
    <w:rsid w:val="00667506"/>
    <w:rsid w:val="00667646"/>
    <w:rsid w:val="00667809"/>
    <w:rsid w:val="00670C5F"/>
    <w:rsid w:val="0067315A"/>
    <w:rsid w:val="006745EF"/>
    <w:rsid w:val="00674E35"/>
    <w:rsid w:val="006753CB"/>
    <w:rsid w:val="00676646"/>
    <w:rsid w:val="00676727"/>
    <w:rsid w:val="00676CCE"/>
    <w:rsid w:val="00676EC2"/>
    <w:rsid w:val="0068006A"/>
    <w:rsid w:val="006809DF"/>
    <w:rsid w:val="00680A8E"/>
    <w:rsid w:val="00680CD2"/>
    <w:rsid w:val="00681B58"/>
    <w:rsid w:val="0068225D"/>
    <w:rsid w:val="00682685"/>
    <w:rsid w:val="0068273A"/>
    <w:rsid w:val="00682B84"/>
    <w:rsid w:val="00682C56"/>
    <w:rsid w:val="0068308C"/>
    <w:rsid w:val="006833EF"/>
    <w:rsid w:val="00683446"/>
    <w:rsid w:val="00683A8A"/>
    <w:rsid w:val="00684E82"/>
    <w:rsid w:val="0068594D"/>
    <w:rsid w:val="00685D13"/>
    <w:rsid w:val="00686118"/>
    <w:rsid w:val="00686949"/>
    <w:rsid w:val="00687438"/>
    <w:rsid w:val="00687BF0"/>
    <w:rsid w:val="00687C98"/>
    <w:rsid w:val="006905B2"/>
    <w:rsid w:val="006916AA"/>
    <w:rsid w:val="00691EB9"/>
    <w:rsid w:val="006929CF"/>
    <w:rsid w:val="00694AAF"/>
    <w:rsid w:val="00694DE6"/>
    <w:rsid w:val="0069570E"/>
    <w:rsid w:val="0069719A"/>
    <w:rsid w:val="006973FB"/>
    <w:rsid w:val="00697816"/>
    <w:rsid w:val="006A1120"/>
    <w:rsid w:val="006A1262"/>
    <w:rsid w:val="006A158C"/>
    <w:rsid w:val="006A176D"/>
    <w:rsid w:val="006A1B5A"/>
    <w:rsid w:val="006A1C13"/>
    <w:rsid w:val="006A2418"/>
    <w:rsid w:val="006A3F2B"/>
    <w:rsid w:val="006A4EBA"/>
    <w:rsid w:val="006A5106"/>
    <w:rsid w:val="006A6B05"/>
    <w:rsid w:val="006A6BF1"/>
    <w:rsid w:val="006A6D3B"/>
    <w:rsid w:val="006B04BC"/>
    <w:rsid w:val="006B1478"/>
    <w:rsid w:val="006B181D"/>
    <w:rsid w:val="006B2FDA"/>
    <w:rsid w:val="006B3F80"/>
    <w:rsid w:val="006B5FCA"/>
    <w:rsid w:val="006B6449"/>
    <w:rsid w:val="006B667E"/>
    <w:rsid w:val="006B728E"/>
    <w:rsid w:val="006C0081"/>
    <w:rsid w:val="006C0988"/>
    <w:rsid w:val="006C1566"/>
    <w:rsid w:val="006C23B4"/>
    <w:rsid w:val="006C2B2F"/>
    <w:rsid w:val="006C3A8B"/>
    <w:rsid w:val="006C4192"/>
    <w:rsid w:val="006C4587"/>
    <w:rsid w:val="006C461D"/>
    <w:rsid w:val="006C4B23"/>
    <w:rsid w:val="006C4B6B"/>
    <w:rsid w:val="006C5525"/>
    <w:rsid w:val="006C631D"/>
    <w:rsid w:val="006C78A4"/>
    <w:rsid w:val="006D0CF5"/>
    <w:rsid w:val="006D1B14"/>
    <w:rsid w:val="006D1D2A"/>
    <w:rsid w:val="006D1D3D"/>
    <w:rsid w:val="006D257E"/>
    <w:rsid w:val="006D483D"/>
    <w:rsid w:val="006D493C"/>
    <w:rsid w:val="006D5F9C"/>
    <w:rsid w:val="006E0265"/>
    <w:rsid w:val="006E02F9"/>
    <w:rsid w:val="006E0659"/>
    <w:rsid w:val="006E0CAD"/>
    <w:rsid w:val="006E0E67"/>
    <w:rsid w:val="006E1413"/>
    <w:rsid w:val="006E1CEA"/>
    <w:rsid w:val="006E2073"/>
    <w:rsid w:val="006E2262"/>
    <w:rsid w:val="006E3045"/>
    <w:rsid w:val="006E379A"/>
    <w:rsid w:val="006E3EFD"/>
    <w:rsid w:val="006E4336"/>
    <w:rsid w:val="006E49BC"/>
    <w:rsid w:val="006E5117"/>
    <w:rsid w:val="006E5471"/>
    <w:rsid w:val="006E6864"/>
    <w:rsid w:val="006E6DBC"/>
    <w:rsid w:val="006E7AB7"/>
    <w:rsid w:val="006E7E85"/>
    <w:rsid w:val="006F1134"/>
    <w:rsid w:val="006F12C3"/>
    <w:rsid w:val="006F17F6"/>
    <w:rsid w:val="006F1860"/>
    <w:rsid w:val="006F1938"/>
    <w:rsid w:val="006F1E02"/>
    <w:rsid w:val="006F2B87"/>
    <w:rsid w:val="006F2E7A"/>
    <w:rsid w:val="006F39A9"/>
    <w:rsid w:val="006F3E50"/>
    <w:rsid w:val="006F44B0"/>
    <w:rsid w:val="006F4571"/>
    <w:rsid w:val="006F5146"/>
    <w:rsid w:val="006F6157"/>
    <w:rsid w:val="006F6385"/>
    <w:rsid w:val="006F69B5"/>
    <w:rsid w:val="006F6E99"/>
    <w:rsid w:val="00700919"/>
    <w:rsid w:val="00701103"/>
    <w:rsid w:val="00701BBF"/>
    <w:rsid w:val="00701C97"/>
    <w:rsid w:val="00702546"/>
    <w:rsid w:val="00702839"/>
    <w:rsid w:val="007036A0"/>
    <w:rsid w:val="00704423"/>
    <w:rsid w:val="00706306"/>
    <w:rsid w:val="00706A8A"/>
    <w:rsid w:val="00706BD0"/>
    <w:rsid w:val="00706D8C"/>
    <w:rsid w:val="00707522"/>
    <w:rsid w:val="0070758A"/>
    <w:rsid w:val="00707D0F"/>
    <w:rsid w:val="007101C6"/>
    <w:rsid w:val="007102B2"/>
    <w:rsid w:val="00710BAA"/>
    <w:rsid w:val="00710BBB"/>
    <w:rsid w:val="00710E21"/>
    <w:rsid w:val="00710FE0"/>
    <w:rsid w:val="007115D8"/>
    <w:rsid w:val="00711B4F"/>
    <w:rsid w:val="007121F0"/>
    <w:rsid w:val="0071226F"/>
    <w:rsid w:val="00713AD3"/>
    <w:rsid w:val="00713DAE"/>
    <w:rsid w:val="0071431D"/>
    <w:rsid w:val="00714622"/>
    <w:rsid w:val="0071465A"/>
    <w:rsid w:val="00716213"/>
    <w:rsid w:val="00716569"/>
    <w:rsid w:val="007171DF"/>
    <w:rsid w:val="0071755B"/>
    <w:rsid w:val="00717D82"/>
    <w:rsid w:val="007204C2"/>
    <w:rsid w:val="00720725"/>
    <w:rsid w:val="00720CAB"/>
    <w:rsid w:val="00720FE6"/>
    <w:rsid w:val="00721186"/>
    <w:rsid w:val="007215E1"/>
    <w:rsid w:val="007228F3"/>
    <w:rsid w:val="00724AD3"/>
    <w:rsid w:val="00725A50"/>
    <w:rsid w:val="00727F5E"/>
    <w:rsid w:val="00730395"/>
    <w:rsid w:val="007304CE"/>
    <w:rsid w:val="00730776"/>
    <w:rsid w:val="00730C3B"/>
    <w:rsid w:val="00730CB4"/>
    <w:rsid w:val="00730CFC"/>
    <w:rsid w:val="00731751"/>
    <w:rsid w:val="0073298E"/>
    <w:rsid w:val="00733B3C"/>
    <w:rsid w:val="0073454D"/>
    <w:rsid w:val="00734832"/>
    <w:rsid w:val="007350EA"/>
    <w:rsid w:val="007358E0"/>
    <w:rsid w:val="00735931"/>
    <w:rsid w:val="00736F81"/>
    <w:rsid w:val="0073701B"/>
    <w:rsid w:val="0073741A"/>
    <w:rsid w:val="0073748A"/>
    <w:rsid w:val="0074033C"/>
    <w:rsid w:val="007409A1"/>
    <w:rsid w:val="0074167D"/>
    <w:rsid w:val="00741C80"/>
    <w:rsid w:val="007423CE"/>
    <w:rsid w:val="00742A88"/>
    <w:rsid w:val="00742FB9"/>
    <w:rsid w:val="00743B4F"/>
    <w:rsid w:val="00744139"/>
    <w:rsid w:val="007442ED"/>
    <w:rsid w:val="00744733"/>
    <w:rsid w:val="00744A68"/>
    <w:rsid w:val="00744D1D"/>
    <w:rsid w:val="0074530E"/>
    <w:rsid w:val="00745A05"/>
    <w:rsid w:val="00745BD5"/>
    <w:rsid w:val="007466D4"/>
    <w:rsid w:val="0074791A"/>
    <w:rsid w:val="00747A19"/>
    <w:rsid w:val="00750A7C"/>
    <w:rsid w:val="00750B0A"/>
    <w:rsid w:val="007510F7"/>
    <w:rsid w:val="0075147D"/>
    <w:rsid w:val="00751D33"/>
    <w:rsid w:val="00751EF6"/>
    <w:rsid w:val="00752C63"/>
    <w:rsid w:val="00753199"/>
    <w:rsid w:val="00755643"/>
    <w:rsid w:val="00755867"/>
    <w:rsid w:val="007559C4"/>
    <w:rsid w:val="00755E59"/>
    <w:rsid w:val="00756341"/>
    <w:rsid w:val="00756D9C"/>
    <w:rsid w:val="00757DB4"/>
    <w:rsid w:val="00757E84"/>
    <w:rsid w:val="00760F0A"/>
    <w:rsid w:val="007610DC"/>
    <w:rsid w:val="00761344"/>
    <w:rsid w:val="0076260D"/>
    <w:rsid w:val="00762E5F"/>
    <w:rsid w:val="00763D1A"/>
    <w:rsid w:val="007640F8"/>
    <w:rsid w:val="00764F76"/>
    <w:rsid w:val="007655F3"/>
    <w:rsid w:val="007656F0"/>
    <w:rsid w:val="00766A0D"/>
    <w:rsid w:val="007676D5"/>
    <w:rsid w:val="00771158"/>
    <w:rsid w:val="00772239"/>
    <w:rsid w:val="007739BD"/>
    <w:rsid w:val="007743ED"/>
    <w:rsid w:val="00775C36"/>
    <w:rsid w:val="007764AB"/>
    <w:rsid w:val="00777E8E"/>
    <w:rsid w:val="00780A29"/>
    <w:rsid w:val="00780C25"/>
    <w:rsid w:val="00781B65"/>
    <w:rsid w:val="00782171"/>
    <w:rsid w:val="0078257A"/>
    <w:rsid w:val="00782812"/>
    <w:rsid w:val="0078492E"/>
    <w:rsid w:val="007864EE"/>
    <w:rsid w:val="00786B04"/>
    <w:rsid w:val="00786C82"/>
    <w:rsid w:val="0078715F"/>
    <w:rsid w:val="00790834"/>
    <w:rsid w:val="007910E8"/>
    <w:rsid w:val="007924B9"/>
    <w:rsid w:val="007932B1"/>
    <w:rsid w:val="00793337"/>
    <w:rsid w:val="00793AC1"/>
    <w:rsid w:val="00793BA2"/>
    <w:rsid w:val="0079447A"/>
    <w:rsid w:val="007953DE"/>
    <w:rsid w:val="007956E8"/>
    <w:rsid w:val="00796323"/>
    <w:rsid w:val="0079666B"/>
    <w:rsid w:val="007969E2"/>
    <w:rsid w:val="00797812"/>
    <w:rsid w:val="00797FEA"/>
    <w:rsid w:val="007A04A1"/>
    <w:rsid w:val="007A07B1"/>
    <w:rsid w:val="007A147A"/>
    <w:rsid w:val="007A160B"/>
    <w:rsid w:val="007A162A"/>
    <w:rsid w:val="007A21BC"/>
    <w:rsid w:val="007A249C"/>
    <w:rsid w:val="007A25F8"/>
    <w:rsid w:val="007A2E59"/>
    <w:rsid w:val="007A2EF6"/>
    <w:rsid w:val="007A4415"/>
    <w:rsid w:val="007A4954"/>
    <w:rsid w:val="007A4F28"/>
    <w:rsid w:val="007A5095"/>
    <w:rsid w:val="007A5132"/>
    <w:rsid w:val="007A61B6"/>
    <w:rsid w:val="007A6AC0"/>
    <w:rsid w:val="007A7002"/>
    <w:rsid w:val="007A70A5"/>
    <w:rsid w:val="007A7D77"/>
    <w:rsid w:val="007A7F61"/>
    <w:rsid w:val="007B0620"/>
    <w:rsid w:val="007B0D53"/>
    <w:rsid w:val="007B125A"/>
    <w:rsid w:val="007B138F"/>
    <w:rsid w:val="007B1637"/>
    <w:rsid w:val="007B1EAB"/>
    <w:rsid w:val="007B330A"/>
    <w:rsid w:val="007B3980"/>
    <w:rsid w:val="007B4257"/>
    <w:rsid w:val="007B45B3"/>
    <w:rsid w:val="007B5356"/>
    <w:rsid w:val="007B5A07"/>
    <w:rsid w:val="007B5A9D"/>
    <w:rsid w:val="007B66C3"/>
    <w:rsid w:val="007B6E1B"/>
    <w:rsid w:val="007C0557"/>
    <w:rsid w:val="007C0844"/>
    <w:rsid w:val="007C0BE0"/>
    <w:rsid w:val="007C1729"/>
    <w:rsid w:val="007C1E2F"/>
    <w:rsid w:val="007C24B6"/>
    <w:rsid w:val="007C4292"/>
    <w:rsid w:val="007C447F"/>
    <w:rsid w:val="007C4826"/>
    <w:rsid w:val="007C4B25"/>
    <w:rsid w:val="007C5A12"/>
    <w:rsid w:val="007C5C30"/>
    <w:rsid w:val="007C5D85"/>
    <w:rsid w:val="007C6141"/>
    <w:rsid w:val="007C6C96"/>
    <w:rsid w:val="007C71A9"/>
    <w:rsid w:val="007C790A"/>
    <w:rsid w:val="007C795A"/>
    <w:rsid w:val="007C7AC1"/>
    <w:rsid w:val="007D0AD1"/>
    <w:rsid w:val="007D1277"/>
    <w:rsid w:val="007D13AA"/>
    <w:rsid w:val="007D1607"/>
    <w:rsid w:val="007D1796"/>
    <w:rsid w:val="007D1C45"/>
    <w:rsid w:val="007D2870"/>
    <w:rsid w:val="007D2BDA"/>
    <w:rsid w:val="007D2FD9"/>
    <w:rsid w:val="007D3153"/>
    <w:rsid w:val="007D3B4B"/>
    <w:rsid w:val="007D4AA5"/>
    <w:rsid w:val="007D5576"/>
    <w:rsid w:val="007D5AF0"/>
    <w:rsid w:val="007D6804"/>
    <w:rsid w:val="007D6889"/>
    <w:rsid w:val="007D6E5E"/>
    <w:rsid w:val="007D72BC"/>
    <w:rsid w:val="007D7731"/>
    <w:rsid w:val="007E0522"/>
    <w:rsid w:val="007E0D46"/>
    <w:rsid w:val="007E1772"/>
    <w:rsid w:val="007E1CDA"/>
    <w:rsid w:val="007E2C01"/>
    <w:rsid w:val="007E2D4F"/>
    <w:rsid w:val="007E33A6"/>
    <w:rsid w:val="007E3E0D"/>
    <w:rsid w:val="007E49B9"/>
    <w:rsid w:val="007E4D72"/>
    <w:rsid w:val="007E4D79"/>
    <w:rsid w:val="007E519D"/>
    <w:rsid w:val="007E538E"/>
    <w:rsid w:val="007E5405"/>
    <w:rsid w:val="007E5AAC"/>
    <w:rsid w:val="007E6180"/>
    <w:rsid w:val="007E6224"/>
    <w:rsid w:val="007E6CC4"/>
    <w:rsid w:val="007E7156"/>
    <w:rsid w:val="007F24C7"/>
    <w:rsid w:val="007F3A88"/>
    <w:rsid w:val="007F4CDE"/>
    <w:rsid w:val="007F5082"/>
    <w:rsid w:val="007F5318"/>
    <w:rsid w:val="007F54A3"/>
    <w:rsid w:val="007F5D1E"/>
    <w:rsid w:val="007F71D7"/>
    <w:rsid w:val="007F7FFA"/>
    <w:rsid w:val="0080081F"/>
    <w:rsid w:val="00802EE2"/>
    <w:rsid w:val="00803F30"/>
    <w:rsid w:val="008041EB"/>
    <w:rsid w:val="008044F7"/>
    <w:rsid w:val="00805081"/>
    <w:rsid w:val="008053D0"/>
    <w:rsid w:val="008055D5"/>
    <w:rsid w:val="00805E41"/>
    <w:rsid w:val="00806CF6"/>
    <w:rsid w:val="008071FA"/>
    <w:rsid w:val="008076CC"/>
    <w:rsid w:val="008076F1"/>
    <w:rsid w:val="008101C3"/>
    <w:rsid w:val="00810343"/>
    <w:rsid w:val="00810F92"/>
    <w:rsid w:val="0081117F"/>
    <w:rsid w:val="008118AE"/>
    <w:rsid w:val="00811C7D"/>
    <w:rsid w:val="0081215D"/>
    <w:rsid w:val="008123A0"/>
    <w:rsid w:val="008124AE"/>
    <w:rsid w:val="00816609"/>
    <w:rsid w:val="00817E39"/>
    <w:rsid w:val="00820B17"/>
    <w:rsid w:val="00820B7B"/>
    <w:rsid w:val="00820FAC"/>
    <w:rsid w:val="00821E37"/>
    <w:rsid w:val="008223B2"/>
    <w:rsid w:val="00822939"/>
    <w:rsid w:val="00822F02"/>
    <w:rsid w:val="0082332F"/>
    <w:rsid w:val="008243A3"/>
    <w:rsid w:val="00824CF0"/>
    <w:rsid w:val="00825C4E"/>
    <w:rsid w:val="00825FF8"/>
    <w:rsid w:val="00827683"/>
    <w:rsid w:val="008277B9"/>
    <w:rsid w:val="00827A17"/>
    <w:rsid w:val="00830891"/>
    <w:rsid w:val="00830CE5"/>
    <w:rsid w:val="008317F2"/>
    <w:rsid w:val="008322EF"/>
    <w:rsid w:val="00832956"/>
    <w:rsid w:val="00833616"/>
    <w:rsid w:val="0083585D"/>
    <w:rsid w:val="0083603C"/>
    <w:rsid w:val="0083605E"/>
    <w:rsid w:val="00836F30"/>
    <w:rsid w:val="008374E0"/>
    <w:rsid w:val="00837B01"/>
    <w:rsid w:val="00840AE0"/>
    <w:rsid w:val="00840C24"/>
    <w:rsid w:val="0084159E"/>
    <w:rsid w:val="0084321F"/>
    <w:rsid w:val="008463D1"/>
    <w:rsid w:val="008469D7"/>
    <w:rsid w:val="00846E4B"/>
    <w:rsid w:val="00847AD7"/>
    <w:rsid w:val="00847DB1"/>
    <w:rsid w:val="00847DFC"/>
    <w:rsid w:val="00850531"/>
    <w:rsid w:val="0085069C"/>
    <w:rsid w:val="008513E2"/>
    <w:rsid w:val="0085235E"/>
    <w:rsid w:val="00853C7D"/>
    <w:rsid w:val="0085486E"/>
    <w:rsid w:val="00854E0D"/>
    <w:rsid w:val="0085551E"/>
    <w:rsid w:val="00855696"/>
    <w:rsid w:val="00856459"/>
    <w:rsid w:val="0085661C"/>
    <w:rsid w:val="00857013"/>
    <w:rsid w:val="0086008F"/>
    <w:rsid w:val="0086062D"/>
    <w:rsid w:val="008633AD"/>
    <w:rsid w:val="00864401"/>
    <w:rsid w:val="00864403"/>
    <w:rsid w:val="00864E8C"/>
    <w:rsid w:val="00865208"/>
    <w:rsid w:val="00865DED"/>
    <w:rsid w:val="0086615A"/>
    <w:rsid w:val="008665DA"/>
    <w:rsid w:val="00866DA1"/>
    <w:rsid w:val="00866E09"/>
    <w:rsid w:val="008671FA"/>
    <w:rsid w:val="0086728D"/>
    <w:rsid w:val="00867BCB"/>
    <w:rsid w:val="00867CB2"/>
    <w:rsid w:val="00870803"/>
    <w:rsid w:val="00870881"/>
    <w:rsid w:val="00870E05"/>
    <w:rsid w:val="00871220"/>
    <w:rsid w:val="008715B9"/>
    <w:rsid w:val="00872640"/>
    <w:rsid w:val="00872EF1"/>
    <w:rsid w:val="00873CF6"/>
    <w:rsid w:val="00875B8D"/>
    <w:rsid w:val="008772F0"/>
    <w:rsid w:val="00877912"/>
    <w:rsid w:val="00877D66"/>
    <w:rsid w:val="00881097"/>
    <w:rsid w:val="008812AB"/>
    <w:rsid w:val="00881B71"/>
    <w:rsid w:val="0088270B"/>
    <w:rsid w:val="00882CF0"/>
    <w:rsid w:val="008836DA"/>
    <w:rsid w:val="00883CA6"/>
    <w:rsid w:val="0088456C"/>
    <w:rsid w:val="00884FDD"/>
    <w:rsid w:val="008870F6"/>
    <w:rsid w:val="0088716B"/>
    <w:rsid w:val="0088731F"/>
    <w:rsid w:val="00887B31"/>
    <w:rsid w:val="00887B45"/>
    <w:rsid w:val="0089087B"/>
    <w:rsid w:val="00891034"/>
    <w:rsid w:val="0089269C"/>
    <w:rsid w:val="008927EB"/>
    <w:rsid w:val="00892C52"/>
    <w:rsid w:val="00893FA9"/>
    <w:rsid w:val="0089570E"/>
    <w:rsid w:val="0089578F"/>
    <w:rsid w:val="00895B41"/>
    <w:rsid w:val="00895DBD"/>
    <w:rsid w:val="00896F81"/>
    <w:rsid w:val="008A17E3"/>
    <w:rsid w:val="008A1BC6"/>
    <w:rsid w:val="008A3299"/>
    <w:rsid w:val="008A3340"/>
    <w:rsid w:val="008A35A2"/>
    <w:rsid w:val="008A502B"/>
    <w:rsid w:val="008A5488"/>
    <w:rsid w:val="008A615D"/>
    <w:rsid w:val="008A67F3"/>
    <w:rsid w:val="008A6E52"/>
    <w:rsid w:val="008A7225"/>
    <w:rsid w:val="008A7D73"/>
    <w:rsid w:val="008B09DA"/>
    <w:rsid w:val="008B0FE8"/>
    <w:rsid w:val="008B1CDF"/>
    <w:rsid w:val="008B2A3E"/>
    <w:rsid w:val="008B3161"/>
    <w:rsid w:val="008B316C"/>
    <w:rsid w:val="008B41A7"/>
    <w:rsid w:val="008B471B"/>
    <w:rsid w:val="008B597A"/>
    <w:rsid w:val="008B5BA2"/>
    <w:rsid w:val="008B5FCC"/>
    <w:rsid w:val="008B61A1"/>
    <w:rsid w:val="008B6892"/>
    <w:rsid w:val="008B74E5"/>
    <w:rsid w:val="008B7927"/>
    <w:rsid w:val="008B79F9"/>
    <w:rsid w:val="008C1247"/>
    <w:rsid w:val="008C1BAA"/>
    <w:rsid w:val="008C1D1D"/>
    <w:rsid w:val="008C343F"/>
    <w:rsid w:val="008C3D31"/>
    <w:rsid w:val="008C49AF"/>
    <w:rsid w:val="008C4CF7"/>
    <w:rsid w:val="008C4EAD"/>
    <w:rsid w:val="008C51EB"/>
    <w:rsid w:val="008C5241"/>
    <w:rsid w:val="008C61E3"/>
    <w:rsid w:val="008C6A14"/>
    <w:rsid w:val="008C6FD6"/>
    <w:rsid w:val="008C7B29"/>
    <w:rsid w:val="008D1061"/>
    <w:rsid w:val="008D13A6"/>
    <w:rsid w:val="008D1AC3"/>
    <w:rsid w:val="008D1D71"/>
    <w:rsid w:val="008D247C"/>
    <w:rsid w:val="008D32F9"/>
    <w:rsid w:val="008D3577"/>
    <w:rsid w:val="008D3C19"/>
    <w:rsid w:val="008D3D42"/>
    <w:rsid w:val="008D432E"/>
    <w:rsid w:val="008D4C11"/>
    <w:rsid w:val="008D4F66"/>
    <w:rsid w:val="008D55C2"/>
    <w:rsid w:val="008D6209"/>
    <w:rsid w:val="008D6A22"/>
    <w:rsid w:val="008D6A7E"/>
    <w:rsid w:val="008D715A"/>
    <w:rsid w:val="008D79E9"/>
    <w:rsid w:val="008D7E16"/>
    <w:rsid w:val="008E02C0"/>
    <w:rsid w:val="008E110D"/>
    <w:rsid w:val="008E1363"/>
    <w:rsid w:val="008E19CE"/>
    <w:rsid w:val="008E1EF0"/>
    <w:rsid w:val="008E2EBA"/>
    <w:rsid w:val="008E33DD"/>
    <w:rsid w:val="008E36BD"/>
    <w:rsid w:val="008E3AED"/>
    <w:rsid w:val="008E3C68"/>
    <w:rsid w:val="008E4C71"/>
    <w:rsid w:val="008E5557"/>
    <w:rsid w:val="008E5CE6"/>
    <w:rsid w:val="008E60D9"/>
    <w:rsid w:val="008E6707"/>
    <w:rsid w:val="008E679E"/>
    <w:rsid w:val="008E69AD"/>
    <w:rsid w:val="008E75C9"/>
    <w:rsid w:val="008E7B0C"/>
    <w:rsid w:val="008E7B84"/>
    <w:rsid w:val="008F0161"/>
    <w:rsid w:val="008F0D47"/>
    <w:rsid w:val="008F15EA"/>
    <w:rsid w:val="008F1745"/>
    <w:rsid w:val="008F19BD"/>
    <w:rsid w:val="008F3C8E"/>
    <w:rsid w:val="008F3DE9"/>
    <w:rsid w:val="008F497C"/>
    <w:rsid w:val="008F4F32"/>
    <w:rsid w:val="008F6086"/>
    <w:rsid w:val="008F7025"/>
    <w:rsid w:val="008F7511"/>
    <w:rsid w:val="008F7613"/>
    <w:rsid w:val="008F7936"/>
    <w:rsid w:val="008F79E7"/>
    <w:rsid w:val="00900614"/>
    <w:rsid w:val="0090148A"/>
    <w:rsid w:val="009019B0"/>
    <w:rsid w:val="009026C6"/>
    <w:rsid w:val="00902821"/>
    <w:rsid w:val="009029B4"/>
    <w:rsid w:val="00902A5C"/>
    <w:rsid w:val="00903AE1"/>
    <w:rsid w:val="00903D74"/>
    <w:rsid w:val="0090449D"/>
    <w:rsid w:val="009058F0"/>
    <w:rsid w:val="009076D9"/>
    <w:rsid w:val="00910CF9"/>
    <w:rsid w:val="00912B76"/>
    <w:rsid w:val="009134CC"/>
    <w:rsid w:val="00913F11"/>
    <w:rsid w:val="00913F7A"/>
    <w:rsid w:val="009141F2"/>
    <w:rsid w:val="009141F4"/>
    <w:rsid w:val="00914CA0"/>
    <w:rsid w:val="00915047"/>
    <w:rsid w:val="00917500"/>
    <w:rsid w:val="00917A7C"/>
    <w:rsid w:val="0092061E"/>
    <w:rsid w:val="0092110E"/>
    <w:rsid w:val="00922567"/>
    <w:rsid w:val="00923A77"/>
    <w:rsid w:val="009256A7"/>
    <w:rsid w:val="009257F7"/>
    <w:rsid w:val="0092630E"/>
    <w:rsid w:val="0092753E"/>
    <w:rsid w:val="00927EF7"/>
    <w:rsid w:val="00932098"/>
    <w:rsid w:val="00933356"/>
    <w:rsid w:val="0093599B"/>
    <w:rsid w:val="00941104"/>
    <w:rsid w:val="0094138D"/>
    <w:rsid w:val="009416DA"/>
    <w:rsid w:val="00941837"/>
    <w:rsid w:val="00941D29"/>
    <w:rsid w:val="00941D40"/>
    <w:rsid w:val="009426DC"/>
    <w:rsid w:val="00942B24"/>
    <w:rsid w:val="00942C56"/>
    <w:rsid w:val="00942CD7"/>
    <w:rsid w:val="00942EA2"/>
    <w:rsid w:val="009434EC"/>
    <w:rsid w:val="0094351F"/>
    <w:rsid w:val="00943818"/>
    <w:rsid w:val="0094395F"/>
    <w:rsid w:val="009444AE"/>
    <w:rsid w:val="00944666"/>
    <w:rsid w:val="009454FB"/>
    <w:rsid w:val="00946D1B"/>
    <w:rsid w:val="00947214"/>
    <w:rsid w:val="009474FD"/>
    <w:rsid w:val="00947D74"/>
    <w:rsid w:val="0095050B"/>
    <w:rsid w:val="0095166A"/>
    <w:rsid w:val="0095272A"/>
    <w:rsid w:val="00952A2C"/>
    <w:rsid w:val="00952F7C"/>
    <w:rsid w:val="00953D46"/>
    <w:rsid w:val="00954203"/>
    <w:rsid w:val="00954C18"/>
    <w:rsid w:val="0095594F"/>
    <w:rsid w:val="009561F3"/>
    <w:rsid w:val="009564CB"/>
    <w:rsid w:val="009569BF"/>
    <w:rsid w:val="009570E8"/>
    <w:rsid w:val="009606B9"/>
    <w:rsid w:val="00960953"/>
    <w:rsid w:val="00960E35"/>
    <w:rsid w:val="009612B2"/>
    <w:rsid w:val="00961EF1"/>
    <w:rsid w:val="0096253F"/>
    <w:rsid w:val="00962BE6"/>
    <w:rsid w:val="00962C24"/>
    <w:rsid w:val="009630F8"/>
    <w:rsid w:val="00963F9C"/>
    <w:rsid w:val="00964A8F"/>
    <w:rsid w:val="00964DE7"/>
    <w:rsid w:val="00965BDE"/>
    <w:rsid w:val="0096762E"/>
    <w:rsid w:val="009703DB"/>
    <w:rsid w:val="009708E9"/>
    <w:rsid w:val="00971006"/>
    <w:rsid w:val="009711D9"/>
    <w:rsid w:val="00971B9A"/>
    <w:rsid w:val="009726B2"/>
    <w:rsid w:val="0097362E"/>
    <w:rsid w:val="00973C0E"/>
    <w:rsid w:val="00974173"/>
    <w:rsid w:val="009750E6"/>
    <w:rsid w:val="0097547C"/>
    <w:rsid w:val="009754C4"/>
    <w:rsid w:val="00975AAA"/>
    <w:rsid w:val="00976BEE"/>
    <w:rsid w:val="00976D3D"/>
    <w:rsid w:val="00977C77"/>
    <w:rsid w:val="00977EAC"/>
    <w:rsid w:val="009804EB"/>
    <w:rsid w:val="0098102B"/>
    <w:rsid w:val="009819E0"/>
    <w:rsid w:val="00982683"/>
    <w:rsid w:val="00983008"/>
    <w:rsid w:val="00983033"/>
    <w:rsid w:val="00983D95"/>
    <w:rsid w:val="00984EA6"/>
    <w:rsid w:val="009852EB"/>
    <w:rsid w:val="009856D1"/>
    <w:rsid w:val="009865D0"/>
    <w:rsid w:val="00986DE0"/>
    <w:rsid w:val="009903F4"/>
    <w:rsid w:val="00990DCB"/>
    <w:rsid w:val="00990EFB"/>
    <w:rsid w:val="0099283C"/>
    <w:rsid w:val="0099292A"/>
    <w:rsid w:val="00992D8C"/>
    <w:rsid w:val="00993325"/>
    <w:rsid w:val="00993F86"/>
    <w:rsid w:val="0099506F"/>
    <w:rsid w:val="0099548E"/>
    <w:rsid w:val="009957C9"/>
    <w:rsid w:val="00995842"/>
    <w:rsid w:val="009961A3"/>
    <w:rsid w:val="00996A23"/>
    <w:rsid w:val="009A1234"/>
    <w:rsid w:val="009A1308"/>
    <w:rsid w:val="009A20C8"/>
    <w:rsid w:val="009A38E5"/>
    <w:rsid w:val="009A4432"/>
    <w:rsid w:val="009A4568"/>
    <w:rsid w:val="009A483E"/>
    <w:rsid w:val="009A4B18"/>
    <w:rsid w:val="009A532B"/>
    <w:rsid w:val="009A5983"/>
    <w:rsid w:val="009A5FD7"/>
    <w:rsid w:val="009A6258"/>
    <w:rsid w:val="009A6497"/>
    <w:rsid w:val="009A65F4"/>
    <w:rsid w:val="009A70FC"/>
    <w:rsid w:val="009A77E9"/>
    <w:rsid w:val="009A7953"/>
    <w:rsid w:val="009B008A"/>
    <w:rsid w:val="009B07D7"/>
    <w:rsid w:val="009B1BD3"/>
    <w:rsid w:val="009B1CFB"/>
    <w:rsid w:val="009B1D1A"/>
    <w:rsid w:val="009B1F2D"/>
    <w:rsid w:val="009B20F1"/>
    <w:rsid w:val="009B2290"/>
    <w:rsid w:val="009B254A"/>
    <w:rsid w:val="009B29F3"/>
    <w:rsid w:val="009B456D"/>
    <w:rsid w:val="009B4B8F"/>
    <w:rsid w:val="009B52EE"/>
    <w:rsid w:val="009B6254"/>
    <w:rsid w:val="009B67A3"/>
    <w:rsid w:val="009B7F60"/>
    <w:rsid w:val="009C11FC"/>
    <w:rsid w:val="009C1FDB"/>
    <w:rsid w:val="009C2660"/>
    <w:rsid w:val="009C2912"/>
    <w:rsid w:val="009C3335"/>
    <w:rsid w:val="009C39B5"/>
    <w:rsid w:val="009C4812"/>
    <w:rsid w:val="009C4E49"/>
    <w:rsid w:val="009C5392"/>
    <w:rsid w:val="009C630A"/>
    <w:rsid w:val="009C6310"/>
    <w:rsid w:val="009C6A81"/>
    <w:rsid w:val="009C6AA4"/>
    <w:rsid w:val="009C7383"/>
    <w:rsid w:val="009C7521"/>
    <w:rsid w:val="009C7F17"/>
    <w:rsid w:val="009C7F5C"/>
    <w:rsid w:val="009D0E80"/>
    <w:rsid w:val="009D120E"/>
    <w:rsid w:val="009D1AE0"/>
    <w:rsid w:val="009D2187"/>
    <w:rsid w:val="009D2EE8"/>
    <w:rsid w:val="009D33B2"/>
    <w:rsid w:val="009D35D0"/>
    <w:rsid w:val="009D39F8"/>
    <w:rsid w:val="009D4086"/>
    <w:rsid w:val="009D4960"/>
    <w:rsid w:val="009D4BC9"/>
    <w:rsid w:val="009D4E42"/>
    <w:rsid w:val="009D4F89"/>
    <w:rsid w:val="009D5072"/>
    <w:rsid w:val="009D541D"/>
    <w:rsid w:val="009D62A4"/>
    <w:rsid w:val="009D6F66"/>
    <w:rsid w:val="009D756E"/>
    <w:rsid w:val="009E02CB"/>
    <w:rsid w:val="009E02F4"/>
    <w:rsid w:val="009E0A45"/>
    <w:rsid w:val="009E0E31"/>
    <w:rsid w:val="009E13C1"/>
    <w:rsid w:val="009E169A"/>
    <w:rsid w:val="009E1D91"/>
    <w:rsid w:val="009E1F49"/>
    <w:rsid w:val="009E3481"/>
    <w:rsid w:val="009E3788"/>
    <w:rsid w:val="009E3F91"/>
    <w:rsid w:val="009E6D97"/>
    <w:rsid w:val="009E6DEA"/>
    <w:rsid w:val="009E769C"/>
    <w:rsid w:val="009F0167"/>
    <w:rsid w:val="009F0305"/>
    <w:rsid w:val="009F063D"/>
    <w:rsid w:val="009F1AB7"/>
    <w:rsid w:val="009F1D37"/>
    <w:rsid w:val="009F252D"/>
    <w:rsid w:val="009F328A"/>
    <w:rsid w:val="009F3760"/>
    <w:rsid w:val="009F37B7"/>
    <w:rsid w:val="009F4473"/>
    <w:rsid w:val="009F4A82"/>
    <w:rsid w:val="009F4C75"/>
    <w:rsid w:val="009F5241"/>
    <w:rsid w:val="009F5F69"/>
    <w:rsid w:val="009F6109"/>
    <w:rsid w:val="009F611E"/>
    <w:rsid w:val="009F6161"/>
    <w:rsid w:val="00A010DF"/>
    <w:rsid w:val="00A01851"/>
    <w:rsid w:val="00A02606"/>
    <w:rsid w:val="00A0266A"/>
    <w:rsid w:val="00A03032"/>
    <w:rsid w:val="00A0322F"/>
    <w:rsid w:val="00A0323B"/>
    <w:rsid w:val="00A03BD0"/>
    <w:rsid w:val="00A03EEF"/>
    <w:rsid w:val="00A040EF"/>
    <w:rsid w:val="00A0428A"/>
    <w:rsid w:val="00A0576B"/>
    <w:rsid w:val="00A0626A"/>
    <w:rsid w:val="00A065B9"/>
    <w:rsid w:val="00A070D8"/>
    <w:rsid w:val="00A07A99"/>
    <w:rsid w:val="00A07BDA"/>
    <w:rsid w:val="00A112CB"/>
    <w:rsid w:val="00A11813"/>
    <w:rsid w:val="00A11926"/>
    <w:rsid w:val="00A12708"/>
    <w:rsid w:val="00A1345C"/>
    <w:rsid w:val="00A13B73"/>
    <w:rsid w:val="00A13C07"/>
    <w:rsid w:val="00A145A8"/>
    <w:rsid w:val="00A1497B"/>
    <w:rsid w:val="00A14A01"/>
    <w:rsid w:val="00A14BB8"/>
    <w:rsid w:val="00A14CE8"/>
    <w:rsid w:val="00A14E33"/>
    <w:rsid w:val="00A14FC3"/>
    <w:rsid w:val="00A15631"/>
    <w:rsid w:val="00A17563"/>
    <w:rsid w:val="00A17FA4"/>
    <w:rsid w:val="00A2032B"/>
    <w:rsid w:val="00A20793"/>
    <w:rsid w:val="00A2097E"/>
    <w:rsid w:val="00A20CF6"/>
    <w:rsid w:val="00A21C54"/>
    <w:rsid w:val="00A22CED"/>
    <w:rsid w:val="00A22ED6"/>
    <w:rsid w:val="00A2337F"/>
    <w:rsid w:val="00A239E8"/>
    <w:rsid w:val="00A239F1"/>
    <w:rsid w:val="00A241C6"/>
    <w:rsid w:val="00A242FE"/>
    <w:rsid w:val="00A245F5"/>
    <w:rsid w:val="00A24C29"/>
    <w:rsid w:val="00A2560D"/>
    <w:rsid w:val="00A25C9E"/>
    <w:rsid w:val="00A25DAF"/>
    <w:rsid w:val="00A2653D"/>
    <w:rsid w:val="00A2706C"/>
    <w:rsid w:val="00A27C70"/>
    <w:rsid w:val="00A309BF"/>
    <w:rsid w:val="00A318FA"/>
    <w:rsid w:val="00A31F2A"/>
    <w:rsid w:val="00A32159"/>
    <w:rsid w:val="00A33D5B"/>
    <w:rsid w:val="00A34557"/>
    <w:rsid w:val="00A34F5F"/>
    <w:rsid w:val="00A35073"/>
    <w:rsid w:val="00A3556C"/>
    <w:rsid w:val="00A355C2"/>
    <w:rsid w:val="00A358A2"/>
    <w:rsid w:val="00A36234"/>
    <w:rsid w:val="00A365A0"/>
    <w:rsid w:val="00A36DA3"/>
    <w:rsid w:val="00A36F03"/>
    <w:rsid w:val="00A40762"/>
    <w:rsid w:val="00A416A7"/>
    <w:rsid w:val="00A41817"/>
    <w:rsid w:val="00A4246C"/>
    <w:rsid w:val="00A43125"/>
    <w:rsid w:val="00A4397A"/>
    <w:rsid w:val="00A4464E"/>
    <w:rsid w:val="00A44704"/>
    <w:rsid w:val="00A44C3F"/>
    <w:rsid w:val="00A44EC6"/>
    <w:rsid w:val="00A44F4A"/>
    <w:rsid w:val="00A45E88"/>
    <w:rsid w:val="00A477D6"/>
    <w:rsid w:val="00A509E5"/>
    <w:rsid w:val="00A50EC6"/>
    <w:rsid w:val="00A5154B"/>
    <w:rsid w:val="00A5211D"/>
    <w:rsid w:val="00A5296B"/>
    <w:rsid w:val="00A53D06"/>
    <w:rsid w:val="00A540F9"/>
    <w:rsid w:val="00A545E2"/>
    <w:rsid w:val="00A55DC3"/>
    <w:rsid w:val="00A56347"/>
    <w:rsid w:val="00A5657F"/>
    <w:rsid w:val="00A56987"/>
    <w:rsid w:val="00A57862"/>
    <w:rsid w:val="00A57A77"/>
    <w:rsid w:val="00A60134"/>
    <w:rsid w:val="00A601D7"/>
    <w:rsid w:val="00A601E3"/>
    <w:rsid w:val="00A607EF"/>
    <w:rsid w:val="00A60C23"/>
    <w:rsid w:val="00A618CB"/>
    <w:rsid w:val="00A62358"/>
    <w:rsid w:val="00A62457"/>
    <w:rsid w:val="00A6350B"/>
    <w:rsid w:val="00A6366B"/>
    <w:rsid w:val="00A637CE"/>
    <w:rsid w:val="00A63E31"/>
    <w:rsid w:val="00A649CC"/>
    <w:rsid w:val="00A64BD5"/>
    <w:rsid w:val="00A64CE3"/>
    <w:rsid w:val="00A6549C"/>
    <w:rsid w:val="00A654C5"/>
    <w:rsid w:val="00A657FA"/>
    <w:rsid w:val="00A65B3B"/>
    <w:rsid w:val="00A66401"/>
    <w:rsid w:val="00A6676B"/>
    <w:rsid w:val="00A6741F"/>
    <w:rsid w:val="00A67820"/>
    <w:rsid w:val="00A67F8F"/>
    <w:rsid w:val="00A7084C"/>
    <w:rsid w:val="00A7101F"/>
    <w:rsid w:val="00A716BF"/>
    <w:rsid w:val="00A71D5D"/>
    <w:rsid w:val="00A72134"/>
    <w:rsid w:val="00A72158"/>
    <w:rsid w:val="00A724AE"/>
    <w:rsid w:val="00A72EB4"/>
    <w:rsid w:val="00A7327C"/>
    <w:rsid w:val="00A73432"/>
    <w:rsid w:val="00A73720"/>
    <w:rsid w:val="00A73D02"/>
    <w:rsid w:val="00A74D1F"/>
    <w:rsid w:val="00A77402"/>
    <w:rsid w:val="00A7789C"/>
    <w:rsid w:val="00A779D2"/>
    <w:rsid w:val="00A77C3F"/>
    <w:rsid w:val="00A77DD4"/>
    <w:rsid w:val="00A77EB0"/>
    <w:rsid w:val="00A80793"/>
    <w:rsid w:val="00A8090F"/>
    <w:rsid w:val="00A81838"/>
    <w:rsid w:val="00A81E64"/>
    <w:rsid w:val="00A82F7E"/>
    <w:rsid w:val="00A8301A"/>
    <w:rsid w:val="00A8361F"/>
    <w:rsid w:val="00A839F8"/>
    <w:rsid w:val="00A8403C"/>
    <w:rsid w:val="00A84683"/>
    <w:rsid w:val="00A84B8C"/>
    <w:rsid w:val="00A84EBC"/>
    <w:rsid w:val="00A84F93"/>
    <w:rsid w:val="00A852CC"/>
    <w:rsid w:val="00A86545"/>
    <w:rsid w:val="00A86707"/>
    <w:rsid w:val="00A873E4"/>
    <w:rsid w:val="00A8751C"/>
    <w:rsid w:val="00A87639"/>
    <w:rsid w:val="00A87DEA"/>
    <w:rsid w:val="00A90C2C"/>
    <w:rsid w:val="00A911D2"/>
    <w:rsid w:val="00A9187B"/>
    <w:rsid w:val="00A92E7C"/>
    <w:rsid w:val="00A93ACF"/>
    <w:rsid w:val="00A93D22"/>
    <w:rsid w:val="00A9400E"/>
    <w:rsid w:val="00A9425A"/>
    <w:rsid w:val="00A9455F"/>
    <w:rsid w:val="00A95166"/>
    <w:rsid w:val="00A95752"/>
    <w:rsid w:val="00A95FF9"/>
    <w:rsid w:val="00A96F6B"/>
    <w:rsid w:val="00A9773C"/>
    <w:rsid w:val="00AA0147"/>
    <w:rsid w:val="00AA0A6C"/>
    <w:rsid w:val="00AA19D6"/>
    <w:rsid w:val="00AA2123"/>
    <w:rsid w:val="00AA2356"/>
    <w:rsid w:val="00AA2716"/>
    <w:rsid w:val="00AA2993"/>
    <w:rsid w:val="00AA29D1"/>
    <w:rsid w:val="00AA392E"/>
    <w:rsid w:val="00AA3BED"/>
    <w:rsid w:val="00AA3DF2"/>
    <w:rsid w:val="00AA3E03"/>
    <w:rsid w:val="00AA4218"/>
    <w:rsid w:val="00AA4A96"/>
    <w:rsid w:val="00AA541E"/>
    <w:rsid w:val="00AA6C11"/>
    <w:rsid w:val="00AA6CEE"/>
    <w:rsid w:val="00AA6D7E"/>
    <w:rsid w:val="00AA7F06"/>
    <w:rsid w:val="00AB06BF"/>
    <w:rsid w:val="00AB12FA"/>
    <w:rsid w:val="00AB13AE"/>
    <w:rsid w:val="00AB1F28"/>
    <w:rsid w:val="00AB25F9"/>
    <w:rsid w:val="00AB297E"/>
    <w:rsid w:val="00AB2F24"/>
    <w:rsid w:val="00AB3BA9"/>
    <w:rsid w:val="00AB3D64"/>
    <w:rsid w:val="00AB4C26"/>
    <w:rsid w:val="00AB5470"/>
    <w:rsid w:val="00AB5B74"/>
    <w:rsid w:val="00AB661D"/>
    <w:rsid w:val="00AB6C2A"/>
    <w:rsid w:val="00AB71E8"/>
    <w:rsid w:val="00AB7AB3"/>
    <w:rsid w:val="00AC0407"/>
    <w:rsid w:val="00AC04F0"/>
    <w:rsid w:val="00AC10D8"/>
    <w:rsid w:val="00AC1F98"/>
    <w:rsid w:val="00AC21EC"/>
    <w:rsid w:val="00AC281F"/>
    <w:rsid w:val="00AC2886"/>
    <w:rsid w:val="00AC2DC2"/>
    <w:rsid w:val="00AC4E44"/>
    <w:rsid w:val="00AC511E"/>
    <w:rsid w:val="00AC6083"/>
    <w:rsid w:val="00AC6AC0"/>
    <w:rsid w:val="00AD0426"/>
    <w:rsid w:val="00AD1144"/>
    <w:rsid w:val="00AD505F"/>
    <w:rsid w:val="00AD5332"/>
    <w:rsid w:val="00AD54E8"/>
    <w:rsid w:val="00AD5D58"/>
    <w:rsid w:val="00AD5E26"/>
    <w:rsid w:val="00AD6735"/>
    <w:rsid w:val="00AD69ED"/>
    <w:rsid w:val="00AD6FAF"/>
    <w:rsid w:val="00AD7E90"/>
    <w:rsid w:val="00AE056B"/>
    <w:rsid w:val="00AE09A2"/>
    <w:rsid w:val="00AE20C3"/>
    <w:rsid w:val="00AE23C2"/>
    <w:rsid w:val="00AE35BC"/>
    <w:rsid w:val="00AE4CE7"/>
    <w:rsid w:val="00AE684D"/>
    <w:rsid w:val="00AE6AED"/>
    <w:rsid w:val="00AF155B"/>
    <w:rsid w:val="00AF2439"/>
    <w:rsid w:val="00AF3233"/>
    <w:rsid w:val="00AF45E6"/>
    <w:rsid w:val="00AF4744"/>
    <w:rsid w:val="00AF4B55"/>
    <w:rsid w:val="00AF4D05"/>
    <w:rsid w:val="00AF4FE8"/>
    <w:rsid w:val="00AF542E"/>
    <w:rsid w:val="00AF56C6"/>
    <w:rsid w:val="00AF5745"/>
    <w:rsid w:val="00AF5BEF"/>
    <w:rsid w:val="00AF636F"/>
    <w:rsid w:val="00AF6C65"/>
    <w:rsid w:val="00AF700D"/>
    <w:rsid w:val="00AF7177"/>
    <w:rsid w:val="00AF71EE"/>
    <w:rsid w:val="00B00013"/>
    <w:rsid w:val="00B00635"/>
    <w:rsid w:val="00B016EA"/>
    <w:rsid w:val="00B01720"/>
    <w:rsid w:val="00B01741"/>
    <w:rsid w:val="00B01772"/>
    <w:rsid w:val="00B01790"/>
    <w:rsid w:val="00B01867"/>
    <w:rsid w:val="00B0234E"/>
    <w:rsid w:val="00B032D1"/>
    <w:rsid w:val="00B03398"/>
    <w:rsid w:val="00B0360D"/>
    <w:rsid w:val="00B0366D"/>
    <w:rsid w:val="00B03F3F"/>
    <w:rsid w:val="00B043E5"/>
    <w:rsid w:val="00B04BFC"/>
    <w:rsid w:val="00B05150"/>
    <w:rsid w:val="00B059E3"/>
    <w:rsid w:val="00B05A39"/>
    <w:rsid w:val="00B05DFF"/>
    <w:rsid w:val="00B06143"/>
    <w:rsid w:val="00B10123"/>
    <w:rsid w:val="00B114C7"/>
    <w:rsid w:val="00B11C20"/>
    <w:rsid w:val="00B129FA"/>
    <w:rsid w:val="00B13303"/>
    <w:rsid w:val="00B1390C"/>
    <w:rsid w:val="00B148AC"/>
    <w:rsid w:val="00B14CB8"/>
    <w:rsid w:val="00B15EEC"/>
    <w:rsid w:val="00B1661B"/>
    <w:rsid w:val="00B203C5"/>
    <w:rsid w:val="00B20F36"/>
    <w:rsid w:val="00B2114A"/>
    <w:rsid w:val="00B2144C"/>
    <w:rsid w:val="00B21F43"/>
    <w:rsid w:val="00B23A92"/>
    <w:rsid w:val="00B23AAC"/>
    <w:rsid w:val="00B23F26"/>
    <w:rsid w:val="00B24483"/>
    <w:rsid w:val="00B245C3"/>
    <w:rsid w:val="00B245FF"/>
    <w:rsid w:val="00B24710"/>
    <w:rsid w:val="00B2511E"/>
    <w:rsid w:val="00B25B71"/>
    <w:rsid w:val="00B26017"/>
    <w:rsid w:val="00B264D8"/>
    <w:rsid w:val="00B26BE0"/>
    <w:rsid w:val="00B2792A"/>
    <w:rsid w:val="00B27A69"/>
    <w:rsid w:val="00B27B7A"/>
    <w:rsid w:val="00B27CAD"/>
    <w:rsid w:val="00B307DF"/>
    <w:rsid w:val="00B30808"/>
    <w:rsid w:val="00B309D9"/>
    <w:rsid w:val="00B30E81"/>
    <w:rsid w:val="00B317C9"/>
    <w:rsid w:val="00B31ADA"/>
    <w:rsid w:val="00B31F5C"/>
    <w:rsid w:val="00B321AD"/>
    <w:rsid w:val="00B32834"/>
    <w:rsid w:val="00B329CC"/>
    <w:rsid w:val="00B334C5"/>
    <w:rsid w:val="00B338B2"/>
    <w:rsid w:val="00B33BB8"/>
    <w:rsid w:val="00B33DB6"/>
    <w:rsid w:val="00B3468A"/>
    <w:rsid w:val="00B35517"/>
    <w:rsid w:val="00B355E8"/>
    <w:rsid w:val="00B3592E"/>
    <w:rsid w:val="00B40C1E"/>
    <w:rsid w:val="00B40D0B"/>
    <w:rsid w:val="00B41593"/>
    <w:rsid w:val="00B41777"/>
    <w:rsid w:val="00B41D6F"/>
    <w:rsid w:val="00B422F3"/>
    <w:rsid w:val="00B424C6"/>
    <w:rsid w:val="00B4310F"/>
    <w:rsid w:val="00B4348C"/>
    <w:rsid w:val="00B455E7"/>
    <w:rsid w:val="00B4579B"/>
    <w:rsid w:val="00B45D25"/>
    <w:rsid w:val="00B469C3"/>
    <w:rsid w:val="00B46A57"/>
    <w:rsid w:val="00B472B6"/>
    <w:rsid w:val="00B47315"/>
    <w:rsid w:val="00B47BB7"/>
    <w:rsid w:val="00B47DFD"/>
    <w:rsid w:val="00B47EF4"/>
    <w:rsid w:val="00B50B59"/>
    <w:rsid w:val="00B51BD2"/>
    <w:rsid w:val="00B52770"/>
    <w:rsid w:val="00B539E3"/>
    <w:rsid w:val="00B568FA"/>
    <w:rsid w:val="00B56ECE"/>
    <w:rsid w:val="00B600F6"/>
    <w:rsid w:val="00B60473"/>
    <w:rsid w:val="00B60B13"/>
    <w:rsid w:val="00B61392"/>
    <w:rsid w:val="00B613A1"/>
    <w:rsid w:val="00B61A5D"/>
    <w:rsid w:val="00B62095"/>
    <w:rsid w:val="00B63108"/>
    <w:rsid w:val="00B63372"/>
    <w:rsid w:val="00B6387F"/>
    <w:rsid w:val="00B64366"/>
    <w:rsid w:val="00B643C4"/>
    <w:rsid w:val="00B65656"/>
    <w:rsid w:val="00B65B7B"/>
    <w:rsid w:val="00B66BD7"/>
    <w:rsid w:val="00B66F5B"/>
    <w:rsid w:val="00B67B6A"/>
    <w:rsid w:val="00B67BE8"/>
    <w:rsid w:val="00B709F0"/>
    <w:rsid w:val="00B70ED1"/>
    <w:rsid w:val="00B711B1"/>
    <w:rsid w:val="00B71578"/>
    <w:rsid w:val="00B71E93"/>
    <w:rsid w:val="00B748EE"/>
    <w:rsid w:val="00B752B3"/>
    <w:rsid w:val="00B75859"/>
    <w:rsid w:val="00B75D92"/>
    <w:rsid w:val="00B76C81"/>
    <w:rsid w:val="00B80432"/>
    <w:rsid w:val="00B80B2A"/>
    <w:rsid w:val="00B80BF0"/>
    <w:rsid w:val="00B80C58"/>
    <w:rsid w:val="00B811FB"/>
    <w:rsid w:val="00B81A1E"/>
    <w:rsid w:val="00B82D24"/>
    <w:rsid w:val="00B83A03"/>
    <w:rsid w:val="00B8400A"/>
    <w:rsid w:val="00B84892"/>
    <w:rsid w:val="00B8504D"/>
    <w:rsid w:val="00B858A5"/>
    <w:rsid w:val="00B85DB0"/>
    <w:rsid w:val="00B86200"/>
    <w:rsid w:val="00B86CB6"/>
    <w:rsid w:val="00B86F9E"/>
    <w:rsid w:val="00B87CBF"/>
    <w:rsid w:val="00B90E3B"/>
    <w:rsid w:val="00B911FE"/>
    <w:rsid w:val="00B91B72"/>
    <w:rsid w:val="00B929DB"/>
    <w:rsid w:val="00B92AEF"/>
    <w:rsid w:val="00B93E48"/>
    <w:rsid w:val="00B9432F"/>
    <w:rsid w:val="00B9501F"/>
    <w:rsid w:val="00B9704F"/>
    <w:rsid w:val="00B973A4"/>
    <w:rsid w:val="00B97800"/>
    <w:rsid w:val="00BA0057"/>
    <w:rsid w:val="00BA0ABB"/>
    <w:rsid w:val="00BA0B20"/>
    <w:rsid w:val="00BA0B8D"/>
    <w:rsid w:val="00BA0FFD"/>
    <w:rsid w:val="00BA1BC8"/>
    <w:rsid w:val="00BA2389"/>
    <w:rsid w:val="00BA42CB"/>
    <w:rsid w:val="00BA4440"/>
    <w:rsid w:val="00BA4981"/>
    <w:rsid w:val="00BA520F"/>
    <w:rsid w:val="00BA5906"/>
    <w:rsid w:val="00BA5BBC"/>
    <w:rsid w:val="00BA6228"/>
    <w:rsid w:val="00BA65CA"/>
    <w:rsid w:val="00BA7F0D"/>
    <w:rsid w:val="00BB044F"/>
    <w:rsid w:val="00BB05FB"/>
    <w:rsid w:val="00BB06C8"/>
    <w:rsid w:val="00BB07D8"/>
    <w:rsid w:val="00BB1058"/>
    <w:rsid w:val="00BB2812"/>
    <w:rsid w:val="00BB3072"/>
    <w:rsid w:val="00BB3433"/>
    <w:rsid w:val="00BB3BBE"/>
    <w:rsid w:val="00BB4E92"/>
    <w:rsid w:val="00BB53BC"/>
    <w:rsid w:val="00BB59AE"/>
    <w:rsid w:val="00BB5AF3"/>
    <w:rsid w:val="00BB5E93"/>
    <w:rsid w:val="00BB6EA3"/>
    <w:rsid w:val="00BB72F0"/>
    <w:rsid w:val="00BC18BA"/>
    <w:rsid w:val="00BC2523"/>
    <w:rsid w:val="00BC27D0"/>
    <w:rsid w:val="00BC2DA9"/>
    <w:rsid w:val="00BC2E9D"/>
    <w:rsid w:val="00BC3467"/>
    <w:rsid w:val="00BC3C7C"/>
    <w:rsid w:val="00BC3E31"/>
    <w:rsid w:val="00BC462D"/>
    <w:rsid w:val="00BC49C0"/>
    <w:rsid w:val="00BC4F0F"/>
    <w:rsid w:val="00BC5074"/>
    <w:rsid w:val="00BC51E6"/>
    <w:rsid w:val="00BC5394"/>
    <w:rsid w:val="00BC656B"/>
    <w:rsid w:val="00BC6A6D"/>
    <w:rsid w:val="00BC6E94"/>
    <w:rsid w:val="00BC7135"/>
    <w:rsid w:val="00BC734F"/>
    <w:rsid w:val="00BC7938"/>
    <w:rsid w:val="00BD0C74"/>
    <w:rsid w:val="00BD1444"/>
    <w:rsid w:val="00BD1935"/>
    <w:rsid w:val="00BD2739"/>
    <w:rsid w:val="00BD2CD3"/>
    <w:rsid w:val="00BD3B25"/>
    <w:rsid w:val="00BD5397"/>
    <w:rsid w:val="00BD5D2A"/>
    <w:rsid w:val="00BD5EC8"/>
    <w:rsid w:val="00BD6D1E"/>
    <w:rsid w:val="00BE03EA"/>
    <w:rsid w:val="00BE041A"/>
    <w:rsid w:val="00BE1302"/>
    <w:rsid w:val="00BE1381"/>
    <w:rsid w:val="00BE13E7"/>
    <w:rsid w:val="00BE175C"/>
    <w:rsid w:val="00BE1E77"/>
    <w:rsid w:val="00BE297C"/>
    <w:rsid w:val="00BE39CB"/>
    <w:rsid w:val="00BE3D6F"/>
    <w:rsid w:val="00BE411B"/>
    <w:rsid w:val="00BE46F1"/>
    <w:rsid w:val="00BE4BF7"/>
    <w:rsid w:val="00BE4D6A"/>
    <w:rsid w:val="00BE4F4C"/>
    <w:rsid w:val="00BE6174"/>
    <w:rsid w:val="00BE62FF"/>
    <w:rsid w:val="00BE677D"/>
    <w:rsid w:val="00BE694B"/>
    <w:rsid w:val="00BE7AAE"/>
    <w:rsid w:val="00BF03F3"/>
    <w:rsid w:val="00BF0F49"/>
    <w:rsid w:val="00BF10FC"/>
    <w:rsid w:val="00BF22A9"/>
    <w:rsid w:val="00BF29F8"/>
    <w:rsid w:val="00BF3842"/>
    <w:rsid w:val="00BF3C36"/>
    <w:rsid w:val="00BF3D9D"/>
    <w:rsid w:val="00BF3E37"/>
    <w:rsid w:val="00BF3EE3"/>
    <w:rsid w:val="00BF408D"/>
    <w:rsid w:val="00BF5331"/>
    <w:rsid w:val="00BF53C8"/>
    <w:rsid w:val="00BF580C"/>
    <w:rsid w:val="00BF6143"/>
    <w:rsid w:val="00BF67C0"/>
    <w:rsid w:val="00BF68EC"/>
    <w:rsid w:val="00BF6FA0"/>
    <w:rsid w:val="00BF7106"/>
    <w:rsid w:val="00C006D7"/>
    <w:rsid w:val="00C01FC8"/>
    <w:rsid w:val="00C0226E"/>
    <w:rsid w:val="00C038BE"/>
    <w:rsid w:val="00C0429D"/>
    <w:rsid w:val="00C042D4"/>
    <w:rsid w:val="00C04B11"/>
    <w:rsid w:val="00C05F2C"/>
    <w:rsid w:val="00C0790E"/>
    <w:rsid w:val="00C07F1A"/>
    <w:rsid w:val="00C1049D"/>
    <w:rsid w:val="00C10B49"/>
    <w:rsid w:val="00C11023"/>
    <w:rsid w:val="00C11F16"/>
    <w:rsid w:val="00C131DB"/>
    <w:rsid w:val="00C1399B"/>
    <w:rsid w:val="00C1419D"/>
    <w:rsid w:val="00C14BFF"/>
    <w:rsid w:val="00C14CB5"/>
    <w:rsid w:val="00C14E62"/>
    <w:rsid w:val="00C155CD"/>
    <w:rsid w:val="00C168E0"/>
    <w:rsid w:val="00C16A51"/>
    <w:rsid w:val="00C16F39"/>
    <w:rsid w:val="00C1735F"/>
    <w:rsid w:val="00C20461"/>
    <w:rsid w:val="00C20E9B"/>
    <w:rsid w:val="00C20FDC"/>
    <w:rsid w:val="00C21040"/>
    <w:rsid w:val="00C22788"/>
    <w:rsid w:val="00C22A38"/>
    <w:rsid w:val="00C22AC8"/>
    <w:rsid w:val="00C2314D"/>
    <w:rsid w:val="00C23541"/>
    <w:rsid w:val="00C2355D"/>
    <w:rsid w:val="00C236B3"/>
    <w:rsid w:val="00C23972"/>
    <w:rsid w:val="00C25429"/>
    <w:rsid w:val="00C257C7"/>
    <w:rsid w:val="00C25AEF"/>
    <w:rsid w:val="00C2645B"/>
    <w:rsid w:val="00C2709B"/>
    <w:rsid w:val="00C3012C"/>
    <w:rsid w:val="00C310D7"/>
    <w:rsid w:val="00C31452"/>
    <w:rsid w:val="00C31650"/>
    <w:rsid w:val="00C32642"/>
    <w:rsid w:val="00C331F5"/>
    <w:rsid w:val="00C3463E"/>
    <w:rsid w:val="00C349C7"/>
    <w:rsid w:val="00C350A2"/>
    <w:rsid w:val="00C35C66"/>
    <w:rsid w:val="00C36233"/>
    <w:rsid w:val="00C36C69"/>
    <w:rsid w:val="00C36EDD"/>
    <w:rsid w:val="00C3710C"/>
    <w:rsid w:val="00C40E12"/>
    <w:rsid w:val="00C410F6"/>
    <w:rsid w:val="00C4117B"/>
    <w:rsid w:val="00C41513"/>
    <w:rsid w:val="00C4152E"/>
    <w:rsid w:val="00C41633"/>
    <w:rsid w:val="00C41C1E"/>
    <w:rsid w:val="00C429C5"/>
    <w:rsid w:val="00C4396C"/>
    <w:rsid w:val="00C44855"/>
    <w:rsid w:val="00C44B53"/>
    <w:rsid w:val="00C45679"/>
    <w:rsid w:val="00C4589F"/>
    <w:rsid w:val="00C4600B"/>
    <w:rsid w:val="00C46F30"/>
    <w:rsid w:val="00C50EB2"/>
    <w:rsid w:val="00C50F3F"/>
    <w:rsid w:val="00C51216"/>
    <w:rsid w:val="00C51928"/>
    <w:rsid w:val="00C51C01"/>
    <w:rsid w:val="00C52196"/>
    <w:rsid w:val="00C52D25"/>
    <w:rsid w:val="00C537B2"/>
    <w:rsid w:val="00C5384B"/>
    <w:rsid w:val="00C54575"/>
    <w:rsid w:val="00C54B79"/>
    <w:rsid w:val="00C54D7C"/>
    <w:rsid w:val="00C577D0"/>
    <w:rsid w:val="00C57914"/>
    <w:rsid w:val="00C57AD0"/>
    <w:rsid w:val="00C60DCE"/>
    <w:rsid w:val="00C61B82"/>
    <w:rsid w:val="00C62157"/>
    <w:rsid w:val="00C621C4"/>
    <w:rsid w:val="00C628F7"/>
    <w:rsid w:val="00C639FD"/>
    <w:rsid w:val="00C63A38"/>
    <w:rsid w:val="00C63F85"/>
    <w:rsid w:val="00C64683"/>
    <w:rsid w:val="00C64EAB"/>
    <w:rsid w:val="00C65A4D"/>
    <w:rsid w:val="00C65AD4"/>
    <w:rsid w:val="00C65CAA"/>
    <w:rsid w:val="00C65FB4"/>
    <w:rsid w:val="00C66AE3"/>
    <w:rsid w:val="00C66C76"/>
    <w:rsid w:val="00C66F1E"/>
    <w:rsid w:val="00C6765B"/>
    <w:rsid w:val="00C7096A"/>
    <w:rsid w:val="00C70B37"/>
    <w:rsid w:val="00C70C95"/>
    <w:rsid w:val="00C71D69"/>
    <w:rsid w:val="00C7232E"/>
    <w:rsid w:val="00C729CB"/>
    <w:rsid w:val="00C73829"/>
    <w:rsid w:val="00C7390B"/>
    <w:rsid w:val="00C73B35"/>
    <w:rsid w:val="00C74187"/>
    <w:rsid w:val="00C747CC"/>
    <w:rsid w:val="00C74943"/>
    <w:rsid w:val="00C7503F"/>
    <w:rsid w:val="00C75D7F"/>
    <w:rsid w:val="00C76123"/>
    <w:rsid w:val="00C77232"/>
    <w:rsid w:val="00C802D2"/>
    <w:rsid w:val="00C8055D"/>
    <w:rsid w:val="00C80A80"/>
    <w:rsid w:val="00C81885"/>
    <w:rsid w:val="00C81FB7"/>
    <w:rsid w:val="00C8224D"/>
    <w:rsid w:val="00C82C02"/>
    <w:rsid w:val="00C82D22"/>
    <w:rsid w:val="00C83039"/>
    <w:rsid w:val="00C8342E"/>
    <w:rsid w:val="00C83C57"/>
    <w:rsid w:val="00C84092"/>
    <w:rsid w:val="00C844A6"/>
    <w:rsid w:val="00C8659A"/>
    <w:rsid w:val="00C8756F"/>
    <w:rsid w:val="00C87BCA"/>
    <w:rsid w:val="00C91674"/>
    <w:rsid w:val="00C91B3D"/>
    <w:rsid w:val="00C92CCC"/>
    <w:rsid w:val="00C92CD3"/>
    <w:rsid w:val="00C93EF9"/>
    <w:rsid w:val="00C947AF"/>
    <w:rsid w:val="00C94C04"/>
    <w:rsid w:val="00C94D4C"/>
    <w:rsid w:val="00C95863"/>
    <w:rsid w:val="00C97B57"/>
    <w:rsid w:val="00CA07AA"/>
    <w:rsid w:val="00CA2E45"/>
    <w:rsid w:val="00CA3F77"/>
    <w:rsid w:val="00CA48CA"/>
    <w:rsid w:val="00CA4D41"/>
    <w:rsid w:val="00CA5D51"/>
    <w:rsid w:val="00CA6161"/>
    <w:rsid w:val="00CA65A8"/>
    <w:rsid w:val="00CA6BB8"/>
    <w:rsid w:val="00CA6D63"/>
    <w:rsid w:val="00CB007E"/>
    <w:rsid w:val="00CB087E"/>
    <w:rsid w:val="00CB0E31"/>
    <w:rsid w:val="00CB145C"/>
    <w:rsid w:val="00CB17B2"/>
    <w:rsid w:val="00CB1D7B"/>
    <w:rsid w:val="00CB1FE6"/>
    <w:rsid w:val="00CB25EE"/>
    <w:rsid w:val="00CB2DD4"/>
    <w:rsid w:val="00CB7B6D"/>
    <w:rsid w:val="00CC1146"/>
    <w:rsid w:val="00CC1C37"/>
    <w:rsid w:val="00CC2384"/>
    <w:rsid w:val="00CC24FF"/>
    <w:rsid w:val="00CC2F7E"/>
    <w:rsid w:val="00CC4602"/>
    <w:rsid w:val="00CC4811"/>
    <w:rsid w:val="00CC4D2C"/>
    <w:rsid w:val="00CC52C7"/>
    <w:rsid w:val="00CC568C"/>
    <w:rsid w:val="00CC5941"/>
    <w:rsid w:val="00CC5ADA"/>
    <w:rsid w:val="00CC629D"/>
    <w:rsid w:val="00CC6B11"/>
    <w:rsid w:val="00CC6BA0"/>
    <w:rsid w:val="00CC70C4"/>
    <w:rsid w:val="00CC71A5"/>
    <w:rsid w:val="00CC7BE6"/>
    <w:rsid w:val="00CD0B44"/>
    <w:rsid w:val="00CD12A4"/>
    <w:rsid w:val="00CD14E7"/>
    <w:rsid w:val="00CD28BD"/>
    <w:rsid w:val="00CD2C15"/>
    <w:rsid w:val="00CD32BA"/>
    <w:rsid w:val="00CD3A5A"/>
    <w:rsid w:val="00CD3DFC"/>
    <w:rsid w:val="00CD3EE1"/>
    <w:rsid w:val="00CD505E"/>
    <w:rsid w:val="00CD52F9"/>
    <w:rsid w:val="00CD5687"/>
    <w:rsid w:val="00CD5C46"/>
    <w:rsid w:val="00CD677B"/>
    <w:rsid w:val="00CD701A"/>
    <w:rsid w:val="00CD7E5B"/>
    <w:rsid w:val="00CE0386"/>
    <w:rsid w:val="00CE0792"/>
    <w:rsid w:val="00CE142A"/>
    <w:rsid w:val="00CE1730"/>
    <w:rsid w:val="00CE2CD8"/>
    <w:rsid w:val="00CE32EE"/>
    <w:rsid w:val="00CE3EAA"/>
    <w:rsid w:val="00CE3EE7"/>
    <w:rsid w:val="00CE4D1A"/>
    <w:rsid w:val="00CE598B"/>
    <w:rsid w:val="00CE6305"/>
    <w:rsid w:val="00CE672D"/>
    <w:rsid w:val="00CE6792"/>
    <w:rsid w:val="00CE6DE2"/>
    <w:rsid w:val="00CE7F95"/>
    <w:rsid w:val="00CF039A"/>
    <w:rsid w:val="00CF29F7"/>
    <w:rsid w:val="00CF2CD6"/>
    <w:rsid w:val="00CF364E"/>
    <w:rsid w:val="00CF3A79"/>
    <w:rsid w:val="00CF5628"/>
    <w:rsid w:val="00CF583C"/>
    <w:rsid w:val="00CF5CA6"/>
    <w:rsid w:val="00CF5FDF"/>
    <w:rsid w:val="00CF73C9"/>
    <w:rsid w:val="00CF774D"/>
    <w:rsid w:val="00CF7CA0"/>
    <w:rsid w:val="00CF7EB4"/>
    <w:rsid w:val="00CF7FD5"/>
    <w:rsid w:val="00D00AB0"/>
    <w:rsid w:val="00D01732"/>
    <w:rsid w:val="00D02039"/>
    <w:rsid w:val="00D0203B"/>
    <w:rsid w:val="00D026F7"/>
    <w:rsid w:val="00D02919"/>
    <w:rsid w:val="00D032D3"/>
    <w:rsid w:val="00D03B42"/>
    <w:rsid w:val="00D03B8D"/>
    <w:rsid w:val="00D04B90"/>
    <w:rsid w:val="00D04C57"/>
    <w:rsid w:val="00D05258"/>
    <w:rsid w:val="00D0530B"/>
    <w:rsid w:val="00D06EB6"/>
    <w:rsid w:val="00D0786A"/>
    <w:rsid w:val="00D10AAB"/>
    <w:rsid w:val="00D10AE3"/>
    <w:rsid w:val="00D120E6"/>
    <w:rsid w:val="00D12517"/>
    <w:rsid w:val="00D125DD"/>
    <w:rsid w:val="00D13CF8"/>
    <w:rsid w:val="00D13ECD"/>
    <w:rsid w:val="00D144A1"/>
    <w:rsid w:val="00D1556D"/>
    <w:rsid w:val="00D1566B"/>
    <w:rsid w:val="00D15E8D"/>
    <w:rsid w:val="00D16E6D"/>
    <w:rsid w:val="00D1711C"/>
    <w:rsid w:val="00D2088B"/>
    <w:rsid w:val="00D21444"/>
    <w:rsid w:val="00D21F4A"/>
    <w:rsid w:val="00D22253"/>
    <w:rsid w:val="00D24802"/>
    <w:rsid w:val="00D24946"/>
    <w:rsid w:val="00D24E64"/>
    <w:rsid w:val="00D25481"/>
    <w:rsid w:val="00D259D6"/>
    <w:rsid w:val="00D25B05"/>
    <w:rsid w:val="00D25B35"/>
    <w:rsid w:val="00D262AE"/>
    <w:rsid w:val="00D265EC"/>
    <w:rsid w:val="00D26779"/>
    <w:rsid w:val="00D27165"/>
    <w:rsid w:val="00D27430"/>
    <w:rsid w:val="00D3352B"/>
    <w:rsid w:val="00D3367A"/>
    <w:rsid w:val="00D337DC"/>
    <w:rsid w:val="00D33930"/>
    <w:rsid w:val="00D33A21"/>
    <w:rsid w:val="00D354B7"/>
    <w:rsid w:val="00D35F20"/>
    <w:rsid w:val="00D36DD5"/>
    <w:rsid w:val="00D4030E"/>
    <w:rsid w:val="00D41C5D"/>
    <w:rsid w:val="00D41E01"/>
    <w:rsid w:val="00D42355"/>
    <w:rsid w:val="00D425E2"/>
    <w:rsid w:val="00D426F6"/>
    <w:rsid w:val="00D42FC3"/>
    <w:rsid w:val="00D44933"/>
    <w:rsid w:val="00D44B1D"/>
    <w:rsid w:val="00D45FEA"/>
    <w:rsid w:val="00D465BF"/>
    <w:rsid w:val="00D46C50"/>
    <w:rsid w:val="00D4738A"/>
    <w:rsid w:val="00D47AFD"/>
    <w:rsid w:val="00D5039E"/>
    <w:rsid w:val="00D51305"/>
    <w:rsid w:val="00D51325"/>
    <w:rsid w:val="00D51619"/>
    <w:rsid w:val="00D51EE0"/>
    <w:rsid w:val="00D52025"/>
    <w:rsid w:val="00D52374"/>
    <w:rsid w:val="00D534CC"/>
    <w:rsid w:val="00D53812"/>
    <w:rsid w:val="00D53F7E"/>
    <w:rsid w:val="00D54104"/>
    <w:rsid w:val="00D54E92"/>
    <w:rsid w:val="00D55338"/>
    <w:rsid w:val="00D5680B"/>
    <w:rsid w:val="00D56E25"/>
    <w:rsid w:val="00D5736F"/>
    <w:rsid w:val="00D602B6"/>
    <w:rsid w:val="00D6044A"/>
    <w:rsid w:val="00D60A15"/>
    <w:rsid w:val="00D60CC5"/>
    <w:rsid w:val="00D61473"/>
    <w:rsid w:val="00D62E33"/>
    <w:rsid w:val="00D634D9"/>
    <w:rsid w:val="00D637B2"/>
    <w:rsid w:val="00D63911"/>
    <w:rsid w:val="00D63D74"/>
    <w:rsid w:val="00D652CA"/>
    <w:rsid w:val="00D65B5B"/>
    <w:rsid w:val="00D663D7"/>
    <w:rsid w:val="00D675C7"/>
    <w:rsid w:val="00D67809"/>
    <w:rsid w:val="00D7186D"/>
    <w:rsid w:val="00D726DF"/>
    <w:rsid w:val="00D729C3"/>
    <w:rsid w:val="00D72F50"/>
    <w:rsid w:val="00D7303C"/>
    <w:rsid w:val="00D73EAB"/>
    <w:rsid w:val="00D746FF"/>
    <w:rsid w:val="00D74989"/>
    <w:rsid w:val="00D75D7C"/>
    <w:rsid w:val="00D761AA"/>
    <w:rsid w:val="00D772A8"/>
    <w:rsid w:val="00D77F0A"/>
    <w:rsid w:val="00D77FA6"/>
    <w:rsid w:val="00D80D36"/>
    <w:rsid w:val="00D8166B"/>
    <w:rsid w:val="00D81C3E"/>
    <w:rsid w:val="00D81D6E"/>
    <w:rsid w:val="00D82372"/>
    <w:rsid w:val="00D830BF"/>
    <w:rsid w:val="00D86A5A"/>
    <w:rsid w:val="00D86F45"/>
    <w:rsid w:val="00D87347"/>
    <w:rsid w:val="00D87B1C"/>
    <w:rsid w:val="00D87E4B"/>
    <w:rsid w:val="00D9033F"/>
    <w:rsid w:val="00D90EB7"/>
    <w:rsid w:val="00D916FF"/>
    <w:rsid w:val="00D917C5"/>
    <w:rsid w:val="00D92152"/>
    <w:rsid w:val="00D926E4"/>
    <w:rsid w:val="00D92EA0"/>
    <w:rsid w:val="00D933AC"/>
    <w:rsid w:val="00D93FDA"/>
    <w:rsid w:val="00D943C0"/>
    <w:rsid w:val="00D94AF8"/>
    <w:rsid w:val="00D95652"/>
    <w:rsid w:val="00D95FF2"/>
    <w:rsid w:val="00D9600E"/>
    <w:rsid w:val="00D96794"/>
    <w:rsid w:val="00D96A72"/>
    <w:rsid w:val="00D96CC2"/>
    <w:rsid w:val="00D96FCF"/>
    <w:rsid w:val="00D973C4"/>
    <w:rsid w:val="00DA04CB"/>
    <w:rsid w:val="00DA1646"/>
    <w:rsid w:val="00DA3089"/>
    <w:rsid w:val="00DA3D48"/>
    <w:rsid w:val="00DA3EF8"/>
    <w:rsid w:val="00DA5E1C"/>
    <w:rsid w:val="00DA6A35"/>
    <w:rsid w:val="00DA7AE0"/>
    <w:rsid w:val="00DA7C95"/>
    <w:rsid w:val="00DB02D3"/>
    <w:rsid w:val="00DB0414"/>
    <w:rsid w:val="00DB16FF"/>
    <w:rsid w:val="00DB2952"/>
    <w:rsid w:val="00DB3C7E"/>
    <w:rsid w:val="00DB45F1"/>
    <w:rsid w:val="00DB49A4"/>
    <w:rsid w:val="00DB4A9B"/>
    <w:rsid w:val="00DB6695"/>
    <w:rsid w:val="00DB6BEF"/>
    <w:rsid w:val="00DB6C7E"/>
    <w:rsid w:val="00DC0419"/>
    <w:rsid w:val="00DC0618"/>
    <w:rsid w:val="00DC0D25"/>
    <w:rsid w:val="00DC0FC2"/>
    <w:rsid w:val="00DC1096"/>
    <w:rsid w:val="00DC1863"/>
    <w:rsid w:val="00DC1E5D"/>
    <w:rsid w:val="00DC1F42"/>
    <w:rsid w:val="00DC20C7"/>
    <w:rsid w:val="00DC27AA"/>
    <w:rsid w:val="00DC27EB"/>
    <w:rsid w:val="00DC29B4"/>
    <w:rsid w:val="00DC2BBD"/>
    <w:rsid w:val="00DC36A9"/>
    <w:rsid w:val="00DC4E63"/>
    <w:rsid w:val="00DC56B5"/>
    <w:rsid w:val="00DC61D3"/>
    <w:rsid w:val="00DC6629"/>
    <w:rsid w:val="00DC6EE1"/>
    <w:rsid w:val="00DC6F2C"/>
    <w:rsid w:val="00DC761F"/>
    <w:rsid w:val="00DC78E9"/>
    <w:rsid w:val="00DC7AF2"/>
    <w:rsid w:val="00DD0263"/>
    <w:rsid w:val="00DD0A3F"/>
    <w:rsid w:val="00DD1264"/>
    <w:rsid w:val="00DD18CF"/>
    <w:rsid w:val="00DD3944"/>
    <w:rsid w:val="00DD398A"/>
    <w:rsid w:val="00DD3E68"/>
    <w:rsid w:val="00DD40DA"/>
    <w:rsid w:val="00DD4DD6"/>
    <w:rsid w:val="00DD4DDC"/>
    <w:rsid w:val="00DD4E5F"/>
    <w:rsid w:val="00DD58D8"/>
    <w:rsid w:val="00DD6610"/>
    <w:rsid w:val="00DD670E"/>
    <w:rsid w:val="00DD67CD"/>
    <w:rsid w:val="00DD6B61"/>
    <w:rsid w:val="00DD6CB5"/>
    <w:rsid w:val="00DD7332"/>
    <w:rsid w:val="00DD7CCD"/>
    <w:rsid w:val="00DE0456"/>
    <w:rsid w:val="00DE0932"/>
    <w:rsid w:val="00DE12FE"/>
    <w:rsid w:val="00DE1675"/>
    <w:rsid w:val="00DE2AB8"/>
    <w:rsid w:val="00DE3060"/>
    <w:rsid w:val="00DE31B3"/>
    <w:rsid w:val="00DE32EE"/>
    <w:rsid w:val="00DE441A"/>
    <w:rsid w:val="00DE4CC4"/>
    <w:rsid w:val="00DE5515"/>
    <w:rsid w:val="00DE612D"/>
    <w:rsid w:val="00DE6698"/>
    <w:rsid w:val="00DE66D4"/>
    <w:rsid w:val="00DE6A38"/>
    <w:rsid w:val="00DE6AC7"/>
    <w:rsid w:val="00DF023B"/>
    <w:rsid w:val="00DF05ED"/>
    <w:rsid w:val="00DF08B8"/>
    <w:rsid w:val="00DF0F00"/>
    <w:rsid w:val="00DF1045"/>
    <w:rsid w:val="00DF2288"/>
    <w:rsid w:val="00DF22F7"/>
    <w:rsid w:val="00DF279B"/>
    <w:rsid w:val="00DF30D0"/>
    <w:rsid w:val="00DF32AC"/>
    <w:rsid w:val="00DF67FB"/>
    <w:rsid w:val="00DF7A3A"/>
    <w:rsid w:val="00DF7F36"/>
    <w:rsid w:val="00E0091A"/>
    <w:rsid w:val="00E00EEC"/>
    <w:rsid w:val="00E01BC3"/>
    <w:rsid w:val="00E03512"/>
    <w:rsid w:val="00E03A13"/>
    <w:rsid w:val="00E04E80"/>
    <w:rsid w:val="00E05F06"/>
    <w:rsid w:val="00E06956"/>
    <w:rsid w:val="00E10547"/>
    <w:rsid w:val="00E11083"/>
    <w:rsid w:val="00E11920"/>
    <w:rsid w:val="00E11BBE"/>
    <w:rsid w:val="00E124CE"/>
    <w:rsid w:val="00E12B48"/>
    <w:rsid w:val="00E131D3"/>
    <w:rsid w:val="00E13BBA"/>
    <w:rsid w:val="00E13CC5"/>
    <w:rsid w:val="00E13DBA"/>
    <w:rsid w:val="00E14759"/>
    <w:rsid w:val="00E14A0B"/>
    <w:rsid w:val="00E15940"/>
    <w:rsid w:val="00E1659D"/>
    <w:rsid w:val="00E176D7"/>
    <w:rsid w:val="00E177F3"/>
    <w:rsid w:val="00E220CA"/>
    <w:rsid w:val="00E22240"/>
    <w:rsid w:val="00E22283"/>
    <w:rsid w:val="00E2230D"/>
    <w:rsid w:val="00E242DA"/>
    <w:rsid w:val="00E2564B"/>
    <w:rsid w:val="00E25B5B"/>
    <w:rsid w:val="00E2722B"/>
    <w:rsid w:val="00E27AD7"/>
    <w:rsid w:val="00E3013E"/>
    <w:rsid w:val="00E315A2"/>
    <w:rsid w:val="00E31A71"/>
    <w:rsid w:val="00E322AB"/>
    <w:rsid w:val="00E32683"/>
    <w:rsid w:val="00E32829"/>
    <w:rsid w:val="00E328AE"/>
    <w:rsid w:val="00E3365B"/>
    <w:rsid w:val="00E3380D"/>
    <w:rsid w:val="00E341DB"/>
    <w:rsid w:val="00E3444D"/>
    <w:rsid w:val="00E34580"/>
    <w:rsid w:val="00E347BF"/>
    <w:rsid w:val="00E35194"/>
    <w:rsid w:val="00E3573D"/>
    <w:rsid w:val="00E357B4"/>
    <w:rsid w:val="00E36201"/>
    <w:rsid w:val="00E366FC"/>
    <w:rsid w:val="00E3688F"/>
    <w:rsid w:val="00E37CFB"/>
    <w:rsid w:val="00E41251"/>
    <w:rsid w:val="00E41751"/>
    <w:rsid w:val="00E41797"/>
    <w:rsid w:val="00E41AB0"/>
    <w:rsid w:val="00E41AFE"/>
    <w:rsid w:val="00E41EE0"/>
    <w:rsid w:val="00E421DE"/>
    <w:rsid w:val="00E422B9"/>
    <w:rsid w:val="00E42646"/>
    <w:rsid w:val="00E4275A"/>
    <w:rsid w:val="00E42949"/>
    <w:rsid w:val="00E42EAB"/>
    <w:rsid w:val="00E4401C"/>
    <w:rsid w:val="00E4407E"/>
    <w:rsid w:val="00E458F8"/>
    <w:rsid w:val="00E459E7"/>
    <w:rsid w:val="00E4655E"/>
    <w:rsid w:val="00E46677"/>
    <w:rsid w:val="00E47496"/>
    <w:rsid w:val="00E4772F"/>
    <w:rsid w:val="00E500B1"/>
    <w:rsid w:val="00E5011F"/>
    <w:rsid w:val="00E50752"/>
    <w:rsid w:val="00E50C27"/>
    <w:rsid w:val="00E5132E"/>
    <w:rsid w:val="00E515D7"/>
    <w:rsid w:val="00E517FD"/>
    <w:rsid w:val="00E52EDD"/>
    <w:rsid w:val="00E53625"/>
    <w:rsid w:val="00E5364C"/>
    <w:rsid w:val="00E53C35"/>
    <w:rsid w:val="00E53E69"/>
    <w:rsid w:val="00E54270"/>
    <w:rsid w:val="00E547E0"/>
    <w:rsid w:val="00E549A5"/>
    <w:rsid w:val="00E54BED"/>
    <w:rsid w:val="00E5586A"/>
    <w:rsid w:val="00E55E5A"/>
    <w:rsid w:val="00E55EA6"/>
    <w:rsid w:val="00E57A04"/>
    <w:rsid w:val="00E57D3B"/>
    <w:rsid w:val="00E6113B"/>
    <w:rsid w:val="00E619BE"/>
    <w:rsid w:val="00E63E02"/>
    <w:rsid w:val="00E63FB9"/>
    <w:rsid w:val="00E64C31"/>
    <w:rsid w:val="00E64EED"/>
    <w:rsid w:val="00E65A1B"/>
    <w:rsid w:val="00E66535"/>
    <w:rsid w:val="00E6662E"/>
    <w:rsid w:val="00E66A2C"/>
    <w:rsid w:val="00E66EE6"/>
    <w:rsid w:val="00E67440"/>
    <w:rsid w:val="00E7012F"/>
    <w:rsid w:val="00E7037E"/>
    <w:rsid w:val="00E7087C"/>
    <w:rsid w:val="00E715B8"/>
    <w:rsid w:val="00E71ABB"/>
    <w:rsid w:val="00E72684"/>
    <w:rsid w:val="00E727CE"/>
    <w:rsid w:val="00E733EB"/>
    <w:rsid w:val="00E7496B"/>
    <w:rsid w:val="00E74D3F"/>
    <w:rsid w:val="00E75921"/>
    <w:rsid w:val="00E759ED"/>
    <w:rsid w:val="00E7639B"/>
    <w:rsid w:val="00E763F7"/>
    <w:rsid w:val="00E777F1"/>
    <w:rsid w:val="00E77BB5"/>
    <w:rsid w:val="00E77E30"/>
    <w:rsid w:val="00E808C0"/>
    <w:rsid w:val="00E8123B"/>
    <w:rsid w:val="00E816B0"/>
    <w:rsid w:val="00E81986"/>
    <w:rsid w:val="00E83545"/>
    <w:rsid w:val="00E838FA"/>
    <w:rsid w:val="00E8407D"/>
    <w:rsid w:val="00E847FD"/>
    <w:rsid w:val="00E84AA8"/>
    <w:rsid w:val="00E86064"/>
    <w:rsid w:val="00E862E1"/>
    <w:rsid w:val="00E869C8"/>
    <w:rsid w:val="00E8706B"/>
    <w:rsid w:val="00E87A3C"/>
    <w:rsid w:val="00E90328"/>
    <w:rsid w:val="00E9036E"/>
    <w:rsid w:val="00E906BC"/>
    <w:rsid w:val="00E909CA"/>
    <w:rsid w:val="00E909D7"/>
    <w:rsid w:val="00E90C67"/>
    <w:rsid w:val="00E91086"/>
    <w:rsid w:val="00E9171A"/>
    <w:rsid w:val="00E91A11"/>
    <w:rsid w:val="00E91DCD"/>
    <w:rsid w:val="00E9209B"/>
    <w:rsid w:val="00E9244C"/>
    <w:rsid w:val="00E92545"/>
    <w:rsid w:val="00E936B8"/>
    <w:rsid w:val="00E93973"/>
    <w:rsid w:val="00E942FF"/>
    <w:rsid w:val="00E96382"/>
    <w:rsid w:val="00E964BE"/>
    <w:rsid w:val="00E968AE"/>
    <w:rsid w:val="00E9773A"/>
    <w:rsid w:val="00E9786D"/>
    <w:rsid w:val="00E97B74"/>
    <w:rsid w:val="00EA00DF"/>
    <w:rsid w:val="00EA030A"/>
    <w:rsid w:val="00EA040C"/>
    <w:rsid w:val="00EA1808"/>
    <w:rsid w:val="00EA28DD"/>
    <w:rsid w:val="00EA3ABD"/>
    <w:rsid w:val="00EA3AD8"/>
    <w:rsid w:val="00EA42D5"/>
    <w:rsid w:val="00EA42F9"/>
    <w:rsid w:val="00EA4A1C"/>
    <w:rsid w:val="00EA585A"/>
    <w:rsid w:val="00EA701D"/>
    <w:rsid w:val="00EA70CC"/>
    <w:rsid w:val="00EB08E7"/>
    <w:rsid w:val="00EB0F1B"/>
    <w:rsid w:val="00EB1C8B"/>
    <w:rsid w:val="00EB1D3C"/>
    <w:rsid w:val="00EB2741"/>
    <w:rsid w:val="00EB2B27"/>
    <w:rsid w:val="00EB38EB"/>
    <w:rsid w:val="00EB3A8E"/>
    <w:rsid w:val="00EB3B5B"/>
    <w:rsid w:val="00EB4077"/>
    <w:rsid w:val="00EB445F"/>
    <w:rsid w:val="00EB4579"/>
    <w:rsid w:val="00EB4E6D"/>
    <w:rsid w:val="00EB4EF8"/>
    <w:rsid w:val="00EB59B0"/>
    <w:rsid w:val="00EB7A95"/>
    <w:rsid w:val="00EB7CB5"/>
    <w:rsid w:val="00EC00AB"/>
    <w:rsid w:val="00EC1262"/>
    <w:rsid w:val="00EC1722"/>
    <w:rsid w:val="00EC1CAD"/>
    <w:rsid w:val="00EC36D8"/>
    <w:rsid w:val="00EC3E4C"/>
    <w:rsid w:val="00EC42BB"/>
    <w:rsid w:val="00EC4435"/>
    <w:rsid w:val="00EC45A8"/>
    <w:rsid w:val="00EC665B"/>
    <w:rsid w:val="00EC66A8"/>
    <w:rsid w:val="00EC7293"/>
    <w:rsid w:val="00ED0F70"/>
    <w:rsid w:val="00ED13B3"/>
    <w:rsid w:val="00ED2471"/>
    <w:rsid w:val="00ED24F5"/>
    <w:rsid w:val="00ED2E00"/>
    <w:rsid w:val="00ED3385"/>
    <w:rsid w:val="00ED365C"/>
    <w:rsid w:val="00ED36E2"/>
    <w:rsid w:val="00ED37E0"/>
    <w:rsid w:val="00ED4163"/>
    <w:rsid w:val="00ED4509"/>
    <w:rsid w:val="00ED4F7F"/>
    <w:rsid w:val="00ED51E0"/>
    <w:rsid w:val="00ED5B52"/>
    <w:rsid w:val="00ED5F0F"/>
    <w:rsid w:val="00ED6087"/>
    <w:rsid w:val="00ED68FC"/>
    <w:rsid w:val="00ED6E97"/>
    <w:rsid w:val="00ED7119"/>
    <w:rsid w:val="00ED7157"/>
    <w:rsid w:val="00EE02DE"/>
    <w:rsid w:val="00EE112D"/>
    <w:rsid w:val="00EE19F0"/>
    <w:rsid w:val="00EE2035"/>
    <w:rsid w:val="00EE2717"/>
    <w:rsid w:val="00EE3DE0"/>
    <w:rsid w:val="00EE54DA"/>
    <w:rsid w:val="00EE5862"/>
    <w:rsid w:val="00EE5F4B"/>
    <w:rsid w:val="00EE5FCA"/>
    <w:rsid w:val="00EE676E"/>
    <w:rsid w:val="00EE6EAB"/>
    <w:rsid w:val="00EE75BA"/>
    <w:rsid w:val="00EE79DC"/>
    <w:rsid w:val="00EF044F"/>
    <w:rsid w:val="00EF0998"/>
    <w:rsid w:val="00EF25C3"/>
    <w:rsid w:val="00EF29A6"/>
    <w:rsid w:val="00EF3106"/>
    <w:rsid w:val="00EF323A"/>
    <w:rsid w:val="00EF3BCB"/>
    <w:rsid w:val="00EF3CEB"/>
    <w:rsid w:val="00EF4157"/>
    <w:rsid w:val="00EF48B8"/>
    <w:rsid w:val="00EF4B95"/>
    <w:rsid w:val="00EF5673"/>
    <w:rsid w:val="00EF5889"/>
    <w:rsid w:val="00EF5EEC"/>
    <w:rsid w:val="00EF6BF2"/>
    <w:rsid w:val="00EF7655"/>
    <w:rsid w:val="00EF7F0F"/>
    <w:rsid w:val="00F005BA"/>
    <w:rsid w:val="00F009A6"/>
    <w:rsid w:val="00F00B43"/>
    <w:rsid w:val="00F01B63"/>
    <w:rsid w:val="00F0234A"/>
    <w:rsid w:val="00F02921"/>
    <w:rsid w:val="00F03901"/>
    <w:rsid w:val="00F04139"/>
    <w:rsid w:val="00F046C9"/>
    <w:rsid w:val="00F04FAC"/>
    <w:rsid w:val="00F0533B"/>
    <w:rsid w:val="00F066A0"/>
    <w:rsid w:val="00F10300"/>
    <w:rsid w:val="00F10560"/>
    <w:rsid w:val="00F1084B"/>
    <w:rsid w:val="00F10E29"/>
    <w:rsid w:val="00F11000"/>
    <w:rsid w:val="00F11383"/>
    <w:rsid w:val="00F11923"/>
    <w:rsid w:val="00F120A6"/>
    <w:rsid w:val="00F12174"/>
    <w:rsid w:val="00F12228"/>
    <w:rsid w:val="00F127BE"/>
    <w:rsid w:val="00F13CDA"/>
    <w:rsid w:val="00F14A56"/>
    <w:rsid w:val="00F14EC7"/>
    <w:rsid w:val="00F15BC8"/>
    <w:rsid w:val="00F16842"/>
    <w:rsid w:val="00F16B03"/>
    <w:rsid w:val="00F17242"/>
    <w:rsid w:val="00F223D4"/>
    <w:rsid w:val="00F22DB1"/>
    <w:rsid w:val="00F23858"/>
    <w:rsid w:val="00F25D4B"/>
    <w:rsid w:val="00F2645D"/>
    <w:rsid w:val="00F26E8A"/>
    <w:rsid w:val="00F27044"/>
    <w:rsid w:val="00F31C60"/>
    <w:rsid w:val="00F31E9C"/>
    <w:rsid w:val="00F327D5"/>
    <w:rsid w:val="00F32BB0"/>
    <w:rsid w:val="00F33117"/>
    <w:rsid w:val="00F335FF"/>
    <w:rsid w:val="00F33DF0"/>
    <w:rsid w:val="00F33E51"/>
    <w:rsid w:val="00F34851"/>
    <w:rsid w:val="00F35BD2"/>
    <w:rsid w:val="00F35D25"/>
    <w:rsid w:val="00F36759"/>
    <w:rsid w:val="00F36B10"/>
    <w:rsid w:val="00F3718F"/>
    <w:rsid w:val="00F37271"/>
    <w:rsid w:val="00F376C5"/>
    <w:rsid w:val="00F4073C"/>
    <w:rsid w:val="00F40E8D"/>
    <w:rsid w:val="00F41913"/>
    <w:rsid w:val="00F419FC"/>
    <w:rsid w:val="00F4209A"/>
    <w:rsid w:val="00F42C3E"/>
    <w:rsid w:val="00F43738"/>
    <w:rsid w:val="00F4427B"/>
    <w:rsid w:val="00F44C38"/>
    <w:rsid w:val="00F44C79"/>
    <w:rsid w:val="00F45527"/>
    <w:rsid w:val="00F46D8A"/>
    <w:rsid w:val="00F47114"/>
    <w:rsid w:val="00F5041E"/>
    <w:rsid w:val="00F51402"/>
    <w:rsid w:val="00F55126"/>
    <w:rsid w:val="00F5531E"/>
    <w:rsid w:val="00F55368"/>
    <w:rsid w:val="00F55961"/>
    <w:rsid w:val="00F55A37"/>
    <w:rsid w:val="00F569A3"/>
    <w:rsid w:val="00F60104"/>
    <w:rsid w:val="00F604EE"/>
    <w:rsid w:val="00F60B70"/>
    <w:rsid w:val="00F62C98"/>
    <w:rsid w:val="00F62F2C"/>
    <w:rsid w:val="00F63DD7"/>
    <w:rsid w:val="00F64765"/>
    <w:rsid w:val="00F64DE3"/>
    <w:rsid w:val="00F64E49"/>
    <w:rsid w:val="00F64FC4"/>
    <w:rsid w:val="00F6528F"/>
    <w:rsid w:val="00F656BA"/>
    <w:rsid w:val="00F657EB"/>
    <w:rsid w:val="00F65A76"/>
    <w:rsid w:val="00F65C42"/>
    <w:rsid w:val="00F668FE"/>
    <w:rsid w:val="00F66A39"/>
    <w:rsid w:val="00F67253"/>
    <w:rsid w:val="00F67D5D"/>
    <w:rsid w:val="00F67E94"/>
    <w:rsid w:val="00F705D4"/>
    <w:rsid w:val="00F7153D"/>
    <w:rsid w:val="00F71644"/>
    <w:rsid w:val="00F71A36"/>
    <w:rsid w:val="00F720C0"/>
    <w:rsid w:val="00F7264E"/>
    <w:rsid w:val="00F72BDE"/>
    <w:rsid w:val="00F72D3D"/>
    <w:rsid w:val="00F7329F"/>
    <w:rsid w:val="00F736A7"/>
    <w:rsid w:val="00F73B8C"/>
    <w:rsid w:val="00F73FF9"/>
    <w:rsid w:val="00F7470B"/>
    <w:rsid w:val="00F7699C"/>
    <w:rsid w:val="00F77193"/>
    <w:rsid w:val="00F77AF2"/>
    <w:rsid w:val="00F8080E"/>
    <w:rsid w:val="00F80FB2"/>
    <w:rsid w:val="00F813A6"/>
    <w:rsid w:val="00F82A74"/>
    <w:rsid w:val="00F82E76"/>
    <w:rsid w:val="00F83379"/>
    <w:rsid w:val="00F83D46"/>
    <w:rsid w:val="00F844DD"/>
    <w:rsid w:val="00F8620C"/>
    <w:rsid w:val="00F87FEB"/>
    <w:rsid w:val="00F90861"/>
    <w:rsid w:val="00F91027"/>
    <w:rsid w:val="00F914AB"/>
    <w:rsid w:val="00F919F4"/>
    <w:rsid w:val="00F91A89"/>
    <w:rsid w:val="00F91E43"/>
    <w:rsid w:val="00F93874"/>
    <w:rsid w:val="00F93DAD"/>
    <w:rsid w:val="00F9451D"/>
    <w:rsid w:val="00F94D7C"/>
    <w:rsid w:val="00F9509E"/>
    <w:rsid w:val="00F9511A"/>
    <w:rsid w:val="00F95EC8"/>
    <w:rsid w:val="00F96028"/>
    <w:rsid w:val="00F9641A"/>
    <w:rsid w:val="00F9732E"/>
    <w:rsid w:val="00F97F7D"/>
    <w:rsid w:val="00FA0F05"/>
    <w:rsid w:val="00FA0F9D"/>
    <w:rsid w:val="00FA10DF"/>
    <w:rsid w:val="00FA3169"/>
    <w:rsid w:val="00FA3335"/>
    <w:rsid w:val="00FA5CDE"/>
    <w:rsid w:val="00FA6DA2"/>
    <w:rsid w:val="00FA72B5"/>
    <w:rsid w:val="00FA7AF2"/>
    <w:rsid w:val="00FA7BE7"/>
    <w:rsid w:val="00FA7F9D"/>
    <w:rsid w:val="00FB0039"/>
    <w:rsid w:val="00FB0C6B"/>
    <w:rsid w:val="00FB101A"/>
    <w:rsid w:val="00FB1238"/>
    <w:rsid w:val="00FB26B8"/>
    <w:rsid w:val="00FB2880"/>
    <w:rsid w:val="00FB30F2"/>
    <w:rsid w:val="00FB32B2"/>
    <w:rsid w:val="00FB38F5"/>
    <w:rsid w:val="00FB48BA"/>
    <w:rsid w:val="00FB5012"/>
    <w:rsid w:val="00FB522D"/>
    <w:rsid w:val="00FB6724"/>
    <w:rsid w:val="00FC0144"/>
    <w:rsid w:val="00FC0C94"/>
    <w:rsid w:val="00FC1E9B"/>
    <w:rsid w:val="00FC35DF"/>
    <w:rsid w:val="00FC360A"/>
    <w:rsid w:val="00FC3D29"/>
    <w:rsid w:val="00FC468D"/>
    <w:rsid w:val="00FC48A9"/>
    <w:rsid w:val="00FC5814"/>
    <w:rsid w:val="00FC5FF5"/>
    <w:rsid w:val="00FC6432"/>
    <w:rsid w:val="00FC6630"/>
    <w:rsid w:val="00FC678A"/>
    <w:rsid w:val="00FC7002"/>
    <w:rsid w:val="00FC703C"/>
    <w:rsid w:val="00FC742F"/>
    <w:rsid w:val="00FC761C"/>
    <w:rsid w:val="00FD0175"/>
    <w:rsid w:val="00FD078F"/>
    <w:rsid w:val="00FD1611"/>
    <w:rsid w:val="00FD18E9"/>
    <w:rsid w:val="00FD1B36"/>
    <w:rsid w:val="00FD22D7"/>
    <w:rsid w:val="00FD37EE"/>
    <w:rsid w:val="00FD5871"/>
    <w:rsid w:val="00FD5D33"/>
    <w:rsid w:val="00FD7110"/>
    <w:rsid w:val="00FE02D2"/>
    <w:rsid w:val="00FE198A"/>
    <w:rsid w:val="00FE1DFB"/>
    <w:rsid w:val="00FE1F3D"/>
    <w:rsid w:val="00FE36B7"/>
    <w:rsid w:val="00FE429B"/>
    <w:rsid w:val="00FE48B0"/>
    <w:rsid w:val="00FE76AF"/>
    <w:rsid w:val="00FE7B35"/>
    <w:rsid w:val="00FE7FC4"/>
    <w:rsid w:val="00FF0496"/>
    <w:rsid w:val="00FF0839"/>
    <w:rsid w:val="00FF0CCA"/>
    <w:rsid w:val="00FF1511"/>
    <w:rsid w:val="00FF323E"/>
    <w:rsid w:val="00FF36CA"/>
    <w:rsid w:val="00FF37DB"/>
    <w:rsid w:val="00FF4465"/>
    <w:rsid w:val="00FF59FE"/>
    <w:rsid w:val="00FF6213"/>
    <w:rsid w:val="00FF6C03"/>
    <w:rsid w:val="00FF7106"/>
    <w:rsid w:val="00FF72D3"/>
    <w:rsid w:val="00FF75BD"/>
    <w:rsid w:val="00FF76D9"/>
    <w:rsid w:val="00FF7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489614-96EE-4315-9DB6-70A8168A5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0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00B"/>
    <w:pPr>
      <w:ind w:left="720"/>
      <w:contextualSpacing/>
    </w:pPr>
  </w:style>
  <w:style w:type="paragraph" w:customStyle="1" w:styleId="Default">
    <w:name w:val="Default"/>
    <w:rsid w:val="00F046C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046C9"/>
    <w:rPr>
      <w:color w:val="0000FF" w:themeColor="hyperlink"/>
      <w:u w:val="single"/>
    </w:rPr>
  </w:style>
  <w:style w:type="paragraph" w:styleId="BalloonText">
    <w:name w:val="Balloon Text"/>
    <w:basedOn w:val="Normal"/>
    <w:link w:val="BalloonTextChar"/>
    <w:uiPriority w:val="99"/>
    <w:semiHidden/>
    <w:unhideWhenUsed/>
    <w:rsid w:val="00E347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7BF"/>
    <w:rPr>
      <w:rFonts w:ascii="Tahoma" w:hAnsi="Tahoma" w:cs="Tahoma"/>
      <w:sz w:val="16"/>
      <w:szCs w:val="16"/>
    </w:rPr>
  </w:style>
  <w:style w:type="paragraph" w:styleId="Header">
    <w:name w:val="header"/>
    <w:basedOn w:val="Normal"/>
    <w:link w:val="HeaderChar"/>
    <w:uiPriority w:val="99"/>
    <w:unhideWhenUsed/>
    <w:rsid w:val="006F2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E7A"/>
  </w:style>
  <w:style w:type="paragraph" w:styleId="Footer">
    <w:name w:val="footer"/>
    <w:basedOn w:val="Normal"/>
    <w:link w:val="FooterChar"/>
    <w:uiPriority w:val="99"/>
    <w:unhideWhenUsed/>
    <w:rsid w:val="006F2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E7A"/>
  </w:style>
  <w:style w:type="character" w:styleId="CommentReference">
    <w:name w:val="annotation reference"/>
    <w:basedOn w:val="DefaultParagraphFont"/>
    <w:uiPriority w:val="99"/>
    <w:semiHidden/>
    <w:unhideWhenUsed/>
    <w:rsid w:val="00066FC4"/>
    <w:rPr>
      <w:sz w:val="16"/>
      <w:szCs w:val="16"/>
    </w:rPr>
  </w:style>
  <w:style w:type="paragraph" w:styleId="CommentText">
    <w:name w:val="annotation text"/>
    <w:basedOn w:val="Normal"/>
    <w:link w:val="CommentTextChar"/>
    <w:uiPriority w:val="99"/>
    <w:semiHidden/>
    <w:unhideWhenUsed/>
    <w:rsid w:val="00066FC4"/>
    <w:pPr>
      <w:spacing w:line="240" w:lineRule="auto"/>
    </w:pPr>
    <w:rPr>
      <w:sz w:val="20"/>
      <w:szCs w:val="20"/>
    </w:rPr>
  </w:style>
  <w:style w:type="character" w:customStyle="1" w:styleId="CommentTextChar">
    <w:name w:val="Comment Text Char"/>
    <w:basedOn w:val="DefaultParagraphFont"/>
    <w:link w:val="CommentText"/>
    <w:uiPriority w:val="99"/>
    <w:semiHidden/>
    <w:rsid w:val="00066FC4"/>
    <w:rPr>
      <w:sz w:val="20"/>
      <w:szCs w:val="20"/>
    </w:rPr>
  </w:style>
  <w:style w:type="paragraph" w:styleId="CommentSubject">
    <w:name w:val="annotation subject"/>
    <w:basedOn w:val="CommentText"/>
    <w:next w:val="CommentText"/>
    <w:link w:val="CommentSubjectChar"/>
    <w:uiPriority w:val="99"/>
    <w:semiHidden/>
    <w:unhideWhenUsed/>
    <w:rsid w:val="00066FC4"/>
    <w:rPr>
      <w:b/>
      <w:bCs/>
    </w:rPr>
  </w:style>
  <w:style w:type="character" w:customStyle="1" w:styleId="CommentSubjectChar">
    <w:name w:val="Comment Subject Char"/>
    <w:basedOn w:val="CommentTextChar"/>
    <w:link w:val="CommentSubject"/>
    <w:uiPriority w:val="99"/>
    <w:semiHidden/>
    <w:rsid w:val="00066FC4"/>
    <w:rPr>
      <w:b/>
      <w:bCs/>
      <w:sz w:val="20"/>
      <w:szCs w:val="20"/>
    </w:rPr>
  </w:style>
  <w:style w:type="paragraph" w:styleId="FootnoteText">
    <w:name w:val="footnote text"/>
    <w:basedOn w:val="Normal"/>
    <w:link w:val="FootnoteTextChar"/>
    <w:uiPriority w:val="99"/>
    <w:semiHidden/>
    <w:unhideWhenUsed/>
    <w:rsid w:val="00A918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187B"/>
    <w:rPr>
      <w:sz w:val="20"/>
      <w:szCs w:val="20"/>
    </w:rPr>
  </w:style>
  <w:style w:type="character" w:styleId="FootnoteReference">
    <w:name w:val="footnote reference"/>
    <w:basedOn w:val="DefaultParagraphFont"/>
    <w:uiPriority w:val="99"/>
    <w:semiHidden/>
    <w:unhideWhenUsed/>
    <w:rsid w:val="00A9187B"/>
    <w:rPr>
      <w:vertAlign w:val="superscript"/>
    </w:rPr>
  </w:style>
  <w:style w:type="paragraph" w:styleId="NormalWeb">
    <w:name w:val="Normal (Web)"/>
    <w:basedOn w:val="Normal"/>
    <w:uiPriority w:val="99"/>
    <w:semiHidden/>
    <w:unhideWhenUsed/>
    <w:rsid w:val="00626773"/>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A14A0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14A01"/>
    <w:rPr>
      <w:sz w:val="20"/>
      <w:szCs w:val="20"/>
    </w:rPr>
  </w:style>
  <w:style w:type="character" w:styleId="EndnoteReference">
    <w:name w:val="endnote reference"/>
    <w:basedOn w:val="DefaultParagraphFont"/>
    <w:uiPriority w:val="99"/>
    <w:semiHidden/>
    <w:unhideWhenUsed/>
    <w:rsid w:val="00A14A01"/>
    <w:rPr>
      <w:vertAlign w:val="superscript"/>
    </w:rPr>
  </w:style>
  <w:style w:type="paragraph" w:styleId="PlainText">
    <w:name w:val="Plain Text"/>
    <w:basedOn w:val="Normal"/>
    <w:link w:val="PlainTextChar"/>
    <w:uiPriority w:val="99"/>
    <w:unhideWhenUsed/>
    <w:rsid w:val="00083EF4"/>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083EF4"/>
    <w:rPr>
      <w:rFonts w:ascii="Consolas" w:hAnsi="Consolas" w:cs="Consolas"/>
      <w:sz w:val="21"/>
      <w:szCs w:val="21"/>
    </w:rPr>
  </w:style>
  <w:style w:type="character" w:customStyle="1" w:styleId="searchword">
    <w:name w:val="searchword"/>
    <w:basedOn w:val="DefaultParagraphFont"/>
    <w:rsid w:val="002A0EB5"/>
    <w:rPr>
      <w:shd w:val="clear" w:color="auto" w:fill="FFFF00"/>
    </w:rPr>
  </w:style>
  <w:style w:type="paragraph" w:styleId="Revision">
    <w:name w:val="Revision"/>
    <w:hidden/>
    <w:uiPriority w:val="99"/>
    <w:semiHidden/>
    <w:rsid w:val="00CE3E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022">
      <w:bodyDiv w:val="1"/>
      <w:marLeft w:val="0"/>
      <w:marRight w:val="0"/>
      <w:marTop w:val="0"/>
      <w:marBottom w:val="0"/>
      <w:divBdr>
        <w:top w:val="none" w:sz="0" w:space="0" w:color="auto"/>
        <w:left w:val="none" w:sz="0" w:space="0" w:color="auto"/>
        <w:bottom w:val="none" w:sz="0" w:space="0" w:color="auto"/>
        <w:right w:val="none" w:sz="0" w:space="0" w:color="auto"/>
      </w:divBdr>
    </w:div>
    <w:div w:id="46689666">
      <w:bodyDiv w:val="1"/>
      <w:marLeft w:val="0"/>
      <w:marRight w:val="0"/>
      <w:marTop w:val="0"/>
      <w:marBottom w:val="0"/>
      <w:divBdr>
        <w:top w:val="none" w:sz="0" w:space="0" w:color="auto"/>
        <w:left w:val="none" w:sz="0" w:space="0" w:color="auto"/>
        <w:bottom w:val="none" w:sz="0" w:space="0" w:color="auto"/>
        <w:right w:val="none" w:sz="0" w:space="0" w:color="auto"/>
      </w:divBdr>
    </w:div>
    <w:div w:id="63457118">
      <w:bodyDiv w:val="1"/>
      <w:marLeft w:val="0"/>
      <w:marRight w:val="0"/>
      <w:marTop w:val="0"/>
      <w:marBottom w:val="0"/>
      <w:divBdr>
        <w:top w:val="none" w:sz="0" w:space="0" w:color="auto"/>
        <w:left w:val="none" w:sz="0" w:space="0" w:color="auto"/>
        <w:bottom w:val="none" w:sz="0" w:space="0" w:color="auto"/>
        <w:right w:val="none" w:sz="0" w:space="0" w:color="auto"/>
      </w:divBdr>
    </w:div>
    <w:div w:id="110979916">
      <w:bodyDiv w:val="1"/>
      <w:marLeft w:val="0"/>
      <w:marRight w:val="0"/>
      <w:marTop w:val="0"/>
      <w:marBottom w:val="0"/>
      <w:divBdr>
        <w:top w:val="none" w:sz="0" w:space="0" w:color="auto"/>
        <w:left w:val="none" w:sz="0" w:space="0" w:color="auto"/>
        <w:bottom w:val="none" w:sz="0" w:space="0" w:color="auto"/>
        <w:right w:val="none" w:sz="0" w:space="0" w:color="auto"/>
      </w:divBdr>
    </w:div>
    <w:div w:id="111100562">
      <w:bodyDiv w:val="1"/>
      <w:marLeft w:val="0"/>
      <w:marRight w:val="0"/>
      <w:marTop w:val="0"/>
      <w:marBottom w:val="0"/>
      <w:divBdr>
        <w:top w:val="none" w:sz="0" w:space="0" w:color="auto"/>
        <w:left w:val="none" w:sz="0" w:space="0" w:color="auto"/>
        <w:bottom w:val="none" w:sz="0" w:space="0" w:color="auto"/>
        <w:right w:val="none" w:sz="0" w:space="0" w:color="auto"/>
      </w:divBdr>
    </w:div>
    <w:div w:id="147522229">
      <w:bodyDiv w:val="1"/>
      <w:marLeft w:val="0"/>
      <w:marRight w:val="0"/>
      <w:marTop w:val="0"/>
      <w:marBottom w:val="0"/>
      <w:divBdr>
        <w:top w:val="none" w:sz="0" w:space="0" w:color="auto"/>
        <w:left w:val="none" w:sz="0" w:space="0" w:color="auto"/>
        <w:bottom w:val="none" w:sz="0" w:space="0" w:color="auto"/>
        <w:right w:val="none" w:sz="0" w:space="0" w:color="auto"/>
      </w:divBdr>
    </w:div>
    <w:div w:id="153448272">
      <w:bodyDiv w:val="1"/>
      <w:marLeft w:val="0"/>
      <w:marRight w:val="0"/>
      <w:marTop w:val="0"/>
      <w:marBottom w:val="0"/>
      <w:divBdr>
        <w:top w:val="none" w:sz="0" w:space="0" w:color="auto"/>
        <w:left w:val="none" w:sz="0" w:space="0" w:color="auto"/>
        <w:bottom w:val="none" w:sz="0" w:space="0" w:color="auto"/>
        <w:right w:val="none" w:sz="0" w:space="0" w:color="auto"/>
      </w:divBdr>
    </w:div>
    <w:div w:id="204686523">
      <w:bodyDiv w:val="1"/>
      <w:marLeft w:val="0"/>
      <w:marRight w:val="0"/>
      <w:marTop w:val="0"/>
      <w:marBottom w:val="0"/>
      <w:divBdr>
        <w:top w:val="none" w:sz="0" w:space="0" w:color="auto"/>
        <w:left w:val="none" w:sz="0" w:space="0" w:color="auto"/>
        <w:bottom w:val="none" w:sz="0" w:space="0" w:color="auto"/>
        <w:right w:val="none" w:sz="0" w:space="0" w:color="auto"/>
      </w:divBdr>
    </w:div>
    <w:div w:id="211428512">
      <w:bodyDiv w:val="1"/>
      <w:marLeft w:val="0"/>
      <w:marRight w:val="0"/>
      <w:marTop w:val="0"/>
      <w:marBottom w:val="0"/>
      <w:divBdr>
        <w:top w:val="none" w:sz="0" w:space="0" w:color="auto"/>
        <w:left w:val="none" w:sz="0" w:space="0" w:color="auto"/>
        <w:bottom w:val="none" w:sz="0" w:space="0" w:color="auto"/>
        <w:right w:val="none" w:sz="0" w:space="0" w:color="auto"/>
      </w:divBdr>
    </w:div>
    <w:div w:id="257299427">
      <w:bodyDiv w:val="1"/>
      <w:marLeft w:val="0"/>
      <w:marRight w:val="0"/>
      <w:marTop w:val="0"/>
      <w:marBottom w:val="0"/>
      <w:divBdr>
        <w:top w:val="none" w:sz="0" w:space="0" w:color="auto"/>
        <w:left w:val="none" w:sz="0" w:space="0" w:color="auto"/>
        <w:bottom w:val="none" w:sz="0" w:space="0" w:color="auto"/>
        <w:right w:val="none" w:sz="0" w:space="0" w:color="auto"/>
      </w:divBdr>
    </w:div>
    <w:div w:id="314724459">
      <w:bodyDiv w:val="1"/>
      <w:marLeft w:val="0"/>
      <w:marRight w:val="0"/>
      <w:marTop w:val="0"/>
      <w:marBottom w:val="0"/>
      <w:divBdr>
        <w:top w:val="none" w:sz="0" w:space="0" w:color="auto"/>
        <w:left w:val="none" w:sz="0" w:space="0" w:color="auto"/>
        <w:bottom w:val="none" w:sz="0" w:space="0" w:color="auto"/>
        <w:right w:val="none" w:sz="0" w:space="0" w:color="auto"/>
      </w:divBdr>
    </w:div>
    <w:div w:id="330377283">
      <w:bodyDiv w:val="1"/>
      <w:marLeft w:val="0"/>
      <w:marRight w:val="0"/>
      <w:marTop w:val="0"/>
      <w:marBottom w:val="0"/>
      <w:divBdr>
        <w:top w:val="none" w:sz="0" w:space="0" w:color="auto"/>
        <w:left w:val="none" w:sz="0" w:space="0" w:color="auto"/>
        <w:bottom w:val="none" w:sz="0" w:space="0" w:color="auto"/>
        <w:right w:val="none" w:sz="0" w:space="0" w:color="auto"/>
      </w:divBdr>
    </w:div>
    <w:div w:id="360395681">
      <w:bodyDiv w:val="1"/>
      <w:marLeft w:val="0"/>
      <w:marRight w:val="0"/>
      <w:marTop w:val="0"/>
      <w:marBottom w:val="0"/>
      <w:divBdr>
        <w:top w:val="none" w:sz="0" w:space="0" w:color="auto"/>
        <w:left w:val="none" w:sz="0" w:space="0" w:color="auto"/>
        <w:bottom w:val="none" w:sz="0" w:space="0" w:color="auto"/>
        <w:right w:val="none" w:sz="0" w:space="0" w:color="auto"/>
      </w:divBdr>
    </w:div>
    <w:div w:id="494997066">
      <w:bodyDiv w:val="1"/>
      <w:marLeft w:val="0"/>
      <w:marRight w:val="0"/>
      <w:marTop w:val="0"/>
      <w:marBottom w:val="0"/>
      <w:divBdr>
        <w:top w:val="none" w:sz="0" w:space="0" w:color="auto"/>
        <w:left w:val="none" w:sz="0" w:space="0" w:color="auto"/>
        <w:bottom w:val="none" w:sz="0" w:space="0" w:color="auto"/>
        <w:right w:val="none" w:sz="0" w:space="0" w:color="auto"/>
      </w:divBdr>
    </w:div>
    <w:div w:id="520708709">
      <w:bodyDiv w:val="1"/>
      <w:marLeft w:val="0"/>
      <w:marRight w:val="0"/>
      <w:marTop w:val="0"/>
      <w:marBottom w:val="0"/>
      <w:divBdr>
        <w:top w:val="none" w:sz="0" w:space="0" w:color="auto"/>
        <w:left w:val="none" w:sz="0" w:space="0" w:color="auto"/>
        <w:bottom w:val="none" w:sz="0" w:space="0" w:color="auto"/>
        <w:right w:val="none" w:sz="0" w:space="0" w:color="auto"/>
      </w:divBdr>
    </w:div>
    <w:div w:id="581913538">
      <w:bodyDiv w:val="1"/>
      <w:marLeft w:val="0"/>
      <w:marRight w:val="0"/>
      <w:marTop w:val="0"/>
      <w:marBottom w:val="0"/>
      <w:divBdr>
        <w:top w:val="none" w:sz="0" w:space="0" w:color="auto"/>
        <w:left w:val="none" w:sz="0" w:space="0" w:color="auto"/>
        <w:bottom w:val="none" w:sz="0" w:space="0" w:color="auto"/>
        <w:right w:val="none" w:sz="0" w:space="0" w:color="auto"/>
      </w:divBdr>
    </w:div>
    <w:div w:id="615139381">
      <w:bodyDiv w:val="1"/>
      <w:marLeft w:val="0"/>
      <w:marRight w:val="0"/>
      <w:marTop w:val="0"/>
      <w:marBottom w:val="0"/>
      <w:divBdr>
        <w:top w:val="none" w:sz="0" w:space="0" w:color="auto"/>
        <w:left w:val="none" w:sz="0" w:space="0" w:color="auto"/>
        <w:bottom w:val="none" w:sz="0" w:space="0" w:color="auto"/>
        <w:right w:val="none" w:sz="0" w:space="0" w:color="auto"/>
      </w:divBdr>
    </w:div>
    <w:div w:id="622925800">
      <w:bodyDiv w:val="1"/>
      <w:marLeft w:val="0"/>
      <w:marRight w:val="0"/>
      <w:marTop w:val="0"/>
      <w:marBottom w:val="0"/>
      <w:divBdr>
        <w:top w:val="none" w:sz="0" w:space="0" w:color="auto"/>
        <w:left w:val="none" w:sz="0" w:space="0" w:color="auto"/>
        <w:bottom w:val="none" w:sz="0" w:space="0" w:color="auto"/>
        <w:right w:val="none" w:sz="0" w:space="0" w:color="auto"/>
      </w:divBdr>
    </w:div>
    <w:div w:id="653918648">
      <w:bodyDiv w:val="1"/>
      <w:marLeft w:val="0"/>
      <w:marRight w:val="0"/>
      <w:marTop w:val="0"/>
      <w:marBottom w:val="0"/>
      <w:divBdr>
        <w:top w:val="none" w:sz="0" w:space="0" w:color="auto"/>
        <w:left w:val="none" w:sz="0" w:space="0" w:color="auto"/>
        <w:bottom w:val="none" w:sz="0" w:space="0" w:color="auto"/>
        <w:right w:val="none" w:sz="0" w:space="0" w:color="auto"/>
      </w:divBdr>
    </w:div>
    <w:div w:id="657616326">
      <w:bodyDiv w:val="1"/>
      <w:marLeft w:val="0"/>
      <w:marRight w:val="0"/>
      <w:marTop w:val="0"/>
      <w:marBottom w:val="0"/>
      <w:divBdr>
        <w:top w:val="none" w:sz="0" w:space="0" w:color="auto"/>
        <w:left w:val="none" w:sz="0" w:space="0" w:color="auto"/>
        <w:bottom w:val="none" w:sz="0" w:space="0" w:color="auto"/>
        <w:right w:val="none" w:sz="0" w:space="0" w:color="auto"/>
      </w:divBdr>
    </w:div>
    <w:div w:id="683287000">
      <w:bodyDiv w:val="1"/>
      <w:marLeft w:val="0"/>
      <w:marRight w:val="0"/>
      <w:marTop w:val="0"/>
      <w:marBottom w:val="0"/>
      <w:divBdr>
        <w:top w:val="none" w:sz="0" w:space="0" w:color="auto"/>
        <w:left w:val="none" w:sz="0" w:space="0" w:color="auto"/>
        <w:bottom w:val="none" w:sz="0" w:space="0" w:color="auto"/>
        <w:right w:val="none" w:sz="0" w:space="0" w:color="auto"/>
      </w:divBdr>
    </w:div>
    <w:div w:id="703021077">
      <w:bodyDiv w:val="1"/>
      <w:marLeft w:val="0"/>
      <w:marRight w:val="0"/>
      <w:marTop w:val="0"/>
      <w:marBottom w:val="0"/>
      <w:divBdr>
        <w:top w:val="none" w:sz="0" w:space="0" w:color="auto"/>
        <w:left w:val="none" w:sz="0" w:space="0" w:color="auto"/>
        <w:bottom w:val="none" w:sz="0" w:space="0" w:color="auto"/>
        <w:right w:val="none" w:sz="0" w:space="0" w:color="auto"/>
      </w:divBdr>
    </w:div>
    <w:div w:id="732893562">
      <w:bodyDiv w:val="1"/>
      <w:marLeft w:val="0"/>
      <w:marRight w:val="0"/>
      <w:marTop w:val="0"/>
      <w:marBottom w:val="0"/>
      <w:divBdr>
        <w:top w:val="none" w:sz="0" w:space="0" w:color="auto"/>
        <w:left w:val="none" w:sz="0" w:space="0" w:color="auto"/>
        <w:bottom w:val="none" w:sz="0" w:space="0" w:color="auto"/>
        <w:right w:val="none" w:sz="0" w:space="0" w:color="auto"/>
      </w:divBdr>
    </w:div>
    <w:div w:id="745347364">
      <w:bodyDiv w:val="1"/>
      <w:marLeft w:val="0"/>
      <w:marRight w:val="0"/>
      <w:marTop w:val="0"/>
      <w:marBottom w:val="0"/>
      <w:divBdr>
        <w:top w:val="none" w:sz="0" w:space="0" w:color="auto"/>
        <w:left w:val="none" w:sz="0" w:space="0" w:color="auto"/>
        <w:bottom w:val="none" w:sz="0" w:space="0" w:color="auto"/>
        <w:right w:val="none" w:sz="0" w:space="0" w:color="auto"/>
      </w:divBdr>
    </w:div>
    <w:div w:id="798763155">
      <w:bodyDiv w:val="1"/>
      <w:marLeft w:val="0"/>
      <w:marRight w:val="0"/>
      <w:marTop w:val="0"/>
      <w:marBottom w:val="0"/>
      <w:divBdr>
        <w:top w:val="none" w:sz="0" w:space="0" w:color="auto"/>
        <w:left w:val="none" w:sz="0" w:space="0" w:color="auto"/>
        <w:bottom w:val="none" w:sz="0" w:space="0" w:color="auto"/>
        <w:right w:val="none" w:sz="0" w:space="0" w:color="auto"/>
      </w:divBdr>
    </w:div>
    <w:div w:id="832523274">
      <w:bodyDiv w:val="1"/>
      <w:marLeft w:val="0"/>
      <w:marRight w:val="0"/>
      <w:marTop w:val="0"/>
      <w:marBottom w:val="0"/>
      <w:divBdr>
        <w:top w:val="none" w:sz="0" w:space="0" w:color="auto"/>
        <w:left w:val="none" w:sz="0" w:space="0" w:color="auto"/>
        <w:bottom w:val="none" w:sz="0" w:space="0" w:color="auto"/>
        <w:right w:val="none" w:sz="0" w:space="0" w:color="auto"/>
      </w:divBdr>
    </w:div>
    <w:div w:id="867136499">
      <w:bodyDiv w:val="1"/>
      <w:marLeft w:val="0"/>
      <w:marRight w:val="0"/>
      <w:marTop w:val="0"/>
      <w:marBottom w:val="0"/>
      <w:divBdr>
        <w:top w:val="none" w:sz="0" w:space="0" w:color="auto"/>
        <w:left w:val="none" w:sz="0" w:space="0" w:color="auto"/>
        <w:bottom w:val="none" w:sz="0" w:space="0" w:color="auto"/>
        <w:right w:val="none" w:sz="0" w:space="0" w:color="auto"/>
      </w:divBdr>
    </w:div>
    <w:div w:id="871724585">
      <w:bodyDiv w:val="1"/>
      <w:marLeft w:val="0"/>
      <w:marRight w:val="0"/>
      <w:marTop w:val="0"/>
      <w:marBottom w:val="0"/>
      <w:divBdr>
        <w:top w:val="none" w:sz="0" w:space="0" w:color="auto"/>
        <w:left w:val="none" w:sz="0" w:space="0" w:color="auto"/>
        <w:bottom w:val="none" w:sz="0" w:space="0" w:color="auto"/>
        <w:right w:val="none" w:sz="0" w:space="0" w:color="auto"/>
      </w:divBdr>
    </w:div>
    <w:div w:id="887650313">
      <w:bodyDiv w:val="1"/>
      <w:marLeft w:val="0"/>
      <w:marRight w:val="0"/>
      <w:marTop w:val="0"/>
      <w:marBottom w:val="0"/>
      <w:divBdr>
        <w:top w:val="none" w:sz="0" w:space="0" w:color="auto"/>
        <w:left w:val="none" w:sz="0" w:space="0" w:color="auto"/>
        <w:bottom w:val="none" w:sz="0" w:space="0" w:color="auto"/>
        <w:right w:val="none" w:sz="0" w:space="0" w:color="auto"/>
      </w:divBdr>
    </w:div>
    <w:div w:id="890001157">
      <w:bodyDiv w:val="1"/>
      <w:marLeft w:val="0"/>
      <w:marRight w:val="0"/>
      <w:marTop w:val="0"/>
      <w:marBottom w:val="0"/>
      <w:divBdr>
        <w:top w:val="none" w:sz="0" w:space="0" w:color="auto"/>
        <w:left w:val="none" w:sz="0" w:space="0" w:color="auto"/>
        <w:bottom w:val="none" w:sz="0" w:space="0" w:color="auto"/>
        <w:right w:val="none" w:sz="0" w:space="0" w:color="auto"/>
      </w:divBdr>
    </w:div>
    <w:div w:id="935091152">
      <w:bodyDiv w:val="1"/>
      <w:marLeft w:val="0"/>
      <w:marRight w:val="0"/>
      <w:marTop w:val="0"/>
      <w:marBottom w:val="0"/>
      <w:divBdr>
        <w:top w:val="none" w:sz="0" w:space="0" w:color="auto"/>
        <w:left w:val="none" w:sz="0" w:space="0" w:color="auto"/>
        <w:bottom w:val="none" w:sz="0" w:space="0" w:color="auto"/>
        <w:right w:val="none" w:sz="0" w:space="0" w:color="auto"/>
      </w:divBdr>
    </w:div>
    <w:div w:id="947465729">
      <w:bodyDiv w:val="1"/>
      <w:marLeft w:val="0"/>
      <w:marRight w:val="0"/>
      <w:marTop w:val="0"/>
      <w:marBottom w:val="0"/>
      <w:divBdr>
        <w:top w:val="none" w:sz="0" w:space="0" w:color="auto"/>
        <w:left w:val="none" w:sz="0" w:space="0" w:color="auto"/>
        <w:bottom w:val="none" w:sz="0" w:space="0" w:color="auto"/>
        <w:right w:val="none" w:sz="0" w:space="0" w:color="auto"/>
      </w:divBdr>
    </w:div>
    <w:div w:id="955720950">
      <w:bodyDiv w:val="1"/>
      <w:marLeft w:val="0"/>
      <w:marRight w:val="0"/>
      <w:marTop w:val="0"/>
      <w:marBottom w:val="0"/>
      <w:divBdr>
        <w:top w:val="none" w:sz="0" w:space="0" w:color="auto"/>
        <w:left w:val="none" w:sz="0" w:space="0" w:color="auto"/>
        <w:bottom w:val="none" w:sz="0" w:space="0" w:color="auto"/>
        <w:right w:val="none" w:sz="0" w:space="0" w:color="auto"/>
      </w:divBdr>
    </w:div>
    <w:div w:id="957877715">
      <w:bodyDiv w:val="1"/>
      <w:marLeft w:val="0"/>
      <w:marRight w:val="0"/>
      <w:marTop w:val="0"/>
      <w:marBottom w:val="0"/>
      <w:divBdr>
        <w:top w:val="none" w:sz="0" w:space="0" w:color="auto"/>
        <w:left w:val="none" w:sz="0" w:space="0" w:color="auto"/>
        <w:bottom w:val="none" w:sz="0" w:space="0" w:color="auto"/>
        <w:right w:val="none" w:sz="0" w:space="0" w:color="auto"/>
      </w:divBdr>
    </w:div>
    <w:div w:id="991443856">
      <w:bodyDiv w:val="1"/>
      <w:marLeft w:val="0"/>
      <w:marRight w:val="0"/>
      <w:marTop w:val="0"/>
      <w:marBottom w:val="0"/>
      <w:divBdr>
        <w:top w:val="none" w:sz="0" w:space="0" w:color="auto"/>
        <w:left w:val="none" w:sz="0" w:space="0" w:color="auto"/>
        <w:bottom w:val="none" w:sz="0" w:space="0" w:color="auto"/>
        <w:right w:val="none" w:sz="0" w:space="0" w:color="auto"/>
      </w:divBdr>
    </w:div>
    <w:div w:id="1007634600">
      <w:bodyDiv w:val="1"/>
      <w:marLeft w:val="0"/>
      <w:marRight w:val="0"/>
      <w:marTop w:val="0"/>
      <w:marBottom w:val="0"/>
      <w:divBdr>
        <w:top w:val="none" w:sz="0" w:space="0" w:color="auto"/>
        <w:left w:val="none" w:sz="0" w:space="0" w:color="auto"/>
        <w:bottom w:val="none" w:sz="0" w:space="0" w:color="auto"/>
        <w:right w:val="none" w:sz="0" w:space="0" w:color="auto"/>
      </w:divBdr>
    </w:div>
    <w:div w:id="1014574631">
      <w:bodyDiv w:val="1"/>
      <w:marLeft w:val="0"/>
      <w:marRight w:val="0"/>
      <w:marTop w:val="0"/>
      <w:marBottom w:val="0"/>
      <w:divBdr>
        <w:top w:val="none" w:sz="0" w:space="0" w:color="auto"/>
        <w:left w:val="none" w:sz="0" w:space="0" w:color="auto"/>
        <w:bottom w:val="none" w:sz="0" w:space="0" w:color="auto"/>
        <w:right w:val="none" w:sz="0" w:space="0" w:color="auto"/>
      </w:divBdr>
    </w:div>
    <w:div w:id="1017392009">
      <w:bodyDiv w:val="1"/>
      <w:marLeft w:val="0"/>
      <w:marRight w:val="0"/>
      <w:marTop w:val="0"/>
      <w:marBottom w:val="0"/>
      <w:divBdr>
        <w:top w:val="none" w:sz="0" w:space="0" w:color="auto"/>
        <w:left w:val="none" w:sz="0" w:space="0" w:color="auto"/>
        <w:bottom w:val="none" w:sz="0" w:space="0" w:color="auto"/>
        <w:right w:val="none" w:sz="0" w:space="0" w:color="auto"/>
      </w:divBdr>
    </w:div>
    <w:div w:id="1053695106">
      <w:bodyDiv w:val="1"/>
      <w:marLeft w:val="0"/>
      <w:marRight w:val="0"/>
      <w:marTop w:val="0"/>
      <w:marBottom w:val="0"/>
      <w:divBdr>
        <w:top w:val="none" w:sz="0" w:space="0" w:color="auto"/>
        <w:left w:val="none" w:sz="0" w:space="0" w:color="auto"/>
        <w:bottom w:val="none" w:sz="0" w:space="0" w:color="auto"/>
        <w:right w:val="none" w:sz="0" w:space="0" w:color="auto"/>
      </w:divBdr>
    </w:div>
    <w:div w:id="1118842189">
      <w:bodyDiv w:val="1"/>
      <w:marLeft w:val="0"/>
      <w:marRight w:val="0"/>
      <w:marTop w:val="0"/>
      <w:marBottom w:val="0"/>
      <w:divBdr>
        <w:top w:val="none" w:sz="0" w:space="0" w:color="auto"/>
        <w:left w:val="none" w:sz="0" w:space="0" w:color="auto"/>
        <w:bottom w:val="none" w:sz="0" w:space="0" w:color="auto"/>
        <w:right w:val="none" w:sz="0" w:space="0" w:color="auto"/>
      </w:divBdr>
    </w:div>
    <w:div w:id="1178547048">
      <w:bodyDiv w:val="1"/>
      <w:marLeft w:val="0"/>
      <w:marRight w:val="0"/>
      <w:marTop w:val="0"/>
      <w:marBottom w:val="0"/>
      <w:divBdr>
        <w:top w:val="none" w:sz="0" w:space="0" w:color="auto"/>
        <w:left w:val="none" w:sz="0" w:space="0" w:color="auto"/>
        <w:bottom w:val="none" w:sz="0" w:space="0" w:color="auto"/>
        <w:right w:val="none" w:sz="0" w:space="0" w:color="auto"/>
      </w:divBdr>
    </w:div>
    <w:div w:id="1179351098">
      <w:bodyDiv w:val="1"/>
      <w:marLeft w:val="0"/>
      <w:marRight w:val="0"/>
      <w:marTop w:val="0"/>
      <w:marBottom w:val="0"/>
      <w:divBdr>
        <w:top w:val="none" w:sz="0" w:space="0" w:color="auto"/>
        <w:left w:val="none" w:sz="0" w:space="0" w:color="auto"/>
        <w:bottom w:val="none" w:sz="0" w:space="0" w:color="auto"/>
        <w:right w:val="none" w:sz="0" w:space="0" w:color="auto"/>
      </w:divBdr>
    </w:div>
    <w:div w:id="1189566792">
      <w:bodyDiv w:val="1"/>
      <w:marLeft w:val="0"/>
      <w:marRight w:val="0"/>
      <w:marTop w:val="0"/>
      <w:marBottom w:val="0"/>
      <w:divBdr>
        <w:top w:val="none" w:sz="0" w:space="0" w:color="auto"/>
        <w:left w:val="none" w:sz="0" w:space="0" w:color="auto"/>
        <w:bottom w:val="none" w:sz="0" w:space="0" w:color="auto"/>
        <w:right w:val="none" w:sz="0" w:space="0" w:color="auto"/>
      </w:divBdr>
    </w:div>
    <w:div w:id="1234774254">
      <w:bodyDiv w:val="1"/>
      <w:marLeft w:val="0"/>
      <w:marRight w:val="0"/>
      <w:marTop w:val="0"/>
      <w:marBottom w:val="0"/>
      <w:divBdr>
        <w:top w:val="none" w:sz="0" w:space="0" w:color="auto"/>
        <w:left w:val="none" w:sz="0" w:space="0" w:color="auto"/>
        <w:bottom w:val="none" w:sz="0" w:space="0" w:color="auto"/>
        <w:right w:val="none" w:sz="0" w:space="0" w:color="auto"/>
      </w:divBdr>
    </w:div>
    <w:div w:id="1276862727">
      <w:bodyDiv w:val="1"/>
      <w:marLeft w:val="0"/>
      <w:marRight w:val="0"/>
      <w:marTop w:val="0"/>
      <w:marBottom w:val="0"/>
      <w:divBdr>
        <w:top w:val="none" w:sz="0" w:space="0" w:color="auto"/>
        <w:left w:val="none" w:sz="0" w:space="0" w:color="auto"/>
        <w:bottom w:val="none" w:sz="0" w:space="0" w:color="auto"/>
        <w:right w:val="none" w:sz="0" w:space="0" w:color="auto"/>
      </w:divBdr>
    </w:div>
    <w:div w:id="1297760411">
      <w:bodyDiv w:val="1"/>
      <w:marLeft w:val="0"/>
      <w:marRight w:val="0"/>
      <w:marTop w:val="0"/>
      <w:marBottom w:val="0"/>
      <w:divBdr>
        <w:top w:val="none" w:sz="0" w:space="0" w:color="auto"/>
        <w:left w:val="none" w:sz="0" w:space="0" w:color="auto"/>
        <w:bottom w:val="none" w:sz="0" w:space="0" w:color="auto"/>
        <w:right w:val="none" w:sz="0" w:space="0" w:color="auto"/>
      </w:divBdr>
    </w:div>
    <w:div w:id="1299728703">
      <w:bodyDiv w:val="1"/>
      <w:marLeft w:val="0"/>
      <w:marRight w:val="0"/>
      <w:marTop w:val="0"/>
      <w:marBottom w:val="0"/>
      <w:divBdr>
        <w:top w:val="none" w:sz="0" w:space="0" w:color="auto"/>
        <w:left w:val="none" w:sz="0" w:space="0" w:color="auto"/>
        <w:bottom w:val="none" w:sz="0" w:space="0" w:color="auto"/>
        <w:right w:val="none" w:sz="0" w:space="0" w:color="auto"/>
      </w:divBdr>
    </w:div>
    <w:div w:id="1356224999">
      <w:bodyDiv w:val="1"/>
      <w:marLeft w:val="0"/>
      <w:marRight w:val="0"/>
      <w:marTop w:val="0"/>
      <w:marBottom w:val="0"/>
      <w:divBdr>
        <w:top w:val="none" w:sz="0" w:space="0" w:color="auto"/>
        <w:left w:val="none" w:sz="0" w:space="0" w:color="auto"/>
        <w:bottom w:val="none" w:sz="0" w:space="0" w:color="auto"/>
        <w:right w:val="none" w:sz="0" w:space="0" w:color="auto"/>
      </w:divBdr>
    </w:div>
    <w:div w:id="1356614788">
      <w:bodyDiv w:val="1"/>
      <w:marLeft w:val="0"/>
      <w:marRight w:val="0"/>
      <w:marTop w:val="0"/>
      <w:marBottom w:val="0"/>
      <w:divBdr>
        <w:top w:val="none" w:sz="0" w:space="0" w:color="auto"/>
        <w:left w:val="none" w:sz="0" w:space="0" w:color="auto"/>
        <w:bottom w:val="none" w:sz="0" w:space="0" w:color="auto"/>
        <w:right w:val="none" w:sz="0" w:space="0" w:color="auto"/>
      </w:divBdr>
    </w:div>
    <w:div w:id="1357730844">
      <w:bodyDiv w:val="1"/>
      <w:marLeft w:val="0"/>
      <w:marRight w:val="0"/>
      <w:marTop w:val="0"/>
      <w:marBottom w:val="0"/>
      <w:divBdr>
        <w:top w:val="none" w:sz="0" w:space="0" w:color="auto"/>
        <w:left w:val="none" w:sz="0" w:space="0" w:color="auto"/>
        <w:bottom w:val="none" w:sz="0" w:space="0" w:color="auto"/>
        <w:right w:val="none" w:sz="0" w:space="0" w:color="auto"/>
      </w:divBdr>
    </w:div>
    <w:div w:id="1385830005">
      <w:bodyDiv w:val="1"/>
      <w:marLeft w:val="0"/>
      <w:marRight w:val="0"/>
      <w:marTop w:val="0"/>
      <w:marBottom w:val="0"/>
      <w:divBdr>
        <w:top w:val="none" w:sz="0" w:space="0" w:color="auto"/>
        <w:left w:val="none" w:sz="0" w:space="0" w:color="auto"/>
        <w:bottom w:val="none" w:sz="0" w:space="0" w:color="auto"/>
        <w:right w:val="none" w:sz="0" w:space="0" w:color="auto"/>
      </w:divBdr>
    </w:div>
    <w:div w:id="1429496817">
      <w:bodyDiv w:val="1"/>
      <w:marLeft w:val="0"/>
      <w:marRight w:val="0"/>
      <w:marTop w:val="0"/>
      <w:marBottom w:val="0"/>
      <w:divBdr>
        <w:top w:val="none" w:sz="0" w:space="0" w:color="auto"/>
        <w:left w:val="none" w:sz="0" w:space="0" w:color="auto"/>
        <w:bottom w:val="none" w:sz="0" w:space="0" w:color="auto"/>
        <w:right w:val="none" w:sz="0" w:space="0" w:color="auto"/>
      </w:divBdr>
    </w:div>
    <w:div w:id="1447578617">
      <w:bodyDiv w:val="1"/>
      <w:marLeft w:val="0"/>
      <w:marRight w:val="0"/>
      <w:marTop w:val="0"/>
      <w:marBottom w:val="0"/>
      <w:divBdr>
        <w:top w:val="none" w:sz="0" w:space="0" w:color="auto"/>
        <w:left w:val="none" w:sz="0" w:space="0" w:color="auto"/>
        <w:bottom w:val="none" w:sz="0" w:space="0" w:color="auto"/>
        <w:right w:val="none" w:sz="0" w:space="0" w:color="auto"/>
      </w:divBdr>
      <w:divsChild>
        <w:div w:id="841162453">
          <w:marLeft w:val="0"/>
          <w:marRight w:val="0"/>
          <w:marTop w:val="0"/>
          <w:marBottom w:val="0"/>
          <w:divBdr>
            <w:top w:val="none" w:sz="0" w:space="0" w:color="auto"/>
            <w:left w:val="none" w:sz="0" w:space="0" w:color="auto"/>
            <w:bottom w:val="none" w:sz="0" w:space="0" w:color="auto"/>
            <w:right w:val="none" w:sz="0" w:space="0" w:color="auto"/>
          </w:divBdr>
          <w:divsChild>
            <w:div w:id="2068793293">
              <w:marLeft w:val="0"/>
              <w:marRight w:val="0"/>
              <w:marTop w:val="0"/>
              <w:marBottom w:val="0"/>
              <w:divBdr>
                <w:top w:val="none" w:sz="0" w:space="0" w:color="auto"/>
                <w:left w:val="none" w:sz="0" w:space="0" w:color="auto"/>
                <w:bottom w:val="none" w:sz="0" w:space="0" w:color="auto"/>
                <w:right w:val="none" w:sz="0" w:space="0" w:color="auto"/>
              </w:divBdr>
              <w:divsChild>
                <w:div w:id="275019440">
                  <w:marLeft w:val="0"/>
                  <w:marRight w:val="0"/>
                  <w:marTop w:val="0"/>
                  <w:marBottom w:val="0"/>
                  <w:divBdr>
                    <w:top w:val="none" w:sz="0" w:space="0" w:color="auto"/>
                    <w:left w:val="none" w:sz="0" w:space="0" w:color="auto"/>
                    <w:bottom w:val="none" w:sz="0" w:space="0" w:color="auto"/>
                    <w:right w:val="none" w:sz="0" w:space="0" w:color="auto"/>
                  </w:divBdr>
                  <w:divsChild>
                    <w:div w:id="1772966358">
                      <w:marLeft w:val="0"/>
                      <w:marRight w:val="0"/>
                      <w:marTop w:val="0"/>
                      <w:marBottom w:val="0"/>
                      <w:divBdr>
                        <w:top w:val="none" w:sz="0" w:space="0" w:color="auto"/>
                        <w:left w:val="none" w:sz="0" w:space="0" w:color="auto"/>
                        <w:bottom w:val="none" w:sz="0" w:space="0" w:color="auto"/>
                        <w:right w:val="none" w:sz="0" w:space="0" w:color="auto"/>
                      </w:divBdr>
                      <w:divsChild>
                        <w:div w:id="1291202663">
                          <w:marLeft w:val="0"/>
                          <w:marRight w:val="0"/>
                          <w:marTop w:val="0"/>
                          <w:marBottom w:val="0"/>
                          <w:divBdr>
                            <w:top w:val="none" w:sz="0" w:space="0" w:color="auto"/>
                            <w:left w:val="none" w:sz="0" w:space="0" w:color="auto"/>
                            <w:bottom w:val="none" w:sz="0" w:space="0" w:color="auto"/>
                            <w:right w:val="none" w:sz="0" w:space="0" w:color="auto"/>
                          </w:divBdr>
                          <w:divsChild>
                            <w:div w:id="1604916287">
                              <w:marLeft w:val="0"/>
                              <w:marRight w:val="0"/>
                              <w:marTop w:val="0"/>
                              <w:marBottom w:val="0"/>
                              <w:divBdr>
                                <w:top w:val="none" w:sz="0" w:space="0" w:color="auto"/>
                                <w:left w:val="none" w:sz="0" w:space="0" w:color="auto"/>
                                <w:bottom w:val="none" w:sz="0" w:space="0" w:color="auto"/>
                                <w:right w:val="none" w:sz="0" w:space="0" w:color="auto"/>
                              </w:divBdr>
                              <w:divsChild>
                                <w:div w:id="1921401039">
                                  <w:marLeft w:val="0"/>
                                  <w:marRight w:val="0"/>
                                  <w:marTop w:val="0"/>
                                  <w:marBottom w:val="0"/>
                                  <w:divBdr>
                                    <w:top w:val="none" w:sz="0" w:space="0" w:color="auto"/>
                                    <w:left w:val="none" w:sz="0" w:space="0" w:color="auto"/>
                                    <w:bottom w:val="none" w:sz="0" w:space="0" w:color="auto"/>
                                    <w:right w:val="none" w:sz="0" w:space="0" w:color="auto"/>
                                  </w:divBdr>
                                  <w:divsChild>
                                    <w:div w:id="1183982330">
                                      <w:marLeft w:val="0"/>
                                      <w:marRight w:val="0"/>
                                      <w:marTop w:val="0"/>
                                      <w:marBottom w:val="0"/>
                                      <w:divBdr>
                                        <w:top w:val="none" w:sz="0" w:space="0" w:color="auto"/>
                                        <w:left w:val="none" w:sz="0" w:space="0" w:color="auto"/>
                                        <w:bottom w:val="none" w:sz="0" w:space="0" w:color="auto"/>
                                        <w:right w:val="none" w:sz="0" w:space="0" w:color="auto"/>
                                      </w:divBdr>
                                      <w:divsChild>
                                        <w:div w:id="150409422">
                                          <w:marLeft w:val="0"/>
                                          <w:marRight w:val="0"/>
                                          <w:marTop w:val="0"/>
                                          <w:marBottom w:val="0"/>
                                          <w:divBdr>
                                            <w:top w:val="none" w:sz="0" w:space="0" w:color="auto"/>
                                            <w:left w:val="none" w:sz="0" w:space="0" w:color="auto"/>
                                            <w:bottom w:val="none" w:sz="0" w:space="0" w:color="auto"/>
                                            <w:right w:val="none" w:sz="0" w:space="0" w:color="auto"/>
                                          </w:divBdr>
                                          <w:divsChild>
                                            <w:div w:id="634913630">
                                              <w:marLeft w:val="0"/>
                                              <w:marRight w:val="0"/>
                                              <w:marTop w:val="0"/>
                                              <w:marBottom w:val="0"/>
                                              <w:divBdr>
                                                <w:top w:val="none" w:sz="0" w:space="0" w:color="auto"/>
                                                <w:left w:val="none" w:sz="0" w:space="0" w:color="auto"/>
                                                <w:bottom w:val="none" w:sz="0" w:space="0" w:color="auto"/>
                                                <w:right w:val="none" w:sz="0" w:space="0" w:color="auto"/>
                                              </w:divBdr>
                                              <w:divsChild>
                                                <w:div w:id="1296134002">
                                                  <w:marLeft w:val="0"/>
                                                  <w:marRight w:val="0"/>
                                                  <w:marTop w:val="0"/>
                                                  <w:marBottom w:val="0"/>
                                                  <w:divBdr>
                                                    <w:top w:val="none" w:sz="0" w:space="0" w:color="auto"/>
                                                    <w:left w:val="none" w:sz="0" w:space="0" w:color="auto"/>
                                                    <w:bottom w:val="none" w:sz="0" w:space="0" w:color="auto"/>
                                                    <w:right w:val="none" w:sz="0" w:space="0" w:color="auto"/>
                                                  </w:divBdr>
                                                  <w:divsChild>
                                                    <w:div w:id="1588535937">
                                                      <w:marLeft w:val="0"/>
                                                      <w:marRight w:val="0"/>
                                                      <w:marTop w:val="0"/>
                                                      <w:marBottom w:val="0"/>
                                                      <w:divBdr>
                                                        <w:top w:val="none" w:sz="0" w:space="0" w:color="auto"/>
                                                        <w:left w:val="none" w:sz="0" w:space="0" w:color="auto"/>
                                                        <w:bottom w:val="none" w:sz="0" w:space="0" w:color="auto"/>
                                                        <w:right w:val="none" w:sz="0" w:space="0" w:color="auto"/>
                                                      </w:divBdr>
                                                      <w:divsChild>
                                                        <w:div w:id="74641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5175828">
      <w:bodyDiv w:val="1"/>
      <w:marLeft w:val="0"/>
      <w:marRight w:val="0"/>
      <w:marTop w:val="0"/>
      <w:marBottom w:val="0"/>
      <w:divBdr>
        <w:top w:val="none" w:sz="0" w:space="0" w:color="auto"/>
        <w:left w:val="none" w:sz="0" w:space="0" w:color="auto"/>
        <w:bottom w:val="none" w:sz="0" w:space="0" w:color="auto"/>
        <w:right w:val="none" w:sz="0" w:space="0" w:color="auto"/>
      </w:divBdr>
    </w:div>
    <w:div w:id="1457941276">
      <w:bodyDiv w:val="1"/>
      <w:marLeft w:val="0"/>
      <w:marRight w:val="0"/>
      <w:marTop w:val="0"/>
      <w:marBottom w:val="0"/>
      <w:divBdr>
        <w:top w:val="none" w:sz="0" w:space="0" w:color="auto"/>
        <w:left w:val="none" w:sz="0" w:space="0" w:color="auto"/>
        <w:bottom w:val="none" w:sz="0" w:space="0" w:color="auto"/>
        <w:right w:val="none" w:sz="0" w:space="0" w:color="auto"/>
      </w:divBdr>
    </w:div>
    <w:div w:id="1477145366">
      <w:bodyDiv w:val="1"/>
      <w:marLeft w:val="0"/>
      <w:marRight w:val="0"/>
      <w:marTop w:val="0"/>
      <w:marBottom w:val="0"/>
      <w:divBdr>
        <w:top w:val="none" w:sz="0" w:space="0" w:color="auto"/>
        <w:left w:val="none" w:sz="0" w:space="0" w:color="auto"/>
        <w:bottom w:val="none" w:sz="0" w:space="0" w:color="auto"/>
        <w:right w:val="none" w:sz="0" w:space="0" w:color="auto"/>
      </w:divBdr>
    </w:div>
    <w:div w:id="1490289649">
      <w:bodyDiv w:val="1"/>
      <w:marLeft w:val="0"/>
      <w:marRight w:val="0"/>
      <w:marTop w:val="0"/>
      <w:marBottom w:val="0"/>
      <w:divBdr>
        <w:top w:val="none" w:sz="0" w:space="0" w:color="auto"/>
        <w:left w:val="none" w:sz="0" w:space="0" w:color="auto"/>
        <w:bottom w:val="none" w:sz="0" w:space="0" w:color="auto"/>
        <w:right w:val="none" w:sz="0" w:space="0" w:color="auto"/>
      </w:divBdr>
    </w:div>
    <w:div w:id="1505778636">
      <w:bodyDiv w:val="1"/>
      <w:marLeft w:val="0"/>
      <w:marRight w:val="0"/>
      <w:marTop w:val="0"/>
      <w:marBottom w:val="0"/>
      <w:divBdr>
        <w:top w:val="none" w:sz="0" w:space="0" w:color="auto"/>
        <w:left w:val="none" w:sz="0" w:space="0" w:color="auto"/>
        <w:bottom w:val="none" w:sz="0" w:space="0" w:color="auto"/>
        <w:right w:val="none" w:sz="0" w:space="0" w:color="auto"/>
      </w:divBdr>
    </w:div>
    <w:div w:id="1584485072">
      <w:bodyDiv w:val="1"/>
      <w:marLeft w:val="0"/>
      <w:marRight w:val="0"/>
      <w:marTop w:val="0"/>
      <w:marBottom w:val="0"/>
      <w:divBdr>
        <w:top w:val="none" w:sz="0" w:space="0" w:color="auto"/>
        <w:left w:val="none" w:sz="0" w:space="0" w:color="auto"/>
        <w:bottom w:val="none" w:sz="0" w:space="0" w:color="auto"/>
        <w:right w:val="none" w:sz="0" w:space="0" w:color="auto"/>
      </w:divBdr>
    </w:div>
    <w:div w:id="1596554119">
      <w:bodyDiv w:val="1"/>
      <w:marLeft w:val="0"/>
      <w:marRight w:val="0"/>
      <w:marTop w:val="0"/>
      <w:marBottom w:val="0"/>
      <w:divBdr>
        <w:top w:val="none" w:sz="0" w:space="0" w:color="auto"/>
        <w:left w:val="none" w:sz="0" w:space="0" w:color="auto"/>
        <w:bottom w:val="none" w:sz="0" w:space="0" w:color="auto"/>
        <w:right w:val="none" w:sz="0" w:space="0" w:color="auto"/>
      </w:divBdr>
    </w:div>
    <w:div w:id="1713726329">
      <w:bodyDiv w:val="1"/>
      <w:marLeft w:val="0"/>
      <w:marRight w:val="0"/>
      <w:marTop w:val="0"/>
      <w:marBottom w:val="0"/>
      <w:divBdr>
        <w:top w:val="none" w:sz="0" w:space="0" w:color="auto"/>
        <w:left w:val="none" w:sz="0" w:space="0" w:color="auto"/>
        <w:bottom w:val="none" w:sz="0" w:space="0" w:color="auto"/>
        <w:right w:val="none" w:sz="0" w:space="0" w:color="auto"/>
      </w:divBdr>
    </w:div>
    <w:div w:id="1728675626">
      <w:bodyDiv w:val="1"/>
      <w:marLeft w:val="0"/>
      <w:marRight w:val="0"/>
      <w:marTop w:val="0"/>
      <w:marBottom w:val="0"/>
      <w:divBdr>
        <w:top w:val="none" w:sz="0" w:space="0" w:color="auto"/>
        <w:left w:val="none" w:sz="0" w:space="0" w:color="auto"/>
        <w:bottom w:val="none" w:sz="0" w:space="0" w:color="auto"/>
        <w:right w:val="none" w:sz="0" w:space="0" w:color="auto"/>
      </w:divBdr>
    </w:div>
    <w:div w:id="1739012898">
      <w:bodyDiv w:val="1"/>
      <w:marLeft w:val="0"/>
      <w:marRight w:val="0"/>
      <w:marTop w:val="0"/>
      <w:marBottom w:val="0"/>
      <w:divBdr>
        <w:top w:val="none" w:sz="0" w:space="0" w:color="auto"/>
        <w:left w:val="none" w:sz="0" w:space="0" w:color="auto"/>
        <w:bottom w:val="none" w:sz="0" w:space="0" w:color="auto"/>
        <w:right w:val="none" w:sz="0" w:space="0" w:color="auto"/>
      </w:divBdr>
    </w:div>
    <w:div w:id="1824547612">
      <w:bodyDiv w:val="1"/>
      <w:marLeft w:val="0"/>
      <w:marRight w:val="0"/>
      <w:marTop w:val="0"/>
      <w:marBottom w:val="0"/>
      <w:divBdr>
        <w:top w:val="none" w:sz="0" w:space="0" w:color="auto"/>
        <w:left w:val="none" w:sz="0" w:space="0" w:color="auto"/>
        <w:bottom w:val="none" w:sz="0" w:space="0" w:color="auto"/>
        <w:right w:val="none" w:sz="0" w:space="0" w:color="auto"/>
      </w:divBdr>
    </w:div>
    <w:div w:id="1848015198">
      <w:bodyDiv w:val="1"/>
      <w:marLeft w:val="0"/>
      <w:marRight w:val="0"/>
      <w:marTop w:val="0"/>
      <w:marBottom w:val="0"/>
      <w:divBdr>
        <w:top w:val="none" w:sz="0" w:space="0" w:color="auto"/>
        <w:left w:val="none" w:sz="0" w:space="0" w:color="auto"/>
        <w:bottom w:val="none" w:sz="0" w:space="0" w:color="auto"/>
        <w:right w:val="none" w:sz="0" w:space="0" w:color="auto"/>
      </w:divBdr>
    </w:div>
    <w:div w:id="1854954127">
      <w:bodyDiv w:val="1"/>
      <w:marLeft w:val="0"/>
      <w:marRight w:val="0"/>
      <w:marTop w:val="0"/>
      <w:marBottom w:val="0"/>
      <w:divBdr>
        <w:top w:val="none" w:sz="0" w:space="0" w:color="auto"/>
        <w:left w:val="none" w:sz="0" w:space="0" w:color="auto"/>
        <w:bottom w:val="none" w:sz="0" w:space="0" w:color="auto"/>
        <w:right w:val="none" w:sz="0" w:space="0" w:color="auto"/>
      </w:divBdr>
    </w:div>
    <w:div w:id="1864131567">
      <w:bodyDiv w:val="1"/>
      <w:marLeft w:val="0"/>
      <w:marRight w:val="0"/>
      <w:marTop w:val="0"/>
      <w:marBottom w:val="0"/>
      <w:divBdr>
        <w:top w:val="none" w:sz="0" w:space="0" w:color="auto"/>
        <w:left w:val="none" w:sz="0" w:space="0" w:color="auto"/>
        <w:bottom w:val="none" w:sz="0" w:space="0" w:color="auto"/>
        <w:right w:val="none" w:sz="0" w:space="0" w:color="auto"/>
      </w:divBdr>
    </w:div>
    <w:div w:id="1888369789">
      <w:bodyDiv w:val="1"/>
      <w:marLeft w:val="0"/>
      <w:marRight w:val="0"/>
      <w:marTop w:val="0"/>
      <w:marBottom w:val="0"/>
      <w:divBdr>
        <w:top w:val="none" w:sz="0" w:space="0" w:color="auto"/>
        <w:left w:val="none" w:sz="0" w:space="0" w:color="auto"/>
        <w:bottom w:val="none" w:sz="0" w:space="0" w:color="auto"/>
        <w:right w:val="none" w:sz="0" w:space="0" w:color="auto"/>
      </w:divBdr>
    </w:div>
    <w:div w:id="1918861214">
      <w:bodyDiv w:val="1"/>
      <w:marLeft w:val="0"/>
      <w:marRight w:val="0"/>
      <w:marTop w:val="0"/>
      <w:marBottom w:val="0"/>
      <w:divBdr>
        <w:top w:val="none" w:sz="0" w:space="0" w:color="auto"/>
        <w:left w:val="none" w:sz="0" w:space="0" w:color="auto"/>
        <w:bottom w:val="none" w:sz="0" w:space="0" w:color="auto"/>
        <w:right w:val="none" w:sz="0" w:space="0" w:color="auto"/>
      </w:divBdr>
    </w:div>
    <w:div w:id="1976443740">
      <w:bodyDiv w:val="1"/>
      <w:marLeft w:val="0"/>
      <w:marRight w:val="0"/>
      <w:marTop w:val="0"/>
      <w:marBottom w:val="0"/>
      <w:divBdr>
        <w:top w:val="none" w:sz="0" w:space="0" w:color="auto"/>
        <w:left w:val="none" w:sz="0" w:space="0" w:color="auto"/>
        <w:bottom w:val="none" w:sz="0" w:space="0" w:color="auto"/>
        <w:right w:val="none" w:sz="0" w:space="0" w:color="auto"/>
      </w:divBdr>
    </w:div>
    <w:div w:id="1977561232">
      <w:bodyDiv w:val="1"/>
      <w:marLeft w:val="0"/>
      <w:marRight w:val="0"/>
      <w:marTop w:val="0"/>
      <w:marBottom w:val="0"/>
      <w:divBdr>
        <w:top w:val="none" w:sz="0" w:space="0" w:color="auto"/>
        <w:left w:val="none" w:sz="0" w:space="0" w:color="auto"/>
        <w:bottom w:val="none" w:sz="0" w:space="0" w:color="auto"/>
        <w:right w:val="none" w:sz="0" w:space="0" w:color="auto"/>
      </w:divBdr>
    </w:div>
    <w:div w:id="2004550479">
      <w:bodyDiv w:val="1"/>
      <w:marLeft w:val="0"/>
      <w:marRight w:val="0"/>
      <w:marTop w:val="0"/>
      <w:marBottom w:val="0"/>
      <w:divBdr>
        <w:top w:val="none" w:sz="0" w:space="0" w:color="auto"/>
        <w:left w:val="none" w:sz="0" w:space="0" w:color="auto"/>
        <w:bottom w:val="none" w:sz="0" w:space="0" w:color="auto"/>
        <w:right w:val="none" w:sz="0" w:space="0" w:color="auto"/>
      </w:divBdr>
    </w:div>
    <w:div w:id="2013408269">
      <w:bodyDiv w:val="1"/>
      <w:marLeft w:val="0"/>
      <w:marRight w:val="0"/>
      <w:marTop w:val="0"/>
      <w:marBottom w:val="0"/>
      <w:divBdr>
        <w:top w:val="none" w:sz="0" w:space="0" w:color="auto"/>
        <w:left w:val="none" w:sz="0" w:space="0" w:color="auto"/>
        <w:bottom w:val="none" w:sz="0" w:space="0" w:color="auto"/>
        <w:right w:val="none" w:sz="0" w:space="0" w:color="auto"/>
      </w:divBdr>
    </w:div>
    <w:div w:id="2024283394">
      <w:bodyDiv w:val="1"/>
      <w:marLeft w:val="0"/>
      <w:marRight w:val="0"/>
      <w:marTop w:val="0"/>
      <w:marBottom w:val="0"/>
      <w:divBdr>
        <w:top w:val="none" w:sz="0" w:space="0" w:color="auto"/>
        <w:left w:val="none" w:sz="0" w:space="0" w:color="auto"/>
        <w:bottom w:val="none" w:sz="0" w:space="0" w:color="auto"/>
        <w:right w:val="none" w:sz="0" w:space="0" w:color="auto"/>
      </w:divBdr>
      <w:divsChild>
        <w:div w:id="593905996">
          <w:marLeft w:val="0"/>
          <w:marRight w:val="0"/>
          <w:marTop w:val="0"/>
          <w:marBottom w:val="0"/>
          <w:divBdr>
            <w:top w:val="none" w:sz="0" w:space="0" w:color="auto"/>
            <w:left w:val="none" w:sz="0" w:space="0" w:color="auto"/>
            <w:bottom w:val="none" w:sz="0" w:space="0" w:color="auto"/>
            <w:right w:val="none" w:sz="0" w:space="0" w:color="auto"/>
          </w:divBdr>
          <w:divsChild>
            <w:div w:id="46615004">
              <w:marLeft w:val="0"/>
              <w:marRight w:val="0"/>
              <w:marTop w:val="0"/>
              <w:marBottom w:val="0"/>
              <w:divBdr>
                <w:top w:val="none" w:sz="0" w:space="0" w:color="auto"/>
                <w:left w:val="none" w:sz="0" w:space="0" w:color="auto"/>
                <w:bottom w:val="none" w:sz="0" w:space="0" w:color="auto"/>
                <w:right w:val="none" w:sz="0" w:space="0" w:color="auto"/>
              </w:divBdr>
              <w:divsChild>
                <w:div w:id="395669692">
                  <w:marLeft w:val="0"/>
                  <w:marRight w:val="0"/>
                  <w:marTop w:val="0"/>
                  <w:marBottom w:val="0"/>
                  <w:divBdr>
                    <w:top w:val="none" w:sz="0" w:space="0" w:color="auto"/>
                    <w:left w:val="none" w:sz="0" w:space="0" w:color="auto"/>
                    <w:bottom w:val="none" w:sz="0" w:space="0" w:color="auto"/>
                    <w:right w:val="none" w:sz="0" w:space="0" w:color="auto"/>
                  </w:divBdr>
                  <w:divsChild>
                    <w:div w:id="426272802">
                      <w:marLeft w:val="0"/>
                      <w:marRight w:val="0"/>
                      <w:marTop w:val="0"/>
                      <w:marBottom w:val="0"/>
                      <w:divBdr>
                        <w:top w:val="none" w:sz="0" w:space="0" w:color="auto"/>
                        <w:left w:val="none" w:sz="0" w:space="0" w:color="auto"/>
                        <w:bottom w:val="none" w:sz="0" w:space="0" w:color="auto"/>
                        <w:right w:val="none" w:sz="0" w:space="0" w:color="auto"/>
                      </w:divBdr>
                      <w:divsChild>
                        <w:div w:id="657271845">
                          <w:marLeft w:val="0"/>
                          <w:marRight w:val="0"/>
                          <w:marTop w:val="0"/>
                          <w:marBottom w:val="0"/>
                          <w:divBdr>
                            <w:top w:val="none" w:sz="0" w:space="0" w:color="auto"/>
                            <w:left w:val="none" w:sz="0" w:space="0" w:color="auto"/>
                            <w:bottom w:val="none" w:sz="0" w:space="0" w:color="auto"/>
                            <w:right w:val="none" w:sz="0" w:space="0" w:color="auto"/>
                          </w:divBdr>
                          <w:divsChild>
                            <w:div w:id="1684474158">
                              <w:marLeft w:val="0"/>
                              <w:marRight w:val="0"/>
                              <w:marTop w:val="0"/>
                              <w:marBottom w:val="0"/>
                              <w:divBdr>
                                <w:top w:val="none" w:sz="0" w:space="0" w:color="auto"/>
                                <w:left w:val="none" w:sz="0" w:space="0" w:color="auto"/>
                                <w:bottom w:val="none" w:sz="0" w:space="0" w:color="auto"/>
                                <w:right w:val="none" w:sz="0" w:space="0" w:color="auto"/>
                              </w:divBdr>
                              <w:divsChild>
                                <w:div w:id="189728060">
                                  <w:marLeft w:val="0"/>
                                  <w:marRight w:val="0"/>
                                  <w:marTop w:val="0"/>
                                  <w:marBottom w:val="0"/>
                                  <w:divBdr>
                                    <w:top w:val="none" w:sz="0" w:space="0" w:color="auto"/>
                                    <w:left w:val="none" w:sz="0" w:space="0" w:color="auto"/>
                                    <w:bottom w:val="none" w:sz="0" w:space="0" w:color="auto"/>
                                    <w:right w:val="none" w:sz="0" w:space="0" w:color="auto"/>
                                  </w:divBdr>
                                  <w:divsChild>
                                    <w:div w:id="1396977404">
                                      <w:marLeft w:val="0"/>
                                      <w:marRight w:val="0"/>
                                      <w:marTop w:val="0"/>
                                      <w:marBottom w:val="0"/>
                                      <w:divBdr>
                                        <w:top w:val="none" w:sz="0" w:space="0" w:color="auto"/>
                                        <w:left w:val="none" w:sz="0" w:space="0" w:color="auto"/>
                                        <w:bottom w:val="none" w:sz="0" w:space="0" w:color="auto"/>
                                        <w:right w:val="none" w:sz="0" w:space="0" w:color="auto"/>
                                      </w:divBdr>
                                      <w:divsChild>
                                        <w:div w:id="726336764">
                                          <w:marLeft w:val="0"/>
                                          <w:marRight w:val="0"/>
                                          <w:marTop w:val="0"/>
                                          <w:marBottom w:val="0"/>
                                          <w:divBdr>
                                            <w:top w:val="none" w:sz="0" w:space="0" w:color="auto"/>
                                            <w:left w:val="none" w:sz="0" w:space="0" w:color="auto"/>
                                            <w:bottom w:val="none" w:sz="0" w:space="0" w:color="auto"/>
                                            <w:right w:val="none" w:sz="0" w:space="0" w:color="auto"/>
                                          </w:divBdr>
                                          <w:divsChild>
                                            <w:div w:id="505291795">
                                              <w:marLeft w:val="0"/>
                                              <w:marRight w:val="0"/>
                                              <w:marTop w:val="0"/>
                                              <w:marBottom w:val="0"/>
                                              <w:divBdr>
                                                <w:top w:val="none" w:sz="0" w:space="0" w:color="auto"/>
                                                <w:left w:val="none" w:sz="0" w:space="0" w:color="auto"/>
                                                <w:bottom w:val="none" w:sz="0" w:space="0" w:color="auto"/>
                                                <w:right w:val="none" w:sz="0" w:space="0" w:color="auto"/>
                                              </w:divBdr>
                                              <w:divsChild>
                                                <w:div w:id="2085640365">
                                                  <w:marLeft w:val="0"/>
                                                  <w:marRight w:val="0"/>
                                                  <w:marTop w:val="0"/>
                                                  <w:marBottom w:val="0"/>
                                                  <w:divBdr>
                                                    <w:top w:val="none" w:sz="0" w:space="0" w:color="auto"/>
                                                    <w:left w:val="none" w:sz="0" w:space="0" w:color="auto"/>
                                                    <w:bottom w:val="none" w:sz="0" w:space="0" w:color="auto"/>
                                                    <w:right w:val="none" w:sz="0" w:space="0" w:color="auto"/>
                                                  </w:divBdr>
                                                  <w:divsChild>
                                                    <w:div w:id="1637100767">
                                                      <w:marLeft w:val="0"/>
                                                      <w:marRight w:val="0"/>
                                                      <w:marTop w:val="0"/>
                                                      <w:marBottom w:val="0"/>
                                                      <w:divBdr>
                                                        <w:top w:val="none" w:sz="0" w:space="0" w:color="auto"/>
                                                        <w:left w:val="none" w:sz="0" w:space="0" w:color="auto"/>
                                                        <w:bottom w:val="none" w:sz="0" w:space="0" w:color="auto"/>
                                                        <w:right w:val="none" w:sz="0" w:space="0" w:color="auto"/>
                                                      </w:divBdr>
                                                      <w:divsChild>
                                                        <w:div w:id="143146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1662751">
      <w:bodyDiv w:val="1"/>
      <w:marLeft w:val="0"/>
      <w:marRight w:val="0"/>
      <w:marTop w:val="0"/>
      <w:marBottom w:val="0"/>
      <w:divBdr>
        <w:top w:val="none" w:sz="0" w:space="0" w:color="auto"/>
        <w:left w:val="none" w:sz="0" w:space="0" w:color="auto"/>
        <w:bottom w:val="none" w:sz="0" w:space="0" w:color="auto"/>
        <w:right w:val="none" w:sz="0" w:space="0" w:color="auto"/>
      </w:divBdr>
    </w:div>
    <w:div w:id="2065987124">
      <w:bodyDiv w:val="1"/>
      <w:marLeft w:val="0"/>
      <w:marRight w:val="0"/>
      <w:marTop w:val="0"/>
      <w:marBottom w:val="0"/>
      <w:divBdr>
        <w:top w:val="none" w:sz="0" w:space="0" w:color="auto"/>
        <w:left w:val="none" w:sz="0" w:space="0" w:color="auto"/>
        <w:bottom w:val="none" w:sz="0" w:space="0" w:color="auto"/>
        <w:right w:val="none" w:sz="0" w:space="0" w:color="auto"/>
      </w:divBdr>
    </w:div>
    <w:div w:id="214396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http://www.linklaters.com/pdfs/mkt/brussels/IFLR_PEVC_Linklaters_Belgium.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rn.com/abstract=1670319" TargetMode="Externa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d:\users\davvig\My%20Documents\projecten\Phd%20project\ESCAL%20PAPER\Paper%20JIBS\Resultaten%20voor%20in%20pap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6194522854454508E-2"/>
          <c:y val="3.7453703703703704E-2"/>
          <c:w val="0.9000973315835521"/>
          <c:h val="0.82828703703703699"/>
        </c:manualLayout>
      </c:layout>
      <c:scatterChart>
        <c:scatterStyle val="lineMarker"/>
        <c:varyColors val="0"/>
        <c:ser>
          <c:idx val="0"/>
          <c:order val="0"/>
          <c:tx>
            <c:strRef>
              <c:f>grafiek!$P$11</c:f>
              <c:strCache>
                <c:ptCount val="1"/>
                <c:pt idx="0">
                  <c:v>Unsuccessful </c:v>
                </c:pt>
              </c:strCache>
            </c:strRef>
          </c:tx>
          <c:spPr>
            <a:ln>
              <a:solidFill>
                <a:schemeClr val="tx1"/>
              </a:solidFill>
              <a:prstDash val="sysDash"/>
            </a:ln>
          </c:spPr>
          <c:marker>
            <c:symbol val="none"/>
          </c:marker>
          <c:xVal>
            <c:numRef>
              <c:f>grafiek!$Q$10:$X$10</c:f>
              <c:numCache>
                <c:formatCode>General</c:formatCode>
                <c:ptCount val="8"/>
                <c:pt idx="0">
                  <c:v>1</c:v>
                </c:pt>
                <c:pt idx="1">
                  <c:v>2</c:v>
                </c:pt>
                <c:pt idx="2">
                  <c:v>3</c:v>
                </c:pt>
                <c:pt idx="3">
                  <c:v>4</c:v>
                </c:pt>
                <c:pt idx="4">
                  <c:v>5</c:v>
                </c:pt>
                <c:pt idx="5">
                  <c:v>6</c:v>
                </c:pt>
                <c:pt idx="6">
                  <c:v>7</c:v>
                </c:pt>
                <c:pt idx="7">
                  <c:v>8</c:v>
                </c:pt>
              </c:numCache>
            </c:numRef>
          </c:xVal>
          <c:yVal>
            <c:numRef>
              <c:f>grafiek!$Q$11:$X$11</c:f>
              <c:numCache>
                <c:formatCode>General</c:formatCode>
                <c:ptCount val="8"/>
                <c:pt idx="0">
                  <c:v>-0.23200000000000001</c:v>
                </c:pt>
                <c:pt idx="1">
                  <c:v>-0.46400000000000002</c:v>
                </c:pt>
                <c:pt idx="2">
                  <c:v>-0.69600000000000006</c:v>
                </c:pt>
                <c:pt idx="3">
                  <c:v>-0.92800000000000005</c:v>
                </c:pt>
                <c:pt idx="4">
                  <c:v>-1.1600000000000001</c:v>
                </c:pt>
                <c:pt idx="5">
                  <c:v>-1.3920000000000001</c:v>
                </c:pt>
                <c:pt idx="6">
                  <c:v>-1.6240000000000001</c:v>
                </c:pt>
                <c:pt idx="7">
                  <c:v>-1.8560000000000001</c:v>
                </c:pt>
              </c:numCache>
            </c:numRef>
          </c:yVal>
          <c:smooth val="0"/>
        </c:ser>
        <c:ser>
          <c:idx val="1"/>
          <c:order val="1"/>
          <c:tx>
            <c:strRef>
              <c:f>grafiek!$P$12</c:f>
              <c:strCache>
                <c:ptCount val="1"/>
                <c:pt idx="0">
                  <c:v>Successful Domestic VC firm </c:v>
                </c:pt>
              </c:strCache>
            </c:strRef>
          </c:tx>
          <c:spPr>
            <a:ln>
              <a:solidFill>
                <a:schemeClr val="tx1"/>
              </a:solidFill>
              <a:prstDash val="lgDashDot"/>
            </a:ln>
          </c:spPr>
          <c:marker>
            <c:symbol val="none"/>
          </c:marker>
          <c:xVal>
            <c:numRef>
              <c:f>grafiek!$Q$10:$X$10</c:f>
              <c:numCache>
                <c:formatCode>General</c:formatCode>
                <c:ptCount val="8"/>
                <c:pt idx="0">
                  <c:v>1</c:v>
                </c:pt>
                <c:pt idx="1">
                  <c:v>2</c:v>
                </c:pt>
                <c:pt idx="2">
                  <c:v>3</c:v>
                </c:pt>
                <c:pt idx="3">
                  <c:v>4</c:v>
                </c:pt>
                <c:pt idx="4">
                  <c:v>5</c:v>
                </c:pt>
                <c:pt idx="5">
                  <c:v>6</c:v>
                </c:pt>
                <c:pt idx="6">
                  <c:v>7</c:v>
                </c:pt>
                <c:pt idx="7">
                  <c:v>8</c:v>
                </c:pt>
              </c:numCache>
            </c:numRef>
          </c:xVal>
          <c:yVal>
            <c:numRef>
              <c:f>grafiek!$Q$12:$X$12</c:f>
              <c:numCache>
                <c:formatCode>General</c:formatCode>
                <c:ptCount val="8"/>
                <c:pt idx="0">
                  <c:v>-0.25700000000000001</c:v>
                </c:pt>
                <c:pt idx="1">
                  <c:v>-0.51400000000000001</c:v>
                </c:pt>
                <c:pt idx="2">
                  <c:v>-0.77100000000000002</c:v>
                </c:pt>
                <c:pt idx="3">
                  <c:v>-1.028</c:v>
                </c:pt>
                <c:pt idx="4">
                  <c:v>-1.2850000000000001</c:v>
                </c:pt>
                <c:pt idx="5">
                  <c:v>-1.542</c:v>
                </c:pt>
                <c:pt idx="6">
                  <c:v>-1.7989999999999999</c:v>
                </c:pt>
                <c:pt idx="7">
                  <c:v>-2.056</c:v>
                </c:pt>
              </c:numCache>
            </c:numRef>
          </c:yVal>
          <c:smooth val="0"/>
        </c:ser>
        <c:ser>
          <c:idx val="2"/>
          <c:order val="2"/>
          <c:tx>
            <c:strRef>
              <c:f>grafiek!$P$13</c:f>
              <c:strCache>
                <c:ptCount val="1"/>
                <c:pt idx="0">
                  <c:v>Successful Cross-border VC firm</c:v>
                </c:pt>
              </c:strCache>
            </c:strRef>
          </c:tx>
          <c:spPr>
            <a:ln>
              <a:solidFill>
                <a:schemeClr val="tx1"/>
              </a:solidFill>
              <a:prstDash val="sysDot"/>
            </a:ln>
          </c:spPr>
          <c:marker>
            <c:symbol val="none"/>
          </c:marker>
          <c:xVal>
            <c:numRef>
              <c:f>grafiek!$Q$10:$X$10</c:f>
              <c:numCache>
                <c:formatCode>General</c:formatCode>
                <c:ptCount val="8"/>
                <c:pt idx="0">
                  <c:v>1</c:v>
                </c:pt>
                <c:pt idx="1">
                  <c:v>2</c:v>
                </c:pt>
                <c:pt idx="2">
                  <c:v>3</c:v>
                </c:pt>
                <c:pt idx="3">
                  <c:v>4</c:v>
                </c:pt>
                <c:pt idx="4">
                  <c:v>5</c:v>
                </c:pt>
                <c:pt idx="5">
                  <c:v>6</c:v>
                </c:pt>
                <c:pt idx="6">
                  <c:v>7</c:v>
                </c:pt>
                <c:pt idx="7">
                  <c:v>8</c:v>
                </c:pt>
              </c:numCache>
            </c:numRef>
          </c:xVal>
          <c:yVal>
            <c:numRef>
              <c:f>grafiek!$Q$13:$X$13</c:f>
              <c:numCache>
                <c:formatCode>General</c:formatCode>
                <c:ptCount val="8"/>
                <c:pt idx="0">
                  <c:v>0.11799999999999999</c:v>
                </c:pt>
                <c:pt idx="1">
                  <c:v>0.23599999999999999</c:v>
                </c:pt>
                <c:pt idx="2">
                  <c:v>0.35399999999999998</c:v>
                </c:pt>
                <c:pt idx="3">
                  <c:v>0.47199999999999998</c:v>
                </c:pt>
                <c:pt idx="4">
                  <c:v>0.59</c:v>
                </c:pt>
                <c:pt idx="5">
                  <c:v>0.70799999999999996</c:v>
                </c:pt>
                <c:pt idx="6">
                  <c:v>0.82599999999999996</c:v>
                </c:pt>
                <c:pt idx="7">
                  <c:v>0.94399999999999995</c:v>
                </c:pt>
              </c:numCache>
            </c:numRef>
          </c:yVal>
          <c:smooth val="0"/>
        </c:ser>
        <c:ser>
          <c:idx val="3"/>
          <c:order val="3"/>
          <c:tx>
            <c:strRef>
              <c:f>grafiek!$P$14</c:f>
              <c:strCache>
                <c:ptCount val="1"/>
                <c:pt idx="0">
                  <c:v>Successful Branch VC firm</c:v>
                </c:pt>
              </c:strCache>
            </c:strRef>
          </c:tx>
          <c:spPr>
            <a:ln>
              <a:solidFill>
                <a:schemeClr val="tx1"/>
              </a:solidFill>
            </a:ln>
          </c:spPr>
          <c:marker>
            <c:symbol val="none"/>
          </c:marker>
          <c:xVal>
            <c:numRef>
              <c:f>grafiek!$Q$10:$X$10</c:f>
              <c:numCache>
                <c:formatCode>General</c:formatCode>
                <c:ptCount val="8"/>
                <c:pt idx="0">
                  <c:v>1</c:v>
                </c:pt>
                <c:pt idx="1">
                  <c:v>2</c:v>
                </c:pt>
                <c:pt idx="2">
                  <c:v>3</c:v>
                </c:pt>
                <c:pt idx="3">
                  <c:v>4</c:v>
                </c:pt>
                <c:pt idx="4">
                  <c:v>5</c:v>
                </c:pt>
                <c:pt idx="5">
                  <c:v>6</c:v>
                </c:pt>
                <c:pt idx="6">
                  <c:v>7</c:v>
                </c:pt>
                <c:pt idx="7">
                  <c:v>8</c:v>
                </c:pt>
              </c:numCache>
            </c:numRef>
          </c:xVal>
          <c:yVal>
            <c:numRef>
              <c:f>grafiek!$Q$14:$X$14</c:f>
              <c:numCache>
                <c:formatCode>General</c:formatCode>
                <c:ptCount val="8"/>
                <c:pt idx="0">
                  <c:v>7.3599999999999999E-2</c:v>
                </c:pt>
                <c:pt idx="1">
                  <c:v>0.1472</c:v>
                </c:pt>
                <c:pt idx="2">
                  <c:v>0.2208</c:v>
                </c:pt>
                <c:pt idx="3">
                  <c:v>0.2944</c:v>
                </c:pt>
                <c:pt idx="4">
                  <c:v>0.36799999999999999</c:v>
                </c:pt>
                <c:pt idx="5">
                  <c:v>0.44159999999999999</c:v>
                </c:pt>
                <c:pt idx="6">
                  <c:v>0.51519999999999999</c:v>
                </c:pt>
                <c:pt idx="7">
                  <c:v>0.58879999999999999</c:v>
                </c:pt>
              </c:numCache>
            </c:numRef>
          </c:yVal>
          <c:smooth val="0"/>
        </c:ser>
        <c:dLbls>
          <c:showLegendKey val="0"/>
          <c:showVal val="0"/>
          <c:showCatName val="0"/>
          <c:showSerName val="0"/>
          <c:showPercent val="0"/>
          <c:showBubbleSize val="0"/>
        </c:dLbls>
        <c:axId val="714237528"/>
        <c:axId val="714236352"/>
      </c:scatterChart>
      <c:valAx>
        <c:axId val="714237528"/>
        <c:scaling>
          <c:orientation val="minMax"/>
          <c:max val="6"/>
          <c:min val="0"/>
        </c:scaling>
        <c:delete val="0"/>
        <c:axPos val="b"/>
        <c:numFmt formatCode="General" sourceLinked="1"/>
        <c:majorTickMark val="none"/>
        <c:minorTickMark val="none"/>
        <c:tickLblPos val="nextTo"/>
        <c:txPr>
          <a:bodyPr/>
          <a:lstStyle/>
          <a:p>
            <a:pPr>
              <a:defRPr>
                <a:latin typeface="Times New Roman" pitchFamily="18" charset="0"/>
                <a:cs typeface="Times New Roman" pitchFamily="18" charset="0"/>
              </a:defRPr>
            </a:pPr>
            <a:endParaRPr lang="en-US"/>
          </a:p>
        </c:txPr>
        <c:crossAx val="714236352"/>
        <c:crosses val="autoZero"/>
        <c:crossBetween val="midCat"/>
      </c:valAx>
      <c:valAx>
        <c:axId val="714236352"/>
        <c:scaling>
          <c:orientation val="minMax"/>
          <c:max val="0.72000000000000008"/>
          <c:min val="-1.55"/>
        </c:scaling>
        <c:delete val="0"/>
        <c:axPos val="l"/>
        <c:title>
          <c:tx>
            <c:rich>
              <a:bodyPr/>
              <a:lstStyle/>
              <a:p>
                <a:pPr>
                  <a:defRPr>
                    <a:latin typeface="Times New Roman" pitchFamily="18" charset="0"/>
                    <a:cs typeface="Times New Roman" pitchFamily="18" charset="0"/>
                  </a:defRPr>
                </a:pPr>
                <a:r>
                  <a:rPr lang="en-GB" sz="1100" b="1" i="0" baseline="0">
                    <a:effectLst/>
                    <a:latin typeface="Times New Roman" pitchFamily="18" charset="0"/>
                    <a:cs typeface="Times New Roman" pitchFamily="18" charset="0"/>
                  </a:rPr>
                  <a:t>Impact on baseline hazard of exit </a:t>
                </a:r>
                <a:endParaRPr lang="en-US" sz="600">
                  <a:effectLst/>
                  <a:latin typeface="Times New Roman" pitchFamily="18" charset="0"/>
                  <a:cs typeface="Times New Roman" pitchFamily="18" charset="0"/>
                </a:endParaRPr>
              </a:p>
            </c:rich>
          </c:tx>
          <c:layout>
            <c:manualLayout>
              <c:xMode val="edge"/>
              <c:yMode val="edge"/>
              <c:x val="2.1741593621552025E-2"/>
              <c:y val="5.5451297754447362E-2"/>
            </c:manualLayout>
          </c:layout>
          <c:overlay val="0"/>
        </c:title>
        <c:numFmt formatCode="General" sourceLinked="1"/>
        <c:majorTickMark val="none"/>
        <c:minorTickMark val="none"/>
        <c:tickLblPos val="none"/>
        <c:crossAx val="714237528"/>
        <c:crosses val="autoZero"/>
        <c:crossBetween val="midCat"/>
      </c:valAx>
    </c:plotArea>
    <c:legend>
      <c:legendPos val="r"/>
      <c:layout>
        <c:manualLayout>
          <c:xMode val="edge"/>
          <c:yMode val="edge"/>
          <c:x val="7.5874015748031501E-2"/>
          <c:y val="0.87648913677456985"/>
          <c:w val="0.92412598425196846"/>
          <c:h val="0.12190580344123648"/>
        </c:manualLayout>
      </c:layout>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4826A-F307-4162-B450-BCDCCEC13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14835</Words>
  <Characters>86084</Characters>
  <Application>Microsoft Office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
    </vt:vector>
  </TitlesOfParts>
  <Company>Vlerick Leuven Gent Management School</Company>
  <LinksUpToDate>false</LinksUpToDate>
  <CharactersWithSpaces>100718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Devigne</dc:creator>
  <cp:lastModifiedBy>Wright, Mike</cp:lastModifiedBy>
  <cp:revision>2</cp:revision>
  <cp:lastPrinted>2016-02-26T08:27:00Z</cp:lastPrinted>
  <dcterms:created xsi:type="dcterms:W3CDTF">2016-10-23T10:25:00Z</dcterms:created>
  <dcterms:modified xsi:type="dcterms:W3CDTF">2016-10-23T10:25:00Z</dcterms:modified>
</cp:coreProperties>
</file>