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3BB98" w14:textId="77777777" w:rsidR="0030630C" w:rsidRDefault="0030630C" w:rsidP="00107B71">
      <w:pPr>
        <w:pStyle w:val="BATitle"/>
      </w:pPr>
      <w:r>
        <w:t xml:space="preserve">A Workflow </w:t>
      </w:r>
      <w:proofErr w:type="gramStart"/>
      <w:r>
        <w:t>For</w:t>
      </w:r>
      <w:proofErr w:type="gramEnd"/>
      <w:r>
        <w:t xml:space="preserve"> Integrated Processing of</w:t>
      </w:r>
      <w:r w:rsidRPr="00151BB3">
        <w:t xml:space="preserve"> Multi-Cohort Untargeted </w:t>
      </w:r>
      <w:r w:rsidRPr="00BF539D">
        <w:rPr>
          <w:vertAlign w:val="superscript"/>
        </w:rPr>
        <w:t>1</w:t>
      </w:r>
      <w:r>
        <w:t>H NMR</w:t>
      </w:r>
      <w:r w:rsidRPr="00151BB3">
        <w:t xml:space="preserve"> Metabolomics Data In Large Scale Metabolic Epidemiol</w:t>
      </w:r>
      <w:r>
        <w:t>ogy</w:t>
      </w:r>
    </w:p>
    <w:p w14:paraId="24605A09" w14:textId="77777777" w:rsidR="0030630C" w:rsidRPr="00EF704A" w:rsidRDefault="0030630C" w:rsidP="00BC2CFA">
      <w:pPr>
        <w:pStyle w:val="BBAuthorName"/>
      </w:pPr>
      <w:r w:rsidRPr="00EF704A">
        <w:t>Ibrahim Karaman</w:t>
      </w:r>
      <w:r w:rsidRPr="00EF704A">
        <w:rPr>
          <w:vertAlign w:val="superscript"/>
        </w:rPr>
        <w:t>1</w:t>
      </w:r>
      <w:r w:rsidRPr="00EF704A">
        <w:t>, Diana L. S. Ferreira</w:t>
      </w:r>
      <w:r w:rsidRPr="00EF704A">
        <w:rPr>
          <w:vertAlign w:val="superscript"/>
        </w:rPr>
        <w:t>1</w:t>
      </w:r>
      <w:r w:rsidRPr="00EF704A">
        <w:t xml:space="preserve">, Claire </w:t>
      </w:r>
      <w:r>
        <w:t xml:space="preserve">L. </w:t>
      </w:r>
      <w:r w:rsidRPr="00EF704A">
        <w:t>Boulang</w:t>
      </w:r>
      <w:r>
        <w:t>é</w:t>
      </w:r>
      <w:r w:rsidRPr="00EF704A">
        <w:rPr>
          <w:vertAlign w:val="superscript"/>
        </w:rPr>
        <w:t>2</w:t>
      </w:r>
      <w:r w:rsidRPr="00EF704A">
        <w:t>,</w:t>
      </w:r>
      <w:r>
        <w:t xml:space="preserve"> </w:t>
      </w:r>
      <w:r w:rsidRPr="00954DE4">
        <w:t>Manuja R</w:t>
      </w:r>
      <w:r>
        <w:t>.</w:t>
      </w:r>
      <w:r w:rsidRPr="00954DE4">
        <w:t xml:space="preserve"> Kaluarachchi</w:t>
      </w:r>
      <w:r w:rsidRPr="00EF704A">
        <w:rPr>
          <w:vertAlign w:val="superscript"/>
        </w:rPr>
        <w:t>2</w:t>
      </w:r>
      <w:r>
        <w:t>, David Herrington</w:t>
      </w:r>
      <w:r>
        <w:rPr>
          <w:vertAlign w:val="superscript"/>
        </w:rPr>
        <w:t>3</w:t>
      </w:r>
      <w:r w:rsidRPr="008F0C48">
        <w:t>,</w:t>
      </w:r>
      <w:r>
        <w:t xml:space="preserve"> Anthony Dona</w:t>
      </w:r>
      <w:r w:rsidRPr="008F0C48">
        <w:rPr>
          <w:vertAlign w:val="superscript"/>
        </w:rPr>
        <w:t>2,</w:t>
      </w:r>
      <w:r>
        <w:rPr>
          <w:vertAlign w:val="superscript"/>
        </w:rPr>
        <w:t>4</w:t>
      </w:r>
      <w:r w:rsidRPr="008F0C48">
        <w:t>,</w:t>
      </w:r>
      <w:r>
        <w:t xml:space="preserve"> </w:t>
      </w:r>
      <w:proofErr w:type="spellStart"/>
      <w:r w:rsidRPr="000F73D2">
        <w:t>Raphaële</w:t>
      </w:r>
      <w:proofErr w:type="spellEnd"/>
      <w:r w:rsidRPr="000F73D2">
        <w:t xml:space="preserve"> Castagné</w:t>
      </w:r>
      <w:r w:rsidRPr="000F73D2">
        <w:rPr>
          <w:vertAlign w:val="superscript"/>
        </w:rPr>
        <w:t>1</w:t>
      </w:r>
      <w:r>
        <w:t xml:space="preserve">, </w:t>
      </w:r>
      <w:r w:rsidRPr="003D59FE">
        <w:t>Alireza Moayyeri</w:t>
      </w:r>
      <w:r w:rsidRPr="000F73D2">
        <w:rPr>
          <w:vertAlign w:val="superscript"/>
        </w:rPr>
        <w:t>1</w:t>
      </w:r>
      <w:r>
        <w:t>, Benjamin Lehne</w:t>
      </w:r>
      <w:r w:rsidRPr="000F73D2">
        <w:rPr>
          <w:vertAlign w:val="superscript"/>
        </w:rPr>
        <w:t>1</w:t>
      </w:r>
      <w:r>
        <w:t>, Marie Loh</w:t>
      </w:r>
      <w:r w:rsidRPr="000F73D2">
        <w:rPr>
          <w:vertAlign w:val="superscript"/>
        </w:rPr>
        <w:t>1</w:t>
      </w:r>
      <w:r>
        <w:t>, Paul S. de Vries</w:t>
      </w:r>
      <w:r w:rsidRPr="000F73D2">
        <w:rPr>
          <w:vertAlign w:val="superscript"/>
        </w:rPr>
        <w:t>5</w:t>
      </w:r>
      <w:r>
        <w:t>, Abbas Dehghan</w:t>
      </w:r>
      <w:r w:rsidRPr="000F73D2">
        <w:rPr>
          <w:vertAlign w:val="superscript"/>
        </w:rPr>
        <w:t>5</w:t>
      </w:r>
      <w:r>
        <w:t>,</w:t>
      </w:r>
      <w:r w:rsidRPr="00EF704A">
        <w:t xml:space="preserve"> </w:t>
      </w:r>
      <w:r>
        <w:t>Oscar Franco</w:t>
      </w:r>
      <w:r w:rsidRPr="000F73D2">
        <w:rPr>
          <w:vertAlign w:val="superscript"/>
        </w:rPr>
        <w:t>5</w:t>
      </w:r>
      <w:r>
        <w:t>, Albert Hofman</w:t>
      </w:r>
      <w:r w:rsidRPr="000F73D2">
        <w:rPr>
          <w:vertAlign w:val="superscript"/>
        </w:rPr>
        <w:t>5</w:t>
      </w:r>
      <w:r>
        <w:t>, Evangelos Evangelou</w:t>
      </w:r>
      <w:r>
        <w:rPr>
          <w:vertAlign w:val="superscript"/>
        </w:rPr>
        <w:t>6,1</w:t>
      </w:r>
      <w:r>
        <w:t>, Ioanna Tzoulaki</w:t>
      </w:r>
      <w:r w:rsidRPr="00F96863">
        <w:rPr>
          <w:vertAlign w:val="superscript"/>
        </w:rPr>
        <w:t>1,</w:t>
      </w:r>
      <w:r>
        <w:rPr>
          <w:vertAlign w:val="superscript"/>
        </w:rPr>
        <w:t>6</w:t>
      </w:r>
      <w:r>
        <w:t xml:space="preserve">, </w:t>
      </w:r>
      <w:r w:rsidRPr="00EF704A">
        <w:t>Paul Elliott</w:t>
      </w:r>
      <w:r w:rsidRPr="00EF704A">
        <w:rPr>
          <w:vertAlign w:val="superscript"/>
        </w:rPr>
        <w:t>1</w:t>
      </w:r>
      <w:r w:rsidRPr="00EF704A">
        <w:t xml:space="preserve">, </w:t>
      </w:r>
      <w:r>
        <w:t>John C. Lindon</w:t>
      </w:r>
      <w:r w:rsidRPr="00042252">
        <w:rPr>
          <w:vertAlign w:val="superscript"/>
        </w:rPr>
        <w:t>2</w:t>
      </w:r>
      <w:r>
        <w:rPr>
          <w:vertAlign w:val="superscript"/>
        </w:rPr>
        <w:t>,4</w:t>
      </w:r>
      <w:r>
        <w:t xml:space="preserve">, and </w:t>
      </w:r>
      <w:r w:rsidRPr="00EF704A">
        <w:t>Timothy M.</w:t>
      </w:r>
      <w:r>
        <w:t xml:space="preserve"> D.</w:t>
      </w:r>
      <w:r w:rsidRPr="00EF704A">
        <w:t xml:space="preserve"> </w:t>
      </w:r>
      <w:r w:rsidRPr="00C02D17">
        <w:t>Ebbels</w:t>
      </w:r>
      <w:r>
        <w:rPr>
          <w:vertAlign w:val="superscript"/>
        </w:rPr>
        <w:t>2,</w:t>
      </w:r>
      <w:r w:rsidRPr="00C02D17">
        <w:rPr>
          <w:vertAlign w:val="superscript"/>
        </w:rPr>
        <w:t>4</w:t>
      </w:r>
      <w:r>
        <w:rPr>
          <w:vertAlign w:val="superscript"/>
        </w:rPr>
        <w:t>*</w:t>
      </w:r>
    </w:p>
    <w:p w14:paraId="1F6ADE5E" w14:textId="77777777" w:rsidR="0030630C" w:rsidRDefault="0030630C" w:rsidP="003D6E39">
      <w:pPr>
        <w:pStyle w:val="BCAuthorAddress"/>
      </w:pPr>
      <w:r w:rsidRPr="00EF704A">
        <w:rPr>
          <w:vertAlign w:val="superscript"/>
        </w:rPr>
        <w:t>1</w:t>
      </w:r>
      <w:r w:rsidRPr="00EF704A">
        <w:t xml:space="preserve"> </w:t>
      </w:r>
      <w:r w:rsidRPr="0004624E">
        <w:t>Medical Research Council</w:t>
      </w:r>
      <w:r>
        <w:t xml:space="preserve"> </w:t>
      </w:r>
      <w:r w:rsidRPr="0004624E">
        <w:t>–</w:t>
      </w:r>
      <w:r>
        <w:t xml:space="preserve"> </w:t>
      </w:r>
      <w:r w:rsidRPr="0004624E">
        <w:t xml:space="preserve">Public Health England </w:t>
      </w:r>
      <w:r>
        <w:t>(MRC</w:t>
      </w:r>
      <w:r w:rsidRPr="0004624E">
        <w:t>–</w:t>
      </w:r>
      <w:r>
        <w:t xml:space="preserve">PHE) Centre for Environment and Health, </w:t>
      </w:r>
      <w:r w:rsidRPr="00EF704A">
        <w:t>Department of Epidemiology and Biostatistics, School of Public Health, Imperial College London, St Mary’s Campus, Norfolk Place, W2 1PG, London, United Kingdom</w:t>
      </w:r>
    </w:p>
    <w:p w14:paraId="61E18BFC" w14:textId="77777777" w:rsidR="0030630C" w:rsidRDefault="0030630C" w:rsidP="00475B73">
      <w:pPr>
        <w:pStyle w:val="BCAuthorAddress"/>
      </w:pPr>
      <w:r>
        <w:rPr>
          <w:vertAlign w:val="superscript"/>
        </w:rPr>
        <w:t>2</w:t>
      </w:r>
      <w:r>
        <w:t xml:space="preserve"> </w:t>
      </w:r>
      <w:proofErr w:type="spellStart"/>
      <w:r w:rsidRPr="00C02D17">
        <w:t>Metabometrix</w:t>
      </w:r>
      <w:proofErr w:type="spellEnd"/>
      <w:r w:rsidRPr="00C02D17">
        <w:t xml:space="preserve"> Ltd, </w:t>
      </w:r>
      <w:proofErr w:type="spellStart"/>
      <w:r w:rsidRPr="00C02D17">
        <w:t>Bioincubator</w:t>
      </w:r>
      <w:proofErr w:type="spellEnd"/>
      <w:r w:rsidRPr="00C02D17">
        <w:t xml:space="preserve"> Unit, Bessemer Building, Prince Consort Road, South Kensington, London SW7 2BP U</w:t>
      </w:r>
      <w:r>
        <w:t>K</w:t>
      </w:r>
    </w:p>
    <w:p w14:paraId="24C41DD9" w14:textId="77777777" w:rsidR="0030630C" w:rsidRPr="008F0C48" w:rsidRDefault="0030630C" w:rsidP="00475B73">
      <w:pPr>
        <w:pStyle w:val="BCAuthorAddress"/>
      </w:pPr>
      <w:r>
        <w:rPr>
          <w:vertAlign w:val="superscript"/>
        </w:rPr>
        <w:t>3</w:t>
      </w:r>
      <w:r>
        <w:t xml:space="preserve"> Department of Internal Medicine, Wake Forest School of Medicine, Medical Center Boulevard, Winston-Salem, NC 27157, USA</w:t>
      </w:r>
    </w:p>
    <w:p w14:paraId="12B9E128" w14:textId="77777777" w:rsidR="0030630C" w:rsidRDefault="0030630C" w:rsidP="00F96863">
      <w:pPr>
        <w:pStyle w:val="BCAuthorAddress"/>
      </w:pPr>
      <w:r>
        <w:rPr>
          <w:vertAlign w:val="superscript"/>
        </w:rPr>
        <w:t>4</w:t>
      </w:r>
      <w:r w:rsidRPr="00EF704A">
        <w:t xml:space="preserve"> </w:t>
      </w:r>
      <w:r>
        <w:t xml:space="preserve">Computational and Systems Medicine, </w:t>
      </w:r>
      <w:r w:rsidRPr="00EF704A">
        <w:t>Department of Surgery and Cancer, Faculty of Medicine, Imperial College London, Sir Alexander Fleming Building, South Kensington, SW7 2AZ, London, United Kingdom</w:t>
      </w:r>
    </w:p>
    <w:p w14:paraId="7FFF6E67" w14:textId="77777777" w:rsidR="0030630C" w:rsidRPr="000F73D2" w:rsidRDefault="0030630C" w:rsidP="000F73D2">
      <w:pPr>
        <w:pStyle w:val="BCAuthorAddress"/>
      </w:pPr>
      <w:r w:rsidRPr="000F73D2">
        <w:rPr>
          <w:vertAlign w:val="superscript"/>
        </w:rPr>
        <w:lastRenderedPageBreak/>
        <w:t>5</w:t>
      </w:r>
      <w:r>
        <w:t xml:space="preserve"> </w:t>
      </w:r>
      <w:r w:rsidRPr="000F73D2">
        <w:t xml:space="preserve">Department of Epidemiology, Erasmus University, Erasmus Medical Center, </w:t>
      </w:r>
      <w:proofErr w:type="spellStart"/>
      <w:r w:rsidRPr="000F73D2">
        <w:t>Dr</w:t>
      </w:r>
      <w:proofErr w:type="spellEnd"/>
      <w:r w:rsidRPr="000F73D2">
        <w:t xml:space="preserve"> </w:t>
      </w:r>
      <w:proofErr w:type="spellStart"/>
      <w:r w:rsidRPr="000F73D2">
        <w:t>Molewaterplein</w:t>
      </w:r>
      <w:proofErr w:type="spellEnd"/>
      <w:r w:rsidRPr="000F73D2">
        <w:t xml:space="preserve"> 50, </w:t>
      </w:r>
      <w:r>
        <w:t xml:space="preserve">3015 </w:t>
      </w:r>
      <w:r w:rsidRPr="000F73D2">
        <w:t>GE Rotterdam, Netherlands</w:t>
      </w:r>
    </w:p>
    <w:p w14:paraId="053B7270" w14:textId="77777777" w:rsidR="0030630C" w:rsidRDefault="0030630C" w:rsidP="00517B2D">
      <w:pPr>
        <w:pStyle w:val="BCAuthorAddress"/>
        <w:rPr>
          <w:rStyle w:val="BDAbstractTitleChar"/>
        </w:rPr>
      </w:pPr>
      <w:r>
        <w:rPr>
          <w:vertAlign w:val="superscript"/>
        </w:rPr>
        <w:t>6</w:t>
      </w:r>
      <w:r w:rsidRPr="00F96863">
        <w:t xml:space="preserve"> Department of Hygiene and Epidemiology, University of Ioannina School of Medicine, University Campus, P.O. Box 1186, 45110 Ioannina, Greece</w:t>
      </w:r>
    </w:p>
    <w:p w14:paraId="54A1E078" w14:textId="77777777" w:rsidR="0030630C" w:rsidRDefault="0030630C" w:rsidP="0001569D">
      <w:pPr>
        <w:pStyle w:val="BDAbstract"/>
        <w:rPr>
          <w:rStyle w:val="BDAbstractTitleChar"/>
        </w:rPr>
        <w:sectPr w:rsidR="0030630C" w:rsidSect="00041D16">
          <w:headerReference w:type="even" r:id="rId7"/>
          <w:headerReference w:type="default" r:id="rId8"/>
          <w:footerReference w:type="even" r:id="rId9"/>
          <w:footerReference w:type="default" r:id="rId10"/>
          <w:pgSz w:w="11906" w:h="16838"/>
          <w:pgMar w:top="1440" w:right="1440" w:bottom="1440" w:left="1440" w:header="708" w:footer="708" w:gutter="0"/>
          <w:cols w:space="708"/>
          <w:docGrid w:linePitch="360"/>
        </w:sectPr>
      </w:pPr>
    </w:p>
    <w:p w14:paraId="612D34C2" w14:textId="77777777" w:rsidR="0030630C" w:rsidRDefault="0030630C" w:rsidP="0001569D">
      <w:pPr>
        <w:pStyle w:val="BDAbstract"/>
      </w:pPr>
      <w:r w:rsidRPr="00EF704A">
        <w:rPr>
          <w:rStyle w:val="BDAbstractTitleChar"/>
        </w:rPr>
        <w:lastRenderedPageBreak/>
        <w:t>ABSTRACT</w:t>
      </w:r>
    </w:p>
    <w:p w14:paraId="1E4DD62A" w14:textId="77777777" w:rsidR="0030630C" w:rsidRDefault="0030630C" w:rsidP="004A4DB0">
      <w:pPr>
        <w:pStyle w:val="BDAbstract"/>
      </w:pPr>
      <w:r>
        <w:t xml:space="preserve">Large-scale metabolomics studies involving thousands of samples present multiple challenges in data analysis, particularly when an untargeted platform is used. Studies with multiple cohorts and analysis platforms exacerbate existing problems such as peak alignment and normalization. Therefore, there is a need for robust processing pipelines which can ensure reliable data for statistical analysis. The COMBI-BIO project incorporates serum from approximately 8000 individuals, in 3 cohorts, profiled by 6 assays in 2 phases using both </w:t>
      </w:r>
      <w:r w:rsidRPr="00BF539D">
        <w:rPr>
          <w:vertAlign w:val="superscript"/>
        </w:rPr>
        <w:t>1</w:t>
      </w:r>
      <w:r>
        <w:t xml:space="preserve">H-NMR and UPLC-MS. Here we present the COMBI-BIO NMR analysis pipeline and demonstrate its fitness for purpose using representative quality control (QC) samples. NMR spectra were first aligned and normalized. After eliminating interfering signals, outliers identified using </w:t>
      </w:r>
      <w:proofErr w:type="spellStart"/>
      <w:r>
        <w:t>Hotelling’s</w:t>
      </w:r>
      <w:proofErr w:type="spellEnd"/>
      <w:r>
        <w:t xml:space="preserve"> T</w:t>
      </w:r>
      <w:r w:rsidRPr="00BF539D">
        <w:rPr>
          <w:vertAlign w:val="superscript"/>
        </w:rPr>
        <w:t>2</w:t>
      </w:r>
      <w:r>
        <w:t xml:space="preserve"> were removed and a cohort/phase adjustment was applied, resulting in two NMR datasets (CPMG and NOESY). Alignment of the NMR data was shown to increase the correlation-based alignment</w:t>
      </w:r>
      <w:r w:rsidRPr="0004624E">
        <w:t xml:space="preserve"> </w:t>
      </w:r>
      <w:r>
        <w:t xml:space="preserve">quality measure from 0.319 to 0.391 for CPMG and from 0.536 to 0.586 for NOESY, showing that the improvement was present across both large and small peaks. End-to-end quality assessment of the pipeline was achieved using </w:t>
      </w:r>
      <w:proofErr w:type="spellStart"/>
      <w:r>
        <w:t>Hotelling’s</w:t>
      </w:r>
      <w:proofErr w:type="spellEnd"/>
      <w:r>
        <w:t xml:space="preserve"> T</w:t>
      </w:r>
      <w:r w:rsidRPr="00FA2478">
        <w:rPr>
          <w:vertAlign w:val="superscript"/>
        </w:rPr>
        <w:t>2</w:t>
      </w:r>
      <w:r>
        <w:t xml:space="preserve"> distributions. For CPMG spectra, the interquartile range decreased from 1.425 in raw QC data to 0.679 in processed spectra, while the corresponding change for NOESY spectra was from 0.795 to 0.636 indicating an improvement in precision following processing. PCA indicated that gross phase and cohort differences were no longer present. These results illustrate that the pipeline produces robust and reproducible data, successfully addressing the methodological challenges of this large multi-faceted study.</w:t>
      </w:r>
    </w:p>
    <w:p w14:paraId="2B1DBB03" w14:textId="77777777" w:rsidR="0030630C" w:rsidRDefault="0030630C" w:rsidP="008B6F5E">
      <w:pPr>
        <w:pStyle w:val="TAMainText"/>
      </w:pPr>
      <w:r w:rsidRPr="004A4DB0">
        <w:rPr>
          <w:b/>
        </w:rPr>
        <w:t>Keywords:</w:t>
      </w:r>
      <w:r w:rsidRPr="008B6F5E">
        <w:t xml:space="preserve"> </w:t>
      </w:r>
      <w:r>
        <w:t>metabolomics, NMR, preprocessing, normalization, alignment, quality control, multi-cohort, epidemiology, large-scale.</w:t>
      </w:r>
    </w:p>
    <w:p w14:paraId="2E9C2CF2" w14:textId="77777777" w:rsidR="0030630C" w:rsidRDefault="0030630C">
      <w:pPr>
        <w:spacing w:after="0"/>
        <w:jc w:val="left"/>
        <w:rPr>
          <w:rFonts w:ascii="Myriad Pro Light" w:hAnsi="Myriad Pro Light"/>
          <w:b/>
          <w:caps/>
          <w:sz w:val="21"/>
          <w:szCs w:val="18"/>
        </w:rPr>
      </w:pPr>
      <w:r>
        <w:br w:type="page"/>
      </w:r>
    </w:p>
    <w:p w14:paraId="38750500" w14:textId="77777777" w:rsidR="0030630C" w:rsidRPr="00EF704A" w:rsidRDefault="0030630C" w:rsidP="005C6CF8">
      <w:pPr>
        <w:pStyle w:val="TESectionHeading"/>
      </w:pPr>
      <w:r w:rsidRPr="00EF704A">
        <w:lastRenderedPageBreak/>
        <w:t>INTRODUCTION</w:t>
      </w:r>
    </w:p>
    <w:p w14:paraId="7C4D969B" w14:textId="77777777" w:rsidR="0030630C" w:rsidRPr="00EF704A" w:rsidRDefault="0030630C" w:rsidP="0001569D">
      <w:pPr>
        <w:pStyle w:val="TAMainText"/>
      </w:pPr>
      <w:r>
        <w:t xml:space="preserve">Metabolic phenotyping using </w:t>
      </w:r>
      <w:r>
        <w:rPr>
          <w:vertAlign w:val="superscript"/>
        </w:rPr>
        <w:t>1</w:t>
      </w:r>
      <w:r>
        <w:t>H NMR spectroscopy is becoming a widely used approach in modern molecular epidemiology. Owing to its high reproducibility and quantitative accuracy, the technique is particularly amenable to assessing the metabolic status of individuals from large epidemiological cohorts</w:t>
      </w:r>
      <w:r w:rsidRPr="00E83FFA">
        <w:rPr>
          <w:noProof/>
          <w:vertAlign w:val="superscript"/>
        </w:rPr>
        <w:t>1</w:t>
      </w:r>
      <w:r>
        <w:t xml:space="preserve">. However, as study sizes increase, the challenge of obtaining high quality data from thousands of blood (plasma/serum) or urine samples becomes acute. The problems are particularly apparent in untargeted assays where the conventional approach of internal standards matched to each </w:t>
      </w:r>
      <w:proofErr w:type="spellStart"/>
      <w:r>
        <w:t>analyte</w:t>
      </w:r>
      <w:proofErr w:type="spellEnd"/>
      <w:r>
        <w:t xml:space="preserve"> of interest cannot be used. Further complications arise from studies combining multiple cohorts, leading to systematic differences in sample composition between the groups. Thus, there is a need for efficient and robust data processing pipelines which can address large and potentially heterogeneous study designs, to ensure reliable, quality controlled data for subsequent statistical analysis.</w:t>
      </w:r>
    </w:p>
    <w:p w14:paraId="4797AEB2" w14:textId="77777777" w:rsidR="0030630C" w:rsidRDefault="0030630C" w:rsidP="0001569D">
      <w:pPr>
        <w:pStyle w:val="TAMainText"/>
      </w:pPr>
      <w:r w:rsidRPr="00EF704A">
        <w:t xml:space="preserve">Pre-processing is </w:t>
      </w:r>
      <w:r>
        <w:t xml:space="preserve">an </w:t>
      </w:r>
      <w:r w:rsidRPr="00EF704A">
        <w:t xml:space="preserve">important and challenging step in </w:t>
      </w:r>
      <w:r>
        <w:t>metabolic phenotyping studies, and particularly so in metabolic epidemiology</w:t>
      </w:r>
      <w:r w:rsidRPr="00E83FFA">
        <w:rPr>
          <w:noProof/>
          <w:vertAlign w:val="superscript"/>
        </w:rPr>
        <w:t>2</w:t>
      </w:r>
      <w:r>
        <w:t>. Conventional</w:t>
      </w:r>
      <w:r w:rsidRPr="00EF704A">
        <w:t xml:space="preserve"> </w:t>
      </w:r>
      <w:r>
        <w:t>p</w:t>
      </w:r>
      <w:r w:rsidRPr="00EF704A">
        <w:t xml:space="preserve">re-processing </w:t>
      </w:r>
      <w:r>
        <w:t xml:space="preserve">of 1-dimensional </w:t>
      </w:r>
      <w:r w:rsidRPr="00EF704A">
        <w:t xml:space="preserve">NMR data </w:t>
      </w:r>
      <w:r>
        <w:t xml:space="preserve">includes </w:t>
      </w:r>
      <w:proofErr w:type="spellStart"/>
      <w:r>
        <w:t>apodization</w:t>
      </w:r>
      <w:proofErr w:type="spellEnd"/>
      <w:r>
        <w:t xml:space="preserve">, Fourier transform, </w:t>
      </w:r>
      <w:r w:rsidRPr="00EF704A">
        <w:t>baseline correction, phasing</w:t>
      </w:r>
      <w:r>
        <w:t xml:space="preserve"> and chemical shift calibration. In metabolic phenotyping, large numbers of spectra must be made comparable using tools such as</w:t>
      </w:r>
      <w:r w:rsidRPr="00EF704A">
        <w:t xml:space="preserve"> peak alignment, </w:t>
      </w:r>
      <w:r>
        <w:t>intensity</w:t>
      </w:r>
      <w:r w:rsidRPr="00EF704A">
        <w:t xml:space="preserve"> normalization. In addition, outlying samples and </w:t>
      </w:r>
      <w:r>
        <w:t xml:space="preserve">possible interfering signals </w:t>
      </w:r>
      <w:r w:rsidRPr="00EF704A">
        <w:t xml:space="preserve">need to be removed prior to statistical analysis. </w:t>
      </w:r>
      <w:r>
        <w:t>Large studies introduce further problems of accounting for instrument drift during long runs, batch differences, possible merging of data from multiple instruments, and the comparability of data from independent cohorts.</w:t>
      </w:r>
    </w:p>
    <w:p w14:paraId="2115BC35" w14:textId="77777777" w:rsidR="0030630C" w:rsidRDefault="0030630C" w:rsidP="0001569D">
      <w:pPr>
        <w:pStyle w:val="TAMainText"/>
      </w:pPr>
      <w:r>
        <w:t>Validation of chemical- and data-analytic protocols is difficult in untargeted metabolomics because of the wide range and unknown identity of the metabolites assayed. However, repeated analysis throughout the run using a quality control (QC) sample has become a standard approach to monitor precision of the measurements</w:t>
      </w:r>
      <w:r w:rsidRPr="00E83FFA">
        <w:rPr>
          <w:noProof/>
          <w:vertAlign w:val="superscript"/>
        </w:rPr>
        <w:t>3, 4</w:t>
      </w:r>
      <w:r>
        <w:t>.</w:t>
      </w:r>
      <w:r w:rsidRPr="00EF704A">
        <w:t xml:space="preserve"> </w:t>
      </w:r>
      <w:r>
        <w:t xml:space="preserve">QC samples can be prepared from a pool of the study samples or by use of a </w:t>
      </w:r>
      <w:r>
        <w:lastRenderedPageBreak/>
        <w:t xml:space="preserve">representative standard reference material. Since the QC sample is of constant composition, any variation in QC measurements can be used both to monitor and correct for measurement errors. </w:t>
      </w:r>
    </w:p>
    <w:p w14:paraId="59E1F30D" w14:textId="77777777" w:rsidR="0030630C" w:rsidRDefault="0030630C" w:rsidP="0001569D">
      <w:pPr>
        <w:pStyle w:val="TAMainText"/>
      </w:pPr>
      <w:r w:rsidRPr="00EF704A">
        <w:t xml:space="preserve">In this paper, we </w:t>
      </w:r>
      <w:r>
        <w:t>present</w:t>
      </w:r>
      <w:r w:rsidRPr="00EF704A">
        <w:t xml:space="preserve"> a workflow </w:t>
      </w:r>
      <w:r>
        <w:t>for</w:t>
      </w:r>
      <w:r w:rsidRPr="00EF704A">
        <w:t xml:space="preserve"> pre-processing </w:t>
      </w:r>
      <w:r>
        <w:t xml:space="preserve">1-dimensional </w:t>
      </w:r>
      <w:r w:rsidRPr="00832C92">
        <w:rPr>
          <w:vertAlign w:val="superscript"/>
        </w:rPr>
        <w:t>1</w:t>
      </w:r>
      <w:r>
        <w:t xml:space="preserve">H </w:t>
      </w:r>
      <w:r w:rsidRPr="000461AA">
        <w:t>NMR</w:t>
      </w:r>
      <w:r w:rsidRPr="00EF704A">
        <w:t xml:space="preserve"> data from </w:t>
      </w:r>
      <w:r>
        <w:t xml:space="preserve">large </w:t>
      </w:r>
      <w:r w:rsidRPr="00EF704A">
        <w:t xml:space="preserve">multiple cohort studies. </w:t>
      </w:r>
      <w:r>
        <w:t>W</w:t>
      </w:r>
      <w:r w:rsidRPr="00EF704A">
        <w:t xml:space="preserve">e focus on data </w:t>
      </w:r>
      <w:r>
        <w:t xml:space="preserve">from the COMBI-BIO project, in which ~8000 individuals from three cohorts were profiled by both </w:t>
      </w:r>
      <w:r w:rsidRPr="00832C92">
        <w:rPr>
          <w:vertAlign w:val="superscript"/>
        </w:rPr>
        <w:t>1</w:t>
      </w:r>
      <w:r>
        <w:t xml:space="preserve">H </w:t>
      </w:r>
      <w:r w:rsidRPr="000461AA">
        <w:t>NMR</w:t>
      </w:r>
      <w:r w:rsidRPr="00EF704A">
        <w:t xml:space="preserve"> </w:t>
      </w:r>
      <w:r>
        <w:t xml:space="preserve">and liquid chromatography - mass spectrometry with the aim of discovering serum metabolic biomarkers of pre-clinical atherosclerosis. </w:t>
      </w:r>
      <w:r w:rsidRPr="00EF704A">
        <w:t xml:space="preserve">To our knowledge, </w:t>
      </w:r>
      <w:r>
        <w:t>this is the largest multi-cohort, multi-platform (NMR and LC-MS) untargeted study performed to date. Thus our suggested pre-processing pipeline will be of interest to researchers designing similar large studies using NMR.</w:t>
      </w:r>
    </w:p>
    <w:p w14:paraId="4C362399" w14:textId="77777777" w:rsidR="0030630C" w:rsidRPr="00EF704A" w:rsidRDefault="0030630C" w:rsidP="005C6CF8">
      <w:pPr>
        <w:pStyle w:val="TESectionHeading"/>
      </w:pPr>
      <w:r>
        <w:t>MATERIALS AND METHODS</w:t>
      </w:r>
    </w:p>
    <w:p w14:paraId="5400714F" w14:textId="77777777" w:rsidR="0030630C" w:rsidRPr="00F7089D" w:rsidRDefault="0030630C" w:rsidP="0001569D">
      <w:pPr>
        <w:pStyle w:val="TAMainText"/>
        <w:rPr>
          <w:i/>
        </w:rPr>
      </w:pPr>
      <w:r w:rsidRPr="00F7089D">
        <w:rPr>
          <w:i/>
        </w:rPr>
        <w:t>Study population</w:t>
      </w:r>
    </w:p>
    <w:p w14:paraId="3007BD8A" w14:textId="77777777" w:rsidR="0030630C" w:rsidRDefault="0030630C" w:rsidP="0001569D">
      <w:pPr>
        <w:pStyle w:val="TAMainText"/>
      </w:pPr>
      <w:r>
        <w:t>W</w:t>
      </w:r>
      <w:r w:rsidRPr="00EF704A">
        <w:t xml:space="preserve">e used serum samples from randomly selected individuals from three </w:t>
      </w:r>
      <w:r>
        <w:t xml:space="preserve">population-based </w:t>
      </w:r>
      <w:r w:rsidRPr="00EF704A">
        <w:t>cohorts: LOLIPOP</w:t>
      </w:r>
      <w:r w:rsidRPr="00E83FFA">
        <w:rPr>
          <w:noProof/>
          <w:vertAlign w:val="superscript"/>
        </w:rPr>
        <w:t>5</w:t>
      </w:r>
      <w:r w:rsidRPr="00EF704A">
        <w:t xml:space="preserve"> (The London Life Sciences Prospective Population</w:t>
      </w:r>
      <w:r>
        <w:t>, UK</w:t>
      </w:r>
      <w:r w:rsidRPr="00EF704A">
        <w:t>), MESA</w:t>
      </w:r>
      <w:r w:rsidRPr="00E83FFA">
        <w:rPr>
          <w:noProof/>
          <w:vertAlign w:val="superscript"/>
        </w:rPr>
        <w:t>6</w:t>
      </w:r>
      <w:r w:rsidRPr="00EF704A">
        <w:t xml:space="preserve"> (The Multi-Ethnic Study of Atherosclerosis</w:t>
      </w:r>
      <w:r>
        <w:t>, USA</w:t>
      </w:r>
      <w:r w:rsidRPr="00EF704A">
        <w:t xml:space="preserve">) and </w:t>
      </w:r>
      <w:r>
        <w:t>ROTTERDAM</w:t>
      </w:r>
      <w:r w:rsidRPr="00E83FFA">
        <w:rPr>
          <w:noProof/>
          <w:vertAlign w:val="superscript"/>
        </w:rPr>
        <w:t>7</w:t>
      </w:r>
      <w:r>
        <w:t xml:space="preserve"> (The Rotterdam Study, The Netherlands)</w:t>
      </w:r>
      <w:r w:rsidRPr="00EF704A">
        <w:t xml:space="preserve">. </w:t>
      </w:r>
      <w:r>
        <w:t xml:space="preserve">The COMBI-BIO project combined these three cross-sectional populations with the aim of detecting combinatorial biomarkers of pre-clinical atherosclerosis, using coronary artery calcium and inter-media thickness as predictive outcomes. Ethical approval was obtained separately for each cohort, by local ethical review boards, and subsequent analysis was conducted in full accordance with the ethical approval obtained. The serum samples of LOLIPOP and MESA were stored at -80 </w:t>
      </w:r>
      <w:r>
        <w:sym w:font="Symbol" w:char="F0B0"/>
      </w:r>
      <w:r>
        <w:t>C after collection</w:t>
      </w:r>
      <w:r w:rsidRPr="007B614F">
        <w:t xml:space="preserve"> </w:t>
      </w:r>
      <w:r>
        <w:t xml:space="preserve">whereas the samples of ROTTERDAM were stored at -20 </w:t>
      </w:r>
      <w:r>
        <w:sym w:font="Symbol" w:char="F0B0"/>
      </w:r>
      <w:r>
        <w:t xml:space="preserve">C. </w:t>
      </w:r>
      <w:r w:rsidRPr="00EF704A">
        <w:t xml:space="preserve">The </w:t>
      </w:r>
      <w:r>
        <w:t>collection period of samples</w:t>
      </w:r>
      <w:r w:rsidRPr="00EF704A">
        <w:t xml:space="preserve"> for LOLIPOP was 2002-2008; for MESA it was 2000-2002 and for </w:t>
      </w:r>
      <w:r>
        <w:t>ROTTERDAM</w:t>
      </w:r>
      <w:r w:rsidRPr="00EF704A">
        <w:t xml:space="preserve"> it was 199</w:t>
      </w:r>
      <w:r>
        <w:t>7</w:t>
      </w:r>
      <w:r w:rsidRPr="00EF704A">
        <w:t>-</w:t>
      </w:r>
      <w:r>
        <w:t>1999</w:t>
      </w:r>
      <w:r w:rsidRPr="00EF704A">
        <w:t xml:space="preserve">. The age range of the participants </w:t>
      </w:r>
      <w:r>
        <w:t xml:space="preserve">at the time of recruitment </w:t>
      </w:r>
      <w:r w:rsidRPr="00EF704A">
        <w:t xml:space="preserve">was 35-74 for LOLIPOP, 45-84 for MESA and 55-85 for </w:t>
      </w:r>
      <w:r>
        <w:t>ROTTERDAM</w:t>
      </w:r>
      <w:r w:rsidRPr="00EF704A">
        <w:t xml:space="preserve">. In total, </w:t>
      </w:r>
      <w:r>
        <w:t>7773</w:t>
      </w:r>
      <w:r w:rsidRPr="00EF704A">
        <w:t xml:space="preserve"> serum samples </w:t>
      </w:r>
      <w:r>
        <w:t xml:space="preserve">were </w:t>
      </w:r>
      <w:r w:rsidRPr="00EF704A">
        <w:t>analyzed in two phases</w:t>
      </w:r>
      <w:r>
        <w:t xml:space="preserve"> over a period of approximately one year</w:t>
      </w:r>
      <w:r w:rsidRPr="00EF704A">
        <w:t xml:space="preserve">. </w:t>
      </w:r>
      <w:r>
        <w:t>P</w:t>
      </w:r>
      <w:r w:rsidRPr="00EF704A">
        <w:t>hase</w:t>
      </w:r>
      <w:r>
        <w:t xml:space="preserve"> 1 </w:t>
      </w:r>
      <w:r>
        <w:lastRenderedPageBreak/>
        <w:t>corresponded to 3964</w:t>
      </w:r>
      <w:r w:rsidRPr="00EF704A">
        <w:t xml:space="preserve"> samples (LOLIPOP: </w:t>
      </w:r>
      <w:r>
        <w:t>998</w:t>
      </w:r>
      <w:r w:rsidRPr="00EF704A">
        <w:t xml:space="preserve">, MESA: </w:t>
      </w:r>
      <w:r>
        <w:t>1976</w:t>
      </w:r>
      <w:r w:rsidRPr="00EF704A">
        <w:t xml:space="preserve">, </w:t>
      </w:r>
      <w:r>
        <w:t>ROTTERDAM</w:t>
      </w:r>
      <w:r w:rsidRPr="00EF704A">
        <w:t xml:space="preserve">: </w:t>
      </w:r>
      <w:r>
        <w:t>990</w:t>
      </w:r>
      <w:r w:rsidRPr="00EF704A">
        <w:t>)</w:t>
      </w:r>
      <w:r>
        <w:t xml:space="preserve"> and phase 2 corresponded to 3809 (</w:t>
      </w:r>
      <w:r w:rsidRPr="00EF704A">
        <w:t xml:space="preserve">LOLIPOP: </w:t>
      </w:r>
      <w:r>
        <w:t>987</w:t>
      </w:r>
      <w:r w:rsidRPr="00EF704A">
        <w:t xml:space="preserve">, MESA: </w:t>
      </w:r>
      <w:r>
        <w:t>1982</w:t>
      </w:r>
      <w:r w:rsidRPr="00EF704A">
        <w:t xml:space="preserve">, </w:t>
      </w:r>
      <w:r>
        <w:t>ROTTERDAM</w:t>
      </w:r>
      <w:r w:rsidRPr="00EF704A">
        <w:t xml:space="preserve">: </w:t>
      </w:r>
      <w:r>
        <w:t>840)</w:t>
      </w:r>
      <w:r w:rsidRPr="00EF704A">
        <w:t>.</w:t>
      </w:r>
      <w:r>
        <w:t xml:space="preserve"> </w:t>
      </w:r>
    </w:p>
    <w:p w14:paraId="33FF28CE" w14:textId="77777777" w:rsidR="0030630C" w:rsidRPr="00F7089D" w:rsidRDefault="0030630C" w:rsidP="0001569D">
      <w:pPr>
        <w:pStyle w:val="TAMainText"/>
        <w:rPr>
          <w:i/>
        </w:rPr>
      </w:pPr>
      <w:r w:rsidRPr="00F7089D">
        <w:rPr>
          <w:i/>
        </w:rPr>
        <w:t xml:space="preserve">Preparation of samples, including quality controls (QCs) </w:t>
      </w:r>
    </w:p>
    <w:p w14:paraId="5ECD4039" w14:textId="77777777" w:rsidR="0030630C" w:rsidRDefault="0030630C" w:rsidP="0001569D">
      <w:pPr>
        <w:pStyle w:val="TAMainText"/>
      </w:pPr>
      <w:r>
        <w:t>Study s</w:t>
      </w:r>
      <w:r w:rsidRPr="007B614F">
        <w:t xml:space="preserve">amples were shipped on dry ice </w:t>
      </w:r>
      <w:r>
        <w:t xml:space="preserve">and stored at -80 </w:t>
      </w:r>
      <w:r>
        <w:sym w:font="Symbol" w:char="F0B0"/>
      </w:r>
      <w:r>
        <w:t>C</w:t>
      </w:r>
      <w:r w:rsidRPr="007B614F">
        <w:t xml:space="preserve"> </w:t>
      </w:r>
      <w:r>
        <w:t>upon arrival until NMR</w:t>
      </w:r>
      <w:r w:rsidRPr="007B614F">
        <w:t xml:space="preserve"> analysis.</w:t>
      </w:r>
    </w:p>
    <w:p w14:paraId="0325BF4D" w14:textId="77777777" w:rsidR="0030630C" w:rsidRDefault="0030630C" w:rsidP="0001569D">
      <w:pPr>
        <w:pStyle w:val="TAMainText"/>
      </w:pPr>
      <w:r>
        <w:t>Two types of QC samples were used to monitor the quality of the NMR data. QC1 samples were derived from a commercially available serum (h</w:t>
      </w:r>
      <w:r w:rsidRPr="008E476C">
        <w:t>uman serum</w:t>
      </w:r>
      <w:r>
        <w:t>,</w:t>
      </w:r>
      <w:r w:rsidRPr="008E476C">
        <w:t xml:space="preserve"> off the clot</w:t>
      </w:r>
      <w:r>
        <w:t>,</w:t>
      </w:r>
      <w:r w:rsidRPr="008E476C">
        <w:t xml:space="preserve"> type AB</w:t>
      </w:r>
      <w:r>
        <w:t xml:space="preserve">, VWR catalog number </w:t>
      </w:r>
      <w:r w:rsidRPr="008E476C">
        <w:t>BCHRS01049.2-01</w:t>
      </w:r>
      <w:r>
        <w:t xml:space="preserve">, VWR International Ltd, UK). QC1 samples were the only QCs used in phase 1 due to the limited sample volume present for some cohorts and the need to retain as much volume as possible for contingencies. In phase 2, unused volume from phase 1 LOLIPOP samples were used to create a study specific QC2 by pooling equal 50 </w:t>
      </w:r>
      <w:r>
        <w:sym w:font="Symbol" w:char="F06D"/>
      </w:r>
      <w:r>
        <w:t xml:space="preserve">l aliquots. All QC pools were aliquoted in 350 </w:t>
      </w:r>
      <w:proofErr w:type="spellStart"/>
      <w:r>
        <w:t>μl</w:t>
      </w:r>
      <w:proofErr w:type="spellEnd"/>
      <w:r>
        <w:t xml:space="preserve"> lots and stored at -80 </w:t>
      </w:r>
      <w:r>
        <w:sym w:font="Symbol" w:char="F0B0"/>
      </w:r>
      <w:r>
        <w:t>C prior to analysis. In the results, the study samples are labeled as STY.</w:t>
      </w:r>
    </w:p>
    <w:p w14:paraId="5A28925C" w14:textId="77777777" w:rsidR="0030630C" w:rsidRDefault="0030630C" w:rsidP="0001569D">
      <w:pPr>
        <w:pStyle w:val="TAMainText"/>
      </w:pPr>
      <w:r>
        <w:t xml:space="preserve">Both QC and study samples were thawed on the day prior to analysis. 300 </w:t>
      </w:r>
      <w:proofErr w:type="spellStart"/>
      <w:r>
        <w:t>μl</w:t>
      </w:r>
      <w:proofErr w:type="spellEnd"/>
      <w:r>
        <w:t xml:space="preserve"> of each sample was mixed with 300 </w:t>
      </w:r>
      <w:proofErr w:type="spellStart"/>
      <w:r>
        <w:t>μl</w:t>
      </w:r>
      <w:proofErr w:type="spellEnd"/>
      <w:r>
        <w:t xml:space="preserve"> of phosphate buffer (NaHPO</w:t>
      </w:r>
      <w:r w:rsidRPr="005E57C9">
        <w:rPr>
          <w:vertAlign w:val="subscript"/>
        </w:rPr>
        <w:t>4</w:t>
      </w:r>
      <w:r>
        <w:t>, 0.075M, pH=7.4, as described previously</w:t>
      </w:r>
      <w:r w:rsidRPr="00E83FFA">
        <w:rPr>
          <w:noProof/>
          <w:vertAlign w:val="superscript"/>
        </w:rPr>
        <w:t>1</w:t>
      </w:r>
      <w:r>
        <w:t xml:space="preserve">) in </w:t>
      </w:r>
      <w:proofErr w:type="spellStart"/>
      <w:r>
        <w:t>Eppendorfs</w:t>
      </w:r>
      <w:proofErr w:type="spellEnd"/>
      <w:r>
        <w:t xml:space="preserve"> for the phase 1 analysis, and in 96 well plates for the phase 2 analysis. After centrifugation (12,000 g at 4 </w:t>
      </w:r>
      <w:r>
        <w:sym w:font="Symbol" w:char="F0B0"/>
      </w:r>
      <w:r>
        <w:t xml:space="preserve">C for 5 minutes), 550 </w:t>
      </w:r>
      <w:proofErr w:type="spellStart"/>
      <w:r>
        <w:t>μl</w:t>
      </w:r>
      <w:proofErr w:type="spellEnd"/>
      <w:r>
        <w:t xml:space="preserve"> of each sample-buffer mixture was manually transferred into </w:t>
      </w:r>
      <w:proofErr w:type="spellStart"/>
      <w:r>
        <w:t>SampleJet</w:t>
      </w:r>
      <w:proofErr w:type="spellEnd"/>
      <w:r>
        <w:t xml:space="preserve"> 5 mm diameter NMR tubes and kept at 4 </w:t>
      </w:r>
      <w:r>
        <w:sym w:font="Symbol" w:char="F0B0"/>
      </w:r>
      <w:r>
        <w:t>C until analysis. In phase 1 one QC1 sample was incorporated in each 96 tube rack. In phase 2, a single QC2 sample was run in each 96 well plate, and a single QC1 sample was run every two plates. In the following, we call each combination of phase and cohort a ‘batch’, since each batch of samples were analyzed in a continuous run on the instrument.</w:t>
      </w:r>
    </w:p>
    <w:p w14:paraId="6183C5C3" w14:textId="77777777" w:rsidR="0030630C" w:rsidRPr="00F7089D" w:rsidRDefault="0030630C" w:rsidP="0001569D">
      <w:pPr>
        <w:pStyle w:val="TAMainText"/>
        <w:rPr>
          <w:i/>
        </w:rPr>
      </w:pPr>
      <w:r w:rsidRPr="00F7089D">
        <w:rPr>
          <w:i/>
        </w:rPr>
        <w:t>NMR data acquisition</w:t>
      </w:r>
    </w:p>
    <w:p w14:paraId="1746C1BA" w14:textId="77777777" w:rsidR="0030630C" w:rsidRDefault="0030630C" w:rsidP="0001569D">
      <w:pPr>
        <w:pStyle w:val="TAMainText"/>
        <w:rPr>
          <w:rFonts w:ascii="Myriad Pro Light" w:hAnsi="Myriad Pro Light"/>
          <w:b/>
          <w:caps/>
          <w:kern w:val="20"/>
          <w:sz w:val="21"/>
          <w:szCs w:val="18"/>
        </w:rPr>
      </w:pPr>
      <w:r>
        <w:t xml:space="preserve">All </w:t>
      </w:r>
      <w:r w:rsidRPr="00042252">
        <w:rPr>
          <w:vertAlign w:val="superscript"/>
        </w:rPr>
        <w:t>1</w:t>
      </w:r>
      <w:r>
        <w:t>H NMR spectra were acquired</w:t>
      </w:r>
      <w:r w:rsidRPr="00EF704A">
        <w:t xml:space="preserve"> </w:t>
      </w:r>
      <w:r>
        <w:t xml:space="preserve">on the same Bruker DRX600 spectrometer (Bruker </w:t>
      </w:r>
      <w:proofErr w:type="spellStart"/>
      <w:r>
        <w:t>Biospin</w:t>
      </w:r>
      <w:proofErr w:type="spellEnd"/>
      <w:r>
        <w:t xml:space="preserve">, </w:t>
      </w:r>
      <w:proofErr w:type="spellStart"/>
      <w:r>
        <w:t>Rheinstetten</w:t>
      </w:r>
      <w:proofErr w:type="spellEnd"/>
      <w:r>
        <w:t xml:space="preserve">, Germany) operating at 600 </w:t>
      </w:r>
      <w:proofErr w:type="spellStart"/>
      <w:r>
        <w:t>MHz.</w:t>
      </w:r>
      <w:proofErr w:type="spellEnd"/>
      <w:r>
        <w:t xml:space="preserve"> A standard water suppressed 1-dimensional spectrum (NOESY) and a </w:t>
      </w:r>
      <w:proofErr w:type="spellStart"/>
      <w:r>
        <w:t>Carr</w:t>
      </w:r>
      <w:proofErr w:type="spellEnd"/>
      <w:r>
        <w:t>-Purcell-</w:t>
      </w:r>
      <w:proofErr w:type="spellStart"/>
      <w:r>
        <w:t>Meiboom</w:t>
      </w:r>
      <w:proofErr w:type="spellEnd"/>
      <w:r>
        <w:t>-Gill (CPMG)</w:t>
      </w:r>
      <w:r w:rsidRPr="000510B9">
        <w:t xml:space="preserve"> spectrum</w:t>
      </w:r>
      <w:r>
        <w:t xml:space="preserve"> were obtained for each sample. 32 scans were collected into 131072 frequency domain points and a line broadening of 0.3 Hz was applied. Spectra </w:t>
      </w:r>
      <w:r>
        <w:lastRenderedPageBreak/>
        <w:t>were rejected and the sample rerun if the peak width at half height of the alanine doublet at 1.44 ppm was greater than 1.0 Hz. NMR spectroscopic analysis was completed in six batches corresponding to the three cohorts and two phases.</w:t>
      </w:r>
    </w:p>
    <w:p w14:paraId="1082C807" w14:textId="77777777" w:rsidR="0030630C" w:rsidRPr="00EF704A" w:rsidRDefault="0030630C" w:rsidP="005C6CF8">
      <w:pPr>
        <w:pStyle w:val="TESectionHeading"/>
      </w:pPr>
      <w:r w:rsidRPr="00EF704A">
        <w:t>PRE-PROCESSING WORKFLOW</w:t>
      </w:r>
    </w:p>
    <w:p w14:paraId="044064A7" w14:textId="77777777" w:rsidR="0030630C" w:rsidRDefault="0030630C" w:rsidP="0001569D">
      <w:pPr>
        <w:pStyle w:val="TAMainText"/>
      </w:pPr>
      <w:r>
        <w:t xml:space="preserve">Figure 1 presents our workflow for processing </w:t>
      </w:r>
      <w:r w:rsidRPr="00EF704A">
        <w:t xml:space="preserve">NMR data </w:t>
      </w:r>
      <w:r>
        <w:t>in COMBI-BIO and proposed for other large multi-cohort, multi-batch studies</w:t>
      </w:r>
      <w:r w:rsidRPr="00EF704A">
        <w:t>.</w:t>
      </w:r>
      <w:r>
        <w:t xml:space="preserve"> In comparison to smaller, single batch studies, it is necessary to modify the steps in the processing pipeline to address the key challenges of large studies. Modified steps</w:t>
      </w:r>
      <w:r w:rsidRPr="00EF704A">
        <w:t xml:space="preserve"> </w:t>
      </w:r>
      <w:r>
        <w:t>include</w:t>
      </w:r>
      <w:r w:rsidRPr="00EF704A">
        <w:t xml:space="preserve"> </w:t>
      </w:r>
      <w:r>
        <w:t xml:space="preserve">chemical shift </w:t>
      </w:r>
      <w:r w:rsidRPr="00EF704A">
        <w:t xml:space="preserve">alignment, </w:t>
      </w:r>
      <w:r>
        <w:t>removal of</w:t>
      </w:r>
      <w:r w:rsidRPr="00EF704A">
        <w:t xml:space="preserve"> interfering spectral </w:t>
      </w:r>
      <w:r>
        <w:t>signals</w:t>
      </w:r>
      <w:r w:rsidRPr="00EF704A">
        <w:t xml:space="preserve"> and outlying samples, normalization</w:t>
      </w:r>
      <w:r>
        <w:t xml:space="preserve"> and cohort/batch correction.</w:t>
      </w:r>
      <w:r w:rsidRPr="00EF704A">
        <w:t xml:space="preserve"> </w:t>
      </w:r>
      <w:r>
        <w:t xml:space="preserve">The workflow was implemented in </w:t>
      </w:r>
      <w:r w:rsidRPr="00EF704A">
        <w:t>MATLAB</w:t>
      </w:r>
      <w:r>
        <w:t xml:space="preserve"> version 8.1</w:t>
      </w:r>
      <w:r w:rsidRPr="00EF704A">
        <w:t xml:space="preserve"> (</w:t>
      </w:r>
      <w:proofErr w:type="spellStart"/>
      <w:r w:rsidRPr="00EF704A">
        <w:t>Mathworks</w:t>
      </w:r>
      <w:proofErr w:type="spellEnd"/>
      <w:r w:rsidRPr="00EF704A">
        <w:t xml:space="preserve"> Inc., USA).</w:t>
      </w:r>
      <w:r>
        <w:t xml:space="preserve"> All components of the workflow are either available publically or on request from the authors.</w:t>
      </w:r>
    </w:p>
    <w:p w14:paraId="3561FF4F" w14:textId="77777777" w:rsidR="0030630C" w:rsidRPr="00F7089D" w:rsidRDefault="0030630C" w:rsidP="0001569D">
      <w:pPr>
        <w:pStyle w:val="TAMainText"/>
        <w:rPr>
          <w:i/>
        </w:rPr>
      </w:pPr>
      <w:r w:rsidRPr="00F7089D">
        <w:rPr>
          <w:i/>
        </w:rPr>
        <w:t>Raw data processing and generation of one dataset from several data tables</w:t>
      </w:r>
    </w:p>
    <w:p w14:paraId="0B8C4CB9" w14:textId="77777777" w:rsidR="0030630C" w:rsidRDefault="0030630C" w:rsidP="0001569D">
      <w:pPr>
        <w:pStyle w:val="TAMainText"/>
      </w:pPr>
      <w:r>
        <w:t>All</w:t>
      </w:r>
      <w:r w:rsidRPr="00EF704A">
        <w:t xml:space="preserve"> </w:t>
      </w:r>
      <w:r>
        <w:t xml:space="preserve">spectra were automatically phased and baseline corrected using Topspin version </w:t>
      </w:r>
      <w:r w:rsidRPr="008E476C">
        <w:t xml:space="preserve">3.2 (Bruker </w:t>
      </w:r>
      <w:proofErr w:type="spellStart"/>
      <w:r w:rsidRPr="008E476C">
        <w:t>Biospin</w:t>
      </w:r>
      <w:proofErr w:type="spellEnd"/>
      <w:r w:rsidRPr="008E476C">
        <w:t xml:space="preserve">, </w:t>
      </w:r>
      <w:proofErr w:type="spellStart"/>
      <w:r w:rsidRPr="008E476C">
        <w:t>Rheinstetten</w:t>
      </w:r>
      <w:proofErr w:type="spellEnd"/>
      <w:r w:rsidRPr="008E476C">
        <w:t>, Germany</w:t>
      </w:r>
      <w:r>
        <w:t>)</w:t>
      </w:r>
      <w:r w:rsidRPr="00EF704A">
        <w:t xml:space="preserve">. </w:t>
      </w:r>
      <w:r>
        <w:t xml:space="preserve">Since internal standards such as </w:t>
      </w:r>
      <w:r w:rsidRPr="0001569D">
        <w:t>3-trimethylsilylpropionic acid</w:t>
      </w:r>
      <w:r>
        <w:t xml:space="preserve"> (TSP) exhibit significant protein binding that affects peak shape and position</w:t>
      </w:r>
      <w:r w:rsidRPr="00E83FFA">
        <w:rPr>
          <w:noProof/>
          <w:vertAlign w:val="superscript"/>
        </w:rPr>
        <w:t>8</w:t>
      </w:r>
      <w:r>
        <w:t xml:space="preserve">, chemical shifts were calibrated to </w:t>
      </w:r>
      <w:r w:rsidRPr="00EF704A">
        <w:t>the glucose doublet at δ 5.2</w:t>
      </w:r>
      <w:r>
        <w:t>6 as suggested earlier</w:t>
      </w:r>
      <w:r w:rsidRPr="00E83FFA">
        <w:rPr>
          <w:noProof/>
          <w:vertAlign w:val="superscript"/>
        </w:rPr>
        <w:t>9</w:t>
      </w:r>
      <w:r w:rsidRPr="00EF704A">
        <w:t xml:space="preserve">. </w:t>
      </w:r>
      <w:r>
        <w:t>The chemical shift range of the spectra was clipped to</w:t>
      </w:r>
      <w:r w:rsidRPr="00EF704A">
        <w:t xml:space="preserve"> δ 0.50‒9.00 </w:t>
      </w:r>
      <w:r>
        <w:t>since no bona fide metabolite signals are observed in serum outside this region</w:t>
      </w:r>
      <w:r w:rsidRPr="00EF704A">
        <w:t xml:space="preserve">. Finally, the </w:t>
      </w:r>
      <w:r>
        <w:t>six</w:t>
      </w:r>
      <w:r w:rsidRPr="00EF704A">
        <w:t xml:space="preserve"> </w:t>
      </w:r>
      <w:r>
        <w:t>datasets</w:t>
      </w:r>
      <w:r w:rsidRPr="00EF704A">
        <w:t xml:space="preserve"> </w:t>
      </w:r>
      <w:r>
        <w:t xml:space="preserve">(3 cohorts </w:t>
      </w:r>
      <w:r>
        <w:sym w:font="Wingdings 2" w:char="F0CF"/>
      </w:r>
      <w:r>
        <w:t xml:space="preserve"> 2 phases) </w:t>
      </w:r>
      <w:r w:rsidRPr="00EF704A">
        <w:t xml:space="preserve">were concatenated </w:t>
      </w:r>
      <w:r>
        <w:t>to produce</w:t>
      </w:r>
      <w:r w:rsidRPr="00EF704A">
        <w:t xml:space="preserve"> one large data table consisting of</w:t>
      </w:r>
      <w:r>
        <w:t xml:space="preserve"> </w:t>
      </w:r>
      <w:r w:rsidRPr="00EF704A">
        <w:t>34,001 variables</w:t>
      </w:r>
      <w:r>
        <w:t xml:space="preserve"> (NMR chemical shifts in ppm) and</w:t>
      </w:r>
      <w:r w:rsidRPr="00EF704A">
        <w:t xml:space="preserve"> </w:t>
      </w:r>
      <w:r>
        <w:t>7,872</w:t>
      </w:r>
      <w:r w:rsidRPr="00EF704A">
        <w:t xml:space="preserve"> samples</w:t>
      </w:r>
      <w:r>
        <w:t xml:space="preserve"> in the CPMG dataset and 7,869 samples in the NOESY dataset including the QCs</w:t>
      </w:r>
      <w:r w:rsidRPr="00EF704A">
        <w:t>.</w:t>
      </w:r>
      <w:r w:rsidRPr="00002DD6">
        <w:t xml:space="preserve"> </w:t>
      </w:r>
    </w:p>
    <w:p w14:paraId="20681293" w14:textId="77777777" w:rsidR="0030630C" w:rsidRPr="00F7089D" w:rsidRDefault="0030630C" w:rsidP="0001569D">
      <w:pPr>
        <w:pStyle w:val="TAMainText"/>
        <w:rPr>
          <w:i/>
        </w:rPr>
      </w:pPr>
      <w:r w:rsidRPr="00F7089D">
        <w:rPr>
          <w:i/>
        </w:rPr>
        <w:t>Spectral peak alignment</w:t>
      </w:r>
    </w:p>
    <w:p w14:paraId="539D622D" w14:textId="77777777" w:rsidR="0030630C" w:rsidRDefault="0030630C" w:rsidP="0001569D">
      <w:pPr>
        <w:pStyle w:val="TAMainText"/>
      </w:pPr>
      <w:r w:rsidRPr="00EF704A">
        <w:t xml:space="preserve">Prior to spectral peak alignment, the region δ 4.40‒5.10 corresponding to </w:t>
      </w:r>
      <w:r>
        <w:t>residual water</w:t>
      </w:r>
      <w:r w:rsidRPr="00EF704A">
        <w:t xml:space="preserve"> </w:t>
      </w:r>
      <w:r>
        <w:t xml:space="preserve">signals </w:t>
      </w:r>
      <w:r w:rsidRPr="00EF704A">
        <w:t>was removed</w:t>
      </w:r>
      <w:r>
        <w:t>.</w:t>
      </w:r>
      <w:r w:rsidRPr="00EF704A">
        <w:t xml:space="preserve"> </w:t>
      </w:r>
      <w:r>
        <w:t>The</w:t>
      </w:r>
      <w:r w:rsidRPr="00EF704A">
        <w:t xml:space="preserve"> table was </w:t>
      </w:r>
      <w:r>
        <w:t>split into</w:t>
      </w:r>
      <w:r w:rsidRPr="00EF704A">
        <w:t xml:space="preserve"> six </w:t>
      </w:r>
      <w:r>
        <w:t xml:space="preserve">consecutive chemical shift </w:t>
      </w:r>
      <w:r w:rsidRPr="00EF704A">
        <w:t xml:space="preserve">slices </w:t>
      </w:r>
      <w:r>
        <w:t xml:space="preserve">for alignment to ameliorate </w:t>
      </w:r>
      <w:r w:rsidRPr="00EF704A">
        <w:t>high computer memory demand</w:t>
      </w:r>
      <w:r>
        <w:t>s</w:t>
      </w:r>
      <w:r w:rsidRPr="00EF704A">
        <w:t xml:space="preserve">. The </w:t>
      </w:r>
      <w:r>
        <w:t>cut points</w:t>
      </w:r>
      <w:r w:rsidRPr="00EF704A">
        <w:t xml:space="preserve"> </w:t>
      </w:r>
      <w:r>
        <w:t xml:space="preserve">(δ 1.45, 2.64, 3.33 and 6.00) </w:t>
      </w:r>
      <w:r w:rsidRPr="00EF704A">
        <w:t xml:space="preserve">were selected </w:t>
      </w:r>
      <w:r>
        <w:t>to be in regions containing no sharp resonances</w:t>
      </w:r>
      <w:r w:rsidRPr="00EF704A">
        <w:t xml:space="preserve">. </w:t>
      </w:r>
      <w:r>
        <w:t>There are several alignment methods available</w:t>
      </w:r>
      <w:r w:rsidRPr="00E83FFA">
        <w:rPr>
          <w:noProof/>
          <w:vertAlign w:val="superscript"/>
        </w:rPr>
        <w:t>10</w:t>
      </w:r>
      <w:r>
        <w:t xml:space="preserve"> and we used</w:t>
      </w:r>
      <w:r w:rsidRPr="00EF704A">
        <w:t xml:space="preserve"> Recursive </w:t>
      </w:r>
      <w:r w:rsidRPr="00EF704A">
        <w:lastRenderedPageBreak/>
        <w:t>Segment-wise Peak Alignment</w:t>
      </w:r>
      <w:r w:rsidRPr="00E83FFA">
        <w:rPr>
          <w:noProof/>
          <w:vertAlign w:val="superscript"/>
        </w:rPr>
        <w:t>11</w:t>
      </w:r>
      <w:r>
        <w:t xml:space="preserve"> (RSPA) in this study. RSPA is appropriate for large datasets as</w:t>
      </w:r>
      <w:r w:rsidRPr="00EF704A">
        <w:t xml:space="preserve"> </w:t>
      </w:r>
      <w:r>
        <w:t>it</w:t>
      </w:r>
      <w:r w:rsidRPr="00EF704A">
        <w:t xml:space="preserve"> is fast and has </w:t>
      </w:r>
      <w:r>
        <w:t>been shown to improve alignment of both large and small peaks</w:t>
      </w:r>
      <w:r w:rsidRPr="00E83FFA">
        <w:rPr>
          <w:noProof/>
          <w:vertAlign w:val="superscript"/>
        </w:rPr>
        <w:t>11</w:t>
      </w:r>
      <w:r w:rsidRPr="00EF704A">
        <w:t xml:space="preserve">. </w:t>
      </w:r>
      <w:r>
        <w:t>A</w:t>
      </w:r>
      <w:r w:rsidRPr="00EF704A">
        <w:t xml:space="preserve">fter alignment </w:t>
      </w:r>
      <w:r>
        <w:t>t</w:t>
      </w:r>
      <w:r w:rsidRPr="00EF704A">
        <w:t xml:space="preserve">he slices were concatenated </w:t>
      </w:r>
      <w:r>
        <w:t>to form a single data table</w:t>
      </w:r>
      <w:r w:rsidRPr="00EF704A">
        <w:t>.</w:t>
      </w:r>
    </w:p>
    <w:p w14:paraId="57CC2AD8" w14:textId="77777777" w:rsidR="0030630C" w:rsidRPr="00F7089D" w:rsidRDefault="0030630C" w:rsidP="0001569D">
      <w:pPr>
        <w:pStyle w:val="TAMainText"/>
        <w:rPr>
          <w:i/>
        </w:rPr>
      </w:pPr>
      <w:r w:rsidRPr="00F7089D">
        <w:rPr>
          <w:i/>
        </w:rPr>
        <w:t>Removal of interfering regions</w:t>
      </w:r>
    </w:p>
    <w:p w14:paraId="4E9479C8" w14:textId="77777777" w:rsidR="0030630C" w:rsidRDefault="0030630C" w:rsidP="0001569D">
      <w:pPr>
        <w:pStyle w:val="TAMainText"/>
      </w:pPr>
      <w:r w:rsidRPr="00EF704A">
        <w:t xml:space="preserve">In addition to the spectral region related to </w:t>
      </w:r>
      <w:r>
        <w:t xml:space="preserve">the </w:t>
      </w:r>
      <w:r w:rsidRPr="00EF704A">
        <w:t>water suppression</w:t>
      </w:r>
      <w:r>
        <w:t xml:space="preserve"> residual</w:t>
      </w:r>
      <w:r w:rsidRPr="00EF704A">
        <w:t xml:space="preserve">, there may be other regions which contain </w:t>
      </w:r>
      <w:r>
        <w:t>interferents</w:t>
      </w:r>
      <w:r w:rsidRPr="00EF704A">
        <w:t xml:space="preserve"> </w:t>
      </w:r>
      <w:r>
        <w:t>which</w:t>
      </w:r>
      <w:r w:rsidRPr="00EF704A">
        <w:t xml:space="preserve"> can cause errors in further analysis. </w:t>
      </w:r>
      <w:r>
        <w:t xml:space="preserve">A common contaminant in clinical and epidemiological studies is methanol. This was also observed in our study requiring removal of the region </w:t>
      </w:r>
      <w:r w:rsidRPr="00EF704A">
        <w:t xml:space="preserve">δ 3.375‒3.400. </w:t>
      </w:r>
      <w:r>
        <w:t>Suspected interferents in the regions</w:t>
      </w:r>
      <w:r w:rsidRPr="00EF704A">
        <w:t xml:space="preserve"> δ 1.180‒1.240, δ 2.244‒2.261, and δ 3.660‒3.710 </w:t>
      </w:r>
      <w:r>
        <w:t>were also</w:t>
      </w:r>
      <w:r w:rsidRPr="00EF704A">
        <w:t xml:space="preserve"> removed. Selection of the interfering spectral regions may not be straigh</w:t>
      </w:r>
      <w:r>
        <w:t>tforward and may require expert knowledge</w:t>
      </w:r>
      <w:r w:rsidRPr="00EF704A">
        <w:t xml:space="preserve">. After removing </w:t>
      </w:r>
      <w:r>
        <w:t>interfering signals</w:t>
      </w:r>
      <w:r w:rsidRPr="00EF704A">
        <w:t>, the datasets contained 30,590 data points.</w:t>
      </w:r>
    </w:p>
    <w:p w14:paraId="3110DB47" w14:textId="77777777" w:rsidR="0030630C" w:rsidRPr="00F7089D" w:rsidRDefault="0030630C" w:rsidP="0001569D">
      <w:pPr>
        <w:pStyle w:val="TAMainText"/>
        <w:rPr>
          <w:i/>
        </w:rPr>
      </w:pPr>
      <w:r w:rsidRPr="00F7089D">
        <w:rPr>
          <w:i/>
        </w:rPr>
        <w:t>Normalization</w:t>
      </w:r>
    </w:p>
    <w:p w14:paraId="6EB902AA" w14:textId="77777777" w:rsidR="0030630C" w:rsidRDefault="0030630C" w:rsidP="0001569D">
      <w:pPr>
        <w:pStyle w:val="TAMainText"/>
      </w:pPr>
      <w:r>
        <w:t>Normalization is the process of applying a spectrum-wide scale factor to each spectrum to correct for global variations in the NMR signal. These could be due to, for example, variable dilutions or small changes in instrument calibration over the course of a large run.</w:t>
      </w:r>
      <w:r w:rsidRPr="00EF704A">
        <w:t xml:space="preserve"> In this study, we used probabilistic quotient normalization</w:t>
      </w:r>
      <w:r w:rsidRPr="00E83FFA">
        <w:rPr>
          <w:noProof/>
          <w:vertAlign w:val="superscript"/>
        </w:rPr>
        <w:t>12</w:t>
      </w:r>
      <w:r w:rsidRPr="00EF704A">
        <w:t xml:space="preserve"> (</w:t>
      </w:r>
      <w:r>
        <w:t>PQN</w:t>
      </w:r>
      <w:r w:rsidRPr="00EF704A">
        <w:t xml:space="preserve">) </w:t>
      </w:r>
      <w:r>
        <w:t>in which</w:t>
      </w:r>
      <w:r w:rsidRPr="00EF704A">
        <w:t xml:space="preserve"> </w:t>
      </w:r>
      <w:r>
        <w:t>the median of intensity ratios between each sample spectrum and a reference is normalized to unity. PQN has been shown to outperform earlier methods such as total intensity normalization</w:t>
      </w:r>
      <w:r w:rsidRPr="00E83FFA">
        <w:rPr>
          <w:noProof/>
          <w:vertAlign w:val="superscript"/>
        </w:rPr>
        <w:t>12</w:t>
      </w:r>
      <w:r>
        <w:t xml:space="preserve"> and is fast and memory efficient. We used</w:t>
      </w:r>
      <w:r w:rsidRPr="00EF704A">
        <w:t xml:space="preserve"> the median spectrum </w:t>
      </w:r>
      <w:r>
        <w:t xml:space="preserve">of the full data </w:t>
      </w:r>
      <w:r w:rsidRPr="00EF704A">
        <w:t>as the reference.</w:t>
      </w:r>
      <w:r>
        <w:t xml:space="preserve"> Note that normalization using a reference must be performed after alignment, since intensity ratios prior to alignment may be influenced by uncontrolled peak shifts.</w:t>
      </w:r>
    </w:p>
    <w:p w14:paraId="4AA825B9" w14:textId="77777777" w:rsidR="0030630C" w:rsidRPr="00F7089D" w:rsidRDefault="0030630C" w:rsidP="0001569D">
      <w:pPr>
        <w:pStyle w:val="TAMainText"/>
        <w:rPr>
          <w:i/>
        </w:rPr>
      </w:pPr>
      <w:r w:rsidRPr="00F7089D">
        <w:rPr>
          <w:i/>
        </w:rPr>
        <w:t>Removal of outlying samples</w:t>
      </w:r>
    </w:p>
    <w:p w14:paraId="2FBC0EB0" w14:textId="77777777" w:rsidR="0030630C" w:rsidRDefault="0030630C" w:rsidP="0001569D">
      <w:pPr>
        <w:pStyle w:val="TAMainText"/>
      </w:pPr>
      <w:r w:rsidRPr="00EF704A">
        <w:t xml:space="preserve">Before applying statistical analysis, removal of outliers is essential. Strong outliers due, for example, to instrument malfunction during measurement can be detected by investigating </w:t>
      </w:r>
      <w:proofErr w:type="spellStart"/>
      <w:r>
        <w:t>Hotelling’s</w:t>
      </w:r>
      <w:proofErr w:type="spellEnd"/>
      <w:r w:rsidRPr="00EF704A">
        <w:t xml:space="preserve"> T</w:t>
      </w:r>
      <w:r w:rsidRPr="00EF704A">
        <w:rPr>
          <w:vertAlign w:val="superscript"/>
        </w:rPr>
        <w:t>2</w:t>
      </w:r>
      <w:r w:rsidRPr="00EF704A">
        <w:t xml:space="preserve"> values of the samples</w:t>
      </w:r>
      <w:r>
        <w:t>,</w:t>
      </w:r>
      <w:r w:rsidRPr="00EF704A">
        <w:t xml:space="preserve"> calculated using the scores of </w:t>
      </w:r>
      <w:r>
        <w:t>a principal component analysis (</w:t>
      </w:r>
      <w:r w:rsidRPr="00EF704A">
        <w:t>PCA</w:t>
      </w:r>
      <w:r>
        <w:t>)</w:t>
      </w:r>
      <w:r w:rsidRPr="00EF704A">
        <w:t xml:space="preserve">. The spectra of suspected </w:t>
      </w:r>
      <w:r w:rsidRPr="00EF704A">
        <w:lastRenderedPageBreak/>
        <w:t xml:space="preserve">samples are </w:t>
      </w:r>
      <w:r>
        <w:t>then</w:t>
      </w:r>
      <w:r w:rsidRPr="00EF704A">
        <w:t xml:space="preserve"> examined </w:t>
      </w:r>
      <w:r>
        <w:t xml:space="preserve">as to </w:t>
      </w:r>
      <w:r w:rsidRPr="00EF704A">
        <w:t>whether they are analytical outliers and</w:t>
      </w:r>
      <w:r>
        <w:t>, if so,</w:t>
      </w:r>
      <w:r w:rsidRPr="00EF704A">
        <w:t xml:space="preserve"> discarded from the sample set.</w:t>
      </w:r>
      <w:r>
        <w:t xml:space="preserve"> </w:t>
      </w:r>
      <w:r w:rsidRPr="00DB1A8C">
        <w:t xml:space="preserve">In the present study, we constructed </w:t>
      </w:r>
      <w:r>
        <w:t xml:space="preserve">separate </w:t>
      </w:r>
      <w:r w:rsidRPr="00DB1A8C">
        <w:t xml:space="preserve">PCA models for both CPMG and NOESY datasets. We excluded 3 outliers from </w:t>
      </w:r>
      <w:r>
        <w:t xml:space="preserve">the </w:t>
      </w:r>
      <w:r w:rsidRPr="00DB1A8C">
        <w:t xml:space="preserve">CPMG dataset and 4 outliers from </w:t>
      </w:r>
      <w:r>
        <w:t xml:space="preserve">the </w:t>
      </w:r>
      <w:r w:rsidRPr="00DB1A8C">
        <w:t xml:space="preserve">NOESY dataset where the outliers demonstrated extreme </w:t>
      </w:r>
      <w:proofErr w:type="spellStart"/>
      <w:r>
        <w:t>Hotelling’s</w:t>
      </w:r>
      <w:proofErr w:type="spellEnd"/>
      <w:r w:rsidRPr="00DB1A8C">
        <w:t xml:space="preserve"> T</w:t>
      </w:r>
      <w:r w:rsidRPr="00DB1A8C">
        <w:rPr>
          <w:vertAlign w:val="superscript"/>
        </w:rPr>
        <w:t>2</w:t>
      </w:r>
      <w:r w:rsidRPr="00DB1A8C">
        <w:t xml:space="preserve"> values</w:t>
      </w:r>
      <w:r>
        <w:t xml:space="preserve"> (&gt;10</w:t>
      </w:r>
      <w:r>
        <w:sym w:font="Wingdings 2" w:char="F0CF"/>
      </w:r>
      <w:r>
        <w:t>T</w:t>
      </w:r>
      <w:r w:rsidRPr="00BE669B">
        <w:rPr>
          <w:vertAlign w:val="superscript"/>
        </w:rPr>
        <w:t>2</w:t>
      </w:r>
      <w:r w:rsidRPr="00BE669B">
        <w:rPr>
          <w:vertAlign w:val="subscript"/>
        </w:rPr>
        <w:t>crit</w:t>
      </w:r>
      <w:r>
        <w:t xml:space="preserve"> at 95% confidence level)</w:t>
      </w:r>
      <w:r w:rsidRPr="00DB1A8C">
        <w:t xml:space="preserve">. </w:t>
      </w:r>
      <w:r w:rsidRPr="00575B65">
        <w:t xml:space="preserve">Excluded samples were </w:t>
      </w:r>
      <w:r>
        <w:t>attributable to</w:t>
      </w:r>
      <w:r w:rsidRPr="00575B65">
        <w:t xml:space="preserve"> </w:t>
      </w:r>
      <w:r>
        <w:t>spectra</w:t>
      </w:r>
      <w:r w:rsidRPr="00575B65">
        <w:t xml:space="preserve"> with </w:t>
      </w:r>
      <w:r>
        <w:t>poor</w:t>
      </w:r>
      <w:r w:rsidRPr="00575B65">
        <w:t xml:space="preserve"> water suppression and baseline distortion. </w:t>
      </w:r>
    </w:p>
    <w:p w14:paraId="5C8C3FAA" w14:textId="77777777" w:rsidR="0030630C" w:rsidRPr="00F7089D" w:rsidRDefault="0030630C" w:rsidP="0001569D">
      <w:pPr>
        <w:pStyle w:val="TAMainText"/>
        <w:rPr>
          <w:i/>
        </w:rPr>
      </w:pPr>
      <w:r w:rsidRPr="00F7089D">
        <w:rPr>
          <w:i/>
        </w:rPr>
        <w:t>Phase and cohort adjustment</w:t>
      </w:r>
    </w:p>
    <w:p w14:paraId="0B7352C6" w14:textId="77777777" w:rsidR="0030630C" w:rsidRDefault="0030630C" w:rsidP="0001569D">
      <w:pPr>
        <w:pStyle w:val="TAMainText"/>
      </w:pPr>
      <w:r w:rsidRPr="00EF704A">
        <w:t xml:space="preserve">In large-scale studies with samples </w:t>
      </w:r>
      <w:r>
        <w:t>of</w:t>
      </w:r>
      <w:r w:rsidRPr="00EF704A">
        <w:t xml:space="preserve"> different </w:t>
      </w:r>
      <w:r>
        <w:t>provenance</w:t>
      </w:r>
      <w:r w:rsidRPr="00EF704A">
        <w:t xml:space="preserve">, variation can be observed with respect to the </w:t>
      </w:r>
      <w:r>
        <w:t>source</w:t>
      </w:r>
      <w:r w:rsidRPr="00EF704A">
        <w:t xml:space="preserve">. </w:t>
      </w:r>
      <w:r>
        <w:t>In the present case we have</w:t>
      </w:r>
      <w:r w:rsidRPr="00EF704A">
        <w:t xml:space="preserve"> three cohorts and </w:t>
      </w:r>
      <w:r>
        <w:t xml:space="preserve">two </w:t>
      </w:r>
      <w:r w:rsidRPr="00EF704A">
        <w:t xml:space="preserve">phases </w:t>
      </w:r>
      <w:r>
        <w:t xml:space="preserve">of </w:t>
      </w:r>
      <w:r w:rsidRPr="00EF704A">
        <w:t xml:space="preserve">data acquisition. </w:t>
      </w:r>
      <w:r>
        <w:t xml:space="preserve">The variation due to cohorts may occur because of different sample composition, but also collection and storage conditions, whereas the phase variation is related to different time periods of NMR analysis. Given that biomarker discovery is aimed at finding cohort-independent signatures of disease, we used a </w:t>
      </w:r>
      <w:r w:rsidRPr="00EF704A">
        <w:t xml:space="preserve">mean-centering </w:t>
      </w:r>
      <w:r>
        <w:t>operation</w:t>
      </w:r>
      <w:r w:rsidRPr="00C9562E">
        <w:rPr>
          <w:noProof/>
          <w:vertAlign w:val="superscript"/>
        </w:rPr>
        <w:t>13</w:t>
      </w:r>
      <w:r>
        <w:t xml:space="preserve"> to remove cohort and phase differences in mean levels prior to statistical analysis</w:t>
      </w:r>
      <w:r w:rsidRPr="00EF704A">
        <w:t xml:space="preserve">. </w:t>
      </w:r>
      <w:r>
        <w:t xml:space="preserve">We mean-centered every variable in each of the six phase/cohort batches separately and subsequently concatenated the data back into a single table using Equation </w:t>
      </w:r>
      <w:r>
        <w:fldChar w:fldCharType="begin"/>
      </w:r>
      <w:r>
        <w:instrText xml:space="preserve"> REF _Ref455141636 \h  \* MERGEFORMAT </w:instrText>
      </w:r>
      <w:r>
        <w:fldChar w:fldCharType="separate"/>
      </w:r>
      <w:r w:rsidRPr="006B0BC7">
        <w:rPr>
          <w:rFonts w:eastAsia="MS Gothic"/>
          <w:szCs w:val="24"/>
          <w:lang w:eastAsia="nb-NO"/>
        </w:rPr>
        <w:t>(</w:t>
      </w:r>
      <w:r w:rsidRPr="006B0BC7">
        <w:rPr>
          <w:noProof/>
          <w:szCs w:val="24"/>
        </w:rPr>
        <w:t>1</w:t>
      </w:r>
      <w:r w:rsidRPr="006B0BC7">
        <w:rPr>
          <w:rFonts w:eastAsia="MS Gothic"/>
          <w:szCs w:val="24"/>
          <w:lang w:eastAsia="nb-NO"/>
        </w:rPr>
        <w:t>)</w:t>
      </w:r>
      <w:r>
        <w:fldChar w:fldCharType="end"/>
      </w:r>
      <w:r>
        <w:t>:</w:t>
      </w:r>
    </w:p>
    <w:tbl>
      <w:tblPr>
        <w:tblW w:w="5000" w:type="pct"/>
        <w:tblLook w:val="04A0" w:firstRow="1" w:lastRow="0" w:firstColumn="1" w:lastColumn="0" w:noHBand="0" w:noVBand="1"/>
      </w:tblPr>
      <w:tblGrid>
        <w:gridCol w:w="786"/>
        <w:gridCol w:w="7678"/>
        <w:gridCol w:w="1588"/>
      </w:tblGrid>
      <w:tr w:rsidR="0030630C" w:rsidRPr="00C57A25" w14:paraId="0837C35B" w14:textId="77777777" w:rsidTr="00BC6B32">
        <w:tc>
          <w:tcPr>
            <w:tcW w:w="391" w:type="pct"/>
            <w:shd w:val="clear" w:color="auto" w:fill="auto"/>
            <w:vAlign w:val="center"/>
          </w:tcPr>
          <w:p w14:paraId="623B2CA0" w14:textId="77777777" w:rsidR="0030630C" w:rsidRDefault="0030630C" w:rsidP="00BC6B32">
            <w:pPr>
              <w:pStyle w:val="TAMainText"/>
              <w:rPr>
                <w:lang w:eastAsia="nb-NO"/>
              </w:rPr>
            </w:pPr>
          </w:p>
        </w:tc>
        <w:tc>
          <w:tcPr>
            <w:tcW w:w="3819" w:type="pct"/>
            <w:shd w:val="clear" w:color="auto" w:fill="auto"/>
            <w:vAlign w:val="center"/>
          </w:tcPr>
          <w:p w14:paraId="132BE6E5" w14:textId="77777777" w:rsidR="0030630C" w:rsidRDefault="00391BF4" w:rsidP="00687B3A">
            <w:pPr>
              <w:pStyle w:val="TAMainText"/>
              <w:rPr>
                <w:lang w:eastAsia="nb-NO"/>
              </w:rPr>
            </w:pPr>
            <m:oMathPara>
              <m:oMath>
                <m:sSubSup>
                  <m:sSubSupPr>
                    <m:ctrlPr>
                      <w:rPr>
                        <w:rFonts w:ascii="Cambria Math" w:hAnsi="Cambria Math"/>
                      </w:rPr>
                    </m:ctrlPr>
                  </m:sSubSupPr>
                  <m:e>
                    <m:r>
                      <w:rPr>
                        <w:rFonts w:ascii="Cambria Math" w:hAnsi="Cambria Math"/>
                      </w:rPr>
                      <m:t>s</m:t>
                    </m:r>
                  </m:e>
                  <m:sub>
                    <m:r>
                      <w:rPr>
                        <w:rFonts w:ascii="Cambria Math" w:hAnsi="Cambria Math"/>
                      </w:rPr>
                      <m:t>i,p,M</m:t>
                    </m:r>
                  </m:sub>
                  <m:sup>
                    <m:r>
                      <w:rPr>
                        <w:rFonts w:ascii="Cambria Math" w:hAnsi="Cambria Math"/>
                      </w:rPr>
                      <m:t>adjusted</m:t>
                    </m:r>
                  </m:sup>
                </m:sSub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i,p,M</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n=1</m:t>
                        </m:r>
                      </m:sub>
                      <m:sup>
                        <m:sSub>
                          <m:sSubPr>
                            <m:ctrlPr>
                              <w:rPr>
                                <w:rFonts w:ascii="Cambria Math" w:hAnsi="Cambria Math"/>
                                <w:i/>
                              </w:rPr>
                            </m:ctrlPr>
                          </m:sSubPr>
                          <m:e>
                            <m:r>
                              <w:rPr>
                                <w:rFonts w:ascii="Cambria Math" w:hAnsi="Cambria Math"/>
                              </w:rPr>
                              <m:t>N</m:t>
                            </m:r>
                          </m:e>
                          <m:sub>
                            <m:r>
                              <w:rPr>
                                <w:rFonts w:ascii="Cambria Math" w:hAnsi="Cambria Math"/>
                              </w:rPr>
                              <m:t>M</m:t>
                            </m:r>
                          </m:sub>
                        </m:sSub>
                      </m:sup>
                      <m:e>
                        <m:sSub>
                          <m:sSubPr>
                            <m:ctrlPr>
                              <w:rPr>
                                <w:rFonts w:ascii="Cambria Math" w:hAnsi="Cambria Math"/>
                                <w:i/>
                              </w:rPr>
                            </m:ctrlPr>
                          </m:sSubPr>
                          <m:e>
                            <m:r>
                              <w:rPr>
                                <w:rFonts w:ascii="Cambria Math" w:hAnsi="Cambria Math"/>
                              </w:rPr>
                              <m:t>s</m:t>
                            </m:r>
                          </m:e>
                          <m:sub>
                            <m:r>
                              <w:rPr>
                                <w:rFonts w:ascii="Cambria Math" w:hAnsi="Cambria Math"/>
                              </w:rPr>
                              <m:t>n,p,M</m:t>
                            </m:r>
                          </m:sub>
                        </m:sSub>
                      </m:e>
                    </m:nary>
                  </m:num>
                  <m:den>
                    <m:sSub>
                      <m:sSubPr>
                        <m:ctrlPr>
                          <w:rPr>
                            <w:rFonts w:ascii="Cambria Math" w:hAnsi="Cambria Math"/>
                            <w:i/>
                          </w:rPr>
                        </m:ctrlPr>
                      </m:sSubPr>
                      <m:e>
                        <m:r>
                          <w:rPr>
                            <w:rFonts w:ascii="Cambria Math" w:hAnsi="Cambria Math"/>
                          </w:rPr>
                          <m:t>N</m:t>
                        </m:r>
                      </m:e>
                      <m:sub>
                        <m:r>
                          <w:rPr>
                            <w:rFonts w:ascii="Cambria Math" w:hAnsi="Cambria Math"/>
                          </w:rPr>
                          <m:t>M</m:t>
                        </m:r>
                      </m:sub>
                    </m:sSub>
                  </m:den>
                </m:f>
              </m:oMath>
            </m:oMathPara>
          </w:p>
        </w:tc>
        <w:tc>
          <w:tcPr>
            <w:tcW w:w="790" w:type="pct"/>
            <w:shd w:val="clear" w:color="auto" w:fill="auto"/>
            <w:vAlign w:val="center"/>
          </w:tcPr>
          <w:p w14:paraId="1645A0D5" w14:textId="77777777" w:rsidR="0030630C" w:rsidRPr="00C57A25" w:rsidRDefault="0030630C" w:rsidP="00BC6B32">
            <w:pPr>
              <w:pStyle w:val="Caption"/>
              <w:jc w:val="right"/>
              <w:rPr>
                <w:b w:val="0"/>
                <w:color w:val="auto"/>
                <w:sz w:val="24"/>
                <w:szCs w:val="24"/>
              </w:rPr>
            </w:pPr>
            <w:bookmarkStart w:id="0" w:name="_Ref455141636"/>
            <w:r w:rsidRPr="00C57A25">
              <w:rPr>
                <w:rFonts w:eastAsia="MS Gothic"/>
                <w:b w:val="0"/>
                <w:bCs w:val="0"/>
                <w:color w:val="auto"/>
                <w:sz w:val="24"/>
                <w:szCs w:val="24"/>
                <w:lang w:eastAsia="nb-NO"/>
              </w:rPr>
              <w:t>(</w:t>
            </w:r>
            <w:r w:rsidRPr="00C57A25">
              <w:rPr>
                <w:b w:val="0"/>
                <w:color w:val="auto"/>
                <w:sz w:val="24"/>
                <w:szCs w:val="24"/>
              </w:rPr>
              <w:fldChar w:fldCharType="begin"/>
            </w:r>
            <w:r w:rsidRPr="00C57A25">
              <w:rPr>
                <w:b w:val="0"/>
                <w:color w:val="auto"/>
                <w:sz w:val="24"/>
                <w:szCs w:val="24"/>
              </w:rPr>
              <w:instrText xml:space="preserve"> SEQ Equation \* ARABIC </w:instrText>
            </w:r>
            <w:r w:rsidRPr="00C57A25">
              <w:rPr>
                <w:b w:val="0"/>
                <w:color w:val="auto"/>
                <w:sz w:val="24"/>
                <w:szCs w:val="24"/>
              </w:rPr>
              <w:fldChar w:fldCharType="separate"/>
            </w:r>
            <w:r>
              <w:rPr>
                <w:b w:val="0"/>
                <w:noProof/>
                <w:color w:val="auto"/>
                <w:sz w:val="24"/>
                <w:szCs w:val="24"/>
              </w:rPr>
              <w:t>1</w:t>
            </w:r>
            <w:r w:rsidRPr="00C57A25">
              <w:rPr>
                <w:b w:val="0"/>
                <w:color w:val="auto"/>
                <w:sz w:val="24"/>
                <w:szCs w:val="24"/>
              </w:rPr>
              <w:fldChar w:fldCharType="end"/>
            </w:r>
            <w:r w:rsidRPr="00C57A25">
              <w:rPr>
                <w:rFonts w:eastAsia="MS Gothic"/>
                <w:b w:val="0"/>
                <w:bCs w:val="0"/>
                <w:color w:val="auto"/>
                <w:sz w:val="24"/>
                <w:szCs w:val="24"/>
                <w:lang w:eastAsia="nb-NO"/>
              </w:rPr>
              <w:t>)</w:t>
            </w:r>
            <w:bookmarkEnd w:id="0"/>
          </w:p>
        </w:tc>
      </w:tr>
    </w:tbl>
    <w:p w14:paraId="5E4E2178" w14:textId="77777777" w:rsidR="0030630C" w:rsidRDefault="0030630C" w:rsidP="00BC6B32">
      <w:pPr>
        <w:pStyle w:val="TAMainText"/>
        <w:ind w:firstLine="0"/>
      </w:pPr>
      <w:r>
        <w:t xml:space="preserve">where </w:t>
      </w:r>
      <m:oMath>
        <m:sSub>
          <m:sSubPr>
            <m:ctrlPr>
              <w:rPr>
                <w:rFonts w:ascii="Cambria Math" w:hAnsi="Cambria Math"/>
              </w:rPr>
            </m:ctrlPr>
          </m:sSubPr>
          <m:e>
            <m:r>
              <w:rPr>
                <w:rFonts w:ascii="Cambria Math" w:hAnsi="Cambria Math"/>
              </w:rPr>
              <m:t>s</m:t>
            </m:r>
          </m:e>
          <m:sub>
            <m:r>
              <w:rPr>
                <w:rFonts w:ascii="Cambria Math" w:hAnsi="Cambria Math"/>
              </w:rPr>
              <m:t>i,p,M</m:t>
            </m:r>
          </m:sub>
        </m:sSub>
      </m:oMath>
      <w:r>
        <w:t xml:space="preserve"> represents the </w:t>
      </w:r>
      <w:proofErr w:type="spellStart"/>
      <w:r w:rsidRPr="00687B3A">
        <w:rPr>
          <w:i/>
        </w:rPr>
        <w:t>p</w:t>
      </w:r>
      <w:r>
        <w:t>th</w:t>
      </w:r>
      <w:proofErr w:type="spellEnd"/>
      <w:r>
        <w:t xml:space="preserve"> intensity of the </w:t>
      </w:r>
      <w:proofErr w:type="spellStart"/>
      <w:r w:rsidRPr="00BC6B32">
        <w:rPr>
          <w:i/>
        </w:rPr>
        <w:t>i</w:t>
      </w:r>
      <w:r>
        <w:t>th</w:t>
      </w:r>
      <w:proofErr w:type="spellEnd"/>
      <w:r>
        <w:t xml:space="preserve"> spectrum in the </w:t>
      </w:r>
      <w:proofErr w:type="spellStart"/>
      <w:r>
        <w:rPr>
          <w:i/>
        </w:rPr>
        <w:t>M</w:t>
      </w:r>
      <w:r>
        <w:t>th</w:t>
      </w:r>
      <w:proofErr w:type="spellEnd"/>
      <w:r>
        <w:t xml:space="preserve"> batch, and </w:t>
      </w:r>
      <m:oMath>
        <m:sSub>
          <m:sSubPr>
            <m:ctrlPr>
              <w:rPr>
                <w:rFonts w:ascii="Cambria Math" w:hAnsi="Cambria Math"/>
                <w:i/>
              </w:rPr>
            </m:ctrlPr>
          </m:sSubPr>
          <m:e>
            <m:r>
              <w:rPr>
                <w:rFonts w:ascii="Cambria Math" w:hAnsi="Cambria Math"/>
              </w:rPr>
              <m:t>N</m:t>
            </m:r>
          </m:e>
          <m:sub>
            <m:r>
              <w:rPr>
                <w:rFonts w:ascii="Cambria Math" w:hAnsi="Cambria Math"/>
              </w:rPr>
              <m:t>M</m:t>
            </m:r>
          </m:sub>
        </m:sSub>
      </m:oMath>
      <w:r>
        <w:rPr>
          <w:i/>
        </w:rPr>
        <w:t xml:space="preserve"> </w:t>
      </w:r>
      <w:r>
        <w:t xml:space="preserve">is the number of samples in the batch. Therefore, mean spectra of batch </w:t>
      </w:r>
      <w:r>
        <w:rPr>
          <w:i/>
        </w:rPr>
        <w:t>M</w:t>
      </w:r>
      <w:r>
        <w:t xml:space="preserve"> is subtracted from every sample spectrum in batch </w:t>
      </w:r>
      <w:r>
        <w:rPr>
          <w:i/>
        </w:rPr>
        <w:t>M</w:t>
      </w:r>
      <w:r>
        <w:t>.</w:t>
      </w:r>
    </w:p>
    <w:p w14:paraId="7666E743" w14:textId="77777777" w:rsidR="0030630C" w:rsidRPr="00EF704A" w:rsidRDefault="0030630C" w:rsidP="005C6CF8">
      <w:pPr>
        <w:pStyle w:val="TESectionHeading"/>
      </w:pPr>
      <w:r w:rsidRPr="00EF704A">
        <w:t>RESULTS AND DISCUSSION</w:t>
      </w:r>
    </w:p>
    <w:p w14:paraId="64C2DA0B" w14:textId="3A6618C1" w:rsidR="0030630C" w:rsidRPr="00EF704A" w:rsidRDefault="0030630C" w:rsidP="0001569D">
      <w:pPr>
        <w:pStyle w:val="TAMainText"/>
      </w:pPr>
      <w:r w:rsidRPr="00EF704A">
        <w:t xml:space="preserve">The pre-processing workflow was applied to each of the CPMG and NOESY NMR datasets. The </w:t>
      </w:r>
      <w:r>
        <w:t xml:space="preserve">final </w:t>
      </w:r>
      <w:r w:rsidRPr="00EF704A">
        <w:t xml:space="preserve">datasets consisted of 7,869 </w:t>
      </w:r>
      <w:r>
        <w:t>spectra</w:t>
      </w:r>
      <w:r w:rsidRPr="00EF704A">
        <w:t xml:space="preserve"> for CPMG and 7,865 </w:t>
      </w:r>
      <w:r>
        <w:t>spectra</w:t>
      </w:r>
      <w:r w:rsidRPr="00EF704A">
        <w:t xml:space="preserve"> for NOESY</w:t>
      </w:r>
      <w:r>
        <w:t xml:space="preserve"> both containing</w:t>
      </w:r>
      <w:r w:rsidRPr="00EF704A">
        <w:t xml:space="preserve"> 30,590 variables</w:t>
      </w:r>
      <w:r>
        <w:t>.</w:t>
      </w:r>
      <w:r w:rsidRPr="00EF704A">
        <w:t xml:space="preserve"> </w:t>
      </w:r>
      <w:r>
        <w:t xml:space="preserve">In the following we </w:t>
      </w:r>
      <w:r w:rsidRPr="0099500A">
        <w:t xml:space="preserve">illustrate the workflow using the CPMG data. Results for NOESY data are similar and can be found in </w:t>
      </w:r>
      <w:r>
        <w:t xml:space="preserve">the </w:t>
      </w:r>
      <w:r w:rsidRPr="0099500A">
        <w:t>Supporting Information</w:t>
      </w:r>
      <w:r w:rsidR="00941D8B">
        <w:t xml:space="preserve"> (Figure S-1 and Figure S-2)</w:t>
      </w:r>
      <w:r w:rsidRPr="0099500A">
        <w:t>.</w:t>
      </w:r>
    </w:p>
    <w:p w14:paraId="2233B6A2" w14:textId="77777777" w:rsidR="0030630C" w:rsidRPr="00F7089D" w:rsidRDefault="0030630C" w:rsidP="0001569D">
      <w:pPr>
        <w:pStyle w:val="TAMainText"/>
        <w:rPr>
          <w:i/>
        </w:rPr>
      </w:pPr>
      <w:r w:rsidRPr="00F7089D">
        <w:rPr>
          <w:i/>
        </w:rPr>
        <w:lastRenderedPageBreak/>
        <w:t>Assessment of spectral peak alignment</w:t>
      </w:r>
    </w:p>
    <w:p w14:paraId="34F22823" w14:textId="2DD53ACB" w:rsidR="0030630C" w:rsidRDefault="0030630C" w:rsidP="0001569D">
      <w:pPr>
        <w:pStyle w:val="TAMainText"/>
      </w:pPr>
      <w:r>
        <w:t>Peak alignment quality was initially assessed visuall</w:t>
      </w:r>
      <w:r w:rsidRPr="00930AFD">
        <w:t xml:space="preserve">y </w:t>
      </w:r>
      <w:r>
        <w:t xml:space="preserve">as shown in </w:t>
      </w:r>
      <w:r>
        <w:fldChar w:fldCharType="begin"/>
      </w:r>
      <w:r>
        <w:instrText xml:space="preserve"> REF _Ref408504380 \h </w:instrText>
      </w:r>
      <w:r>
        <w:fldChar w:fldCharType="separate"/>
      </w:r>
      <w:r w:rsidRPr="00EF704A">
        <w:t xml:space="preserve">Figure </w:t>
      </w:r>
      <w:r>
        <w:rPr>
          <w:noProof/>
        </w:rPr>
        <w:t>2</w:t>
      </w:r>
      <w:r>
        <w:fldChar w:fldCharType="end"/>
      </w:r>
      <w:r w:rsidR="00941D8B">
        <w:t xml:space="preserve"> (See Figure S-3 to Figure S-14 in Supporting Information for the entire ppm range)</w:t>
      </w:r>
      <w:r>
        <w:t xml:space="preserve">. A clear improvement can be observed in the heat maps, for example the doublet at ~1.55 ppm (alanine). </w:t>
      </w:r>
      <w:r w:rsidRPr="00BB57DA">
        <w:t xml:space="preserve">Panels (c) and (d) show </w:t>
      </w:r>
      <w:r>
        <w:t>the distribution of detected NMR peaks on each data point</w:t>
      </w:r>
      <w:r w:rsidRPr="00BB57DA">
        <w:t>.</w:t>
      </w:r>
      <w:r>
        <w:t xml:space="preserve"> NMR peaks were detected by zero crossing of the derivative of smoothed spectra calculated using a </w:t>
      </w:r>
      <w:proofErr w:type="spellStart"/>
      <w:r>
        <w:t>Savitzky-Golay</w:t>
      </w:r>
      <w:proofErr w:type="spellEnd"/>
      <w:r>
        <w:t xml:space="preserve"> 3</w:t>
      </w:r>
      <w:r w:rsidRPr="00BB57DA">
        <w:rPr>
          <w:vertAlign w:val="superscript"/>
        </w:rPr>
        <w:t>rd</w:t>
      </w:r>
      <w:r>
        <w:t xml:space="preserve"> order polynomial filter with window size 0.005 ppm</w:t>
      </w:r>
      <w:r w:rsidRPr="00E83FFA">
        <w:rPr>
          <w:noProof/>
          <w:vertAlign w:val="superscript"/>
        </w:rPr>
        <w:t>11</w:t>
      </w:r>
      <w:r>
        <w:t>.</w:t>
      </w:r>
      <w:r w:rsidRPr="00BB57DA">
        <w:t xml:space="preserve"> </w:t>
      </w:r>
      <w:r>
        <w:t xml:space="preserve">The </w:t>
      </w:r>
      <w:r w:rsidRPr="00BB57DA">
        <w:t xml:space="preserve">sharper peaks in the </w:t>
      </w:r>
      <w:r>
        <w:t xml:space="preserve">peak position </w:t>
      </w:r>
      <w:r w:rsidRPr="00BB57DA">
        <w:t>distribution after the procedure</w:t>
      </w:r>
      <w:r>
        <w:t xml:space="preserve"> indicate an improvement in alignment</w:t>
      </w:r>
      <w:r w:rsidRPr="00BB57DA">
        <w:t>.</w:t>
      </w:r>
    </w:p>
    <w:p w14:paraId="48FAA4E6" w14:textId="77777777" w:rsidR="0030630C" w:rsidRDefault="0030630C" w:rsidP="0001569D">
      <w:pPr>
        <w:pStyle w:val="TAMainText"/>
      </w:pPr>
      <w:r>
        <w:t>T</w:t>
      </w:r>
      <w:r w:rsidRPr="00EF704A">
        <w:t xml:space="preserve">o evaluate </w:t>
      </w:r>
      <w:r>
        <w:t>the quality of the</w:t>
      </w:r>
      <w:r w:rsidRPr="00EF704A">
        <w:t xml:space="preserve"> alignment</w:t>
      </w:r>
      <w:r>
        <w:t xml:space="preserve"> more objectively</w:t>
      </w:r>
      <w:r w:rsidRPr="00EF704A">
        <w:t xml:space="preserve">, </w:t>
      </w:r>
      <w:r>
        <w:t xml:space="preserve">we follow </w:t>
      </w:r>
      <w:proofErr w:type="spellStart"/>
      <w:r>
        <w:t>Veselkov</w:t>
      </w:r>
      <w:proofErr w:type="spellEnd"/>
      <w:r>
        <w:t xml:space="preserve"> et al.</w:t>
      </w:r>
      <w:r w:rsidRPr="00E83FFA">
        <w:rPr>
          <w:noProof/>
          <w:vertAlign w:val="superscript"/>
        </w:rPr>
        <w:t>11</w:t>
      </w:r>
      <w:r>
        <w:t xml:space="preserve"> and calculate</w:t>
      </w:r>
      <w:r w:rsidRPr="00EF704A">
        <w:t xml:space="preserve"> quality measures </w:t>
      </w:r>
      <w:r>
        <w:t xml:space="preserve">based on correlation between appropriately scaled pairs of aligned spectra. The </w:t>
      </w:r>
      <w:r w:rsidRPr="00200560">
        <w:t>spectra are</w:t>
      </w:r>
      <w:r>
        <w:t xml:space="preserve"> first divided into a grid of </w:t>
      </w:r>
      <w:r w:rsidRPr="004F59B6">
        <w:rPr>
          <w:i/>
        </w:rPr>
        <w:t>K</w:t>
      </w:r>
      <w:r>
        <w:t xml:space="preserve"> adjacent regions </w:t>
      </w:r>
      <w:r w:rsidRPr="0030111D">
        <w:t>each</w:t>
      </w:r>
      <w:r>
        <w:rPr>
          <w:i/>
        </w:rPr>
        <w:t xml:space="preserve"> </w:t>
      </w:r>
      <w:r>
        <w:t xml:space="preserve">of width </w:t>
      </w:r>
      <w:r>
        <w:rPr>
          <w:i/>
        </w:rPr>
        <w:t xml:space="preserve">w. </w:t>
      </w:r>
      <w:r>
        <w:t>To account for large variations in intensities, each raw intensity (</w:t>
      </w:r>
      <m:oMath>
        <m:sSubSup>
          <m:sSubSupPr>
            <m:ctrlPr>
              <w:rPr>
                <w:rFonts w:ascii="Cambria Math" w:hAnsi="Cambria Math"/>
              </w:rPr>
            </m:ctrlPr>
          </m:sSubSupPr>
          <m:e>
            <m:r>
              <w:rPr>
                <w:rFonts w:ascii="Cambria Math" w:hAnsi="Cambria Math"/>
              </w:rPr>
              <m:t>s</m:t>
            </m:r>
          </m:e>
          <m:sub>
            <m:r>
              <w:rPr>
                <w:rFonts w:ascii="Cambria Math" w:hAnsi="Cambria Math"/>
              </w:rPr>
              <m:t>i,p,k</m:t>
            </m:r>
          </m:sub>
          <m:sup>
            <m:r>
              <m:rPr>
                <m:sty m:val="b"/>
              </m:rPr>
              <w:rPr>
                <w:rFonts w:ascii="Cambria Math" w:hAnsi="Cambria Math"/>
              </w:rPr>
              <m:t>raw</m:t>
            </m:r>
          </m:sup>
        </m:sSubSup>
      </m:oMath>
      <w:r>
        <w:t xml:space="preserve">) of the </w:t>
      </w:r>
      <w:r>
        <w:rPr>
          <w:i/>
        </w:rPr>
        <w:t>k</w:t>
      </w:r>
      <w:r w:rsidRPr="0030111D">
        <w:t xml:space="preserve">th region in the </w:t>
      </w:r>
      <w:proofErr w:type="spellStart"/>
      <w:r w:rsidRPr="009D4D4C">
        <w:rPr>
          <w:i/>
        </w:rPr>
        <w:t>i</w:t>
      </w:r>
      <w:r>
        <w:t>th</w:t>
      </w:r>
      <w:proofErr w:type="spellEnd"/>
      <w:r>
        <w:t xml:space="preserve"> spectrum are centered and scaled to unit variance:</w:t>
      </w:r>
    </w:p>
    <w:tbl>
      <w:tblPr>
        <w:tblW w:w="5000" w:type="pct"/>
        <w:tblLook w:val="04A0" w:firstRow="1" w:lastRow="0" w:firstColumn="1" w:lastColumn="0" w:noHBand="0" w:noVBand="1"/>
      </w:tblPr>
      <w:tblGrid>
        <w:gridCol w:w="786"/>
        <w:gridCol w:w="7678"/>
        <w:gridCol w:w="1588"/>
      </w:tblGrid>
      <w:tr w:rsidR="0030630C" w:rsidRPr="00C57A25" w14:paraId="34BB5008" w14:textId="77777777" w:rsidTr="002E2640">
        <w:tc>
          <w:tcPr>
            <w:tcW w:w="391" w:type="pct"/>
            <w:shd w:val="clear" w:color="auto" w:fill="auto"/>
            <w:vAlign w:val="center"/>
          </w:tcPr>
          <w:p w14:paraId="5294F1C2" w14:textId="77777777" w:rsidR="0030630C" w:rsidRDefault="0030630C" w:rsidP="0001569D">
            <w:pPr>
              <w:pStyle w:val="TAMainText"/>
              <w:rPr>
                <w:lang w:eastAsia="nb-NO"/>
              </w:rPr>
            </w:pPr>
          </w:p>
        </w:tc>
        <w:tc>
          <w:tcPr>
            <w:tcW w:w="3819" w:type="pct"/>
            <w:shd w:val="clear" w:color="auto" w:fill="auto"/>
            <w:vAlign w:val="center"/>
          </w:tcPr>
          <w:p w14:paraId="370B7006" w14:textId="77777777" w:rsidR="0030630C" w:rsidRDefault="00391BF4" w:rsidP="006258CE">
            <w:pPr>
              <w:pStyle w:val="TAMainText"/>
              <w:rPr>
                <w:lang w:eastAsia="nb-NO"/>
              </w:rPr>
            </w:pPr>
            <m:oMathPara>
              <m:oMath>
                <m:sSub>
                  <m:sSubPr>
                    <m:ctrlPr>
                      <w:rPr>
                        <w:rFonts w:ascii="Cambria Math" w:hAnsi="Cambria Math"/>
                      </w:rPr>
                    </m:ctrlPr>
                  </m:sSubPr>
                  <m:e>
                    <m:r>
                      <w:rPr>
                        <w:rFonts w:ascii="Cambria Math" w:hAnsi="Cambria Math"/>
                      </w:rPr>
                      <m:t>s</m:t>
                    </m:r>
                  </m:e>
                  <m:sub>
                    <m:r>
                      <w:rPr>
                        <w:rFonts w:ascii="Cambria Math" w:hAnsi="Cambria Math"/>
                      </w:rPr>
                      <m:t>i,p,k</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i,p,k</m:t>
                        </m:r>
                      </m:sub>
                      <m:sup>
                        <m:r>
                          <m:rPr>
                            <m:sty m:val="b"/>
                          </m:rPr>
                          <w:rPr>
                            <w:rFonts w:ascii="Cambria Math" w:hAnsi="Cambria Math"/>
                          </w:rPr>
                          <m:t>raw</m:t>
                        </m:r>
                      </m:sup>
                    </m:sSubSup>
                    <m:r>
                      <m:rPr>
                        <m:sty m:val="p"/>
                      </m:rPr>
                      <w:rPr>
                        <w:rFonts w:ascii="Cambria Math" w:hAnsi="Cambria Math"/>
                      </w:rPr>
                      <m:t>-</m:t>
                    </m:r>
                    <m:sSubSup>
                      <m:sSubSupPr>
                        <m:ctrlPr>
                          <w:rPr>
                            <w:rFonts w:ascii="Cambria Math" w:hAnsi="Cambria Math"/>
                          </w:rPr>
                        </m:ctrlPr>
                      </m:sSubSupPr>
                      <m:e>
                        <m:r>
                          <w:rPr>
                            <w:rFonts w:ascii="Cambria Math" w:hAnsi="Cambria Math"/>
                          </w:rPr>
                          <m:t>μ</m:t>
                        </m:r>
                      </m:e>
                      <m:sub>
                        <m:r>
                          <w:rPr>
                            <w:rFonts w:ascii="Cambria Math" w:hAnsi="Cambria Math"/>
                          </w:rPr>
                          <m:t>i,k</m:t>
                        </m:r>
                      </m:sub>
                      <m:sup>
                        <m:r>
                          <m:rPr>
                            <m:sty m:val="b"/>
                          </m:rPr>
                          <w:rPr>
                            <w:rFonts w:ascii="Cambria Math" w:hAnsi="Cambria Math"/>
                          </w:rPr>
                          <m:t>raw</m:t>
                        </m:r>
                      </m:sup>
                    </m:sSubSup>
                  </m:num>
                  <m:den>
                    <m:sSubSup>
                      <m:sSubSupPr>
                        <m:ctrlPr>
                          <w:rPr>
                            <w:rFonts w:ascii="Cambria Math" w:hAnsi="Cambria Math"/>
                          </w:rPr>
                        </m:ctrlPr>
                      </m:sSubSupPr>
                      <m:e>
                        <m:r>
                          <w:rPr>
                            <w:rFonts w:ascii="Cambria Math" w:hAnsi="Cambria Math"/>
                          </w:rPr>
                          <m:t>σ</m:t>
                        </m:r>
                      </m:e>
                      <m:sub>
                        <m:r>
                          <w:rPr>
                            <w:rFonts w:ascii="Cambria Math" w:hAnsi="Cambria Math"/>
                          </w:rPr>
                          <m:t>i,k</m:t>
                        </m:r>
                      </m:sub>
                      <m:sup>
                        <m:r>
                          <m:rPr>
                            <m:sty m:val="b"/>
                          </m:rPr>
                          <w:rPr>
                            <w:rFonts w:ascii="Cambria Math" w:hAnsi="Cambria Math"/>
                          </w:rPr>
                          <m:t>raw</m:t>
                        </m:r>
                      </m:sup>
                    </m:sSubSup>
                  </m:den>
                </m:f>
              </m:oMath>
            </m:oMathPara>
          </w:p>
        </w:tc>
        <w:tc>
          <w:tcPr>
            <w:tcW w:w="790" w:type="pct"/>
            <w:shd w:val="clear" w:color="auto" w:fill="auto"/>
            <w:vAlign w:val="center"/>
          </w:tcPr>
          <w:p w14:paraId="4CD57A22" w14:textId="77777777" w:rsidR="0030630C" w:rsidRPr="00C57A25" w:rsidRDefault="0030630C" w:rsidP="00C57A25">
            <w:pPr>
              <w:pStyle w:val="Caption"/>
              <w:jc w:val="right"/>
              <w:rPr>
                <w:b w:val="0"/>
                <w:color w:val="auto"/>
                <w:sz w:val="24"/>
                <w:szCs w:val="24"/>
              </w:rPr>
            </w:pPr>
            <w:r w:rsidRPr="00C57A25">
              <w:rPr>
                <w:rFonts w:eastAsia="MS Gothic"/>
                <w:b w:val="0"/>
                <w:bCs w:val="0"/>
                <w:color w:val="auto"/>
                <w:sz w:val="24"/>
                <w:szCs w:val="24"/>
                <w:lang w:eastAsia="nb-NO"/>
              </w:rPr>
              <w:t>(</w:t>
            </w:r>
            <w:r w:rsidRPr="00C57A25">
              <w:rPr>
                <w:b w:val="0"/>
                <w:color w:val="auto"/>
                <w:sz w:val="24"/>
                <w:szCs w:val="24"/>
              </w:rPr>
              <w:fldChar w:fldCharType="begin"/>
            </w:r>
            <w:r w:rsidRPr="00C57A25">
              <w:rPr>
                <w:b w:val="0"/>
                <w:color w:val="auto"/>
                <w:sz w:val="24"/>
                <w:szCs w:val="24"/>
              </w:rPr>
              <w:instrText xml:space="preserve"> SEQ Equation \* ARABIC </w:instrText>
            </w:r>
            <w:r w:rsidRPr="00C57A25">
              <w:rPr>
                <w:b w:val="0"/>
                <w:color w:val="auto"/>
                <w:sz w:val="24"/>
                <w:szCs w:val="24"/>
              </w:rPr>
              <w:fldChar w:fldCharType="separate"/>
            </w:r>
            <w:r>
              <w:rPr>
                <w:b w:val="0"/>
                <w:noProof/>
                <w:color w:val="auto"/>
                <w:sz w:val="24"/>
                <w:szCs w:val="24"/>
              </w:rPr>
              <w:t>2</w:t>
            </w:r>
            <w:r w:rsidRPr="00C57A25">
              <w:rPr>
                <w:b w:val="0"/>
                <w:color w:val="auto"/>
                <w:sz w:val="24"/>
                <w:szCs w:val="24"/>
              </w:rPr>
              <w:fldChar w:fldCharType="end"/>
            </w:r>
            <w:r w:rsidRPr="00C57A25">
              <w:rPr>
                <w:rFonts w:eastAsia="MS Gothic"/>
                <w:b w:val="0"/>
                <w:bCs w:val="0"/>
                <w:color w:val="auto"/>
                <w:sz w:val="24"/>
                <w:szCs w:val="24"/>
                <w:lang w:eastAsia="nb-NO"/>
              </w:rPr>
              <w:t>)</w:t>
            </w:r>
          </w:p>
        </w:tc>
      </w:tr>
    </w:tbl>
    <w:p w14:paraId="10FA090B" w14:textId="77777777" w:rsidR="0030630C" w:rsidRPr="00EF704A" w:rsidRDefault="0030630C" w:rsidP="00F7089D">
      <w:pPr>
        <w:pStyle w:val="TAMainText"/>
        <w:ind w:firstLine="0"/>
      </w:pPr>
      <w:r>
        <w:t xml:space="preserve">where </w:t>
      </w:r>
      <m:oMath>
        <m:sSub>
          <m:sSubPr>
            <m:ctrlPr>
              <w:rPr>
                <w:rFonts w:ascii="Cambria Math" w:hAnsi="Cambria Math"/>
              </w:rPr>
            </m:ctrlPr>
          </m:sSubPr>
          <m:e>
            <m:r>
              <w:rPr>
                <w:rFonts w:ascii="Cambria Math" w:hAnsi="Cambria Math"/>
              </w:rPr>
              <m:t>s</m:t>
            </m:r>
          </m:e>
          <m:sub>
            <m:r>
              <w:rPr>
                <w:rFonts w:ascii="Cambria Math" w:hAnsi="Cambria Math"/>
              </w:rPr>
              <m:t>i,p,k</m:t>
            </m:r>
          </m:sub>
        </m:sSub>
      </m:oMath>
      <w:r>
        <w:t xml:space="preserve"> is the </w:t>
      </w:r>
      <w:proofErr w:type="spellStart"/>
      <w:r w:rsidRPr="006258CE">
        <w:rPr>
          <w:i/>
        </w:rPr>
        <w:t>p</w:t>
      </w:r>
      <w:r>
        <w:t>th</w:t>
      </w:r>
      <w:proofErr w:type="spellEnd"/>
      <w:r>
        <w:t xml:space="preserve"> intensity of spectrum </w:t>
      </w:r>
      <w:proofErr w:type="spellStart"/>
      <w:r>
        <w:rPr>
          <w:i/>
        </w:rPr>
        <w:t>i</w:t>
      </w:r>
      <w:proofErr w:type="spellEnd"/>
      <w:r w:rsidRPr="006258CE">
        <w:t xml:space="preserve"> and </w:t>
      </w:r>
      <w:r>
        <w:t xml:space="preserve">region </w:t>
      </w:r>
      <w:r w:rsidRPr="006258CE">
        <w:rPr>
          <w:i/>
        </w:rPr>
        <w:t>k</w:t>
      </w:r>
      <w:r w:rsidRPr="005C6CF8">
        <w:t xml:space="preserve"> </w:t>
      </w:r>
      <w:r>
        <w:t>after centering and scaling</w:t>
      </w:r>
      <w:r w:rsidRPr="006258CE">
        <w:t xml:space="preserve">; and </w:t>
      </w:r>
      <m:oMath>
        <m:sSubSup>
          <m:sSubSupPr>
            <m:ctrlPr>
              <w:rPr>
                <w:rFonts w:ascii="Cambria Math" w:hAnsi="Cambria Math"/>
                <w:i/>
              </w:rPr>
            </m:ctrlPr>
          </m:sSubSupPr>
          <m:e>
            <m:r>
              <w:rPr>
                <w:rFonts w:ascii="Cambria Math" w:hAnsi="Cambria Math"/>
              </w:rPr>
              <m:t>μ</m:t>
            </m:r>
          </m:e>
          <m:sub>
            <m:r>
              <w:rPr>
                <w:rFonts w:ascii="Cambria Math" w:hAnsi="Cambria Math"/>
              </w:rPr>
              <m:t>ik</m:t>
            </m:r>
          </m:sub>
          <m:sup>
            <m:r>
              <m:rPr>
                <m:sty m:val="b"/>
              </m:rPr>
              <w:rPr>
                <w:rFonts w:ascii="Cambria Math" w:hAnsi="Cambria Math"/>
              </w:rPr>
              <m:t>raw</m:t>
            </m:r>
          </m:sup>
        </m:sSubSup>
      </m:oMath>
      <w:r>
        <w:t xml:space="preserve"> and </w:t>
      </w:r>
      <m:oMath>
        <m:sSubSup>
          <m:sSubSupPr>
            <m:ctrlPr>
              <w:rPr>
                <w:rFonts w:ascii="Cambria Math" w:hAnsi="Cambria Math"/>
                <w:i/>
              </w:rPr>
            </m:ctrlPr>
          </m:sSubSupPr>
          <m:e>
            <m:r>
              <w:rPr>
                <w:rFonts w:ascii="Cambria Math" w:hAnsi="Cambria Math"/>
              </w:rPr>
              <m:t>σ</m:t>
            </m:r>
          </m:e>
          <m:sub>
            <m:r>
              <w:rPr>
                <w:rFonts w:ascii="Cambria Math" w:hAnsi="Cambria Math"/>
              </w:rPr>
              <m:t>ik</m:t>
            </m:r>
          </m:sub>
          <m:sup>
            <m:r>
              <m:rPr>
                <m:sty m:val="b"/>
              </m:rPr>
              <w:rPr>
                <w:rFonts w:ascii="Cambria Math" w:hAnsi="Cambria Math"/>
              </w:rPr>
              <m:t>raw</m:t>
            </m:r>
          </m:sup>
        </m:sSubSup>
      </m:oMath>
      <w:r>
        <w:t xml:space="preserve"> denote the mean and standard deviation of intensities in spectrum </w:t>
      </w:r>
      <w:proofErr w:type="spellStart"/>
      <w:r w:rsidRPr="00CB2F29">
        <w:rPr>
          <w:i/>
        </w:rPr>
        <w:t>i</w:t>
      </w:r>
      <w:proofErr w:type="spellEnd"/>
      <w:r>
        <w:t xml:space="preserve"> and region </w:t>
      </w:r>
      <w:r w:rsidRPr="006258CE">
        <w:rPr>
          <w:i/>
        </w:rPr>
        <w:t>k</w:t>
      </w:r>
      <w:r>
        <w:rPr>
          <w:i/>
        </w:rPr>
        <w:t>.</w:t>
      </w:r>
      <w:r>
        <w:t xml:space="preserve"> The scaled intensities are reassembled </w:t>
      </w:r>
      <m:oMath>
        <m:sSub>
          <m:sSubPr>
            <m:ctrlPr>
              <w:rPr>
                <w:rFonts w:ascii="Cambria Math" w:hAnsi="Cambria Math"/>
                <w:i/>
              </w:rPr>
            </m:ctrlPr>
          </m:sSubPr>
          <m:e>
            <m:r>
              <m:rPr>
                <m:sty m:val="bi"/>
              </m:rPr>
              <w:rPr>
                <w:rFonts w:ascii="Cambria Math" w:hAnsi="Cambria Math"/>
              </w:rPr>
              <m:t>s</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s</m:t>
                </m:r>
              </m:e>
              <m:sub>
                <m:r>
                  <w:rPr>
                    <w:rFonts w:ascii="Cambria Math" w:hAnsi="Cambria Math"/>
                  </w:rPr>
                  <m:t>i1</m:t>
                </m:r>
              </m:sub>
            </m:sSub>
            <m:r>
              <w:rPr>
                <w:rFonts w:ascii="Cambria Math" w:hAnsi="Cambria Math"/>
              </w:rPr>
              <m:t>,</m:t>
            </m:r>
            <m:sSub>
              <m:sSubPr>
                <m:ctrlPr>
                  <w:rPr>
                    <w:rFonts w:ascii="Cambria Math" w:hAnsi="Cambria Math"/>
                    <w:i/>
                  </w:rPr>
                </m:ctrlPr>
              </m:sSubPr>
              <m:e>
                <m:r>
                  <m:rPr>
                    <m:sty m:val="bi"/>
                  </m:rPr>
                  <w:rPr>
                    <w:rFonts w:ascii="Cambria Math" w:hAnsi="Cambria Math"/>
                  </w:rPr>
                  <m:t>s</m:t>
                </m:r>
              </m:e>
              <m:sub>
                <m:r>
                  <w:rPr>
                    <w:rFonts w:ascii="Cambria Math" w:hAnsi="Cambria Math"/>
                  </w:rPr>
                  <m:t>i2</m:t>
                </m:r>
              </m:sub>
            </m:sSub>
            <m:r>
              <w:rPr>
                <w:rFonts w:ascii="Cambria Math" w:hAnsi="Cambria Math"/>
              </w:rPr>
              <m:t>,…,</m:t>
            </m:r>
            <m:sSub>
              <m:sSubPr>
                <m:ctrlPr>
                  <w:rPr>
                    <w:rFonts w:ascii="Cambria Math" w:hAnsi="Cambria Math"/>
                    <w:i/>
                  </w:rPr>
                </m:ctrlPr>
              </m:sSubPr>
              <m:e>
                <m:r>
                  <m:rPr>
                    <m:sty m:val="bi"/>
                  </m:rPr>
                  <w:rPr>
                    <w:rFonts w:ascii="Cambria Math" w:hAnsi="Cambria Math"/>
                  </w:rPr>
                  <m:t>s</m:t>
                </m:r>
              </m:e>
              <m:sub>
                <m:r>
                  <w:rPr>
                    <w:rFonts w:ascii="Cambria Math" w:hAnsi="Cambria Math"/>
                  </w:rPr>
                  <m:t>iK</m:t>
                </m:r>
              </m:sub>
            </m:sSub>
          </m:e>
        </m:d>
      </m:oMath>
      <w:r>
        <w:t xml:space="preserve"> and the quality metric</w:t>
      </w:r>
      <w:r w:rsidRPr="00EF704A">
        <w:t xml:space="preserve"> </w:t>
      </w:r>
      <m:oMath>
        <m:sSub>
          <m:sSubPr>
            <m:ctrlPr>
              <w:rPr>
                <w:rFonts w:ascii="Cambria Math" w:eastAsia="MS Gothic" w:hAnsi="Cambria Math"/>
                <w:i/>
              </w:rPr>
            </m:ctrlPr>
          </m:sSubPr>
          <m:e>
            <m:r>
              <w:rPr>
                <w:rFonts w:ascii="Cambria Math" w:eastAsia="MS Gothic" w:hAnsi="Cambria Math"/>
              </w:rPr>
              <m:t>aq</m:t>
            </m:r>
          </m:e>
          <m:sub>
            <m:r>
              <w:rPr>
                <w:rFonts w:ascii="Cambria Math" w:eastAsia="MS Gothic" w:hAnsi="Cambria Math"/>
              </w:rPr>
              <m:t>w</m:t>
            </m:r>
          </m:sub>
        </m:sSub>
      </m:oMath>
      <w:r w:rsidRPr="00EF704A">
        <w:t xml:space="preserve"> is defined </w:t>
      </w:r>
      <w:r>
        <w:t>as</w:t>
      </w:r>
    </w:p>
    <w:tbl>
      <w:tblPr>
        <w:tblW w:w="5000" w:type="pct"/>
        <w:tblLook w:val="04A0" w:firstRow="1" w:lastRow="0" w:firstColumn="1" w:lastColumn="0" w:noHBand="0" w:noVBand="1"/>
      </w:tblPr>
      <w:tblGrid>
        <w:gridCol w:w="786"/>
        <w:gridCol w:w="7678"/>
        <w:gridCol w:w="1588"/>
      </w:tblGrid>
      <w:tr w:rsidR="0030630C" w:rsidRPr="00EF704A" w14:paraId="2E395D96" w14:textId="77777777" w:rsidTr="002E2640">
        <w:tc>
          <w:tcPr>
            <w:tcW w:w="391" w:type="pct"/>
            <w:shd w:val="clear" w:color="auto" w:fill="auto"/>
            <w:vAlign w:val="center"/>
          </w:tcPr>
          <w:p w14:paraId="63399F12" w14:textId="77777777" w:rsidR="0030630C" w:rsidRDefault="0030630C" w:rsidP="0001569D">
            <w:pPr>
              <w:pStyle w:val="TAMainText"/>
              <w:rPr>
                <w:lang w:eastAsia="nb-NO"/>
              </w:rPr>
            </w:pPr>
          </w:p>
        </w:tc>
        <w:tc>
          <w:tcPr>
            <w:tcW w:w="3819" w:type="pct"/>
            <w:shd w:val="clear" w:color="auto" w:fill="auto"/>
            <w:vAlign w:val="center"/>
          </w:tcPr>
          <w:p w14:paraId="34985898" w14:textId="77777777" w:rsidR="0030630C" w:rsidRDefault="00391BF4" w:rsidP="006258CE">
            <w:pPr>
              <w:pStyle w:val="TAMainText"/>
              <w:rPr>
                <w:lang w:eastAsia="nb-NO"/>
              </w:rPr>
            </w:pPr>
            <m:oMathPara>
              <m:oMath>
                <m:sSub>
                  <m:sSubPr>
                    <m:ctrlPr>
                      <w:rPr>
                        <w:rFonts w:ascii="Cambria Math" w:hAnsi="Cambria Math"/>
                      </w:rPr>
                    </m:ctrlPr>
                  </m:sSubPr>
                  <m:e>
                    <m:r>
                      <w:rPr>
                        <w:rFonts w:ascii="Cambria Math" w:hAnsi="Cambria Math"/>
                      </w:rPr>
                      <m:t>aq</m:t>
                    </m:r>
                  </m:e>
                  <m:sub>
                    <m:r>
                      <w:rPr>
                        <w:rFonts w:ascii="Cambria Math" w:hAnsi="Cambria Math"/>
                      </w:rPr>
                      <m:t>w</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N</m:t>
                    </m:r>
                    <m:d>
                      <m:dPr>
                        <m:ctrlPr>
                          <w:rPr>
                            <w:rFonts w:ascii="Cambria Math" w:hAnsi="Cambria Math"/>
                          </w:rPr>
                        </m:ctrlPr>
                      </m:dPr>
                      <m:e>
                        <m:r>
                          <m:rPr>
                            <m:sty m:val="p"/>
                          </m:rPr>
                          <w:rPr>
                            <w:rFonts w:ascii="Cambria Math" w:hAnsi="Cambria Math"/>
                          </w:rPr>
                          <m:t>N-1</m:t>
                        </m:r>
                      </m:e>
                    </m:d>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i</m:t>
                        </m:r>
                        <m:r>
                          <m:rPr>
                            <m:sty m:val="p"/>
                          </m:rPr>
                          <w:rPr>
                            <w:rFonts w:ascii="Cambria Math" w:hAnsi="Cambria Math"/>
                          </w:rPr>
                          <m:t>-1</m:t>
                        </m:r>
                      </m:sup>
                      <m:e>
                        <m:r>
                          <w:rPr>
                            <w:rFonts w:ascii="Cambria Math" w:hAnsi="Cambria Math"/>
                          </w:rPr>
                          <m:t>cc</m:t>
                        </m:r>
                        <m:d>
                          <m:dPr>
                            <m:ctrlPr>
                              <w:rPr>
                                <w:rFonts w:ascii="Cambria Math" w:hAnsi="Cambria Math"/>
                              </w:rPr>
                            </m:ctrlPr>
                          </m:dPr>
                          <m:e>
                            <m:sSub>
                              <m:sSubPr>
                                <m:ctrlPr>
                                  <w:rPr>
                                    <w:rFonts w:ascii="Cambria Math" w:hAnsi="Cambria Math"/>
                                  </w:rPr>
                                </m:ctrlPr>
                              </m:sSubPr>
                              <m:e>
                                <m:r>
                                  <m:rPr>
                                    <m:sty m:val="bi"/>
                                  </m:rPr>
                                  <w:rPr>
                                    <w:rFonts w:ascii="Cambria Math" w:hAnsi="Cambria Math"/>
                                  </w:rPr>
                                  <m:t>s</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w:rPr>
                                    <w:rFonts w:ascii="Cambria Math" w:hAnsi="Cambria Math"/>
                                  </w:rPr>
                                  <m:t>j</m:t>
                                </m:r>
                              </m:sub>
                            </m:sSub>
                          </m:e>
                        </m:d>
                      </m:e>
                    </m:nary>
                  </m:e>
                </m:nary>
              </m:oMath>
            </m:oMathPara>
          </w:p>
        </w:tc>
        <w:tc>
          <w:tcPr>
            <w:tcW w:w="790" w:type="pct"/>
            <w:shd w:val="clear" w:color="auto" w:fill="auto"/>
            <w:vAlign w:val="center"/>
          </w:tcPr>
          <w:p w14:paraId="538B9E01" w14:textId="77777777" w:rsidR="0030630C" w:rsidRDefault="0030630C" w:rsidP="00C57A25">
            <w:pPr>
              <w:pStyle w:val="TAMainText"/>
              <w:jc w:val="right"/>
              <w:rPr>
                <w:lang w:eastAsia="nb-NO"/>
              </w:rPr>
            </w:pPr>
            <w:bookmarkStart w:id="1" w:name="_Ref438124122"/>
            <w:r w:rsidRPr="00006FE0">
              <w:rPr>
                <w:lang w:eastAsia="nb-NO"/>
              </w:rPr>
              <w:t>(</w:t>
            </w:r>
            <w:r w:rsidRPr="00006FE0">
              <w:rPr>
                <w:lang w:val="nb-NO" w:eastAsia="nb-NO"/>
              </w:rPr>
              <w:fldChar w:fldCharType="begin"/>
            </w:r>
            <w:r w:rsidRPr="00006FE0">
              <w:rPr>
                <w:lang w:eastAsia="nb-NO"/>
              </w:rPr>
              <w:instrText xml:space="preserve"> SEQ Equation \* ARABIC </w:instrText>
            </w:r>
            <w:r w:rsidRPr="00006FE0">
              <w:rPr>
                <w:lang w:val="nb-NO" w:eastAsia="nb-NO"/>
              </w:rPr>
              <w:fldChar w:fldCharType="separate"/>
            </w:r>
            <w:r>
              <w:rPr>
                <w:noProof/>
                <w:lang w:eastAsia="nb-NO"/>
              </w:rPr>
              <w:t>3</w:t>
            </w:r>
            <w:r w:rsidRPr="00006FE0">
              <w:rPr>
                <w:lang w:val="nb-NO" w:eastAsia="nb-NO"/>
              </w:rPr>
              <w:fldChar w:fldCharType="end"/>
            </w:r>
            <w:r w:rsidRPr="00006FE0">
              <w:rPr>
                <w:lang w:eastAsia="nb-NO"/>
              </w:rPr>
              <w:t>)</w:t>
            </w:r>
            <w:bookmarkEnd w:id="1"/>
          </w:p>
        </w:tc>
      </w:tr>
    </w:tbl>
    <w:p w14:paraId="69C8196F" w14:textId="77777777" w:rsidR="0030630C" w:rsidRDefault="0030630C" w:rsidP="00F7089D">
      <w:pPr>
        <w:pStyle w:val="TAMainText"/>
        <w:ind w:firstLine="0"/>
      </w:pPr>
      <w:r w:rsidRPr="00EF704A">
        <w:t>where</w:t>
      </w:r>
      <w:r>
        <w:t xml:space="preserve"> </w:t>
      </w:r>
      <w:r w:rsidRPr="0022102A">
        <w:rPr>
          <w:i/>
        </w:rPr>
        <w:t>cc</w:t>
      </w:r>
      <w:r>
        <w:t xml:space="preserve"> </w:t>
      </w:r>
      <w:r w:rsidRPr="00EF704A">
        <w:t xml:space="preserve">is the </w:t>
      </w:r>
      <w:r>
        <w:t xml:space="preserve">Pearson </w:t>
      </w:r>
      <w:r w:rsidRPr="00EF704A">
        <w:t xml:space="preserve">correlation </w:t>
      </w:r>
      <w:r>
        <w:t>coefficient</w:t>
      </w:r>
      <w:r w:rsidRPr="00EF704A">
        <w:t xml:space="preserve"> and </w:t>
      </w:r>
      <w:r>
        <w:rPr>
          <w:i/>
        </w:rPr>
        <w:t>N</w:t>
      </w:r>
      <w:r w:rsidRPr="00EF704A">
        <w:t xml:space="preserve"> is the number of spectra. </w:t>
      </w:r>
    </w:p>
    <w:p w14:paraId="3C849E47" w14:textId="77777777" w:rsidR="0030630C" w:rsidRDefault="0030630C" w:rsidP="0001569D">
      <w:pPr>
        <w:pStyle w:val="TAMainText"/>
      </w:pPr>
      <w:r>
        <w:t>We assessed alignment quality through calculation of the alignment quality metric</w:t>
      </w:r>
      <w:r w:rsidRPr="00EF704A">
        <w:t xml:space="preserve"> </w:t>
      </w:r>
      <m:oMath>
        <m:sSub>
          <m:sSubPr>
            <m:ctrlPr>
              <w:rPr>
                <w:rFonts w:ascii="Cambria Math" w:hAnsi="Cambria Math"/>
              </w:rPr>
            </m:ctrlPr>
          </m:sSubPr>
          <m:e>
            <m:r>
              <w:rPr>
                <w:rFonts w:ascii="Cambria Math" w:eastAsia="MS Gothic" w:hAnsi="Cambria Math"/>
              </w:rPr>
              <m:t>aq</m:t>
            </m:r>
          </m:e>
          <m:sub>
            <m:r>
              <w:rPr>
                <w:rFonts w:ascii="Cambria Math" w:eastAsia="MS Gothic" w:hAnsi="Cambria Math"/>
              </w:rPr>
              <m:t>w</m:t>
            </m:r>
          </m:sub>
        </m:sSub>
      </m:oMath>
      <w:r>
        <w:t xml:space="preserve"> (</w:t>
      </w:r>
      <w:r>
        <w:fldChar w:fldCharType="begin"/>
      </w:r>
      <w:r>
        <w:instrText xml:space="preserve"> REF _Ref440559861 \h </w:instrText>
      </w:r>
      <w:r>
        <w:fldChar w:fldCharType="separate"/>
      </w:r>
      <w:r w:rsidRPr="00EF704A">
        <w:t xml:space="preserve">Table </w:t>
      </w:r>
      <w:r>
        <w:rPr>
          <w:noProof/>
        </w:rPr>
        <w:t>1</w:t>
      </w:r>
      <w:r>
        <w:fldChar w:fldCharType="end"/>
      </w:r>
      <w:r>
        <w:t>)</w:t>
      </w:r>
      <w:r w:rsidRPr="003607C8">
        <w:t>.</w:t>
      </w:r>
      <w:r w:rsidRPr="00EF704A">
        <w:t xml:space="preserve"> </w:t>
      </w:r>
      <w:r>
        <w:t>We chose</w:t>
      </w:r>
      <w:r w:rsidRPr="00EF704A">
        <w:t xml:space="preserve"> </w:t>
      </w:r>
      <w:r>
        <w:t xml:space="preserve">bin sizes of </w:t>
      </w:r>
      <w:r>
        <w:rPr>
          <w:i/>
        </w:rPr>
        <w:t>w</w:t>
      </w:r>
      <w:r w:rsidRPr="00EF704A">
        <w:t xml:space="preserve"> = 0.0</w:t>
      </w:r>
      <w:r>
        <w:t>8 ppm to focus on large peaks only</w:t>
      </w:r>
      <w:r w:rsidRPr="00EF704A">
        <w:t xml:space="preserve"> and </w:t>
      </w:r>
      <w:r w:rsidRPr="00451583">
        <w:rPr>
          <w:i/>
        </w:rPr>
        <w:t>w</w:t>
      </w:r>
      <w:r>
        <w:rPr>
          <w:i/>
        </w:rPr>
        <w:t xml:space="preserve"> = </w:t>
      </w:r>
      <w:r w:rsidRPr="00451583">
        <w:t>0</w:t>
      </w:r>
      <w:r w:rsidRPr="00EF704A">
        <w:t>.0</w:t>
      </w:r>
      <w:r>
        <w:t>2</w:t>
      </w:r>
      <w:r w:rsidRPr="00EF704A">
        <w:t xml:space="preserve"> ppm </w:t>
      </w:r>
      <w:r>
        <w:t>to up-weight the contribution from small peaks.</w:t>
      </w:r>
      <w:r w:rsidRPr="00EF704A">
        <w:t xml:space="preserve"> </w:t>
      </w:r>
      <w:r>
        <w:t xml:space="preserve">The </w:t>
      </w:r>
      <w:proofErr w:type="spellStart"/>
      <w:r w:rsidRPr="00AC452F">
        <w:rPr>
          <w:i/>
        </w:rPr>
        <w:t>aq</w:t>
      </w:r>
      <w:proofErr w:type="spellEnd"/>
      <w:r>
        <w:t xml:space="preserve"> values for the aligned data were found to be significantly higher </w:t>
      </w:r>
      <w:r>
        <w:lastRenderedPageBreak/>
        <w:t>than those for the unaligned data for both bin sizes</w:t>
      </w:r>
      <w:r w:rsidRPr="00EF704A">
        <w:t xml:space="preserve"> </w:t>
      </w:r>
      <w:r>
        <w:t>(one-sided, paired t-test, largest p=1.6</w:t>
      </w:r>
      <w:r>
        <w:sym w:font="Wingdings 2" w:char="F0CF"/>
      </w:r>
      <w:r>
        <w:t>10</w:t>
      </w:r>
      <w:r w:rsidRPr="0022102A">
        <w:rPr>
          <w:vertAlign w:val="superscript"/>
        </w:rPr>
        <w:t>-143</w:t>
      </w:r>
      <w:r>
        <w:t>) indicating</w:t>
      </w:r>
      <w:r w:rsidRPr="00EF704A">
        <w:t xml:space="preserve"> a successful peak alignment</w:t>
      </w:r>
      <w:r>
        <w:t xml:space="preserve"> across the QC and study sample spectra</w:t>
      </w:r>
      <w:r w:rsidRPr="00EF704A">
        <w:t>.</w:t>
      </w:r>
    </w:p>
    <w:p w14:paraId="46B8D34C" w14:textId="77777777" w:rsidR="0030630C" w:rsidRPr="00D71DA3" w:rsidRDefault="0030630C" w:rsidP="0001569D">
      <w:pPr>
        <w:pStyle w:val="TAMainText"/>
        <w:rPr>
          <w:i/>
        </w:rPr>
      </w:pPr>
      <w:r w:rsidRPr="00D71DA3">
        <w:rPr>
          <w:i/>
        </w:rPr>
        <w:t>Assessment of the pre-processing workflow via the quality control samples (QCs)</w:t>
      </w:r>
    </w:p>
    <w:p w14:paraId="3B8EEBB8" w14:textId="77777777" w:rsidR="0030630C" w:rsidRDefault="0030630C" w:rsidP="0001569D">
      <w:pPr>
        <w:pStyle w:val="TAMainText"/>
      </w:pPr>
      <w:r>
        <w:t>An a</w:t>
      </w:r>
      <w:r w:rsidRPr="00EF704A">
        <w:t xml:space="preserve">ssessment of </w:t>
      </w:r>
      <w:r>
        <w:t>the overall</w:t>
      </w:r>
      <w:r w:rsidRPr="00EF704A">
        <w:t xml:space="preserve"> </w:t>
      </w:r>
      <w:r>
        <w:t xml:space="preserve">workflow </w:t>
      </w:r>
      <w:r w:rsidRPr="00EF704A">
        <w:t xml:space="preserve">was achieved by monitoring the </w:t>
      </w:r>
      <w:r>
        <w:t>QC</w:t>
      </w:r>
      <w:r w:rsidRPr="00EF704A">
        <w:t xml:space="preserve"> samples</w:t>
      </w:r>
      <w:r>
        <w:t>. Since each QC type (QC1 &amp; QC2) is of constant composition, the dispersion in the QC measurements reveals the level of non-biological variation, introduced during the analytical and data analysis pipeline, which may also be present in the study (non-QC) samples.</w:t>
      </w:r>
    </w:p>
    <w:p w14:paraId="74F5B4E7" w14:textId="77777777" w:rsidR="0030630C" w:rsidRDefault="0030630C" w:rsidP="00E829C0">
      <w:pPr>
        <w:pStyle w:val="TAMainText"/>
      </w:pPr>
      <w:r>
        <w:t xml:space="preserve">A qualitative impression of the QC measurements can be gained from observing the position of the QC samples on a PCA score plot, along with the study samples. </w:t>
      </w:r>
      <w:r>
        <w:fldChar w:fldCharType="begin"/>
      </w:r>
      <w:r>
        <w:instrText xml:space="preserve"> REF _Ref455161685 \h </w:instrText>
      </w:r>
      <w:r>
        <w:fldChar w:fldCharType="separate"/>
      </w:r>
      <w:r w:rsidRPr="00EF704A">
        <w:t xml:space="preserve">Figure </w:t>
      </w:r>
      <w:r>
        <w:rPr>
          <w:noProof/>
        </w:rPr>
        <w:t>3</w:t>
      </w:r>
      <w:r>
        <w:fldChar w:fldCharType="end"/>
      </w:r>
      <w:r>
        <w:t xml:space="preserve"> shows such a plot for the first two components of PCA models of the mean-centered datasets. T</w:t>
      </w:r>
      <w:bookmarkStart w:id="2" w:name="_GoBack"/>
      <w:bookmarkEnd w:id="2"/>
      <w:r>
        <w:t>he QC samples form two clusters according to the QC type where QC1 samples and QC2 samples cluster separately. After the preprocessing steps, each group of QC1 or QC2 samples are expected to cluster more tightly on the score plots as the variations due to misalignments of the peaks and global intensity variations across the samples are largely removed.</w:t>
      </w:r>
    </w:p>
    <w:p w14:paraId="1129F190" w14:textId="77777777" w:rsidR="0030630C" w:rsidRDefault="0030630C" w:rsidP="00E829C0">
      <w:pPr>
        <w:pStyle w:val="TAMainText"/>
      </w:pPr>
      <w:r>
        <w:t xml:space="preserve">The distribution of QC samples on the score plots in </w:t>
      </w:r>
      <w:r>
        <w:fldChar w:fldCharType="begin"/>
      </w:r>
      <w:r>
        <w:instrText xml:space="preserve"> REF _Ref455161685 \h  \* MERGEFORMAT </w:instrText>
      </w:r>
      <w:r>
        <w:fldChar w:fldCharType="separate"/>
      </w:r>
      <w:r w:rsidRPr="00EF704A">
        <w:t xml:space="preserve">Figure </w:t>
      </w:r>
      <w:r>
        <w:rPr>
          <w:noProof/>
        </w:rPr>
        <w:t>3</w:t>
      </w:r>
      <w:r>
        <w:fldChar w:fldCharType="end"/>
      </w:r>
      <w:proofErr w:type="gramStart"/>
      <w:r>
        <w:t>a</w:t>
      </w:r>
      <w:proofErr w:type="gramEnd"/>
      <w:r>
        <w:t xml:space="preserve"> and </w:t>
      </w:r>
      <w:r>
        <w:fldChar w:fldCharType="begin"/>
      </w:r>
      <w:r>
        <w:instrText xml:space="preserve"> REF _Ref455161685 \h </w:instrText>
      </w:r>
      <w:r>
        <w:fldChar w:fldCharType="separate"/>
      </w:r>
      <w:r w:rsidRPr="00EF704A">
        <w:t xml:space="preserve">Figure </w:t>
      </w:r>
      <w:r>
        <w:rPr>
          <w:noProof/>
        </w:rPr>
        <w:t>3</w:t>
      </w:r>
      <w:r>
        <w:fldChar w:fldCharType="end"/>
      </w:r>
      <w:r>
        <w:t xml:space="preserve">b look similar to each other although the distribution of the study samples seem to slightly change. The reason for this may be the stability of the peak locations in the QC samples, i.e. there are no major misalignments within the QC samples. In </w:t>
      </w:r>
      <w:r>
        <w:fldChar w:fldCharType="begin"/>
      </w:r>
      <w:r>
        <w:instrText xml:space="preserve"> REF _Ref455161685 \h </w:instrText>
      </w:r>
      <w:r>
        <w:fldChar w:fldCharType="separate"/>
      </w:r>
      <w:r w:rsidRPr="00EF704A">
        <w:t xml:space="preserve">Figure </w:t>
      </w:r>
      <w:r>
        <w:rPr>
          <w:noProof/>
        </w:rPr>
        <w:t>3</w:t>
      </w:r>
      <w:r>
        <w:fldChar w:fldCharType="end"/>
      </w:r>
      <w:r>
        <w:t>c, after removal of outliers and normalization, the clustering of the QC samples seems to be improved according to the QC type. Since only three outliers were removed, this improvement is mainly due to the probabilistic quotient normalization which is able to successfully correct global intensity variations across the data set.</w:t>
      </w:r>
    </w:p>
    <w:p w14:paraId="1124EDAB" w14:textId="77777777" w:rsidR="0030630C" w:rsidRDefault="0030630C" w:rsidP="0001569D">
      <w:pPr>
        <w:pStyle w:val="TAMainText"/>
      </w:pPr>
      <w:r>
        <w:t xml:space="preserve">To quantify the improvement in QC clustering seen in the figure, we calculated the ratio </w:t>
      </w:r>
      <w:r>
        <w:rPr>
          <w:i/>
        </w:rPr>
        <w:t xml:space="preserve">r </w:t>
      </w:r>
      <w:r>
        <w:t>of the sum of variances of the first two scores of each QC type to the sum of variances of the first two scores of the study samples.</w:t>
      </w:r>
    </w:p>
    <w:tbl>
      <w:tblPr>
        <w:tblW w:w="5000" w:type="pct"/>
        <w:tblLook w:val="04A0" w:firstRow="1" w:lastRow="0" w:firstColumn="1" w:lastColumn="0" w:noHBand="0" w:noVBand="1"/>
      </w:tblPr>
      <w:tblGrid>
        <w:gridCol w:w="786"/>
        <w:gridCol w:w="7678"/>
        <w:gridCol w:w="1588"/>
      </w:tblGrid>
      <w:tr w:rsidR="0030630C" w:rsidRPr="00EF704A" w14:paraId="77DA9C1E" w14:textId="77777777" w:rsidTr="00BD7462">
        <w:tc>
          <w:tcPr>
            <w:tcW w:w="391" w:type="pct"/>
            <w:shd w:val="clear" w:color="auto" w:fill="auto"/>
            <w:vAlign w:val="center"/>
          </w:tcPr>
          <w:p w14:paraId="50BE701E" w14:textId="77777777" w:rsidR="0030630C" w:rsidRDefault="0030630C" w:rsidP="0001569D">
            <w:pPr>
              <w:pStyle w:val="TAMainText"/>
              <w:rPr>
                <w:lang w:eastAsia="nb-NO"/>
              </w:rPr>
            </w:pPr>
          </w:p>
        </w:tc>
        <w:tc>
          <w:tcPr>
            <w:tcW w:w="3819" w:type="pct"/>
            <w:shd w:val="clear" w:color="auto" w:fill="auto"/>
            <w:vAlign w:val="center"/>
          </w:tcPr>
          <w:p w14:paraId="34E0152D" w14:textId="77777777" w:rsidR="0030630C" w:rsidRDefault="0030630C" w:rsidP="0001569D">
            <w:pPr>
              <w:pStyle w:val="TAMainText"/>
              <w:rPr>
                <w:lang w:eastAsia="nb-NO"/>
              </w:rPr>
            </w:pPr>
            <m:oMathPara>
              <m:oMath>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var</m:t>
                    </m:r>
                    <m:d>
                      <m:dPr>
                        <m:ctrlPr>
                          <w:rPr>
                            <w:rFonts w:ascii="Cambria Math" w:hAnsi="Cambria Math"/>
                          </w:rPr>
                        </m:ctrlPr>
                      </m:dPr>
                      <m:e>
                        <m:sSubSup>
                          <m:sSubSupPr>
                            <m:ctrlPr>
                              <w:rPr>
                                <w:rFonts w:ascii="Cambria Math" w:hAnsi="Cambria Math"/>
                              </w:rPr>
                            </m:ctrlPr>
                          </m:sSubSupPr>
                          <m:e>
                            <m:r>
                              <m:rPr>
                                <m:sty m:val="b"/>
                              </m:rPr>
                              <w:rPr>
                                <w:rFonts w:ascii="Cambria Math" w:hAnsi="Cambria Math"/>
                              </w:rPr>
                              <m:t>t</m:t>
                            </m:r>
                          </m:e>
                          <m:sub>
                            <m:r>
                              <m:rPr>
                                <m:sty m:val="p"/>
                              </m:rPr>
                              <w:rPr>
                                <w:rFonts w:ascii="Cambria Math" w:hAnsi="Cambria Math"/>
                              </w:rPr>
                              <m:t>1</m:t>
                            </m:r>
                          </m:sub>
                          <m:sup>
                            <m:r>
                              <w:rPr>
                                <w:rFonts w:ascii="Cambria Math" w:hAnsi="Cambria Math"/>
                              </w:rPr>
                              <m:t>QC</m:t>
                            </m:r>
                          </m:sup>
                        </m:sSubSup>
                      </m:e>
                    </m:d>
                    <m:r>
                      <m:rPr>
                        <m:sty m:val="p"/>
                      </m:rPr>
                      <w:rPr>
                        <w:rFonts w:ascii="Cambria Math" w:hAnsi="Cambria Math"/>
                      </w:rPr>
                      <m:t>+</m:t>
                    </m:r>
                    <m:r>
                      <w:rPr>
                        <w:rFonts w:ascii="Cambria Math" w:hAnsi="Cambria Math"/>
                      </w:rPr>
                      <m:t>var</m:t>
                    </m:r>
                    <m:r>
                      <m:rPr>
                        <m:sty m:val="p"/>
                      </m:rPr>
                      <w:rPr>
                        <w:rFonts w:ascii="Cambria Math" w:hAnsi="Cambria Math"/>
                      </w:rPr>
                      <m:t>(</m:t>
                    </m:r>
                    <m:sSubSup>
                      <m:sSubSupPr>
                        <m:ctrlPr>
                          <w:rPr>
                            <w:rFonts w:ascii="Cambria Math" w:hAnsi="Cambria Math"/>
                          </w:rPr>
                        </m:ctrlPr>
                      </m:sSubSupPr>
                      <m:e>
                        <m:r>
                          <m:rPr>
                            <m:sty m:val="b"/>
                          </m:rPr>
                          <w:rPr>
                            <w:rFonts w:ascii="Cambria Math" w:hAnsi="Cambria Math"/>
                          </w:rPr>
                          <m:t>t</m:t>
                        </m:r>
                      </m:e>
                      <m:sub>
                        <m:r>
                          <m:rPr>
                            <m:sty m:val="p"/>
                          </m:rPr>
                          <w:rPr>
                            <w:rFonts w:ascii="Cambria Math" w:hAnsi="Cambria Math"/>
                          </w:rPr>
                          <m:t>2</m:t>
                        </m:r>
                      </m:sub>
                      <m:sup>
                        <m:r>
                          <w:rPr>
                            <w:rFonts w:ascii="Cambria Math" w:hAnsi="Cambria Math"/>
                          </w:rPr>
                          <m:t>QC</m:t>
                        </m:r>
                      </m:sup>
                    </m:sSubSup>
                    <m:r>
                      <m:rPr>
                        <m:sty m:val="p"/>
                      </m:rPr>
                      <w:rPr>
                        <w:rFonts w:ascii="Cambria Math" w:hAnsi="Cambria Math"/>
                      </w:rPr>
                      <m:t>)</m:t>
                    </m:r>
                  </m:num>
                  <m:den>
                    <m:r>
                      <w:rPr>
                        <w:rFonts w:ascii="Cambria Math" w:hAnsi="Cambria Math"/>
                      </w:rPr>
                      <m:t>var</m:t>
                    </m:r>
                    <m:d>
                      <m:dPr>
                        <m:ctrlPr>
                          <w:rPr>
                            <w:rFonts w:ascii="Cambria Math" w:hAnsi="Cambria Math"/>
                          </w:rPr>
                        </m:ctrlPr>
                      </m:dPr>
                      <m:e>
                        <m:sSubSup>
                          <m:sSubSupPr>
                            <m:ctrlPr>
                              <w:rPr>
                                <w:rFonts w:ascii="Cambria Math" w:hAnsi="Cambria Math"/>
                              </w:rPr>
                            </m:ctrlPr>
                          </m:sSubSupPr>
                          <m:e>
                            <m:r>
                              <m:rPr>
                                <m:sty m:val="b"/>
                              </m:rPr>
                              <w:rPr>
                                <w:rFonts w:ascii="Cambria Math" w:hAnsi="Cambria Math"/>
                              </w:rPr>
                              <m:t>t</m:t>
                            </m:r>
                          </m:e>
                          <m:sub>
                            <m:r>
                              <m:rPr>
                                <m:sty m:val="p"/>
                              </m:rPr>
                              <w:rPr>
                                <w:rFonts w:ascii="Cambria Math" w:hAnsi="Cambria Math"/>
                              </w:rPr>
                              <m:t>1</m:t>
                            </m:r>
                          </m:sub>
                          <m:sup>
                            <m:r>
                              <w:rPr>
                                <w:rFonts w:ascii="Cambria Math" w:hAnsi="Cambria Math"/>
                              </w:rPr>
                              <m:t>STY</m:t>
                            </m:r>
                          </m:sup>
                        </m:sSubSup>
                      </m:e>
                    </m:d>
                    <m:r>
                      <m:rPr>
                        <m:sty m:val="p"/>
                      </m:rPr>
                      <w:rPr>
                        <w:rFonts w:ascii="Cambria Math" w:hAnsi="Cambria Math"/>
                      </w:rPr>
                      <m:t>+</m:t>
                    </m:r>
                    <m:r>
                      <w:rPr>
                        <w:rFonts w:ascii="Cambria Math" w:hAnsi="Cambria Math"/>
                      </w:rPr>
                      <m:t>var</m:t>
                    </m:r>
                    <m:r>
                      <m:rPr>
                        <m:sty m:val="p"/>
                      </m:rPr>
                      <w:rPr>
                        <w:rFonts w:ascii="Cambria Math" w:hAnsi="Cambria Math"/>
                      </w:rPr>
                      <m:t>(</m:t>
                    </m:r>
                    <m:sSubSup>
                      <m:sSubSupPr>
                        <m:ctrlPr>
                          <w:rPr>
                            <w:rFonts w:ascii="Cambria Math" w:hAnsi="Cambria Math"/>
                          </w:rPr>
                        </m:ctrlPr>
                      </m:sSubSupPr>
                      <m:e>
                        <m:r>
                          <m:rPr>
                            <m:sty m:val="b"/>
                          </m:rPr>
                          <w:rPr>
                            <w:rFonts w:ascii="Cambria Math" w:hAnsi="Cambria Math"/>
                          </w:rPr>
                          <m:t>t</m:t>
                        </m:r>
                      </m:e>
                      <m:sub>
                        <m:r>
                          <m:rPr>
                            <m:sty m:val="p"/>
                          </m:rPr>
                          <w:rPr>
                            <w:rFonts w:ascii="Cambria Math" w:hAnsi="Cambria Math"/>
                          </w:rPr>
                          <m:t>2</m:t>
                        </m:r>
                      </m:sub>
                      <m:sup>
                        <m:r>
                          <w:rPr>
                            <w:rFonts w:ascii="Cambria Math" w:hAnsi="Cambria Math"/>
                          </w:rPr>
                          <m:t>STY</m:t>
                        </m:r>
                      </m:sup>
                    </m:sSubSup>
                    <m:r>
                      <m:rPr>
                        <m:sty m:val="p"/>
                      </m:rPr>
                      <w:rPr>
                        <w:rFonts w:ascii="Cambria Math" w:hAnsi="Cambria Math"/>
                      </w:rPr>
                      <m:t>)</m:t>
                    </m:r>
                  </m:den>
                </m:f>
              </m:oMath>
            </m:oMathPara>
          </w:p>
        </w:tc>
        <w:tc>
          <w:tcPr>
            <w:tcW w:w="790" w:type="pct"/>
            <w:shd w:val="clear" w:color="auto" w:fill="auto"/>
            <w:vAlign w:val="center"/>
          </w:tcPr>
          <w:p w14:paraId="139936DE" w14:textId="77777777" w:rsidR="0030630C" w:rsidRDefault="0030630C" w:rsidP="00C57A25">
            <w:pPr>
              <w:pStyle w:val="TAMainText"/>
              <w:jc w:val="right"/>
              <w:rPr>
                <w:b/>
                <w:lang w:eastAsia="nb-NO"/>
              </w:rPr>
            </w:pPr>
            <w:r w:rsidRPr="00006FE0">
              <w:rPr>
                <w:szCs w:val="18"/>
                <w:lang w:eastAsia="nb-NO"/>
              </w:rPr>
              <w:t>(</w:t>
            </w:r>
            <w:r w:rsidRPr="00C7626F">
              <w:rPr>
                <w:lang w:eastAsia="nb-NO"/>
              </w:rPr>
              <w:fldChar w:fldCharType="begin"/>
            </w:r>
            <w:r w:rsidRPr="00C7626F">
              <w:rPr>
                <w:lang w:eastAsia="nb-NO"/>
              </w:rPr>
              <w:instrText xml:space="preserve"> SEQ Equation \* ARABIC </w:instrText>
            </w:r>
            <w:r w:rsidRPr="00C7626F">
              <w:rPr>
                <w:lang w:eastAsia="nb-NO"/>
              </w:rPr>
              <w:fldChar w:fldCharType="separate"/>
            </w:r>
            <w:r>
              <w:rPr>
                <w:noProof/>
                <w:lang w:eastAsia="nb-NO"/>
              </w:rPr>
              <w:t>4</w:t>
            </w:r>
            <w:r w:rsidRPr="00C7626F">
              <w:rPr>
                <w:lang w:eastAsia="nb-NO"/>
              </w:rPr>
              <w:fldChar w:fldCharType="end"/>
            </w:r>
            <w:r w:rsidRPr="00006FE0">
              <w:rPr>
                <w:szCs w:val="18"/>
                <w:lang w:eastAsia="nb-NO"/>
              </w:rPr>
              <w:t>)</w:t>
            </w:r>
          </w:p>
        </w:tc>
      </w:tr>
    </w:tbl>
    <w:p w14:paraId="18A410F4" w14:textId="77777777" w:rsidR="0030630C" w:rsidRDefault="0030630C" w:rsidP="00C57A25">
      <w:pPr>
        <w:pStyle w:val="TAMainText"/>
        <w:ind w:firstLine="0"/>
      </w:pPr>
      <w:r>
        <w:t xml:space="preserve">where </w:t>
      </w:r>
      <m:oMath>
        <m:r>
          <w:rPr>
            <w:rFonts w:ascii="Cambria Math" w:eastAsia="MS Gothic" w:hAnsi="Cambria Math"/>
          </w:rPr>
          <m:t>var</m:t>
        </m:r>
        <m:d>
          <m:dPr>
            <m:ctrlPr>
              <w:rPr>
                <w:rFonts w:ascii="Cambria Math" w:eastAsia="MS Gothic" w:hAnsi="Cambria Math"/>
                <w:i/>
              </w:rPr>
            </m:ctrlPr>
          </m:dPr>
          <m:e>
            <m:sSubSup>
              <m:sSubSupPr>
                <m:ctrlPr>
                  <w:rPr>
                    <w:rFonts w:ascii="Cambria Math" w:eastAsia="MS Gothic" w:hAnsi="Cambria Math"/>
                    <w:i/>
                  </w:rPr>
                </m:ctrlPr>
              </m:sSubSupPr>
              <m:e>
                <m:r>
                  <m:rPr>
                    <m:sty m:val="b"/>
                  </m:rPr>
                  <w:rPr>
                    <w:rFonts w:ascii="Cambria Math" w:eastAsia="MS Gothic" w:hAnsi="Cambria Math"/>
                  </w:rPr>
                  <m:t>t</m:t>
                </m:r>
              </m:e>
              <m:sub>
                <m:r>
                  <w:rPr>
                    <w:rFonts w:ascii="Cambria Math" w:eastAsia="MS Gothic" w:hAnsi="Cambria Math"/>
                  </w:rPr>
                  <m:t>i</m:t>
                </m:r>
              </m:sub>
              <m:sup>
                <m:r>
                  <w:rPr>
                    <w:rFonts w:ascii="Cambria Math" w:eastAsia="MS Gothic" w:hAnsi="Cambria Math"/>
                  </w:rPr>
                  <m:t>QC</m:t>
                </m:r>
              </m:sup>
            </m:sSubSup>
          </m:e>
        </m:d>
      </m:oMath>
      <w:r>
        <w:t xml:space="preserve"> and </w:t>
      </w:r>
      <m:oMath>
        <m:r>
          <w:rPr>
            <w:rFonts w:ascii="Cambria Math" w:eastAsia="MS Gothic" w:hAnsi="Cambria Math"/>
          </w:rPr>
          <m:t>var(</m:t>
        </m:r>
        <m:sSubSup>
          <m:sSubSupPr>
            <m:ctrlPr>
              <w:rPr>
                <w:rFonts w:ascii="Cambria Math" w:eastAsia="MS Gothic" w:hAnsi="Cambria Math"/>
                <w:i/>
              </w:rPr>
            </m:ctrlPr>
          </m:sSubSupPr>
          <m:e>
            <m:r>
              <m:rPr>
                <m:sty m:val="b"/>
              </m:rPr>
              <w:rPr>
                <w:rFonts w:ascii="Cambria Math" w:eastAsia="MS Gothic" w:hAnsi="Cambria Math"/>
              </w:rPr>
              <m:t>t</m:t>
            </m:r>
          </m:e>
          <m:sub>
            <m:r>
              <w:rPr>
                <w:rFonts w:ascii="Cambria Math" w:eastAsia="MS Gothic" w:hAnsi="Cambria Math"/>
              </w:rPr>
              <m:t>i</m:t>
            </m:r>
          </m:sub>
          <m:sup>
            <m:r>
              <w:rPr>
                <w:rFonts w:ascii="Cambria Math" w:eastAsia="MS Gothic" w:hAnsi="Cambria Math"/>
              </w:rPr>
              <m:t>STY</m:t>
            </m:r>
          </m:sup>
        </m:sSubSup>
        <m:r>
          <w:rPr>
            <w:rFonts w:ascii="Cambria Math" w:eastAsia="MS Gothic" w:hAnsi="Cambria Math"/>
          </w:rPr>
          <m:t>)</m:t>
        </m:r>
      </m:oMath>
      <w:r>
        <w:t xml:space="preserve"> are the variances of the </w:t>
      </w:r>
      <w:proofErr w:type="spellStart"/>
      <w:r w:rsidRPr="008444BD">
        <w:rPr>
          <w:i/>
        </w:rPr>
        <w:t>i</w:t>
      </w:r>
      <w:r>
        <w:t>th</w:t>
      </w:r>
      <w:proofErr w:type="spellEnd"/>
      <w:r>
        <w:t xml:space="preserve"> score vectors for QC and study samples respectively. This ratio for the CPMG dataset was approximately halved from </w:t>
      </w:r>
      <w:r w:rsidRPr="008444BD">
        <w:t>3</w:t>
      </w:r>
      <w:r>
        <w:t xml:space="preserve">.59% in the unaligned data to 1.64% after normalization for QC1, and from 1.77% to 0.81% for QC2. As QC samples are expected to be close to each other compared to the study samples, a decrease in these ratios demonstrates an improvement. </w:t>
      </w:r>
      <w:proofErr w:type="gramStart"/>
      <w:r>
        <w:t>Similarly</w:t>
      </w:r>
      <w:proofErr w:type="gramEnd"/>
      <w:r>
        <w:t xml:space="preserve"> for the NOESY dataset, the ratio decreased from 11.84% to 2.94% for QC1 and from 6.39% to 1.17% for QC2. </w:t>
      </w:r>
    </w:p>
    <w:p w14:paraId="692B2366" w14:textId="77777777" w:rsidR="0030630C" w:rsidRDefault="0030630C" w:rsidP="00E829C0">
      <w:pPr>
        <w:pStyle w:val="TAMainText"/>
      </w:pPr>
      <w:r>
        <w:t xml:space="preserve">A further quality assessment can be made by analyzing the distribution of </w:t>
      </w:r>
      <w:proofErr w:type="spellStart"/>
      <w:r>
        <w:t>Hotelling’s</w:t>
      </w:r>
      <w:proofErr w:type="spellEnd"/>
      <w:r>
        <w:t xml:space="preserve"> T</w:t>
      </w:r>
      <w:r>
        <w:rPr>
          <w:vertAlign w:val="superscript"/>
        </w:rPr>
        <w:t>2</w:t>
      </w:r>
      <w:r>
        <w:t xml:space="preserve"> values for the QC samples</w:t>
      </w:r>
      <w:r w:rsidRPr="00E83FFA">
        <w:rPr>
          <w:noProof/>
          <w:vertAlign w:val="superscript"/>
        </w:rPr>
        <w:t>1</w:t>
      </w:r>
      <w:r>
        <w:t>. The</w:t>
      </w:r>
      <w:r w:rsidRPr="00EF704A">
        <w:t xml:space="preserve"> </w:t>
      </w:r>
      <w:proofErr w:type="spellStart"/>
      <w:r>
        <w:t>Hotelling’s</w:t>
      </w:r>
      <w:proofErr w:type="spellEnd"/>
      <w:r w:rsidRPr="00EF704A">
        <w:t xml:space="preserve"> T</w:t>
      </w:r>
      <w:r w:rsidRPr="00F259EE">
        <w:rPr>
          <w:vertAlign w:val="superscript"/>
        </w:rPr>
        <w:t>2</w:t>
      </w:r>
      <w:r w:rsidRPr="00EF704A">
        <w:t xml:space="preserve"> value </w:t>
      </w:r>
      <w:r>
        <w:t>is proportional to</w:t>
      </w:r>
      <w:r w:rsidRPr="00EF704A">
        <w:t xml:space="preserve"> the</w:t>
      </w:r>
      <w:r>
        <w:t xml:space="preserve"> squared</w:t>
      </w:r>
      <w:r w:rsidRPr="00EF704A">
        <w:t xml:space="preserve"> </w:t>
      </w:r>
      <w:proofErr w:type="spellStart"/>
      <w:r w:rsidRPr="00EF704A">
        <w:t>Mahalanobis</w:t>
      </w:r>
      <w:proofErr w:type="spellEnd"/>
      <w:r w:rsidRPr="00EF704A">
        <w:t xml:space="preserve"> distance of a sample </w:t>
      </w:r>
      <w:r>
        <w:t>to</w:t>
      </w:r>
      <w:r w:rsidRPr="00EF704A">
        <w:t xml:space="preserve"> the origin in the score space</w:t>
      </w:r>
      <w:r w:rsidRPr="00C9562E">
        <w:rPr>
          <w:noProof/>
          <w:vertAlign w:val="superscript"/>
        </w:rPr>
        <w:t>14</w:t>
      </w:r>
      <w:r>
        <w:t xml:space="preserve"> and thus takes into account all components in the PCA model.</w:t>
      </w:r>
      <w:r w:rsidRPr="00EF704A">
        <w:t xml:space="preserve"> </w:t>
      </w:r>
      <w:r>
        <w:fldChar w:fldCharType="begin"/>
      </w:r>
      <w:r>
        <w:instrText xml:space="preserve"> REF _Ref455161846 \h </w:instrText>
      </w:r>
      <w:r>
        <w:fldChar w:fldCharType="separate"/>
      </w:r>
      <w:r w:rsidRPr="00EF704A">
        <w:t xml:space="preserve">Figure </w:t>
      </w:r>
      <w:r>
        <w:rPr>
          <w:noProof/>
        </w:rPr>
        <w:t>4</w:t>
      </w:r>
      <w:r>
        <w:fldChar w:fldCharType="end"/>
      </w:r>
      <w:r>
        <w:t xml:space="preserve"> shows</w:t>
      </w:r>
      <w:r w:rsidRPr="00EF704A">
        <w:t xml:space="preserve"> box plot</w:t>
      </w:r>
      <w:r>
        <w:t>s</w:t>
      </w:r>
      <w:r w:rsidRPr="00EF704A">
        <w:t xml:space="preserve"> of the </w:t>
      </w:r>
      <w:proofErr w:type="spellStart"/>
      <w:r>
        <w:t>Hotelling’s</w:t>
      </w:r>
      <w:proofErr w:type="spellEnd"/>
      <w:r w:rsidRPr="00EF704A">
        <w:t xml:space="preserve"> T</w:t>
      </w:r>
      <w:r w:rsidRPr="00F259EE">
        <w:rPr>
          <w:vertAlign w:val="superscript"/>
        </w:rPr>
        <w:t>2</w:t>
      </w:r>
      <w:r w:rsidRPr="00EF704A">
        <w:t xml:space="preserve"> values for QC1, QC2 and </w:t>
      </w:r>
      <w:r>
        <w:t xml:space="preserve">study </w:t>
      </w:r>
      <w:r w:rsidRPr="00EF704A">
        <w:t>samples</w:t>
      </w:r>
      <w:r>
        <w:t xml:space="preserve">, computed from PCA models explaining at least 95% of the variance in the data </w:t>
      </w:r>
      <w:r w:rsidRPr="009D4074">
        <w:t>(</w:t>
      </w:r>
      <w:r>
        <w:t>six PCs</w:t>
      </w:r>
      <w:r w:rsidRPr="009D4074">
        <w:t>)</w:t>
      </w:r>
      <w:r>
        <w:t>.</w:t>
      </w:r>
      <w:r w:rsidRPr="00EF704A">
        <w:t xml:space="preserve"> For </w:t>
      </w:r>
      <w:r>
        <w:t xml:space="preserve">the </w:t>
      </w:r>
      <w:r w:rsidRPr="00EF704A">
        <w:t>CPMG dataset, the QC1 interquartile range decreased from 1.42</w:t>
      </w:r>
      <w:r>
        <w:t>5</w:t>
      </w:r>
      <w:r w:rsidRPr="00EF704A">
        <w:t xml:space="preserve"> </w:t>
      </w:r>
      <w:r>
        <w:t xml:space="preserve">in the raw data </w:t>
      </w:r>
      <w:r w:rsidRPr="00EF704A">
        <w:t xml:space="preserve">to 0.679 </w:t>
      </w:r>
      <w:r>
        <w:t>after alignment, normalization and outlier removal, while the range</w:t>
      </w:r>
      <w:r w:rsidRPr="00EF704A">
        <w:t xml:space="preserve"> for QC2 </w:t>
      </w:r>
      <w:r>
        <w:t xml:space="preserve">decreased </w:t>
      </w:r>
      <w:r w:rsidRPr="00EF704A">
        <w:t>from 0.47</w:t>
      </w:r>
      <w:r>
        <w:t>1</w:t>
      </w:r>
      <w:r w:rsidRPr="00EF704A">
        <w:t xml:space="preserve"> to 0.35</w:t>
      </w:r>
      <w:r>
        <w:t>5</w:t>
      </w:r>
      <w:r w:rsidRPr="00EF704A">
        <w:t xml:space="preserve"> after the pre-processing steps. </w:t>
      </w:r>
      <w:r>
        <w:t xml:space="preserve">For the NOESY dataset, the range for QC1 decreased from 0.795 to 0.636 and from 0.763 to 0.426 for QC2. Note that no information from the QCs is used in pre-processing the data, so this decrease can be interpreted as a genuine effect of the processing pipeline. </w:t>
      </w:r>
      <w:r w:rsidRPr="00EF704A">
        <w:t xml:space="preserve">Therefore, it can be concluded that </w:t>
      </w:r>
      <w:r>
        <w:t>the pre-</w:t>
      </w:r>
      <w:r w:rsidRPr="00EF704A">
        <w:t xml:space="preserve">processing </w:t>
      </w:r>
      <w:r>
        <w:t xml:space="preserve">pipeline </w:t>
      </w:r>
      <w:r w:rsidRPr="00EF704A">
        <w:t xml:space="preserve">improved </w:t>
      </w:r>
      <w:r>
        <w:t>the quality of the data, as measured by the</w:t>
      </w:r>
      <w:r w:rsidRPr="00EF704A">
        <w:t xml:space="preserve"> quality control samples. </w:t>
      </w:r>
    </w:p>
    <w:p w14:paraId="36F9FA30" w14:textId="77777777" w:rsidR="0030630C" w:rsidRDefault="0030630C" w:rsidP="00E829C0">
      <w:pPr>
        <w:pStyle w:val="TAMainText"/>
      </w:pPr>
      <w:r>
        <w:t xml:space="preserve">On the PCA score plot of the pre-processed data in </w:t>
      </w:r>
      <w:r>
        <w:fldChar w:fldCharType="begin"/>
      </w:r>
      <w:r>
        <w:instrText xml:space="preserve"> REF _Ref455161685 \h </w:instrText>
      </w:r>
      <w:r>
        <w:fldChar w:fldCharType="separate"/>
      </w:r>
      <w:r w:rsidRPr="00EF704A">
        <w:t xml:space="preserve">Figure </w:t>
      </w:r>
      <w:r>
        <w:rPr>
          <w:noProof/>
        </w:rPr>
        <w:t>3</w:t>
      </w:r>
      <w:r>
        <w:fldChar w:fldCharType="end"/>
      </w:r>
      <w:r>
        <w:t xml:space="preserve">c, the samples of the MESA and LOLIPOP cohorts appear to overlap whereas the samples of the ROTTERDAM cohort are separate. Whilst there are real biological differences between the cohorts (e.g. age, diet, lifestyle), this variation might also have occurred due to sample collection and storage protocols. This is relevant in our case, as samples of the ROTTERDAM cohort were stored at -20 </w:t>
      </w:r>
      <w:r>
        <w:sym w:font="Symbol" w:char="F0B0"/>
      </w:r>
      <w:r>
        <w:t xml:space="preserve">C, whereas LOLIPOP and MESA samples were stored at -80 </w:t>
      </w:r>
      <w:r>
        <w:lastRenderedPageBreak/>
        <w:sym w:font="Symbol" w:char="F0B0"/>
      </w:r>
      <w:r>
        <w:t>C. In addition, within each cohort, the two analysis phases introduce potential batch effects which should be taken into consideration. This situation is typical of large and complex multicenter studies where the biological and methodological effects are often partially confounded. However, our primary goal was to find relationships between metabolic phenotype and clinical outcomes which are consistent across cohorts. This implies that we should not allow gross differences between cohorts or phases to affect the discovery of possible biomarkers. We therefore determined that a pooled analysis across all data, but adjusting for phase and cohort, was appropriate. We adjusted the data (study samples only, not QCs) for both phase and cohort using the mean-centering operation explained in “Phase and cohort adjustment” section. After adjustment the batch differences are no longer apparent and data for the three cohorts are overlapped (</w:t>
      </w:r>
      <w:r>
        <w:fldChar w:fldCharType="begin"/>
      </w:r>
      <w:r>
        <w:instrText xml:space="preserve"> REF _Ref455161685 \h </w:instrText>
      </w:r>
      <w:r>
        <w:fldChar w:fldCharType="separate"/>
      </w:r>
      <w:r w:rsidRPr="00EF704A">
        <w:t xml:space="preserve">Figure </w:t>
      </w:r>
      <w:r>
        <w:rPr>
          <w:noProof/>
        </w:rPr>
        <w:t>3</w:t>
      </w:r>
      <w:r>
        <w:fldChar w:fldCharType="end"/>
      </w:r>
      <w:r>
        <w:t>d). The mean-centering operation forced the samples of each batch to center on zero as a consequence of having zero mean.</w:t>
      </w:r>
    </w:p>
    <w:p w14:paraId="2EFFE020" w14:textId="77777777" w:rsidR="0030630C" w:rsidRDefault="0030630C" w:rsidP="0001569D">
      <w:pPr>
        <w:pStyle w:val="TAMainText"/>
      </w:pPr>
      <w:r w:rsidRPr="00EF704A">
        <w:t>At the end</w:t>
      </w:r>
      <w:r>
        <w:t xml:space="preserve"> of the assessment of the pre-processing workflow</w:t>
      </w:r>
      <w:r w:rsidRPr="00EF704A">
        <w:t xml:space="preserve">, the final versions of </w:t>
      </w:r>
      <w:r>
        <w:t>CPMG and NOESY</w:t>
      </w:r>
      <w:r w:rsidRPr="00EF704A">
        <w:t xml:space="preserve"> spectra were deemed suitable for further statistical analysis</w:t>
      </w:r>
      <w:r>
        <w:t xml:space="preserve"> according to the quality measures presented here.</w:t>
      </w:r>
    </w:p>
    <w:p w14:paraId="2945F98D" w14:textId="77777777" w:rsidR="0030630C" w:rsidRDefault="0030630C" w:rsidP="005C6CF8">
      <w:pPr>
        <w:pStyle w:val="TESectionHeading"/>
      </w:pPr>
      <w:r w:rsidRPr="00C7626F">
        <w:t>CONCLUSION</w:t>
      </w:r>
    </w:p>
    <w:p w14:paraId="7C836C76" w14:textId="77777777" w:rsidR="0030630C" w:rsidRDefault="0030630C" w:rsidP="0077604D">
      <w:pPr>
        <w:pStyle w:val="TAMainText"/>
      </w:pPr>
      <w:r>
        <w:t>Obtaining high quality analytical data in large metabolic epidemiology studies is a challenge because of artefacts introduced by sample collection, handling and storage, machine, processing and batch effects. We present a general workflow for pre-processing such large NMR datasets. While there are examples of targeted analysis of annotated NMR peaks across multiple cohorts</w:t>
      </w:r>
      <w:r w:rsidRPr="00C9562E">
        <w:rPr>
          <w:noProof/>
          <w:vertAlign w:val="superscript"/>
        </w:rPr>
        <w:t>15</w:t>
      </w:r>
      <w:r>
        <w:t xml:space="preserve">, to our knowledge this is the first workflow addressing the issue of multi-cohort large-scale studies in untargeted NMR metabolomics. Careful end-to-end analysis using multiple repeatedly analyzed QC samples enabled us to monitor and control the quality of the resulting datasets. Overall, the approach was able to improve the precision of the data, according to several measures of quality, compared to the unprocessed data. The strategy </w:t>
      </w:r>
      <w:r>
        <w:lastRenderedPageBreak/>
        <w:t>presented here provides a framework for the analysis of multi-cohort studies where large numbers of samples are to be assayed using an untargeted NMR platform.</w:t>
      </w:r>
    </w:p>
    <w:p w14:paraId="58E4EDB1" w14:textId="77777777" w:rsidR="0030630C" w:rsidRDefault="0030630C">
      <w:pPr>
        <w:spacing w:after="0"/>
        <w:jc w:val="left"/>
        <w:rPr>
          <w:rFonts w:ascii="Myriad Pro Light" w:hAnsi="Myriad Pro Light"/>
          <w:b/>
          <w:caps/>
          <w:sz w:val="21"/>
          <w:szCs w:val="18"/>
        </w:rPr>
      </w:pPr>
      <w:r>
        <w:br w:type="page"/>
      </w:r>
    </w:p>
    <w:p w14:paraId="617F7ED5" w14:textId="77777777" w:rsidR="0030630C" w:rsidRPr="00675F23" w:rsidRDefault="0030630C" w:rsidP="005C6CF8">
      <w:pPr>
        <w:pStyle w:val="TESupportingInfoTitle"/>
      </w:pPr>
      <w:r w:rsidRPr="00675F23">
        <w:lastRenderedPageBreak/>
        <w:t>Supporting Information</w:t>
      </w:r>
    </w:p>
    <w:p w14:paraId="7331A1EB" w14:textId="77777777" w:rsidR="0030630C" w:rsidRDefault="0030630C" w:rsidP="00DE40BC">
      <w:pPr>
        <w:pStyle w:val="TESupportingInformation"/>
      </w:pPr>
      <w:r w:rsidRPr="00D92441">
        <w:t xml:space="preserve">Figure S-1. Plots of the first two PCA scores for NOESY data: a) unaligned, b) aligned, c) after normalization and removal of major outliers, d) after adjustment for cohort and phase. Figure S-2. Box plots of </w:t>
      </w:r>
      <w:proofErr w:type="spellStart"/>
      <w:r w:rsidRPr="00D92441">
        <w:t>Hotelling</w:t>
      </w:r>
      <w:proofErr w:type="spellEnd"/>
      <w:r w:rsidRPr="00D92441">
        <w:t xml:space="preserve"> T</w:t>
      </w:r>
      <w:r w:rsidRPr="009C7B95">
        <w:rPr>
          <w:vertAlign w:val="superscript"/>
        </w:rPr>
        <w:t>2</w:t>
      </w:r>
      <w:r w:rsidRPr="00D92441">
        <w:t xml:space="preserve"> distributions for the NOESY dataset (QC1, QC2 and study samples, STY) corresponding to a) unaligned data b) aligned and normalized data with major outliers removed.</w:t>
      </w:r>
      <w:r>
        <w:t xml:space="preserve"> </w:t>
      </w:r>
      <w:r w:rsidRPr="00D92441">
        <w:t>Figure S-3. Illustration of spectral peaks of the CPMG NMR dataset between δ 0.50 and δ 1.45 ppm region before (a) and after (b) alignment. Figure S-4. Illustration of spectral peaks of the CPMG NMR dataset between δ 1.45 and δ 2.64 ppm region before (a) and after (b) alignment. Figure S-5. Illustration of spectral peaks of the CPMG NMR dataset between δ 2.64 and δ 3.33 ppm region before (a) and after (b) alignment. Figure S-6. Illustration of spectral peaks of the CPMG NMR dataset between δ 3.33 and δ 4.40 ppm region before (a) and after (b) alignment. Figure S-7. Illustration of spectral peaks of the CPMG NMR dataset between δ 5.10 and δ 6.00 ppm region befo</w:t>
      </w:r>
      <w:r>
        <w:t xml:space="preserve">re (a) and after (b) alignment. </w:t>
      </w:r>
      <w:r w:rsidRPr="00D92441">
        <w:t>Figure S-8. Illustration of spectral peaks of the CPMG NMR dataset between δ 6.00 and δ 9.00 ppm region before (a) and after (b) alignment. Figure S-9. Illustration of spectral peaks of the NOESY NMR dataset between δ 0.50 and δ 1.45 ppm region before (a) and after (b) alignment. Figure S-10. Illustration of spectral peaks of the NOESY NMR dataset between δ 1.45 and δ 2.64 ppm region before (a) and after (b) alignment. Figure S-11. Illustration of spectral peaks of the NOESY NMR dataset between δ 2.64 and δ 3.33 ppm region before (a) and after (b) alignment. Figure S-12. Illustration of spectral peaks of the NOESY NMR dataset between δ 3.33 and δ 4.40 ppm region before (a) and after (b) alignment. Figure S-13. Illustration of spectral peaks of the NOESY NMR dataset between δ 5.10 and δ 6.00 ppm region before (a) and after (b) alignment. Figure S-14. Illustration of spectral peaks of the NOESY NMR dataset between δ 6.00 and δ 9.00 ppm region before (a) and after (b) alignment.</w:t>
      </w:r>
    </w:p>
    <w:p w14:paraId="521DADD4" w14:textId="77777777" w:rsidR="0030630C" w:rsidRDefault="0030630C" w:rsidP="008B6F5E">
      <w:pPr>
        <w:pStyle w:val="TESupportingInformation"/>
      </w:pPr>
      <w:r w:rsidRPr="0077604D">
        <w:t>The authors declare no competing financial interest.</w:t>
      </w:r>
      <w:r>
        <w:t xml:space="preserve"> </w:t>
      </w:r>
    </w:p>
    <w:p w14:paraId="57A288CA" w14:textId="77777777" w:rsidR="0030630C" w:rsidRDefault="0030630C" w:rsidP="00E829C0">
      <w:pPr>
        <w:pStyle w:val="TESupportingInformation"/>
      </w:pPr>
      <w:r>
        <w:lastRenderedPageBreak/>
        <w:t xml:space="preserve">Notes: Four CPMG datasets used to produce Figure 3 and four NOESY datasets used to produce Figure S-1 are </w:t>
      </w:r>
      <w:r w:rsidRPr="0072597E">
        <w:t xml:space="preserve">publically available via </w:t>
      </w:r>
      <w:r>
        <w:t>“</w:t>
      </w:r>
      <w:proofErr w:type="spellStart"/>
      <w:r w:rsidRPr="0072597E">
        <w:t>figshare</w:t>
      </w:r>
      <w:proofErr w:type="spellEnd"/>
      <w:r>
        <w:t>”</w:t>
      </w:r>
      <w:r w:rsidRPr="0072597E">
        <w:t xml:space="preserve"> </w:t>
      </w:r>
      <w:r>
        <w:t>website</w:t>
      </w:r>
      <w:r w:rsidRPr="0072597E">
        <w:t xml:space="preserve"> with digital o</w:t>
      </w:r>
      <w:r>
        <w:t xml:space="preserve">bject identifier </w:t>
      </w:r>
      <w:r w:rsidRPr="0072597E">
        <w:t>https://dx.doi.org/10.6084/m9.figshare.c.3284750</w:t>
      </w:r>
      <w:r>
        <w:t>. The sample IDs were removed in order to maintain the anonymity of the data.</w:t>
      </w:r>
    </w:p>
    <w:p w14:paraId="11668102" w14:textId="77777777" w:rsidR="0030630C" w:rsidRPr="00DE40BC" w:rsidRDefault="0030630C" w:rsidP="00E829C0">
      <w:pPr>
        <w:pStyle w:val="TESupportingInformation"/>
      </w:pPr>
    </w:p>
    <w:p w14:paraId="246FD21D" w14:textId="77777777" w:rsidR="0030630C" w:rsidRPr="00EF704A" w:rsidRDefault="0030630C" w:rsidP="007331FF">
      <w:pPr>
        <w:pStyle w:val="TDAckTitle"/>
      </w:pPr>
      <w:r w:rsidRPr="00EF704A">
        <w:t>ACKNOWLEDG</w:t>
      </w:r>
      <w:r>
        <w:t>EMENTS</w:t>
      </w:r>
    </w:p>
    <w:p w14:paraId="70DC78B3" w14:textId="77777777" w:rsidR="0030630C" w:rsidRDefault="0030630C" w:rsidP="00D951BA">
      <w:pPr>
        <w:pStyle w:val="TDAcknowledgments"/>
      </w:pPr>
      <w:r>
        <w:t xml:space="preserve">The authors are grateful for access to samples and data, as well as useful discussions with the wider COMBI-BIO team. We acknowledge support from the EU COMBI-BIO project (Seventh Framework </w:t>
      </w:r>
      <w:proofErr w:type="spellStart"/>
      <w:r>
        <w:t>Programme</w:t>
      </w:r>
      <w:proofErr w:type="spellEnd"/>
      <w:r>
        <w:t>, 305422), t</w:t>
      </w:r>
      <w:r w:rsidRPr="005B02BC">
        <w:t xml:space="preserve">he UK </w:t>
      </w:r>
      <w:proofErr w:type="spellStart"/>
      <w:r w:rsidRPr="005B02BC">
        <w:t>MEDical</w:t>
      </w:r>
      <w:proofErr w:type="spellEnd"/>
      <w:r w:rsidRPr="005B02BC">
        <w:t xml:space="preserve"> Bioinformatics partnership </w:t>
      </w:r>
      <w:proofErr w:type="spellStart"/>
      <w:r w:rsidRPr="005B02BC">
        <w:t>programme</w:t>
      </w:r>
      <w:proofErr w:type="spellEnd"/>
      <w:r w:rsidRPr="005B02BC">
        <w:t xml:space="preserve"> (UK MED-BIO</w:t>
      </w:r>
      <w:r>
        <w:t xml:space="preserve">) </w:t>
      </w:r>
      <w:r w:rsidRPr="005B02BC">
        <w:t>funded by M</w:t>
      </w:r>
      <w:r>
        <w:t xml:space="preserve">edical </w:t>
      </w:r>
      <w:r w:rsidRPr="005B02BC">
        <w:t>R</w:t>
      </w:r>
      <w:r>
        <w:t xml:space="preserve">esearch </w:t>
      </w:r>
      <w:r w:rsidRPr="005B02BC">
        <w:t>C</w:t>
      </w:r>
      <w:r>
        <w:t xml:space="preserve">ouncil (MRC) and The National Phenome Centre </w:t>
      </w:r>
      <w:r w:rsidRPr="005B02BC">
        <w:t xml:space="preserve">funded </w:t>
      </w:r>
      <w:r>
        <w:t>by</w:t>
      </w:r>
      <w:r w:rsidRPr="005B02BC">
        <w:t xml:space="preserve"> </w:t>
      </w:r>
      <w:r>
        <w:t xml:space="preserve">MRC </w:t>
      </w:r>
      <w:r w:rsidRPr="005B02BC">
        <w:t>and the National Institute for Health Research</w:t>
      </w:r>
      <w:r>
        <w:t xml:space="preserve"> (NIHR). IK acknowledges support from the EU </w:t>
      </w:r>
      <w:proofErr w:type="spellStart"/>
      <w:r>
        <w:t>PhenoMeNal</w:t>
      </w:r>
      <w:proofErr w:type="spellEnd"/>
      <w:r>
        <w:t xml:space="preserve"> project (Horizon 2020, </w:t>
      </w:r>
      <w:r w:rsidRPr="0022278F">
        <w:t>654241</w:t>
      </w:r>
      <w:r>
        <w:t xml:space="preserve">) and NIHR - </w:t>
      </w:r>
      <w:r w:rsidRPr="005A350C">
        <w:t>Health Protection Research Unit</w:t>
      </w:r>
      <w:r>
        <w:t xml:space="preserve"> (HPRU)</w:t>
      </w:r>
      <w:r w:rsidRPr="005A350C">
        <w:t xml:space="preserve"> </w:t>
      </w:r>
      <w:r>
        <w:t xml:space="preserve">on Health Impacts of Environmental Hazards. </w:t>
      </w:r>
      <w:r w:rsidRPr="005A350C">
        <w:t xml:space="preserve">PE is Director of the Medical Research Council and Public Health England </w:t>
      </w:r>
      <w:r>
        <w:t>(</w:t>
      </w:r>
      <w:r w:rsidRPr="005A350C">
        <w:t>MRC-PHE</w:t>
      </w:r>
      <w:r>
        <w:t>)</w:t>
      </w:r>
      <w:r w:rsidRPr="005A350C">
        <w:t xml:space="preserve"> Centre for Environment and Health and acknowledges support from the MRC-PHE. PE is a</w:t>
      </w:r>
      <w:r>
        <w:t>n</w:t>
      </w:r>
      <w:r w:rsidRPr="005A350C">
        <w:t xml:space="preserve"> NIHR senior investigator and acknowledges support from the NIHR Biomedical Research Centre at Imperial College Healthcare NHS Trust and Imperial College London, and the NIHR</w:t>
      </w:r>
      <w:r>
        <w:t>-HPRU</w:t>
      </w:r>
      <w:r w:rsidRPr="005A350C">
        <w:t xml:space="preserve"> on Health Effects of Environmental Hazards. </w:t>
      </w:r>
      <w:r>
        <w:t xml:space="preserve">TE acknowledges support from the EU COSMOS project (Seventh Framework </w:t>
      </w:r>
      <w:proofErr w:type="spellStart"/>
      <w:r>
        <w:t>Programme</w:t>
      </w:r>
      <w:proofErr w:type="spellEnd"/>
      <w:r>
        <w:t xml:space="preserve">, </w:t>
      </w:r>
      <w:r w:rsidRPr="00972A54">
        <w:t>312941</w:t>
      </w:r>
      <w:r>
        <w:t xml:space="preserve">) and the EU </w:t>
      </w:r>
      <w:proofErr w:type="spellStart"/>
      <w:r>
        <w:t>PhenoMeNal</w:t>
      </w:r>
      <w:proofErr w:type="spellEnd"/>
      <w:r>
        <w:t xml:space="preserve"> project (Horizon 2020, </w:t>
      </w:r>
      <w:r w:rsidRPr="0022278F">
        <w:t>654241</w:t>
      </w:r>
      <w:r>
        <w:t>).</w:t>
      </w:r>
    </w:p>
    <w:p w14:paraId="550F66E2" w14:textId="77777777" w:rsidR="0030630C" w:rsidRPr="00451583" w:rsidRDefault="0030630C" w:rsidP="00451583"/>
    <w:p w14:paraId="4AEACFAE" w14:textId="77777777" w:rsidR="0030630C" w:rsidRPr="00C9562E" w:rsidRDefault="0030630C" w:rsidP="0030630C">
      <w:pPr>
        <w:pStyle w:val="TESectionHeading"/>
      </w:pPr>
      <w:r w:rsidRPr="00C9562E">
        <w:t>REFERENCES</w:t>
      </w:r>
    </w:p>
    <w:p w14:paraId="2D2E2F69" w14:textId="77777777" w:rsidR="0030630C" w:rsidRPr="00C9562E" w:rsidRDefault="0030630C" w:rsidP="0030630C">
      <w:pPr>
        <w:pStyle w:val="TFReferencesSection"/>
      </w:pPr>
      <w:r w:rsidRPr="00C9562E">
        <w:t>(1)</w:t>
      </w:r>
      <w:r w:rsidRPr="00C9562E">
        <w:tab/>
        <w:t xml:space="preserve">Dona, A. C.; Jiménez, B.; </w:t>
      </w:r>
      <w:proofErr w:type="spellStart"/>
      <w:r w:rsidRPr="00C9562E">
        <w:t>Schäfer</w:t>
      </w:r>
      <w:proofErr w:type="spellEnd"/>
      <w:r w:rsidRPr="00C9562E">
        <w:t xml:space="preserve">, H.; </w:t>
      </w:r>
      <w:proofErr w:type="spellStart"/>
      <w:r w:rsidRPr="00C9562E">
        <w:t>Humpfer</w:t>
      </w:r>
      <w:proofErr w:type="spellEnd"/>
      <w:r w:rsidRPr="00C9562E">
        <w:t xml:space="preserve">, E.; </w:t>
      </w:r>
      <w:proofErr w:type="spellStart"/>
      <w:r w:rsidRPr="00C9562E">
        <w:t>Spraul</w:t>
      </w:r>
      <w:proofErr w:type="spellEnd"/>
      <w:r w:rsidRPr="00C9562E">
        <w:t xml:space="preserve">, M.; Lewis, M. R.; Pearce, J. T. M.; Holmes, E.; Lindon, J. C.; Nicholson, J. K., Precision High-Throughput Proton NMR Spectroscopy of </w:t>
      </w:r>
      <w:r w:rsidRPr="00C9562E">
        <w:lastRenderedPageBreak/>
        <w:t xml:space="preserve">Human Urine, Serum, and Plasma for Large-Scale Metabolic Phenotyping. </w:t>
      </w:r>
      <w:r w:rsidRPr="00C9562E">
        <w:rPr>
          <w:i/>
        </w:rPr>
        <w:t xml:space="preserve">Analytical Chemistry </w:t>
      </w:r>
      <w:r w:rsidRPr="00C9562E">
        <w:rPr>
          <w:b/>
        </w:rPr>
        <w:t>2014,</w:t>
      </w:r>
      <w:r w:rsidRPr="00C9562E">
        <w:t xml:space="preserve"> 86, (19), 9887-9894.</w:t>
      </w:r>
    </w:p>
    <w:p w14:paraId="5FDDA9E2" w14:textId="77777777" w:rsidR="0030630C" w:rsidRPr="00C9562E" w:rsidRDefault="0030630C" w:rsidP="0030630C">
      <w:pPr>
        <w:pStyle w:val="TFReferencesSection"/>
      </w:pPr>
      <w:r w:rsidRPr="00C9562E">
        <w:t>(2)</w:t>
      </w:r>
      <w:r w:rsidRPr="00C9562E">
        <w:tab/>
        <w:t>Tzoulaki, I.; Ebbels, T. M.; Valdes, A.; Elliott, P.; Ioannidis, J. P., Design and Analysis of Metabolomics Studies in Epidemiological Research: A Primer on -</w:t>
      </w:r>
      <w:proofErr w:type="spellStart"/>
      <w:r w:rsidRPr="00C9562E">
        <w:t>Omic</w:t>
      </w:r>
      <w:proofErr w:type="spellEnd"/>
      <w:r w:rsidRPr="00C9562E">
        <w:t xml:space="preserve"> Technologies. </w:t>
      </w:r>
      <w:r w:rsidRPr="00C9562E">
        <w:rPr>
          <w:i/>
        </w:rPr>
        <w:t xml:space="preserve">Am J </w:t>
      </w:r>
      <w:proofErr w:type="spellStart"/>
      <w:r w:rsidRPr="00C9562E">
        <w:rPr>
          <w:i/>
        </w:rPr>
        <w:t>Epidemiol</w:t>
      </w:r>
      <w:proofErr w:type="spellEnd"/>
      <w:r w:rsidRPr="00C9562E">
        <w:rPr>
          <w:i/>
        </w:rPr>
        <w:t xml:space="preserve"> </w:t>
      </w:r>
      <w:r w:rsidRPr="00C9562E">
        <w:rPr>
          <w:b/>
        </w:rPr>
        <w:t>2014,</w:t>
      </w:r>
      <w:r w:rsidRPr="00C9562E">
        <w:t xml:space="preserve"> 180, (2), 129-139.</w:t>
      </w:r>
    </w:p>
    <w:p w14:paraId="55CB1BAA" w14:textId="77777777" w:rsidR="0030630C" w:rsidRPr="00C9562E" w:rsidRDefault="0030630C" w:rsidP="0030630C">
      <w:pPr>
        <w:pStyle w:val="TFReferencesSection"/>
      </w:pPr>
      <w:r w:rsidRPr="00C9562E">
        <w:t>(3)</w:t>
      </w:r>
      <w:r w:rsidRPr="00C9562E">
        <w:tab/>
        <w:t xml:space="preserve">Sangster, T.; Major, H.; Plumb, R.; Wilson, A. J.; Wilson, I. D., A pragmatic and readily implemented quality control strategy for HPLC-MS and GC-MS-based </w:t>
      </w:r>
      <w:proofErr w:type="spellStart"/>
      <w:r w:rsidRPr="00C9562E">
        <w:t>metabonomic</w:t>
      </w:r>
      <w:proofErr w:type="spellEnd"/>
      <w:r w:rsidRPr="00C9562E">
        <w:t xml:space="preserve"> analysis. </w:t>
      </w:r>
      <w:r w:rsidRPr="00C9562E">
        <w:rPr>
          <w:i/>
        </w:rPr>
        <w:t xml:space="preserve">Analyst </w:t>
      </w:r>
      <w:r w:rsidRPr="00C9562E">
        <w:rPr>
          <w:b/>
        </w:rPr>
        <w:t>2006,</w:t>
      </w:r>
      <w:r w:rsidRPr="00C9562E">
        <w:t xml:space="preserve"> 131, (10), 1075-8.</w:t>
      </w:r>
    </w:p>
    <w:p w14:paraId="6BF13D6B" w14:textId="77777777" w:rsidR="0030630C" w:rsidRPr="00C9562E" w:rsidRDefault="0030630C" w:rsidP="0030630C">
      <w:pPr>
        <w:pStyle w:val="TFReferencesSection"/>
      </w:pPr>
      <w:r w:rsidRPr="00C9562E">
        <w:t>(4)</w:t>
      </w:r>
      <w:r w:rsidRPr="00C9562E">
        <w:tab/>
        <w:t xml:space="preserve">Dunn, W. B.; </w:t>
      </w:r>
      <w:proofErr w:type="spellStart"/>
      <w:r w:rsidRPr="00C9562E">
        <w:t>Broadhurst</w:t>
      </w:r>
      <w:proofErr w:type="spellEnd"/>
      <w:r w:rsidRPr="00C9562E">
        <w:t xml:space="preserve">, D.; Begley, P.; </w:t>
      </w:r>
      <w:proofErr w:type="spellStart"/>
      <w:r w:rsidRPr="00C9562E">
        <w:t>Zelena</w:t>
      </w:r>
      <w:proofErr w:type="spellEnd"/>
      <w:r w:rsidRPr="00C9562E">
        <w:t xml:space="preserve">, E.; Francis-McIntyre, S.; Anderson, N.; Brown, M.; Knowles, J. D.; </w:t>
      </w:r>
      <w:proofErr w:type="spellStart"/>
      <w:r w:rsidRPr="00C9562E">
        <w:t>Halsall</w:t>
      </w:r>
      <w:proofErr w:type="spellEnd"/>
      <w:r w:rsidRPr="00C9562E">
        <w:t xml:space="preserve">, A.; </w:t>
      </w:r>
      <w:proofErr w:type="spellStart"/>
      <w:r w:rsidRPr="00C9562E">
        <w:t>Haselden</w:t>
      </w:r>
      <w:proofErr w:type="spellEnd"/>
      <w:r w:rsidRPr="00C9562E">
        <w:t xml:space="preserve">, J. N.; Nicholls, A. W.; Wilson, I. D.; </w:t>
      </w:r>
      <w:proofErr w:type="spellStart"/>
      <w:r w:rsidRPr="00C9562E">
        <w:t>Kell</w:t>
      </w:r>
      <w:proofErr w:type="spellEnd"/>
      <w:r w:rsidRPr="00C9562E">
        <w:t xml:space="preserve">, D. B.; </w:t>
      </w:r>
      <w:proofErr w:type="spellStart"/>
      <w:r w:rsidRPr="00C9562E">
        <w:t>Goodacre</w:t>
      </w:r>
      <w:proofErr w:type="spellEnd"/>
      <w:r w:rsidRPr="00C9562E">
        <w:t xml:space="preserve">, R., Procedures for large-scale metabolic profiling of serum and plasma using gas chromatography and liquid chromatography coupled to mass spectrometry. </w:t>
      </w:r>
      <w:r w:rsidRPr="00C9562E">
        <w:rPr>
          <w:i/>
        </w:rPr>
        <w:t xml:space="preserve">Nat </w:t>
      </w:r>
      <w:proofErr w:type="spellStart"/>
      <w:r w:rsidRPr="00C9562E">
        <w:rPr>
          <w:i/>
        </w:rPr>
        <w:t>Protoc</w:t>
      </w:r>
      <w:proofErr w:type="spellEnd"/>
      <w:r w:rsidRPr="00C9562E">
        <w:rPr>
          <w:i/>
        </w:rPr>
        <w:t xml:space="preserve"> </w:t>
      </w:r>
      <w:r w:rsidRPr="00C9562E">
        <w:rPr>
          <w:b/>
        </w:rPr>
        <w:t>2011,</w:t>
      </w:r>
      <w:r w:rsidRPr="00C9562E">
        <w:t xml:space="preserve"> 6, (7), 1060-83.</w:t>
      </w:r>
    </w:p>
    <w:p w14:paraId="20CE2AF5" w14:textId="77777777" w:rsidR="0030630C" w:rsidRPr="00C9562E" w:rsidRDefault="0030630C" w:rsidP="0030630C">
      <w:pPr>
        <w:pStyle w:val="TFReferencesSection"/>
      </w:pPr>
      <w:r w:rsidRPr="00C9562E">
        <w:t>(5)</w:t>
      </w:r>
      <w:r w:rsidRPr="00C9562E">
        <w:tab/>
        <w:t xml:space="preserve">Chambers, J. C.; Obeid, O. A.; </w:t>
      </w:r>
      <w:proofErr w:type="spellStart"/>
      <w:r w:rsidRPr="00C9562E">
        <w:t>Refsum</w:t>
      </w:r>
      <w:proofErr w:type="spellEnd"/>
      <w:r w:rsidRPr="00C9562E">
        <w:t xml:space="preserve">, H.; </w:t>
      </w:r>
      <w:proofErr w:type="spellStart"/>
      <w:r w:rsidRPr="00C9562E">
        <w:t>Ueland</w:t>
      </w:r>
      <w:proofErr w:type="spellEnd"/>
      <w:r w:rsidRPr="00C9562E">
        <w:t xml:space="preserve">, P.; Hackett, D.; Hooper, J.; Turner, R. M.; Thompson, S. G.; </w:t>
      </w:r>
      <w:proofErr w:type="spellStart"/>
      <w:r w:rsidRPr="00C9562E">
        <w:t>Kooner</w:t>
      </w:r>
      <w:proofErr w:type="spellEnd"/>
      <w:r w:rsidRPr="00C9562E">
        <w:t xml:space="preserve">, J. S., Plasma homocysteine concentrations and risk of coronary heart disease in UK Indian Asian and European men. </w:t>
      </w:r>
      <w:r w:rsidRPr="00C9562E">
        <w:rPr>
          <w:i/>
        </w:rPr>
        <w:t xml:space="preserve">The Lancet </w:t>
      </w:r>
      <w:r w:rsidRPr="00C9562E">
        <w:rPr>
          <w:b/>
        </w:rPr>
        <w:t>2000,</w:t>
      </w:r>
      <w:r w:rsidRPr="00C9562E">
        <w:t xml:space="preserve"> 355, (9203), 523-527.</w:t>
      </w:r>
    </w:p>
    <w:p w14:paraId="2052C0DD" w14:textId="77777777" w:rsidR="0030630C" w:rsidRPr="00C9562E" w:rsidRDefault="0030630C" w:rsidP="0030630C">
      <w:pPr>
        <w:pStyle w:val="TFReferencesSection"/>
      </w:pPr>
      <w:r w:rsidRPr="00C9562E">
        <w:t>(6)</w:t>
      </w:r>
      <w:r w:rsidRPr="00C9562E">
        <w:tab/>
      </w:r>
      <w:proofErr w:type="spellStart"/>
      <w:r w:rsidRPr="00C9562E">
        <w:t>Bild</w:t>
      </w:r>
      <w:proofErr w:type="spellEnd"/>
      <w:r w:rsidRPr="00C9562E">
        <w:t xml:space="preserve">, D. E.; </w:t>
      </w:r>
      <w:proofErr w:type="spellStart"/>
      <w:r w:rsidRPr="00C9562E">
        <w:t>Bluemke</w:t>
      </w:r>
      <w:proofErr w:type="spellEnd"/>
      <w:r w:rsidRPr="00C9562E">
        <w:t xml:space="preserve">, D. A.; Burke, G. L.; </w:t>
      </w:r>
      <w:proofErr w:type="spellStart"/>
      <w:r w:rsidRPr="00C9562E">
        <w:t>Detrano</w:t>
      </w:r>
      <w:proofErr w:type="spellEnd"/>
      <w:r w:rsidRPr="00C9562E">
        <w:t xml:space="preserve">, R.; </w:t>
      </w:r>
      <w:proofErr w:type="spellStart"/>
      <w:r w:rsidRPr="00C9562E">
        <w:t>Diez</w:t>
      </w:r>
      <w:proofErr w:type="spellEnd"/>
      <w:r w:rsidRPr="00C9562E">
        <w:t xml:space="preserve"> Roux, A. V.; Folsom, A. R.; Greenland, P.; Jacob, D. R., Jr.; </w:t>
      </w:r>
      <w:proofErr w:type="spellStart"/>
      <w:r w:rsidRPr="00C9562E">
        <w:t>Kronmal</w:t>
      </w:r>
      <w:proofErr w:type="spellEnd"/>
      <w:r w:rsidRPr="00C9562E">
        <w:t xml:space="preserve">, R.; Liu, K.; Nelson, J. C.; O'Leary, D.; </w:t>
      </w:r>
      <w:proofErr w:type="spellStart"/>
      <w:r w:rsidRPr="00C9562E">
        <w:t>Saad</w:t>
      </w:r>
      <w:proofErr w:type="spellEnd"/>
      <w:r w:rsidRPr="00C9562E">
        <w:t xml:space="preserve">, M. F.; </w:t>
      </w:r>
      <w:proofErr w:type="spellStart"/>
      <w:r w:rsidRPr="00C9562E">
        <w:t>Shea</w:t>
      </w:r>
      <w:proofErr w:type="spellEnd"/>
      <w:r w:rsidRPr="00C9562E">
        <w:t xml:space="preserve">, S.; </w:t>
      </w:r>
      <w:proofErr w:type="spellStart"/>
      <w:r w:rsidRPr="00C9562E">
        <w:t>Szklo</w:t>
      </w:r>
      <w:proofErr w:type="spellEnd"/>
      <w:r w:rsidRPr="00C9562E">
        <w:t xml:space="preserve">, M.; Tracy, R. P., Multi-ethnic study of atherosclerosis: objectives and design. </w:t>
      </w:r>
      <w:r w:rsidRPr="00C9562E">
        <w:rPr>
          <w:i/>
        </w:rPr>
        <w:t xml:space="preserve">Am J </w:t>
      </w:r>
      <w:proofErr w:type="spellStart"/>
      <w:r w:rsidRPr="00C9562E">
        <w:rPr>
          <w:i/>
        </w:rPr>
        <w:t>Epidemiol</w:t>
      </w:r>
      <w:proofErr w:type="spellEnd"/>
      <w:r w:rsidRPr="00C9562E">
        <w:rPr>
          <w:i/>
        </w:rPr>
        <w:t xml:space="preserve"> </w:t>
      </w:r>
      <w:r w:rsidRPr="00C9562E">
        <w:rPr>
          <w:b/>
        </w:rPr>
        <w:t>2002,</w:t>
      </w:r>
      <w:r w:rsidRPr="00C9562E">
        <w:t xml:space="preserve"> 156, (9), 871-81.</w:t>
      </w:r>
    </w:p>
    <w:p w14:paraId="21BD992E" w14:textId="77777777" w:rsidR="0030630C" w:rsidRPr="00C9562E" w:rsidRDefault="0030630C" w:rsidP="0030630C">
      <w:pPr>
        <w:pStyle w:val="TFReferencesSection"/>
      </w:pPr>
      <w:r w:rsidRPr="00C9562E">
        <w:t>(7)</w:t>
      </w:r>
      <w:r w:rsidRPr="00C9562E">
        <w:tab/>
      </w:r>
      <w:proofErr w:type="spellStart"/>
      <w:r w:rsidRPr="00C9562E">
        <w:t>Hofman</w:t>
      </w:r>
      <w:proofErr w:type="spellEnd"/>
      <w:r w:rsidRPr="00C9562E">
        <w:t xml:space="preserve">, A.; Murad, S.; van </w:t>
      </w:r>
      <w:proofErr w:type="spellStart"/>
      <w:r w:rsidRPr="00C9562E">
        <w:t>Duijn</w:t>
      </w:r>
      <w:proofErr w:type="spellEnd"/>
      <w:r w:rsidRPr="00C9562E">
        <w:t xml:space="preserve">, C.; Franco, O.; </w:t>
      </w:r>
      <w:proofErr w:type="spellStart"/>
      <w:r w:rsidRPr="00C9562E">
        <w:t>Goedegebure</w:t>
      </w:r>
      <w:proofErr w:type="spellEnd"/>
      <w:r w:rsidRPr="00C9562E">
        <w:t xml:space="preserve">, A.; </w:t>
      </w:r>
      <w:proofErr w:type="spellStart"/>
      <w:r w:rsidRPr="00C9562E">
        <w:t>Arfan</w:t>
      </w:r>
      <w:proofErr w:type="spellEnd"/>
      <w:r w:rsidRPr="00C9562E">
        <w:t xml:space="preserve"> </w:t>
      </w:r>
      <w:proofErr w:type="spellStart"/>
      <w:r w:rsidRPr="00C9562E">
        <w:t>Ikram</w:t>
      </w:r>
      <w:proofErr w:type="spellEnd"/>
      <w:r w:rsidRPr="00C9562E">
        <w:t xml:space="preserve">, M.; </w:t>
      </w:r>
      <w:proofErr w:type="spellStart"/>
      <w:r w:rsidRPr="00C9562E">
        <w:t>Klaver</w:t>
      </w:r>
      <w:proofErr w:type="spellEnd"/>
      <w:r w:rsidRPr="00C9562E">
        <w:t xml:space="preserve">, C. W.; </w:t>
      </w:r>
      <w:proofErr w:type="spellStart"/>
      <w:r w:rsidRPr="00C9562E">
        <w:t>Nijsten</w:t>
      </w:r>
      <w:proofErr w:type="spellEnd"/>
      <w:r w:rsidRPr="00C9562E">
        <w:t xml:space="preserve">, T. C.; </w:t>
      </w:r>
      <w:proofErr w:type="spellStart"/>
      <w:r w:rsidRPr="00C9562E">
        <w:t>Peeters</w:t>
      </w:r>
      <w:proofErr w:type="spellEnd"/>
      <w:r w:rsidRPr="00C9562E">
        <w:t xml:space="preserve">, R.; </w:t>
      </w:r>
      <w:proofErr w:type="spellStart"/>
      <w:r w:rsidRPr="00C9562E">
        <w:t>Stricker</w:t>
      </w:r>
      <w:proofErr w:type="spellEnd"/>
      <w:r w:rsidRPr="00C9562E">
        <w:t xml:space="preserve">, B. C.; </w:t>
      </w:r>
      <w:proofErr w:type="spellStart"/>
      <w:r w:rsidRPr="00C9562E">
        <w:t>Tiemeier</w:t>
      </w:r>
      <w:proofErr w:type="spellEnd"/>
      <w:r w:rsidRPr="00C9562E">
        <w:t xml:space="preserve">, H.; </w:t>
      </w:r>
      <w:proofErr w:type="spellStart"/>
      <w:r w:rsidRPr="00C9562E">
        <w:t>Uitterlinden</w:t>
      </w:r>
      <w:proofErr w:type="spellEnd"/>
      <w:r w:rsidRPr="00C9562E">
        <w:t xml:space="preserve">, A.; </w:t>
      </w:r>
      <w:proofErr w:type="spellStart"/>
      <w:r w:rsidRPr="00C9562E">
        <w:t>Vernooij</w:t>
      </w:r>
      <w:proofErr w:type="spellEnd"/>
      <w:r w:rsidRPr="00C9562E">
        <w:t xml:space="preserve">, M., The </w:t>
      </w:r>
      <w:r w:rsidRPr="00C9562E">
        <w:lastRenderedPageBreak/>
        <w:t xml:space="preserve">Rotterdam Study: 2014 objectives and design update. </w:t>
      </w:r>
      <w:r w:rsidRPr="00C9562E">
        <w:rPr>
          <w:i/>
        </w:rPr>
        <w:t xml:space="preserve">European Journal of Epidemiology </w:t>
      </w:r>
      <w:r w:rsidRPr="00C9562E">
        <w:rPr>
          <w:b/>
        </w:rPr>
        <w:t>2013,</w:t>
      </w:r>
      <w:r w:rsidRPr="00C9562E">
        <w:t xml:space="preserve"> 28, (11), 889-926.</w:t>
      </w:r>
    </w:p>
    <w:p w14:paraId="01AA4AB6" w14:textId="77777777" w:rsidR="0030630C" w:rsidRPr="00C9562E" w:rsidRDefault="0030630C" w:rsidP="0030630C">
      <w:pPr>
        <w:pStyle w:val="TFReferencesSection"/>
      </w:pPr>
      <w:r w:rsidRPr="00C9562E">
        <w:t>(8)</w:t>
      </w:r>
      <w:r w:rsidRPr="00C9562E">
        <w:tab/>
      </w:r>
      <w:proofErr w:type="spellStart"/>
      <w:r w:rsidRPr="00C9562E">
        <w:t>Beckonert</w:t>
      </w:r>
      <w:proofErr w:type="spellEnd"/>
      <w:r w:rsidRPr="00C9562E">
        <w:t xml:space="preserve">, O.; </w:t>
      </w:r>
      <w:proofErr w:type="spellStart"/>
      <w:r w:rsidRPr="00C9562E">
        <w:t>Keun</w:t>
      </w:r>
      <w:proofErr w:type="spellEnd"/>
      <w:r w:rsidRPr="00C9562E">
        <w:t xml:space="preserve">, H. C.; Ebbels, T. M. D.; Bundy, J.; Holmes, E.; Lindon, J. C.; Nicholson, J. K., Metabolic profiling, </w:t>
      </w:r>
      <w:proofErr w:type="spellStart"/>
      <w:r w:rsidRPr="00C9562E">
        <w:t>metabolomic</w:t>
      </w:r>
      <w:proofErr w:type="spellEnd"/>
      <w:r w:rsidRPr="00C9562E">
        <w:t xml:space="preserve"> and </w:t>
      </w:r>
      <w:proofErr w:type="spellStart"/>
      <w:r w:rsidRPr="00C9562E">
        <w:t>metabonomic</w:t>
      </w:r>
      <w:proofErr w:type="spellEnd"/>
      <w:r w:rsidRPr="00C9562E">
        <w:t xml:space="preserve"> procedures for NMR spectroscopy of urine, plasma, serum and tissue extracts. </w:t>
      </w:r>
      <w:r w:rsidRPr="00C9562E">
        <w:rPr>
          <w:i/>
        </w:rPr>
        <w:t xml:space="preserve">Nat. Protocols </w:t>
      </w:r>
      <w:r w:rsidRPr="00C9562E">
        <w:rPr>
          <w:b/>
        </w:rPr>
        <w:t>2007,</w:t>
      </w:r>
      <w:r w:rsidRPr="00C9562E">
        <w:t xml:space="preserve"> 2, (11), 2692-2703.</w:t>
      </w:r>
    </w:p>
    <w:p w14:paraId="7D00E927" w14:textId="77777777" w:rsidR="0030630C" w:rsidRPr="00C9562E" w:rsidRDefault="0030630C" w:rsidP="0030630C">
      <w:pPr>
        <w:pStyle w:val="TFReferencesSection"/>
      </w:pPr>
      <w:r w:rsidRPr="00C9562E">
        <w:t>(9)</w:t>
      </w:r>
      <w:r w:rsidRPr="00C9562E">
        <w:tab/>
        <w:t xml:space="preserve">Pearce, J. T. M.; </w:t>
      </w:r>
      <w:proofErr w:type="spellStart"/>
      <w:r w:rsidRPr="00C9562E">
        <w:t>Athersuch</w:t>
      </w:r>
      <w:proofErr w:type="spellEnd"/>
      <w:r w:rsidRPr="00C9562E">
        <w:t xml:space="preserve">, T. J.; Ebbels, T. M. D.; Lindon, J. C.; Nicholson, J. K.; </w:t>
      </w:r>
      <w:proofErr w:type="spellStart"/>
      <w:r w:rsidRPr="00C9562E">
        <w:t>Keun</w:t>
      </w:r>
      <w:proofErr w:type="spellEnd"/>
      <w:r w:rsidRPr="00C9562E">
        <w:t xml:space="preserve">, H. C., Robust Algorithms for Automated Chemical Shift Calibration of 1D 1H NMR Spectra of Blood Serum. </w:t>
      </w:r>
      <w:r w:rsidRPr="00C9562E">
        <w:rPr>
          <w:i/>
        </w:rPr>
        <w:t xml:space="preserve">Analytical Chemistry </w:t>
      </w:r>
      <w:r w:rsidRPr="00C9562E">
        <w:rPr>
          <w:b/>
        </w:rPr>
        <w:t>2008,</w:t>
      </w:r>
      <w:r w:rsidRPr="00C9562E">
        <w:t xml:space="preserve"> 80, (18), 7158-7162.</w:t>
      </w:r>
    </w:p>
    <w:p w14:paraId="26FD707C" w14:textId="77777777" w:rsidR="0030630C" w:rsidRPr="00C9562E" w:rsidRDefault="0030630C" w:rsidP="0030630C">
      <w:pPr>
        <w:pStyle w:val="TFReferencesSection"/>
      </w:pPr>
      <w:r w:rsidRPr="00C9562E">
        <w:t>(10)</w:t>
      </w:r>
      <w:r w:rsidRPr="00C9562E">
        <w:tab/>
        <w:t xml:space="preserve">Vu, T. N.; </w:t>
      </w:r>
      <w:proofErr w:type="spellStart"/>
      <w:r w:rsidRPr="00C9562E">
        <w:t>Laukens</w:t>
      </w:r>
      <w:proofErr w:type="spellEnd"/>
      <w:r w:rsidRPr="00C9562E">
        <w:t xml:space="preserve">, K., Getting your peaks in line: a review of alignment methods for NMR spectral data. </w:t>
      </w:r>
      <w:r w:rsidRPr="00C9562E">
        <w:rPr>
          <w:i/>
        </w:rPr>
        <w:t xml:space="preserve">Metabolites </w:t>
      </w:r>
      <w:r w:rsidRPr="00C9562E">
        <w:rPr>
          <w:b/>
        </w:rPr>
        <w:t>2013,</w:t>
      </w:r>
      <w:r w:rsidRPr="00C9562E">
        <w:t xml:space="preserve"> 3, (2), 259-76.</w:t>
      </w:r>
    </w:p>
    <w:p w14:paraId="63D1190A" w14:textId="77777777" w:rsidR="0030630C" w:rsidRPr="00C9562E" w:rsidRDefault="0030630C" w:rsidP="0030630C">
      <w:pPr>
        <w:pStyle w:val="TFReferencesSection"/>
      </w:pPr>
      <w:r w:rsidRPr="00C9562E">
        <w:t>(11)</w:t>
      </w:r>
      <w:r w:rsidRPr="00C9562E">
        <w:tab/>
      </w:r>
      <w:proofErr w:type="spellStart"/>
      <w:r w:rsidRPr="00C9562E">
        <w:t>Veselkov</w:t>
      </w:r>
      <w:proofErr w:type="spellEnd"/>
      <w:r w:rsidRPr="00C9562E">
        <w:t xml:space="preserve">, K. A.; Lindon, J. C.; Ebbels, T. M. D.; </w:t>
      </w:r>
      <w:proofErr w:type="spellStart"/>
      <w:r w:rsidRPr="00C9562E">
        <w:t>Crockford</w:t>
      </w:r>
      <w:proofErr w:type="spellEnd"/>
      <w:r w:rsidRPr="00C9562E">
        <w:t xml:space="preserve">, D.; </w:t>
      </w:r>
      <w:proofErr w:type="spellStart"/>
      <w:r w:rsidRPr="00C9562E">
        <w:t>Volynkin</w:t>
      </w:r>
      <w:proofErr w:type="spellEnd"/>
      <w:r w:rsidRPr="00C9562E">
        <w:t xml:space="preserve">, V. V.; Holmes, E.; Davies, D. B.; Nicholson, J. K., Recursive Segment-Wise Peak Alignment of Biological 1H NMR Spectra for Improved Metabolic Biomarker Recovery. </w:t>
      </w:r>
      <w:r w:rsidRPr="00C9562E">
        <w:rPr>
          <w:i/>
        </w:rPr>
        <w:t xml:space="preserve">Analytical Chemistry </w:t>
      </w:r>
      <w:r w:rsidRPr="00C9562E">
        <w:rPr>
          <w:b/>
        </w:rPr>
        <w:t>2009,</w:t>
      </w:r>
      <w:r w:rsidRPr="00C9562E">
        <w:t xml:space="preserve"> 81, (1), 56-66.</w:t>
      </w:r>
    </w:p>
    <w:p w14:paraId="67BA8639" w14:textId="77777777" w:rsidR="0030630C" w:rsidRPr="00C9562E" w:rsidRDefault="0030630C" w:rsidP="0030630C">
      <w:pPr>
        <w:pStyle w:val="TFReferencesSection"/>
      </w:pPr>
      <w:r w:rsidRPr="00C9562E">
        <w:t>(12)</w:t>
      </w:r>
      <w:r w:rsidRPr="00C9562E">
        <w:tab/>
      </w:r>
      <w:proofErr w:type="spellStart"/>
      <w:r w:rsidRPr="00C9562E">
        <w:t>Dieterle</w:t>
      </w:r>
      <w:proofErr w:type="spellEnd"/>
      <w:r w:rsidRPr="00C9562E">
        <w:t xml:space="preserve">, F.; Ross, A.; </w:t>
      </w:r>
      <w:proofErr w:type="spellStart"/>
      <w:r w:rsidRPr="00C9562E">
        <w:t>Schlotterbeck</w:t>
      </w:r>
      <w:proofErr w:type="spellEnd"/>
      <w:r w:rsidRPr="00C9562E">
        <w:t xml:space="preserve">, G.; </w:t>
      </w:r>
      <w:proofErr w:type="spellStart"/>
      <w:r w:rsidRPr="00C9562E">
        <w:t>Senn</w:t>
      </w:r>
      <w:proofErr w:type="spellEnd"/>
      <w:r w:rsidRPr="00C9562E">
        <w:t xml:space="preserve">, H., Probabilistic Quotient Normalization as Robust Method to Account for Dilution of Complex Biological Mixtures. Application in 1H NMR </w:t>
      </w:r>
      <w:proofErr w:type="spellStart"/>
      <w:r w:rsidRPr="00C9562E">
        <w:t>Metabonomics</w:t>
      </w:r>
      <w:proofErr w:type="spellEnd"/>
      <w:r w:rsidRPr="00C9562E">
        <w:t xml:space="preserve">. </w:t>
      </w:r>
      <w:r w:rsidRPr="00C9562E">
        <w:rPr>
          <w:i/>
        </w:rPr>
        <w:t xml:space="preserve">Analytical Chemistry </w:t>
      </w:r>
      <w:r w:rsidRPr="00C9562E">
        <w:rPr>
          <w:b/>
        </w:rPr>
        <w:t>2006,</w:t>
      </w:r>
      <w:r w:rsidRPr="00C9562E">
        <w:t xml:space="preserve"> 78, (13), 4281-4290.</w:t>
      </w:r>
    </w:p>
    <w:p w14:paraId="79BC20A1" w14:textId="77777777" w:rsidR="0030630C" w:rsidRPr="00C9562E" w:rsidRDefault="0030630C" w:rsidP="0030630C">
      <w:pPr>
        <w:pStyle w:val="TFReferencesSection"/>
      </w:pPr>
      <w:r w:rsidRPr="00C9562E">
        <w:t>(13)</w:t>
      </w:r>
      <w:r w:rsidRPr="00C9562E">
        <w:tab/>
        <w:t xml:space="preserve">van </w:t>
      </w:r>
      <w:proofErr w:type="spellStart"/>
      <w:r w:rsidRPr="00C9562E">
        <w:t>Velzen</w:t>
      </w:r>
      <w:proofErr w:type="spellEnd"/>
      <w:r w:rsidRPr="00C9562E">
        <w:t xml:space="preserve">, E. J. J.; </w:t>
      </w:r>
      <w:proofErr w:type="spellStart"/>
      <w:r w:rsidRPr="00C9562E">
        <w:t>Westerhuis</w:t>
      </w:r>
      <w:proofErr w:type="spellEnd"/>
      <w:r w:rsidRPr="00C9562E">
        <w:t xml:space="preserve">, J. A.; Van </w:t>
      </w:r>
      <w:proofErr w:type="spellStart"/>
      <w:r w:rsidRPr="00C9562E">
        <w:t>Duynhoven</w:t>
      </w:r>
      <w:proofErr w:type="spellEnd"/>
      <w:r w:rsidRPr="00C9562E">
        <w:t xml:space="preserve">, J. P. M.; Van Dorsten, F. A.; </w:t>
      </w:r>
      <w:proofErr w:type="spellStart"/>
      <w:r w:rsidRPr="00C9562E">
        <w:t>Hoefsloot</w:t>
      </w:r>
      <w:proofErr w:type="spellEnd"/>
      <w:r w:rsidRPr="00C9562E">
        <w:t xml:space="preserve">, H. C. J.; Jacobs, D. M.; Smit, S.; </w:t>
      </w:r>
      <w:proofErr w:type="spellStart"/>
      <w:r w:rsidRPr="00C9562E">
        <w:t>Draijer</w:t>
      </w:r>
      <w:proofErr w:type="spellEnd"/>
      <w:r w:rsidRPr="00C9562E">
        <w:t xml:space="preserve">, R.; Kroner, C. I.; </w:t>
      </w:r>
      <w:proofErr w:type="spellStart"/>
      <w:r w:rsidRPr="00C9562E">
        <w:t>Smilde</w:t>
      </w:r>
      <w:proofErr w:type="spellEnd"/>
      <w:r w:rsidRPr="00C9562E">
        <w:t xml:space="preserve">, A. K., Multilevel data analysis of a crossover designed human nutritional intervention study. </w:t>
      </w:r>
      <w:r w:rsidRPr="00C9562E">
        <w:rPr>
          <w:i/>
        </w:rPr>
        <w:t xml:space="preserve">Journal of Proteome Research </w:t>
      </w:r>
      <w:r w:rsidRPr="00C9562E">
        <w:rPr>
          <w:b/>
        </w:rPr>
        <w:t>2008,</w:t>
      </w:r>
      <w:r w:rsidRPr="00C9562E">
        <w:t xml:space="preserve"> 7, (10), 4483-4491.</w:t>
      </w:r>
    </w:p>
    <w:p w14:paraId="413CBE38" w14:textId="77777777" w:rsidR="0030630C" w:rsidRPr="00C9562E" w:rsidRDefault="0030630C" w:rsidP="0030630C">
      <w:pPr>
        <w:pStyle w:val="TFReferencesSection"/>
      </w:pPr>
      <w:r w:rsidRPr="00C9562E">
        <w:lastRenderedPageBreak/>
        <w:t>(14)</w:t>
      </w:r>
      <w:r w:rsidRPr="00C9562E">
        <w:tab/>
        <w:t xml:space="preserve">Brereton, R. G., The </w:t>
      </w:r>
      <w:proofErr w:type="spellStart"/>
      <w:r w:rsidRPr="00C9562E">
        <w:t>Mahalanobis</w:t>
      </w:r>
      <w:proofErr w:type="spellEnd"/>
      <w:r w:rsidRPr="00C9562E">
        <w:t xml:space="preserve"> distance and its relationship to principal component scores. </w:t>
      </w:r>
      <w:r w:rsidRPr="00C9562E">
        <w:rPr>
          <w:i/>
        </w:rPr>
        <w:t xml:space="preserve">Journal of </w:t>
      </w:r>
      <w:proofErr w:type="spellStart"/>
      <w:r w:rsidRPr="00C9562E">
        <w:rPr>
          <w:i/>
        </w:rPr>
        <w:t>Chemometrics</w:t>
      </w:r>
      <w:proofErr w:type="spellEnd"/>
      <w:r w:rsidRPr="00C9562E">
        <w:rPr>
          <w:i/>
        </w:rPr>
        <w:t xml:space="preserve"> </w:t>
      </w:r>
      <w:r w:rsidRPr="00C9562E">
        <w:rPr>
          <w:b/>
        </w:rPr>
        <w:t>2015,</w:t>
      </w:r>
      <w:r w:rsidRPr="00C9562E">
        <w:t xml:space="preserve"> 29, (3), 143-145.</w:t>
      </w:r>
    </w:p>
    <w:p w14:paraId="525A3C64" w14:textId="77777777" w:rsidR="0030630C" w:rsidRPr="00C9562E" w:rsidRDefault="0030630C" w:rsidP="0030630C">
      <w:pPr>
        <w:pStyle w:val="TFReferencesSection"/>
      </w:pPr>
      <w:r w:rsidRPr="00C9562E">
        <w:t>(15)</w:t>
      </w:r>
      <w:r w:rsidRPr="00C9562E">
        <w:tab/>
      </w:r>
      <w:proofErr w:type="spellStart"/>
      <w:r w:rsidRPr="00C9562E">
        <w:t>Würtz</w:t>
      </w:r>
      <w:proofErr w:type="spellEnd"/>
      <w:r w:rsidRPr="00C9562E">
        <w:t xml:space="preserve">, P.; </w:t>
      </w:r>
      <w:proofErr w:type="spellStart"/>
      <w:r w:rsidRPr="00C9562E">
        <w:t>Raiko</w:t>
      </w:r>
      <w:proofErr w:type="spellEnd"/>
      <w:r w:rsidRPr="00C9562E">
        <w:t xml:space="preserve">, J. R.; Magnussen, C. G.; </w:t>
      </w:r>
      <w:proofErr w:type="spellStart"/>
      <w:r w:rsidRPr="00C9562E">
        <w:t>Soininen</w:t>
      </w:r>
      <w:proofErr w:type="spellEnd"/>
      <w:r w:rsidRPr="00C9562E">
        <w:t xml:space="preserve">, P.; </w:t>
      </w:r>
      <w:proofErr w:type="spellStart"/>
      <w:r w:rsidRPr="00C9562E">
        <w:t>Kangas</w:t>
      </w:r>
      <w:proofErr w:type="spellEnd"/>
      <w:r w:rsidRPr="00C9562E">
        <w:t xml:space="preserve">, A. J.; </w:t>
      </w:r>
      <w:proofErr w:type="spellStart"/>
      <w:r w:rsidRPr="00C9562E">
        <w:t>Tynkkynen</w:t>
      </w:r>
      <w:proofErr w:type="spellEnd"/>
      <w:r w:rsidRPr="00C9562E">
        <w:t xml:space="preserve">, T.; Thomson, R.; </w:t>
      </w:r>
      <w:proofErr w:type="spellStart"/>
      <w:r w:rsidRPr="00C9562E">
        <w:t>Laatikainen</w:t>
      </w:r>
      <w:proofErr w:type="spellEnd"/>
      <w:r w:rsidRPr="00C9562E">
        <w:t xml:space="preserve">, R.; </w:t>
      </w:r>
      <w:proofErr w:type="spellStart"/>
      <w:r w:rsidRPr="00C9562E">
        <w:t>Savolainen</w:t>
      </w:r>
      <w:proofErr w:type="spellEnd"/>
      <w:r w:rsidRPr="00C9562E">
        <w:t xml:space="preserve">, M. J.; </w:t>
      </w:r>
      <w:proofErr w:type="spellStart"/>
      <w:r w:rsidRPr="00C9562E">
        <w:t>Laurikka</w:t>
      </w:r>
      <w:proofErr w:type="spellEnd"/>
      <w:r w:rsidRPr="00C9562E">
        <w:t xml:space="preserve">, J.; </w:t>
      </w:r>
      <w:proofErr w:type="spellStart"/>
      <w:r w:rsidRPr="00C9562E">
        <w:t>Kuukasjärvi</w:t>
      </w:r>
      <w:proofErr w:type="spellEnd"/>
      <w:r w:rsidRPr="00C9562E">
        <w:t xml:space="preserve">, P.; </w:t>
      </w:r>
      <w:proofErr w:type="spellStart"/>
      <w:r w:rsidRPr="00C9562E">
        <w:t>Tarkka</w:t>
      </w:r>
      <w:proofErr w:type="spellEnd"/>
      <w:r w:rsidRPr="00C9562E">
        <w:t xml:space="preserve">, M.; </w:t>
      </w:r>
      <w:proofErr w:type="spellStart"/>
      <w:r w:rsidRPr="00C9562E">
        <w:t>Karhunen</w:t>
      </w:r>
      <w:proofErr w:type="spellEnd"/>
      <w:r w:rsidRPr="00C9562E">
        <w:t xml:space="preserve">, P. J.; </w:t>
      </w:r>
      <w:proofErr w:type="spellStart"/>
      <w:r w:rsidRPr="00C9562E">
        <w:t>Jula</w:t>
      </w:r>
      <w:proofErr w:type="spellEnd"/>
      <w:r w:rsidRPr="00C9562E">
        <w:t xml:space="preserve">, A.; </w:t>
      </w:r>
      <w:proofErr w:type="spellStart"/>
      <w:r w:rsidRPr="00C9562E">
        <w:t>Viikari</w:t>
      </w:r>
      <w:proofErr w:type="spellEnd"/>
      <w:r w:rsidRPr="00C9562E">
        <w:t xml:space="preserve">, J. S.; </w:t>
      </w:r>
      <w:proofErr w:type="spellStart"/>
      <w:r w:rsidRPr="00C9562E">
        <w:t>Kähönen</w:t>
      </w:r>
      <w:proofErr w:type="spellEnd"/>
      <w:r w:rsidRPr="00C9562E">
        <w:t xml:space="preserve">, M.; </w:t>
      </w:r>
      <w:proofErr w:type="spellStart"/>
      <w:r w:rsidRPr="00C9562E">
        <w:t>Lehtimäki</w:t>
      </w:r>
      <w:proofErr w:type="spellEnd"/>
      <w:r w:rsidRPr="00C9562E">
        <w:t xml:space="preserve">, T.; </w:t>
      </w:r>
      <w:proofErr w:type="spellStart"/>
      <w:r w:rsidRPr="00C9562E">
        <w:t>Juonala</w:t>
      </w:r>
      <w:proofErr w:type="spellEnd"/>
      <w:r w:rsidRPr="00C9562E">
        <w:t>, M.; Ala-</w:t>
      </w:r>
      <w:proofErr w:type="spellStart"/>
      <w:r w:rsidRPr="00C9562E">
        <w:t>Korpela</w:t>
      </w:r>
      <w:proofErr w:type="spellEnd"/>
      <w:r w:rsidRPr="00C9562E">
        <w:t xml:space="preserve">, M.; </w:t>
      </w:r>
      <w:proofErr w:type="spellStart"/>
      <w:r w:rsidRPr="00C9562E">
        <w:t>Raitakari</w:t>
      </w:r>
      <w:proofErr w:type="spellEnd"/>
      <w:r w:rsidRPr="00C9562E">
        <w:t xml:space="preserve">, O. T., High-throughput quantification of circulating metabolites improves prediction of subclinical atherosclerosis. </w:t>
      </w:r>
      <w:r w:rsidRPr="00C9562E">
        <w:rPr>
          <w:i/>
        </w:rPr>
        <w:t xml:space="preserve">European Heart Journal </w:t>
      </w:r>
      <w:r w:rsidRPr="00C9562E">
        <w:rPr>
          <w:b/>
        </w:rPr>
        <w:t>2012,</w:t>
      </w:r>
      <w:r w:rsidRPr="00C9562E">
        <w:t xml:space="preserve"> 33, (18), 2307-2316.</w:t>
      </w:r>
    </w:p>
    <w:p w14:paraId="6ACB9E32" w14:textId="77777777" w:rsidR="0030630C" w:rsidRDefault="0030630C" w:rsidP="00D835CA">
      <w:pPr>
        <w:rPr>
          <w:rFonts w:ascii="New York" w:hAnsi="New York"/>
        </w:rPr>
        <w:sectPr w:rsidR="0030630C" w:rsidSect="009D4895">
          <w:pgSz w:w="12240" w:h="15840"/>
          <w:pgMar w:top="720" w:right="1094" w:bottom="720" w:left="1094" w:header="720" w:footer="720" w:gutter="0"/>
          <w:lnNumType w:countBy="1"/>
          <w:cols w:space="461"/>
        </w:sectPr>
      </w:pPr>
    </w:p>
    <w:p w14:paraId="2080C426" w14:textId="77777777" w:rsidR="0030630C" w:rsidRPr="00C57A25" w:rsidRDefault="0030630C" w:rsidP="00D835CA">
      <w:pPr>
        <w:rPr>
          <w:rFonts w:ascii="New York" w:hAnsi="New York"/>
          <w:b/>
        </w:rPr>
      </w:pPr>
      <w:r w:rsidRPr="00C57A25">
        <w:rPr>
          <w:rFonts w:ascii="New York" w:hAnsi="New York"/>
          <w:b/>
        </w:rPr>
        <w:lastRenderedPageBreak/>
        <w:t>Figures</w:t>
      </w:r>
    </w:p>
    <w:p w14:paraId="06F1B382" w14:textId="77777777" w:rsidR="0030630C" w:rsidRDefault="0030630C" w:rsidP="00D835CA">
      <w:pPr>
        <w:pStyle w:val="TAMainText"/>
      </w:pPr>
    </w:p>
    <w:p w14:paraId="01804391" w14:textId="77777777" w:rsidR="0030630C" w:rsidRDefault="0030630C" w:rsidP="00D835CA">
      <w:pPr>
        <w:pStyle w:val="VAFigureCaption"/>
      </w:pPr>
      <w:bookmarkStart w:id="3" w:name="_Ref406673990"/>
      <w:r w:rsidRPr="00386EA2">
        <w:rPr>
          <w:noProof/>
          <w:lang w:val="en-GB" w:eastAsia="en-GB"/>
        </w:rPr>
        <w:drawing>
          <wp:inline distT="0" distB="0" distL="0" distR="0" wp14:anchorId="76281A0D" wp14:editId="7B7C61DA">
            <wp:extent cx="3182620" cy="3526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620" cy="3526790"/>
                    </a:xfrm>
                    <a:prstGeom prst="rect">
                      <a:avLst/>
                    </a:prstGeom>
                    <a:noFill/>
                    <a:ln>
                      <a:noFill/>
                    </a:ln>
                  </pic:spPr>
                </pic:pic>
              </a:graphicData>
            </a:graphic>
          </wp:inline>
        </w:drawing>
      </w:r>
    </w:p>
    <w:p w14:paraId="30ACD423" w14:textId="77777777" w:rsidR="0030630C" w:rsidRDefault="0030630C" w:rsidP="00E829C0">
      <w:pPr>
        <w:pStyle w:val="TAMainText"/>
      </w:pPr>
    </w:p>
    <w:p w14:paraId="715320F9" w14:textId="77777777" w:rsidR="0030630C" w:rsidRDefault="0030630C" w:rsidP="00D835CA">
      <w:pPr>
        <w:pStyle w:val="VAFigureCaption"/>
      </w:pPr>
      <w:r w:rsidRPr="008B6F5E">
        <w:t xml:space="preserve">Figure </w:t>
      </w:r>
      <w:r w:rsidRPr="008B6F5E">
        <w:fldChar w:fldCharType="begin"/>
      </w:r>
      <w:r w:rsidRPr="008B6F5E">
        <w:instrText xml:space="preserve"> SEQ Figure \* ARABIC </w:instrText>
      </w:r>
      <w:r w:rsidRPr="008B6F5E">
        <w:fldChar w:fldCharType="separate"/>
      </w:r>
      <w:r w:rsidRPr="008B6F5E">
        <w:t>1</w:t>
      </w:r>
      <w:r w:rsidRPr="008B6F5E">
        <w:fldChar w:fldCharType="end"/>
      </w:r>
      <w:bookmarkEnd w:id="3"/>
      <w:r w:rsidRPr="008B6F5E">
        <w:t>.</w:t>
      </w:r>
      <w:r w:rsidRPr="00C57A25">
        <w:t xml:space="preserve"> Pre-processing workflow for CPMG and NOESY NMR data.</w:t>
      </w:r>
    </w:p>
    <w:p w14:paraId="1D24E922" w14:textId="77777777" w:rsidR="0030630C" w:rsidRDefault="0030630C">
      <w:pPr>
        <w:spacing w:after="0"/>
        <w:jc w:val="left"/>
      </w:pPr>
      <w:r>
        <w:br w:type="page"/>
      </w:r>
    </w:p>
    <w:p w14:paraId="2C10722D" w14:textId="77777777" w:rsidR="0030630C" w:rsidRPr="00C57A25" w:rsidRDefault="0030630C" w:rsidP="00D835CA">
      <w:pPr>
        <w:pStyle w:val="VAFigureCaption"/>
      </w:pPr>
    </w:p>
    <w:p w14:paraId="0DF9045D" w14:textId="77777777" w:rsidR="0030630C" w:rsidRDefault="0030630C" w:rsidP="009C129D">
      <w:pPr>
        <w:pStyle w:val="SNSynopsisTOC"/>
        <w:rPr>
          <w:rFonts w:ascii="New York" w:hAnsi="New York"/>
        </w:rPr>
      </w:pPr>
      <w:r w:rsidRPr="005A1869">
        <w:rPr>
          <w:noProof/>
          <w:lang w:val="en-GB" w:eastAsia="en-GB"/>
        </w:rPr>
        <w:drawing>
          <wp:inline distT="0" distB="0" distL="0" distR="0" wp14:anchorId="0F2237A5" wp14:editId="2EBD7B3A">
            <wp:extent cx="6084000" cy="26682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4000" cy="2668256"/>
                    </a:xfrm>
                    <a:prstGeom prst="rect">
                      <a:avLst/>
                    </a:prstGeom>
                    <a:noFill/>
                    <a:ln>
                      <a:noFill/>
                    </a:ln>
                  </pic:spPr>
                </pic:pic>
              </a:graphicData>
            </a:graphic>
          </wp:inline>
        </w:drawing>
      </w:r>
    </w:p>
    <w:p w14:paraId="2529195C" w14:textId="77777777" w:rsidR="0030630C" w:rsidRDefault="0030630C" w:rsidP="00D71DA3">
      <w:pPr>
        <w:pStyle w:val="TAMainText"/>
      </w:pPr>
    </w:p>
    <w:p w14:paraId="34BEB364" w14:textId="77777777" w:rsidR="0030630C" w:rsidRDefault="0030630C" w:rsidP="00D71DA3">
      <w:pPr>
        <w:pStyle w:val="VAFigureCaption"/>
      </w:pPr>
      <w:bookmarkStart w:id="4" w:name="_Ref408504380"/>
      <w:bookmarkStart w:id="5" w:name="_Ref408505794"/>
      <w:r w:rsidRPr="008B6F5E">
        <w:t xml:space="preserve">Figure </w:t>
      </w:r>
      <w:r w:rsidRPr="008B6F5E">
        <w:fldChar w:fldCharType="begin"/>
      </w:r>
      <w:r w:rsidRPr="008B6F5E">
        <w:instrText xml:space="preserve"> SEQ Figure \* ARABIC </w:instrText>
      </w:r>
      <w:r w:rsidRPr="008B6F5E">
        <w:fldChar w:fldCharType="separate"/>
      </w:r>
      <w:r w:rsidRPr="008B6F5E">
        <w:t>2</w:t>
      </w:r>
      <w:r w:rsidRPr="008B6F5E">
        <w:fldChar w:fldCharType="end"/>
      </w:r>
      <w:bookmarkEnd w:id="4"/>
      <w:bookmarkEnd w:id="5"/>
      <w:r w:rsidRPr="008B6F5E">
        <w:t xml:space="preserve">. </w:t>
      </w:r>
      <w:r w:rsidRPr="00EF704A">
        <w:t>Illustration of spectral peak</w:t>
      </w:r>
      <w:r>
        <w:t>s</w:t>
      </w:r>
      <w:r w:rsidRPr="00EF704A">
        <w:t xml:space="preserve"> on a representative region of </w:t>
      </w:r>
      <w:r>
        <w:t xml:space="preserve">the </w:t>
      </w:r>
      <w:r w:rsidRPr="00EF704A">
        <w:t xml:space="preserve">CPMG NMR </w:t>
      </w:r>
      <w:r>
        <w:t>dataset before (a) and after (b) alignment. Panels (c) and (d) show the peak position distribution in each region. Larger peak position distribution values indicate that the peaks are better aligned.</w:t>
      </w:r>
    </w:p>
    <w:p w14:paraId="12F4DC6C" w14:textId="77777777" w:rsidR="0030630C" w:rsidRDefault="0030630C">
      <w:pPr>
        <w:spacing w:after="0"/>
        <w:jc w:val="left"/>
      </w:pPr>
      <w:r>
        <w:br w:type="page"/>
      </w:r>
    </w:p>
    <w:p w14:paraId="56B8CD96" w14:textId="77777777" w:rsidR="0030630C" w:rsidRDefault="0030630C" w:rsidP="00D71DA3">
      <w:pPr>
        <w:pStyle w:val="SNSynopsisTOC"/>
      </w:pPr>
    </w:p>
    <w:p w14:paraId="0AB3CFBC" w14:textId="77777777" w:rsidR="0030630C" w:rsidRDefault="0030630C" w:rsidP="00D71DA3">
      <w:pPr>
        <w:pStyle w:val="SNSynopsisTOC"/>
      </w:pPr>
      <w:r w:rsidRPr="000C0642">
        <w:rPr>
          <w:noProof/>
          <w:lang w:val="en-GB" w:eastAsia="en-GB"/>
        </w:rPr>
        <w:drawing>
          <wp:inline distT="0" distB="0" distL="0" distR="0" wp14:anchorId="5B64AD73" wp14:editId="405EFB5B">
            <wp:extent cx="6191250" cy="483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0"/>
                    <a:stretch/>
                  </pic:blipFill>
                  <pic:spPr bwMode="auto">
                    <a:xfrm>
                      <a:off x="0" y="0"/>
                      <a:ext cx="6191250" cy="4838700"/>
                    </a:xfrm>
                    <a:prstGeom prst="rect">
                      <a:avLst/>
                    </a:prstGeom>
                    <a:noFill/>
                    <a:ln>
                      <a:noFill/>
                    </a:ln>
                    <a:extLst>
                      <a:ext uri="{53640926-AAD7-44D8-BBD7-CCE9431645EC}">
                        <a14:shadowObscured xmlns:a14="http://schemas.microsoft.com/office/drawing/2010/main"/>
                      </a:ext>
                    </a:extLst>
                  </pic:spPr>
                </pic:pic>
              </a:graphicData>
            </a:graphic>
          </wp:inline>
        </w:drawing>
      </w:r>
    </w:p>
    <w:p w14:paraId="2F35036A" w14:textId="77777777" w:rsidR="0030630C" w:rsidRDefault="0030630C" w:rsidP="00E829C0">
      <w:pPr>
        <w:pStyle w:val="TAMainText"/>
      </w:pPr>
      <w:bookmarkStart w:id="6" w:name="_Ref408504016"/>
    </w:p>
    <w:p w14:paraId="1FD0C21E" w14:textId="77777777" w:rsidR="0030630C" w:rsidRDefault="0030630C" w:rsidP="00E829C0">
      <w:pPr>
        <w:pStyle w:val="VAFigureCaption"/>
      </w:pPr>
      <w:bookmarkStart w:id="7" w:name="_Ref455161685"/>
      <w:bookmarkStart w:id="8" w:name="_Ref442718190"/>
      <w:r w:rsidRPr="008B6F5E">
        <w:t xml:space="preserve">Figure </w:t>
      </w:r>
      <w:r w:rsidRPr="008B6F5E">
        <w:fldChar w:fldCharType="begin"/>
      </w:r>
      <w:r>
        <w:instrText xml:space="preserve"> SEQ Figure \* ARABIC </w:instrText>
      </w:r>
      <w:r w:rsidRPr="008B6F5E">
        <w:fldChar w:fldCharType="separate"/>
      </w:r>
      <w:r>
        <w:rPr>
          <w:noProof/>
        </w:rPr>
        <w:t>3</w:t>
      </w:r>
      <w:r w:rsidRPr="008B6F5E">
        <w:fldChar w:fldCharType="end"/>
      </w:r>
      <w:bookmarkEnd w:id="6"/>
      <w:bookmarkEnd w:id="7"/>
      <w:bookmarkEnd w:id="8"/>
      <w:r w:rsidRPr="008B6F5E">
        <w:t>.</w:t>
      </w:r>
      <w:r w:rsidRPr="00EF704A">
        <w:t xml:space="preserve"> </w:t>
      </w:r>
      <w:r>
        <w:t>Plots of the first two PCA s</w:t>
      </w:r>
      <w:r w:rsidRPr="00EF704A">
        <w:t>core</w:t>
      </w:r>
      <w:r>
        <w:t>s</w:t>
      </w:r>
      <w:r w:rsidRPr="00EF704A">
        <w:t xml:space="preserve"> </w:t>
      </w:r>
      <w:r>
        <w:t xml:space="preserve">for CPMG data: </w:t>
      </w:r>
      <w:r w:rsidRPr="00EF704A">
        <w:t>a) unaligned</w:t>
      </w:r>
      <w:r>
        <w:t>,</w:t>
      </w:r>
      <w:r w:rsidRPr="00EF704A">
        <w:t xml:space="preserve"> b) aligned</w:t>
      </w:r>
      <w:r>
        <w:t>,</w:t>
      </w:r>
      <w:r w:rsidRPr="00EF704A">
        <w:t xml:space="preserve"> c) after normalization and </w:t>
      </w:r>
      <w:r>
        <w:t xml:space="preserve">removal of </w:t>
      </w:r>
      <w:r w:rsidRPr="00EF704A">
        <w:t>major out</w:t>
      </w:r>
      <w:r>
        <w:t>liers,</w:t>
      </w:r>
      <w:r w:rsidRPr="00EF704A">
        <w:t xml:space="preserve"> d) after </w:t>
      </w:r>
      <w:r>
        <w:t xml:space="preserve">adjustment </w:t>
      </w:r>
      <w:r w:rsidRPr="00EF704A">
        <w:t xml:space="preserve">for cohort and phase. Colors </w:t>
      </w:r>
      <w:r>
        <w:t>correspond</w:t>
      </w:r>
      <w:r w:rsidRPr="00EF704A">
        <w:t xml:space="preserve"> to cohorts (red: LOLIPOP, blue: MESA, green: ROTTERDAM). Symbols for the </w:t>
      </w:r>
      <w:r>
        <w:t xml:space="preserve">study </w:t>
      </w:r>
      <w:r w:rsidRPr="00EF704A">
        <w:t>samples vary according to phases (</w:t>
      </w:r>
      <w:r w:rsidRPr="00EF704A">
        <w:sym w:font="Wingdings 2" w:char="F0CF"/>
      </w:r>
      <w:r w:rsidRPr="00EF704A">
        <w:t xml:space="preserve">: phase 1, </w:t>
      </w:r>
      <w:r w:rsidRPr="00EF704A">
        <w:sym w:font="Wingdings 2" w:char="F0C8"/>
      </w:r>
      <w:r w:rsidRPr="00EF704A">
        <w:t>: phase 2). Zoomed frames show the QC samples (</w:t>
      </w:r>
      <w:r w:rsidRPr="00EF704A">
        <w:sym w:font="Wingdings 3" w:char="F072"/>
      </w:r>
      <w:r w:rsidRPr="00EF704A">
        <w:t>: QC1 analyzed in phase 1,</w:t>
      </w:r>
      <w:r>
        <w:t xml:space="preserve"> </w:t>
      </w:r>
      <w:r w:rsidRPr="00EF704A">
        <w:sym w:font="Wingdings" w:char="F0A1"/>
      </w:r>
      <w:r w:rsidRPr="00EF704A">
        <w:t xml:space="preserve">: QC1 analyzed in phase 2, </w:t>
      </w:r>
      <w:r w:rsidRPr="00EF704A">
        <w:rPr>
          <w:rFonts w:ascii="Times New Roman" w:hAnsi="Times New Roman"/>
        </w:rPr>
        <w:sym w:font="Wingdings" w:char="F0A8"/>
      </w:r>
      <w:r w:rsidRPr="00EF704A">
        <w:t>: QC2 analyzed in phase 2).</w:t>
      </w:r>
      <w:r>
        <w:t xml:space="preserve"> Axis labels indicate the percentage variance explained by each principal component. Note that QC samples are not shown in panel (d) because they were excluded from the dataset when cohort/phase adjustment was applied.</w:t>
      </w:r>
      <w:r>
        <w:br w:type="page"/>
      </w:r>
    </w:p>
    <w:p w14:paraId="26B3ACC0" w14:textId="77777777" w:rsidR="0030630C" w:rsidRDefault="0030630C" w:rsidP="00D71DA3">
      <w:pPr>
        <w:pStyle w:val="TAMainText"/>
      </w:pPr>
    </w:p>
    <w:p w14:paraId="55F70FE6" w14:textId="77777777" w:rsidR="0030630C" w:rsidRDefault="0030630C" w:rsidP="00D71DA3">
      <w:pPr>
        <w:pStyle w:val="TAMainText"/>
      </w:pPr>
      <w:r w:rsidRPr="000C0642">
        <w:rPr>
          <w:noProof/>
          <w:lang w:val="en-GB" w:eastAsia="en-GB"/>
        </w:rPr>
        <w:drawing>
          <wp:inline distT="0" distB="0" distL="0" distR="0" wp14:anchorId="075A9729" wp14:editId="3965B46C">
            <wp:extent cx="3044515" cy="2028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975"/>
                    <a:stretch/>
                  </pic:blipFill>
                  <pic:spPr bwMode="auto">
                    <a:xfrm>
                      <a:off x="0" y="0"/>
                      <a:ext cx="3044825" cy="2029032"/>
                    </a:xfrm>
                    <a:prstGeom prst="rect">
                      <a:avLst/>
                    </a:prstGeom>
                    <a:noFill/>
                    <a:ln>
                      <a:noFill/>
                    </a:ln>
                    <a:extLst>
                      <a:ext uri="{53640926-AAD7-44D8-BBD7-CCE9431645EC}">
                        <a14:shadowObscured xmlns:a14="http://schemas.microsoft.com/office/drawing/2010/main"/>
                      </a:ext>
                    </a:extLst>
                  </pic:spPr>
                </pic:pic>
              </a:graphicData>
            </a:graphic>
          </wp:inline>
        </w:drawing>
      </w:r>
    </w:p>
    <w:p w14:paraId="0229D5B5" w14:textId="77777777" w:rsidR="0030630C" w:rsidRDefault="0030630C" w:rsidP="00E829C0">
      <w:pPr>
        <w:pStyle w:val="TAMainText"/>
      </w:pPr>
      <w:bookmarkStart w:id="9" w:name="_Ref408504004"/>
    </w:p>
    <w:p w14:paraId="19F82A7E" w14:textId="77777777" w:rsidR="0030630C" w:rsidRPr="00EF704A" w:rsidRDefault="0030630C" w:rsidP="00D71DA3">
      <w:pPr>
        <w:pStyle w:val="VAFigureCaption"/>
      </w:pPr>
      <w:bookmarkStart w:id="10" w:name="_Ref455161846"/>
      <w:bookmarkStart w:id="11" w:name="_Ref442719808"/>
      <w:r w:rsidRPr="008B6F5E">
        <w:t xml:space="preserve">Figure </w:t>
      </w:r>
      <w:r w:rsidRPr="008B6F5E">
        <w:fldChar w:fldCharType="begin"/>
      </w:r>
      <w:r>
        <w:instrText xml:space="preserve"> SEQ Figure \* ARABIC </w:instrText>
      </w:r>
      <w:r w:rsidRPr="008B6F5E">
        <w:fldChar w:fldCharType="separate"/>
      </w:r>
      <w:r>
        <w:rPr>
          <w:noProof/>
        </w:rPr>
        <w:t>4</w:t>
      </w:r>
      <w:r w:rsidRPr="008B6F5E">
        <w:fldChar w:fldCharType="end"/>
      </w:r>
      <w:bookmarkEnd w:id="9"/>
      <w:bookmarkEnd w:id="10"/>
      <w:bookmarkEnd w:id="11"/>
      <w:r w:rsidRPr="008B6F5E">
        <w:t>.</w:t>
      </w:r>
      <w:r w:rsidRPr="00EF704A">
        <w:t xml:space="preserve"> Box plots </w:t>
      </w:r>
      <w:r>
        <w:t>of</w:t>
      </w:r>
      <w:r w:rsidRPr="00EF704A">
        <w:t xml:space="preserve"> </w:t>
      </w:r>
      <w:proofErr w:type="spellStart"/>
      <w:r>
        <w:t>Hotelling’s</w:t>
      </w:r>
      <w:proofErr w:type="spellEnd"/>
      <w:r w:rsidRPr="00EF704A">
        <w:t xml:space="preserve"> T</w:t>
      </w:r>
      <w:r w:rsidRPr="00F259EE">
        <w:rPr>
          <w:vertAlign w:val="superscript"/>
        </w:rPr>
        <w:t>2</w:t>
      </w:r>
      <w:r w:rsidRPr="00EF704A">
        <w:t xml:space="preserve"> </w:t>
      </w:r>
      <w:r>
        <w:t>distributions</w:t>
      </w:r>
      <w:r w:rsidRPr="00EF704A">
        <w:t xml:space="preserve"> for the CPMG </w:t>
      </w:r>
      <w:r>
        <w:t>data</w:t>
      </w:r>
      <w:r w:rsidRPr="00EF704A">
        <w:t xml:space="preserve">set (QC1, QC2 and </w:t>
      </w:r>
      <w:r>
        <w:t>study samples,</w:t>
      </w:r>
      <w:r w:rsidRPr="00EF704A">
        <w:t xml:space="preserve"> </w:t>
      </w:r>
      <w:r>
        <w:t>STY</w:t>
      </w:r>
      <w:r w:rsidRPr="00EF704A">
        <w:t xml:space="preserve">) corresponding to a) unaligned </w:t>
      </w:r>
      <w:r>
        <w:t>data</w:t>
      </w:r>
      <w:r w:rsidRPr="00EF704A">
        <w:t xml:space="preserve"> b) aligned</w:t>
      </w:r>
      <w:r>
        <w:t xml:space="preserve"> and</w:t>
      </w:r>
      <w:r w:rsidRPr="00EF704A">
        <w:t xml:space="preserve"> normalized </w:t>
      </w:r>
      <w:r>
        <w:t>data with</w:t>
      </w:r>
      <w:r w:rsidRPr="00EF704A">
        <w:t xml:space="preserve"> major outliers removed.</w:t>
      </w:r>
      <w:r>
        <w:t xml:space="preserve"> The y-axes of the plots were set to be between 0 and 20 for better visualization of the QCs.</w:t>
      </w:r>
    </w:p>
    <w:p w14:paraId="6082DDEB" w14:textId="77777777" w:rsidR="0030630C" w:rsidRDefault="0030630C" w:rsidP="009C129D">
      <w:pPr>
        <w:pStyle w:val="SNSynopsisTOC"/>
        <w:rPr>
          <w:rFonts w:ascii="New York" w:hAnsi="New York"/>
        </w:rPr>
      </w:pPr>
    </w:p>
    <w:p w14:paraId="17886F6B" w14:textId="77777777" w:rsidR="0030630C" w:rsidRDefault="0030630C" w:rsidP="009C129D">
      <w:pPr>
        <w:pStyle w:val="SNSynopsisTOC"/>
        <w:rPr>
          <w:rFonts w:ascii="New York" w:hAnsi="New York"/>
        </w:rPr>
      </w:pPr>
    </w:p>
    <w:p w14:paraId="682716B0" w14:textId="77777777" w:rsidR="0030630C" w:rsidRDefault="0030630C" w:rsidP="009C129D">
      <w:pPr>
        <w:pStyle w:val="SNSynopsisTOC"/>
        <w:rPr>
          <w:rFonts w:ascii="New York" w:hAnsi="New York"/>
        </w:rPr>
        <w:sectPr w:rsidR="0030630C" w:rsidSect="00D835CA">
          <w:pgSz w:w="12240" w:h="15840"/>
          <w:pgMar w:top="720" w:right="1094" w:bottom="720" w:left="1094" w:header="720" w:footer="720" w:gutter="0"/>
          <w:cols w:space="461"/>
        </w:sectPr>
      </w:pPr>
    </w:p>
    <w:p w14:paraId="3E9E4E55" w14:textId="77777777" w:rsidR="0030630C" w:rsidRPr="00E63BB2" w:rsidRDefault="0030630C" w:rsidP="009C129D">
      <w:pPr>
        <w:pStyle w:val="SNSynopsisTOC"/>
        <w:rPr>
          <w:rFonts w:ascii="New York" w:hAnsi="New York"/>
          <w:b/>
        </w:rPr>
      </w:pPr>
      <w:r w:rsidRPr="00E63BB2">
        <w:rPr>
          <w:rFonts w:ascii="New York" w:hAnsi="New York"/>
          <w:b/>
        </w:rPr>
        <w:lastRenderedPageBreak/>
        <w:t>Tables</w:t>
      </w:r>
    </w:p>
    <w:p w14:paraId="5A2FD809" w14:textId="77777777" w:rsidR="0030630C" w:rsidRDefault="0030630C" w:rsidP="008B6F5E">
      <w:pPr>
        <w:pStyle w:val="TAMainText"/>
      </w:pPr>
    </w:p>
    <w:p w14:paraId="787FC435" w14:textId="77777777" w:rsidR="0030630C" w:rsidRPr="00EF704A" w:rsidRDefault="0030630C" w:rsidP="00D71DA3">
      <w:pPr>
        <w:pStyle w:val="VDTableTitle"/>
      </w:pPr>
      <w:bookmarkStart w:id="12" w:name="_Ref440559861"/>
      <w:r w:rsidRPr="008B6F5E">
        <w:t xml:space="preserve">Table </w:t>
      </w:r>
      <w:r w:rsidRPr="008B6F5E">
        <w:fldChar w:fldCharType="begin"/>
      </w:r>
      <w:r w:rsidRPr="008B6F5E">
        <w:instrText xml:space="preserve"> SEQ Table \* ARABIC </w:instrText>
      </w:r>
      <w:r w:rsidRPr="008B6F5E">
        <w:fldChar w:fldCharType="separate"/>
      </w:r>
      <w:r w:rsidRPr="008B6F5E">
        <w:t>1</w:t>
      </w:r>
      <w:r w:rsidRPr="008B6F5E">
        <w:fldChar w:fldCharType="end"/>
      </w:r>
      <w:bookmarkEnd w:id="12"/>
      <w:r w:rsidRPr="008B6F5E">
        <w:t>.</w:t>
      </w:r>
      <w:r w:rsidRPr="00EF704A">
        <w:t xml:space="preserve"> Alignment quality (</w:t>
      </w:r>
      <m:oMath>
        <m:sSub>
          <m:sSubPr>
            <m:ctrlPr>
              <w:rPr>
                <w:rFonts w:ascii="Cambria Math" w:hAnsi="Cambria Math"/>
              </w:rPr>
            </m:ctrlPr>
          </m:sSubPr>
          <m:e>
            <m:r>
              <w:rPr>
                <w:rFonts w:ascii="Cambria Math" w:eastAsia="MS Gothic" w:hAnsi="Cambria Math"/>
              </w:rPr>
              <m:t>aq</m:t>
            </m:r>
          </m:e>
          <m:sub>
            <m:r>
              <w:rPr>
                <w:rFonts w:ascii="Cambria Math" w:eastAsia="MS Gothic" w:hAnsi="Cambria Math"/>
              </w:rPr>
              <m:t>w</m:t>
            </m:r>
          </m:sub>
        </m:sSub>
      </m:oMath>
      <w:r w:rsidRPr="00EF704A">
        <w:t>) measures for the datasets with different bin sizes</w:t>
      </w:r>
      <w:r>
        <w:t xml:space="preserve"> in ppm</w:t>
      </w:r>
      <w:r w:rsidRPr="00EF704A">
        <w:t>.</w:t>
      </w:r>
    </w:p>
    <w:tbl>
      <w:tblPr>
        <w:tblW w:w="4820" w:type="dxa"/>
        <w:tblBorders>
          <w:top w:val="single" w:sz="4" w:space="0" w:color="auto"/>
          <w:bottom w:val="single" w:sz="4" w:space="0" w:color="auto"/>
        </w:tblBorders>
        <w:tblLook w:val="04A0" w:firstRow="1" w:lastRow="0" w:firstColumn="1" w:lastColumn="0" w:noHBand="0" w:noVBand="1"/>
      </w:tblPr>
      <w:tblGrid>
        <w:gridCol w:w="809"/>
        <w:gridCol w:w="688"/>
        <w:gridCol w:w="912"/>
        <w:gridCol w:w="786"/>
        <w:gridCol w:w="915"/>
        <w:gridCol w:w="710"/>
      </w:tblGrid>
      <w:tr w:rsidR="0030630C" w:rsidRPr="007918B9" w14:paraId="575BCBC9" w14:textId="77777777" w:rsidTr="007918B9">
        <w:trPr>
          <w:trHeight w:val="316"/>
        </w:trPr>
        <w:tc>
          <w:tcPr>
            <w:tcW w:w="840" w:type="pct"/>
            <w:tcBorders>
              <w:top w:val="single" w:sz="4" w:space="0" w:color="auto"/>
              <w:bottom w:val="single" w:sz="4" w:space="0" w:color="auto"/>
            </w:tcBorders>
          </w:tcPr>
          <w:p w14:paraId="58971785" w14:textId="77777777" w:rsidR="0030630C" w:rsidRPr="007918B9" w:rsidRDefault="0030630C" w:rsidP="007918B9">
            <w:pPr>
              <w:pStyle w:val="TCTableBody"/>
              <w:spacing w:after="0"/>
              <w:rPr>
                <w:rFonts w:ascii="Times New Roman" w:hAnsi="Times New Roman"/>
                <w:b/>
                <w:sz w:val="16"/>
                <w:szCs w:val="16"/>
                <w:lang w:eastAsia="nb-NO"/>
              </w:rPr>
            </w:pPr>
          </w:p>
        </w:tc>
        <w:tc>
          <w:tcPr>
            <w:tcW w:w="714" w:type="pct"/>
            <w:tcBorders>
              <w:top w:val="single" w:sz="4" w:space="0" w:color="auto"/>
              <w:bottom w:val="single" w:sz="4" w:space="0" w:color="auto"/>
            </w:tcBorders>
            <w:shd w:val="clear" w:color="auto" w:fill="auto"/>
            <w:vAlign w:val="center"/>
          </w:tcPr>
          <w:p w14:paraId="376E234E" w14:textId="77777777" w:rsidR="0030630C" w:rsidRPr="007918B9" w:rsidRDefault="0030630C" w:rsidP="007918B9">
            <w:pPr>
              <w:pStyle w:val="TCTableBody"/>
              <w:spacing w:after="0"/>
              <w:rPr>
                <w:rFonts w:ascii="Times New Roman" w:hAnsi="Times New Roman"/>
                <w:i/>
                <w:sz w:val="16"/>
                <w:szCs w:val="16"/>
                <w:lang w:eastAsia="nb-NO"/>
              </w:rPr>
            </w:pPr>
          </w:p>
        </w:tc>
        <w:tc>
          <w:tcPr>
            <w:tcW w:w="1761" w:type="pct"/>
            <w:gridSpan w:val="2"/>
            <w:tcBorders>
              <w:top w:val="single" w:sz="4" w:space="0" w:color="auto"/>
              <w:bottom w:val="single" w:sz="4" w:space="0" w:color="auto"/>
            </w:tcBorders>
            <w:shd w:val="clear" w:color="auto" w:fill="auto"/>
            <w:vAlign w:val="center"/>
          </w:tcPr>
          <w:p w14:paraId="174D46F2" w14:textId="77777777" w:rsidR="0030630C" w:rsidRPr="007918B9" w:rsidRDefault="0030630C" w:rsidP="007918B9">
            <w:pPr>
              <w:pStyle w:val="TCTableBody"/>
              <w:spacing w:after="0"/>
              <w:jc w:val="center"/>
              <w:rPr>
                <w:rFonts w:ascii="Times New Roman" w:eastAsia="MS Gothic" w:hAnsi="Times New Roman"/>
                <w:b/>
                <w:i/>
                <w:sz w:val="16"/>
                <w:szCs w:val="16"/>
                <w:lang w:eastAsia="nb-NO"/>
              </w:rPr>
            </w:pPr>
            <w:r w:rsidRPr="007918B9">
              <w:rPr>
                <w:rFonts w:ascii="Times New Roman" w:eastAsia="MS Gothic" w:hAnsi="Times New Roman"/>
                <w:b/>
                <w:i/>
                <w:sz w:val="16"/>
                <w:szCs w:val="16"/>
                <w:lang w:eastAsia="nb-NO"/>
              </w:rPr>
              <w:t>CPMG</w:t>
            </w:r>
          </w:p>
        </w:tc>
        <w:tc>
          <w:tcPr>
            <w:tcW w:w="1685" w:type="pct"/>
            <w:gridSpan w:val="2"/>
            <w:tcBorders>
              <w:top w:val="single" w:sz="4" w:space="0" w:color="auto"/>
              <w:bottom w:val="single" w:sz="4" w:space="0" w:color="auto"/>
            </w:tcBorders>
            <w:shd w:val="clear" w:color="auto" w:fill="auto"/>
            <w:vAlign w:val="center"/>
          </w:tcPr>
          <w:p w14:paraId="0AA78311" w14:textId="77777777" w:rsidR="0030630C" w:rsidRPr="007918B9" w:rsidRDefault="0030630C" w:rsidP="007918B9">
            <w:pPr>
              <w:pStyle w:val="TCTableBody"/>
              <w:spacing w:after="0"/>
              <w:jc w:val="center"/>
              <w:rPr>
                <w:rFonts w:ascii="Times New Roman" w:eastAsia="MS Gothic" w:hAnsi="Times New Roman"/>
                <w:b/>
                <w:i/>
                <w:sz w:val="16"/>
                <w:szCs w:val="16"/>
                <w:lang w:eastAsia="nb-NO"/>
              </w:rPr>
            </w:pPr>
            <w:r w:rsidRPr="007918B9">
              <w:rPr>
                <w:rFonts w:ascii="Times New Roman" w:eastAsia="MS Gothic" w:hAnsi="Times New Roman"/>
                <w:b/>
                <w:i/>
                <w:sz w:val="16"/>
                <w:szCs w:val="16"/>
                <w:lang w:eastAsia="nb-NO"/>
              </w:rPr>
              <w:t>NOESY</w:t>
            </w:r>
          </w:p>
        </w:tc>
      </w:tr>
      <w:tr w:rsidR="0030630C" w:rsidRPr="007918B9" w14:paraId="6A584033" w14:textId="77777777" w:rsidTr="007918B9">
        <w:trPr>
          <w:trHeight w:val="478"/>
        </w:trPr>
        <w:tc>
          <w:tcPr>
            <w:tcW w:w="840" w:type="pct"/>
            <w:tcBorders>
              <w:top w:val="single" w:sz="4" w:space="0" w:color="auto"/>
              <w:bottom w:val="single" w:sz="4" w:space="0" w:color="auto"/>
            </w:tcBorders>
          </w:tcPr>
          <w:p w14:paraId="77A5C917" w14:textId="77777777" w:rsidR="0030630C" w:rsidRPr="007918B9" w:rsidRDefault="0030630C" w:rsidP="004A4DB0">
            <w:pPr>
              <w:pStyle w:val="TCTableBody"/>
              <w:spacing w:after="0"/>
              <w:rPr>
                <w:rFonts w:ascii="Times New Roman" w:hAnsi="Times New Roman"/>
                <w:b/>
                <w:sz w:val="16"/>
                <w:szCs w:val="16"/>
                <w:lang w:eastAsia="nb-NO"/>
              </w:rPr>
            </w:pPr>
            <w:r w:rsidRPr="007918B9">
              <w:rPr>
                <w:rFonts w:ascii="Times New Roman" w:hAnsi="Times New Roman"/>
                <w:b/>
                <w:sz w:val="16"/>
                <w:szCs w:val="16"/>
                <w:lang w:eastAsia="nb-NO"/>
              </w:rPr>
              <w:t>sample type</w:t>
            </w:r>
          </w:p>
        </w:tc>
        <w:tc>
          <w:tcPr>
            <w:tcW w:w="714" w:type="pct"/>
            <w:tcBorders>
              <w:top w:val="single" w:sz="4" w:space="0" w:color="auto"/>
              <w:bottom w:val="single" w:sz="4" w:space="0" w:color="auto"/>
            </w:tcBorders>
            <w:shd w:val="clear" w:color="auto" w:fill="auto"/>
            <w:vAlign w:val="center"/>
          </w:tcPr>
          <w:p w14:paraId="2E2066DA" w14:textId="77777777" w:rsidR="0030630C" w:rsidRPr="007918B9" w:rsidRDefault="0030630C" w:rsidP="004A4DB0">
            <w:pPr>
              <w:pStyle w:val="TCTableBody"/>
              <w:spacing w:after="0"/>
              <w:rPr>
                <w:rFonts w:ascii="Times New Roman" w:hAnsi="Times New Roman"/>
                <w:i/>
                <w:sz w:val="16"/>
                <w:szCs w:val="16"/>
                <w:lang w:eastAsia="nb-NO"/>
              </w:rPr>
            </w:pPr>
          </w:p>
        </w:tc>
        <w:tc>
          <w:tcPr>
            <w:tcW w:w="946" w:type="pct"/>
            <w:tcBorders>
              <w:top w:val="single" w:sz="4" w:space="0" w:color="auto"/>
              <w:bottom w:val="single" w:sz="4" w:space="0" w:color="auto"/>
            </w:tcBorders>
            <w:shd w:val="clear" w:color="auto" w:fill="auto"/>
            <w:vAlign w:val="center"/>
          </w:tcPr>
          <w:p w14:paraId="2C167776" w14:textId="77777777" w:rsidR="0030630C" w:rsidRPr="007918B9" w:rsidRDefault="0030630C" w:rsidP="004A4DB0">
            <w:pPr>
              <w:pStyle w:val="TCTableBody"/>
              <w:spacing w:after="0"/>
              <w:jc w:val="center"/>
              <w:rPr>
                <w:rFonts w:ascii="Times New Roman" w:eastAsia="MS Gothic" w:hAnsi="Times New Roman"/>
                <w:i/>
                <w:sz w:val="16"/>
                <w:szCs w:val="16"/>
                <w:lang w:eastAsia="nb-NO"/>
              </w:rPr>
            </w:pPr>
            <w:r w:rsidRPr="007918B9">
              <w:rPr>
                <w:rFonts w:ascii="Times New Roman" w:eastAsia="MS Gothic" w:hAnsi="Times New Roman"/>
                <w:i/>
                <w:sz w:val="16"/>
                <w:szCs w:val="16"/>
                <w:lang w:eastAsia="nb-NO"/>
              </w:rPr>
              <w:t>unaligned</w:t>
            </w:r>
          </w:p>
        </w:tc>
        <w:tc>
          <w:tcPr>
            <w:tcW w:w="815" w:type="pct"/>
            <w:tcBorders>
              <w:top w:val="single" w:sz="4" w:space="0" w:color="auto"/>
              <w:bottom w:val="single" w:sz="4" w:space="0" w:color="auto"/>
            </w:tcBorders>
            <w:shd w:val="clear" w:color="auto" w:fill="auto"/>
            <w:vAlign w:val="center"/>
          </w:tcPr>
          <w:p w14:paraId="74F1C188" w14:textId="77777777" w:rsidR="0030630C" w:rsidRPr="007918B9" w:rsidRDefault="0030630C" w:rsidP="004A4DB0">
            <w:pPr>
              <w:pStyle w:val="TCTableBody"/>
              <w:spacing w:after="0"/>
              <w:jc w:val="center"/>
              <w:rPr>
                <w:rFonts w:ascii="Times New Roman" w:eastAsia="MS Gothic" w:hAnsi="Times New Roman"/>
                <w:i/>
                <w:sz w:val="16"/>
                <w:szCs w:val="16"/>
                <w:lang w:eastAsia="nb-NO"/>
              </w:rPr>
            </w:pPr>
            <w:r w:rsidRPr="007918B9">
              <w:rPr>
                <w:rFonts w:ascii="Times New Roman" w:eastAsia="MS Gothic" w:hAnsi="Times New Roman"/>
                <w:i/>
                <w:sz w:val="16"/>
                <w:szCs w:val="16"/>
                <w:lang w:eastAsia="nb-NO"/>
              </w:rPr>
              <w:t>aligned</w:t>
            </w:r>
          </w:p>
        </w:tc>
        <w:tc>
          <w:tcPr>
            <w:tcW w:w="949" w:type="pct"/>
            <w:tcBorders>
              <w:top w:val="single" w:sz="4" w:space="0" w:color="auto"/>
              <w:bottom w:val="single" w:sz="4" w:space="0" w:color="auto"/>
            </w:tcBorders>
            <w:shd w:val="clear" w:color="auto" w:fill="auto"/>
            <w:vAlign w:val="center"/>
          </w:tcPr>
          <w:p w14:paraId="799A6C2C" w14:textId="77777777" w:rsidR="0030630C" w:rsidRPr="007918B9" w:rsidRDefault="0030630C" w:rsidP="004A4DB0">
            <w:pPr>
              <w:pStyle w:val="TCTableBody"/>
              <w:spacing w:after="0"/>
              <w:jc w:val="center"/>
              <w:rPr>
                <w:rFonts w:ascii="Times New Roman" w:eastAsia="MS Gothic" w:hAnsi="Times New Roman"/>
                <w:i/>
                <w:sz w:val="16"/>
                <w:szCs w:val="16"/>
                <w:lang w:eastAsia="nb-NO"/>
              </w:rPr>
            </w:pPr>
            <w:r w:rsidRPr="007918B9">
              <w:rPr>
                <w:rFonts w:ascii="Times New Roman" w:eastAsia="MS Gothic" w:hAnsi="Times New Roman"/>
                <w:i/>
                <w:sz w:val="16"/>
                <w:szCs w:val="16"/>
                <w:lang w:eastAsia="nb-NO"/>
              </w:rPr>
              <w:t>unaligned</w:t>
            </w:r>
          </w:p>
        </w:tc>
        <w:tc>
          <w:tcPr>
            <w:tcW w:w="735" w:type="pct"/>
            <w:tcBorders>
              <w:top w:val="single" w:sz="4" w:space="0" w:color="auto"/>
              <w:bottom w:val="single" w:sz="4" w:space="0" w:color="auto"/>
            </w:tcBorders>
            <w:shd w:val="clear" w:color="auto" w:fill="auto"/>
            <w:vAlign w:val="center"/>
          </w:tcPr>
          <w:p w14:paraId="3434D83C" w14:textId="77777777" w:rsidR="0030630C" w:rsidRPr="007918B9" w:rsidRDefault="0030630C" w:rsidP="004A4DB0">
            <w:pPr>
              <w:pStyle w:val="TCTableBody"/>
              <w:spacing w:after="0"/>
              <w:jc w:val="center"/>
              <w:rPr>
                <w:rFonts w:ascii="Times New Roman" w:eastAsia="MS Gothic" w:hAnsi="Times New Roman"/>
                <w:i/>
                <w:sz w:val="16"/>
                <w:szCs w:val="16"/>
                <w:lang w:eastAsia="nb-NO"/>
              </w:rPr>
            </w:pPr>
            <w:r w:rsidRPr="007918B9">
              <w:rPr>
                <w:rFonts w:ascii="Times New Roman" w:eastAsia="MS Gothic" w:hAnsi="Times New Roman"/>
                <w:i/>
                <w:sz w:val="16"/>
                <w:szCs w:val="16"/>
                <w:lang w:eastAsia="nb-NO"/>
              </w:rPr>
              <w:t>aligned</w:t>
            </w:r>
          </w:p>
        </w:tc>
      </w:tr>
      <w:tr w:rsidR="0030630C" w:rsidRPr="007918B9" w14:paraId="59A4DCB1" w14:textId="77777777" w:rsidTr="007918B9">
        <w:trPr>
          <w:trHeight w:val="231"/>
        </w:trPr>
        <w:tc>
          <w:tcPr>
            <w:tcW w:w="840" w:type="pct"/>
            <w:tcBorders>
              <w:top w:val="single" w:sz="4" w:space="0" w:color="auto"/>
            </w:tcBorders>
          </w:tcPr>
          <w:p w14:paraId="56A3CC87" w14:textId="77777777" w:rsidR="0030630C" w:rsidRPr="007918B9" w:rsidRDefault="0030630C" w:rsidP="007918B9">
            <w:pPr>
              <w:pStyle w:val="TCTableBody"/>
              <w:spacing w:after="0"/>
              <w:rPr>
                <w:rFonts w:ascii="Times New Roman" w:eastAsia="MS Gothic" w:hAnsi="Times New Roman"/>
                <w:i/>
                <w:sz w:val="16"/>
                <w:szCs w:val="16"/>
                <w:lang w:eastAsia="nb-NO"/>
              </w:rPr>
            </w:pPr>
            <w:r w:rsidRPr="007918B9">
              <w:rPr>
                <w:rFonts w:ascii="Times New Roman" w:eastAsia="MS Gothic" w:hAnsi="Times New Roman"/>
                <w:i/>
                <w:sz w:val="16"/>
                <w:szCs w:val="16"/>
                <w:lang w:eastAsia="nb-NO"/>
              </w:rPr>
              <w:t>QC1</w:t>
            </w:r>
          </w:p>
        </w:tc>
        <w:tc>
          <w:tcPr>
            <w:tcW w:w="714" w:type="pct"/>
            <w:tcBorders>
              <w:top w:val="single" w:sz="4" w:space="0" w:color="auto"/>
            </w:tcBorders>
            <w:shd w:val="clear" w:color="auto" w:fill="auto"/>
            <w:vAlign w:val="center"/>
          </w:tcPr>
          <w:p w14:paraId="64EA3560" w14:textId="77777777" w:rsidR="0030630C" w:rsidRPr="007918B9" w:rsidRDefault="00391BF4" w:rsidP="007918B9">
            <w:pPr>
              <w:pStyle w:val="TCTableBody"/>
              <w:spacing w:after="0"/>
              <w:rPr>
                <w:rFonts w:ascii="Times New Roman" w:eastAsia="MS Gothic" w:hAnsi="Times New Roman"/>
                <w:sz w:val="16"/>
                <w:szCs w:val="16"/>
                <w:lang w:eastAsia="nb-NO"/>
              </w:rPr>
            </w:pPr>
            <m:oMathPara>
              <m:oMath>
                <m:sSub>
                  <m:sSubPr>
                    <m:ctrlPr>
                      <w:rPr>
                        <w:rFonts w:ascii="Cambria Math" w:eastAsia="MS Gothic" w:hAnsi="Cambria Math"/>
                        <w:i/>
                        <w:sz w:val="16"/>
                        <w:szCs w:val="16"/>
                      </w:rPr>
                    </m:ctrlPr>
                  </m:sSubPr>
                  <m:e>
                    <m:r>
                      <w:rPr>
                        <w:rFonts w:ascii="Cambria Math" w:eastAsia="MS Gothic" w:hAnsi="Cambria Math"/>
                        <w:sz w:val="16"/>
                        <w:szCs w:val="16"/>
                      </w:rPr>
                      <m:t>aq</m:t>
                    </m:r>
                  </m:e>
                  <m:sub>
                    <m:r>
                      <w:rPr>
                        <w:rFonts w:ascii="Cambria Math" w:eastAsia="MS Gothic" w:hAnsi="Cambria Math"/>
                        <w:sz w:val="16"/>
                        <w:szCs w:val="16"/>
                      </w:rPr>
                      <m:t>0.02</m:t>
                    </m:r>
                  </m:sub>
                </m:sSub>
              </m:oMath>
            </m:oMathPara>
          </w:p>
        </w:tc>
        <w:tc>
          <w:tcPr>
            <w:tcW w:w="946" w:type="pct"/>
            <w:tcBorders>
              <w:top w:val="single" w:sz="4" w:space="0" w:color="auto"/>
            </w:tcBorders>
            <w:shd w:val="clear" w:color="auto" w:fill="auto"/>
            <w:vAlign w:val="center"/>
          </w:tcPr>
          <w:p w14:paraId="080E9805"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0.349</w:t>
            </w:r>
          </w:p>
        </w:tc>
        <w:tc>
          <w:tcPr>
            <w:tcW w:w="815" w:type="pct"/>
            <w:tcBorders>
              <w:top w:val="single" w:sz="4" w:space="0" w:color="auto"/>
            </w:tcBorders>
            <w:shd w:val="clear" w:color="auto" w:fill="auto"/>
            <w:vAlign w:val="center"/>
          </w:tcPr>
          <w:p w14:paraId="32EA99C3"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0.415</w:t>
            </w:r>
          </w:p>
        </w:tc>
        <w:tc>
          <w:tcPr>
            <w:tcW w:w="949" w:type="pct"/>
            <w:tcBorders>
              <w:top w:val="single" w:sz="4" w:space="0" w:color="auto"/>
            </w:tcBorders>
            <w:shd w:val="clear" w:color="auto" w:fill="auto"/>
            <w:vAlign w:val="center"/>
          </w:tcPr>
          <w:p w14:paraId="6D198C2E"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0.582</w:t>
            </w:r>
          </w:p>
        </w:tc>
        <w:tc>
          <w:tcPr>
            <w:tcW w:w="735" w:type="pct"/>
            <w:tcBorders>
              <w:top w:val="single" w:sz="4" w:space="0" w:color="auto"/>
            </w:tcBorders>
            <w:shd w:val="clear" w:color="auto" w:fill="auto"/>
            <w:vAlign w:val="center"/>
          </w:tcPr>
          <w:p w14:paraId="08239F59"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0.636</w:t>
            </w:r>
          </w:p>
        </w:tc>
      </w:tr>
      <w:tr w:rsidR="0030630C" w:rsidRPr="007918B9" w14:paraId="47240F16" w14:textId="77777777" w:rsidTr="007918B9">
        <w:trPr>
          <w:trHeight w:val="244"/>
        </w:trPr>
        <w:tc>
          <w:tcPr>
            <w:tcW w:w="840" w:type="pct"/>
          </w:tcPr>
          <w:p w14:paraId="24B35775" w14:textId="77777777" w:rsidR="0030630C" w:rsidRPr="007918B9" w:rsidRDefault="0030630C" w:rsidP="007918B9">
            <w:pPr>
              <w:pStyle w:val="TCTableBody"/>
              <w:spacing w:after="0"/>
              <w:rPr>
                <w:rFonts w:ascii="Times New Roman" w:eastAsia="MS Gothic" w:hAnsi="Times New Roman"/>
                <w:i/>
                <w:sz w:val="16"/>
                <w:szCs w:val="16"/>
                <w:lang w:eastAsia="nb-NO"/>
              </w:rPr>
            </w:pPr>
          </w:p>
        </w:tc>
        <w:tc>
          <w:tcPr>
            <w:tcW w:w="714" w:type="pct"/>
            <w:shd w:val="clear" w:color="auto" w:fill="auto"/>
            <w:vAlign w:val="center"/>
          </w:tcPr>
          <w:p w14:paraId="0F2EDF3A" w14:textId="77777777" w:rsidR="0030630C" w:rsidRPr="007918B9" w:rsidRDefault="00391BF4" w:rsidP="007918B9">
            <w:pPr>
              <w:pStyle w:val="TCTableBody"/>
              <w:spacing w:after="0"/>
              <w:rPr>
                <w:rFonts w:ascii="Times New Roman" w:eastAsia="MS Gothic" w:hAnsi="Times New Roman"/>
                <w:sz w:val="16"/>
                <w:szCs w:val="16"/>
                <w:lang w:eastAsia="nb-NO"/>
              </w:rPr>
            </w:pPr>
            <m:oMathPara>
              <m:oMath>
                <m:sSub>
                  <m:sSubPr>
                    <m:ctrlPr>
                      <w:rPr>
                        <w:rFonts w:ascii="Cambria Math" w:eastAsia="MS Gothic" w:hAnsi="Cambria Math"/>
                        <w:i/>
                        <w:sz w:val="16"/>
                        <w:szCs w:val="16"/>
                      </w:rPr>
                    </m:ctrlPr>
                  </m:sSubPr>
                  <m:e>
                    <m:r>
                      <w:rPr>
                        <w:rFonts w:ascii="Cambria Math" w:eastAsia="MS Gothic" w:hAnsi="Cambria Math"/>
                        <w:sz w:val="16"/>
                        <w:szCs w:val="16"/>
                      </w:rPr>
                      <m:t>aq</m:t>
                    </m:r>
                  </m:e>
                  <m:sub>
                    <m:r>
                      <w:rPr>
                        <w:rFonts w:ascii="Cambria Math" w:eastAsia="MS Gothic" w:hAnsi="Cambria Math"/>
                        <w:sz w:val="16"/>
                        <w:szCs w:val="16"/>
                      </w:rPr>
                      <m:t>0.08</m:t>
                    </m:r>
                  </m:sub>
                </m:sSub>
              </m:oMath>
            </m:oMathPara>
          </w:p>
        </w:tc>
        <w:tc>
          <w:tcPr>
            <w:tcW w:w="946" w:type="pct"/>
            <w:shd w:val="clear" w:color="auto" w:fill="auto"/>
            <w:vAlign w:val="center"/>
          </w:tcPr>
          <w:p w14:paraId="14365EA2"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0.468</w:t>
            </w:r>
          </w:p>
        </w:tc>
        <w:tc>
          <w:tcPr>
            <w:tcW w:w="815" w:type="pct"/>
            <w:shd w:val="clear" w:color="auto" w:fill="auto"/>
            <w:vAlign w:val="center"/>
          </w:tcPr>
          <w:p w14:paraId="04D926ED"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0.532</w:t>
            </w:r>
          </w:p>
        </w:tc>
        <w:tc>
          <w:tcPr>
            <w:tcW w:w="949" w:type="pct"/>
            <w:shd w:val="clear" w:color="auto" w:fill="auto"/>
            <w:vAlign w:val="center"/>
          </w:tcPr>
          <w:p w14:paraId="19B6FCCF"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0.806</w:t>
            </w:r>
          </w:p>
        </w:tc>
        <w:tc>
          <w:tcPr>
            <w:tcW w:w="735" w:type="pct"/>
            <w:shd w:val="clear" w:color="auto" w:fill="auto"/>
            <w:vAlign w:val="center"/>
          </w:tcPr>
          <w:p w14:paraId="1C0D5935"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0.846</w:t>
            </w:r>
          </w:p>
        </w:tc>
      </w:tr>
      <w:tr w:rsidR="0030630C" w:rsidRPr="007918B9" w14:paraId="2E34321C" w14:textId="77777777" w:rsidTr="007918B9">
        <w:trPr>
          <w:trHeight w:val="231"/>
        </w:trPr>
        <w:tc>
          <w:tcPr>
            <w:tcW w:w="840" w:type="pct"/>
          </w:tcPr>
          <w:p w14:paraId="4D6387BF" w14:textId="77777777" w:rsidR="0030630C" w:rsidRPr="007918B9" w:rsidRDefault="0030630C" w:rsidP="007918B9">
            <w:pPr>
              <w:pStyle w:val="TCTableBody"/>
              <w:spacing w:after="0"/>
              <w:rPr>
                <w:rFonts w:ascii="Times New Roman" w:eastAsia="MS Gothic" w:hAnsi="Times New Roman"/>
                <w:i/>
                <w:sz w:val="16"/>
                <w:szCs w:val="16"/>
                <w:lang w:eastAsia="nb-NO"/>
              </w:rPr>
            </w:pPr>
            <w:r w:rsidRPr="007918B9">
              <w:rPr>
                <w:rFonts w:ascii="Times New Roman" w:eastAsia="MS Gothic" w:hAnsi="Times New Roman"/>
                <w:i/>
                <w:sz w:val="16"/>
                <w:szCs w:val="16"/>
                <w:lang w:eastAsia="nb-NO"/>
              </w:rPr>
              <w:t>QC2</w:t>
            </w:r>
          </w:p>
        </w:tc>
        <w:tc>
          <w:tcPr>
            <w:tcW w:w="714" w:type="pct"/>
            <w:shd w:val="clear" w:color="auto" w:fill="auto"/>
            <w:vAlign w:val="center"/>
          </w:tcPr>
          <w:p w14:paraId="7E5B9289" w14:textId="77777777" w:rsidR="0030630C" w:rsidRPr="007918B9" w:rsidRDefault="00391BF4" w:rsidP="007918B9">
            <w:pPr>
              <w:pStyle w:val="TCTableBody"/>
              <w:spacing w:after="0"/>
              <w:rPr>
                <w:rFonts w:ascii="Times New Roman" w:eastAsia="MS Gothic" w:hAnsi="Times New Roman"/>
                <w:sz w:val="16"/>
                <w:szCs w:val="16"/>
                <w:lang w:eastAsia="nb-NO"/>
              </w:rPr>
            </w:pPr>
            <m:oMathPara>
              <m:oMath>
                <m:sSub>
                  <m:sSubPr>
                    <m:ctrlPr>
                      <w:rPr>
                        <w:rFonts w:ascii="Cambria Math" w:eastAsia="MS Gothic" w:hAnsi="Cambria Math"/>
                        <w:i/>
                        <w:sz w:val="16"/>
                        <w:szCs w:val="16"/>
                      </w:rPr>
                    </m:ctrlPr>
                  </m:sSubPr>
                  <m:e>
                    <m:r>
                      <w:rPr>
                        <w:rFonts w:ascii="Cambria Math" w:eastAsia="MS Gothic" w:hAnsi="Cambria Math"/>
                        <w:sz w:val="16"/>
                        <w:szCs w:val="16"/>
                      </w:rPr>
                      <m:t>aq</m:t>
                    </m:r>
                  </m:e>
                  <m:sub>
                    <m:r>
                      <w:rPr>
                        <w:rFonts w:ascii="Cambria Math" w:eastAsia="MS Gothic" w:hAnsi="Cambria Math"/>
                        <w:sz w:val="16"/>
                        <w:szCs w:val="16"/>
                      </w:rPr>
                      <m:t>0.02</m:t>
                    </m:r>
                  </m:sub>
                </m:sSub>
              </m:oMath>
            </m:oMathPara>
          </w:p>
        </w:tc>
        <w:tc>
          <w:tcPr>
            <w:tcW w:w="946" w:type="pct"/>
            <w:shd w:val="clear" w:color="auto" w:fill="auto"/>
            <w:vAlign w:val="center"/>
          </w:tcPr>
          <w:p w14:paraId="1A117E0B"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0.407</w:t>
            </w:r>
          </w:p>
        </w:tc>
        <w:tc>
          <w:tcPr>
            <w:tcW w:w="815" w:type="pct"/>
            <w:shd w:val="clear" w:color="auto" w:fill="auto"/>
            <w:vAlign w:val="center"/>
          </w:tcPr>
          <w:p w14:paraId="2C1D319B"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0.456</w:t>
            </w:r>
          </w:p>
        </w:tc>
        <w:tc>
          <w:tcPr>
            <w:tcW w:w="949" w:type="pct"/>
            <w:shd w:val="clear" w:color="auto" w:fill="auto"/>
            <w:vAlign w:val="center"/>
          </w:tcPr>
          <w:p w14:paraId="7704D754"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0.654</w:t>
            </w:r>
          </w:p>
        </w:tc>
        <w:tc>
          <w:tcPr>
            <w:tcW w:w="735" w:type="pct"/>
            <w:shd w:val="clear" w:color="auto" w:fill="auto"/>
            <w:vAlign w:val="center"/>
          </w:tcPr>
          <w:p w14:paraId="0FC5B16C"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0.677</w:t>
            </w:r>
          </w:p>
        </w:tc>
      </w:tr>
      <w:tr w:rsidR="0030630C" w:rsidRPr="007918B9" w14:paraId="21E6DEE1" w14:textId="77777777" w:rsidTr="007918B9">
        <w:trPr>
          <w:trHeight w:val="244"/>
        </w:trPr>
        <w:tc>
          <w:tcPr>
            <w:tcW w:w="840" w:type="pct"/>
          </w:tcPr>
          <w:p w14:paraId="237326A7" w14:textId="77777777" w:rsidR="0030630C" w:rsidRPr="007918B9" w:rsidRDefault="0030630C" w:rsidP="007918B9">
            <w:pPr>
              <w:pStyle w:val="TCTableBody"/>
              <w:spacing w:after="0"/>
              <w:rPr>
                <w:rFonts w:ascii="Times New Roman" w:eastAsia="MS Gothic" w:hAnsi="Times New Roman"/>
                <w:i/>
                <w:sz w:val="16"/>
                <w:szCs w:val="16"/>
                <w:lang w:eastAsia="nb-NO"/>
              </w:rPr>
            </w:pPr>
          </w:p>
        </w:tc>
        <w:tc>
          <w:tcPr>
            <w:tcW w:w="714" w:type="pct"/>
            <w:shd w:val="clear" w:color="auto" w:fill="auto"/>
            <w:vAlign w:val="center"/>
          </w:tcPr>
          <w:p w14:paraId="139E9D47" w14:textId="77777777" w:rsidR="0030630C" w:rsidRPr="007918B9" w:rsidRDefault="00391BF4" w:rsidP="007918B9">
            <w:pPr>
              <w:pStyle w:val="TCTableBody"/>
              <w:spacing w:after="0"/>
              <w:rPr>
                <w:rFonts w:ascii="Times New Roman" w:eastAsia="MS Gothic" w:hAnsi="Times New Roman"/>
                <w:sz w:val="16"/>
                <w:szCs w:val="16"/>
                <w:lang w:eastAsia="nb-NO"/>
              </w:rPr>
            </w:pPr>
            <m:oMathPara>
              <m:oMath>
                <m:sSub>
                  <m:sSubPr>
                    <m:ctrlPr>
                      <w:rPr>
                        <w:rFonts w:ascii="Cambria Math" w:eastAsia="MS Gothic" w:hAnsi="Cambria Math"/>
                        <w:i/>
                        <w:sz w:val="16"/>
                        <w:szCs w:val="16"/>
                      </w:rPr>
                    </m:ctrlPr>
                  </m:sSubPr>
                  <m:e>
                    <m:r>
                      <w:rPr>
                        <w:rFonts w:ascii="Cambria Math" w:eastAsia="MS Gothic" w:hAnsi="Cambria Math"/>
                        <w:sz w:val="16"/>
                        <w:szCs w:val="16"/>
                      </w:rPr>
                      <m:t>aq</m:t>
                    </m:r>
                  </m:e>
                  <m:sub>
                    <m:r>
                      <w:rPr>
                        <w:rFonts w:ascii="Cambria Math" w:eastAsia="MS Gothic" w:hAnsi="Cambria Math"/>
                        <w:sz w:val="16"/>
                        <w:szCs w:val="16"/>
                      </w:rPr>
                      <m:t>0.08</m:t>
                    </m:r>
                  </m:sub>
                </m:sSub>
              </m:oMath>
            </m:oMathPara>
          </w:p>
        </w:tc>
        <w:tc>
          <w:tcPr>
            <w:tcW w:w="946" w:type="pct"/>
            <w:shd w:val="clear" w:color="auto" w:fill="auto"/>
            <w:vAlign w:val="center"/>
          </w:tcPr>
          <w:p w14:paraId="470460A5"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0.524</w:t>
            </w:r>
          </w:p>
        </w:tc>
        <w:tc>
          <w:tcPr>
            <w:tcW w:w="815" w:type="pct"/>
            <w:shd w:val="clear" w:color="auto" w:fill="auto"/>
            <w:vAlign w:val="center"/>
          </w:tcPr>
          <w:p w14:paraId="0DFC6818"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0.570</w:t>
            </w:r>
          </w:p>
        </w:tc>
        <w:tc>
          <w:tcPr>
            <w:tcW w:w="949" w:type="pct"/>
            <w:shd w:val="clear" w:color="auto" w:fill="auto"/>
            <w:vAlign w:val="center"/>
          </w:tcPr>
          <w:p w14:paraId="27322581"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0.872</w:t>
            </w:r>
          </w:p>
        </w:tc>
        <w:tc>
          <w:tcPr>
            <w:tcW w:w="735" w:type="pct"/>
            <w:shd w:val="clear" w:color="auto" w:fill="auto"/>
            <w:vAlign w:val="center"/>
          </w:tcPr>
          <w:p w14:paraId="49D595F6"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0.887</w:t>
            </w:r>
          </w:p>
        </w:tc>
      </w:tr>
      <w:tr w:rsidR="0030630C" w:rsidRPr="007918B9" w14:paraId="0E8B62EA" w14:textId="77777777" w:rsidTr="007918B9">
        <w:trPr>
          <w:trHeight w:val="244"/>
        </w:trPr>
        <w:tc>
          <w:tcPr>
            <w:tcW w:w="840" w:type="pct"/>
          </w:tcPr>
          <w:p w14:paraId="31010F6B" w14:textId="77777777" w:rsidR="0030630C" w:rsidRPr="007918B9" w:rsidRDefault="0030630C" w:rsidP="007918B9">
            <w:pPr>
              <w:pStyle w:val="TCTableBody"/>
              <w:spacing w:after="0"/>
              <w:rPr>
                <w:rFonts w:ascii="Times New Roman" w:eastAsia="MS Gothic" w:hAnsi="Times New Roman"/>
                <w:i/>
                <w:sz w:val="16"/>
                <w:szCs w:val="16"/>
                <w:lang w:eastAsia="nb-NO"/>
              </w:rPr>
            </w:pPr>
            <w:r w:rsidRPr="007918B9">
              <w:rPr>
                <w:rFonts w:ascii="Times New Roman" w:eastAsia="MS Gothic" w:hAnsi="Times New Roman"/>
                <w:i/>
                <w:sz w:val="16"/>
                <w:szCs w:val="16"/>
                <w:lang w:eastAsia="nb-NO"/>
              </w:rPr>
              <w:t>STY</w:t>
            </w:r>
          </w:p>
        </w:tc>
        <w:tc>
          <w:tcPr>
            <w:tcW w:w="714" w:type="pct"/>
            <w:shd w:val="clear" w:color="auto" w:fill="auto"/>
            <w:vAlign w:val="center"/>
          </w:tcPr>
          <w:p w14:paraId="10B93FC2" w14:textId="77777777" w:rsidR="0030630C" w:rsidRPr="007918B9" w:rsidRDefault="00391BF4" w:rsidP="007918B9">
            <w:pPr>
              <w:pStyle w:val="TCTableBody"/>
              <w:spacing w:after="0"/>
              <w:rPr>
                <w:rFonts w:ascii="Times New Roman" w:eastAsia="MS Gothic" w:hAnsi="Times New Roman"/>
                <w:i/>
                <w:sz w:val="16"/>
                <w:szCs w:val="16"/>
              </w:rPr>
            </w:pPr>
            <m:oMathPara>
              <m:oMath>
                <m:sSub>
                  <m:sSubPr>
                    <m:ctrlPr>
                      <w:rPr>
                        <w:rFonts w:ascii="Cambria Math" w:eastAsia="MS Gothic" w:hAnsi="Cambria Math"/>
                        <w:i/>
                        <w:sz w:val="16"/>
                        <w:szCs w:val="16"/>
                      </w:rPr>
                    </m:ctrlPr>
                  </m:sSubPr>
                  <m:e>
                    <m:r>
                      <w:rPr>
                        <w:rFonts w:ascii="Cambria Math" w:eastAsia="MS Gothic" w:hAnsi="Cambria Math"/>
                        <w:sz w:val="16"/>
                        <w:szCs w:val="16"/>
                      </w:rPr>
                      <m:t>aq</m:t>
                    </m:r>
                  </m:e>
                  <m:sub>
                    <m:r>
                      <w:rPr>
                        <w:rFonts w:ascii="Cambria Math" w:eastAsia="MS Gothic" w:hAnsi="Cambria Math"/>
                        <w:sz w:val="16"/>
                        <w:szCs w:val="16"/>
                      </w:rPr>
                      <m:t>0.02</m:t>
                    </m:r>
                  </m:sub>
                </m:sSub>
              </m:oMath>
            </m:oMathPara>
          </w:p>
        </w:tc>
        <w:tc>
          <w:tcPr>
            <w:tcW w:w="946" w:type="pct"/>
            <w:shd w:val="clear" w:color="auto" w:fill="auto"/>
            <w:vAlign w:val="center"/>
          </w:tcPr>
          <w:p w14:paraId="2DCFBEAF"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0.319</w:t>
            </w:r>
          </w:p>
        </w:tc>
        <w:tc>
          <w:tcPr>
            <w:tcW w:w="815" w:type="pct"/>
            <w:shd w:val="clear" w:color="auto" w:fill="auto"/>
            <w:vAlign w:val="center"/>
          </w:tcPr>
          <w:p w14:paraId="15D304D0"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0.391</w:t>
            </w:r>
          </w:p>
        </w:tc>
        <w:tc>
          <w:tcPr>
            <w:tcW w:w="949" w:type="pct"/>
            <w:shd w:val="clear" w:color="auto" w:fill="auto"/>
            <w:vAlign w:val="center"/>
          </w:tcPr>
          <w:p w14:paraId="5B6C4CBE"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0.536</w:t>
            </w:r>
          </w:p>
        </w:tc>
        <w:tc>
          <w:tcPr>
            <w:tcW w:w="735" w:type="pct"/>
            <w:shd w:val="clear" w:color="auto" w:fill="auto"/>
            <w:vAlign w:val="center"/>
          </w:tcPr>
          <w:p w14:paraId="64C9032B"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0.586</w:t>
            </w:r>
          </w:p>
        </w:tc>
      </w:tr>
      <w:tr w:rsidR="0030630C" w:rsidRPr="007918B9" w14:paraId="3090B50F" w14:textId="77777777" w:rsidTr="007918B9">
        <w:trPr>
          <w:trHeight w:val="231"/>
        </w:trPr>
        <w:tc>
          <w:tcPr>
            <w:tcW w:w="840" w:type="pct"/>
          </w:tcPr>
          <w:p w14:paraId="145E59C4" w14:textId="77777777" w:rsidR="0030630C" w:rsidRPr="007918B9" w:rsidRDefault="0030630C" w:rsidP="007918B9">
            <w:pPr>
              <w:pStyle w:val="TCTableBody"/>
              <w:spacing w:after="0"/>
              <w:rPr>
                <w:rFonts w:ascii="Times New Roman" w:eastAsia="MS Gothic" w:hAnsi="Times New Roman"/>
                <w:i/>
                <w:sz w:val="16"/>
                <w:szCs w:val="16"/>
                <w:lang w:eastAsia="nb-NO"/>
              </w:rPr>
            </w:pPr>
          </w:p>
        </w:tc>
        <w:tc>
          <w:tcPr>
            <w:tcW w:w="714" w:type="pct"/>
            <w:shd w:val="clear" w:color="auto" w:fill="auto"/>
            <w:vAlign w:val="center"/>
          </w:tcPr>
          <w:p w14:paraId="02A674DF" w14:textId="77777777" w:rsidR="0030630C" w:rsidRPr="007918B9" w:rsidRDefault="00391BF4" w:rsidP="007918B9">
            <w:pPr>
              <w:pStyle w:val="TCTableBody"/>
              <w:spacing w:after="0"/>
              <w:rPr>
                <w:rFonts w:ascii="Times New Roman" w:eastAsia="MS Gothic" w:hAnsi="Times New Roman"/>
                <w:i/>
                <w:sz w:val="16"/>
                <w:szCs w:val="16"/>
              </w:rPr>
            </w:pPr>
            <m:oMathPara>
              <m:oMath>
                <m:sSub>
                  <m:sSubPr>
                    <m:ctrlPr>
                      <w:rPr>
                        <w:rFonts w:ascii="Cambria Math" w:eastAsia="MS Gothic" w:hAnsi="Cambria Math"/>
                        <w:i/>
                        <w:sz w:val="16"/>
                        <w:szCs w:val="16"/>
                      </w:rPr>
                    </m:ctrlPr>
                  </m:sSubPr>
                  <m:e>
                    <m:r>
                      <w:rPr>
                        <w:rFonts w:ascii="Cambria Math" w:eastAsia="MS Gothic" w:hAnsi="Cambria Math"/>
                        <w:sz w:val="16"/>
                        <w:szCs w:val="16"/>
                      </w:rPr>
                      <m:t>aq</m:t>
                    </m:r>
                  </m:e>
                  <m:sub>
                    <m:r>
                      <w:rPr>
                        <w:rFonts w:ascii="Cambria Math" w:eastAsia="MS Gothic" w:hAnsi="Cambria Math"/>
                        <w:sz w:val="16"/>
                        <w:szCs w:val="16"/>
                      </w:rPr>
                      <m:t>0.08</m:t>
                    </m:r>
                  </m:sub>
                </m:sSub>
              </m:oMath>
            </m:oMathPara>
          </w:p>
        </w:tc>
        <w:tc>
          <w:tcPr>
            <w:tcW w:w="946" w:type="pct"/>
            <w:shd w:val="clear" w:color="auto" w:fill="auto"/>
            <w:vAlign w:val="center"/>
          </w:tcPr>
          <w:p w14:paraId="46DE391F"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0.439</w:t>
            </w:r>
          </w:p>
        </w:tc>
        <w:tc>
          <w:tcPr>
            <w:tcW w:w="815" w:type="pct"/>
            <w:shd w:val="clear" w:color="auto" w:fill="auto"/>
            <w:vAlign w:val="center"/>
          </w:tcPr>
          <w:p w14:paraId="56423740"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0.511</w:t>
            </w:r>
          </w:p>
        </w:tc>
        <w:tc>
          <w:tcPr>
            <w:tcW w:w="949" w:type="pct"/>
            <w:shd w:val="clear" w:color="auto" w:fill="auto"/>
            <w:vAlign w:val="center"/>
          </w:tcPr>
          <w:p w14:paraId="454E6CB0"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0.764</w:t>
            </w:r>
          </w:p>
        </w:tc>
        <w:tc>
          <w:tcPr>
            <w:tcW w:w="735" w:type="pct"/>
            <w:shd w:val="clear" w:color="auto" w:fill="auto"/>
            <w:vAlign w:val="center"/>
          </w:tcPr>
          <w:p w14:paraId="6CAC7EFE" w14:textId="77777777" w:rsidR="0030630C" w:rsidRPr="007918B9" w:rsidRDefault="0030630C" w:rsidP="007918B9">
            <w:pPr>
              <w:pStyle w:val="TCTableBody"/>
              <w:spacing w:after="0"/>
              <w:jc w:val="center"/>
              <w:rPr>
                <w:rFonts w:ascii="Times New Roman" w:eastAsia="MS Gothic" w:hAnsi="Times New Roman"/>
                <w:sz w:val="16"/>
                <w:szCs w:val="16"/>
                <w:lang w:eastAsia="nb-NO"/>
              </w:rPr>
            </w:pPr>
            <w:r w:rsidRPr="007918B9">
              <w:rPr>
                <w:rFonts w:ascii="Times New Roman" w:eastAsia="MS Gothic" w:hAnsi="Times New Roman"/>
                <w:sz w:val="16"/>
                <w:szCs w:val="16"/>
                <w:lang w:eastAsia="nb-NO"/>
              </w:rPr>
              <w:t>0.801</w:t>
            </w:r>
          </w:p>
        </w:tc>
      </w:tr>
    </w:tbl>
    <w:p w14:paraId="3A7ED1BF" w14:textId="77777777" w:rsidR="0030630C" w:rsidRPr="00EF704A" w:rsidRDefault="0030630C" w:rsidP="00D71DA3">
      <w:pPr>
        <w:pStyle w:val="TAMainText"/>
      </w:pPr>
    </w:p>
    <w:p w14:paraId="2E41694D" w14:textId="77777777" w:rsidR="0030630C" w:rsidRDefault="0030630C" w:rsidP="009C129D">
      <w:pPr>
        <w:pStyle w:val="SNSynopsisTOC"/>
        <w:rPr>
          <w:rFonts w:ascii="New York" w:hAnsi="New York"/>
        </w:rPr>
        <w:sectPr w:rsidR="0030630C" w:rsidSect="00D835CA">
          <w:pgSz w:w="12240" w:h="15840"/>
          <w:pgMar w:top="720" w:right="1094" w:bottom="720" w:left="1094" w:header="720" w:footer="720" w:gutter="0"/>
          <w:cols w:space="461"/>
        </w:sectPr>
      </w:pPr>
    </w:p>
    <w:p w14:paraId="1E716B71" w14:textId="77777777" w:rsidR="0030630C" w:rsidRDefault="0030630C" w:rsidP="009C129D">
      <w:pPr>
        <w:pStyle w:val="SNSynopsisTOC"/>
        <w:rPr>
          <w:rFonts w:ascii="New York" w:hAnsi="New York"/>
          <w:b/>
        </w:rPr>
      </w:pPr>
      <w:r w:rsidRPr="00C57A25">
        <w:rPr>
          <w:rFonts w:ascii="New York" w:hAnsi="New York"/>
          <w:b/>
        </w:rPr>
        <w:lastRenderedPageBreak/>
        <w:t>For TOC only</w:t>
      </w:r>
    </w:p>
    <w:p w14:paraId="003397EF" w14:textId="77777777" w:rsidR="0030630C" w:rsidRPr="00C57A25" w:rsidRDefault="0030630C" w:rsidP="009C129D">
      <w:pPr>
        <w:pStyle w:val="SNSynopsisTOC"/>
        <w:rPr>
          <w:rFonts w:ascii="New York" w:hAnsi="New York"/>
          <w:b/>
        </w:rPr>
      </w:pPr>
    </w:p>
    <w:p w14:paraId="5658630C" w14:textId="77777777" w:rsidR="0030630C" w:rsidRDefault="0030630C" w:rsidP="009C129D">
      <w:pPr>
        <w:pStyle w:val="SNSynopsisTOC"/>
        <w:rPr>
          <w:rFonts w:ascii="New York" w:hAnsi="New York"/>
        </w:rPr>
      </w:pPr>
      <w:r w:rsidRPr="00C57A25">
        <w:rPr>
          <w:noProof/>
          <w:lang w:val="en-GB" w:eastAsia="en-GB"/>
        </w:rPr>
        <w:drawing>
          <wp:inline distT="0" distB="0" distL="0" distR="0" wp14:anchorId="62C5574B" wp14:editId="47B2BF6C">
            <wp:extent cx="28575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17DC982F" w14:textId="77777777" w:rsidR="004151E9" w:rsidRDefault="00391BF4"/>
    <w:sectPr w:rsidR="004151E9" w:rsidSect="00D835CA">
      <w:headerReference w:type="even" r:id="rId16"/>
      <w:footerReference w:type="even" r:id="rId17"/>
      <w:footerReference w:type="default" r:id="rId18"/>
      <w:pgSz w:w="12240" w:h="15840"/>
      <w:pgMar w:top="720" w:right="1094" w:bottom="72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166AE" w14:textId="77777777" w:rsidR="00391BF4" w:rsidRDefault="00391BF4">
      <w:pPr>
        <w:spacing w:after="0"/>
      </w:pPr>
      <w:r>
        <w:separator/>
      </w:r>
    </w:p>
  </w:endnote>
  <w:endnote w:type="continuationSeparator" w:id="0">
    <w:p w14:paraId="2BE3EB02" w14:textId="77777777" w:rsidR="00391BF4" w:rsidRDefault="00391B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Light">
    <w:altName w:val="Corbel"/>
    <w:panose1 w:val="00000000000000000000"/>
    <w:charset w:val="00"/>
    <w:family w:val="swiss"/>
    <w:notTrueType/>
    <w:pitch w:val="variable"/>
    <w:sig w:usb0="20000287"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New York">
    <w:altName w:val="Times New Roman"/>
    <w:panose1 w:val="02040503060506020304"/>
    <w:charset w:val="4D"/>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80CA" w14:textId="77777777" w:rsidR="00C12176" w:rsidRDefault="003063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D6C7C1" w14:textId="77777777" w:rsidR="00C12176" w:rsidRDefault="00391BF4">
    <w:pPr>
      <w:pStyle w:val="Footer"/>
      <w:ind w:right="360"/>
    </w:pPr>
  </w:p>
  <w:p w14:paraId="10BA396B" w14:textId="77777777" w:rsidR="00C12176" w:rsidRDefault="00391B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63D47" w14:textId="4E993D8A" w:rsidR="00C12176" w:rsidRDefault="003063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1D8B">
      <w:rPr>
        <w:rStyle w:val="PageNumber"/>
        <w:noProof/>
      </w:rPr>
      <w:t>10</w:t>
    </w:r>
    <w:r>
      <w:rPr>
        <w:rStyle w:val="PageNumber"/>
      </w:rPr>
      <w:fldChar w:fldCharType="end"/>
    </w:r>
  </w:p>
  <w:p w14:paraId="5369C7C0" w14:textId="77777777" w:rsidR="00C12176" w:rsidRDefault="00391BF4">
    <w:pPr>
      <w:pStyle w:val="Footer"/>
      <w:ind w:right="360"/>
    </w:pPr>
  </w:p>
  <w:p w14:paraId="1C20ED5D" w14:textId="77777777" w:rsidR="00C12176" w:rsidRDefault="00391B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5B5A2" w14:textId="77777777" w:rsidR="00C12176" w:rsidRDefault="00391B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77DB6" w14:textId="77777777" w:rsidR="00C12176" w:rsidRDefault="00391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5D0C5" w14:textId="77777777" w:rsidR="00391BF4" w:rsidRDefault="00391BF4">
      <w:pPr>
        <w:spacing w:after="0"/>
      </w:pPr>
      <w:r>
        <w:separator/>
      </w:r>
    </w:p>
  </w:footnote>
  <w:footnote w:type="continuationSeparator" w:id="0">
    <w:p w14:paraId="30E7E45B" w14:textId="77777777" w:rsidR="00391BF4" w:rsidRDefault="00391B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70A5" w14:textId="77777777" w:rsidR="00C12176" w:rsidRDefault="00391B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DAA1F" w14:textId="77777777" w:rsidR="00C12176" w:rsidRDefault="00391B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48664" w14:textId="77777777" w:rsidR="00C12176" w:rsidRDefault="00391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D1E44"/>
    <w:multiLevelType w:val="hybridMultilevel"/>
    <w:tmpl w:val="22545A4A"/>
    <w:lvl w:ilvl="0" w:tplc="B652F3AE">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27822"/>
    <w:multiLevelType w:val="hybridMultilevel"/>
    <w:tmpl w:val="5274BC6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254A7F"/>
    <w:multiLevelType w:val="hybridMultilevel"/>
    <w:tmpl w:val="AF387786"/>
    <w:lvl w:ilvl="0" w:tplc="6EB81714">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165811"/>
    <w:multiLevelType w:val="hybridMultilevel"/>
    <w:tmpl w:val="912CD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4E420517"/>
    <w:multiLevelType w:val="hybridMultilevel"/>
    <w:tmpl w:val="FE48A334"/>
    <w:lvl w:ilvl="0" w:tplc="528A0534">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3" w15:restartNumberingAfterBreak="0">
    <w:nsid w:val="748905E3"/>
    <w:multiLevelType w:val="hybridMultilevel"/>
    <w:tmpl w:val="4BA0A4DE"/>
    <w:lvl w:ilvl="0" w:tplc="F6C8E86E">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num w:numId="1">
    <w:abstractNumId w:val="10"/>
  </w:num>
  <w:num w:numId="2">
    <w:abstractNumId w:val="7"/>
  </w:num>
  <w:num w:numId="3">
    <w:abstractNumId w:val="11"/>
  </w:num>
  <w:num w:numId="4">
    <w:abstractNumId w:val="9"/>
  </w:num>
  <w:num w:numId="5">
    <w:abstractNumId w:val="5"/>
  </w:num>
  <w:num w:numId="6">
    <w:abstractNumId w:val="4"/>
  </w:num>
  <w:num w:numId="7">
    <w:abstractNumId w:val="13"/>
  </w:num>
  <w:num w:numId="8">
    <w:abstractNumId w:val="12"/>
  </w:num>
  <w:num w:numId="9">
    <w:abstractNumId w:val="6"/>
  </w:num>
  <w:num w:numId="10">
    <w:abstractNumId w:val="0"/>
  </w:num>
  <w:num w:numId="11">
    <w:abstractNumId w:val="8"/>
  </w:num>
  <w:num w:numId="12">
    <w:abstractNumId w:val="2"/>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0630C"/>
    <w:rsid w:val="000B765B"/>
    <w:rsid w:val="0030630C"/>
    <w:rsid w:val="00391BF4"/>
    <w:rsid w:val="006757AF"/>
    <w:rsid w:val="00941D8B"/>
    <w:rsid w:val="009C7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2CAD3"/>
  <w15:chartTrackingRefBased/>
  <w15:docId w15:val="{610D1055-CD70-4E0A-91F9-4493C0E8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0630C"/>
    <w:pPr>
      <w:spacing w:after="200"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qFormat/>
    <w:rsid w:val="0030630C"/>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30630C"/>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30630C"/>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630C"/>
    <w:rPr>
      <w:rFonts w:ascii="Myriad Pro Light" w:eastAsia="Times New Roman" w:hAnsi="Myriad Pro Light" w:cs="Arial"/>
      <w:b/>
      <w:bCs/>
      <w:kern w:val="32"/>
      <w:szCs w:val="32"/>
      <w:lang w:val="en-US"/>
    </w:rPr>
  </w:style>
  <w:style w:type="character" w:customStyle="1" w:styleId="Heading2Char">
    <w:name w:val="Heading 2 Char"/>
    <w:basedOn w:val="DefaultParagraphFont"/>
    <w:link w:val="Heading2"/>
    <w:rsid w:val="0030630C"/>
    <w:rPr>
      <w:rFonts w:ascii="Myriad Pro Light" w:eastAsia="Times New Roman" w:hAnsi="Myriad Pro Light" w:cs="Arial"/>
      <w:b/>
      <w:bCs/>
      <w:iCs/>
      <w:sz w:val="20"/>
      <w:szCs w:val="28"/>
      <w:lang w:val="en-US"/>
    </w:rPr>
  </w:style>
  <w:style w:type="character" w:customStyle="1" w:styleId="Heading3Char">
    <w:name w:val="Heading 3 Char"/>
    <w:basedOn w:val="DefaultParagraphFont"/>
    <w:link w:val="Heading3"/>
    <w:rsid w:val="0030630C"/>
    <w:rPr>
      <w:rFonts w:ascii="Myriad Pro Light" w:eastAsia="Times New Roman" w:hAnsi="Myriad Pro Light" w:cs="Arial"/>
      <w:b/>
      <w:bCs/>
      <w:sz w:val="20"/>
      <w:szCs w:val="26"/>
      <w:lang w:val="en-US"/>
    </w:rPr>
  </w:style>
  <w:style w:type="character" w:styleId="FollowedHyperlink">
    <w:name w:val="FollowedHyperlink"/>
    <w:rsid w:val="0030630C"/>
    <w:rPr>
      <w:color w:val="800080"/>
      <w:u w:val="single"/>
    </w:rPr>
  </w:style>
  <w:style w:type="paragraph" w:styleId="BodyText">
    <w:name w:val="Body Text"/>
    <w:basedOn w:val="Normal"/>
    <w:link w:val="BodyTextChar"/>
    <w:rsid w:val="0030630C"/>
    <w:pPr>
      <w:jc w:val="center"/>
    </w:pPr>
    <w:rPr>
      <w:b/>
      <w:sz w:val="40"/>
    </w:rPr>
  </w:style>
  <w:style w:type="character" w:customStyle="1" w:styleId="BodyTextChar">
    <w:name w:val="Body Text Char"/>
    <w:basedOn w:val="DefaultParagraphFont"/>
    <w:link w:val="BodyText"/>
    <w:rsid w:val="0030630C"/>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30630C"/>
  </w:style>
  <w:style w:type="character" w:customStyle="1" w:styleId="FootnoteTextChar">
    <w:name w:val="Footnote Text Char"/>
    <w:basedOn w:val="DefaultParagraphFont"/>
    <w:link w:val="FootnoteText"/>
    <w:semiHidden/>
    <w:rsid w:val="0030630C"/>
    <w:rPr>
      <w:rFonts w:ascii="Times" w:eastAsia="Times New Roman" w:hAnsi="Times" w:cs="Times New Roman"/>
      <w:sz w:val="24"/>
      <w:szCs w:val="20"/>
      <w:lang w:val="en-US"/>
    </w:rPr>
  </w:style>
  <w:style w:type="paragraph" w:customStyle="1" w:styleId="TFReferencesSection">
    <w:name w:val="TF_References_Section"/>
    <w:basedOn w:val="Normal"/>
    <w:rsid w:val="0030630C"/>
    <w:pPr>
      <w:spacing w:line="480" w:lineRule="auto"/>
      <w:ind w:firstLine="187"/>
    </w:pPr>
  </w:style>
  <w:style w:type="paragraph" w:customStyle="1" w:styleId="TAMainText">
    <w:name w:val="TA_Main_Text"/>
    <w:basedOn w:val="Normal"/>
    <w:link w:val="TAMainTextChar"/>
    <w:rsid w:val="0030630C"/>
    <w:pPr>
      <w:spacing w:after="0" w:line="480" w:lineRule="auto"/>
      <w:ind w:firstLine="202"/>
    </w:pPr>
  </w:style>
  <w:style w:type="paragraph" w:customStyle="1" w:styleId="BATitle">
    <w:name w:val="BA_Title"/>
    <w:basedOn w:val="Normal"/>
    <w:next w:val="BBAuthorName"/>
    <w:rsid w:val="0030630C"/>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30630C"/>
    <w:pPr>
      <w:spacing w:after="240" w:line="480" w:lineRule="auto"/>
      <w:jc w:val="center"/>
    </w:pPr>
    <w:rPr>
      <w:i/>
    </w:rPr>
  </w:style>
  <w:style w:type="paragraph" w:customStyle="1" w:styleId="BCAuthorAddress">
    <w:name w:val="BC_Author_Address"/>
    <w:basedOn w:val="Normal"/>
    <w:next w:val="BIEmailAddress"/>
    <w:rsid w:val="0030630C"/>
    <w:pPr>
      <w:spacing w:after="240" w:line="480" w:lineRule="auto"/>
      <w:jc w:val="center"/>
    </w:pPr>
  </w:style>
  <w:style w:type="paragraph" w:customStyle="1" w:styleId="BIEmailAddress">
    <w:name w:val="BI_Email_Address"/>
    <w:basedOn w:val="Normal"/>
    <w:next w:val="AIReceivedDate"/>
    <w:rsid w:val="0030630C"/>
    <w:pPr>
      <w:spacing w:line="480" w:lineRule="auto"/>
    </w:pPr>
  </w:style>
  <w:style w:type="paragraph" w:customStyle="1" w:styleId="AIReceivedDate">
    <w:name w:val="AI_Received_Date"/>
    <w:basedOn w:val="Normal"/>
    <w:next w:val="BDAbstract"/>
    <w:rsid w:val="0030630C"/>
    <w:pPr>
      <w:spacing w:after="240" w:line="480" w:lineRule="auto"/>
    </w:pPr>
    <w:rPr>
      <w:b/>
    </w:rPr>
  </w:style>
  <w:style w:type="paragraph" w:customStyle="1" w:styleId="BDAbstract">
    <w:name w:val="BD_Abstract"/>
    <w:basedOn w:val="Normal"/>
    <w:next w:val="TAMainText"/>
    <w:link w:val="BDAbstractChar"/>
    <w:rsid w:val="0030630C"/>
    <w:pPr>
      <w:spacing w:before="360" w:after="360" w:line="480" w:lineRule="auto"/>
    </w:pPr>
  </w:style>
  <w:style w:type="paragraph" w:customStyle="1" w:styleId="TDAcknowledgments">
    <w:name w:val="TD_Acknowledgments"/>
    <w:basedOn w:val="Normal"/>
    <w:next w:val="Normal"/>
    <w:link w:val="TDAcknowledgmentsChar"/>
    <w:rsid w:val="0030630C"/>
    <w:pPr>
      <w:spacing w:before="200" w:line="480" w:lineRule="auto"/>
      <w:ind w:firstLine="202"/>
    </w:pPr>
  </w:style>
  <w:style w:type="paragraph" w:customStyle="1" w:styleId="TESupportingInformation">
    <w:name w:val="TE_Supporting_Information"/>
    <w:basedOn w:val="Normal"/>
    <w:next w:val="Normal"/>
    <w:rsid w:val="0030630C"/>
    <w:pPr>
      <w:spacing w:line="480" w:lineRule="auto"/>
      <w:ind w:firstLine="187"/>
    </w:pPr>
  </w:style>
  <w:style w:type="paragraph" w:customStyle="1" w:styleId="VCSchemeTitle">
    <w:name w:val="VC_Scheme_Title"/>
    <w:basedOn w:val="Normal"/>
    <w:next w:val="Normal"/>
    <w:rsid w:val="0030630C"/>
    <w:pPr>
      <w:spacing w:line="480" w:lineRule="auto"/>
    </w:pPr>
  </w:style>
  <w:style w:type="paragraph" w:customStyle="1" w:styleId="VDTableTitle">
    <w:name w:val="VD_Table_Title"/>
    <w:basedOn w:val="Normal"/>
    <w:next w:val="Normal"/>
    <w:rsid w:val="0030630C"/>
    <w:pPr>
      <w:spacing w:line="480" w:lineRule="auto"/>
    </w:pPr>
  </w:style>
  <w:style w:type="paragraph" w:customStyle="1" w:styleId="VAFigureCaption">
    <w:name w:val="VA_Figure_Caption"/>
    <w:basedOn w:val="Normal"/>
    <w:next w:val="Normal"/>
    <w:rsid w:val="0030630C"/>
    <w:pPr>
      <w:spacing w:line="480" w:lineRule="auto"/>
    </w:pPr>
  </w:style>
  <w:style w:type="paragraph" w:customStyle="1" w:styleId="VBChartTitle">
    <w:name w:val="VB_Chart_Title"/>
    <w:basedOn w:val="Normal"/>
    <w:next w:val="Normal"/>
    <w:rsid w:val="0030630C"/>
    <w:pPr>
      <w:spacing w:line="480" w:lineRule="auto"/>
    </w:pPr>
  </w:style>
  <w:style w:type="paragraph" w:customStyle="1" w:styleId="FETableFootnote">
    <w:name w:val="FE_Table_Footnote"/>
    <w:basedOn w:val="Normal"/>
    <w:next w:val="Normal"/>
    <w:rsid w:val="0030630C"/>
    <w:pPr>
      <w:ind w:firstLine="187"/>
    </w:pPr>
  </w:style>
  <w:style w:type="paragraph" w:customStyle="1" w:styleId="FCChartFootnote">
    <w:name w:val="FC_Chart_Footnote"/>
    <w:basedOn w:val="Normal"/>
    <w:next w:val="Normal"/>
    <w:rsid w:val="0030630C"/>
    <w:pPr>
      <w:ind w:firstLine="187"/>
    </w:pPr>
  </w:style>
  <w:style w:type="paragraph" w:customStyle="1" w:styleId="FDSchemeFootnote">
    <w:name w:val="FD_Scheme_Footnote"/>
    <w:basedOn w:val="Normal"/>
    <w:next w:val="Normal"/>
    <w:rsid w:val="0030630C"/>
    <w:pPr>
      <w:ind w:firstLine="187"/>
    </w:pPr>
  </w:style>
  <w:style w:type="paragraph" w:customStyle="1" w:styleId="TCTableBody">
    <w:name w:val="TC_Table_Body"/>
    <w:basedOn w:val="Normal"/>
    <w:link w:val="TCTableBodyChar"/>
    <w:rsid w:val="0030630C"/>
  </w:style>
  <w:style w:type="paragraph" w:customStyle="1" w:styleId="StyleFACorrespondingAuthorFootnote7pt">
    <w:name w:val="Style FA_Corresponding_Author_Footnote + 7 pt"/>
    <w:basedOn w:val="Normal"/>
    <w:next w:val="BGKeywords"/>
    <w:link w:val="StyleFACorrespondingAuthorFootnote7ptChar"/>
    <w:autoRedefine/>
    <w:rsid w:val="0030630C"/>
    <w:pPr>
      <w:spacing w:after="0"/>
      <w:jc w:val="left"/>
    </w:pPr>
    <w:rPr>
      <w:rFonts w:ascii="Arno Pro" w:hAnsi="Arno Pro"/>
      <w:kern w:val="20"/>
      <w:sz w:val="18"/>
    </w:rPr>
  </w:style>
  <w:style w:type="paragraph" w:customStyle="1" w:styleId="BEAuthorBiography">
    <w:name w:val="BE_Author_Biography"/>
    <w:basedOn w:val="Normal"/>
    <w:rsid w:val="0030630C"/>
    <w:pPr>
      <w:spacing w:line="480" w:lineRule="auto"/>
    </w:pPr>
  </w:style>
  <w:style w:type="paragraph" w:customStyle="1" w:styleId="StyleBIEmailAddress95pt">
    <w:name w:val="Style BI_Email_Address + 9.5 pt"/>
    <w:basedOn w:val="BIEmailAddress"/>
    <w:rsid w:val="0030630C"/>
    <w:pPr>
      <w:spacing w:after="60"/>
    </w:pPr>
    <w:rPr>
      <w:sz w:val="19"/>
    </w:rPr>
  </w:style>
  <w:style w:type="paragraph" w:customStyle="1" w:styleId="SNSynopsisTOC">
    <w:name w:val="SN_Synopsis_TOC"/>
    <w:basedOn w:val="Normal"/>
    <w:rsid w:val="0030630C"/>
    <w:pPr>
      <w:spacing w:line="480" w:lineRule="auto"/>
    </w:pPr>
  </w:style>
  <w:style w:type="character" w:styleId="Hyperlink">
    <w:name w:val="Hyperlink"/>
    <w:rsid w:val="0030630C"/>
    <w:rPr>
      <w:color w:val="0000FF"/>
      <w:u w:val="single"/>
    </w:rPr>
  </w:style>
  <w:style w:type="paragraph" w:styleId="Footer">
    <w:name w:val="footer"/>
    <w:basedOn w:val="Normal"/>
    <w:link w:val="FooterChar"/>
    <w:rsid w:val="0030630C"/>
    <w:pPr>
      <w:tabs>
        <w:tab w:val="center" w:pos="4320"/>
        <w:tab w:val="right" w:pos="8640"/>
      </w:tabs>
    </w:pPr>
  </w:style>
  <w:style w:type="character" w:customStyle="1" w:styleId="FooterChar">
    <w:name w:val="Footer Char"/>
    <w:basedOn w:val="DefaultParagraphFont"/>
    <w:link w:val="Footer"/>
    <w:rsid w:val="0030630C"/>
    <w:rPr>
      <w:rFonts w:ascii="Times" w:eastAsia="Times New Roman" w:hAnsi="Times" w:cs="Times New Roman"/>
      <w:sz w:val="24"/>
      <w:szCs w:val="20"/>
      <w:lang w:val="en-US"/>
    </w:rPr>
  </w:style>
  <w:style w:type="paragraph" w:customStyle="1" w:styleId="BGKeywords">
    <w:name w:val="BG_Keywords"/>
    <w:basedOn w:val="Normal"/>
    <w:rsid w:val="0030630C"/>
    <w:pPr>
      <w:spacing w:line="480" w:lineRule="auto"/>
    </w:pPr>
  </w:style>
  <w:style w:type="paragraph" w:customStyle="1" w:styleId="BHBriefs">
    <w:name w:val="BH_Briefs"/>
    <w:basedOn w:val="Normal"/>
    <w:rsid w:val="0030630C"/>
    <w:pPr>
      <w:spacing w:line="480" w:lineRule="auto"/>
    </w:pPr>
  </w:style>
  <w:style w:type="character" w:styleId="PageNumber">
    <w:name w:val="page number"/>
    <w:basedOn w:val="DefaultParagraphFont"/>
    <w:rsid w:val="0030630C"/>
  </w:style>
  <w:style w:type="paragraph" w:styleId="BalloonText">
    <w:name w:val="Balloon Text"/>
    <w:basedOn w:val="Normal"/>
    <w:link w:val="BalloonTextChar"/>
    <w:semiHidden/>
    <w:rsid w:val="0030630C"/>
    <w:rPr>
      <w:rFonts w:ascii="Tahoma" w:hAnsi="Tahoma" w:cs="Tahoma"/>
      <w:sz w:val="16"/>
      <w:szCs w:val="16"/>
    </w:rPr>
  </w:style>
  <w:style w:type="character" w:customStyle="1" w:styleId="BalloonTextChar">
    <w:name w:val="Balloon Text Char"/>
    <w:basedOn w:val="DefaultParagraphFont"/>
    <w:link w:val="BalloonText"/>
    <w:semiHidden/>
    <w:rsid w:val="0030630C"/>
    <w:rPr>
      <w:rFonts w:ascii="Tahoma" w:eastAsia="Times New Roman" w:hAnsi="Tahoma" w:cs="Tahoma"/>
      <w:sz w:val="16"/>
      <w:szCs w:val="16"/>
      <w:lang w:val="en-US"/>
    </w:rPr>
  </w:style>
  <w:style w:type="character" w:styleId="EndnoteReference">
    <w:name w:val="endnote reference"/>
    <w:semiHidden/>
    <w:rsid w:val="0030630C"/>
    <w:rPr>
      <w:rFonts w:ascii="Times" w:hAnsi="Times"/>
      <w:sz w:val="18"/>
      <w:vertAlign w:val="superscript"/>
    </w:rPr>
  </w:style>
  <w:style w:type="paragraph" w:customStyle="1" w:styleId="StyleTCTableBodyBold">
    <w:name w:val="Style TC_Table_Body + Bold"/>
    <w:basedOn w:val="TCTableBody"/>
    <w:link w:val="StyleTCTableBodyBoldChar"/>
    <w:rsid w:val="0030630C"/>
    <w:rPr>
      <w:b/>
      <w:bCs/>
      <w:kern w:val="22"/>
      <w:sz w:val="15"/>
    </w:rPr>
  </w:style>
  <w:style w:type="character" w:customStyle="1" w:styleId="StyleFACorrespondingAuthorFootnote7ptChar">
    <w:name w:val="Style FA_Corresponding_Author_Footnote + 7 pt Char"/>
    <w:link w:val="StyleFACorrespondingAuthorFootnote7pt"/>
    <w:rsid w:val="0030630C"/>
    <w:rPr>
      <w:rFonts w:ascii="Arno Pro" w:eastAsia="Times New Roman" w:hAnsi="Arno Pro" w:cs="Times New Roman"/>
      <w:kern w:val="20"/>
      <w:sz w:val="18"/>
      <w:szCs w:val="20"/>
      <w:lang w:val="en-US"/>
    </w:rPr>
  </w:style>
  <w:style w:type="paragraph" w:customStyle="1" w:styleId="BDAbstractTitle">
    <w:name w:val="BD_Abstract_Title"/>
    <w:basedOn w:val="BDAbstract"/>
    <w:link w:val="BDAbstractTitleChar"/>
    <w:rsid w:val="0030630C"/>
    <w:rPr>
      <w:b/>
    </w:rPr>
  </w:style>
  <w:style w:type="character" w:customStyle="1" w:styleId="BDAbstractChar">
    <w:name w:val="BD_Abstract Char"/>
    <w:link w:val="BDAbstract"/>
    <w:rsid w:val="0030630C"/>
    <w:rPr>
      <w:rFonts w:ascii="Times" w:eastAsia="Times New Roman" w:hAnsi="Times" w:cs="Times New Roman"/>
      <w:sz w:val="24"/>
      <w:szCs w:val="20"/>
      <w:lang w:val="en-US"/>
    </w:rPr>
  </w:style>
  <w:style w:type="character" w:customStyle="1" w:styleId="BDAbstractTitleChar">
    <w:name w:val="BD_Abstract_Title Char"/>
    <w:link w:val="BDAbstractTitle"/>
    <w:rsid w:val="0030630C"/>
    <w:rPr>
      <w:rFonts w:ascii="Times" w:eastAsia="Times New Roman" w:hAnsi="Times" w:cs="Times New Roman"/>
      <w:b/>
      <w:sz w:val="24"/>
      <w:szCs w:val="20"/>
      <w:lang w:val="en-US"/>
    </w:rPr>
  </w:style>
  <w:style w:type="paragraph" w:customStyle="1" w:styleId="TDAckTitle">
    <w:name w:val="TD_Ack_Title"/>
    <w:basedOn w:val="TDAcknowledgments"/>
    <w:link w:val="TDAckTitleChar"/>
    <w:rsid w:val="0030630C"/>
    <w:pPr>
      <w:spacing w:before="180" w:after="60"/>
    </w:pPr>
    <w:rPr>
      <w:rFonts w:ascii="Myriad Pro Light" w:hAnsi="Myriad Pro Light"/>
      <w:b/>
      <w:kern w:val="23"/>
      <w:sz w:val="21"/>
    </w:rPr>
  </w:style>
  <w:style w:type="character" w:customStyle="1" w:styleId="TDAcknowledgmentsChar">
    <w:name w:val="TD_Acknowledgments Char"/>
    <w:link w:val="TDAcknowledgments"/>
    <w:rsid w:val="0030630C"/>
    <w:rPr>
      <w:rFonts w:ascii="Times" w:eastAsia="Times New Roman" w:hAnsi="Times" w:cs="Times New Roman"/>
      <w:sz w:val="24"/>
      <w:szCs w:val="20"/>
      <w:lang w:val="en-US"/>
    </w:rPr>
  </w:style>
  <w:style w:type="character" w:customStyle="1" w:styleId="TDAckTitleChar">
    <w:name w:val="TD_Ack_Title Char"/>
    <w:link w:val="TDAckTitle"/>
    <w:rsid w:val="0030630C"/>
    <w:rPr>
      <w:rFonts w:ascii="Myriad Pro Light" w:eastAsia="Times New Roman" w:hAnsi="Myriad Pro Light" w:cs="Times New Roman"/>
      <w:b/>
      <w:kern w:val="23"/>
      <w:sz w:val="21"/>
      <w:szCs w:val="20"/>
      <w:lang w:val="en-US"/>
    </w:rPr>
  </w:style>
  <w:style w:type="paragraph" w:customStyle="1" w:styleId="TESupportingInfoTitle">
    <w:name w:val="TE_Supporting_Info_Title"/>
    <w:basedOn w:val="TESupportingInformation"/>
    <w:autoRedefine/>
    <w:rsid w:val="0030630C"/>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30630C"/>
  </w:style>
  <w:style w:type="paragraph" w:customStyle="1" w:styleId="FAAuthorInfoSubtitle">
    <w:name w:val="FA_Author_Info_Subtitle"/>
    <w:basedOn w:val="Normal"/>
    <w:link w:val="FAAuthorInfoSubtitleChar"/>
    <w:autoRedefine/>
    <w:rsid w:val="0030630C"/>
    <w:pPr>
      <w:spacing w:before="120" w:after="60" w:line="480" w:lineRule="auto"/>
      <w:jc w:val="left"/>
    </w:pPr>
    <w:rPr>
      <w:b/>
    </w:rPr>
  </w:style>
  <w:style w:type="character" w:customStyle="1" w:styleId="FAAuthorInfoSubtitleChar">
    <w:name w:val="FA_Author_Info_Subtitle Char"/>
    <w:link w:val="FAAuthorInfoSubtitle"/>
    <w:rsid w:val="0030630C"/>
    <w:rPr>
      <w:rFonts w:ascii="Times" w:eastAsia="Times New Roman" w:hAnsi="Times" w:cs="Times New Roman"/>
      <w:b/>
      <w:sz w:val="24"/>
      <w:szCs w:val="20"/>
      <w:lang w:val="en-US"/>
    </w:rPr>
  </w:style>
  <w:style w:type="character" w:customStyle="1" w:styleId="TCTableBodyChar">
    <w:name w:val="TC_Table_Body Char"/>
    <w:link w:val="TCTableBody"/>
    <w:rsid w:val="0030630C"/>
    <w:rPr>
      <w:rFonts w:ascii="Times" w:eastAsia="Times New Roman" w:hAnsi="Times" w:cs="Times New Roman"/>
      <w:sz w:val="24"/>
      <w:szCs w:val="20"/>
      <w:lang w:val="en-US"/>
    </w:rPr>
  </w:style>
  <w:style w:type="character" w:customStyle="1" w:styleId="StyleTCTableBodyBoldChar">
    <w:name w:val="Style TC_Table_Body + Bold Char"/>
    <w:link w:val="StyleTCTableBodyBold"/>
    <w:rsid w:val="0030630C"/>
    <w:rPr>
      <w:rFonts w:ascii="Times" w:eastAsia="Times New Roman" w:hAnsi="Times" w:cs="Times New Roman"/>
      <w:b/>
      <w:bCs/>
      <w:kern w:val="22"/>
      <w:sz w:val="15"/>
      <w:szCs w:val="20"/>
      <w:lang w:val="en-US"/>
    </w:rPr>
  </w:style>
  <w:style w:type="paragraph" w:customStyle="1" w:styleId="SectionContent">
    <w:name w:val="Section_Content"/>
    <w:basedOn w:val="Normal"/>
    <w:next w:val="Normal"/>
    <w:autoRedefine/>
    <w:rsid w:val="0030630C"/>
    <w:pPr>
      <w:spacing w:after="0"/>
    </w:pPr>
    <w:rPr>
      <w:rFonts w:ascii="Arno Pro" w:hAnsi="Arno Pro"/>
      <w:kern w:val="20"/>
      <w:sz w:val="18"/>
    </w:rPr>
  </w:style>
  <w:style w:type="paragraph" w:customStyle="1" w:styleId="TESectionHeading">
    <w:name w:val="TE_Section_Heading"/>
    <w:basedOn w:val="TESupportingInfoTitle"/>
    <w:qFormat/>
    <w:rsid w:val="0030630C"/>
  </w:style>
  <w:style w:type="paragraph" w:styleId="Caption">
    <w:name w:val="caption"/>
    <w:basedOn w:val="Normal"/>
    <w:next w:val="Normal"/>
    <w:unhideWhenUsed/>
    <w:qFormat/>
    <w:rsid w:val="0030630C"/>
    <w:rPr>
      <w:b/>
      <w:bCs/>
      <w:color w:val="4F81BD"/>
      <w:sz w:val="18"/>
      <w:szCs w:val="18"/>
    </w:rPr>
  </w:style>
  <w:style w:type="table" w:styleId="TableGrid">
    <w:name w:val="Table Grid"/>
    <w:basedOn w:val="TableNormal"/>
    <w:uiPriority w:val="99"/>
    <w:rsid w:val="0030630C"/>
    <w:pPr>
      <w:spacing w:after="0" w:line="240" w:lineRule="auto"/>
    </w:pPr>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0630C"/>
    <w:rPr>
      <w:sz w:val="18"/>
      <w:szCs w:val="18"/>
    </w:rPr>
  </w:style>
  <w:style w:type="paragraph" w:styleId="CommentText">
    <w:name w:val="annotation text"/>
    <w:basedOn w:val="Normal"/>
    <w:link w:val="CommentTextChar"/>
    <w:rsid w:val="0030630C"/>
    <w:rPr>
      <w:szCs w:val="24"/>
    </w:rPr>
  </w:style>
  <w:style w:type="character" w:customStyle="1" w:styleId="CommentTextChar">
    <w:name w:val="Comment Text Char"/>
    <w:link w:val="CommentText"/>
    <w:rsid w:val="0030630C"/>
    <w:rPr>
      <w:rFonts w:ascii="Times" w:eastAsia="Times New Roman" w:hAnsi="Times" w:cs="Times New Roman"/>
      <w:sz w:val="24"/>
      <w:szCs w:val="24"/>
      <w:lang w:val="en-US"/>
    </w:rPr>
  </w:style>
  <w:style w:type="paragraph" w:styleId="CommentSubject">
    <w:name w:val="annotation subject"/>
    <w:basedOn w:val="CommentText"/>
    <w:next w:val="CommentText"/>
    <w:link w:val="CommentSubjectChar"/>
    <w:rsid w:val="0030630C"/>
    <w:rPr>
      <w:b/>
      <w:bCs/>
      <w:sz w:val="20"/>
      <w:szCs w:val="20"/>
    </w:rPr>
  </w:style>
  <w:style w:type="character" w:customStyle="1" w:styleId="CommentSubjectChar">
    <w:name w:val="Comment Subject Char"/>
    <w:link w:val="CommentSubject"/>
    <w:rsid w:val="0030630C"/>
    <w:rPr>
      <w:rFonts w:ascii="Times" w:eastAsia="Times New Roman" w:hAnsi="Times" w:cs="Times New Roman"/>
      <w:b/>
      <w:bCs/>
      <w:sz w:val="20"/>
      <w:szCs w:val="20"/>
      <w:lang w:val="en-US"/>
    </w:rPr>
  </w:style>
  <w:style w:type="paragraph" w:styleId="Revision">
    <w:name w:val="Revision"/>
    <w:hidden/>
    <w:uiPriority w:val="99"/>
    <w:semiHidden/>
    <w:rsid w:val="0030630C"/>
    <w:pPr>
      <w:spacing w:after="0" w:line="240" w:lineRule="auto"/>
    </w:pPr>
    <w:rPr>
      <w:rFonts w:ascii="Times" w:eastAsia="Times New Roman" w:hAnsi="Times" w:cs="Times New Roman"/>
      <w:sz w:val="24"/>
      <w:szCs w:val="20"/>
      <w:lang w:val="en-US"/>
    </w:rPr>
  </w:style>
  <w:style w:type="character" w:styleId="PlaceholderText">
    <w:name w:val="Placeholder Text"/>
    <w:uiPriority w:val="99"/>
    <w:semiHidden/>
    <w:rsid w:val="0030630C"/>
    <w:rPr>
      <w:color w:val="808080"/>
    </w:rPr>
  </w:style>
  <w:style w:type="paragraph" w:customStyle="1" w:styleId="EndNoteBibliographyTitle">
    <w:name w:val="EndNote Bibliography Title"/>
    <w:basedOn w:val="Normal"/>
    <w:link w:val="EndNoteBibliographyTitleChar"/>
    <w:rsid w:val="0030630C"/>
    <w:pPr>
      <w:spacing w:after="0"/>
      <w:jc w:val="center"/>
    </w:pPr>
    <w:rPr>
      <w:rFonts w:cs="Times"/>
      <w:noProof/>
      <w:sz w:val="20"/>
    </w:rPr>
  </w:style>
  <w:style w:type="character" w:customStyle="1" w:styleId="TAMainTextChar">
    <w:name w:val="TA_Main_Text Char"/>
    <w:basedOn w:val="DefaultParagraphFont"/>
    <w:link w:val="TAMainText"/>
    <w:rsid w:val="0030630C"/>
    <w:rPr>
      <w:rFonts w:ascii="Times" w:eastAsia="Times New Roman" w:hAnsi="Times" w:cs="Times New Roman"/>
      <w:sz w:val="24"/>
      <w:szCs w:val="20"/>
      <w:lang w:val="en-US"/>
    </w:rPr>
  </w:style>
  <w:style w:type="character" w:customStyle="1" w:styleId="EndNoteBibliographyTitleChar">
    <w:name w:val="EndNote Bibliography Title Char"/>
    <w:basedOn w:val="TAMainTextChar"/>
    <w:link w:val="EndNoteBibliographyTitle"/>
    <w:rsid w:val="0030630C"/>
    <w:rPr>
      <w:rFonts w:ascii="Times" w:eastAsia="Times New Roman" w:hAnsi="Times" w:cs="Times"/>
      <w:noProof/>
      <w:sz w:val="20"/>
      <w:szCs w:val="20"/>
      <w:lang w:val="en-US"/>
    </w:rPr>
  </w:style>
  <w:style w:type="paragraph" w:customStyle="1" w:styleId="EndNoteBibliography">
    <w:name w:val="EndNote Bibliography"/>
    <w:basedOn w:val="Normal"/>
    <w:link w:val="EndNoteBibliographyChar"/>
    <w:rsid w:val="0030630C"/>
    <w:pPr>
      <w:jc w:val="center"/>
    </w:pPr>
    <w:rPr>
      <w:rFonts w:cs="Times"/>
      <w:noProof/>
      <w:sz w:val="20"/>
    </w:rPr>
  </w:style>
  <w:style w:type="character" w:customStyle="1" w:styleId="EndNoteBibliographyChar">
    <w:name w:val="EndNote Bibliography Char"/>
    <w:basedOn w:val="TAMainTextChar"/>
    <w:link w:val="EndNoteBibliography"/>
    <w:rsid w:val="0030630C"/>
    <w:rPr>
      <w:rFonts w:ascii="Times" w:eastAsia="Times New Roman" w:hAnsi="Times" w:cs="Times"/>
      <w:noProof/>
      <w:sz w:val="20"/>
      <w:szCs w:val="20"/>
      <w:lang w:val="en-US"/>
    </w:rPr>
  </w:style>
  <w:style w:type="paragraph" w:customStyle="1" w:styleId="AFTitleRunningHead">
    <w:name w:val="AF_Title_Running_Head"/>
    <w:basedOn w:val="Normal"/>
    <w:next w:val="TAMainText"/>
    <w:rsid w:val="0030630C"/>
    <w:pPr>
      <w:spacing w:line="480" w:lineRule="auto"/>
    </w:pPr>
  </w:style>
  <w:style w:type="paragraph" w:customStyle="1" w:styleId="FACorrespondingAuthorFootnote">
    <w:name w:val="FA_Corresponding_Author_Footnote"/>
    <w:basedOn w:val="Normal"/>
    <w:next w:val="TAMainText"/>
    <w:rsid w:val="0030630C"/>
    <w:pPr>
      <w:spacing w:line="480" w:lineRule="auto"/>
    </w:pPr>
  </w:style>
  <w:style w:type="paragraph" w:customStyle="1" w:styleId="Default">
    <w:name w:val="Default"/>
    <w:rsid w:val="0030630C"/>
    <w:pPr>
      <w:autoSpaceDE w:val="0"/>
      <w:autoSpaceDN w:val="0"/>
      <w:adjustRightInd w:val="0"/>
      <w:spacing w:after="0" w:line="240" w:lineRule="auto"/>
    </w:pPr>
    <w:rPr>
      <w:rFonts w:ascii="Symbol" w:eastAsia="Times New Roman" w:hAnsi="Symbol" w:cs="Symbol"/>
      <w:color w:val="000000"/>
      <w:sz w:val="24"/>
      <w:szCs w:val="24"/>
      <w:lang w:val="en-US"/>
    </w:rPr>
  </w:style>
  <w:style w:type="paragraph" w:styleId="Header">
    <w:name w:val="header"/>
    <w:basedOn w:val="Normal"/>
    <w:link w:val="HeaderChar"/>
    <w:unhideWhenUsed/>
    <w:rsid w:val="0030630C"/>
    <w:pPr>
      <w:tabs>
        <w:tab w:val="center" w:pos="4513"/>
        <w:tab w:val="right" w:pos="9026"/>
      </w:tabs>
      <w:spacing w:after="0"/>
    </w:pPr>
  </w:style>
  <w:style w:type="character" w:customStyle="1" w:styleId="HeaderChar">
    <w:name w:val="Header Char"/>
    <w:basedOn w:val="DefaultParagraphFont"/>
    <w:link w:val="Header"/>
    <w:rsid w:val="0030630C"/>
    <w:rPr>
      <w:rFonts w:ascii="Times" w:eastAsia="Times New Roman" w:hAnsi="Times" w:cs="Times New Roman"/>
      <w:sz w:val="24"/>
      <w:szCs w:val="20"/>
      <w:lang w:val="en-US"/>
    </w:rPr>
  </w:style>
  <w:style w:type="paragraph" w:styleId="PlainText">
    <w:name w:val="Plain Text"/>
    <w:basedOn w:val="Normal"/>
    <w:link w:val="PlainTextChar"/>
    <w:uiPriority w:val="99"/>
    <w:unhideWhenUsed/>
    <w:rsid w:val="0030630C"/>
    <w:pPr>
      <w:spacing w:after="0"/>
      <w:jc w:val="left"/>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30630C"/>
    <w:rPr>
      <w:rFonts w:ascii="Calibri" w:hAnsi="Calibri"/>
      <w:szCs w:val="21"/>
    </w:rPr>
  </w:style>
  <w:style w:type="character" w:styleId="LineNumber">
    <w:name w:val="line number"/>
    <w:basedOn w:val="DefaultParagraphFont"/>
    <w:semiHidden/>
    <w:unhideWhenUsed/>
    <w:rsid w:val="00306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25</Pages>
  <Words>5172</Words>
  <Characters>29482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Karaman, Ibrahim</dc:creator>
  <cp:keywords/>
  <dc:description/>
  <cp:lastModifiedBy>Karaman, Ibrahim</cp:lastModifiedBy>
  <cp:revision>2</cp:revision>
  <dcterms:created xsi:type="dcterms:W3CDTF">2016-07-20T17:11:00Z</dcterms:created>
  <dcterms:modified xsi:type="dcterms:W3CDTF">2016-07-20T18:59:00Z</dcterms:modified>
</cp:coreProperties>
</file>