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Defective glucose homeostasis in mice inactivated selectively for Tcf7l2 in the adult beta cell with</w:t>
      </w:r>
      <w:r>
        <w:rPr>
          <w:rFonts w:ascii="Times-Bold" w:hAnsi="Times-Bold" w:cs="Times-Bold"/>
          <w:b/>
          <w:bCs/>
        </w:rPr>
        <w:t xml:space="preserve"> </w:t>
      </w:r>
      <w:r>
        <w:rPr>
          <w:rFonts w:ascii="Times-Bold" w:hAnsi="Times-Bold" w:cs="Times-Bold"/>
          <w:b/>
          <w:bCs/>
        </w:rPr>
        <w:t>an Ins1</w:t>
      </w:r>
      <w:r>
        <w:rPr>
          <w:rFonts w:ascii="Times-BoldItalic" w:hAnsi="Times-BoldItalic" w:cs="Times-BoldItalic"/>
          <w:b/>
          <w:bCs/>
          <w:i/>
          <w:iCs/>
        </w:rPr>
        <w:t>-</w:t>
      </w:r>
      <w:r>
        <w:rPr>
          <w:rFonts w:ascii="Times-Bold" w:hAnsi="Times-Bold" w:cs="Times-Bold"/>
          <w:b/>
          <w:bCs/>
        </w:rPr>
        <w:t xml:space="preserve">controlled </w:t>
      </w:r>
      <w:proofErr w:type="spellStart"/>
      <w:r>
        <w:rPr>
          <w:rFonts w:ascii="Times-Bold" w:hAnsi="Times-Bold" w:cs="Times-Bold"/>
          <w:b/>
          <w:bCs/>
        </w:rPr>
        <w:t>Cre</w:t>
      </w:r>
      <w:proofErr w:type="spellEnd"/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bookmarkStart w:id="0" w:name="_GoBack"/>
      <w:bookmarkEnd w:id="0"/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>G. da Silva Xavier</w:t>
      </w:r>
      <w:r>
        <w:rPr>
          <w:rFonts w:ascii="Times-Roman" w:hAnsi="Times-Roman" w:cs="Times-Roman"/>
          <w:sz w:val="14"/>
          <w:szCs w:val="14"/>
        </w:rPr>
        <w:t>1</w:t>
      </w:r>
      <w:r>
        <w:rPr>
          <w:rFonts w:ascii="Times-Roman" w:hAnsi="Times-Roman" w:cs="Times-Roman"/>
        </w:rPr>
        <w:t>, A. Mondragon</w:t>
      </w:r>
      <w:r>
        <w:rPr>
          <w:rFonts w:ascii="Times-Roman" w:hAnsi="Times-Roman" w:cs="Times-Roman"/>
          <w:sz w:val="14"/>
          <w:szCs w:val="14"/>
        </w:rPr>
        <w:t>1</w:t>
      </w:r>
      <w:r>
        <w:rPr>
          <w:rFonts w:ascii="Times-Roman" w:hAnsi="Times-Roman" w:cs="Times-Roman"/>
        </w:rPr>
        <w:t>, R. Mitchell</w:t>
      </w:r>
      <w:r>
        <w:rPr>
          <w:rFonts w:ascii="Times-Roman" w:hAnsi="Times-Roman" w:cs="Times-Roman"/>
          <w:sz w:val="14"/>
          <w:szCs w:val="14"/>
        </w:rPr>
        <w:t>1</w:t>
      </w:r>
      <w:r>
        <w:rPr>
          <w:rFonts w:ascii="Times-Roman" w:hAnsi="Times-Roman" w:cs="Times-Roman"/>
        </w:rPr>
        <w:t>, D. Hodson</w:t>
      </w:r>
      <w:r>
        <w:rPr>
          <w:rFonts w:ascii="Times-Roman" w:hAnsi="Times-Roman" w:cs="Times-Roman"/>
          <w:sz w:val="14"/>
          <w:szCs w:val="14"/>
        </w:rPr>
        <w:t>1</w:t>
      </w:r>
      <w:r>
        <w:rPr>
          <w:rFonts w:ascii="Times-Roman" w:hAnsi="Times-Roman" w:cs="Times-Roman"/>
        </w:rPr>
        <w:t>, J. Ferrer</w:t>
      </w:r>
      <w:r>
        <w:rPr>
          <w:rFonts w:ascii="Times-Roman" w:hAnsi="Times-Roman" w:cs="Times-Roman"/>
          <w:sz w:val="14"/>
          <w:szCs w:val="14"/>
        </w:rPr>
        <w:t>2</w:t>
      </w:r>
      <w:r>
        <w:rPr>
          <w:rFonts w:ascii="Times-Roman" w:hAnsi="Times-Roman" w:cs="Times-Roman"/>
        </w:rPr>
        <w:t>, B. Thorens</w:t>
      </w:r>
      <w:r>
        <w:rPr>
          <w:rFonts w:ascii="Times-Roman" w:hAnsi="Times-Roman" w:cs="Times-Roman"/>
          <w:sz w:val="14"/>
          <w:szCs w:val="14"/>
        </w:rPr>
        <w:t>3</w:t>
      </w:r>
      <w:r>
        <w:rPr>
          <w:rFonts w:ascii="Times-Roman" w:hAnsi="Times-Roman" w:cs="Times-Roman"/>
        </w:rPr>
        <w:t>, L. Chen</w:t>
      </w:r>
      <w:r>
        <w:rPr>
          <w:rFonts w:ascii="Times-Roman" w:hAnsi="Times-Roman" w:cs="Times-Roman"/>
          <w:sz w:val="14"/>
          <w:szCs w:val="14"/>
        </w:rPr>
        <w:t>4</w:t>
      </w:r>
      <w:r>
        <w:rPr>
          <w:rFonts w:ascii="Times-Roman" w:hAnsi="Times-Roman" w:cs="Times-Roman"/>
        </w:rPr>
        <w:t>, J.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Mcginty</w:t>
      </w:r>
      <w:r>
        <w:rPr>
          <w:rFonts w:ascii="Times-Roman" w:hAnsi="Times-Roman" w:cs="Times-Roman"/>
          <w:sz w:val="14"/>
          <w:szCs w:val="14"/>
        </w:rPr>
        <w:t>4</w:t>
      </w:r>
      <w:r>
        <w:rPr>
          <w:rFonts w:ascii="Times-Roman" w:hAnsi="Times-Roman" w:cs="Times-Roman"/>
        </w:rPr>
        <w:t>, P. French</w:t>
      </w:r>
      <w:r>
        <w:rPr>
          <w:rFonts w:ascii="Times-Roman" w:hAnsi="Times-Roman" w:cs="Times-Roman"/>
          <w:sz w:val="14"/>
          <w:szCs w:val="14"/>
        </w:rPr>
        <w:t>4</w:t>
      </w:r>
      <w:r>
        <w:rPr>
          <w:rFonts w:ascii="Times-Roman" w:hAnsi="Times-Roman" w:cs="Times-Roman"/>
        </w:rPr>
        <w:t>, G.A. Rutter</w:t>
      </w:r>
      <w:r>
        <w:rPr>
          <w:rFonts w:ascii="Times-Roman" w:hAnsi="Times-Roman" w:cs="Times-Roman"/>
          <w:sz w:val="14"/>
          <w:szCs w:val="14"/>
        </w:rPr>
        <w:t>1</w:t>
      </w:r>
      <w:r>
        <w:rPr>
          <w:rFonts w:ascii="Times-Roman" w:hAnsi="Times-Roman" w:cs="Times-Roman"/>
        </w:rPr>
        <w:t>;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  <w:sz w:val="14"/>
          <w:szCs w:val="14"/>
        </w:rPr>
        <w:t>1</w:t>
      </w:r>
      <w:r>
        <w:rPr>
          <w:rFonts w:ascii="Times-Roman" w:hAnsi="Times-Roman" w:cs="Times-Roman"/>
        </w:rPr>
        <w:t xml:space="preserve">Cell Biology, </w:t>
      </w:r>
      <w:r>
        <w:rPr>
          <w:rFonts w:ascii="Times-Roman" w:hAnsi="Times-Roman" w:cs="Times-Roman"/>
          <w:sz w:val="14"/>
          <w:szCs w:val="14"/>
        </w:rPr>
        <w:t>2</w:t>
      </w:r>
      <w:r>
        <w:rPr>
          <w:rFonts w:ascii="Times-Roman" w:hAnsi="Times-Roman" w:cs="Times-Roman"/>
        </w:rPr>
        <w:t xml:space="preserve">Epigenomics and Disease, Imperial College, London, UK, </w:t>
      </w:r>
      <w:r>
        <w:rPr>
          <w:rFonts w:ascii="Times-Roman" w:hAnsi="Times-Roman" w:cs="Times-Roman"/>
          <w:sz w:val="14"/>
          <w:szCs w:val="14"/>
        </w:rPr>
        <w:t>3</w:t>
      </w:r>
      <w:r>
        <w:rPr>
          <w:rFonts w:ascii="Times-Roman" w:hAnsi="Times-Roman" w:cs="Times-Roman"/>
        </w:rPr>
        <w:t>Center for Integrative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 xml:space="preserve">Genomics, University of Lausanne, Switzerland, </w:t>
      </w:r>
      <w:r>
        <w:rPr>
          <w:rFonts w:ascii="Times-Roman" w:hAnsi="Times-Roman" w:cs="Times-Roman"/>
          <w:sz w:val="14"/>
          <w:szCs w:val="14"/>
        </w:rPr>
        <w:t>4</w:t>
      </w:r>
      <w:r>
        <w:rPr>
          <w:rFonts w:ascii="Times-Roman" w:hAnsi="Times-Roman" w:cs="Times-Roman"/>
        </w:rPr>
        <w:t>Physics, Imperial College, London, UK.</w:t>
      </w:r>
      <w:proofErr w:type="gramEnd"/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 xml:space="preserve">Background and aims: </w:t>
      </w:r>
      <w:r>
        <w:rPr>
          <w:rFonts w:ascii="Times-Roman" w:hAnsi="Times-Roman" w:cs="Times-Roman"/>
        </w:rPr>
        <w:t xml:space="preserve">Single nucleotide polymorphisms in the </w:t>
      </w:r>
      <w:r>
        <w:rPr>
          <w:rFonts w:ascii="Times-Italic" w:hAnsi="Times-Italic" w:cs="Times-Italic"/>
          <w:i/>
          <w:iCs/>
        </w:rPr>
        <w:t xml:space="preserve">TCF7L2 </w:t>
      </w:r>
      <w:r>
        <w:rPr>
          <w:rFonts w:ascii="Times-Roman" w:hAnsi="Times-Roman" w:cs="Times-Roman"/>
        </w:rPr>
        <w:t>gene, including rs7903146,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proofErr w:type="gramStart"/>
      <w:r>
        <w:rPr>
          <w:rFonts w:ascii="Times-Roman" w:hAnsi="Times-Roman" w:cs="Times-Roman"/>
        </w:rPr>
        <w:t>are</w:t>
      </w:r>
      <w:proofErr w:type="gramEnd"/>
      <w:r>
        <w:rPr>
          <w:rFonts w:ascii="Times-Roman" w:hAnsi="Times-Roman" w:cs="Times-Roman"/>
        </w:rPr>
        <w:t xml:space="preserve"> associated with an elevated risk of type 2 diabetes in man. Previous studies of the effects of </w:t>
      </w:r>
      <w:r>
        <w:rPr>
          <w:rFonts w:ascii="Times-Italic" w:hAnsi="Times-Italic" w:cs="Times-Italic"/>
          <w:i/>
          <w:iCs/>
        </w:rPr>
        <w:t>Tcf7l2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proofErr w:type="gramStart"/>
      <w:r>
        <w:rPr>
          <w:rFonts w:ascii="Times-Roman" w:hAnsi="Times-Roman" w:cs="Times-Roman"/>
        </w:rPr>
        <w:t>deletion</w:t>
      </w:r>
      <w:proofErr w:type="gramEnd"/>
      <w:r>
        <w:rPr>
          <w:rFonts w:ascii="Times-Roman" w:hAnsi="Times-Roman" w:cs="Times-Roman"/>
        </w:rPr>
        <w:t xml:space="preserve"> in mice have provided conflicting results. In the present report we therefore inactivated </w:t>
      </w:r>
      <w:r>
        <w:rPr>
          <w:rFonts w:ascii="Times-Italic" w:hAnsi="Times-Italic" w:cs="Times-Italic"/>
          <w:i/>
          <w:iCs/>
        </w:rPr>
        <w:t>Tcf7l2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specifically</w:t>
      </w:r>
      <w:proofErr w:type="gramEnd"/>
      <w:r>
        <w:rPr>
          <w:rFonts w:ascii="Times-Roman" w:hAnsi="Times-Roman" w:cs="Times-Roman"/>
        </w:rPr>
        <w:t xml:space="preserve"> in pancreatic beta cells to investigate the cell-autonomous role for </w:t>
      </w:r>
      <w:r>
        <w:rPr>
          <w:rFonts w:ascii="Times-Italic" w:hAnsi="Times-Italic" w:cs="Times-Italic"/>
          <w:i/>
          <w:iCs/>
        </w:rPr>
        <w:t xml:space="preserve">Tcf7l2 </w:t>
      </w:r>
      <w:r>
        <w:rPr>
          <w:rFonts w:ascii="Times-Roman" w:hAnsi="Times-Roman" w:cs="Times-Roman"/>
        </w:rPr>
        <w:t>in these cells.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 xml:space="preserve">Materials and methods: </w:t>
      </w:r>
      <w:r>
        <w:rPr>
          <w:rFonts w:ascii="Times-Roman" w:hAnsi="Times-Roman" w:cs="Times-Roman"/>
        </w:rPr>
        <w:t>To achieve highly selective deletion in the adult pancreatic beta cell, but not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proofErr w:type="gramStart"/>
      <w:r>
        <w:rPr>
          <w:rFonts w:ascii="Times-Roman" w:hAnsi="Times-Roman" w:cs="Times-Roman"/>
        </w:rPr>
        <w:t>brain</w:t>
      </w:r>
      <w:proofErr w:type="gramEnd"/>
      <w:r>
        <w:rPr>
          <w:rFonts w:ascii="Times-Roman" w:hAnsi="Times-Roman" w:cs="Times-Roman"/>
        </w:rPr>
        <w:t xml:space="preserve"> or other tissues, we crossed mice bearing </w:t>
      </w:r>
      <w:proofErr w:type="spellStart"/>
      <w:r>
        <w:rPr>
          <w:rFonts w:ascii="Times-Roman" w:hAnsi="Times-Roman" w:cs="Times-Roman"/>
        </w:rPr>
        <w:t>flox’d</w:t>
      </w:r>
      <w:proofErr w:type="spellEnd"/>
      <w:r>
        <w:rPr>
          <w:rFonts w:ascii="Times-Roman" w:hAnsi="Times-Roman" w:cs="Times-Roman"/>
        </w:rPr>
        <w:t xml:space="preserve"> (exon 1) </w:t>
      </w:r>
      <w:r>
        <w:rPr>
          <w:rFonts w:ascii="Times-Italic" w:hAnsi="Times-Italic" w:cs="Times-Italic"/>
          <w:i/>
          <w:iCs/>
        </w:rPr>
        <w:t xml:space="preserve">Tcf7l2 </w:t>
      </w:r>
      <w:r>
        <w:rPr>
          <w:rFonts w:ascii="Times-Roman" w:hAnsi="Times-Roman" w:cs="Times-Roman"/>
        </w:rPr>
        <w:t xml:space="preserve">alleles to animals in which </w:t>
      </w:r>
      <w:proofErr w:type="spellStart"/>
      <w:r>
        <w:rPr>
          <w:rFonts w:ascii="Times-Italic" w:hAnsi="Times-Italic" w:cs="Times-Italic"/>
          <w:i/>
          <w:iCs/>
        </w:rPr>
        <w:t>Cre</w:t>
      </w:r>
      <w:proofErr w:type="spellEnd"/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spellStart"/>
      <w:proofErr w:type="gramStart"/>
      <w:r>
        <w:rPr>
          <w:rFonts w:ascii="Times-Roman" w:hAnsi="Times-Roman" w:cs="Times-Roman"/>
        </w:rPr>
        <w:t>recombinase</w:t>
      </w:r>
      <w:proofErr w:type="spellEnd"/>
      <w:proofErr w:type="gramEnd"/>
      <w:r>
        <w:rPr>
          <w:rFonts w:ascii="Times-Roman" w:hAnsi="Times-Roman" w:cs="Times-Roman"/>
        </w:rPr>
        <w:t xml:space="preserve"> was expressed from the Ins1 locus. </w:t>
      </w:r>
      <w:r>
        <w:rPr>
          <w:rFonts w:ascii="Times-Italic" w:hAnsi="Times-Italic" w:cs="Times-Italic"/>
          <w:i/>
          <w:iCs/>
        </w:rPr>
        <w:t>Tcf7l2</w:t>
      </w:r>
      <w:r>
        <w:rPr>
          <w:rFonts w:ascii="Times-Roman" w:hAnsi="Times-Roman" w:cs="Times-Roman"/>
          <w:sz w:val="14"/>
          <w:szCs w:val="14"/>
        </w:rPr>
        <w:t>f/f</w:t>
      </w:r>
      <w:r>
        <w:rPr>
          <w:rFonts w:ascii="Times-Roman" w:hAnsi="Times-Roman" w:cs="Times-Roman"/>
        </w:rPr>
        <w:t>:</w:t>
      </w:r>
      <w:proofErr w:type="gramStart"/>
      <w:r>
        <w:rPr>
          <w:rFonts w:ascii="Times-Roman" w:hAnsi="Times-Roman" w:cs="Times-Roman"/>
        </w:rPr>
        <w:t>:Ins1</w:t>
      </w:r>
      <w:r>
        <w:rPr>
          <w:rFonts w:ascii="Times-Italic" w:hAnsi="Times-Italic" w:cs="Times-Italic"/>
          <w:i/>
          <w:iCs/>
        </w:rPr>
        <w:t>Cre</w:t>
      </w:r>
      <w:proofErr w:type="gramEnd"/>
      <w:r>
        <w:rPr>
          <w:rFonts w:ascii="Times-Roman" w:hAnsi="Times-Roman" w:cs="Times-Roman"/>
          <w:sz w:val="14"/>
          <w:szCs w:val="14"/>
        </w:rPr>
        <w:t>+</w:t>
      </w:r>
      <w:r>
        <w:rPr>
          <w:rFonts w:ascii="Times-Roman" w:hAnsi="Times-Roman" w:cs="Times-Roman"/>
        </w:rPr>
        <w:t>, and littermate control mice were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maintained</w:t>
      </w:r>
      <w:proofErr w:type="gramEnd"/>
      <w:r>
        <w:rPr>
          <w:rFonts w:ascii="Times-Roman" w:hAnsi="Times-Roman" w:cs="Times-Roman"/>
        </w:rPr>
        <w:t xml:space="preserve"> on a C57BL/6 background and on either a normal or a high fat (60%; HFD; age 8 - 20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weeks</w:t>
      </w:r>
      <w:proofErr w:type="gramEnd"/>
      <w:r>
        <w:rPr>
          <w:rFonts w:ascii="Times-Roman" w:hAnsi="Times-Roman" w:cs="Times-Roman"/>
        </w:rPr>
        <w:t>) diet (Research Diet, New Brunswick, NJ, USA). Glucose tolerance was assessed by oral and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proofErr w:type="spellStart"/>
      <w:proofErr w:type="gramStart"/>
      <w:r>
        <w:rPr>
          <w:rFonts w:ascii="Times-Roman" w:hAnsi="Times-Roman" w:cs="Times-Roman"/>
        </w:rPr>
        <w:t>intraperitoneal</w:t>
      </w:r>
      <w:proofErr w:type="spellEnd"/>
      <w:proofErr w:type="gramEnd"/>
      <w:r>
        <w:rPr>
          <w:rFonts w:ascii="Times-Roman" w:hAnsi="Times-Roman" w:cs="Times-Roman"/>
        </w:rPr>
        <w:t xml:space="preserve"> administration (1 g/kg body weight) following a 16 h fast, and insulin secretion </w:t>
      </w:r>
      <w:r>
        <w:rPr>
          <w:rFonts w:ascii="Times-Italic" w:hAnsi="Times-Italic" w:cs="Times-Italic"/>
          <w:i/>
          <w:iCs/>
        </w:rPr>
        <w:t>in vivo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measured</w:t>
      </w:r>
      <w:proofErr w:type="gramEnd"/>
      <w:r>
        <w:rPr>
          <w:rFonts w:ascii="Times-Roman" w:hAnsi="Times-Roman" w:cs="Times-Roman"/>
        </w:rPr>
        <w:t xml:space="preserve"> after </w:t>
      </w:r>
      <w:proofErr w:type="spellStart"/>
      <w:r>
        <w:rPr>
          <w:rFonts w:ascii="Times-Roman" w:hAnsi="Times-Roman" w:cs="Times-Roman"/>
        </w:rPr>
        <w:t>intraperitoneal</w:t>
      </w:r>
      <w:proofErr w:type="spellEnd"/>
      <w:r>
        <w:rPr>
          <w:rFonts w:ascii="Times-Roman" w:hAnsi="Times-Roman" w:cs="Times-Roman"/>
        </w:rPr>
        <w:t xml:space="preserve"> injection of glucose (3 g/kg). Insulin secretion </w:t>
      </w:r>
      <w:r>
        <w:rPr>
          <w:rFonts w:ascii="Times-Italic" w:hAnsi="Times-Italic" w:cs="Times-Italic"/>
          <w:i/>
          <w:iCs/>
        </w:rPr>
        <w:t xml:space="preserve">in vitro </w:t>
      </w:r>
      <w:r>
        <w:rPr>
          <w:rFonts w:ascii="Times-Roman" w:hAnsi="Times-Roman" w:cs="Times-Roman"/>
        </w:rPr>
        <w:t>was measured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from</w:t>
      </w:r>
      <w:proofErr w:type="gramEnd"/>
      <w:r>
        <w:rPr>
          <w:rFonts w:ascii="Times-Roman" w:hAnsi="Times-Roman" w:cs="Times-Roman"/>
        </w:rPr>
        <w:t xml:space="preserve"> groups of six islets by radioimmunoassay (Millipore). </w:t>
      </w:r>
      <w:proofErr w:type="spellStart"/>
      <w:r>
        <w:rPr>
          <w:rFonts w:ascii="Times-Roman" w:hAnsi="Times-Roman" w:cs="Times-Roman"/>
        </w:rPr>
        <w:t>Quantitiative</w:t>
      </w:r>
      <w:proofErr w:type="spellEnd"/>
      <w:r>
        <w:rPr>
          <w:rFonts w:ascii="Times-Roman" w:hAnsi="Times-Roman" w:cs="Times-Roman"/>
        </w:rPr>
        <w:t xml:space="preserve"> real-time PCR was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performed</w:t>
      </w:r>
      <w:proofErr w:type="gramEnd"/>
      <w:r>
        <w:rPr>
          <w:rFonts w:ascii="Times-Roman" w:hAnsi="Times-Roman" w:cs="Times-Roman"/>
        </w:rPr>
        <w:t xml:space="preserve"> on islet cDNA on a Fast 7500 device (ABI) running 7500 software (ABI) and with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spellStart"/>
      <w:proofErr w:type="gramStart"/>
      <w:r>
        <w:rPr>
          <w:rFonts w:ascii="Times-Roman" w:hAnsi="Times-Roman" w:cs="Times-Roman"/>
        </w:rPr>
        <w:t>powerSYBR</w:t>
      </w:r>
      <w:proofErr w:type="spellEnd"/>
      <w:proofErr w:type="gramEnd"/>
      <w:r>
        <w:rPr>
          <w:rFonts w:ascii="Times-Roman" w:hAnsi="Times-Roman" w:cs="Times-Roman"/>
        </w:rPr>
        <w:t xml:space="preserve"> reagent (ABI). Changes in cytosolic calcium were assessed by </w:t>
      </w:r>
      <w:proofErr w:type="spellStart"/>
      <w:r>
        <w:rPr>
          <w:rFonts w:ascii="Times-Roman" w:hAnsi="Times-Roman" w:cs="Times-Roman"/>
        </w:rPr>
        <w:t>Nipkow</w:t>
      </w:r>
      <w:proofErr w:type="spellEnd"/>
      <w:r>
        <w:rPr>
          <w:rFonts w:ascii="Times-Roman" w:hAnsi="Times-Roman" w:cs="Times-Roman"/>
        </w:rPr>
        <w:t xml:space="preserve"> spinning disc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confocal</w:t>
      </w:r>
      <w:proofErr w:type="gramEnd"/>
      <w:r>
        <w:rPr>
          <w:rFonts w:ascii="Times-Roman" w:hAnsi="Times-Roman" w:cs="Times-Roman"/>
        </w:rPr>
        <w:t xml:space="preserve"> microscopy of whole islets loaded with fluo-2. Beta and alpha cell mass were assessed by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optical</w:t>
      </w:r>
      <w:proofErr w:type="gramEnd"/>
      <w:r>
        <w:rPr>
          <w:rFonts w:ascii="Times-Roman" w:hAnsi="Times-Roman" w:cs="Times-Roman"/>
        </w:rPr>
        <w:t xml:space="preserve"> projection tomography (19 </w:t>
      </w:r>
      <w:proofErr w:type="spellStart"/>
      <w:r>
        <w:rPr>
          <w:rFonts w:ascii="TimesNewRoman" w:hAnsi="TimesNewRoman" w:cs="TimesNewRoman"/>
        </w:rPr>
        <w:t>μ</w:t>
      </w:r>
      <w:r>
        <w:rPr>
          <w:rFonts w:ascii="Times-Roman" w:hAnsi="Times-Roman" w:cs="Times-Roman"/>
        </w:rPr>
        <w:t>m</w:t>
      </w:r>
      <w:proofErr w:type="spellEnd"/>
      <w:r>
        <w:rPr>
          <w:rFonts w:ascii="Times-Roman" w:hAnsi="Times-Roman" w:cs="Times-Roman"/>
        </w:rPr>
        <w:t xml:space="preserve"> resolution) of chemically-clarified </w:t>
      </w:r>
      <w:proofErr w:type="spellStart"/>
      <w:r>
        <w:rPr>
          <w:rFonts w:ascii="Times-Roman" w:hAnsi="Times-Roman" w:cs="Times-Roman"/>
        </w:rPr>
        <w:t>pancreata</w:t>
      </w:r>
      <w:proofErr w:type="spellEnd"/>
      <w:r>
        <w:rPr>
          <w:rFonts w:ascii="Times-Roman" w:hAnsi="Times-Roman" w:cs="Times-Roman"/>
        </w:rPr>
        <w:t xml:space="preserve"> double-stained for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insulin</w:t>
      </w:r>
      <w:proofErr w:type="gramEnd"/>
      <w:r>
        <w:rPr>
          <w:rFonts w:ascii="Times-Roman" w:hAnsi="Times-Roman" w:cs="Times-Roman"/>
        </w:rPr>
        <w:t xml:space="preserve"> and glucagon.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 xml:space="preserve">Results: </w:t>
      </w:r>
      <w:r>
        <w:rPr>
          <w:rFonts w:ascii="Times-Roman" w:hAnsi="Times-Roman" w:cs="Times-Roman"/>
        </w:rPr>
        <w:t xml:space="preserve">Compared to littermate controls, </w:t>
      </w:r>
      <w:r>
        <w:rPr>
          <w:rFonts w:ascii="Times-Italic" w:hAnsi="Times-Italic" w:cs="Times-Italic"/>
          <w:i/>
          <w:iCs/>
        </w:rPr>
        <w:t>Tcf7l2</w:t>
      </w:r>
      <w:r>
        <w:rPr>
          <w:rFonts w:ascii="Times-Roman" w:hAnsi="Times-Roman" w:cs="Times-Roman"/>
          <w:sz w:val="14"/>
          <w:szCs w:val="14"/>
        </w:rPr>
        <w:t>f/f</w:t>
      </w:r>
      <w:r>
        <w:rPr>
          <w:rFonts w:ascii="Times-Roman" w:hAnsi="Times-Roman" w:cs="Times-Roman"/>
        </w:rPr>
        <w:t>:</w:t>
      </w:r>
      <w:proofErr w:type="gramStart"/>
      <w:r>
        <w:rPr>
          <w:rFonts w:ascii="Times-Roman" w:hAnsi="Times-Roman" w:cs="Times-Roman"/>
        </w:rPr>
        <w:t>:Ins1</w:t>
      </w:r>
      <w:r>
        <w:rPr>
          <w:rFonts w:ascii="Times-Italic" w:hAnsi="Times-Italic" w:cs="Times-Italic"/>
          <w:i/>
          <w:iCs/>
        </w:rPr>
        <w:t>Cre</w:t>
      </w:r>
      <w:proofErr w:type="gramEnd"/>
      <w:r>
        <w:rPr>
          <w:rFonts w:ascii="Times-Roman" w:hAnsi="Times-Roman" w:cs="Times-Roman"/>
          <w:sz w:val="14"/>
          <w:szCs w:val="14"/>
        </w:rPr>
        <w:t xml:space="preserve">+ </w:t>
      </w:r>
      <w:r>
        <w:rPr>
          <w:rFonts w:ascii="Times-Roman" w:hAnsi="Times-Roman" w:cs="Times-Roman"/>
        </w:rPr>
        <w:t xml:space="preserve">mice displayed impaired </w:t>
      </w:r>
      <w:proofErr w:type="spellStart"/>
      <w:r>
        <w:rPr>
          <w:rFonts w:ascii="Times-Roman" w:hAnsi="Times-Roman" w:cs="Times-Roman"/>
        </w:rPr>
        <w:t>intraperitoneal</w:t>
      </w:r>
      <w:proofErr w:type="spellEnd"/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glucose</w:t>
      </w:r>
      <w:proofErr w:type="gramEnd"/>
      <w:r>
        <w:rPr>
          <w:rFonts w:ascii="Times-Roman" w:hAnsi="Times-Roman" w:cs="Times-Roman"/>
        </w:rPr>
        <w:t xml:space="preserve"> tolerance by 16 weeks (increase in AUC of 13.6 ± 2.8 %, n=6 mice per genotype, p&lt;0.05), and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impaired</w:t>
      </w:r>
      <w:proofErr w:type="gramEnd"/>
      <w:r>
        <w:rPr>
          <w:rFonts w:ascii="Times-Roman" w:hAnsi="Times-Roman" w:cs="Times-Roman"/>
        </w:rPr>
        <w:t xml:space="preserve"> oral glucose tolerance (increase in AUC of 10.6 ± 1.3 %, n=6, p&lt;0.05) from 8 weeks.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Glucose intolerance was thus apparent earlier than in mice deleted for </w:t>
      </w:r>
      <w:r>
        <w:rPr>
          <w:rFonts w:ascii="Times-Italic" w:hAnsi="Times-Italic" w:cs="Times-Italic"/>
          <w:i/>
          <w:iCs/>
        </w:rPr>
        <w:t xml:space="preserve">Tcf7l2 </w:t>
      </w:r>
      <w:r>
        <w:rPr>
          <w:rFonts w:ascii="Times-Roman" w:hAnsi="Times-Roman" w:cs="Times-Roman"/>
        </w:rPr>
        <w:t>throughput the pancreas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</w:t>
      </w:r>
      <w:r>
        <w:rPr>
          <w:rFonts w:ascii="Times-Italic" w:hAnsi="Times-Italic" w:cs="Times-Italic"/>
          <w:i/>
          <w:iCs/>
        </w:rPr>
        <w:t>Tcf7l2</w:t>
      </w:r>
      <w:r>
        <w:rPr>
          <w:rFonts w:ascii="Times-Roman" w:hAnsi="Times-Roman" w:cs="Times-Roman"/>
          <w:sz w:val="14"/>
          <w:szCs w:val="14"/>
        </w:rPr>
        <w:t>fl/</w:t>
      </w:r>
      <w:proofErr w:type="spellStart"/>
      <w:r>
        <w:rPr>
          <w:rFonts w:ascii="Times-Roman" w:hAnsi="Times-Roman" w:cs="Times-Roman"/>
          <w:sz w:val="14"/>
          <w:szCs w:val="14"/>
        </w:rPr>
        <w:t>fl</w:t>
      </w:r>
      <w:proofErr w:type="spellEnd"/>
      <w:r>
        <w:rPr>
          <w:rFonts w:ascii="Times-Roman" w:hAnsi="Times-Roman" w:cs="Times-Roman"/>
        </w:rPr>
        <w:t>:</w:t>
      </w:r>
      <w:proofErr w:type="gramStart"/>
      <w:r>
        <w:rPr>
          <w:rFonts w:ascii="Times-Roman" w:hAnsi="Times-Roman" w:cs="Times-Roman"/>
        </w:rPr>
        <w:t>:Pdx1.</w:t>
      </w:r>
      <w:r>
        <w:rPr>
          <w:rFonts w:ascii="Times-Italic" w:hAnsi="Times-Italic" w:cs="Times-Italic"/>
          <w:i/>
          <w:iCs/>
        </w:rPr>
        <w:t>Cre</w:t>
      </w:r>
      <w:proofErr w:type="gramEnd"/>
      <w:r>
        <w:rPr>
          <w:rFonts w:ascii="Times-Roman" w:hAnsi="Times-Roman" w:cs="Times-Roman"/>
          <w:sz w:val="14"/>
          <w:szCs w:val="14"/>
        </w:rPr>
        <w:t xml:space="preserve">+ </w:t>
      </w:r>
      <w:r>
        <w:rPr>
          <w:rFonts w:ascii="Times-Roman" w:hAnsi="Times-Roman" w:cs="Times-Roman"/>
        </w:rPr>
        <w:t>mice; observed at 20 and 12 weeks when glucose was administered by the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spellStart"/>
      <w:proofErr w:type="gramStart"/>
      <w:r>
        <w:rPr>
          <w:rFonts w:ascii="Times-Roman" w:hAnsi="Times-Roman" w:cs="Times-Roman"/>
        </w:rPr>
        <w:t>intraperitoneal</w:t>
      </w:r>
      <w:proofErr w:type="spellEnd"/>
      <w:proofErr w:type="gramEnd"/>
      <w:r>
        <w:rPr>
          <w:rFonts w:ascii="Times-Roman" w:hAnsi="Times-Roman" w:cs="Times-Roman"/>
        </w:rPr>
        <w:t xml:space="preserve"> and oral route, respectively). Islets of Langerhans isolated from </w:t>
      </w:r>
      <w:r>
        <w:rPr>
          <w:rFonts w:ascii="Times-Italic" w:hAnsi="Times-Italic" w:cs="Times-Italic"/>
          <w:i/>
          <w:iCs/>
        </w:rPr>
        <w:t>Tcf7l2</w:t>
      </w:r>
      <w:r>
        <w:rPr>
          <w:rFonts w:ascii="Times-Roman" w:hAnsi="Times-Roman" w:cs="Times-Roman"/>
          <w:sz w:val="14"/>
          <w:szCs w:val="14"/>
        </w:rPr>
        <w:t>f/f</w:t>
      </w:r>
      <w:r>
        <w:rPr>
          <w:rFonts w:ascii="Times-Roman" w:hAnsi="Times-Roman" w:cs="Times-Roman"/>
        </w:rPr>
        <w:t>:</w:t>
      </w:r>
      <w:proofErr w:type="gramStart"/>
      <w:r>
        <w:rPr>
          <w:rFonts w:ascii="Times-Roman" w:hAnsi="Times-Roman" w:cs="Times-Roman"/>
        </w:rPr>
        <w:t>:Ins1</w:t>
      </w:r>
      <w:r>
        <w:rPr>
          <w:rFonts w:ascii="Times-Italic" w:hAnsi="Times-Italic" w:cs="Times-Italic"/>
          <w:i/>
          <w:iCs/>
        </w:rPr>
        <w:t>Cre</w:t>
      </w:r>
      <w:proofErr w:type="gramEnd"/>
      <w:r>
        <w:rPr>
          <w:rFonts w:ascii="Times-Roman" w:hAnsi="Times-Roman" w:cs="Times-Roman"/>
          <w:sz w:val="14"/>
          <w:szCs w:val="14"/>
        </w:rPr>
        <w:t xml:space="preserve">+ </w:t>
      </w:r>
      <w:r>
        <w:rPr>
          <w:rFonts w:ascii="Times-Roman" w:hAnsi="Times-Roman" w:cs="Times-Roman"/>
        </w:rPr>
        <w:t>mice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at</w:t>
      </w:r>
      <w:proofErr w:type="gramEnd"/>
      <w:r>
        <w:rPr>
          <w:rFonts w:ascii="Times-Roman" w:hAnsi="Times-Roman" w:cs="Times-Roman"/>
        </w:rPr>
        <w:t xml:space="preserve"> 20 weeks displayed impaired glucose (p&lt;0.05) and GLP-1-(p&lt;0.05) stimulated insulin secretion,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lastRenderedPageBreak/>
        <w:t>and</w:t>
      </w:r>
      <w:proofErr w:type="gramEnd"/>
      <w:r>
        <w:rPr>
          <w:rFonts w:ascii="Times-Roman" w:hAnsi="Times-Roman" w:cs="Times-Roman"/>
        </w:rPr>
        <w:t xml:space="preserve"> decreased insulin and GLP-1 receptor gene expression (p&lt;0.01). Similarly, when maintained on a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HFD, </w:t>
      </w:r>
      <w:r>
        <w:rPr>
          <w:rFonts w:ascii="Times-Italic" w:hAnsi="Times-Italic" w:cs="Times-Italic"/>
          <w:i/>
          <w:iCs/>
        </w:rPr>
        <w:t>Tcf7l2</w:t>
      </w:r>
      <w:r>
        <w:rPr>
          <w:rFonts w:ascii="Times-Roman" w:hAnsi="Times-Roman" w:cs="Times-Roman"/>
          <w:sz w:val="14"/>
          <w:szCs w:val="14"/>
        </w:rPr>
        <w:t>f/f</w:t>
      </w:r>
      <w:r>
        <w:rPr>
          <w:rFonts w:ascii="Times-Roman" w:hAnsi="Times-Roman" w:cs="Times-Roman"/>
        </w:rPr>
        <w:t>:</w:t>
      </w:r>
      <w:proofErr w:type="gramStart"/>
      <w:r>
        <w:rPr>
          <w:rFonts w:ascii="Times-Roman" w:hAnsi="Times-Roman" w:cs="Times-Roman"/>
        </w:rPr>
        <w:t>:Ins1</w:t>
      </w:r>
      <w:r>
        <w:rPr>
          <w:rFonts w:ascii="Times-Italic" w:hAnsi="Times-Italic" w:cs="Times-Italic"/>
          <w:i/>
          <w:iCs/>
        </w:rPr>
        <w:t>Cre</w:t>
      </w:r>
      <w:proofErr w:type="gramEnd"/>
      <w:r>
        <w:rPr>
          <w:rFonts w:ascii="Times-Roman" w:hAnsi="Times-Roman" w:cs="Times-Roman"/>
          <w:sz w:val="14"/>
          <w:szCs w:val="14"/>
        </w:rPr>
        <w:t xml:space="preserve">+ </w:t>
      </w:r>
      <w:r>
        <w:rPr>
          <w:rFonts w:ascii="Times-Roman" w:hAnsi="Times-Roman" w:cs="Times-Roman"/>
        </w:rPr>
        <w:t>mice displayed impaired glucose tolerance, and lower plasma insulin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following</w:t>
      </w:r>
      <w:proofErr w:type="gramEnd"/>
      <w:r>
        <w:rPr>
          <w:rFonts w:ascii="Times-Roman" w:hAnsi="Times-Roman" w:cs="Times-Roman"/>
        </w:rPr>
        <w:t xml:space="preserve"> an </w:t>
      </w:r>
      <w:proofErr w:type="spellStart"/>
      <w:r>
        <w:rPr>
          <w:rFonts w:ascii="Times-Roman" w:hAnsi="Times-Roman" w:cs="Times-Roman"/>
        </w:rPr>
        <w:t>intraperitoneal</w:t>
      </w:r>
      <w:proofErr w:type="spellEnd"/>
      <w:r>
        <w:rPr>
          <w:rFonts w:ascii="Times-Roman" w:hAnsi="Times-Roman" w:cs="Times-Roman"/>
        </w:rPr>
        <w:t xml:space="preserve"> glucose tolerance test, than littermate controls, and impaired GLP-1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stimulated</w:t>
      </w:r>
      <w:proofErr w:type="gramEnd"/>
      <w:r>
        <w:rPr>
          <w:rFonts w:ascii="Times-Roman" w:hAnsi="Times-Roman" w:cs="Times-Roman"/>
        </w:rPr>
        <w:t xml:space="preserve"> insulin secretion (p&lt;0.01) and cytosolic calcium increases (p&lt;0.03). 20 week-old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Italic" w:hAnsi="Times-Italic" w:cs="Times-Italic"/>
          <w:i/>
          <w:iCs/>
        </w:rPr>
        <w:t>Tcf7l2</w:t>
      </w:r>
      <w:r>
        <w:rPr>
          <w:rFonts w:ascii="Times-Roman" w:hAnsi="Times-Roman" w:cs="Times-Roman"/>
          <w:sz w:val="14"/>
          <w:szCs w:val="14"/>
        </w:rPr>
        <w:t>f/f</w:t>
      </w:r>
      <w:r>
        <w:rPr>
          <w:rFonts w:ascii="Times-Roman" w:hAnsi="Times-Roman" w:cs="Times-Roman"/>
        </w:rPr>
        <w:t>:</w:t>
      </w:r>
      <w:proofErr w:type="gramStart"/>
      <w:r>
        <w:rPr>
          <w:rFonts w:ascii="Times-Roman" w:hAnsi="Times-Roman" w:cs="Times-Roman"/>
        </w:rPr>
        <w:t>:Ins1</w:t>
      </w:r>
      <w:r>
        <w:rPr>
          <w:rFonts w:ascii="Times-Italic" w:hAnsi="Times-Italic" w:cs="Times-Italic"/>
          <w:i/>
          <w:iCs/>
        </w:rPr>
        <w:t>Cre</w:t>
      </w:r>
      <w:proofErr w:type="gramEnd"/>
      <w:r>
        <w:rPr>
          <w:rFonts w:ascii="Times-Roman" w:hAnsi="Times-Roman" w:cs="Times-Roman"/>
          <w:sz w:val="14"/>
          <w:szCs w:val="14"/>
        </w:rPr>
        <w:t xml:space="preserve">+ </w:t>
      </w:r>
      <w:r>
        <w:rPr>
          <w:rFonts w:ascii="Times-Roman" w:hAnsi="Times-Roman" w:cs="Times-Roman"/>
        </w:rPr>
        <w:t>mice that had been maintained on HFD for 12 weeks also displayed decreased (n=4,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31.7%, p&lt;0.05) beta cell mass, but normal alpha cell mass, compared to littermate controls.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 xml:space="preserve">Conclusion: </w:t>
      </w:r>
      <w:r>
        <w:rPr>
          <w:rFonts w:ascii="Times-Roman" w:hAnsi="Times-Roman" w:cs="Times-Roman"/>
        </w:rPr>
        <w:t>These findings provide further support for the view that type 2 diabetes-associated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Italic" w:hAnsi="Times-Italic" w:cs="Times-Italic"/>
          <w:i/>
          <w:iCs/>
        </w:rPr>
        <w:t xml:space="preserve">TCF7L2 </w:t>
      </w:r>
      <w:r>
        <w:rPr>
          <w:rFonts w:ascii="Times-Roman" w:hAnsi="Times-Roman" w:cs="Times-Roman"/>
        </w:rPr>
        <w:t>variants may exert their effects, at least in part, through cell autonomous actions on the beta</w:t>
      </w:r>
    </w:p>
    <w:p w:rsidR="0080362D" w:rsidRDefault="0080362D" w:rsidP="008036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cell</w:t>
      </w:r>
      <w:proofErr w:type="gramEnd"/>
      <w:r>
        <w:rPr>
          <w:rFonts w:ascii="Times-Roman" w:hAnsi="Times-Roman" w:cs="Times-Roman"/>
        </w:rPr>
        <w:t>. These include impairments in Ca</w:t>
      </w:r>
      <w:r>
        <w:rPr>
          <w:rFonts w:ascii="Times-Roman" w:hAnsi="Times-Roman" w:cs="Times-Roman"/>
          <w:sz w:val="14"/>
          <w:szCs w:val="14"/>
        </w:rPr>
        <w:t xml:space="preserve">2+ </w:t>
      </w:r>
      <w:r>
        <w:rPr>
          <w:rFonts w:ascii="Times-Roman" w:hAnsi="Times-Roman" w:cs="Times-Roman"/>
        </w:rPr>
        <w:t>signalling, and expansion in response to insulin resistance.</w:t>
      </w:r>
    </w:p>
    <w:p w:rsidR="00313AA8" w:rsidRDefault="0080362D" w:rsidP="0080362D">
      <w:proofErr w:type="gramStart"/>
      <w:r>
        <w:rPr>
          <w:rFonts w:ascii="Times-Italic" w:hAnsi="Times-Italic" w:cs="Times-Italic"/>
          <w:i/>
          <w:iCs/>
        </w:rPr>
        <w:t>Supported by: MRC, Wellcome Trust, Royal Society, Diabetes U.K.</w:t>
      </w:r>
      <w:proofErr w:type="gramEnd"/>
    </w:p>
    <w:sectPr w:rsidR="00313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2D"/>
    <w:rsid w:val="004F79CC"/>
    <w:rsid w:val="0080362D"/>
    <w:rsid w:val="00E8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Cyrus, Kim T</dc:creator>
  <cp:lastModifiedBy>Cyrus, Kim T</cp:lastModifiedBy>
  <cp:revision>1</cp:revision>
  <dcterms:created xsi:type="dcterms:W3CDTF">2016-08-11T10:21:00Z</dcterms:created>
  <dcterms:modified xsi:type="dcterms:W3CDTF">2016-08-11T10:21:00Z</dcterms:modified>
</cp:coreProperties>
</file>