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53" w:rsidRDefault="00366E53" w:rsidP="00214A60">
      <w:pPr>
        <w:pStyle w:val="Normal1"/>
        <w:spacing w:before="360"/>
        <w:jc w:val="left"/>
      </w:pPr>
      <w:bookmarkStart w:id="0" w:name="_GoBack"/>
      <w:bookmarkEnd w:id="0"/>
      <w:r>
        <w:rPr>
          <w:b/>
          <w:sz w:val="34"/>
          <w:szCs w:val="34"/>
        </w:rPr>
        <w:t>C4MIP</w:t>
      </w:r>
      <w:r w:rsidR="0065339D">
        <w:rPr>
          <w:b/>
          <w:sz w:val="34"/>
          <w:szCs w:val="34"/>
        </w:rPr>
        <w:t xml:space="preserve"> – The Coupled Climate Carbon Cycle Model Intercomparison Project:</w:t>
      </w:r>
      <w:r>
        <w:rPr>
          <w:b/>
          <w:sz w:val="34"/>
          <w:szCs w:val="34"/>
        </w:rPr>
        <w:t xml:space="preserve"> experimental protocol for CMIP6</w:t>
      </w:r>
    </w:p>
    <w:p w:rsidR="00366E53" w:rsidRDefault="00366E53" w:rsidP="00366E53">
      <w:pPr>
        <w:pStyle w:val="Normal1"/>
        <w:spacing w:before="180" w:line="240" w:lineRule="auto"/>
      </w:pPr>
      <w:r>
        <w:rPr>
          <w:sz w:val="24"/>
          <w:szCs w:val="24"/>
        </w:rPr>
        <w:t>Chris D. Jones</w:t>
      </w:r>
      <w:r>
        <w:rPr>
          <w:sz w:val="24"/>
          <w:szCs w:val="24"/>
          <w:vertAlign w:val="superscript"/>
        </w:rPr>
        <w:t>1</w:t>
      </w:r>
      <w:r>
        <w:rPr>
          <w:sz w:val="24"/>
          <w:szCs w:val="24"/>
        </w:rPr>
        <w:t>, Vivek Arora</w:t>
      </w:r>
      <w:r>
        <w:rPr>
          <w:sz w:val="24"/>
          <w:szCs w:val="24"/>
          <w:vertAlign w:val="superscript"/>
        </w:rPr>
        <w:t>2</w:t>
      </w:r>
      <w:r>
        <w:rPr>
          <w:sz w:val="24"/>
          <w:szCs w:val="24"/>
        </w:rPr>
        <w:t>, Pierre Friedlingstein</w:t>
      </w:r>
      <w:r>
        <w:rPr>
          <w:sz w:val="24"/>
          <w:szCs w:val="24"/>
          <w:vertAlign w:val="superscript"/>
        </w:rPr>
        <w:t>3</w:t>
      </w:r>
      <w:r>
        <w:rPr>
          <w:sz w:val="24"/>
          <w:szCs w:val="24"/>
        </w:rPr>
        <w:t>, Laurent Bopp</w:t>
      </w:r>
      <w:r>
        <w:rPr>
          <w:sz w:val="24"/>
          <w:szCs w:val="24"/>
          <w:vertAlign w:val="superscript"/>
        </w:rPr>
        <w:t>4</w:t>
      </w:r>
      <w:r>
        <w:rPr>
          <w:sz w:val="24"/>
          <w:szCs w:val="24"/>
        </w:rPr>
        <w:t>, Victor Brovkin</w:t>
      </w:r>
      <w:r>
        <w:rPr>
          <w:sz w:val="24"/>
          <w:szCs w:val="24"/>
          <w:vertAlign w:val="superscript"/>
        </w:rPr>
        <w:t>5</w:t>
      </w:r>
      <w:r>
        <w:rPr>
          <w:sz w:val="24"/>
          <w:szCs w:val="24"/>
        </w:rPr>
        <w:t>, John Dunne</w:t>
      </w:r>
      <w:r>
        <w:rPr>
          <w:sz w:val="24"/>
          <w:szCs w:val="24"/>
          <w:vertAlign w:val="superscript"/>
        </w:rPr>
        <w:t>6</w:t>
      </w:r>
      <w:r>
        <w:rPr>
          <w:sz w:val="24"/>
          <w:szCs w:val="24"/>
        </w:rPr>
        <w:t>, Heather Graven</w:t>
      </w:r>
      <w:r>
        <w:rPr>
          <w:sz w:val="24"/>
          <w:szCs w:val="24"/>
          <w:vertAlign w:val="superscript"/>
        </w:rPr>
        <w:t>7</w:t>
      </w:r>
      <w:r>
        <w:rPr>
          <w:sz w:val="24"/>
          <w:szCs w:val="24"/>
        </w:rPr>
        <w:t>, Forrest Hoffman</w:t>
      </w:r>
      <w:r>
        <w:rPr>
          <w:sz w:val="24"/>
          <w:szCs w:val="24"/>
          <w:vertAlign w:val="superscript"/>
        </w:rPr>
        <w:t>8</w:t>
      </w:r>
      <w:r>
        <w:rPr>
          <w:sz w:val="24"/>
          <w:szCs w:val="24"/>
        </w:rPr>
        <w:t>, Tatiana Ilyina</w:t>
      </w:r>
      <w:r>
        <w:rPr>
          <w:sz w:val="24"/>
          <w:szCs w:val="24"/>
          <w:vertAlign w:val="superscript"/>
        </w:rPr>
        <w:t>5</w:t>
      </w:r>
      <w:r>
        <w:rPr>
          <w:sz w:val="24"/>
          <w:szCs w:val="24"/>
        </w:rPr>
        <w:t>, Jasmin G. John</w:t>
      </w:r>
      <w:r>
        <w:rPr>
          <w:sz w:val="24"/>
          <w:szCs w:val="24"/>
          <w:vertAlign w:val="superscript"/>
        </w:rPr>
        <w:t>6</w:t>
      </w:r>
      <w:r>
        <w:rPr>
          <w:sz w:val="24"/>
          <w:szCs w:val="24"/>
        </w:rPr>
        <w:t>, Martin Jung</w:t>
      </w:r>
      <w:r>
        <w:rPr>
          <w:sz w:val="24"/>
          <w:szCs w:val="24"/>
          <w:vertAlign w:val="superscript"/>
        </w:rPr>
        <w:t>9</w:t>
      </w:r>
      <w:r>
        <w:rPr>
          <w:sz w:val="24"/>
          <w:szCs w:val="24"/>
        </w:rPr>
        <w:t>, Michio Kawamiya</w:t>
      </w:r>
      <w:r>
        <w:rPr>
          <w:sz w:val="24"/>
          <w:szCs w:val="24"/>
          <w:vertAlign w:val="superscript"/>
        </w:rPr>
        <w:t>10</w:t>
      </w:r>
      <w:r>
        <w:rPr>
          <w:sz w:val="24"/>
          <w:szCs w:val="24"/>
        </w:rPr>
        <w:t>, Charlie Koven</w:t>
      </w:r>
      <w:r>
        <w:rPr>
          <w:sz w:val="24"/>
          <w:szCs w:val="24"/>
          <w:vertAlign w:val="superscript"/>
        </w:rPr>
        <w:t>11</w:t>
      </w:r>
      <w:r>
        <w:rPr>
          <w:sz w:val="24"/>
          <w:szCs w:val="24"/>
        </w:rPr>
        <w:t>, Julia Pongratz</w:t>
      </w:r>
      <w:r>
        <w:rPr>
          <w:sz w:val="24"/>
          <w:szCs w:val="24"/>
          <w:vertAlign w:val="superscript"/>
        </w:rPr>
        <w:t>5</w:t>
      </w:r>
      <w:r>
        <w:rPr>
          <w:sz w:val="24"/>
          <w:szCs w:val="24"/>
        </w:rPr>
        <w:t>, Thomas Raddatz</w:t>
      </w:r>
      <w:r>
        <w:rPr>
          <w:sz w:val="24"/>
          <w:szCs w:val="24"/>
          <w:vertAlign w:val="superscript"/>
        </w:rPr>
        <w:t>5</w:t>
      </w:r>
      <w:r>
        <w:rPr>
          <w:sz w:val="24"/>
          <w:szCs w:val="24"/>
        </w:rPr>
        <w:t>, J</w:t>
      </w:r>
      <w:r w:rsidR="00CF73E7">
        <w:rPr>
          <w:sz w:val="24"/>
          <w:szCs w:val="24"/>
        </w:rPr>
        <w:t>ames T.</w:t>
      </w:r>
      <w:r>
        <w:rPr>
          <w:sz w:val="24"/>
          <w:szCs w:val="24"/>
        </w:rPr>
        <w:t xml:space="preserve"> Randerson</w:t>
      </w:r>
      <w:r>
        <w:rPr>
          <w:sz w:val="24"/>
          <w:szCs w:val="24"/>
          <w:vertAlign w:val="superscript"/>
        </w:rPr>
        <w:t>12</w:t>
      </w:r>
      <w:r>
        <w:rPr>
          <w:sz w:val="24"/>
          <w:szCs w:val="24"/>
        </w:rPr>
        <w:t>, Sönke Zaehle</w:t>
      </w:r>
      <w:r>
        <w:rPr>
          <w:sz w:val="24"/>
          <w:szCs w:val="24"/>
          <w:vertAlign w:val="superscript"/>
        </w:rPr>
        <w:t>9</w:t>
      </w:r>
    </w:p>
    <w:p w:rsidR="00366E53" w:rsidRDefault="00366E53" w:rsidP="00366E53">
      <w:pPr>
        <w:pStyle w:val="Normal1"/>
        <w:spacing w:line="240" w:lineRule="auto"/>
        <w:rPr>
          <w:vertAlign w:val="superscript"/>
        </w:rPr>
      </w:pPr>
    </w:p>
    <w:p w:rsidR="00366E53" w:rsidRDefault="00366E53" w:rsidP="00214A60">
      <w:pPr>
        <w:pStyle w:val="Normal1"/>
        <w:spacing w:before="120" w:line="240" w:lineRule="auto"/>
      </w:pPr>
      <w:r>
        <w:rPr>
          <w:vertAlign w:val="superscript"/>
        </w:rPr>
        <w:t>1</w:t>
      </w:r>
      <w:r>
        <w:t>Met Office Hadley Centre, Exeter</w:t>
      </w:r>
      <w:r w:rsidR="00214A60">
        <w:t>, EX1 3PB</w:t>
      </w:r>
      <w:r>
        <w:t>, UK</w:t>
      </w:r>
    </w:p>
    <w:p w:rsidR="00366E53" w:rsidRDefault="00366E53" w:rsidP="00214A60">
      <w:pPr>
        <w:pStyle w:val="Normal1"/>
        <w:spacing w:before="120" w:line="240" w:lineRule="auto"/>
      </w:pPr>
      <w:r>
        <w:rPr>
          <w:vertAlign w:val="superscript"/>
        </w:rPr>
        <w:t>2</w:t>
      </w:r>
      <w:r>
        <w:t>Canadian Centre for Climate Modelling and Analysis, Climate Research Division, Environment and Climate Change Canada</w:t>
      </w:r>
    </w:p>
    <w:p w:rsidR="00366E53" w:rsidRDefault="00366E53" w:rsidP="00214A60">
      <w:pPr>
        <w:pStyle w:val="Normal1"/>
        <w:spacing w:before="120" w:line="240" w:lineRule="auto"/>
      </w:pPr>
      <w:r>
        <w:rPr>
          <w:vertAlign w:val="superscript"/>
        </w:rPr>
        <w:t xml:space="preserve">3 </w:t>
      </w:r>
      <w:r>
        <w:t>College of Engineering, Mathematics and Physical Sciences, University of Exeter, Exeter, EX4 4QF, United Kingdom</w:t>
      </w:r>
    </w:p>
    <w:p w:rsidR="00366E53" w:rsidRDefault="00366E53" w:rsidP="00214A60">
      <w:pPr>
        <w:pStyle w:val="Normal1"/>
        <w:spacing w:before="120" w:line="240" w:lineRule="auto"/>
      </w:pPr>
      <w:r>
        <w:rPr>
          <w:vertAlign w:val="superscript"/>
        </w:rPr>
        <w:t xml:space="preserve">4 </w:t>
      </w:r>
      <w:r>
        <w:t>Laboratoire des Sciences du Climat et de l’Environnement, LSCE/IPSL, CEA-CNRS-UVSQ, Université Paris-Saclay, F-91191 Gif-sur-Yvette, France</w:t>
      </w:r>
    </w:p>
    <w:p w:rsidR="00366E53" w:rsidRDefault="00366E53" w:rsidP="00214A60">
      <w:pPr>
        <w:pStyle w:val="Normal1"/>
        <w:spacing w:before="120" w:line="240" w:lineRule="auto"/>
      </w:pPr>
      <w:r>
        <w:rPr>
          <w:sz w:val="24"/>
          <w:szCs w:val="24"/>
          <w:vertAlign w:val="superscript"/>
        </w:rPr>
        <w:t>5</w:t>
      </w:r>
      <w:r>
        <w:t>Max Planck Institute for Meteorology</w:t>
      </w:r>
    </w:p>
    <w:p w:rsidR="00366E53" w:rsidRDefault="00366E53" w:rsidP="00214A60">
      <w:pPr>
        <w:pStyle w:val="Normal1"/>
        <w:spacing w:before="120" w:line="240" w:lineRule="auto"/>
      </w:pPr>
      <w:r>
        <w:rPr>
          <w:sz w:val="24"/>
          <w:szCs w:val="24"/>
          <w:vertAlign w:val="superscript"/>
        </w:rPr>
        <w:t>6</w:t>
      </w:r>
      <w:r>
        <w:t>NOAA/GFDL, Princeton, NJ, USA</w:t>
      </w:r>
    </w:p>
    <w:p w:rsidR="00366E53" w:rsidRDefault="00366E53" w:rsidP="00214A60">
      <w:pPr>
        <w:pStyle w:val="Normal1"/>
        <w:spacing w:before="120" w:line="240" w:lineRule="auto"/>
      </w:pPr>
      <w:r>
        <w:rPr>
          <w:vertAlign w:val="superscript"/>
        </w:rPr>
        <w:t xml:space="preserve">7 </w:t>
      </w:r>
      <w:r>
        <w:t>Department of Physics and Grantham Institute, Imperial College London, UK</w:t>
      </w:r>
    </w:p>
    <w:p w:rsidR="00366E53" w:rsidRDefault="00366E53" w:rsidP="00214A60">
      <w:pPr>
        <w:pStyle w:val="Normal1"/>
        <w:spacing w:before="120" w:line="240" w:lineRule="auto"/>
      </w:pPr>
      <w:r>
        <w:rPr>
          <w:sz w:val="24"/>
          <w:szCs w:val="24"/>
          <w:vertAlign w:val="superscript"/>
        </w:rPr>
        <w:t>8</w:t>
      </w:r>
      <w:r>
        <w:t>Oak Ridge National Lab., TN, USA</w:t>
      </w:r>
    </w:p>
    <w:p w:rsidR="00366E53" w:rsidRDefault="00366E53" w:rsidP="00214A60">
      <w:pPr>
        <w:pStyle w:val="Normal1"/>
        <w:spacing w:before="120" w:line="240" w:lineRule="auto"/>
      </w:pPr>
      <w:r>
        <w:rPr>
          <w:sz w:val="24"/>
          <w:szCs w:val="24"/>
          <w:vertAlign w:val="superscript"/>
        </w:rPr>
        <w:t>9</w:t>
      </w:r>
      <w:r>
        <w:t xml:space="preserve"> Biogeochemical Integration Department, Max Planck Institute for Biogeochemistry, D-07745 Jena, Germany</w:t>
      </w:r>
    </w:p>
    <w:p w:rsidR="00366E53" w:rsidRDefault="00366E53" w:rsidP="00214A60">
      <w:pPr>
        <w:pStyle w:val="Normal1"/>
        <w:spacing w:before="120" w:line="240" w:lineRule="auto"/>
      </w:pPr>
      <w:r>
        <w:rPr>
          <w:sz w:val="24"/>
          <w:szCs w:val="24"/>
          <w:vertAlign w:val="superscript"/>
        </w:rPr>
        <w:t>10</w:t>
      </w:r>
      <w:r>
        <w:t xml:space="preserve">Japan Agency for Marine-Earth </w:t>
      </w:r>
      <w:r w:rsidR="00D034E6">
        <w:t xml:space="preserve">Science </w:t>
      </w:r>
      <w:r>
        <w:t>and Technology, Japan</w:t>
      </w:r>
    </w:p>
    <w:p w:rsidR="00366E53" w:rsidRDefault="00366E53" w:rsidP="00214A60">
      <w:pPr>
        <w:pStyle w:val="Normal1"/>
        <w:spacing w:before="120" w:line="240" w:lineRule="auto"/>
      </w:pPr>
      <w:r>
        <w:rPr>
          <w:sz w:val="24"/>
          <w:szCs w:val="24"/>
          <w:vertAlign w:val="superscript"/>
        </w:rPr>
        <w:t>11</w:t>
      </w:r>
      <w:r>
        <w:t>Earth Sciences Division, Lawrence Berkeley National Laboratory, Berkeley, California, USA</w:t>
      </w:r>
    </w:p>
    <w:p w:rsidR="00366E53" w:rsidRDefault="00366E53" w:rsidP="00214A60">
      <w:pPr>
        <w:pStyle w:val="Normal1"/>
        <w:spacing w:before="120" w:line="240" w:lineRule="auto"/>
      </w:pPr>
      <w:r>
        <w:rPr>
          <w:sz w:val="24"/>
          <w:szCs w:val="24"/>
          <w:vertAlign w:val="superscript"/>
        </w:rPr>
        <w:t>12</w:t>
      </w:r>
      <w:r>
        <w:t>Department of Earth System Science, University of California, Irvine, USA</w:t>
      </w:r>
    </w:p>
    <w:p w:rsidR="00366E53" w:rsidRDefault="00366E53" w:rsidP="00366E53">
      <w:pPr>
        <w:pStyle w:val="Normal1"/>
        <w:spacing w:before="180" w:line="240" w:lineRule="auto"/>
      </w:pPr>
      <w:r>
        <w:tab/>
      </w:r>
      <w:r>
        <w:tab/>
      </w:r>
      <w:r>
        <w:tab/>
      </w:r>
      <w:r>
        <w:tab/>
      </w:r>
      <w:r>
        <w:tab/>
      </w:r>
      <w:r>
        <w:tab/>
      </w:r>
      <w:r>
        <w:tab/>
      </w:r>
      <w:r>
        <w:tab/>
      </w:r>
      <w:r>
        <w:tab/>
      </w:r>
    </w:p>
    <w:p w:rsidR="00366E53" w:rsidRDefault="00366E53" w:rsidP="00366E53">
      <w:pPr>
        <w:pStyle w:val="Normal1"/>
        <w:spacing w:before="120" w:after="360" w:line="240" w:lineRule="auto"/>
      </w:pPr>
      <w:r>
        <w:rPr>
          <w:i/>
        </w:rPr>
        <w:t>Correspondence to</w:t>
      </w:r>
      <w:r>
        <w:t>: C.D. Jones (chris.d.jones@metoffice.gov.uk)</w:t>
      </w:r>
    </w:p>
    <w:p w:rsidR="00366E53" w:rsidRDefault="000A1B66" w:rsidP="00366E53">
      <w:r w:rsidRPr="000A1B66">
        <w:rPr>
          <w:b/>
        </w:rPr>
        <w:t>Abstract.</w:t>
      </w:r>
      <w:r>
        <w:t xml:space="preserve"> </w:t>
      </w:r>
      <w:r w:rsidR="00366E53">
        <w:t>Coordinated experimental design and implementation has become a cornerstone of global climate modelling. Model Intercomparison Projects (MIPs) enable systematic and robust analysis of results across many models</w:t>
      </w:r>
      <w:r w:rsidR="001F3919">
        <w:t>,</w:t>
      </w:r>
      <w:r w:rsidR="00366E53">
        <w:t xml:space="preserve"> </w:t>
      </w:r>
      <w:r w:rsidR="001F3919">
        <w:t>by reducing the influence of</w:t>
      </w:r>
      <w:r w:rsidR="00366E53">
        <w:t xml:space="preserve"> ad-hoc differences in model set-up or experimental boundary conditions. </w:t>
      </w:r>
      <w:r w:rsidR="001F3919">
        <w:t>As it enters its 6</w:t>
      </w:r>
      <w:r w:rsidR="008F2EDB" w:rsidRPr="008F2EDB">
        <w:rPr>
          <w:vertAlign w:val="superscript"/>
        </w:rPr>
        <w:t>th</w:t>
      </w:r>
      <w:r w:rsidR="001F3919">
        <w:t xml:space="preserve"> phase, </w:t>
      </w:r>
      <w:r w:rsidR="00366E53">
        <w:t>the Coupled Model Intercomparison Project (CMIP</w:t>
      </w:r>
      <w:r w:rsidR="005A5A29">
        <w:t>6</w:t>
      </w:r>
      <w:r w:rsidR="00366E53">
        <w:t xml:space="preserve">) has grown significantly in scope </w:t>
      </w:r>
      <w:r w:rsidR="001F3919">
        <w:lastRenderedPageBreak/>
        <w:t>with</w:t>
      </w:r>
      <w:r w:rsidR="00366E53">
        <w:t xml:space="preserve"> the design and documentation of individual simulations </w:t>
      </w:r>
      <w:r w:rsidR="00547C7B">
        <w:t xml:space="preserve">delegated </w:t>
      </w:r>
      <w:r w:rsidR="00366E53">
        <w:t>to individual climate science communities.</w:t>
      </w:r>
    </w:p>
    <w:p w:rsidR="00366E53" w:rsidRDefault="00366E53" w:rsidP="00366E53"/>
    <w:p w:rsidR="00366E53" w:rsidRDefault="00366E53" w:rsidP="00366E53">
      <w:r>
        <w:t>The Coupled Climate-Carbon Cycle Model Intercomparison Project (C4MIP) takes responsibility for design, documentation and analysis of carbon cycle feedbacks and interactions in climate simulations. These feedbacks are potentially large and play a leading order contribution in determining the atmospheric composition in response to human emissions of CO</w:t>
      </w:r>
      <w:r>
        <w:rPr>
          <w:vertAlign w:val="subscript"/>
        </w:rPr>
        <w:t>2</w:t>
      </w:r>
      <w:r>
        <w:t xml:space="preserve"> and in the setting of emissions targets to stabilise climate or avoid dangerous climate change. For over a decade C4MIP has coordinated coupled climate-carbon cycle simulations</w:t>
      </w:r>
      <w:r w:rsidR="00F04608">
        <w:t>,</w:t>
      </w:r>
      <w:r>
        <w:t xml:space="preserve"> and in this paper we describe the C4MIP simulations that will be formally part of CMIP6. While the climate-carbon cycle community has </w:t>
      </w:r>
      <w:r w:rsidR="00F04608">
        <w:t xml:space="preserve">created </w:t>
      </w:r>
      <w:r>
        <w:t>this experimental design</w:t>
      </w:r>
      <w:r w:rsidR="00F04608">
        <w:t>,</w:t>
      </w:r>
      <w:r>
        <w:t xml:space="preserve"> the simulations also fit </w:t>
      </w:r>
      <w:r w:rsidR="00F04608">
        <w:t xml:space="preserve">within </w:t>
      </w:r>
      <w:r>
        <w:t>the wider CMIP activity</w:t>
      </w:r>
      <w:r w:rsidR="00F04608">
        <w:t>,</w:t>
      </w:r>
      <w:r>
        <w:t xml:space="preserve"> conform to some common standards </w:t>
      </w:r>
      <w:r w:rsidR="00F04608">
        <w:t>including</w:t>
      </w:r>
      <w:r>
        <w:t xml:space="preserve"> documentation and diagnostic requests</w:t>
      </w:r>
      <w:r w:rsidR="00F04608">
        <w:t xml:space="preserve"> </w:t>
      </w:r>
      <w:r>
        <w:t xml:space="preserve"> and are designed to complement the CMIP core experiments known as the DECK.</w:t>
      </w:r>
    </w:p>
    <w:p w:rsidR="00366E53" w:rsidRDefault="00366E53" w:rsidP="00366E53"/>
    <w:p w:rsidR="00366E53" w:rsidRDefault="00366E53" w:rsidP="00366E53">
      <w:r>
        <w:t>C4MIP has 3 key strands of scientific motivation and the requested simulations are designed to satisfy their needs: (1) pre-industrial and historical simulations (formally part of the common set of CMIP6 experiments) to enable model evaluation; (2) idealised coupled and partially-coupled simulations with 1% per year increases in CO</w:t>
      </w:r>
      <w:r>
        <w:rPr>
          <w:vertAlign w:val="subscript"/>
        </w:rPr>
        <w:t>2</w:t>
      </w:r>
      <w:r>
        <w:t xml:space="preserve"> to enable diagnosis of feedback strength and its components; (3) future scenario simulations to project how the Earth System will respond </w:t>
      </w:r>
      <w:r w:rsidR="006109EC">
        <w:t xml:space="preserve">to anthropogenic activity </w:t>
      </w:r>
      <w:r>
        <w:t>over the 21</w:t>
      </w:r>
      <w:r>
        <w:rPr>
          <w:vertAlign w:val="superscript"/>
        </w:rPr>
        <w:t>st</w:t>
      </w:r>
      <w:r>
        <w:t xml:space="preserve"> century and beyond.</w:t>
      </w:r>
    </w:p>
    <w:p w:rsidR="00366E53" w:rsidRDefault="00366E53" w:rsidP="00366E53"/>
    <w:p w:rsidR="00366E53" w:rsidRDefault="00366E53" w:rsidP="00366E53">
      <w:r>
        <w:t>This paper documents in detail these simulations, explains their rationale and planned analysis, and describes how to set-up and run the simulations. Particular attention is paid to boundary conditions</w:t>
      </w:r>
      <w:r w:rsidR="00F04608">
        <w:t xml:space="preserve">, </w:t>
      </w:r>
      <w:r>
        <w:t xml:space="preserve">input data and </w:t>
      </w:r>
      <w:r w:rsidR="00F04608">
        <w:t xml:space="preserve">requested </w:t>
      </w:r>
      <w:r>
        <w:t>output diagnostics. It is important that modelling groups participating in C4MIP adhere as closely as possible to this experimental design.</w:t>
      </w:r>
    </w:p>
    <w:p w:rsidR="00366E53" w:rsidRDefault="00366E53" w:rsidP="00366E53"/>
    <w:p w:rsidR="00366E53" w:rsidRDefault="00366E53" w:rsidP="00366E53">
      <w:r>
        <w:t>Keywords: Climate and Earth system modelling, CMIP6</w:t>
      </w:r>
      <w:r w:rsidR="0065339D">
        <w:t>, Global Carbon Cycle, Climate Change</w:t>
      </w:r>
      <w:r>
        <w:br w:type="page"/>
      </w:r>
    </w:p>
    <w:p w:rsidR="00C82F79" w:rsidRDefault="00C82F79" w:rsidP="00C82F79">
      <w:pPr>
        <w:pStyle w:val="Heading1"/>
      </w:pPr>
      <w:r>
        <w:lastRenderedPageBreak/>
        <w:t xml:space="preserve">1 </w:t>
      </w:r>
      <w:r w:rsidR="00366E53">
        <w:t>Introduction</w:t>
      </w:r>
    </w:p>
    <w:p w:rsidR="00366E53" w:rsidRDefault="00366E53" w:rsidP="00366E53">
      <w:pPr>
        <w:pStyle w:val="Normal1"/>
      </w:pPr>
      <w:r>
        <w:t>Over the industrial era since about 1750, it is estimated that cumulative anthropogenic carbon emissions from fossil fuels and cement (405</w:t>
      </w:r>
      <w:r w:rsidR="00AB31AC">
        <w:t>±20</w:t>
      </w:r>
      <w:r>
        <w:t xml:space="preserve"> PgC) and land use change (190</w:t>
      </w:r>
      <w:r w:rsidR="00AB31AC">
        <w:t>±65</w:t>
      </w:r>
      <w:r>
        <w:t xml:space="preserve"> PgC) have been partitioned between the atmosphere (255</w:t>
      </w:r>
      <w:r w:rsidR="00AB31AC">
        <w:t>±5</w:t>
      </w:r>
      <w:r>
        <w:t xml:space="preserve"> PgC), the ocean (170</w:t>
      </w:r>
      <w:r w:rsidR="00AB31AC">
        <w:t>±20</w:t>
      </w:r>
      <w:r>
        <w:t xml:space="preserve"> PgC), and the terrestrial biosphere (165</w:t>
      </w:r>
      <w:r w:rsidR="00AB31AC" w:rsidRPr="00C432D8">
        <w:t>±</w:t>
      </w:r>
      <w:r w:rsidR="00AB31AC">
        <w:t xml:space="preserve">70 </w:t>
      </w:r>
      <w:r>
        <w:t>PgC) (</w:t>
      </w:r>
      <w:r w:rsidR="00AB31AC">
        <w:t xml:space="preserve">values to the nearest 5 PgC, from </w:t>
      </w:r>
      <w:r>
        <w:t>Le</w:t>
      </w:r>
      <w:r w:rsidR="00AB31AC">
        <w:t xml:space="preserve"> </w:t>
      </w:r>
      <w:r>
        <w:t>Quéré et al., 2015). The carbon uptake by land and ocean, since the start of the industrial era, has thus slowed the rate of increase of atmospheric CO</w:t>
      </w:r>
      <w:r>
        <w:rPr>
          <w:vertAlign w:val="subscript"/>
        </w:rPr>
        <w:t>2</w:t>
      </w:r>
      <w:r>
        <w:t xml:space="preserve"> concentration in response to anthropogenic carbon emissions. Had the land and ocean not provided this ‘ecosystem service’ the atmospheric CO</w:t>
      </w:r>
      <w:r>
        <w:rPr>
          <w:vertAlign w:val="subscript"/>
        </w:rPr>
        <w:t>2</w:t>
      </w:r>
      <w:r>
        <w:t xml:space="preserve"> concentration at present would </w:t>
      </w:r>
      <w:r w:rsidR="0037244D">
        <w:t>be</w:t>
      </w:r>
      <w:r>
        <w:t xml:space="preserve"> much higher. The manner in which the land and ocean will continue to absorb anthropogenic carbon emissions </w:t>
      </w:r>
      <w:r w:rsidR="00F04608">
        <w:t>has</w:t>
      </w:r>
      <w:r>
        <w:t xml:space="preserve"> both scientific and policy relevance. Understanding the future partitioning of anthropogenic CO</w:t>
      </w:r>
      <w:r>
        <w:rPr>
          <w:vertAlign w:val="subscript"/>
        </w:rPr>
        <w:t>2</w:t>
      </w:r>
      <w:r>
        <w:t xml:space="preserve"> emissions into the atmosphere, land and ocean components, and the resulting climate change, accounting for biogeochemical feedbacks requires a full earth system approach to </w:t>
      </w:r>
      <w:r w:rsidR="00F04608">
        <w:t xml:space="preserve">modelling </w:t>
      </w:r>
      <w:r>
        <w:t>the climate and carbon cycle.</w:t>
      </w:r>
    </w:p>
    <w:p w:rsidR="00366E53" w:rsidRDefault="00366E53" w:rsidP="00366E53">
      <w:pPr>
        <w:pStyle w:val="Normal1"/>
      </w:pPr>
    </w:p>
    <w:p w:rsidR="00366E53" w:rsidRDefault="00366E53" w:rsidP="00366E53">
      <w:pPr>
        <w:pStyle w:val="Normal1"/>
      </w:pPr>
      <w:r>
        <w:t>The primary focus of the Coupled Climate-Carbon Cycle Model Intercomparison Project (C4MIP</w:t>
      </w:r>
      <w:r w:rsidR="006109EC">
        <w:t xml:space="preserve">: </w:t>
      </w:r>
      <w:hyperlink r:id="rId8" w:history="1">
        <w:r w:rsidR="006109EC" w:rsidRPr="00F81DA4">
          <w:rPr>
            <w:rStyle w:val="Hyperlink"/>
          </w:rPr>
          <w:t>http://www.c4mip.net</w:t>
        </w:r>
      </w:hyperlink>
      <w:r>
        <w:t xml:space="preserve">) is to understand and quantify future century-scale changes in land and ocean carbon storage and fluxes and their impact on climate projections. In order to achieve this, a set of Earth System Model (ESM) simulations has been devised. </w:t>
      </w:r>
      <w:r w:rsidR="00F04608">
        <w:t>As a consequence of</w:t>
      </w:r>
      <w:r>
        <w:t xml:space="preserve"> the very high computational demand on modelling centres to perform a multitude of simulations for many different intercomparison studies as part of CMIP6, we have carefully chosen a minimum set of targeted simulations to achieve C4MIP goals. They comprise:</w:t>
      </w:r>
    </w:p>
    <w:p w:rsidR="00366E53" w:rsidRDefault="00366E53" w:rsidP="00366E53">
      <w:pPr>
        <w:pStyle w:val="Normal1"/>
      </w:pPr>
    </w:p>
    <w:p w:rsidR="00366E53" w:rsidRDefault="00366E53" w:rsidP="00366E53">
      <w:pPr>
        <w:pStyle w:val="Normal1"/>
        <w:numPr>
          <w:ilvl w:val="0"/>
          <w:numId w:val="4"/>
        </w:numPr>
        <w:ind w:hanging="360"/>
      </w:pPr>
      <w:r>
        <w:t>idealized experiments which will be used to separate and quantify the sensitivity of land and ocean carbon cycle to changes in climate and atmospheric CO</w:t>
      </w:r>
      <w:r>
        <w:rPr>
          <w:vertAlign w:val="subscript"/>
        </w:rPr>
        <w:t>2</w:t>
      </w:r>
      <w:r>
        <w:t xml:space="preserve"> concentration</w:t>
      </w:r>
    </w:p>
    <w:p w:rsidR="00366E53" w:rsidRDefault="00366E53" w:rsidP="00366E53">
      <w:pPr>
        <w:pStyle w:val="Normal1"/>
        <w:numPr>
          <w:ilvl w:val="0"/>
          <w:numId w:val="4"/>
        </w:numPr>
        <w:ind w:hanging="360"/>
      </w:pPr>
      <w:r>
        <w:t xml:space="preserve">historical experiments which will be used to evaluate model performance and investigate the potential for </w:t>
      </w:r>
      <w:r w:rsidR="00F04608">
        <w:t xml:space="preserve">using contemporary observations as a </w:t>
      </w:r>
      <w:r>
        <w:t>constraint on future projections</w:t>
      </w:r>
    </w:p>
    <w:p w:rsidR="00366E53" w:rsidRDefault="00366E53" w:rsidP="00366E53">
      <w:pPr>
        <w:pStyle w:val="Normal1"/>
        <w:numPr>
          <w:ilvl w:val="0"/>
          <w:numId w:val="4"/>
        </w:numPr>
        <w:ind w:hanging="360"/>
      </w:pPr>
      <w:r>
        <w:t>future scenario experiments which will be used to quantify future changes in carbon storage and hence quantify the atmospheric CO</w:t>
      </w:r>
      <w:r>
        <w:rPr>
          <w:vertAlign w:val="subscript"/>
        </w:rPr>
        <w:t>2</w:t>
      </w:r>
      <w:r>
        <w:t xml:space="preserve"> concentration and related climate change for </w:t>
      </w:r>
      <w:r w:rsidR="00A91396">
        <w:t xml:space="preserve">a </w:t>
      </w:r>
      <w:r>
        <w:t xml:space="preserve">given </w:t>
      </w:r>
      <w:r w:rsidR="00A91396">
        <w:t xml:space="preserve">set of </w:t>
      </w:r>
      <w:r>
        <w:t>CO</w:t>
      </w:r>
      <w:r>
        <w:rPr>
          <w:vertAlign w:val="subscript"/>
        </w:rPr>
        <w:t>2</w:t>
      </w:r>
      <w:r>
        <w:t xml:space="preserve"> emissions, or, conversely, </w:t>
      </w:r>
      <w:r w:rsidR="00A91396">
        <w:t xml:space="preserve">to </w:t>
      </w:r>
      <w:r>
        <w:t>diagnose the emissions compatible with a prescribed atmospheric CO</w:t>
      </w:r>
      <w:r>
        <w:rPr>
          <w:vertAlign w:val="subscript"/>
        </w:rPr>
        <w:t>2</w:t>
      </w:r>
      <w:r>
        <w:t xml:space="preserve"> concentration pathway.</w:t>
      </w:r>
    </w:p>
    <w:p w:rsidR="00366E53" w:rsidRDefault="00366E53" w:rsidP="00366E53">
      <w:pPr>
        <w:pStyle w:val="Normal1"/>
      </w:pPr>
    </w:p>
    <w:p w:rsidR="00366E53" w:rsidRDefault="00366E53" w:rsidP="00366E53">
      <w:pPr>
        <w:pStyle w:val="Normal1"/>
      </w:pPr>
      <w:r>
        <w:lastRenderedPageBreak/>
        <w:t xml:space="preserve">The simulations are designed to </w:t>
      </w:r>
      <w:r w:rsidR="00E663ED">
        <w:t>complement</w:t>
      </w:r>
      <w:r w:rsidR="00A91396">
        <w:t xml:space="preserve"> </w:t>
      </w:r>
      <w:r>
        <w:t>those requested in the CMIP6 DECK and the CMIP6 Historical simulation (Eyring et al., 2016). They also align closely with simulations performed as part of ScenarioMIP (O’Neil</w:t>
      </w:r>
      <w:r w:rsidR="00CC0C09">
        <w:t>l</w:t>
      </w:r>
      <w:r>
        <w:t xml:space="preserve"> et al., 2016)</w:t>
      </w:r>
      <w:r w:rsidR="0065339D">
        <w:t xml:space="preserve"> by quantifying the role of carbon cycle feedbacks in the evolution of atmospheric </w:t>
      </w:r>
      <w:r w:rsidR="0065339D" w:rsidRPr="00BA7CA3">
        <w:t>CO</w:t>
      </w:r>
      <w:r w:rsidR="0065339D" w:rsidRPr="00BA7CA3">
        <w:rPr>
          <w:vertAlign w:val="subscript"/>
        </w:rPr>
        <w:t>2</w:t>
      </w:r>
      <w:r w:rsidR="0065339D" w:rsidRPr="00BA7CA3">
        <w:t xml:space="preserve"> </w:t>
      </w:r>
      <w:r w:rsidR="0065339D">
        <w:t xml:space="preserve"> due to anthropogenic carbon emissions. Synergies with</w:t>
      </w:r>
      <w:r>
        <w:t xml:space="preserve"> other MIPs a</w:t>
      </w:r>
      <w:r w:rsidR="004378B8">
        <w:t>re</w:t>
      </w:r>
      <w:r>
        <w:t xml:space="preserve"> discussed in section 2. C4MIP simulations and analyses will play a major role contributing to the WCRP </w:t>
      </w:r>
      <w:r w:rsidR="000038F8">
        <w:t xml:space="preserve">Carbon </w:t>
      </w:r>
      <w:r w:rsidR="005A627B">
        <w:t>Feedbacks in the Climate System</w:t>
      </w:r>
      <w:r w:rsidR="000038F8">
        <w:t xml:space="preserve"> </w:t>
      </w:r>
      <w:r>
        <w:t xml:space="preserve">Grand Challenge </w:t>
      </w:r>
      <w:r w:rsidR="000038F8">
        <w:t>(</w:t>
      </w:r>
      <w:r w:rsidR="005A627B" w:rsidRPr="005A627B">
        <w:t>http://www.wcrp-climate.org/grand-challenges</w:t>
      </w:r>
      <w:r w:rsidR="000038F8">
        <w:t>)</w:t>
      </w:r>
      <w:r>
        <w:t>.</w:t>
      </w:r>
      <w:r w:rsidR="004378B8">
        <w:t xml:space="preserve"> This is the third generation of C4MIP following the first coordinated experiments described in Friedlingstein et al. (2006) and the carbon cycle simulations which formed part of CMIP5 (Taylor et al., 2012).</w:t>
      </w:r>
    </w:p>
    <w:p w:rsidR="00366E53" w:rsidRDefault="00366E53" w:rsidP="00366E53">
      <w:pPr>
        <w:pStyle w:val="Normal1"/>
      </w:pPr>
    </w:p>
    <w:p w:rsidR="00366E53" w:rsidRDefault="00366E53" w:rsidP="00366E53">
      <w:pPr>
        <w:pStyle w:val="Normal1"/>
      </w:pPr>
      <w:r>
        <w:t xml:space="preserve">In this paper we first briefly describe the scientific rationale and motivation for the C4MIP simulations and then carefully document the experimental protocol in section 3. Modelling groups intending to participate in C4MIP should follow the design </w:t>
      </w:r>
      <w:r w:rsidR="00737FE6">
        <w:t>described</w:t>
      </w:r>
      <w:r>
        <w:t xml:space="preserve"> here as closely as possible. Particular attention should be </w:t>
      </w:r>
      <w:r w:rsidR="00737FE6">
        <w:t xml:space="preserve">given </w:t>
      </w:r>
      <w:r>
        <w:t>to the set-up of boundary conditions in terms of atmospheric CO</w:t>
      </w:r>
      <w:r>
        <w:rPr>
          <w:vertAlign w:val="subscript"/>
        </w:rPr>
        <w:t>2</w:t>
      </w:r>
      <w:r>
        <w:t xml:space="preserve"> concentration or emissions and which aspects of the model experience changes in the fully coupled or partially coupled simulations. Output requirements (diagnostics) are also carefully documented in section 4.</w:t>
      </w:r>
    </w:p>
    <w:p w:rsidR="00366E53" w:rsidRDefault="00366E53" w:rsidP="00366E53">
      <w:pPr>
        <w:pStyle w:val="Normal1"/>
      </w:pPr>
    </w:p>
    <w:p w:rsidR="00B4015F" w:rsidRDefault="00366E53" w:rsidP="00366E53">
      <w:r>
        <w:t>Along with our science motivation (section 2) we highlight initial plans for the analyses of the carbon cycle and its interactions with the physical climate system. Modelling groups will be invited to contribute to the primary C4MIP analysis papers. We anticipate, and hope, that many further studies and analyses will also be conducted throughout the climate/carbon cycle research community and that these simulations provide a valuable resource to further carbon cycle research.</w:t>
      </w:r>
    </w:p>
    <w:p w:rsidR="00366E53" w:rsidRDefault="00366E53" w:rsidP="00366E53">
      <w:pPr>
        <w:pStyle w:val="Heading1"/>
      </w:pPr>
      <w:r>
        <w:t>2 Background and science motivation</w:t>
      </w:r>
    </w:p>
    <w:p w:rsidR="00366E53" w:rsidRDefault="00366E53" w:rsidP="00366E53">
      <w:pPr>
        <w:pStyle w:val="Heading2"/>
      </w:pPr>
      <w:r>
        <w:t>2.1  C4MIP history</w:t>
      </w:r>
      <w:r>
        <w:tab/>
        <w:t xml:space="preserve"> </w:t>
      </w:r>
    </w:p>
    <w:p w:rsidR="00366E53" w:rsidRDefault="00366E53" w:rsidP="00366E53">
      <w:r>
        <w:t>The potential for a climate feedback on the carbon cycle whereby carbon released due to warming would further elevate atmospheric CO</w:t>
      </w:r>
      <w:r>
        <w:rPr>
          <w:vertAlign w:val="subscript"/>
        </w:rPr>
        <w:t>2</w:t>
      </w:r>
      <w:r>
        <w:t xml:space="preserve"> and amplify climate change has been first discussed in the late 1980s-early 1990s (e.g. Lashof et al., 1989, Jenkinson et al., 1991; Schimel et al., 1994; Kirschbaum, 1995, Sarmiento and LeQuéré, 1996). On the land side, dynamic global vegetation models were used to study the impact of rising CO</w:t>
      </w:r>
      <w:r>
        <w:rPr>
          <w:vertAlign w:val="subscript"/>
        </w:rPr>
        <w:t>2</w:t>
      </w:r>
      <w:r>
        <w:t xml:space="preserve"> and climate change on the carbon cycle (Cramer et al., 2001). There was a strong model consensus that rising CO</w:t>
      </w:r>
      <w:r>
        <w:rPr>
          <w:vertAlign w:val="subscript"/>
        </w:rPr>
        <w:t>2</w:t>
      </w:r>
      <w:r>
        <w:t xml:space="preserve"> would stimulate additional vegetation growth and storage of carbon in terrestrial ecosystems, likewise warming </w:t>
      </w:r>
      <w:r>
        <w:lastRenderedPageBreak/>
        <w:t xml:space="preserve">climate would accelerate decomposition of dead organic matter and may also reduce vegetation productivity in some (mainly tropical) ecosystems (Prentice et al., 2001). Similarly for the ocean, there was also a model consensus that warming would lead to reduced carbon uptake (Prentice et al., 2001). This was due to both reduced solubility in warmer waters and reduced rate of transport of anthropogenic carbon to the deep ocean </w:t>
      </w:r>
      <w:r w:rsidR="000038F8">
        <w:t>as a consequence of increasing stratification and shutdown of meridional overturning circulation</w:t>
      </w:r>
      <w:r>
        <w:t xml:space="preserve">. The processes behind the former (carbonate chemistry and solubility) were reasonably well understood (Bacastow, 1993), but the latter was much more uncertain being sensitive to the underlying ocean model circulation (Maier-Reimer et al., 1996; Sarmiento et al., 1998; Joos et al., 1999). The role of ocean biology and the buffering capacity of the ocean were also seen to be important and not well constrained or represented in models (Sarmiento and Le Quere, 1996). </w:t>
      </w:r>
    </w:p>
    <w:p w:rsidR="00366E53" w:rsidRDefault="00366E53" w:rsidP="00366E53"/>
    <w:p w:rsidR="00366E53" w:rsidRDefault="00366E53" w:rsidP="00366E53">
      <w:r>
        <w:t>These “offline” land and ocean experiments found potentially high sensitivity of the carbon cycle to environmental forcing but were not able to simulate the full effect of this feedback onto climate. By the end of the 1990s some modelling groups were beginning to implement interactive carbon cycle modules in their physical climate models. These early studies (e.g. Cox et al. 2000; Friedlingstein et al., 2001, Dufresne et al., 2002; Thompson et al., 2004) were able to recreate an experimental setting more like the real world where a climate change forced by anthropogenic CO</w:t>
      </w:r>
      <w:r>
        <w:rPr>
          <w:vertAlign w:val="subscript"/>
        </w:rPr>
        <w:t>2</w:t>
      </w:r>
      <w:r>
        <w:t xml:space="preserve"> emissions would affect natural carbon sinks and stores which in turn would affect changes in atmospheric CO</w:t>
      </w:r>
      <w:r>
        <w:rPr>
          <w:vertAlign w:val="subscript"/>
        </w:rPr>
        <w:t>2</w:t>
      </w:r>
      <w:r>
        <w:t xml:space="preserve"> and hence climate.</w:t>
      </w:r>
    </w:p>
    <w:p w:rsidR="00366E53" w:rsidRDefault="00366E53" w:rsidP="00366E53"/>
    <w:p w:rsidR="00366E53" w:rsidRDefault="00366E53" w:rsidP="00366E53">
      <w:bookmarkStart w:id="1" w:name="h.30j0zll" w:colFirst="0" w:colLast="0"/>
      <w:bookmarkEnd w:id="1"/>
      <w:r>
        <w:t>It soon became apparent from the first publications that there were substantial differences in the sensitivities of these new models. The desire to understand and reduce this uncertainty led to the development of a linearised feedback framework to diagnose the sensitivity of different parts of the system and their contribution to the overall feedback (Friedlingstein et al., 2003), and also of a multi-model intercomparison activity (C4MIP: Coupled Climate-carbon cycle model intercomparison, Fung et al., 2000). The result was the first C4MIP intercomparison paper, Friedlingstein et al.</w:t>
      </w:r>
      <w:r w:rsidR="00731DC8">
        <w:t xml:space="preserve"> (</w:t>
      </w:r>
      <w:r>
        <w:t>2006)</w:t>
      </w:r>
      <w:r w:rsidR="00731DC8">
        <w:t>,</w:t>
      </w:r>
      <w:r>
        <w:t xml:space="preserve"> which quantified the feedback components across 11 models for a common CO</w:t>
      </w:r>
      <w:r>
        <w:rPr>
          <w:vertAlign w:val="subscript"/>
        </w:rPr>
        <w:t>2</w:t>
      </w:r>
      <w:r>
        <w:t xml:space="preserve"> emissions scenario. All models agreed qualitatively that the sign of the carbon-climate feedback was positive – i.e. the interaction of the carbon cycle with climate led to reduced carbon uptake and hence an increase in atmospheric CO</w:t>
      </w:r>
      <w:r>
        <w:rPr>
          <w:vertAlign w:val="subscript"/>
        </w:rPr>
        <w:t>2</w:t>
      </w:r>
      <w:r w:rsidR="00731DC8">
        <w:t xml:space="preserve">, </w:t>
      </w:r>
      <w:r>
        <w:t xml:space="preserve">which amplified the initial climate change. However, there was large quantitative model spread in the total feedback and its sensitivity components. Initial analysis of the causes of this uncertainty concluded that the land played a greater role than the ocean, in particular its sensitivity to climate. Regionally, the tropics were seen to be particularly different between models (Raddatz et al., 2007), bearing in </w:t>
      </w:r>
      <w:r>
        <w:lastRenderedPageBreak/>
        <w:t xml:space="preserve">mind that none of these models included representation of permafrost carbon. The CMIP5 experimental design for carbon cycle feedback diagnosis (Taylor et al. 2012) </w:t>
      </w:r>
      <w:r w:rsidR="00731DC8">
        <w:t>closely followed the</w:t>
      </w:r>
      <w:r>
        <w:t xml:space="preserve"> C4MIP</w:t>
      </w:r>
      <w:r w:rsidR="00731DC8">
        <w:t xml:space="preserve"> protocol</w:t>
      </w:r>
      <w:r>
        <w:t>. Modelling centres around the world contributed results to CMIP5 and their analysis led to many key papers including a special collection of 15 papers published in the Journal of Climate (</w:t>
      </w:r>
      <w:hyperlink r:id="rId9">
        <w:r>
          <w:t>http://journals.ametsoc.org/page/C4MIP</w:t>
        </w:r>
      </w:hyperlink>
      <w:r>
        <w:t xml:space="preserve">). </w:t>
      </w:r>
    </w:p>
    <w:p w:rsidR="00366E53" w:rsidRDefault="00366E53" w:rsidP="00366E53"/>
    <w:p w:rsidR="00366E53" w:rsidRDefault="00366E53" w:rsidP="00366E53">
      <w:r>
        <w:t xml:space="preserve">The C4MIP activity under CMIP5 was central to </w:t>
      </w:r>
      <w:r w:rsidR="00731DC8">
        <w:t xml:space="preserve">Working Group 1 of the </w:t>
      </w:r>
      <w:r>
        <w:t xml:space="preserve">IPCC </w:t>
      </w:r>
      <w:r w:rsidR="005631F0">
        <w:t>5th Assessment</w:t>
      </w:r>
      <w:r>
        <w:t>. Several of the main findings from C4MIP studies were included in the Summary for Policymakers of WG1, such as the positive feedback between climate and carbon cycle - “Climate change will affect carbon cycle processes in a way that will exacerbate the increase of CO</w:t>
      </w:r>
      <w:r>
        <w:rPr>
          <w:vertAlign w:val="subscript"/>
        </w:rPr>
        <w:t>2</w:t>
      </w:r>
      <w:r>
        <w:t xml:space="preserve"> in the atmosphere”; the impact of elevated CO</w:t>
      </w:r>
      <w:r>
        <w:rPr>
          <w:vertAlign w:val="subscript"/>
        </w:rPr>
        <w:t>2</w:t>
      </w:r>
      <w:r>
        <w:t xml:space="preserve"> on ocean acidification - “Further uptake of carbon by the ocean will increase ocean acidification”; the emissions compatible with given CO</w:t>
      </w:r>
      <w:r>
        <w:rPr>
          <w:vertAlign w:val="subscript"/>
        </w:rPr>
        <w:t>2</w:t>
      </w:r>
      <w:r>
        <w:t xml:space="preserve"> concentrations “- By the end of the 21st century, [for RCP2.6] about half of the models infer emissions slightly above zero, while the other half infer a net removal of CO</w:t>
      </w:r>
      <w:r>
        <w:rPr>
          <w:vertAlign w:val="subscript"/>
        </w:rPr>
        <w:t>2</w:t>
      </w:r>
      <w:r>
        <w:t xml:space="preserve"> from the atmosphere”; and the very policy relevant relationship between cumulative CO</w:t>
      </w:r>
      <w:r>
        <w:rPr>
          <w:vertAlign w:val="subscript"/>
        </w:rPr>
        <w:t>2</w:t>
      </w:r>
      <w:r>
        <w:t xml:space="preserve"> emissions and global warming - “Cumulative emissions of CO</w:t>
      </w:r>
      <w:r>
        <w:rPr>
          <w:vertAlign w:val="subscript"/>
        </w:rPr>
        <w:t>2</w:t>
      </w:r>
      <w:r>
        <w:t xml:space="preserve"> largely determine global mean surface warming by the late 21st century and beyond”.</w:t>
      </w:r>
    </w:p>
    <w:p w:rsidR="00366E53" w:rsidRPr="00366E53" w:rsidRDefault="00366E53" w:rsidP="00366E53">
      <w:pPr>
        <w:pStyle w:val="Heading2"/>
      </w:pPr>
      <w:r w:rsidRPr="00366E53">
        <w:t>2.2 Key science motivation and analysis plans for C4MIP</w:t>
      </w:r>
    </w:p>
    <w:p w:rsidR="00366E53" w:rsidRDefault="00366E53" w:rsidP="00366E53">
      <w:r>
        <w:t xml:space="preserve">The key science motivations behind C4MIP are 1) to quantify and understand the carbon-concentration and carbon-climate feedback parameters which, respectively, capture the </w:t>
      </w:r>
      <w:r w:rsidR="007B3EF5">
        <w:t>modelled</w:t>
      </w:r>
      <w:r>
        <w:t xml:space="preserve"> response of land and ocean carbon cycle components to changes in atmospheric CO</w:t>
      </w:r>
      <w:r>
        <w:rPr>
          <w:vertAlign w:val="subscript"/>
        </w:rPr>
        <w:t>2</w:t>
      </w:r>
      <w:r>
        <w:t xml:space="preserve"> and the associated climate change; 2) evaluate models by comparing historical simulations with observation-based estimates of climatological states of carbon cycle variables, their variability and long-term trends; 3) to assess the future projections of the components of the global carbon budget for different scenarios, including atmospheric CO</w:t>
      </w:r>
      <w:r>
        <w:rPr>
          <w:vertAlign w:val="subscript"/>
        </w:rPr>
        <w:t>2</w:t>
      </w:r>
      <w:r>
        <w:t xml:space="preserve"> concentration, atmosphere-land and atmosphere-ocean fluxes of CO</w:t>
      </w:r>
      <w:r>
        <w:rPr>
          <w:vertAlign w:val="subscript"/>
        </w:rPr>
        <w:t>2</w:t>
      </w:r>
      <w:r>
        <w:t>,</w:t>
      </w:r>
      <w:r>
        <w:rPr>
          <w:vertAlign w:val="subscript"/>
        </w:rPr>
        <w:t xml:space="preserve"> </w:t>
      </w:r>
      <w:r>
        <w:t>diagnosed CO</w:t>
      </w:r>
      <w:r>
        <w:rPr>
          <w:vertAlign w:val="subscript"/>
        </w:rPr>
        <w:t>2</w:t>
      </w:r>
      <w:r>
        <w:t xml:space="preserve"> emissions compatible with future scenarios of CO</w:t>
      </w:r>
      <w:r>
        <w:rPr>
          <w:vertAlign w:val="subscript"/>
        </w:rPr>
        <w:t>2</w:t>
      </w:r>
      <w:r>
        <w:t xml:space="preserve"> pathway and crucially to provide new estimates of the cumulative CO</w:t>
      </w:r>
      <w:r>
        <w:rPr>
          <w:vertAlign w:val="subscript"/>
        </w:rPr>
        <w:t>2</w:t>
      </w:r>
      <w:r>
        <w:t xml:space="preserve"> emissions compatible with specific climate targets. In light of the COP21 Paris agreement</w:t>
      </w:r>
      <w:r w:rsidR="00ED54A2">
        <w:t xml:space="preserve"> (</w:t>
      </w:r>
      <w:hyperlink r:id="rId10" w:history="1">
        <w:r w:rsidR="00ED54A2" w:rsidRPr="00EA2C46">
          <w:rPr>
            <w:rStyle w:val="Hyperlink"/>
          </w:rPr>
          <w:t>https://unfccc.int/resource/docs/2015/cop21/eng/l09r01.pdf</w:t>
        </w:r>
      </w:hyperlink>
      <w:r w:rsidR="00ED54A2">
        <w:t>)</w:t>
      </w:r>
      <w:r>
        <w:t xml:space="preserve">, these experiments will </w:t>
      </w:r>
      <w:r w:rsidR="00ED54A2">
        <w:t xml:space="preserve">quantify carbon cycle feedbacks in low emissions scenarios and </w:t>
      </w:r>
      <w:r>
        <w:t>inform cumulative budgets consistent with a 1.5°C or 2°C stabilisation objective.</w:t>
      </w:r>
    </w:p>
    <w:p w:rsidR="00366E53" w:rsidRDefault="00366E53" w:rsidP="00366E53"/>
    <w:p w:rsidR="00366E53" w:rsidRDefault="00366E53" w:rsidP="00366E53">
      <w:r>
        <w:t>Relative to CMIP5 there are three key areas where we expect CMIP6 models to have made substantial progress and hence may cause significant differences in the simulated response of the carbon cycle to anthropogenic forcing.</w:t>
      </w:r>
    </w:p>
    <w:p w:rsidR="00366E53" w:rsidRDefault="00366E53" w:rsidP="00366E53"/>
    <w:p w:rsidR="00366E53" w:rsidRDefault="00366E53" w:rsidP="00366E53">
      <w:r>
        <w:t>i. In CMIP5, only two participating ESMs included a land surface component (CLM4) that explicitly considered constraints of terrestrial N availability on primary production and net land carbon storage (</w:t>
      </w:r>
      <w:r w:rsidR="000038F8">
        <w:t xml:space="preserve">Lindsay </w:t>
      </w:r>
      <w:r>
        <w:t>et al., 201</w:t>
      </w:r>
      <w:r w:rsidR="000038F8">
        <w:t>4</w:t>
      </w:r>
      <w:r>
        <w:t xml:space="preserve">, Tjiputra et al., 2013). An increasing number of land models now include a prognostic representation of the terrestrial N cycle and its coupling to the land C cycle (Zaehle &amp; Dalmonech 2011). Some of these prognostic N cycle representations are expected to be used in land components of ESMs participating in CMIP6. Coupling of carbon and nitrogen dynamics changes the response of the terrestrial biosphere to global change in </w:t>
      </w:r>
      <w:r w:rsidR="00FB4AD5">
        <w:t xml:space="preserve">four </w:t>
      </w:r>
      <w:r>
        <w:t>ways: 1) it generally reduces the response of net primary production and carbon storage to elevated levels of atmospheric CO</w:t>
      </w:r>
      <w:r>
        <w:rPr>
          <w:vertAlign w:val="subscript"/>
        </w:rPr>
        <w:t>2</w:t>
      </w:r>
      <w:r>
        <w:t xml:space="preserve"> because of </w:t>
      </w:r>
      <w:r w:rsidR="00FB4AD5">
        <w:t xml:space="preserve">an increasing limit of nitrogen availability for </w:t>
      </w:r>
      <w:r w:rsidR="005C74E2">
        <w:t xml:space="preserve">carboxylation enzymes and </w:t>
      </w:r>
      <w:r w:rsidR="00FB4AD5">
        <w:t>new tissue construction</w:t>
      </w:r>
      <w:r>
        <w:t xml:space="preserve">; </w:t>
      </w:r>
      <w:r w:rsidR="00FB4AD5">
        <w:t xml:space="preserve">2) it allows for changes in plant </w:t>
      </w:r>
      <w:r w:rsidR="00D14364">
        <w:t>allocation in response to changing nutrient availability,</w:t>
      </w:r>
      <w:r w:rsidR="00FB4AD5">
        <w:t xml:space="preserve"> </w:t>
      </w:r>
      <w:r w:rsidR="00D14364">
        <w:t>3</w:t>
      </w:r>
      <w:r>
        <w:t xml:space="preserve">) it generally decreases net ecosystem C losses associated with soil warming, because increased decomposition leads to increased plant N availability which can potentially increase plant productivity and C storage in N limited ecosystems; and </w:t>
      </w:r>
      <w:r w:rsidR="00D14364">
        <w:t>4</w:t>
      </w:r>
      <w:r>
        <w:t>) it alters primary production due to anthropogenic N deposition and fertiliser application, which may regionally enhance net C uptake. The magnitude of each of these processes is uncertain given strong natural gradients in the natural N availability in ecosystems and sparse ecosystem data to constrain these models (</w:t>
      </w:r>
      <w:r w:rsidR="004A4A31">
        <w:t xml:space="preserve">Thornton et al., 2009; </w:t>
      </w:r>
      <w:r>
        <w:t xml:space="preserve">Zaehle et al. 2014, Meyerholt &amp; Zaehle 2015) but offline analysis of CMIP5 simulations suggests significant overestimation of terrestrial carbon uptake in models which neglect the role of nitrogen (Wieder et al., 2015; Zaehle et al., 2015). The new generation of models will provide a more comprehensive assessment of the attenuating effect of nitrogen on carbon cycle dynamics compared to CMIP5 and in particular provide a better constrained estimate of the carbon storage capacity of land ecosystems. </w:t>
      </w:r>
    </w:p>
    <w:p w:rsidR="00366E53" w:rsidRDefault="00366E53" w:rsidP="00366E53"/>
    <w:p w:rsidR="00366E53" w:rsidRDefault="00366E53" w:rsidP="00366E53">
      <w:r>
        <w:t xml:space="preserve">ii. In CMIP5, all land models used a single-layer, vertically-integrated representation of soil biogeochemistry (Luo et al., 2015). Such an approach necessarily ignores vertical variation in soil carbon turnover times, which can be very important in governing ecosystem carbon storage. This omission is most notable in the extreme case of permafrost soils, where there exists a depth at which soils remain frozen year-round and, because of the abrupt change in decomposition rates in frozen versus unfrozen soils, otherwise highly decomposable carbon can be preserved indefinitely until it is thawed. The majority of global soil carbon is in permafrost-affected ecosystems, which creates the possibility for permafrost climate feedbacks (Burke et al., 2013). Some of the models in CMIP6 are expected to include representation of permafrost soil carbon dynamics, either explicitly by representing soil biogeochemistry along the full soil depth axis (Koven et al., 2014), or </w:t>
      </w:r>
      <w:r w:rsidR="005631F0">
        <w:t xml:space="preserve">by means of </w:t>
      </w:r>
      <w:r>
        <w:t xml:space="preserve">reduced-complexity methods to incorporate permafrost dynamics. </w:t>
      </w:r>
      <w:r w:rsidR="004378B8">
        <w:t xml:space="preserve">AR5 </w:t>
      </w:r>
      <w:r w:rsidR="0037244D">
        <w:t>concluded</w:t>
      </w:r>
      <w:r w:rsidR="004378B8">
        <w:t xml:space="preserve"> that permafrost carbon release was </w:t>
      </w:r>
      <w:r w:rsidR="004378B8">
        <w:lastRenderedPageBreak/>
        <w:t xml:space="preserve">likely, and therefore would increase the climate-carbon cycle feedback, but with low confidence in the magnitude (Ciais et al., 2013). </w:t>
      </w:r>
      <w:r>
        <w:t>Assessing the role of this process in governing fully-coupled climate feedbacks will be an important contribution to CMIP6.</w:t>
      </w:r>
    </w:p>
    <w:p w:rsidR="00366E53" w:rsidRDefault="00366E53" w:rsidP="00366E53"/>
    <w:p w:rsidR="00366E53" w:rsidRDefault="00366E53" w:rsidP="00366E53">
      <w:r>
        <w:t>iii. Representation of ocean dynamics in the ESMs is another important constraint affecting the oceanic carbon uptake and storage. There is evidence that by shifting to an eddy-permitting grid configuration of the ocean general circulation model, the representation of some key features of oceanic circulation such as the interior water mass properties and surface ocean current systems are improved (Jungclaus et al., 2013). The increased horizontal resolution of the underlying ocean model has a positive impact on the performance of the marine biogeochemistry model in the deeper layers (Ilyina et al., 2013). Spatial resolution of some ESMs is expected to increase as they move into CMIP6. The increased resolution of the oceanic components of the ESMs is expected to have some explicit advantages for projections of the oceanic carbon uptake. First, it allows us to estimate the role of previously unresolved small</w:t>
      </w:r>
      <w:r w:rsidR="005631F0">
        <w:t>-</w:t>
      </w:r>
      <w:r>
        <w:t>scale ocean hydrodynamical process on projections of marine biogeochemistry. Second, by improving the representation of coastal processes and ocean-shelf exchange, their contribution to the global carbon cycle can be assessed.</w:t>
      </w:r>
    </w:p>
    <w:p w:rsidR="00366E53" w:rsidRDefault="00366E53" w:rsidP="00366E53">
      <w:pPr>
        <w:pStyle w:val="Heading3"/>
      </w:pPr>
      <w:r>
        <w:t xml:space="preserve">2.2.1. Carbon cycle feedback parameters </w:t>
      </w:r>
    </w:p>
    <w:p w:rsidR="00366E53" w:rsidRDefault="00366E53" w:rsidP="00366E53">
      <w:r>
        <w:t>The first key motivation for C4MIP is to document the changes in magnitude of the feedback parameters that characterize the response of the carbon cycle and their spread across models through time. In this respect, C4MIP aims to calculate the magnitude of the carbon-concentration and carbon-climate feedbacks in a manner similar to Friedlingstein et al (2006) or Arora et al. (2013) and as discussed in Section 3.1 using results from the idealized 1% per year increasing CO</w:t>
      </w:r>
      <w:r>
        <w:rPr>
          <w:vertAlign w:val="subscript"/>
        </w:rPr>
        <w:t xml:space="preserve">2 </w:t>
      </w:r>
      <w:r>
        <w:t>experiments.</w:t>
      </w:r>
    </w:p>
    <w:p w:rsidR="00366E53" w:rsidRDefault="00366E53" w:rsidP="00366E53"/>
    <w:p w:rsidR="00366E53" w:rsidRDefault="00366E53" w:rsidP="00366E53">
      <w:r>
        <w:t>The 1pctCO2 experiment has gained recognition as a standard CMIP simulation and it is one of the DECK simulations for CMIP6</w:t>
      </w:r>
      <w:r w:rsidR="004378B8">
        <w:t xml:space="preserve"> (Eyring et al., 2016)</w:t>
      </w:r>
      <w:r>
        <w:t>. The 1pctCO2 experiment is now routinely used to characterize the transient climate response (TCR) defined as the change in globally-averaged near-surface air temperature at the time of CO</w:t>
      </w:r>
      <w:r>
        <w:rPr>
          <w:vertAlign w:val="subscript"/>
        </w:rPr>
        <w:t>2</w:t>
      </w:r>
      <w:r>
        <w:t xml:space="preserve"> doubling as well as the transient climate response to cumulative emissions (TCRE) defined as change in globally-averaged near-surface air temperature per unit cumulative CO</w:t>
      </w:r>
      <w:r>
        <w:rPr>
          <w:vertAlign w:val="subscript"/>
        </w:rPr>
        <w:t>2</w:t>
      </w:r>
      <w:r>
        <w:t xml:space="preserve"> emissions at the time of CO</w:t>
      </w:r>
      <w:r>
        <w:rPr>
          <w:vertAlign w:val="subscript"/>
        </w:rPr>
        <w:t>2</w:t>
      </w:r>
      <w:r>
        <w:t xml:space="preserve"> doubling (Gillett et al., 2013). In addition, since the 1pctCO2 simulation does not include the confounding effects of changes in land use, non-CO</w:t>
      </w:r>
      <w:r>
        <w:rPr>
          <w:vertAlign w:val="subscript"/>
        </w:rPr>
        <w:t>2</w:t>
      </w:r>
      <w:r>
        <w:t xml:space="preserve"> greenhouse gases, and aerosols it provide</w:t>
      </w:r>
      <w:r w:rsidR="004378B8">
        <w:t>s</w:t>
      </w:r>
      <w:r>
        <w:t xml:space="preserve"> a clean controlled experiment with which to compare carbon–climate interactions across models. Its backwards compatibility enables direct </w:t>
      </w:r>
      <w:r>
        <w:lastRenderedPageBreak/>
        <w:t>comparison of models with previous generations, which has been hindered previously as the scenario-dependence of the feedback metrics has prevented a like-for-like comparison (Gregory et al., 2009).</w:t>
      </w:r>
    </w:p>
    <w:p w:rsidR="00366E53" w:rsidRDefault="00366E53" w:rsidP="00366E53"/>
    <w:p w:rsidR="00366E53" w:rsidRDefault="00366E53" w:rsidP="00366E53">
      <w:r>
        <w:t>C4MIP will use partially coupled simulations to isolate and quantify the sensitivity of carbon cycle components to climate and CO</w:t>
      </w:r>
      <w:r>
        <w:rPr>
          <w:vertAlign w:val="subscript"/>
        </w:rPr>
        <w:t>2</w:t>
      </w:r>
      <w:r>
        <w:t xml:space="preserve"> separately and also the potentially large non-linear combination of these two components (Gregory et al., 2009; Schwinger et al., 2014). </w:t>
      </w:r>
      <w:r w:rsidR="004378B8">
        <w:t xml:space="preserve">Simulations with only </w:t>
      </w:r>
      <w:r w:rsidR="0037244D">
        <w:t xml:space="preserve">the </w:t>
      </w:r>
      <w:r w:rsidR="004378B8">
        <w:t xml:space="preserve">carbon cycle model components experiencing rising </w:t>
      </w:r>
      <w:r w:rsidR="004378B8" w:rsidRPr="00BA7CA3">
        <w:t>CO</w:t>
      </w:r>
      <w:r w:rsidR="004378B8" w:rsidRPr="00BA7CA3">
        <w:rPr>
          <w:vertAlign w:val="subscript"/>
        </w:rPr>
        <w:t>2</w:t>
      </w:r>
      <w:r w:rsidR="004378B8" w:rsidRPr="00BA7CA3">
        <w:t xml:space="preserve"> </w:t>
      </w:r>
      <w:r w:rsidR="004378B8">
        <w:t xml:space="preserve"> (BGC-coupled) and the radiation </w:t>
      </w:r>
      <w:r w:rsidR="0037244D">
        <w:t xml:space="preserve">model </w:t>
      </w:r>
      <w:r w:rsidR="004378B8">
        <w:t xml:space="preserve">components </w:t>
      </w:r>
      <w:r w:rsidR="0037244D">
        <w:t>experiencing rising</w:t>
      </w:r>
      <w:r w:rsidR="004378B8">
        <w:t xml:space="preserve"> </w:t>
      </w:r>
      <w:r w:rsidR="004378B8" w:rsidRPr="00BA7CA3">
        <w:t>CO</w:t>
      </w:r>
      <w:r w:rsidR="004378B8" w:rsidRPr="00BA7CA3">
        <w:rPr>
          <w:vertAlign w:val="subscript"/>
        </w:rPr>
        <w:t>2</w:t>
      </w:r>
      <w:r w:rsidR="004378B8" w:rsidRPr="00BA7CA3">
        <w:t xml:space="preserve"> </w:t>
      </w:r>
      <w:r w:rsidR="004378B8">
        <w:t xml:space="preserve"> (RAD-coupled) are used to quantify the carbon-concentration and carbon-climate feedbacks. </w:t>
      </w:r>
      <w:r>
        <w:t xml:space="preserve">Spatial patterns of </w:t>
      </w:r>
      <w:r w:rsidR="004378B8">
        <w:t xml:space="preserve">these </w:t>
      </w:r>
      <w:r>
        <w:t>metrics can also be calculated (e.g. Roy et al., 2011, or Fig. 6.22 of the last IPCC WG1 assessment report Ciais et al. 2013) to establish areas of model agreement or disagreement.</w:t>
      </w:r>
    </w:p>
    <w:p w:rsidR="00366E53" w:rsidRDefault="00366E53" w:rsidP="00366E53">
      <w:pPr>
        <w:pStyle w:val="Heading3"/>
      </w:pPr>
      <w:r>
        <w:t xml:space="preserve"> 2.2.2. Evaluation of global carbon cycle</w:t>
      </w:r>
      <w:r w:rsidR="004378B8">
        <w:t xml:space="preserve"> models</w:t>
      </w:r>
      <w:r>
        <w:t xml:space="preserve"> </w:t>
      </w:r>
    </w:p>
    <w:p w:rsidR="00366E53" w:rsidRDefault="00366E53" w:rsidP="00366E53">
      <w:r>
        <w:t>The historical simulations will be used for evaluation of the components of the carbon cycle (ocean and terrestrial carbon fluxes, anthropogenic carbon storage in the ocean, atmospheric CO</w:t>
      </w:r>
      <w:r>
        <w:rPr>
          <w:vertAlign w:val="subscript"/>
        </w:rPr>
        <w:t>2</w:t>
      </w:r>
      <w:r>
        <w:t xml:space="preserve"> growth rate and variability). ESMs have increased rapidly in complexity but evaluation has not kept pace. Some evaluation of the carbon cycle was already performed in CMIP5 (e.g. Anav et al., 2013, </w:t>
      </w:r>
      <w:r w:rsidR="00414945">
        <w:t xml:space="preserve">Bopp et al., 2013; </w:t>
      </w:r>
      <w:r>
        <w:t xml:space="preserve">Hoffman et al., 2014), highlighting significant biases in key quantities in many ESMs. There is increasing need to develop evaluation techniques and activities, applied consistently and routinely across models, at both fine scales (process-level, “bottom-up” evaluation) and large scales (system-level, “top-down” evaluation”), as well as using complementary data streams relating to (bio)physical and biogeochemical processes to evaluate the ensemble of simulated processes  (e.g. Luo et al., 2012; Foley et al., 2013). </w:t>
      </w:r>
    </w:p>
    <w:p w:rsidR="00366E53" w:rsidRDefault="00366E53" w:rsidP="00366E53"/>
    <w:p w:rsidR="00366E53" w:rsidRDefault="00366E53" w:rsidP="00366E53">
      <w:r>
        <w:t>Evaluation of ocean carbon cycle components of ESMs has been classically based on the use of the monthly surface pCO</w:t>
      </w:r>
      <w:r>
        <w:rPr>
          <w:vertAlign w:val="subscript"/>
        </w:rPr>
        <w:t>2</w:t>
      </w:r>
      <w:r>
        <w:t xml:space="preserve"> climatology of Takahashi et al. (2009), derived from more than 3 million in-situ ocean pCO</w:t>
      </w:r>
      <w:r>
        <w:rPr>
          <w:vertAlign w:val="subscript"/>
        </w:rPr>
        <w:t>2</w:t>
      </w:r>
      <w:r>
        <w:t xml:space="preserve"> measurements, as in Pilcher et al. (2015) for an evaluation of pCO</w:t>
      </w:r>
      <w:r>
        <w:rPr>
          <w:vertAlign w:val="subscript"/>
        </w:rPr>
        <w:t>2</w:t>
      </w:r>
      <w:r>
        <w:t xml:space="preserve"> seasonality of the CMIP5 ESMs. This evaluation is complemented by the use of additional climatological gridded products, as in Anav et al. (2013), with model-data comparison for related physical variables (e.g. mixed layer depth) or biological </w:t>
      </w:r>
      <w:r w:rsidR="0037244D">
        <w:t xml:space="preserve">variables </w:t>
      </w:r>
      <w:r>
        <w:t xml:space="preserve">(e.g. </w:t>
      </w:r>
      <w:r w:rsidR="005C74E2">
        <w:t>n</w:t>
      </w:r>
      <w:r>
        <w:t xml:space="preserve">et </w:t>
      </w:r>
      <w:r w:rsidR="005C74E2">
        <w:t>p</w:t>
      </w:r>
      <w:r>
        <w:t xml:space="preserve">rimary </w:t>
      </w:r>
      <w:r w:rsidR="005C74E2">
        <w:t>p</w:t>
      </w:r>
      <w:r>
        <w:t xml:space="preserve">roduction). In the past few years, ESM evaluation has extended in many directions, making use of advanced observation-based gridded products (e.g. </w:t>
      </w:r>
      <w:r w:rsidR="00816926">
        <w:t xml:space="preserve">the </w:t>
      </w:r>
      <w:r w:rsidR="005C74E2">
        <w:t xml:space="preserve">three-dimensional </w:t>
      </w:r>
      <w:r>
        <w:t>distribution of anthropogenic carbon in the ocean from K</w:t>
      </w:r>
      <w:r w:rsidR="0037244D">
        <w:t>h</w:t>
      </w:r>
      <w:r>
        <w:t xml:space="preserve">atiwala et al. (2013) ) and ocean databases with millions of in-situ </w:t>
      </w:r>
      <w:r w:rsidR="00816926">
        <w:t xml:space="preserve">point </w:t>
      </w:r>
      <w:r>
        <w:t xml:space="preserve">measurements </w:t>
      </w:r>
      <w:r>
        <w:lastRenderedPageBreak/>
        <w:t>(e.g. with the Surface Ocean CO</w:t>
      </w:r>
      <w:r>
        <w:rPr>
          <w:vertAlign w:val="subscript"/>
        </w:rPr>
        <w:t>2</w:t>
      </w:r>
      <w:r>
        <w:t xml:space="preserve"> Atlas (SOCAT) as in Tjiputra et al. (2014) for CMIP5 ESMs), or </w:t>
      </w:r>
      <w:r w:rsidR="007B3EF5">
        <w:t>developing</w:t>
      </w:r>
      <w:r>
        <w:t xml:space="preserve"> new techniques for model-data comparisons (e.g. water-mass framework; Iudicone et al. 2011).</w:t>
      </w:r>
    </w:p>
    <w:p w:rsidR="00366E53" w:rsidRDefault="00366E53" w:rsidP="00366E53">
      <w:r>
        <w:t xml:space="preserve"> </w:t>
      </w:r>
    </w:p>
    <w:p w:rsidR="00366E53" w:rsidRDefault="00366E53" w:rsidP="00366E53">
      <w:r>
        <w:t xml:space="preserve">In the coming years, the increasing complexity of marine biogeochemical schemes used in ESMs will call for more advanced model-data comparison strategies. These will include the use of new data sets, such as biomass data for plankton </w:t>
      </w:r>
      <w:r w:rsidR="007B3EF5">
        <w:t>functional</w:t>
      </w:r>
      <w:r>
        <w:t xml:space="preserve"> types (MAREDAT, Buitenhuis et al</w:t>
      </w:r>
      <w:r w:rsidR="00816926">
        <w:t>.</w:t>
      </w:r>
      <w:r>
        <w:t xml:space="preserve"> 2013) or ocean distribution of the micro-nutrient iron (Tagliabue et al. 2012).</w:t>
      </w:r>
    </w:p>
    <w:p w:rsidR="00366E53" w:rsidRDefault="00366E53" w:rsidP="00366E53">
      <w:r>
        <w:t xml:space="preserve"> </w:t>
      </w:r>
    </w:p>
    <w:p w:rsidR="00366E53" w:rsidRDefault="00366E53" w:rsidP="00366E53">
      <w:r>
        <w:t xml:space="preserve">Evaluations of land surface components of ESMs have often used gridded flux products (e.g. Bonan et al. 2011, Anav et al. 2013, Piao et al. 2013) obtained by extrapolating the FLUXNET measurement network of biosphere-atmosphere exchanges (e.g. Jung et al. 2011), for instance to constrain modelled spatial and seasonal distribution of gross primary production (GPP). Such products are convenient for such model evaluations because those are available at a resolution comparable to that of the models and because they retain the pertinent patterns of the observed fluxes while abstracting from measurement noise, local site representativeness and other possible site-specific features. Yet it is important to bear </w:t>
      </w:r>
      <w:r w:rsidR="00816926">
        <w:t xml:space="preserve">in mind </w:t>
      </w:r>
      <w:r>
        <w:t xml:space="preserve">the limitations of the ‘upscaled’ </w:t>
      </w:r>
      <w:r w:rsidR="00816926">
        <w:t xml:space="preserve">flux and stock </w:t>
      </w:r>
      <w:r>
        <w:t xml:space="preserve">products and to tailor the model evaluation to robust patterns </w:t>
      </w:r>
      <w:r w:rsidR="00816926">
        <w:t>that the individual products are ideally suited for</w:t>
      </w:r>
      <w:r>
        <w:t xml:space="preserve">. Insights may also be gained from evaluation of functional patterns and sensitivities to certain climate forcing variables. For example the spatial sensitivity of GPP with mean annual precipitation in the water-limited domain, and the temperature sensitivity of ecosystem respiration (Mahecha et al. 2010). </w:t>
      </w:r>
    </w:p>
    <w:p w:rsidR="00366E53" w:rsidRDefault="00366E53" w:rsidP="00366E53"/>
    <w:p w:rsidR="00366E53" w:rsidRDefault="00366E53" w:rsidP="00366E53">
      <w:r>
        <w:t xml:space="preserve">While data-model comparisons of fluxes are important, they alone cannot constrain longer-term dynamics and associated climate-carbon cycle feedbacks. In addition, consideration of </w:t>
      </w:r>
      <w:r w:rsidR="00F11551">
        <w:t>residence times</w:t>
      </w:r>
      <w:r>
        <w:t xml:space="preserve"> is crucial</w:t>
      </w:r>
      <w:r w:rsidR="00F11551">
        <w:t>, which together with carbon fluxes jointly determine the stores</w:t>
      </w:r>
      <w:r>
        <w:t>. Analysis of CMIP5 ESMs revealed unacceptably large errors in land carbon stores (both in living biomass and soil organic matter) (Anav et al., 2013). Future simulation results were found to depend on the initial conditions as well as the model sensitivity to changes (Todd-Brown et al., 2014) and therefore better evaluation and constraint of carbon stores is seen as vital. Xia et al (2013) showed the importance of residence time in determining carbon stores and Carvalhais et al (2014) showed the mismatch between CMIP5 ESMs and an observationally</w:t>
      </w:r>
      <w:r w:rsidR="00816926">
        <w:t>-</w:t>
      </w:r>
      <w:r>
        <w:t>derived dataset of land-carbon residence time</w:t>
      </w:r>
      <w:r w:rsidR="00816926">
        <w:t>s</w:t>
      </w:r>
      <w:r>
        <w:t xml:space="preserve">. As more observations become available (Saatchi et al., 2011; Baccini et al., 2012; Avitabile et al., 2015; FAO 2012; Batjes et al., 2012; Hengl et al., 2014) as well as data constrained products such as residence time </w:t>
      </w:r>
      <w:r>
        <w:lastRenderedPageBreak/>
        <w:t>(Bloom et al., 2016), we stress the importance of rapid development and application of evaluation techniques to ESMs.</w:t>
      </w:r>
    </w:p>
    <w:p w:rsidR="00366E53" w:rsidRDefault="00366E53" w:rsidP="00366E53"/>
    <w:p w:rsidR="00366E53" w:rsidRDefault="0037244D" w:rsidP="00366E53">
      <w:r>
        <w:t xml:space="preserve">Carbon isotopes (carbon-13 and carbon-14) provide unique insights into the mechanisms and timescales of carbon cycling. Differences between the isotopic fractionation of carbon from dissolution in the ocean and from photosynthetic assimilation on land have enabled atmospheric observations of the </w:t>
      </w:r>
      <w:r>
        <w:rPr>
          <w:vertAlign w:val="superscript"/>
        </w:rPr>
        <w:t>13</w:t>
      </w:r>
      <w:r>
        <w:t>C/</w:t>
      </w:r>
      <w:r>
        <w:rPr>
          <w:vertAlign w:val="superscript"/>
        </w:rPr>
        <w:t>12</w:t>
      </w:r>
      <w:r>
        <w:t>C ratio (δ</w:t>
      </w:r>
      <w:r>
        <w:rPr>
          <w:vertAlign w:val="superscript"/>
        </w:rPr>
        <w:t>13</w:t>
      </w:r>
      <w:r>
        <w:t>C) in atmospheric CO</w:t>
      </w:r>
      <w:r w:rsidRPr="00027CCB">
        <w:rPr>
          <w:vertAlign w:val="subscript"/>
        </w:rPr>
        <w:t>2</w:t>
      </w:r>
      <w:r>
        <w:t xml:space="preserve"> to be used in differentiating land and ocean carbon fluxes (Ciais et al. 1995; Joos et al. 1998; Rubino et al. 2013). The perturbation of the </w:t>
      </w:r>
      <w:r>
        <w:rPr>
          <w:vertAlign w:val="superscript"/>
        </w:rPr>
        <w:t>14</w:t>
      </w:r>
      <w:r>
        <w:t>C/C ratio (Δ</w:t>
      </w:r>
      <w:r>
        <w:rPr>
          <w:vertAlign w:val="superscript"/>
        </w:rPr>
        <w:t>14</w:t>
      </w:r>
      <w:r>
        <w:t>C) in atmospheric CO</w:t>
      </w:r>
      <w:r w:rsidRPr="00027CCB">
        <w:rPr>
          <w:vertAlign w:val="subscript"/>
        </w:rPr>
        <w:t>2</w:t>
      </w:r>
      <w:r>
        <w:t xml:space="preserve"> from nuclear weapons testing in the 1950s and 60s has provided a valuable tracer of carbon turnover rates in terrestrial carbon pools (Trumbore 2000, Naegler and Levin 2009), and the rates of air-sea exchange and ocean mixing, including constraints on ocean CO</w:t>
      </w:r>
      <w:r>
        <w:rPr>
          <w:vertAlign w:val="subscript"/>
        </w:rPr>
        <w:t>2</w:t>
      </w:r>
      <w:r>
        <w:t xml:space="preserve"> uptake (Matsumoto et al. 2004, Sweeney et al. 2007, Graven et al. 2012). Integration of carbon isotopes into ESMs is an emerging activity and we request the reporting of carbon isotopic variables for the first time in C4MIP. Carbon isotopes are also included in OMIP (Orr et al. 2016). ESMs that simulate carbon isotopes are requested to report fluxes and stocks of carbon isotopes in their land and ocean components. This will enable comparison between models currently simulating carbon isotopes and their evaluation by observations, as well as encourage future development of carbon isotopes in ESMs. Simulation of carbon isotopes in C4MIP is expected to provide novel insights on ocean mixing and air-sea exchange, marine ecosystem change, plant water use efficiency and stomatal closure especially during drought periods, and terrestrial carbon residence times.</w:t>
      </w:r>
    </w:p>
    <w:p w:rsidR="00366E53" w:rsidRDefault="00366E53" w:rsidP="00366E53"/>
    <w:p w:rsidR="00366E53" w:rsidRDefault="00366E53" w:rsidP="00366E53">
      <w:r>
        <w:t>Historical simulations will be needed to explore potential emergent constraints from observations on the future response of the carbon cycle, with a particular focus on carbon cycle feedbacks. Recent studies showed the potential of observed interannual CO</w:t>
      </w:r>
      <w:r>
        <w:rPr>
          <w:vertAlign w:val="subscript"/>
        </w:rPr>
        <w:t>2</w:t>
      </w:r>
      <w:r>
        <w:t xml:space="preserve"> variability to constrain the future tropical land carbon cycle sensitivity to climate change (Cox et al., 2013, Wenzel et al., 2014).</w:t>
      </w:r>
    </w:p>
    <w:p w:rsidR="00617789" w:rsidRDefault="00617789" w:rsidP="00366E53"/>
    <w:p w:rsidR="00617789" w:rsidRDefault="00617789" w:rsidP="00366E53">
      <w:r>
        <w:t>In the same way that earth system modelling has become an internationally collaborative activity involving shared expertise and development of tools, we also expect that evaluation techniques will evolve in this way. Community evaluation activities such as ILAMB (</w:t>
      </w:r>
      <w:r w:rsidRPr="00617789">
        <w:t>http://www.ilamb.org/</w:t>
      </w:r>
      <w:r>
        <w:t>) and ESMValTool (Eyring et al., 2016b) look likely to become increasingly useful for addressing the complexities of multi-model ESM evaluation.</w:t>
      </w:r>
    </w:p>
    <w:p w:rsidR="00366E53" w:rsidRDefault="00366E53" w:rsidP="00366E53">
      <w:pPr>
        <w:pStyle w:val="Heading3"/>
      </w:pPr>
      <w:r>
        <w:lastRenderedPageBreak/>
        <w:t xml:space="preserve">2.2.3. Future projections of the components of the global carbon budget </w:t>
      </w:r>
    </w:p>
    <w:p w:rsidR="00366E53" w:rsidRDefault="00366E53" w:rsidP="00366E53">
      <w:r>
        <w:t>While idealized experiments are useful for intercomparison of climate-carbon interactions across multiple models, they do not take into account the effect of non-CO</w:t>
      </w:r>
      <w:r>
        <w:rPr>
          <w:vertAlign w:val="subscript"/>
        </w:rPr>
        <w:t>2</w:t>
      </w:r>
      <w:r>
        <w:t xml:space="preserve"> GHGs, aerosols and land use change, all of which affect the behaviour of the carbon cycle in the real world. In contrast, the scenarios considered by the ScenarioMIP are internally coherent in all aspects of anthropogenic forcings. Within each socio-economic storyline, changes in fossil fuel CO</w:t>
      </w:r>
      <w:r>
        <w:rPr>
          <w:vertAlign w:val="subscript"/>
        </w:rPr>
        <w:t>2</w:t>
      </w:r>
      <w:r>
        <w:t xml:space="preserve"> emissions are consistent with those in aerosols emissions, N deposition, and changes in land use areas, all of which are based on plausible assumptions of demographic and economic development in the future. This plausibility is of special interest to policymakers. Scenarios also indicate the range of possible future developments and opportunities for mitigation and adaptation</w:t>
      </w:r>
      <w:r w:rsidR="00FE695B">
        <w:t xml:space="preserve">; </w:t>
      </w:r>
      <w:r>
        <w:t xml:space="preserve"> </w:t>
      </w:r>
      <w:r w:rsidR="00FE695B">
        <w:t>this information is</w:t>
      </w:r>
      <w:r>
        <w:t xml:space="preserve"> used widely in climate impact analyses.</w:t>
      </w:r>
    </w:p>
    <w:p w:rsidR="00366E53" w:rsidRDefault="00366E53" w:rsidP="00366E53">
      <w:r>
        <w:t xml:space="preserve"> </w:t>
      </w:r>
    </w:p>
    <w:p w:rsidR="00366E53" w:rsidRDefault="00366E53" w:rsidP="00366E53">
      <w:r>
        <w:t>The scenario simulations, therefore, provide more realistic conditions compared to the idealised 1% experiments due to their plausibility of anthropogenic forcings as well as the longer time scale over which the CO</w:t>
      </w:r>
      <w:r>
        <w:rPr>
          <w:vertAlign w:val="subscript"/>
        </w:rPr>
        <w:t>2</w:t>
      </w:r>
      <w:r>
        <w:t xml:space="preserve"> increase occurs. Since shared socio-economic pathway (SSP) scenarios include all forcings, their climate and biogeochemical effects are able to influence the atmosphere-surface carbon exchange for both land and ocean components. Emission-driven historical and the future SSP5-8.5 simulations replicate a more realistic model setting where ESMs are directly forced by anthropogenic CO</w:t>
      </w:r>
      <w:r>
        <w:rPr>
          <w:vertAlign w:val="subscript"/>
        </w:rPr>
        <w:t>2</w:t>
      </w:r>
      <w:r>
        <w:t xml:space="preserve"> emissions, allowing for the carbon cycle feedbacks to impact on atmospheric CO</w:t>
      </w:r>
      <w:r>
        <w:rPr>
          <w:vertAlign w:val="subscript"/>
        </w:rPr>
        <w:t>2</w:t>
      </w:r>
      <w:r>
        <w:t xml:space="preserve"> and simulated climate change. These will be compared with the concentration-driven equivalents in ScenarioMIP and additionally will form a baseline control experiment for analysis of alternative future land use scenarios in LUMIP (Lawrence et al., 2016).</w:t>
      </w:r>
    </w:p>
    <w:p w:rsidR="00366E53" w:rsidRDefault="00366E53" w:rsidP="00366E53"/>
    <w:p w:rsidR="00366E53" w:rsidRDefault="00366E53" w:rsidP="00366E53">
      <w:r>
        <w:t>The proposed biogeochemically-coupled versions of the historical and future SSP5-8.5 in Section 3.1, in which CO</w:t>
      </w:r>
      <w:r>
        <w:rPr>
          <w:vertAlign w:val="subscript"/>
        </w:rPr>
        <w:t>2</w:t>
      </w:r>
      <w:r>
        <w:t xml:space="preserve"> induced warming is not accounted for, when compared to their fully-coupled versions will allow us to investigate the effect of CO</w:t>
      </w:r>
      <w:r>
        <w:rPr>
          <w:vertAlign w:val="subscript"/>
        </w:rPr>
        <w:t>2</w:t>
      </w:r>
      <w:r>
        <w:t xml:space="preserve"> induced warming on atmosphere-land and atmosphere-ocean CO</w:t>
      </w:r>
      <w:r>
        <w:rPr>
          <w:vertAlign w:val="subscript"/>
        </w:rPr>
        <w:t>2</w:t>
      </w:r>
      <w:r>
        <w:t xml:space="preserve"> fluxes over the 20</w:t>
      </w:r>
      <w:r>
        <w:rPr>
          <w:vertAlign w:val="superscript"/>
        </w:rPr>
        <w:t>th</w:t>
      </w:r>
      <w:r>
        <w:t xml:space="preserve"> and 21</w:t>
      </w:r>
      <w:r>
        <w:rPr>
          <w:vertAlign w:val="superscript"/>
        </w:rPr>
        <w:t>st</w:t>
      </w:r>
      <w:r>
        <w:t xml:space="preserve"> century and beyond (Randerson et al</w:t>
      </w:r>
      <w:r w:rsidR="00CC0C09">
        <w:t>.,</w:t>
      </w:r>
      <w:r>
        <w:t xml:space="preserve"> 2015).</w:t>
      </w:r>
      <w:r w:rsidR="00FE695B">
        <w:t xml:space="preserve"> An important objective with these simulations will be to identify how land and ocean contributions to feedbacks and compatible emissions evolve century by century from sustained increases in ocean heat content and thawing of permafrost soils.</w:t>
      </w:r>
    </w:p>
    <w:p w:rsidR="00281B3A" w:rsidRDefault="00281B3A" w:rsidP="00281B3A"/>
    <w:p w:rsidR="00281B3A" w:rsidRDefault="00281B3A" w:rsidP="00281B3A">
      <w:r>
        <w:lastRenderedPageBreak/>
        <w:t>ScenarioMIP (O’Neill et al., 2016) acknowledge</w:t>
      </w:r>
      <w:r w:rsidR="00AB75BD">
        <w:t>s</w:t>
      </w:r>
      <w:r>
        <w:t xml:space="preserve"> scientific and policy interest in a scenario with a substantial overshoot in radiative forcing during the 21</w:t>
      </w:r>
      <w:r w:rsidRPr="00281B3A">
        <w:rPr>
          <w:vertAlign w:val="superscript"/>
        </w:rPr>
        <w:t>st</w:t>
      </w:r>
      <w:r>
        <w:t xml:space="preserve"> century. As such they include a tier-2 </w:t>
      </w:r>
      <w:r w:rsidR="00AB75BD">
        <w:t xml:space="preserve">concentration-driven </w:t>
      </w:r>
      <w:r>
        <w:t xml:space="preserve">scenario called SSP5-3.4-OS, an overshoot pathway, which follows SSP5-8.5 up to 2040 followed by aggressive mitigation to reduce emissions to zero by about 2070 followed by substantial negative global emissions thereafter. The carbon cycle response to peak-and-decline </w:t>
      </w:r>
      <w:r w:rsidRPr="00BA7CA3">
        <w:t>CO</w:t>
      </w:r>
      <w:r w:rsidRPr="00BA7CA3">
        <w:rPr>
          <w:vertAlign w:val="subscript"/>
        </w:rPr>
        <w:t>2</w:t>
      </w:r>
      <w:r w:rsidRPr="00BA7CA3">
        <w:t xml:space="preserve"> </w:t>
      </w:r>
      <w:r>
        <w:t xml:space="preserve">levels is likely to differ from the response to continued strong increases in </w:t>
      </w:r>
      <w:r w:rsidRPr="00BA7CA3">
        <w:t>CO</w:t>
      </w:r>
      <w:r w:rsidRPr="00BA7CA3">
        <w:rPr>
          <w:vertAlign w:val="subscript"/>
        </w:rPr>
        <w:t>2</w:t>
      </w:r>
      <w:r>
        <w:t>. The 21</w:t>
      </w:r>
      <w:r w:rsidRPr="00281B3A">
        <w:rPr>
          <w:vertAlign w:val="superscript"/>
        </w:rPr>
        <w:t>st</w:t>
      </w:r>
      <w:r>
        <w:t xml:space="preserve"> century airborne fraction from CMIP5 models varied substantially between RCPs, with RCP2.6 in particular having a much lower airborne fraction than the 20</w:t>
      </w:r>
      <w:r w:rsidRPr="00281B3A">
        <w:rPr>
          <w:vertAlign w:val="superscript"/>
        </w:rPr>
        <w:t>th</w:t>
      </w:r>
      <w:r>
        <w:t xml:space="preserve"> century or other RCPs (Jones et al., 2013). However, to date there have been no coordinated experiments to quantify the carbon-cycle feedback components in such a scenario. Hence for C4MIP we include a biogeochemically coupled ("BGC") simulation of the SSP5-3.4-OS scenario.</w:t>
      </w:r>
    </w:p>
    <w:p w:rsidR="00281B3A" w:rsidRDefault="00281B3A" w:rsidP="00281B3A"/>
    <w:p w:rsidR="00366E53" w:rsidRDefault="00366E53" w:rsidP="00366E53">
      <w:pPr>
        <w:pStyle w:val="Heading2"/>
      </w:pPr>
      <w:r>
        <w:t>2.3 Links to and requirements from other MIPs</w:t>
      </w:r>
    </w:p>
    <w:p w:rsidR="00366E53" w:rsidRDefault="00366E53" w:rsidP="00366E53">
      <w:r>
        <w:t>The Ocean Model Intercomparison Project (OMIP</w:t>
      </w:r>
      <w:r w:rsidR="00D34978">
        <w:t>, Griffies et al., 2016</w:t>
      </w:r>
      <w:r w:rsidR="00C834AA">
        <w:t>; Orr et al., 2016</w:t>
      </w:r>
      <w:r>
        <w:t xml:space="preserve">) will provide a baseline for assessment of ocean component model biogeochemical and historical carbon uptake fidelity. Ocean carbon cycle analysis has previously been conducted under the OCMIP intercomparison (Orr et al., 2001). In response to the WGCM request, the OMIP and OCMIP have been merged under the OMIP umbrella. One main objective of OMIP is to coordinate CMIP6 ocean diagnostics including ocean physics, inert chemical tracers, and biogeochemistry for all CMIP6 simulations that include an ocean component. The second objective is to perform a global ocean/sea-ice simulation forced with common atmospheric data sets. In this way, ocean models including online biogeochemistry components will be part of "Path-II" simulation, (whereas "Path-I" is designated to models without the biogeochemistry). Within OMIP, ocean-only simulations will be performed as described in </w:t>
      </w:r>
      <w:r w:rsidR="00D34978">
        <w:t xml:space="preserve">Griffies </w:t>
      </w:r>
      <w:r>
        <w:t>et al (</w:t>
      </w:r>
      <w:r w:rsidR="00A81E4C">
        <w:t>2016</w:t>
      </w:r>
      <w:r>
        <w:t>).</w:t>
      </w:r>
    </w:p>
    <w:p w:rsidR="00366E53" w:rsidRDefault="00366E53" w:rsidP="00366E53">
      <w:r>
        <w:t xml:space="preserve"> </w:t>
      </w:r>
    </w:p>
    <w:p w:rsidR="00366E53" w:rsidRDefault="00366E53" w:rsidP="00366E53">
      <w:r>
        <w:t>Analysis of changes in terrestrial carbon stocks for historical and future scenarios as result of changes in atmospheric CO</w:t>
      </w:r>
      <w:r>
        <w:rPr>
          <w:vertAlign w:val="subscript"/>
        </w:rPr>
        <w:t>2</w:t>
      </w:r>
      <w:r>
        <w:t xml:space="preserve">, climate, and land-use and land-use-induced land cover change (LULCC) will be done in coordination with LUMIP (Lawrence </w:t>
      </w:r>
      <w:r w:rsidR="00D34978">
        <w:t>et al., 2016</w:t>
      </w:r>
      <w:r>
        <w:t>). The emission-driven future scenario performed within C4MIP serves as control simulation for LUMIP. By replacing the LULCC forcing of SSP5-8.5 by the one from SSP1-2.6 under otherwise identical forcings the effect of LULCC can thus be isolated. This also implies that output provided for the emission-driven simulation should account for the additional requirements of LUMIP such as tile-level reporting of variables.</w:t>
      </w:r>
      <w:r w:rsidR="00F11551">
        <w:t xml:space="preserve"> Offline land-surface process studies form part of LS3MIP (van den Hurk et al., </w:t>
      </w:r>
      <w:r w:rsidR="00F11551">
        <w:lastRenderedPageBreak/>
        <w:t xml:space="preserve">2016) and offline simulations to quantify the contemporary land carbon budget are performed under the TERNDY intercomparison (Sitch et al., 2015). </w:t>
      </w:r>
    </w:p>
    <w:p w:rsidR="00366E53" w:rsidRDefault="00366E53" w:rsidP="00366E53"/>
    <w:p w:rsidR="00366E53" w:rsidRDefault="00366E53" w:rsidP="00366E53">
      <w:r>
        <w:t xml:space="preserve">The scientific scope of the Detection and Attribution intercomparison (DAMIP) includes attempting some observational constraint on </w:t>
      </w:r>
      <w:r w:rsidR="00BB7F8A">
        <w:t>the transient climate response to cumulative carbon emissions (</w:t>
      </w:r>
      <w:r>
        <w:t>TCRE</w:t>
      </w:r>
      <w:r w:rsidR="00BB7F8A">
        <w:t xml:space="preserve">: </w:t>
      </w:r>
      <w:r w:rsidR="00F5072F">
        <w:t xml:space="preserve">Gillett </w:t>
      </w:r>
      <w:r>
        <w:t>et al., 2016), whose assessment is also an important target of C4MIP. Collaborative opportunities exist between C4MIP and DAMIP for analyses of TCRE with C4MIP covering carbon cycle aspects of the historical runs. Furthermore, results from DAMIP analysis runs will provide insights on the mechanism of fluctuations of past CO</w:t>
      </w:r>
      <w:r>
        <w:rPr>
          <w:vertAlign w:val="subscript"/>
        </w:rPr>
        <w:t>2</w:t>
      </w:r>
      <w:r>
        <w:t xml:space="preserve"> growth rate. Synergies also exist between DAMIP and LUMIP, and also RFMIP, regarding the biophysical effects of land-use change.</w:t>
      </w:r>
    </w:p>
    <w:p w:rsidR="00366E53" w:rsidRDefault="00366E53" w:rsidP="00366E53">
      <w:pPr>
        <w:pStyle w:val="Heading1"/>
      </w:pPr>
      <w:r>
        <w:t>3. C4MIP Experiments</w:t>
      </w:r>
    </w:p>
    <w:p w:rsidR="00366E53" w:rsidRDefault="00366E53" w:rsidP="00366E53">
      <w:pPr>
        <w:pStyle w:val="Heading2"/>
      </w:pPr>
      <w:r>
        <w:t>3.1 Overview of simulations and their purpose</w:t>
      </w:r>
    </w:p>
    <w:p w:rsidR="005F274F" w:rsidRDefault="005F274F" w:rsidP="005F274F">
      <w:r>
        <w:t>The C4MIP protocol for CMIP6 builds on DECK and historical CMIP6 simulations which are documented in detail in (Eyring et al., 2016). The following experiments are not formally C4MIP simulations but are considered pre-requisite simulations for C4MIP analyses:</w:t>
      </w:r>
    </w:p>
    <w:p w:rsidR="005F274F" w:rsidRDefault="005F274F" w:rsidP="005F274F">
      <w:pPr>
        <w:pStyle w:val="ListParagraph"/>
        <w:numPr>
          <w:ilvl w:val="0"/>
          <w:numId w:val="5"/>
        </w:numPr>
      </w:pPr>
      <w:r>
        <w:t>CMIP DECK pre-industrial control simulation (piControl), with specified CO</w:t>
      </w:r>
      <w:r w:rsidRPr="005F274F">
        <w:rPr>
          <w:vertAlign w:val="subscript"/>
        </w:rPr>
        <w:t>2</w:t>
      </w:r>
      <w:r>
        <w:t xml:space="preserve"> concentration (“concentration driven”)</w:t>
      </w:r>
    </w:p>
    <w:p w:rsidR="005F274F" w:rsidRDefault="005F274F" w:rsidP="005F274F">
      <w:pPr>
        <w:pStyle w:val="ListParagraph"/>
        <w:numPr>
          <w:ilvl w:val="0"/>
          <w:numId w:val="5"/>
        </w:numPr>
      </w:pPr>
      <w:r>
        <w:t>CMIP DECK pre-industrial control simulation (esm</w:t>
      </w:r>
      <w:r w:rsidR="003D6D6F">
        <w:t>-</w:t>
      </w:r>
      <w:r>
        <w:t>piControl), with interactively simulated atmospheric CO</w:t>
      </w:r>
      <w:r w:rsidRPr="005F274F">
        <w:rPr>
          <w:vertAlign w:val="subscript"/>
        </w:rPr>
        <w:t>2</w:t>
      </w:r>
      <w:r>
        <w:t xml:space="preserve"> (“emissions driven”, but with zero emissions)</w:t>
      </w:r>
    </w:p>
    <w:p w:rsidR="005F274F" w:rsidRDefault="005F274F" w:rsidP="005F274F">
      <w:pPr>
        <w:pStyle w:val="ListParagraph"/>
        <w:numPr>
          <w:ilvl w:val="0"/>
          <w:numId w:val="5"/>
        </w:numPr>
      </w:pPr>
      <w:r>
        <w:t>CMIP DECK 1% per year increasing CO</w:t>
      </w:r>
      <w:r w:rsidRPr="005F274F">
        <w:rPr>
          <w:vertAlign w:val="subscript"/>
        </w:rPr>
        <w:t>2</w:t>
      </w:r>
      <w:r>
        <w:t xml:space="preserve"> simulation (1pctCO</w:t>
      </w:r>
      <w:r w:rsidRPr="005F274F">
        <w:rPr>
          <w:vertAlign w:val="subscript"/>
        </w:rPr>
        <w:t>2</w:t>
      </w:r>
      <w:r>
        <w:t>) initialized from pre-industrial CO</w:t>
      </w:r>
      <w:r w:rsidRPr="005F274F">
        <w:rPr>
          <w:vertAlign w:val="subscript"/>
        </w:rPr>
        <w:t>2</w:t>
      </w:r>
      <w:r>
        <w:t xml:space="preserve"> concentration until quadrupling. In C4MIP terminology this is “fully-coupled” meaning that both the model’s radiation and carbon cycle components see the increasing CO</w:t>
      </w:r>
      <w:r w:rsidRPr="005F274F">
        <w:rPr>
          <w:vertAlign w:val="subscript"/>
        </w:rPr>
        <w:t>2</w:t>
      </w:r>
      <w:r>
        <w:t xml:space="preserve"> concentration.</w:t>
      </w:r>
    </w:p>
    <w:p w:rsidR="005F274F" w:rsidRDefault="005F274F" w:rsidP="005F274F">
      <w:pPr>
        <w:pStyle w:val="ListParagraph"/>
        <w:numPr>
          <w:ilvl w:val="0"/>
          <w:numId w:val="5"/>
        </w:numPr>
      </w:pPr>
      <w:r>
        <w:t>CMIP6 concentration-driven historical simulation for 1850-2014 (historical).</w:t>
      </w:r>
    </w:p>
    <w:p w:rsidR="005F274F" w:rsidRDefault="005F274F" w:rsidP="005F274F">
      <w:pPr>
        <w:pStyle w:val="ListParagraph"/>
        <w:numPr>
          <w:ilvl w:val="0"/>
          <w:numId w:val="5"/>
        </w:numPr>
      </w:pPr>
      <w:r>
        <w:t>CMIP6 emissions-driven historical simulation with interactively simulated atmospheric CO</w:t>
      </w:r>
      <w:r w:rsidRPr="005F274F">
        <w:rPr>
          <w:vertAlign w:val="subscript"/>
        </w:rPr>
        <w:t>2</w:t>
      </w:r>
      <w:r>
        <w:t xml:space="preserve"> (esm</w:t>
      </w:r>
      <w:r w:rsidR="003D6D6F">
        <w:t>-</w:t>
      </w:r>
      <w:r>
        <w:t>hist) forced by anthropogenic emissions of CO</w:t>
      </w:r>
      <w:r w:rsidRPr="005F274F">
        <w:rPr>
          <w:vertAlign w:val="subscript"/>
        </w:rPr>
        <w:t>2</w:t>
      </w:r>
      <w:r>
        <w:t>. Other forcings such as non-CO</w:t>
      </w:r>
      <w:r w:rsidRPr="005F274F">
        <w:rPr>
          <w:vertAlign w:val="subscript"/>
        </w:rPr>
        <w:t>2</w:t>
      </w:r>
      <w:r>
        <w:t xml:space="preserve"> GHGs, aerosols, and land-cover change are being prescribed as in the CMIP6 concentration-driven historical simulation.</w:t>
      </w:r>
    </w:p>
    <w:p w:rsidR="005F274F" w:rsidRDefault="005F274F" w:rsidP="005F274F">
      <w:r>
        <w:t xml:space="preserve"> These simulations are documented in detail in Eyring et al. (2016), but here we emphasise some carbon-cycle specific aspects and requirements.</w:t>
      </w:r>
    </w:p>
    <w:p w:rsidR="005F274F" w:rsidRDefault="005F274F" w:rsidP="005F274F"/>
    <w:p w:rsidR="005F274F" w:rsidRDefault="005F274F" w:rsidP="005F274F">
      <w:r>
        <w:lastRenderedPageBreak/>
        <w:t>The simulations specifically identified as C4MIP simulations are separated into two tiers. We require only a minimalistic two experiments for C4MIP Tier-1 analysis. These are:</w:t>
      </w:r>
    </w:p>
    <w:p w:rsidR="005F274F" w:rsidRDefault="005F274F" w:rsidP="005F274F">
      <w:pPr>
        <w:pStyle w:val="ListParagraph"/>
        <w:numPr>
          <w:ilvl w:val="0"/>
          <w:numId w:val="6"/>
        </w:numPr>
      </w:pPr>
      <w:r>
        <w:t>Biogeochemically-coupled version of the 1% per year increasing CO</w:t>
      </w:r>
      <w:r w:rsidRPr="005F274F">
        <w:rPr>
          <w:vertAlign w:val="subscript"/>
        </w:rPr>
        <w:t>2</w:t>
      </w:r>
      <w:r>
        <w:t xml:space="preserve"> simulation (1pctCO2</w:t>
      </w:r>
      <w:r w:rsidR="003D6D6F">
        <w:t>-</w:t>
      </w:r>
      <w:r>
        <w:t>bgc)</w:t>
      </w:r>
    </w:p>
    <w:p w:rsidR="005F274F" w:rsidRDefault="005F274F" w:rsidP="005F274F">
      <w:pPr>
        <w:pStyle w:val="ListParagraph"/>
        <w:numPr>
          <w:ilvl w:val="0"/>
          <w:numId w:val="6"/>
        </w:numPr>
      </w:pPr>
      <w:r>
        <w:t>Emissions-driven future scenario based on the SSP5-8.5 scenario (esm</w:t>
      </w:r>
      <w:r w:rsidR="003D6D6F">
        <w:t>-</w:t>
      </w:r>
      <w:r>
        <w:t>ssp585).</w:t>
      </w:r>
    </w:p>
    <w:p w:rsidR="005F274F" w:rsidRDefault="005F274F" w:rsidP="00D34978">
      <w:r>
        <w:t xml:space="preserve">The rationale for these two required simulations is that they form a minimum set of outputs required to quantify the climate-carbon cycle feedback in a model and to simulate the full effects of this feedback on future climate under a high-end emissions scenario.  </w:t>
      </w:r>
      <w:r w:rsidR="00D34978">
        <w:t>The emissions scenario also provides a control for the LUMIP esm-ssp585-ssp126Lu simulation.</w:t>
      </w:r>
    </w:p>
    <w:p w:rsidR="005F274F" w:rsidRDefault="005F274F" w:rsidP="005F274F">
      <w:r>
        <w:t xml:space="preserve"> </w:t>
      </w:r>
    </w:p>
    <w:p w:rsidR="005F274F" w:rsidRDefault="005F274F" w:rsidP="005F274F">
      <w:r>
        <w:t>Further simulations are then requested under C4MIP Tier-2 which allow a more complete investigation of the feedback components, their non-linearities, their sensitivity to nitrogen limitations (if included in the model) and the role of their effects on future scenario</w:t>
      </w:r>
      <w:r w:rsidR="00281B3A">
        <w:t xml:space="preserve">s including sustained </w:t>
      </w:r>
      <w:r w:rsidR="00281B3A" w:rsidRPr="00BA7CA3">
        <w:t>CO</w:t>
      </w:r>
      <w:r w:rsidR="00281B3A" w:rsidRPr="00BA7CA3">
        <w:rPr>
          <w:vertAlign w:val="subscript"/>
        </w:rPr>
        <w:t>2</w:t>
      </w:r>
      <w:r w:rsidR="00281B3A">
        <w:t xml:space="preserve"> increases and a peak-and-decline in forcing</w:t>
      </w:r>
      <w:r>
        <w:t>. It is highly desirable that as many of these as possible are performed to accompany the tier-1 simulations. They are divided into two categories:</w:t>
      </w:r>
    </w:p>
    <w:p w:rsidR="005F274F" w:rsidRDefault="005F274F" w:rsidP="005F274F"/>
    <w:p w:rsidR="005F274F" w:rsidRDefault="005F274F" w:rsidP="005F274F">
      <w:r>
        <w:t>i. idealised simulations</w:t>
      </w:r>
    </w:p>
    <w:p w:rsidR="005F274F" w:rsidRDefault="005F274F" w:rsidP="005F274F">
      <w:pPr>
        <w:pStyle w:val="ListParagraph"/>
        <w:numPr>
          <w:ilvl w:val="0"/>
          <w:numId w:val="7"/>
        </w:numPr>
      </w:pPr>
      <w:r>
        <w:t>Radiatively-coupled (RAD) version of the 1% per year increasing CO</w:t>
      </w:r>
      <w:r w:rsidRPr="005F274F">
        <w:rPr>
          <w:vertAlign w:val="subscript"/>
        </w:rPr>
        <w:t>2</w:t>
      </w:r>
      <w:r>
        <w:t xml:space="preserve"> simulation (1pctCO2</w:t>
      </w:r>
      <w:r w:rsidR="003D6D6F">
        <w:t>-</w:t>
      </w:r>
      <w:r>
        <w:t xml:space="preserve">rad),  </w:t>
      </w:r>
    </w:p>
    <w:p w:rsidR="005F274F" w:rsidRDefault="005F274F" w:rsidP="005F274F">
      <w:pPr>
        <w:pStyle w:val="ListParagraph"/>
        <w:numPr>
          <w:ilvl w:val="0"/>
          <w:numId w:val="7"/>
        </w:numPr>
      </w:pPr>
      <w:r>
        <w:t>Fully-coupled  (COU) 1% per year increasing CO</w:t>
      </w:r>
      <w:r w:rsidRPr="005F274F">
        <w:rPr>
          <w:vertAlign w:val="subscript"/>
        </w:rPr>
        <w:t>2</w:t>
      </w:r>
      <w:r>
        <w:t xml:space="preserve"> simulation with nitrogen deposition (1pctCO2N</w:t>
      </w:r>
      <w:r w:rsidR="003D6D6F">
        <w:t>dep</w:t>
      </w:r>
      <w:r>
        <w:t>), and</w:t>
      </w:r>
    </w:p>
    <w:p w:rsidR="005F274F" w:rsidRDefault="005F274F" w:rsidP="005F274F">
      <w:pPr>
        <w:pStyle w:val="ListParagraph"/>
        <w:numPr>
          <w:ilvl w:val="0"/>
          <w:numId w:val="7"/>
        </w:numPr>
      </w:pPr>
      <w:r>
        <w:t>Biogeochemically-coupled (BGC) version of the 1% per year increasing CO</w:t>
      </w:r>
      <w:r w:rsidRPr="005F274F">
        <w:rPr>
          <w:vertAlign w:val="subscript"/>
        </w:rPr>
        <w:t>2</w:t>
      </w:r>
      <w:r>
        <w:t xml:space="preserve"> simulation with nitrogen deposition (1pctCO2N</w:t>
      </w:r>
      <w:r w:rsidR="003D6D6F">
        <w:t>dep-bgc</w:t>
      </w:r>
      <w:r>
        <w:t>).</w:t>
      </w:r>
    </w:p>
    <w:p w:rsidR="005F274F" w:rsidRDefault="005F274F" w:rsidP="005F274F">
      <w:r>
        <w:t>ii. scenario simulations</w:t>
      </w:r>
    </w:p>
    <w:p w:rsidR="005F274F" w:rsidRDefault="005F274F" w:rsidP="005F274F">
      <w:pPr>
        <w:pStyle w:val="ListParagraph"/>
        <w:numPr>
          <w:ilvl w:val="0"/>
          <w:numId w:val="8"/>
        </w:numPr>
      </w:pPr>
      <w:r>
        <w:t>Biogeochemically-coupled version of the concentration-driven historical CMIP6 simulation (</w:t>
      </w:r>
      <w:r w:rsidR="003D6D6F">
        <w:t>hist-bgc</w:t>
      </w:r>
      <w:r>
        <w:t>),</w:t>
      </w:r>
    </w:p>
    <w:p w:rsidR="005F274F" w:rsidRDefault="005F274F" w:rsidP="005F274F">
      <w:pPr>
        <w:pStyle w:val="ListParagraph"/>
        <w:numPr>
          <w:ilvl w:val="0"/>
          <w:numId w:val="8"/>
        </w:numPr>
      </w:pPr>
      <w:r>
        <w:t>Biogeochemically-coupled version of the concentration-driven future SSP5-8</w:t>
      </w:r>
      <w:r w:rsidR="00FB4C8D">
        <w:t>.</w:t>
      </w:r>
      <w:r>
        <w:t>5 scenario (ssp585</w:t>
      </w:r>
      <w:r w:rsidR="003D6D6F">
        <w:t>-</w:t>
      </w:r>
      <w:r>
        <w:t>bgc),</w:t>
      </w:r>
    </w:p>
    <w:p w:rsidR="005F274F" w:rsidRDefault="005F274F" w:rsidP="005F274F">
      <w:pPr>
        <w:pStyle w:val="ListParagraph"/>
        <w:numPr>
          <w:ilvl w:val="0"/>
          <w:numId w:val="8"/>
        </w:numPr>
      </w:pPr>
      <w:r>
        <w:t>Biogeochemically-coupled version of the concentration-driven future extension of the SSP5-8</w:t>
      </w:r>
      <w:r w:rsidR="00FB4C8D">
        <w:t>.</w:t>
      </w:r>
      <w:r>
        <w:t>5 scenario (ssp5</w:t>
      </w:r>
      <w:r w:rsidR="003D6D6F">
        <w:t>85-bgcExt</w:t>
      </w:r>
      <w:r>
        <w:t>)</w:t>
      </w:r>
    </w:p>
    <w:p w:rsidR="00FB4C8D" w:rsidRDefault="00FB4C8D" w:rsidP="00FB4C8D">
      <w:pPr>
        <w:pStyle w:val="ListParagraph"/>
        <w:numPr>
          <w:ilvl w:val="0"/>
          <w:numId w:val="8"/>
        </w:numPr>
      </w:pPr>
      <w:r>
        <w:t>Biogeochemically-coupled version of the concentration-driven future SSP5-3.4-over scenario (ssp534-over-bgc),</w:t>
      </w:r>
    </w:p>
    <w:p w:rsidR="00FB4C8D" w:rsidRDefault="00FB4C8D" w:rsidP="00FB4C8D">
      <w:pPr>
        <w:pStyle w:val="ListParagraph"/>
        <w:numPr>
          <w:ilvl w:val="0"/>
          <w:numId w:val="8"/>
        </w:numPr>
      </w:pPr>
      <w:r>
        <w:t>Biogeochemically-coupled version of the concentration-driven future extension of the SSP5-3.4-over scenario (ssp534-over-bgcExt),</w:t>
      </w:r>
    </w:p>
    <w:p w:rsidR="005F274F" w:rsidRDefault="005F274F" w:rsidP="005F274F"/>
    <w:p w:rsidR="005F274F" w:rsidRDefault="005F274F" w:rsidP="005F274F">
      <w:r>
        <w:t>Note that 1pcCO2N</w:t>
      </w:r>
      <w:r w:rsidR="003D6D6F">
        <w:t>dep</w:t>
      </w:r>
      <w:r>
        <w:t xml:space="preserve"> and 1pcCO2N</w:t>
      </w:r>
      <w:r w:rsidR="003D6D6F">
        <w:t>dep-bgc</w:t>
      </w:r>
      <w:r>
        <w:t xml:space="preserve"> are only applicable to models whose simulation will be affected by the deposition of reactive nitrogen either due to terrestrial or marine nitrogen cycle effects on carbon fluxes and stores.</w:t>
      </w:r>
      <w:r w:rsidR="001A46B0">
        <w:t xml:space="preserve"> Similarly, the biogeochemically forced scenario simulations (ssp585-bgc and ssp534-over-bgc) are only required if the coupled ScenarioMIP counterpart has been performed (ssp585 and ssp534-over). If computing resource limits the number of simulations performed we recommend prioritising ssp585-bgc over ssp534-over-bgc.</w:t>
      </w:r>
    </w:p>
    <w:p w:rsidR="005F274F" w:rsidRDefault="005F274F" w:rsidP="005F274F">
      <w:r>
        <w:t xml:space="preserve"> </w:t>
      </w:r>
    </w:p>
    <w:p w:rsidR="00366E53" w:rsidRDefault="005F274F" w:rsidP="005F274F">
      <w:r>
        <w:t>The simulations required for C4MIP are summarised in table 1 and the CO</w:t>
      </w:r>
      <w:r>
        <w:rPr>
          <w:vertAlign w:val="subscript"/>
        </w:rPr>
        <w:t>2</w:t>
      </w:r>
      <w:r>
        <w:t xml:space="preserve"> concentration is shown schematically in figure 1 in the context of the CMIP6 DECK, historical simulations and ssp585 future scenario which is a Tier 1 experiment of the ScenarioMIP</w:t>
      </w:r>
      <w:r w:rsidR="003D6D6F">
        <w:t xml:space="preserve"> (O’Neill et al., 2016)</w:t>
      </w:r>
      <w:r>
        <w:t>.</w:t>
      </w:r>
      <w:r w:rsidR="003D6D6F">
        <w:t xml:space="preserve"> Table 2 shows the main simulations from other MIPs which we envisage will from crucial counterparts to C4MIP simulations.</w:t>
      </w:r>
      <w:r>
        <w:t xml:space="preserve"> The rest of this section documents detailed instructions on how to set-up and perform the C4MIP simulations. Detailed definitions of the output requirements are listed in section 4.</w:t>
      </w:r>
    </w:p>
    <w:p w:rsidR="005F274F" w:rsidRDefault="005F274F" w:rsidP="005F274F"/>
    <w:tbl>
      <w:tblPr>
        <w:tblStyle w:val="1"/>
        <w:tblW w:w="9132" w:type="dxa"/>
        <w:tblInd w:w="55" w:type="dxa"/>
        <w:tblBorders>
          <w:top w:val="single" w:sz="4" w:space="0" w:color="auto"/>
          <w:bottom w:val="single" w:sz="4" w:space="0" w:color="auto"/>
          <w:insideH w:val="single" w:sz="4" w:space="0" w:color="000000"/>
        </w:tblBorders>
        <w:tblLayout w:type="fixed"/>
        <w:tblCellMar>
          <w:top w:w="57" w:type="dxa"/>
          <w:bottom w:w="57" w:type="dxa"/>
        </w:tblCellMar>
        <w:tblLook w:val="0400" w:firstRow="0" w:lastRow="0" w:firstColumn="0" w:lastColumn="0" w:noHBand="0" w:noVBand="1"/>
      </w:tblPr>
      <w:tblGrid>
        <w:gridCol w:w="1395"/>
        <w:gridCol w:w="1455"/>
        <w:gridCol w:w="1425"/>
        <w:gridCol w:w="1485"/>
        <w:gridCol w:w="1955"/>
        <w:gridCol w:w="1417"/>
      </w:tblGrid>
      <w:tr w:rsidR="005F274F" w:rsidTr="00AD28CF">
        <w:tc>
          <w:tcPr>
            <w:tcW w:w="1395" w:type="dxa"/>
            <w:shd w:val="clear" w:color="auto" w:fill="auto"/>
          </w:tcPr>
          <w:p w:rsidR="005F274F" w:rsidRPr="00AD28CF" w:rsidRDefault="005F274F" w:rsidP="00CF73E7">
            <w:pPr>
              <w:pStyle w:val="Normal1"/>
              <w:keepNext/>
              <w:spacing w:after="80" w:line="240" w:lineRule="auto"/>
            </w:pPr>
            <w:r w:rsidRPr="00AD28CF">
              <w:rPr>
                <w:b/>
              </w:rPr>
              <w:t>Category</w:t>
            </w:r>
          </w:p>
        </w:tc>
        <w:tc>
          <w:tcPr>
            <w:tcW w:w="1455" w:type="dxa"/>
            <w:shd w:val="clear" w:color="auto" w:fill="auto"/>
          </w:tcPr>
          <w:p w:rsidR="005F274F" w:rsidRPr="00AD28CF" w:rsidRDefault="005F274F" w:rsidP="00CF73E7">
            <w:pPr>
              <w:pStyle w:val="Normal1"/>
              <w:keepNext/>
              <w:spacing w:after="80" w:line="240" w:lineRule="auto"/>
              <w:jc w:val="center"/>
            </w:pPr>
            <w:r w:rsidRPr="00AD28CF">
              <w:rPr>
                <w:b/>
              </w:rPr>
              <w:t>Type of Scenario</w:t>
            </w:r>
          </w:p>
        </w:tc>
        <w:tc>
          <w:tcPr>
            <w:tcW w:w="1425" w:type="dxa"/>
            <w:shd w:val="clear" w:color="auto" w:fill="auto"/>
          </w:tcPr>
          <w:p w:rsidR="005F274F" w:rsidRPr="00AD28CF" w:rsidRDefault="005F274F" w:rsidP="00CF73E7">
            <w:pPr>
              <w:pStyle w:val="Normal1"/>
              <w:keepNext/>
              <w:spacing w:after="80" w:line="240" w:lineRule="auto"/>
              <w:jc w:val="center"/>
            </w:pPr>
            <w:r w:rsidRPr="00AD28CF">
              <w:rPr>
                <w:b/>
              </w:rPr>
              <w:t>Emission or concentration driven</w:t>
            </w:r>
          </w:p>
        </w:tc>
        <w:tc>
          <w:tcPr>
            <w:tcW w:w="1485" w:type="dxa"/>
            <w:shd w:val="clear" w:color="auto" w:fill="auto"/>
          </w:tcPr>
          <w:p w:rsidR="005F274F" w:rsidRPr="00AD28CF" w:rsidRDefault="005F274F" w:rsidP="00CF73E7">
            <w:pPr>
              <w:pStyle w:val="Normal1"/>
              <w:keepNext/>
              <w:spacing w:after="80" w:line="240" w:lineRule="auto"/>
              <w:jc w:val="center"/>
            </w:pPr>
            <w:r w:rsidRPr="00AD28CF">
              <w:rPr>
                <w:b/>
              </w:rPr>
              <w:t>Coupling mode</w:t>
            </w:r>
          </w:p>
        </w:tc>
        <w:tc>
          <w:tcPr>
            <w:tcW w:w="1955" w:type="dxa"/>
            <w:shd w:val="clear" w:color="auto" w:fill="auto"/>
          </w:tcPr>
          <w:p w:rsidR="005F274F" w:rsidRPr="00AD28CF" w:rsidRDefault="005F274F" w:rsidP="00CF73E7">
            <w:pPr>
              <w:pStyle w:val="Normal1"/>
              <w:keepNext/>
              <w:spacing w:after="80" w:line="240" w:lineRule="auto"/>
              <w:jc w:val="center"/>
            </w:pPr>
            <w:r w:rsidRPr="00AD28CF">
              <w:rPr>
                <w:b/>
              </w:rPr>
              <w:t>Simulation years</w:t>
            </w:r>
          </w:p>
        </w:tc>
        <w:tc>
          <w:tcPr>
            <w:tcW w:w="1417" w:type="dxa"/>
            <w:shd w:val="clear" w:color="auto" w:fill="auto"/>
          </w:tcPr>
          <w:p w:rsidR="005F274F" w:rsidRPr="00AD28CF" w:rsidRDefault="005F274F" w:rsidP="00CF73E7">
            <w:pPr>
              <w:pStyle w:val="Normal1"/>
              <w:keepNext/>
              <w:spacing w:after="80" w:line="240" w:lineRule="auto"/>
              <w:jc w:val="center"/>
            </w:pPr>
            <w:r w:rsidRPr="00AD28CF">
              <w:rPr>
                <w:b/>
              </w:rPr>
              <w:t>Short name</w:t>
            </w:r>
          </w:p>
        </w:tc>
      </w:tr>
      <w:tr w:rsidR="005F274F" w:rsidTr="00214A60">
        <w:tc>
          <w:tcPr>
            <w:tcW w:w="1395" w:type="dxa"/>
            <w:shd w:val="clear" w:color="auto" w:fill="F2F2F2" w:themeFill="background1" w:themeFillShade="F2"/>
          </w:tcPr>
          <w:p w:rsidR="005F274F" w:rsidRDefault="005F274F" w:rsidP="00CF73E7">
            <w:pPr>
              <w:pStyle w:val="Normal1"/>
              <w:keepNext/>
              <w:spacing w:after="80" w:line="240" w:lineRule="auto"/>
            </w:pPr>
            <w:r>
              <w:rPr>
                <w:b/>
                <w:sz w:val="16"/>
                <w:szCs w:val="16"/>
              </w:rPr>
              <w:t>Tier 1</w:t>
            </w:r>
          </w:p>
        </w:tc>
        <w:tc>
          <w:tcPr>
            <w:tcW w:w="1455" w:type="dxa"/>
            <w:shd w:val="clear" w:color="auto" w:fill="F2F2F2" w:themeFill="background1" w:themeFillShade="F2"/>
          </w:tcPr>
          <w:p w:rsidR="005F274F" w:rsidRDefault="005F274F" w:rsidP="00CF73E7">
            <w:pPr>
              <w:pStyle w:val="Normal1"/>
              <w:keepNext/>
              <w:spacing w:after="80" w:line="240" w:lineRule="auto"/>
              <w:jc w:val="center"/>
            </w:pPr>
          </w:p>
        </w:tc>
        <w:tc>
          <w:tcPr>
            <w:tcW w:w="1425" w:type="dxa"/>
            <w:shd w:val="clear" w:color="auto" w:fill="F2F2F2" w:themeFill="background1" w:themeFillShade="F2"/>
          </w:tcPr>
          <w:p w:rsidR="005F274F" w:rsidRDefault="005F274F" w:rsidP="00CF73E7">
            <w:pPr>
              <w:pStyle w:val="Normal1"/>
              <w:keepNext/>
              <w:spacing w:after="80" w:line="240" w:lineRule="auto"/>
              <w:jc w:val="center"/>
            </w:pPr>
          </w:p>
        </w:tc>
        <w:tc>
          <w:tcPr>
            <w:tcW w:w="1485" w:type="dxa"/>
            <w:shd w:val="clear" w:color="auto" w:fill="F2F2F2" w:themeFill="background1" w:themeFillShade="F2"/>
          </w:tcPr>
          <w:p w:rsidR="005F274F" w:rsidRDefault="005F274F" w:rsidP="00CF73E7">
            <w:pPr>
              <w:pStyle w:val="Normal1"/>
              <w:keepNext/>
              <w:spacing w:after="80" w:line="240" w:lineRule="auto"/>
              <w:jc w:val="center"/>
            </w:pPr>
          </w:p>
        </w:tc>
        <w:tc>
          <w:tcPr>
            <w:tcW w:w="1955" w:type="dxa"/>
            <w:shd w:val="clear" w:color="auto" w:fill="F2F2F2" w:themeFill="background1" w:themeFillShade="F2"/>
          </w:tcPr>
          <w:p w:rsidR="005F274F" w:rsidRDefault="005F274F" w:rsidP="00CF73E7">
            <w:pPr>
              <w:pStyle w:val="Normal1"/>
              <w:keepNext/>
              <w:spacing w:after="80" w:line="240" w:lineRule="auto"/>
              <w:jc w:val="center"/>
            </w:pPr>
          </w:p>
        </w:tc>
        <w:tc>
          <w:tcPr>
            <w:tcW w:w="1417" w:type="dxa"/>
            <w:shd w:val="clear" w:color="auto" w:fill="F2F2F2" w:themeFill="background1" w:themeFillShade="F2"/>
          </w:tcPr>
          <w:p w:rsidR="005F274F" w:rsidRDefault="005F274F" w:rsidP="00CF73E7">
            <w:pPr>
              <w:pStyle w:val="Normal1"/>
              <w:keepNext/>
              <w:spacing w:after="80" w:line="240" w:lineRule="auto"/>
              <w:jc w:val="center"/>
            </w:pPr>
          </w:p>
        </w:tc>
      </w:tr>
      <w:tr w:rsidR="005F274F" w:rsidTr="00AD28CF">
        <w:tc>
          <w:tcPr>
            <w:tcW w:w="1395" w:type="dxa"/>
            <w:shd w:val="clear" w:color="auto" w:fill="auto"/>
          </w:tcPr>
          <w:p w:rsidR="005F274F" w:rsidRDefault="005F274F" w:rsidP="00CF73E7">
            <w:pPr>
              <w:pStyle w:val="Normal1"/>
              <w:keepNext/>
              <w:spacing w:after="80" w:line="240" w:lineRule="auto"/>
            </w:pPr>
            <w:r>
              <w:rPr>
                <w:b/>
                <w:sz w:val="16"/>
                <w:szCs w:val="16"/>
              </w:rPr>
              <w:t>1%BGC</w:t>
            </w:r>
          </w:p>
        </w:tc>
        <w:tc>
          <w:tcPr>
            <w:tcW w:w="1455" w:type="dxa"/>
            <w:shd w:val="clear" w:color="auto" w:fill="auto"/>
          </w:tcPr>
          <w:p w:rsidR="005F274F" w:rsidRDefault="005F274F" w:rsidP="00CF73E7">
            <w:pPr>
              <w:pStyle w:val="Normal1"/>
              <w:keepNext/>
              <w:spacing w:after="80" w:line="240" w:lineRule="auto"/>
            </w:pPr>
            <w:r>
              <w:rPr>
                <w:sz w:val="16"/>
                <w:szCs w:val="16"/>
              </w:rPr>
              <w:t>Idealised 1% per year CO</w:t>
            </w:r>
            <w:r>
              <w:rPr>
                <w:sz w:val="16"/>
                <w:szCs w:val="16"/>
                <w:vertAlign w:val="subscript"/>
              </w:rPr>
              <w:t>2</w:t>
            </w:r>
            <w:r>
              <w:rPr>
                <w:sz w:val="16"/>
                <w:szCs w:val="16"/>
              </w:rPr>
              <w:t xml:space="preserve"> only, BGC mode</w:t>
            </w:r>
          </w:p>
        </w:tc>
        <w:tc>
          <w:tcPr>
            <w:tcW w:w="1425" w:type="dxa"/>
            <w:shd w:val="clear" w:color="auto" w:fill="auto"/>
          </w:tcPr>
          <w:p w:rsidR="005F274F" w:rsidRDefault="005F274F" w:rsidP="00CF73E7">
            <w:pPr>
              <w:pStyle w:val="Normal1"/>
              <w:keepNext/>
              <w:spacing w:after="80" w:line="240" w:lineRule="auto"/>
              <w:jc w:val="center"/>
            </w:pPr>
            <w:r>
              <w:rPr>
                <w:sz w:val="16"/>
                <w:szCs w:val="16"/>
              </w:rPr>
              <w:t>C-driven</w:t>
            </w:r>
          </w:p>
        </w:tc>
        <w:tc>
          <w:tcPr>
            <w:tcW w:w="1485" w:type="dxa"/>
            <w:shd w:val="clear" w:color="auto" w:fill="auto"/>
          </w:tcPr>
          <w:p w:rsidR="005F274F" w:rsidRDefault="005F274F" w:rsidP="00CF73E7">
            <w:pPr>
              <w:pStyle w:val="Normal1"/>
              <w:keepNext/>
              <w:spacing w:after="80" w:line="240" w:lineRule="auto"/>
              <w:jc w:val="center"/>
            </w:pPr>
            <w:r>
              <w:rPr>
                <w:sz w:val="16"/>
                <w:szCs w:val="16"/>
              </w:rPr>
              <w:t>CO</w:t>
            </w:r>
            <w:r>
              <w:rPr>
                <w:sz w:val="16"/>
                <w:szCs w:val="16"/>
                <w:vertAlign w:val="subscript"/>
              </w:rPr>
              <w:t>2</w:t>
            </w:r>
            <w:r>
              <w:rPr>
                <w:sz w:val="16"/>
                <w:szCs w:val="16"/>
              </w:rPr>
              <w:t xml:space="preserve"> affects BGC</w:t>
            </w:r>
          </w:p>
        </w:tc>
        <w:tc>
          <w:tcPr>
            <w:tcW w:w="1955" w:type="dxa"/>
            <w:shd w:val="clear" w:color="auto" w:fill="auto"/>
          </w:tcPr>
          <w:p w:rsidR="005F274F" w:rsidRDefault="005F274F" w:rsidP="00CF73E7">
            <w:pPr>
              <w:pStyle w:val="Normal1"/>
              <w:keepNext/>
              <w:spacing w:after="80" w:line="240" w:lineRule="auto"/>
              <w:jc w:val="center"/>
            </w:pPr>
            <w:r>
              <w:rPr>
                <w:sz w:val="16"/>
                <w:szCs w:val="16"/>
              </w:rPr>
              <w:t>140</w:t>
            </w:r>
          </w:p>
        </w:tc>
        <w:tc>
          <w:tcPr>
            <w:tcW w:w="1417" w:type="dxa"/>
            <w:shd w:val="clear" w:color="auto" w:fill="auto"/>
          </w:tcPr>
          <w:p w:rsidR="005F274F" w:rsidRDefault="005F274F" w:rsidP="00CF73E7">
            <w:pPr>
              <w:pStyle w:val="Normal1"/>
              <w:keepNext/>
              <w:spacing w:after="80" w:line="240" w:lineRule="auto"/>
              <w:jc w:val="center"/>
            </w:pPr>
            <w:r>
              <w:rPr>
                <w:sz w:val="16"/>
                <w:szCs w:val="16"/>
              </w:rPr>
              <w:t>1pctCO2</w:t>
            </w:r>
            <w:r w:rsidR="00404A82">
              <w:rPr>
                <w:sz w:val="16"/>
                <w:szCs w:val="16"/>
              </w:rPr>
              <w:t>-</w:t>
            </w:r>
            <w:r>
              <w:rPr>
                <w:sz w:val="16"/>
                <w:szCs w:val="16"/>
              </w:rPr>
              <w:t>bgc</w:t>
            </w:r>
          </w:p>
        </w:tc>
      </w:tr>
      <w:tr w:rsidR="005F274F" w:rsidTr="00AD28CF">
        <w:tc>
          <w:tcPr>
            <w:tcW w:w="1395" w:type="dxa"/>
            <w:shd w:val="clear" w:color="auto" w:fill="auto"/>
          </w:tcPr>
          <w:p w:rsidR="005F274F" w:rsidRDefault="005F274F" w:rsidP="00CF73E7">
            <w:pPr>
              <w:pStyle w:val="Normal1"/>
              <w:keepNext/>
              <w:spacing w:after="80" w:line="240" w:lineRule="auto"/>
            </w:pPr>
            <w:r>
              <w:rPr>
                <w:b/>
                <w:sz w:val="16"/>
                <w:szCs w:val="16"/>
              </w:rPr>
              <w:t>SSP5-8.5</w:t>
            </w:r>
          </w:p>
        </w:tc>
        <w:tc>
          <w:tcPr>
            <w:tcW w:w="1455" w:type="dxa"/>
            <w:shd w:val="clear" w:color="auto" w:fill="auto"/>
          </w:tcPr>
          <w:p w:rsidR="005F274F" w:rsidRDefault="005F274F" w:rsidP="00CF73E7">
            <w:pPr>
              <w:pStyle w:val="Normal1"/>
              <w:keepNext/>
              <w:spacing w:after="80" w:line="240" w:lineRule="auto"/>
            </w:pPr>
            <w:r>
              <w:rPr>
                <w:sz w:val="16"/>
                <w:szCs w:val="16"/>
              </w:rPr>
              <w:t>SSP5-8.5 up to 2100</w:t>
            </w:r>
          </w:p>
        </w:tc>
        <w:tc>
          <w:tcPr>
            <w:tcW w:w="1425" w:type="dxa"/>
            <w:shd w:val="clear" w:color="auto" w:fill="auto"/>
          </w:tcPr>
          <w:p w:rsidR="005F274F" w:rsidRDefault="005F274F" w:rsidP="00CF73E7">
            <w:pPr>
              <w:pStyle w:val="Normal1"/>
              <w:keepNext/>
              <w:spacing w:after="80" w:line="240" w:lineRule="auto"/>
              <w:jc w:val="center"/>
            </w:pPr>
            <w:r>
              <w:rPr>
                <w:sz w:val="16"/>
                <w:szCs w:val="16"/>
              </w:rPr>
              <w:t>E-driven</w:t>
            </w:r>
          </w:p>
        </w:tc>
        <w:tc>
          <w:tcPr>
            <w:tcW w:w="1485" w:type="dxa"/>
            <w:shd w:val="clear" w:color="auto" w:fill="auto"/>
          </w:tcPr>
          <w:p w:rsidR="005F274F" w:rsidRDefault="005F274F" w:rsidP="00CF73E7">
            <w:pPr>
              <w:pStyle w:val="Normal1"/>
              <w:keepNext/>
              <w:spacing w:after="80" w:line="240" w:lineRule="auto"/>
              <w:jc w:val="center"/>
            </w:pPr>
            <w:r>
              <w:rPr>
                <w:sz w:val="16"/>
                <w:szCs w:val="16"/>
              </w:rPr>
              <w:t xml:space="preserve">Fully coupled </w:t>
            </w:r>
          </w:p>
        </w:tc>
        <w:tc>
          <w:tcPr>
            <w:tcW w:w="1955" w:type="dxa"/>
            <w:shd w:val="clear" w:color="auto" w:fill="auto"/>
          </w:tcPr>
          <w:p w:rsidR="005F274F" w:rsidRDefault="005F274F" w:rsidP="00CF73E7">
            <w:pPr>
              <w:pStyle w:val="Normal1"/>
              <w:keepNext/>
              <w:spacing w:after="80" w:line="240" w:lineRule="auto"/>
              <w:jc w:val="center"/>
            </w:pPr>
            <w:r>
              <w:rPr>
                <w:sz w:val="16"/>
                <w:szCs w:val="16"/>
              </w:rPr>
              <w:t>85</w:t>
            </w:r>
          </w:p>
        </w:tc>
        <w:tc>
          <w:tcPr>
            <w:tcW w:w="1417" w:type="dxa"/>
            <w:shd w:val="clear" w:color="auto" w:fill="auto"/>
          </w:tcPr>
          <w:p w:rsidR="005F274F" w:rsidRDefault="00404A82" w:rsidP="00404A82">
            <w:pPr>
              <w:pStyle w:val="Normal1"/>
              <w:keepNext/>
              <w:spacing w:after="80" w:line="240" w:lineRule="auto"/>
              <w:jc w:val="center"/>
            </w:pPr>
            <w:r>
              <w:rPr>
                <w:sz w:val="16"/>
                <w:szCs w:val="16"/>
              </w:rPr>
              <w:t>e</w:t>
            </w:r>
            <w:r w:rsidR="005F274F">
              <w:rPr>
                <w:sz w:val="16"/>
                <w:szCs w:val="16"/>
              </w:rPr>
              <w:t>sm</w:t>
            </w:r>
            <w:r>
              <w:rPr>
                <w:sz w:val="16"/>
                <w:szCs w:val="16"/>
              </w:rPr>
              <w:t>-</w:t>
            </w:r>
            <w:r w:rsidR="005F274F">
              <w:rPr>
                <w:sz w:val="16"/>
                <w:szCs w:val="16"/>
              </w:rPr>
              <w:t>ssp585</w:t>
            </w:r>
          </w:p>
        </w:tc>
      </w:tr>
      <w:tr w:rsidR="005F274F" w:rsidTr="00214A60">
        <w:tc>
          <w:tcPr>
            <w:tcW w:w="1395" w:type="dxa"/>
            <w:shd w:val="clear" w:color="auto" w:fill="F2F2F2" w:themeFill="background1" w:themeFillShade="F2"/>
          </w:tcPr>
          <w:p w:rsidR="005F274F" w:rsidRDefault="005F274F" w:rsidP="00CF73E7">
            <w:pPr>
              <w:pStyle w:val="Normal1"/>
              <w:keepNext/>
              <w:spacing w:after="80" w:line="240" w:lineRule="auto"/>
            </w:pPr>
            <w:r>
              <w:rPr>
                <w:b/>
                <w:sz w:val="16"/>
                <w:szCs w:val="16"/>
              </w:rPr>
              <w:t>Tier 2</w:t>
            </w:r>
          </w:p>
        </w:tc>
        <w:tc>
          <w:tcPr>
            <w:tcW w:w="1455" w:type="dxa"/>
            <w:shd w:val="clear" w:color="auto" w:fill="F2F2F2" w:themeFill="background1" w:themeFillShade="F2"/>
          </w:tcPr>
          <w:p w:rsidR="005F274F" w:rsidRDefault="005F274F" w:rsidP="00CF73E7">
            <w:pPr>
              <w:pStyle w:val="Normal1"/>
              <w:keepNext/>
              <w:spacing w:after="80" w:line="240" w:lineRule="auto"/>
            </w:pPr>
          </w:p>
        </w:tc>
        <w:tc>
          <w:tcPr>
            <w:tcW w:w="1425" w:type="dxa"/>
            <w:shd w:val="clear" w:color="auto" w:fill="F2F2F2" w:themeFill="background1" w:themeFillShade="F2"/>
          </w:tcPr>
          <w:p w:rsidR="005F274F" w:rsidRDefault="005F274F" w:rsidP="00CF73E7">
            <w:pPr>
              <w:pStyle w:val="Normal1"/>
              <w:keepNext/>
              <w:spacing w:after="80" w:line="240" w:lineRule="auto"/>
              <w:jc w:val="center"/>
            </w:pPr>
          </w:p>
        </w:tc>
        <w:tc>
          <w:tcPr>
            <w:tcW w:w="1485" w:type="dxa"/>
            <w:shd w:val="clear" w:color="auto" w:fill="F2F2F2" w:themeFill="background1" w:themeFillShade="F2"/>
          </w:tcPr>
          <w:p w:rsidR="005F274F" w:rsidRDefault="005F274F" w:rsidP="00CF73E7">
            <w:pPr>
              <w:pStyle w:val="Normal1"/>
              <w:keepNext/>
              <w:spacing w:after="80" w:line="240" w:lineRule="auto"/>
              <w:jc w:val="center"/>
            </w:pPr>
          </w:p>
        </w:tc>
        <w:tc>
          <w:tcPr>
            <w:tcW w:w="1955" w:type="dxa"/>
            <w:shd w:val="clear" w:color="auto" w:fill="F2F2F2" w:themeFill="background1" w:themeFillShade="F2"/>
          </w:tcPr>
          <w:p w:rsidR="005F274F" w:rsidRDefault="005F274F" w:rsidP="00CF73E7">
            <w:pPr>
              <w:pStyle w:val="Normal1"/>
              <w:keepNext/>
              <w:spacing w:after="80" w:line="240" w:lineRule="auto"/>
              <w:jc w:val="center"/>
            </w:pPr>
          </w:p>
        </w:tc>
        <w:tc>
          <w:tcPr>
            <w:tcW w:w="1417" w:type="dxa"/>
            <w:shd w:val="clear" w:color="auto" w:fill="F2F2F2" w:themeFill="background1" w:themeFillShade="F2"/>
          </w:tcPr>
          <w:p w:rsidR="005F274F" w:rsidRDefault="005F274F" w:rsidP="00CF73E7">
            <w:pPr>
              <w:pStyle w:val="Normal1"/>
              <w:keepNext/>
              <w:spacing w:after="80" w:line="240" w:lineRule="auto"/>
              <w:jc w:val="center"/>
            </w:pPr>
          </w:p>
        </w:tc>
      </w:tr>
      <w:tr w:rsidR="005F274F" w:rsidTr="00AD28CF">
        <w:tc>
          <w:tcPr>
            <w:tcW w:w="1395" w:type="dxa"/>
            <w:shd w:val="clear" w:color="auto" w:fill="auto"/>
          </w:tcPr>
          <w:p w:rsidR="005F274F" w:rsidRDefault="005F274F" w:rsidP="00CF73E7">
            <w:pPr>
              <w:pStyle w:val="Normal1"/>
              <w:keepNext/>
              <w:spacing w:after="80" w:line="240" w:lineRule="auto"/>
            </w:pPr>
            <w:r>
              <w:rPr>
                <w:b/>
                <w:sz w:val="16"/>
                <w:szCs w:val="16"/>
              </w:rPr>
              <w:t>1%RAD</w:t>
            </w:r>
          </w:p>
        </w:tc>
        <w:tc>
          <w:tcPr>
            <w:tcW w:w="1455" w:type="dxa"/>
            <w:shd w:val="clear" w:color="auto" w:fill="auto"/>
          </w:tcPr>
          <w:p w:rsidR="005F274F" w:rsidRDefault="005F274F" w:rsidP="00CF73E7">
            <w:pPr>
              <w:pStyle w:val="Normal1"/>
              <w:keepNext/>
              <w:spacing w:after="80" w:line="240" w:lineRule="auto"/>
            </w:pPr>
            <w:r>
              <w:rPr>
                <w:sz w:val="16"/>
                <w:szCs w:val="16"/>
              </w:rPr>
              <w:t>Idealised 1% per year CO</w:t>
            </w:r>
            <w:r>
              <w:rPr>
                <w:sz w:val="16"/>
                <w:szCs w:val="16"/>
                <w:vertAlign w:val="subscript"/>
              </w:rPr>
              <w:t>2</w:t>
            </w:r>
            <w:r>
              <w:rPr>
                <w:sz w:val="16"/>
                <w:szCs w:val="16"/>
              </w:rPr>
              <w:t xml:space="preserve"> only, RAD mode</w:t>
            </w:r>
          </w:p>
        </w:tc>
        <w:tc>
          <w:tcPr>
            <w:tcW w:w="1425" w:type="dxa"/>
            <w:shd w:val="clear" w:color="auto" w:fill="auto"/>
          </w:tcPr>
          <w:p w:rsidR="005F274F" w:rsidRDefault="005F274F" w:rsidP="00CF73E7">
            <w:pPr>
              <w:pStyle w:val="Normal1"/>
              <w:keepNext/>
              <w:spacing w:after="80" w:line="240" w:lineRule="auto"/>
              <w:jc w:val="center"/>
            </w:pPr>
            <w:r>
              <w:rPr>
                <w:sz w:val="16"/>
                <w:szCs w:val="16"/>
              </w:rPr>
              <w:t>C-driven</w:t>
            </w:r>
          </w:p>
        </w:tc>
        <w:tc>
          <w:tcPr>
            <w:tcW w:w="1485" w:type="dxa"/>
            <w:shd w:val="clear" w:color="auto" w:fill="auto"/>
          </w:tcPr>
          <w:p w:rsidR="005F274F" w:rsidRDefault="005F274F" w:rsidP="00CF73E7">
            <w:pPr>
              <w:pStyle w:val="Normal1"/>
              <w:keepNext/>
              <w:spacing w:after="80" w:line="240" w:lineRule="auto"/>
              <w:jc w:val="center"/>
            </w:pPr>
            <w:r>
              <w:rPr>
                <w:sz w:val="16"/>
                <w:szCs w:val="16"/>
              </w:rPr>
              <w:t>CO</w:t>
            </w:r>
            <w:r>
              <w:rPr>
                <w:sz w:val="16"/>
                <w:szCs w:val="16"/>
                <w:vertAlign w:val="subscript"/>
              </w:rPr>
              <w:t>2</w:t>
            </w:r>
            <w:r>
              <w:rPr>
                <w:sz w:val="16"/>
                <w:szCs w:val="16"/>
              </w:rPr>
              <w:t xml:space="preserve"> affects RAD</w:t>
            </w:r>
          </w:p>
        </w:tc>
        <w:tc>
          <w:tcPr>
            <w:tcW w:w="1955" w:type="dxa"/>
            <w:shd w:val="clear" w:color="auto" w:fill="auto"/>
          </w:tcPr>
          <w:p w:rsidR="005F274F" w:rsidRDefault="005F274F" w:rsidP="00CF73E7">
            <w:pPr>
              <w:pStyle w:val="Normal1"/>
              <w:keepNext/>
              <w:spacing w:after="80" w:line="240" w:lineRule="auto"/>
              <w:jc w:val="center"/>
            </w:pPr>
            <w:r>
              <w:rPr>
                <w:sz w:val="16"/>
                <w:szCs w:val="16"/>
              </w:rPr>
              <w:t>140</w:t>
            </w:r>
          </w:p>
        </w:tc>
        <w:tc>
          <w:tcPr>
            <w:tcW w:w="1417" w:type="dxa"/>
            <w:shd w:val="clear" w:color="auto" w:fill="auto"/>
          </w:tcPr>
          <w:p w:rsidR="005F274F" w:rsidRDefault="005F274F" w:rsidP="00CF73E7">
            <w:pPr>
              <w:pStyle w:val="Normal1"/>
              <w:keepNext/>
              <w:spacing w:after="80" w:line="240" w:lineRule="auto"/>
              <w:jc w:val="center"/>
            </w:pPr>
            <w:r>
              <w:rPr>
                <w:sz w:val="16"/>
                <w:szCs w:val="16"/>
              </w:rPr>
              <w:t>1pctCO2</w:t>
            </w:r>
            <w:r w:rsidR="00404A82">
              <w:rPr>
                <w:sz w:val="16"/>
                <w:szCs w:val="16"/>
              </w:rPr>
              <w:t>-</w:t>
            </w:r>
            <w:r>
              <w:rPr>
                <w:sz w:val="16"/>
                <w:szCs w:val="16"/>
              </w:rPr>
              <w:t>rad</w:t>
            </w:r>
          </w:p>
        </w:tc>
      </w:tr>
      <w:tr w:rsidR="005F274F" w:rsidTr="00AD28CF">
        <w:tc>
          <w:tcPr>
            <w:tcW w:w="1395" w:type="dxa"/>
            <w:shd w:val="clear" w:color="auto" w:fill="auto"/>
          </w:tcPr>
          <w:p w:rsidR="005F274F" w:rsidRDefault="005F274F" w:rsidP="00CF73E7">
            <w:pPr>
              <w:pStyle w:val="Normal1"/>
              <w:keepNext/>
              <w:spacing w:after="80" w:line="240" w:lineRule="auto"/>
            </w:pPr>
            <w:r>
              <w:rPr>
                <w:b/>
                <w:sz w:val="16"/>
                <w:szCs w:val="16"/>
              </w:rPr>
              <w:t>1%COU-Ndep</w:t>
            </w:r>
          </w:p>
        </w:tc>
        <w:tc>
          <w:tcPr>
            <w:tcW w:w="1455" w:type="dxa"/>
            <w:shd w:val="clear" w:color="auto" w:fill="auto"/>
          </w:tcPr>
          <w:p w:rsidR="005F274F" w:rsidRDefault="005F274F" w:rsidP="00CF73E7">
            <w:pPr>
              <w:pStyle w:val="Normal1"/>
              <w:keepNext/>
              <w:spacing w:after="80" w:line="240" w:lineRule="auto"/>
            </w:pPr>
            <w:r>
              <w:rPr>
                <w:sz w:val="16"/>
                <w:szCs w:val="16"/>
              </w:rPr>
              <w:t>Idealised 1% per year CO</w:t>
            </w:r>
            <w:r>
              <w:rPr>
                <w:sz w:val="16"/>
                <w:szCs w:val="16"/>
                <w:vertAlign w:val="subscript"/>
              </w:rPr>
              <w:t>2</w:t>
            </w:r>
            <w:r>
              <w:rPr>
                <w:sz w:val="16"/>
                <w:szCs w:val="16"/>
              </w:rPr>
              <w:t xml:space="preserve"> only, fully coupled, increasing N-deposition</w:t>
            </w:r>
          </w:p>
        </w:tc>
        <w:tc>
          <w:tcPr>
            <w:tcW w:w="1425" w:type="dxa"/>
            <w:shd w:val="clear" w:color="auto" w:fill="auto"/>
          </w:tcPr>
          <w:p w:rsidR="005F274F" w:rsidRDefault="005F274F" w:rsidP="00CF73E7">
            <w:pPr>
              <w:pStyle w:val="Normal1"/>
              <w:keepNext/>
              <w:spacing w:after="80" w:line="240" w:lineRule="auto"/>
              <w:jc w:val="center"/>
            </w:pPr>
            <w:r>
              <w:rPr>
                <w:sz w:val="16"/>
                <w:szCs w:val="16"/>
              </w:rPr>
              <w:t>C-driven</w:t>
            </w:r>
          </w:p>
        </w:tc>
        <w:tc>
          <w:tcPr>
            <w:tcW w:w="1485" w:type="dxa"/>
            <w:shd w:val="clear" w:color="auto" w:fill="auto"/>
          </w:tcPr>
          <w:p w:rsidR="005F274F" w:rsidRDefault="005F274F" w:rsidP="00CF73E7">
            <w:pPr>
              <w:pStyle w:val="Normal1"/>
              <w:keepNext/>
              <w:spacing w:after="80" w:line="240" w:lineRule="auto"/>
              <w:jc w:val="center"/>
            </w:pPr>
            <w:r>
              <w:rPr>
                <w:sz w:val="16"/>
                <w:szCs w:val="16"/>
              </w:rPr>
              <w:t>Fully coupled</w:t>
            </w:r>
          </w:p>
        </w:tc>
        <w:tc>
          <w:tcPr>
            <w:tcW w:w="1955" w:type="dxa"/>
            <w:shd w:val="clear" w:color="auto" w:fill="auto"/>
          </w:tcPr>
          <w:p w:rsidR="005F274F" w:rsidRDefault="005F274F" w:rsidP="00CF73E7">
            <w:pPr>
              <w:pStyle w:val="Normal1"/>
              <w:keepNext/>
              <w:spacing w:after="80" w:line="240" w:lineRule="auto"/>
              <w:jc w:val="center"/>
            </w:pPr>
            <w:r>
              <w:rPr>
                <w:sz w:val="16"/>
                <w:szCs w:val="16"/>
              </w:rPr>
              <w:t>140</w:t>
            </w:r>
          </w:p>
        </w:tc>
        <w:tc>
          <w:tcPr>
            <w:tcW w:w="1417" w:type="dxa"/>
            <w:shd w:val="clear" w:color="auto" w:fill="auto"/>
          </w:tcPr>
          <w:p w:rsidR="005F274F" w:rsidRDefault="005F274F" w:rsidP="00404A82">
            <w:pPr>
              <w:pStyle w:val="Normal1"/>
              <w:keepNext/>
              <w:spacing w:after="80" w:line="240" w:lineRule="auto"/>
              <w:jc w:val="center"/>
            </w:pPr>
            <w:r>
              <w:rPr>
                <w:sz w:val="16"/>
                <w:szCs w:val="16"/>
              </w:rPr>
              <w:t>1pctCO2N</w:t>
            </w:r>
            <w:r w:rsidR="00404A82">
              <w:rPr>
                <w:sz w:val="16"/>
                <w:szCs w:val="16"/>
              </w:rPr>
              <w:t>dep</w:t>
            </w:r>
          </w:p>
        </w:tc>
      </w:tr>
      <w:tr w:rsidR="005F274F" w:rsidTr="00AD28CF">
        <w:tc>
          <w:tcPr>
            <w:tcW w:w="1395" w:type="dxa"/>
            <w:shd w:val="clear" w:color="auto" w:fill="auto"/>
          </w:tcPr>
          <w:p w:rsidR="005F274F" w:rsidRDefault="005F274F" w:rsidP="00CF73E7">
            <w:pPr>
              <w:pStyle w:val="Normal1"/>
              <w:keepNext/>
              <w:spacing w:after="80" w:line="240" w:lineRule="auto"/>
            </w:pPr>
            <w:r>
              <w:rPr>
                <w:b/>
                <w:sz w:val="16"/>
                <w:szCs w:val="16"/>
              </w:rPr>
              <w:t>1%BGC-Ndep</w:t>
            </w:r>
          </w:p>
        </w:tc>
        <w:tc>
          <w:tcPr>
            <w:tcW w:w="1455" w:type="dxa"/>
            <w:shd w:val="clear" w:color="auto" w:fill="auto"/>
          </w:tcPr>
          <w:p w:rsidR="005F274F" w:rsidRDefault="005F274F" w:rsidP="00CF73E7">
            <w:pPr>
              <w:pStyle w:val="Normal1"/>
              <w:keepNext/>
              <w:spacing w:after="80" w:line="240" w:lineRule="auto"/>
            </w:pPr>
            <w:r>
              <w:rPr>
                <w:sz w:val="16"/>
                <w:szCs w:val="16"/>
              </w:rPr>
              <w:t>Idealised 1% per year CO</w:t>
            </w:r>
            <w:r>
              <w:rPr>
                <w:sz w:val="16"/>
                <w:szCs w:val="16"/>
                <w:vertAlign w:val="subscript"/>
              </w:rPr>
              <w:t>2</w:t>
            </w:r>
            <w:r>
              <w:rPr>
                <w:sz w:val="16"/>
                <w:szCs w:val="16"/>
              </w:rPr>
              <w:t xml:space="preserve"> only, BGC mode, increasing N-deposition</w:t>
            </w:r>
          </w:p>
        </w:tc>
        <w:tc>
          <w:tcPr>
            <w:tcW w:w="1425" w:type="dxa"/>
            <w:shd w:val="clear" w:color="auto" w:fill="auto"/>
          </w:tcPr>
          <w:p w:rsidR="005F274F" w:rsidRDefault="005F274F" w:rsidP="00CF73E7">
            <w:pPr>
              <w:pStyle w:val="Normal1"/>
              <w:keepNext/>
              <w:spacing w:after="80" w:line="240" w:lineRule="auto"/>
              <w:jc w:val="center"/>
            </w:pPr>
            <w:r>
              <w:rPr>
                <w:sz w:val="16"/>
                <w:szCs w:val="16"/>
              </w:rPr>
              <w:t>C-driven</w:t>
            </w:r>
          </w:p>
        </w:tc>
        <w:tc>
          <w:tcPr>
            <w:tcW w:w="1485" w:type="dxa"/>
            <w:shd w:val="clear" w:color="auto" w:fill="auto"/>
          </w:tcPr>
          <w:p w:rsidR="005F274F" w:rsidRDefault="005F274F" w:rsidP="00CF73E7">
            <w:pPr>
              <w:pStyle w:val="Normal1"/>
              <w:keepNext/>
              <w:spacing w:after="80" w:line="240" w:lineRule="auto"/>
              <w:jc w:val="center"/>
            </w:pPr>
            <w:r>
              <w:rPr>
                <w:sz w:val="16"/>
                <w:szCs w:val="16"/>
              </w:rPr>
              <w:t>CO</w:t>
            </w:r>
            <w:r>
              <w:rPr>
                <w:sz w:val="16"/>
                <w:szCs w:val="16"/>
                <w:vertAlign w:val="subscript"/>
              </w:rPr>
              <w:t>2</w:t>
            </w:r>
            <w:r>
              <w:rPr>
                <w:sz w:val="16"/>
                <w:szCs w:val="16"/>
              </w:rPr>
              <w:t xml:space="preserve"> affects BGC</w:t>
            </w:r>
          </w:p>
        </w:tc>
        <w:tc>
          <w:tcPr>
            <w:tcW w:w="1955" w:type="dxa"/>
            <w:shd w:val="clear" w:color="auto" w:fill="auto"/>
          </w:tcPr>
          <w:p w:rsidR="005F274F" w:rsidRDefault="005F274F" w:rsidP="00CF73E7">
            <w:pPr>
              <w:pStyle w:val="Normal1"/>
              <w:keepNext/>
              <w:spacing w:after="80" w:line="240" w:lineRule="auto"/>
              <w:jc w:val="center"/>
            </w:pPr>
            <w:r>
              <w:rPr>
                <w:sz w:val="16"/>
                <w:szCs w:val="16"/>
              </w:rPr>
              <w:t>140</w:t>
            </w:r>
          </w:p>
        </w:tc>
        <w:tc>
          <w:tcPr>
            <w:tcW w:w="1417" w:type="dxa"/>
            <w:shd w:val="clear" w:color="auto" w:fill="auto"/>
          </w:tcPr>
          <w:p w:rsidR="005F274F" w:rsidRDefault="005F274F" w:rsidP="00404A82">
            <w:pPr>
              <w:pStyle w:val="Normal1"/>
              <w:keepNext/>
              <w:spacing w:after="80" w:line="240" w:lineRule="auto"/>
              <w:jc w:val="center"/>
            </w:pPr>
            <w:r>
              <w:rPr>
                <w:sz w:val="16"/>
                <w:szCs w:val="16"/>
              </w:rPr>
              <w:t>1pctCO2N</w:t>
            </w:r>
            <w:r w:rsidR="00404A82">
              <w:rPr>
                <w:sz w:val="16"/>
                <w:szCs w:val="16"/>
              </w:rPr>
              <w:t>dep-bgc</w:t>
            </w:r>
          </w:p>
        </w:tc>
      </w:tr>
      <w:tr w:rsidR="005F274F" w:rsidTr="00AD28CF">
        <w:tc>
          <w:tcPr>
            <w:tcW w:w="1395" w:type="dxa"/>
            <w:shd w:val="clear" w:color="auto" w:fill="auto"/>
          </w:tcPr>
          <w:p w:rsidR="005F274F" w:rsidRDefault="005F274F" w:rsidP="00CF73E7">
            <w:pPr>
              <w:pStyle w:val="Normal1"/>
              <w:keepNext/>
              <w:spacing w:after="80" w:line="240" w:lineRule="auto"/>
            </w:pPr>
            <w:r>
              <w:rPr>
                <w:b/>
                <w:sz w:val="16"/>
                <w:szCs w:val="16"/>
              </w:rPr>
              <w:lastRenderedPageBreak/>
              <w:t>Hist/SSP5-8.5-BGC</w:t>
            </w:r>
          </w:p>
        </w:tc>
        <w:tc>
          <w:tcPr>
            <w:tcW w:w="1455" w:type="dxa"/>
            <w:shd w:val="clear" w:color="auto" w:fill="auto"/>
          </w:tcPr>
          <w:p w:rsidR="005F274F" w:rsidRDefault="005F274F" w:rsidP="00CF73E7">
            <w:pPr>
              <w:pStyle w:val="Normal1"/>
              <w:keepNext/>
              <w:spacing w:after="80" w:line="240" w:lineRule="auto"/>
            </w:pPr>
            <w:r>
              <w:rPr>
                <w:sz w:val="16"/>
                <w:szCs w:val="16"/>
              </w:rPr>
              <w:t xml:space="preserve">Historical+SSP5-8.5 up to 2300, BGC mode </w:t>
            </w:r>
          </w:p>
        </w:tc>
        <w:tc>
          <w:tcPr>
            <w:tcW w:w="1425" w:type="dxa"/>
            <w:shd w:val="clear" w:color="auto" w:fill="auto"/>
          </w:tcPr>
          <w:p w:rsidR="005F274F" w:rsidRDefault="005F274F" w:rsidP="00CF73E7">
            <w:pPr>
              <w:pStyle w:val="Normal1"/>
              <w:keepNext/>
              <w:spacing w:after="80" w:line="240" w:lineRule="auto"/>
              <w:jc w:val="center"/>
            </w:pPr>
            <w:r>
              <w:rPr>
                <w:sz w:val="16"/>
                <w:szCs w:val="16"/>
              </w:rPr>
              <w:t>C-driven</w:t>
            </w:r>
          </w:p>
        </w:tc>
        <w:tc>
          <w:tcPr>
            <w:tcW w:w="1485" w:type="dxa"/>
            <w:shd w:val="clear" w:color="auto" w:fill="auto"/>
          </w:tcPr>
          <w:p w:rsidR="005F274F" w:rsidRDefault="005F274F" w:rsidP="00CF73E7">
            <w:pPr>
              <w:pStyle w:val="Normal1"/>
              <w:keepNext/>
              <w:spacing w:after="80" w:line="240" w:lineRule="auto"/>
              <w:jc w:val="center"/>
            </w:pPr>
            <w:r>
              <w:rPr>
                <w:sz w:val="16"/>
                <w:szCs w:val="16"/>
              </w:rPr>
              <w:t>CO</w:t>
            </w:r>
            <w:r>
              <w:rPr>
                <w:sz w:val="16"/>
                <w:szCs w:val="16"/>
                <w:vertAlign w:val="subscript"/>
              </w:rPr>
              <w:t>2</w:t>
            </w:r>
            <w:r>
              <w:rPr>
                <w:sz w:val="16"/>
                <w:szCs w:val="16"/>
              </w:rPr>
              <w:t xml:space="preserve"> affects BGC</w:t>
            </w:r>
          </w:p>
        </w:tc>
        <w:tc>
          <w:tcPr>
            <w:tcW w:w="1955" w:type="dxa"/>
            <w:shd w:val="clear" w:color="auto" w:fill="auto"/>
          </w:tcPr>
          <w:p w:rsidR="005F274F" w:rsidRDefault="000F5591" w:rsidP="005F274F">
            <w:pPr>
              <w:pStyle w:val="Normal1"/>
              <w:keepNext/>
              <w:numPr>
                <w:ilvl w:val="0"/>
                <w:numId w:val="9"/>
              </w:numPr>
              <w:spacing w:line="240" w:lineRule="auto"/>
              <w:ind w:left="567" w:hanging="150"/>
              <w:contextualSpacing/>
              <w:rPr>
                <w:sz w:val="16"/>
                <w:szCs w:val="16"/>
              </w:rPr>
            </w:pPr>
            <w:r>
              <w:rPr>
                <w:sz w:val="16"/>
                <w:szCs w:val="16"/>
              </w:rPr>
              <w:t>165</w:t>
            </w:r>
          </w:p>
          <w:p w:rsidR="005F274F" w:rsidRDefault="005F274F" w:rsidP="005F274F">
            <w:pPr>
              <w:pStyle w:val="Normal1"/>
              <w:keepNext/>
              <w:numPr>
                <w:ilvl w:val="0"/>
                <w:numId w:val="9"/>
              </w:numPr>
              <w:spacing w:line="240" w:lineRule="auto"/>
              <w:ind w:left="567" w:hanging="150"/>
              <w:contextualSpacing/>
              <w:rPr>
                <w:sz w:val="16"/>
                <w:szCs w:val="16"/>
              </w:rPr>
            </w:pPr>
            <w:r>
              <w:rPr>
                <w:sz w:val="16"/>
                <w:szCs w:val="16"/>
              </w:rPr>
              <w:t>85</w:t>
            </w:r>
          </w:p>
          <w:p w:rsidR="005F274F" w:rsidRDefault="005F274F" w:rsidP="005F274F">
            <w:pPr>
              <w:pStyle w:val="Normal1"/>
              <w:keepNext/>
              <w:numPr>
                <w:ilvl w:val="0"/>
                <w:numId w:val="9"/>
              </w:numPr>
              <w:spacing w:after="80" w:line="240" w:lineRule="auto"/>
              <w:ind w:left="567" w:hanging="150"/>
              <w:contextualSpacing/>
              <w:rPr>
                <w:sz w:val="16"/>
                <w:szCs w:val="16"/>
              </w:rPr>
            </w:pPr>
            <w:r>
              <w:rPr>
                <w:sz w:val="16"/>
                <w:szCs w:val="16"/>
              </w:rPr>
              <w:t>200</w:t>
            </w:r>
          </w:p>
        </w:tc>
        <w:tc>
          <w:tcPr>
            <w:tcW w:w="1417" w:type="dxa"/>
            <w:shd w:val="clear" w:color="auto" w:fill="auto"/>
          </w:tcPr>
          <w:p w:rsidR="005F274F" w:rsidRDefault="00404A82" w:rsidP="00404A82">
            <w:pPr>
              <w:pStyle w:val="Normal1"/>
              <w:keepNext/>
              <w:spacing w:after="80" w:line="240" w:lineRule="auto"/>
              <w:jc w:val="center"/>
            </w:pPr>
            <w:r>
              <w:rPr>
                <w:sz w:val="16"/>
                <w:szCs w:val="16"/>
              </w:rPr>
              <w:t>hist-bgc</w:t>
            </w:r>
            <w:r w:rsidR="005F274F">
              <w:rPr>
                <w:sz w:val="16"/>
                <w:szCs w:val="16"/>
              </w:rPr>
              <w:t>, ssp585</w:t>
            </w:r>
            <w:r>
              <w:rPr>
                <w:sz w:val="16"/>
                <w:szCs w:val="16"/>
              </w:rPr>
              <w:t>-</w:t>
            </w:r>
            <w:r w:rsidR="005F274F">
              <w:rPr>
                <w:sz w:val="16"/>
                <w:szCs w:val="16"/>
              </w:rPr>
              <w:t>bgc and ssp5</w:t>
            </w:r>
            <w:r>
              <w:rPr>
                <w:sz w:val="16"/>
                <w:szCs w:val="16"/>
              </w:rPr>
              <w:t>85-bgcExt</w:t>
            </w:r>
          </w:p>
        </w:tc>
      </w:tr>
      <w:tr w:rsidR="009B4A7E" w:rsidTr="00AD28CF">
        <w:tc>
          <w:tcPr>
            <w:tcW w:w="1395" w:type="dxa"/>
            <w:shd w:val="clear" w:color="auto" w:fill="auto"/>
          </w:tcPr>
          <w:p w:rsidR="009B4A7E" w:rsidRDefault="00705A7C" w:rsidP="00404A82">
            <w:pPr>
              <w:pStyle w:val="Normal1"/>
              <w:keepNext/>
              <w:spacing w:after="80" w:line="240" w:lineRule="auto"/>
              <w:rPr>
                <w:b/>
                <w:sz w:val="16"/>
                <w:szCs w:val="16"/>
              </w:rPr>
            </w:pPr>
            <w:r>
              <w:rPr>
                <w:b/>
                <w:sz w:val="16"/>
                <w:szCs w:val="16"/>
              </w:rPr>
              <w:t>SSP5-3.4-O</w:t>
            </w:r>
            <w:r w:rsidR="00404A82">
              <w:rPr>
                <w:b/>
                <w:sz w:val="16"/>
                <w:szCs w:val="16"/>
              </w:rPr>
              <w:t>vershoot</w:t>
            </w:r>
            <w:r>
              <w:rPr>
                <w:b/>
                <w:sz w:val="16"/>
                <w:szCs w:val="16"/>
              </w:rPr>
              <w:t>-BGC</w:t>
            </w:r>
          </w:p>
        </w:tc>
        <w:tc>
          <w:tcPr>
            <w:tcW w:w="1455" w:type="dxa"/>
            <w:shd w:val="clear" w:color="auto" w:fill="auto"/>
          </w:tcPr>
          <w:p w:rsidR="009B4A7E" w:rsidRDefault="00705A7C" w:rsidP="00CF73E7">
            <w:pPr>
              <w:pStyle w:val="Normal1"/>
              <w:keepNext/>
              <w:spacing w:after="80" w:line="240" w:lineRule="auto"/>
              <w:rPr>
                <w:sz w:val="16"/>
                <w:szCs w:val="16"/>
              </w:rPr>
            </w:pPr>
            <w:r>
              <w:rPr>
                <w:sz w:val="16"/>
                <w:szCs w:val="16"/>
              </w:rPr>
              <w:t>SSP5-3.4-OS up to 2300 in BGC mode</w:t>
            </w:r>
          </w:p>
        </w:tc>
        <w:tc>
          <w:tcPr>
            <w:tcW w:w="1425" w:type="dxa"/>
            <w:shd w:val="clear" w:color="auto" w:fill="auto"/>
          </w:tcPr>
          <w:p w:rsidR="009B4A7E" w:rsidRDefault="00A12F03" w:rsidP="00CF73E7">
            <w:pPr>
              <w:pStyle w:val="Normal1"/>
              <w:keepNext/>
              <w:spacing w:after="80" w:line="240" w:lineRule="auto"/>
              <w:jc w:val="center"/>
              <w:rPr>
                <w:sz w:val="16"/>
                <w:szCs w:val="16"/>
              </w:rPr>
            </w:pPr>
            <w:r>
              <w:rPr>
                <w:sz w:val="16"/>
                <w:szCs w:val="16"/>
              </w:rPr>
              <w:t>C-driven</w:t>
            </w:r>
          </w:p>
        </w:tc>
        <w:tc>
          <w:tcPr>
            <w:tcW w:w="1485" w:type="dxa"/>
            <w:shd w:val="clear" w:color="auto" w:fill="auto"/>
          </w:tcPr>
          <w:p w:rsidR="009B4A7E" w:rsidRDefault="00A12F03" w:rsidP="00CF73E7">
            <w:pPr>
              <w:pStyle w:val="Normal1"/>
              <w:keepNext/>
              <w:spacing w:after="80" w:line="240" w:lineRule="auto"/>
              <w:jc w:val="center"/>
              <w:rPr>
                <w:sz w:val="16"/>
                <w:szCs w:val="16"/>
              </w:rPr>
            </w:pPr>
            <w:r>
              <w:rPr>
                <w:sz w:val="16"/>
                <w:szCs w:val="16"/>
              </w:rPr>
              <w:t>CO</w:t>
            </w:r>
            <w:r>
              <w:rPr>
                <w:sz w:val="16"/>
                <w:szCs w:val="16"/>
                <w:vertAlign w:val="subscript"/>
              </w:rPr>
              <w:t>2</w:t>
            </w:r>
            <w:r>
              <w:rPr>
                <w:sz w:val="16"/>
                <w:szCs w:val="16"/>
              </w:rPr>
              <w:t xml:space="preserve"> affects BGC</w:t>
            </w:r>
          </w:p>
        </w:tc>
        <w:tc>
          <w:tcPr>
            <w:tcW w:w="1955" w:type="dxa"/>
            <w:shd w:val="clear" w:color="auto" w:fill="auto"/>
          </w:tcPr>
          <w:p w:rsidR="00A12F03" w:rsidRDefault="00A12F03" w:rsidP="00A12F03">
            <w:pPr>
              <w:pStyle w:val="Normal1"/>
              <w:keepNext/>
              <w:numPr>
                <w:ilvl w:val="0"/>
                <w:numId w:val="18"/>
              </w:numPr>
              <w:spacing w:line="240" w:lineRule="auto"/>
              <w:ind w:left="567" w:hanging="150"/>
              <w:contextualSpacing/>
              <w:rPr>
                <w:sz w:val="16"/>
                <w:szCs w:val="16"/>
              </w:rPr>
            </w:pPr>
            <w:r>
              <w:rPr>
                <w:sz w:val="16"/>
                <w:szCs w:val="16"/>
              </w:rPr>
              <w:t>60</w:t>
            </w:r>
            <w:r w:rsidR="00720102">
              <w:rPr>
                <w:sz w:val="16"/>
                <w:szCs w:val="16"/>
              </w:rPr>
              <w:t xml:space="preserve"> (from 2040-2100)</w:t>
            </w:r>
          </w:p>
          <w:p w:rsidR="00A12F03" w:rsidRDefault="00A12F03" w:rsidP="00A12F03">
            <w:pPr>
              <w:pStyle w:val="Normal1"/>
              <w:keepNext/>
              <w:numPr>
                <w:ilvl w:val="0"/>
                <w:numId w:val="18"/>
              </w:numPr>
              <w:spacing w:line="240" w:lineRule="auto"/>
              <w:ind w:left="567" w:hanging="150"/>
              <w:contextualSpacing/>
              <w:rPr>
                <w:sz w:val="16"/>
                <w:szCs w:val="16"/>
              </w:rPr>
            </w:pPr>
            <w:r>
              <w:rPr>
                <w:sz w:val="16"/>
                <w:szCs w:val="16"/>
              </w:rPr>
              <w:t>200</w:t>
            </w:r>
          </w:p>
        </w:tc>
        <w:tc>
          <w:tcPr>
            <w:tcW w:w="1417" w:type="dxa"/>
            <w:shd w:val="clear" w:color="auto" w:fill="auto"/>
          </w:tcPr>
          <w:p w:rsidR="009B4A7E" w:rsidRDefault="00404A82" w:rsidP="00CF73E7">
            <w:pPr>
              <w:pStyle w:val="Normal1"/>
              <w:keepNext/>
              <w:spacing w:after="80" w:line="240" w:lineRule="auto"/>
              <w:jc w:val="center"/>
              <w:rPr>
                <w:sz w:val="16"/>
                <w:szCs w:val="16"/>
              </w:rPr>
            </w:pPr>
            <w:r>
              <w:rPr>
                <w:sz w:val="16"/>
                <w:szCs w:val="16"/>
              </w:rPr>
              <w:t>ssp534-over-bgc, ssp534-over-bgcExt</w:t>
            </w:r>
          </w:p>
        </w:tc>
      </w:tr>
      <w:tr w:rsidR="005F274F" w:rsidTr="00214A60">
        <w:tc>
          <w:tcPr>
            <w:tcW w:w="1395" w:type="dxa"/>
            <w:shd w:val="clear" w:color="auto" w:fill="F2F2F2" w:themeFill="background1" w:themeFillShade="F2"/>
          </w:tcPr>
          <w:p w:rsidR="005F274F" w:rsidRDefault="005F274F" w:rsidP="00CF73E7">
            <w:pPr>
              <w:pStyle w:val="Normal1"/>
              <w:keepNext/>
              <w:spacing w:after="80" w:line="240" w:lineRule="auto"/>
            </w:pPr>
            <w:r>
              <w:rPr>
                <w:b/>
                <w:sz w:val="16"/>
                <w:szCs w:val="16"/>
              </w:rPr>
              <w:t>CMIP DECK</w:t>
            </w:r>
          </w:p>
        </w:tc>
        <w:tc>
          <w:tcPr>
            <w:tcW w:w="1455" w:type="dxa"/>
            <w:shd w:val="clear" w:color="auto" w:fill="F2F2F2" w:themeFill="background1" w:themeFillShade="F2"/>
          </w:tcPr>
          <w:p w:rsidR="005F274F" w:rsidRDefault="005F274F" w:rsidP="00CF73E7">
            <w:pPr>
              <w:pStyle w:val="Normal1"/>
              <w:keepNext/>
              <w:spacing w:after="80" w:line="240" w:lineRule="auto"/>
            </w:pPr>
          </w:p>
        </w:tc>
        <w:tc>
          <w:tcPr>
            <w:tcW w:w="1425" w:type="dxa"/>
            <w:shd w:val="clear" w:color="auto" w:fill="F2F2F2" w:themeFill="background1" w:themeFillShade="F2"/>
          </w:tcPr>
          <w:p w:rsidR="005F274F" w:rsidRDefault="005F274F" w:rsidP="00CF73E7">
            <w:pPr>
              <w:pStyle w:val="Normal1"/>
              <w:keepNext/>
              <w:spacing w:after="80" w:line="240" w:lineRule="auto"/>
            </w:pPr>
          </w:p>
        </w:tc>
        <w:tc>
          <w:tcPr>
            <w:tcW w:w="1485" w:type="dxa"/>
            <w:shd w:val="clear" w:color="auto" w:fill="F2F2F2" w:themeFill="background1" w:themeFillShade="F2"/>
          </w:tcPr>
          <w:p w:rsidR="005F274F" w:rsidRDefault="005F274F" w:rsidP="00CF73E7">
            <w:pPr>
              <w:pStyle w:val="Normal1"/>
              <w:keepNext/>
              <w:spacing w:after="80" w:line="240" w:lineRule="auto"/>
            </w:pPr>
          </w:p>
        </w:tc>
        <w:tc>
          <w:tcPr>
            <w:tcW w:w="1955" w:type="dxa"/>
            <w:shd w:val="clear" w:color="auto" w:fill="F2F2F2" w:themeFill="background1" w:themeFillShade="F2"/>
          </w:tcPr>
          <w:p w:rsidR="005F274F" w:rsidRDefault="005F274F" w:rsidP="00CF73E7">
            <w:pPr>
              <w:pStyle w:val="Normal1"/>
              <w:keepNext/>
              <w:spacing w:after="80" w:line="240" w:lineRule="auto"/>
            </w:pPr>
          </w:p>
        </w:tc>
        <w:tc>
          <w:tcPr>
            <w:tcW w:w="1417" w:type="dxa"/>
            <w:shd w:val="clear" w:color="auto" w:fill="F2F2F2" w:themeFill="background1" w:themeFillShade="F2"/>
          </w:tcPr>
          <w:p w:rsidR="005F274F" w:rsidRDefault="005F274F" w:rsidP="00CF73E7">
            <w:pPr>
              <w:pStyle w:val="Normal1"/>
              <w:keepNext/>
              <w:spacing w:after="80" w:line="240" w:lineRule="auto"/>
            </w:pPr>
          </w:p>
        </w:tc>
      </w:tr>
      <w:tr w:rsidR="005F274F" w:rsidTr="00AD28CF">
        <w:tc>
          <w:tcPr>
            <w:tcW w:w="1395" w:type="dxa"/>
            <w:shd w:val="clear" w:color="auto" w:fill="auto"/>
          </w:tcPr>
          <w:p w:rsidR="005F274F" w:rsidRDefault="005F274F" w:rsidP="00CF73E7">
            <w:pPr>
              <w:pStyle w:val="Normal1"/>
              <w:keepNext/>
              <w:spacing w:after="80" w:line="240" w:lineRule="auto"/>
            </w:pPr>
            <w:r>
              <w:rPr>
                <w:b/>
                <w:sz w:val="16"/>
                <w:szCs w:val="16"/>
              </w:rPr>
              <w:t>esm PIcontrol</w:t>
            </w:r>
          </w:p>
        </w:tc>
        <w:tc>
          <w:tcPr>
            <w:tcW w:w="1455" w:type="dxa"/>
            <w:shd w:val="clear" w:color="auto" w:fill="auto"/>
          </w:tcPr>
          <w:p w:rsidR="005F274F" w:rsidRDefault="005F274F" w:rsidP="00CF73E7">
            <w:pPr>
              <w:pStyle w:val="Normal1"/>
              <w:keepNext/>
              <w:spacing w:after="80" w:line="240" w:lineRule="auto"/>
            </w:pPr>
            <w:r>
              <w:rPr>
                <w:sz w:val="16"/>
                <w:szCs w:val="16"/>
              </w:rPr>
              <w:t>pre-industrial control run</w:t>
            </w:r>
          </w:p>
        </w:tc>
        <w:tc>
          <w:tcPr>
            <w:tcW w:w="1425" w:type="dxa"/>
            <w:shd w:val="clear" w:color="auto" w:fill="auto"/>
          </w:tcPr>
          <w:p w:rsidR="005F274F" w:rsidRDefault="005F274F" w:rsidP="00CF73E7">
            <w:pPr>
              <w:pStyle w:val="Normal1"/>
              <w:keepNext/>
              <w:spacing w:after="80" w:line="240" w:lineRule="auto"/>
              <w:jc w:val="center"/>
            </w:pPr>
            <w:r>
              <w:rPr>
                <w:sz w:val="16"/>
                <w:szCs w:val="16"/>
              </w:rPr>
              <w:t>E-driven</w:t>
            </w:r>
          </w:p>
        </w:tc>
        <w:tc>
          <w:tcPr>
            <w:tcW w:w="1485" w:type="dxa"/>
            <w:shd w:val="clear" w:color="auto" w:fill="auto"/>
          </w:tcPr>
          <w:p w:rsidR="005F274F" w:rsidRDefault="005F274F" w:rsidP="00CF73E7">
            <w:pPr>
              <w:pStyle w:val="Normal1"/>
              <w:keepNext/>
              <w:spacing w:after="80" w:line="240" w:lineRule="auto"/>
              <w:jc w:val="center"/>
            </w:pPr>
            <w:r>
              <w:rPr>
                <w:sz w:val="16"/>
                <w:szCs w:val="16"/>
              </w:rPr>
              <w:t>Fully coupled</w:t>
            </w:r>
          </w:p>
        </w:tc>
        <w:tc>
          <w:tcPr>
            <w:tcW w:w="1955" w:type="dxa"/>
            <w:shd w:val="clear" w:color="auto" w:fill="auto"/>
          </w:tcPr>
          <w:p w:rsidR="005F274F" w:rsidRDefault="005F274F" w:rsidP="00CF73E7">
            <w:pPr>
              <w:pStyle w:val="Normal1"/>
              <w:keepNext/>
              <w:spacing w:after="80" w:line="240" w:lineRule="auto"/>
              <w:jc w:val="center"/>
            </w:pPr>
            <w:r>
              <w:rPr>
                <w:sz w:val="16"/>
                <w:szCs w:val="16"/>
              </w:rPr>
              <w:t>&gt;200 as required by CMIP DECK</w:t>
            </w:r>
          </w:p>
        </w:tc>
        <w:tc>
          <w:tcPr>
            <w:tcW w:w="1417" w:type="dxa"/>
            <w:shd w:val="clear" w:color="auto" w:fill="auto"/>
          </w:tcPr>
          <w:p w:rsidR="005F274F" w:rsidRDefault="00404A82" w:rsidP="00404A82">
            <w:pPr>
              <w:pStyle w:val="Normal1"/>
              <w:keepNext/>
              <w:spacing w:after="80" w:line="240" w:lineRule="auto"/>
            </w:pPr>
            <w:r>
              <w:rPr>
                <w:sz w:val="16"/>
                <w:szCs w:val="16"/>
              </w:rPr>
              <w:t>E</w:t>
            </w:r>
            <w:r w:rsidR="005F274F">
              <w:rPr>
                <w:sz w:val="16"/>
                <w:szCs w:val="16"/>
              </w:rPr>
              <w:t>sm</w:t>
            </w:r>
            <w:r>
              <w:rPr>
                <w:sz w:val="16"/>
                <w:szCs w:val="16"/>
              </w:rPr>
              <w:t>-piControl</w:t>
            </w:r>
          </w:p>
        </w:tc>
      </w:tr>
      <w:tr w:rsidR="005F274F" w:rsidTr="00AD28CF">
        <w:tc>
          <w:tcPr>
            <w:tcW w:w="1395" w:type="dxa"/>
            <w:shd w:val="clear" w:color="auto" w:fill="auto"/>
          </w:tcPr>
          <w:p w:rsidR="005F274F" w:rsidRDefault="005F274F" w:rsidP="00CF73E7">
            <w:pPr>
              <w:pStyle w:val="Normal1"/>
              <w:keepNext/>
              <w:spacing w:after="80" w:line="240" w:lineRule="auto"/>
            </w:pPr>
            <w:r>
              <w:rPr>
                <w:b/>
                <w:sz w:val="16"/>
                <w:szCs w:val="16"/>
              </w:rPr>
              <w:t>esm Historical</w:t>
            </w:r>
          </w:p>
        </w:tc>
        <w:tc>
          <w:tcPr>
            <w:tcW w:w="1455" w:type="dxa"/>
            <w:shd w:val="clear" w:color="auto" w:fill="auto"/>
          </w:tcPr>
          <w:p w:rsidR="005F274F" w:rsidRDefault="005F274F" w:rsidP="00CF73E7">
            <w:pPr>
              <w:pStyle w:val="Normal1"/>
              <w:keepNext/>
              <w:spacing w:after="80" w:line="240" w:lineRule="auto"/>
            </w:pPr>
            <w:r>
              <w:rPr>
                <w:sz w:val="16"/>
                <w:szCs w:val="16"/>
              </w:rPr>
              <w:t>Historical</w:t>
            </w:r>
          </w:p>
        </w:tc>
        <w:tc>
          <w:tcPr>
            <w:tcW w:w="1425" w:type="dxa"/>
            <w:shd w:val="clear" w:color="auto" w:fill="auto"/>
          </w:tcPr>
          <w:p w:rsidR="005F274F" w:rsidRDefault="005F274F" w:rsidP="00CF73E7">
            <w:pPr>
              <w:pStyle w:val="Normal1"/>
              <w:keepNext/>
              <w:spacing w:after="80" w:line="240" w:lineRule="auto"/>
              <w:jc w:val="center"/>
            </w:pPr>
            <w:r>
              <w:rPr>
                <w:sz w:val="16"/>
                <w:szCs w:val="16"/>
              </w:rPr>
              <w:t>E-driven</w:t>
            </w:r>
          </w:p>
        </w:tc>
        <w:tc>
          <w:tcPr>
            <w:tcW w:w="1485" w:type="dxa"/>
            <w:shd w:val="clear" w:color="auto" w:fill="auto"/>
          </w:tcPr>
          <w:p w:rsidR="005F274F" w:rsidRDefault="005F274F" w:rsidP="00CF73E7">
            <w:pPr>
              <w:pStyle w:val="Normal1"/>
              <w:keepNext/>
              <w:spacing w:after="80" w:line="240" w:lineRule="auto"/>
              <w:jc w:val="center"/>
            </w:pPr>
            <w:r>
              <w:rPr>
                <w:sz w:val="16"/>
                <w:szCs w:val="16"/>
              </w:rPr>
              <w:t>Fully coupled</w:t>
            </w:r>
          </w:p>
        </w:tc>
        <w:tc>
          <w:tcPr>
            <w:tcW w:w="1955" w:type="dxa"/>
            <w:shd w:val="clear" w:color="auto" w:fill="auto"/>
          </w:tcPr>
          <w:p w:rsidR="005F274F" w:rsidRDefault="005F274F" w:rsidP="00CF73E7">
            <w:pPr>
              <w:pStyle w:val="Normal1"/>
              <w:keepNext/>
              <w:spacing w:after="80" w:line="240" w:lineRule="auto"/>
              <w:jc w:val="center"/>
            </w:pPr>
            <w:r>
              <w:rPr>
                <w:sz w:val="16"/>
                <w:szCs w:val="16"/>
              </w:rPr>
              <w:t>1</w:t>
            </w:r>
            <w:r w:rsidR="000F5591">
              <w:rPr>
                <w:sz w:val="16"/>
                <w:szCs w:val="16"/>
              </w:rPr>
              <w:t>6</w:t>
            </w:r>
            <w:r>
              <w:rPr>
                <w:sz w:val="16"/>
                <w:szCs w:val="16"/>
              </w:rPr>
              <w:t>5</w:t>
            </w:r>
          </w:p>
        </w:tc>
        <w:tc>
          <w:tcPr>
            <w:tcW w:w="1417" w:type="dxa"/>
            <w:shd w:val="clear" w:color="auto" w:fill="auto"/>
          </w:tcPr>
          <w:p w:rsidR="005F274F" w:rsidRDefault="005F274F" w:rsidP="00404A82">
            <w:pPr>
              <w:pStyle w:val="Normal1"/>
              <w:keepNext/>
              <w:spacing w:after="80" w:line="240" w:lineRule="auto"/>
            </w:pPr>
            <w:r>
              <w:rPr>
                <w:sz w:val="16"/>
                <w:szCs w:val="16"/>
              </w:rPr>
              <w:t>esm</w:t>
            </w:r>
            <w:r w:rsidR="00404A82">
              <w:rPr>
                <w:sz w:val="16"/>
                <w:szCs w:val="16"/>
              </w:rPr>
              <w:t>-h</w:t>
            </w:r>
            <w:r>
              <w:rPr>
                <w:sz w:val="16"/>
                <w:szCs w:val="16"/>
              </w:rPr>
              <w:t>ist</w:t>
            </w:r>
          </w:p>
        </w:tc>
      </w:tr>
    </w:tbl>
    <w:p w:rsidR="00673197" w:rsidRDefault="00673197" w:rsidP="005F274F">
      <w:pPr>
        <w:pStyle w:val="Normal1"/>
      </w:pPr>
    </w:p>
    <w:p w:rsidR="005F274F" w:rsidRPr="00673197" w:rsidRDefault="005F274F" w:rsidP="005F274F">
      <w:pPr>
        <w:pStyle w:val="Normal1"/>
        <w:rPr>
          <w:i/>
        </w:rPr>
      </w:pPr>
      <w:r w:rsidRPr="00673197">
        <w:rPr>
          <w:i/>
        </w:rPr>
        <w:t xml:space="preserve">Table 1. Summary of C4MIP simulations. The C4MIP tier-1 and tier-2 </w:t>
      </w:r>
      <w:r w:rsidR="007B3EF5" w:rsidRPr="00673197">
        <w:rPr>
          <w:i/>
        </w:rPr>
        <w:t>simulations</w:t>
      </w:r>
      <w:r w:rsidRPr="00673197">
        <w:rPr>
          <w:i/>
        </w:rPr>
        <w:t xml:space="preserve"> and the specifically relevant CMIP DECK simulations required as part of C4MIP. Simulations can be “concentration driven” or “emissions driven” as described in the text. Coupling mode refers to which model components see changes in atmospheric CO</w:t>
      </w:r>
      <w:r w:rsidRPr="00673197">
        <w:rPr>
          <w:i/>
          <w:vertAlign w:val="subscript"/>
        </w:rPr>
        <w:t>2</w:t>
      </w:r>
      <w:r w:rsidRPr="00673197">
        <w:rPr>
          <w:i/>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1843"/>
        <w:gridCol w:w="2268"/>
        <w:gridCol w:w="4189"/>
      </w:tblGrid>
      <w:tr w:rsidR="00A12F03" w:rsidRPr="00673197" w:rsidTr="00AD28CF">
        <w:trPr>
          <w:trHeight w:val="20"/>
        </w:trPr>
        <w:tc>
          <w:tcPr>
            <w:tcW w:w="1951" w:type="dxa"/>
          </w:tcPr>
          <w:p w:rsidR="00A12F03" w:rsidRPr="00AD28CF" w:rsidRDefault="00A12F03" w:rsidP="00670F05">
            <w:pPr>
              <w:pStyle w:val="Heading2"/>
              <w:rPr>
                <w:szCs w:val="20"/>
              </w:rPr>
            </w:pPr>
            <w:r w:rsidRPr="00AD28CF">
              <w:rPr>
                <w:szCs w:val="20"/>
              </w:rPr>
              <w:t>Type of simulation</w:t>
            </w:r>
          </w:p>
        </w:tc>
        <w:tc>
          <w:tcPr>
            <w:tcW w:w="1843" w:type="dxa"/>
          </w:tcPr>
          <w:p w:rsidR="00A12F03" w:rsidRPr="00AD28CF" w:rsidRDefault="00A12F03" w:rsidP="00670F05">
            <w:pPr>
              <w:pStyle w:val="Heading2"/>
              <w:rPr>
                <w:szCs w:val="20"/>
              </w:rPr>
            </w:pPr>
            <w:r w:rsidRPr="00AD28CF">
              <w:rPr>
                <w:szCs w:val="20"/>
              </w:rPr>
              <w:t>Simulation name</w:t>
            </w:r>
          </w:p>
        </w:tc>
        <w:tc>
          <w:tcPr>
            <w:tcW w:w="2268" w:type="dxa"/>
          </w:tcPr>
          <w:p w:rsidR="00A12F03" w:rsidRPr="00AD28CF" w:rsidRDefault="00A12F03" w:rsidP="00670F05">
            <w:pPr>
              <w:pStyle w:val="Heading2"/>
              <w:rPr>
                <w:szCs w:val="20"/>
              </w:rPr>
            </w:pPr>
            <w:r w:rsidRPr="00AD28CF">
              <w:rPr>
                <w:szCs w:val="20"/>
              </w:rPr>
              <w:t>Owning MIP</w:t>
            </w:r>
          </w:p>
        </w:tc>
        <w:tc>
          <w:tcPr>
            <w:tcW w:w="4189" w:type="dxa"/>
          </w:tcPr>
          <w:p w:rsidR="00A12F03" w:rsidRPr="00AD28CF" w:rsidRDefault="00A12F03" w:rsidP="00670F05">
            <w:pPr>
              <w:pStyle w:val="Heading2"/>
              <w:rPr>
                <w:szCs w:val="20"/>
              </w:rPr>
            </w:pPr>
            <w:r w:rsidRPr="00AD28CF">
              <w:rPr>
                <w:szCs w:val="20"/>
              </w:rPr>
              <w:t>notes</w:t>
            </w:r>
          </w:p>
        </w:tc>
      </w:tr>
      <w:tr w:rsidR="00A12F03" w:rsidRPr="00673197" w:rsidTr="00214A60">
        <w:trPr>
          <w:trHeight w:hRule="exact" w:val="454"/>
        </w:trPr>
        <w:tc>
          <w:tcPr>
            <w:tcW w:w="1951" w:type="dxa"/>
            <w:shd w:val="clear" w:color="auto" w:fill="F2F2F2" w:themeFill="background1" w:themeFillShade="F2"/>
          </w:tcPr>
          <w:p w:rsidR="00A12F03" w:rsidRPr="00673197" w:rsidRDefault="00A12F03" w:rsidP="00670F05">
            <w:pPr>
              <w:pStyle w:val="Heading2"/>
              <w:rPr>
                <w:sz w:val="16"/>
                <w:szCs w:val="16"/>
              </w:rPr>
            </w:pPr>
            <w:r w:rsidRPr="00673197">
              <w:rPr>
                <w:sz w:val="16"/>
                <w:szCs w:val="16"/>
              </w:rPr>
              <w:t>Control</w:t>
            </w:r>
          </w:p>
        </w:tc>
        <w:tc>
          <w:tcPr>
            <w:tcW w:w="1843" w:type="dxa"/>
            <w:shd w:val="clear" w:color="auto" w:fill="F2F2F2" w:themeFill="background1" w:themeFillShade="F2"/>
          </w:tcPr>
          <w:p w:rsidR="00A12F03" w:rsidRPr="00673197" w:rsidRDefault="00A12F03" w:rsidP="00670F05">
            <w:pPr>
              <w:pStyle w:val="Heading2"/>
              <w:rPr>
                <w:sz w:val="16"/>
                <w:szCs w:val="16"/>
              </w:rPr>
            </w:pPr>
          </w:p>
        </w:tc>
        <w:tc>
          <w:tcPr>
            <w:tcW w:w="2268" w:type="dxa"/>
            <w:shd w:val="clear" w:color="auto" w:fill="F2F2F2" w:themeFill="background1" w:themeFillShade="F2"/>
          </w:tcPr>
          <w:p w:rsidR="00A12F03" w:rsidRPr="00673197" w:rsidRDefault="00A12F03" w:rsidP="00670F05">
            <w:pPr>
              <w:pStyle w:val="Heading2"/>
              <w:rPr>
                <w:sz w:val="16"/>
                <w:szCs w:val="16"/>
              </w:rPr>
            </w:pPr>
          </w:p>
        </w:tc>
        <w:tc>
          <w:tcPr>
            <w:tcW w:w="4189" w:type="dxa"/>
            <w:shd w:val="clear" w:color="auto" w:fill="F2F2F2" w:themeFill="background1" w:themeFillShade="F2"/>
          </w:tcPr>
          <w:p w:rsidR="00A12F03" w:rsidRPr="00673197" w:rsidRDefault="00A12F03" w:rsidP="00670F05">
            <w:pPr>
              <w:pStyle w:val="Heading2"/>
              <w:rPr>
                <w:sz w:val="16"/>
                <w:szCs w:val="16"/>
              </w:rPr>
            </w:pPr>
          </w:p>
        </w:tc>
      </w:tr>
      <w:tr w:rsidR="00A12F03" w:rsidRPr="00673197" w:rsidTr="00AD28CF">
        <w:trPr>
          <w:trHeight w:hRule="exact" w:val="454"/>
        </w:trPr>
        <w:tc>
          <w:tcPr>
            <w:tcW w:w="1951" w:type="dxa"/>
          </w:tcPr>
          <w:p w:rsidR="00A12F03" w:rsidRPr="00673197" w:rsidRDefault="00A12F03" w:rsidP="00670F05">
            <w:pPr>
              <w:pStyle w:val="Heading2"/>
              <w:rPr>
                <w:sz w:val="16"/>
                <w:szCs w:val="16"/>
              </w:rPr>
            </w:pPr>
          </w:p>
        </w:tc>
        <w:tc>
          <w:tcPr>
            <w:tcW w:w="1843" w:type="dxa"/>
          </w:tcPr>
          <w:p w:rsidR="00A12F03" w:rsidRPr="00AD28CF" w:rsidRDefault="00584DAF" w:rsidP="000F5591">
            <w:pPr>
              <w:pStyle w:val="Heading2"/>
              <w:rPr>
                <w:b w:val="0"/>
                <w:sz w:val="16"/>
                <w:szCs w:val="16"/>
              </w:rPr>
            </w:pPr>
            <w:r w:rsidRPr="00AD28CF">
              <w:rPr>
                <w:b w:val="0"/>
                <w:sz w:val="16"/>
                <w:szCs w:val="16"/>
              </w:rPr>
              <w:t>piC</w:t>
            </w:r>
            <w:r w:rsidR="00A12F03" w:rsidRPr="00AD28CF">
              <w:rPr>
                <w:b w:val="0"/>
                <w:sz w:val="16"/>
                <w:szCs w:val="16"/>
              </w:rPr>
              <w:t>ontrol</w:t>
            </w:r>
          </w:p>
        </w:tc>
        <w:tc>
          <w:tcPr>
            <w:tcW w:w="2268" w:type="dxa"/>
          </w:tcPr>
          <w:p w:rsidR="00A12F03" w:rsidRPr="00AD28CF" w:rsidRDefault="00A12F03" w:rsidP="00670F05">
            <w:pPr>
              <w:pStyle w:val="Heading2"/>
              <w:rPr>
                <w:b w:val="0"/>
                <w:sz w:val="16"/>
                <w:szCs w:val="16"/>
              </w:rPr>
            </w:pPr>
            <w:r w:rsidRPr="00AD28CF">
              <w:rPr>
                <w:b w:val="0"/>
                <w:sz w:val="16"/>
                <w:szCs w:val="16"/>
              </w:rPr>
              <w:t>DECK</w:t>
            </w:r>
          </w:p>
        </w:tc>
        <w:tc>
          <w:tcPr>
            <w:tcW w:w="4189" w:type="dxa"/>
          </w:tcPr>
          <w:p w:rsidR="00A12F03" w:rsidRPr="00AD28CF" w:rsidRDefault="000F5591" w:rsidP="00670F05">
            <w:pPr>
              <w:pStyle w:val="Heading2"/>
              <w:rPr>
                <w:b w:val="0"/>
                <w:sz w:val="16"/>
                <w:szCs w:val="16"/>
              </w:rPr>
            </w:pPr>
            <w:r w:rsidRPr="00AD28CF">
              <w:rPr>
                <w:b w:val="0"/>
                <w:sz w:val="16"/>
                <w:szCs w:val="16"/>
              </w:rPr>
              <w:t>Prescribed pre-industrial CO</w:t>
            </w:r>
            <w:r w:rsidRPr="00AD28CF">
              <w:rPr>
                <w:b w:val="0"/>
                <w:sz w:val="16"/>
                <w:szCs w:val="16"/>
                <w:vertAlign w:val="subscript"/>
              </w:rPr>
              <w:t>2</w:t>
            </w:r>
            <w:r w:rsidRPr="00AD28CF">
              <w:rPr>
                <w:b w:val="0"/>
                <w:sz w:val="16"/>
                <w:szCs w:val="16"/>
              </w:rPr>
              <w:t xml:space="preserve"> concentration</w:t>
            </w:r>
          </w:p>
        </w:tc>
      </w:tr>
      <w:tr w:rsidR="00A12F03" w:rsidRPr="00673197" w:rsidTr="00AD28CF">
        <w:trPr>
          <w:trHeight w:hRule="exact" w:val="932"/>
        </w:trPr>
        <w:tc>
          <w:tcPr>
            <w:tcW w:w="1951" w:type="dxa"/>
          </w:tcPr>
          <w:p w:rsidR="00A12F03" w:rsidRPr="00673197" w:rsidRDefault="00A12F03" w:rsidP="00670F05">
            <w:pPr>
              <w:pStyle w:val="Heading2"/>
              <w:rPr>
                <w:sz w:val="16"/>
                <w:szCs w:val="16"/>
              </w:rPr>
            </w:pPr>
          </w:p>
        </w:tc>
        <w:tc>
          <w:tcPr>
            <w:tcW w:w="1843" w:type="dxa"/>
          </w:tcPr>
          <w:p w:rsidR="00A12F03" w:rsidRPr="00AD28CF" w:rsidRDefault="00584DAF" w:rsidP="00584DAF">
            <w:pPr>
              <w:pStyle w:val="Heading2"/>
              <w:rPr>
                <w:b w:val="0"/>
                <w:sz w:val="16"/>
                <w:szCs w:val="16"/>
              </w:rPr>
            </w:pPr>
            <w:r w:rsidRPr="00AD28CF">
              <w:rPr>
                <w:b w:val="0"/>
                <w:sz w:val="16"/>
                <w:szCs w:val="16"/>
              </w:rPr>
              <w:t>e</w:t>
            </w:r>
            <w:r w:rsidR="00A12F03" w:rsidRPr="00AD28CF">
              <w:rPr>
                <w:b w:val="0"/>
                <w:sz w:val="16"/>
                <w:szCs w:val="16"/>
              </w:rPr>
              <w:t>sm</w:t>
            </w:r>
            <w:r w:rsidRPr="00AD28CF">
              <w:rPr>
                <w:b w:val="0"/>
                <w:sz w:val="16"/>
                <w:szCs w:val="16"/>
              </w:rPr>
              <w:t>-piC</w:t>
            </w:r>
            <w:r w:rsidR="00A12F03" w:rsidRPr="00AD28CF">
              <w:rPr>
                <w:b w:val="0"/>
                <w:sz w:val="16"/>
                <w:szCs w:val="16"/>
              </w:rPr>
              <w:t>ontrol</w:t>
            </w:r>
          </w:p>
        </w:tc>
        <w:tc>
          <w:tcPr>
            <w:tcW w:w="2268" w:type="dxa"/>
          </w:tcPr>
          <w:p w:rsidR="00A12F03" w:rsidRPr="00AD28CF" w:rsidRDefault="00A12F03" w:rsidP="00670F05">
            <w:pPr>
              <w:pStyle w:val="Heading2"/>
              <w:rPr>
                <w:b w:val="0"/>
                <w:sz w:val="16"/>
                <w:szCs w:val="16"/>
              </w:rPr>
            </w:pPr>
            <w:r w:rsidRPr="00AD28CF">
              <w:rPr>
                <w:b w:val="0"/>
                <w:sz w:val="16"/>
                <w:szCs w:val="16"/>
              </w:rPr>
              <w:t>DECK</w:t>
            </w:r>
          </w:p>
        </w:tc>
        <w:tc>
          <w:tcPr>
            <w:tcW w:w="4189" w:type="dxa"/>
          </w:tcPr>
          <w:p w:rsidR="00A12F03" w:rsidRPr="00AD28CF" w:rsidRDefault="000F5591" w:rsidP="00670F05">
            <w:pPr>
              <w:pStyle w:val="Heading2"/>
              <w:rPr>
                <w:b w:val="0"/>
                <w:sz w:val="16"/>
                <w:szCs w:val="16"/>
              </w:rPr>
            </w:pPr>
            <w:r w:rsidRPr="00AD28CF">
              <w:rPr>
                <w:b w:val="0"/>
                <w:sz w:val="16"/>
                <w:szCs w:val="16"/>
              </w:rPr>
              <w:t>Prognostically simulated atmospheric CO</w:t>
            </w:r>
            <w:r w:rsidRPr="00AD28CF">
              <w:rPr>
                <w:b w:val="0"/>
                <w:sz w:val="16"/>
                <w:szCs w:val="16"/>
                <w:vertAlign w:val="subscript"/>
              </w:rPr>
              <w:t>2</w:t>
            </w:r>
            <w:r w:rsidRPr="00AD28CF">
              <w:rPr>
                <w:b w:val="0"/>
                <w:sz w:val="16"/>
                <w:szCs w:val="16"/>
              </w:rPr>
              <w:t xml:space="preserve"> concentration. </w:t>
            </w:r>
            <w:r w:rsidR="00A12F03" w:rsidRPr="00AD28CF">
              <w:rPr>
                <w:b w:val="0"/>
                <w:sz w:val="16"/>
                <w:szCs w:val="16"/>
              </w:rPr>
              <w:t>Required if performing any emissions-driven simulations for C4MIP</w:t>
            </w:r>
          </w:p>
        </w:tc>
      </w:tr>
      <w:tr w:rsidR="00A12F03" w:rsidRPr="00673197" w:rsidTr="00214A60">
        <w:trPr>
          <w:trHeight w:hRule="exact" w:val="454"/>
        </w:trPr>
        <w:tc>
          <w:tcPr>
            <w:tcW w:w="1951" w:type="dxa"/>
            <w:shd w:val="clear" w:color="auto" w:fill="F2F2F2" w:themeFill="background1" w:themeFillShade="F2"/>
          </w:tcPr>
          <w:p w:rsidR="00A12F03" w:rsidRPr="00673197" w:rsidRDefault="005B37E1" w:rsidP="00670F05">
            <w:pPr>
              <w:pStyle w:val="Heading2"/>
              <w:rPr>
                <w:sz w:val="16"/>
                <w:szCs w:val="16"/>
              </w:rPr>
            </w:pPr>
            <w:r w:rsidRPr="00673197">
              <w:rPr>
                <w:sz w:val="16"/>
                <w:szCs w:val="16"/>
              </w:rPr>
              <w:t>Idealised</w:t>
            </w:r>
          </w:p>
        </w:tc>
        <w:tc>
          <w:tcPr>
            <w:tcW w:w="1843" w:type="dxa"/>
            <w:shd w:val="clear" w:color="auto" w:fill="F2F2F2" w:themeFill="background1" w:themeFillShade="F2"/>
          </w:tcPr>
          <w:p w:rsidR="00A12F03" w:rsidRPr="00AD28CF" w:rsidRDefault="00A12F03" w:rsidP="00670F05">
            <w:pPr>
              <w:pStyle w:val="Heading2"/>
              <w:rPr>
                <w:b w:val="0"/>
                <w:sz w:val="16"/>
                <w:szCs w:val="16"/>
              </w:rPr>
            </w:pPr>
          </w:p>
        </w:tc>
        <w:tc>
          <w:tcPr>
            <w:tcW w:w="2268" w:type="dxa"/>
            <w:shd w:val="clear" w:color="auto" w:fill="F2F2F2" w:themeFill="background1" w:themeFillShade="F2"/>
          </w:tcPr>
          <w:p w:rsidR="00A12F03" w:rsidRPr="00AD28CF" w:rsidRDefault="00A12F03" w:rsidP="00670F05">
            <w:pPr>
              <w:pStyle w:val="Heading2"/>
              <w:rPr>
                <w:b w:val="0"/>
                <w:sz w:val="16"/>
                <w:szCs w:val="16"/>
              </w:rPr>
            </w:pPr>
          </w:p>
        </w:tc>
        <w:tc>
          <w:tcPr>
            <w:tcW w:w="4189" w:type="dxa"/>
            <w:shd w:val="clear" w:color="auto" w:fill="F2F2F2" w:themeFill="background1" w:themeFillShade="F2"/>
          </w:tcPr>
          <w:p w:rsidR="00A12F03" w:rsidRPr="00AD28CF" w:rsidRDefault="00A12F03" w:rsidP="00670F05">
            <w:pPr>
              <w:pStyle w:val="Heading2"/>
              <w:rPr>
                <w:b w:val="0"/>
                <w:sz w:val="16"/>
                <w:szCs w:val="16"/>
              </w:rPr>
            </w:pPr>
          </w:p>
        </w:tc>
      </w:tr>
      <w:tr w:rsidR="00A12F03" w:rsidRPr="00673197" w:rsidTr="00214A60">
        <w:trPr>
          <w:trHeight w:hRule="exact" w:val="825"/>
        </w:trPr>
        <w:tc>
          <w:tcPr>
            <w:tcW w:w="1951" w:type="dxa"/>
          </w:tcPr>
          <w:p w:rsidR="00A12F03" w:rsidRPr="00673197" w:rsidRDefault="00A12F03" w:rsidP="00670F05">
            <w:pPr>
              <w:pStyle w:val="Heading2"/>
              <w:rPr>
                <w:sz w:val="16"/>
                <w:szCs w:val="16"/>
              </w:rPr>
            </w:pPr>
          </w:p>
        </w:tc>
        <w:tc>
          <w:tcPr>
            <w:tcW w:w="1843" w:type="dxa"/>
          </w:tcPr>
          <w:p w:rsidR="00A12F03" w:rsidRPr="00AD28CF" w:rsidRDefault="005B37E1" w:rsidP="00584DAF">
            <w:pPr>
              <w:pStyle w:val="Heading2"/>
              <w:rPr>
                <w:b w:val="0"/>
                <w:sz w:val="16"/>
                <w:szCs w:val="16"/>
              </w:rPr>
            </w:pPr>
            <w:r w:rsidRPr="00AD28CF">
              <w:rPr>
                <w:b w:val="0"/>
                <w:sz w:val="16"/>
                <w:szCs w:val="16"/>
              </w:rPr>
              <w:t>1</w:t>
            </w:r>
            <w:r w:rsidR="00584DAF" w:rsidRPr="00AD28CF">
              <w:rPr>
                <w:b w:val="0"/>
                <w:sz w:val="16"/>
                <w:szCs w:val="16"/>
              </w:rPr>
              <w:t>pctCO2</w:t>
            </w:r>
          </w:p>
        </w:tc>
        <w:tc>
          <w:tcPr>
            <w:tcW w:w="2268" w:type="dxa"/>
          </w:tcPr>
          <w:p w:rsidR="00A12F03" w:rsidRPr="00AD28CF" w:rsidRDefault="005B37E1" w:rsidP="00670F05">
            <w:pPr>
              <w:pStyle w:val="Heading2"/>
              <w:rPr>
                <w:b w:val="0"/>
                <w:sz w:val="16"/>
                <w:szCs w:val="16"/>
              </w:rPr>
            </w:pPr>
            <w:r w:rsidRPr="00AD28CF">
              <w:rPr>
                <w:b w:val="0"/>
                <w:sz w:val="16"/>
                <w:szCs w:val="16"/>
              </w:rPr>
              <w:t>DECK</w:t>
            </w:r>
          </w:p>
        </w:tc>
        <w:tc>
          <w:tcPr>
            <w:tcW w:w="4189" w:type="dxa"/>
          </w:tcPr>
          <w:p w:rsidR="00A12F03" w:rsidRPr="00AD28CF" w:rsidRDefault="005B37E1" w:rsidP="00670F05">
            <w:pPr>
              <w:pStyle w:val="Heading2"/>
              <w:rPr>
                <w:b w:val="0"/>
                <w:sz w:val="16"/>
                <w:szCs w:val="16"/>
              </w:rPr>
            </w:pPr>
            <w:r w:rsidRPr="00AD28CF">
              <w:rPr>
                <w:b w:val="0"/>
                <w:sz w:val="16"/>
                <w:szCs w:val="16"/>
              </w:rPr>
              <w:t>Forms essential counterpart for C4MIP BGC and RAD 1% simulations</w:t>
            </w:r>
          </w:p>
        </w:tc>
      </w:tr>
      <w:tr w:rsidR="005B37E1" w:rsidRPr="00673197" w:rsidTr="00214A60">
        <w:trPr>
          <w:trHeight w:hRule="exact" w:val="454"/>
        </w:trPr>
        <w:tc>
          <w:tcPr>
            <w:tcW w:w="1951" w:type="dxa"/>
            <w:shd w:val="clear" w:color="auto" w:fill="F2F2F2" w:themeFill="background1" w:themeFillShade="F2"/>
          </w:tcPr>
          <w:p w:rsidR="005B37E1" w:rsidRPr="00673197" w:rsidRDefault="005B37E1" w:rsidP="00670F05">
            <w:pPr>
              <w:pStyle w:val="Heading2"/>
              <w:rPr>
                <w:sz w:val="16"/>
                <w:szCs w:val="16"/>
              </w:rPr>
            </w:pPr>
            <w:r w:rsidRPr="00673197">
              <w:rPr>
                <w:sz w:val="16"/>
                <w:szCs w:val="16"/>
              </w:rPr>
              <w:t>Historical</w:t>
            </w:r>
          </w:p>
        </w:tc>
        <w:tc>
          <w:tcPr>
            <w:tcW w:w="1843" w:type="dxa"/>
            <w:shd w:val="clear" w:color="auto" w:fill="F2F2F2" w:themeFill="background1" w:themeFillShade="F2"/>
          </w:tcPr>
          <w:p w:rsidR="005B37E1" w:rsidRPr="00AD28CF" w:rsidRDefault="005B37E1" w:rsidP="00670F05">
            <w:pPr>
              <w:pStyle w:val="Heading2"/>
              <w:rPr>
                <w:b w:val="0"/>
                <w:sz w:val="16"/>
                <w:szCs w:val="16"/>
              </w:rPr>
            </w:pPr>
          </w:p>
        </w:tc>
        <w:tc>
          <w:tcPr>
            <w:tcW w:w="2268" w:type="dxa"/>
            <w:shd w:val="clear" w:color="auto" w:fill="F2F2F2" w:themeFill="background1" w:themeFillShade="F2"/>
          </w:tcPr>
          <w:p w:rsidR="005B37E1" w:rsidRPr="00AD28CF" w:rsidRDefault="005B37E1" w:rsidP="00670F05">
            <w:pPr>
              <w:pStyle w:val="Heading2"/>
              <w:rPr>
                <w:b w:val="0"/>
                <w:sz w:val="16"/>
                <w:szCs w:val="16"/>
              </w:rPr>
            </w:pPr>
          </w:p>
        </w:tc>
        <w:tc>
          <w:tcPr>
            <w:tcW w:w="4189" w:type="dxa"/>
            <w:shd w:val="clear" w:color="auto" w:fill="F2F2F2" w:themeFill="background1" w:themeFillShade="F2"/>
          </w:tcPr>
          <w:p w:rsidR="005B37E1" w:rsidRPr="00AD28CF" w:rsidRDefault="005B37E1" w:rsidP="00A12F03">
            <w:pPr>
              <w:pStyle w:val="Heading2"/>
              <w:rPr>
                <w:b w:val="0"/>
                <w:sz w:val="16"/>
                <w:szCs w:val="16"/>
              </w:rPr>
            </w:pPr>
          </w:p>
        </w:tc>
      </w:tr>
      <w:tr w:rsidR="005B37E1" w:rsidRPr="00673197" w:rsidTr="00AD28CF">
        <w:trPr>
          <w:trHeight w:hRule="exact" w:val="454"/>
        </w:trPr>
        <w:tc>
          <w:tcPr>
            <w:tcW w:w="1951" w:type="dxa"/>
          </w:tcPr>
          <w:p w:rsidR="005B37E1" w:rsidRPr="00673197" w:rsidRDefault="005B37E1" w:rsidP="00670F05">
            <w:pPr>
              <w:pStyle w:val="Heading2"/>
              <w:rPr>
                <w:sz w:val="16"/>
                <w:szCs w:val="16"/>
              </w:rPr>
            </w:pPr>
          </w:p>
        </w:tc>
        <w:tc>
          <w:tcPr>
            <w:tcW w:w="1843" w:type="dxa"/>
          </w:tcPr>
          <w:p w:rsidR="005B37E1" w:rsidRPr="00AD28CF" w:rsidRDefault="00584DAF" w:rsidP="00584DAF">
            <w:pPr>
              <w:pStyle w:val="Heading2"/>
              <w:rPr>
                <w:b w:val="0"/>
                <w:sz w:val="16"/>
                <w:szCs w:val="16"/>
              </w:rPr>
            </w:pPr>
            <w:r w:rsidRPr="00AD28CF">
              <w:rPr>
                <w:b w:val="0"/>
                <w:sz w:val="16"/>
                <w:szCs w:val="16"/>
              </w:rPr>
              <w:t>h</w:t>
            </w:r>
            <w:r w:rsidR="005B37E1" w:rsidRPr="00AD28CF">
              <w:rPr>
                <w:b w:val="0"/>
                <w:sz w:val="16"/>
                <w:szCs w:val="16"/>
              </w:rPr>
              <w:t>ist</w:t>
            </w:r>
            <w:r w:rsidRPr="00AD28CF">
              <w:rPr>
                <w:b w:val="0"/>
                <w:sz w:val="16"/>
                <w:szCs w:val="16"/>
              </w:rPr>
              <w:t>orical</w:t>
            </w:r>
          </w:p>
        </w:tc>
        <w:tc>
          <w:tcPr>
            <w:tcW w:w="2268" w:type="dxa"/>
          </w:tcPr>
          <w:p w:rsidR="005B37E1" w:rsidRPr="00AD28CF" w:rsidRDefault="005B37E1" w:rsidP="00670F05">
            <w:pPr>
              <w:pStyle w:val="Heading2"/>
              <w:rPr>
                <w:b w:val="0"/>
                <w:sz w:val="16"/>
                <w:szCs w:val="16"/>
              </w:rPr>
            </w:pPr>
            <w:r w:rsidRPr="00AD28CF">
              <w:rPr>
                <w:b w:val="0"/>
                <w:sz w:val="16"/>
                <w:szCs w:val="16"/>
              </w:rPr>
              <w:t>CMIP6 Historical</w:t>
            </w:r>
          </w:p>
        </w:tc>
        <w:tc>
          <w:tcPr>
            <w:tcW w:w="4189" w:type="dxa"/>
          </w:tcPr>
          <w:p w:rsidR="005B37E1" w:rsidRPr="00AD28CF" w:rsidRDefault="005B37E1" w:rsidP="00670F05">
            <w:pPr>
              <w:pStyle w:val="Heading2"/>
              <w:rPr>
                <w:b w:val="0"/>
                <w:sz w:val="16"/>
                <w:szCs w:val="16"/>
              </w:rPr>
            </w:pPr>
          </w:p>
        </w:tc>
      </w:tr>
      <w:tr w:rsidR="005B37E1" w:rsidRPr="00673197" w:rsidTr="00214A60">
        <w:trPr>
          <w:trHeight w:hRule="exact" w:val="1076"/>
        </w:trPr>
        <w:tc>
          <w:tcPr>
            <w:tcW w:w="1951" w:type="dxa"/>
          </w:tcPr>
          <w:p w:rsidR="005B37E1" w:rsidRPr="00673197" w:rsidRDefault="005B37E1" w:rsidP="00670F05">
            <w:pPr>
              <w:pStyle w:val="Heading2"/>
              <w:rPr>
                <w:sz w:val="16"/>
                <w:szCs w:val="16"/>
              </w:rPr>
            </w:pPr>
          </w:p>
        </w:tc>
        <w:tc>
          <w:tcPr>
            <w:tcW w:w="1843" w:type="dxa"/>
          </w:tcPr>
          <w:p w:rsidR="005B37E1" w:rsidRPr="00AD28CF" w:rsidRDefault="00FB4C8D" w:rsidP="00670F05">
            <w:pPr>
              <w:pStyle w:val="Heading2"/>
              <w:rPr>
                <w:b w:val="0"/>
                <w:sz w:val="16"/>
                <w:szCs w:val="16"/>
              </w:rPr>
            </w:pPr>
            <w:r w:rsidRPr="00AD28CF">
              <w:rPr>
                <w:b w:val="0"/>
                <w:sz w:val="16"/>
                <w:szCs w:val="16"/>
              </w:rPr>
              <w:t>e</w:t>
            </w:r>
            <w:r w:rsidR="00584DAF" w:rsidRPr="00AD28CF">
              <w:rPr>
                <w:b w:val="0"/>
                <w:sz w:val="16"/>
                <w:szCs w:val="16"/>
              </w:rPr>
              <w:t>sm-h</w:t>
            </w:r>
            <w:r w:rsidR="005B37E1" w:rsidRPr="00AD28CF">
              <w:rPr>
                <w:b w:val="0"/>
                <w:sz w:val="16"/>
                <w:szCs w:val="16"/>
              </w:rPr>
              <w:t>ist</w:t>
            </w:r>
          </w:p>
        </w:tc>
        <w:tc>
          <w:tcPr>
            <w:tcW w:w="2268" w:type="dxa"/>
          </w:tcPr>
          <w:p w:rsidR="005B37E1" w:rsidRPr="00AD28CF" w:rsidRDefault="005B37E1" w:rsidP="00670F05">
            <w:pPr>
              <w:pStyle w:val="Heading2"/>
              <w:rPr>
                <w:b w:val="0"/>
                <w:sz w:val="16"/>
                <w:szCs w:val="16"/>
              </w:rPr>
            </w:pPr>
            <w:r w:rsidRPr="00AD28CF">
              <w:rPr>
                <w:b w:val="0"/>
                <w:sz w:val="16"/>
                <w:szCs w:val="16"/>
              </w:rPr>
              <w:t>CMIP6 Historical</w:t>
            </w:r>
          </w:p>
        </w:tc>
        <w:tc>
          <w:tcPr>
            <w:tcW w:w="4189" w:type="dxa"/>
          </w:tcPr>
          <w:p w:rsidR="005B37E1" w:rsidRPr="00AD28CF" w:rsidRDefault="000F5591" w:rsidP="00670F05">
            <w:pPr>
              <w:pStyle w:val="Heading2"/>
              <w:rPr>
                <w:b w:val="0"/>
                <w:sz w:val="16"/>
                <w:szCs w:val="16"/>
              </w:rPr>
            </w:pPr>
            <w:r w:rsidRPr="00AD28CF">
              <w:rPr>
                <w:b w:val="0"/>
                <w:sz w:val="16"/>
                <w:szCs w:val="16"/>
              </w:rPr>
              <w:t>Prognostically simulated atmospheric CO</w:t>
            </w:r>
            <w:r w:rsidRPr="00AD28CF">
              <w:rPr>
                <w:b w:val="0"/>
                <w:sz w:val="16"/>
                <w:szCs w:val="16"/>
                <w:vertAlign w:val="subscript"/>
              </w:rPr>
              <w:t>2</w:t>
            </w:r>
            <w:r w:rsidRPr="00AD28CF">
              <w:rPr>
                <w:b w:val="0"/>
                <w:sz w:val="16"/>
                <w:szCs w:val="16"/>
              </w:rPr>
              <w:t xml:space="preserve"> concentration. </w:t>
            </w:r>
            <w:r w:rsidR="005B37E1" w:rsidRPr="00AD28CF">
              <w:rPr>
                <w:b w:val="0"/>
                <w:sz w:val="16"/>
                <w:szCs w:val="16"/>
              </w:rPr>
              <w:t>Required if performing any emissions-driven simulations for C4MIP. Provides starting point for C4MIP emissions-driven SSP5-8.5</w:t>
            </w:r>
          </w:p>
        </w:tc>
      </w:tr>
      <w:tr w:rsidR="005B37E1" w:rsidRPr="00673197" w:rsidTr="00214A60">
        <w:trPr>
          <w:trHeight w:hRule="exact" w:val="454"/>
        </w:trPr>
        <w:tc>
          <w:tcPr>
            <w:tcW w:w="1951" w:type="dxa"/>
            <w:shd w:val="clear" w:color="auto" w:fill="F2F2F2" w:themeFill="background1" w:themeFillShade="F2"/>
          </w:tcPr>
          <w:p w:rsidR="005B37E1" w:rsidRPr="00673197" w:rsidRDefault="005B37E1" w:rsidP="00670F05">
            <w:pPr>
              <w:pStyle w:val="Heading2"/>
              <w:rPr>
                <w:sz w:val="16"/>
                <w:szCs w:val="16"/>
              </w:rPr>
            </w:pPr>
            <w:r w:rsidRPr="00673197">
              <w:rPr>
                <w:sz w:val="16"/>
                <w:szCs w:val="16"/>
              </w:rPr>
              <w:lastRenderedPageBreak/>
              <w:t>Future scenarios</w:t>
            </w:r>
          </w:p>
        </w:tc>
        <w:tc>
          <w:tcPr>
            <w:tcW w:w="1843" w:type="dxa"/>
            <w:shd w:val="clear" w:color="auto" w:fill="F2F2F2" w:themeFill="background1" w:themeFillShade="F2"/>
          </w:tcPr>
          <w:p w:rsidR="005B37E1" w:rsidRPr="00AD28CF" w:rsidRDefault="005B37E1" w:rsidP="00670F05">
            <w:pPr>
              <w:pStyle w:val="Heading2"/>
              <w:rPr>
                <w:b w:val="0"/>
                <w:sz w:val="16"/>
                <w:szCs w:val="16"/>
              </w:rPr>
            </w:pPr>
          </w:p>
        </w:tc>
        <w:tc>
          <w:tcPr>
            <w:tcW w:w="2268" w:type="dxa"/>
            <w:shd w:val="clear" w:color="auto" w:fill="F2F2F2" w:themeFill="background1" w:themeFillShade="F2"/>
          </w:tcPr>
          <w:p w:rsidR="005B37E1" w:rsidRPr="00AD28CF" w:rsidRDefault="005B37E1" w:rsidP="00670F05">
            <w:pPr>
              <w:pStyle w:val="Heading2"/>
              <w:rPr>
                <w:b w:val="0"/>
                <w:sz w:val="16"/>
                <w:szCs w:val="16"/>
              </w:rPr>
            </w:pPr>
          </w:p>
        </w:tc>
        <w:tc>
          <w:tcPr>
            <w:tcW w:w="4189" w:type="dxa"/>
            <w:shd w:val="clear" w:color="auto" w:fill="F2F2F2" w:themeFill="background1" w:themeFillShade="F2"/>
          </w:tcPr>
          <w:p w:rsidR="005B37E1" w:rsidRPr="00AD28CF" w:rsidRDefault="005B37E1" w:rsidP="00670F05">
            <w:pPr>
              <w:pStyle w:val="Heading2"/>
              <w:rPr>
                <w:b w:val="0"/>
                <w:sz w:val="16"/>
                <w:szCs w:val="16"/>
              </w:rPr>
            </w:pPr>
          </w:p>
        </w:tc>
      </w:tr>
      <w:tr w:rsidR="005B37E1" w:rsidRPr="00673197" w:rsidTr="00214A60">
        <w:trPr>
          <w:trHeight w:hRule="exact" w:val="687"/>
        </w:trPr>
        <w:tc>
          <w:tcPr>
            <w:tcW w:w="1951" w:type="dxa"/>
          </w:tcPr>
          <w:p w:rsidR="005B37E1" w:rsidRPr="00673197" w:rsidRDefault="005B37E1" w:rsidP="00670F05">
            <w:pPr>
              <w:pStyle w:val="Heading2"/>
              <w:rPr>
                <w:sz w:val="16"/>
                <w:szCs w:val="16"/>
              </w:rPr>
            </w:pPr>
          </w:p>
        </w:tc>
        <w:tc>
          <w:tcPr>
            <w:tcW w:w="1843" w:type="dxa"/>
          </w:tcPr>
          <w:p w:rsidR="005B37E1" w:rsidRPr="00AD28CF" w:rsidRDefault="00584DAF" w:rsidP="00584DAF">
            <w:pPr>
              <w:pStyle w:val="Heading2"/>
              <w:rPr>
                <w:b w:val="0"/>
                <w:sz w:val="16"/>
                <w:szCs w:val="16"/>
              </w:rPr>
            </w:pPr>
            <w:r w:rsidRPr="00AD28CF">
              <w:rPr>
                <w:b w:val="0"/>
                <w:sz w:val="16"/>
                <w:szCs w:val="16"/>
              </w:rPr>
              <w:t>ssp5</w:t>
            </w:r>
            <w:r w:rsidR="005B37E1" w:rsidRPr="00AD28CF">
              <w:rPr>
                <w:b w:val="0"/>
                <w:sz w:val="16"/>
                <w:szCs w:val="16"/>
              </w:rPr>
              <w:t>85</w:t>
            </w:r>
            <w:r w:rsidR="000F5591" w:rsidRPr="00AD28CF">
              <w:rPr>
                <w:b w:val="0"/>
                <w:sz w:val="16"/>
                <w:szCs w:val="16"/>
              </w:rPr>
              <w:t>, ssp585ext</w:t>
            </w:r>
          </w:p>
        </w:tc>
        <w:tc>
          <w:tcPr>
            <w:tcW w:w="2268" w:type="dxa"/>
          </w:tcPr>
          <w:p w:rsidR="005B37E1" w:rsidRPr="00AD28CF" w:rsidRDefault="005B37E1" w:rsidP="00670F05">
            <w:pPr>
              <w:pStyle w:val="Heading2"/>
              <w:rPr>
                <w:b w:val="0"/>
                <w:sz w:val="16"/>
                <w:szCs w:val="16"/>
              </w:rPr>
            </w:pPr>
            <w:r w:rsidRPr="00AD28CF">
              <w:rPr>
                <w:b w:val="0"/>
                <w:sz w:val="16"/>
                <w:szCs w:val="16"/>
              </w:rPr>
              <w:t>ScenarioMIP</w:t>
            </w:r>
          </w:p>
        </w:tc>
        <w:tc>
          <w:tcPr>
            <w:tcW w:w="4189" w:type="dxa"/>
          </w:tcPr>
          <w:p w:rsidR="005B37E1" w:rsidRPr="00AD28CF" w:rsidRDefault="005B37E1" w:rsidP="00670F05">
            <w:pPr>
              <w:pStyle w:val="Heading2"/>
              <w:rPr>
                <w:b w:val="0"/>
                <w:sz w:val="16"/>
                <w:szCs w:val="16"/>
              </w:rPr>
            </w:pPr>
            <w:r w:rsidRPr="00AD28CF">
              <w:rPr>
                <w:b w:val="0"/>
                <w:sz w:val="16"/>
                <w:szCs w:val="16"/>
              </w:rPr>
              <w:t>Essential counterpart for SSP5-8.5-BGC de-coupled simulation</w:t>
            </w:r>
            <w:r w:rsidR="000F5591" w:rsidRPr="00AD28CF">
              <w:rPr>
                <w:b w:val="0"/>
                <w:sz w:val="16"/>
                <w:szCs w:val="16"/>
              </w:rPr>
              <w:t xml:space="preserve"> and its extension to 2300</w:t>
            </w:r>
          </w:p>
        </w:tc>
      </w:tr>
      <w:tr w:rsidR="005B37E1" w:rsidRPr="00673197" w:rsidTr="00214A60">
        <w:trPr>
          <w:trHeight w:hRule="exact" w:val="839"/>
        </w:trPr>
        <w:tc>
          <w:tcPr>
            <w:tcW w:w="1951" w:type="dxa"/>
          </w:tcPr>
          <w:p w:rsidR="005B37E1" w:rsidRPr="00673197" w:rsidRDefault="005B37E1" w:rsidP="00670F05">
            <w:pPr>
              <w:pStyle w:val="Heading2"/>
              <w:rPr>
                <w:sz w:val="16"/>
                <w:szCs w:val="16"/>
              </w:rPr>
            </w:pPr>
          </w:p>
        </w:tc>
        <w:tc>
          <w:tcPr>
            <w:tcW w:w="1843" w:type="dxa"/>
          </w:tcPr>
          <w:p w:rsidR="005B37E1" w:rsidRPr="00AD28CF" w:rsidRDefault="00584DAF" w:rsidP="00584DAF">
            <w:pPr>
              <w:pStyle w:val="Heading2"/>
              <w:rPr>
                <w:b w:val="0"/>
                <w:sz w:val="16"/>
                <w:szCs w:val="16"/>
              </w:rPr>
            </w:pPr>
            <w:r w:rsidRPr="00AD28CF">
              <w:rPr>
                <w:b w:val="0"/>
                <w:sz w:val="16"/>
                <w:szCs w:val="16"/>
              </w:rPr>
              <w:t>ssp</w:t>
            </w:r>
            <w:r w:rsidR="005B37E1" w:rsidRPr="00AD28CF">
              <w:rPr>
                <w:b w:val="0"/>
                <w:sz w:val="16"/>
                <w:szCs w:val="16"/>
              </w:rPr>
              <w:t>534-</w:t>
            </w:r>
            <w:r w:rsidRPr="00AD28CF">
              <w:rPr>
                <w:b w:val="0"/>
                <w:sz w:val="16"/>
                <w:szCs w:val="16"/>
              </w:rPr>
              <w:t>over</w:t>
            </w:r>
            <w:r w:rsidR="000F5591" w:rsidRPr="00AD28CF">
              <w:rPr>
                <w:b w:val="0"/>
                <w:sz w:val="16"/>
                <w:szCs w:val="16"/>
              </w:rPr>
              <w:t>, ssp534-over -ext</w:t>
            </w:r>
          </w:p>
        </w:tc>
        <w:tc>
          <w:tcPr>
            <w:tcW w:w="2268" w:type="dxa"/>
          </w:tcPr>
          <w:p w:rsidR="005B37E1" w:rsidRPr="00AD28CF" w:rsidRDefault="005B37E1" w:rsidP="00670F05">
            <w:pPr>
              <w:pStyle w:val="Heading2"/>
              <w:rPr>
                <w:b w:val="0"/>
                <w:sz w:val="16"/>
                <w:szCs w:val="16"/>
              </w:rPr>
            </w:pPr>
            <w:r w:rsidRPr="00AD28CF">
              <w:rPr>
                <w:b w:val="0"/>
                <w:sz w:val="16"/>
                <w:szCs w:val="16"/>
              </w:rPr>
              <w:t>ScenarioMIP</w:t>
            </w:r>
          </w:p>
        </w:tc>
        <w:tc>
          <w:tcPr>
            <w:tcW w:w="4189" w:type="dxa"/>
          </w:tcPr>
          <w:p w:rsidR="005B37E1" w:rsidRPr="00AD28CF" w:rsidRDefault="005B37E1" w:rsidP="00FB4C8D">
            <w:pPr>
              <w:pStyle w:val="Heading2"/>
              <w:rPr>
                <w:b w:val="0"/>
                <w:sz w:val="16"/>
                <w:szCs w:val="16"/>
              </w:rPr>
            </w:pPr>
            <w:r w:rsidRPr="00AD28CF">
              <w:rPr>
                <w:b w:val="0"/>
                <w:sz w:val="16"/>
                <w:szCs w:val="16"/>
              </w:rPr>
              <w:t>Esse</w:t>
            </w:r>
            <w:r w:rsidR="00FB4C8D" w:rsidRPr="00AD28CF">
              <w:rPr>
                <w:b w:val="0"/>
                <w:sz w:val="16"/>
                <w:szCs w:val="16"/>
              </w:rPr>
              <w:t>ntial counterpart for SSP5-3.4-over</w:t>
            </w:r>
            <w:r w:rsidRPr="00AD28CF">
              <w:rPr>
                <w:b w:val="0"/>
                <w:sz w:val="16"/>
                <w:szCs w:val="16"/>
              </w:rPr>
              <w:t>-</w:t>
            </w:r>
            <w:r w:rsidR="00FB4C8D" w:rsidRPr="00AD28CF">
              <w:rPr>
                <w:b w:val="0"/>
                <w:sz w:val="16"/>
                <w:szCs w:val="16"/>
              </w:rPr>
              <w:t>bgc</w:t>
            </w:r>
            <w:r w:rsidRPr="00AD28CF">
              <w:rPr>
                <w:b w:val="0"/>
                <w:sz w:val="16"/>
                <w:szCs w:val="16"/>
              </w:rPr>
              <w:t xml:space="preserve"> de-coupled simulation</w:t>
            </w:r>
            <w:r w:rsidR="000F5591" w:rsidRPr="00AD28CF">
              <w:rPr>
                <w:b w:val="0"/>
                <w:sz w:val="16"/>
                <w:szCs w:val="16"/>
              </w:rPr>
              <w:t xml:space="preserve"> and its extension to 2300</w:t>
            </w:r>
            <w:r w:rsidRPr="00AD28CF">
              <w:rPr>
                <w:b w:val="0"/>
                <w:sz w:val="16"/>
                <w:szCs w:val="16"/>
              </w:rPr>
              <w:t>. Branches from SSP5-8.5 at 2040.</w:t>
            </w:r>
          </w:p>
        </w:tc>
      </w:tr>
      <w:tr w:rsidR="005B37E1" w:rsidRPr="00673197" w:rsidTr="00214A60">
        <w:trPr>
          <w:trHeight w:hRule="exact" w:val="708"/>
        </w:trPr>
        <w:tc>
          <w:tcPr>
            <w:tcW w:w="1951" w:type="dxa"/>
          </w:tcPr>
          <w:p w:rsidR="005B37E1" w:rsidRPr="00673197" w:rsidRDefault="005B37E1" w:rsidP="00670F05">
            <w:pPr>
              <w:pStyle w:val="Heading2"/>
              <w:rPr>
                <w:sz w:val="16"/>
                <w:szCs w:val="16"/>
              </w:rPr>
            </w:pPr>
          </w:p>
        </w:tc>
        <w:tc>
          <w:tcPr>
            <w:tcW w:w="1843" w:type="dxa"/>
          </w:tcPr>
          <w:p w:rsidR="005B37E1" w:rsidRPr="00AD28CF" w:rsidRDefault="00584DAF" w:rsidP="00584DAF">
            <w:pPr>
              <w:pStyle w:val="Heading2"/>
              <w:rPr>
                <w:b w:val="0"/>
                <w:sz w:val="16"/>
                <w:szCs w:val="16"/>
              </w:rPr>
            </w:pPr>
            <w:r w:rsidRPr="00AD28CF">
              <w:rPr>
                <w:b w:val="0"/>
                <w:sz w:val="16"/>
                <w:szCs w:val="16"/>
              </w:rPr>
              <w:t>e</w:t>
            </w:r>
            <w:r w:rsidR="005B37E1" w:rsidRPr="00AD28CF">
              <w:rPr>
                <w:b w:val="0"/>
                <w:sz w:val="16"/>
                <w:szCs w:val="16"/>
              </w:rPr>
              <w:t>sm</w:t>
            </w:r>
            <w:r w:rsidRPr="00AD28CF">
              <w:rPr>
                <w:b w:val="0"/>
                <w:sz w:val="16"/>
                <w:szCs w:val="16"/>
              </w:rPr>
              <w:t>-ssp</w:t>
            </w:r>
            <w:r w:rsidR="005B37E1" w:rsidRPr="00AD28CF">
              <w:rPr>
                <w:b w:val="0"/>
                <w:sz w:val="16"/>
                <w:szCs w:val="16"/>
              </w:rPr>
              <w:t>585-ssp126Lu</w:t>
            </w:r>
          </w:p>
        </w:tc>
        <w:tc>
          <w:tcPr>
            <w:tcW w:w="2268" w:type="dxa"/>
          </w:tcPr>
          <w:p w:rsidR="005B37E1" w:rsidRPr="00AD28CF" w:rsidRDefault="005B37E1" w:rsidP="00670F05">
            <w:pPr>
              <w:pStyle w:val="Heading2"/>
              <w:rPr>
                <w:b w:val="0"/>
                <w:sz w:val="16"/>
                <w:szCs w:val="16"/>
              </w:rPr>
            </w:pPr>
            <w:r w:rsidRPr="00AD28CF">
              <w:rPr>
                <w:b w:val="0"/>
                <w:sz w:val="16"/>
                <w:szCs w:val="16"/>
              </w:rPr>
              <w:t>LUMIP</w:t>
            </w:r>
          </w:p>
        </w:tc>
        <w:tc>
          <w:tcPr>
            <w:tcW w:w="4189" w:type="dxa"/>
          </w:tcPr>
          <w:p w:rsidR="005B37E1" w:rsidRPr="00AD28CF" w:rsidRDefault="005B37E1" w:rsidP="005B37E1">
            <w:pPr>
              <w:pStyle w:val="Heading2"/>
              <w:rPr>
                <w:b w:val="0"/>
                <w:sz w:val="16"/>
                <w:szCs w:val="16"/>
              </w:rPr>
            </w:pPr>
            <w:r w:rsidRPr="00AD28CF">
              <w:rPr>
                <w:b w:val="0"/>
                <w:sz w:val="16"/>
                <w:szCs w:val="16"/>
              </w:rPr>
              <w:t>Same as esm-</w:t>
            </w:r>
            <w:r w:rsidRPr="00AD28CF">
              <w:rPr>
                <w:rFonts w:cs="Times New Roman"/>
                <w:b w:val="0"/>
                <w:sz w:val="16"/>
                <w:szCs w:val="16"/>
              </w:rPr>
              <w:t>ssp585</w:t>
            </w:r>
            <w:r w:rsidRPr="00AD28CF">
              <w:rPr>
                <w:b w:val="0"/>
                <w:sz w:val="16"/>
                <w:szCs w:val="16"/>
              </w:rPr>
              <w:t xml:space="preserve"> except uses SSP1-</w:t>
            </w:r>
            <w:r w:rsidRPr="00AD28CF">
              <w:rPr>
                <w:rFonts w:cs="Times New Roman"/>
                <w:b w:val="0"/>
                <w:sz w:val="16"/>
                <w:szCs w:val="16"/>
              </w:rPr>
              <w:t xml:space="preserve">2.6 land use </w:t>
            </w:r>
            <w:r w:rsidRPr="00AD28CF">
              <w:rPr>
                <w:b w:val="0"/>
                <w:sz w:val="16"/>
                <w:szCs w:val="16"/>
              </w:rPr>
              <w:t xml:space="preserve">(afforestation scenario). </w:t>
            </w:r>
          </w:p>
        </w:tc>
      </w:tr>
    </w:tbl>
    <w:p w:rsidR="00673197" w:rsidRDefault="00673197" w:rsidP="00A12F03">
      <w:pPr>
        <w:pStyle w:val="Normal1"/>
      </w:pPr>
    </w:p>
    <w:p w:rsidR="00A12F03" w:rsidRPr="00673197" w:rsidRDefault="00A12F03" w:rsidP="00A12F03">
      <w:pPr>
        <w:pStyle w:val="Normal1"/>
        <w:rPr>
          <w:i/>
        </w:rPr>
      </w:pPr>
      <w:r w:rsidRPr="00673197">
        <w:rPr>
          <w:i/>
        </w:rPr>
        <w:t xml:space="preserve">Table 2. Summary of key simulations from other MIPs on which C4MIP analysis will rely. </w:t>
      </w:r>
    </w:p>
    <w:p w:rsidR="00A12F03" w:rsidRDefault="00A12F03" w:rsidP="00670F05">
      <w:pPr>
        <w:pStyle w:val="Heading2"/>
      </w:pPr>
    </w:p>
    <w:p w:rsidR="00366E53" w:rsidRDefault="00720102" w:rsidP="00670F05">
      <w:pPr>
        <w:pStyle w:val="Heading2"/>
      </w:pPr>
      <w:r>
        <w:rPr>
          <w:noProof/>
          <w:lang w:eastAsia="en-GB"/>
        </w:rPr>
        <w:drawing>
          <wp:inline distT="0" distB="0" distL="0" distR="0">
            <wp:extent cx="5459048" cy="4200525"/>
            <wp:effectExtent l="19050" t="0" r="8302" b="0"/>
            <wp:docPr id="1" name="Picture 1" descr="\\Client\H$\words\Carbon\C4MIP_GMD_paper\Submission\Resubmission\June_2016_DECK_CMIP6_hist_vs_C4MIP_r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H$\words\Carbon\C4MIP_GMD_paper\Submission\Resubmission\June_2016_DECK_CMIP6_hist_vs_C4MIP_runs.png"/>
                    <pic:cNvPicPr>
                      <a:picLocks noChangeAspect="1" noChangeArrowheads="1"/>
                    </pic:cNvPicPr>
                  </pic:nvPicPr>
                  <pic:blipFill>
                    <a:blip r:embed="rId11" cstate="print"/>
                    <a:srcRect/>
                    <a:stretch>
                      <a:fillRect/>
                    </a:stretch>
                  </pic:blipFill>
                  <pic:spPr bwMode="auto">
                    <a:xfrm>
                      <a:off x="0" y="0"/>
                      <a:ext cx="5459048" cy="4200525"/>
                    </a:xfrm>
                    <a:prstGeom prst="rect">
                      <a:avLst/>
                    </a:prstGeom>
                    <a:noFill/>
                    <a:ln w="9525">
                      <a:noFill/>
                      <a:miter lim="800000"/>
                      <a:headEnd/>
                      <a:tailEnd/>
                    </a:ln>
                  </pic:spPr>
                </pic:pic>
              </a:graphicData>
            </a:graphic>
          </wp:inline>
        </w:drawing>
      </w:r>
    </w:p>
    <w:p w:rsidR="005F274F" w:rsidRPr="001919F5" w:rsidRDefault="005F274F" w:rsidP="005F274F">
      <w:pPr>
        <w:pStyle w:val="Normal1"/>
        <w:rPr>
          <w:i/>
        </w:rPr>
      </w:pPr>
      <w:r w:rsidRPr="001919F5">
        <w:rPr>
          <w:i/>
        </w:rPr>
        <w:t>Figure 1: Relation of C4MIP simulations to CMIP6 DECK and historical simulations and the ssp585</w:t>
      </w:r>
      <w:r w:rsidR="00720102">
        <w:rPr>
          <w:i/>
        </w:rPr>
        <w:t xml:space="preserve"> and ssp5-34-over</w:t>
      </w:r>
      <w:r w:rsidRPr="001919F5">
        <w:rPr>
          <w:i/>
        </w:rPr>
        <w:t xml:space="preserve"> future scenario simulation proposed for the ScenarioMIP.</w:t>
      </w:r>
      <w:r w:rsidR="00720102">
        <w:rPr>
          <w:i/>
        </w:rPr>
        <w:t xml:space="preserve"> Note that at the time of preparing this manuscript the details of the SSP5-3.4-OS-Ext extension to 2300 are not available, hence it could not be included in the figure, but it is still requested as a C4MIP tier-2 simulation.</w:t>
      </w:r>
    </w:p>
    <w:p w:rsidR="005F274F" w:rsidRDefault="005F274F" w:rsidP="005F274F">
      <w:pPr>
        <w:pStyle w:val="Heading2"/>
      </w:pPr>
      <w:r>
        <w:t>3.2 Experimental details</w:t>
      </w:r>
    </w:p>
    <w:p w:rsidR="005F274F" w:rsidRDefault="005F274F" w:rsidP="005F274F">
      <w:pPr>
        <w:pStyle w:val="Heading3"/>
      </w:pPr>
      <w:r>
        <w:t>3.2.1    Model requirements and spin-up</w:t>
      </w:r>
    </w:p>
    <w:p w:rsidR="005F274F" w:rsidRDefault="005F274F" w:rsidP="005F274F">
      <w:r>
        <w:t>To participate in C4MIP a climate model must have the capability to run with an interactive carbon cycle. This means it must simulate both terrestrial and marine carbon cycle processes, and it must simulate the exchange of CO</w:t>
      </w:r>
      <w:r>
        <w:rPr>
          <w:vertAlign w:val="subscript"/>
        </w:rPr>
        <w:t>2</w:t>
      </w:r>
      <w:r>
        <w:t xml:space="preserve"> between the land/ocean and the atmosphere in order to prognostically simulate the evolution of atmospheric CO</w:t>
      </w:r>
      <w:r>
        <w:rPr>
          <w:vertAlign w:val="subscript"/>
        </w:rPr>
        <w:t>2</w:t>
      </w:r>
      <w:r>
        <w:t>. Some C4MIP simulations prescribe a concentration of CO</w:t>
      </w:r>
      <w:r>
        <w:rPr>
          <w:vertAlign w:val="subscript"/>
        </w:rPr>
        <w:t>2</w:t>
      </w:r>
      <w:r>
        <w:t xml:space="preserve"> in the atmosphere as a boundary condition and simulate the changes in carbon fluxes and stores in response. Other simulations prescribe emissions of CO</w:t>
      </w:r>
      <w:r>
        <w:rPr>
          <w:vertAlign w:val="subscript"/>
        </w:rPr>
        <w:t>2</w:t>
      </w:r>
      <w:r>
        <w:t xml:space="preserve"> to the atmosphere (from human activity) as an external forcing and require the model to also simulate the evolution of atmospheric CO</w:t>
      </w:r>
      <w:r>
        <w:rPr>
          <w:vertAlign w:val="subscript"/>
        </w:rPr>
        <w:t>2</w:t>
      </w:r>
      <w:r>
        <w:t xml:space="preserve">. A model </w:t>
      </w:r>
      <w:r w:rsidR="00BB7F8A">
        <w:t>must be able to</w:t>
      </w:r>
      <w:r>
        <w:t xml:space="preserve"> run in both these configurations</w:t>
      </w:r>
      <w:r w:rsidR="00647AE7">
        <w:t xml:space="preserve"> in order to perform the </w:t>
      </w:r>
      <w:r w:rsidR="00647AE7">
        <w:lastRenderedPageBreak/>
        <w:t>C4MIP simulations</w:t>
      </w:r>
      <w:r>
        <w:t>. The evolution of atmospheric CO</w:t>
      </w:r>
      <w:r>
        <w:rPr>
          <w:vertAlign w:val="subscript"/>
        </w:rPr>
        <w:t>2</w:t>
      </w:r>
      <w:r>
        <w:t xml:space="preserve"> concentration can be simulated by assuming that CO</w:t>
      </w:r>
      <w:r>
        <w:rPr>
          <w:vertAlign w:val="subscript"/>
        </w:rPr>
        <w:t>2</w:t>
      </w:r>
      <w:r>
        <w:t xml:space="preserve"> is completely well mixed with the same globally-averaged concentration everywhere in space or by transporting CO</w:t>
      </w:r>
      <w:r>
        <w:rPr>
          <w:vertAlign w:val="subscript"/>
        </w:rPr>
        <w:t>2</w:t>
      </w:r>
      <w:r>
        <w:t xml:space="preserve"> as a </w:t>
      </w:r>
      <w:r w:rsidR="00D8168D">
        <w:t xml:space="preserve">three-dimensional </w:t>
      </w:r>
      <w:r>
        <w:t>tracer. This choice is up to the modelling groups. Throughout this document we refer to the former – prescribing atmospheric CO</w:t>
      </w:r>
      <w:r>
        <w:rPr>
          <w:vertAlign w:val="subscript"/>
        </w:rPr>
        <w:t>2</w:t>
      </w:r>
      <w:r>
        <w:t xml:space="preserve"> concentration as a boundary condition – as a “concentration driven” simulation, and the latter – prescribing emissions and in turn simulating the CO</w:t>
      </w:r>
      <w:r>
        <w:rPr>
          <w:vertAlign w:val="subscript"/>
        </w:rPr>
        <w:t>2</w:t>
      </w:r>
      <w:r>
        <w:t xml:space="preserve"> concentration – as an “emissions driven” simulation. IPCC AR5 WG1 Ch.6 Box 6.4 described the use of these configurations in some detail (Ciais et al., 2013). Figure 6.4 from that Box is reproduced here for reference (figure 2). Although the same terminology (concentration-driven or emissions-driven) can be applied to aerosols or non-CO</w:t>
      </w:r>
      <w:r>
        <w:rPr>
          <w:vertAlign w:val="subscript"/>
        </w:rPr>
        <w:t>2</w:t>
      </w:r>
      <w:r>
        <w:t xml:space="preserve"> GHGs this paper </w:t>
      </w:r>
      <w:r w:rsidR="007B3EF5">
        <w:t>focuses</w:t>
      </w:r>
      <w:r>
        <w:t xml:space="preserve"> only on CO</w:t>
      </w:r>
      <w:r>
        <w:rPr>
          <w:vertAlign w:val="subscript"/>
        </w:rPr>
        <w:t>2</w:t>
      </w:r>
      <w:r>
        <w:t xml:space="preserve">.  </w:t>
      </w:r>
    </w:p>
    <w:p w:rsidR="005F274F" w:rsidRDefault="005F274F" w:rsidP="005F274F">
      <w:pPr>
        <w:pStyle w:val="Normal1"/>
      </w:pPr>
    </w:p>
    <w:p w:rsidR="005F274F" w:rsidRDefault="005F274F" w:rsidP="005F274F">
      <w:pPr>
        <w:pStyle w:val="Normal1"/>
      </w:pPr>
      <w:r>
        <w:rPr>
          <w:noProof/>
        </w:rPr>
        <w:drawing>
          <wp:inline distT="114300" distB="114300" distL="114300" distR="114300">
            <wp:extent cx="6372225" cy="3581400"/>
            <wp:effectExtent l="0" t="0" r="0" b="0"/>
            <wp:docPr id="11"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12" cstate="print"/>
                    <a:srcRect/>
                    <a:stretch>
                      <a:fillRect/>
                    </a:stretch>
                  </pic:blipFill>
                  <pic:spPr>
                    <a:xfrm>
                      <a:off x="0" y="0"/>
                      <a:ext cx="6372225" cy="3581400"/>
                    </a:xfrm>
                    <a:prstGeom prst="rect">
                      <a:avLst/>
                    </a:prstGeom>
                    <a:ln/>
                  </pic:spPr>
                </pic:pic>
              </a:graphicData>
            </a:graphic>
          </wp:inline>
        </w:drawing>
      </w:r>
    </w:p>
    <w:p w:rsidR="005F274F" w:rsidRPr="001919F5" w:rsidRDefault="005F274F" w:rsidP="005F274F">
      <w:pPr>
        <w:rPr>
          <w:i/>
        </w:rPr>
      </w:pPr>
      <w:r w:rsidRPr="001919F5">
        <w:rPr>
          <w:i/>
        </w:rPr>
        <w:t>Figure 2. Schematic representation of carbon cycle numerical experimental design. Concentration-driven (left) and emissions-driven (right) simulation experiments make use of the same Earth System Models (ESMs), but configured differently. Concentration-driven simulations prescribe atmospheric CO</w:t>
      </w:r>
      <w:r w:rsidRPr="001919F5">
        <w:rPr>
          <w:i/>
          <w:vertAlign w:val="subscript"/>
        </w:rPr>
        <w:t>2</w:t>
      </w:r>
      <w:r w:rsidRPr="001919F5">
        <w:rPr>
          <w:i/>
        </w:rPr>
        <w:t xml:space="preserve"> as a pre-defined input to the climate and carbon cycle model components. Compatible emissions can be calculated from the output of the concentration-driven simulations. Emissions-driven simulations prescribe CO</w:t>
      </w:r>
      <w:r w:rsidRPr="001919F5">
        <w:rPr>
          <w:i/>
          <w:vertAlign w:val="subscript"/>
        </w:rPr>
        <w:t>2</w:t>
      </w:r>
      <w:r w:rsidRPr="001919F5">
        <w:rPr>
          <w:i/>
        </w:rPr>
        <w:t xml:space="preserve"> emissions as the input, and atmospheric CO</w:t>
      </w:r>
      <w:r w:rsidRPr="001919F5">
        <w:rPr>
          <w:i/>
          <w:vertAlign w:val="subscript"/>
        </w:rPr>
        <w:t>2</w:t>
      </w:r>
      <w:r w:rsidRPr="001919F5">
        <w:rPr>
          <w:i/>
        </w:rPr>
        <w:t xml:space="preserve"> is an internally calculated </w:t>
      </w:r>
      <w:r w:rsidR="00D8168D">
        <w:rPr>
          <w:i/>
        </w:rPr>
        <w:t>state variable within</w:t>
      </w:r>
      <w:r w:rsidRPr="001919F5">
        <w:rPr>
          <w:i/>
        </w:rPr>
        <w:t xml:space="preserve"> the ESM. Adapted from Ciais et al. (2013).</w:t>
      </w:r>
      <w:r w:rsidR="00B333B3">
        <w:rPr>
          <w:i/>
        </w:rPr>
        <w:t xml:space="preserve"> Solid arrows depict internal data flow within the model, dashed arrows depict data output from the model.</w:t>
      </w:r>
    </w:p>
    <w:p w:rsidR="005F274F" w:rsidRDefault="005F274F" w:rsidP="005F274F">
      <w:pPr>
        <w:pStyle w:val="Normal1"/>
      </w:pPr>
    </w:p>
    <w:p w:rsidR="005F274F" w:rsidRDefault="005F274F" w:rsidP="005F274F">
      <w:r>
        <w:t xml:space="preserve">Before beginning the simulations described below, a model must be spun-up to eliminate any long-term drift in carbon stores or fluxes. Indeed, it has been shown recently that the large diversity in spin-up protocols used for marine biogeochemistry in CMIP5 ESMs contribute to large model-to-model differences in simulated fields, and that drifts have potential implications on model performance assessments in addition to possibly aliasing estimates of climate change impacts (Séférian et al. 2015). Separate spin-up simulations should be performed for both concentration-driven and emission-driven configurations. There are many possible techniques </w:t>
      </w:r>
      <w:r w:rsidR="00647AE7">
        <w:t xml:space="preserve">to ensure that a model’s carbon fluxes and pools exhibit minimal drift. These include </w:t>
      </w:r>
      <w:r>
        <w:t>simply performing very long simulations, running components offline from the coupled system, numerical acceleration techniques</w:t>
      </w:r>
      <w:r w:rsidR="00647AE7">
        <w:t xml:space="preserve"> or semi-analytical schemes such as described by Xia et al. (201</w:t>
      </w:r>
      <w:r w:rsidR="00AE3BD2">
        <w:t>2</w:t>
      </w:r>
      <w:r w:rsidR="00647AE7">
        <w:t>)</w:t>
      </w:r>
      <w:r>
        <w:t>. The choice of technique is up to the modelling groups and there is no requirement to submit data from the spin-up period, but a proper documentation of the spin-up technique and duration would be required. The test of whether a model is spun-up properly and exhibits minimal drift will be based on the performance of the control simulation. It is suggested that the model first be spun-up in concentration-driven mode and this state can be used as an initial basis for the emission-driven spin-up.</w:t>
      </w:r>
    </w:p>
    <w:p w:rsidR="005F274F" w:rsidRDefault="005F274F" w:rsidP="005F274F">
      <w:r>
        <w:t xml:space="preserve"> </w:t>
      </w:r>
    </w:p>
    <w:p w:rsidR="005F274F" w:rsidRDefault="005F274F" w:rsidP="005F274F">
      <w:r>
        <w:t xml:space="preserve">Our definition of an acceptably small drift in a properly spun-up model is that land, ocean and atmosphere carbon stores each vary by less than 10 </w:t>
      </w:r>
      <w:r w:rsidR="00D34978">
        <w:t>PgC</w:t>
      </w:r>
      <w:r>
        <w:t xml:space="preserve">/century </w:t>
      </w:r>
      <w:r>
        <w:rPr>
          <w:rFonts w:ascii="Nova Mono" w:eastAsia="Nova Mono" w:hAnsi="Nova Mono" w:cs="Nova Mono"/>
        </w:rPr>
        <w:t>(</w:t>
      </w:r>
      <w:r w:rsidR="00D8168D">
        <w:rPr>
          <w:rFonts w:ascii="Nova Mono" w:eastAsia="Nova Mono" w:hAnsi="Nova Mono" w:cs="Nova Mono"/>
        </w:rPr>
        <w:t xml:space="preserve">i.e., a </w:t>
      </w:r>
      <w:r>
        <w:rPr>
          <w:rFonts w:ascii="Nova Mono" w:eastAsia="Nova Mono" w:hAnsi="Nova Mono" w:cs="Nova Mono"/>
        </w:rPr>
        <w:t xml:space="preserve">long-term average ≤ 0.1 </w:t>
      </w:r>
      <w:r w:rsidR="00D34978">
        <w:rPr>
          <w:rFonts w:ascii="Nova Mono" w:eastAsia="Nova Mono" w:hAnsi="Nova Mono" w:cs="Nova Mono"/>
        </w:rPr>
        <w:t>Pg</w:t>
      </w:r>
      <w:r>
        <w:rPr>
          <w:rFonts w:ascii="Nova Mono" w:eastAsia="Nova Mono" w:hAnsi="Nova Mono" w:cs="Nova Mono"/>
        </w:rPr>
        <w:t>C/year)</w:t>
      </w:r>
      <w:r>
        <w:t>. We suggest that a drift smaller than this value is highly desirable but this value is a guideline. Exceeding this drift in the control run may preclude a model from being included in a C4MIP analysis, but we would expect that decision to be made on a case-by-case basis. For example, a large ocean drift in a concentration-driven experiment may not preclude analysis of land carbon fluxes and vice-versa. We also stress that being within these drifts is a minimum but not necessarily sufficient quality condition. Regional patterns and drifts of stores and fluxes will also be assessed and depending on the analysis may preclude inclusion of a given model's results.</w:t>
      </w:r>
    </w:p>
    <w:p w:rsidR="005F274F" w:rsidRDefault="005F274F" w:rsidP="005F274F"/>
    <w:p w:rsidR="005F274F" w:rsidRDefault="005F274F" w:rsidP="005F274F">
      <w:r>
        <w:t xml:space="preserve">For simulations of carbon isotopes, spin-up times of </w:t>
      </w:r>
      <w:r w:rsidR="00D8168D">
        <w:t xml:space="preserve">many </w:t>
      </w:r>
      <w:r>
        <w:t>thousand</w:t>
      </w:r>
      <w:r w:rsidR="00D8168D">
        <w:t>s</w:t>
      </w:r>
      <w:r>
        <w:t xml:space="preserve"> </w:t>
      </w:r>
      <w:r w:rsidR="00D8168D">
        <w:t xml:space="preserve">of </w:t>
      </w:r>
      <w:r>
        <w:t xml:space="preserve">years or the use of an equivalent fast spin-up technique may be required to eliminate drift, particularly for carbon-14 in ocean carbon and soil carbon. The spin-up technique is left to the modellers’ discretion. </w:t>
      </w:r>
    </w:p>
    <w:p w:rsidR="00634154" w:rsidRDefault="00634154" w:rsidP="00634154">
      <w:pPr>
        <w:pStyle w:val="Heading3"/>
      </w:pPr>
      <w:r>
        <w:t xml:space="preserve">3.2.2    DECK </w:t>
      </w:r>
      <w:r w:rsidR="00753474">
        <w:t xml:space="preserve">piControl </w:t>
      </w:r>
      <w:r>
        <w:t>and Historical</w:t>
      </w:r>
    </w:p>
    <w:p w:rsidR="00634154" w:rsidRDefault="00634154" w:rsidP="00634154">
      <w:r>
        <w:t>The pre-industrial (PI) control run is a required simulation of the CMIP DECK, and a pre-requisite simulation for</w:t>
      </w:r>
      <w:r>
        <w:rPr>
          <w:strike/>
        </w:rPr>
        <w:t xml:space="preserve"> </w:t>
      </w:r>
      <w:r>
        <w:t xml:space="preserve">participating in C4MIP. The run begins from a spun-up state as described above and all forcings should </w:t>
      </w:r>
      <w:r>
        <w:lastRenderedPageBreak/>
        <w:t xml:space="preserve">continue to be applied as per the spin-up. The carbon stores should not drift by more than 10 </w:t>
      </w:r>
      <w:r w:rsidR="00D34978">
        <w:t>PgC</w:t>
      </w:r>
      <w:r>
        <w:t>/century. The length of the pre-industrial control run should be at least equal to any simulation for which it will serve as the control simulation thereby allowing to correct for model drift. The PI control run must be run for both concentration-driven and emission-driven configurations of the model. In both cases all forcings should be held constant at pre-industrial levels as described in the CMIP DECK documentation. The only difference between concentration-driven and emission-driven control runs is that the emission-driven simulation simulates atmospheric CO</w:t>
      </w:r>
      <w:r>
        <w:rPr>
          <w:vertAlign w:val="subscript"/>
        </w:rPr>
        <w:t>2</w:t>
      </w:r>
      <w:r>
        <w:t xml:space="preserve"> internally in response to natural fluxes of carbon from land and ocean, while in the concentration-driven case atmospheric CO</w:t>
      </w:r>
      <w:r>
        <w:rPr>
          <w:vertAlign w:val="subscript"/>
        </w:rPr>
        <w:t>2</w:t>
      </w:r>
      <w:r>
        <w:t xml:space="preserve"> concentration is specified. No anthropogenic fossil-fuel emissions of CO</w:t>
      </w:r>
      <w:r>
        <w:rPr>
          <w:vertAlign w:val="subscript"/>
        </w:rPr>
        <w:t>2</w:t>
      </w:r>
      <w:r>
        <w:t xml:space="preserve"> should be applied to the model during this control run, and fixed pre-industrial land-use should be imposed. The simulated atmospheric CO</w:t>
      </w:r>
      <w:r>
        <w:rPr>
          <w:vertAlign w:val="subscript"/>
        </w:rPr>
        <w:t>2</w:t>
      </w:r>
      <w:r>
        <w:t xml:space="preserve"> in esm</w:t>
      </w:r>
      <w:r w:rsidR="00753474">
        <w:t>-piC</w:t>
      </w:r>
      <w:r>
        <w:t>ontrol should therefore remain stable, with drifts below 5 ppm/century.</w:t>
      </w:r>
    </w:p>
    <w:p w:rsidR="00634154" w:rsidRDefault="00634154" w:rsidP="00634154">
      <w:r>
        <w:t xml:space="preserve"> </w:t>
      </w:r>
    </w:p>
    <w:p w:rsidR="00634154" w:rsidRDefault="00634154" w:rsidP="00634154">
      <w:r>
        <w:t xml:space="preserve">The CMIP6 Historical run, also a CMIP6 DECK simulation, is also a required simulation for participation in C4MIP, and must also be performed in both concentration-driven and emission-driven configurations. It is expected that the historical simulation would begin from the same starting point as the pre-industrial control run (figure 3). This nominally </w:t>
      </w:r>
      <w:r w:rsidR="000378FB">
        <w:t xml:space="preserve">is set as </w:t>
      </w:r>
      <w:r>
        <w:t xml:space="preserve">1 January 1850. We note though that this neglects the small but non-zero effect of pre-1850 land-use changes (see </w:t>
      </w:r>
      <w:r w:rsidR="00C77452">
        <w:t>e.g., Pongratz</w:t>
      </w:r>
      <w:r>
        <w:t xml:space="preserve"> et al., 2009; Sentman et al., 2011). Some modelling groups might therefore opt for an earlier starting date or perform additional offline land-surface simulations in order to account for pre-1850 land cover change. This would mean though that the control and historical simulations begin from different states and with different trends and this should therefore be very clearly documented. The protocol for the historical simulation is documented in detail in the CMIP6 paper (Eyring et al., 2016). Here we stress the need for the emission-driven historical run (esm</w:t>
      </w:r>
      <w:r w:rsidR="00FB4C8D">
        <w:t>-h</w:t>
      </w:r>
      <w:r>
        <w:t>ist) to also be performed as an “entry card” for C4MIP. The only difference between concentration-driven and emission-driven simulations is the treatment of atmospheric CO</w:t>
      </w:r>
      <w:r>
        <w:rPr>
          <w:vertAlign w:val="subscript"/>
        </w:rPr>
        <w:t>2</w:t>
      </w:r>
      <w:r>
        <w:t>. All other forcings must be identical in both simulations. The concentration-driven simulation will use historical atmospheric CO</w:t>
      </w:r>
      <w:r>
        <w:rPr>
          <w:vertAlign w:val="subscript"/>
        </w:rPr>
        <w:t>2</w:t>
      </w:r>
      <w:r>
        <w:t xml:space="preserve"> concentration provided by CMIP.</w:t>
      </w:r>
    </w:p>
    <w:p w:rsidR="00634154" w:rsidRDefault="00634154" w:rsidP="00634154"/>
    <w:p w:rsidR="00634154" w:rsidRDefault="00634154" w:rsidP="00634154">
      <w:r>
        <w:rPr>
          <w:noProof/>
          <w:lang w:eastAsia="en-GB"/>
        </w:rPr>
        <w:lastRenderedPageBreak/>
        <w:drawing>
          <wp:inline distT="114300" distB="114300" distL="114300" distR="114300">
            <wp:extent cx="4924425" cy="4035743"/>
            <wp:effectExtent l="0" t="0" r="0" b="0"/>
            <wp:docPr id="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cstate="print"/>
                    <a:srcRect/>
                    <a:stretch>
                      <a:fillRect/>
                    </a:stretch>
                  </pic:blipFill>
                  <pic:spPr>
                    <a:xfrm>
                      <a:off x="0" y="0"/>
                      <a:ext cx="4924425" cy="4035743"/>
                    </a:xfrm>
                    <a:prstGeom prst="rect">
                      <a:avLst/>
                    </a:prstGeom>
                    <a:ln/>
                  </pic:spPr>
                </pic:pic>
              </a:graphicData>
            </a:graphic>
          </wp:inline>
        </w:drawing>
      </w:r>
    </w:p>
    <w:p w:rsidR="00634154" w:rsidRDefault="00634154" w:rsidP="00634154">
      <w:r>
        <w:rPr>
          <w:i/>
        </w:rPr>
        <w:t xml:space="preserve">Figure 3. Schematic representation of model spin-up prior to control and historical simulations through 2014. </w:t>
      </w:r>
      <w:r w:rsidR="000378FB">
        <w:rPr>
          <w:i/>
        </w:rPr>
        <w:t>The interactive CO</w:t>
      </w:r>
      <w:r w:rsidR="001D2363" w:rsidRPr="001D2363">
        <w:rPr>
          <w:i/>
          <w:vertAlign w:val="subscript"/>
        </w:rPr>
        <w:t>2</w:t>
      </w:r>
      <w:r w:rsidR="000378FB">
        <w:rPr>
          <w:i/>
        </w:rPr>
        <w:t xml:space="preserve"> pre-industrial control should ideally have a drift of less than 0.1 </w:t>
      </w:r>
      <w:r w:rsidR="00D34978">
        <w:rPr>
          <w:i/>
        </w:rPr>
        <w:t>PgC</w:t>
      </w:r>
      <w:r w:rsidR="000378FB">
        <w:rPr>
          <w:i/>
        </w:rPr>
        <w:t>/yr.</w:t>
      </w:r>
    </w:p>
    <w:p w:rsidR="00634154" w:rsidRDefault="00634154" w:rsidP="00634154"/>
    <w:p w:rsidR="00634154" w:rsidRDefault="00634154" w:rsidP="00634154">
      <w:r>
        <w:t>The emission-driven simulation will use anthropogenic CO</w:t>
      </w:r>
      <w:r>
        <w:rPr>
          <w:vertAlign w:val="subscript"/>
        </w:rPr>
        <w:t>2</w:t>
      </w:r>
      <w:r>
        <w:t xml:space="preserve"> emissions documented here. Model groups have a choice over the treatment of land-use forcing as described below.</w:t>
      </w:r>
    </w:p>
    <w:p w:rsidR="00634154" w:rsidRDefault="00634154" w:rsidP="00634154">
      <w:pPr>
        <w:pStyle w:val="ListParagraph"/>
        <w:numPr>
          <w:ilvl w:val="0"/>
          <w:numId w:val="11"/>
        </w:numPr>
      </w:pPr>
      <w:r>
        <w:t xml:space="preserve">Fossil fuel emissions. C4MIP will provide gridded, </w:t>
      </w:r>
      <w:r w:rsidR="00636689">
        <w:t xml:space="preserve">annual </w:t>
      </w:r>
      <w:r>
        <w:t>CO</w:t>
      </w:r>
      <w:r w:rsidRPr="00634154">
        <w:rPr>
          <w:vertAlign w:val="subscript"/>
        </w:rPr>
        <w:t>2</w:t>
      </w:r>
      <w:r>
        <w:t xml:space="preserve"> emissions from burning of fossil fuels, from</w:t>
      </w:r>
      <w:r w:rsidR="00647AE7">
        <w:t xml:space="preserve"> the beginning of</w:t>
      </w:r>
      <w:r>
        <w:t xml:space="preserve"> 1850 to </w:t>
      </w:r>
      <w:r w:rsidR="00647AE7">
        <w:t>the end of 2014 for the historical simulation and through to the end of 2100 for ssp5-8.5</w:t>
      </w:r>
      <w:r>
        <w:t>. See section 3.3.1.</w:t>
      </w:r>
    </w:p>
    <w:p w:rsidR="00634154" w:rsidRDefault="00634154" w:rsidP="00634154">
      <w:pPr>
        <w:pStyle w:val="ListParagraph"/>
        <w:numPr>
          <w:ilvl w:val="0"/>
          <w:numId w:val="11"/>
        </w:numPr>
      </w:pPr>
      <w:r>
        <w:t>Land-use carbon emissions. There are 2 allowable options:</w:t>
      </w:r>
    </w:p>
    <w:p w:rsidR="00634154" w:rsidRDefault="00634154" w:rsidP="00634154">
      <w:pPr>
        <w:pStyle w:val="ListParagraph"/>
        <w:numPr>
          <w:ilvl w:val="1"/>
          <w:numId w:val="11"/>
        </w:numPr>
      </w:pPr>
      <w:r>
        <w:t>if possible, drive the model with the CMIP land-use forcing (Hurtt et al.</w:t>
      </w:r>
      <w:r w:rsidR="00956811">
        <w:t>,</w:t>
      </w:r>
      <w:r>
        <w:t xml:space="preserve"> 2016</w:t>
      </w:r>
      <w:r w:rsidR="00956811">
        <w:t>, in prep</w:t>
      </w:r>
      <w:r w:rsidR="00F560AF">
        <w:t xml:space="preserve">; </w:t>
      </w:r>
      <w:r w:rsidR="00EA0927" w:rsidRPr="00EA0927">
        <w:t>http://luh.umd.edu/~LUH2/LUH2_v1.0h/</w:t>
      </w:r>
      <w:r>
        <w:t>) and the model simulates its own CO</w:t>
      </w:r>
      <w:r w:rsidRPr="00634154">
        <w:rPr>
          <w:vertAlign w:val="subscript"/>
        </w:rPr>
        <w:t>2</w:t>
      </w:r>
      <w:r>
        <w:t xml:space="preserve"> emissions (including both from deforestation and uptake from regrowth) to/from the atmosphere as an internal process. In this case the only external input of carbon to the system is fossil fuel emissions.</w:t>
      </w:r>
    </w:p>
    <w:p w:rsidR="00634154" w:rsidRDefault="00634154" w:rsidP="00634154">
      <w:pPr>
        <w:pStyle w:val="ListParagraph"/>
        <w:numPr>
          <w:ilvl w:val="1"/>
          <w:numId w:val="11"/>
        </w:numPr>
      </w:pPr>
      <w:r>
        <w:t>If that is not possible for the model, then C4MIP will provide land-use carbon emissions. See section 3.3.1.</w:t>
      </w:r>
    </w:p>
    <w:p w:rsidR="00634154" w:rsidRDefault="00634154" w:rsidP="00634154">
      <w:pPr>
        <w:pStyle w:val="Heading3"/>
      </w:pPr>
      <w:r>
        <w:lastRenderedPageBreak/>
        <w:t>3.2.3    Idealised 1% simulations</w:t>
      </w:r>
    </w:p>
    <w:p w:rsidR="00634154" w:rsidRDefault="00634154" w:rsidP="00634154">
      <w:r>
        <w:t>A concentration-driven simulation with a 1% per year increase in atmospheric CO</w:t>
      </w:r>
      <w:r>
        <w:rPr>
          <w:vertAlign w:val="subscript"/>
        </w:rPr>
        <w:t>2</w:t>
      </w:r>
      <w:r>
        <w:t xml:space="preserve"> concentration beginning from pre-industrial is a required simulation of the DECK. In C4MIP there are further variants of this 1% simulation designed to quantify the feedback parameters β, γ (Friedlingstein et al 2006; Arora et al 2013).</w:t>
      </w:r>
    </w:p>
    <w:p w:rsidR="00634154" w:rsidRDefault="00634154" w:rsidP="00634154">
      <w:r>
        <w:t xml:space="preserve"> </w:t>
      </w:r>
    </w:p>
    <w:p w:rsidR="00634154" w:rsidRDefault="00634154" w:rsidP="00634154">
      <w:r>
        <w:t>The tier-1 C4MIP simulation 1pctCO2</w:t>
      </w:r>
      <w:r w:rsidR="00584DAF">
        <w:t>-</w:t>
      </w:r>
      <w:r>
        <w:t xml:space="preserve">bgc requires the simulation to be repeated but with a change to the model set-up such that only the model's carbon cycle components (both land and ocean) </w:t>
      </w:r>
      <w:r w:rsidR="00594E3C">
        <w:t xml:space="preserve">responds to </w:t>
      </w:r>
      <w:r>
        <w:t>the increase in CO</w:t>
      </w:r>
      <w:r>
        <w:rPr>
          <w:vertAlign w:val="subscript"/>
        </w:rPr>
        <w:t>2</w:t>
      </w:r>
      <w:r w:rsidR="00594E3C">
        <w:t>, whereas</w:t>
      </w:r>
      <w:r>
        <w:t xml:space="preserve"> the model's radiation code </w:t>
      </w:r>
      <w:r w:rsidR="00594E3C">
        <w:t xml:space="preserve">uses </w:t>
      </w:r>
      <w:r>
        <w:t>a constant, pre-industrial concentration of CO</w:t>
      </w:r>
      <w:r>
        <w:rPr>
          <w:vertAlign w:val="subscript"/>
        </w:rPr>
        <w:t>2</w:t>
      </w:r>
      <w:r>
        <w:t>. This simulation was previously known as “Uncoupled” in Friedlingstein et al. (2006), and was re-</w:t>
      </w:r>
      <w:r w:rsidR="00594E3C">
        <w:t xml:space="preserve">named </w:t>
      </w:r>
      <w:r>
        <w:t>“Biogeochemically coupled” by Gregory et al. (2009). All other forcings must be identical to the DECK 1pctCO2 simulation.</w:t>
      </w:r>
    </w:p>
    <w:p w:rsidR="00634154" w:rsidRDefault="00634154" w:rsidP="00634154">
      <w:r>
        <w:t xml:space="preserve"> </w:t>
      </w:r>
    </w:p>
    <w:p w:rsidR="00634154" w:rsidRDefault="00634154" w:rsidP="00634154">
      <w:r>
        <w:t>A tier-2 C4MIP simulation 1pctCO2</w:t>
      </w:r>
      <w:r w:rsidR="00584DAF">
        <w:t>-</w:t>
      </w:r>
      <w:r>
        <w:t>rad is the counterpart of 1pctCO2</w:t>
      </w:r>
      <w:r w:rsidR="00584DAF">
        <w:t>-</w:t>
      </w:r>
      <w:r>
        <w:t>bgc. It requires the simulation to be repeated but with a change to the model set-up such that only the model's radiation code sees the increase in CO</w:t>
      </w:r>
      <w:r>
        <w:rPr>
          <w:vertAlign w:val="subscript"/>
        </w:rPr>
        <w:t>2</w:t>
      </w:r>
      <w:r>
        <w:t xml:space="preserve"> and the model's carbon cycle components (both land and ocean) see a constant, pre-industrial concentration of CO</w:t>
      </w:r>
      <w:r>
        <w:rPr>
          <w:vertAlign w:val="subscript"/>
        </w:rPr>
        <w:t>2</w:t>
      </w:r>
      <w:r>
        <w:t>. This simulation was not performed in Friedlingstein et al. (2006), and was termed “Radiatively coupled” by Gregory et al. (2009). All other forcings must be identical to the DECK 1pctCO2 simulation. Although this simulation is in tier-2 it is highly desirable as the non-linearities of biogeochemical and radiative response can be large (see e.g. Schwinger et al.</w:t>
      </w:r>
      <w:r w:rsidR="002F16AE">
        <w:t>,</w:t>
      </w:r>
      <w:r>
        <w:t xml:space="preserve"> 2014).</w:t>
      </w:r>
    </w:p>
    <w:p w:rsidR="00634154" w:rsidRDefault="00634154" w:rsidP="00634154">
      <w:r>
        <w:t xml:space="preserve"> </w:t>
      </w:r>
    </w:p>
    <w:p w:rsidR="00634154" w:rsidRDefault="00634154" w:rsidP="00634154">
      <w:r>
        <w:t>For models with a nitrogen cycle there are two further 1% simulation variants requested as C4MIP tier-2: 1pctCO2N</w:t>
      </w:r>
      <w:r w:rsidR="00584DAF">
        <w:t>dep</w:t>
      </w:r>
      <w:r>
        <w:t>, 1pctCO2N</w:t>
      </w:r>
      <w:r w:rsidR="00584DAF">
        <w:t>dep-bgc</w:t>
      </w:r>
      <w:r>
        <w:t>. These can be run if your model includes either land- or marine nitrogen cycle in a way that changes carbon uptake and storage. If the input of reactive nitrogen to the model will not affect the carbon cycle, then there is no need to perform these simulations. If changes in nitrogen deposition will affect either land or ocean carbon uptake then these simulations are requested. The 1pctCO2N</w:t>
      </w:r>
      <w:r w:rsidR="00584DAF">
        <w:t>dep</w:t>
      </w:r>
      <w:r>
        <w:t xml:space="preserve"> and 1pctCO2N</w:t>
      </w:r>
      <w:r w:rsidR="00584DAF">
        <w:t>dep-bgc</w:t>
      </w:r>
      <w:r>
        <w:t xml:space="preserve"> parallel the 1pctCO2 and 1pctCO2</w:t>
      </w:r>
      <w:r w:rsidR="00584DAF">
        <w:t>-</w:t>
      </w:r>
      <w:r>
        <w:t>bgc simulations but with the addition of a time varying deposition of reactive nitrogen (see section 3.3.3).</w:t>
      </w:r>
      <w:r w:rsidR="00594E3C">
        <w:t xml:space="preserve"> </w:t>
      </w:r>
    </w:p>
    <w:p w:rsidR="00634154" w:rsidRDefault="00634154" w:rsidP="00634154">
      <w:pPr>
        <w:pStyle w:val="Heading3"/>
      </w:pPr>
      <w:r>
        <w:t>3.2.4    Scenario simulations</w:t>
      </w:r>
    </w:p>
    <w:p w:rsidR="00634154" w:rsidRDefault="00634154" w:rsidP="00634154">
      <w:r>
        <w:t>Concentration-driven scenario simulations which follow on from the end of the concentration-driven historical simulation are performed under ScenarioMIP. In C4MIP we request simulations which complement some of these.</w:t>
      </w:r>
    </w:p>
    <w:p w:rsidR="00634154" w:rsidRDefault="00634154" w:rsidP="00634154">
      <w:r>
        <w:lastRenderedPageBreak/>
        <w:t xml:space="preserve"> </w:t>
      </w:r>
    </w:p>
    <w:p w:rsidR="00634154" w:rsidRDefault="00634154" w:rsidP="00634154">
      <w:r>
        <w:t>Under C4MIP tier-1 we request an emission-driven esm</w:t>
      </w:r>
      <w:r w:rsidR="00FB4C8D">
        <w:t>-</w:t>
      </w:r>
      <w:r>
        <w:t>ssp585 simulation which parallels the ScenarioMIP concentration-driven SSP-5-8.5 simulation. This simulation should begin from the end point of the emissions-driven historical simulation. As with the historical simulation the only difference from the concentration-driven counterpart should be the treatment of atmospheric CO</w:t>
      </w:r>
      <w:r>
        <w:rPr>
          <w:vertAlign w:val="subscript"/>
        </w:rPr>
        <w:t>2</w:t>
      </w:r>
      <w:r>
        <w:t>, which is simulated within the model driven by prescribed emissions. SSP8.5 gridded fossil-fuel emissions will be provided as will SSP8.5 land-use forcing and land-use CO</w:t>
      </w:r>
      <w:r>
        <w:rPr>
          <w:vertAlign w:val="subscript"/>
        </w:rPr>
        <w:t>2</w:t>
      </w:r>
      <w:r>
        <w:t xml:space="preserve"> emissions. Models should implement these in the scenario run in exactly the same manner as they did in the emission-driven historical simulation.</w:t>
      </w:r>
    </w:p>
    <w:p w:rsidR="00634154" w:rsidRDefault="00634154" w:rsidP="00634154">
      <w:r>
        <w:t xml:space="preserve"> </w:t>
      </w:r>
    </w:p>
    <w:p w:rsidR="00634154" w:rsidRDefault="00634154" w:rsidP="00634154">
      <w:r>
        <w:t>Under C4MIP tier-2 we also request a biogeochemically-coupled (“BGC”) version of the concentration-driven SSP5</w:t>
      </w:r>
      <w:r w:rsidR="00FB4C8D">
        <w:t>-</w:t>
      </w:r>
      <w:r>
        <w:t>8.5, ssp585</w:t>
      </w:r>
      <w:r w:rsidR="00FB4C8D">
        <w:t>-</w:t>
      </w:r>
      <w:r>
        <w:t>bgc and ssp5</w:t>
      </w:r>
      <w:r w:rsidR="00FB4C8D">
        <w:t>85-bgcExt</w:t>
      </w:r>
      <w:r>
        <w:t>. As with the 1pctCO2</w:t>
      </w:r>
      <w:r w:rsidR="00584DAF">
        <w:t>-</w:t>
      </w:r>
      <w:r>
        <w:t>bgc simulation, this run should be performed with only the carbon cycle components (land and ocean) seeing the prescribed increase in atmospheric CO</w:t>
      </w:r>
      <w:r>
        <w:rPr>
          <w:vertAlign w:val="subscript"/>
        </w:rPr>
        <w:t>2</w:t>
      </w:r>
      <w:r>
        <w:t>. The model's radiation scheme should see fixed pre-industrial CO</w:t>
      </w:r>
      <w:r>
        <w:rPr>
          <w:vertAlign w:val="subscript"/>
        </w:rPr>
        <w:t>2</w:t>
      </w:r>
      <w:r>
        <w:t>. All other non-CO</w:t>
      </w:r>
      <w:r>
        <w:rPr>
          <w:vertAlign w:val="subscript"/>
        </w:rPr>
        <w:t>2</w:t>
      </w:r>
      <w:r>
        <w:t xml:space="preserve"> forcings should be applied in an identical way to the ScenarioMIP SSP5-8.5 </w:t>
      </w:r>
      <w:r w:rsidR="00D8512F">
        <w:t>and SSP5-8</w:t>
      </w:r>
      <w:r w:rsidR="00FB4C8D">
        <w:t>.</w:t>
      </w:r>
      <w:r w:rsidR="00D8512F">
        <w:t xml:space="preserve">5ext </w:t>
      </w:r>
      <w:r>
        <w:t>simulation</w:t>
      </w:r>
      <w:r w:rsidR="00D8512F">
        <w:t>s</w:t>
      </w:r>
      <w:r>
        <w:t xml:space="preserve">. If possible this simulation should be extended to 2300, as should its counterpart from ScenarioMIP, as one of the priority focus areas for analysis is on long-term processes such as ocean carbon and heat uptake </w:t>
      </w:r>
      <w:r w:rsidR="00D8512F">
        <w:t xml:space="preserve">and permafrost loss </w:t>
      </w:r>
      <w:r>
        <w:t>(e.g., Randerson et al., 2015)</w:t>
      </w:r>
      <w:r w:rsidR="00D8512F">
        <w:t xml:space="preserve">. </w:t>
      </w:r>
    </w:p>
    <w:p w:rsidR="00634154" w:rsidRDefault="00634154" w:rsidP="00634154">
      <w:pPr>
        <w:pStyle w:val="Heading2"/>
      </w:pPr>
      <w:r>
        <w:t>3.3 Forcings and inputs</w:t>
      </w:r>
    </w:p>
    <w:p w:rsidR="00634154" w:rsidRDefault="00634154" w:rsidP="00634154">
      <w:pPr>
        <w:pStyle w:val="Heading3"/>
      </w:pPr>
      <w:r>
        <w:t>3.3.1 CO</w:t>
      </w:r>
      <w:r>
        <w:rPr>
          <w:vertAlign w:val="subscript"/>
        </w:rPr>
        <w:t>2</w:t>
      </w:r>
      <w:r>
        <w:t xml:space="preserve"> concentrations and anthropogenic CO</w:t>
      </w:r>
      <w:r>
        <w:rPr>
          <w:vertAlign w:val="subscript"/>
        </w:rPr>
        <w:t>2</w:t>
      </w:r>
      <w:r>
        <w:t xml:space="preserve"> emissions</w:t>
      </w:r>
    </w:p>
    <w:p w:rsidR="00634154" w:rsidRDefault="00634154" w:rsidP="00634154">
      <w:r>
        <w:t>For concentration driven simulations atmospheric CO</w:t>
      </w:r>
      <w:r>
        <w:rPr>
          <w:vertAlign w:val="subscript"/>
        </w:rPr>
        <w:t>2</w:t>
      </w:r>
      <w:r>
        <w:t xml:space="preserve"> should be prescribed as a globally well mixed value provided by CMIP6. </w:t>
      </w:r>
      <w:r w:rsidR="00647AE7">
        <w:t>The CMIP6 paper (Eyring et al., 2016) and a range of papers in the GMD CMIP6 special issue will document the forcings in more detail. The data will be made available from the CMIP6 webpage (</w:t>
      </w:r>
      <w:r w:rsidR="00647AE7" w:rsidRPr="00647AE7">
        <w:t>http://www.wcrp-climate.org/wgcm-cmip/wgcm-cmip6</w:t>
      </w:r>
      <w:r w:rsidR="00647AE7">
        <w:t xml:space="preserve">). </w:t>
      </w:r>
      <w:r>
        <w:t>For emissions driven simulations atmospheric CO</w:t>
      </w:r>
      <w:r>
        <w:rPr>
          <w:vertAlign w:val="subscript"/>
        </w:rPr>
        <w:t>2</w:t>
      </w:r>
      <w:r>
        <w:t xml:space="preserve"> should be simulated prognostically by the model. External boundary conditions of anthropogenic CO</w:t>
      </w:r>
      <w:r>
        <w:rPr>
          <w:vertAlign w:val="subscript"/>
        </w:rPr>
        <w:t>2</w:t>
      </w:r>
      <w:r>
        <w:t xml:space="preserve"> emissions will be provided and should be used as follows:</w:t>
      </w:r>
    </w:p>
    <w:p w:rsidR="00634154" w:rsidRDefault="00634154" w:rsidP="00634154">
      <w:pPr>
        <w:pStyle w:val="ListParagraph"/>
        <w:numPr>
          <w:ilvl w:val="0"/>
          <w:numId w:val="12"/>
        </w:numPr>
      </w:pPr>
      <w:r>
        <w:t>in esmPIcontrol, the emissions-driven control run, atmospheric CO</w:t>
      </w:r>
      <w:r w:rsidRPr="00634154">
        <w:rPr>
          <w:vertAlign w:val="subscript"/>
        </w:rPr>
        <w:t>2</w:t>
      </w:r>
      <w:r>
        <w:t xml:space="preserve"> should be simulated by the model but no external emissions should be added during this simulation</w:t>
      </w:r>
    </w:p>
    <w:p w:rsidR="00634154" w:rsidRDefault="00634154" w:rsidP="00634154">
      <w:pPr>
        <w:pStyle w:val="ListParagraph"/>
        <w:numPr>
          <w:ilvl w:val="0"/>
          <w:numId w:val="12"/>
        </w:numPr>
      </w:pPr>
      <w:r>
        <w:t xml:space="preserve">Fossil fuel emissions should be used for the emissions-driven historical and future scenario simulations. C4MIP will provide gridded, </w:t>
      </w:r>
      <w:r w:rsidR="00647AE7">
        <w:t xml:space="preserve">annual </w:t>
      </w:r>
      <w:r>
        <w:t>CO</w:t>
      </w:r>
      <w:r w:rsidRPr="00634154">
        <w:rPr>
          <w:vertAlign w:val="subscript"/>
        </w:rPr>
        <w:t>2</w:t>
      </w:r>
      <w:r>
        <w:t xml:space="preserve"> emissions from burning of fossil fuels, </w:t>
      </w:r>
      <w:r w:rsidR="00647AE7">
        <w:t>from the beginning of 1850 to the end of 2014 for the historical simulation and through to the end of 2100 for ssp5-8.5</w:t>
      </w:r>
      <w:r>
        <w:t xml:space="preserve">. They </w:t>
      </w:r>
      <w:r>
        <w:lastRenderedPageBreak/>
        <w:t>will be provided on land-points on a 1</w:t>
      </w:r>
      <w:r w:rsidR="00182B7A">
        <w:t>°×</w:t>
      </w:r>
      <w:r>
        <w:t>1</w:t>
      </w:r>
      <w:r w:rsidR="00182B7A">
        <w:t>°</w:t>
      </w:r>
      <w:r>
        <w:t xml:space="preserve"> grid. It is up to model groups to re-grid or interpolate these emissions to suit their own model. Global annual totals must be conserved and must match the global annual totals of the gridded data provided. Conserving the global annual total is more important than the spatial patterns of emissions.</w:t>
      </w:r>
    </w:p>
    <w:p w:rsidR="00634154" w:rsidRDefault="00CD6D6D" w:rsidP="00634154">
      <w:pPr>
        <w:pStyle w:val="ListParagraph"/>
        <w:numPr>
          <w:ilvl w:val="0"/>
          <w:numId w:val="12"/>
        </w:numPr>
      </w:pPr>
      <w:r>
        <w:t>C4MIP strongly recommends that land-use carbon emissions are simulated internally by applying the land-use forcing by Hurtt et al. (2016). In the event that this is not possible in a model C4MIP will provide annual land-use carbon emissions mainly based on the results of two bookkeeping models: BLUE (Hansis et al., 2015) and Houghton (Houghton et al., 2012). For the years 1850 to 2010 the average result of these two bookkeeping models defines the global emission rate, whereas the spatial distribution of the emissions is taken solely from BLUE at a 0.5 degree resolution. This approach provides input emissions more spatially consistent with the land-use forcing applied to models than population-weighted spatial patterns used in CMIP5. After the year 2010 the global land-use emission rate is specified by the Global Carbon Project (Le Quéré et al., 2015) and the spatial pattern is that of BLUE at the year 2010</w:t>
      </w:r>
      <w:r w:rsidR="00634154">
        <w:t>.</w:t>
      </w:r>
      <w:r w:rsidR="00B86460">
        <w:t xml:space="preserve"> At the time of writing this C4MIP protocol, future land-use scenarios have not yet been processed within LUH2, but our intention is that for the future scenarios also we will provide gridded land use emissions using global totals from the scenario and the BLUE spatial pattern from 2010.</w:t>
      </w:r>
      <w:r w:rsidR="00647AE7" w:rsidRPr="00647AE7">
        <w:t xml:space="preserve"> </w:t>
      </w:r>
      <w:r w:rsidR="00647AE7">
        <w:t xml:space="preserve">As </w:t>
      </w:r>
      <w:r w:rsidR="00695A30">
        <w:t>with</w:t>
      </w:r>
      <w:r w:rsidR="00647AE7">
        <w:t xml:space="preserve"> fossil fuel emissions it is up to model groups to re-grid or interpolate these emissions to suit their own model. Global annual totals must be conserved and must match the global annual totals of the gridded data provided.</w:t>
      </w:r>
    </w:p>
    <w:p w:rsidR="00634154" w:rsidRDefault="00634154" w:rsidP="00634154">
      <w:pPr>
        <w:pStyle w:val="Heading3"/>
      </w:pPr>
      <w:r>
        <w:t>3.3.2 Land-use and land-use-induced land cover change</w:t>
      </w:r>
    </w:p>
    <w:p w:rsidR="00634154" w:rsidRDefault="00634154" w:rsidP="00634154">
      <w:r>
        <w:t xml:space="preserve">LULCC affects climate via two aspects in CMIP6 simulations. In both concentration-driven and emission-driven simulations LULCC alters the distribution of vegetation covering the land surface, with consequences for the exchange of heat, water, and momentum with the atmosphere. Its effects on terrestrial carbon stocks allow us to infer LULCC emissions, more accurately </w:t>
      </w:r>
      <w:r w:rsidR="007B3EF5">
        <w:t>labelled</w:t>
      </w:r>
      <w:r>
        <w:t xml:space="preserve"> the "net LULCC flux" (Brovkin et al</w:t>
      </w:r>
      <w:r w:rsidR="00C77452">
        <w:t>.</w:t>
      </w:r>
      <w:r>
        <w:t>, 2013). In emission-driven simulations the net LULCC flux influences the atmospheric CO</w:t>
      </w:r>
      <w:r>
        <w:rPr>
          <w:vertAlign w:val="subscript"/>
        </w:rPr>
        <w:t>2</w:t>
      </w:r>
      <w:r>
        <w:t xml:space="preserve"> concentration, contributing to subsequent carbon cycle feedbacks (e.g., Strassmann et al, 2008, Arora and Boer, 2010, Pongratz et al, 2014).</w:t>
      </w:r>
    </w:p>
    <w:p w:rsidR="00634154" w:rsidRDefault="00634154" w:rsidP="00634154">
      <w:r>
        <w:t xml:space="preserve"> </w:t>
      </w:r>
    </w:p>
    <w:p w:rsidR="00634154" w:rsidRDefault="00634154" w:rsidP="00634154">
      <w:r>
        <w:t>The LULCC forcing for the historical</w:t>
      </w:r>
      <w:r w:rsidR="0009502F">
        <w:t xml:space="preserve"> </w:t>
      </w:r>
      <w:r>
        <w:t xml:space="preserve">simulations will be based on the protocol and forcing data provided by CMIP6 for the DECK and the historical CMIP6 simulations. </w:t>
      </w:r>
      <w:r w:rsidR="00EA0927">
        <w:t xml:space="preserve">LULCC is kept fixed at its pre-industrial state for all 1pctCO2 simulations (fully coupled, biogeochemically and radiatively coupled versions). It is essential that </w:t>
      </w:r>
      <w:r w:rsidR="00EA0927">
        <w:lastRenderedPageBreak/>
        <w:t xml:space="preserve">the </w:t>
      </w:r>
      <w:r>
        <w:t xml:space="preserve">biogeochemically coupled versions </w:t>
      </w:r>
      <w:r w:rsidR="00EA0927">
        <w:t xml:space="preserve">required for C4MIP </w:t>
      </w:r>
      <w:r>
        <w:t xml:space="preserve">of the historical </w:t>
      </w:r>
      <w:r w:rsidR="00FE77BE">
        <w:t xml:space="preserve">and future </w:t>
      </w:r>
      <w:r w:rsidR="00C0656D">
        <w:t>SSP</w:t>
      </w:r>
      <w:r w:rsidR="00FE77BE">
        <w:t xml:space="preserve"> </w:t>
      </w:r>
      <w:r>
        <w:t>simulations</w:t>
      </w:r>
      <w:r w:rsidR="00EA0927">
        <w:t xml:space="preserve"> and their extensions to 2300</w:t>
      </w:r>
      <w:r>
        <w:t xml:space="preserve"> use </w:t>
      </w:r>
      <w:r w:rsidR="00EA0927">
        <w:t xml:space="preserve">identically </w:t>
      </w:r>
      <w:r>
        <w:t>the same LULCC forcing</w:t>
      </w:r>
      <w:r w:rsidR="00EA0927">
        <w:t xml:space="preserve"> as for the parallel ScenarioMIP simulations</w:t>
      </w:r>
      <w:r>
        <w:t xml:space="preserve">.   </w:t>
      </w:r>
    </w:p>
    <w:p w:rsidR="00634154" w:rsidRDefault="00634154" w:rsidP="00634154">
      <w:pPr>
        <w:pStyle w:val="Heading3"/>
      </w:pPr>
      <w:r>
        <w:t>3.3.3 N-deposition</w:t>
      </w:r>
    </w:p>
    <w:p w:rsidR="00634154" w:rsidRDefault="00634154" w:rsidP="00634154">
      <w:r>
        <w:t>Models including a nitrogen cycle are encouraged to use a consistent set of forcings of anthropogenic nitrogen deposition as drivers for the respective ocean and land biogeochemical components. Rates of speciated nitrogen deposition at the land and ocean surface are not available from observations and so need to be determined by models. C4MIP will coordinate with CCMI to provide gridded, time varying fields of nitrogen deposition from chemistry transport models (CTMs) for use as driving inputs in C4MIP simulations</w:t>
      </w:r>
      <w:r w:rsidR="00EA0927">
        <w:t xml:space="preserve"> (</w:t>
      </w:r>
      <w:r w:rsidR="00EA0927" w:rsidRPr="00EA0927">
        <w:t>http://www.met.reading.ac.uk/ccmi/?page_id=375</w:t>
      </w:r>
      <w:r w:rsidR="00EA0927">
        <w:t>)</w:t>
      </w:r>
      <w:r>
        <w:t>. This will be provided partitioned into four categories of wet or dry and oxidized or reduced N deposition velocities at the bottom of the atmosphere. If a model requires more or fewer categories or species of nitrogen deposition then it is up to the model group to produce these. When aggregating or disaggregating components of deposition the total amount of reactive nitrogen should be conserved. Inputs into the land biosphere depend on vegetation characteristics, and these aspects should be dealt with by the individual models</w:t>
      </w:r>
      <w:r w:rsidR="009F40CD">
        <w:t>.</w:t>
      </w:r>
    </w:p>
    <w:p w:rsidR="00634154" w:rsidRDefault="00634154" w:rsidP="00634154">
      <w:r>
        <w:tab/>
        <w:t xml:space="preserve"> </w:t>
      </w:r>
      <w:r>
        <w:tab/>
        <w:t xml:space="preserve"> </w:t>
      </w:r>
      <w:r>
        <w:tab/>
        <w:t xml:space="preserve"> </w:t>
      </w:r>
      <w:r>
        <w:tab/>
        <w:t xml:space="preserve"> </w:t>
      </w:r>
      <w:r>
        <w:tab/>
      </w:r>
    </w:p>
    <w:p w:rsidR="00634154" w:rsidRDefault="00634154" w:rsidP="00634154">
      <w:r>
        <w:t>C4MIP simulations should use N deposition fields as follows:</w:t>
      </w:r>
    </w:p>
    <w:p w:rsidR="00634154" w:rsidRDefault="007B3EF5" w:rsidP="00634154">
      <w:pPr>
        <w:pStyle w:val="ListParagraph"/>
        <w:numPr>
          <w:ilvl w:val="0"/>
          <w:numId w:val="13"/>
        </w:numPr>
      </w:pPr>
      <w:r>
        <w:t>Pre-industrial</w:t>
      </w:r>
      <w:r w:rsidR="00634154">
        <w:t xml:space="preserve"> control (</w:t>
      </w:r>
      <w:r w:rsidR="00C0656D">
        <w:t>piC</w:t>
      </w:r>
      <w:r w:rsidR="00634154">
        <w:t>ontrol and esm</w:t>
      </w:r>
      <w:r w:rsidR="00C0656D">
        <w:t>-piC</w:t>
      </w:r>
      <w:r w:rsidR="00634154">
        <w:t>ontrol) should use time-invariant</w:t>
      </w:r>
      <w:r w:rsidR="00695A30">
        <w:t>, but spatially explicit,</w:t>
      </w:r>
      <w:r w:rsidR="00634154">
        <w:t xml:space="preserve"> N deposition appropriate to 1850</w:t>
      </w:r>
      <w:r w:rsidR="00EA0927">
        <w:t>. This is so that there are no discontinuities in carbon pools or fluxes at the beginning of the historical simulation</w:t>
      </w:r>
      <w:r w:rsidR="00634154">
        <w:t>.</w:t>
      </w:r>
    </w:p>
    <w:p w:rsidR="00634154" w:rsidRDefault="00634154" w:rsidP="00634154">
      <w:pPr>
        <w:pStyle w:val="ListParagraph"/>
        <w:numPr>
          <w:ilvl w:val="0"/>
          <w:numId w:val="13"/>
        </w:numPr>
      </w:pPr>
      <w:r>
        <w:t>Historical (historical, esm</w:t>
      </w:r>
      <w:r w:rsidR="00FB4C8D">
        <w:t>-</w:t>
      </w:r>
      <w:r>
        <w:t xml:space="preserve">hist, </w:t>
      </w:r>
      <w:r w:rsidR="00FB4C8D">
        <w:t>hist-bgc</w:t>
      </w:r>
      <w:r>
        <w:t>) and future scenarios (esm</w:t>
      </w:r>
      <w:r w:rsidR="00FB4C8D">
        <w:t>-</w:t>
      </w:r>
      <w:r>
        <w:t>ssp585, ssp585</w:t>
      </w:r>
      <w:r w:rsidR="00FB4C8D">
        <w:t>-</w:t>
      </w:r>
      <w:r>
        <w:t>bgc, ssp5</w:t>
      </w:r>
      <w:r w:rsidR="00FB4C8D">
        <w:t>85-bgcExt</w:t>
      </w:r>
      <w:r>
        <w:t xml:space="preserve">) should use the provided </w:t>
      </w:r>
      <w:r w:rsidR="00695A30">
        <w:t>time-</w:t>
      </w:r>
      <w:r>
        <w:t xml:space="preserve">varying N deposition data derived from </w:t>
      </w:r>
      <w:r w:rsidR="00695A30">
        <w:t xml:space="preserve">CTM </w:t>
      </w:r>
      <w:r>
        <w:t>simulation</w:t>
      </w:r>
      <w:r w:rsidR="00695A30">
        <w:t>s</w:t>
      </w:r>
      <w:r>
        <w:t xml:space="preserve">. </w:t>
      </w:r>
      <w:r w:rsidR="00EA0927">
        <w:t>It is essential that all C4MIP simulations use identically the same N deposition fields for the C4MIP simulations a</w:t>
      </w:r>
      <w:r w:rsidR="00695A30">
        <w:t>s</w:t>
      </w:r>
      <w:r w:rsidR="00EA0927">
        <w:t xml:space="preserve"> the parallel DECK/ScenarioMIP simulations.</w:t>
      </w:r>
      <w:r>
        <w:tab/>
      </w:r>
    </w:p>
    <w:p w:rsidR="00634154" w:rsidRDefault="00634154" w:rsidP="00634154">
      <w:pPr>
        <w:pStyle w:val="ListParagraph"/>
        <w:numPr>
          <w:ilvl w:val="0"/>
          <w:numId w:val="13"/>
        </w:numPr>
      </w:pPr>
      <w:r>
        <w:t>The idealised simulations (1pctCO2, 1pctCO2</w:t>
      </w:r>
      <w:r w:rsidR="00584DAF">
        <w:t>-</w:t>
      </w:r>
      <w:r>
        <w:t>bgc, 1pctCO2</w:t>
      </w:r>
      <w:r w:rsidR="00584DAF">
        <w:t>-</w:t>
      </w:r>
      <w:r>
        <w:t>rad) should also use the time-invariant pre-industrial N deposition as used in the control runs, as CO2 is the only time varying forcing in these experiments.</w:t>
      </w:r>
    </w:p>
    <w:p w:rsidR="00634154" w:rsidRDefault="00A16916" w:rsidP="00634154">
      <w:pPr>
        <w:pStyle w:val="ListParagraph"/>
        <w:numPr>
          <w:ilvl w:val="0"/>
          <w:numId w:val="13"/>
        </w:numPr>
      </w:pPr>
      <w:r>
        <w:t xml:space="preserve">For the first time, C4MIP requests </w:t>
      </w:r>
      <w:r w:rsidR="00634154">
        <w:t>additional idealised simulations (1pctCO2N</w:t>
      </w:r>
      <w:r w:rsidR="00584DAF">
        <w:t>dep</w:t>
      </w:r>
      <w:r w:rsidR="00634154">
        <w:t>, 1pctCO2N</w:t>
      </w:r>
      <w:r w:rsidR="00584DAF">
        <w:t>dep-bgc</w:t>
      </w:r>
      <w:r w:rsidR="00634154">
        <w:t>) designed to quantify the effect of N deposition on the carbon-climate and carbon-concentration interaction</w:t>
      </w:r>
      <w:r>
        <w:t>s. These simulations should use an idealised scenario of</w:t>
      </w:r>
      <w:r w:rsidR="00634154">
        <w:t xml:space="preserve"> time-varying N deposition as follows. A scenario will be generated</w:t>
      </w:r>
      <w:r>
        <w:t xml:space="preserve"> </w:t>
      </w:r>
      <w:r w:rsidR="00634154">
        <w:t xml:space="preserve">by adding </w:t>
      </w:r>
      <w:r w:rsidR="009F40CD">
        <w:t xml:space="preserve">to the pre-industrial base-line </w:t>
      </w:r>
      <w:r w:rsidR="00634154">
        <w:t xml:space="preserve">the geographically explicit difference </w:t>
      </w:r>
      <w:r w:rsidR="00634154">
        <w:lastRenderedPageBreak/>
        <w:t xml:space="preserve">between the year 2100 </w:t>
      </w:r>
      <w:r>
        <w:t>SSP5-</w:t>
      </w:r>
      <w:r w:rsidR="00634154">
        <w:t xml:space="preserve">8.5 N deposition scenario and pre-industrial values, such that the relative growth rates of N deposition and CO2 match and the global total N deposition at the time when atmospheric CO2 concentrations reach the </w:t>
      </w:r>
      <w:r>
        <w:t>SSP5-</w:t>
      </w:r>
      <w:r w:rsidR="00634154">
        <w:t>8.5 value for the year 2100 correspond to the year 2100 N deposition total</w:t>
      </w:r>
      <w:r w:rsidR="00695A30">
        <w:t>. C4MIP will generate these fields of N deposition and make them available as annual fields to be applied in these idealised simulations</w:t>
      </w:r>
      <w:r w:rsidR="00634154">
        <w:t xml:space="preserve">.  </w:t>
      </w:r>
      <w:r w:rsidR="00634154">
        <w:tab/>
      </w:r>
    </w:p>
    <w:p w:rsidR="00634154" w:rsidRDefault="00634154" w:rsidP="00634154"/>
    <w:p w:rsidR="00634154" w:rsidRDefault="00634154" w:rsidP="00634154">
      <w:r>
        <w:t>If the ESM simulates atmospheric chemistry and composition and therefore provides N-deposition internally, then this can be used in place of a prescribed field of N-deposition for the historical and scenario simulations. However, irrespective of whether an ESM generates N deposition or not, for the 1% idealised simulations, it is preferable to use the provided fields as anomal</w:t>
      </w:r>
      <w:r w:rsidR="00647AE7">
        <w:t>ies which should be added</w:t>
      </w:r>
      <w:r>
        <w:t xml:space="preserve"> to the ESM’s pre-industrial N deposition fields.</w:t>
      </w:r>
    </w:p>
    <w:p w:rsidR="00634154" w:rsidRDefault="00634154" w:rsidP="00634154">
      <w:r>
        <w:t xml:space="preserve"> </w:t>
      </w:r>
    </w:p>
    <w:p w:rsidR="00634154" w:rsidRDefault="00634154" w:rsidP="00634154">
      <w:r>
        <w:t xml:space="preserve">The provided N-deposition data will cover both land and ocean, but we acknowledge that some models have their own established sources of </w:t>
      </w:r>
      <w:r w:rsidR="00F841CC">
        <w:t xml:space="preserve">reactive nitrogen </w:t>
      </w:r>
      <w:r>
        <w:t>to the oceans and to change this would require costly repeat-spinup simulations. So it is left to the model groups’ discretion how to apply N-deposition to the ocean. If a source other than provided by C4MIP is used this should be documented and made available to aid analysis.</w:t>
      </w:r>
    </w:p>
    <w:p w:rsidR="00634154" w:rsidRDefault="00634154" w:rsidP="00634154">
      <w:pPr>
        <w:pStyle w:val="Heading3"/>
      </w:pPr>
      <w:r>
        <w:t>3.3.4 Carbon isotopes</w:t>
      </w:r>
    </w:p>
    <w:p w:rsidR="00634154" w:rsidRDefault="00634154" w:rsidP="00634154">
      <w:r>
        <w:t>Models including carbon isotopes (δ</w:t>
      </w:r>
      <w:r>
        <w:rPr>
          <w:vertAlign w:val="superscript"/>
        </w:rPr>
        <w:t>13</w:t>
      </w:r>
      <w:r>
        <w:t>C and Δ</w:t>
      </w:r>
      <w:r>
        <w:rPr>
          <w:vertAlign w:val="superscript"/>
        </w:rPr>
        <w:t>14</w:t>
      </w:r>
      <w:r>
        <w:t xml:space="preserve">C) in land or ocean realms are encouraged to simulate and report variables relating to carbon isotopes. Carbon isotopes are requested from </w:t>
      </w:r>
      <w:r w:rsidR="00636689">
        <w:t>pre-industrial, historical and future scenario</w:t>
      </w:r>
      <w:r>
        <w:t xml:space="preserve"> simulations.</w:t>
      </w:r>
    </w:p>
    <w:p w:rsidR="00634154" w:rsidRDefault="00634154" w:rsidP="00634154"/>
    <w:p w:rsidR="00634154" w:rsidRDefault="00634154" w:rsidP="00634154">
      <w:r>
        <w:rPr>
          <w:noProof/>
          <w:lang w:eastAsia="en-GB"/>
        </w:rPr>
        <w:lastRenderedPageBreak/>
        <w:drawing>
          <wp:inline distT="114300" distB="114300" distL="114300" distR="114300">
            <wp:extent cx="3666173" cy="3443731"/>
            <wp:effectExtent l="0" t="0" r="0" b="0"/>
            <wp:docPr id="17"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4" cstate="print"/>
                    <a:srcRect/>
                    <a:stretch>
                      <a:fillRect/>
                    </a:stretch>
                  </pic:blipFill>
                  <pic:spPr>
                    <a:xfrm>
                      <a:off x="0" y="0"/>
                      <a:ext cx="3666173" cy="3443731"/>
                    </a:xfrm>
                    <a:prstGeom prst="rect">
                      <a:avLst/>
                    </a:prstGeom>
                    <a:ln/>
                  </pic:spPr>
                </pic:pic>
              </a:graphicData>
            </a:graphic>
          </wp:inline>
        </w:drawing>
      </w:r>
    </w:p>
    <w:p w:rsidR="00634154" w:rsidRDefault="00634154" w:rsidP="00634154"/>
    <w:p w:rsidR="00634154" w:rsidRDefault="00634154" w:rsidP="00634154">
      <w:r>
        <w:rPr>
          <w:i/>
        </w:rPr>
        <w:t>Figure 4. Carbon isotopes in atmospheric CO</w:t>
      </w:r>
      <w:r>
        <w:rPr>
          <w:i/>
          <w:vertAlign w:val="subscript"/>
        </w:rPr>
        <w:t>2</w:t>
      </w:r>
      <w:r>
        <w:rPr>
          <w:i/>
        </w:rPr>
        <w:t xml:space="preserve"> for the historical period 1850-2014. Data for δ</w:t>
      </w:r>
      <w:r>
        <w:rPr>
          <w:i/>
          <w:vertAlign w:val="superscript"/>
        </w:rPr>
        <w:t>13</w:t>
      </w:r>
      <w:r>
        <w:rPr>
          <w:i/>
        </w:rPr>
        <w:t>C is from Law Dome and South Pole (Rubino et al. 2013) and Mauna Loa (Keeling et al. 2001) and includes smoothing of the observations. Data for Δ</w:t>
      </w:r>
      <w:r>
        <w:rPr>
          <w:i/>
          <w:vertAlign w:val="superscript"/>
        </w:rPr>
        <w:t>14</w:t>
      </w:r>
      <w:r>
        <w:rPr>
          <w:i/>
        </w:rPr>
        <w:t xml:space="preserve">C is compiled from </w:t>
      </w:r>
      <w:r w:rsidR="00636689">
        <w:rPr>
          <w:i/>
        </w:rPr>
        <w:t xml:space="preserve">Levin et al. (2010) and other </w:t>
      </w:r>
      <w:r>
        <w:rPr>
          <w:i/>
        </w:rPr>
        <w:t xml:space="preserve">sources </w:t>
      </w:r>
      <w:r w:rsidR="00636689">
        <w:rPr>
          <w:i/>
        </w:rPr>
        <w:t>(</w:t>
      </w:r>
      <w:r>
        <w:rPr>
          <w:i/>
        </w:rPr>
        <w:t>I. Levin personal communication), following a similar dataset used by Orr et al. (2000).</w:t>
      </w:r>
    </w:p>
    <w:p w:rsidR="00634154" w:rsidRDefault="00634154" w:rsidP="00634154">
      <w:r>
        <w:t xml:space="preserve"> </w:t>
      </w:r>
    </w:p>
    <w:p w:rsidR="00634154" w:rsidRDefault="00634154" w:rsidP="00634154">
      <w:r>
        <w:t xml:space="preserve">For historical concentration-driven runs (piControl, historical and </w:t>
      </w:r>
      <w:r w:rsidR="00FB4C8D">
        <w:t>hist-bgc</w:t>
      </w:r>
      <w:r>
        <w:t>), atmospheric δ</w:t>
      </w:r>
      <w:r>
        <w:rPr>
          <w:vertAlign w:val="superscript"/>
        </w:rPr>
        <w:t>13</w:t>
      </w:r>
      <w:r>
        <w:t>CO</w:t>
      </w:r>
      <w:r>
        <w:rPr>
          <w:vertAlign w:val="subscript"/>
        </w:rPr>
        <w:t>2</w:t>
      </w:r>
      <w:r>
        <w:t xml:space="preserve"> and Δ</w:t>
      </w:r>
      <w:r>
        <w:rPr>
          <w:vertAlign w:val="superscript"/>
        </w:rPr>
        <w:t>14</w:t>
      </w:r>
      <w:r>
        <w:t>CO</w:t>
      </w:r>
      <w:r>
        <w:rPr>
          <w:vertAlign w:val="subscript"/>
        </w:rPr>
        <w:t>2</w:t>
      </w:r>
      <w:r>
        <w:t xml:space="preserve"> forcing based on observations will be provided (figure 4). The atmospheric forcing datasets will be available at the C4MIP website. We also plan to make available atmospheric forcing data for carbon isotopes for the ssp585</w:t>
      </w:r>
      <w:r w:rsidR="00636689">
        <w:t xml:space="preserve"> scenario and for other scenarios and extensions </w:t>
      </w:r>
      <w:r>
        <w:t xml:space="preserve">using a simple carbon cycle model, following Graven (2015). </w:t>
      </w:r>
    </w:p>
    <w:p w:rsidR="00636689" w:rsidRDefault="00636689" w:rsidP="00634154"/>
    <w:p w:rsidR="00636689" w:rsidRDefault="00636689" w:rsidP="00634154">
      <w:r>
        <w:t xml:space="preserve">Carbon isotopes are only requested to be simulated in land and ocean model components using the provided historical or future atmospheric forcing datasets for </w:t>
      </w:r>
      <w:bookmarkStart w:id="2" w:name="OLE_LINK33"/>
      <w:bookmarkStart w:id="3" w:name="OLE_LINK34"/>
      <w:r>
        <w:t>δ</w:t>
      </w:r>
      <w:r>
        <w:rPr>
          <w:vertAlign w:val="superscript"/>
        </w:rPr>
        <w:t>13</w:t>
      </w:r>
      <w:r>
        <w:t>CO</w:t>
      </w:r>
      <w:r>
        <w:rPr>
          <w:vertAlign w:val="subscript"/>
        </w:rPr>
        <w:t>2</w:t>
      </w:r>
      <w:r>
        <w:t xml:space="preserve"> and Δ</w:t>
      </w:r>
      <w:r>
        <w:rPr>
          <w:vertAlign w:val="superscript"/>
        </w:rPr>
        <w:t>14</w:t>
      </w:r>
      <w:r>
        <w:t>CO</w:t>
      </w:r>
      <w:r>
        <w:rPr>
          <w:vertAlign w:val="subscript"/>
        </w:rPr>
        <w:t>2</w:t>
      </w:r>
      <w:bookmarkEnd w:id="2"/>
      <w:bookmarkEnd w:id="3"/>
      <w:r>
        <w:t>. It is not requested that atmospheric δ</w:t>
      </w:r>
      <w:r>
        <w:rPr>
          <w:vertAlign w:val="superscript"/>
        </w:rPr>
        <w:t>13</w:t>
      </w:r>
      <w:r>
        <w:t>CO</w:t>
      </w:r>
      <w:r>
        <w:rPr>
          <w:vertAlign w:val="subscript"/>
        </w:rPr>
        <w:t>2</w:t>
      </w:r>
      <w:r>
        <w:t xml:space="preserve"> and Δ</w:t>
      </w:r>
      <w:r>
        <w:rPr>
          <w:vertAlign w:val="superscript"/>
        </w:rPr>
        <w:t>14</w:t>
      </w:r>
      <w:r>
        <w:t>CO</w:t>
      </w:r>
      <w:r>
        <w:rPr>
          <w:vertAlign w:val="subscript"/>
        </w:rPr>
        <w:t>2</w:t>
      </w:r>
      <w:r w:rsidRPr="009E5D8F">
        <w:t xml:space="preserve"> </w:t>
      </w:r>
      <w:r>
        <w:t>be simulated by ESMs, even for emission-driven simulations of atmospheric CO</w:t>
      </w:r>
      <w:r w:rsidRPr="009E5D8F">
        <w:rPr>
          <w:vertAlign w:val="subscript"/>
        </w:rPr>
        <w:t>2</w:t>
      </w:r>
      <w:r>
        <w:t>.</w:t>
      </w:r>
    </w:p>
    <w:p w:rsidR="00634154" w:rsidRDefault="00634154" w:rsidP="00634154">
      <w:pPr>
        <w:pStyle w:val="Heading3"/>
      </w:pPr>
      <w:r>
        <w:lastRenderedPageBreak/>
        <w:t>3.3.5    Other forcings</w:t>
      </w:r>
    </w:p>
    <w:p w:rsidR="00634154" w:rsidRDefault="00634154" w:rsidP="00634154">
      <w:r>
        <w:t>If the model requires any other external forcing not documented here, for example deposition of phosphorous, then it is at the model groups’ discretion how to provide it. In the case of a model with an interactive phosphorous cycle we recommend the forcing data is prepared in a way analogous to the nitrogen deposition describe</w:t>
      </w:r>
      <w:r w:rsidR="00647AE7">
        <w:t>d</w:t>
      </w:r>
      <w:r>
        <w:t xml:space="preserve"> above. We recommend you contact us for more details if this is applicable. Any additional forcings must be documented through the CMIP meta-data process or in the appropriate model description paper.</w:t>
      </w:r>
    </w:p>
    <w:p w:rsidR="00634154" w:rsidRDefault="00634154" w:rsidP="00634154">
      <w:pPr>
        <w:pStyle w:val="Heading1"/>
      </w:pPr>
      <w:r>
        <w:t>4. Output requirements</w:t>
      </w:r>
    </w:p>
    <w:p w:rsidR="00634154" w:rsidRDefault="00634154" w:rsidP="00634154">
      <w:r>
        <w:t>It is vital for accurate analysis and model intercomparison that every model adheres to the definitions of each output variable in order for like-for-like comparison to be made. In this section we describe in detail each requested output variable. The data request will be documented separately (</w:t>
      </w:r>
      <w:r w:rsidR="002247A7">
        <w:t>by the WGCM Infrastructure Panel</w:t>
      </w:r>
      <w:r w:rsidR="00647AE7">
        <w:t xml:space="preserve">; </w:t>
      </w:r>
      <w:r w:rsidR="002247A7" w:rsidRPr="002247A7">
        <w:t>https://www.earthsystemcog.org/projects/wip/</w:t>
      </w:r>
      <w:r>
        <w:t>) and will list the required variables output for each CMIP6 simulation</w:t>
      </w:r>
      <w:r w:rsidR="002247A7">
        <w:t xml:space="preserve"> along with their precise variable names, description and required units</w:t>
      </w:r>
      <w:r>
        <w:t>. Here we aim to describe each variable so that its implementation and use are made consistent across all models and analyses.</w:t>
      </w:r>
    </w:p>
    <w:p w:rsidR="00451D25" w:rsidRDefault="00451D25" w:rsidP="00451D25">
      <w:pPr>
        <w:pStyle w:val="Heading2"/>
      </w:pPr>
      <w:r>
        <w:t>4.1 Land</w:t>
      </w:r>
    </w:p>
    <w:p w:rsidR="00451D25" w:rsidRDefault="00451D25" w:rsidP="00451D25">
      <w:pPr>
        <w:pStyle w:val="Heading3"/>
      </w:pPr>
      <w:r>
        <w:t>4.1.1 Land carbon cycle variables</w:t>
      </w:r>
    </w:p>
    <w:p w:rsidR="002247A7" w:rsidRDefault="00451D25" w:rsidP="002247A7">
      <w:r>
        <w:t xml:space="preserve">The primary aim of C4MIP is to compare the aspects of the global carbon cycle and its response to environmental changes across the participating ESMs. </w:t>
      </w:r>
      <w:r w:rsidR="00F841CC">
        <w:t>T</w:t>
      </w:r>
      <w:r>
        <w:t>o achieve this objective, it is essential that all carbon stocks and fluxes are reported so that total amount of carbon in the system can be tracked and their conservation checked. To achieve this compulsory tier-1 diagnostics have been defined that as simply as possible close the carbon cycle. Desirable tier-2 diagnostics can also be reported which allow more detailed analysis by breaking down tier-1 output into sub-components.</w:t>
      </w:r>
    </w:p>
    <w:p w:rsidR="00451D25" w:rsidRDefault="00451D25" w:rsidP="00451D25"/>
    <w:p w:rsidR="00451D25" w:rsidRDefault="00451D25" w:rsidP="00451D25">
      <w:r>
        <w:rPr>
          <w:b/>
          <w:i/>
        </w:rPr>
        <w:t>Land carbon pools</w:t>
      </w:r>
    </w:p>
    <w:p w:rsidR="00451D25" w:rsidRDefault="00451D25" w:rsidP="00451D25">
      <w:r>
        <w:t>Figure 5 shows the requested carbon cycle stores over land. Tier-1 variables are intended to be simple but still capture the total land carbon store. Tier-2 variables provide the same information as the tier-1 variables but in more detail. As shown in Figure 5 the total carbon is the sum of tier-1 variables and not the combined sum of tier-1 and tier-2 variables.</w:t>
      </w:r>
    </w:p>
    <w:p w:rsidR="00451D25" w:rsidRDefault="00451D25" w:rsidP="00451D25"/>
    <w:p w:rsidR="00451D25" w:rsidRDefault="00753474" w:rsidP="00451D25">
      <w:r>
        <w:rPr>
          <w:noProof/>
          <w:lang w:eastAsia="en-GB"/>
        </w:rPr>
        <w:lastRenderedPageBreak/>
        <w:drawing>
          <wp:inline distT="0" distB="0" distL="0" distR="0">
            <wp:extent cx="5314950" cy="3986213"/>
            <wp:effectExtent l="19050" t="0" r="0" b="0"/>
            <wp:docPr id="6" name="Picture 1" descr="\\Client\H$\words\Carbon\C4MIP_GMD_paper\Submission\Resubmission\C4MIP_diagnostics_cartoon_vn3\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H$\words\Carbon\C4MIP_GMD_paper\Submission\Resubmission\C4MIP_diagnostics_cartoon_vn3\Slide1.PNG"/>
                    <pic:cNvPicPr>
                      <a:picLocks noChangeAspect="1" noChangeArrowheads="1"/>
                    </pic:cNvPicPr>
                  </pic:nvPicPr>
                  <pic:blipFill>
                    <a:blip r:embed="rId15" cstate="print"/>
                    <a:srcRect/>
                    <a:stretch>
                      <a:fillRect/>
                    </a:stretch>
                  </pic:blipFill>
                  <pic:spPr bwMode="auto">
                    <a:xfrm>
                      <a:off x="0" y="0"/>
                      <a:ext cx="5314950" cy="3986213"/>
                    </a:xfrm>
                    <a:prstGeom prst="rect">
                      <a:avLst/>
                    </a:prstGeom>
                    <a:noFill/>
                    <a:ln w="9525">
                      <a:noFill/>
                      <a:miter lim="800000"/>
                      <a:headEnd/>
                      <a:tailEnd/>
                    </a:ln>
                  </pic:spPr>
                </pic:pic>
              </a:graphicData>
            </a:graphic>
          </wp:inline>
        </w:drawing>
      </w:r>
    </w:p>
    <w:p w:rsidR="00451D25" w:rsidRDefault="00451D25" w:rsidP="00451D25">
      <w:r>
        <w:rPr>
          <w:i/>
        </w:rPr>
        <w:t>Figure 5: Requested tier-1 and tier-2 variables representing land carbon pools</w:t>
      </w:r>
      <w:r w:rsidR="002247A7">
        <w:rPr>
          <w:i/>
        </w:rPr>
        <w:t xml:space="preserve"> Although not a land carbon quantity, atmospheric </w:t>
      </w:r>
      <w:r w:rsidR="002247A7" w:rsidRPr="002247A7">
        <w:rPr>
          <w:i/>
        </w:rPr>
        <w:t>CO</w:t>
      </w:r>
      <w:r w:rsidR="002247A7" w:rsidRPr="002247A7">
        <w:rPr>
          <w:i/>
          <w:vertAlign w:val="subscript"/>
        </w:rPr>
        <w:t>2</w:t>
      </w:r>
      <w:r w:rsidR="002247A7" w:rsidRPr="002247A7">
        <w:rPr>
          <w:i/>
        </w:rPr>
        <w:t xml:space="preserve"> </w:t>
      </w:r>
      <w:r w:rsidR="002247A7">
        <w:rPr>
          <w:i/>
        </w:rPr>
        <w:t xml:space="preserve"> is shown here also for completeness</w:t>
      </w:r>
      <w:r>
        <w:rPr>
          <w:i/>
        </w:rPr>
        <w:t>.</w:t>
      </w:r>
    </w:p>
    <w:p w:rsidR="00451D25" w:rsidRDefault="00451D25" w:rsidP="00451D25"/>
    <w:p w:rsidR="00451D25" w:rsidRDefault="00451D25" w:rsidP="00451D25">
      <w:r>
        <w:t>The carbon stored in the vegetation-litter-soil system is simply represented by three tier-1 variables, cVeg, cLitter and cSoil, respectively.</w:t>
      </w:r>
      <w:r w:rsidR="005A063B">
        <w:t xml:space="preserve"> For models with vertically discretized soil carbon, an additional pool cSoilBelow1m is required.</w:t>
      </w:r>
      <w:r>
        <w:t xml:space="preserve"> A fourth pool, cProduct, represents the carbon stored in product pools (such as harvested wood, paper products, and furniture etc) as a result of anthropogenic land-use change. The total carbon stored per unit area on land is then simply:</w:t>
      </w:r>
    </w:p>
    <w:p w:rsidR="00451D25" w:rsidRDefault="00451D25" w:rsidP="00451D25">
      <m:oMath>
        <m:r>
          <w:rPr>
            <w:rFonts w:ascii="Cambria Math" w:eastAsia="Cambria" w:hAnsi="Cambria Math" w:cs="Cambria"/>
          </w:rPr>
          <m:t>cLand=cVeg+cLitter+cSoil (+cSoilBelow1m)+cProduct</m:t>
        </m:r>
      </m:oMath>
      <w:r w:rsidR="00DC4A28">
        <w:t xml:space="preserve"> </w:t>
      </w:r>
      <w:r w:rsidR="00DC4A28">
        <w:tab/>
      </w:r>
      <w:r w:rsidR="00DC4A28">
        <w:tab/>
      </w:r>
      <w:r w:rsidR="00DC4A28">
        <w:tab/>
      </w:r>
      <w:r w:rsidR="00DC4A28">
        <w:tab/>
      </w:r>
      <w:r w:rsidR="00DC4A28">
        <w:tab/>
      </w:r>
      <w:r w:rsidR="00DC4A28">
        <w:tab/>
        <w:t>(</w:t>
      </w:r>
      <w:r w:rsidR="00D11B93">
        <w:fldChar w:fldCharType="begin"/>
      </w:r>
      <w:r w:rsidR="00D11B93">
        <w:instrText xml:space="preserve"> SEQ Equation \* MERGEFORMAT </w:instrText>
      </w:r>
      <w:r w:rsidR="00D11B93">
        <w:fldChar w:fldCharType="separate"/>
      </w:r>
      <w:r w:rsidR="000E6FD1">
        <w:rPr>
          <w:noProof/>
        </w:rPr>
        <w:t>1</w:t>
      </w:r>
      <w:r w:rsidR="00D11B93">
        <w:rPr>
          <w:noProof/>
        </w:rPr>
        <w:fldChar w:fldCharType="end"/>
      </w:r>
      <w:r w:rsidR="00DC4A28">
        <w:t>)</w:t>
      </w:r>
    </w:p>
    <w:p w:rsidR="00451D25" w:rsidRDefault="00451D25" w:rsidP="00451D25"/>
    <w:p w:rsidR="00451D25" w:rsidRDefault="00451D25" w:rsidP="00451D25">
      <w:r>
        <w:t>Some models may not explicitly simulate a litter pool distinct from their soil carbon pool. In this case cLitter should be reported as zero. We would normally expect cProduct to be non-zero in simulations which include anthropogenic land-use or land-use change. Hence, for the idealised 1% per year increasing CO</w:t>
      </w:r>
      <w:r>
        <w:rPr>
          <w:vertAlign w:val="subscript"/>
        </w:rPr>
        <w:t>2</w:t>
      </w:r>
      <w:r>
        <w:t xml:space="preserve"> simulations (biogeochemically-, radiatively or fully-coupled) we would expect models to report cProduct=0. For models whose land-use fluxes contribute straight to the atmosphere and are not to the product pools, cProduct=0 can also be reported for scenario simulations. In addition, for models that allocate the products of anthropogenic </w:t>
      </w:r>
      <w:r>
        <w:lastRenderedPageBreak/>
        <w:t>LUC to their litter and soil carbon pools</w:t>
      </w:r>
      <w:r w:rsidR="002F16AE">
        <w:t xml:space="preserve"> or models which do not simulate the effect of LULCC on the carbon cycle</w:t>
      </w:r>
      <w:r>
        <w:t xml:space="preserve"> cProduct will also be expected to be zero.</w:t>
      </w:r>
    </w:p>
    <w:p w:rsidR="00451D25" w:rsidRDefault="00451D25" w:rsidP="00451D25"/>
    <w:p w:rsidR="00451D25" w:rsidRDefault="00451D25" w:rsidP="00451D25">
      <w:r>
        <w:t>Tier-2 output variables allow for more detailed breakdown and analysis of their parent carbon stores. They are sub-components of their parent tier-1 variables, and not additional stores. For example, the vegetation carbon pool can be represented by carbon in the leaf, stem and root and possibly other (e.g. fruit) components. For models which report these tier-2 variables, the total amount of carbon per unit area should be identical to the tier-1 variable, i.e.,</w:t>
      </w:r>
    </w:p>
    <w:p w:rsidR="00451D25" w:rsidRDefault="00451D25" w:rsidP="00451D25">
      <m:oMath>
        <m:r>
          <w:rPr>
            <w:rFonts w:ascii="Cambria Math" w:eastAsia="Cambria" w:hAnsi="Cambria Math" w:cs="Cambria"/>
          </w:rPr>
          <m:t>cVeg = cLeaf + cStem + cRoot + cOther</m:t>
        </m:r>
      </m:oMath>
      <w:r w:rsidR="00DC4A28">
        <w:tab/>
      </w:r>
      <w:r w:rsidR="00DC4A28">
        <w:tab/>
      </w:r>
      <w:r w:rsidR="00DC4A28">
        <w:tab/>
      </w:r>
      <w:r w:rsidR="00DC4A28">
        <w:tab/>
      </w:r>
      <w:r w:rsidR="00DC4A28">
        <w:tab/>
      </w:r>
      <w:r w:rsidR="00DC4A28">
        <w:tab/>
      </w:r>
      <w:r w:rsidR="00DC4A28">
        <w:tab/>
        <w:t>(</w:t>
      </w:r>
      <w:r w:rsidR="00D11B93">
        <w:fldChar w:fldCharType="begin"/>
      </w:r>
      <w:r w:rsidR="00D11B93">
        <w:instrText xml:space="preserve"> SEQ Equation \* MERGEFORMAT </w:instrText>
      </w:r>
      <w:r w:rsidR="00D11B93">
        <w:fldChar w:fldCharType="separate"/>
      </w:r>
      <w:r w:rsidR="000E6FD1">
        <w:rPr>
          <w:noProof/>
        </w:rPr>
        <w:t>2</w:t>
      </w:r>
      <w:r w:rsidR="00D11B93">
        <w:rPr>
          <w:noProof/>
        </w:rPr>
        <w:fldChar w:fldCharType="end"/>
      </w:r>
      <w:r w:rsidR="00DC4A28">
        <w:t>)</w:t>
      </w:r>
    </w:p>
    <w:p w:rsidR="00451D25" w:rsidRDefault="00451D25" w:rsidP="00451D25"/>
    <w:p w:rsidR="00451D25" w:rsidRDefault="00451D25" w:rsidP="00451D25">
      <w:r>
        <w:t xml:space="preserve">The same applies for the litter carbon pool, which is requested to be broken down into coarse woody debris (cLitterCWD) and above- and below-surface litter (cLitterAboveSurf, cLitterBelowSurf) pools. </w:t>
      </w:r>
    </w:p>
    <w:p w:rsidR="00451D25" w:rsidRDefault="00451D25" w:rsidP="00451D25"/>
    <w:p w:rsidR="00451D25" w:rsidRDefault="00451D25" w:rsidP="00451D25">
      <w:r>
        <w:t xml:space="preserve">For CMIP5 the soil carbon pool was requested to be divided into components with fast, medium and slow turnover timescales. However, this distinction was not found useful by the community and as a result was not used in many analyses. For CMIP6, we are requesting a breakdown </w:t>
      </w:r>
      <w:r w:rsidR="008F2E96">
        <w:t xml:space="preserve">in two different ways. Firstly </w:t>
      </w:r>
      <w:r>
        <w:t>based on the vertical distribution of soil carbon</w:t>
      </w:r>
      <w:r w:rsidR="008F2E96">
        <w:t>:</w:t>
      </w:r>
      <w:r>
        <w:t xml:space="preserve"> </w:t>
      </w:r>
      <w:r w:rsidR="008F2E96">
        <w:t xml:space="preserve">total soil carbon </w:t>
      </w:r>
      <w:r>
        <w:t xml:space="preserve">should be split into above and below 1m depth (cSoil and cSoilBelow1m, respectively). Models which do not explicitly represent </w:t>
      </w:r>
      <w:r>
        <w:rPr>
          <w:strike/>
        </w:rPr>
        <w:t>a</w:t>
      </w:r>
      <w:r>
        <w:t xml:space="preserve"> vertical distribution of soil carbon should report </w:t>
      </w:r>
      <w:r w:rsidR="008F2E96">
        <w:t>all of their soil carbon in cSoil</w:t>
      </w:r>
      <w:r>
        <w:t xml:space="preserve">. The rationale for requesting </w:t>
      </w:r>
      <w:r w:rsidR="008F2E96">
        <w:t xml:space="preserve">this </w:t>
      </w:r>
      <w:r>
        <w:t>is the availability of several observation-based datasets that report soil organic matter content to 1 m depth.</w:t>
      </w:r>
      <w:r w:rsidR="008F2E96">
        <w:t xml:space="preserve"> A second level of vertical reporting is then requested for tier 2. We ask that models with a vertical structure to their soil carbon report total soil carbon for each soil layer. As the structure for this may vary between models it is essential that the model is thoroughly documented.</w:t>
      </w:r>
    </w:p>
    <w:p w:rsidR="002247A7" w:rsidRDefault="002247A7" w:rsidP="002247A7"/>
    <w:p w:rsidR="002247A7" w:rsidRDefault="002247A7" w:rsidP="002247A7">
      <w:r>
        <w:t>In order to be able to diagnose and evaluate the turnover rates of carbon within the terrestrial system</w:t>
      </w:r>
      <w:r w:rsidR="008F2E96">
        <w:t xml:space="preserve"> we make a second tier 2 request to report individual soil carbon pools.</w:t>
      </w:r>
      <w:r>
        <w:t xml:space="preserve"> </w:t>
      </w:r>
      <w:r w:rsidR="008F2E96">
        <w:t>In order for this to be useful it is also required to report the turnover rate</w:t>
      </w:r>
      <w:r w:rsidR="005065AE">
        <w:t xml:space="preserve"> (</w:t>
      </w:r>
      <w:r w:rsidR="009B6867">
        <w:t xml:space="preserve">tSoilPools: </w:t>
      </w:r>
      <w:r w:rsidR="005065AE">
        <w:t xml:space="preserve">defined as 1/residence time) for each pool. For models with a vertical structure we recognise that this could become an unmanageable number of pools reported, so </w:t>
      </w:r>
      <w:r w:rsidR="005A063B">
        <w:t xml:space="preserve">in this case </w:t>
      </w:r>
      <w:r w:rsidR="005065AE">
        <w:t xml:space="preserve">we request that the individual pools are aggregated above and below 1m. </w:t>
      </w:r>
      <w:r>
        <w:t xml:space="preserve">To ensure such output is used correctly in analyses it is also essential that the pool-flux structure of each model is fully documented in its model description </w:t>
      </w:r>
      <w:r>
        <w:lastRenderedPageBreak/>
        <w:t>paper. This output will enable reduced complexity approaches (e.g. Xia et al., 2013) to recreate and analyse the soil carbon dynamics within each model.</w:t>
      </w:r>
    </w:p>
    <w:p w:rsidR="005A063B" w:rsidRDefault="005A063B" w:rsidP="002247A7"/>
    <w:p w:rsidR="005A063B" w:rsidRDefault="005A063B" w:rsidP="002247A7">
      <w:r>
        <w:t xml:space="preserve">A final tier-2 breakdown is required to report the main stores and fluxes separately for different land cover types. The LUMIP data request (Lawrence et al., 2016) requests carbon pools and fluxes for crop, pasture, primary and secondary land, and urban. For C4MIP we additionally request that the following carbon pools and fluxes are reported on the tree, shrub and grass fractions shown in figure 11. </w:t>
      </w:r>
      <w:r w:rsidR="00896B38">
        <w:t xml:space="preserve">cVeg, cLitter and cSoil pools and also gpp, npp, ra and rh fluxes. </w:t>
      </w:r>
      <w:r>
        <w:t>These therefore provide enhanced detail within the primary and secondary request of LUMIP and complement the crop and pasture reported values.</w:t>
      </w:r>
    </w:p>
    <w:p w:rsidR="00451D25" w:rsidRDefault="00451D25" w:rsidP="00451D25"/>
    <w:p w:rsidR="00451D25" w:rsidRDefault="00451D25" w:rsidP="00451D25">
      <w:r>
        <w:rPr>
          <w:b/>
          <w:i/>
        </w:rPr>
        <w:t>Land carbon fluxes</w:t>
      </w:r>
    </w:p>
    <w:p w:rsidR="00451D25" w:rsidRDefault="00451D25" w:rsidP="00451D25">
      <w:r>
        <w:t>Equally important to the land carbon pools are the fluxes going into and out of them which will allow us to gain insight into how the pools have changed and why.</w:t>
      </w:r>
      <w:r w:rsidR="00617789">
        <w:t xml:space="preserve"> For ease of understanding we have adopted a convention for newly defined variables that a carbon pool is prefixed by a “c” (as in cVeg or cSoil) and a flux by an “f” (as in fLandToOcean). Some existing variables (e.g. gpp and npp) do not conform to this but are considered to be well known and do not need to be changed.</w:t>
      </w:r>
    </w:p>
    <w:p w:rsidR="00451D25" w:rsidRDefault="00451D25" w:rsidP="00451D25"/>
    <w:p w:rsidR="00451D25" w:rsidRDefault="00451D25" w:rsidP="00451D25">
      <w:r>
        <w:t xml:space="preserve">Figure 6 shows the variables requested for terrestrial carbon fluxes. Similar to land carbon pools, the objective of tier-1 fluxes is to capture the primary system behaviour, and tier-2 fluxes provide breakdown within the tier-1 fluxes which allow for a more detailed analysis. The directions of the arrows indicate the sign-convention of the flux which is considered positive in the direction in which the arrows are pointing. For example, gross primary productivity (gpp) is positive downwards indicating flux of carbon </w:t>
      </w:r>
      <w:r>
        <w:rPr>
          <w:i/>
        </w:rPr>
        <w:t xml:space="preserve">from </w:t>
      </w:r>
      <w:r>
        <w:t xml:space="preserve">the atmosphere </w:t>
      </w:r>
      <w:r>
        <w:rPr>
          <w:i/>
        </w:rPr>
        <w:t>to</w:t>
      </w:r>
      <w:r>
        <w:t xml:space="preserve"> the vegetation, whereas autotrophic respiration (ra) is positive upwards indicating flux of carbon </w:t>
      </w:r>
      <w:r>
        <w:rPr>
          <w:i/>
        </w:rPr>
        <w:t>from</w:t>
      </w:r>
      <w:r>
        <w:t xml:space="preserve"> the vegetation </w:t>
      </w:r>
      <w:r>
        <w:rPr>
          <w:i/>
        </w:rPr>
        <w:t>to</w:t>
      </w:r>
      <w:r>
        <w:t xml:space="preserve"> the atmosphere.</w:t>
      </w:r>
    </w:p>
    <w:p w:rsidR="00451D25" w:rsidRDefault="00451D25" w:rsidP="00451D25"/>
    <w:p w:rsidR="00451D25" w:rsidRDefault="00451D25" w:rsidP="00F46470"/>
    <w:p w:rsidR="00F46470" w:rsidRDefault="00753474" w:rsidP="00F46470">
      <w:r>
        <w:rPr>
          <w:noProof/>
          <w:lang w:eastAsia="en-GB"/>
        </w:rPr>
        <w:lastRenderedPageBreak/>
        <w:drawing>
          <wp:inline distT="0" distB="0" distL="0" distR="0">
            <wp:extent cx="6362700" cy="4772025"/>
            <wp:effectExtent l="19050" t="0" r="0" b="0"/>
            <wp:docPr id="7" name="Picture 2" descr="\\Client\H$\words\Carbon\C4MIP_GMD_paper\Submission\Resubmission\C4MIP_diagnostics_cartoon_vn3\Sl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H$\words\Carbon\C4MIP_GMD_paper\Submission\Resubmission\C4MIP_diagnostics_cartoon_vn3\Slide2.PNG"/>
                    <pic:cNvPicPr>
                      <a:picLocks noChangeAspect="1" noChangeArrowheads="1"/>
                    </pic:cNvPicPr>
                  </pic:nvPicPr>
                  <pic:blipFill>
                    <a:blip r:embed="rId16" cstate="print"/>
                    <a:srcRect/>
                    <a:stretch>
                      <a:fillRect/>
                    </a:stretch>
                  </pic:blipFill>
                  <pic:spPr bwMode="auto">
                    <a:xfrm>
                      <a:off x="0" y="0"/>
                      <a:ext cx="6362700" cy="4772025"/>
                    </a:xfrm>
                    <a:prstGeom prst="rect">
                      <a:avLst/>
                    </a:prstGeom>
                    <a:noFill/>
                    <a:ln w="9525">
                      <a:noFill/>
                      <a:miter lim="800000"/>
                      <a:headEnd/>
                      <a:tailEnd/>
                    </a:ln>
                  </pic:spPr>
                </pic:pic>
              </a:graphicData>
            </a:graphic>
          </wp:inline>
        </w:drawing>
      </w:r>
    </w:p>
    <w:p w:rsidR="00F46470" w:rsidRPr="00617789" w:rsidRDefault="00F46470" w:rsidP="00F46470">
      <w:pPr>
        <w:rPr>
          <w:i/>
        </w:rPr>
      </w:pPr>
      <w:r w:rsidRPr="00617789">
        <w:rPr>
          <w:i/>
        </w:rPr>
        <w:t>Figure 6: Requested tier-1 and tier-2 variables representing land carbon fluxes.</w:t>
      </w:r>
      <w:r w:rsidR="00617789" w:rsidRPr="00617789">
        <w:rPr>
          <w:i/>
        </w:rPr>
        <w:t xml:space="preserve"> The colours of the arrows</w:t>
      </w:r>
      <w:r w:rsidR="00C0656D">
        <w:rPr>
          <w:i/>
        </w:rPr>
        <w:t xml:space="preserve"> </w:t>
      </w:r>
      <w:r w:rsidR="00617789" w:rsidRPr="00617789">
        <w:rPr>
          <w:i/>
        </w:rPr>
        <w:t>correspond to the type of flux. The orange arrows represent “natural” fluxes that represent pathways of carbon exchange between the land and atmosphere. These natural fluxes would generally be expected to be non-zero in all simulations. The brown arrows represent fluxes associated with anthropogenic disturbance between land pools or between the land and the atmosphere. These fluxes would be expected to be non-zero in simulations that implement anthropogenic land use change based on land-use change scenarios. The yellow arrows represent internal fluxes within the veg-litter-soil system. Finally the blue arrow represents carbon loss from land to the ocean</w:t>
      </w:r>
      <w:r w:rsidR="003177AA">
        <w:rPr>
          <w:i/>
        </w:rPr>
        <w:t>, which may be a subset of leached carbon</w:t>
      </w:r>
      <w:r w:rsidR="00617789" w:rsidRPr="00617789">
        <w:rPr>
          <w:i/>
        </w:rPr>
        <w:t>, although not all models may simulate this flux.</w:t>
      </w:r>
    </w:p>
    <w:p w:rsidR="00F46470" w:rsidRDefault="00F46470" w:rsidP="00F46470"/>
    <w:p w:rsidR="001919F5" w:rsidRDefault="00F46470" w:rsidP="001919F5">
      <w:r>
        <w:t>Gross primary productivity, gpp, is the flux of carbon from the atmosphere to the vegetation that is associated with photosynthesis. Net primary productivity (npp) represents the carbon uptake by vegetation after the autotrophic respiration (ra) costs have been taken into account (npp = gpp - ra). Both ra and npp are sub-divided into tier-2 outputs representing flux from the leaf, stem and root, components, respectively</w:t>
      </w:r>
      <w:r w:rsidR="00755913">
        <w:t xml:space="preserve"> plus also a category </w:t>
      </w:r>
      <w:r w:rsidR="00755913">
        <w:lastRenderedPageBreak/>
        <w:t xml:space="preserve">“other” which should include all the components (if any) reported under cOther tier-2 carbon pool </w:t>
      </w:r>
      <w:r>
        <w:t>. Also, similar to land surface pools, the sum of the tier-2 fluxes must be identical to their parent tier-1 flux.</w:t>
      </w:r>
    </w:p>
    <w:p w:rsidR="001919F5" w:rsidRDefault="001919F5" w:rsidP="001919F5">
      <w:r>
        <w:rPr>
          <w:rFonts w:ascii="Cambria Math" w:eastAsia="Cambria" w:hAnsi="Cambria Math" w:cs="Cambria"/>
        </w:rPr>
        <w:br/>
      </w:r>
      <m:oMath>
        <m:r>
          <w:rPr>
            <w:rFonts w:ascii="Cambria Math" w:eastAsia="Cambria" w:hAnsi="Cambria Math" w:cs="Cambria"/>
          </w:rPr>
          <m:t>npp=nppLeaf+nppStem+nppRoot+nppOther</m:t>
        </m:r>
      </m:oMath>
      <w:r w:rsidR="00DC4A28">
        <w:rPr>
          <w:rFonts w:ascii="Cambria Math" w:eastAsia="Cambria" w:hAnsi="Cambria Math" w:cs="Cambria"/>
        </w:rPr>
        <w:tab/>
      </w:r>
      <w:r w:rsidR="00DC4A28">
        <w:rPr>
          <w:rFonts w:ascii="Cambria Math" w:eastAsia="Cambria" w:hAnsi="Cambria Math" w:cs="Cambria"/>
        </w:rPr>
        <w:tab/>
      </w:r>
      <w:r w:rsidR="00DC4A28">
        <w:rPr>
          <w:rFonts w:ascii="Cambria Math" w:eastAsia="Cambria" w:hAnsi="Cambria Math" w:cs="Cambria"/>
        </w:rPr>
        <w:tab/>
      </w:r>
      <w:r w:rsidR="00DC4A28">
        <w:rPr>
          <w:rFonts w:ascii="Cambria Math" w:eastAsia="Cambria" w:hAnsi="Cambria Math" w:cs="Cambria"/>
        </w:rPr>
        <w:tab/>
      </w:r>
      <w:r w:rsidR="00DC4A28">
        <w:rPr>
          <w:rFonts w:ascii="Cambria Math" w:eastAsia="Cambria" w:hAnsi="Cambria Math" w:cs="Cambria"/>
        </w:rPr>
        <w:tab/>
      </w:r>
      <w:r w:rsidR="00DC4A28">
        <w:rPr>
          <w:rFonts w:ascii="Cambria Math" w:eastAsia="Cambria" w:hAnsi="Cambria Math" w:cs="Cambria"/>
        </w:rPr>
        <w:tab/>
      </w:r>
      <w:r w:rsidR="00DC4A28">
        <w:rPr>
          <w:rFonts w:ascii="Cambria Math" w:eastAsia="Cambria" w:hAnsi="Cambria Math" w:cs="Cambria"/>
        </w:rPr>
        <w:tab/>
        <w:t>(</w:t>
      </w:r>
      <w:r w:rsidR="00D11B93">
        <w:fldChar w:fldCharType="begin"/>
      </w:r>
      <w:r w:rsidR="00D11B93">
        <w:instrText xml:space="preserve"> SEQ Equation \* MERG</w:instrText>
      </w:r>
      <w:r w:rsidR="00D11B93">
        <w:instrText xml:space="preserve">EFORMAT </w:instrText>
      </w:r>
      <w:r w:rsidR="00D11B93">
        <w:fldChar w:fldCharType="separate"/>
      </w:r>
      <w:r w:rsidR="000E6FD1">
        <w:rPr>
          <w:rFonts w:ascii="Cambria Math" w:eastAsia="Cambria" w:hAnsi="Cambria Math" w:cs="Cambria"/>
          <w:noProof/>
        </w:rPr>
        <w:t>3</w:t>
      </w:r>
      <w:r w:rsidR="00D11B93">
        <w:rPr>
          <w:rFonts w:ascii="Cambria Math" w:eastAsia="Cambria" w:hAnsi="Cambria Math" w:cs="Cambria"/>
          <w:noProof/>
        </w:rPr>
        <w:fldChar w:fldCharType="end"/>
      </w:r>
      <w:r w:rsidR="00DC4A28">
        <w:rPr>
          <w:rFonts w:ascii="Cambria Math" w:eastAsia="Cambria" w:hAnsi="Cambria Math" w:cs="Cambria"/>
        </w:rPr>
        <w:t>)</w:t>
      </w:r>
    </w:p>
    <w:p w:rsidR="001919F5" w:rsidRDefault="001919F5" w:rsidP="00F46470"/>
    <w:p w:rsidR="00F46470" w:rsidRDefault="00F46470" w:rsidP="00F46470">
      <w:r>
        <w:t>Heterotrophic respiratory flux (rh) and CO</w:t>
      </w:r>
      <w:r>
        <w:rPr>
          <w:vertAlign w:val="subscript"/>
        </w:rPr>
        <w:t>2</w:t>
      </w:r>
      <w:r>
        <w:t xml:space="preserve"> emissions associated with natural wildfires (fFireNat) represent carbon loss from the land carbon stores to the atmosphere. rh is requested to be sub-divided into its tier-2 components from the litter and soil pools. Similarly, fFireNat is sub-divided into fire CO</w:t>
      </w:r>
      <w:r>
        <w:rPr>
          <w:vertAlign w:val="subscript"/>
        </w:rPr>
        <w:t>2</w:t>
      </w:r>
      <w:r>
        <w:t xml:space="preserve"> emissions from vegetation and litter carbon pools. Note, that fFireNat should not include CO</w:t>
      </w:r>
      <w:r>
        <w:rPr>
          <w:vertAlign w:val="subscript"/>
        </w:rPr>
        <w:t>2</w:t>
      </w:r>
      <w:r>
        <w:t xml:space="preserve"> emissions from fires associated with anthropogenic land use change. </w:t>
      </w:r>
    </w:p>
    <w:p w:rsidR="00F46470" w:rsidRDefault="00F46470" w:rsidP="00F46470"/>
    <w:p w:rsidR="00F46470" w:rsidRDefault="00F46470" w:rsidP="00F46470">
      <w:r>
        <w:t>Anthropogenic land-use change or land management can result in transfer of carbon out of the vegetation, litter and soil carbon pools either directly to the atmosphere (fAnthDisturb) or to the product pool. fAnthDisturb is proposed to be split into fluxes due to land-cover change (fDeforestToAtmos) or management (fHarvestToAtmos), if this distinction is made in the model. Anthropogenic fires, associated with LUC, should be included in fAnthDisturb. Fluxes into the product pool should similarly be reported as either fDeforestToProduct or fHarvestToProduct. Decomposition of carbon in the product pool represents a carbon flux back to the atmosphere (fProductDecomp) .</w:t>
      </w:r>
    </w:p>
    <w:p w:rsidR="00F46470" w:rsidRDefault="00F46470" w:rsidP="00F46470"/>
    <w:p w:rsidR="00F46470" w:rsidRDefault="00F46470" w:rsidP="00F46470">
      <w:r>
        <w:t xml:space="preserve">Due to the complexity of the processes involved, especially in the treatment of land-use and management, and the growing complexity in the manner in which LUC is represented in the models, it is possible that this simple framework may not be completely compatible with all models. It is simply not possible to define in advance of CMIP6 a framework that may cover every possible flux in every model. Our request is, therefore, that all fluxes of carbon are reported somewhere, in the best possible way that they may fit within the framework shown in Figure 6, and not missed. This will ensure conservation of carbon within the reported variables. </w:t>
      </w:r>
    </w:p>
    <w:p w:rsidR="00F46470" w:rsidRDefault="00F46470" w:rsidP="00F46470"/>
    <w:p w:rsidR="00F46470" w:rsidRDefault="00F46470" w:rsidP="00F46470">
      <w:r>
        <w:t xml:space="preserve">An example of differences in model structure and processes is the manner in which litter from the vegetation pool is transferred to the soil carbon pool. Some models simulate litter fall from vegetation into the litter pool and then subsequent assimilation into the soil carbon pool. Some models may also simulate this flux directly from vegetation to soil carbon, for instance, in the case of root exudates. In either case tier-2 breakdown of the </w:t>
      </w:r>
      <w:r>
        <w:lastRenderedPageBreak/>
        <w:t>litterfall flux due to senescence (normal turnover) and mortality is requested; this breakdown is expected to help to diagnose changes in turnover time of the litter and soil carbon pools.</w:t>
      </w:r>
    </w:p>
    <w:p w:rsidR="00F46470" w:rsidRDefault="00F46470" w:rsidP="00F46470"/>
    <w:p w:rsidR="00F46470" w:rsidRDefault="00F46470" w:rsidP="00F46470">
      <w:r>
        <w:t>Figure 6 also forms the basis of carbon conservation properties that must be obeyed by the reported outputs. These include the manner in which fluxes should add up and that the rate of change of carbon in carbon pools must be equal to the sum of fluxes going in and out of the pools, or equivalently changes in pools must be equal to the sum of time integral of the fluxes into and out of the pools.</w:t>
      </w:r>
    </w:p>
    <w:p w:rsidR="00F46470" w:rsidRDefault="00F46470" w:rsidP="00F46470">
      <m:oMath>
        <m:r>
          <w:rPr>
            <w:rFonts w:ascii="Cambria Math" w:eastAsia="Cambria" w:hAnsi="Cambria Math" w:cs="Cambria"/>
          </w:rPr>
          <m:t>gpp = npp + ra</m:t>
        </m:r>
      </m:oMath>
      <w:r w:rsidR="00DC4A28">
        <w:tab/>
      </w:r>
      <w:r w:rsidR="00DC4A28">
        <w:tab/>
      </w:r>
      <w:r w:rsidR="00DC4A28">
        <w:tab/>
      </w:r>
      <w:r w:rsidR="00DC4A28">
        <w:tab/>
      </w:r>
      <w:r w:rsidR="00DC4A28">
        <w:tab/>
      </w:r>
      <w:r w:rsidR="00DC4A28">
        <w:tab/>
      </w:r>
      <w:r w:rsidR="00DC4A28">
        <w:tab/>
      </w:r>
      <w:r w:rsidR="00DC4A28">
        <w:tab/>
      </w:r>
      <w:r w:rsidR="00DC4A28">
        <w:tab/>
      </w:r>
      <w:r w:rsidR="00DC4A28">
        <w:tab/>
      </w:r>
      <w:r w:rsidR="00DC4A28">
        <w:tab/>
        <w:t>(4)</w:t>
      </w:r>
    </w:p>
    <w:p w:rsidR="00F46470" w:rsidRDefault="00D11B93" w:rsidP="00F46470">
      <m:oMath>
        <m:f>
          <m:fPr>
            <m:ctrlPr>
              <w:rPr>
                <w:rFonts w:ascii="Cambria Math" w:eastAsia="Cambria" w:hAnsi="Cambria Math" w:cs="Cambria"/>
              </w:rPr>
            </m:ctrlPr>
          </m:fPr>
          <m:num>
            <m:r>
              <w:rPr>
                <w:rFonts w:ascii="Cambria Math" w:eastAsia="Cambria" w:hAnsi="Cambria Math" w:cs="Cambria"/>
              </w:rPr>
              <m:t>d cVeg</m:t>
            </m:r>
          </m:num>
          <m:den>
            <m:r>
              <w:rPr>
                <w:rFonts w:ascii="Cambria Math" w:eastAsia="Cambria" w:hAnsi="Cambria Math" w:cs="Cambria"/>
              </w:rPr>
              <m:t>dt</m:t>
            </m:r>
          </m:den>
        </m:f>
        <m:r>
          <w:rPr>
            <w:rFonts w:ascii="Cambria Math" w:eastAsia="Cambria" w:hAnsi="Cambria Math" w:cs="Cambria"/>
          </w:rPr>
          <m:t xml:space="preserve"> = npp - fVegLitter - fVegSoil - fAnthDisturb - fDeforestToProduct - fHarvestToProduct - fVegFire</m:t>
        </m:r>
      </m:oMath>
      <w:r w:rsidR="00DC4A28">
        <w:t xml:space="preserve"> </w:t>
      </w:r>
      <w:r w:rsidR="00DC4A28">
        <w:tab/>
      </w:r>
      <w:r w:rsidR="00DC4A28">
        <w:tab/>
      </w:r>
      <w:r w:rsidR="00DC4A28">
        <w:tab/>
      </w:r>
      <w:r w:rsidR="00DC4A28">
        <w:tab/>
      </w:r>
      <w:r w:rsidR="00DC4A28">
        <w:tab/>
      </w:r>
      <w:r w:rsidR="00DC4A28">
        <w:tab/>
      </w:r>
      <w:r w:rsidR="00DC4A28">
        <w:tab/>
      </w:r>
      <w:r w:rsidR="00DC4A28">
        <w:tab/>
      </w:r>
      <w:r w:rsidR="00DC4A28">
        <w:tab/>
      </w:r>
      <w:r w:rsidR="00DC4A28">
        <w:tab/>
      </w:r>
      <w:r w:rsidR="00DC4A28">
        <w:tab/>
      </w:r>
      <w:r w:rsidR="00DC4A28">
        <w:tab/>
        <w:t>(5)</w:t>
      </w:r>
    </w:p>
    <w:p w:rsidR="00F46470" w:rsidRDefault="00D11B93" w:rsidP="00F46470">
      <m:oMath>
        <m:f>
          <m:fPr>
            <m:ctrlPr>
              <w:rPr>
                <w:rFonts w:ascii="Cambria Math" w:eastAsia="Cambria" w:hAnsi="Cambria Math" w:cs="Cambria"/>
              </w:rPr>
            </m:ctrlPr>
          </m:fPr>
          <m:num>
            <m:r>
              <w:rPr>
                <w:rFonts w:ascii="Cambria Math" w:eastAsia="Cambria" w:hAnsi="Cambria Math" w:cs="Cambria"/>
              </w:rPr>
              <m:t>d cLitter</m:t>
            </m:r>
          </m:num>
          <m:den>
            <m:r>
              <w:rPr>
                <w:rFonts w:ascii="Cambria Math" w:eastAsia="Cambria" w:hAnsi="Cambria Math" w:cs="Cambria"/>
              </w:rPr>
              <m:t>dt</m:t>
            </m:r>
          </m:den>
        </m:f>
        <m:r>
          <w:rPr>
            <w:rFonts w:ascii="Cambria Math" w:eastAsia="Cambria" w:hAnsi="Cambria Math" w:cs="Cambria"/>
          </w:rPr>
          <m:t xml:space="preserve"> = fVegLitter - fLitterSoil - fLitterFire - rhLitter</m:t>
        </m:r>
      </m:oMath>
      <w:r w:rsidR="00DC4A28">
        <w:t xml:space="preserve"> </w:t>
      </w:r>
      <w:r w:rsidR="00DC4A28">
        <w:tab/>
      </w:r>
      <w:r w:rsidR="00DC4A28">
        <w:tab/>
      </w:r>
      <w:r w:rsidR="00DC4A28">
        <w:tab/>
      </w:r>
      <w:r w:rsidR="00DC4A28">
        <w:tab/>
      </w:r>
      <w:r w:rsidR="00DC4A28">
        <w:tab/>
      </w:r>
      <w:r w:rsidR="00DC4A28">
        <w:tab/>
        <w:t>(6)</w:t>
      </w:r>
    </w:p>
    <w:p w:rsidR="00F46470" w:rsidRDefault="00D11B93" w:rsidP="00F46470">
      <m:oMath>
        <m:f>
          <m:fPr>
            <m:ctrlPr>
              <w:rPr>
                <w:rFonts w:ascii="Cambria Math" w:eastAsia="Cambria" w:hAnsi="Cambria Math" w:cs="Cambria"/>
              </w:rPr>
            </m:ctrlPr>
          </m:fPr>
          <m:num>
            <m:r>
              <w:rPr>
                <w:rFonts w:ascii="Cambria Math" w:eastAsia="Cambria" w:hAnsi="Cambria Math" w:cs="Cambria"/>
              </w:rPr>
              <m:t>d cSoil</m:t>
            </m:r>
          </m:num>
          <m:den>
            <m:r>
              <w:rPr>
                <w:rFonts w:ascii="Cambria Math" w:eastAsia="Cambria" w:hAnsi="Cambria Math" w:cs="Cambria"/>
              </w:rPr>
              <m:t>dt</m:t>
            </m:r>
          </m:den>
        </m:f>
        <m:r>
          <w:rPr>
            <w:rFonts w:ascii="Cambria Math" w:eastAsia="Cambria" w:hAnsi="Cambria Math" w:cs="Cambria"/>
          </w:rPr>
          <m:t xml:space="preserve"> = fLitterSoil + fVegSoil - rhSoil –fLandToOcean</m:t>
        </m:r>
      </m:oMath>
      <w:r w:rsidR="00DC4A28">
        <w:tab/>
      </w:r>
      <w:r w:rsidR="00DC4A28">
        <w:tab/>
      </w:r>
      <w:r w:rsidR="00DC4A28">
        <w:tab/>
      </w:r>
      <w:r w:rsidR="00DC4A28">
        <w:tab/>
      </w:r>
      <w:r w:rsidR="00DC4A28">
        <w:tab/>
      </w:r>
      <w:r w:rsidR="00DC4A28">
        <w:tab/>
        <w:t>(7)</w:t>
      </w:r>
    </w:p>
    <w:p w:rsidR="00F46470" w:rsidRDefault="00D11B93" w:rsidP="00F46470">
      <m:oMath>
        <m:f>
          <m:fPr>
            <m:ctrlPr>
              <w:rPr>
                <w:rFonts w:ascii="Cambria Math" w:eastAsia="Cambria" w:hAnsi="Cambria Math" w:cs="Cambria"/>
              </w:rPr>
            </m:ctrlPr>
          </m:fPr>
          <m:num>
            <m:r>
              <w:rPr>
                <w:rFonts w:ascii="Cambria Math" w:eastAsia="Cambria" w:hAnsi="Cambria Math" w:cs="Cambria"/>
              </w:rPr>
              <m:t>d cProduct</m:t>
            </m:r>
          </m:num>
          <m:den>
            <m:r>
              <w:rPr>
                <w:rFonts w:ascii="Cambria Math" w:eastAsia="Cambria" w:hAnsi="Cambria Math" w:cs="Cambria"/>
              </w:rPr>
              <m:t xml:space="preserve">dt </m:t>
            </m:r>
          </m:den>
        </m:f>
        <m:r>
          <w:rPr>
            <w:rFonts w:ascii="Cambria Math" w:eastAsia="Cambria" w:hAnsi="Cambria Math" w:cs="Cambria"/>
          </w:rPr>
          <m:t>= fDeforestToProduct + fHarvestToProduct – fProductDecomp</m:t>
        </m:r>
      </m:oMath>
      <w:r w:rsidR="00DC4A28">
        <w:tab/>
      </w:r>
      <w:r w:rsidR="00DC4A28">
        <w:tab/>
      </w:r>
      <w:r w:rsidR="00DC4A28">
        <w:tab/>
      </w:r>
      <w:r w:rsidR="00DC4A28">
        <w:tab/>
        <w:t>(8)</w:t>
      </w:r>
    </w:p>
    <w:p w:rsidR="00F46470" w:rsidRDefault="00F46470" w:rsidP="00F46470"/>
    <w:p w:rsidR="00F46470" w:rsidRDefault="00F46470" w:rsidP="00F46470">
      <w:pPr>
        <w:pStyle w:val="Heading3"/>
      </w:pPr>
      <w:r>
        <w:t>4.1.2 Land nitrogen cycle variables</w:t>
      </w:r>
    </w:p>
    <w:p w:rsidR="00F46470" w:rsidRDefault="00F46470" w:rsidP="00F46470">
      <w:r>
        <w:t>Figures 4 and 5 summarize the requested terrestrial nitrogen pools and flux variables from models that include a representation of terrestrial nitrogen cycle and its coupling to the terrestrial carbon cycle.  The nitrogen pools are designed to parallel their corresponding carbon stores as closely as possible, giving primarily the storage of nitrogen in the vegetation (nVeg), litter (nLitter) and soil organic matter (nSoilOrganic) pools. Additionally, we are requesting mineral nitrogen in soil (nMineral), which is sub-divided into tier-2 variables representing ammonium (nMineralNH4) and nitrate (nMineralNO3) mineral nitrogen. We don’t envisage much interest in the nProduct variable (nitrogen stored in anthropogenic product pools), but it is required as a tier-1 output in order to close the nitrogen budget</w:t>
      </w:r>
      <w:r w:rsidR="00ED54A2">
        <w:t xml:space="preserve"> and ensure mass conservation of analyses</w:t>
      </w:r>
      <w:r>
        <w:t>. There will also be likely no interest in separating nLitter into its tier-2 components nLitterCwd, nLitterAboveSurf and nLitterBelowSurf but these variables are being requested for consistency with their carbon counterparts.</w:t>
      </w:r>
    </w:p>
    <w:p w:rsidR="00F46470" w:rsidRDefault="00F46470" w:rsidP="00F46470"/>
    <w:p w:rsidR="00F46470" w:rsidRDefault="00753474" w:rsidP="00F46470">
      <w:r>
        <w:rPr>
          <w:noProof/>
          <w:lang w:eastAsia="en-GB"/>
        </w:rPr>
        <w:lastRenderedPageBreak/>
        <w:drawing>
          <wp:inline distT="0" distB="0" distL="0" distR="0">
            <wp:extent cx="5200650" cy="3900488"/>
            <wp:effectExtent l="19050" t="0" r="0" b="0"/>
            <wp:docPr id="8" name="Picture 3" descr="\\Client\H$\words\Carbon\C4MIP_GMD_paper\Submission\Resubmission\C4MIP_diagnostics_cartoon_vn3\Slid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ent\H$\words\Carbon\C4MIP_GMD_paper\Submission\Resubmission\C4MIP_diagnostics_cartoon_vn3\Slide4.PNG"/>
                    <pic:cNvPicPr>
                      <a:picLocks noChangeAspect="1" noChangeArrowheads="1"/>
                    </pic:cNvPicPr>
                  </pic:nvPicPr>
                  <pic:blipFill>
                    <a:blip r:embed="rId17" cstate="print"/>
                    <a:srcRect/>
                    <a:stretch>
                      <a:fillRect/>
                    </a:stretch>
                  </pic:blipFill>
                  <pic:spPr bwMode="auto">
                    <a:xfrm>
                      <a:off x="0" y="0"/>
                      <a:ext cx="5200650" cy="3900488"/>
                    </a:xfrm>
                    <a:prstGeom prst="rect">
                      <a:avLst/>
                    </a:prstGeom>
                    <a:noFill/>
                    <a:ln w="9525">
                      <a:noFill/>
                      <a:miter lim="800000"/>
                      <a:headEnd/>
                      <a:tailEnd/>
                    </a:ln>
                  </pic:spPr>
                </pic:pic>
              </a:graphicData>
            </a:graphic>
          </wp:inline>
        </w:drawing>
      </w:r>
    </w:p>
    <w:p w:rsidR="00F46470" w:rsidRDefault="00F46470" w:rsidP="00F46470">
      <w:r>
        <w:rPr>
          <w:i/>
        </w:rPr>
        <w:t>Figure 7: Requested tier-1 and tier-2 variables representing land nitrogen pools.</w:t>
      </w:r>
    </w:p>
    <w:p w:rsidR="00F46470" w:rsidRDefault="00F46470" w:rsidP="00F46470"/>
    <w:p w:rsidR="00F46470" w:rsidRDefault="00F46470" w:rsidP="00F46470">
      <w:r>
        <w:t>Requested fluxes associated with the flow of nitrogen over land are summarized in Figure 8 and differ more from their carbon counterparts than do the carbon and nitrogen pools. As with the pools, all fluxes should be reported somewhere in order to be able to close nitrogen cycle budget over land</w:t>
      </w:r>
      <w:r w:rsidR="00ED54A2">
        <w:t xml:space="preserve"> and ensure mass conservation of analyses</w:t>
      </w:r>
      <w:r>
        <w:t>. As with carbon fluxes, the sign convention of the flux is considered positive in the direction in which the arrows are pointing</w:t>
      </w:r>
    </w:p>
    <w:p w:rsidR="00F46470" w:rsidRDefault="00F46470" w:rsidP="00F46470"/>
    <w:p w:rsidR="00F46470" w:rsidRDefault="00F46470" w:rsidP="00F46470">
      <w:r>
        <w:t xml:space="preserve">Nitrogen enters the terrestrial ecosystems either through </w:t>
      </w:r>
      <w:r w:rsidR="00F506CA">
        <w:t xml:space="preserve">anthropogenic inputs (which can be either </w:t>
      </w:r>
      <w:r>
        <w:t>atmospheric deposition</w:t>
      </w:r>
      <w:r w:rsidR="00F506CA">
        <w:t xml:space="preserve">, </w:t>
      </w:r>
      <w:r>
        <w:t>fNdep</w:t>
      </w:r>
      <w:r w:rsidR="00F506CA">
        <w:t>, or fertiliser input fNfert</w:t>
      </w:r>
      <w:r>
        <w:t xml:space="preserve">) or through biological fixation (fBNF). Flows between vegetation, litter and soil organic N pools mirror the carbon fluxes, but with additional terms that represent inorganic mineral nitrogen uptake by vegetation (fNup) and the net mineralisation flux, i.e. the difference between gross mineralisation and immobilisation, from the dead litter and soil organic matter pools to the mineral nitrogen pool (fNnetmin). fNnetmin should be reported as positive </w:t>
      </w:r>
      <w:r>
        <w:rPr>
          <w:i/>
        </w:rPr>
        <w:t xml:space="preserve">into </w:t>
      </w:r>
      <w:r>
        <w:t>the nMineral pool. Negative values of fNnetmin then imply net immobilization.</w:t>
      </w:r>
    </w:p>
    <w:p w:rsidR="00F46470" w:rsidRDefault="00F46470" w:rsidP="00F46470"/>
    <w:p w:rsidR="00F46470" w:rsidRDefault="00F46470" w:rsidP="00F46470"/>
    <w:p w:rsidR="00F46470" w:rsidRDefault="00F46470" w:rsidP="00F46470">
      <w:r>
        <w:t xml:space="preserve">The tier-1 variables that represent the loss of nitrogen from the primary terrestrial pools of vegetation, litter and soil organic </w:t>
      </w:r>
      <w:r w:rsidR="00C0656D">
        <w:t>matter</w:t>
      </w:r>
      <w:r>
        <w:t xml:space="preserve"> include flux</w:t>
      </w:r>
      <w:r w:rsidR="00F506CA">
        <w:t xml:space="preserve">es due to </w:t>
      </w:r>
      <w:r>
        <w:t xml:space="preserve">anthropogenic </w:t>
      </w:r>
      <w:r w:rsidR="00F506CA">
        <w:t xml:space="preserve">disturbance: either into the </w:t>
      </w:r>
      <w:r>
        <w:t xml:space="preserve">LUC product pool (fNproduct) </w:t>
      </w:r>
      <w:r w:rsidR="00F506CA">
        <w:t xml:space="preserve">or loss direct to the atmosphere fNAnthDisturb </w:t>
      </w:r>
      <w:r>
        <w:t xml:space="preserve">and loss from the mineral nitrogen pool (fNloss). </w:t>
      </w:r>
      <w:r w:rsidR="00636689">
        <w:t xml:space="preserve">In order to conserve nitrogen, all losses of N must be reported into one of these variables. </w:t>
      </w:r>
      <w:r>
        <w:t xml:space="preserve">fNloss may be further sub-divided (if represented in the model) into tier-2 outputs of gaseous loss to the atmosphere (fNgas) and loss of dissolved organic and inorganic nitrogen through leaching (fNleach) i.e. fNloss = fNgas + fNleach. </w:t>
      </w:r>
      <w:r w:rsidR="00F506CA">
        <w:t xml:space="preserve">If represented in the model, fNgas can be split into that due to fire and non-fire. </w:t>
      </w:r>
      <w:r>
        <w:t>A further breakdown of tier-2 fluxes is also requested, if available, but these do not necessarily have to add up to the tier-1 flux value</w:t>
      </w:r>
      <w:r w:rsidR="00F506CA">
        <w:t xml:space="preserve">: </w:t>
      </w:r>
      <w:r>
        <w:t>fNOX and fN2O are components (but do not necessarily have to add up to fNgas) and may be of interest for evaluation activities or coupling to atmospheric chemistry models. fNLandToOcean may be a subset of fNleach and is of interest for studying the impact of terrestrial nitrogen cycle on coastal ocean ecosystems.</w:t>
      </w:r>
    </w:p>
    <w:p w:rsidR="00F46470" w:rsidRDefault="00F46470" w:rsidP="00F46470"/>
    <w:p w:rsidR="00F46470" w:rsidRDefault="00753474" w:rsidP="00F46470">
      <w:r>
        <w:rPr>
          <w:noProof/>
          <w:lang w:eastAsia="en-GB"/>
        </w:rPr>
        <w:drawing>
          <wp:inline distT="0" distB="0" distL="0" distR="0">
            <wp:extent cx="6048375" cy="4536281"/>
            <wp:effectExtent l="19050" t="0" r="9525" b="0"/>
            <wp:docPr id="13" name="Picture 1" descr="\\Client\H$\words\Carbon\C4MIP_GMD_paper\Submission\Resubmission\C4MIP_diagnostics_cartoon_vn3\Slid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H$\words\Carbon\C4MIP_GMD_paper\Submission\Resubmission\C4MIP_diagnostics_cartoon_vn3\Slide5.PNG"/>
                    <pic:cNvPicPr>
                      <a:picLocks noChangeAspect="1" noChangeArrowheads="1"/>
                    </pic:cNvPicPr>
                  </pic:nvPicPr>
                  <pic:blipFill>
                    <a:blip r:embed="rId18" cstate="print"/>
                    <a:srcRect/>
                    <a:stretch>
                      <a:fillRect/>
                    </a:stretch>
                  </pic:blipFill>
                  <pic:spPr bwMode="auto">
                    <a:xfrm>
                      <a:off x="0" y="0"/>
                      <a:ext cx="6048375" cy="4536281"/>
                    </a:xfrm>
                    <a:prstGeom prst="rect">
                      <a:avLst/>
                    </a:prstGeom>
                    <a:noFill/>
                    <a:ln w="9525">
                      <a:noFill/>
                      <a:miter lim="800000"/>
                      <a:headEnd/>
                      <a:tailEnd/>
                    </a:ln>
                  </pic:spPr>
                </pic:pic>
              </a:graphicData>
            </a:graphic>
          </wp:inline>
        </w:drawing>
      </w:r>
    </w:p>
    <w:p w:rsidR="00F46470" w:rsidRDefault="00F46470" w:rsidP="00F46470">
      <w:r>
        <w:rPr>
          <w:i/>
        </w:rPr>
        <w:t>Figure 8: Requested tier-1 and tier-2 variables representing land nitrogen fluxes.</w:t>
      </w:r>
    </w:p>
    <w:p w:rsidR="00F46470" w:rsidRDefault="00F46470" w:rsidP="00F46470"/>
    <w:p w:rsidR="00F46470" w:rsidRDefault="00F46470" w:rsidP="00F46470">
      <w:pPr>
        <w:pStyle w:val="Heading3"/>
      </w:pPr>
      <w:r>
        <w:t>4.1.3 Land physical variables</w:t>
      </w:r>
    </w:p>
    <w:p w:rsidR="00F46470" w:rsidRDefault="00F46470" w:rsidP="00F46470">
      <w:r>
        <w:t>While most variables representing the land surface physical state and water fluxes will likely be requested by the land surface, snow and soil moisture model intercomparison project (LS3MIP</w:t>
      </w:r>
      <w:r w:rsidR="00D34978">
        <w:t>, van den Hurk et al., 2016</w:t>
      </w:r>
      <w:r>
        <w:t>) and land use model intercomparison project (LUMIP</w:t>
      </w:r>
      <w:r w:rsidR="00D34978">
        <w:t>, Lawrence et al., 2016</w:t>
      </w:r>
      <w:r>
        <w:t xml:space="preserve">), C4MIP is requesting some basic land surface physical variables as well.  These include soil moisture and temperature, vegetation leaf area index (LAI) and height, and basic water fluxes. </w:t>
      </w:r>
    </w:p>
    <w:p w:rsidR="00F46470" w:rsidRDefault="00F46470" w:rsidP="00F46470"/>
    <w:p w:rsidR="00F46470" w:rsidRDefault="00F46470" w:rsidP="00F46470">
      <w:r>
        <w:rPr>
          <w:b/>
          <w:i/>
        </w:rPr>
        <w:t>Physical state variables</w:t>
      </w:r>
    </w:p>
    <w:p w:rsidR="00F46470" w:rsidRDefault="00F46470" w:rsidP="00F46470">
      <w:r>
        <w:t xml:space="preserve">Figure 9 shows the state variables requested that characterize the physical vegetation structure (through leaf area index and vegetation height) and the physical state of the soil (through the soil moisture and temperature of a model’s soil layers). </w:t>
      </w:r>
    </w:p>
    <w:p w:rsidR="00F46470" w:rsidRDefault="00F46470" w:rsidP="00F46470"/>
    <w:p w:rsidR="00F46470" w:rsidRDefault="00F46470" w:rsidP="00F46470">
      <w:r>
        <w:t>The only tier-1 state variable requested for vegetation structure is leaf area index (</w:t>
      </w:r>
      <w:r w:rsidR="00C77452">
        <w:t>LAI</w:t>
      </w:r>
      <w:r>
        <w:t>), which represents the area of leaves per unit area of ground. Vegetation height may also be considered an important evaluation metric but this is requested as tier-2 variable. It is likely more useful to distinguish vegetation height by vegetation type, i.e. by tree, shrub, grass and crop. If this distinction is not made or unavailable in a model then only the grid-averaged vegetation height may be reported.</w:t>
      </w:r>
    </w:p>
    <w:p w:rsidR="00F46470" w:rsidRDefault="00F46470" w:rsidP="00F46470"/>
    <w:p w:rsidR="00F46470" w:rsidRDefault="00753474" w:rsidP="00F46470">
      <w:r>
        <w:rPr>
          <w:noProof/>
          <w:lang w:eastAsia="en-GB"/>
        </w:rPr>
        <w:lastRenderedPageBreak/>
        <w:drawing>
          <wp:inline distT="0" distB="0" distL="0" distR="0">
            <wp:extent cx="5397500" cy="4048125"/>
            <wp:effectExtent l="19050" t="0" r="0" b="0"/>
            <wp:docPr id="14" name="Picture 4" descr="\\Client\H$\words\Carbon\C4MIP_GMD_paper\Submission\Resubmission\C4MIP_diagnostics_cartoon_vn3\Slid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ent\H$\words\Carbon\C4MIP_GMD_paper\Submission\Resubmission\C4MIP_diagnostics_cartoon_vn3\Slide6.PNG"/>
                    <pic:cNvPicPr>
                      <a:picLocks noChangeAspect="1" noChangeArrowheads="1"/>
                    </pic:cNvPicPr>
                  </pic:nvPicPr>
                  <pic:blipFill>
                    <a:blip r:embed="rId19" cstate="print"/>
                    <a:srcRect/>
                    <a:stretch>
                      <a:fillRect/>
                    </a:stretch>
                  </pic:blipFill>
                  <pic:spPr bwMode="auto">
                    <a:xfrm>
                      <a:off x="0" y="0"/>
                      <a:ext cx="5397500" cy="4048125"/>
                    </a:xfrm>
                    <a:prstGeom prst="rect">
                      <a:avLst/>
                    </a:prstGeom>
                    <a:noFill/>
                    <a:ln w="9525">
                      <a:noFill/>
                      <a:miter lim="800000"/>
                      <a:headEnd/>
                      <a:tailEnd/>
                    </a:ln>
                  </pic:spPr>
                </pic:pic>
              </a:graphicData>
            </a:graphic>
          </wp:inline>
        </w:drawing>
      </w:r>
    </w:p>
    <w:p w:rsidR="00F46470" w:rsidRDefault="00F46470" w:rsidP="00F46470">
      <w:r>
        <w:rPr>
          <w:i/>
        </w:rPr>
        <w:t>Figure 9: Requested state variables that characterize the physical vegetation structure and the physical state of the soil.</w:t>
      </w:r>
    </w:p>
    <w:p w:rsidR="00F46470" w:rsidRDefault="00F46470" w:rsidP="00F46470"/>
    <w:p w:rsidR="00F46470" w:rsidRDefault="00F46470" w:rsidP="00F46470">
      <w:r>
        <w:t>Soil moisture and temperature are requested as tier-1 variables to be able to analyze carbon and moisture fluxes together and to identify the role of the physical state of the soil conditions on carbon stores and fluxes. The total, liquid and frozen soil moisture contents are aggregated and disaggregated in various ways as shown in Figure 9 and described below:</w:t>
      </w:r>
    </w:p>
    <w:p w:rsidR="00F46470" w:rsidRDefault="00F46470" w:rsidP="00F46470">
      <w:pPr>
        <w:pStyle w:val="ListParagraph"/>
        <w:numPr>
          <w:ilvl w:val="0"/>
          <w:numId w:val="14"/>
        </w:numPr>
      </w:pPr>
      <w:r>
        <w:t>soil temperature, tsl, is requested for each model level</w:t>
      </w:r>
    </w:p>
    <w:p w:rsidR="00F46470" w:rsidRDefault="00F46470" w:rsidP="00F46470">
      <w:pPr>
        <w:pStyle w:val="ListParagraph"/>
        <w:numPr>
          <w:ilvl w:val="0"/>
          <w:numId w:val="14"/>
        </w:numPr>
      </w:pPr>
      <w:r>
        <w:t>soil moisture is requested as:</w:t>
      </w:r>
    </w:p>
    <w:p w:rsidR="00F46470" w:rsidRDefault="00F46470" w:rsidP="00F46470">
      <w:pPr>
        <w:pStyle w:val="ListParagraph"/>
        <w:numPr>
          <w:ilvl w:val="0"/>
          <w:numId w:val="14"/>
        </w:numPr>
      </w:pPr>
      <w:r>
        <w:t>total soil moisture content (sum of frozen and liquid) in the top 10cm, mrsos,</w:t>
      </w:r>
    </w:p>
    <w:p w:rsidR="00F46470" w:rsidRDefault="00F46470" w:rsidP="00F46470">
      <w:pPr>
        <w:pStyle w:val="ListParagraph"/>
        <w:numPr>
          <w:ilvl w:val="0"/>
          <w:numId w:val="14"/>
        </w:numPr>
      </w:pPr>
      <w:r>
        <w:t>total (mrsol), liquid (mrsll) and frozen (mrsfl) soil moisture content at each model level, and</w:t>
      </w:r>
    </w:p>
    <w:p w:rsidR="00F46470" w:rsidRDefault="00F46470" w:rsidP="00F46470">
      <w:pPr>
        <w:pStyle w:val="ListParagraph"/>
        <w:numPr>
          <w:ilvl w:val="0"/>
          <w:numId w:val="14"/>
        </w:numPr>
      </w:pPr>
      <w:r>
        <w:t>column integrated total (mrso), liquid (mrlso) and frozen (mrfso) soil moisture contents</w:t>
      </w:r>
    </w:p>
    <w:p w:rsidR="00F46470" w:rsidRDefault="00C77452" w:rsidP="00F46470">
      <w:pPr>
        <w:pStyle w:val="ListParagraph"/>
        <w:numPr>
          <w:ilvl w:val="0"/>
          <w:numId w:val="14"/>
        </w:numPr>
      </w:pPr>
      <w:r>
        <w:t>Additionally</w:t>
      </w:r>
      <w:r w:rsidR="00F46470">
        <w:t>, a total water diagnostic, mrtws, is requested as tier-2 variable. This includes all soil moisture as reported above (mrso) but additionally includes water from other stores such as sub-grid lakes</w:t>
      </w:r>
      <w:r w:rsidR="002A592D">
        <w:t>, aquifers,</w:t>
      </w:r>
      <w:r w:rsidR="00F46470">
        <w:t xml:space="preserve"> or rivers if they are represented in the model.</w:t>
      </w:r>
    </w:p>
    <w:p w:rsidR="00F46470" w:rsidRDefault="00F46470" w:rsidP="00F46470">
      <w:pPr>
        <w:pStyle w:val="Normal1"/>
        <w:rPr>
          <w:b/>
          <w:i/>
        </w:rPr>
      </w:pPr>
    </w:p>
    <w:p w:rsidR="00F46470" w:rsidRPr="00F46470" w:rsidRDefault="00F46470" w:rsidP="00F46470">
      <w:pPr>
        <w:rPr>
          <w:b/>
          <w:i/>
        </w:rPr>
      </w:pPr>
      <w:r w:rsidRPr="00F46470">
        <w:rPr>
          <w:b/>
          <w:i/>
        </w:rPr>
        <w:t xml:space="preserve">Physical water fluxes </w:t>
      </w:r>
    </w:p>
    <w:p w:rsidR="00F46470" w:rsidRDefault="00F46470" w:rsidP="00F46470">
      <w:r>
        <w:t xml:space="preserve">Figure </w:t>
      </w:r>
      <w:r w:rsidR="002F16AE">
        <w:t>9</w:t>
      </w:r>
      <w:r>
        <w:t xml:space="preserve"> summarizes the small number of land surface hydrological fluxes being requested. As with the carbon and nitrogen fluxes the sign convention is shown by the direction of the arrows.</w:t>
      </w:r>
    </w:p>
    <w:p w:rsidR="00F46470" w:rsidRDefault="00F46470" w:rsidP="00F46470">
      <w:pPr>
        <w:pStyle w:val="ListParagraph"/>
        <w:numPr>
          <w:ilvl w:val="0"/>
          <w:numId w:val="15"/>
        </w:numPr>
      </w:pPr>
      <w:r>
        <w:t>prveg represents precipitation intercepted by the canopy, and evspsblveg represents evaporation from the canopy leaves (including sublimation)</w:t>
      </w:r>
    </w:p>
    <w:p w:rsidR="00F46470" w:rsidRDefault="00F46470" w:rsidP="00F46470">
      <w:pPr>
        <w:pStyle w:val="ListParagraph"/>
        <w:numPr>
          <w:ilvl w:val="0"/>
          <w:numId w:val="15"/>
        </w:numPr>
      </w:pPr>
      <w:r>
        <w:t>evspsblsoi represent evaporation from bare soil, and includes sublimation</w:t>
      </w:r>
    </w:p>
    <w:p w:rsidR="00F46470" w:rsidRDefault="00F46470" w:rsidP="00F46470">
      <w:pPr>
        <w:pStyle w:val="ListParagraph"/>
        <w:numPr>
          <w:ilvl w:val="0"/>
          <w:numId w:val="15"/>
        </w:numPr>
      </w:pPr>
      <w:r>
        <w:t>tran represents transpiration flux of moisture through the vegetation and out of the leaf stomata</w:t>
      </w:r>
    </w:p>
    <w:p w:rsidR="00F46470" w:rsidRDefault="00C77452" w:rsidP="00F46470">
      <w:pPr>
        <w:pStyle w:val="ListParagraph"/>
        <w:numPr>
          <w:ilvl w:val="0"/>
          <w:numId w:val="15"/>
        </w:numPr>
      </w:pPr>
      <w:r>
        <w:t>Models</w:t>
      </w:r>
      <w:r w:rsidR="00F46470">
        <w:t xml:space="preserve"> may represent runoff in multiple ways. The runoff variables requested here are distinct from river/stream flow variables which other MIPs may request. Runoff is represented in depth units (kg m</w:t>
      </w:r>
      <w:r w:rsidR="00F46470" w:rsidRPr="00F46470">
        <w:rPr>
          <w:vertAlign w:val="superscript"/>
        </w:rPr>
        <w:t>-2</w:t>
      </w:r>
      <w:r w:rsidR="00F46470">
        <w:t xml:space="preserve"> s</w:t>
      </w:r>
      <w:r w:rsidR="00F46470" w:rsidRPr="00F46470">
        <w:rPr>
          <w:vertAlign w:val="superscript"/>
        </w:rPr>
        <w:t>-1</w:t>
      </w:r>
      <w:r w:rsidR="00F46470">
        <w:t>), while river/stream flow represents volume of water per unit time generated by integrating runoff from upstream grid cells (m</w:t>
      </w:r>
      <w:r w:rsidR="00F46470" w:rsidRPr="00F46470">
        <w:rPr>
          <w:vertAlign w:val="superscript"/>
        </w:rPr>
        <w:t>3</w:t>
      </w:r>
      <w:r w:rsidR="00F46470">
        <w:t xml:space="preserve"> s</w:t>
      </w:r>
      <w:r w:rsidR="00F46470" w:rsidRPr="00F46470">
        <w:rPr>
          <w:vertAlign w:val="superscript"/>
        </w:rPr>
        <w:t>-1</w:t>
      </w:r>
      <w:r w:rsidR="00F46470">
        <w:t>). mrros represents the surface runoff from each grid cell, and mrro represents the total runoff (including from the surface, the subsurface and any drainage through the base of the soil model)</w:t>
      </w:r>
    </w:p>
    <w:p w:rsidR="0025305D" w:rsidRDefault="0025305D" w:rsidP="0025305D"/>
    <w:p w:rsidR="0025305D" w:rsidRDefault="0025305D" w:rsidP="0025305D">
      <w:r>
        <w:rPr>
          <w:noProof/>
          <w:lang w:eastAsia="en-GB"/>
        </w:rPr>
        <w:drawing>
          <wp:inline distT="114300" distB="114300" distL="114300" distR="114300">
            <wp:extent cx="3499851" cy="3386138"/>
            <wp:effectExtent l="0" t="0" r="0" b="0"/>
            <wp:docPr id="1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0" cstate="print"/>
                    <a:srcRect/>
                    <a:stretch>
                      <a:fillRect/>
                    </a:stretch>
                  </pic:blipFill>
                  <pic:spPr>
                    <a:xfrm>
                      <a:off x="0" y="0"/>
                      <a:ext cx="3499851" cy="3386138"/>
                    </a:xfrm>
                    <a:prstGeom prst="rect">
                      <a:avLst/>
                    </a:prstGeom>
                    <a:ln/>
                  </pic:spPr>
                </pic:pic>
              </a:graphicData>
            </a:graphic>
          </wp:inline>
        </w:drawing>
      </w:r>
    </w:p>
    <w:p w:rsidR="0025305D" w:rsidRDefault="0025305D" w:rsidP="0025305D">
      <w:r>
        <w:rPr>
          <w:i/>
        </w:rPr>
        <w:t>Figure 10: Requested land surface hydrological flux variables.</w:t>
      </w:r>
    </w:p>
    <w:p w:rsidR="0025305D" w:rsidRDefault="0025305D" w:rsidP="0025305D"/>
    <w:p w:rsidR="0025305D" w:rsidRDefault="0025305D" w:rsidP="0025305D">
      <w:pPr>
        <w:pStyle w:val="Heading3"/>
      </w:pPr>
      <w:r>
        <w:lastRenderedPageBreak/>
        <w:t>4.1.4 Land cover state variables</w:t>
      </w:r>
    </w:p>
    <w:p w:rsidR="0025305D" w:rsidRDefault="0025305D" w:rsidP="0025305D">
      <w:r>
        <w:t xml:space="preserve">Figure 11 summarizes the land cover variables requested from all models. As with other requested variables, these are categorised as simpler tier-1 variables which allow us to capture the primary land cover types, while the tier-2 variables further break down the tier-1 variables into more detail. Tier-1 land cover variables are required from all models so that the land-cover is completely described. Where possible modelling groups are requested to provide the additional details through tier-2 variables. It is important that the combined totals of tier-2 variables agree with their tier-1 counterparts. </w:t>
      </w:r>
    </w:p>
    <w:p w:rsidR="0025305D" w:rsidRDefault="0025305D" w:rsidP="0025305D"/>
    <w:p w:rsidR="0025305D" w:rsidRDefault="0025305D" w:rsidP="0025305D">
      <w:r>
        <w:t>A grid cell is described in terms of vegetation fractional coverage (vegFrac), fractional coverage of bare soil  (baresoilFrac) and a residual term (residualFrac) that may include fractional coverage of urban areas, sub-grid scale lakes and stony outcrops. For grid cells at the continental edges, a fraction of the grid cell may also be covered by open ocean/sea. The vegFrac is further subdivided into fraction</w:t>
      </w:r>
      <w:r w:rsidR="00C0656D">
        <w:t>al</w:t>
      </w:r>
      <w:r>
        <w:t xml:space="preserve"> coverage by trees (treeFrac), shrubs (shrubFrac), grasses (grassFrac) crops (cropFrac)</w:t>
      </w:r>
      <w:r w:rsidR="00C0656D">
        <w:t xml:space="preserve"> and pasture (pastureFrac)</w:t>
      </w:r>
      <w:r>
        <w:t>.</w:t>
      </w:r>
    </w:p>
    <w:p w:rsidR="0025305D" w:rsidRDefault="0025305D" w:rsidP="0025305D"/>
    <w:p w:rsidR="0025305D" w:rsidRDefault="0025305D" w:rsidP="0025305D">
      <w:r>
        <w:t>The tier-2 land cover variables follow the separation of trees based on their leaf structure (broadleaf and needleleaf) and leaf phenology (evergreen and deciduous) as treeFracNdlEvg, treeFracNdlDcd, treeFracBdlEvg, treeFracBdlDcd. The fractional coverage of grasses and crops is separated into C</w:t>
      </w:r>
      <w:r>
        <w:rPr>
          <w:vertAlign w:val="subscript"/>
        </w:rPr>
        <w:t>3</w:t>
      </w:r>
      <w:r>
        <w:t xml:space="preserve"> and C</w:t>
      </w:r>
      <w:r>
        <w:rPr>
          <w:vertAlign w:val="subscript"/>
        </w:rPr>
        <w:t>4</w:t>
      </w:r>
      <w:r>
        <w:t xml:space="preserve"> variants based on their photosynthetic pathway.</w:t>
      </w:r>
    </w:p>
    <w:p w:rsidR="0025305D" w:rsidRDefault="0025305D" w:rsidP="0025305D"/>
    <w:p w:rsidR="0025305D" w:rsidRDefault="00753474" w:rsidP="0025305D">
      <w:r>
        <w:rPr>
          <w:noProof/>
          <w:lang w:eastAsia="en-GB"/>
        </w:rPr>
        <w:lastRenderedPageBreak/>
        <w:drawing>
          <wp:inline distT="0" distB="0" distL="0" distR="0">
            <wp:extent cx="5648325" cy="4236244"/>
            <wp:effectExtent l="19050" t="0" r="9525" b="0"/>
            <wp:docPr id="21" name="Picture 4" descr="\\Client\H$\words\Carbon\C4MIP_GMD_paper\Submission\Resubmission\C4MIP_diagnostics_cartoon_vn3\Sli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ent\H$\words\Carbon\C4MIP_GMD_paper\Submission\Resubmission\C4MIP_diagnostics_cartoon_vn3\Slide7.PNG"/>
                    <pic:cNvPicPr>
                      <a:picLocks noChangeAspect="1" noChangeArrowheads="1"/>
                    </pic:cNvPicPr>
                  </pic:nvPicPr>
                  <pic:blipFill>
                    <a:blip r:embed="rId21" cstate="print"/>
                    <a:srcRect/>
                    <a:stretch>
                      <a:fillRect/>
                    </a:stretch>
                  </pic:blipFill>
                  <pic:spPr bwMode="auto">
                    <a:xfrm>
                      <a:off x="0" y="0"/>
                      <a:ext cx="5648325" cy="4236244"/>
                    </a:xfrm>
                    <a:prstGeom prst="rect">
                      <a:avLst/>
                    </a:prstGeom>
                    <a:noFill/>
                    <a:ln w="9525">
                      <a:noFill/>
                      <a:miter lim="800000"/>
                      <a:headEnd/>
                      <a:tailEnd/>
                    </a:ln>
                  </pic:spPr>
                </pic:pic>
              </a:graphicData>
            </a:graphic>
          </wp:inline>
        </w:drawing>
      </w:r>
    </w:p>
    <w:p w:rsidR="0025305D" w:rsidRDefault="0025305D" w:rsidP="0025305D">
      <w:r>
        <w:rPr>
          <w:i/>
        </w:rPr>
        <w:t>Figure 11: Requested land cover variables.</w:t>
      </w:r>
      <w:r w:rsidR="00755913" w:rsidRPr="00755913">
        <w:t xml:space="preserve"> </w:t>
      </w:r>
      <w:r w:rsidR="00755913" w:rsidRPr="00755913">
        <w:rPr>
          <w:i/>
        </w:rPr>
        <w:t>Sea fraction is assume to be fixed, so must be reported under "climatology". Fractions must sum to 1 for every grid cell  (including the sea fraction). Fractions are per grid cell, not per land area.</w:t>
      </w:r>
    </w:p>
    <w:p w:rsidR="0025305D" w:rsidRDefault="0025305D" w:rsidP="0025305D"/>
    <w:p w:rsidR="0025305D" w:rsidRDefault="0025305D" w:rsidP="0025305D">
      <w:pPr>
        <w:pStyle w:val="Heading3"/>
      </w:pPr>
      <w:bookmarkStart w:id="4" w:name="h.qjdf8mpqmvky" w:colFirst="0" w:colLast="0"/>
      <w:bookmarkEnd w:id="4"/>
      <w:r>
        <w:t>4.1.5 Auxiliary land cover fractions and fluxes</w:t>
      </w:r>
    </w:p>
    <w:p w:rsidR="0025305D" w:rsidRDefault="0025305D" w:rsidP="0025305D">
      <w:r>
        <w:t xml:space="preserve">Figure 12 shows auxiliary land cover diagnostics and fluxes that may be reported. The additional land cover types are fractions of a grid cell related to a biogeochemical process that models may specifically simulate. These include burned area (burntFractionAll) and wetland fraction (wetlandFrac). burntFractionAll is expected to include burned area from all natural and anthropogenic processes (anthropogenic fires, and land use change and management related fires). wetlandFrac is expected to include natural wetlands (dynamically calculated in the model or specified) including any area of rice paddies if it is explicitly represented. Both the burnt and wetland fractions must be reported as the fraction of the grid cell and not as fraction of the land or vegetation area. Where models also estimate natural methane wetland emissions from the wetland fraction these can also be reported (wetlandCH4prod) and must include emissions from rice paddies (if represented) to make methane </w:t>
      </w:r>
      <w:r>
        <w:lastRenderedPageBreak/>
        <w:t xml:space="preserve">emissions consistent with the reported wetland fraction. If models simulate methane uptake by soils then this may be reported as wetlandCH4cons. The net land-to-atmosphere methane flux is to be reported as wetlandCH4. Models that simulate methane emissions from wetlands and/or rice paddies may explicitly simulate the depth to the water table and this may also be reported as waterDpth. Positive values of waterDpth indicate water table is below the ground surface and negative values indicate that the water table is above the ground surface. </w:t>
      </w:r>
    </w:p>
    <w:p w:rsidR="0025305D" w:rsidRDefault="0025305D" w:rsidP="0025305D"/>
    <w:p w:rsidR="0025305D" w:rsidRDefault="0025305D" w:rsidP="0025305D">
      <w:r>
        <w:rPr>
          <w:noProof/>
          <w:lang w:eastAsia="en-GB"/>
        </w:rPr>
        <w:drawing>
          <wp:inline distT="114300" distB="114300" distL="114300" distR="114300">
            <wp:extent cx="4651209" cy="2579370"/>
            <wp:effectExtent l="0" t="0" r="0" b="0"/>
            <wp:docPr id="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2" cstate="print"/>
                    <a:srcRect/>
                    <a:stretch>
                      <a:fillRect/>
                    </a:stretch>
                  </pic:blipFill>
                  <pic:spPr>
                    <a:xfrm>
                      <a:off x="0" y="0"/>
                      <a:ext cx="4651209" cy="2579370"/>
                    </a:xfrm>
                    <a:prstGeom prst="rect">
                      <a:avLst/>
                    </a:prstGeom>
                    <a:ln/>
                  </pic:spPr>
                </pic:pic>
              </a:graphicData>
            </a:graphic>
          </wp:inline>
        </w:drawing>
      </w:r>
    </w:p>
    <w:p w:rsidR="0025305D" w:rsidRDefault="0025305D" w:rsidP="0025305D">
      <w:r>
        <w:rPr>
          <w:i/>
        </w:rPr>
        <w:t>Figure 12: Fire and wetland variables. Other than burntFractionAll, all other variables are requested as Tier 2 variables.</w:t>
      </w:r>
    </w:p>
    <w:p w:rsidR="0025305D" w:rsidRDefault="0025305D" w:rsidP="0025305D">
      <w:pPr>
        <w:pStyle w:val="Heading2"/>
      </w:pPr>
      <w:r>
        <w:t>4.2 Ocean diagnostics</w:t>
      </w:r>
    </w:p>
    <w:p w:rsidR="0025305D" w:rsidRDefault="0025305D" w:rsidP="0025305D">
      <w:r>
        <w:t xml:space="preserve">Ocean biogeochemical stores and fluxes are described below. As with the land, it is important that all carbon stocks are reported so that total carbon can be tracked and conservation checked. Figures 13-16 show the requested diagnostics. Tier-1 diagnostics are intended to be simple and capture the whole ocean carbon cycle, while Tier-2 diagnostics repeat tier-1 but in more detail. As such the total carbon is the sum of tier-1 and not the combined sum of tier-1 plus tier-2.  The main (Tier-1) processes considered are: 1) gas exchange with the atmosphere that requires modelling the coupled cycle of alkalinity, and 2) biological processes coupling the carbon cycle with nitrogen, phosphorus, iron, silicon nutrients.  These biological processes are centred around phytoplankton-based primary production of organic carbon, ecosystem modulation through zooplankton grazing and higher trophic interactions, sinking of organic material out of the 100 m reference level (nominal euphotic zone depth), and recycling of nutrients. Additional mechanisms working at the process level may include: biodiversity among phytoplankton, zooplankton and bacteria, dissolved organic carbon cycling, oxygen </w:t>
      </w:r>
      <w:r>
        <w:lastRenderedPageBreak/>
        <w:t>cycling and its modulation of remineralization and denitrification, N</w:t>
      </w:r>
      <w:r>
        <w:rPr>
          <w:vertAlign w:val="subscript"/>
        </w:rPr>
        <w:t>2</w:t>
      </w:r>
      <w:r>
        <w:t xml:space="preserve">-Fixation/denitrification, flexibility in the stoichiometry among elements, sediment interactions, silicification, calcification, lithogenics, mineral ballasting of sinking material, aspects of iron cycle modulation through scavenging and the role of ligands, phytoplankton mortality by aggregation and viruses. </w:t>
      </w:r>
      <w:r w:rsidR="009915E1">
        <w:t>The integral of a particular tracer XXX over model vertical levels is IntXXX, and t</w:t>
      </w:r>
      <w:r>
        <w:t>he total time rate of change of tracer XXX is diagnosed as FddtXXX.  Similarly, the time rate of change due to the sum of all biological terms acting on tracer XXX is diagnosed as FbddtXXX.</w:t>
      </w:r>
      <w:r w:rsidR="009915E1">
        <w:t xml:space="preserve"> XXXs is the surface value of XXX.</w:t>
      </w:r>
    </w:p>
    <w:p w:rsidR="0025305D" w:rsidRDefault="00753474" w:rsidP="0025305D">
      <w:r>
        <w:rPr>
          <w:noProof/>
          <w:lang w:eastAsia="en-GB"/>
        </w:rPr>
        <w:drawing>
          <wp:inline distT="0" distB="0" distL="0" distR="0">
            <wp:extent cx="5334000" cy="4000500"/>
            <wp:effectExtent l="19050" t="0" r="0" b="0"/>
            <wp:docPr id="16" name="Picture 1" descr="\\Client\H$\words\Carbon\C4MIP_GMD_paper\Submission\Resubmission\Ocean_Carbon_schematics_v5\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H$\words\Carbon\C4MIP_GMD_paper\Submission\Resubmission\Ocean_Carbon_schematics_v5\Slide1.PNG"/>
                    <pic:cNvPicPr>
                      <a:picLocks noChangeAspect="1" noChangeArrowheads="1"/>
                    </pic:cNvPicPr>
                  </pic:nvPicPr>
                  <pic:blipFill>
                    <a:blip r:embed="rId23"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25305D" w:rsidRDefault="0025305D" w:rsidP="0025305D">
      <w:r>
        <w:rPr>
          <w:i/>
        </w:rPr>
        <w:t>Figure 13: Ocean Carbon Cycle Pools (blue boxes) and fluxes (yellow arrows) with associated processes.  Where appropriate, pools are grouped into components like Particulate Organic Carbon (POC).</w:t>
      </w:r>
    </w:p>
    <w:p w:rsidR="0025305D" w:rsidRDefault="0025305D" w:rsidP="0025305D"/>
    <w:p w:rsidR="0025305D" w:rsidRDefault="0025305D" w:rsidP="0025305D">
      <w:r>
        <w:t xml:space="preserve">The ocean ecosystem in ESMs typically comprises up to 5 phytoplankton functional groups: diazotrophs which can fix N2 but may take up nitrate or ammonia as well depending on the model formulation, diatoms which take up silicate to form opal tests, calcareous phytoplankton which take up dissolved carbonate and alkalinity to form calcite or aragonite tests, picophytoplankton, and miscellaneous phytoplankton in which any other phytoplankton groups are combined.  Zooplankton groups may be separated by size into microzooplankton, mesozooplankton, and macrozooplankton.  Combined with bacteria and detritus, these pools form the particulate </w:t>
      </w:r>
      <w:r>
        <w:lastRenderedPageBreak/>
        <w:t>or</w:t>
      </w:r>
      <w:r w:rsidR="00C0656D">
        <w:t>ganic carbon pool. Carbon stores</w:t>
      </w:r>
      <w:r>
        <w:t xml:space="preserve"> in each of these sub-components are requested as tier-2 (figure 14) and should sum to be identical to their tier-1 counterparts.</w:t>
      </w:r>
    </w:p>
    <w:p w:rsidR="0025305D" w:rsidRDefault="0025305D" w:rsidP="0025305D">
      <w:r>
        <w:rPr>
          <w:noProof/>
          <w:lang w:eastAsia="en-GB"/>
        </w:rPr>
        <w:drawing>
          <wp:inline distT="114300" distB="114300" distL="114300" distR="114300">
            <wp:extent cx="6125528" cy="4587278"/>
            <wp:effectExtent l="0" t="0" r="0" b="0"/>
            <wp:docPr id="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cstate="print"/>
                    <a:srcRect/>
                    <a:stretch>
                      <a:fillRect/>
                    </a:stretch>
                  </pic:blipFill>
                  <pic:spPr>
                    <a:xfrm>
                      <a:off x="0" y="0"/>
                      <a:ext cx="6125528" cy="4587278"/>
                    </a:xfrm>
                    <a:prstGeom prst="rect">
                      <a:avLst/>
                    </a:prstGeom>
                    <a:ln/>
                  </pic:spPr>
                </pic:pic>
              </a:graphicData>
            </a:graphic>
          </wp:inline>
        </w:drawing>
      </w:r>
    </w:p>
    <w:p w:rsidR="0025305D" w:rsidRDefault="0025305D" w:rsidP="0025305D">
      <w:r>
        <w:rPr>
          <w:i/>
        </w:rPr>
        <w:t>Figure 14: Ocean ecosystem carbon pools in terms of chlorophyll-based and carbon-based phytoplankton functional groups, zooplankton size groups, bacteria, detritus and dissolved organic carbon. as with land carbon diagnostics, the tier-2 requests are subcomponents of the tier-1 aggregate quantities. For example, ZooC should report the total carbon pool in zooplankton. The sum of the tier-2 components ZooMicro, ZooMeso and ZooMisc should be identical to the tier-1 total. They are not additional pools to it.</w:t>
      </w:r>
    </w:p>
    <w:p w:rsidR="0025305D" w:rsidRDefault="0025305D" w:rsidP="0025305D"/>
    <w:p w:rsidR="0025305D" w:rsidRDefault="0025305D" w:rsidP="0025305D">
      <w:r>
        <w:t xml:space="preserve">As shown in Figure 15, phytoplankton growth consumes dissolved organic carbon and nutrients in the presence of light to form particulate organic carbon and oxygen through primary production (i.e. intPb), some of which is exported (i.e. expC).  For each phytoplankton group, the degree of limitation by light (i.e. limIrrdiat), nitrogen (i.e. limNdiat) and iron (i.e. limFediat) availability can be diagnosed.  For each elemental cycle the external sources (i.e. FSC) and removal (i.e. FRC) can be diagnosed. As model implementation of multiple factor limitation is very model dependent, limitation terms for light and nutrients should be diagnosed in a manner consistent </w:t>
      </w:r>
      <w:r>
        <w:lastRenderedPageBreak/>
        <w:t xml:space="preserve">with model implementation.  For each model participant, it will be important to document how combinations of </w:t>
      </w:r>
      <w:r w:rsidR="00C77452">
        <w:t>limitation</w:t>
      </w:r>
      <w:r>
        <w:t xml:space="preserve"> terms should be combined, multiplicatively, as the minimum, or otherwise</w:t>
      </w:r>
    </w:p>
    <w:p w:rsidR="0025305D" w:rsidRDefault="0025305D" w:rsidP="0025305D"/>
    <w:p w:rsidR="0025305D" w:rsidRDefault="00753474" w:rsidP="0025305D">
      <w:r>
        <w:rPr>
          <w:noProof/>
          <w:lang w:eastAsia="en-GB"/>
        </w:rPr>
        <w:drawing>
          <wp:inline distT="0" distB="0" distL="0" distR="0">
            <wp:extent cx="5810250" cy="4357688"/>
            <wp:effectExtent l="19050" t="0" r="0" b="0"/>
            <wp:docPr id="18" name="Picture 2" descr="\\Client\H$\words\Carbon\C4MIP_GMD_paper\Submission\Resubmission\Ocean_Carbon_schematics_v5\Slid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H$\words\Carbon\C4MIP_GMD_paper\Submission\Resubmission\Ocean_Carbon_schematics_v5\Slide3.PNG"/>
                    <pic:cNvPicPr>
                      <a:picLocks noChangeAspect="1" noChangeArrowheads="1"/>
                    </pic:cNvPicPr>
                  </pic:nvPicPr>
                  <pic:blipFill>
                    <a:blip r:embed="rId25" cstate="print"/>
                    <a:srcRect/>
                    <a:stretch>
                      <a:fillRect/>
                    </a:stretch>
                  </pic:blipFill>
                  <pic:spPr bwMode="auto">
                    <a:xfrm>
                      <a:off x="0" y="0"/>
                      <a:ext cx="5810250" cy="4357688"/>
                    </a:xfrm>
                    <a:prstGeom prst="rect">
                      <a:avLst/>
                    </a:prstGeom>
                    <a:noFill/>
                    <a:ln w="9525">
                      <a:noFill/>
                      <a:miter lim="800000"/>
                      <a:headEnd/>
                      <a:tailEnd/>
                    </a:ln>
                  </pic:spPr>
                </pic:pic>
              </a:graphicData>
            </a:graphic>
          </wp:inline>
        </w:drawing>
      </w:r>
    </w:p>
    <w:p w:rsidR="0025305D" w:rsidRDefault="0025305D" w:rsidP="0025305D">
      <w:r>
        <w:rPr>
          <w:i/>
        </w:rPr>
        <w:t>Figure 15: Phytoplankton growth and export variables by phytoplankton group and by associated elemental cycle including external sources and removal. Export refers to the export flux due to sinking.</w:t>
      </w:r>
    </w:p>
    <w:p w:rsidR="0025305D" w:rsidRDefault="0025305D" w:rsidP="0025305D"/>
    <w:p w:rsidR="0025305D" w:rsidRDefault="0025305D" w:rsidP="0025305D">
      <w:r>
        <w:t>Chemistry associated with the carbon system and gas exchange is kept track of through the variables provided in Figure 16.  Cycles include the full carbon system associated with dissolved inorganic carbon and alkalinity as well as additional components relevant to specific tracer analysis such as the natural carbon system that is unaffected by anthropogenic CO</w:t>
      </w:r>
      <w:r>
        <w:rPr>
          <w:vertAlign w:val="subscript"/>
        </w:rPr>
        <w:t>2</w:t>
      </w:r>
      <w:r>
        <w:t>, and simplified abiotic dissolved inorganic carbon and abiotic alkalinity used for simulation of radiocarbon (dissic14C, dissic14Cabio).</w:t>
      </w:r>
    </w:p>
    <w:p w:rsidR="0025305D" w:rsidRDefault="0025305D" w:rsidP="0025305D"/>
    <w:p w:rsidR="0025305D" w:rsidRDefault="0025305D" w:rsidP="0025305D">
      <w:r>
        <w:rPr>
          <w:noProof/>
          <w:lang w:eastAsia="en-GB"/>
        </w:rPr>
        <w:lastRenderedPageBreak/>
        <w:drawing>
          <wp:inline distT="114300" distB="114300" distL="114300" distR="114300">
            <wp:extent cx="6068378" cy="4544480"/>
            <wp:effectExtent l="0" t="0" r="0" b="0"/>
            <wp:docPr id="15"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26" cstate="print"/>
                    <a:srcRect/>
                    <a:stretch>
                      <a:fillRect/>
                    </a:stretch>
                  </pic:blipFill>
                  <pic:spPr>
                    <a:xfrm>
                      <a:off x="0" y="0"/>
                      <a:ext cx="6068378" cy="4544480"/>
                    </a:xfrm>
                    <a:prstGeom prst="rect">
                      <a:avLst/>
                    </a:prstGeom>
                    <a:ln/>
                  </pic:spPr>
                </pic:pic>
              </a:graphicData>
            </a:graphic>
          </wp:inline>
        </w:drawing>
      </w:r>
    </w:p>
    <w:p w:rsidR="0025305D" w:rsidRDefault="0025305D" w:rsidP="0025305D">
      <w:r>
        <w:rPr>
          <w:i/>
        </w:rPr>
        <w:t>Figure 16: Ocean chemistry including the suite of carbon system tracers and those undergoing gas exchange.</w:t>
      </w:r>
    </w:p>
    <w:p w:rsidR="0025305D" w:rsidRDefault="0025305D" w:rsidP="00C77452">
      <w:pPr>
        <w:pStyle w:val="Heading2"/>
      </w:pPr>
      <w:r>
        <w:t>4.3. Carbon isotopes</w:t>
      </w:r>
    </w:p>
    <w:p w:rsidR="00636689" w:rsidRDefault="0025305D" w:rsidP="0025305D">
      <w:r>
        <w:t xml:space="preserve">Carbon isotopes are not simulated in all models and have not been requested or used before in C4MIP analyses. For CMIP6 we request that any model </w:t>
      </w:r>
      <w:r w:rsidR="00636689">
        <w:t xml:space="preserve">that </w:t>
      </w:r>
      <w:r>
        <w:t xml:space="preserve">simulates isotopes of carbon (13 or 14) either on land or in the ocean report them in the same way as the tier-1 carbon outputs. </w:t>
      </w:r>
    </w:p>
    <w:p w:rsidR="00636689" w:rsidRDefault="00636689" w:rsidP="0025305D"/>
    <w:p w:rsidR="0025305D" w:rsidRDefault="0025305D" w:rsidP="0025305D">
      <w:r>
        <w:t xml:space="preserve">Figure 17 shows carbon isotope diagnostics which are requested. These represent stocks of carbon-13 and carbon-14 in both land and ocean reservoirs and their exchange fluxes with the atmosphere. </w:t>
      </w:r>
      <w:r w:rsidR="00636689">
        <w:t xml:space="preserve">Net air-sea fluxes of carbon-13 and carbon-14 and dissolved inorganic of carbon-13 and carbon-14 concentrations in the ocean are requested. On land, fluxes of carbon-13 and carbon-14 associated with gross primary productivity, autotrophic respiration and heterotrophic respiration, and stocks of carbon-13 and carbon-14 in vegetation, litter and soil are requested. </w:t>
      </w:r>
      <w:r>
        <w:t xml:space="preserve">The same units used for carbon should be used for carbon-13 and carbon-14. Stocks and fluxes </w:t>
      </w:r>
      <w:r>
        <w:lastRenderedPageBreak/>
        <w:t xml:space="preserve">of carbon-14 should be normalized with the </w:t>
      </w:r>
      <w:r w:rsidR="00636689">
        <w:t xml:space="preserve">standard </w:t>
      </w:r>
      <w:r w:rsidR="00636689" w:rsidRPr="00F53117">
        <w:rPr>
          <w:vertAlign w:val="superscript"/>
        </w:rPr>
        <w:t>14</w:t>
      </w:r>
      <w:r w:rsidR="00636689">
        <w:t>C/C ratio, Rs, of 1.176 x 10</w:t>
      </w:r>
      <w:r w:rsidR="00636689">
        <w:rPr>
          <w:vertAlign w:val="superscript"/>
        </w:rPr>
        <w:t>-12</w:t>
      </w:r>
      <w:r w:rsidR="00636689">
        <w:t xml:space="preserve"> (Karlen et al. 1968). This means that reported stocks and fluxes of carbon-14 should be divided by Rs</w:t>
      </w:r>
      <w:r>
        <w:t xml:space="preserve">. </w:t>
      </w:r>
    </w:p>
    <w:p w:rsidR="0025305D" w:rsidRDefault="0025305D" w:rsidP="0025305D"/>
    <w:p w:rsidR="0025305D" w:rsidRDefault="00AB6870" w:rsidP="0025305D">
      <w:r>
        <w:t>Decay of carbon-14 should use the currently accepted half-life of 5700±30 years. In ocean models, carbon-14 can be run as an abiotic variable (Orr et al. 2000) or integrated into marine ecosystem carbon cycling. If carbon-14 is run as an abiotic variable, abiotic dissolved inorganic carbon concentrations and abiotic carbon air-sea fluxes must also be reported.  For carbon-13 in the ocean, we request only net air-sea fluxes of carbon-13 and carbon-13 in DIC. We do not request variables related to carbon-13 in phytoplankton or carbon-13 fluxes between DIC and phytoplankton, even though ocean models including carbon-13 are likely to include marine ecosystem cycling of carbon-13. More detail on implementing carbon isotopes in ocean models for CMIP6 can be found in Orr et al. (2016).</w:t>
      </w:r>
    </w:p>
    <w:p w:rsidR="0025305D" w:rsidRDefault="0025305D" w:rsidP="0025305D"/>
    <w:p w:rsidR="0025305D" w:rsidRDefault="0025305D" w:rsidP="0025305D"/>
    <w:p w:rsidR="0025305D" w:rsidRDefault="00753474" w:rsidP="0025305D">
      <w:r>
        <w:rPr>
          <w:noProof/>
          <w:lang w:eastAsia="en-GB"/>
        </w:rPr>
        <w:drawing>
          <wp:inline distT="0" distB="0" distL="0" distR="0">
            <wp:extent cx="5486400" cy="4114800"/>
            <wp:effectExtent l="19050" t="0" r="0" b="0"/>
            <wp:docPr id="10" name="Picture 1" descr="\\Client\H$\words\Carbon\C4MIP_GMD_paper\Submission\Resubmission\C4MIP_diagnostics_cartoon_vn3\Slid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H$\words\Carbon\C4MIP_GMD_paper\Submission\Resubmission\C4MIP_diagnostics_cartoon_vn3\Slide3.PNG"/>
                    <pic:cNvPicPr>
                      <a:picLocks noChangeAspect="1" noChangeArrowheads="1"/>
                    </pic:cNvPicPr>
                  </pic:nvPicPr>
                  <pic:blipFill>
                    <a:blip r:embed="rId27" cstate="print"/>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rsidR="003750EC" w:rsidRDefault="0025305D" w:rsidP="0025305D">
      <w:pPr>
        <w:rPr>
          <w:i/>
        </w:rPr>
      </w:pPr>
      <w:r>
        <w:rPr>
          <w:i/>
        </w:rPr>
        <w:t>Figure 17 Carbon isotope diagnostics.</w:t>
      </w:r>
      <w:r w:rsidR="005C5BAE" w:rsidRPr="005C5BAE">
        <w:t xml:space="preserve"> </w:t>
      </w:r>
      <w:r w:rsidR="005C5BAE" w:rsidRPr="005C5BAE">
        <w:rPr>
          <w:i/>
        </w:rPr>
        <w:t>Only report if your model simulates isotopes. We define:</w:t>
      </w:r>
    </w:p>
    <w:p w:rsidR="0025305D" w:rsidRDefault="005C5BAE" w:rsidP="0025305D">
      <w:r w:rsidRPr="005C5BAE">
        <w:rPr>
          <w:i/>
        </w:rPr>
        <w:t xml:space="preserve"> c14Land=c14Veg+c14Litter+c14Soil and likewise for c13Land</w:t>
      </w:r>
    </w:p>
    <w:p w:rsidR="0025305D" w:rsidRDefault="0025305D" w:rsidP="0025305D">
      <w:pPr>
        <w:pStyle w:val="Heading1"/>
      </w:pPr>
      <w:r>
        <w:lastRenderedPageBreak/>
        <w:t>5.</w:t>
      </w:r>
      <w:r>
        <w:rPr>
          <w:sz w:val="14"/>
          <w:szCs w:val="14"/>
        </w:rPr>
        <w:t xml:space="preserve">       </w:t>
      </w:r>
      <w:r>
        <w:t>Conclusions</w:t>
      </w:r>
      <w:r>
        <w:tab/>
        <w:t xml:space="preserve"> </w:t>
      </w:r>
      <w:r>
        <w:tab/>
        <w:t xml:space="preserve"> </w:t>
      </w:r>
      <w:r>
        <w:tab/>
        <w:t xml:space="preserve"> </w:t>
      </w:r>
      <w:r>
        <w:tab/>
        <w:t xml:space="preserve"> </w:t>
      </w:r>
      <w:r>
        <w:tab/>
      </w:r>
    </w:p>
    <w:p w:rsidR="0025305D" w:rsidRDefault="0025305D" w:rsidP="0025305D">
      <w:r>
        <w:t>Processes in the natural carbon cycle currently remove approximately half of anthropogenic emissions of CO</w:t>
      </w:r>
      <w:r>
        <w:rPr>
          <w:vertAlign w:val="subscript"/>
        </w:rPr>
        <w:t>2</w:t>
      </w:r>
      <w:r>
        <w:t>, helping to reduce the magnitude and rate of climate change. How these processes may change in the future in response to environmental changes and direct human forcing is uncertain.</w:t>
      </w:r>
    </w:p>
    <w:p w:rsidR="0025305D" w:rsidRDefault="0025305D" w:rsidP="0025305D"/>
    <w:p w:rsidR="0025305D" w:rsidRDefault="0025305D" w:rsidP="0025305D">
      <w:r>
        <w:t xml:space="preserve">As an endorsed activity of CMIP6, C4MIP will contribute coordinated simulations and analyses </w:t>
      </w:r>
      <w:r w:rsidR="00C77452">
        <w:t>targeted</w:t>
      </w:r>
      <w:r>
        <w:t xml:space="preserve"> at 3 key carbon cycle areas. Namely:</w:t>
      </w:r>
    </w:p>
    <w:p w:rsidR="0025305D" w:rsidRDefault="0025305D" w:rsidP="0025305D">
      <w:pPr>
        <w:pStyle w:val="ListParagraph"/>
        <w:numPr>
          <w:ilvl w:val="0"/>
          <w:numId w:val="17"/>
        </w:numPr>
      </w:pPr>
      <w:r>
        <w:t>feedback quantification through idealised simulations. Here we hope to understand and quantify the drivers of land and ocean carbon uptake and how they respond to environmental changes</w:t>
      </w:r>
    </w:p>
    <w:p w:rsidR="0025305D" w:rsidRDefault="0025305D" w:rsidP="0025305D">
      <w:pPr>
        <w:pStyle w:val="ListParagraph"/>
        <w:numPr>
          <w:ilvl w:val="0"/>
          <w:numId w:val="17"/>
        </w:numPr>
      </w:pPr>
      <w:r>
        <w:t>model evaluation through analysis of historical simulations. Here we hope to build trust in projections through process-based and top-down evaluation, advancing our understanding of the strengths and weakness of ESMs and documenting progress since CMIP5</w:t>
      </w:r>
    </w:p>
    <w:p w:rsidR="0025305D" w:rsidRDefault="0025305D" w:rsidP="0025305D">
      <w:pPr>
        <w:pStyle w:val="ListParagraph"/>
        <w:numPr>
          <w:ilvl w:val="0"/>
          <w:numId w:val="17"/>
        </w:numPr>
      </w:pPr>
      <w:r>
        <w:t>future projections of climate and CO</w:t>
      </w:r>
      <w:r w:rsidRPr="0025305D">
        <w:rPr>
          <w:vertAlign w:val="subscript"/>
        </w:rPr>
        <w:t>2</w:t>
      </w:r>
      <w:r>
        <w:t xml:space="preserve"> under scenarios of CO</w:t>
      </w:r>
      <w:r w:rsidRPr="0025305D">
        <w:rPr>
          <w:vertAlign w:val="subscript"/>
        </w:rPr>
        <w:t>2</w:t>
      </w:r>
      <w:r>
        <w:t xml:space="preserve"> emissions. Here we hope to better project the future response to anthropogenic activity through emissions-driven simulations which allow the full range of feedbacks to operate and drive the evolution of atmospheric CO</w:t>
      </w:r>
      <w:r w:rsidRPr="0025305D">
        <w:rPr>
          <w:vertAlign w:val="subscript"/>
        </w:rPr>
        <w:t>2</w:t>
      </w:r>
      <w:r>
        <w:t xml:space="preserve"> and climate.</w:t>
      </w:r>
    </w:p>
    <w:p w:rsidR="0025305D" w:rsidRDefault="0025305D" w:rsidP="0025305D"/>
    <w:p w:rsidR="0025305D" w:rsidRDefault="0025305D" w:rsidP="0025305D">
      <w:r>
        <w:t>C4MIP will focus on the coupled earth system, comprising land-atmosphere-ocean physical realms and both the terrestrial and marine carbon cycle components. Offline studies of land-only or ocean only will complement our analyses but are outside the specific remit of C4MIP.</w:t>
      </w:r>
    </w:p>
    <w:p w:rsidR="0025305D" w:rsidRDefault="0025305D" w:rsidP="0025305D"/>
    <w:p w:rsidR="00D74E94" w:rsidRDefault="0025305D" w:rsidP="0025305D">
      <w:r>
        <w:t>Over the last 2 years the C4MIP community has devised a compact and efficient set of numerical experiments to be performed with ESMs to address the above questions. In this paper we have documented the rationale and set-up of these simulations and the required outputs. This therefore constitutes the C4MIP contribution to CMIP6.</w:t>
      </w:r>
    </w:p>
    <w:p w:rsidR="00D74E94" w:rsidRDefault="00D74E94" w:rsidP="00D74E94">
      <w:pPr>
        <w:pStyle w:val="Heading1"/>
      </w:pPr>
      <w:r>
        <w:t>Data availability</w:t>
      </w:r>
    </w:p>
    <w:p w:rsidR="00D74E94" w:rsidRDefault="00D74E94" w:rsidP="00D74E94">
      <w:r>
        <w:t xml:space="preserve">As with all CMIP6-endorsed MIPs the model output from the C4MIP simulations described in this paper will be distributed through the Earth System Grid Federation (ESGF). The natural and anthropogenic forcing datasets required for the simulations will be described in separate invited contributions to this Special Issue and made </w:t>
      </w:r>
      <w:r>
        <w:lastRenderedPageBreak/>
        <w:t>available through the ESGF with version control and digital object identiﬁers (DOI’s) assigned.</w:t>
      </w:r>
      <w:r w:rsidRPr="00D74E94">
        <w:t xml:space="preserve"> </w:t>
      </w:r>
      <w:r>
        <w:t>Links to all forcings datasets will be made available via the CMIP Panel website.</w:t>
      </w:r>
    </w:p>
    <w:p w:rsidR="0025305D" w:rsidRDefault="0025305D" w:rsidP="0025305D">
      <w:pPr>
        <w:pStyle w:val="Heading1"/>
      </w:pPr>
      <w:r>
        <w:t>Acknowledgements</w:t>
      </w:r>
    </w:p>
    <w:p w:rsidR="0025305D" w:rsidRDefault="009B4A7E" w:rsidP="009B4A7E">
      <w:r>
        <w:t xml:space="preserve">Acknowledgements. CRESCENDO project members (CDJ, PF, LB, VB, TI, SZ) acknowledge funding received from the Horizon 2020 European Union’s Framework Programme for Research and Innovation under Grant Agreement No 641816. </w:t>
      </w:r>
      <w:r w:rsidR="0025305D">
        <w:t>CDJ was supported by the Joint UK DECC/Defra Met Office Hadley Centre Climate Programme (GA01101). HDG was supported by a Marie Curie Career Integration Grant from the European Commission.</w:t>
      </w:r>
      <w:r w:rsidR="002F16AE" w:rsidRPr="002F16AE">
        <w:t xml:space="preserve"> </w:t>
      </w:r>
      <w:r w:rsidR="002F16AE">
        <w:t>JP is supported by the German Research Foundation's Emmy Noether Program (PO 1751/1-1).</w:t>
      </w:r>
    </w:p>
    <w:p w:rsidR="0025305D" w:rsidRDefault="0025305D" w:rsidP="0025305D"/>
    <w:p w:rsidR="0025305D" w:rsidRPr="0025305D" w:rsidRDefault="0025305D" w:rsidP="00C77452">
      <w:pPr>
        <w:pStyle w:val="Heading1"/>
      </w:pPr>
      <w:r w:rsidRPr="0025305D">
        <w:t>References</w:t>
      </w:r>
    </w:p>
    <w:p w:rsidR="0025305D" w:rsidRPr="0073544E" w:rsidRDefault="0025305D" w:rsidP="0025305D">
      <w:r w:rsidRPr="0073544E">
        <w:t>Anav, A.</w:t>
      </w:r>
      <w:r w:rsidR="004C405D">
        <w:t>, Friedlingstein, P., Kidston, M., Bopp, L., Cox, P., Jones, C., Jung, m., Myneni, R. And Zhu, Z</w:t>
      </w:r>
      <w:r w:rsidRPr="0073544E">
        <w:t>.</w:t>
      </w:r>
      <w:r w:rsidR="004C405D">
        <w:t>:</w:t>
      </w:r>
      <w:r w:rsidRPr="0073544E">
        <w:t xml:space="preserve"> Evaluating the land and ocean components of the global carbon cycle in the CMIP5 earth system models. Journal of Climate 26, 6801-6843, doi:</w:t>
      </w:r>
      <w:r w:rsidR="004C405D">
        <w:t>10.1175/jcli-d-12-00417.1, 2013</w:t>
      </w:r>
      <w:r w:rsidRPr="0073544E">
        <w:t>.</w:t>
      </w:r>
    </w:p>
    <w:p w:rsidR="0025305D" w:rsidRPr="0073544E" w:rsidRDefault="0025305D" w:rsidP="0025305D"/>
    <w:p w:rsidR="0025305D" w:rsidRPr="0073544E" w:rsidRDefault="0025305D" w:rsidP="0025305D">
      <w:r w:rsidRPr="0073544E">
        <w:t>Arora, V. K., and G. J. Boer: Uncertainties in the 20th century carbon budget associated with land use change. Global</w:t>
      </w:r>
    </w:p>
    <w:p w:rsidR="0025305D" w:rsidRPr="0073544E" w:rsidRDefault="0025305D" w:rsidP="0025305D">
      <w:r w:rsidRPr="0073544E">
        <w:t>Change Biol., 16, 3327–3348</w:t>
      </w:r>
      <w:r w:rsidR="000B50B4" w:rsidRPr="0073544E">
        <w:t>, 2010</w:t>
      </w:r>
      <w:r w:rsidRPr="0073544E">
        <w:t>.</w:t>
      </w:r>
    </w:p>
    <w:p w:rsidR="0025305D" w:rsidRPr="0073544E" w:rsidRDefault="0025305D" w:rsidP="0025305D"/>
    <w:p w:rsidR="0025305D" w:rsidRPr="0073544E" w:rsidRDefault="0025305D" w:rsidP="0025305D">
      <w:r w:rsidRPr="0073544E">
        <w:t>Arora, V.K., G</w:t>
      </w:r>
      <w:r w:rsidR="000B50B4">
        <w:t>.</w:t>
      </w:r>
      <w:r w:rsidRPr="0073544E">
        <w:t>J. Boer, P</w:t>
      </w:r>
      <w:r w:rsidR="000B50B4">
        <w:t>.</w:t>
      </w:r>
      <w:r w:rsidRPr="0073544E">
        <w:t xml:space="preserve"> Friedlingstein, </w:t>
      </w:r>
      <w:r w:rsidR="000B50B4">
        <w:t>M.</w:t>
      </w:r>
      <w:r w:rsidRPr="0073544E">
        <w:t xml:space="preserve"> Eby, C</w:t>
      </w:r>
      <w:r w:rsidR="000B50B4">
        <w:t>.</w:t>
      </w:r>
      <w:r w:rsidRPr="0073544E">
        <w:t>D. Jones, J</w:t>
      </w:r>
      <w:r w:rsidR="000B50B4">
        <w:t>.</w:t>
      </w:r>
      <w:r w:rsidRPr="0073544E">
        <w:t xml:space="preserve">R. Christian, </w:t>
      </w:r>
      <w:r w:rsidR="000B50B4">
        <w:t xml:space="preserve">G. </w:t>
      </w:r>
      <w:r w:rsidRPr="0073544E">
        <w:t>Bonan, L</w:t>
      </w:r>
      <w:r w:rsidR="000B50B4">
        <w:t>.</w:t>
      </w:r>
      <w:r w:rsidRPr="0073544E">
        <w:t xml:space="preserve"> Bopp, </w:t>
      </w:r>
      <w:r w:rsidR="000B50B4">
        <w:t>V.</w:t>
      </w:r>
      <w:r w:rsidRPr="0073544E">
        <w:t xml:space="preserve"> Brovkin, </w:t>
      </w:r>
      <w:r w:rsidR="000B50B4">
        <w:t>P.</w:t>
      </w:r>
      <w:r w:rsidRPr="0073544E">
        <w:t xml:space="preserve"> Cadule, </w:t>
      </w:r>
      <w:r w:rsidR="000B50B4">
        <w:t>T.</w:t>
      </w:r>
      <w:r w:rsidRPr="0073544E">
        <w:t xml:space="preserve"> Hajima, </w:t>
      </w:r>
      <w:r w:rsidR="000B50B4">
        <w:t>T.</w:t>
      </w:r>
      <w:r w:rsidRPr="0073544E">
        <w:t xml:space="preserve"> Ilyina, </w:t>
      </w:r>
      <w:r w:rsidR="000B50B4">
        <w:t>K.</w:t>
      </w:r>
      <w:r w:rsidRPr="0073544E">
        <w:t xml:space="preserve"> Lindsay, J</w:t>
      </w:r>
      <w:r w:rsidR="000B50B4">
        <w:t>.</w:t>
      </w:r>
      <w:r w:rsidRPr="0073544E">
        <w:t xml:space="preserve">F. Tjiputra, </w:t>
      </w:r>
      <w:r w:rsidR="000B50B4">
        <w:t>T.</w:t>
      </w:r>
      <w:r w:rsidRPr="0073544E">
        <w:t xml:space="preserve"> Wu</w:t>
      </w:r>
      <w:r w:rsidR="000B50B4">
        <w:t>:</w:t>
      </w:r>
      <w:r w:rsidRPr="0073544E">
        <w:t xml:space="preserve"> Carbon–Concentration and Carbon–Climate Feedbacks in CMIP5 Earth System Models. Journal of Climate, 26(15), pp. 5289-5314</w:t>
      </w:r>
      <w:r w:rsidR="000B50B4" w:rsidRPr="0073544E">
        <w:t>, 2013</w:t>
      </w:r>
    </w:p>
    <w:p w:rsidR="0025305D" w:rsidRPr="0073544E" w:rsidRDefault="0025305D" w:rsidP="0025305D"/>
    <w:p w:rsidR="0025305D" w:rsidRPr="0073544E" w:rsidRDefault="00D02A5A" w:rsidP="0025305D">
      <w:r>
        <w:t>Avitabile, V., Herold, M., Heuvelink, G. B. M., Lewis, S. L., Phillips, O. L., Asner, G. P., Armston, J., Asthon, P., Banin, L. F., Bayol, N., Berry, N., Boeckx, P., de Jong, B., DeVries, B., Girardin, C., Kearsley, E., Lindsell, J. A., Lopez-Gonzalez, G., Lucas, R., Malhi, Y., Morel, A., Mitchard, E., Nagy, L., Qie, L., Quinones, M., Ryan, C. M., Slik, F., Sunderland, T., Vaglio Laurin, G., Valentini, R., Verbeeck, H</w:t>
      </w:r>
      <w:r w:rsidR="000B50B4">
        <w:t>., Wijaya, A. and Willcock, S:</w:t>
      </w:r>
      <w:r w:rsidR="0025305D" w:rsidRPr="0073544E">
        <w:t xml:space="preserve"> An integrated pan-tropical biomass map using multiple reference datasets. Glob Change Biol. , Accepted, doi:10.1111/gcb.13139</w:t>
      </w:r>
      <w:r w:rsidR="000B50B4">
        <w:t>, 2015</w:t>
      </w:r>
    </w:p>
    <w:p w:rsidR="0025305D" w:rsidRPr="0073544E" w:rsidRDefault="0025305D" w:rsidP="0025305D"/>
    <w:p w:rsidR="0025305D" w:rsidRPr="0073544E" w:rsidRDefault="000B50B4" w:rsidP="0025305D">
      <w:r>
        <w:t>Bacastow, R.B.</w:t>
      </w:r>
      <w:r w:rsidR="0025305D" w:rsidRPr="0073544E">
        <w:t>: The effect of temperature change of the warm surface waters of the oceans on atmospheric CO2. Global Biogeochemical Cycles, 10, 319-333</w:t>
      </w:r>
      <w:r>
        <w:t>, 1993</w:t>
      </w:r>
      <w:r w:rsidR="0025305D" w:rsidRPr="0073544E">
        <w:t xml:space="preserve">. </w:t>
      </w:r>
    </w:p>
    <w:p w:rsidR="0025305D" w:rsidRPr="0073544E" w:rsidRDefault="0025305D" w:rsidP="0025305D"/>
    <w:p w:rsidR="0025305D" w:rsidRPr="0073544E" w:rsidRDefault="00B94335" w:rsidP="0025305D">
      <w:r w:rsidRPr="00B94335">
        <w:t>Baccini, A., S. J. Goetz, W. S. Walker, N. T. Laporte, M. Sun, D. Sulla-Menashe, J. Hackler, P. S. A. Beck, R. Dubayah, M. A. Friedl, S. Samanta and R. A. Houghton:</w:t>
      </w:r>
      <w:r w:rsidR="0025305D" w:rsidRPr="0073544E">
        <w:t xml:space="preserve"> Estimated carbon dioxide emissions from tropical deforestation improved by carbon-density maps. Nature Climate Change, 2, 182–185</w:t>
      </w:r>
      <w:r w:rsidR="000B50B4">
        <w:t>,</w:t>
      </w:r>
      <w:r w:rsidR="000B50B4" w:rsidRPr="000B50B4">
        <w:t xml:space="preserve"> </w:t>
      </w:r>
      <w:r w:rsidR="000B50B4" w:rsidRPr="0073544E">
        <w:t>2012</w:t>
      </w:r>
    </w:p>
    <w:p w:rsidR="0025305D" w:rsidRPr="0073544E" w:rsidRDefault="0025305D" w:rsidP="0025305D"/>
    <w:p w:rsidR="0025305D" w:rsidRPr="0073544E" w:rsidRDefault="0025305D" w:rsidP="0025305D">
      <w:r w:rsidRPr="0073544E">
        <w:t>Batjes N</w:t>
      </w:r>
      <w:r w:rsidR="000B50B4">
        <w:t>.</w:t>
      </w:r>
      <w:r w:rsidRPr="0073544E">
        <w:t>H</w:t>
      </w:r>
      <w:r w:rsidR="000B50B4">
        <w:t>:</w:t>
      </w:r>
      <w:r w:rsidRPr="0073544E">
        <w:t xml:space="preserve"> ISRIC-WISE derived soil properties on a 5 by 5 arc-minutes global grid (ver. 1.2). Report 2012/01. Wageningen: ISRIC — World Soil Information, 57 pp</w:t>
      </w:r>
      <w:r w:rsidR="000B50B4" w:rsidRPr="0073544E">
        <w:t>, 2012</w:t>
      </w:r>
      <w:r w:rsidRPr="0073544E">
        <w:t>.</w:t>
      </w:r>
    </w:p>
    <w:p w:rsidR="0025305D" w:rsidRPr="0073544E" w:rsidRDefault="0025305D" w:rsidP="0025305D"/>
    <w:p w:rsidR="0025305D" w:rsidRPr="0073544E" w:rsidRDefault="00D02A5A" w:rsidP="0025305D">
      <w:r>
        <w:t>Bloom A.A., Exbrayat J-F., van der Velde I.</w:t>
      </w:r>
      <w:r w:rsidR="00365B2A">
        <w:t>R., Feng L., Williams M:</w:t>
      </w:r>
      <w:r w:rsidR="0025305D" w:rsidRPr="0073544E">
        <w:t xml:space="preserve"> The decadal state of the terrestrial carbon cycle: global retrievals of terrestrial carbon allocation, pools and residence times. Proceedings of the National Academy of Sciences</w:t>
      </w:r>
      <w:r w:rsidR="00365B2A">
        <w:t>, 113(5), 1285-1290, 2016</w:t>
      </w:r>
    </w:p>
    <w:p w:rsidR="0025305D" w:rsidRPr="0073544E" w:rsidRDefault="0025305D" w:rsidP="0025305D"/>
    <w:p w:rsidR="0025305D" w:rsidRPr="0073544E" w:rsidRDefault="00BA1DD5" w:rsidP="0025305D">
      <w:pPr>
        <w:rPr>
          <w:szCs w:val="20"/>
        </w:rPr>
      </w:pPr>
      <w:r w:rsidRPr="00BA1DD5">
        <w:t>Bonan, G. B., P. J. Lawrence, K. W. Oleson, S. Levis, M. Jung, M. Reichstein, D. M. Lawrence, and S. C. Swenson</w:t>
      </w:r>
      <w:r w:rsidR="00365B2A">
        <w:t>:</w:t>
      </w:r>
      <w:r w:rsidR="0025305D" w:rsidRPr="0073544E">
        <w:t xml:space="preserve"> Improving canopy processes in the Community Land Model version 4 (CLM4) using global flux fields empirically inferred from FLUXNET data. Journal of Geophysical Research - Biogeosciences 116, G02014, </w:t>
      </w:r>
      <w:r w:rsidR="0025305D" w:rsidRPr="0073544E">
        <w:rPr>
          <w:szCs w:val="20"/>
        </w:rPr>
        <w:t>doi:02010.01029/02010JG001593</w:t>
      </w:r>
      <w:r w:rsidR="00365B2A">
        <w:rPr>
          <w:szCs w:val="20"/>
        </w:rPr>
        <w:t>,</w:t>
      </w:r>
      <w:r w:rsidR="0025305D" w:rsidRPr="0073544E">
        <w:rPr>
          <w:szCs w:val="20"/>
        </w:rPr>
        <w:t xml:space="preserve"> </w:t>
      </w:r>
      <w:r w:rsidR="00365B2A">
        <w:rPr>
          <w:szCs w:val="20"/>
        </w:rPr>
        <w:t>2011</w:t>
      </w:r>
      <w:r w:rsidR="0025305D" w:rsidRPr="0073544E">
        <w:rPr>
          <w:szCs w:val="20"/>
        </w:rPr>
        <w:t>.</w:t>
      </w:r>
    </w:p>
    <w:p w:rsidR="00414945" w:rsidRPr="0073544E" w:rsidRDefault="00414945" w:rsidP="0025305D">
      <w:pPr>
        <w:rPr>
          <w:szCs w:val="20"/>
        </w:rPr>
      </w:pPr>
    </w:p>
    <w:p w:rsidR="00414945" w:rsidRPr="0073544E" w:rsidRDefault="00BA1DD5" w:rsidP="0025305D">
      <w:pPr>
        <w:rPr>
          <w:szCs w:val="20"/>
        </w:rPr>
      </w:pPr>
      <w:r w:rsidRPr="00BA1DD5">
        <w:rPr>
          <w:szCs w:val="20"/>
          <w:lang w:val="en-US" w:eastAsia="en-US"/>
        </w:rPr>
        <w:t>Bopp, L., Resplandy, L., Orr, J. C., Doney, S. C., Dunne, J. P., Gehlen, M., Halloran, P., Heinze, C., Ilyina, T., Séférian, R., Tjiputra, J., and Vichi, M.: Multiple stressors of ocean ecosystems in the 21st century: projections with CMIP5 models, Biogeosciences, 10, 6225-6245, doi:10.5194/bg-10-6225-2013, 2013</w:t>
      </w:r>
      <w:r w:rsidR="00414945" w:rsidRPr="0073544E">
        <w:rPr>
          <w:szCs w:val="20"/>
          <w:lang w:val="en-US" w:eastAsia="en-US"/>
        </w:rPr>
        <w:t>.</w:t>
      </w:r>
    </w:p>
    <w:p w:rsidR="0025305D" w:rsidRPr="0073544E" w:rsidRDefault="0025305D" w:rsidP="0025305D">
      <w:pPr>
        <w:rPr>
          <w:szCs w:val="20"/>
        </w:rPr>
      </w:pPr>
    </w:p>
    <w:p w:rsidR="0025305D" w:rsidRPr="0073544E" w:rsidRDefault="0025305D" w:rsidP="0025305D">
      <w:r w:rsidRPr="0073544E">
        <w:t>Brovkin, V., L. Boysen, V. K. Arora, J. P. Boisier, P. Cadule, L. Chini, M. Claussen, P. Friedlingstein, V. Gayler, B. J. J. M. van den Hurk, G. C. Hurtt, C. D. Jones, E. Kato, N. de Noblet-Ducoudré, F. Pacifico, J. Pongratz, M. Weiss</w:t>
      </w:r>
      <w:r w:rsidR="00365B2A">
        <w:t>:</w:t>
      </w:r>
      <w:r w:rsidRPr="0073544E">
        <w:t xml:space="preserve"> Effect of Anthropogenic Land-Use and Land-Cover Changes on Climate and Land Carbon Storage in CMIP5 Projections for the Twenty-First Century.  Journal of Climate, 26(18), pp. 6859-6881</w:t>
      </w:r>
      <w:r w:rsidR="00365B2A" w:rsidRPr="0073544E">
        <w:t>, 2013</w:t>
      </w:r>
      <w:r w:rsidRPr="0073544E">
        <w:t>.</w:t>
      </w:r>
    </w:p>
    <w:p w:rsidR="0025305D" w:rsidRPr="0073544E" w:rsidRDefault="0025305D" w:rsidP="0025305D"/>
    <w:p w:rsidR="0025305D" w:rsidRPr="0073544E" w:rsidRDefault="00BA1DD5" w:rsidP="0025305D">
      <w:r w:rsidRPr="00BA1DD5">
        <w:lastRenderedPageBreak/>
        <w:t>Buitenhuis, E. T., Vogt, M., Moriarty, R., Bednaršek, N., Doney, S. C., Leblanc, K., Le Quéré, C., Luo, Y.-W., O'Brien, C., O'Brien, T., Peloquin, J., Schiebel, R., and Swan, C.: MAREDAT: towards a world atlas of MARine Ecosystem DATa, Earth Syst. Sci. Data, 5, 227-239, doi:10.5194/essd-5-227-2013, 2013</w:t>
      </w:r>
      <w:r w:rsidR="0025305D" w:rsidRPr="0073544E">
        <w:t>.</w:t>
      </w:r>
    </w:p>
    <w:p w:rsidR="0025305D" w:rsidRPr="0073544E" w:rsidRDefault="0025305D" w:rsidP="0025305D"/>
    <w:p w:rsidR="0025305D" w:rsidRPr="0073544E" w:rsidRDefault="0025305D" w:rsidP="0025305D">
      <w:r w:rsidRPr="0073544E">
        <w:t xml:space="preserve">Burke, E.J., </w:t>
      </w:r>
      <w:r w:rsidR="00365B2A">
        <w:t>C.</w:t>
      </w:r>
      <w:r w:rsidRPr="0073544E">
        <w:t>D. Jones and C</w:t>
      </w:r>
      <w:r w:rsidR="00365B2A">
        <w:t>.</w:t>
      </w:r>
      <w:r w:rsidRPr="0073544E">
        <w:t>D. Koven</w:t>
      </w:r>
      <w:r w:rsidR="00365B2A">
        <w:t>:</w:t>
      </w:r>
      <w:r w:rsidRPr="0073544E">
        <w:t xml:space="preserve"> Estimating the Permafrost-Carbon Climate Response in the CMIP5 Climate Models Using a Simplified Approach. Journal of Climate, 26(14), pp. 4897-4909</w:t>
      </w:r>
      <w:r w:rsidR="00365B2A" w:rsidRPr="0073544E">
        <w:t>, 2013</w:t>
      </w:r>
      <w:r w:rsidRPr="0073544E">
        <w:t>.</w:t>
      </w:r>
    </w:p>
    <w:p w:rsidR="0025305D" w:rsidRPr="0073544E" w:rsidRDefault="0025305D" w:rsidP="0025305D"/>
    <w:p w:rsidR="0025305D" w:rsidRPr="0073544E" w:rsidRDefault="00C65C41" w:rsidP="0025305D">
      <w:r w:rsidRPr="00C65C41">
        <w:t>Carvalhais, N., M. Forkel, M. Khomik, J. Bellarby, M. Jung, M. Migliavacca, M. Mu, S. Saatchi, M. Santoro, M. Thurner, U. Weber, B. Ahrens, C. Beer, A. Cescatti, J.T. Randerson and M. Reichstein</w:t>
      </w:r>
      <w:r w:rsidR="00365B2A">
        <w:t>:</w:t>
      </w:r>
      <w:r w:rsidR="0025305D" w:rsidRPr="0073544E">
        <w:t xml:space="preserve"> Global covariation of carbon turnover times with climate in terrestrial ecosystems. Nature 514, 213-217, doi:10.1038/nat</w:t>
      </w:r>
      <w:r w:rsidR="00365B2A">
        <w:t>ure13731, 2014</w:t>
      </w:r>
      <w:r w:rsidR="0025305D" w:rsidRPr="0073544E">
        <w:t>.</w:t>
      </w:r>
    </w:p>
    <w:p w:rsidR="0025305D" w:rsidRPr="0073544E" w:rsidRDefault="0025305D" w:rsidP="0025305D"/>
    <w:p w:rsidR="0025305D" w:rsidRPr="0073544E" w:rsidRDefault="0025305D" w:rsidP="0025305D">
      <w:r w:rsidRPr="0073544E">
        <w:t>Ciais, P., Tans, P.P., Trolier, M., White, J.W.C and Francey, R.J.</w:t>
      </w:r>
      <w:r w:rsidR="00365B2A">
        <w:t>:</w:t>
      </w:r>
      <w:r w:rsidRPr="0073544E">
        <w:t xml:space="preserve"> A large northern hemisphere terrestrial CO2 sink indicated by the 13C/12C ratio of atmospheric CO2, Science, 269, 1017-1188, 1995.</w:t>
      </w:r>
    </w:p>
    <w:p w:rsidR="0025305D" w:rsidRPr="0073544E" w:rsidRDefault="0025305D" w:rsidP="0025305D">
      <w:r w:rsidRPr="0073544E">
        <w:t xml:space="preserve"> </w:t>
      </w:r>
    </w:p>
    <w:p w:rsidR="0025305D" w:rsidRPr="0073544E" w:rsidRDefault="0025305D" w:rsidP="0025305D">
      <w:r w:rsidRPr="0073544E">
        <w:t>Ciais, P., C. Sabine, G. Bala, L. Bopp, V. Brovkin, J. Canadell, A. Chhabra, R. DeFries, J. Galloway, M. Heimann, C. Jones, C. Le Quere, R.B. Myneni, S. Piao and P. Thornton: Carbon and Other Biogeochemical Cycles. In: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w:t>
      </w:r>
      <w:r w:rsidR="00365B2A" w:rsidRPr="0073544E">
        <w:t>, 2013</w:t>
      </w:r>
      <w:r w:rsidRPr="0073544E">
        <w:t xml:space="preserve">. </w:t>
      </w:r>
    </w:p>
    <w:p w:rsidR="0025305D" w:rsidRPr="0073544E" w:rsidRDefault="0025305D" w:rsidP="0025305D"/>
    <w:p w:rsidR="0025305D" w:rsidRPr="0073544E" w:rsidRDefault="00D02A5A" w:rsidP="0025305D">
      <w:r>
        <w:t xml:space="preserve">Cox, P.M., Betts, R.A., C. D. Jones, S. A. Spall, and I. J. Totterdell: Acceleration of global warming due to carbon-cycle feedbacks in a coupled climate model. Nature, 408, 184–187, 2000. </w:t>
      </w:r>
    </w:p>
    <w:p w:rsidR="0025305D" w:rsidRPr="0073544E" w:rsidRDefault="0025305D" w:rsidP="0025305D"/>
    <w:p w:rsidR="0025305D" w:rsidRPr="0073544E" w:rsidRDefault="00D02A5A" w:rsidP="0025305D">
      <w:r>
        <w:t>Cox, P.M., Pearson, D., Booth, B.B., Friedlingstein, P., Huntingford, C., Jones, C.D., Luke, C.</w:t>
      </w:r>
      <w:r w:rsidR="00365B2A">
        <w:t>:</w:t>
      </w:r>
      <w:r w:rsidR="0025305D" w:rsidRPr="0073544E">
        <w:t xml:space="preserve"> Sensitivity of tropical carbon to climate change constrained by carbon dioxide variability, Nature, 494, 341-345, doi:10.1038/nature11882</w:t>
      </w:r>
      <w:r w:rsidR="00365B2A" w:rsidRPr="0073544E">
        <w:t>, 2013</w:t>
      </w:r>
    </w:p>
    <w:p w:rsidR="0025305D" w:rsidRPr="0073544E" w:rsidRDefault="0025305D" w:rsidP="0025305D">
      <w:r w:rsidRPr="0073544E">
        <w:t xml:space="preserve"> </w:t>
      </w:r>
    </w:p>
    <w:p w:rsidR="0025305D" w:rsidRPr="0073544E" w:rsidRDefault="0025305D" w:rsidP="0025305D">
      <w:r w:rsidRPr="0073544E">
        <w:t xml:space="preserve">Cramer, W., A. Bondeau, F.I. Woodward, I.C. Prentice, R.A. Betts, V. Brovkin, P.M. Cox, V. Fisher, J.A. Foley, A.D. Friend, C. Kucharik, M.R. Lomas, N. Ramankutty, S. Sitch, B. Smith, A. White, and C. Young-Molling: </w:t>
      </w:r>
      <w:r w:rsidRPr="0073544E">
        <w:lastRenderedPageBreak/>
        <w:t>Global response of terrestrial ecosystem structure and function to CO2 and climate change: results from six dynamic global vegetation models. Global Change Biology</w:t>
      </w:r>
      <w:r w:rsidR="00365B2A" w:rsidRPr="0073544E">
        <w:t>, 2001</w:t>
      </w:r>
      <w:r w:rsidRPr="0073544E">
        <w:t xml:space="preserve">. </w:t>
      </w:r>
    </w:p>
    <w:p w:rsidR="0025305D" w:rsidRPr="0073544E" w:rsidRDefault="0025305D" w:rsidP="0025305D"/>
    <w:p w:rsidR="0025305D" w:rsidRPr="0073544E" w:rsidRDefault="00D02A5A" w:rsidP="0025305D">
      <w:r>
        <w:t>Dufresne, J.-L., Friedlingstein, P., Berthelot, M., Bopp, L., Ciais, P., Fairhead, L., Le Treut, H. and Monfray, P.</w:t>
      </w:r>
      <w:r w:rsidR="00365B2A">
        <w:t>:</w:t>
      </w:r>
      <w:r w:rsidR="0025305D" w:rsidRPr="0073544E">
        <w:t xml:space="preserve"> On the magnitude of positive feedbac</w:t>
      </w:r>
      <w:r>
        <w:t xml:space="preserve">k between future climate change and the carbon cycle, </w:t>
      </w:r>
      <w:r w:rsidR="0025305D" w:rsidRPr="0073544E">
        <w:t>Geophys. Res. Lett. 29, 10.1029/2001GL013777,</w:t>
      </w:r>
      <w:r w:rsidR="00365B2A">
        <w:t xml:space="preserve"> </w:t>
      </w:r>
      <w:r w:rsidR="0025305D" w:rsidRPr="0073544E">
        <w:t xml:space="preserve"> 2002.</w:t>
      </w:r>
      <w:r w:rsidR="00365B2A" w:rsidRPr="00365B2A">
        <w:t xml:space="preserve"> </w:t>
      </w:r>
    </w:p>
    <w:p w:rsidR="0025305D" w:rsidRPr="0073544E" w:rsidRDefault="0025305D" w:rsidP="0025305D"/>
    <w:p w:rsidR="0025305D" w:rsidRPr="0073544E" w:rsidRDefault="00F5072F" w:rsidP="0025305D">
      <w:r w:rsidRPr="0073544E">
        <w:t>Eyring, V., Bony, S., Meehl, G. A., Senior, C. A., Stevens, B., Stouffer, R. J., and Taylor, K. E.: Overview of the Coupled Model Intercomparison Project Phase 6 (CMIP6) experimental design and organization, Geosci. Model Dev., 9, 1937-1958, doi:10.5194/gmd-9-1937-2016, 2016</w:t>
      </w:r>
      <w:r w:rsidR="0025305D" w:rsidRPr="0073544E">
        <w:t>.</w:t>
      </w:r>
    </w:p>
    <w:p w:rsidR="00617789" w:rsidRPr="0073544E" w:rsidRDefault="00617789" w:rsidP="0025305D"/>
    <w:p w:rsidR="00617789" w:rsidRPr="0073544E" w:rsidRDefault="00617789" w:rsidP="0025305D">
      <w:r w:rsidRPr="0073544E">
        <w:t>Eyring, V., Righi, M., Lauer, A., Evaldsson, M., Wenzel, S., Jones, C., Anav, A., Andrews, O., Cionni, I., Davin, E. L., Deser, C., Ehbrecht, C., Friedlingstein, P., Gleckler, P., Gottschaldt, K.-D., Hagemann, S., Juckes, M., Kindermann, S., Krasting, J., Kunert, D., Levine, R., Loew, A., Mäkelä, J., Martin, G., Mason, E., Phillips, A. S., Read, S., Rio, C., Roehrig, R., Senftleben, D., Sterl, A., van Ulft, L. H., Walton, J., Wang, S., and Williams, K. D.: ESMValTool (v1.0) – a community diagnostic and performance metrics tool for routine evaluation of Earth system models in CMIP, Geosci. Model Dev., 9, 1747-1802, doi:10.5194/gmd-9-1747-2016, 2016(b).</w:t>
      </w:r>
    </w:p>
    <w:p w:rsidR="0025305D" w:rsidRPr="0073544E" w:rsidRDefault="0025305D" w:rsidP="0025305D"/>
    <w:p w:rsidR="0025305D" w:rsidRPr="0073544E" w:rsidRDefault="0025305D" w:rsidP="0025305D">
      <w:r w:rsidRPr="0073544E">
        <w:t>FAO/IIASA/ISRIC/ISS-CAS/JRC (2012) Harmonized World Soil Database (version 1.2). Rome: FAO.</w:t>
      </w:r>
    </w:p>
    <w:p w:rsidR="0025305D" w:rsidRPr="0073544E" w:rsidRDefault="0025305D" w:rsidP="0025305D"/>
    <w:p w:rsidR="0025305D" w:rsidRPr="0073544E" w:rsidRDefault="0025305D" w:rsidP="0025305D">
      <w:r w:rsidRPr="0073544E">
        <w:t>Foley, A. M., Dalmonech, D., Friend, A. D., Aires, F., Archibald, A. T., Bartlein, P., Bopp, L., Chappellaz, J., Cox, P., Edwards, N. R., Feulner, G., Friedlingstein, P., Harrison, S. P., Hopcroft, P. O., Jones, C. D., Kolassa, J., Levine, J. G., Prentice, I. C., Pyle, J., Vázquez Riveiros, N., Wolff, E. W., and Zaehle, S.: Evaluation of biospheric components in Earth system mo</w:t>
      </w:r>
      <w:r w:rsidR="00D02A5A">
        <w:t xml:space="preserve">dels using modern and palaeo-observations: the state-of-the-art, </w:t>
      </w:r>
      <w:r w:rsidRPr="0073544E">
        <w:t>Biogeosciences, 10, 8305-8328, doi:10.5194/bg-10-8305-2013, 2013.</w:t>
      </w:r>
    </w:p>
    <w:p w:rsidR="0025305D" w:rsidRPr="0073544E" w:rsidRDefault="0025305D" w:rsidP="0025305D"/>
    <w:p w:rsidR="0025305D" w:rsidRPr="0073544E" w:rsidRDefault="0025305D" w:rsidP="0025305D">
      <w:r w:rsidRPr="0073544E">
        <w:t>Friedlingstein, P., L. Bopp, P. Ciais, J.-L. Dufresne, L. Fairhead, H. LeTreut, P. Monfray, and J. Orr: Positive feedback between future climate change and the carbon cycle. Geophys. Res. Lett., 28, 1543–1546</w:t>
      </w:r>
      <w:r w:rsidR="00365B2A" w:rsidRPr="0073544E">
        <w:t>, 2001</w:t>
      </w:r>
      <w:r w:rsidRPr="0073544E">
        <w:t xml:space="preserve">. </w:t>
      </w:r>
    </w:p>
    <w:p w:rsidR="0025305D" w:rsidRPr="0073544E" w:rsidRDefault="0025305D" w:rsidP="0025305D">
      <w:r w:rsidRPr="0073544E">
        <w:t xml:space="preserve"> </w:t>
      </w:r>
    </w:p>
    <w:p w:rsidR="0025305D" w:rsidRPr="0073544E" w:rsidRDefault="0025305D" w:rsidP="0025305D">
      <w:r w:rsidRPr="0073544E">
        <w:t>Friedlingstein, P., J.-L. Dufresne, P. M. Cox, and P. Rayner: How positive is the feedback between climate change and the carbon cycle? Tellus, 55B, 692–700</w:t>
      </w:r>
      <w:r w:rsidR="00365B2A" w:rsidRPr="0073544E">
        <w:t>, 2003</w:t>
      </w:r>
      <w:r w:rsidRPr="0073544E">
        <w:t xml:space="preserve">. </w:t>
      </w:r>
    </w:p>
    <w:p w:rsidR="0025305D" w:rsidRPr="0073544E" w:rsidRDefault="0025305D" w:rsidP="0025305D"/>
    <w:p w:rsidR="0025305D" w:rsidRPr="0073544E" w:rsidRDefault="00C65C41" w:rsidP="0025305D">
      <w:r w:rsidRPr="00C65C41">
        <w:t>P. Friedlingstein, P. Cox, R. Betts, L. Bopp, W. von Bloh, V. Brovkin, P. Cadule, S. Doney, M. Eby, I. Fung, G. Bala, J. John, C. Jones, F. Joos, T. Kato, M. Kawamiya, W. Knorr, K. Lindsay, H. D. Matthews, T. Raddatz, P. Rayner, C. Reick, E. Roeckner, K.-G. Schnitzle, R. Schnur, K. Strassmann, A. J. Weaver, C. Yoshikawa, and N. Zeng</w:t>
      </w:r>
      <w:r w:rsidR="0025305D" w:rsidRPr="0073544E">
        <w:t>: Climate–carbon cycle feedback analysis: Results from the C4MIP model intercomparison. J. Climate, 19, 3337–3353</w:t>
      </w:r>
      <w:r w:rsidR="00365B2A" w:rsidRPr="0073544E">
        <w:t>, 2006</w:t>
      </w:r>
      <w:r w:rsidR="0025305D" w:rsidRPr="0073544E">
        <w:t>.</w:t>
      </w:r>
    </w:p>
    <w:p w:rsidR="0025305D" w:rsidRPr="0073544E" w:rsidRDefault="0025305D" w:rsidP="0025305D">
      <w:r w:rsidRPr="0073544E">
        <w:t xml:space="preserve"> </w:t>
      </w:r>
    </w:p>
    <w:p w:rsidR="0025305D" w:rsidRPr="0073544E" w:rsidRDefault="0025305D" w:rsidP="0025305D">
      <w:r w:rsidRPr="0073544E">
        <w:t>Fung, I., P. Rayner, and P. Friedlingstein: Full-form earth system models: Coupled carbon-climate interaction experiment (the flying leap). IGBP Global Change Newslet., 41, 7–8</w:t>
      </w:r>
      <w:r w:rsidR="00365B2A" w:rsidRPr="0073544E">
        <w:t>, 2000</w:t>
      </w:r>
      <w:r w:rsidRPr="0073544E">
        <w:t xml:space="preserve">. </w:t>
      </w:r>
    </w:p>
    <w:p w:rsidR="0025305D" w:rsidRPr="0073544E" w:rsidRDefault="0025305D" w:rsidP="0025305D"/>
    <w:p w:rsidR="0025305D" w:rsidRPr="0073544E" w:rsidRDefault="0025305D" w:rsidP="0025305D">
      <w:r w:rsidRPr="0073544E">
        <w:t>Gillett, N.P., V</w:t>
      </w:r>
      <w:r w:rsidR="00365B2A">
        <w:t>.</w:t>
      </w:r>
      <w:r w:rsidRPr="0073544E">
        <w:t xml:space="preserve">K. Arora, </w:t>
      </w:r>
      <w:r w:rsidR="00365B2A">
        <w:t>H.D.</w:t>
      </w:r>
      <w:r w:rsidRPr="0073544E">
        <w:t xml:space="preserve"> Matthews, M</w:t>
      </w:r>
      <w:r w:rsidR="00365B2A">
        <w:t>.</w:t>
      </w:r>
      <w:r w:rsidRPr="0073544E">
        <w:t>R. Allen</w:t>
      </w:r>
      <w:r w:rsidR="00365B2A">
        <w:t>:</w:t>
      </w:r>
      <w:r w:rsidRPr="0073544E">
        <w:t xml:space="preserve"> Constraining the Ratio of Global Warming to Cumulative CO</w:t>
      </w:r>
      <w:r w:rsidRPr="0073544E">
        <w:rPr>
          <w:vertAlign w:val="subscript"/>
        </w:rPr>
        <w:t>2</w:t>
      </w:r>
      <w:r w:rsidRPr="0073544E">
        <w:t xml:space="preserve"> Emissions Using CMIP5 Simulations. Journal of Climate, 26(18), pp. 6844-6858</w:t>
      </w:r>
      <w:r w:rsidR="00365B2A" w:rsidRPr="0073544E">
        <w:t>, 2013</w:t>
      </w:r>
      <w:r w:rsidRPr="0073544E">
        <w:t>.</w:t>
      </w:r>
    </w:p>
    <w:p w:rsidR="00F5072F" w:rsidRPr="0073544E" w:rsidRDefault="00F5072F" w:rsidP="0025305D"/>
    <w:p w:rsidR="00F5072F" w:rsidRPr="0073544E" w:rsidRDefault="00F5072F" w:rsidP="0025305D">
      <w:r w:rsidRPr="0073544E">
        <w:t>Gillett, N. P., Shiogama, H., Funke, B., Hegerl, G., Knutti, R., Matthes, K., Santer, B. D., Stone, D., and Tebaldi, C.: Detection and Attribution Model Intercomparison Project (DAMIP), Geosci. Model Dev. Discuss., doi:10.5194/gmd-2016-74, in review, 2016</w:t>
      </w:r>
    </w:p>
    <w:p w:rsidR="0025305D" w:rsidRPr="0073544E" w:rsidRDefault="0025305D" w:rsidP="0025305D">
      <w:r w:rsidRPr="0073544E">
        <w:t xml:space="preserve"> </w:t>
      </w:r>
    </w:p>
    <w:p w:rsidR="0025305D" w:rsidRPr="0073544E" w:rsidRDefault="0025305D" w:rsidP="0025305D">
      <w:r w:rsidRPr="0073544E">
        <w:t>Graven, H. D., N. Gruber, R. Key, S. Khatiwala, and X. Giraud: Changing controls on oceanic radiocarbon: New insights on shallow-to-deep ocean exchange and anthropogenic CO</w:t>
      </w:r>
      <w:r w:rsidRPr="0073544E">
        <w:rPr>
          <w:vertAlign w:val="subscript"/>
        </w:rPr>
        <w:t>2</w:t>
      </w:r>
      <w:r w:rsidRPr="0073544E">
        <w:t xml:space="preserve"> uptake, J. Geophys. Res., 117, C10005, doi:10.1029/2012JC008074</w:t>
      </w:r>
      <w:r w:rsidR="00365B2A" w:rsidRPr="0073544E">
        <w:t>, 2012</w:t>
      </w:r>
      <w:r w:rsidRPr="0073544E">
        <w:t>.</w:t>
      </w:r>
    </w:p>
    <w:p w:rsidR="0025305D" w:rsidRPr="0073544E" w:rsidRDefault="0025305D" w:rsidP="0025305D"/>
    <w:p w:rsidR="0025305D" w:rsidRPr="0073544E" w:rsidRDefault="0025305D" w:rsidP="0025305D">
      <w:r w:rsidRPr="0073544E">
        <w:t xml:space="preserve">Graven, HD.: Impact of fossil fuel emissions on atmospheric radiocarbon and various applications of radiocarbon over this century, Proc Natl Acad Sci </w:t>
      </w:r>
      <w:r w:rsidR="00D02A5A">
        <w:t>USA, 112(31), 9542-9545. doi:10.1073/pnas.1504467112. 2015</w:t>
      </w:r>
    </w:p>
    <w:p w:rsidR="0025305D" w:rsidRPr="0073544E" w:rsidRDefault="00D02A5A" w:rsidP="0025305D">
      <w:r>
        <w:t xml:space="preserve"> </w:t>
      </w:r>
    </w:p>
    <w:p w:rsidR="0025305D" w:rsidRPr="0073544E" w:rsidRDefault="00D02A5A" w:rsidP="0025305D">
      <w:r>
        <w:t>Gregory, J. M., C. D. Jones, P. Cadule, and P. Friedlingstein</w:t>
      </w:r>
      <w:r w:rsidR="00365B2A">
        <w:t>:</w:t>
      </w:r>
      <w:r w:rsidR="0025305D" w:rsidRPr="0073544E">
        <w:t xml:space="preserve"> Quantifying carbon cycle feedbacks. J. Climate, 22, 5232–5250</w:t>
      </w:r>
      <w:r w:rsidR="00365B2A" w:rsidRPr="0073544E">
        <w:t>, 2009</w:t>
      </w:r>
      <w:r w:rsidR="0025305D" w:rsidRPr="0073544E">
        <w:t>.</w:t>
      </w:r>
    </w:p>
    <w:p w:rsidR="0025305D" w:rsidRPr="0073544E" w:rsidRDefault="0025305D" w:rsidP="0025305D"/>
    <w:p w:rsidR="001E59A0" w:rsidRPr="0073544E" w:rsidRDefault="001E59A0" w:rsidP="001E59A0">
      <w:r w:rsidRPr="0073544E">
        <w:t xml:space="preserve">Griffies, S. M., Danabasoglu, G., Durack, P. J., Adcroft, A. J., Balaji, V., Böning, C. W., Chassignet, E. P., Curchitser, E., Deshayes, J., Drange, H., Fox-Kemper, B., Gleckler, P. J., Gregory, J. M., Haak, H., Hallberg, R. W., Hewitt, H. T., Holland, D. M., Ilyina, T., Jungclaus, J. H., Komuro, Y., Krasting, J. P., Large, W. G., Marsland, S. J., Masina, S., McDougall, T. J., Nurser, A. J. G., Orr, J. C., Pirani, A., Qiao, F., Stouffer, R. J., Taylor, K. E., Treguier, A. M., </w:t>
      </w:r>
      <w:r w:rsidRPr="0073544E">
        <w:lastRenderedPageBreak/>
        <w:t>Tsujino, H., Uotila, P., Valdivieso, M., Winton, M., and Yeager, S. G.: Experimental and diagnostic protocol for the physical component of the CMIP6 Ocean Model Intercomparison Project (OMIP), Geosci. Model Dev. Discuss., doi:10.5194/gmd-2016-77, in review, 2016</w:t>
      </w:r>
    </w:p>
    <w:p w:rsidR="001E59A0" w:rsidRPr="0073544E" w:rsidRDefault="001E59A0" w:rsidP="001E59A0">
      <w:r w:rsidRPr="0073544E">
        <w:t xml:space="preserve"> </w:t>
      </w:r>
    </w:p>
    <w:p w:rsidR="0025305D" w:rsidRPr="0073544E" w:rsidRDefault="0025305D" w:rsidP="0025305D">
      <w:r w:rsidRPr="0073544E">
        <w:t>Hansis, E., S. J. Davis, and J. Pongratz. Relevance of methodological choices for accounting of land use change carbon fluxes, Global Biogeochem. Cycles, 29, 1230–1246, doi:</w:t>
      </w:r>
      <w:hyperlink r:id="rId28">
        <w:r w:rsidRPr="0073544E">
          <w:rPr>
            <w:color w:val="1155CC"/>
            <w:u w:val="single"/>
          </w:rPr>
          <w:t>10.1002/2014GB004997</w:t>
        </w:r>
      </w:hyperlink>
      <w:r w:rsidR="00365B2A" w:rsidRPr="0073544E">
        <w:t>, 2015</w:t>
      </w:r>
      <w:r w:rsidRPr="0073544E">
        <w:t>.</w:t>
      </w:r>
    </w:p>
    <w:p w:rsidR="0025305D" w:rsidRPr="0073544E" w:rsidRDefault="0025305D" w:rsidP="0025305D"/>
    <w:p w:rsidR="0025305D" w:rsidRPr="0073544E" w:rsidRDefault="0025305D" w:rsidP="0025305D">
      <w:r w:rsidRPr="0073544E">
        <w:t>Hengl T, Mendes de Jesus J, MacMillan RA, Batjes NH, Heuvelink GBM, Ribeiro EC, Samuel-Rosa A, Kempen B, Leenaars JGB, Walsh MG and Gonzalez MR</w:t>
      </w:r>
      <w:r w:rsidR="00365B2A">
        <w:t>:</w:t>
      </w:r>
      <w:r w:rsidRPr="0073544E">
        <w:t xml:space="preserve"> SoilGrids1km— global soil information based on automated mapping.  PLoS ONE 9, e105992 (</w:t>
      </w:r>
      <w:hyperlink r:id="rId29">
        <w:r w:rsidR="00D02A5A">
          <w:rPr>
            <w:color w:val="1155CC"/>
            <w:u w:val="single"/>
          </w:rPr>
          <w:t>http://dx.doi.org/10.1371/journal.pone.0105992</w:t>
        </w:r>
      </w:hyperlink>
      <w:r w:rsidR="00D02A5A">
        <w:t>)</w:t>
      </w:r>
      <w:r w:rsidR="00365B2A" w:rsidRPr="00365B2A">
        <w:t xml:space="preserve"> </w:t>
      </w:r>
      <w:r w:rsidR="00365B2A" w:rsidRPr="0073544E">
        <w:t>, 2014</w:t>
      </w:r>
    </w:p>
    <w:p w:rsidR="0025305D" w:rsidRPr="0073544E" w:rsidRDefault="0025305D" w:rsidP="0025305D"/>
    <w:p w:rsidR="0025305D" w:rsidRPr="0073544E" w:rsidRDefault="00D02A5A" w:rsidP="0025305D">
      <w:r>
        <w:t>Ho</w:t>
      </w:r>
      <w:r>
        <w:rPr>
          <w:rFonts w:ascii="Cambria Math" w:hAnsi="Cambria Math" w:cs="Cambria Math"/>
        </w:rPr>
        <w:t>ﬀ</w:t>
      </w:r>
      <w:r>
        <w:t xml:space="preserve">man, F. M., J. T. Randerson, V. K. Arora, Q. Bao, P. Cadule, D. Ji, C. D. Jones, M. Kawamiya, S. Khatiwala, K. Lindsay, A. Obata, E. Shevliakova, K. D. Six, J. F. Tjiputra, E. M. Volodin, and T. Wu. Causes and implications of persistent atmospheric carbon dioxide biases in Earth System Models, </w:t>
      </w:r>
      <w:r w:rsidR="0025305D" w:rsidRPr="0073544E">
        <w:t>J. Geophys. Res. Biogeosci., 119, doi:10.1002/2013JG002381</w:t>
      </w:r>
      <w:r w:rsidR="00365B2A" w:rsidRPr="0073544E">
        <w:t>, 2014</w:t>
      </w:r>
      <w:r w:rsidR="0025305D" w:rsidRPr="0073544E">
        <w:t>.</w:t>
      </w:r>
    </w:p>
    <w:p w:rsidR="0025305D" w:rsidRPr="00365B2A" w:rsidRDefault="0025305D" w:rsidP="0025305D">
      <w:pPr>
        <w:rPr>
          <w:szCs w:val="20"/>
        </w:rPr>
      </w:pPr>
    </w:p>
    <w:p w:rsidR="00D34978" w:rsidRPr="00365B2A" w:rsidRDefault="00CD6D6D" w:rsidP="0025305D">
      <w:pPr>
        <w:rPr>
          <w:szCs w:val="20"/>
        </w:rPr>
      </w:pPr>
      <w:r w:rsidRPr="00365B2A">
        <w:rPr>
          <w:szCs w:val="20"/>
        </w:rPr>
        <w:t>Houghton, R.A., J.I. House, J. Pongratz, G.R. van der Werf, R.S. DeFries, M.C. Hansen, C. Le Quéré, and  N. Ramankutty</w:t>
      </w:r>
      <w:r w:rsidR="00365B2A" w:rsidRPr="00365B2A">
        <w:rPr>
          <w:szCs w:val="20"/>
        </w:rPr>
        <w:t>:</w:t>
      </w:r>
      <w:r w:rsidRPr="00365B2A">
        <w:rPr>
          <w:szCs w:val="20"/>
        </w:rPr>
        <w:t xml:space="preserve">. Carbon emissions from land use and land-cover change. </w:t>
      </w:r>
      <w:r w:rsidRPr="00365B2A">
        <w:rPr>
          <w:iCs/>
          <w:szCs w:val="20"/>
        </w:rPr>
        <w:t xml:space="preserve">Biogeosciences </w:t>
      </w:r>
      <w:r w:rsidRPr="00365B2A">
        <w:rPr>
          <w:bCs/>
          <w:szCs w:val="20"/>
        </w:rPr>
        <w:t>9</w:t>
      </w:r>
      <w:r w:rsidRPr="00365B2A">
        <w:rPr>
          <w:szCs w:val="20"/>
        </w:rPr>
        <w:t>:5125-5142. doi:10.5194/bg-9-5125-2012</w:t>
      </w:r>
      <w:r w:rsidR="00365B2A" w:rsidRPr="00365B2A">
        <w:rPr>
          <w:szCs w:val="20"/>
        </w:rPr>
        <w:t>, 2012</w:t>
      </w:r>
      <w:r w:rsidRPr="00365B2A">
        <w:rPr>
          <w:szCs w:val="20"/>
        </w:rPr>
        <w:br/>
      </w:r>
    </w:p>
    <w:p w:rsidR="00D34978" w:rsidRPr="0073544E" w:rsidRDefault="00D34978" w:rsidP="0025305D">
      <w:r w:rsidRPr="0073544E">
        <w:t>van den Hurk, B., Kim, H., Krinner, G., Seneviratne, S. I., Derksen, C., Oki, T., Douville, H., Colin, J., Ducharne, A., Cheruy, F., Viovy, N., Puma, M., Wada, Y., Li, W., Jia, B., Alessandri, A., Lawrence, D., Weedon, G. P., Ellis, R., Hagemann, S., Mao, J., Flanner, M. G., Zampieri, M., Law, R., and Sheffield, J.: The Land Surface, Snow and Soil moisture Model Intercomparison Program (LS3MIP): aims, set-up and expected outcome, Geosci. Model Dev. Discuss., doi:10.5194/gmd-2016-72, in review, 2016</w:t>
      </w:r>
    </w:p>
    <w:p w:rsidR="0025305D" w:rsidRPr="0073544E" w:rsidRDefault="0025305D" w:rsidP="0025305D"/>
    <w:p w:rsidR="0025305D" w:rsidRPr="0073544E" w:rsidRDefault="0038637F" w:rsidP="0025305D">
      <w:r w:rsidRPr="0073544E">
        <w:t>Hurtt, G., L. Chini, R. Sahajpal, S. Frolking, K. Calvin, S. Fujimori, K. Klein Goldewijk, T. Hasegawa, P. Havlik, A. Heinemann, J. Kaplan, D. Lawrence, P. Lawrence, O. Mertz, A. Popp, E. Stehfest, D. van Vuuren, X. Zhang. Harmonization of global land-use change and management for the period 850-2100. GMD (In prep).</w:t>
      </w:r>
    </w:p>
    <w:p w:rsidR="0025305D" w:rsidRPr="0073544E" w:rsidRDefault="0025305D" w:rsidP="0025305D">
      <w:r w:rsidRPr="0073544E">
        <w:lastRenderedPageBreak/>
        <w:t xml:space="preserve">Ilyina, T., Six, K. D., Segschneider, J., Maier-Reimer, </w:t>
      </w:r>
      <w:r w:rsidR="00365B2A">
        <w:t>E., Li, H., &amp; Nunez-Riboni, I.:</w:t>
      </w:r>
      <w:r w:rsidRPr="0073544E">
        <w:t xml:space="preserve"> Global ocean biogeochemistry model HAMOCC: Model architecture and performance as component of the MPI-Earth System Model in different CMIP5 experimental realizations. Journal of Advances in Modeling Earth Systems, 5, 287-315</w:t>
      </w:r>
      <w:r w:rsidR="00365B2A">
        <w:t>, 2013</w:t>
      </w:r>
      <w:r w:rsidRPr="0073544E">
        <w:t>.</w:t>
      </w:r>
    </w:p>
    <w:p w:rsidR="0025305D" w:rsidRPr="0073544E" w:rsidRDefault="0025305D" w:rsidP="0025305D"/>
    <w:p w:rsidR="0025305D" w:rsidRPr="0073544E" w:rsidRDefault="00D02A5A" w:rsidP="0025305D">
      <w:r>
        <w:t>Iudicone, D., Rodgers, K.B., Stendardo, I., Aumont, O., Madec, G., Bopp, L., Mangoni</w:t>
      </w:r>
      <w:r w:rsidR="00365B2A">
        <w:t>, O., and Ribera d’Alcala’, M.:</w:t>
      </w:r>
      <w:r w:rsidR="0025305D" w:rsidRPr="0073544E">
        <w:t xml:space="preserve"> Water masses as a unifying framework for understanding the Southern Ocean Carbon Cycle. Biogeosciences 8, 1031–1052</w:t>
      </w:r>
      <w:r w:rsidR="00365B2A">
        <w:t>, 2011</w:t>
      </w:r>
      <w:r w:rsidR="0025305D" w:rsidRPr="0073544E">
        <w:t>.</w:t>
      </w:r>
    </w:p>
    <w:p w:rsidR="0025305D" w:rsidRPr="0073544E" w:rsidRDefault="0025305D" w:rsidP="0025305D"/>
    <w:p w:rsidR="0025305D" w:rsidRPr="0073544E" w:rsidRDefault="0025305D" w:rsidP="0025305D">
      <w:r w:rsidRPr="0073544E">
        <w:t>Jenkinson DS, Adams DE, Wild A</w:t>
      </w:r>
      <w:r w:rsidR="00365B2A">
        <w:t>.:</w:t>
      </w:r>
      <w:r w:rsidRPr="0073544E">
        <w:t xml:space="preserve"> Model estimates of CO2 emissions from soil in response to globa</w:t>
      </w:r>
      <w:r w:rsidR="00365B2A">
        <w:t>l warming. Nature, 351, 304–306,</w:t>
      </w:r>
      <w:r w:rsidRPr="0073544E">
        <w:t xml:space="preserve"> </w:t>
      </w:r>
      <w:r w:rsidR="00365B2A" w:rsidRPr="0073544E">
        <w:t>1991</w:t>
      </w:r>
    </w:p>
    <w:p w:rsidR="0025305D" w:rsidRPr="0073544E" w:rsidRDefault="0025305D" w:rsidP="0025305D"/>
    <w:p w:rsidR="0025305D" w:rsidRPr="0073544E" w:rsidRDefault="0025305D" w:rsidP="0025305D">
      <w:r w:rsidRPr="0073544E">
        <w:t xml:space="preserve">Joos, F., and M. Bruno: Long-term variability of the terrestrial and oceanic carbon sinks and the budgets of the carbon isotopes </w:t>
      </w:r>
      <w:r w:rsidRPr="0073544E">
        <w:rPr>
          <w:vertAlign w:val="superscript"/>
        </w:rPr>
        <w:t>13</w:t>
      </w:r>
      <w:r w:rsidRPr="0073544E">
        <w:t xml:space="preserve">C and </w:t>
      </w:r>
      <w:r w:rsidRPr="0073544E">
        <w:rPr>
          <w:vertAlign w:val="superscript"/>
        </w:rPr>
        <w:t>14</w:t>
      </w:r>
      <w:r w:rsidRPr="0073544E">
        <w:t>C, Global Biogeochemical Cycles, 12/2, 277-295</w:t>
      </w:r>
      <w:r w:rsidR="00365B2A" w:rsidRPr="0073544E">
        <w:t>, 1998</w:t>
      </w:r>
    </w:p>
    <w:p w:rsidR="0025305D" w:rsidRPr="0073544E" w:rsidRDefault="0025305D" w:rsidP="0025305D">
      <w:r w:rsidRPr="0073544E">
        <w:t xml:space="preserve"> </w:t>
      </w:r>
    </w:p>
    <w:p w:rsidR="0025305D" w:rsidRPr="0073544E" w:rsidRDefault="0025305D" w:rsidP="0025305D">
      <w:r w:rsidRPr="0073544E">
        <w:t>Joos, F., G.-K. Plattner, T.F. Stocker, O. Marchal, and A. Schmittner: Global warming and marine carbon cycle feedbacks on future atmospheric CO2. Science, 284, 464-467</w:t>
      </w:r>
      <w:r w:rsidR="00365B2A" w:rsidRPr="0073544E">
        <w:t>, 1999</w:t>
      </w:r>
      <w:r w:rsidRPr="0073544E">
        <w:t xml:space="preserve">. </w:t>
      </w:r>
    </w:p>
    <w:p w:rsidR="0025305D" w:rsidRPr="0073544E" w:rsidRDefault="0025305D" w:rsidP="0025305D">
      <w:r w:rsidRPr="0073544E">
        <w:t xml:space="preserve"> </w:t>
      </w:r>
    </w:p>
    <w:p w:rsidR="0025305D" w:rsidRPr="0073544E" w:rsidRDefault="0025305D" w:rsidP="0025305D">
      <w:r w:rsidRPr="0073544E">
        <w:t>Jung, M. et al. Global patterns of land-atmosphere fluxes of carbon dioxide, latent heat, and sensible heat derived from eddy covariance, satellite, and meteorological observations. Journal of Geophysical Research - Biogeosciences 116, G00J07, doi:10.1029/2010JG001566</w:t>
      </w:r>
      <w:r w:rsidR="00365B2A">
        <w:t>,</w:t>
      </w:r>
      <w:r w:rsidRPr="0073544E">
        <w:t xml:space="preserve"> </w:t>
      </w:r>
      <w:r w:rsidR="00365B2A">
        <w:t>2011</w:t>
      </w:r>
    </w:p>
    <w:p w:rsidR="0025305D" w:rsidRPr="0073544E" w:rsidRDefault="0025305D" w:rsidP="0025305D">
      <w:r w:rsidRPr="0073544E">
        <w:t xml:space="preserve"> </w:t>
      </w:r>
    </w:p>
    <w:p w:rsidR="0025305D" w:rsidRPr="0073544E" w:rsidRDefault="0025305D" w:rsidP="0025305D">
      <w:r w:rsidRPr="0073544E">
        <w:t>Jungclaus, J. H., Fischer, N., Haak, H., Lohmann, K., Marotzke, J., Matei, D., Mikolajewicz, U., Notz, D., &amp; von Storch, J.-S.</w:t>
      </w:r>
      <w:r w:rsidR="00365B2A">
        <w:t>:</w:t>
      </w:r>
      <w:r w:rsidRPr="0073544E">
        <w:t xml:space="preserve"> Characteristics of the ocean simulations in MPIOM, the ocean component of the MPI Earth System Model. Journal of Advances in Modeling</w:t>
      </w:r>
      <w:r w:rsidR="00365B2A">
        <w:t xml:space="preserve"> Earth Systems, 5, 422-446, </w:t>
      </w:r>
      <w:r w:rsidR="00365B2A" w:rsidRPr="0073544E">
        <w:t>2013</w:t>
      </w:r>
    </w:p>
    <w:p w:rsidR="0025305D" w:rsidRPr="0073544E" w:rsidRDefault="0025305D" w:rsidP="0025305D"/>
    <w:p w:rsidR="0025305D" w:rsidRPr="0073544E" w:rsidRDefault="0025305D" w:rsidP="0025305D">
      <w:r w:rsidRPr="0073544E">
        <w:t>Karlen, I., Olsson, I.U., Kallburg, P. and Kilici, S.</w:t>
      </w:r>
      <w:r w:rsidR="00365B2A">
        <w:t>:</w:t>
      </w:r>
      <w:r w:rsidRPr="0073544E">
        <w:t xml:space="preserve"> Absolute determination of the activity of two </w:t>
      </w:r>
      <w:r w:rsidRPr="0073544E">
        <w:rPr>
          <w:vertAlign w:val="superscript"/>
        </w:rPr>
        <w:t>14</w:t>
      </w:r>
      <w:r w:rsidRPr="0073544E">
        <w:t>C dating standards. Arkiv Geofysik, 4:465-471</w:t>
      </w:r>
      <w:r w:rsidR="00365B2A" w:rsidRPr="0073544E">
        <w:t>, 1968</w:t>
      </w:r>
      <w:r w:rsidRPr="0073544E">
        <w:t>.</w:t>
      </w:r>
    </w:p>
    <w:p w:rsidR="00FE27CA" w:rsidRPr="0073544E" w:rsidRDefault="00FE27CA" w:rsidP="0025305D"/>
    <w:p w:rsidR="00FE27CA" w:rsidRPr="0073544E" w:rsidRDefault="00FE27CA" w:rsidP="0025305D">
      <w:r w:rsidRPr="0073544E">
        <w:t>Keeling</w:t>
      </w:r>
      <w:r w:rsidR="00C0656D">
        <w:t>, C.D.</w:t>
      </w:r>
      <w:r w:rsidRPr="0073544E">
        <w:t>, S.C. Piper, R.B. Bacastow, M. Wahlen, T.</w:t>
      </w:r>
      <w:r w:rsidR="00C0656D">
        <w:t>P. Whorf, M. Heimann, and H.</w:t>
      </w:r>
      <w:r w:rsidRPr="0073544E">
        <w:t>A. Meijer: Exchanges of atmospheric CO</w:t>
      </w:r>
      <w:r w:rsidRPr="0073544E">
        <w:rPr>
          <w:vertAlign w:val="subscript"/>
        </w:rPr>
        <w:t>2</w:t>
      </w:r>
      <w:r w:rsidRPr="0073544E">
        <w:t xml:space="preserve">  and 13CO</w:t>
      </w:r>
      <w:r w:rsidRPr="0073544E">
        <w:rPr>
          <w:vertAlign w:val="subscript"/>
        </w:rPr>
        <w:t>2</w:t>
      </w:r>
      <w:r w:rsidRPr="0073544E">
        <w:t xml:space="preserve">  with the terrestrial biosphere and oceans from 1978 to 2000.  I. Global aspects, SIO Reference Series, No. 01-06, Scripps Institution of Oceanography, San Diego, 88 pp</w:t>
      </w:r>
      <w:r w:rsidR="00365B2A" w:rsidRPr="0073544E">
        <w:t>, 2001</w:t>
      </w:r>
      <w:r w:rsidRPr="0073544E">
        <w:t>.</w:t>
      </w:r>
    </w:p>
    <w:p w:rsidR="0025305D" w:rsidRPr="0073544E" w:rsidRDefault="00D02A5A" w:rsidP="0025305D">
      <w:r>
        <w:lastRenderedPageBreak/>
        <w:t xml:space="preserve"> </w:t>
      </w:r>
    </w:p>
    <w:p w:rsidR="0025305D" w:rsidRPr="0073544E" w:rsidRDefault="005F04B1" w:rsidP="0025305D">
      <w:r w:rsidRPr="005F04B1">
        <w:t>Khatiwala, S., Tanhua, T., Mikaloff Fletcher, S., Gerber, M., Doney, S. C., Graven, H. D., Gruber, N., McKinley, G. A., Murata, A., Ríos, A. F., and Sabine, C. L.: Global ocean storage of anthropogenic carbon, Biogeosciences, 10, 2169-2191, doi:10.5194/bg-10-2169-2013, 2013</w:t>
      </w:r>
      <w:r w:rsidR="00365B2A">
        <w:t>:</w:t>
      </w:r>
      <w:r w:rsidR="0025305D" w:rsidRPr="0073544E">
        <w:t xml:space="preserve"> Global ocean storage of anthropogenic carbon. Biogeosciences 10, 2169–2191</w:t>
      </w:r>
      <w:r w:rsidR="00365B2A">
        <w:t>, 2013</w:t>
      </w:r>
      <w:r w:rsidR="0025305D" w:rsidRPr="0073544E">
        <w:t>.</w:t>
      </w:r>
    </w:p>
    <w:p w:rsidR="0025305D" w:rsidRPr="0073544E" w:rsidRDefault="0025305D" w:rsidP="0025305D"/>
    <w:p w:rsidR="0025305D" w:rsidRPr="0073544E" w:rsidRDefault="0025305D" w:rsidP="0025305D">
      <w:r w:rsidRPr="0073544E">
        <w:t>Kirschbaum M</w:t>
      </w:r>
      <w:r w:rsidR="00365B2A">
        <w:t>.</w:t>
      </w:r>
      <w:r w:rsidRPr="0073544E">
        <w:t>U</w:t>
      </w:r>
      <w:r w:rsidR="00365B2A">
        <w:t>.</w:t>
      </w:r>
      <w:r w:rsidRPr="0073544E">
        <w:t>F</w:t>
      </w:r>
      <w:r w:rsidR="00365B2A">
        <w:t>.:</w:t>
      </w:r>
      <w:r w:rsidRPr="0073544E">
        <w:t xml:space="preserve"> The temperature dependence of soil organic matter decomposition and the effect of global warming on soil organic carbon storage. Soil Bi</w:t>
      </w:r>
      <w:r w:rsidR="00365B2A">
        <w:t>ology Biochemistry, 27, 753–760,</w:t>
      </w:r>
      <w:r w:rsidRPr="0073544E">
        <w:t xml:space="preserve"> </w:t>
      </w:r>
      <w:r w:rsidR="00365B2A" w:rsidRPr="0073544E">
        <w:t>1995</w:t>
      </w:r>
    </w:p>
    <w:p w:rsidR="0025305D" w:rsidRPr="0073544E" w:rsidRDefault="0025305D" w:rsidP="0025305D"/>
    <w:p w:rsidR="0025305D" w:rsidRPr="0073544E" w:rsidRDefault="0025305D" w:rsidP="0025305D">
      <w:r w:rsidRPr="0073544E">
        <w:t>Koven, C. D., Riley, W. J., Subin, Z. M., Tang, J. Y., Torn, M. S., Collins, W. D., Bonan, G. B., Lawrence, D. M., and Swenson, S. C.: The effect of vertically resolved soil biogeochemistry and alternate soil C and N models on C dynamics of CLM4, Biogeosciences, 10, 7109-7131, doi:10.5194/bg-10-7109-2013, 2013.</w:t>
      </w:r>
    </w:p>
    <w:p w:rsidR="0025305D" w:rsidRPr="0073544E" w:rsidRDefault="0025305D" w:rsidP="0025305D"/>
    <w:p w:rsidR="0025305D" w:rsidRPr="0073544E" w:rsidRDefault="0025305D" w:rsidP="0025305D">
      <w:r w:rsidRPr="0073544E">
        <w:t>Lashof, D.A.</w:t>
      </w:r>
      <w:r w:rsidR="00365B2A">
        <w:t>:</w:t>
      </w:r>
      <w:r w:rsidRPr="0073544E">
        <w:t xml:space="preserve"> The dynamic greenhouse - Feedback processes that may influence future concentrations of atmospheric trace gases and climatic change, Clim. Change., 14 </w:t>
      </w:r>
      <w:r w:rsidR="00365B2A">
        <w:t>(3), 213-242,</w:t>
      </w:r>
      <w:r w:rsidR="00365B2A" w:rsidRPr="00365B2A">
        <w:t xml:space="preserve"> </w:t>
      </w:r>
      <w:r w:rsidR="00365B2A" w:rsidRPr="0073544E">
        <w:t>1989</w:t>
      </w:r>
    </w:p>
    <w:p w:rsidR="0025305D" w:rsidRPr="0073544E" w:rsidRDefault="0025305D" w:rsidP="0025305D"/>
    <w:p w:rsidR="0025305D" w:rsidRPr="0073544E" w:rsidRDefault="00CC0C09" w:rsidP="0025305D">
      <w:r w:rsidRPr="0073544E">
        <w:t>Lawrence, D. M., Hurtt, George C., Arneth, A., Brovkin, V., Calvin, K. V., Jones, Andrew D., Jones, C. D., Lawrence, P. J., de Noblet-Ducoudré, N., Pongratz, J., Seneviratne, S. I., and Shevliakova, E.: The Land Use Model Intercomparison Project (LUMIP): Rationale and experimental design, Geosci. Model Dev. Discuss., doi:10.5194/gmd-2016-76, in review, 2016</w:t>
      </w:r>
    </w:p>
    <w:p w:rsidR="0025305D" w:rsidRPr="0073544E" w:rsidRDefault="0025305D" w:rsidP="0025305D"/>
    <w:p w:rsidR="0025305D" w:rsidRPr="0073544E" w:rsidRDefault="00365B2A" w:rsidP="0025305D">
      <w:r w:rsidRPr="00365B2A">
        <w:t>Le Quéré, C., Moriarty, R., Andrew, R. M., Canadell, J. G., Sitch, S., Korsbakken, J. I., Friedlingstein, P., Peters, G. P., Andres, R. J., Boden, T. A., Houghton, R. A., House, J. I., Keeling, R. F., Tans, P., Arneth, A., Bakker, D. C. E., Barbero, L., Bopp, L., Chang, J., Chevallier, F., Chini, L. P., Ciais, P., Fader, M., Feely, R. A., Gkritzalis, T., Harris, I., Hauck, J., Ilyina, T., Jain, A. K., Kato, E., Kitidis, V., Klein Goldewijk, K., Koven, C., Landschützer, P., Lauvset, S. K., Lefèvre, N., Lenton, A., Lima, I. D., Metzl, N., Millero, F., Munro, D. R., Murata, A., Nabel, J. E. M. S., Nakaoka, S., Nojiri, Y., O'Brien, K., Olsen, A., Ono, T., Pérez, F. F., Pfeil, B., Pierrot, D., Poulter, B., Rehder, G., Rödenbeck, C., Saito, S., Schuster, U., Schwinger, J., Séférian, R., Steinhoff, T., Stocker, B. D., Sutton, A. J., Takahashi, T., Tilbrook, B., van der Laan-Luijkx, I. T., van der Werf, G. R., van Heuven, S., Vandemark, D., Viovy, N., Wiltshire, A., Zaehle, S., and Zeng, N.: Global Carbon Budget 2015, Earth Syst. Sci. Data, 7, 349-396, doi:10.5194/essd-7-349-2015, 2015</w:t>
      </w:r>
    </w:p>
    <w:p w:rsidR="0025305D" w:rsidRPr="0073544E" w:rsidRDefault="0025305D" w:rsidP="0025305D"/>
    <w:p w:rsidR="00C834AA" w:rsidRPr="0073544E" w:rsidRDefault="00C834AA" w:rsidP="00C834AA">
      <w:r w:rsidRPr="0073544E">
        <w:t>Levin, I., T. Naegler, B. Kromer, M. Diehl, R. J. Francey, A. J. Gomez-Pelaez, L. P. Steele, D. Wagenbach, R. Weller and D. E. Worthy</w:t>
      </w:r>
      <w:r w:rsidR="00365B2A">
        <w:t>:</w:t>
      </w:r>
      <w:r w:rsidRPr="0073544E">
        <w:t xml:space="preserve"> Observations and modelling of the global distribution and long-term trend of atmospheric </w:t>
      </w:r>
      <w:r w:rsidRPr="0073544E">
        <w:rPr>
          <w:vertAlign w:val="superscript"/>
        </w:rPr>
        <w:t>14</w:t>
      </w:r>
      <w:r w:rsidRPr="0073544E">
        <w:t>CO</w:t>
      </w:r>
      <w:r w:rsidRPr="0073544E">
        <w:rPr>
          <w:vertAlign w:val="subscript"/>
        </w:rPr>
        <w:t>2</w:t>
      </w:r>
      <w:r w:rsidRPr="0073544E">
        <w:t xml:space="preserve">. </w:t>
      </w:r>
      <w:r w:rsidRPr="0073544E">
        <w:rPr>
          <w:iCs/>
        </w:rPr>
        <w:t>Tellus B, 62</w:t>
      </w:r>
      <w:r w:rsidRPr="0073544E">
        <w:t>(1), 26-46</w:t>
      </w:r>
      <w:r w:rsidR="00365B2A">
        <w:t>,</w:t>
      </w:r>
      <w:r w:rsidRPr="0073544E">
        <w:t xml:space="preserve"> </w:t>
      </w:r>
      <w:r w:rsidR="00365B2A" w:rsidRPr="0073544E">
        <w:t>2010</w:t>
      </w:r>
    </w:p>
    <w:p w:rsidR="00C834AA" w:rsidRPr="0073544E" w:rsidRDefault="00C834AA" w:rsidP="00C834AA"/>
    <w:p w:rsidR="0025305D" w:rsidRPr="0073544E" w:rsidRDefault="000038F8" w:rsidP="0025305D">
      <w:r w:rsidRPr="0073544E">
        <w:t>Lindsay, K. G.B. Bonan, S.C. Doney, F.M. Hoffman, D.M. Lawrence, M.C. Long, N.M. Mahowald, J.K. Moore, J.T. Randerson, and P.E. Thornton.</w:t>
      </w:r>
      <w:r w:rsidR="00365B2A">
        <w:t>:</w:t>
      </w:r>
      <w:r w:rsidRPr="0073544E">
        <w:t xml:space="preserve"> Preindustrial control and 20th century carbon cycle experiments with the Earth system model CESM1(BGC). Journal of Climate. 27: 8981-9005. doi: 10.1175/JCLI-D-12-00565.1</w:t>
      </w:r>
      <w:r w:rsidR="00365B2A">
        <w:t>, 2014</w:t>
      </w:r>
      <w:r w:rsidRPr="0073544E">
        <w:t>.</w:t>
      </w:r>
    </w:p>
    <w:p w:rsidR="0025305D" w:rsidRPr="0073544E" w:rsidRDefault="0025305D" w:rsidP="0025305D"/>
    <w:p w:rsidR="0025305D" w:rsidRPr="0073544E" w:rsidRDefault="0025305D" w:rsidP="0025305D">
      <w:r w:rsidRPr="0073544E">
        <w:t>Luo, Y. Q., Randerson, J. T., Abramowitz, G., Bacour, C., Blyth, E., Carvalhais, N., Ciais, P., Dalmonech, D., Fisher, J. B., Fisher, R., Friedlingstein, P., Hibbard, K., Hoffman, F., Huntzinger, D., Jones, C. D., Koven, C., Lawrence, D., Li, D. J., Mahecha, M., Niu, S. L., Norby, R., Piao, S. L., Qi, X., Peylin, P., Prentice, I. C., Riley, W., Reichstein, M., Schwalm, C., Wang, Y. P., Xia, J. Y., Zaehle, S., and Zhou, X. H.: A framework for benchmarking land models, Biogeosciences, 9, 3857-3874, doi:10.5194/bg-9-3857-2012, 2012.</w:t>
      </w:r>
    </w:p>
    <w:p w:rsidR="0025305D" w:rsidRPr="0073544E" w:rsidRDefault="0025305D" w:rsidP="0025305D"/>
    <w:p w:rsidR="0025305D" w:rsidRPr="0073544E" w:rsidRDefault="005F04B1" w:rsidP="0025305D">
      <w:r w:rsidRPr="005F04B1">
        <w:t>Luo, Y., A. Ahlström, S. D. Allison, N. H. Batjes, V. Brovkin, N. Carvalhais, A. Chappell, P. Ciais, E. A. Davidson, A. Finzi, et al.</w:t>
      </w:r>
      <w:r w:rsidR="00AD7CA4">
        <w:t>:</w:t>
      </w:r>
      <w:r w:rsidR="0025305D" w:rsidRPr="0073544E">
        <w:t xml:space="preserve"> Towards more realistic projections of soil carbon dynamics by Earth System Models. Glob. Biogeochem. Cyc.</w:t>
      </w:r>
      <w:r w:rsidR="00AD7CA4">
        <w:t>, 29, doi:10.1002/2015GB005239,</w:t>
      </w:r>
      <w:r w:rsidR="00AD7CA4" w:rsidRPr="00AD7CA4">
        <w:t xml:space="preserve"> </w:t>
      </w:r>
      <w:r w:rsidR="00AD7CA4" w:rsidRPr="0073544E">
        <w:t>2015</w:t>
      </w:r>
    </w:p>
    <w:p w:rsidR="0025305D" w:rsidRPr="0073544E" w:rsidRDefault="0025305D" w:rsidP="0025305D"/>
    <w:p w:rsidR="0025305D" w:rsidRPr="0073544E" w:rsidRDefault="0025305D" w:rsidP="0025305D">
      <w:r w:rsidRPr="0073544E">
        <w:t>Maier-Reimer, E., Mikolajewicz, U., and Winguth, A.</w:t>
      </w:r>
      <w:r w:rsidR="00AD7CA4">
        <w:t>:</w:t>
      </w:r>
      <w:r w:rsidRPr="0073544E">
        <w:t xml:space="preserve"> Future ocean uptake of CO2: interaction between ocean circulation and biology. Climate Dynamics 12, 711–722</w:t>
      </w:r>
      <w:r w:rsidR="00AD7CA4">
        <w:t>, 1996</w:t>
      </w:r>
    </w:p>
    <w:p w:rsidR="0025305D" w:rsidRPr="0073544E" w:rsidRDefault="0025305D" w:rsidP="0025305D"/>
    <w:p w:rsidR="0025305D" w:rsidRPr="0073544E" w:rsidRDefault="005F04B1" w:rsidP="0025305D">
      <w:r w:rsidRPr="005F04B1">
        <w:t>Mahecha, M.D., M. Reichstein, N. Carvalhais, G. Lasslop, H. Lange, S.I. Seneviratne, R. Vargas, C. Ammann, M.A. Arain, A. Cescatti, I.A. Janssens, M. Migliavacca, L. Montagnani, A.D. Richardson</w:t>
      </w:r>
      <w:r>
        <w:t xml:space="preserve">: </w:t>
      </w:r>
      <w:r w:rsidR="0025305D" w:rsidRPr="0073544E">
        <w:t>Global convergence in the temperature sensitivity of respiration at ecosystem level. Science 329</w:t>
      </w:r>
      <w:r w:rsidR="00AD7CA4">
        <w:t>, 838-840, 2010</w:t>
      </w:r>
      <w:r w:rsidR="0025305D" w:rsidRPr="0073544E">
        <w:t>.</w:t>
      </w:r>
    </w:p>
    <w:p w:rsidR="0025305D" w:rsidRPr="0073544E" w:rsidRDefault="0025305D" w:rsidP="0025305D"/>
    <w:p w:rsidR="001E59A0" w:rsidRPr="0073544E" w:rsidRDefault="00D46B3E" w:rsidP="001E59A0">
      <w:r w:rsidRPr="00D46B3E">
        <w:t>Matsumoto, K. Sarmiento, J. L. Key, R. M. Aumont, O. Bullister, J. L. Caldeira, K. Campin, J.-M. Doney, S. C. Drange, H. Dutay, J.-C. Follows, M. Gao, Y. Gnanadesikan, A. Gruber, N. Ishida, A. Joos, F. Lindsay, K. Maier-Reimer, E. Marshall, J. C. Matear, R. J. Monfray, P. Mouchet, A. Najjar, R. Plattner, G.-K. Schlitzer, R. Slater, R. Swathi, P. S. Totterdell, I. J. Weirig, M.-F. Yamanaka, Y. Yool, A. Orr, J. C.</w:t>
      </w:r>
      <w:r w:rsidR="00AD7CA4">
        <w:t>:</w:t>
      </w:r>
      <w:r w:rsidR="001E59A0" w:rsidRPr="0073544E">
        <w:t xml:space="preserve"> Evaluation of ocean carbon cycle models with data-based metrics. Geophysical Research Letters, 31(7). doi:10.1029/2003gl018970</w:t>
      </w:r>
      <w:r w:rsidR="00AD7CA4">
        <w:t xml:space="preserve">, </w:t>
      </w:r>
      <w:r w:rsidR="00AD7CA4" w:rsidRPr="0073544E">
        <w:t>2004</w:t>
      </w:r>
    </w:p>
    <w:p w:rsidR="001E59A0" w:rsidRPr="0073544E" w:rsidRDefault="001E59A0" w:rsidP="001E59A0"/>
    <w:p w:rsidR="0025305D" w:rsidRPr="0073544E" w:rsidRDefault="0025305D" w:rsidP="0025305D">
      <w:r w:rsidRPr="0073544E">
        <w:t>Meyerholt, J. and Zaehle, S.</w:t>
      </w:r>
      <w:r w:rsidR="00AD7CA4">
        <w:t>:</w:t>
      </w:r>
      <w:r w:rsidRPr="0073544E">
        <w:t xml:space="preserve"> The role of stoichiometric flexibility in modelling forest ecosystem responses to nitrogen fertilization. New Phytologist, 208(4), 1042-1055, doi: 10.1111/nph.13547</w:t>
      </w:r>
      <w:r w:rsidR="00AD7CA4" w:rsidRPr="0073544E">
        <w:t>, 2015</w:t>
      </w:r>
      <w:r w:rsidRPr="0073544E">
        <w:t xml:space="preserve">. </w:t>
      </w:r>
    </w:p>
    <w:p w:rsidR="0025305D" w:rsidRPr="0073544E" w:rsidRDefault="0025305D" w:rsidP="0025305D"/>
    <w:p w:rsidR="0025305D" w:rsidRPr="0073544E" w:rsidRDefault="0025305D" w:rsidP="0025305D">
      <w:r w:rsidRPr="0073544E">
        <w:t>Naegler, T. and I. Levin: Biosphere-atmosphere gross carbon exchange flux and the δ</w:t>
      </w:r>
      <w:r w:rsidRPr="0073544E">
        <w:rPr>
          <w:vertAlign w:val="superscript"/>
        </w:rPr>
        <w:t>13</w:t>
      </w:r>
      <w:r w:rsidRPr="0073544E">
        <w:t>CO</w:t>
      </w:r>
      <w:r w:rsidRPr="0073544E">
        <w:rPr>
          <w:vertAlign w:val="subscript"/>
        </w:rPr>
        <w:t>2</w:t>
      </w:r>
      <w:r w:rsidRPr="0073544E">
        <w:t xml:space="preserve"> and Δ</w:t>
      </w:r>
      <w:r w:rsidRPr="0073544E">
        <w:rPr>
          <w:vertAlign w:val="superscript"/>
        </w:rPr>
        <w:t>14</w:t>
      </w:r>
      <w:r w:rsidRPr="0073544E">
        <w:t>CO</w:t>
      </w:r>
      <w:r w:rsidRPr="0073544E">
        <w:rPr>
          <w:vertAlign w:val="subscript"/>
        </w:rPr>
        <w:t>2</w:t>
      </w:r>
      <w:r w:rsidRPr="0073544E">
        <w:t xml:space="preserve"> disequilibria constrained by the biospheric excess radiocarbon inventory. J. Geophys. Res. 114, D17303, doi:10.1029/2008JD011116</w:t>
      </w:r>
      <w:r w:rsidR="00AD7CA4" w:rsidRPr="0073544E">
        <w:t>, 2009</w:t>
      </w:r>
      <w:r w:rsidRPr="0073544E">
        <w:t>.</w:t>
      </w:r>
    </w:p>
    <w:p w:rsidR="0025305D" w:rsidRPr="0073544E" w:rsidRDefault="0025305D" w:rsidP="0025305D">
      <w:r w:rsidRPr="0073544E">
        <w:t xml:space="preserve"> </w:t>
      </w:r>
    </w:p>
    <w:p w:rsidR="0025305D" w:rsidRPr="0073544E" w:rsidRDefault="00CC0C09" w:rsidP="0025305D">
      <w:r w:rsidRPr="0073544E">
        <w:t>O'Neill, B. C., Tebaldi, C., van Vuuren, D., Eyring, V., Friedlingstein, P., Hurtt, G., Knutti, R., Kriegler, E., Lamarque, J.-F., Lowe, J., Meehl, J., Moss, R., Riahi, K., and Sanderson, B. M.: The Scenario Model Intercomparison Project (ScenarioMIP) for CMIP6, Geosci. Model Dev. Discuss., doi:10.5194/gmd-2016-84, in review, 2016</w:t>
      </w:r>
    </w:p>
    <w:p w:rsidR="0025305D" w:rsidRPr="0073544E" w:rsidRDefault="0025305D" w:rsidP="0025305D"/>
    <w:p w:rsidR="0025305D" w:rsidRPr="0073544E" w:rsidRDefault="0025305D" w:rsidP="0025305D">
      <w:r w:rsidRPr="0073544E">
        <w:t>Orr, J., E. Maier-Reimer, U. Mikolajewicz, P. Monfray, J. L. Sarmiento, J. R. Toggweiler, N. K. Taylor, J. Palmer, N. Gruber, C. L. Sabine, C. Le Quéré, R. M. Key, and J. Boutin: Estimates of anthropogenic carbon uptake from four 3-D global ocean models. Global Biogeochemical Cycles, 15, 43-60</w:t>
      </w:r>
      <w:r w:rsidR="00AD7CA4" w:rsidRPr="0073544E">
        <w:t>, 2001</w:t>
      </w:r>
      <w:r w:rsidRPr="0073544E">
        <w:t xml:space="preserve">. </w:t>
      </w:r>
    </w:p>
    <w:p w:rsidR="0025305D" w:rsidRPr="0073544E" w:rsidRDefault="0025305D" w:rsidP="0025305D"/>
    <w:p w:rsidR="0025305D" w:rsidRPr="0073544E" w:rsidRDefault="0025305D" w:rsidP="0025305D">
      <w:r w:rsidRPr="0073544E">
        <w:t>Orr, J., R. Najjar, C. Sabine, and F. Joos: Abiotic-HOWTO, Technical report, available at: http://ocmip5.ipsl.jussieu.fr/OCMIP/phase2/simulations/Abiotic/HOWTO-Abiotic.html</w:t>
      </w:r>
      <w:r w:rsidR="00AD7CA4" w:rsidRPr="0073544E">
        <w:t>, 2000</w:t>
      </w:r>
      <w:r w:rsidRPr="0073544E">
        <w:t xml:space="preserve">. </w:t>
      </w:r>
    </w:p>
    <w:p w:rsidR="0025305D" w:rsidRPr="0073544E" w:rsidRDefault="0025305D" w:rsidP="0025305D"/>
    <w:p w:rsidR="001E59A0" w:rsidRPr="0073544E" w:rsidRDefault="001E59A0" w:rsidP="001E59A0">
      <w:r w:rsidRPr="0073544E">
        <w:t>Orr, J. C., R. G. Najjar, O. Aumont, L. Bopp, J. Bullister, G. Danabasoglu, S. C. Doney, J. P. Dunne, J.-C. Dutay, H. Graven,</w:t>
      </w:r>
    </w:p>
    <w:p w:rsidR="0025305D" w:rsidRPr="0073544E" w:rsidRDefault="001E59A0" w:rsidP="0025305D">
      <w:r w:rsidRPr="0073544E">
        <w:t>S. M. Griffies, F. Joos, I. Levin10, K. Lindsay, G. A. McKinley, A. Oschlies, A. Romanou, R. Schlitzer, A. Tagliabue, T. Tanhua, and A. Yool, OMIP biogeochemical protocols and diagnostics for CMIP6, Geosci. Model Dev. Discuss., in prep.</w:t>
      </w:r>
      <w:r w:rsidR="00F0162B" w:rsidRPr="00F0162B">
        <w:t>Piao, S., Sitch, S., Ciais, P., Friedlingstein, P., Peylin, P., Wang, X., Ahlström, A., Anav, A., Canadell, J. G., Cong, N., Huntingford, C., Jung, M., Levis, S., Levy, P. E., Li, J., Lin, X., Lomas, M. R., Lu, M., Luo, Y., Ma, Y., Myneni, R. B., Poulter, B., Sun, Z., Wang, T., Viovy, N., Zaehle, S. and Zeng, N.</w:t>
      </w:r>
      <w:r w:rsidR="00F0162B">
        <w:t xml:space="preserve">: </w:t>
      </w:r>
      <w:r w:rsidR="0025305D" w:rsidRPr="0073544E">
        <w:t>Evaluation of terrestrial carbon cycle models for their response to climate variability and to CO</w:t>
      </w:r>
      <w:r w:rsidR="0025305D" w:rsidRPr="0073544E">
        <w:rPr>
          <w:vertAlign w:val="subscript"/>
        </w:rPr>
        <w:t>2</w:t>
      </w:r>
      <w:r w:rsidR="0025305D" w:rsidRPr="0073544E">
        <w:t xml:space="preserve"> trends. Global Change Biology 19, 2117-2132, doi:10.</w:t>
      </w:r>
      <w:r w:rsidR="00AD7CA4">
        <w:t>1111/gcb.12187, 2013</w:t>
      </w:r>
      <w:r w:rsidR="0025305D" w:rsidRPr="0073544E">
        <w:t>.</w:t>
      </w:r>
    </w:p>
    <w:p w:rsidR="0025305D" w:rsidRPr="0073544E" w:rsidRDefault="0025305D" w:rsidP="0025305D"/>
    <w:p w:rsidR="0025305D" w:rsidRPr="0073544E" w:rsidRDefault="0025305D" w:rsidP="0025305D">
      <w:r w:rsidRPr="0073544E">
        <w:t>Pilcher, D.J., Brody, S.R., Johnson, L., and Bronselaer, B.</w:t>
      </w:r>
      <w:r w:rsidR="00AD7CA4">
        <w:t>:</w:t>
      </w:r>
      <w:r w:rsidRPr="0073544E">
        <w:t xml:space="preserve"> Assessing the abilities of CMIP5 models to represent the seasonal cycle of surface ocean pCO2. J. Geophys. Res. Oceans 120</w:t>
      </w:r>
      <w:r w:rsidR="00AD7CA4">
        <w:t>, 4625–4637,</w:t>
      </w:r>
      <w:r w:rsidR="00AD7CA4" w:rsidRPr="00AD7CA4">
        <w:t xml:space="preserve"> </w:t>
      </w:r>
      <w:r w:rsidR="00AD7CA4" w:rsidRPr="0073544E">
        <w:t>2015</w:t>
      </w:r>
    </w:p>
    <w:p w:rsidR="0025305D" w:rsidRPr="0073544E" w:rsidRDefault="0025305D" w:rsidP="0025305D"/>
    <w:p w:rsidR="0025305D" w:rsidRPr="0073544E" w:rsidRDefault="0025305D" w:rsidP="0025305D">
      <w:r w:rsidRPr="0073544E">
        <w:t>Pongratz J, Reick CH, Raddatz T, Claussen M.</w:t>
      </w:r>
      <w:r w:rsidR="00AD7CA4">
        <w:t>:</w:t>
      </w:r>
      <w:r w:rsidRPr="0073544E">
        <w:t xml:space="preserve"> Effects of anthropogenic land cover change on the carbon cycle of the last millennium. Global Biogeochemical Cycles, 23(4)</w:t>
      </w:r>
      <w:r w:rsidR="00AD7CA4" w:rsidRPr="00AD7CA4">
        <w:t xml:space="preserve"> </w:t>
      </w:r>
      <w:r w:rsidR="00AD7CA4" w:rsidRPr="0073544E">
        <w:t>, 2009</w:t>
      </w:r>
      <w:r w:rsidRPr="0073544E">
        <w:t>.</w:t>
      </w:r>
    </w:p>
    <w:p w:rsidR="0025305D" w:rsidRPr="0073544E" w:rsidRDefault="0025305D" w:rsidP="0025305D"/>
    <w:p w:rsidR="0025305D" w:rsidRPr="0073544E" w:rsidRDefault="0025305D" w:rsidP="0025305D">
      <w:r w:rsidRPr="0073544E">
        <w:t>Pongratz, J., Reick, C. H., Houghton, R. A., and House, J. I.</w:t>
      </w:r>
      <w:r w:rsidR="00AD7CA4">
        <w:t>:</w:t>
      </w:r>
      <w:r w:rsidRPr="0073544E">
        <w:t xml:space="preserve"> Terminology as a key uncertainty in net land use and land cover change carbon flux estimates, Earth Syst. Dynam., 5, 177-195, doi:10.5194/esd-5-177-2014</w:t>
      </w:r>
      <w:r w:rsidR="00AD7CA4" w:rsidRPr="0073544E">
        <w:t>, 2014</w:t>
      </w:r>
      <w:r w:rsidRPr="0073544E">
        <w:t>.</w:t>
      </w:r>
    </w:p>
    <w:p w:rsidR="0025305D" w:rsidRPr="0073544E" w:rsidRDefault="0025305D" w:rsidP="0025305D"/>
    <w:p w:rsidR="002135C3" w:rsidRDefault="0025305D" w:rsidP="002135C3">
      <w:r w:rsidRPr="0073544E">
        <w:t>Prentice, I. C.,</w:t>
      </w:r>
      <w:r w:rsidR="002135C3" w:rsidRPr="002135C3">
        <w:t xml:space="preserve"> </w:t>
      </w:r>
      <w:r w:rsidR="002135C3">
        <w:t>G.D. Farquhar, M.J.R. Fasham, M.L. Goulden, M. Heimann, V.J. Jaramillo, H.S. Kheshgi, C. Le Quéré,</w:t>
      </w:r>
    </w:p>
    <w:p w:rsidR="0025305D" w:rsidRPr="0073544E" w:rsidRDefault="002135C3" w:rsidP="002135C3">
      <w:r>
        <w:t>R.J. Scholes, D.W.R. Wallace</w:t>
      </w:r>
      <w:r w:rsidR="0025305D" w:rsidRPr="0073544E">
        <w:t>: The carbon cycle and atmospheric carbon dioxide. In: Climate Change 2001: The Scientific Basis. Contribution of Working Group I to the Third Assessment Report of the Intergovernmental Panel on Climate Change [J. T. Houghton, Y. Ding, D. J. Griggs, M. Noquer, P. J. van der Linden, X. Dai, K. Maskell and C. A. Johnson (eds.)]. Cambridge University Press, Cambridge, United Kingdom and New York, NY, USA, pp. 183–237</w:t>
      </w:r>
      <w:r w:rsidR="00AD7CA4" w:rsidRPr="0073544E">
        <w:t>, 2001</w:t>
      </w:r>
      <w:r w:rsidR="0025305D" w:rsidRPr="0073544E">
        <w:t>.</w:t>
      </w:r>
    </w:p>
    <w:p w:rsidR="0025305D" w:rsidRPr="0073544E" w:rsidRDefault="0025305D" w:rsidP="0025305D">
      <w:r w:rsidRPr="0073544E">
        <w:t xml:space="preserve"> </w:t>
      </w:r>
    </w:p>
    <w:p w:rsidR="0025305D" w:rsidRPr="0073544E" w:rsidRDefault="0025305D" w:rsidP="0025305D">
      <w:r w:rsidRPr="0073544E">
        <w:t>Raddatz T.J., Reick C.H., Knorr W., Kattge J., Roeckner E., Schnur R., Schnitzler K.-G., Wetzel P., Jungclaus J.</w:t>
      </w:r>
      <w:r w:rsidR="00AD7CA4">
        <w:t>:</w:t>
      </w:r>
      <w:r w:rsidRPr="0073544E">
        <w:t xml:space="preserve"> Will the tropical land biosphere dominate the climate-carbon cycle feedback during the twenty first century? Clim. Dyn., 29, 565-574, doi 10.1007/s00382-007-0247-8</w:t>
      </w:r>
      <w:r w:rsidR="00AD7CA4" w:rsidRPr="0073544E">
        <w:t>, 2007</w:t>
      </w:r>
    </w:p>
    <w:p w:rsidR="0025305D" w:rsidRPr="0073544E" w:rsidRDefault="0025305D" w:rsidP="0025305D"/>
    <w:p w:rsidR="0025305D" w:rsidRPr="0073544E" w:rsidRDefault="0025305D" w:rsidP="0025305D">
      <w:r w:rsidRPr="0073544E">
        <w:t>Randerson, J. T., K. Lindsay, E. Munoz, W. Fu, J. K. Moore, F. M. Hoffman, N. M. Mahowald, and S. C. Doney</w:t>
      </w:r>
      <w:r w:rsidR="00AD7CA4">
        <w:t>:</w:t>
      </w:r>
      <w:r w:rsidRPr="0073544E">
        <w:t xml:space="preserve"> Multicentury changes in ocean and land contributions to the climate-carbon feedback, Global Biogeochem. Cycles, 29, 744–759, doi:10.1002/2014GB005079</w:t>
      </w:r>
      <w:r w:rsidR="00AD7CA4" w:rsidRPr="0073544E">
        <w:t>, 2015</w:t>
      </w:r>
      <w:r w:rsidRPr="0073544E">
        <w:t>.</w:t>
      </w:r>
    </w:p>
    <w:p w:rsidR="0025305D" w:rsidRPr="0073544E" w:rsidRDefault="0025305D" w:rsidP="0025305D"/>
    <w:p w:rsidR="0025305D" w:rsidRPr="0073544E" w:rsidRDefault="002135C3" w:rsidP="0025305D">
      <w:r w:rsidRPr="002135C3">
        <w:t>Roy,T., L. Bopp, M. Gehlen, B. Schneider, P. Cadule, T.L. Frolicher, J. Segschneider, J. Tjiputra, C.Heinze, F. Joos</w:t>
      </w:r>
      <w:r w:rsidR="0025305D" w:rsidRPr="0073544E">
        <w:t>: Regional impacts of climate change and atmospheric CO2 on future ocean carbon uptake: A multimodel linear feedback analysis. J. Clim., 24, 2300–2318</w:t>
      </w:r>
      <w:r w:rsidR="00AD7CA4" w:rsidRPr="0073544E">
        <w:t>, 2011</w:t>
      </w:r>
      <w:r w:rsidR="0025305D" w:rsidRPr="0073544E">
        <w:t>.</w:t>
      </w:r>
    </w:p>
    <w:p w:rsidR="0025305D" w:rsidRPr="0073544E" w:rsidRDefault="0025305D" w:rsidP="0025305D"/>
    <w:p w:rsidR="0025305D" w:rsidRPr="0073544E" w:rsidRDefault="002135C3" w:rsidP="0025305D">
      <w:r w:rsidRPr="002135C3">
        <w:t>Rubino, M., Etheridge, D. M., Trudinger, C. M., Allison, C. E., Battle, M. O., Langenfelds, R. L., Steele, L. P., Curran, M., Bender, M., White, J. W. C., Jenk, T. M., Blunier, T., Francey, R. J.</w:t>
      </w:r>
      <w:r w:rsidR="0025305D" w:rsidRPr="0073544E">
        <w:t xml:space="preserve">: A revised 1000 year atmospheric </w:t>
      </w:r>
      <w:r w:rsidR="0025305D" w:rsidRPr="0073544E">
        <w:lastRenderedPageBreak/>
        <w:t>δ</w:t>
      </w:r>
      <w:r w:rsidR="0025305D" w:rsidRPr="0073544E">
        <w:rPr>
          <w:vertAlign w:val="superscript"/>
        </w:rPr>
        <w:t>13</w:t>
      </w:r>
      <w:r w:rsidR="0025305D" w:rsidRPr="0073544E">
        <w:t>C-CO</w:t>
      </w:r>
      <w:r w:rsidR="0025305D" w:rsidRPr="0073544E">
        <w:rPr>
          <w:vertAlign w:val="subscript"/>
        </w:rPr>
        <w:t>2</w:t>
      </w:r>
      <w:r w:rsidR="0025305D" w:rsidRPr="0073544E">
        <w:t xml:space="preserve"> record from Law Dome and South Pole, Antarctica, J. Geophys. Res. Atmos., 118, 8482–8499, doi:10.1002/jgrd.50668</w:t>
      </w:r>
      <w:r w:rsidR="00AD7CA4" w:rsidRPr="0073544E">
        <w:t>, 2013</w:t>
      </w:r>
      <w:r w:rsidR="0025305D" w:rsidRPr="0073544E">
        <w:t>.</w:t>
      </w:r>
    </w:p>
    <w:p w:rsidR="0025305D" w:rsidRPr="0073544E" w:rsidRDefault="0025305D" w:rsidP="0025305D"/>
    <w:p w:rsidR="0025305D" w:rsidRPr="0073544E" w:rsidRDefault="0025305D" w:rsidP="0025305D">
      <w:r w:rsidRPr="0073544E">
        <w:t>Saatchi</w:t>
      </w:r>
      <w:r w:rsidR="00AD7CA4">
        <w:t xml:space="preserve"> SS, Harris NL, Brown S et al.:</w:t>
      </w:r>
      <w:r w:rsidRPr="0073544E">
        <w:t xml:space="preserve"> Benchmark map of forest carbon stocks in tropical regions across three continents. Proceedings of the National Academy of Sciences, 108, 9899–9904</w:t>
      </w:r>
      <w:r w:rsidR="00AD7CA4">
        <w:t>, 2011</w:t>
      </w:r>
      <w:r w:rsidRPr="0073544E">
        <w:t>.</w:t>
      </w:r>
    </w:p>
    <w:p w:rsidR="0025305D" w:rsidRPr="0073544E" w:rsidRDefault="0025305D" w:rsidP="0025305D"/>
    <w:p w:rsidR="0025305D" w:rsidRPr="0073544E" w:rsidRDefault="0025305D" w:rsidP="0025305D">
      <w:r w:rsidRPr="0073544E">
        <w:t>Sarmiento, J.L., and C. Le Quéré: Oceanic carbon dioxide uptake in a model of century-scale global warming. Science, 274, 1346-1350</w:t>
      </w:r>
      <w:r w:rsidR="00AD7CA4" w:rsidRPr="0073544E">
        <w:t>, 1996</w:t>
      </w:r>
      <w:r w:rsidRPr="0073544E">
        <w:t xml:space="preserve">. </w:t>
      </w:r>
    </w:p>
    <w:p w:rsidR="0025305D" w:rsidRPr="0073544E" w:rsidRDefault="0025305D" w:rsidP="0025305D">
      <w:r w:rsidRPr="0073544E">
        <w:t xml:space="preserve"> </w:t>
      </w:r>
    </w:p>
    <w:p w:rsidR="0025305D" w:rsidRPr="0073544E" w:rsidRDefault="0025305D" w:rsidP="0025305D">
      <w:r w:rsidRPr="0073544E">
        <w:t>Sarmiento, J.L., T.M.C. Hughes, R.J. Stouffer, and S. Manabe: Simulated response of the ocean carbon cycle to anthropogenic climate warming. Nature, 393, 245-249</w:t>
      </w:r>
      <w:r w:rsidR="00AD7CA4" w:rsidRPr="0073544E">
        <w:t>, 1998</w:t>
      </w:r>
      <w:r w:rsidRPr="0073544E">
        <w:t xml:space="preserve">. </w:t>
      </w:r>
    </w:p>
    <w:p w:rsidR="0025305D" w:rsidRPr="0073544E" w:rsidRDefault="0025305D" w:rsidP="0025305D">
      <w:r w:rsidRPr="0073544E">
        <w:t xml:space="preserve"> </w:t>
      </w:r>
    </w:p>
    <w:p w:rsidR="0025305D" w:rsidRPr="0073544E" w:rsidRDefault="0025305D" w:rsidP="0025305D">
      <w:r w:rsidRPr="0073544E">
        <w:t>Schimel, D.S., B.H. Braswell, E.A. Holland, R. McKeown, D.S. Ojima, T.H. Painter, W.J. Parton, and A.R. Townsend: Climatic, edaphic and biotic controls over carbon and turnover of carbon in soils. Global Bi</w:t>
      </w:r>
      <w:r w:rsidR="00AD7CA4">
        <w:t>ogeochemical Cycles, 8, 279-293</w:t>
      </w:r>
      <w:r w:rsidR="00AD7CA4" w:rsidRPr="0073544E">
        <w:t>, 1994</w:t>
      </w:r>
    </w:p>
    <w:p w:rsidR="0025305D" w:rsidRPr="0073544E" w:rsidRDefault="0025305D" w:rsidP="0025305D">
      <w:r w:rsidRPr="0073544E">
        <w:t xml:space="preserve"> </w:t>
      </w:r>
    </w:p>
    <w:p w:rsidR="0025305D" w:rsidRPr="0073544E" w:rsidRDefault="0025305D" w:rsidP="0025305D">
      <w:r w:rsidRPr="0073544E">
        <w:t>Schwinger, J., J.F. Tjiputra, C. Heinze, L. Bopp, J.R. Christian, M. Gehlen, T. Ilyina, C.D. Jones, D. Salas-Mélia, J. Segschneider, R. Séférian, I.J. Totterdell: Nonlinearity of Ocean Carbon Cycle Feedbacks in CMIP5 Earth System Models. Journal of Climate, 27, pp. 3869-3888</w:t>
      </w:r>
      <w:r w:rsidR="00AD7CA4" w:rsidRPr="0073544E">
        <w:t>, 2014</w:t>
      </w:r>
      <w:r w:rsidRPr="0073544E">
        <w:t>.</w:t>
      </w:r>
    </w:p>
    <w:p w:rsidR="0025305D" w:rsidRPr="0073544E" w:rsidRDefault="0025305D" w:rsidP="0025305D"/>
    <w:p w:rsidR="0025305D" w:rsidRPr="0073544E" w:rsidRDefault="00384DC3" w:rsidP="0025305D">
      <w:r w:rsidRPr="00384DC3">
        <w:t>Sentman, L.T., E. Shevliakova, R.J. Stouffer and S. Malyshev</w:t>
      </w:r>
      <w:r>
        <w:t xml:space="preserve">: </w:t>
      </w:r>
      <w:r w:rsidR="0025305D" w:rsidRPr="0073544E">
        <w:t>Time scales of terrestrial carbon response related to land-use application: Implications for initializing an Earth System Model. Earth Interactions 15, 30: 1-16</w:t>
      </w:r>
      <w:r w:rsidR="00AD7CA4" w:rsidRPr="0073544E">
        <w:t>, 2011</w:t>
      </w:r>
      <w:r w:rsidR="0025305D" w:rsidRPr="0073544E">
        <w:t>.</w:t>
      </w:r>
    </w:p>
    <w:p w:rsidR="00F11551" w:rsidRPr="0073544E" w:rsidRDefault="00F11551" w:rsidP="0025305D"/>
    <w:p w:rsidR="00F11551" w:rsidRPr="0073544E" w:rsidRDefault="00F11551" w:rsidP="00F11551">
      <w:r w:rsidRPr="0073544E">
        <w:t>Sitch, S., Friedlingstein, P., Gruber, N., Jones, S. D., Murray-Tortarolo, G., Ahlström, A., Doney, S. C., Graven, H., Heinze,</w:t>
      </w:r>
    </w:p>
    <w:p w:rsidR="00F11551" w:rsidRPr="0073544E" w:rsidRDefault="00F11551" w:rsidP="00F11551">
      <w:r w:rsidRPr="0073544E">
        <w:t>C., Huntingford, C., Levis, S., Levy, P. E., Lomas, M., Poulter, B., Viovy, N., Zaehle, S., Zeng, N., Arneth, A., Bonan,</w:t>
      </w:r>
    </w:p>
    <w:p w:rsidR="00F11551" w:rsidRPr="0073544E" w:rsidRDefault="00F11551" w:rsidP="00F11551">
      <w:r w:rsidRPr="0073544E">
        <w:t>G., Bopp, L., Canadell, J. G., Chevallier, F., Ciais, P., Ellis, R., Gloor, M., Peylin, P., Piao, S. L., Le Quéré, C., Smith, B.,</w:t>
      </w:r>
    </w:p>
    <w:p w:rsidR="00F11551" w:rsidRPr="0073544E" w:rsidRDefault="00F11551" w:rsidP="00F11551">
      <w:r w:rsidRPr="0073544E">
        <w:lastRenderedPageBreak/>
        <w:t>Zhu, Z., and Myneni, R.: Recent trends and drivers of regional sources and sinks of carbon dioxide, Biogeosciences, 12, 653–679, doi:10.5194/bg-12-653-2015, 2015.</w:t>
      </w:r>
    </w:p>
    <w:p w:rsidR="0025305D" w:rsidRPr="0073544E" w:rsidRDefault="0025305D" w:rsidP="0025305D"/>
    <w:p w:rsidR="0025305D" w:rsidRPr="0073544E" w:rsidRDefault="0025305D" w:rsidP="0025305D">
      <w:r w:rsidRPr="0073544E">
        <w:t>Sweeney, C., E. Gloor, A. R. Jacobson, R. M. Key, G. McKinley, J. L. Sarmiento, and R. Wanninkhof: Constraining global air-sea gas exchange for CO</w:t>
      </w:r>
      <w:r w:rsidRPr="0073544E">
        <w:rPr>
          <w:vertAlign w:val="subscript"/>
        </w:rPr>
        <w:t>2</w:t>
      </w:r>
      <w:r w:rsidRPr="0073544E">
        <w:t xml:space="preserve"> with recent bomb </w:t>
      </w:r>
      <w:r w:rsidRPr="0073544E">
        <w:rPr>
          <w:vertAlign w:val="superscript"/>
        </w:rPr>
        <w:t>14</w:t>
      </w:r>
      <w:r w:rsidRPr="0073544E">
        <w:t>C measurements, Global Biogeochem. Cycles, 21, GB2015, doi:10.1029/2006GB002784</w:t>
      </w:r>
      <w:r w:rsidR="00AD7CA4" w:rsidRPr="0073544E">
        <w:t>, 2007</w:t>
      </w:r>
      <w:r w:rsidRPr="0073544E">
        <w:t>.</w:t>
      </w:r>
    </w:p>
    <w:p w:rsidR="0025305D" w:rsidRPr="0073544E" w:rsidRDefault="0025305D" w:rsidP="0025305D"/>
    <w:p w:rsidR="0025305D" w:rsidRPr="0073544E" w:rsidRDefault="0025305D" w:rsidP="0025305D">
      <w:r w:rsidRPr="0073544E">
        <w:t>Strassmann, K. M., F. Joos, and G. Fischer: Simulating effects of land use changes on carbon fluxes: Past contributions to atmospheric CO2 increases and future commitments due to losses of terrestrial sink capacity. Tellus B, 60, 583–603</w:t>
      </w:r>
      <w:r w:rsidR="00AD7CA4" w:rsidRPr="0073544E">
        <w:t>, 2008</w:t>
      </w:r>
      <w:r w:rsidRPr="0073544E">
        <w:t>.</w:t>
      </w:r>
    </w:p>
    <w:p w:rsidR="0025305D" w:rsidRPr="0073544E" w:rsidRDefault="0025305D" w:rsidP="0025305D"/>
    <w:p w:rsidR="0025305D" w:rsidRPr="0073544E" w:rsidRDefault="0025305D" w:rsidP="0025305D">
      <w:r w:rsidRPr="0073544E">
        <w:t>Tagliabue, A., Mtshali, T., Aumont, O., Bowie, A.R., Klunder, M.B., Roy</w:t>
      </w:r>
      <w:r w:rsidR="00AD7CA4">
        <w:t>choudhury, A.N., and Swart, S.:</w:t>
      </w:r>
      <w:r w:rsidRPr="0073544E">
        <w:t xml:space="preserve"> A global compilation of dissolved iron measurements: focus on distributions and processes in the Southern Ocean. Biogeosciences 9, 2333–2349</w:t>
      </w:r>
      <w:r w:rsidR="00AD7CA4">
        <w:t>, 2012</w:t>
      </w:r>
      <w:r w:rsidRPr="0073544E">
        <w:t>.</w:t>
      </w:r>
    </w:p>
    <w:p w:rsidR="0025305D" w:rsidRPr="0073544E" w:rsidRDefault="0025305D" w:rsidP="0025305D"/>
    <w:p w:rsidR="0025305D" w:rsidRPr="0073544E" w:rsidRDefault="00E9125F" w:rsidP="0025305D">
      <w:r w:rsidRPr="00E9125F">
        <w:t>Takahashi, T., S.C. Sutherland, R. Wanninkhof, C. Sweeney, R.A. Feely, D.W. Chipman, B. Hales, G. Friederich, F. Chavez, C. Sabine, A. Watson, D.C.E. Bakker, U. Schuster, N. Metzl, H. Yoshikawa-Inoue, M. Ishii, T. Midorikawa, Y. Nojiri, A. Kortzinger, T. Steinhoff, M. Hoppema, J. Olafsson, T.S. Arnarson, B. Tilbrook, T. Johannessen, A. Olsen, R. Bellerby, C.S. Wong, B. Delille, N.R. Bates, H.J.W. de Baar</w:t>
      </w:r>
      <w:r w:rsidR="00AD7CA4">
        <w:t>:</w:t>
      </w:r>
      <w:r w:rsidR="0025305D" w:rsidRPr="0073544E">
        <w:t xml:space="preserve"> Climatological mean and decadal change in surface ocean pCO2, and net sea–air CO2 flux over the global oceans. Deep Sea Research Part II: Topical Studies in Oceanography 56, 554–577</w:t>
      </w:r>
      <w:r w:rsidR="00AD7CA4">
        <w:t>, 2009</w:t>
      </w:r>
      <w:r w:rsidR="0025305D" w:rsidRPr="0073544E">
        <w:t>.</w:t>
      </w:r>
    </w:p>
    <w:p w:rsidR="0025305D" w:rsidRPr="0073544E" w:rsidRDefault="0025305D" w:rsidP="0025305D"/>
    <w:p w:rsidR="0025305D" w:rsidRPr="0073544E" w:rsidRDefault="0025305D" w:rsidP="0025305D">
      <w:r w:rsidRPr="0073544E">
        <w:t>Taylor, K. E., Stou</w:t>
      </w:r>
      <w:r w:rsidRPr="0073544E">
        <w:rPr>
          <w:rFonts w:ascii="Cambria Math" w:hAnsi="Cambria Math" w:cs="Cambria Math"/>
        </w:rPr>
        <w:t>ﬀ</w:t>
      </w:r>
      <w:r w:rsidRPr="0073544E">
        <w:t>er, R. J., and Meehl, G. A.: An overview of CMIP5 and the experiment design, B. Am. Meteorol. Soc., 93, 485–498, 2012.</w:t>
      </w:r>
    </w:p>
    <w:p w:rsidR="0025305D" w:rsidRPr="0073544E" w:rsidRDefault="0025305D" w:rsidP="0025305D"/>
    <w:p w:rsidR="0025305D" w:rsidRPr="0073544E" w:rsidRDefault="0025305D" w:rsidP="0025305D">
      <w:r w:rsidRPr="0073544E">
        <w:t>Thompson, S. L., B. Govindasamy, A. Mirin, K. Caldeira, C. Delire, J. Milovich, M. Wickett, and D. Erickson: Quantifying the effects of CO2-fertilized vegetation on future global climate. Geophys. Res. Lett., 31, L23211, doi:10.1029/ 2004GL021239</w:t>
      </w:r>
      <w:r w:rsidR="00AD7CA4" w:rsidRPr="0073544E">
        <w:t>, 2004</w:t>
      </w:r>
      <w:r w:rsidRPr="0073544E">
        <w:t xml:space="preserve">. </w:t>
      </w:r>
    </w:p>
    <w:p w:rsidR="004A4A31" w:rsidRPr="0073544E" w:rsidRDefault="004A4A31" w:rsidP="0025305D"/>
    <w:p w:rsidR="004A4A31" w:rsidRPr="0073544E" w:rsidRDefault="004A4A31" w:rsidP="0025305D">
      <w:r w:rsidRPr="0073544E">
        <w:t xml:space="preserve">Thornton, P.E., S.C. Doney, K. Lindsay, J.K. Moore, N. Mahowald, J.T. Randerson, I. Fung, J.-F. Lamarque, J.J. Feddema, and Y.-H. Lee: Carbon-nitrogen interactions regulate climate-carbon cycle feedbacks: results from </w:t>
      </w:r>
      <w:r w:rsidRPr="0073544E">
        <w:lastRenderedPageBreak/>
        <w:t>an atmosphere-ocean general circulation model. Biogeosciences. 6: 2099-2120. www.biogeosciences.net/6/2099/2009</w:t>
      </w:r>
      <w:r w:rsidR="00AD7CA4" w:rsidRPr="0073544E">
        <w:t>, 2009</w:t>
      </w:r>
    </w:p>
    <w:p w:rsidR="0025305D" w:rsidRPr="0073544E" w:rsidRDefault="0025305D" w:rsidP="0025305D"/>
    <w:p w:rsidR="0025305D" w:rsidRPr="0073544E" w:rsidRDefault="0025305D" w:rsidP="0025305D">
      <w:r w:rsidRPr="0073544E">
        <w:t>Tjiputra, J. F., Roelandt, C., Bentsen, M., Lawrence, D. M., Lorentzen, T., Schwinger, J., Seland, Ø., and Heinze, C..  Evaluation of the carbon cycle components in the Norwegian Earth System Model (NorESM), Geosci. Model Dev., 6, 301-325, doi:10.5194/gmd-6-301-2013</w:t>
      </w:r>
      <w:r w:rsidR="00AD7CA4" w:rsidRPr="0073544E">
        <w:t>, 2013</w:t>
      </w:r>
      <w:r w:rsidRPr="0073544E">
        <w:t>.</w:t>
      </w:r>
    </w:p>
    <w:p w:rsidR="0025305D" w:rsidRPr="0073544E" w:rsidRDefault="0025305D" w:rsidP="0025305D"/>
    <w:p w:rsidR="0025305D" w:rsidRPr="0073544E" w:rsidRDefault="0027691E" w:rsidP="0025305D">
      <w:r w:rsidRPr="0027691E">
        <w:t xml:space="preserve">Tjiputra, J.F., A. Olsen, L. Bopp, A. Lenton, B. Pfeil, T. Roy, J. Segschneider, I. Totterdell and C. </w:t>
      </w:r>
      <w:r>
        <w:t>H</w:t>
      </w:r>
      <w:r w:rsidRPr="0027691E">
        <w:t>einze:</w:t>
      </w:r>
      <w:r>
        <w:t xml:space="preserve"> </w:t>
      </w:r>
      <w:r w:rsidR="0025305D" w:rsidRPr="0073544E">
        <w:t>Long-term surface pCO 2 trends from observations and models, Tellus B, 66</w:t>
      </w:r>
      <w:r w:rsidR="00AD7CA4" w:rsidRPr="0073544E">
        <w:t>, 2014</w:t>
      </w:r>
      <w:r w:rsidR="0025305D" w:rsidRPr="0073544E">
        <w:t>.</w:t>
      </w:r>
    </w:p>
    <w:p w:rsidR="0025305D" w:rsidRPr="0073544E" w:rsidRDefault="0025305D" w:rsidP="0025305D"/>
    <w:p w:rsidR="0025305D" w:rsidRPr="0073544E" w:rsidRDefault="0025305D" w:rsidP="0025305D">
      <w:r w:rsidRPr="0073544E">
        <w:t>Todd-Brown, K. E. O., Randerson, J. T., Hopkins, F., Arora, V., Hajima, T., Jones, C., Shevliakova, E., Tjiputra, J., Volodin, E., Wu, T., Zhang, Q., and Allison, S. D.</w:t>
      </w:r>
      <w:r w:rsidR="00AD7CA4">
        <w:t>:</w:t>
      </w:r>
      <w:r w:rsidRPr="0073544E">
        <w:t xml:space="preserve"> Changes in soil organic carbon storage predicted by Earth system models during the 21st century, Biogeosciences, 11, 2341-2356, doi:10.5194/bg-11-2341-2014</w:t>
      </w:r>
      <w:r w:rsidR="00AD7CA4" w:rsidRPr="0073544E">
        <w:t>, 2014</w:t>
      </w:r>
      <w:r w:rsidRPr="0073544E">
        <w:t>.</w:t>
      </w:r>
    </w:p>
    <w:p w:rsidR="0025305D" w:rsidRPr="0073544E" w:rsidRDefault="0025305D" w:rsidP="0025305D"/>
    <w:p w:rsidR="0025305D" w:rsidRPr="0073544E" w:rsidRDefault="0025305D" w:rsidP="0025305D">
      <w:r w:rsidRPr="0073544E">
        <w:t>Trumbore, S.: Age of soil organic matter and soil respiration: radiocarbon constraints on belowground C dynamics. Ecological Applications, 10(2), 399-411</w:t>
      </w:r>
      <w:r w:rsidR="00AD7CA4">
        <w:t xml:space="preserve">, </w:t>
      </w:r>
      <w:r w:rsidR="00AD7CA4" w:rsidRPr="0073544E">
        <w:t>2000</w:t>
      </w:r>
    </w:p>
    <w:p w:rsidR="0025305D" w:rsidRPr="0073544E" w:rsidRDefault="0025305D" w:rsidP="0025305D"/>
    <w:p w:rsidR="0025305D" w:rsidRPr="0073544E" w:rsidRDefault="0025305D" w:rsidP="0025305D">
      <w:r w:rsidRPr="0073544E">
        <w:t>Wenzel S, Cox PM, Eyring V, Friedlingstein P</w:t>
      </w:r>
      <w:r w:rsidR="00AD7CA4">
        <w:t xml:space="preserve">.: </w:t>
      </w:r>
      <w:hyperlink r:id="rId30">
        <w:r w:rsidRPr="0073544E">
          <w:t>Emergent constraints on climate-carbon cycle feedbacks in the CMIP5 Earth system models</w:t>
        </w:r>
      </w:hyperlink>
      <w:r w:rsidR="00D02A5A">
        <w:t xml:space="preserve">, </w:t>
      </w:r>
      <w:r w:rsidRPr="0073544E">
        <w:t>Journal of Geophysical Research: Biogeosciences, 119(5), 794-807, doi:10.1002/2013JG002591</w:t>
      </w:r>
      <w:r w:rsidR="00AD7CA4" w:rsidRPr="0073544E">
        <w:t>, 2014</w:t>
      </w:r>
      <w:r w:rsidRPr="0073544E">
        <w:t>.</w:t>
      </w:r>
    </w:p>
    <w:p w:rsidR="0025305D" w:rsidRPr="0073544E" w:rsidRDefault="0025305D" w:rsidP="0025305D"/>
    <w:p w:rsidR="0025305D" w:rsidRPr="0073544E" w:rsidRDefault="0025305D" w:rsidP="0025305D">
      <w:r w:rsidRPr="0073544E">
        <w:t>Wieder, W.R., Cleveland, C.C., Smith, W.K. and Todd-Brown, K.</w:t>
      </w:r>
      <w:r w:rsidR="00AD7CA4">
        <w:t>:</w:t>
      </w:r>
      <w:r w:rsidRPr="0073544E">
        <w:t xml:space="preserve"> Future productivity and carbon storage limited by terrestrial nutrient availability. Nature Geosci, doi:10.1038/ngeo2413</w:t>
      </w:r>
      <w:r w:rsidR="00AD7CA4" w:rsidRPr="0073544E">
        <w:t>, 2015</w:t>
      </w:r>
    </w:p>
    <w:p w:rsidR="00AE3BD2" w:rsidRPr="0073544E" w:rsidRDefault="00AE3BD2" w:rsidP="0025305D"/>
    <w:p w:rsidR="00AE3BD2" w:rsidRPr="0073544E" w:rsidRDefault="00AE3BD2" w:rsidP="00AE3BD2">
      <w:r w:rsidRPr="0073544E">
        <w:t>Xia J, Luo Y, Wang Y, Weng E, Hararuk O</w:t>
      </w:r>
      <w:r w:rsidR="00AD7CA4">
        <w:t>.:</w:t>
      </w:r>
      <w:r w:rsidRPr="0073544E">
        <w:t xml:space="preserve"> A semi-analytical solution to accelerate spin-up of a coupled carbon and nitrogen land model to steady state. Geoscientiﬁc Model Development, 5, 1259–1271</w:t>
      </w:r>
      <w:r w:rsidR="00AD7CA4">
        <w:t>,</w:t>
      </w:r>
      <w:r w:rsidR="00AD7CA4" w:rsidRPr="00AD7CA4">
        <w:t xml:space="preserve"> </w:t>
      </w:r>
      <w:r w:rsidR="00AD7CA4" w:rsidRPr="0073544E">
        <w:t>2012</w:t>
      </w:r>
    </w:p>
    <w:p w:rsidR="0025305D" w:rsidRPr="0073544E" w:rsidRDefault="0025305D" w:rsidP="0025305D"/>
    <w:p w:rsidR="0025305D" w:rsidRPr="0073544E" w:rsidRDefault="0025305D" w:rsidP="0025305D">
      <w:r w:rsidRPr="0073544E">
        <w:t>Xia, J., Luo, Y., Wang, Y.-P. and Hararuk, O.. Traceable components of terrestrial carbon storage capacity in biogeochemical models. Glob Change Biol, 19: 2104–2116. doi:10.1111/gcb.12172</w:t>
      </w:r>
      <w:r w:rsidR="00AD7CA4" w:rsidRPr="0073544E">
        <w:t>, 2013</w:t>
      </w:r>
    </w:p>
    <w:p w:rsidR="0025305D" w:rsidRPr="0073544E" w:rsidRDefault="0025305D" w:rsidP="0025305D"/>
    <w:p w:rsidR="0025305D" w:rsidRPr="0073544E" w:rsidRDefault="0025305D" w:rsidP="0025305D">
      <w:r w:rsidRPr="0073544E">
        <w:lastRenderedPageBreak/>
        <w:t>Zaehle, S. and D. Dalmonech</w:t>
      </w:r>
      <w:r w:rsidR="00AD7CA4">
        <w:t>:</w:t>
      </w:r>
      <w:r w:rsidRPr="0073544E">
        <w:t xml:space="preserve"> Carbon–nitrogen interactions on land at global scales: Current understanding in modelling climate biosphere feedbacks. Curr. Opin. Environ. Sustainability, 3, 311–320, doi:10.1016/j.cosust.2011.08.008</w:t>
      </w:r>
      <w:r w:rsidR="00AD7CA4" w:rsidRPr="0073544E">
        <w:t>, 2011</w:t>
      </w:r>
      <w:r w:rsidRPr="0073544E">
        <w:t>.</w:t>
      </w:r>
    </w:p>
    <w:p w:rsidR="0025305D" w:rsidRPr="0073544E" w:rsidRDefault="0025305D" w:rsidP="0025305D"/>
    <w:p w:rsidR="0025305D" w:rsidRPr="0073544E" w:rsidRDefault="00C34F07" w:rsidP="0025305D">
      <w:r w:rsidRPr="00C34F07">
        <w:t>Zaehle, S., Medlyn, B. E., De Kauwe, M. G., Walker, A. P., Dietze, M. C., Hickler, T., Luo, Y., Wang, Y.-P., El-Masri, B., Thornton, P., Jain, A., Wang, S., Warlind, D., Weng, E., Parton, W., Iversen, C. M., Gallet-Budynek, A., McCarthy, H., Finzi, A., Hanson, P. J., Prentice, I. C., Oren, R. and Norby, R. J.</w:t>
      </w:r>
      <w:r>
        <w:t xml:space="preserve">: </w:t>
      </w:r>
      <w:r w:rsidR="0025305D" w:rsidRPr="0073544E">
        <w:t>Evaluation of 11 terrestrial carbon–nitrogen cycle models against observations from two temperate free-air CO2 enrichment studies. New Phytol., 202, 803–822, doi:10.1111/nph.12697</w:t>
      </w:r>
      <w:r w:rsidR="00AD7CA4" w:rsidRPr="0073544E">
        <w:t>, 2014</w:t>
      </w:r>
      <w:r w:rsidR="0025305D" w:rsidRPr="0073544E">
        <w:t>.</w:t>
      </w:r>
    </w:p>
    <w:p w:rsidR="0025305D" w:rsidRPr="0073544E" w:rsidRDefault="0025305D" w:rsidP="0025305D"/>
    <w:p w:rsidR="0025305D" w:rsidRPr="0073544E" w:rsidRDefault="0025305D" w:rsidP="0025305D">
      <w:r w:rsidRPr="0073544E">
        <w:t>Zaehle, S., C.D. Jones, B. Houlton, J.-F. Lamarque, and E. Robertson: Nitrogen Availability Reduces CMIP5 Projections of Twenty-First-Century Land Carbon Uptake. J. Climate, 28, 2494–2511</w:t>
      </w:r>
      <w:r w:rsidR="00AD7CA4" w:rsidRPr="0073544E">
        <w:t>, 2015</w:t>
      </w:r>
      <w:r w:rsidRPr="0073544E">
        <w:t xml:space="preserve">. </w:t>
      </w:r>
    </w:p>
    <w:p w:rsidR="0025305D" w:rsidRDefault="0025305D" w:rsidP="0025305D"/>
    <w:sectPr w:rsidR="0025305D" w:rsidSect="0091791F">
      <w:footerReference w:type="default" r:id="rId31"/>
      <w:pgSz w:w="11907" w:h="13608"/>
      <w:pgMar w:top="567" w:right="936" w:bottom="1338" w:left="936" w:header="0" w:footer="737" w:gutter="0"/>
      <w:lnNumType w:countBy="5" w:distance="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B93" w:rsidRDefault="00D11B93" w:rsidP="006D0C96">
      <w:pPr>
        <w:spacing w:line="240" w:lineRule="auto"/>
      </w:pPr>
      <w:r>
        <w:separator/>
      </w:r>
    </w:p>
  </w:endnote>
  <w:endnote w:type="continuationSeparator" w:id="0">
    <w:p w:rsidR="00D11B93" w:rsidRDefault="00D11B93" w:rsidP="006D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ova Mon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788171"/>
      <w:docPartObj>
        <w:docPartGallery w:val="Page Numbers (Bottom of Page)"/>
        <w:docPartUnique/>
      </w:docPartObj>
    </w:sdtPr>
    <w:sdtEndPr>
      <w:rPr>
        <w:noProof/>
      </w:rPr>
    </w:sdtEndPr>
    <w:sdtContent>
      <w:p w:rsidR="00AD28CF" w:rsidRDefault="00AD28CF">
        <w:pPr>
          <w:pStyle w:val="Footer"/>
          <w:tabs>
            <w:tab w:val="left" w:pos="3916"/>
            <w:tab w:val="center" w:pos="5017"/>
          </w:tabs>
          <w:jc w:val="left"/>
        </w:pPr>
        <w:r>
          <w:tab/>
        </w:r>
        <w:r>
          <w:tab/>
        </w:r>
        <w:r>
          <w:tab/>
        </w:r>
        <w:r w:rsidR="00D11B93">
          <w:fldChar w:fldCharType="begin"/>
        </w:r>
        <w:r w:rsidR="00D11B93">
          <w:instrText xml:space="preserve"> PAGE   \* MERGEFORMAT </w:instrText>
        </w:r>
        <w:r w:rsidR="00D11B93">
          <w:fldChar w:fldCharType="separate"/>
        </w:r>
        <w:r w:rsidR="00E501E1">
          <w:rPr>
            <w:noProof/>
          </w:rPr>
          <w:t>1</w:t>
        </w:r>
        <w:r w:rsidR="00D11B93">
          <w:rPr>
            <w:noProof/>
          </w:rPr>
          <w:fldChar w:fldCharType="end"/>
        </w:r>
      </w:p>
    </w:sdtContent>
  </w:sdt>
  <w:p w:rsidR="00AD28CF" w:rsidRDefault="00AD2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B93" w:rsidRDefault="00D11B93" w:rsidP="006D0C96">
      <w:pPr>
        <w:spacing w:line="240" w:lineRule="auto"/>
      </w:pPr>
      <w:r>
        <w:separator/>
      </w:r>
    </w:p>
  </w:footnote>
  <w:footnote w:type="continuationSeparator" w:id="0">
    <w:p w:rsidR="00D11B93" w:rsidRDefault="00D11B93" w:rsidP="006D0C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757"/>
    <w:multiLevelType w:val="hybridMultilevel"/>
    <w:tmpl w:val="F8267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067CE"/>
    <w:multiLevelType w:val="hybridMultilevel"/>
    <w:tmpl w:val="3ABE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04EF7"/>
    <w:multiLevelType w:val="hybridMultilevel"/>
    <w:tmpl w:val="2D4C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94403"/>
    <w:multiLevelType w:val="hybridMultilevel"/>
    <w:tmpl w:val="E6ECA0A2"/>
    <w:lvl w:ilvl="0" w:tplc="35A460C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0162F"/>
    <w:multiLevelType w:val="hybridMultilevel"/>
    <w:tmpl w:val="8716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E766F"/>
    <w:multiLevelType w:val="multilevel"/>
    <w:tmpl w:val="4698BF7C"/>
    <w:lvl w:ilvl="0">
      <w:start w:val="1"/>
      <w:numFmt w:val="lowerRoman"/>
      <w:lvlText w:val="%1."/>
      <w:lvlJc w:val="right"/>
      <w:pPr>
        <w:ind w:left="720" w:firstLine="1080"/>
      </w:pPr>
      <w:rPr>
        <w:u w:val="none"/>
      </w:rPr>
    </w:lvl>
    <w:lvl w:ilvl="1">
      <w:start w:val="1"/>
      <w:numFmt w:val="upperLetter"/>
      <w:lvlText w:val="%2."/>
      <w:lvlJc w:val="lef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15:restartNumberingAfterBreak="0">
    <w:nsid w:val="23621EB8"/>
    <w:multiLevelType w:val="hybridMultilevel"/>
    <w:tmpl w:val="B3626938"/>
    <w:lvl w:ilvl="0" w:tplc="F29A847E">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81A01"/>
    <w:multiLevelType w:val="multilevel"/>
    <w:tmpl w:val="9984F8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8155FD1"/>
    <w:multiLevelType w:val="multilevel"/>
    <w:tmpl w:val="70B0828A"/>
    <w:lvl w:ilvl="0">
      <w:start w:val="1"/>
      <w:numFmt w:val="lowerRoman"/>
      <w:lvlText w:val="%1."/>
      <w:lvlJc w:val="right"/>
      <w:pPr>
        <w:ind w:left="720" w:firstLine="1080"/>
      </w:pPr>
      <w:rPr>
        <w:u w:val="none"/>
      </w:rPr>
    </w:lvl>
    <w:lvl w:ilvl="1">
      <w:start w:val="1"/>
      <w:numFmt w:val="upperLetter"/>
      <w:lvlText w:val="%2."/>
      <w:lvlJc w:val="lef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9" w15:restartNumberingAfterBreak="0">
    <w:nsid w:val="2B42417B"/>
    <w:multiLevelType w:val="hybridMultilevel"/>
    <w:tmpl w:val="B906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03074"/>
    <w:multiLevelType w:val="multilevel"/>
    <w:tmpl w:val="3B8E06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CFB31DB"/>
    <w:multiLevelType w:val="hybridMultilevel"/>
    <w:tmpl w:val="CAAE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57F3A"/>
    <w:multiLevelType w:val="hybridMultilevel"/>
    <w:tmpl w:val="3B1E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C67B2"/>
    <w:multiLevelType w:val="hybridMultilevel"/>
    <w:tmpl w:val="BEC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37D9F"/>
    <w:multiLevelType w:val="hybridMultilevel"/>
    <w:tmpl w:val="1124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21083"/>
    <w:multiLevelType w:val="hybridMultilevel"/>
    <w:tmpl w:val="5068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85487"/>
    <w:multiLevelType w:val="multilevel"/>
    <w:tmpl w:val="FFD89A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6"/>
  </w:num>
  <w:num w:numId="3">
    <w:abstractNumId w:val="3"/>
  </w:num>
  <w:num w:numId="4">
    <w:abstractNumId w:val="16"/>
  </w:num>
  <w:num w:numId="5">
    <w:abstractNumId w:val="12"/>
  </w:num>
  <w:num w:numId="6">
    <w:abstractNumId w:val="11"/>
  </w:num>
  <w:num w:numId="7">
    <w:abstractNumId w:val="4"/>
  </w:num>
  <w:num w:numId="8">
    <w:abstractNumId w:val="2"/>
  </w:num>
  <w:num w:numId="9">
    <w:abstractNumId w:val="8"/>
  </w:num>
  <w:num w:numId="10">
    <w:abstractNumId w:val="10"/>
  </w:num>
  <w:num w:numId="11">
    <w:abstractNumId w:val="0"/>
  </w:num>
  <w:num w:numId="12">
    <w:abstractNumId w:val="13"/>
  </w:num>
  <w:num w:numId="13">
    <w:abstractNumId w:val="1"/>
  </w:num>
  <w:num w:numId="14">
    <w:abstractNumId w:val="14"/>
  </w:num>
  <w:num w:numId="15">
    <w:abstractNumId w:val="15"/>
  </w:num>
  <w:num w:numId="16">
    <w:abstractNumId w:val="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13"/>
    <w:rsid w:val="000038F8"/>
    <w:rsid w:val="0000748C"/>
    <w:rsid w:val="000378FB"/>
    <w:rsid w:val="00053241"/>
    <w:rsid w:val="0005690A"/>
    <w:rsid w:val="00067F28"/>
    <w:rsid w:val="000725A0"/>
    <w:rsid w:val="00075F28"/>
    <w:rsid w:val="0009502F"/>
    <w:rsid w:val="000A1B66"/>
    <w:rsid w:val="000A4BFE"/>
    <w:rsid w:val="000A701A"/>
    <w:rsid w:val="000B50B4"/>
    <w:rsid w:val="000C3A9F"/>
    <w:rsid w:val="000D4CDB"/>
    <w:rsid w:val="000E6FD1"/>
    <w:rsid w:val="000F5591"/>
    <w:rsid w:val="00170B46"/>
    <w:rsid w:val="00176AC4"/>
    <w:rsid w:val="00176FDC"/>
    <w:rsid w:val="00182B7A"/>
    <w:rsid w:val="001919F5"/>
    <w:rsid w:val="001A46B0"/>
    <w:rsid w:val="001C06D0"/>
    <w:rsid w:val="001D2363"/>
    <w:rsid w:val="001E59A0"/>
    <w:rsid w:val="001F0E91"/>
    <w:rsid w:val="001F3919"/>
    <w:rsid w:val="00203F92"/>
    <w:rsid w:val="002135C3"/>
    <w:rsid w:val="00214A60"/>
    <w:rsid w:val="002247A7"/>
    <w:rsid w:val="0024424C"/>
    <w:rsid w:val="0025305D"/>
    <w:rsid w:val="002603DC"/>
    <w:rsid w:val="0027691E"/>
    <w:rsid w:val="00281B3A"/>
    <w:rsid w:val="00297A40"/>
    <w:rsid w:val="002A5494"/>
    <w:rsid w:val="002A592D"/>
    <w:rsid w:val="002F055F"/>
    <w:rsid w:val="002F16AE"/>
    <w:rsid w:val="00300AB8"/>
    <w:rsid w:val="003177AA"/>
    <w:rsid w:val="003310F2"/>
    <w:rsid w:val="00365B2A"/>
    <w:rsid w:val="00366E53"/>
    <w:rsid w:val="0037244D"/>
    <w:rsid w:val="003750EC"/>
    <w:rsid w:val="00384DC3"/>
    <w:rsid w:val="0038637F"/>
    <w:rsid w:val="00391555"/>
    <w:rsid w:val="003B6827"/>
    <w:rsid w:val="003D5288"/>
    <w:rsid w:val="003D6D6F"/>
    <w:rsid w:val="00404A82"/>
    <w:rsid w:val="00412BCF"/>
    <w:rsid w:val="00414945"/>
    <w:rsid w:val="004378B8"/>
    <w:rsid w:val="00450DB9"/>
    <w:rsid w:val="00451D25"/>
    <w:rsid w:val="00457BC5"/>
    <w:rsid w:val="00463568"/>
    <w:rsid w:val="004A4A31"/>
    <w:rsid w:val="004B5FD4"/>
    <w:rsid w:val="004C405D"/>
    <w:rsid w:val="004D0F1A"/>
    <w:rsid w:val="004D39D0"/>
    <w:rsid w:val="004F5554"/>
    <w:rsid w:val="005065AE"/>
    <w:rsid w:val="005310FC"/>
    <w:rsid w:val="005427B7"/>
    <w:rsid w:val="00547C7B"/>
    <w:rsid w:val="0055217B"/>
    <w:rsid w:val="005631F0"/>
    <w:rsid w:val="00564213"/>
    <w:rsid w:val="00571E78"/>
    <w:rsid w:val="00584DAF"/>
    <w:rsid w:val="00594E3C"/>
    <w:rsid w:val="005A063B"/>
    <w:rsid w:val="005A2E9F"/>
    <w:rsid w:val="005A3CE5"/>
    <w:rsid w:val="005A4F32"/>
    <w:rsid w:val="005A5A29"/>
    <w:rsid w:val="005A627B"/>
    <w:rsid w:val="005B37E1"/>
    <w:rsid w:val="005C5BAE"/>
    <w:rsid w:val="005C74E2"/>
    <w:rsid w:val="005D3E7C"/>
    <w:rsid w:val="005E2222"/>
    <w:rsid w:val="005F04B1"/>
    <w:rsid w:val="005F274F"/>
    <w:rsid w:val="006109EC"/>
    <w:rsid w:val="00617789"/>
    <w:rsid w:val="00622909"/>
    <w:rsid w:val="00630A01"/>
    <w:rsid w:val="00634154"/>
    <w:rsid w:val="00636689"/>
    <w:rsid w:val="00637179"/>
    <w:rsid w:val="00647330"/>
    <w:rsid w:val="00647AE7"/>
    <w:rsid w:val="0065339D"/>
    <w:rsid w:val="00670F05"/>
    <w:rsid w:val="00673197"/>
    <w:rsid w:val="00695A30"/>
    <w:rsid w:val="006A1988"/>
    <w:rsid w:val="006D0C96"/>
    <w:rsid w:val="0070537F"/>
    <w:rsid w:val="00705A7C"/>
    <w:rsid w:val="00720102"/>
    <w:rsid w:val="00731DC8"/>
    <w:rsid w:val="0073544E"/>
    <w:rsid w:val="00737FE6"/>
    <w:rsid w:val="00741730"/>
    <w:rsid w:val="00751A44"/>
    <w:rsid w:val="00753474"/>
    <w:rsid w:val="00755913"/>
    <w:rsid w:val="00776E9F"/>
    <w:rsid w:val="00796A7F"/>
    <w:rsid w:val="007B3EF5"/>
    <w:rsid w:val="007B5294"/>
    <w:rsid w:val="00816926"/>
    <w:rsid w:val="0082429D"/>
    <w:rsid w:val="00855006"/>
    <w:rsid w:val="0088684E"/>
    <w:rsid w:val="00896B38"/>
    <w:rsid w:val="008A3590"/>
    <w:rsid w:val="008E213F"/>
    <w:rsid w:val="008E3110"/>
    <w:rsid w:val="008F2E96"/>
    <w:rsid w:val="008F2EDB"/>
    <w:rsid w:val="009150E4"/>
    <w:rsid w:val="0091791F"/>
    <w:rsid w:val="00930523"/>
    <w:rsid w:val="00932F15"/>
    <w:rsid w:val="00936EC8"/>
    <w:rsid w:val="009408D2"/>
    <w:rsid w:val="0094360B"/>
    <w:rsid w:val="00956811"/>
    <w:rsid w:val="00956F69"/>
    <w:rsid w:val="00984778"/>
    <w:rsid w:val="009915E1"/>
    <w:rsid w:val="009B4A7E"/>
    <w:rsid w:val="009B6867"/>
    <w:rsid w:val="009D38E2"/>
    <w:rsid w:val="009F2C0A"/>
    <w:rsid w:val="009F40CD"/>
    <w:rsid w:val="00A12F03"/>
    <w:rsid w:val="00A16916"/>
    <w:rsid w:val="00A24756"/>
    <w:rsid w:val="00A5201D"/>
    <w:rsid w:val="00A57052"/>
    <w:rsid w:val="00A81E4C"/>
    <w:rsid w:val="00A91396"/>
    <w:rsid w:val="00AB31AC"/>
    <w:rsid w:val="00AB6666"/>
    <w:rsid w:val="00AB6870"/>
    <w:rsid w:val="00AB75BD"/>
    <w:rsid w:val="00AC27A2"/>
    <w:rsid w:val="00AD28CF"/>
    <w:rsid w:val="00AD7CA4"/>
    <w:rsid w:val="00AE3BD2"/>
    <w:rsid w:val="00AE4157"/>
    <w:rsid w:val="00B333B3"/>
    <w:rsid w:val="00B4015F"/>
    <w:rsid w:val="00B46B16"/>
    <w:rsid w:val="00B5719D"/>
    <w:rsid w:val="00B74E70"/>
    <w:rsid w:val="00B75342"/>
    <w:rsid w:val="00B86460"/>
    <w:rsid w:val="00B94335"/>
    <w:rsid w:val="00B94A58"/>
    <w:rsid w:val="00BA1DD5"/>
    <w:rsid w:val="00BB7F8A"/>
    <w:rsid w:val="00BC3741"/>
    <w:rsid w:val="00BD0523"/>
    <w:rsid w:val="00BD46E5"/>
    <w:rsid w:val="00C05462"/>
    <w:rsid w:val="00C0656D"/>
    <w:rsid w:val="00C076A7"/>
    <w:rsid w:val="00C1103D"/>
    <w:rsid w:val="00C1589F"/>
    <w:rsid w:val="00C34F07"/>
    <w:rsid w:val="00C35812"/>
    <w:rsid w:val="00C56A2E"/>
    <w:rsid w:val="00C65C41"/>
    <w:rsid w:val="00C664CD"/>
    <w:rsid w:val="00C77452"/>
    <w:rsid w:val="00C82F79"/>
    <w:rsid w:val="00C834AA"/>
    <w:rsid w:val="00C900F5"/>
    <w:rsid w:val="00CC0C09"/>
    <w:rsid w:val="00CC51D0"/>
    <w:rsid w:val="00CD6D6D"/>
    <w:rsid w:val="00CF73E7"/>
    <w:rsid w:val="00CF7E4F"/>
    <w:rsid w:val="00D02A5A"/>
    <w:rsid w:val="00D034E6"/>
    <w:rsid w:val="00D11B93"/>
    <w:rsid w:val="00D14364"/>
    <w:rsid w:val="00D34978"/>
    <w:rsid w:val="00D35F6B"/>
    <w:rsid w:val="00D40CE0"/>
    <w:rsid w:val="00D46B3E"/>
    <w:rsid w:val="00D64E44"/>
    <w:rsid w:val="00D74E94"/>
    <w:rsid w:val="00D8168D"/>
    <w:rsid w:val="00D8512F"/>
    <w:rsid w:val="00DB4E53"/>
    <w:rsid w:val="00DC4A28"/>
    <w:rsid w:val="00DE20F5"/>
    <w:rsid w:val="00E00339"/>
    <w:rsid w:val="00E501E1"/>
    <w:rsid w:val="00E663ED"/>
    <w:rsid w:val="00E9125F"/>
    <w:rsid w:val="00EA0927"/>
    <w:rsid w:val="00EC0EDD"/>
    <w:rsid w:val="00ED54A2"/>
    <w:rsid w:val="00ED6B96"/>
    <w:rsid w:val="00EE1009"/>
    <w:rsid w:val="00EE58C0"/>
    <w:rsid w:val="00F0162B"/>
    <w:rsid w:val="00F04608"/>
    <w:rsid w:val="00F11551"/>
    <w:rsid w:val="00F206F8"/>
    <w:rsid w:val="00F26E98"/>
    <w:rsid w:val="00F33970"/>
    <w:rsid w:val="00F35903"/>
    <w:rsid w:val="00F37474"/>
    <w:rsid w:val="00F46470"/>
    <w:rsid w:val="00F506CA"/>
    <w:rsid w:val="00F5072F"/>
    <w:rsid w:val="00F560AF"/>
    <w:rsid w:val="00F841CC"/>
    <w:rsid w:val="00FB4AD5"/>
    <w:rsid w:val="00FB4C8D"/>
    <w:rsid w:val="00FE27CA"/>
    <w:rsid w:val="00FE695B"/>
    <w:rsid w:val="00FE77BE"/>
    <w:rsid w:val="00FF30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CB83FA-4F3F-406F-9F1D-EF14C0CC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CE0"/>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qFormat/>
    <w:rsid w:val="00075F28"/>
    <w:pPr>
      <w:keepNext/>
      <w:spacing w:before="480" w:after="240" w:line="240" w:lineRule="auto"/>
      <w:outlineLvl w:val="0"/>
    </w:pPr>
    <w:rPr>
      <w:rFonts w:cs="Arial"/>
      <w:b/>
      <w:bCs/>
      <w:color w:val="000000"/>
      <w:kern w:val="3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next w:val="Normal"/>
    <w:rsid w:val="00ED6B96"/>
    <w:rPr>
      <w:b/>
    </w:rPr>
  </w:style>
  <w:style w:type="paragraph" w:customStyle="1" w:styleId="Bullets">
    <w:name w:val="Bullets"/>
    <w:basedOn w:val="Normal"/>
    <w:link w:val="BulletsChar"/>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leNormal"/>
    <w:rsid w:val="00ED6B96"/>
    <w:rPr>
      <w:rFonts w:ascii="Verdana" w:eastAsia="Times New Roman" w:hAnsi="Verdana"/>
      <w:sz w:val="19"/>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Header">
    <w:name w:val="header"/>
    <w:basedOn w:val="Normal"/>
    <w:link w:val="HeaderChar"/>
    <w:rsid w:val="00ED6B96"/>
    <w:pPr>
      <w:tabs>
        <w:tab w:val="center" w:pos="4536"/>
        <w:tab w:val="right" w:pos="9072"/>
      </w:tabs>
    </w:pPr>
  </w:style>
  <w:style w:type="character" w:customStyle="1" w:styleId="Heading1Char">
    <w:name w:val="Heading 1 Char"/>
    <w:link w:val="Heading1"/>
    <w:rsid w:val="00075F28"/>
    <w:rPr>
      <w:rFonts w:ascii="Times New Roman" w:eastAsia="Times New Roman" w:hAnsi="Times New Roman" w:cs="Arial"/>
      <w:b/>
      <w:bCs/>
      <w:color w:val="000000"/>
      <w:kern w:val="32"/>
      <w:szCs w:val="32"/>
      <w:lang w:eastAsia="de-DE"/>
    </w:rPr>
  </w:style>
  <w:style w:type="character" w:customStyle="1" w:styleId="Heading3Char">
    <w:name w:val="Heading 3 Char"/>
    <w:link w:val="Heading3"/>
    <w:rsid w:val="005A4F32"/>
    <w:rPr>
      <w:rFonts w:ascii="Times New Roman" w:eastAsia="Times New Roman" w:hAnsi="Times New Roman" w:cs="Arial"/>
      <w:b/>
      <w:bCs/>
      <w:szCs w:val="26"/>
      <w:lang w:eastAsia="de-DE"/>
    </w:rPr>
  </w:style>
  <w:style w:type="character" w:customStyle="1" w:styleId="Heading4Char">
    <w:name w:val="Heading 4 Char"/>
    <w:link w:val="Heading4"/>
    <w:rsid w:val="00796A7F"/>
    <w:rPr>
      <w:rFonts w:ascii="Verdana" w:eastAsia="Times New Roman" w:hAnsi="Verdana" w:cs="Times New Roman"/>
      <w:b/>
      <w:bCs/>
      <w:sz w:val="19"/>
      <w:szCs w:val="28"/>
      <w:lang w:eastAsia="de-DE"/>
    </w:rPr>
  </w:style>
  <w:style w:type="character" w:customStyle="1" w:styleId="HeaderChar">
    <w:name w:val="Header Char"/>
    <w:link w:val="Header"/>
    <w:rsid w:val="00ED6B96"/>
    <w:rPr>
      <w:rFonts w:ascii="Verdana" w:eastAsia="Times New Roman" w:hAnsi="Verdana" w:cs="Times New Roman"/>
      <w:sz w:val="19"/>
      <w:szCs w:val="24"/>
      <w:lang w:eastAsia="de-DE"/>
    </w:rPr>
  </w:style>
  <w:style w:type="character" w:customStyle="1" w:styleId="Heading2Char">
    <w:name w:val="Heading 2 Char"/>
    <w:link w:val="Heading2"/>
    <w:rsid w:val="00E00339"/>
    <w:rPr>
      <w:rFonts w:ascii="Times New Roman" w:eastAsia="Times New Roman" w:hAnsi="Times New Roman" w:cs="Arial"/>
      <w:b/>
      <w:bCs/>
      <w:iCs/>
      <w:szCs w:val="28"/>
      <w:lang w:eastAsia="de-DE"/>
    </w:rPr>
  </w:style>
  <w:style w:type="character" w:styleId="Hyperlink">
    <w:name w:val="Hyperlink"/>
    <w:rsid w:val="00ED6B96"/>
    <w:rPr>
      <w:color w:val="0000FF"/>
      <w:u w:val="single"/>
    </w:rPr>
  </w:style>
  <w:style w:type="paragraph" w:customStyle="1" w:styleId="Kontakt">
    <w:name w:val="Kontakt"/>
    <w:basedOn w:val="Normal"/>
    <w:rsid w:val="00ED6B96"/>
    <w:pPr>
      <w:spacing w:line="160" w:lineRule="exact"/>
    </w:pPr>
    <w:rPr>
      <w:color w:val="808080"/>
      <w:sz w:val="13"/>
    </w:rPr>
  </w:style>
  <w:style w:type="paragraph" w:customStyle="1" w:styleId="Name">
    <w:name w:val="Name"/>
    <w:basedOn w:val="Normal"/>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rsid w:val="00B5719D"/>
  </w:style>
  <w:style w:type="character" w:customStyle="1" w:styleId="CopernicusWordtemplateChar">
    <w:name w:val="Copernicus_Word_template Char"/>
    <w:basedOn w:val="DefaultParagraphFont"/>
    <w:link w:val="CopernicusWordtemplate"/>
    <w:rsid w:val="00B5719D"/>
    <w:rPr>
      <w:rFonts w:ascii="Times New Roman" w:eastAsia="Times New Roman" w:hAnsi="Times New Roman"/>
      <w:sz w:val="24"/>
      <w:szCs w:val="24"/>
      <w:lang w:eastAsia="de-DE"/>
    </w:rPr>
  </w:style>
  <w:style w:type="character" w:styleId="LineNumber">
    <w:name w:val="line number"/>
    <w:basedOn w:val="DefaultParagraphFont"/>
    <w:uiPriority w:val="99"/>
    <w:semiHidden/>
    <w:unhideWhenUsed/>
    <w:rsid w:val="00D40CE0"/>
  </w:style>
  <w:style w:type="paragraph" w:customStyle="1" w:styleId="MStitle">
    <w:name w:val="MS title"/>
    <w:basedOn w:val="Normal"/>
    <w:link w:val="MStitleChar"/>
    <w:qFormat/>
    <w:rsid w:val="0091791F"/>
    <w:pPr>
      <w:spacing w:before="360" w:line="440" w:lineRule="exact"/>
      <w:contextualSpacing/>
    </w:pPr>
    <w:rPr>
      <w:b/>
      <w:sz w:val="34"/>
    </w:rPr>
  </w:style>
  <w:style w:type="paragraph" w:styleId="ListParagraph">
    <w:name w:val="List Paragraph"/>
    <w:basedOn w:val="Normal"/>
    <w:uiPriority w:val="34"/>
    <w:rsid w:val="00B4015F"/>
    <w:pPr>
      <w:ind w:left="720"/>
      <w:contextualSpacing/>
    </w:pPr>
  </w:style>
  <w:style w:type="character" w:customStyle="1" w:styleId="MStitleChar">
    <w:name w:val="MS title Char"/>
    <w:basedOn w:val="DefaultParagraphFont"/>
    <w:link w:val="MStitle"/>
    <w:rsid w:val="0091791F"/>
    <w:rPr>
      <w:rFonts w:ascii="Times New Roman" w:eastAsia="Times New Roman" w:hAnsi="Times New Roman"/>
      <w:b/>
      <w:sz w:val="34"/>
      <w:szCs w:val="24"/>
      <w:lang w:eastAsia="de-DE"/>
    </w:rPr>
  </w:style>
  <w:style w:type="paragraph" w:customStyle="1" w:styleId="Affiliation">
    <w:name w:val="Affiliation"/>
    <w:basedOn w:val="Normal"/>
    <w:link w:val="AffiliationChar"/>
    <w:qFormat/>
    <w:rsid w:val="00450DB9"/>
    <w:pPr>
      <w:spacing w:before="120" w:line="240" w:lineRule="auto"/>
      <w:contextualSpacing/>
    </w:pPr>
  </w:style>
  <w:style w:type="character" w:styleId="PlaceholderText">
    <w:name w:val="Placeholder Text"/>
    <w:basedOn w:val="DefaultParagraphFont"/>
    <w:uiPriority w:val="99"/>
    <w:semiHidden/>
    <w:rsid w:val="003D5288"/>
    <w:rPr>
      <w:color w:val="808080"/>
    </w:rPr>
  </w:style>
  <w:style w:type="character" w:customStyle="1" w:styleId="AffiliationChar">
    <w:name w:val="Affiliation Char"/>
    <w:basedOn w:val="DefaultParagraphFont"/>
    <w:link w:val="Affiliation"/>
    <w:rsid w:val="00450DB9"/>
    <w:rPr>
      <w:rFonts w:ascii="Times New Roman" w:eastAsia="Times New Roman" w:hAnsi="Times New Roman"/>
      <w:szCs w:val="24"/>
      <w:lang w:eastAsia="de-DE"/>
    </w:rPr>
  </w:style>
  <w:style w:type="paragraph" w:styleId="BalloonText">
    <w:name w:val="Balloon Text"/>
    <w:basedOn w:val="Normal"/>
    <w:link w:val="BalloonTextChar"/>
    <w:uiPriority w:val="99"/>
    <w:semiHidden/>
    <w:unhideWhenUsed/>
    <w:rsid w:val="003D52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88"/>
    <w:rPr>
      <w:rFonts w:ascii="Tahoma" w:eastAsia="Times New Roman" w:hAnsi="Tahoma" w:cs="Tahoma"/>
      <w:sz w:val="16"/>
      <w:szCs w:val="16"/>
      <w:lang w:eastAsia="de-DE"/>
    </w:rPr>
  </w:style>
  <w:style w:type="paragraph" w:customStyle="1" w:styleId="Equation">
    <w:name w:val="Equation"/>
    <w:basedOn w:val="Normal"/>
    <w:link w:val="EquationChar"/>
    <w:rsid w:val="00C35812"/>
    <w:pPr>
      <w:spacing w:before="120" w:after="120"/>
    </w:pPr>
    <w:rPr>
      <w:rFonts w:ascii="Cambria Math" w:hAnsi="Cambria Math"/>
    </w:rPr>
  </w:style>
  <w:style w:type="paragraph" w:styleId="Caption">
    <w:name w:val="caption"/>
    <w:basedOn w:val="Normal"/>
    <w:next w:val="Normal"/>
    <w:uiPriority w:val="35"/>
    <w:semiHidden/>
    <w:unhideWhenUsed/>
    <w:qFormat/>
    <w:rsid w:val="00DB4E53"/>
    <w:pPr>
      <w:spacing w:after="200" w:line="240" w:lineRule="auto"/>
    </w:pPr>
    <w:rPr>
      <w:b/>
      <w:bCs/>
      <w:color w:val="4F81BD" w:themeColor="accent1"/>
      <w:sz w:val="18"/>
      <w:szCs w:val="18"/>
    </w:rPr>
  </w:style>
  <w:style w:type="character" w:customStyle="1" w:styleId="EquationChar">
    <w:name w:val="Equation Char"/>
    <w:basedOn w:val="DefaultParagraphFont"/>
    <w:link w:val="Equation"/>
    <w:rsid w:val="00C35812"/>
    <w:rPr>
      <w:rFonts w:ascii="Cambria Math" w:eastAsia="Times New Roman" w:hAnsi="Cambria Math"/>
      <w:szCs w:val="24"/>
      <w:lang w:eastAsia="de-DE"/>
    </w:rPr>
  </w:style>
  <w:style w:type="paragraph" w:styleId="Footer">
    <w:name w:val="footer"/>
    <w:basedOn w:val="Normal"/>
    <w:link w:val="FooterChar"/>
    <w:uiPriority w:val="99"/>
    <w:unhideWhenUsed/>
    <w:rsid w:val="006D0C96"/>
    <w:pPr>
      <w:tabs>
        <w:tab w:val="center" w:pos="4513"/>
        <w:tab w:val="right" w:pos="9026"/>
      </w:tabs>
      <w:spacing w:line="240" w:lineRule="auto"/>
    </w:pPr>
  </w:style>
  <w:style w:type="character" w:customStyle="1" w:styleId="FooterChar">
    <w:name w:val="Footer Char"/>
    <w:basedOn w:val="DefaultParagraphFont"/>
    <w:link w:val="Footer"/>
    <w:uiPriority w:val="99"/>
    <w:rsid w:val="006D0C96"/>
    <w:rPr>
      <w:rFonts w:ascii="Times New Roman" w:eastAsia="Times New Roman" w:hAnsi="Times New Roman"/>
      <w:szCs w:val="24"/>
      <w:lang w:eastAsia="de-DE"/>
    </w:rPr>
  </w:style>
  <w:style w:type="paragraph" w:customStyle="1" w:styleId="Correspondence">
    <w:name w:val="Correspondence"/>
    <w:basedOn w:val="Normal"/>
    <w:link w:val="CorrespondenceChar"/>
    <w:qFormat/>
    <w:rsid w:val="008E213F"/>
    <w:pPr>
      <w:spacing w:before="120" w:after="360" w:line="240" w:lineRule="auto"/>
    </w:pPr>
  </w:style>
  <w:style w:type="character" w:customStyle="1" w:styleId="CorrespondenceChar">
    <w:name w:val="Correspondence Char"/>
    <w:basedOn w:val="DefaultParagraphFont"/>
    <w:link w:val="Correspondence"/>
    <w:rsid w:val="008E213F"/>
    <w:rPr>
      <w:rFonts w:ascii="Times New Roman" w:eastAsia="Times New Roman" w:hAnsi="Times New Roman"/>
      <w:szCs w:val="24"/>
      <w:lang w:eastAsia="de-DE"/>
    </w:rPr>
  </w:style>
  <w:style w:type="paragraph" w:customStyle="1" w:styleId="Authors">
    <w:name w:val="Authors"/>
    <w:basedOn w:val="Normal"/>
    <w:link w:val="AuthorsChar"/>
    <w:qFormat/>
    <w:rsid w:val="00BD0523"/>
    <w:pPr>
      <w:spacing w:before="180" w:line="240" w:lineRule="auto"/>
      <w:contextualSpacing/>
    </w:pPr>
    <w:rPr>
      <w:sz w:val="24"/>
    </w:rPr>
  </w:style>
  <w:style w:type="character" w:customStyle="1" w:styleId="AuthorsChar">
    <w:name w:val="Authors Char"/>
    <w:basedOn w:val="DefaultParagraphFont"/>
    <w:link w:val="Authors"/>
    <w:rsid w:val="00BD0523"/>
    <w:rPr>
      <w:rFonts w:ascii="Times New Roman" w:eastAsia="Times New Roman" w:hAnsi="Times New Roman"/>
      <w:sz w:val="24"/>
      <w:szCs w:val="24"/>
      <w:lang w:eastAsia="de-DE"/>
    </w:rPr>
  </w:style>
  <w:style w:type="paragraph" w:customStyle="1" w:styleId="Normal1">
    <w:name w:val="Normal1"/>
    <w:rsid w:val="00366E53"/>
    <w:pPr>
      <w:spacing w:line="360" w:lineRule="auto"/>
      <w:jc w:val="both"/>
    </w:pPr>
    <w:rPr>
      <w:rFonts w:ascii="Times New Roman" w:eastAsia="Times New Roman" w:hAnsi="Times New Roman"/>
      <w:color w:val="000000"/>
    </w:rPr>
  </w:style>
  <w:style w:type="table" w:customStyle="1" w:styleId="1">
    <w:name w:val="1"/>
    <w:basedOn w:val="TableNormal"/>
    <w:rsid w:val="005F274F"/>
    <w:pPr>
      <w:spacing w:line="360" w:lineRule="auto"/>
      <w:jc w:val="both"/>
    </w:pPr>
    <w:rPr>
      <w:rFonts w:ascii="Times New Roman" w:eastAsia="Times New Roman" w:hAnsi="Times New Roman"/>
      <w:color w:val="000000"/>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24756"/>
    <w:rPr>
      <w:sz w:val="16"/>
      <w:szCs w:val="16"/>
    </w:rPr>
  </w:style>
  <w:style w:type="paragraph" w:styleId="CommentText">
    <w:name w:val="annotation text"/>
    <w:basedOn w:val="Normal"/>
    <w:link w:val="CommentTextChar"/>
    <w:uiPriority w:val="99"/>
    <w:semiHidden/>
    <w:unhideWhenUsed/>
    <w:rsid w:val="00A24756"/>
    <w:pPr>
      <w:spacing w:line="240" w:lineRule="auto"/>
    </w:pPr>
    <w:rPr>
      <w:szCs w:val="20"/>
    </w:rPr>
  </w:style>
  <w:style w:type="character" w:customStyle="1" w:styleId="CommentTextChar">
    <w:name w:val="Comment Text Char"/>
    <w:basedOn w:val="DefaultParagraphFont"/>
    <w:link w:val="CommentText"/>
    <w:uiPriority w:val="99"/>
    <w:semiHidden/>
    <w:rsid w:val="00A24756"/>
    <w:rPr>
      <w:rFonts w:ascii="Times New Roman" w:eastAsia="Times New Roman" w:hAnsi="Times New Roman"/>
      <w:lang w:eastAsia="de-DE"/>
    </w:rPr>
  </w:style>
  <w:style w:type="paragraph" w:styleId="CommentSubject">
    <w:name w:val="annotation subject"/>
    <w:basedOn w:val="CommentText"/>
    <w:next w:val="CommentText"/>
    <w:link w:val="CommentSubjectChar"/>
    <w:uiPriority w:val="99"/>
    <w:semiHidden/>
    <w:unhideWhenUsed/>
    <w:rsid w:val="00A24756"/>
    <w:rPr>
      <w:b/>
      <w:bCs/>
    </w:rPr>
  </w:style>
  <w:style w:type="character" w:customStyle="1" w:styleId="CommentSubjectChar">
    <w:name w:val="Comment Subject Char"/>
    <w:basedOn w:val="CommentTextChar"/>
    <w:link w:val="CommentSubject"/>
    <w:uiPriority w:val="99"/>
    <w:semiHidden/>
    <w:rsid w:val="00A24756"/>
    <w:rPr>
      <w:rFonts w:ascii="Times New Roman" w:eastAsia="Times New Roman" w:hAnsi="Times New Roman"/>
      <w:b/>
      <w:bCs/>
      <w:lang w:eastAsia="de-DE"/>
    </w:rPr>
  </w:style>
  <w:style w:type="paragraph" w:styleId="Revision">
    <w:name w:val="Revision"/>
    <w:hidden/>
    <w:uiPriority w:val="99"/>
    <w:semiHidden/>
    <w:rsid w:val="001F3919"/>
    <w:rPr>
      <w:rFonts w:ascii="Times New Roman" w:eastAsia="Times New Roman" w:hAnsi="Times New Roman"/>
      <w:szCs w:val="24"/>
      <w:lang w:eastAsia="de-DE"/>
    </w:rPr>
  </w:style>
  <w:style w:type="table" w:styleId="TableGrid">
    <w:name w:val="Table Grid"/>
    <w:basedOn w:val="TableNormal"/>
    <w:uiPriority w:val="59"/>
    <w:rsid w:val="00A1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557422">
      <w:bodyDiv w:val="1"/>
      <w:marLeft w:val="0"/>
      <w:marRight w:val="0"/>
      <w:marTop w:val="0"/>
      <w:marBottom w:val="0"/>
      <w:divBdr>
        <w:top w:val="none" w:sz="0" w:space="0" w:color="auto"/>
        <w:left w:val="none" w:sz="0" w:space="0" w:color="auto"/>
        <w:bottom w:val="none" w:sz="0" w:space="0" w:color="auto"/>
        <w:right w:val="none" w:sz="0" w:space="0" w:color="auto"/>
      </w:divBdr>
    </w:div>
    <w:div w:id="1333996811">
      <w:bodyDiv w:val="1"/>
      <w:marLeft w:val="0"/>
      <w:marRight w:val="0"/>
      <w:marTop w:val="0"/>
      <w:marBottom w:val="0"/>
      <w:divBdr>
        <w:top w:val="none" w:sz="0" w:space="0" w:color="auto"/>
        <w:left w:val="none" w:sz="0" w:space="0" w:color="auto"/>
        <w:bottom w:val="none" w:sz="0" w:space="0" w:color="auto"/>
        <w:right w:val="none" w:sz="0" w:space="0" w:color="auto"/>
      </w:divBdr>
      <w:divsChild>
        <w:div w:id="119905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4mip.net"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dx.doi.org/10.1371/journal.pone.01059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dx.doi.org/10.1002/2014GB004997" TargetMode="External"/><Relationship Id="rId10" Type="http://schemas.openxmlformats.org/officeDocument/2006/relationships/hyperlink" Target="https://unfccc.int/resource/docs/2015/cop21/eng/l09r01.pdf" TargetMode="Externa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urnals.ametsoc.org/page/C4MIP"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dx.doi.org/10.1002/2013JG002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pernicusTemplates\Free-Form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nicus_Word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725C-1815-4395-A157-14D23CFD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65</Pages>
  <Words>19376</Words>
  <Characters>110444</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Blank</vt:lpstr>
    </vt:vector>
  </TitlesOfParts>
  <Company>Copernicus Gesellschaft mbH</Company>
  <LinksUpToDate>false</LinksUpToDate>
  <CharactersWithSpaces>129561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Martin Rasmussen</dc:creator>
  <cp:lastModifiedBy>HGraven</cp:lastModifiedBy>
  <cp:revision>2</cp:revision>
  <cp:lastPrinted>2016-06-08T15:48:00Z</cp:lastPrinted>
  <dcterms:created xsi:type="dcterms:W3CDTF">2016-06-22T13:11:00Z</dcterms:created>
  <dcterms:modified xsi:type="dcterms:W3CDTF">2016-06-22T13:11:00Z</dcterms:modified>
</cp:coreProperties>
</file>