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325F" w14:textId="77777777" w:rsidR="00B175ED" w:rsidRPr="00F96BCA" w:rsidRDefault="00B175ED" w:rsidP="00D67CD2">
      <w:pPr>
        <w:ind w:left="-567"/>
        <w:jc w:val="center"/>
        <w:rPr>
          <w:rFonts w:ascii="Arial" w:hAnsi="Arial" w:cs="Arial"/>
          <w:b/>
          <w:sz w:val="28"/>
        </w:rPr>
      </w:pPr>
      <w:r>
        <w:rPr>
          <w:rFonts w:ascii="Arial" w:hAnsi="Arial" w:cs="Arial"/>
          <w:b/>
          <w:sz w:val="28"/>
        </w:rPr>
        <w:t>Defining s</w:t>
      </w:r>
      <w:r w:rsidRPr="00F96BCA">
        <w:rPr>
          <w:rFonts w:ascii="Arial" w:hAnsi="Arial" w:cs="Arial"/>
          <w:b/>
          <w:sz w:val="28"/>
        </w:rPr>
        <w:t xml:space="preserve">evere familial hypercholesterolemia: </w:t>
      </w:r>
      <w:r>
        <w:rPr>
          <w:rFonts w:ascii="Arial" w:hAnsi="Arial" w:cs="Arial"/>
          <w:b/>
          <w:sz w:val="28"/>
        </w:rPr>
        <w:t>I</w:t>
      </w:r>
      <w:r w:rsidRPr="00F96BCA">
        <w:rPr>
          <w:rFonts w:ascii="Arial" w:hAnsi="Arial" w:cs="Arial"/>
          <w:b/>
          <w:sz w:val="28"/>
        </w:rPr>
        <w:t>mplications for clinical management</w:t>
      </w:r>
    </w:p>
    <w:p w14:paraId="5BE733E9" w14:textId="77777777" w:rsidR="00B175ED" w:rsidRPr="0011246A" w:rsidRDefault="00B175ED" w:rsidP="00D67CD2">
      <w:pPr>
        <w:spacing w:line="480" w:lineRule="auto"/>
        <w:ind w:left="-567"/>
        <w:jc w:val="center"/>
        <w:rPr>
          <w:rFonts w:ascii="Arial" w:hAnsi="Arial" w:cs="Arial"/>
        </w:rPr>
      </w:pPr>
    </w:p>
    <w:p w14:paraId="4FBF63D6" w14:textId="77777777" w:rsidR="00B175ED" w:rsidRPr="0011246A" w:rsidRDefault="00B175ED" w:rsidP="00D67CD2">
      <w:pPr>
        <w:spacing w:line="480" w:lineRule="auto"/>
        <w:ind w:left="-567"/>
        <w:rPr>
          <w:rFonts w:ascii="Arial" w:hAnsi="Arial" w:cs="Arial"/>
        </w:rPr>
      </w:pPr>
      <w:r w:rsidRPr="0011246A">
        <w:rPr>
          <w:rFonts w:ascii="Arial" w:hAnsi="Arial" w:cs="Arial"/>
        </w:rPr>
        <w:t>Raul D. Santos</w:t>
      </w:r>
      <w:r>
        <w:rPr>
          <w:rFonts w:ascii="Arial" w:hAnsi="Arial" w:cs="Arial"/>
          <w:vertAlign w:val="superscript"/>
        </w:rPr>
        <w:t>1</w:t>
      </w:r>
      <w:r w:rsidRPr="0011246A">
        <w:rPr>
          <w:rFonts w:ascii="Arial" w:hAnsi="Arial" w:cs="Arial"/>
        </w:rPr>
        <w:t>, Samuel S. Gidding</w:t>
      </w:r>
      <w:r>
        <w:rPr>
          <w:rFonts w:ascii="Arial" w:hAnsi="Arial" w:cs="Arial"/>
          <w:vertAlign w:val="superscript"/>
        </w:rPr>
        <w:t>2</w:t>
      </w:r>
      <w:r w:rsidRPr="0011246A">
        <w:rPr>
          <w:rFonts w:ascii="Arial" w:hAnsi="Arial" w:cs="Arial"/>
        </w:rPr>
        <w:t>, Robert A. Hegele</w:t>
      </w:r>
      <w:r>
        <w:rPr>
          <w:rFonts w:ascii="Arial" w:hAnsi="Arial" w:cs="Arial"/>
          <w:vertAlign w:val="superscript"/>
        </w:rPr>
        <w:t>3</w:t>
      </w:r>
      <w:r w:rsidRPr="0011246A">
        <w:rPr>
          <w:rFonts w:ascii="Arial" w:hAnsi="Arial" w:cs="Arial"/>
        </w:rPr>
        <w:t>, Marina Cuchel</w:t>
      </w:r>
      <w:r>
        <w:rPr>
          <w:rFonts w:ascii="Arial" w:hAnsi="Arial" w:cs="Arial"/>
          <w:vertAlign w:val="superscript"/>
        </w:rPr>
        <w:t>4</w:t>
      </w:r>
      <w:r w:rsidRPr="0011246A">
        <w:rPr>
          <w:rFonts w:ascii="Arial" w:hAnsi="Arial" w:cs="Arial"/>
        </w:rPr>
        <w:t>, Philip J. Barter</w:t>
      </w:r>
      <w:r>
        <w:rPr>
          <w:rFonts w:ascii="Arial" w:hAnsi="Arial" w:cs="Arial"/>
          <w:vertAlign w:val="superscript"/>
        </w:rPr>
        <w:t>5</w:t>
      </w:r>
      <w:r w:rsidRPr="0011246A">
        <w:rPr>
          <w:rFonts w:ascii="Arial" w:hAnsi="Arial" w:cs="Arial"/>
        </w:rPr>
        <w:t>, Gerald F. Watts</w:t>
      </w:r>
      <w:r>
        <w:rPr>
          <w:rFonts w:ascii="Arial" w:hAnsi="Arial" w:cs="Arial"/>
          <w:vertAlign w:val="superscript"/>
        </w:rPr>
        <w:t>6</w:t>
      </w:r>
      <w:r w:rsidRPr="0011246A">
        <w:rPr>
          <w:rFonts w:ascii="Arial" w:hAnsi="Arial" w:cs="Arial"/>
        </w:rPr>
        <w:t>, Seth S. Baum</w:t>
      </w:r>
      <w:r>
        <w:rPr>
          <w:rFonts w:ascii="Arial" w:hAnsi="Arial" w:cs="Arial"/>
          <w:vertAlign w:val="superscript"/>
        </w:rPr>
        <w:t>7</w:t>
      </w:r>
      <w:r w:rsidRPr="0011246A">
        <w:rPr>
          <w:rFonts w:ascii="Arial" w:hAnsi="Arial" w:cs="Arial"/>
        </w:rPr>
        <w:t xml:space="preserve">, Alberico </w:t>
      </w:r>
      <w:r>
        <w:rPr>
          <w:rFonts w:ascii="Arial" w:hAnsi="Arial" w:cs="Arial"/>
        </w:rPr>
        <w:t xml:space="preserve">L. </w:t>
      </w:r>
      <w:r w:rsidRPr="0011246A">
        <w:rPr>
          <w:rFonts w:ascii="Arial" w:hAnsi="Arial" w:cs="Arial"/>
        </w:rPr>
        <w:t>Catapano</w:t>
      </w:r>
      <w:r>
        <w:rPr>
          <w:rFonts w:ascii="Arial" w:hAnsi="Arial" w:cs="Arial"/>
          <w:vertAlign w:val="superscript"/>
        </w:rPr>
        <w:t>8</w:t>
      </w:r>
      <w:r w:rsidRPr="0011246A">
        <w:rPr>
          <w:rFonts w:ascii="Arial" w:hAnsi="Arial" w:cs="Arial"/>
        </w:rPr>
        <w:t>, M. John Chapman</w:t>
      </w:r>
      <w:r>
        <w:rPr>
          <w:rFonts w:ascii="Arial" w:hAnsi="Arial" w:cs="Arial"/>
          <w:vertAlign w:val="superscript"/>
        </w:rPr>
        <w:t>9</w:t>
      </w:r>
      <w:r w:rsidRPr="0011246A">
        <w:rPr>
          <w:rFonts w:ascii="Arial" w:hAnsi="Arial" w:cs="Arial"/>
        </w:rPr>
        <w:t xml:space="preserve">, Joep </w:t>
      </w:r>
      <w:r>
        <w:rPr>
          <w:rFonts w:ascii="Arial" w:hAnsi="Arial" w:cs="Arial"/>
        </w:rPr>
        <w:t xml:space="preserve">C. </w:t>
      </w:r>
      <w:r w:rsidRPr="0011246A">
        <w:rPr>
          <w:rFonts w:ascii="Arial" w:hAnsi="Arial" w:cs="Arial"/>
        </w:rPr>
        <w:t>Defesche</w:t>
      </w:r>
      <w:r>
        <w:rPr>
          <w:rFonts w:ascii="Arial" w:hAnsi="Arial" w:cs="Arial"/>
          <w:vertAlign w:val="superscript"/>
        </w:rPr>
        <w:t>10</w:t>
      </w:r>
      <w:r w:rsidRPr="0011246A">
        <w:rPr>
          <w:rFonts w:ascii="Arial" w:hAnsi="Arial" w:cs="Arial"/>
        </w:rPr>
        <w:t>, Emanuela Folco</w:t>
      </w:r>
      <w:r>
        <w:rPr>
          <w:rFonts w:ascii="Arial" w:hAnsi="Arial" w:cs="Arial"/>
          <w:vertAlign w:val="superscript"/>
        </w:rPr>
        <w:t>11</w:t>
      </w:r>
      <w:r w:rsidRPr="0011246A">
        <w:rPr>
          <w:rFonts w:ascii="Arial" w:hAnsi="Arial" w:cs="Arial"/>
        </w:rPr>
        <w:t>, Tomas Freiberger</w:t>
      </w:r>
      <w:r>
        <w:rPr>
          <w:rFonts w:ascii="Arial" w:hAnsi="Arial" w:cs="Arial"/>
          <w:vertAlign w:val="superscript"/>
        </w:rPr>
        <w:t>12</w:t>
      </w:r>
      <w:r w:rsidRPr="0011246A">
        <w:rPr>
          <w:rFonts w:ascii="Arial" w:hAnsi="Arial" w:cs="Arial"/>
        </w:rPr>
        <w:t>, Jacques Genest</w:t>
      </w:r>
      <w:r>
        <w:rPr>
          <w:rFonts w:ascii="Arial" w:hAnsi="Arial" w:cs="Arial"/>
          <w:vertAlign w:val="superscript"/>
        </w:rPr>
        <w:t>13</w:t>
      </w:r>
      <w:r w:rsidRPr="0011246A">
        <w:rPr>
          <w:rFonts w:ascii="Arial" w:hAnsi="Arial" w:cs="Arial"/>
        </w:rPr>
        <w:t>, G. Kees Hoving</w:t>
      </w:r>
      <w:r>
        <w:rPr>
          <w:rFonts w:ascii="Arial" w:hAnsi="Arial" w:cs="Arial"/>
        </w:rPr>
        <w:t>h</w:t>
      </w:r>
      <w:r>
        <w:rPr>
          <w:rFonts w:ascii="Arial" w:hAnsi="Arial" w:cs="Arial"/>
          <w:vertAlign w:val="superscript"/>
        </w:rPr>
        <w:t>10</w:t>
      </w:r>
      <w:r w:rsidRPr="0011246A">
        <w:rPr>
          <w:rFonts w:ascii="Arial" w:hAnsi="Arial" w:cs="Arial"/>
        </w:rPr>
        <w:t>, Mariko Harada-Shiba</w:t>
      </w:r>
      <w:r>
        <w:rPr>
          <w:rFonts w:ascii="Arial" w:hAnsi="Arial" w:cs="Arial"/>
          <w:vertAlign w:val="superscript"/>
        </w:rPr>
        <w:t>14</w:t>
      </w:r>
      <w:r w:rsidRPr="0011246A">
        <w:rPr>
          <w:rFonts w:ascii="Arial" w:hAnsi="Arial" w:cs="Arial"/>
        </w:rPr>
        <w:t>, Steve E. Humphries</w:t>
      </w:r>
      <w:r>
        <w:rPr>
          <w:rFonts w:ascii="Arial" w:hAnsi="Arial" w:cs="Arial"/>
          <w:vertAlign w:val="superscript"/>
        </w:rPr>
        <w:t>15</w:t>
      </w:r>
      <w:r w:rsidRPr="0011246A">
        <w:rPr>
          <w:rFonts w:ascii="Arial" w:hAnsi="Arial" w:cs="Arial"/>
        </w:rPr>
        <w:t>, Ann S. Jackson</w:t>
      </w:r>
      <w:r>
        <w:rPr>
          <w:rFonts w:ascii="Arial" w:hAnsi="Arial" w:cs="Arial"/>
          <w:vertAlign w:val="superscript"/>
        </w:rPr>
        <w:t>11</w:t>
      </w:r>
      <w:r w:rsidRPr="0011246A">
        <w:rPr>
          <w:rFonts w:ascii="Arial" w:hAnsi="Arial" w:cs="Arial"/>
        </w:rPr>
        <w:t>,</w:t>
      </w:r>
      <w:r>
        <w:rPr>
          <w:rFonts w:ascii="Arial" w:hAnsi="Arial" w:cs="Arial"/>
        </w:rPr>
        <w:t xml:space="preserve"> </w:t>
      </w:r>
      <w:r w:rsidRPr="0011246A">
        <w:rPr>
          <w:rFonts w:ascii="Arial" w:hAnsi="Arial" w:cs="Arial"/>
        </w:rPr>
        <w:t>Pedro Mata</w:t>
      </w:r>
      <w:r>
        <w:rPr>
          <w:rFonts w:ascii="Arial" w:hAnsi="Arial" w:cs="Arial"/>
          <w:vertAlign w:val="superscript"/>
        </w:rPr>
        <w:t>16</w:t>
      </w:r>
      <w:r w:rsidRPr="0011246A">
        <w:rPr>
          <w:rFonts w:ascii="Arial" w:hAnsi="Arial" w:cs="Arial"/>
        </w:rPr>
        <w:t>, Patrick Moriarty</w:t>
      </w:r>
      <w:r>
        <w:rPr>
          <w:rFonts w:ascii="Arial" w:hAnsi="Arial" w:cs="Arial"/>
          <w:vertAlign w:val="superscript"/>
        </w:rPr>
        <w:t>17</w:t>
      </w:r>
      <w:r w:rsidRPr="0011246A">
        <w:rPr>
          <w:rFonts w:ascii="Arial" w:hAnsi="Arial" w:cs="Arial"/>
        </w:rPr>
        <w:t>, Frederick J. Raal</w:t>
      </w:r>
      <w:r>
        <w:rPr>
          <w:rFonts w:ascii="Arial" w:hAnsi="Arial" w:cs="Arial"/>
          <w:vertAlign w:val="superscript"/>
        </w:rPr>
        <w:t>18</w:t>
      </w:r>
      <w:r w:rsidRPr="0011246A">
        <w:rPr>
          <w:rFonts w:ascii="Arial" w:hAnsi="Arial" w:cs="Arial"/>
        </w:rPr>
        <w:t>, Khalid Al Rasadi</w:t>
      </w:r>
      <w:r>
        <w:rPr>
          <w:rFonts w:ascii="Arial" w:hAnsi="Arial" w:cs="Arial"/>
          <w:vertAlign w:val="superscript"/>
        </w:rPr>
        <w:t>19</w:t>
      </w:r>
      <w:r w:rsidRPr="0011246A">
        <w:rPr>
          <w:rFonts w:ascii="Arial" w:hAnsi="Arial" w:cs="Arial"/>
        </w:rPr>
        <w:t>,  Kausik K. Ray</w:t>
      </w:r>
      <w:r>
        <w:rPr>
          <w:rFonts w:ascii="Arial" w:hAnsi="Arial" w:cs="Arial"/>
          <w:vertAlign w:val="superscript"/>
        </w:rPr>
        <w:t>20</w:t>
      </w:r>
      <w:r w:rsidRPr="0011246A">
        <w:rPr>
          <w:rFonts w:ascii="Arial" w:hAnsi="Arial" w:cs="Arial"/>
        </w:rPr>
        <w:t>, Zeliko Reiner</w:t>
      </w:r>
      <w:r>
        <w:rPr>
          <w:rFonts w:ascii="Arial" w:hAnsi="Arial" w:cs="Arial"/>
          <w:vertAlign w:val="superscript"/>
        </w:rPr>
        <w:t>21</w:t>
      </w:r>
      <w:r w:rsidRPr="0011246A">
        <w:rPr>
          <w:rFonts w:ascii="Arial" w:hAnsi="Arial" w:cs="Arial"/>
        </w:rPr>
        <w:t>, Eric J.G. Sijbrands</w:t>
      </w:r>
      <w:r>
        <w:rPr>
          <w:rFonts w:ascii="Arial" w:hAnsi="Arial" w:cs="Arial"/>
          <w:vertAlign w:val="superscript"/>
        </w:rPr>
        <w:t>22</w:t>
      </w:r>
      <w:r w:rsidRPr="0011246A">
        <w:rPr>
          <w:rFonts w:ascii="Arial" w:hAnsi="Arial" w:cs="Arial"/>
        </w:rPr>
        <w:t xml:space="preserve">, and Shizuya </w:t>
      </w:r>
      <w:bookmarkStart w:id="0" w:name="_GoBack"/>
      <w:bookmarkEnd w:id="0"/>
      <w:r w:rsidRPr="0011246A">
        <w:rPr>
          <w:rFonts w:ascii="Arial" w:hAnsi="Arial" w:cs="Arial"/>
        </w:rPr>
        <w:t>Yamashita</w:t>
      </w:r>
      <w:r>
        <w:rPr>
          <w:rFonts w:ascii="Arial" w:hAnsi="Arial" w:cs="Arial"/>
          <w:vertAlign w:val="superscript"/>
        </w:rPr>
        <w:t>23</w:t>
      </w:r>
      <w:r w:rsidRPr="0011246A">
        <w:rPr>
          <w:rFonts w:ascii="Arial" w:hAnsi="Arial" w:cs="Arial"/>
        </w:rPr>
        <w:t xml:space="preserve"> on behalf of the International Atherosclerosis Society (IAS) Severe Familial Hypercholesterolemia Panel</w:t>
      </w:r>
      <w:r>
        <w:rPr>
          <w:rFonts w:ascii="Arial" w:hAnsi="Arial" w:cs="Arial"/>
        </w:rPr>
        <w:t>.</w:t>
      </w:r>
    </w:p>
    <w:p w14:paraId="7C65DBAF" w14:textId="77777777" w:rsidR="00B175ED" w:rsidRPr="0011246A" w:rsidRDefault="00B175ED" w:rsidP="00D67CD2">
      <w:pPr>
        <w:spacing w:line="480" w:lineRule="auto"/>
        <w:ind w:left="-567"/>
        <w:rPr>
          <w:rFonts w:ascii="Arial" w:hAnsi="Arial" w:cs="Arial"/>
        </w:rPr>
      </w:pPr>
      <w:r w:rsidRPr="0011246A">
        <w:rPr>
          <w:rFonts w:ascii="Arial" w:hAnsi="Arial" w:cs="Arial"/>
        </w:rPr>
        <w:tab/>
      </w:r>
    </w:p>
    <w:p w14:paraId="6AA9CBB2" w14:textId="77777777" w:rsidR="00B175ED" w:rsidRDefault="00B175ED" w:rsidP="00C908E3">
      <w:pPr>
        <w:spacing w:line="480" w:lineRule="auto"/>
        <w:ind w:left="-567"/>
        <w:rPr>
          <w:rFonts w:ascii="Arial" w:hAnsi="Arial" w:cs="Arial"/>
        </w:rPr>
      </w:pPr>
      <w:r>
        <w:rPr>
          <w:rFonts w:ascii="Arial" w:hAnsi="Arial" w:cs="Arial"/>
        </w:rPr>
        <w:t>1-</w:t>
      </w:r>
      <w:r w:rsidRPr="00C908E3">
        <w:rPr>
          <w:rFonts w:ascii="Arial" w:hAnsi="Arial" w:cs="Arial"/>
        </w:rPr>
        <w:t xml:space="preserve"> </w:t>
      </w:r>
      <w:r>
        <w:rPr>
          <w:rFonts w:ascii="Arial" w:hAnsi="Arial" w:cs="Arial"/>
        </w:rPr>
        <w:t xml:space="preserve"> (R.D. Santos MD) </w:t>
      </w:r>
      <w:r w:rsidRPr="0011246A">
        <w:rPr>
          <w:rFonts w:ascii="Arial" w:hAnsi="Arial" w:cs="Arial"/>
        </w:rPr>
        <w:t>Lipid Clinic Heart Institute (InCor) University of Sao Paulo Medical School Hospital and Preventive Medicine Centre and Cardiology Program Hospital Israelita Albert Einstein, Sao Paulo, Brazil</w:t>
      </w:r>
      <w:r>
        <w:rPr>
          <w:rFonts w:ascii="Arial" w:hAnsi="Arial" w:cs="Arial"/>
        </w:rPr>
        <w:t>.</w:t>
      </w:r>
    </w:p>
    <w:p w14:paraId="0EF86713" w14:textId="77777777" w:rsidR="00B175ED" w:rsidRDefault="00B175ED" w:rsidP="00C908E3">
      <w:pPr>
        <w:spacing w:line="480" w:lineRule="auto"/>
        <w:ind w:left="-567"/>
        <w:rPr>
          <w:rFonts w:ascii="Arial" w:hAnsi="Arial" w:cs="Arial"/>
        </w:rPr>
      </w:pPr>
      <w:r>
        <w:rPr>
          <w:rFonts w:ascii="Arial" w:hAnsi="Arial" w:cs="Arial"/>
        </w:rPr>
        <w:t>2-</w:t>
      </w:r>
      <w:r w:rsidRPr="002602D7">
        <w:t xml:space="preserve"> </w:t>
      </w:r>
      <w:r>
        <w:t xml:space="preserve"> (</w:t>
      </w:r>
      <w:r w:rsidRPr="00305485">
        <w:rPr>
          <w:rFonts w:ascii="Arial" w:eastAsia="Times New Roman" w:hAnsi="Arial" w:cs="Arial"/>
        </w:rPr>
        <w:t>Prof. S</w:t>
      </w:r>
      <w:r>
        <w:rPr>
          <w:rFonts w:ascii="Arial" w:eastAsia="Times New Roman" w:hAnsi="Arial" w:cs="Arial"/>
        </w:rPr>
        <w:t>.</w:t>
      </w:r>
      <w:r w:rsidRPr="00305485">
        <w:rPr>
          <w:rFonts w:ascii="Arial" w:eastAsia="Times New Roman" w:hAnsi="Arial" w:cs="Arial"/>
        </w:rPr>
        <w:t>S</w:t>
      </w:r>
      <w:r>
        <w:rPr>
          <w:rFonts w:ascii="Arial" w:eastAsia="Times New Roman" w:hAnsi="Arial" w:cs="Arial"/>
        </w:rPr>
        <w:t>.</w:t>
      </w:r>
      <w:r w:rsidRPr="00305485">
        <w:rPr>
          <w:rFonts w:ascii="Arial" w:eastAsia="Times New Roman" w:hAnsi="Arial" w:cs="Arial"/>
        </w:rPr>
        <w:t xml:space="preserve"> Gidding MD)</w:t>
      </w:r>
      <w:r>
        <w:t xml:space="preserve"> </w:t>
      </w:r>
      <w:r>
        <w:rPr>
          <w:rFonts w:ascii="Arial" w:hAnsi="Arial" w:cs="Arial"/>
          <w:sz w:val="26"/>
          <w:szCs w:val="26"/>
        </w:rPr>
        <w:t>Nemours Cardiac Center, A. I. DuPont Hospital for Children, Wilmington, Delaware, USA</w:t>
      </w:r>
    </w:p>
    <w:p w14:paraId="6A96FD98" w14:textId="77777777" w:rsidR="00B175ED" w:rsidRDefault="00B175ED" w:rsidP="002602D7">
      <w:pPr>
        <w:spacing w:line="480" w:lineRule="auto"/>
        <w:ind w:left="-567"/>
        <w:rPr>
          <w:rFonts w:ascii="Arial" w:hAnsi="Arial" w:cs="Arial"/>
        </w:rPr>
      </w:pPr>
      <w:r>
        <w:rPr>
          <w:rFonts w:ascii="Arial" w:hAnsi="Arial" w:cs="Arial"/>
        </w:rPr>
        <w:t>3-</w:t>
      </w:r>
      <w:r w:rsidRPr="002602D7">
        <w:rPr>
          <w:rFonts w:ascii="Calibri" w:eastAsia="Times New Roman" w:hAnsi="Calibri" w:cs="Times New Roman"/>
          <w:sz w:val="22"/>
          <w:szCs w:val="22"/>
        </w:rPr>
        <w:t xml:space="preserve"> </w:t>
      </w:r>
      <w:r>
        <w:rPr>
          <w:rFonts w:ascii="Calibri" w:eastAsia="Times New Roman" w:hAnsi="Calibri" w:cs="Times New Roman"/>
          <w:sz w:val="22"/>
          <w:szCs w:val="22"/>
        </w:rPr>
        <w:t>(</w:t>
      </w:r>
      <w:r w:rsidRPr="00305485">
        <w:rPr>
          <w:rFonts w:ascii="Arial" w:eastAsia="Times New Roman" w:hAnsi="Arial" w:cs="Arial"/>
        </w:rPr>
        <w:t>Prof. R</w:t>
      </w:r>
      <w:r>
        <w:rPr>
          <w:rFonts w:ascii="Arial" w:eastAsia="Times New Roman" w:hAnsi="Arial" w:cs="Arial"/>
        </w:rPr>
        <w:t>.</w:t>
      </w:r>
      <w:r w:rsidRPr="00305485">
        <w:rPr>
          <w:rFonts w:ascii="Arial" w:eastAsia="Times New Roman" w:hAnsi="Arial" w:cs="Arial"/>
        </w:rPr>
        <w:t>A</w:t>
      </w:r>
      <w:r>
        <w:rPr>
          <w:rFonts w:ascii="Arial" w:eastAsia="Times New Roman" w:hAnsi="Arial" w:cs="Arial"/>
        </w:rPr>
        <w:t>.</w:t>
      </w:r>
      <w:r w:rsidRPr="00305485">
        <w:rPr>
          <w:rFonts w:ascii="Arial" w:eastAsia="Times New Roman" w:hAnsi="Arial" w:cs="Arial"/>
        </w:rPr>
        <w:t xml:space="preserve"> Hegele MD)</w:t>
      </w:r>
      <w:r>
        <w:rPr>
          <w:rFonts w:ascii="Calibri" w:eastAsia="Times New Roman" w:hAnsi="Calibri" w:cs="Times New Roman"/>
          <w:sz w:val="22"/>
          <w:szCs w:val="22"/>
        </w:rPr>
        <w:t xml:space="preserve"> </w:t>
      </w:r>
      <w:r w:rsidRPr="00204169">
        <w:rPr>
          <w:rFonts w:ascii="Arial" w:hAnsi="Arial" w:cs="Arial"/>
        </w:rPr>
        <w:t xml:space="preserve">Department of Medicine and Robarts Research Institute, Schulich School of Medicine, Western University, London, Ontario, Canada </w:t>
      </w:r>
    </w:p>
    <w:p w14:paraId="3D8BAB2D" w14:textId="77777777" w:rsidR="00B175ED" w:rsidRPr="002602D7" w:rsidRDefault="00B175ED" w:rsidP="002602D7">
      <w:pPr>
        <w:spacing w:line="480" w:lineRule="auto"/>
        <w:ind w:left="-567"/>
        <w:rPr>
          <w:rFonts w:ascii="Arial" w:hAnsi="Arial" w:cs="Arial"/>
        </w:rPr>
      </w:pPr>
      <w:r>
        <w:rPr>
          <w:rFonts w:ascii="Arial" w:hAnsi="Arial" w:cs="Arial"/>
        </w:rPr>
        <w:t>4- (Prof. M.A. Cuchel MD)</w:t>
      </w:r>
      <w:r w:rsidRPr="002602D7">
        <w:rPr>
          <w:rFonts w:ascii="Calibri" w:eastAsia="Times New Roman" w:hAnsi="Calibri" w:cs="Times New Roman"/>
          <w:sz w:val="22"/>
          <w:szCs w:val="22"/>
        </w:rPr>
        <w:t xml:space="preserve"> </w:t>
      </w:r>
      <w:r w:rsidRPr="002738E7">
        <w:rPr>
          <w:rFonts w:ascii="Arial" w:hAnsi="Arial" w:cs="Arial"/>
        </w:rPr>
        <w:t>Division of Translational Medicine and Human Genetics, Perelman School of Medici</w:t>
      </w:r>
      <w:r>
        <w:rPr>
          <w:rFonts w:ascii="Arial" w:hAnsi="Arial" w:cs="Arial"/>
        </w:rPr>
        <w:t>ne , University of Pennsylvania,</w:t>
      </w:r>
      <w:r>
        <w:rPr>
          <w:rFonts w:ascii="Arial" w:hAnsi="Arial"/>
        </w:rPr>
        <w:t xml:space="preserve"> Philadelphia, PA, USA.</w:t>
      </w:r>
    </w:p>
    <w:p w14:paraId="3232B9F6" w14:textId="77777777" w:rsidR="00B175ED" w:rsidRDefault="00B175ED" w:rsidP="002602D7">
      <w:pPr>
        <w:spacing w:line="480" w:lineRule="auto"/>
        <w:ind w:left="-567"/>
        <w:rPr>
          <w:rFonts w:ascii="Arial" w:hAnsi="Arial" w:cs="Arial"/>
        </w:rPr>
      </w:pPr>
      <w:r>
        <w:rPr>
          <w:rFonts w:ascii="Arial" w:hAnsi="Arial" w:cs="Arial"/>
        </w:rPr>
        <w:t>5-</w:t>
      </w:r>
      <w:r w:rsidRPr="00B50A49">
        <w:rPr>
          <w:rFonts w:ascii="Arial" w:hAnsi="Arial" w:cs="Arial"/>
          <w:sz w:val="26"/>
          <w:szCs w:val="26"/>
        </w:rPr>
        <w:t xml:space="preserve"> </w:t>
      </w:r>
      <w:r>
        <w:rPr>
          <w:rFonts w:ascii="Arial" w:hAnsi="Arial" w:cs="Arial"/>
          <w:sz w:val="26"/>
          <w:szCs w:val="26"/>
        </w:rPr>
        <w:t xml:space="preserve">(Prof. P.J. Barter MD) </w:t>
      </w:r>
      <w:r w:rsidRPr="00B50A49">
        <w:rPr>
          <w:rFonts w:ascii="Arial" w:hAnsi="Arial" w:cs="Arial"/>
        </w:rPr>
        <w:t>School of Medical Sciences, University of New South Wales, Sydney, Australia</w:t>
      </w:r>
    </w:p>
    <w:p w14:paraId="5F14D953" w14:textId="77777777" w:rsidR="00B175ED" w:rsidRPr="007C2FDE" w:rsidRDefault="00B175ED" w:rsidP="007C2FDE">
      <w:pPr>
        <w:spacing w:line="480" w:lineRule="auto"/>
        <w:ind w:left="-567"/>
        <w:rPr>
          <w:rFonts w:ascii="Arial" w:hAnsi="Arial" w:cs="Arial"/>
        </w:rPr>
      </w:pPr>
      <w:r>
        <w:rPr>
          <w:rFonts w:ascii="Arial" w:hAnsi="Arial" w:cs="Arial"/>
        </w:rPr>
        <w:t xml:space="preserve">6- (Prof. G.F. Watts MD) </w:t>
      </w:r>
      <w:r w:rsidRPr="007C2FDE">
        <w:rPr>
          <w:rFonts w:ascii="Arial" w:hAnsi="Arial" w:cs="Arial"/>
        </w:rPr>
        <w:t>Lipid Disorders Clinic, Royal Perth Hospital, The University of Western Australia</w:t>
      </w:r>
      <w:r>
        <w:rPr>
          <w:rFonts w:ascii="Arial" w:hAnsi="Arial" w:cs="Arial"/>
        </w:rPr>
        <w:t>, Perth, Australia</w:t>
      </w:r>
    </w:p>
    <w:p w14:paraId="3DE21F84" w14:textId="77777777" w:rsidR="00B175ED" w:rsidRDefault="00B175ED" w:rsidP="002602D7">
      <w:pPr>
        <w:spacing w:line="480" w:lineRule="auto"/>
        <w:ind w:left="-567"/>
        <w:rPr>
          <w:rFonts w:ascii="Arial" w:hAnsi="Arial" w:cs="Arial"/>
        </w:rPr>
      </w:pPr>
    </w:p>
    <w:p w14:paraId="26DFE70B" w14:textId="77777777" w:rsidR="00B175ED" w:rsidRDefault="00B175ED" w:rsidP="002602D7">
      <w:pPr>
        <w:spacing w:line="480" w:lineRule="auto"/>
        <w:ind w:left="-567"/>
        <w:rPr>
          <w:rFonts w:ascii="Arial" w:hAnsi="Arial" w:cs="Arial"/>
        </w:rPr>
      </w:pPr>
    </w:p>
    <w:p w14:paraId="76AF4D89" w14:textId="77777777" w:rsidR="00B175ED" w:rsidRPr="00C908E3" w:rsidRDefault="00B175ED" w:rsidP="007C2FDE">
      <w:pPr>
        <w:spacing w:line="480" w:lineRule="auto"/>
        <w:ind w:left="-567"/>
        <w:rPr>
          <w:rFonts w:ascii="Arial" w:hAnsi="Arial" w:cs="Arial"/>
        </w:rPr>
      </w:pPr>
      <w:r>
        <w:rPr>
          <w:rFonts w:ascii="Arial" w:hAnsi="Arial" w:cs="Arial"/>
        </w:rPr>
        <w:t>7-</w:t>
      </w:r>
      <w:r w:rsidRPr="00C908E3">
        <w:rPr>
          <w:rFonts w:ascii="Calibri" w:eastAsia="Times New Roman" w:hAnsi="Calibri" w:cs="Times New Roman"/>
          <w:sz w:val="22"/>
          <w:szCs w:val="22"/>
        </w:rPr>
        <w:t xml:space="preserve"> </w:t>
      </w:r>
      <w:r>
        <w:rPr>
          <w:rFonts w:ascii="Calibri" w:eastAsia="Times New Roman" w:hAnsi="Calibri" w:cs="Times New Roman"/>
          <w:sz w:val="22"/>
          <w:szCs w:val="22"/>
        </w:rPr>
        <w:t xml:space="preserve"> </w:t>
      </w:r>
      <w:r w:rsidRPr="00305485">
        <w:rPr>
          <w:rFonts w:ascii="Arial" w:eastAsia="Times New Roman" w:hAnsi="Arial" w:cs="Arial"/>
        </w:rPr>
        <w:t>(S</w:t>
      </w:r>
      <w:r>
        <w:rPr>
          <w:rFonts w:ascii="Arial" w:eastAsia="Times New Roman" w:hAnsi="Arial" w:cs="Arial"/>
        </w:rPr>
        <w:t>.</w:t>
      </w:r>
      <w:r w:rsidRPr="00305485">
        <w:rPr>
          <w:rFonts w:ascii="Arial" w:eastAsia="Times New Roman" w:hAnsi="Arial" w:cs="Arial"/>
        </w:rPr>
        <w:t>S</w:t>
      </w:r>
      <w:r>
        <w:rPr>
          <w:rFonts w:ascii="Arial" w:eastAsia="Times New Roman" w:hAnsi="Arial" w:cs="Arial"/>
        </w:rPr>
        <w:t>.</w:t>
      </w:r>
      <w:r w:rsidRPr="00305485">
        <w:rPr>
          <w:rFonts w:ascii="Arial" w:eastAsia="Times New Roman" w:hAnsi="Arial" w:cs="Arial"/>
        </w:rPr>
        <w:t xml:space="preserve"> Baum MD)</w:t>
      </w:r>
      <w:r>
        <w:rPr>
          <w:rFonts w:ascii="Calibri" w:eastAsia="Times New Roman" w:hAnsi="Calibri" w:cs="Times New Roman"/>
          <w:sz w:val="22"/>
          <w:szCs w:val="22"/>
        </w:rPr>
        <w:t xml:space="preserve"> </w:t>
      </w:r>
      <w:r w:rsidRPr="00C908E3">
        <w:rPr>
          <w:rFonts w:ascii="Arial" w:hAnsi="Arial" w:cs="Arial"/>
        </w:rPr>
        <w:t>Preventive Cardiology Inc., Christine E. Lynn Women’s Health &amp; Wellness Institute, Boca Raton Regional Hospital</w:t>
      </w:r>
      <w:r>
        <w:rPr>
          <w:rFonts w:ascii="Arial" w:hAnsi="Arial" w:cs="Arial"/>
        </w:rPr>
        <w:t>, Boca Raton, FL, USA</w:t>
      </w:r>
    </w:p>
    <w:p w14:paraId="3E3E77FB" w14:textId="77777777" w:rsidR="00B175ED" w:rsidRDefault="00B175ED" w:rsidP="0033621A">
      <w:pPr>
        <w:spacing w:line="480" w:lineRule="auto"/>
        <w:ind w:left="-567"/>
        <w:rPr>
          <w:rFonts w:ascii="Arial" w:hAnsi="Arial" w:cs="Arial"/>
        </w:rPr>
      </w:pPr>
      <w:r>
        <w:rPr>
          <w:rFonts w:ascii="Arial" w:hAnsi="Arial" w:cs="Arial"/>
        </w:rPr>
        <w:t xml:space="preserve">8- (Prof. A.L. Catapano PhD) </w:t>
      </w:r>
      <w:r w:rsidRPr="0033621A">
        <w:rPr>
          <w:rFonts w:ascii="Calibri" w:eastAsia="Times New Roman" w:hAnsi="Calibri" w:cs="Times New Roman"/>
          <w:sz w:val="22"/>
          <w:szCs w:val="22"/>
        </w:rPr>
        <w:t xml:space="preserve"> </w:t>
      </w:r>
      <w:r w:rsidRPr="0033621A">
        <w:rPr>
          <w:rFonts w:ascii="Arial" w:hAnsi="Arial" w:cs="Arial"/>
        </w:rPr>
        <w:t>Institute of Pharmacological Sciences, University of Milan</w:t>
      </w:r>
      <w:r>
        <w:rPr>
          <w:rFonts w:ascii="Arial" w:hAnsi="Arial" w:cs="Arial"/>
        </w:rPr>
        <w:t>, Milan, Italy</w:t>
      </w:r>
    </w:p>
    <w:p w14:paraId="7D8DB1B8" w14:textId="77777777" w:rsidR="00B175ED" w:rsidRPr="0033621A" w:rsidRDefault="00B175ED" w:rsidP="0033621A">
      <w:pPr>
        <w:spacing w:line="480" w:lineRule="auto"/>
        <w:ind w:left="-567"/>
        <w:rPr>
          <w:rFonts w:ascii="Arial" w:hAnsi="Arial" w:cs="Arial"/>
        </w:rPr>
      </w:pPr>
      <w:r>
        <w:rPr>
          <w:rFonts w:ascii="Arial" w:hAnsi="Arial" w:cs="Arial"/>
        </w:rPr>
        <w:t>9-</w:t>
      </w:r>
      <w:r w:rsidRPr="0033621A">
        <w:rPr>
          <w:rFonts w:ascii="Calibri" w:eastAsia="Times New Roman" w:hAnsi="Calibri" w:cs="Times New Roman"/>
          <w:color w:val="393939"/>
          <w:sz w:val="22"/>
          <w:szCs w:val="22"/>
        </w:rPr>
        <w:t xml:space="preserve"> </w:t>
      </w:r>
      <w:r w:rsidRPr="00305485">
        <w:rPr>
          <w:rFonts w:ascii="Arial" w:eastAsia="Times New Roman" w:hAnsi="Arial" w:cs="Arial"/>
          <w:color w:val="393939"/>
        </w:rPr>
        <w:t>(Prof. M</w:t>
      </w:r>
      <w:r>
        <w:rPr>
          <w:rFonts w:ascii="Arial" w:eastAsia="Times New Roman" w:hAnsi="Arial" w:cs="Arial"/>
          <w:color w:val="393939"/>
        </w:rPr>
        <w:t>.</w:t>
      </w:r>
      <w:r w:rsidRPr="00305485">
        <w:rPr>
          <w:rFonts w:ascii="Arial" w:eastAsia="Times New Roman" w:hAnsi="Arial" w:cs="Arial"/>
          <w:color w:val="393939"/>
        </w:rPr>
        <w:t>J</w:t>
      </w:r>
      <w:r>
        <w:rPr>
          <w:rFonts w:ascii="Arial" w:eastAsia="Times New Roman" w:hAnsi="Arial" w:cs="Arial"/>
          <w:color w:val="393939"/>
        </w:rPr>
        <w:t>.</w:t>
      </w:r>
      <w:r w:rsidRPr="00305485">
        <w:rPr>
          <w:rFonts w:ascii="Arial" w:eastAsia="Times New Roman" w:hAnsi="Arial" w:cs="Arial"/>
          <w:color w:val="393939"/>
        </w:rPr>
        <w:t xml:space="preserve"> Chapman DSc)</w:t>
      </w:r>
      <w:r>
        <w:rPr>
          <w:rFonts w:ascii="Calibri" w:eastAsia="Times New Roman" w:hAnsi="Calibri" w:cs="Times New Roman"/>
          <w:color w:val="393939"/>
          <w:sz w:val="22"/>
          <w:szCs w:val="22"/>
        </w:rPr>
        <w:t xml:space="preserve"> </w:t>
      </w:r>
      <w:r w:rsidRPr="0033621A">
        <w:rPr>
          <w:rFonts w:ascii="Arial" w:hAnsi="Arial" w:cs="Arial"/>
        </w:rPr>
        <w:t>Pitié-Sâlpetrière University Hospital</w:t>
      </w:r>
      <w:r>
        <w:rPr>
          <w:rFonts w:ascii="Arial" w:hAnsi="Arial" w:cs="Arial"/>
        </w:rPr>
        <w:t>, Paris, France</w:t>
      </w:r>
    </w:p>
    <w:p w14:paraId="3FE7E25F" w14:textId="77777777" w:rsidR="00B175ED" w:rsidRDefault="00B175ED" w:rsidP="002602D7">
      <w:pPr>
        <w:spacing w:line="480" w:lineRule="auto"/>
        <w:ind w:left="-567"/>
        <w:rPr>
          <w:rFonts w:ascii="Arial" w:hAnsi="Arial" w:cs="Arial"/>
        </w:rPr>
      </w:pPr>
      <w:r>
        <w:rPr>
          <w:rFonts w:ascii="Arial" w:hAnsi="Arial" w:cs="Arial"/>
        </w:rPr>
        <w:t>10-</w:t>
      </w:r>
      <w:r w:rsidRPr="002602D7">
        <w:rPr>
          <w:rFonts w:ascii="Calibri" w:eastAsia="Times New Roman" w:hAnsi="Calibri" w:cs="Times New Roman"/>
          <w:sz w:val="22"/>
          <w:szCs w:val="22"/>
        </w:rPr>
        <w:t xml:space="preserve"> </w:t>
      </w:r>
      <w:r>
        <w:rPr>
          <w:rFonts w:ascii="Calibri" w:eastAsia="Times New Roman" w:hAnsi="Calibri" w:cs="Times New Roman"/>
          <w:sz w:val="22"/>
          <w:szCs w:val="22"/>
        </w:rPr>
        <w:t>(</w:t>
      </w:r>
      <w:r w:rsidRPr="00305485">
        <w:rPr>
          <w:rFonts w:ascii="Arial" w:eastAsia="Times New Roman" w:hAnsi="Arial" w:cs="Arial"/>
          <w:color w:val="393939"/>
        </w:rPr>
        <w:t>Prof. J</w:t>
      </w:r>
      <w:r>
        <w:rPr>
          <w:rFonts w:ascii="Arial" w:eastAsia="Times New Roman" w:hAnsi="Arial" w:cs="Arial"/>
          <w:color w:val="393939"/>
        </w:rPr>
        <w:t>.</w:t>
      </w:r>
      <w:r w:rsidRPr="00305485">
        <w:rPr>
          <w:rFonts w:ascii="Arial" w:eastAsia="Times New Roman" w:hAnsi="Arial" w:cs="Arial"/>
          <w:color w:val="393939"/>
        </w:rPr>
        <w:t>C</w:t>
      </w:r>
      <w:r>
        <w:rPr>
          <w:rFonts w:ascii="Arial" w:eastAsia="Times New Roman" w:hAnsi="Arial" w:cs="Arial"/>
          <w:color w:val="393939"/>
        </w:rPr>
        <w:t>.</w:t>
      </w:r>
      <w:r w:rsidRPr="00305485">
        <w:rPr>
          <w:rFonts w:ascii="Arial" w:eastAsia="Times New Roman" w:hAnsi="Arial" w:cs="Arial"/>
          <w:color w:val="393939"/>
        </w:rPr>
        <w:t xml:space="preserve"> Defesche PhD and GK. Hoving MD)</w:t>
      </w:r>
      <w:r>
        <w:rPr>
          <w:rFonts w:ascii="Calibri" w:eastAsia="Times New Roman" w:hAnsi="Calibri" w:cs="Times New Roman"/>
          <w:sz w:val="22"/>
          <w:szCs w:val="22"/>
        </w:rPr>
        <w:t xml:space="preserve"> </w:t>
      </w:r>
      <w:r w:rsidRPr="002602D7">
        <w:rPr>
          <w:rFonts w:ascii="Arial" w:hAnsi="Arial" w:cs="Arial"/>
        </w:rPr>
        <w:t>University of Amsterdam, Academic Medical Center (AMC)</w:t>
      </w:r>
      <w:r>
        <w:rPr>
          <w:rFonts w:ascii="Arial" w:hAnsi="Arial" w:cs="Arial"/>
        </w:rPr>
        <w:t>, Amsterdam, The Netherlands</w:t>
      </w:r>
    </w:p>
    <w:p w14:paraId="3DE41A2C" w14:textId="77777777" w:rsidR="00B175ED" w:rsidRDefault="00B175ED" w:rsidP="002602D7">
      <w:pPr>
        <w:spacing w:line="480" w:lineRule="auto"/>
        <w:ind w:left="-567"/>
        <w:rPr>
          <w:rFonts w:ascii="Arial" w:hAnsi="Arial" w:cs="Arial"/>
        </w:rPr>
      </w:pPr>
      <w:r>
        <w:rPr>
          <w:rFonts w:ascii="Arial" w:hAnsi="Arial" w:cs="Arial"/>
        </w:rPr>
        <w:t>11-(A. Jackson MBA and E. Folco PhD) International Atherosclerosis Society</w:t>
      </w:r>
    </w:p>
    <w:p w14:paraId="72CCE4A5" w14:textId="77777777" w:rsidR="00B175ED" w:rsidRDefault="00B175ED" w:rsidP="0033621A">
      <w:pPr>
        <w:spacing w:line="480" w:lineRule="auto"/>
        <w:ind w:left="-567"/>
        <w:rPr>
          <w:rFonts w:ascii="Arial" w:hAnsi="Arial" w:cs="Arial"/>
        </w:rPr>
      </w:pPr>
      <w:r>
        <w:rPr>
          <w:rFonts w:ascii="Arial" w:hAnsi="Arial" w:cs="Arial"/>
        </w:rPr>
        <w:t>12</w:t>
      </w:r>
      <w:r w:rsidRPr="00305485">
        <w:rPr>
          <w:rFonts w:ascii="Arial" w:eastAsia="Times New Roman" w:hAnsi="Arial" w:cs="Arial"/>
        </w:rPr>
        <w:t>-  (T Freiberger MD)</w:t>
      </w:r>
      <w:r>
        <w:rPr>
          <w:rFonts w:ascii="Calibri" w:eastAsia="Times New Roman" w:hAnsi="Calibri" w:cs="Times New Roman"/>
          <w:sz w:val="22"/>
          <w:szCs w:val="22"/>
        </w:rPr>
        <w:t xml:space="preserve"> </w:t>
      </w:r>
      <w:r w:rsidRPr="0033621A">
        <w:rPr>
          <w:rFonts w:ascii="Arial" w:hAnsi="Arial" w:cs="Arial"/>
        </w:rPr>
        <w:t>Molecular Genetics Lab, Centre for Cardiovascular Surgery and Transplantation; and Ceitec, Masaryk University</w:t>
      </w:r>
      <w:r>
        <w:rPr>
          <w:rFonts w:ascii="Arial" w:hAnsi="Arial" w:cs="Arial"/>
        </w:rPr>
        <w:t>, Brno, Czech Republic</w:t>
      </w:r>
    </w:p>
    <w:p w14:paraId="396C85E7" w14:textId="77777777" w:rsidR="00B175ED" w:rsidRDefault="00B175ED" w:rsidP="0033621A">
      <w:pPr>
        <w:spacing w:line="480" w:lineRule="auto"/>
        <w:ind w:left="-567"/>
        <w:rPr>
          <w:rFonts w:ascii="Arial" w:hAnsi="Arial" w:cs="Arial"/>
        </w:rPr>
      </w:pPr>
      <w:r>
        <w:rPr>
          <w:rFonts w:ascii="Arial" w:hAnsi="Arial" w:cs="Arial"/>
        </w:rPr>
        <w:t>13-</w:t>
      </w:r>
      <w:r w:rsidRPr="0033621A">
        <w:rPr>
          <w:rFonts w:ascii="Calibri" w:eastAsia="Times New Roman" w:hAnsi="Calibri" w:cs="Times New Roman"/>
          <w:sz w:val="22"/>
          <w:szCs w:val="22"/>
        </w:rPr>
        <w:t xml:space="preserve"> </w:t>
      </w:r>
      <w:r w:rsidRPr="00305485">
        <w:rPr>
          <w:rFonts w:ascii="Arial" w:eastAsia="Times New Roman" w:hAnsi="Arial" w:cs="Arial"/>
        </w:rPr>
        <w:t>(Prof. J</w:t>
      </w:r>
      <w:r>
        <w:rPr>
          <w:rFonts w:ascii="Arial" w:eastAsia="Times New Roman" w:hAnsi="Arial" w:cs="Arial"/>
        </w:rPr>
        <w:t>.</w:t>
      </w:r>
      <w:r w:rsidRPr="00305485">
        <w:rPr>
          <w:rFonts w:ascii="Arial" w:eastAsia="Times New Roman" w:hAnsi="Arial" w:cs="Arial"/>
        </w:rPr>
        <w:t xml:space="preserve"> Genest MD)</w:t>
      </w:r>
      <w:r>
        <w:rPr>
          <w:rFonts w:ascii="Calibri" w:eastAsia="Times New Roman" w:hAnsi="Calibri" w:cs="Times New Roman"/>
          <w:sz w:val="22"/>
          <w:szCs w:val="22"/>
        </w:rPr>
        <w:t xml:space="preserve"> </w:t>
      </w:r>
      <w:r w:rsidRPr="0033621A">
        <w:rPr>
          <w:rFonts w:ascii="Arial" w:hAnsi="Arial" w:cs="Arial"/>
        </w:rPr>
        <w:t>McGill University Health Center, Royal Victoria Hospital</w:t>
      </w:r>
      <w:r>
        <w:rPr>
          <w:rFonts w:ascii="Arial" w:hAnsi="Arial" w:cs="Arial"/>
        </w:rPr>
        <w:t>, Montreal, Canada</w:t>
      </w:r>
    </w:p>
    <w:p w14:paraId="1359C16B" w14:textId="77777777" w:rsidR="00B175ED" w:rsidRDefault="00B175ED" w:rsidP="0033621A">
      <w:pPr>
        <w:spacing w:line="480" w:lineRule="auto"/>
        <w:ind w:left="-567"/>
        <w:rPr>
          <w:rFonts w:ascii="Arial" w:hAnsi="Arial" w:cs="Arial"/>
        </w:rPr>
      </w:pPr>
      <w:r>
        <w:rPr>
          <w:rFonts w:ascii="Arial" w:hAnsi="Arial" w:cs="Arial"/>
        </w:rPr>
        <w:t>14-</w:t>
      </w:r>
      <w:r w:rsidRPr="009F0BAB">
        <w:t xml:space="preserve"> </w:t>
      </w:r>
      <w:r w:rsidRPr="00305485">
        <w:rPr>
          <w:rFonts w:ascii="Arial" w:eastAsia="Times New Roman" w:hAnsi="Arial" w:cs="Arial"/>
        </w:rPr>
        <w:t>(Prof. M</w:t>
      </w:r>
      <w:r>
        <w:rPr>
          <w:rFonts w:ascii="Arial" w:eastAsia="Times New Roman" w:hAnsi="Arial" w:cs="Arial"/>
        </w:rPr>
        <w:t>.</w:t>
      </w:r>
      <w:r w:rsidRPr="00305485">
        <w:rPr>
          <w:rFonts w:ascii="Arial" w:eastAsia="Times New Roman" w:hAnsi="Arial" w:cs="Arial"/>
        </w:rPr>
        <w:t xml:space="preserve"> Harada-Shiba MD)</w:t>
      </w:r>
      <w:r>
        <w:t xml:space="preserve">  </w:t>
      </w:r>
      <w:r w:rsidRPr="009F0BAB">
        <w:rPr>
          <w:rFonts w:ascii="Arial" w:hAnsi="Arial" w:cs="Arial"/>
        </w:rPr>
        <w:t>National Cerebral and Cardiovascular Center Research Institute</w:t>
      </w:r>
      <w:r>
        <w:rPr>
          <w:rFonts w:ascii="Arial" w:hAnsi="Arial" w:cs="Arial"/>
        </w:rPr>
        <w:t>, Suita, Osaka, Japan</w:t>
      </w:r>
    </w:p>
    <w:p w14:paraId="755DD8D2" w14:textId="77777777" w:rsidR="00B175ED" w:rsidRDefault="00B175ED" w:rsidP="009F0BAB">
      <w:pPr>
        <w:spacing w:line="480" w:lineRule="auto"/>
        <w:ind w:left="-567"/>
        <w:rPr>
          <w:rFonts w:ascii="Arial" w:hAnsi="Arial" w:cs="Arial"/>
        </w:rPr>
      </w:pPr>
      <w:r>
        <w:rPr>
          <w:rFonts w:ascii="Arial" w:hAnsi="Arial" w:cs="Arial"/>
        </w:rPr>
        <w:t>15-</w:t>
      </w:r>
      <w:r w:rsidRPr="009F0BAB">
        <w:rPr>
          <w:rFonts w:ascii="Calibri" w:eastAsia="Times New Roman" w:hAnsi="Calibri" w:cs="Times New Roman"/>
          <w:sz w:val="22"/>
          <w:szCs w:val="22"/>
        </w:rPr>
        <w:t xml:space="preserve"> </w:t>
      </w:r>
      <w:r w:rsidRPr="00976E28">
        <w:rPr>
          <w:rFonts w:ascii="Arial" w:eastAsia="Times New Roman" w:hAnsi="Arial" w:cs="Arial"/>
        </w:rPr>
        <w:t>(Prof. S</w:t>
      </w:r>
      <w:r>
        <w:rPr>
          <w:rFonts w:ascii="Arial" w:eastAsia="Times New Roman" w:hAnsi="Arial" w:cs="Arial"/>
        </w:rPr>
        <w:t>.</w:t>
      </w:r>
      <w:r w:rsidRPr="00976E28">
        <w:rPr>
          <w:rFonts w:ascii="Arial" w:eastAsia="Times New Roman" w:hAnsi="Arial" w:cs="Arial"/>
        </w:rPr>
        <w:t>E</w:t>
      </w:r>
      <w:r>
        <w:rPr>
          <w:rFonts w:ascii="Arial" w:eastAsia="Times New Roman" w:hAnsi="Arial" w:cs="Arial"/>
        </w:rPr>
        <w:t>.</w:t>
      </w:r>
      <w:r w:rsidRPr="00976E28">
        <w:rPr>
          <w:rFonts w:ascii="Arial" w:eastAsia="Times New Roman" w:hAnsi="Arial" w:cs="Arial"/>
        </w:rPr>
        <w:t xml:space="preserve"> </w:t>
      </w:r>
      <w:r w:rsidRPr="00305485">
        <w:rPr>
          <w:rFonts w:ascii="Arial" w:eastAsia="Times New Roman" w:hAnsi="Arial" w:cs="Arial"/>
        </w:rPr>
        <w:t>Humphries PhD)</w:t>
      </w:r>
      <w:r>
        <w:rPr>
          <w:rFonts w:ascii="Calibri" w:eastAsia="Times New Roman" w:hAnsi="Calibri" w:cs="Times New Roman"/>
          <w:sz w:val="22"/>
          <w:szCs w:val="22"/>
        </w:rPr>
        <w:t xml:space="preserve"> </w:t>
      </w:r>
      <w:r w:rsidRPr="009F0BAB">
        <w:rPr>
          <w:rFonts w:ascii="Arial" w:hAnsi="Arial" w:cs="Arial"/>
        </w:rPr>
        <w:t>Centre for Cardiovascular Genetics, Institute of Cardiovascular Science</w:t>
      </w:r>
      <w:r>
        <w:rPr>
          <w:rFonts w:ascii="Arial" w:hAnsi="Arial" w:cs="Arial"/>
        </w:rPr>
        <w:t>, University College of London, London, UK</w:t>
      </w:r>
    </w:p>
    <w:p w14:paraId="2C53DDE9" w14:textId="77777777" w:rsidR="00B175ED" w:rsidRDefault="00B175ED" w:rsidP="009F0BAB">
      <w:pPr>
        <w:spacing w:line="480" w:lineRule="auto"/>
        <w:ind w:left="-567"/>
        <w:rPr>
          <w:rFonts w:ascii="Arial" w:hAnsi="Arial" w:cs="Arial"/>
        </w:rPr>
      </w:pPr>
      <w:r>
        <w:rPr>
          <w:rFonts w:ascii="Arial" w:hAnsi="Arial" w:cs="Arial"/>
        </w:rPr>
        <w:t>16-</w:t>
      </w:r>
      <w:r w:rsidRPr="0074376B">
        <w:rPr>
          <w:rFonts w:ascii="Arial" w:hAnsi="Arial" w:cs="Arial"/>
          <w:sz w:val="26"/>
          <w:szCs w:val="26"/>
        </w:rPr>
        <w:t xml:space="preserve"> </w:t>
      </w:r>
      <w:r>
        <w:rPr>
          <w:rFonts w:ascii="Arial" w:hAnsi="Arial" w:cs="Arial"/>
          <w:sz w:val="26"/>
          <w:szCs w:val="26"/>
        </w:rPr>
        <w:t xml:space="preserve"> (P. Mata MD) </w:t>
      </w:r>
      <w:r w:rsidRPr="0074376B">
        <w:rPr>
          <w:rFonts w:ascii="Arial" w:hAnsi="Arial" w:cs="Arial"/>
        </w:rPr>
        <w:t>Fundación Hipercolesterolemia Familiar, Madrid, Spain.</w:t>
      </w:r>
    </w:p>
    <w:p w14:paraId="28750398" w14:textId="77777777" w:rsidR="00B175ED" w:rsidRDefault="00B175ED" w:rsidP="00966A20">
      <w:pPr>
        <w:spacing w:line="480" w:lineRule="auto"/>
        <w:ind w:left="-567"/>
        <w:rPr>
          <w:rFonts w:ascii="Arial" w:hAnsi="Arial" w:cs="Arial"/>
        </w:rPr>
      </w:pPr>
      <w:r>
        <w:rPr>
          <w:rFonts w:ascii="Arial" w:hAnsi="Arial" w:cs="Arial"/>
        </w:rPr>
        <w:t>17-</w:t>
      </w:r>
      <w:r w:rsidRPr="00966A20">
        <w:rPr>
          <w:rFonts w:ascii="Calibri" w:eastAsia="Times New Roman" w:hAnsi="Calibri" w:cs="Times New Roman"/>
          <w:sz w:val="22"/>
          <w:szCs w:val="22"/>
        </w:rPr>
        <w:t xml:space="preserve"> </w:t>
      </w:r>
      <w:r w:rsidRPr="00976E28">
        <w:rPr>
          <w:rFonts w:ascii="Arial" w:hAnsi="Arial" w:cs="Arial"/>
          <w:sz w:val="26"/>
          <w:szCs w:val="26"/>
        </w:rPr>
        <w:t>(Prof. P</w:t>
      </w:r>
      <w:r>
        <w:rPr>
          <w:rFonts w:ascii="Arial" w:hAnsi="Arial" w:cs="Arial"/>
          <w:sz w:val="26"/>
          <w:szCs w:val="26"/>
        </w:rPr>
        <w:t>.</w:t>
      </w:r>
      <w:r w:rsidRPr="00305485">
        <w:rPr>
          <w:rFonts w:ascii="Arial" w:hAnsi="Arial" w:cs="Arial"/>
          <w:sz w:val="26"/>
          <w:szCs w:val="26"/>
        </w:rPr>
        <w:t xml:space="preserve"> Moriarty MD)</w:t>
      </w:r>
      <w:r>
        <w:rPr>
          <w:rFonts w:ascii="Calibri" w:eastAsia="Times New Roman" w:hAnsi="Calibri" w:cs="Times New Roman"/>
          <w:sz w:val="22"/>
          <w:szCs w:val="22"/>
        </w:rPr>
        <w:t xml:space="preserve"> </w:t>
      </w:r>
      <w:r w:rsidRPr="00966A20">
        <w:rPr>
          <w:rFonts w:ascii="Arial" w:hAnsi="Arial" w:cs="Arial"/>
        </w:rPr>
        <w:t>Atherosclerosis and Lipoprotein-Apheresis Center, University of Kansas Medical Center</w:t>
      </w:r>
      <w:r>
        <w:rPr>
          <w:rFonts w:ascii="Arial" w:hAnsi="Arial" w:cs="Arial"/>
        </w:rPr>
        <w:t>, Kansas City, KS, USA</w:t>
      </w:r>
    </w:p>
    <w:p w14:paraId="2C17B0CB" w14:textId="77777777" w:rsidR="00B175ED" w:rsidRDefault="00B175ED" w:rsidP="00966A20">
      <w:pPr>
        <w:spacing w:line="480" w:lineRule="auto"/>
        <w:ind w:left="-567"/>
        <w:rPr>
          <w:rFonts w:ascii="Arial" w:hAnsi="Arial" w:cs="Arial"/>
        </w:rPr>
      </w:pPr>
      <w:r>
        <w:rPr>
          <w:rFonts w:ascii="Arial" w:hAnsi="Arial" w:cs="Arial"/>
        </w:rPr>
        <w:t>18-</w:t>
      </w:r>
      <w:r w:rsidRPr="00966A20">
        <w:rPr>
          <w:rFonts w:ascii="Calibri" w:eastAsia="Times New Roman" w:hAnsi="Calibri" w:cs="Times New Roman"/>
          <w:sz w:val="22"/>
          <w:szCs w:val="22"/>
        </w:rPr>
        <w:t xml:space="preserve"> </w:t>
      </w:r>
      <w:r w:rsidRPr="00305485">
        <w:rPr>
          <w:rFonts w:ascii="Arial" w:eastAsia="Times New Roman" w:hAnsi="Arial" w:cs="Arial"/>
        </w:rPr>
        <w:t>(Prof. F</w:t>
      </w:r>
      <w:r>
        <w:rPr>
          <w:rFonts w:ascii="Arial" w:eastAsia="Times New Roman" w:hAnsi="Arial" w:cs="Arial"/>
        </w:rPr>
        <w:t>.J.</w:t>
      </w:r>
      <w:r w:rsidRPr="00305485">
        <w:rPr>
          <w:rFonts w:ascii="Arial" w:eastAsia="Times New Roman" w:hAnsi="Arial" w:cs="Arial"/>
        </w:rPr>
        <w:t xml:space="preserve"> Raal MD)</w:t>
      </w:r>
      <w:r>
        <w:rPr>
          <w:rFonts w:ascii="Calibri" w:eastAsia="Times New Roman" w:hAnsi="Calibri" w:cs="Times New Roman"/>
          <w:sz w:val="22"/>
          <w:szCs w:val="22"/>
        </w:rPr>
        <w:t xml:space="preserve"> </w:t>
      </w:r>
      <w:r w:rsidRPr="00966A20">
        <w:rPr>
          <w:rFonts w:ascii="Arial" w:hAnsi="Arial" w:cs="Arial"/>
        </w:rPr>
        <w:t>Faculty of Health Sciences, University of the Witwatersrand</w:t>
      </w:r>
      <w:r>
        <w:rPr>
          <w:rFonts w:ascii="Arial" w:hAnsi="Arial" w:cs="Arial"/>
        </w:rPr>
        <w:t xml:space="preserve">, Johannesburg, South Africa </w:t>
      </w:r>
    </w:p>
    <w:p w14:paraId="23E615AB" w14:textId="77777777" w:rsidR="00B175ED" w:rsidRPr="00966A20" w:rsidRDefault="00B175ED" w:rsidP="00966A20">
      <w:pPr>
        <w:spacing w:line="480" w:lineRule="auto"/>
        <w:ind w:left="-567"/>
        <w:rPr>
          <w:rFonts w:ascii="Arial" w:hAnsi="Arial" w:cs="Arial"/>
        </w:rPr>
      </w:pPr>
      <w:r>
        <w:rPr>
          <w:rFonts w:ascii="Arial" w:hAnsi="Arial" w:cs="Arial"/>
        </w:rPr>
        <w:t>19-</w:t>
      </w:r>
      <w:r w:rsidRPr="00966A20">
        <w:rPr>
          <w:rFonts w:ascii="Calibri" w:eastAsia="Times New Roman" w:hAnsi="Calibri" w:cs="Times New Roman"/>
          <w:color w:val="000000"/>
          <w:sz w:val="22"/>
          <w:szCs w:val="22"/>
        </w:rPr>
        <w:t xml:space="preserve"> </w:t>
      </w:r>
      <w:r w:rsidRPr="00976E28">
        <w:rPr>
          <w:rFonts w:ascii="Arial" w:eastAsia="Times New Roman" w:hAnsi="Arial" w:cs="Arial"/>
          <w:color w:val="000000"/>
        </w:rPr>
        <w:t>(K</w:t>
      </w:r>
      <w:r>
        <w:rPr>
          <w:rFonts w:ascii="Arial" w:eastAsia="Times New Roman" w:hAnsi="Arial" w:cs="Arial"/>
          <w:color w:val="000000"/>
        </w:rPr>
        <w:t>.</w:t>
      </w:r>
      <w:r w:rsidRPr="00305485">
        <w:rPr>
          <w:rFonts w:ascii="Arial" w:eastAsia="Times New Roman" w:hAnsi="Arial" w:cs="Arial"/>
          <w:color w:val="000000"/>
        </w:rPr>
        <w:t xml:space="preserve"> Al-Rasadi MD)</w:t>
      </w:r>
      <w:r>
        <w:rPr>
          <w:rFonts w:ascii="Calibri" w:eastAsia="Times New Roman" w:hAnsi="Calibri" w:cs="Times New Roman"/>
          <w:color w:val="000000"/>
          <w:sz w:val="22"/>
          <w:szCs w:val="22"/>
        </w:rPr>
        <w:t xml:space="preserve"> </w:t>
      </w:r>
      <w:r w:rsidRPr="00966A20">
        <w:rPr>
          <w:rFonts w:ascii="Arial" w:hAnsi="Arial" w:cs="Arial"/>
        </w:rPr>
        <w:t>Su</w:t>
      </w:r>
      <w:r>
        <w:rPr>
          <w:rFonts w:ascii="Arial" w:hAnsi="Arial" w:cs="Arial"/>
        </w:rPr>
        <w:t>ltan Qaboos University Hospital, Muscat, Oman</w:t>
      </w:r>
    </w:p>
    <w:p w14:paraId="4CDA0442" w14:textId="77777777" w:rsidR="00B175ED" w:rsidRDefault="00B175ED" w:rsidP="00133E71">
      <w:pPr>
        <w:spacing w:line="480" w:lineRule="auto"/>
        <w:ind w:left="-567"/>
        <w:rPr>
          <w:rFonts w:ascii="Arial" w:hAnsi="Arial" w:cs="Arial"/>
        </w:rPr>
      </w:pPr>
      <w:r>
        <w:rPr>
          <w:rFonts w:ascii="Arial" w:hAnsi="Arial" w:cs="Arial"/>
        </w:rPr>
        <w:t>20-</w:t>
      </w:r>
      <w:r w:rsidRPr="00133E71">
        <w:rPr>
          <w:rFonts w:ascii="Calibri" w:eastAsia="Times New Roman" w:hAnsi="Calibri" w:cs="Times New Roman"/>
          <w:sz w:val="22"/>
          <w:szCs w:val="22"/>
        </w:rPr>
        <w:t xml:space="preserve"> </w:t>
      </w:r>
      <w:r w:rsidRPr="00305485">
        <w:rPr>
          <w:rFonts w:ascii="Arial" w:eastAsia="Times New Roman" w:hAnsi="Arial" w:cs="Arial"/>
        </w:rPr>
        <w:t>(P</w:t>
      </w:r>
      <w:r w:rsidRPr="00976E28">
        <w:rPr>
          <w:rFonts w:ascii="Arial" w:eastAsia="Times New Roman" w:hAnsi="Arial" w:cs="Arial"/>
        </w:rPr>
        <w:t>rof. K</w:t>
      </w:r>
      <w:r>
        <w:rPr>
          <w:rFonts w:ascii="Arial" w:eastAsia="Times New Roman" w:hAnsi="Arial" w:cs="Arial"/>
        </w:rPr>
        <w:t>.</w:t>
      </w:r>
      <w:r w:rsidRPr="00976E28">
        <w:rPr>
          <w:rFonts w:ascii="Arial" w:eastAsia="Times New Roman" w:hAnsi="Arial" w:cs="Arial"/>
        </w:rPr>
        <w:t>K</w:t>
      </w:r>
      <w:r>
        <w:rPr>
          <w:rFonts w:ascii="Arial" w:eastAsia="Times New Roman" w:hAnsi="Arial" w:cs="Arial"/>
        </w:rPr>
        <w:t>.</w:t>
      </w:r>
      <w:r w:rsidRPr="00305485">
        <w:rPr>
          <w:rFonts w:ascii="Arial" w:eastAsia="Times New Roman" w:hAnsi="Arial" w:cs="Arial"/>
        </w:rPr>
        <w:t xml:space="preserve"> Ray MD)</w:t>
      </w:r>
      <w:r>
        <w:rPr>
          <w:rFonts w:ascii="Calibri" w:eastAsia="Times New Roman" w:hAnsi="Calibri" w:cs="Times New Roman"/>
          <w:sz w:val="22"/>
          <w:szCs w:val="22"/>
        </w:rPr>
        <w:t xml:space="preserve"> </w:t>
      </w:r>
      <w:r w:rsidRPr="00133E71">
        <w:rPr>
          <w:rFonts w:ascii="Arial" w:hAnsi="Arial" w:cs="Arial"/>
        </w:rPr>
        <w:t>School of Public Health, Imperial College London</w:t>
      </w:r>
      <w:r>
        <w:rPr>
          <w:rFonts w:ascii="Arial" w:hAnsi="Arial" w:cs="Arial"/>
        </w:rPr>
        <w:t>, London, UK</w:t>
      </w:r>
    </w:p>
    <w:p w14:paraId="62E22839" w14:textId="77777777" w:rsidR="00B175ED" w:rsidRDefault="00B175ED" w:rsidP="00133E71">
      <w:pPr>
        <w:spacing w:line="480" w:lineRule="auto"/>
        <w:ind w:left="-567"/>
        <w:rPr>
          <w:rFonts w:ascii="Arial" w:hAnsi="Arial" w:cs="Arial"/>
        </w:rPr>
      </w:pPr>
      <w:r>
        <w:rPr>
          <w:rFonts w:ascii="Arial" w:hAnsi="Arial" w:cs="Arial"/>
        </w:rPr>
        <w:lastRenderedPageBreak/>
        <w:t>21-</w:t>
      </w:r>
      <w:r w:rsidRPr="00133E71">
        <w:rPr>
          <w:rFonts w:ascii="Calibri" w:eastAsia="Times New Roman" w:hAnsi="Calibri" w:cs="Times New Roman"/>
          <w:color w:val="000000"/>
          <w:sz w:val="22"/>
          <w:szCs w:val="22"/>
        </w:rPr>
        <w:t xml:space="preserve"> </w:t>
      </w:r>
      <w:r w:rsidRPr="00976E28">
        <w:rPr>
          <w:rFonts w:ascii="Arial" w:hAnsi="Arial" w:cs="Arial"/>
          <w:sz w:val="26"/>
          <w:szCs w:val="26"/>
        </w:rPr>
        <w:t>(Z</w:t>
      </w:r>
      <w:r>
        <w:rPr>
          <w:rFonts w:ascii="Arial" w:hAnsi="Arial" w:cs="Arial"/>
          <w:sz w:val="26"/>
          <w:szCs w:val="26"/>
        </w:rPr>
        <w:t>.</w:t>
      </w:r>
      <w:r w:rsidRPr="00305485">
        <w:rPr>
          <w:rFonts w:ascii="Arial" w:hAnsi="Arial" w:cs="Arial"/>
          <w:sz w:val="26"/>
          <w:szCs w:val="26"/>
        </w:rPr>
        <w:t xml:space="preserve"> Reiner, MD)</w:t>
      </w:r>
      <w:r>
        <w:rPr>
          <w:rFonts w:ascii="Calibri" w:eastAsia="Times New Roman" w:hAnsi="Calibri" w:cs="Times New Roman"/>
          <w:color w:val="000000"/>
          <w:sz w:val="22"/>
          <w:szCs w:val="22"/>
        </w:rPr>
        <w:t xml:space="preserve"> </w:t>
      </w:r>
      <w:r w:rsidRPr="00133E71">
        <w:rPr>
          <w:rFonts w:ascii="Arial" w:hAnsi="Arial" w:cs="Arial"/>
        </w:rPr>
        <w:t>European Association for Cardiovascular Prevention and Rehabilitations</w:t>
      </w:r>
      <w:r>
        <w:rPr>
          <w:rFonts w:ascii="Arial" w:hAnsi="Arial" w:cs="Arial"/>
        </w:rPr>
        <w:t>, Zagreb, Croatia</w:t>
      </w:r>
    </w:p>
    <w:p w14:paraId="192E0127" w14:textId="77777777" w:rsidR="00B175ED" w:rsidRDefault="00B175ED" w:rsidP="00133E71">
      <w:pPr>
        <w:spacing w:line="480" w:lineRule="auto"/>
        <w:ind w:left="-567"/>
        <w:rPr>
          <w:rFonts w:ascii="Arial" w:hAnsi="Arial" w:cs="Arial"/>
        </w:rPr>
      </w:pPr>
      <w:r>
        <w:rPr>
          <w:rFonts w:ascii="Arial" w:hAnsi="Arial" w:cs="Arial"/>
        </w:rPr>
        <w:t>22-</w:t>
      </w:r>
      <w:r w:rsidRPr="00A52514">
        <w:rPr>
          <w:rFonts w:ascii="Arial" w:hAnsi="Arial" w:cs="Arial"/>
          <w:sz w:val="26"/>
          <w:szCs w:val="26"/>
        </w:rPr>
        <w:t xml:space="preserve"> </w:t>
      </w:r>
      <w:r>
        <w:rPr>
          <w:rFonts w:ascii="Arial" w:hAnsi="Arial" w:cs="Arial"/>
          <w:sz w:val="26"/>
          <w:szCs w:val="26"/>
        </w:rPr>
        <w:t xml:space="preserve">(Prof. E.J.  SIjbrands MD) </w:t>
      </w:r>
      <w:r w:rsidRPr="00A52514">
        <w:rPr>
          <w:rFonts w:ascii="Arial" w:hAnsi="Arial" w:cs="Arial"/>
        </w:rPr>
        <w:t>Department of Internal</w:t>
      </w:r>
      <w:r>
        <w:rPr>
          <w:rFonts w:ascii="Arial" w:hAnsi="Arial" w:cs="Arial"/>
        </w:rPr>
        <w:t xml:space="preserve"> Medicine</w:t>
      </w:r>
      <w:r w:rsidRPr="00A52514">
        <w:rPr>
          <w:rFonts w:ascii="Arial" w:hAnsi="Arial" w:cs="Arial"/>
        </w:rPr>
        <w:t>, Erasmus M</w:t>
      </w:r>
      <w:r>
        <w:rPr>
          <w:rFonts w:ascii="Arial" w:hAnsi="Arial" w:cs="Arial"/>
        </w:rPr>
        <w:t>C</w:t>
      </w:r>
      <w:r w:rsidRPr="00A52514">
        <w:rPr>
          <w:rFonts w:ascii="Arial" w:hAnsi="Arial" w:cs="Arial"/>
        </w:rPr>
        <w:t xml:space="preserve">, Rotterdam, </w:t>
      </w:r>
      <w:r>
        <w:rPr>
          <w:rFonts w:ascii="Arial" w:hAnsi="Arial" w:cs="Arial"/>
        </w:rPr>
        <w:t>t</w:t>
      </w:r>
      <w:r w:rsidRPr="00A52514">
        <w:rPr>
          <w:rFonts w:ascii="Arial" w:hAnsi="Arial" w:cs="Arial"/>
        </w:rPr>
        <w:t>he Netherlands</w:t>
      </w:r>
    </w:p>
    <w:p w14:paraId="14EF04F8" w14:textId="77777777" w:rsidR="00B175ED" w:rsidRPr="00A52514" w:rsidRDefault="00B175ED" w:rsidP="00A52514">
      <w:pPr>
        <w:spacing w:line="480" w:lineRule="auto"/>
        <w:ind w:left="-567"/>
        <w:rPr>
          <w:rFonts w:ascii="Arial" w:hAnsi="Arial" w:cs="Arial"/>
        </w:rPr>
      </w:pPr>
      <w:r>
        <w:rPr>
          <w:rFonts w:ascii="Arial" w:hAnsi="Arial" w:cs="Arial"/>
        </w:rPr>
        <w:t>23-</w:t>
      </w:r>
      <w:r w:rsidRPr="00A52514">
        <w:rPr>
          <w:rFonts w:ascii="Calibri" w:eastAsia="Times New Roman" w:hAnsi="Calibri" w:cs="Times New Roman"/>
          <w:sz w:val="22"/>
          <w:szCs w:val="22"/>
        </w:rPr>
        <w:t xml:space="preserve"> </w:t>
      </w:r>
      <w:r>
        <w:rPr>
          <w:rFonts w:ascii="Calibri" w:eastAsia="Times New Roman" w:hAnsi="Calibri" w:cs="Times New Roman"/>
          <w:sz w:val="22"/>
          <w:szCs w:val="22"/>
        </w:rPr>
        <w:t>(</w:t>
      </w:r>
      <w:r w:rsidRPr="00305485">
        <w:rPr>
          <w:rFonts w:ascii="Arial" w:hAnsi="Arial" w:cs="Arial"/>
          <w:sz w:val="26"/>
          <w:szCs w:val="26"/>
        </w:rPr>
        <w:t xml:space="preserve">Prof. </w:t>
      </w:r>
      <w:r>
        <w:rPr>
          <w:rFonts w:ascii="Arial" w:hAnsi="Arial" w:cs="Arial"/>
          <w:sz w:val="26"/>
          <w:szCs w:val="26"/>
        </w:rPr>
        <w:t>S.</w:t>
      </w:r>
      <w:r w:rsidRPr="00305485">
        <w:rPr>
          <w:rFonts w:ascii="Arial" w:hAnsi="Arial" w:cs="Arial"/>
          <w:sz w:val="26"/>
          <w:szCs w:val="26"/>
        </w:rPr>
        <w:t xml:space="preserve"> Yamashita MD)</w:t>
      </w:r>
      <w:r>
        <w:rPr>
          <w:rFonts w:ascii="Calibri" w:eastAsia="Times New Roman" w:hAnsi="Calibri" w:cs="Times New Roman"/>
          <w:sz w:val="22"/>
          <w:szCs w:val="22"/>
        </w:rPr>
        <w:t xml:space="preserve"> </w:t>
      </w:r>
      <w:r w:rsidRPr="00A52514">
        <w:rPr>
          <w:rFonts w:ascii="Arial" w:hAnsi="Arial" w:cs="Arial"/>
        </w:rPr>
        <w:t>Osaka University Graduate School of Medicine</w:t>
      </w:r>
      <w:r>
        <w:rPr>
          <w:rFonts w:ascii="Arial" w:hAnsi="Arial" w:cs="Arial"/>
        </w:rPr>
        <w:t>, Suita, Osaka, Japan</w:t>
      </w:r>
    </w:p>
    <w:p w14:paraId="309E62BB" w14:textId="77777777" w:rsidR="00B175ED" w:rsidRDefault="00B175ED" w:rsidP="00133E71">
      <w:pPr>
        <w:spacing w:line="480" w:lineRule="auto"/>
        <w:ind w:left="-567"/>
        <w:rPr>
          <w:rFonts w:ascii="Arial" w:hAnsi="Arial" w:cs="Arial"/>
        </w:rPr>
      </w:pPr>
    </w:p>
    <w:p w14:paraId="473E6218" w14:textId="77777777" w:rsidR="00B175ED" w:rsidRPr="0011246A" w:rsidRDefault="00B175ED" w:rsidP="00D67CD2">
      <w:pPr>
        <w:spacing w:line="480" w:lineRule="auto"/>
        <w:ind w:left="-567"/>
        <w:rPr>
          <w:rFonts w:ascii="Arial" w:hAnsi="Arial" w:cs="Arial"/>
        </w:rPr>
      </w:pPr>
      <w:r w:rsidRPr="0011246A">
        <w:rPr>
          <w:rFonts w:ascii="Arial" w:hAnsi="Arial" w:cs="Arial"/>
        </w:rPr>
        <w:t>Correspondence:</w:t>
      </w:r>
    </w:p>
    <w:p w14:paraId="3F461B78" w14:textId="77777777" w:rsidR="00B175ED" w:rsidRPr="0011246A" w:rsidRDefault="00B175ED" w:rsidP="00D67CD2">
      <w:pPr>
        <w:spacing w:line="480" w:lineRule="auto"/>
        <w:ind w:left="-567"/>
        <w:rPr>
          <w:rFonts w:ascii="Arial" w:hAnsi="Arial" w:cs="Arial"/>
        </w:rPr>
      </w:pPr>
      <w:r w:rsidRPr="0011246A">
        <w:rPr>
          <w:rFonts w:ascii="Arial" w:hAnsi="Arial" w:cs="Arial"/>
        </w:rPr>
        <w:t>Raul D. Santos MD, PhD</w:t>
      </w:r>
    </w:p>
    <w:p w14:paraId="7F98A1E2" w14:textId="77777777" w:rsidR="00B175ED" w:rsidRPr="0011246A" w:rsidRDefault="00B175ED" w:rsidP="00D67CD2">
      <w:pPr>
        <w:spacing w:line="480" w:lineRule="auto"/>
        <w:ind w:left="-567"/>
        <w:rPr>
          <w:rFonts w:ascii="Arial" w:hAnsi="Arial" w:cs="Arial"/>
        </w:rPr>
      </w:pPr>
      <w:r w:rsidRPr="0011246A">
        <w:rPr>
          <w:rFonts w:ascii="Arial" w:hAnsi="Arial" w:cs="Arial"/>
        </w:rPr>
        <w:t xml:space="preserve">Lipid Clinic Heart Institute (InCor) University of Sao Paulo Medical School Hospital and Preventive Medicine Centre and Cardiology Program Hospital Israelita Albert Einstein, Sao Paulo, Brazil </w:t>
      </w:r>
    </w:p>
    <w:p w14:paraId="1D874C65" w14:textId="77777777" w:rsidR="00B175ED" w:rsidRPr="0011246A" w:rsidRDefault="00B175ED" w:rsidP="00D67CD2">
      <w:pPr>
        <w:spacing w:line="480" w:lineRule="auto"/>
        <w:ind w:left="-567"/>
        <w:rPr>
          <w:rFonts w:ascii="Arial" w:hAnsi="Arial" w:cs="Arial"/>
        </w:rPr>
      </w:pPr>
      <w:r w:rsidRPr="0011246A">
        <w:rPr>
          <w:rFonts w:ascii="Arial" w:hAnsi="Arial" w:cs="Arial"/>
        </w:rPr>
        <w:t>Av Dr. Eneas C. Aguiar 44 cep 05403-900, Sao Paulo Brazil</w:t>
      </w:r>
    </w:p>
    <w:p w14:paraId="6A8A8ABE" w14:textId="77777777" w:rsidR="00B175ED" w:rsidRPr="0011246A" w:rsidRDefault="00B175ED" w:rsidP="00D67CD2">
      <w:pPr>
        <w:spacing w:line="480" w:lineRule="auto"/>
        <w:ind w:left="-567"/>
        <w:rPr>
          <w:rFonts w:ascii="Arial" w:hAnsi="Arial" w:cs="Arial"/>
        </w:rPr>
      </w:pPr>
      <w:r w:rsidRPr="0011246A">
        <w:rPr>
          <w:rFonts w:ascii="Arial" w:hAnsi="Arial" w:cs="Arial"/>
        </w:rPr>
        <w:t xml:space="preserve"> </w:t>
      </w:r>
      <w:hyperlink r:id="rId7" w:history="1">
        <w:r w:rsidRPr="0011246A">
          <w:rPr>
            <w:rStyle w:val="Hyperlink"/>
            <w:rFonts w:ascii="Arial" w:hAnsi="Arial" w:cs="Arial"/>
          </w:rPr>
          <w:t>rdsf@uol.com.br</w:t>
        </w:r>
      </w:hyperlink>
    </w:p>
    <w:p w14:paraId="5FF982DF" w14:textId="77777777" w:rsidR="00B175ED" w:rsidRPr="0011246A" w:rsidRDefault="00B175ED" w:rsidP="00D67CD2">
      <w:pPr>
        <w:spacing w:line="480" w:lineRule="auto"/>
        <w:ind w:left="-567"/>
        <w:rPr>
          <w:rFonts w:ascii="Arial" w:hAnsi="Arial" w:cs="Arial"/>
        </w:rPr>
      </w:pPr>
    </w:p>
    <w:p w14:paraId="021E9BC7" w14:textId="77777777" w:rsidR="00B175ED" w:rsidRPr="0011246A" w:rsidRDefault="00B175ED" w:rsidP="00D67CD2">
      <w:pPr>
        <w:spacing w:line="480" w:lineRule="auto"/>
        <w:ind w:left="-567"/>
        <w:rPr>
          <w:rFonts w:ascii="Arial" w:hAnsi="Arial" w:cs="Arial"/>
        </w:rPr>
      </w:pPr>
      <w:r w:rsidRPr="0011246A">
        <w:rPr>
          <w:rFonts w:ascii="Arial" w:hAnsi="Arial" w:cs="Arial"/>
        </w:rPr>
        <w:t>Key words: cholesterol, cardiovascular disease, atherosclerosis, familial hypercholesterolemia, PCSK9, lipoprotein(a)</w:t>
      </w:r>
      <w:r>
        <w:rPr>
          <w:rFonts w:ascii="Arial" w:hAnsi="Arial" w:cs="Arial"/>
        </w:rPr>
        <w:t>, coronary calcium score</w:t>
      </w:r>
    </w:p>
    <w:p w14:paraId="6B4AD0F2" w14:textId="77777777" w:rsidR="00B175ED" w:rsidRPr="003A4FCC" w:rsidRDefault="00B175ED" w:rsidP="00D67CD2">
      <w:pPr>
        <w:spacing w:line="480" w:lineRule="auto"/>
        <w:ind w:left="-567"/>
        <w:rPr>
          <w:rFonts w:ascii="Arial" w:hAnsi="Arial" w:cs="Arial"/>
        </w:rPr>
      </w:pPr>
      <w:r w:rsidRPr="008F0A35">
        <w:rPr>
          <w:rFonts w:ascii="Arial" w:hAnsi="Arial" w:cs="Arial"/>
        </w:rPr>
        <w:t>Word count: 4,904</w:t>
      </w:r>
    </w:p>
    <w:p w14:paraId="303EC1D6" w14:textId="77777777" w:rsidR="00B175ED" w:rsidRPr="003A4FCC" w:rsidRDefault="00B175ED" w:rsidP="00D67CD2">
      <w:pPr>
        <w:spacing w:line="480" w:lineRule="auto"/>
        <w:ind w:left="-567"/>
        <w:rPr>
          <w:rFonts w:ascii="Arial" w:hAnsi="Arial" w:cs="Arial"/>
        </w:rPr>
      </w:pPr>
      <w:r w:rsidRPr="003A4FCC">
        <w:rPr>
          <w:rFonts w:ascii="Arial" w:hAnsi="Arial" w:cs="Arial"/>
        </w:rPr>
        <w:t xml:space="preserve">Number of tables: </w:t>
      </w:r>
      <w:r>
        <w:rPr>
          <w:rFonts w:ascii="Arial" w:hAnsi="Arial" w:cs="Arial"/>
        </w:rPr>
        <w:t>2</w:t>
      </w:r>
    </w:p>
    <w:p w14:paraId="729F0B20" w14:textId="77777777" w:rsidR="00B175ED" w:rsidRPr="003A4FCC" w:rsidRDefault="00B175ED" w:rsidP="00D67CD2">
      <w:pPr>
        <w:spacing w:line="480" w:lineRule="auto"/>
        <w:ind w:left="-567"/>
        <w:rPr>
          <w:rFonts w:ascii="Arial" w:hAnsi="Arial" w:cs="Arial"/>
        </w:rPr>
      </w:pPr>
      <w:r w:rsidRPr="003A4FCC">
        <w:rPr>
          <w:rFonts w:ascii="Arial" w:hAnsi="Arial" w:cs="Arial"/>
        </w:rPr>
        <w:t xml:space="preserve">Number of figures:1 </w:t>
      </w:r>
    </w:p>
    <w:p w14:paraId="5A7AC967" w14:textId="77777777" w:rsidR="00B175ED" w:rsidRPr="0011246A" w:rsidRDefault="00B175ED" w:rsidP="00D67CD2">
      <w:pPr>
        <w:spacing w:line="480" w:lineRule="auto"/>
        <w:ind w:left="-567"/>
        <w:rPr>
          <w:rFonts w:ascii="Arial" w:hAnsi="Arial" w:cs="Arial"/>
        </w:rPr>
      </w:pPr>
    </w:p>
    <w:p w14:paraId="338D5B25" w14:textId="77777777" w:rsidR="00B175ED" w:rsidRPr="0011246A" w:rsidRDefault="00B175ED" w:rsidP="00D67CD2">
      <w:pPr>
        <w:spacing w:line="480" w:lineRule="auto"/>
        <w:ind w:left="-567"/>
        <w:rPr>
          <w:rFonts w:ascii="Arial" w:hAnsi="Arial" w:cs="Arial"/>
        </w:rPr>
      </w:pPr>
    </w:p>
    <w:p w14:paraId="50EE7567" w14:textId="77777777" w:rsidR="00B175ED" w:rsidRPr="0011246A" w:rsidRDefault="00B175ED" w:rsidP="00D67CD2">
      <w:pPr>
        <w:ind w:left="-567"/>
        <w:rPr>
          <w:rFonts w:ascii="Arial" w:hAnsi="Arial" w:cs="Arial"/>
          <w:b/>
        </w:rPr>
      </w:pPr>
      <w:r w:rsidRPr="0011246A">
        <w:rPr>
          <w:rFonts w:ascii="Arial" w:hAnsi="Arial" w:cs="Arial"/>
          <w:b/>
        </w:rPr>
        <w:br w:type="page"/>
      </w:r>
    </w:p>
    <w:p w14:paraId="671ADDE3" w14:textId="77777777" w:rsidR="00B175ED" w:rsidRPr="0011246A" w:rsidRDefault="00B175ED" w:rsidP="00D67CD2">
      <w:pPr>
        <w:spacing w:line="480" w:lineRule="auto"/>
        <w:ind w:left="-567"/>
        <w:rPr>
          <w:rFonts w:ascii="Arial" w:hAnsi="Arial" w:cs="Arial"/>
          <w:b/>
        </w:rPr>
      </w:pPr>
    </w:p>
    <w:p w14:paraId="0CBF35C5" w14:textId="77777777" w:rsidR="00B175ED" w:rsidRPr="0011246A" w:rsidRDefault="00B175ED" w:rsidP="00D67CD2">
      <w:pPr>
        <w:spacing w:line="480" w:lineRule="auto"/>
        <w:ind w:left="-567"/>
        <w:rPr>
          <w:rFonts w:ascii="Arial" w:hAnsi="Arial" w:cs="Arial"/>
          <w:b/>
          <w:color w:val="FF0000"/>
        </w:rPr>
      </w:pPr>
      <w:r w:rsidRPr="0011246A">
        <w:rPr>
          <w:rFonts w:ascii="Arial" w:hAnsi="Arial" w:cs="Arial"/>
          <w:b/>
        </w:rPr>
        <w:t>Summary</w:t>
      </w:r>
    </w:p>
    <w:p w14:paraId="1E7E740D" w14:textId="77777777" w:rsidR="00B175ED" w:rsidRPr="0011246A" w:rsidRDefault="00B175ED" w:rsidP="00305485">
      <w:pPr>
        <w:spacing w:line="480" w:lineRule="auto"/>
        <w:ind w:left="-567"/>
        <w:rPr>
          <w:rFonts w:ascii="Arial" w:hAnsi="Arial" w:cs="Arial"/>
        </w:rPr>
      </w:pPr>
      <w:r w:rsidRPr="0011246A">
        <w:rPr>
          <w:rFonts w:ascii="Arial" w:hAnsi="Arial" w:cs="Arial"/>
        </w:rPr>
        <w:t>Familial hypercholesterolemia (FH) is highly represented in cohorts of individuals w</w:t>
      </w:r>
      <w:r>
        <w:rPr>
          <w:rFonts w:ascii="Arial" w:hAnsi="Arial" w:cs="Arial"/>
        </w:rPr>
        <w:t xml:space="preserve">ho suffered a </w:t>
      </w:r>
      <w:r w:rsidRPr="0011246A">
        <w:rPr>
          <w:rFonts w:ascii="Arial" w:hAnsi="Arial" w:cs="Arial"/>
        </w:rPr>
        <w:t>myocardial infarction</w:t>
      </w:r>
      <w:r>
        <w:rPr>
          <w:rFonts w:ascii="Arial" w:hAnsi="Arial" w:cs="Arial"/>
        </w:rPr>
        <w:t xml:space="preserve"> at young age</w:t>
      </w:r>
      <w:r w:rsidRPr="0011246A">
        <w:rPr>
          <w:rFonts w:ascii="Arial" w:hAnsi="Arial" w:cs="Arial"/>
        </w:rPr>
        <w:t xml:space="preserve">. Recent data suggest that the prevalence of heterozygous FH may be as high as ~1:200 and that of homozygous FH as high as~ 1:300,000.  There is considerable overlap </w:t>
      </w:r>
      <w:r>
        <w:rPr>
          <w:rFonts w:ascii="Arial" w:hAnsi="Arial" w:cs="Arial"/>
        </w:rPr>
        <w:t xml:space="preserve">between </w:t>
      </w:r>
      <w:r w:rsidRPr="0011246A">
        <w:rPr>
          <w:rFonts w:ascii="Arial" w:hAnsi="Arial" w:cs="Arial"/>
        </w:rPr>
        <w:t xml:space="preserve">the phenotypes </w:t>
      </w:r>
      <w:r>
        <w:rPr>
          <w:rFonts w:ascii="Arial" w:hAnsi="Arial" w:cs="Arial"/>
        </w:rPr>
        <w:t>of</w:t>
      </w:r>
      <w:r w:rsidRPr="0011246A">
        <w:rPr>
          <w:rFonts w:ascii="Arial" w:hAnsi="Arial" w:cs="Arial"/>
        </w:rPr>
        <w:t xml:space="preserve"> heterozygous and homozygous FH, and the response to treatment is also heterogeneous. Here, we aim to define a severe FH phenotype, those at highest risk, based on a very high plasma LDL-cholesterol level and responsiveness to conventional lipid lowering treatment.  We evaluate the importance of molecular characterization, and define the role of other cardiovascular risk factors and </w:t>
      </w:r>
      <w:r>
        <w:rPr>
          <w:rFonts w:ascii="Arial" w:hAnsi="Arial" w:cs="Arial"/>
        </w:rPr>
        <w:t xml:space="preserve">advanced </w:t>
      </w:r>
      <w:r w:rsidRPr="0011246A">
        <w:rPr>
          <w:rFonts w:ascii="Arial" w:hAnsi="Arial" w:cs="Arial"/>
        </w:rPr>
        <w:t xml:space="preserve">subclinical </w:t>
      </w:r>
      <w:r>
        <w:rPr>
          <w:rFonts w:ascii="Arial" w:hAnsi="Arial" w:cs="Arial"/>
        </w:rPr>
        <w:t xml:space="preserve">coronary </w:t>
      </w:r>
      <w:r w:rsidRPr="0011246A">
        <w:rPr>
          <w:rFonts w:ascii="Arial" w:hAnsi="Arial" w:cs="Arial"/>
        </w:rPr>
        <w:t>atherosclerosis in risk stratification. Individuals with severe FH may particularly benefit from</w:t>
      </w:r>
      <w:r>
        <w:rPr>
          <w:rFonts w:ascii="Arial" w:hAnsi="Arial" w:cs="Arial"/>
        </w:rPr>
        <w:t xml:space="preserve"> early and </w:t>
      </w:r>
      <w:r w:rsidRPr="0011246A">
        <w:rPr>
          <w:rFonts w:ascii="Arial" w:hAnsi="Arial" w:cs="Arial"/>
        </w:rPr>
        <w:t>more aggressive cholesterol lowering therapy with recently approved medications</w:t>
      </w:r>
      <w:r>
        <w:rPr>
          <w:rFonts w:ascii="Arial" w:hAnsi="Arial" w:cs="Arial"/>
        </w:rPr>
        <w:t xml:space="preserve"> especially PCSK9 inhibitors</w:t>
      </w:r>
      <w:r w:rsidRPr="0011246A">
        <w:rPr>
          <w:rFonts w:ascii="Arial" w:hAnsi="Arial" w:cs="Arial"/>
        </w:rPr>
        <w:t>. In addition to better</w:t>
      </w:r>
      <w:r>
        <w:rPr>
          <w:rFonts w:ascii="Arial" w:hAnsi="Arial" w:cs="Arial"/>
        </w:rPr>
        <w:t xml:space="preserve"> </w:t>
      </w:r>
      <w:r w:rsidRPr="0011246A">
        <w:rPr>
          <w:rFonts w:ascii="Arial" w:hAnsi="Arial" w:cs="Arial"/>
        </w:rPr>
        <w:t>tailored therapy, more precise characterization of severe FH individuals could improve resource utilization.</w:t>
      </w:r>
    </w:p>
    <w:p w14:paraId="7436D403" w14:textId="77777777" w:rsidR="00B175ED" w:rsidRPr="0011246A" w:rsidRDefault="00B175ED" w:rsidP="00D67CD2">
      <w:pPr>
        <w:spacing w:line="480" w:lineRule="auto"/>
        <w:ind w:left="-567"/>
        <w:rPr>
          <w:rFonts w:ascii="Arial" w:hAnsi="Arial" w:cs="Arial"/>
          <w:b/>
        </w:rPr>
      </w:pPr>
    </w:p>
    <w:p w14:paraId="76706741" w14:textId="77777777" w:rsidR="00B175ED" w:rsidRPr="0011246A" w:rsidRDefault="00B175ED" w:rsidP="00D67CD2">
      <w:pPr>
        <w:spacing w:line="480" w:lineRule="auto"/>
        <w:ind w:left="-567"/>
        <w:rPr>
          <w:rFonts w:ascii="Arial" w:hAnsi="Arial" w:cs="Arial"/>
          <w:b/>
        </w:rPr>
      </w:pPr>
    </w:p>
    <w:p w14:paraId="513625AB" w14:textId="77777777" w:rsidR="00B175ED" w:rsidRPr="0011246A" w:rsidRDefault="00B175ED" w:rsidP="00D67CD2">
      <w:pPr>
        <w:spacing w:line="480" w:lineRule="auto"/>
        <w:ind w:left="-567"/>
        <w:rPr>
          <w:rFonts w:ascii="Arial" w:hAnsi="Arial" w:cs="Arial"/>
          <w:b/>
        </w:rPr>
      </w:pPr>
    </w:p>
    <w:p w14:paraId="254FF11B" w14:textId="77777777" w:rsidR="00B175ED" w:rsidRPr="0011246A" w:rsidRDefault="00B175ED" w:rsidP="00D67CD2">
      <w:pPr>
        <w:spacing w:line="480" w:lineRule="auto"/>
        <w:ind w:left="-567"/>
        <w:rPr>
          <w:rFonts w:ascii="Arial" w:hAnsi="Arial" w:cs="Arial"/>
          <w:b/>
        </w:rPr>
      </w:pPr>
    </w:p>
    <w:p w14:paraId="06E16670" w14:textId="77777777" w:rsidR="00B175ED" w:rsidRPr="0011246A" w:rsidRDefault="00B175ED" w:rsidP="00D67CD2">
      <w:pPr>
        <w:spacing w:line="480" w:lineRule="auto"/>
        <w:ind w:left="-567"/>
        <w:rPr>
          <w:rFonts w:ascii="Arial" w:hAnsi="Arial" w:cs="Arial"/>
          <w:b/>
        </w:rPr>
      </w:pPr>
    </w:p>
    <w:p w14:paraId="1023910F" w14:textId="77777777" w:rsidR="00B175ED" w:rsidRPr="0011246A" w:rsidRDefault="00B175ED" w:rsidP="00D67CD2">
      <w:pPr>
        <w:spacing w:line="480" w:lineRule="auto"/>
        <w:ind w:left="-567"/>
        <w:rPr>
          <w:rFonts w:ascii="Arial" w:hAnsi="Arial" w:cs="Arial"/>
          <w:b/>
        </w:rPr>
      </w:pPr>
    </w:p>
    <w:p w14:paraId="3F80B308" w14:textId="77777777" w:rsidR="00B175ED" w:rsidRPr="0011246A" w:rsidRDefault="00B175ED" w:rsidP="00D67CD2">
      <w:pPr>
        <w:spacing w:line="480" w:lineRule="auto"/>
        <w:ind w:left="-567"/>
        <w:rPr>
          <w:rFonts w:ascii="Arial" w:hAnsi="Arial" w:cs="Arial"/>
          <w:b/>
        </w:rPr>
      </w:pPr>
    </w:p>
    <w:p w14:paraId="476117CB" w14:textId="77777777" w:rsidR="00B175ED" w:rsidRPr="0011246A" w:rsidRDefault="00B175ED" w:rsidP="00D67CD2">
      <w:pPr>
        <w:spacing w:line="480" w:lineRule="auto"/>
        <w:ind w:left="-567"/>
        <w:rPr>
          <w:rFonts w:ascii="Arial" w:hAnsi="Arial" w:cs="Arial"/>
          <w:b/>
        </w:rPr>
      </w:pPr>
    </w:p>
    <w:p w14:paraId="72DA9112" w14:textId="77777777" w:rsidR="00B175ED" w:rsidRPr="0011246A" w:rsidRDefault="00B175ED" w:rsidP="00D67CD2">
      <w:pPr>
        <w:spacing w:line="480" w:lineRule="auto"/>
        <w:ind w:left="-567"/>
        <w:rPr>
          <w:rFonts w:ascii="Arial" w:hAnsi="Arial" w:cs="Arial"/>
          <w:b/>
        </w:rPr>
      </w:pPr>
    </w:p>
    <w:p w14:paraId="45FC66EF" w14:textId="77777777" w:rsidR="00B175ED" w:rsidRPr="0011246A" w:rsidRDefault="00B175ED" w:rsidP="00D67CD2">
      <w:pPr>
        <w:spacing w:line="480" w:lineRule="auto"/>
        <w:ind w:left="-567"/>
        <w:rPr>
          <w:rFonts w:ascii="Arial" w:hAnsi="Arial" w:cs="Arial"/>
          <w:b/>
        </w:rPr>
      </w:pPr>
      <w:r w:rsidRPr="0011246A">
        <w:rPr>
          <w:rFonts w:ascii="Arial" w:hAnsi="Arial" w:cs="Arial"/>
          <w:b/>
        </w:rPr>
        <w:lastRenderedPageBreak/>
        <w:t xml:space="preserve">Introduction: challenging classical concepts in familial hypercholesterolemia </w:t>
      </w:r>
    </w:p>
    <w:p w14:paraId="7F05C15A" w14:textId="77777777" w:rsidR="00B175ED" w:rsidRDefault="00B175ED" w:rsidP="00305485">
      <w:pPr>
        <w:spacing w:line="480" w:lineRule="auto"/>
        <w:ind w:left="-567"/>
        <w:rPr>
          <w:rFonts w:ascii="Arial" w:hAnsi="Arial" w:cs="Arial"/>
        </w:rPr>
      </w:pPr>
      <w:r w:rsidRPr="0011246A">
        <w:rPr>
          <w:rFonts w:ascii="Arial" w:hAnsi="Arial" w:cs="Arial"/>
        </w:rPr>
        <w:t xml:space="preserve">Familial hypercholesterolemia (FH) is an autosomal co-dominant disorder characterized by elevated blood low-density-lipoprotein cholesterol (LDL-C) concentrations and an average three to thirteen-fold greater risk of premature atherosclerotic cardiovascular disease (ASCVD) compared to normolipidemic individuals </w:t>
      </w:r>
      <w:r w:rsidRPr="005D6979">
        <w:rPr>
          <w:rFonts w:ascii="Arial" w:hAnsi="Arial" w:cs="Arial"/>
          <w:noProof/>
          <w:vertAlign w:val="superscript"/>
        </w:rPr>
        <w:t>1-3</w:t>
      </w:r>
      <w:r w:rsidRPr="0011246A">
        <w:rPr>
          <w:rFonts w:ascii="Arial" w:hAnsi="Arial" w:cs="Arial"/>
        </w:rPr>
        <w:t xml:space="preserve">. FH has been subclassified into heterozygous (He) and homozygous (Ho) forms depending on the presence of one or two affected alleles in genes encoding the LDL receptor (LDLR), apolipoprotein B (APOB) and proprotein convertase subtilisin kexin type 9 (PCSK9) </w:t>
      </w:r>
      <w:r w:rsidRPr="008534B6">
        <w:rPr>
          <w:rFonts w:ascii="Arial" w:hAnsi="Arial" w:cs="Arial"/>
          <w:noProof/>
          <w:vertAlign w:val="superscript"/>
        </w:rPr>
        <w:t>1,3</w:t>
      </w:r>
      <w:r w:rsidRPr="0011246A">
        <w:rPr>
          <w:rFonts w:ascii="Arial" w:hAnsi="Arial" w:cs="Arial"/>
        </w:rPr>
        <w:t>. Clinical diagnosis is made on the basis of elevated LDL-C levels: HeFH and HoFH patients usually present with LDL-C levels two- to three-fold and up to ten-fold higher than normal, respectively</w:t>
      </w:r>
      <w:r w:rsidRPr="008534B6">
        <w:rPr>
          <w:rFonts w:ascii="Arial" w:hAnsi="Arial" w:cs="Arial"/>
          <w:noProof/>
          <w:vertAlign w:val="superscript"/>
        </w:rPr>
        <w:t>3,4</w:t>
      </w:r>
      <w:r w:rsidRPr="0011246A">
        <w:rPr>
          <w:rFonts w:ascii="Arial" w:hAnsi="Arial" w:cs="Arial"/>
        </w:rPr>
        <w:t xml:space="preserve">.With the exception of regions where founder effects are present (e.g. South Africa, Quebec, Lebanon among others), new evidence suggests that HeFH affects 1 in ~ 200-600 individuals </w:t>
      </w:r>
      <w:r w:rsidRPr="008534B6">
        <w:rPr>
          <w:rFonts w:ascii="Arial" w:hAnsi="Arial" w:cs="Arial"/>
          <w:noProof/>
          <w:vertAlign w:val="superscript"/>
        </w:rPr>
        <w:t>2,5,6</w:t>
      </w:r>
      <w:r w:rsidRPr="0011246A">
        <w:rPr>
          <w:rFonts w:ascii="Arial" w:hAnsi="Arial" w:cs="Arial"/>
        </w:rPr>
        <w:t xml:space="preserve">. HoFH, initially described to affect 1:1,000,000 </w:t>
      </w:r>
      <w:r w:rsidRPr="008534B6">
        <w:rPr>
          <w:rFonts w:ascii="Arial" w:hAnsi="Arial" w:cs="Arial"/>
          <w:noProof/>
          <w:vertAlign w:val="superscript"/>
        </w:rPr>
        <w:t>7</w:t>
      </w:r>
      <w:r w:rsidRPr="0011246A">
        <w:rPr>
          <w:rFonts w:ascii="Arial" w:hAnsi="Arial" w:cs="Arial"/>
        </w:rPr>
        <w:t>, is probably three times more prevalent than previously thought</w:t>
      </w:r>
      <w:r w:rsidRPr="008534B6">
        <w:rPr>
          <w:rFonts w:ascii="Arial" w:hAnsi="Arial" w:cs="Arial"/>
          <w:noProof/>
          <w:vertAlign w:val="superscript"/>
        </w:rPr>
        <w:t>4,8</w:t>
      </w:r>
      <w:r w:rsidRPr="0011246A">
        <w:rPr>
          <w:rFonts w:ascii="Arial" w:hAnsi="Arial" w:cs="Arial"/>
        </w:rPr>
        <w:t xml:space="preserve">. </w:t>
      </w:r>
    </w:p>
    <w:p w14:paraId="1AD7946E" w14:textId="77777777" w:rsidR="00B175ED" w:rsidRDefault="00B175ED" w:rsidP="00305485">
      <w:pPr>
        <w:spacing w:line="480" w:lineRule="auto"/>
        <w:ind w:left="-567"/>
        <w:rPr>
          <w:rFonts w:ascii="Arial" w:hAnsi="Arial" w:cs="Arial"/>
        </w:rPr>
      </w:pPr>
    </w:p>
    <w:p w14:paraId="5B6607D1" w14:textId="77777777" w:rsidR="00B175ED" w:rsidRPr="0011246A" w:rsidRDefault="00B175ED" w:rsidP="00305485">
      <w:pPr>
        <w:spacing w:line="480" w:lineRule="auto"/>
        <w:ind w:left="-567"/>
        <w:rPr>
          <w:rFonts w:ascii="Arial" w:hAnsi="Arial" w:cs="Arial"/>
        </w:rPr>
      </w:pPr>
      <w:r>
        <w:rPr>
          <w:rFonts w:ascii="Arial" w:hAnsi="Arial" w:cs="Arial"/>
        </w:rPr>
        <w:t xml:space="preserve">Patients with the HoFH phenotype are considered at the highest level of risk for ASCVD </w:t>
      </w:r>
      <w:r w:rsidRPr="008534B6">
        <w:rPr>
          <w:rFonts w:ascii="Arial" w:hAnsi="Arial" w:cs="Arial"/>
          <w:noProof/>
          <w:vertAlign w:val="superscript"/>
        </w:rPr>
        <w:t>7,9</w:t>
      </w:r>
      <w:r>
        <w:rPr>
          <w:rFonts w:ascii="Arial" w:hAnsi="Arial" w:cs="Arial"/>
        </w:rPr>
        <w:t>. However, w</w:t>
      </w:r>
      <w:r w:rsidRPr="0011246A">
        <w:rPr>
          <w:rFonts w:ascii="Arial" w:hAnsi="Arial" w:cs="Arial"/>
        </w:rPr>
        <w:t xml:space="preserve">ith more widespread use of molecular diagnosis it is now evident that some subjects carrying heterozygous mutations in FH genes have LDL-C </w:t>
      </w:r>
      <w:r>
        <w:rPr>
          <w:rFonts w:ascii="Arial" w:hAnsi="Arial" w:cs="Arial"/>
        </w:rPr>
        <w:t>values</w:t>
      </w:r>
      <w:r w:rsidRPr="0011246A">
        <w:rPr>
          <w:rFonts w:ascii="Arial" w:hAnsi="Arial" w:cs="Arial"/>
        </w:rPr>
        <w:t xml:space="preserve"> that overlap those considered to be characteristic of HoFH</w:t>
      </w:r>
      <w:r>
        <w:rPr>
          <w:rFonts w:ascii="Arial" w:hAnsi="Arial" w:cs="Arial"/>
        </w:rPr>
        <w:t xml:space="preserve"> (usually &gt; 10-13 mmol/L or 400-500 mg/dL)</w:t>
      </w:r>
      <w:r w:rsidRPr="008534B6">
        <w:rPr>
          <w:rFonts w:ascii="Arial" w:hAnsi="Arial" w:cs="Arial"/>
          <w:noProof/>
          <w:vertAlign w:val="superscript"/>
        </w:rPr>
        <w:t>1,4</w:t>
      </w:r>
      <w:r w:rsidRPr="0011246A">
        <w:rPr>
          <w:rFonts w:ascii="Arial" w:hAnsi="Arial" w:cs="Arial"/>
        </w:rPr>
        <w:t xml:space="preserve"> and therefore should also be considered at very high risk </w:t>
      </w:r>
      <w:r w:rsidRPr="009B03AA">
        <w:rPr>
          <w:rFonts w:ascii="Arial" w:hAnsi="Arial" w:cs="Arial"/>
          <w:noProof/>
          <w:vertAlign w:val="superscript"/>
        </w:rPr>
        <w:t>8,10,11</w:t>
      </w:r>
      <w:r w:rsidRPr="0011246A">
        <w:rPr>
          <w:rFonts w:ascii="Arial" w:hAnsi="Arial" w:cs="Arial"/>
        </w:rPr>
        <w:t xml:space="preserve">. The converse also applies, with molecularly proven HoFH patients presenting with LDL-C in the range typical of heterozygotes </w:t>
      </w:r>
      <w:r w:rsidRPr="009B03AA">
        <w:rPr>
          <w:rFonts w:ascii="Arial" w:hAnsi="Arial" w:cs="Arial"/>
          <w:noProof/>
          <w:vertAlign w:val="superscript"/>
        </w:rPr>
        <w:t>8,11-14</w:t>
      </w:r>
      <w:r>
        <w:rPr>
          <w:rFonts w:ascii="Arial" w:hAnsi="Arial" w:cs="Arial"/>
        </w:rPr>
        <w:t xml:space="preserve">. </w:t>
      </w:r>
      <w:r w:rsidRPr="0011246A">
        <w:rPr>
          <w:rFonts w:ascii="Arial" w:hAnsi="Arial" w:cs="Arial"/>
        </w:rPr>
        <w:t>The complex reasons for phenotypic heterogeneity among individuals with the same FH genotype have recently bec</w:t>
      </w:r>
      <w:r>
        <w:rPr>
          <w:rFonts w:ascii="Arial" w:hAnsi="Arial" w:cs="Arial"/>
        </w:rPr>
        <w:t>a</w:t>
      </w:r>
      <w:r w:rsidRPr="0011246A">
        <w:rPr>
          <w:rFonts w:ascii="Arial" w:hAnsi="Arial" w:cs="Arial"/>
        </w:rPr>
        <w:t xml:space="preserve">me apparent. LDL-C levels are influenced not only by rare, large-effect monogenic variants but also by common small-effect gene variants; this notion adds complexity to the currently used diagnostic classification </w:t>
      </w:r>
      <w:r w:rsidRPr="009B03AA">
        <w:rPr>
          <w:rFonts w:ascii="Arial" w:hAnsi="Arial" w:cs="Arial"/>
          <w:noProof/>
          <w:vertAlign w:val="superscript"/>
        </w:rPr>
        <w:t>15,16</w:t>
      </w:r>
      <w:r>
        <w:rPr>
          <w:rFonts w:ascii="Arial" w:hAnsi="Arial" w:cs="Arial"/>
        </w:rPr>
        <w:t>. Since LDL-C levels</w:t>
      </w:r>
      <w:r w:rsidRPr="0011246A">
        <w:rPr>
          <w:rFonts w:ascii="Arial" w:hAnsi="Arial" w:cs="Arial"/>
        </w:rPr>
        <w:t>, and not the causative FH mutations or spectrum of variants are the main drivers of ASCVD risk</w:t>
      </w:r>
      <w:r w:rsidRPr="009B03AA">
        <w:rPr>
          <w:rFonts w:ascii="Arial" w:hAnsi="Arial" w:cs="Arial"/>
          <w:noProof/>
          <w:vertAlign w:val="superscript"/>
        </w:rPr>
        <w:t>17</w:t>
      </w:r>
      <w:r w:rsidRPr="0011246A">
        <w:rPr>
          <w:rFonts w:ascii="Arial" w:hAnsi="Arial" w:cs="Arial"/>
        </w:rPr>
        <w:t>, a definition of the severe FH phenotype encompassing those at high risk, whether they have molecularly defined HeFH or HoFH,</w:t>
      </w:r>
      <w:r>
        <w:rPr>
          <w:rFonts w:ascii="Arial" w:hAnsi="Arial" w:cs="Arial"/>
        </w:rPr>
        <w:t xml:space="preserve"> </w:t>
      </w:r>
      <w:r w:rsidRPr="0011246A">
        <w:rPr>
          <w:rFonts w:ascii="Arial" w:hAnsi="Arial" w:cs="Arial"/>
        </w:rPr>
        <w:t>needs to be considered for best clinical practice</w:t>
      </w:r>
      <w:r w:rsidRPr="009B03AA">
        <w:rPr>
          <w:rFonts w:ascii="Arial" w:hAnsi="Arial" w:cs="Arial"/>
          <w:noProof/>
          <w:vertAlign w:val="superscript"/>
        </w:rPr>
        <w:t>10</w:t>
      </w:r>
      <w:r w:rsidRPr="0011246A">
        <w:rPr>
          <w:rFonts w:ascii="Arial" w:hAnsi="Arial" w:cs="Arial"/>
        </w:rPr>
        <w:t xml:space="preserve">. </w:t>
      </w:r>
      <w:r>
        <w:rPr>
          <w:rFonts w:ascii="Arial" w:hAnsi="Arial" w:cs="Arial"/>
        </w:rPr>
        <w:t>FH patients with previous ASCVD manifestations</w:t>
      </w:r>
      <w:r w:rsidRPr="00552312">
        <w:rPr>
          <w:rFonts w:ascii="Arial" w:hAnsi="Arial" w:cs="Arial"/>
          <w:noProof/>
          <w:vertAlign w:val="superscript"/>
        </w:rPr>
        <w:t>18</w:t>
      </w:r>
      <w:r>
        <w:rPr>
          <w:rFonts w:ascii="Arial" w:hAnsi="Arial" w:cs="Arial"/>
        </w:rPr>
        <w:t>, those with advanced subclinical atherosclerosis</w:t>
      </w:r>
      <w:r w:rsidRPr="00600E92">
        <w:rPr>
          <w:rFonts w:ascii="Arial" w:hAnsi="Arial" w:cs="Arial"/>
          <w:noProof/>
          <w:vertAlign w:val="superscript"/>
        </w:rPr>
        <w:t>19-21</w:t>
      </w:r>
      <w:r>
        <w:rPr>
          <w:rFonts w:ascii="Arial" w:hAnsi="Arial" w:cs="Arial"/>
        </w:rPr>
        <w:t>, and p</w:t>
      </w:r>
      <w:r w:rsidRPr="001E42C0">
        <w:rPr>
          <w:rFonts w:ascii="Arial" w:hAnsi="Arial" w:cs="Arial"/>
        </w:rPr>
        <w:t>atients with LDL-</w:t>
      </w:r>
      <w:r>
        <w:rPr>
          <w:rFonts w:ascii="Arial" w:hAnsi="Arial" w:cs="Arial"/>
        </w:rPr>
        <w:t>C</w:t>
      </w:r>
      <w:r w:rsidRPr="001E42C0">
        <w:rPr>
          <w:rFonts w:ascii="Arial" w:hAnsi="Arial" w:cs="Arial"/>
        </w:rPr>
        <w:t xml:space="preserve"> &gt; </w:t>
      </w:r>
      <w:r>
        <w:rPr>
          <w:rFonts w:ascii="Arial" w:hAnsi="Arial" w:cs="Arial"/>
        </w:rPr>
        <w:t>8</w:t>
      </w:r>
      <w:r w:rsidRPr="007035A4">
        <w:rPr>
          <w:rFonts w:ascii="Arial" w:hAnsi="Arial" w:cs="Arial"/>
        </w:rPr>
        <w:t xml:space="preserve"> mmol/L (</w:t>
      </w:r>
      <w:r>
        <w:rPr>
          <w:rFonts w:ascii="Arial" w:hAnsi="Arial" w:cs="Arial"/>
        </w:rPr>
        <w:t>310</w:t>
      </w:r>
      <w:r w:rsidRPr="007035A4">
        <w:rPr>
          <w:rFonts w:ascii="Arial" w:hAnsi="Arial" w:cs="Arial"/>
        </w:rPr>
        <w:t xml:space="preserve"> mg/dL)</w:t>
      </w:r>
      <w:r w:rsidRPr="00600E92">
        <w:rPr>
          <w:rFonts w:ascii="Arial" w:hAnsi="Arial" w:cs="Arial"/>
          <w:noProof/>
          <w:vertAlign w:val="superscript"/>
        </w:rPr>
        <w:t>22</w:t>
      </w:r>
      <w:r>
        <w:rPr>
          <w:rFonts w:ascii="Arial" w:hAnsi="Arial" w:cs="Arial"/>
        </w:rPr>
        <w:t xml:space="preserve"> associated or not with other risk conditions </w:t>
      </w:r>
      <w:r w:rsidRPr="001E42C0">
        <w:rPr>
          <w:rFonts w:ascii="Arial" w:hAnsi="Arial" w:cs="Arial"/>
        </w:rPr>
        <w:t>at initial pre</w:t>
      </w:r>
      <w:r>
        <w:rPr>
          <w:rFonts w:ascii="Arial" w:hAnsi="Arial" w:cs="Arial"/>
        </w:rPr>
        <w:t xml:space="preserve">sentation are </w:t>
      </w:r>
      <w:r w:rsidRPr="001E42C0">
        <w:rPr>
          <w:rFonts w:ascii="Arial" w:hAnsi="Arial" w:cs="Arial"/>
        </w:rPr>
        <w:t>a</w:t>
      </w:r>
      <w:r>
        <w:rPr>
          <w:rFonts w:ascii="Arial" w:hAnsi="Arial" w:cs="Arial"/>
        </w:rPr>
        <w:t>t</w:t>
      </w:r>
      <w:r w:rsidRPr="001E42C0">
        <w:rPr>
          <w:rFonts w:ascii="Arial" w:hAnsi="Arial" w:cs="Arial"/>
        </w:rPr>
        <w:t xml:space="preserve"> particularly high-risk</w:t>
      </w:r>
    </w:p>
    <w:p w14:paraId="7446BE2E" w14:textId="77777777" w:rsidR="00B175ED" w:rsidRDefault="00B175ED" w:rsidP="00305485">
      <w:pPr>
        <w:spacing w:line="480" w:lineRule="auto"/>
        <w:ind w:left="-567"/>
        <w:rPr>
          <w:rFonts w:ascii="Arial" w:hAnsi="Arial" w:cs="Arial"/>
        </w:rPr>
      </w:pPr>
    </w:p>
    <w:p w14:paraId="58FAE212" w14:textId="77777777" w:rsidR="00B175ED" w:rsidRPr="0011246A" w:rsidRDefault="00B175ED" w:rsidP="00305485">
      <w:pPr>
        <w:spacing w:line="480" w:lineRule="auto"/>
        <w:ind w:left="-567"/>
        <w:rPr>
          <w:rFonts w:ascii="Arial" w:hAnsi="Arial" w:cs="Arial"/>
        </w:rPr>
      </w:pPr>
      <w:r w:rsidRPr="0011246A">
        <w:rPr>
          <w:rFonts w:ascii="Arial" w:hAnsi="Arial" w:cs="Arial"/>
        </w:rPr>
        <w:t xml:space="preserve">The currently available effective standard lipid lowering therapies </w:t>
      </w:r>
      <w:r>
        <w:rPr>
          <w:rFonts w:ascii="Arial" w:hAnsi="Arial" w:cs="Arial"/>
        </w:rPr>
        <w:t xml:space="preserve">(high dose </w:t>
      </w:r>
      <w:r w:rsidRPr="0011246A">
        <w:rPr>
          <w:rFonts w:ascii="Arial" w:hAnsi="Arial" w:cs="Arial"/>
        </w:rPr>
        <w:t>statins,</w:t>
      </w:r>
      <w:r>
        <w:rPr>
          <w:rFonts w:ascii="Arial" w:hAnsi="Arial" w:cs="Arial"/>
        </w:rPr>
        <w:t xml:space="preserve"> and </w:t>
      </w:r>
      <w:r w:rsidRPr="0011246A">
        <w:rPr>
          <w:rFonts w:ascii="Arial" w:hAnsi="Arial" w:cs="Arial"/>
        </w:rPr>
        <w:t>ezetimibe</w:t>
      </w:r>
      <w:r>
        <w:rPr>
          <w:rFonts w:ascii="Arial" w:hAnsi="Arial" w:cs="Arial"/>
        </w:rPr>
        <w:t xml:space="preserve"> mainly</w:t>
      </w:r>
      <w:r w:rsidRPr="0011246A">
        <w:rPr>
          <w:rFonts w:ascii="Arial" w:hAnsi="Arial" w:cs="Arial"/>
        </w:rPr>
        <w:t>)</w:t>
      </w:r>
      <w:r w:rsidRPr="008534B6">
        <w:rPr>
          <w:rFonts w:ascii="Arial" w:hAnsi="Arial" w:cs="Arial"/>
          <w:noProof/>
          <w:vertAlign w:val="superscript"/>
        </w:rPr>
        <w:t>1,4</w:t>
      </w:r>
      <w:r w:rsidRPr="0011246A">
        <w:rPr>
          <w:rFonts w:ascii="Arial" w:hAnsi="Arial" w:cs="Arial"/>
        </w:rPr>
        <w:t>, together with emergence of newer, efficacious but more expensive treatments</w:t>
      </w:r>
      <w:r w:rsidRPr="0011246A">
        <w:rPr>
          <w:rFonts w:ascii="Arial" w:hAnsi="Arial" w:cs="Arial"/>
          <w:vertAlign w:val="superscript"/>
        </w:rPr>
        <w:t xml:space="preserve"> </w:t>
      </w:r>
      <w:r w:rsidRPr="0011246A">
        <w:rPr>
          <w:rFonts w:ascii="Arial" w:hAnsi="Arial" w:cs="Arial"/>
        </w:rPr>
        <w:t>like mipomersen</w:t>
      </w:r>
      <w:r w:rsidRPr="00600E92">
        <w:rPr>
          <w:rFonts w:ascii="Arial" w:hAnsi="Arial" w:cs="Arial"/>
          <w:noProof/>
          <w:vertAlign w:val="superscript"/>
        </w:rPr>
        <w:t>12,23</w:t>
      </w:r>
      <w:r>
        <w:rPr>
          <w:rFonts w:ascii="Arial" w:hAnsi="Arial" w:cs="Arial"/>
        </w:rPr>
        <w:t xml:space="preserve">, </w:t>
      </w:r>
      <w:r w:rsidRPr="0011246A">
        <w:rPr>
          <w:rFonts w:ascii="Arial" w:hAnsi="Arial" w:cs="Arial"/>
        </w:rPr>
        <w:t xml:space="preserve">lomitapide </w:t>
      </w:r>
      <w:r w:rsidRPr="009B03AA">
        <w:rPr>
          <w:rFonts w:ascii="Arial" w:hAnsi="Arial" w:cs="Arial"/>
          <w:noProof/>
          <w:vertAlign w:val="superscript"/>
        </w:rPr>
        <w:t>13</w:t>
      </w:r>
      <w:r w:rsidRPr="0011246A">
        <w:rPr>
          <w:rFonts w:ascii="Arial" w:hAnsi="Arial" w:cs="Arial"/>
        </w:rPr>
        <w:t xml:space="preserve"> and PCSK9 inhibitors emphasizes the need for case identification</w:t>
      </w:r>
      <w:r w:rsidRPr="00600E92">
        <w:rPr>
          <w:rFonts w:ascii="Arial" w:hAnsi="Arial" w:cs="Arial"/>
          <w:noProof/>
          <w:vertAlign w:val="superscript"/>
        </w:rPr>
        <w:t>24</w:t>
      </w:r>
      <w:r w:rsidRPr="0011246A">
        <w:rPr>
          <w:rFonts w:ascii="Arial" w:hAnsi="Arial" w:cs="Arial"/>
        </w:rPr>
        <w:t>. Indeed considering cost-effectiveness</w:t>
      </w:r>
      <w:r w:rsidRPr="00600E92">
        <w:rPr>
          <w:rFonts w:ascii="Arial" w:hAnsi="Arial" w:cs="Arial"/>
          <w:noProof/>
          <w:vertAlign w:val="superscript"/>
        </w:rPr>
        <w:t>25,26</w:t>
      </w:r>
      <w:r w:rsidRPr="0011246A">
        <w:rPr>
          <w:rFonts w:ascii="Arial" w:hAnsi="Arial" w:cs="Arial"/>
        </w:rPr>
        <w:t xml:space="preserve"> </w:t>
      </w:r>
      <w:r>
        <w:rPr>
          <w:rFonts w:ascii="Arial" w:hAnsi="Arial" w:cs="Arial"/>
        </w:rPr>
        <w:t xml:space="preserve">PCSK9 inhibitors </w:t>
      </w:r>
      <w:r w:rsidRPr="0011246A">
        <w:rPr>
          <w:rFonts w:ascii="Arial" w:hAnsi="Arial" w:cs="Arial"/>
        </w:rPr>
        <w:t xml:space="preserve">may have particular benefits in FH subjects considered being at the highest level of ASCVD risk with persistent and recalcitrant elevated LDL-C concentrations despite treatments. </w:t>
      </w:r>
      <w:r>
        <w:rPr>
          <w:rFonts w:ascii="Arial" w:hAnsi="Arial" w:cs="Arial"/>
        </w:rPr>
        <w:t xml:space="preserve">These medications should be started early after refractoriness to conventional treatment is shown (realistically a LDL-C reduction &lt; 50%) and be used indefinitely if tolerated in order to attain proposed LDL-C goals (e.g. ideally &lt; 2.5 or 1.8 mmol/L or 100 and 70 mg/dL) according to presence or absence of ASCVD. </w:t>
      </w:r>
    </w:p>
    <w:p w14:paraId="2BBFB404" w14:textId="77777777" w:rsidR="00B175ED" w:rsidRPr="0011246A" w:rsidRDefault="00B175ED" w:rsidP="00305485">
      <w:pPr>
        <w:spacing w:line="480" w:lineRule="auto"/>
        <w:ind w:left="-567"/>
        <w:rPr>
          <w:rFonts w:ascii="Arial" w:hAnsi="Arial" w:cs="Arial"/>
        </w:rPr>
      </w:pPr>
    </w:p>
    <w:p w14:paraId="7469D15F" w14:textId="77777777" w:rsidR="00B175ED" w:rsidRDefault="00B175ED" w:rsidP="00305485">
      <w:pPr>
        <w:spacing w:line="480" w:lineRule="auto"/>
        <w:ind w:left="-567"/>
        <w:rPr>
          <w:b/>
          <w:color w:val="1F497D" w:themeColor="dark2"/>
          <w:sz w:val="22"/>
          <w:szCs w:val="22"/>
        </w:rPr>
      </w:pPr>
      <w:r w:rsidRPr="001E42C0">
        <w:rPr>
          <w:rFonts w:ascii="Arial" w:hAnsi="Arial" w:cs="Arial"/>
        </w:rPr>
        <w:t xml:space="preserve">This paper arose from the need to address the gap created by the knowledge that </w:t>
      </w:r>
      <w:r>
        <w:rPr>
          <w:rFonts w:ascii="Arial" w:hAnsi="Arial" w:cs="Arial"/>
        </w:rPr>
        <w:t>ASCVD</w:t>
      </w:r>
      <w:r w:rsidRPr="001E42C0">
        <w:rPr>
          <w:rFonts w:ascii="Arial" w:hAnsi="Arial" w:cs="Arial"/>
        </w:rPr>
        <w:t xml:space="preserve"> risk in FH is directly related to chronic </w:t>
      </w:r>
      <w:r>
        <w:rPr>
          <w:rFonts w:ascii="Arial" w:hAnsi="Arial" w:cs="Arial"/>
        </w:rPr>
        <w:t>exposure to elevated LDL-C</w:t>
      </w:r>
      <w:r w:rsidRPr="001E42C0">
        <w:rPr>
          <w:rFonts w:ascii="Arial" w:hAnsi="Arial" w:cs="Arial"/>
        </w:rPr>
        <w:t xml:space="preserve"> and newer information regarding genetic diagnosis of severe FH, where the prior stratification of unaffected, heterozygous, or homozygous for FH no longer adequately describes risk becau</w:t>
      </w:r>
      <w:r>
        <w:rPr>
          <w:rFonts w:ascii="Arial" w:hAnsi="Arial" w:cs="Arial"/>
        </w:rPr>
        <w:t>se of overlap in LDL-C</w:t>
      </w:r>
      <w:r w:rsidRPr="001E42C0">
        <w:rPr>
          <w:rFonts w:ascii="Arial" w:hAnsi="Arial" w:cs="Arial"/>
        </w:rPr>
        <w:t xml:space="preserve"> levels across these categorizations</w:t>
      </w:r>
      <w:r>
        <w:rPr>
          <w:rFonts w:ascii="Arial" w:hAnsi="Arial" w:cs="Arial"/>
        </w:rPr>
        <w:t xml:space="preserve">. </w:t>
      </w:r>
      <w:r w:rsidRPr="001E42C0">
        <w:rPr>
          <w:rFonts w:ascii="Arial" w:hAnsi="Arial" w:cs="Arial"/>
        </w:rPr>
        <w:t xml:space="preserve">With the </w:t>
      </w:r>
      <w:r w:rsidRPr="007035A4">
        <w:rPr>
          <w:rFonts w:ascii="Arial" w:hAnsi="Arial" w:cs="Arial"/>
        </w:rPr>
        <w:t>availability</w:t>
      </w:r>
      <w:r w:rsidRPr="001E42C0">
        <w:rPr>
          <w:rFonts w:ascii="Arial" w:hAnsi="Arial" w:cs="Arial"/>
        </w:rPr>
        <w:t xml:space="preserve"> of new medica</w:t>
      </w:r>
      <w:r>
        <w:rPr>
          <w:rFonts w:ascii="Arial" w:hAnsi="Arial" w:cs="Arial"/>
        </w:rPr>
        <w:t>tions to effectively lower LDL-C</w:t>
      </w:r>
      <w:r w:rsidRPr="001E42C0">
        <w:rPr>
          <w:rFonts w:ascii="Arial" w:hAnsi="Arial" w:cs="Arial"/>
        </w:rPr>
        <w:t xml:space="preserve"> and the absence of an evidence base that directly addresses the issue of genetic heterogeneity, the I</w:t>
      </w:r>
      <w:r>
        <w:rPr>
          <w:rFonts w:ascii="Arial" w:hAnsi="Arial" w:cs="Arial"/>
        </w:rPr>
        <w:t>nternational Atherosclerosis Society (I</w:t>
      </w:r>
      <w:r w:rsidRPr="001E42C0">
        <w:rPr>
          <w:rFonts w:ascii="Arial" w:hAnsi="Arial" w:cs="Arial"/>
        </w:rPr>
        <w:t>AS</w:t>
      </w:r>
      <w:r>
        <w:rPr>
          <w:rFonts w:ascii="Arial" w:hAnsi="Arial" w:cs="Arial"/>
        </w:rPr>
        <w:t>)</w:t>
      </w:r>
      <w:r w:rsidRPr="001E42C0">
        <w:rPr>
          <w:rFonts w:ascii="Arial" w:hAnsi="Arial" w:cs="Arial"/>
        </w:rPr>
        <w:t xml:space="preserve"> convened an expert panel to establish consensus regarding clinical recommendations for this high-risk population.  In this </w:t>
      </w:r>
      <w:r>
        <w:rPr>
          <w:rFonts w:ascii="Arial" w:hAnsi="Arial" w:cs="Arial"/>
        </w:rPr>
        <w:t>consensus statement</w:t>
      </w:r>
      <w:r w:rsidRPr="001E42C0">
        <w:rPr>
          <w:rFonts w:ascii="Arial" w:hAnsi="Arial" w:cs="Arial"/>
        </w:rPr>
        <w:t>, we address</w:t>
      </w:r>
      <w:r>
        <w:rPr>
          <w:rFonts w:ascii="Arial" w:hAnsi="Arial" w:cs="Arial"/>
        </w:rPr>
        <w:t xml:space="preserve"> ASCVD risk stratification and </w:t>
      </w:r>
      <w:r w:rsidRPr="001E42C0">
        <w:rPr>
          <w:rFonts w:ascii="Arial" w:hAnsi="Arial" w:cs="Arial"/>
        </w:rPr>
        <w:t>treatment recommendations for these patients, including timing, intensification, goals, and choice of therapy.</w:t>
      </w:r>
    </w:p>
    <w:p w14:paraId="1A921423" w14:textId="77777777" w:rsidR="00B175ED" w:rsidRPr="00F84A18" w:rsidRDefault="00B175ED" w:rsidP="008A5E01">
      <w:pPr>
        <w:spacing w:line="480" w:lineRule="auto"/>
        <w:ind w:left="-567"/>
        <w:rPr>
          <w:rFonts w:ascii="Arial" w:hAnsi="Arial"/>
          <w:b/>
        </w:rPr>
      </w:pPr>
      <w:r w:rsidRPr="00F84A18">
        <w:rPr>
          <w:rFonts w:ascii="Arial" w:hAnsi="Arial"/>
          <w:b/>
        </w:rPr>
        <w:t xml:space="preserve">Methods </w:t>
      </w:r>
    </w:p>
    <w:p w14:paraId="711B4878" w14:textId="77777777" w:rsidR="00B175ED" w:rsidRPr="00F84A18" w:rsidRDefault="00B175ED" w:rsidP="00A36A3D">
      <w:pPr>
        <w:spacing w:line="480" w:lineRule="auto"/>
        <w:ind w:left="-567"/>
        <w:rPr>
          <w:rFonts w:ascii="Arial" w:hAnsi="Arial" w:cs="Arial"/>
          <w:i/>
        </w:rPr>
      </w:pPr>
      <w:r w:rsidRPr="00F84A18">
        <w:rPr>
          <w:rFonts w:ascii="Arial" w:hAnsi="Arial" w:cs="Arial"/>
          <w:i/>
        </w:rPr>
        <w:t xml:space="preserve">Search strategy and selection criteria </w:t>
      </w:r>
    </w:p>
    <w:p w14:paraId="3EB827EB" w14:textId="77777777" w:rsidR="00B175ED" w:rsidRPr="00F84A18" w:rsidRDefault="00B175ED" w:rsidP="00305485">
      <w:pPr>
        <w:spacing w:line="480" w:lineRule="auto"/>
        <w:ind w:left="-567"/>
        <w:rPr>
          <w:b/>
        </w:rPr>
      </w:pPr>
      <w:r w:rsidRPr="00F84A18">
        <w:rPr>
          <w:rFonts w:ascii="Arial" w:hAnsi="Arial" w:cs="Arial"/>
        </w:rPr>
        <w:t xml:space="preserve"> This document is based on a search of primarily English language literature since January 1980 on the terms FH, hypercholesterolemia, subclinical atherosclerosis and cholesterol lowering treatment from PubMed together with the consensus of opinion from an international panel of dyslipidemia specialists that was convened by the IAS, which worked together from March 2015 to March 2016. We emphasize that there are limited prospective data in FH populations and that most of the cited studies are observational cross-sectional or historical cohorts of patients.  Also, due to lack of specific studies some of the recommendations made by the panel come from consensus opinions derived from studies performed in the general population. The panel met in Amsterdam the Netherlands, to present and discuss available data in May 2015 and worked thereafter electronically to finalize this expert opinion consensus.</w:t>
      </w:r>
    </w:p>
    <w:p w14:paraId="39E033D2" w14:textId="77777777" w:rsidR="00B175ED" w:rsidRPr="00FB23C1" w:rsidRDefault="00B175ED" w:rsidP="00B16C2B">
      <w:pPr>
        <w:spacing w:line="480" w:lineRule="auto"/>
        <w:ind w:left="-567"/>
        <w:rPr>
          <w:rFonts w:ascii="Arial" w:hAnsi="Arial" w:cs="Arial"/>
          <w:i/>
        </w:rPr>
      </w:pPr>
      <w:r w:rsidRPr="00FB23C1">
        <w:rPr>
          <w:rFonts w:ascii="Arial" w:hAnsi="Arial" w:cs="Arial"/>
          <w:i/>
        </w:rPr>
        <w:t>Role of funding source</w:t>
      </w:r>
    </w:p>
    <w:p w14:paraId="6930C3C5" w14:textId="77777777" w:rsidR="00B175ED" w:rsidRPr="00DD1960" w:rsidRDefault="00B175ED" w:rsidP="00B16C2B">
      <w:pPr>
        <w:spacing w:line="480" w:lineRule="auto"/>
        <w:ind w:left="-567"/>
        <w:rPr>
          <w:rFonts w:ascii="Arial" w:hAnsi="Arial" w:cs="Arial"/>
        </w:rPr>
      </w:pPr>
      <w:r>
        <w:rPr>
          <w:rFonts w:ascii="Arial" w:hAnsi="Arial" w:cs="Arial"/>
        </w:rPr>
        <w:t xml:space="preserve">The IAS received unrestricted grants for a FH program from Amgen, Aegerion and Sanofi. </w:t>
      </w:r>
      <w:r w:rsidRPr="00BC4FC1">
        <w:rPr>
          <w:rFonts w:ascii="Arial" w:hAnsi="Arial" w:cs="Arial"/>
        </w:rPr>
        <w:t xml:space="preserve">These companies were not present at the </w:t>
      </w:r>
      <w:r>
        <w:rPr>
          <w:rFonts w:ascii="Arial" w:hAnsi="Arial" w:cs="Arial"/>
        </w:rPr>
        <w:t>Panel meeting</w:t>
      </w:r>
      <w:r w:rsidRPr="00BC4FC1">
        <w:rPr>
          <w:rFonts w:ascii="Arial" w:hAnsi="Arial" w:cs="Arial"/>
        </w:rPr>
        <w:t xml:space="preserve">, had no role in the design or content of the </w:t>
      </w:r>
      <w:r>
        <w:rPr>
          <w:rFonts w:ascii="Arial" w:hAnsi="Arial" w:cs="Arial"/>
        </w:rPr>
        <w:t>document</w:t>
      </w:r>
      <w:r w:rsidRPr="00BC4FC1">
        <w:rPr>
          <w:rFonts w:ascii="Arial" w:hAnsi="Arial" w:cs="Arial"/>
        </w:rPr>
        <w:t>, and had no right to approve or disapprove the final document.</w:t>
      </w:r>
    </w:p>
    <w:p w14:paraId="0ED35D85" w14:textId="77777777" w:rsidR="00B175ED" w:rsidRDefault="00B175ED" w:rsidP="00D67CD2">
      <w:pPr>
        <w:spacing w:line="480" w:lineRule="auto"/>
        <w:ind w:left="-567" w:firstLine="720"/>
        <w:rPr>
          <w:rFonts w:ascii="Arial" w:hAnsi="Arial" w:cs="Arial"/>
        </w:rPr>
      </w:pPr>
    </w:p>
    <w:p w14:paraId="5DB781F2" w14:textId="77777777" w:rsidR="00B175ED" w:rsidRPr="0011246A" w:rsidRDefault="00B175ED" w:rsidP="008A5E01">
      <w:pPr>
        <w:spacing w:line="480" w:lineRule="auto"/>
        <w:ind w:left="-567"/>
        <w:rPr>
          <w:rFonts w:ascii="Arial" w:hAnsi="Arial" w:cs="Arial"/>
          <w:b/>
        </w:rPr>
      </w:pPr>
      <w:r w:rsidRPr="0011246A">
        <w:rPr>
          <w:rFonts w:ascii="Arial" w:hAnsi="Arial" w:cs="Arial"/>
          <w:b/>
        </w:rPr>
        <w:t>Importance of sustained high LDL-cholesterol as a risk factor for atherosclerotic cardiovascular disease and its deleterious role in familial hypercholesterolemia</w:t>
      </w:r>
    </w:p>
    <w:p w14:paraId="6400F774" w14:textId="77777777" w:rsidR="00B175ED" w:rsidRDefault="00B175ED" w:rsidP="00305485">
      <w:pPr>
        <w:spacing w:line="480" w:lineRule="auto"/>
        <w:ind w:left="-567"/>
        <w:rPr>
          <w:rFonts w:ascii="Arial" w:hAnsi="Arial" w:cs="Arial"/>
        </w:rPr>
      </w:pPr>
      <w:r>
        <w:rPr>
          <w:rFonts w:ascii="Arial" w:hAnsi="Arial" w:cs="Arial"/>
        </w:rPr>
        <w:t xml:space="preserve"> </w:t>
      </w:r>
      <w:r w:rsidRPr="0011246A">
        <w:rPr>
          <w:rFonts w:ascii="Arial" w:hAnsi="Arial" w:cs="Arial"/>
        </w:rPr>
        <w:t>Elevated blood cholesterol is an independent cause of ASCVD</w:t>
      </w:r>
      <w:r>
        <w:rPr>
          <w:rFonts w:ascii="Arial" w:hAnsi="Arial" w:cs="Arial"/>
        </w:rPr>
        <w:t xml:space="preserve">. </w:t>
      </w:r>
      <w:r w:rsidRPr="0011246A">
        <w:rPr>
          <w:rFonts w:ascii="Arial" w:hAnsi="Arial" w:cs="Arial"/>
        </w:rPr>
        <w:t>This evidence comes from prospective observational studies</w:t>
      </w:r>
      <w:r w:rsidRPr="00600E92">
        <w:rPr>
          <w:rFonts w:ascii="Arial" w:hAnsi="Arial" w:cs="Arial"/>
          <w:noProof/>
          <w:vertAlign w:val="superscript"/>
        </w:rPr>
        <w:t>27</w:t>
      </w:r>
      <w:r w:rsidRPr="0011246A">
        <w:rPr>
          <w:rFonts w:ascii="Arial" w:hAnsi="Arial" w:cs="Arial"/>
        </w:rPr>
        <w:t>, from genome wide association studies (GWAS)</w:t>
      </w:r>
      <w:r w:rsidRPr="00600E92">
        <w:rPr>
          <w:rFonts w:ascii="Arial" w:hAnsi="Arial" w:cs="Arial"/>
          <w:noProof/>
          <w:vertAlign w:val="superscript"/>
        </w:rPr>
        <w:t>28</w:t>
      </w:r>
      <w:r w:rsidRPr="0011246A">
        <w:rPr>
          <w:rFonts w:ascii="Arial" w:hAnsi="Arial" w:cs="Arial"/>
        </w:rPr>
        <w:t xml:space="preserve"> and from </w:t>
      </w:r>
      <w:r>
        <w:rPr>
          <w:rFonts w:ascii="Arial" w:hAnsi="Arial" w:cs="Arial"/>
        </w:rPr>
        <w:t>m</w:t>
      </w:r>
      <w:r w:rsidRPr="0011246A">
        <w:rPr>
          <w:rFonts w:ascii="Arial" w:hAnsi="Arial" w:cs="Arial"/>
        </w:rPr>
        <w:t>endelian randomization studies</w:t>
      </w:r>
      <w:r w:rsidRPr="00600E92">
        <w:rPr>
          <w:rFonts w:ascii="Arial" w:hAnsi="Arial" w:cs="Arial"/>
          <w:noProof/>
          <w:vertAlign w:val="superscript"/>
        </w:rPr>
        <w:t>29,30</w:t>
      </w:r>
      <w:r w:rsidRPr="0011246A">
        <w:rPr>
          <w:rFonts w:ascii="Arial" w:hAnsi="Arial" w:cs="Arial"/>
        </w:rPr>
        <w:t xml:space="preserve">. The definitive proof of the causal role for cholesterol in ASCVD derives from numerous robust clinical and surrogate interventional studies with cholesterol lowering medications, mainly statins </w:t>
      </w:r>
      <w:r w:rsidRPr="00600E92">
        <w:rPr>
          <w:rFonts w:ascii="Arial" w:hAnsi="Arial" w:cs="Arial"/>
          <w:noProof/>
          <w:vertAlign w:val="superscript"/>
        </w:rPr>
        <w:t>31,32</w:t>
      </w:r>
      <w:r w:rsidRPr="0011246A">
        <w:rPr>
          <w:rFonts w:ascii="Arial" w:hAnsi="Arial" w:cs="Arial"/>
        </w:rPr>
        <w:t xml:space="preserve"> that showed reduction in major atherosclerotic cardiovascular events</w:t>
      </w:r>
      <w:r>
        <w:rPr>
          <w:rFonts w:ascii="Arial" w:hAnsi="Arial" w:cs="Arial"/>
        </w:rPr>
        <w:t xml:space="preserve"> (MACE)</w:t>
      </w:r>
      <w:r w:rsidRPr="0011246A">
        <w:rPr>
          <w:rFonts w:ascii="Arial" w:hAnsi="Arial" w:cs="Arial"/>
        </w:rPr>
        <w:t xml:space="preserve"> and mortality. </w:t>
      </w:r>
    </w:p>
    <w:p w14:paraId="1422157A" w14:textId="77777777" w:rsidR="00B175ED" w:rsidRDefault="00B175ED" w:rsidP="00305485">
      <w:pPr>
        <w:spacing w:line="480" w:lineRule="auto"/>
        <w:ind w:left="-567"/>
        <w:rPr>
          <w:rFonts w:ascii="Arial" w:hAnsi="Arial" w:cs="Arial"/>
        </w:rPr>
      </w:pPr>
    </w:p>
    <w:p w14:paraId="7A9EB837" w14:textId="77777777" w:rsidR="00B175ED" w:rsidRPr="0011246A" w:rsidRDefault="00B175ED" w:rsidP="00305485">
      <w:pPr>
        <w:spacing w:line="480" w:lineRule="auto"/>
        <w:ind w:left="-567"/>
        <w:rPr>
          <w:rFonts w:ascii="Arial" w:hAnsi="Arial" w:cs="Arial"/>
        </w:rPr>
      </w:pPr>
      <w:r w:rsidRPr="0011246A">
        <w:rPr>
          <w:rFonts w:ascii="Arial" w:hAnsi="Arial" w:cs="Arial"/>
        </w:rPr>
        <w:t>Owing to the extremely high plasma LDL-C levels, HoFH patients are considered to be at the highest level of risk for early ASCVD, which may be up to 100 times higher than the risk in the general population</w:t>
      </w:r>
      <w:r w:rsidRPr="0011246A">
        <w:rPr>
          <w:rFonts w:ascii="Arial" w:hAnsi="Arial" w:cs="Arial"/>
          <w:vertAlign w:val="superscript"/>
        </w:rPr>
        <w:t xml:space="preserve"> </w:t>
      </w:r>
      <w:r w:rsidRPr="008534B6">
        <w:rPr>
          <w:rFonts w:ascii="Arial" w:hAnsi="Arial" w:cs="Arial"/>
          <w:noProof/>
          <w:vertAlign w:val="superscript"/>
        </w:rPr>
        <w:t>7,9</w:t>
      </w:r>
      <w:r>
        <w:rPr>
          <w:rFonts w:ascii="Arial" w:hAnsi="Arial" w:cs="Arial"/>
        </w:rPr>
        <w:t>.</w:t>
      </w:r>
      <w:r w:rsidRPr="0011246A">
        <w:rPr>
          <w:rFonts w:ascii="Arial" w:hAnsi="Arial" w:cs="Arial"/>
        </w:rPr>
        <w:t xml:space="preserve"> HoFH individuals frequently develop aortic or supra-aortic valve stenosis in addition to atherosclerosis in the aorta, coronary, carotid and peripheral arteries </w:t>
      </w:r>
      <w:r w:rsidRPr="008534B6">
        <w:rPr>
          <w:rFonts w:ascii="Arial" w:hAnsi="Arial" w:cs="Arial"/>
          <w:noProof/>
          <w:vertAlign w:val="superscript"/>
        </w:rPr>
        <w:t>7</w:t>
      </w:r>
      <w:r w:rsidRPr="0011246A">
        <w:rPr>
          <w:rFonts w:ascii="Arial" w:hAnsi="Arial" w:cs="Arial"/>
        </w:rPr>
        <w:t xml:space="preserve">. </w:t>
      </w:r>
    </w:p>
    <w:p w14:paraId="360E2073" w14:textId="77777777" w:rsidR="00B175ED" w:rsidRDefault="00B175ED" w:rsidP="00305485">
      <w:pPr>
        <w:spacing w:line="480" w:lineRule="auto"/>
        <w:ind w:left="-567"/>
        <w:rPr>
          <w:rFonts w:ascii="Arial" w:hAnsi="Arial" w:cs="Arial"/>
        </w:rPr>
      </w:pPr>
    </w:p>
    <w:p w14:paraId="56FFA907" w14:textId="77777777" w:rsidR="00B175ED" w:rsidRPr="0011246A" w:rsidRDefault="00B175ED" w:rsidP="00305485">
      <w:pPr>
        <w:spacing w:line="480" w:lineRule="auto"/>
        <w:ind w:left="-567"/>
        <w:rPr>
          <w:rFonts w:ascii="Arial" w:hAnsi="Arial" w:cs="Arial"/>
        </w:rPr>
      </w:pPr>
      <w:r w:rsidRPr="0011246A">
        <w:rPr>
          <w:rFonts w:ascii="Arial" w:hAnsi="Arial" w:cs="Arial"/>
        </w:rPr>
        <w:t xml:space="preserve">The concept of the cholesterol-year score, a marker of exposure to high cholesterol levels over time underpins the pathogenic relationship between chronically elevated LDL-C and extensive atherosclerosis in young FH patients </w:t>
      </w:r>
      <w:r w:rsidRPr="00600E92">
        <w:rPr>
          <w:rFonts w:ascii="Arial" w:hAnsi="Arial" w:cs="Arial"/>
          <w:noProof/>
          <w:vertAlign w:val="superscript"/>
        </w:rPr>
        <w:t>5,33-35</w:t>
      </w:r>
      <w:r w:rsidRPr="0011246A">
        <w:rPr>
          <w:rFonts w:ascii="Arial" w:hAnsi="Arial" w:cs="Arial"/>
        </w:rPr>
        <w:t xml:space="preserve">. High plasma LDL-C </w:t>
      </w:r>
      <w:r>
        <w:rPr>
          <w:rFonts w:ascii="Arial" w:hAnsi="Arial" w:cs="Arial"/>
        </w:rPr>
        <w:t>is</w:t>
      </w:r>
      <w:r w:rsidRPr="0011246A">
        <w:rPr>
          <w:rFonts w:ascii="Arial" w:hAnsi="Arial" w:cs="Arial"/>
        </w:rPr>
        <w:t xml:space="preserve"> associated with a worse prognosis in both HoFH and HeFH </w:t>
      </w:r>
      <w:r w:rsidRPr="00600E92">
        <w:rPr>
          <w:rFonts w:ascii="Arial" w:hAnsi="Arial" w:cs="Arial"/>
          <w:noProof/>
          <w:vertAlign w:val="superscript"/>
        </w:rPr>
        <w:t>22,35,36</w:t>
      </w:r>
      <w:r w:rsidRPr="0011246A">
        <w:rPr>
          <w:rFonts w:ascii="Arial" w:hAnsi="Arial" w:cs="Arial"/>
        </w:rPr>
        <w:t xml:space="preserve">. If untreated, FH is particularly devastating among younger individuals, as shown in the pre statin era, where 125 and 48-fold increases in adjusted mortality rates were described in women and men respectively, in the 20- to 29-year-old age stratum compared with normolipidemic individuals </w:t>
      </w:r>
      <w:r w:rsidRPr="00600E92">
        <w:rPr>
          <w:rFonts w:ascii="Arial" w:hAnsi="Arial" w:cs="Arial"/>
          <w:noProof/>
          <w:vertAlign w:val="superscript"/>
        </w:rPr>
        <w:t>37</w:t>
      </w:r>
      <w:r w:rsidRPr="0011246A">
        <w:rPr>
          <w:rFonts w:ascii="Arial" w:hAnsi="Arial" w:cs="Arial"/>
        </w:rPr>
        <w:t xml:space="preserve">. Recently, Do </w:t>
      </w:r>
      <w:r>
        <w:rPr>
          <w:rFonts w:ascii="Arial" w:hAnsi="Arial" w:cs="Arial"/>
        </w:rPr>
        <w:t xml:space="preserve">and co-workers </w:t>
      </w:r>
      <w:r w:rsidRPr="0011246A">
        <w:rPr>
          <w:rFonts w:ascii="Arial" w:hAnsi="Arial" w:cs="Arial"/>
        </w:rPr>
        <w:t xml:space="preserve">sequenced the protein-coding regions of 9,793 genomes from patients with early myocardial infarction and </w:t>
      </w:r>
      <w:r>
        <w:rPr>
          <w:rFonts w:ascii="Arial" w:hAnsi="Arial" w:cs="Arial"/>
        </w:rPr>
        <w:t>found</w:t>
      </w:r>
      <w:r w:rsidRPr="0011246A">
        <w:rPr>
          <w:rFonts w:ascii="Arial" w:hAnsi="Arial" w:cs="Arial"/>
        </w:rPr>
        <w:t xml:space="preserve"> that 2% of </w:t>
      </w:r>
      <w:r>
        <w:rPr>
          <w:rFonts w:ascii="Arial" w:hAnsi="Arial" w:cs="Arial"/>
        </w:rPr>
        <w:t>cases were caused by</w:t>
      </w:r>
      <w:r w:rsidRPr="0011246A">
        <w:rPr>
          <w:rFonts w:ascii="Arial" w:hAnsi="Arial" w:cs="Arial"/>
        </w:rPr>
        <w:t xml:space="preserve"> LDL receptor damaging mutations </w:t>
      </w:r>
      <w:r w:rsidRPr="00600E92">
        <w:rPr>
          <w:rFonts w:ascii="Arial" w:hAnsi="Arial" w:cs="Arial"/>
          <w:noProof/>
          <w:vertAlign w:val="superscript"/>
        </w:rPr>
        <w:t>38</w:t>
      </w:r>
      <w:r w:rsidRPr="0011246A">
        <w:rPr>
          <w:rFonts w:ascii="Arial" w:hAnsi="Arial" w:cs="Arial"/>
        </w:rPr>
        <w:t xml:space="preserve">. Similarly, </w:t>
      </w:r>
      <w:r w:rsidRPr="0011246A">
        <w:rPr>
          <w:rFonts w:ascii="Arial" w:hAnsi="Arial" w:cs="Arial"/>
          <w:iCs/>
          <w:lang w:val="pt-BR"/>
        </w:rPr>
        <w:t>Nanchen</w:t>
      </w:r>
      <w:r w:rsidRPr="0011246A">
        <w:rPr>
          <w:rFonts w:ascii="Arial" w:hAnsi="Arial" w:cs="Arial"/>
        </w:rPr>
        <w:t xml:space="preserve"> et al</w:t>
      </w:r>
      <w:r>
        <w:rPr>
          <w:rFonts w:ascii="Arial" w:hAnsi="Arial" w:cs="Arial"/>
        </w:rPr>
        <w:t xml:space="preserve">. </w:t>
      </w:r>
      <w:r w:rsidRPr="00600E92">
        <w:rPr>
          <w:rFonts w:ascii="Arial" w:hAnsi="Arial" w:cs="Arial"/>
          <w:noProof/>
          <w:vertAlign w:val="superscript"/>
        </w:rPr>
        <w:t>39</w:t>
      </w:r>
      <w:r w:rsidRPr="0011246A">
        <w:rPr>
          <w:rFonts w:ascii="Arial" w:hAnsi="Arial" w:cs="Arial"/>
        </w:rPr>
        <w:t xml:space="preserve"> found that 4.8% of 1,451 individuals aged &lt; 60 years presenting with an acute coronary syndrome had either probable or definite FH. </w:t>
      </w:r>
    </w:p>
    <w:p w14:paraId="290455CC" w14:textId="77777777" w:rsidR="00B175ED" w:rsidRDefault="00B175ED" w:rsidP="00305485">
      <w:pPr>
        <w:spacing w:line="480" w:lineRule="auto"/>
        <w:ind w:left="-567"/>
        <w:rPr>
          <w:rFonts w:ascii="Arial" w:hAnsi="Arial" w:cs="Arial"/>
        </w:rPr>
      </w:pPr>
    </w:p>
    <w:p w14:paraId="265C4E4D" w14:textId="77777777" w:rsidR="00B175ED" w:rsidRPr="0011246A" w:rsidRDefault="00B175ED" w:rsidP="00305485">
      <w:pPr>
        <w:spacing w:line="480" w:lineRule="auto"/>
        <w:ind w:left="-567"/>
        <w:rPr>
          <w:rFonts w:ascii="Arial" w:hAnsi="Arial" w:cs="Arial"/>
        </w:rPr>
      </w:pPr>
      <w:r w:rsidRPr="0011246A">
        <w:rPr>
          <w:rFonts w:ascii="Arial" w:hAnsi="Arial" w:cs="Arial"/>
        </w:rPr>
        <w:t xml:space="preserve">Even among more recent reports that include treatment with statins, individuals with the HoFH phenotype disappointingly still live with an extremely high risk of early ASCVD onset and premature mortality </w:t>
      </w:r>
      <w:r w:rsidRPr="00600E92">
        <w:rPr>
          <w:rFonts w:ascii="Arial" w:hAnsi="Arial" w:cs="Arial"/>
          <w:noProof/>
          <w:vertAlign w:val="superscript"/>
        </w:rPr>
        <w:t>40,41</w:t>
      </w:r>
      <w:r w:rsidRPr="0011246A">
        <w:rPr>
          <w:rFonts w:ascii="Arial" w:hAnsi="Arial" w:cs="Arial"/>
        </w:rPr>
        <w:t>. Raal et al</w:t>
      </w:r>
      <w:r>
        <w:rPr>
          <w:rFonts w:ascii="Arial" w:hAnsi="Arial" w:cs="Arial"/>
        </w:rPr>
        <w:t>.</w:t>
      </w:r>
      <w:r w:rsidRPr="00600E92">
        <w:rPr>
          <w:rFonts w:ascii="Arial" w:hAnsi="Arial" w:cs="Arial"/>
          <w:noProof/>
          <w:vertAlign w:val="superscript"/>
        </w:rPr>
        <w:t>40</w:t>
      </w:r>
      <w:r w:rsidRPr="0011246A">
        <w:rPr>
          <w:rFonts w:ascii="Arial" w:hAnsi="Arial" w:cs="Arial"/>
        </w:rPr>
        <w:t xml:space="preserve"> evaluated the occurrence of MACE in 149 South African HoFH patients. They found that MACE occurrence was reduced by 51% after 1990, which was the year statins were introduced in that country. But even so, the age of onset for the first MACE was postponed on average from 12.8 years to only 28.3 years, and by age 40 years almost 90% of studied patients had suffered a vascular event. </w:t>
      </w:r>
    </w:p>
    <w:p w14:paraId="3E34959F" w14:textId="77777777" w:rsidR="00B175ED" w:rsidRDefault="00B175ED" w:rsidP="00305485">
      <w:pPr>
        <w:spacing w:line="480" w:lineRule="auto"/>
        <w:ind w:left="-567"/>
        <w:rPr>
          <w:rFonts w:ascii="Arial" w:hAnsi="Arial" w:cs="Arial"/>
        </w:rPr>
      </w:pPr>
    </w:p>
    <w:p w14:paraId="025CD0B4" w14:textId="77777777" w:rsidR="00B175ED" w:rsidRPr="0011246A" w:rsidRDefault="00B175ED" w:rsidP="00305485">
      <w:pPr>
        <w:spacing w:line="480" w:lineRule="auto"/>
        <w:ind w:left="-567"/>
        <w:rPr>
          <w:rFonts w:ascii="Arial" w:hAnsi="Arial" w:cs="Arial"/>
        </w:rPr>
      </w:pPr>
      <w:r>
        <w:rPr>
          <w:rFonts w:ascii="Arial" w:hAnsi="Arial" w:cs="Arial"/>
        </w:rPr>
        <w:t>Thompson et al.</w:t>
      </w:r>
      <w:r w:rsidRPr="0011246A">
        <w:rPr>
          <w:rFonts w:ascii="Arial" w:hAnsi="Arial" w:cs="Arial"/>
        </w:rPr>
        <w:t xml:space="preserve"> recently reported long-term outcomes on 43 HoFH patients who had been treated at the Hammersmith Hospital in London, UK over the past 50 years</w:t>
      </w:r>
      <w:r w:rsidRPr="00600E92">
        <w:rPr>
          <w:rFonts w:ascii="Arial" w:hAnsi="Arial" w:cs="Arial"/>
          <w:noProof/>
          <w:vertAlign w:val="superscript"/>
        </w:rPr>
        <w:t>41</w:t>
      </w:r>
      <w:r w:rsidRPr="0011246A">
        <w:rPr>
          <w:rFonts w:ascii="Arial" w:hAnsi="Arial" w:cs="Arial"/>
        </w:rPr>
        <w:t xml:space="preserve">. The authors compared those who either did or did not die during the follow-up period. The use of statins and apheresis was more frequent in the survivors, and there was a clear temporal improvement in the care of HoFH patients over this period. However, despite this, ASCVD prevalence was still high in living HoFH patients: aortic stenosis was seen in 33%, aortic valve replacement required in 14% and, coronary heart disease was present in 37%.  In both studies, on-treatment total cholesterol levels remained very high: average 13.1 and 8.1 mmol/L </w:t>
      </w:r>
      <w:r>
        <w:rPr>
          <w:rFonts w:ascii="Arial" w:hAnsi="Arial" w:cs="Arial"/>
        </w:rPr>
        <w:t xml:space="preserve">(505 and 320 mg/dL) </w:t>
      </w:r>
      <w:r w:rsidRPr="0011246A">
        <w:rPr>
          <w:rFonts w:ascii="Arial" w:hAnsi="Arial" w:cs="Arial"/>
        </w:rPr>
        <w:t xml:space="preserve">respectively in the South African </w:t>
      </w:r>
      <w:r w:rsidRPr="00600E92">
        <w:rPr>
          <w:rFonts w:ascii="Arial" w:hAnsi="Arial" w:cs="Arial"/>
          <w:noProof/>
          <w:vertAlign w:val="superscript"/>
        </w:rPr>
        <w:t>40</w:t>
      </w:r>
      <w:r w:rsidRPr="0011246A">
        <w:rPr>
          <w:rFonts w:ascii="Arial" w:hAnsi="Arial" w:cs="Arial"/>
        </w:rPr>
        <w:t xml:space="preserve"> and UK populations</w:t>
      </w:r>
      <w:r w:rsidRPr="00600E92">
        <w:rPr>
          <w:rFonts w:ascii="Arial" w:hAnsi="Arial" w:cs="Arial"/>
          <w:noProof/>
          <w:vertAlign w:val="superscript"/>
        </w:rPr>
        <w:t>41</w:t>
      </w:r>
      <w:r w:rsidRPr="0011246A">
        <w:rPr>
          <w:rFonts w:ascii="Arial" w:hAnsi="Arial" w:cs="Arial"/>
        </w:rPr>
        <w:t xml:space="preserve"> confirming the importance of high cholesterol as the driver of ASCVD in HoFH and the huge unmet treatment need for this population. </w:t>
      </w:r>
    </w:p>
    <w:p w14:paraId="3DBF37FF" w14:textId="77777777" w:rsidR="00B175ED" w:rsidRDefault="00B175ED" w:rsidP="00305485">
      <w:pPr>
        <w:spacing w:line="480" w:lineRule="auto"/>
        <w:ind w:left="-567"/>
        <w:rPr>
          <w:rFonts w:ascii="Arial" w:hAnsi="Arial" w:cs="Arial"/>
        </w:rPr>
      </w:pPr>
    </w:p>
    <w:p w14:paraId="6BD40ABA" w14:textId="77777777" w:rsidR="00B175ED" w:rsidRPr="0011246A" w:rsidRDefault="00B175ED" w:rsidP="00305485">
      <w:pPr>
        <w:spacing w:line="480" w:lineRule="auto"/>
        <w:ind w:left="-567"/>
        <w:rPr>
          <w:rFonts w:ascii="Arial" w:hAnsi="Arial" w:cs="Arial"/>
        </w:rPr>
      </w:pPr>
      <w:r w:rsidRPr="0011246A">
        <w:rPr>
          <w:rFonts w:ascii="Arial" w:hAnsi="Arial" w:cs="Arial"/>
        </w:rPr>
        <w:t>Many HeFH individuals are at high ASCVD risk as well due to extremely elevated LDL-C that is relatively refractory to current lipid lowering treatments. LDL-C values  &gt; 8 mmol/L</w:t>
      </w:r>
      <w:r>
        <w:rPr>
          <w:rFonts w:ascii="Arial" w:hAnsi="Arial" w:cs="Arial"/>
        </w:rPr>
        <w:t xml:space="preserve"> (310 mg/dL) </w:t>
      </w:r>
      <w:r w:rsidRPr="0011246A">
        <w:rPr>
          <w:rFonts w:ascii="Arial" w:hAnsi="Arial" w:cs="Arial"/>
        </w:rPr>
        <w:t>prior to therapy have been suggested to identify a more severe HeFH phenotype</w:t>
      </w:r>
      <w:r w:rsidRPr="00600E92">
        <w:rPr>
          <w:rFonts w:ascii="Arial" w:hAnsi="Arial" w:cs="Arial"/>
          <w:noProof/>
          <w:vertAlign w:val="superscript"/>
        </w:rPr>
        <w:t>22</w:t>
      </w:r>
      <w:r w:rsidRPr="0011246A">
        <w:rPr>
          <w:rFonts w:ascii="Arial" w:hAnsi="Arial" w:cs="Arial"/>
        </w:rPr>
        <w:t xml:space="preserve"> independent of the presence of traditional risk factors such as smoking, diabetes, hypertension or family history of early ASCVD. </w:t>
      </w:r>
      <w:r>
        <w:rPr>
          <w:rFonts w:ascii="Arial" w:hAnsi="Arial" w:cs="Arial"/>
        </w:rPr>
        <w:t xml:space="preserve"> However, this risk was greater if associated with the other risk conditions. </w:t>
      </w:r>
      <w:r w:rsidRPr="0011246A">
        <w:rPr>
          <w:rFonts w:ascii="Arial" w:hAnsi="Arial" w:cs="Arial"/>
        </w:rPr>
        <w:t xml:space="preserve">In a Dutch cohort, such elevated LDL-C values were encountered in 1:3,000 or 11% of the Dutch FH population and were associated with a 1.36 odds ratio (95% CI: 1.09 to 1.69) for ASCVD compared to other FH patients. An LDL-C concentration &gt; 8 mmol/L </w:t>
      </w:r>
      <w:r>
        <w:rPr>
          <w:rFonts w:ascii="Arial" w:hAnsi="Arial" w:cs="Arial"/>
        </w:rPr>
        <w:t xml:space="preserve">(310 mg/dL) </w:t>
      </w:r>
      <w:r w:rsidRPr="0011246A">
        <w:rPr>
          <w:rFonts w:ascii="Arial" w:hAnsi="Arial" w:cs="Arial"/>
        </w:rPr>
        <w:t xml:space="preserve">that is refractory to maximally tolerated pharmaceutical therapy has also been suggested to be an indication for reimbursement of apheresis (either plasmapheresis or selective lipoprotein apheresis) in subjects without previous manifestations of ASCVD </w:t>
      </w:r>
      <w:r w:rsidRPr="00600E92">
        <w:rPr>
          <w:rFonts w:ascii="Arial" w:hAnsi="Arial" w:cs="Arial"/>
          <w:noProof/>
          <w:vertAlign w:val="superscript"/>
        </w:rPr>
        <w:t>42</w:t>
      </w:r>
      <w:r w:rsidRPr="0011246A">
        <w:rPr>
          <w:rFonts w:ascii="Arial" w:hAnsi="Arial" w:cs="Arial"/>
        </w:rPr>
        <w:t xml:space="preserve">.  </w:t>
      </w:r>
    </w:p>
    <w:p w14:paraId="40AC714A" w14:textId="77777777" w:rsidR="00B175ED" w:rsidRDefault="00B175ED" w:rsidP="00D67CD2">
      <w:pPr>
        <w:spacing w:line="480" w:lineRule="auto"/>
        <w:ind w:left="-567"/>
        <w:rPr>
          <w:rFonts w:ascii="Arial" w:hAnsi="Arial" w:cs="Arial"/>
          <w:i/>
        </w:rPr>
      </w:pPr>
    </w:p>
    <w:p w14:paraId="3282F721" w14:textId="77777777" w:rsidR="00B175ED" w:rsidRPr="0011246A" w:rsidRDefault="00B175ED" w:rsidP="00D67CD2">
      <w:pPr>
        <w:spacing w:line="480" w:lineRule="auto"/>
        <w:ind w:left="-567"/>
        <w:rPr>
          <w:rFonts w:ascii="Arial" w:hAnsi="Arial" w:cs="Arial"/>
          <w:i/>
        </w:rPr>
      </w:pPr>
      <w:r w:rsidRPr="0011246A">
        <w:rPr>
          <w:rFonts w:ascii="Arial" w:hAnsi="Arial" w:cs="Arial"/>
          <w:i/>
        </w:rPr>
        <w:t xml:space="preserve">Late treatment onset and refractoriness </w:t>
      </w:r>
    </w:p>
    <w:p w14:paraId="654F7F42" w14:textId="77777777" w:rsidR="00B175ED" w:rsidRPr="0011246A" w:rsidRDefault="00B175ED" w:rsidP="00305485">
      <w:pPr>
        <w:spacing w:line="480" w:lineRule="auto"/>
        <w:ind w:left="-567"/>
        <w:rPr>
          <w:rFonts w:ascii="Arial" w:hAnsi="Arial" w:cs="Arial"/>
        </w:rPr>
      </w:pPr>
      <w:r w:rsidRPr="0011246A">
        <w:rPr>
          <w:rFonts w:ascii="Arial" w:hAnsi="Arial" w:cs="Arial"/>
        </w:rPr>
        <w:t>Another important issue when assessing the severity of the FH phenotype is the age at initiation of treatment</w:t>
      </w:r>
      <w:r>
        <w:rPr>
          <w:rFonts w:ascii="Arial" w:hAnsi="Arial" w:cs="Arial"/>
        </w:rPr>
        <w:t>,</w:t>
      </w:r>
      <w:r w:rsidRPr="0011246A">
        <w:rPr>
          <w:rFonts w:ascii="Arial" w:hAnsi="Arial" w:cs="Arial"/>
        </w:rPr>
        <w:t xml:space="preserve"> </w:t>
      </w:r>
      <w:r>
        <w:rPr>
          <w:rFonts w:ascii="Arial" w:hAnsi="Arial" w:cs="Arial"/>
        </w:rPr>
        <w:t>l</w:t>
      </w:r>
      <w:r w:rsidRPr="0011246A">
        <w:rPr>
          <w:rFonts w:ascii="Arial" w:hAnsi="Arial" w:cs="Arial"/>
        </w:rPr>
        <w:t xml:space="preserve">ater treatment, for instance after 40 years of age </w:t>
      </w:r>
      <w:r w:rsidRPr="00600E92">
        <w:rPr>
          <w:rFonts w:ascii="Arial" w:hAnsi="Arial" w:cs="Arial"/>
          <w:noProof/>
          <w:vertAlign w:val="superscript"/>
        </w:rPr>
        <w:t>3,5,34</w:t>
      </w:r>
      <w:r w:rsidRPr="0011246A">
        <w:rPr>
          <w:rFonts w:ascii="Arial" w:hAnsi="Arial" w:cs="Arial"/>
        </w:rPr>
        <w:t xml:space="preserve">, implies a longer exposure of the arterial wall to high LDL-C and consequently a greater risk of ASCVD. </w:t>
      </w:r>
    </w:p>
    <w:p w14:paraId="35D1F1C0" w14:textId="77777777" w:rsidR="00B175ED" w:rsidRDefault="00B175ED" w:rsidP="00305485">
      <w:pPr>
        <w:spacing w:line="480" w:lineRule="auto"/>
        <w:ind w:left="-567"/>
        <w:rPr>
          <w:rFonts w:ascii="Arial" w:hAnsi="Arial" w:cs="Arial"/>
        </w:rPr>
      </w:pPr>
    </w:p>
    <w:p w14:paraId="5234265F" w14:textId="77777777" w:rsidR="00B175ED" w:rsidRPr="0011246A" w:rsidRDefault="00B175ED" w:rsidP="00305485">
      <w:pPr>
        <w:spacing w:line="480" w:lineRule="auto"/>
        <w:ind w:left="-567"/>
        <w:rPr>
          <w:rFonts w:ascii="Arial" w:hAnsi="Arial" w:cs="Arial"/>
        </w:rPr>
      </w:pPr>
      <w:r w:rsidRPr="0011246A">
        <w:rPr>
          <w:rFonts w:ascii="Arial" w:hAnsi="Arial" w:cs="Arial"/>
        </w:rPr>
        <w:t xml:space="preserve">Most guidelines endorse a minimum LDL-C reduction of 50% for FH patients, and often recommend specific absolute targets, such as LDL-C values &lt; 2.5 </w:t>
      </w:r>
      <w:r>
        <w:rPr>
          <w:rFonts w:ascii="Arial" w:hAnsi="Arial" w:cs="Arial"/>
        </w:rPr>
        <w:t xml:space="preserve"> (100 mg/dL) </w:t>
      </w:r>
      <w:r w:rsidRPr="0011246A">
        <w:rPr>
          <w:rFonts w:ascii="Arial" w:hAnsi="Arial" w:cs="Arial"/>
        </w:rPr>
        <w:t xml:space="preserve">or 1.8 mmol/L </w:t>
      </w:r>
      <w:r>
        <w:rPr>
          <w:rFonts w:ascii="Arial" w:hAnsi="Arial" w:cs="Arial"/>
        </w:rPr>
        <w:t xml:space="preserve">(70 mg/dL) </w:t>
      </w:r>
      <w:r w:rsidRPr="0011246A">
        <w:rPr>
          <w:rFonts w:ascii="Arial" w:hAnsi="Arial" w:cs="Arial"/>
        </w:rPr>
        <w:t>in individuals presenting with clinical ASCVD</w:t>
      </w:r>
      <w:r w:rsidRPr="008534B6">
        <w:rPr>
          <w:rFonts w:ascii="Arial" w:hAnsi="Arial" w:cs="Arial"/>
          <w:noProof/>
          <w:vertAlign w:val="superscript"/>
        </w:rPr>
        <w:t>1,3,5</w:t>
      </w:r>
      <w:r w:rsidRPr="0011246A">
        <w:rPr>
          <w:rFonts w:ascii="Arial" w:hAnsi="Arial" w:cs="Arial"/>
        </w:rPr>
        <w:t>. In an earlier cross sectional evaluation of 1,249 well-treated and monitored HeFH patients from the Netherlands, Pijlman et al</w:t>
      </w:r>
      <w:r>
        <w:rPr>
          <w:rFonts w:ascii="Arial" w:hAnsi="Arial" w:cs="Arial"/>
        </w:rPr>
        <w:t>.</w:t>
      </w:r>
      <w:r w:rsidRPr="00600E92">
        <w:rPr>
          <w:rFonts w:ascii="Arial" w:hAnsi="Arial" w:cs="Arial"/>
          <w:noProof/>
          <w:vertAlign w:val="superscript"/>
        </w:rPr>
        <w:t>43</w:t>
      </w:r>
      <w:r w:rsidRPr="0011246A">
        <w:rPr>
          <w:rFonts w:ascii="Arial" w:hAnsi="Arial" w:cs="Arial"/>
        </w:rPr>
        <w:t xml:space="preserve"> found that only 21% attained LDL-C levels &lt; 2.5 mmol/L</w:t>
      </w:r>
      <w:r>
        <w:rPr>
          <w:rFonts w:ascii="Arial" w:hAnsi="Arial" w:cs="Arial"/>
        </w:rPr>
        <w:t xml:space="preserve"> (100 mg/dL)</w:t>
      </w:r>
      <w:r w:rsidRPr="0011246A">
        <w:rPr>
          <w:rFonts w:ascii="Arial" w:hAnsi="Arial" w:cs="Arial"/>
        </w:rPr>
        <w:t>. More recently in the SAFEHEART Spanish FH cohort, Perez de Isla et al.</w:t>
      </w:r>
      <w:r w:rsidRPr="00600E92">
        <w:rPr>
          <w:rFonts w:ascii="Arial" w:hAnsi="Arial" w:cs="Arial"/>
          <w:noProof/>
          <w:vertAlign w:val="superscript"/>
        </w:rPr>
        <w:t>44</w:t>
      </w:r>
      <w:r w:rsidRPr="0011246A">
        <w:rPr>
          <w:rFonts w:ascii="Arial" w:hAnsi="Arial" w:cs="Arial"/>
        </w:rPr>
        <w:t xml:space="preserve"> found in 2,170 molecularly defined HeFH patients, </w:t>
      </w:r>
      <w:r w:rsidRPr="0011246A">
        <w:rPr>
          <w:rFonts w:ascii="Arial" w:hAnsi="Arial" w:cs="Arial"/>
          <w:lang w:val="en-GB"/>
        </w:rPr>
        <w:t>followed for an average of 5 years, that an LDL-C target &lt;2.5 mmol/L</w:t>
      </w:r>
      <w:r>
        <w:rPr>
          <w:rFonts w:ascii="Arial" w:hAnsi="Arial" w:cs="Arial"/>
          <w:lang w:val="en-GB"/>
        </w:rPr>
        <w:t xml:space="preserve"> (100 mg/dL)</w:t>
      </w:r>
      <w:r w:rsidRPr="0011246A">
        <w:rPr>
          <w:rFonts w:ascii="Arial" w:hAnsi="Arial" w:cs="Arial"/>
          <w:lang w:val="en-GB"/>
        </w:rPr>
        <w:t xml:space="preserve"> was reached in only 11.2% of patients. In that study, </w:t>
      </w:r>
      <w:r w:rsidRPr="0011246A">
        <w:rPr>
          <w:rFonts w:ascii="Arial" w:hAnsi="Arial" w:cs="Arial"/>
        </w:rPr>
        <w:t>72</w:t>
      </w:r>
      <w:r w:rsidRPr="0011246A">
        <w:rPr>
          <w:rFonts w:ascii="Arial" w:hAnsi="Arial" w:cs="Arial"/>
          <w:lang w:val="en-GB"/>
        </w:rPr>
        <w:t xml:space="preserve">% of FH cases were on maximum lipid lowering therapy defined as statin dose alone or combined with ezetimibe aiming to reduce LDL-C by at least 50%. </w:t>
      </w:r>
      <w:r w:rsidRPr="0011246A">
        <w:rPr>
          <w:rFonts w:ascii="Arial" w:hAnsi="Arial" w:cs="Arial"/>
        </w:rPr>
        <w:t xml:space="preserve"> Of those presenting previous ASCVD only 4.7% attained an LDL-C&lt; 1.8 mmol/L</w:t>
      </w:r>
      <w:r>
        <w:rPr>
          <w:rFonts w:ascii="Arial" w:hAnsi="Arial" w:cs="Arial"/>
        </w:rPr>
        <w:t xml:space="preserve"> (70 mg/dL)</w:t>
      </w:r>
      <w:r w:rsidRPr="0011246A">
        <w:rPr>
          <w:rFonts w:ascii="Arial" w:hAnsi="Arial" w:cs="Arial"/>
        </w:rPr>
        <w:t xml:space="preserve">. These results show the immense gap in controlling lipids in FH patients, particularly for secondary prevention of ASCVD. </w:t>
      </w:r>
    </w:p>
    <w:p w14:paraId="35B0D943" w14:textId="77777777" w:rsidR="00B175ED" w:rsidRPr="0011246A" w:rsidRDefault="00B175ED" w:rsidP="00D67CD2">
      <w:pPr>
        <w:spacing w:line="480" w:lineRule="auto"/>
        <w:ind w:left="-567"/>
        <w:rPr>
          <w:rFonts w:ascii="Arial" w:hAnsi="Arial" w:cs="Arial"/>
          <w:b/>
        </w:rPr>
      </w:pPr>
      <w:r w:rsidRPr="0011246A">
        <w:rPr>
          <w:rFonts w:ascii="Arial" w:hAnsi="Arial" w:cs="Arial"/>
          <w:b/>
        </w:rPr>
        <w:tab/>
      </w:r>
    </w:p>
    <w:p w14:paraId="5C8BB582" w14:textId="77777777" w:rsidR="00B175ED" w:rsidRPr="0011246A" w:rsidRDefault="00B175ED" w:rsidP="00D67CD2">
      <w:pPr>
        <w:spacing w:line="480" w:lineRule="auto"/>
        <w:ind w:left="-567"/>
        <w:rPr>
          <w:rFonts w:ascii="Arial" w:hAnsi="Arial" w:cs="Arial"/>
        </w:rPr>
      </w:pPr>
      <w:r w:rsidRPr="0011246A">
        <w:rPr>
          <w:rFonts w:ascii="Arial" w:hAnsi="Arial" w:cs="Arial"/>
          <w:b/>
        </w:rPr>
        <w:t xml:space="preserve">Genotype, LDL-cholesterol levels and risk discordance </w:t>
      </w:r>
    </w:p>
    <w:p w14:paraId="76BF11B7" w14:textId="77777777" w:rsidR="00B175ED" w:rsidRDefault="00B175ED" w:rsidP="00617001">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An elevated LDL-C level is the </w:t>
      </w:r>
      <w:r w:rsidRPr="0011246A">
        <w:rPr>
          <w:rFonts w:ascii="Arial" w:hAnsi="Arial" w:cs="Arial"/>
          <w:i/>
        </w:rPr>
        <w:t>sine qua non</w:t>
      </w:r>
      <w:r w:rsidRPr="0011246A">
        <w:rPr>
          <w:rFonts w:ascii="Arial" w:hAnsi="Arial" w:cs="Arial"/>
        </w:rPr>
        <w:t xml:space="preserve"> for the diagnosis of FH (e.g. &gt; 5 mmol/L</w:t>
      </w:r>
      <w:r>
        <w:rPr>
          <w:rFonts w:ascii="Arial" w:hAnsi="Arial" w:cs="Arial"/>
        </w:rPr>
        <w:t xml:space="preserve"> or 190 mg/dL</w:t>
      </w:r>
      <w:r w:rsidRPr="0011246A">
        <w:rPr>
          <w:rFonts w:ascii="Arial" w:hAnsi="Arial" w:cs="Arial"/>
        </w:rPr>
        <w:t xml:space="preserve"> for adults for HeFH), with increasing diagnostic confidence imparted by family history of hypercholesterolemia, personal or family history of premature ASCVD, and physical features, such as tendon xanthomas, arcus cornealis and xanthelasmas.</w:t>
      </w:r>
      <w:r w:rsidRPr="00600E92">
        <w:rPr>
          <w:rFonts w:ascii="Arial" w:hAnsi="Arial" w:cs="Arial"/>
          <w:noProof/>
          <w:vertAlign w:val="superscript"/>
        </w:rPr>
        <w:t>1,5,45</w:t>
      </w:r>
      <w:r w:rsidRPr="0011246A">
        <w:rPr>
          <w:rFonts w:ascii="Arial" w:hAnsi="Arial" w:cs="Arial"/>
        </w:rPr>
        <w:t xml:space="preserve">. </w:t>
      </w:r>
    </w:p>
    <w:p w14:paraId="1B17A35A" w14:textId="77777777" w:rsidR="00B175ED" w:rsidRPr="0011246A" w:rsidRDefault="00B175ED" w:rsidP="00617001">
      <w:pPr>
        <w:spacing w:after="240" w:line="480" w:lineRule="auto"/>
        <w:ind w:left="-567"/>
        <w:rPr>
          <w:rFonts w:ascii="Arial" w:hAnsi="Arial" w:cs="Arial"/>
        </w:rPr>
      </w:pPr>
      <w:r>
        <w:rPr>
          <w:rFonts w:ascii="Arial" w:hAnsi="Arial"/>
        </w:rPr>
        <w:t>Although future personalized medicine may profit from knowledge about the genomic background and detection of the pathogenic mutation supports family screening,</w:t>
      </w:r>
      <w:r>
        <w:rPr>
          <w:rFonts w:ascii="Arial" w:hAnsi="Arial" w:cs="Arial"/>
        </w:rPr>
        <w:t xml:space="preserve"> i</w:t>
      </w:r>
      <w:r w:rsidRPr="0011246A">
        <w:rPr>
          <w:rFonts w:ascii="Arial" w:hAnsi="Arial" w:cs="Arial"/>
        </w:rPr>
        <w:t xml:space="preserve">dentification of a causative gene variant is not essential for either diagnosis or treatment decisions, since as mentioned these are more appropriately guided by the LDL-C and not by the genotype.  More widespread use of genetic analysis to identify patients with FH has led to the discovery of a higher prevalence than expected of less severe forms of FH; </w:t>
      </w:r>
      <w:r w:rsidRPr="008534B6">
        <w:rPr>
          <w:rFonts w:ascii="Arial" w:hAnsi="Arial" w:cs="Arial"/>
          <w:noProof/>
          <w:vertAlign w:val="superscript"/>
        </w:rPr>
        <w:t>4,5,8</w:t>
      </w:r>
      <w:r w:rsidRPr="0011246A">
        <w:rPr>
          <w:rFonts w:ascii="Arial" w:hAnsi="Arial" w:cs="Arial"/>
        </w:rPr>
        <w:t xml:space="preserve"> with lower LDL-C levels</w:t>
      </w:r>
      <w:r>
        <w:rPr>
          <w:rFonts w:ascii="Arial" w:hAnsi="Arial" w:cs="Arial"/>
        </w:rPr>
        <w:t xml:space="preserve"> and </w:t>
      </w:r>
      <w:r w:rsidRPr="0011246A">
        <w:rPr>
          <w:rFonts w:ascii="Arial" w:hAnsi="Arial" w:cs="Arial"/>
        </w:rPr>
        <w:t xml:space="preserve">less apparent physical findings. Several factors confound the genotype-phenotype relationship in FH and make the simplistic distinction between HoFH and HeFH not adequate for risk management: 1) heterogeneity of monogenic etiologies; 2) heterogeneous variant classes; 3) polygenic effects; 4) gene-gene interactions; 5) gene-environment interactions; 6) modulatory roles for other unknown mendelian genes; and 7) non-mendelian genetic mechanisms including epigenetic effects.  </w:t>
      </w:r>
    </w:p>
    <w:p w14:paraId="74E26F8F" w14:textId="77777777" w:rsidR="00B175ED" w:rsidRPr="0011246A" w:rsidRDefault="00B175ED" w:rsidP="00D67CD2">
      <w:pPr>
        <w:spacing w:after="240" w:line="480" w:lineRule="auto"/>
        <w:ind w:left="-567"/>
        <w:rPr>
          <w:rFonts w:ascii="Arial" w:hAnsi="Arial" w:cs="Arial"/>
          <w:i/>
        </w:rPr>
      </w:pPr>
      <w:r w:rsidRPr="0011246A">
        <w:rPr>
          <w:rFonts w:ascii="Arial" w:hAnsi="Arial" w:cs="Arial"/>
          <w:i/>
        </w:rPr>
        <w:t xml:space="preserve">Locus and mutation type heterogeneity </w:t>
      </w:r>
    </w:p>
    <w:p w14:paraId="2DDEC62C"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It is well known that FH is typically inherited as a co-dominant autosomal disease caused by mutations within, in decreasing order of prevalence, the </w:t>
      </w:r>
      <w:r w:rsidRPr="0011246A">
        <w:rPr>
          <w:rFonts w:ascii="Arial" w:hAnsi="Arial" w:cs="Arial"/>
          <w:i/>
        </w:rPr>
        <w:t>LDLR</w:t>
      </w:r>
      <w:r w:rsidRPr="0011246A">
        <w:rPr>
          <w:rFonts w:ascii="Arial" w:hAnsi="Arial" w:cs="Arial"/>
        </w:rPr>
        <w:t xml:space="preserve">, </w:t>
      </w:r>
      <w:r w:rsidRPr="0011246A">
        <w:rPr>
          <w:rFonts w:ascii="Arial" w:hAnsi="Arial" w:cs="Arial"/>
          <w:i/>
        </w:rPr>
        <w:t>APOB</w:t>
      </w:r>
      <w:r w:rsidRPr="0011246A">
        <w:rPr>
          <w:rFonts w:ascii="Arial" w:hAnsi="Arial" w:cs="Arial"/>
        </w:rPr>
        <w:t xml:space="preserve"> and </w:t>
      </w:r>
      <w:r w:rsidRPr="0011246A">
        <w:rPr>
          <w:rFonts w:ascii="Arial" w:hAnsi="Arial" w:cs="Arial"/>
          <w:i/>
        </w:rPr>
        <w:t>PCSK9</w:t>
      </w:r>
      <w:r w:rsidRPr="0011246A">
        <w:rPr>
          <w:rFonts w:ascii="Arial" w:hAnsi="Arial" w:cs="Arial"/>
        </w:rPr>
        <w:t xml:space="preserve"> genes encoding the LDL receptor, apo B and PCSK9, respectively. </w:t>
      </w:r>
      <w:r w:rsidRPr="00600E92">
        <w:rPr>
          <w:rFonts w:ascii="Arial" w:hAnsi="Arial" w:cs="Arial"/>
          <w:noProof/>
          <w:vertAlign w:val="superscript"/>
        </w:rPr>
        <w:t>5,45</w:t>
      </w:r>
      <w:r w:rsidRPr="0011246A">
        <w:rPr>
          <w:rFonts w:ascii="Arial" w:hAnsi="Arial" w:cs="Arial"/>
        </w:rPr>
        <w:t xml:space="preserve">.  Next-generation sequencing has shown that the HeFH phenotype very occasionally results from dominant mutations in </w:t>
      </w:r>
      <w:r w:rsidRPr="0011246A">
        <w:rPr>
          <w:rFonts w:ascii="Arial" w:hAnsi="Arial" w:cs="Arial"/>
          <w:i/>
        </w:rPr>
        <w:t>APOE</w:t>
      </w:r>
      <w:r w:rsidRPr="0011246A">
        <w:rPr>
          <w:rFonts w:ascii="Arial" w:hAnsi="Arial" w:cs="Arial"/>
        </w:rPr>
        <w:t xml:space="preserve"> or </w:t>
      </w:r>
      <w:r w:rsidRPr="0011246A">
        <w:rPr>
          <w:rFonts w:ascii="Arial" w:hAnsi="Arial" w:cs="Arial"/>
          <w:i/>
        </w:rPr>
        <w:t>STAP1</w:t>
      </w:r>
      <w:r w:rsidRPr="0011246A">
        <w:rPr>
          <w:rFonts w:ascii="Arial" w:hAnsi="Arial" w:cs="Arial"/>
        </w:rPr>
        <w:t xml:space="preserve"> encoding apolipoprotein E, and signal transducing adapting family member 1, respectively. </w:t>
      </w:r>
      <w:r w:rsidRPr="008534B6">
        <w:rPr>
          <w:rFonts w:ascii="Arial" w:hAnsi="Arial" w:cs="Arial"/>
          <w:noProof/>
          <w:vertAlign w:val="superscript"/>
        </w:rPr>
        <w:t>4,5</w:t>
      </w:r>
      <w:r w:rsidRPr="0011246A">
        <w:rPr>
          <w:rFonts w:ascii="Arial" w:hAnsi="Arial" w:cs="Arial"/>
        </w:rPr>
        <w:t xml:space="preserve"> The </w:t>
      </w:r>
      <w:r w:rsidRPr="0011246A">
        <w:rPr>
          <w:rFonts w:ascii="Arial" w:hAnsi="Arial" w:cs="Arial"/>
          <w:i/>
        </w:rPr>
        <w:t>LDLR</w:t>
      </w:r>
      <w:r w:rsidRPr="0011246A">
        <w:rPr>
          <w:rFonts w:ascii="Arial" w:hAnsi="Arial" w:cs="Arial"/>
        </w:rPr>
        <w:t xml:space="preserve">, </w:t>
      </w:r>
      <w:r w:rsidRPr="0011246A">
        <w:rPr>
          <w:rFonts w:ascii="Arial" w:hAnsi="Arial" w:cs="Arial"/>
          <w:i/>
        </w:rPr>
        <w:t>APOB</w:t>
      </w:r>
      <w:r w:rsidRPr="0011246A">
        <w:rPr>
          <w:rFonts w:ascii="Arial" w:hAnsi="Arial" w:cs="Arial"/>
        </w:rPr>
        <w:t xml:space="preserve"> and </w:t>
      </w:r>
      <w:r w:rsidRPr="0011246A">
        <w:rPr>
          <w:rFonts w:ascii="Arial" w:hAnsi="Arial" w:cs="Arial"/>
          <w:i/>
        </w:rPr>
        <w:t>PCSK9</w:t>
      </w:r>
      <w:r w:rsidRPr="0011246A">
        <w:rPr>
          <w:rFonts w:ascii="Arial" w:hAnsi="Arial" w:cs="Arial"/>
        </w:rPr>
        <w:t xml:space="preserve"> co-dominant genes a</w:t>
      </w:r>
      <w:r>
        <w:rPr>
          <w:rFonts w:ascii="Arial" w:hAnsi="Arial" w:cs="Arial"/>
        </w:rPr>
        <w:t>lso underlie the HoFH phenotype when two mutations are inherited.</w:t>
      </w:r>
      <w:r w:rsidRPr="0011246A">
        <w:rPr>
          <w:rFonts w:ascii="Arial" w:hAnsi="Arial" w:cs="Arial"/>
        </w:rPr>
        <w:t xml:space="preserve"> </w:t>
      </w:r>
      <w:r w:rsidRPr="008534B6">
        <w:rPr>
          <w:rFonts w:ascii="Arial" w:hAnsi="Arial" w:cs="Arial"/>
          <w:noProof/>
          <w:vertAlign w:val="superscript"/>
        </w:rPr>
        <w:t>4</w:t>
      </w:r>
      <w:r w:rsidRPr="0011246A">
        <w:rPr>
          <w:rFonts w:ascii="Arial" w:hAnsi="Arial" w:cs="Arial"/>
        </w:rPr>
        <w:t xml:space="preserve"> Additionally, rare variants in </w:t>
      </w:r>
      <w:r w:rsidRPr="0011246A">
        <w:rPr>
          <w:rFonts w:ascii="Arial" w:hAnsi="Arial" w:cs="Arial"/>
          <w:i/>
        </w:rPr>
        <w:t>LDLRAP1</w:t>
      </w:r>
      <w:r w:rsidRPr="0011246A">
        <w:rPr>
          <w:rFonts w:ascii="Arial" w:hAnsi="Arial" w:cs="Arial"/>
        </w:rPr>
        <w:t xml:space="preserve"> encoding the LDLR adaptor protein 1 cause a purely autosomal recessive hypercholesterolemia (ARH), in which heterozygous parents are phenotypically normal. Recessive forms of hypercholesterolemia phenotypically similar to HoFH have been reported with certain rare mutations in </w:t>
      </w:r>
      <w:r w:rsidRPr="0011246A">
        <w:rPr>
          <w:rFonts w:ascii="Arial" w:hAnsi="Arial" w:cs="Arial"/>
          <w:i/>
        </w:rPr>
        <w:t>LIPA</w:t>
      </w:r>
      <w:r w:rsidRPr="0011246A">
        <w:rPr>
          <w:rFonts w:ascii="Arial" w:hAnsi="Arial" w:cs="Arial"/>
        </w:rPr>
        <w:t>, encoding lysosomal acid lipase, and ABCG5/G8, encoding sterolin-1 and sterolin-2</w:t>
      </w:r>
      <w:r>
        <w:rPr>
          <w:rFonts w:ascii="Arial" w:hAnsi="Arial" w:cs="Arial"/>
        </w:rPr>
        <w:t>. Homozygosity and compound heterozygosity for such mutations classically</w:t>
      </w:r>
      <w:r w:rsidRPr="0011246A">
        <w:rPr>
          <w:rFonts w:ascii="Arial" w:hAnsi="Arial" w:cs="Arial"/>
        </w:rPr>
        <w:t xml:space="preserve"> cause cholesterol ester storage disease (or Wolman disease) and sitosterolemia (or phytosterolemia), respectively</w:t>
      </w:r>
      <w:r w:rsidRPr="00D20EF4">
        <w:rPr>
          <w:rFonts w:ascii="Arial" w:hAnsi="Arial" w:cs="Arial"/>
          <w:noProof/>
          <w:vertAlign w:val="superscript"/>
        </w:rPr>
        <w:t>46</w:t>
      </w:r>
      <w:r w:rsidRPr="0011246A">
        <w:rPr>
          <w:rFonts w:ascii="Arial" w:hAnsi="Arial" w:cs="Arial"/>
        </w:rPr>
        <w:t>.</w:t>
      </w:r>
    </w:p>
    <w:p w14:paraId="56655E53"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It is also known that, for LDLR variants, clinical phenotype severity depends on residual LDL receptor activity. </w:t>
      </w:r>
      <w:r w:rsidRPr="00600E92">
        <w:rPr>
          <w:rFonts w:ascii="Arial" w:hAnsi="Arial" w:cs="Arial"/>
          <w:noProof/>
          <w:vertAlign w:val="superscript"/>
        </w:rPr>
        <w:t>5,45</w:t>
      </w:r>
      <w:r w:rsidRPr="0011246A">
        <w:rPr>
          <w:rFonts w:ascii="Arial" w:hAnsi="Arial" w:cs="Arial"/>
        </w:rPr>
        <w:t xml:space="preserve"> LDLR-negative or -null mutations are associated with &lt;2% activity of the receptors and LDLR-defective mutations are associated with 2-25% activity</w:t>
      </w:r>
      <w:r w:rsidRPr="00D20EF4">
        <w:rPr>
          <w:rFonts w:ascii="Arial" w:hAnsi="Arial" w:cs="Arial"/>
          <w:noProof/>
          <w:vertAlign w:val="superscript"/>
        </w:rPr>
        <w:t>4</w:t>
      </w:r>
      <w:r w:rsidRPr="0011246A">
        <w:rPr>
          <w:rFonts w:ascii="Arial" w:hAnsi="Arial" w:cs="Arial"/>
        </w:rPr>
        <w:t>.</w:t>
      </w:r>
    </w:p>
    <w:p w14:paraId="09E075EA"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Genetic heterogeneity in HoFH underlies phenotypic variability: LDLR-null HoFH patients have higher LDL-C levels and poorer clinical prognosis than LDLR-defective HoFH patients. </w:t>
      </w:r>
      <w:r w:rsidRPr="00D20EF4">
        <w:rPr>
          <w:rFonts w:ascii="Arial" w:hAnsi="Arial" w:cs="Arial"/>
          <w:noProof/>
          <w:vertAlign w:val="superscript"/>
        </w:rPr>
        <w:t>35,47</w:t>
      </w:r>
      <w:r w:rsidRPr="0011246A">
        <w:rPr>
          <w:rFonts w:ascii="Arial" w:hAnsi="Arial" w:cs="Arial"/>
        </w:rPr>
        <w:t xml:space="preserve"> Across the spectrum of "severe hypercholesterolemia", mean LDL-C follows a decreasing gradient according to genotype: homozygous LDLR-null &gt; compound heterozygous LDLR-null + LDLR-defective &gt; homozygous LDLR-defective or LDLRAP1 &gt; homozygous defective APOB or PCSK9 gain-of-function &gt; double heterozygote (e.g. LDLR + PCSK9 gain-of-function or defective APOB) &gt; HeFH (LDLR-null) &gt; HeFH (LDLR-defective)</w:t>
      </w:r>
      <w:r>
        <w:rPr>
          <w:rFonts w:ascii="Arial" w:hAnsi="Arial" w:cs="Arial"/>
        </w:rPr>
        <w:t>.</w:t>
      </w:r>
      <w:r w:rsidRPr="008534B6">
        <w:rPr>
          <w:rFonts w:ascii="Arial" w:hAnsi="Arial" w:cs="Arial"/>
          <w:noProof/>
          <w:vertAlign w:val="superscript"/>
        </w:rPr>
        <w:t>4</w:t>
      </w:r>
    </w:p>
    <w:p w14:paraId="03184ABC" w14:textId="77777777" w:rsidR="00B175ED" w:rsidRPr="0011246A" w:rsidRDefault="00B175ED" w:rsidP="00BC6151">
      <w:pPr>
        <w:spacing w:after="240" w:line="480" w:lineRule="auto"/>
        <w:ind w:left="-567"/>
        <w:rPr>
          <w:rFonts w:ascii="Arial" w:hAnsi="Arial" w:cs="Arial"/>
        </w:rPr>
      </w:pPr>
      <w:r>
        <w:rPr>
          <w:rFonts w:ascii="Arial" w:hAnsi="Arial" w:cs="Arial"/>
        </w:rPr>
        <w:t xml:space="preserve"> </w:t>
      </w:r>
      <w:r w:rsidRPr="0011246A">
        <w:rPr>
          <w:rFonts w:ascii="Arial" w:hAnsi="Arial" w:cs="Arial"/>
        </w:rPr>
        <w:t>Recent population-based molecular studies showed that only ~ 50% of carriers of two FH causative variants had LDL</w:t>
      </w:r>
      <w:r>
        <w:rPr>
          <w:rFonts w:ascii="Arial" w:hAnsi="Arial" w:cs="Arial"/>
        </w:rPr>
        <w:t>-C</w:t>
      </w:r>
      <w:r w:rsidRPr="0011246A">
        <w:rPr>
          <w:rFonts w:ascii="Arial" w:hAnsi="Arial" w:cs="Arial"/>
        </w:rPr>
        <w:t xml:space="preserve"> levels consistent with prior clinical diagnostic criteria for HoFH, i.e. &gt;13 mmol/L</w:t>
      </w:r>
      <w:r>
        <w:rPr>
          <w:rFonts w:ascii="Arial" w:hAnsi="Arial" w:cs="Arial"/>
        </w:rPr>
        <w:t xml:space="preserve"> (500 mg/dL) </w:t>
      </w:r>
      <w:r w:rsidRPr="008534B6">
        <w:rPr>
          <w:rFonts w:ascii="Arial" w:hAnsi="Arial" w:cs="Arial"/>
          <w:noProof/>
          <w:vertAlign w:val="superscript"/>
        </w:rPr>
        <w:t>4</w:t>
      </w:r>
      <w:r w:rsidRPr="00305485">
        <w:rPr>
          <w:rFonts w:ascii="Arial" w:hAnsi="Arial" w:cs="Arial"/>
          <w:vertAlign w:val="superscript"/>
        </w:rPr>
        <w:t>,</w:t>
      </w:r>
      <w:r w:rsidRPr="0011246A">
        <w:rPr>
          <w:rFonts w:ascii="Arial" w:hAnsi="Arial" w:cs="Arial"/>
        </w:rPr>
        <w:t xml:space="preserve"> </w:t>
      </w:r>
      <w:r w:rsidRPr="008534B6">
        <w:rPr>
          <w:rFonts w:ascii="Arial" w:hAnsi="Arial" w:cs="Arial"/>
          <w:noProof/>
          <w:vertAlign w:val="superscript"/>
        </w:rPr>
        <w:t>8</w:t>
      </w:r>
      <w:r>
        <w:rPr>
          <w:rFonts w:ascii="Arial" w:hAnsi="Arial" w:cs="Arial"/>
        </w:rPr>
        <w:t>.</w:t>
      </w:r>
      <w:r w:rsidRPr="0011246A">
        <w:rPr>
          <w:rFonts w:ascii="Arial" w:hAnsi="Arial" w:cs="Arial"/>
        </w:rPr>
        <w:t xml:space="preserve"> Remarkably, in many untreated carriers of two putative deleterious mutations, LDL-C levels were comparable to those generally observed in HeFH patients. </w:t>
      </w:r>
      <w:r w:rsidRPr="008534B6">
        <w:rPr>
          <w:rFonts w:ascii="Arial" w:hAnsi="Arial" w:cs="Arial"/>
          <w:noProof/>
          <w:vertAlign w:val="superscript"/>
        </w:rPr>
        <w:t>8</w:t>
      </w:r>
      <w:r w:rsidRPr="0011246A">
        <w:rPr>
          <w:rFonts w:ascii="Arial" w:hAnsi="Arial" w:cs="Arial"/>
        </w:rPr>
        <w:t xml:space="preserve"> The need for aggressive treatment - e.g. </w:t>
      </w:r>
      <w:r>
        <w:rPr>
          <w:rFonts w:ascii="Arial" w:hAnsi="Arial" w:cs="Arial"/>
        </w:rPr>
        <w:t xml:space="preserve"> lipoprotein </w:t>
      </w:r>
      <w:r w:rsidRPr="0011246A">
        <w:rPr>
          <w:rFonts w:ascii="Arial" w:hAnsi="Arial" w:cs="Arial"/>
        </w:rPr>
        <w:t xml:space="preserve"> apheresis, lomitapide, mipomersen or PCSK9 inhibition - in such cases depends on the LDL-C level, and not the molecular diagnosis.  For instance, a carrier of two genetic variants who has plasma LDL-C in the HeFH range could be treated as a heterozygote, even though molecularly s/he has HoFH. Conversely some patients with only one heterozygous mutation detected may present with LDL-C levels consistent with the HoFH phenotype.  Such genotype-phenotype discrepancies may be due to other factors beside the major locus effect </w:t>
      </w:r>
    </w:p>
    <w:p w14:paraId="55F7AEAA" w14:textId="77777777" w:rsidR="00B175ED" w:rsidRPr="0011246A" w:rsidRDefault="00B175ED" w:rsidP="00D67CD2">
      <w:pPr>
        <w:spacing w:after="240" w:line="480" w:lineRule="auto"/>
        <w:ind w:left="-567"/>
        <w:rPr>
          <w:rFonts w:ascii="Arial" w:hAnsi="Arial" w:cs="Arial"/>
          <w:i/>
        </w:rPr>
      </w:pPr>
      <w:r w:rsidRPr="0011246A">
        <w:rPr>
          <w:rFonts w:ascii="Arial" w:hAnsi="Arial" w:cs="Arial"/>
          <w:i/>
        </w:rPr>
        <w:t xml:space="preserve">Small-effect variants in </w:t>
      </w:r>
      <w:r>
        <w:rPr>
          <w:rFonts w:ascii="Arial" w:hAnsi="Arial" w:cs="Arial"/>
          <w:i/>
        </w:rPr>
        <w:t>hypercholesterolemia</w:t>
      </w:r>
    </w:p>
    <w:p w14:paraId="19F49B96"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Causative variants are not found by DNA sequencing in 20-40% of patients with a probable or definite clinical diagnosis of HeFH</w:t>
      </w:r>
      <w:r>
        <w:rPr>
          <w:rFonts w:ascii="Arial" w:hAnsi="Arial" w:cs="Arial"/>
        </w:rPr>
        <w:t xml:space="preserve"> according to clinical criteria</w:t>
      </w:r>
      <w:r w:rsidRPr="0011246A">
        <w:rPr>
          <w:rFonts w:ascii="Arial" w:hAnsi="Arial" w:cs="Arial"/>
        </w:rPr>
        <w:t>.</w:t>
      </w:r>
      <w:r w:rsidRPr="009B03AA">
        <w:rPr>
          <w:rFonts w:ascii="Arial" w:hAnsi="Arial" w:cs="Arial"/>
          <w:noProof/>
          <w:vertAlign w:val="superscript"/>
        </w:rPr>
        <w:t>15</w:t>
      </w:r>
      <w:r w:rsidRPr="0011246A">
        <w:rPr>
          <w:rFonts w:ascii="Arial" w:hAnsi="Arial" w:cs="Arial"/>
        </w:rPr>
        <w:t xml:space="preserve">  Some of the missing variability is now attributable to polygenic effects, quantifiable by polygenic risk scores for high LDL-C.</w:t>
      </w:r>
      <w:r w:rsidRPr="009B03AA">
        <w:rPr>
          <w:rFonts w:ascii="Arial" w:hAnsi="Arial" w:cs="Arial"/>
          <w:noProof/>
          <w:vertAlign w:val="superscript"/>
        </w:rPr>
        <w:t>15</w:t>
      </w:r>
      <w:r w:rsidRPr="0011246A">
        <w:rPr>
          <w:rFonts w:ascii="Arial" w:hAnsi="Arial" w:cs="Arial"/>
        </w:rPr>
        <w:t xml:space="preserve">  These scores are determined by tallying the patient’s burden of common LDL-C raising alleles from single nucleotide polymorphisms (SNPs) identified in GWASs of normolipidemic populations.  </w:t>
      </w:r>
    </w:p>
    <w:p w14:paraId="58017C38"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Some common small-effect loci are identical to large-effect monogenic FH loci, such as </w:t>
      </w:r>
      <w:r w:rsidRPr="0011246A">
        <w:rPr>
          <w:rFonts w:ascii="Arial" w:hAnsi="Arial" w:cs="Arial"/>
          <w:i/>
        </w:rPr>
        <w:t>LDLR</w:t>
      </w:r>
      <w:r w:rsidRPr="0011246A">
        <w:rPr>
          <w:rFonts w:ascii="Arial" w:hAnsi="Arial" w:cs="Arial"/>
        </w:rPr>
        <w:t xml:space="preserve">, </w:t>
      </w:r>
      <w:r w:rsidRPr="0011246A">
        <w:rPr>
          <w:rFonts w:ascii="Arial" w:hAnsi="Arial" w:cs="Arial"/>
          <w:i/>
        </w:rPr>
        <w:t>APOB</w:t>
      </w:r>
      <w:r w:rsidRPr="0011246A">
        <w:rPr>
          <w:rFonts w:ascii="Arial" w:hAnsi="Arial" w:cs="Arial"/>
        </w:rPr>
        <w:t xml:space="preserve">, </w:t>
      </w:r>
      <w:r w:rsidRPr="0011246A">
        <w:rPr>
          <w:rFonts w:ascii="Arial" w:hAnsi="Arial" w:cs="Arial"/>
          <w:i/>
        </w:rPr>
        <w:t>PCSK9</w:t>
      </w:r>
      <w:r w:rsidRPr="0011246A">
        <w:rPr>
          <w:rFonts w:ascii="Arial" w:hAnsi="Arial" w:cs="Arial"/>
        </w:rPr>
        <w:t xml:space="preserve"> and </w:t>
      </w:r>
      <w:r w:rsidRPr="0011246A">
        <w:rPr>
          <w:rFonts w:ascii="Arial" w:hAnsi="Arial" w:cs="Arial"/>
          <w:i/>
        </w:rPr>
        <w:t>ABCG5/8</w:t>
      </w:r>
      <w:r w:rsidRPr="0011246A">
        <w:rPr>
          <w:rFonts w:ascii="Arial" w:hAnsi="Arial" w:cs="Arial"/>
        </w:rPr>
        <w:t xml:space="preserve">. Other small-effect loci, such as </w:t>
      </w:r>
      <w:r w:rsidRPr="0011246A">
        <w:rPr>
          <w:rFonts w:ascii="Arial" w:hAnsi="Arial" w:cs="Arial"/>
          <w:i/>
        </w:rPr>
        <w:t>HMGCR</w:t>
      </w:r>
      <w:r w:rsidRPr="0011246A">
        <w:rPr>
          <w:rFonts w:ascii="Arial" w:hAnsi="Arial" w:cs="Arial"/>
        </w:rPr>
        <w:t xml:space="preserve"> encoding HMG-CoA reductase, make sense </w:t>
      </w:r>
      <w:r>
        <w:rPr>
          <w:rFonts w:ascii="Arial" w:hAnsi="Arial" w:cs="Arial"/>
        </w:rPr>
        <w:t>from a mechanistic perspective</w:t>
      </w:r>
      <w:r w:rsidRPr="0011246A">
        <w:rPr>
          <w:rFonts w:ascii="Arial" w:hAnsi="Arial" w:cs="Arial"/>
        </w:rPr>
        <w:t xml:space="preserve">.  Still others specify interesting new mechanisms, such as </w:t>
      </w:r>
      <w:r w:rsidRPr="0011246A">
        <w:rPr>
          <w:rFonts w:ascii="Arial" w:hAnsi="Arial" w:cs="Arial"/>
          <w:i/>
        </w:rPr>
        <w:t>SORT1</w:t>
      </w:r>
      <w:r w:rsidRPr="0011246A">
        <w:rPr>
          <w:rFonts w:ascii="Arial" w:hAnsi="Arial" w:cs="Arial"/>
        </w:rPr>
        <w:t xml:space="preserve"> encoding sortilin 1</w:t>
      </w:r>
      <w:r w:rsidRPr="009B03AA">
        <w:rPr>
          <w:rFonts w:ascii="Arial" w:hAnsi="Arial" w:cs="Arial"/>
          <w:noProof/>
          <w:vertAlign w:val="superscript"/>
        </w:rPr>
        <w:t>15</w:t>
      </w:r>
      <w:r w:rsidRPr="0011246A">
        <w:rPr>
          <w:rFonts w:ascii="Arial" w:hAnsi="Arial" w:cs="Arial"/>
        </w:rPr>
        <w:t xml:space="preserve">. Polygenic scores can be weighted according to effect sizes. </w:t>
      </w:r>
      <w:r w:rsidRPr="009B03AA">
        <w:rPr>
          <w:rFonts w:ascii="Arial" w:hAnsi="Arial" w:cs="Arial"/>
          <w:noProof/>
          <w:vertAlign w:val="superscript"/>
        </w:rPr>
        <w:t>15,16</w:t>
      </w:r>
      <w:r w:rsidRPr="0011246A">
        <w:rPr>
          <w:rFonts w:ascii="Arial" w:hAnsi="Arial" w:cs="Arial"/>
        </w:rPr>
        <w:t xml:space="preserve"> For instance, LDL-C is increased by ~0.25 mmol/L</w:t>
      </w:r>
      <w:r>
        <w:rPr>
          <w:rFonts w:ascii="Arial" w:hAnsi="Arial" w:cs="Arial"/>
        </w:rPr>
        <w:t xml:space="preserve"> (</w:t>
      </w:r>
      <w:r w:rsidRPr="0011246A">
        <w:rPr>
          <w:rFonts w:ascii="Arial" w:hAnsi="Arial" w:cs="Arial"/>
        </w:rPr>
        <w:t>~</w:t>
      </w:r>
      <w:r>
        <w:rPr>
          <w:rFonts w:ascii="Arial" w:hAnsi="Arial" w:cs="Arial"/>
        </w:rPr>
        <w:t>10 mg/dL)</w:t>
      </w:r>
      <w:r w:rsidRPr="0011246A">
        <w:rPr>
          <w:rFonts w:ascii="Arial" w:hAnsi="Arial" w:cs="Arial"/>
        </w:rPr>
        <w:t xml:space="preserve"> by common </w:t>
      </w:r>
      <w:r w:rsidRPr="0011246A">
        <w:rPr>
          <w:rFonts w:ascii="Arial" w:hAnsi="Arial" w:cs="Arial"/>
          <w:i/>
        </w:rPr>
        <w:t>LDLR</w:t>
      </w:r>
      <w:r w:rsidRPr="0011246A">
        <w:rPr>
          <w:rFonts w:ascii="Arial" w:hAnsi="Arial" w:cs="Arial"/>
        </w:rPr>
        <w:t xml:space="preserve"> and </w:t>
      </w:r>
      <w:r w:rsidRPr="0011246A">
        <w:rPr>
          <w:rFonts w:ascii="Arial" w:hAnsi="Arial" w:cs="Arial"/>
          <w:i/>
        </w:rPr>
        <w:t>APOE</w:t>
      </w:r>
      <w:r w:rsidRPr="0011246A">
        <w:rPr>
          <w:rFonts w:ascii="Arial" w:hAnsi="Arial" w:cs="Arial"/>
        </w:rPr>
        <w:t xml:space="preserve"> SNP alleles, but only by ~0.07 mmol/L </w:t>
      </w:r>
      <w:r>
        <w:rPr>
          <w:rFonts w:ascii="Arial" w:hAnsi="Arial" w:cs="Arial"/>
        </w:rPr>
        <w:t>(</w:t>
      </w:r>
      <w:r w:rsidRPr="0011246A">
        <w:rPr>
          <w:rFonts w:ascii="Arial" w:hAnsi="Arial" w:cs="Arial"/>
        </w:rPr>
        <w:t>~</w:t>
      </w:r>
      <w:r>
        <w:rPr>
          <w:rFonts w:ascii="Arial" w:hAnsi="Arial" w:cs="Arial"/>
        </w:rPr>
        <w:t xml:space="preserve">3 mg/dL) </w:t>
      </w:r>
      <w:r w:rsidRPr="0011246A">
        <w:rPr>
          <w:rFonts w:ascii="Arial" w:hAnsi="Arial" w:cs="Arial"/>
        </w:rPr>
        <w:t xml:space="preserve">by </w:t>
      </w:r>
      <w:r w:rsidRPr="0011246A">
        <w:rPr>
          <w:rFonts w:ascii="Arial" w:hAnsi="Arial" w:cs="Arial"/>
          <w:i/>
        </w:rPr>
        <w:t>PCSK9</w:t>
      </w:r>
      <w:r w:rsidRPr="0011246A">
        <w:rPr>
          <w:rFonts w:ascii="Arial" w:hAnsi="Arial" w:cs="Arial"/>
        </w:rPr>
        <w:t xml:space="preserve"> SNP alleles. A high polygenic genetic risk score explains some, but not all, of "HeFH" patients who lack a monogenic large-effect mutation. A high polygenic risk burden also likely worsens the phenotype in large-effect FH mutation carriers.  Interestingly, &gt; 95% of children and adolescents diagnosed clinically with FH carry a large-effect mutation in a canonical FH gene; polygenic effects are not demonstrable in this age group.</w:t>
      </w:r>
      <w:r w:rsidRPr="00D20EF4">
        <w:rPr>
          <w:rFonts w:ascii="Arial" w:hAnsi="Arial" w:cs="Arial"/>
          <w:noProof/>
          <w:vertAlign w:val="superscript"/>
        </w:rPr>
        <w:t>48</w:t>
      </w:r>
      <w:r w:rsidRPr="0011246A">
        <w:rPr>
          <w:rFonts w:ascii="Arial" w:hAnsi="Arial" w:cs="Arial"/>
        </w:rPr>
        <w:t xml:space="preserve">   </w:t>
      </w:r>
    </w:p>
    <w:p w14:paraId="4C07490F" w14:textId="77777777" w:rsidR="00B175ED" w:rsidRPr="0011246A" w:rsidRDefault="00B175ED" w:rsidP="00D67CD2">
      <w:pPr>
        <w:spacing w:after="240" w:line="480" w:lineRule="auto"/>
        <w:ind w:left="-567"/>
        <w:rPr>
          <w:rFonts w:ascii="Arial" w:hAnsi="Arial" w:cs="Arial"/>
          <w:i/>
        </w:rPr>
      </w:pPr>
      <w:r w:rsidRPr="0011246A">
        <w:rPr>
          <w:rFonts w:ascii="Arial" w:hAnsi="Arial" w:cs="Arial"/>
          <w:i/>
        </w:rPr>
        <w:t>Gene-gene and gene-environment interactions and epigenetic effects</w:t>
      </w:r>
    </w:p>
    <w:p w14:paraId="4E8AA0AF" w14:textId="77777777" w:rsidR="00B175ED" w:rsidRPr="0011246A" w:rsidRDefault="00B175ED" w:rsidP="00D67CD2">
      <w:pPr>
        <w:spacing w:after="240" w:line="480" w:lineRule="auto"/>
        <w:ind w:left="-567"/>
        <w:rPr>
          <w:rFonts w:ascii="Arial" w:hAnsi="Arial" w:cs="Arial"/>
        </w:rPr>
      </w:pPr>
      <w:r>
        <w:rPr>
          <w:rFonts w:ascii="Arial" w:hAnsi="Arial" w:cs="Arial"/>
        </w:rPr>
        <w:t xml:space="preserve">The severity of the </w:t>
      </w:r>
      <w:r w:rsidRPr="0011246A">
        <w:rPr>
          <w:rFonts w:ascii="Arial" w:hAnsi="Arial" w:cs="Arial"/>
        </w:rPr>
        <w:t>phenotype</w:t>
      </w:r>
      <w:r>
        <w:rPr>
          <w:rFonts w:ascii="Arial" w:hAnsi="Arial" w:cs="Arial"/>
        </w:rPr>
        <w:t xml:space="preserve"> </w:t>
      </w:r>
      <w:r w:rsidRPr="0011246A">
        <w:rPr>
          <w:rFonts w:ascii="Arial" w:hAnsi="Arial" w:cs="Arial"/>
        </w:rPr>
        <w:t xml:space="preserve">among carriers of the same variant can be modulated by variation at other loci.  For instance, the combined effect of single </w:t>
      </w:r>
      <w:r w:rsidRPr="0011246A">
        <w:rPr>
          <w:rFonts w:ascii="Arial" w:hAnsi="Arial" w:cs="Arial"/>
          <w:i/>
        </w:rPr>
        <w:t>LDLR</w:t>
      </w:r>
      <w:r w:rsidRPr="0011246A">
        <w:rPr>
          <w:rFonts w:ascii="Arial" w:hAnsi="Arial" w:cs="Arial"/>
        </w:rPr>
        <w:t xml:space="preserve"> and </w:t>
      </w:r>
      <w:r w:rsidRPr="0011246A">
        <w:rPr>
          <w:rFonts w:ascii="Arial" w:hAnsi="Arial" w:cs="Arial"/>
          <w:i/>
        </w:rPr>
        <w:t>APOB</w:t>
      </w:r>
      <w:r w:rsidRPr="0011246A">
        <w:rPr>
          <w:rFonts w:ascii="Arial" w:hAnsi="Arial" w:cs="Arial"/>
        </w:rPr>
        <w:t xml:space="preserve"> mutations produces a phenotype intermediate between HeFH and HoFH.</w:t>
      </w:r>
      <w:r w:rsidRPr="00D20EF4">
        <w:rPr>
          <w:rFonts w:ascii="Arial" w:hAnsi="Arial" w:cs="Arial"/>
          <w:noProof/>
          <w:vertAlign w:val="superscript"/>
        </w:rPr>
        <w:t>49</w:t>
      </w:r>
      <w:r w:rsidRPr="0011246A">
        <w:rPr>
          <w:rFonts w:ascii="Arial" w:hAnsi="Arial" w:cs="Arial"/>
        </w:rPr>
        <w:t xml:space="preserve">  Also, </w:t>
      </w:r>
      <w:r w:rsidRPr="0011246A">
        <w:rPr>
          <w:rFonts w:ascii="Arial" w:hAnsi="Arial" w:cs="Arial"/>
          <w:i/>
        </w:rPr>
        <w:t>APOE</w:t>
      </w:r>
      <w:r w:rsidRPr="0011246A">
        <w:rPr>
          <w:rFonts w:ascii="Arial" w:hAnsi="Arial" w:cs="Arial"/>
        </w:rPr>
        <w:t xml:space="preserve"> genotype can modulate phenotypic expression in carriers of the same HeFH mutation.</w:t>
      </w:r>
      <w:r w:rsidRPr="00D20EF4">
        <w:rPr>
          <w:rFonts w:ascii="Arial" w:hAnsi="Arial" w:cs="Arial"/>
          <w:noProof/>
          <w:vertAlign w:val="superscript"/>
        </w:rPr>
        <w:t>50</w:t>
      </w:r>
      <w:r w:rsidRPr="0011246A">
        <w:rPr>
          <w:rFonts w:ascii="Arial" w:hAnsi="Arial" w:cs="Arial"/>
        </w:rPr>
        <w:t xml:space="preserve"> In contrast, inheriting an </w:t>
      </w:r>
      <w:r w:rsidRPr="0011246A">
        <w:rPr>
          <w:rFonts w:ascii="Arial" w:hAnsi="Arial" w:cs="Arial"/>
          <w:i/>
        </w:rPr>
        <w:t>APOB</w:t>
      </w:r>
      <w:r w:rsidRPr="0011246A">
        <w:rPr>
          <w:rFonts w:ascii="Arial" w:hAnsi="Arial" w:cs="Arial"/>
        </w:rPr>
        <w:t xml:space="preserve"> hypobetalipoproteinemia mutation normalized the lipid profile in a subject with causative HeFH mutation in </w:t>
      </w:r>
      <w:r w:rsidRPr="0011246A">
        <w:rPr>
          <w:rFonts w:ascii="Arial" w:hAnsi="Arial" w:cs="Arial"/>
          <w:i/>
        </w:rPr>
        <w:t>LDLR</w:t>
      </w:r>
      <w:r w:rsidRPr="0011246A">
        <w:rPr>
          <w:rFonts w:ascii="Arial" w:hAnsi="Arial" w:cs="Arial"/>
        </w:rPr>
        <w:t xml:space="preserve">. </w:t>
      </w:r>
      <w:r w:rsidRPr="00D20EF4">
        <w:rPr>
          <w:rFonts w:ascii="Arial" w:hAnsi="Arial" w:cs="Arial"/>
          <w:noProof/>
          <w:vertAlign w:val="superscript"/>
        </w:rPr>
        <w:t>51</w:t>
      </w:r>
      <w:r w:rsidRPr="0011246A">
        <w:rPr>
          <w:rFonts w:ascii="Arial" w:hAnsi="Arial" w:cs="Arial"/>
        </w:rPr>
        <w:t xml:space="preserve"> In addition, the trend towards higher LDL-C levels among index cases of FH compared to more distant relatives suggests interaction with background polygenic or environmental effects. </w:t>
      </w:r>
      <w:r w:rsidRPr="00D20EF4">
        <w:rPr>
          <w:rFonts w:ascii="Arial" w:hAnsi="Arial" w:cs="Arial"/>
          <w:noProof/>
          <w:vertAlign w:val="superscript"/>
        </w:rPr>
        <w:t>52</w:t>
      </w:r>
      <w:r w:rsidRPr="0011246A">
        <w:rPr>
          <w:rFonts w:ascii="Arial" w:hAnsi="Arial" w:cs="Arial"/>
        </w:rPr>
        <w:t xml:space="preserve"> </w:t>
      </w:r>
    </w:p>
    <w:p w14:paraId="37434A6B"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Other examples of gene-environment interactions include variable risk of death among HeFH patients in multigenerational families. </w:t>
      </w:r>
      <w:r w:rsidRPr="00D20EF4">
        <w:rPr>
          <w:rFonts w:ascii="Arial" w:hAnsi="Arial" w:cs="Arial"/>
          <w:noProof/>
          <w:vertAlign w:val="superscript"/>
        </w:rPr>
        <w:t>53,54</w:t>
      </w:r>
      <w:r w:rsidRPr="0011246A">
        <w:rPr>
          <w:rFonts w:ascii="Arial" w:hAnsi="Arial" w:cs="Arial"/>
        </w:rPr>
        <w:t xml:space="preserve"> Such variability points to interactions with environmental factors; generational changes in activity level and dietary composition were considered to be the key modulatory influences. </w:t>
      </w:r>
      <w:r w:rsidRPr="00D20EF4">
        <w:rPr>
          <w:rFonts w:ascii="Arial" w:hAnsi="Arial" w:cs="Arial"/>
          <w:noProof/>
          <w:vertAlign w:val="superscript"/>
        </w:rPr>
        <w:t>53,54</w:t>
      </w:r>
      <w:r w:rsidRPr="0011246A">
        <w:rPr>
          <w:rFonts w:ascii="Arial" w:hAnsi="Arial" w:cs="Arial"/>
        </w:rPr>
        <w:t xml:space="preserve">. Finally, a HeFH patient had very low LDL-C levels due to chronic hepatitis C virus infection, providing a different mechanism for external modulation of the FH phenotype </w:t>
      </w:r>
      <w:r w:rsidRPr="00D20EF4">
        <w:rPr>
          <w:rFonts w:ascii="Arial" w:hAnsi="Arial" w:cs="Arial"/>
          <w:noProof/>
          <w:vertAlign w:val="superscript"/>
        </w:rPr>
        <w:t>55</w:t>
      </w:r>
      <w:r w:rsidRPr="0011246A">
        <w:rPr>
          <w:rFonts w:ascii="Arial" w:hAnsi="Arial" w:cs="Arial"/>
        </w:rPr>
        <w:t xml:space="preserve">.  Other possible sources of phenotypic variability in FH include epigenetic modifications, such as DNA methylation, which may be associated with perturbations of key lipoprotein metabolism genes and variable plasma lipid levels in carriers of identical HeFH mutations. </w:t>
      </w:r>
      <w:r w:rsidRPr="00D20EF4">
        <w:rPr>
          <w:rFonts w:ascii="Arial" w:hAnsi="Arial" w:cs="Arial"/>
          <w:noProof/>
          <w:vertAlign w:val="superscript"/>
        </w:rPr>
        <w:t>56</w:t>
      </w:r>
      <w:r w:rsidRPr="0011246A">
        <w:rPr>
          <w:rFonts w:ascii="Arial" w:hAnsi="Arial" w:cs="Arial"/>
        </w:rPr>
        <w:t xml:space="preserve"> </w:t>
      </w:r>
    </w:p>
    <w:p w14:paraId="2B8AB37A" w14:textId="77777777" w:rsidR="00B175ED" w:rsidRPr="0011246A" w:rsidRDefault="00B175ED" w:rsidP="00D67CD2">
      <w:pPr>
        <w:spacing w:after="240" w:line="480" w:lineRule="auto"/>
        <w:ind w:left="-567"/>
        <w:rPr>
          <w:rFonts w:ascii="Arial" w:hAnsi="Arial" w:cs="Arial"/>
          <w:i/>
        </w:rPr>
      </w:pPr>
      <w:r w:rsidRPr="0011246A">
        <w:rPr>
          <w:rFonts w:ascii="Arial" w:hAnsi="Arial" w:cs="Arial"/>
          <w:i/>
        </w:rPr>
        <w:t>Genotype-drug interactions</w:t>
      </w:r>
    </w:p>
    <w:p w14:paraId="0314298A" w14:textId="77777777" w:rsidR="00B175ED" w:rsidRPr="0011246A" w:rsidRDefault="00B175ED" w:rsidP="00D67CD2">
      <w:pPr>
        <w:spacing w:after="240" w:line="480" w:lineRule="auto"/>
        <w:ind w:left="-567"/>
        <w:rPr>
          <w:rFonts w:ascii="Arial" w:hAnsi="Arial" w:cs="Arial"/>
        </w:rPr>
      </w:pPr>
      <w:r>
        <w:rPr>
          <w:rFonts w:ascii="Arial" w:hAnsi="Arial" w:cs="Arial"/>
        </w:rPr>
        <w:t xml:space="preserve"> </w:t>
      </w:r>
      <w:r w:rsidRPr="0011246A">
        <w:rPr>
          <w:rFonts w:ascii="Arial" w:hAnsi="Arial" w:cs="Arial"/>
        </w:rPr>
        <w:t xml:space="preserve">LDL-C response to statin treatment is highly variable according to genotype status in FH. </w:t>
      </w:r>
      <w:r w:rsidRPr="00D20EF4">
        <w:rPr>
          <w:rFonts w:ascii="Arial" w:hAnsi="Arial" w:cs="Arial"/>
          <w:noProof/>
          <w:vertAlign w:val="superscript"/>
        </w:rPr>
        <w:t>57</w:t>
      </w:r>
      <w:r w:rsidRPr="0011246A">
        <w:rPr>
          <w:rFonts w:ascii="Arial" w:hAnsi="Arial" w:cs="Arial"/>
        </w:rPr>
        <w:t xml:space="preserve"> For instance, attainment of target LDL-C levels was greatest in HeFH patients with no mutation (presumed polygenic), intermediate in patients with LDLR-defective mutations and worst in patients with LDLR-null mutations, although the latter had </w:t>
      </w:r>
      <w:r w:rsidRPr="00C91B44">
        <w:rPr>
          <w:rFonts w:ascii="Arial" w:hAnsi="Arial" w:cs="Arial"/>
        </w:rPr>
        <w:t xml:space="preserve">the highest </w:t>
      </w:r>
      <w:r w:rsidRPr="00385C29">
        <w:rPr>
          <w:rFonts w:ascii="Arial" w:hAnsi="Arial" w:cs="Arial"/>
        </w:rPr>
        <w:t>baseline LDL-C levels.</w:t>
      </w:r>
      <w:r w:rsidRPr="0011246A">
        <w:rPr>
          <w:rFonts w:ascii="Arial" w:hAnsi="Arial" w:cs="Arial"/>
        </w:rPr>
        <w:t xml:space="preserve"> </w:t>
      </w:r>
      <w:r w:rsidRPr="00D20EF4">
        <w:rPr>
          <w:rFonts w:ascii="Arial" w:hAnsi="Arial" w:cs="Arial"/>
          <w:noProof/>
          <w:vertAlign w:val="superscript"/>
        </w:rPr>
        <w:t>58</w:t>
      </w:r>
      <w:r w:rsidRPr="0011246A">
        <w:rPr>
          <w:rFonts w:ascii="Arial" w:hAnsi="Arial" w:cs="Arial"/>
        </w:rPr>
        <w:t xml:space="preserve"> Other genetic determinants of response to statins have been reported. </w:t>
      </w:r>
      <w:r w:rsidRPr="00D20EF4">
        <w:rPr>
          <w:rFonts w:ascii="Arial" w:hAnsi="Arial" w:cs="Arial"/>
          <w:noProof/>
          <w:vertAlign w:val="superscript"/>
        </w:rPr>
        <w:t>59</w:t>
      </w:r>
      <w:r w:rsidRPr="0011246A">
        <w:rPr>
          <w:rFonts w:ascii="Arial" w:hAnsi="Arial" w:cs="Arial"/>
        </w:rPr>
        <w:t xml:space="preserve"> </w:t>
      </w:r>
    </w:p>
    <w:p w14:paraId="378A3AEC" w14:textId="77777777" w:rsidR="00B175ED" w:rsidRPr="0011246A" w:rsidRDefault="00B175ED" w:rsidP="00D67CD2">
      <w:pPr>
        <w:spacing w:after="240" w:line="480" w:lineRule="auto"/>
        <w:ind w:left="-567"/>
        <w:rPr>
          <w:rFonts w:ascii="Arial" w:hAnsi="Arial" w:cs="Arial"/>
        </w:rPr>
      </w:pPr>
      <w:r w:rsidRPr="0011246A">
        <w:rPr>
          <w:rFonts w:ascii="Arial" w:hAnsi="Arial" w:cs="Arial"/>
        </w:rPr>
        <w:t xml:space="preserve">Genetic factors also modulate the response to PCSK9 inhibitors.  Studies in HeFH patients who received alirocumab or evolocumab subcutaneously showed similar relative LDL-C reductions from baseline </w:t>
      </w:r>
      <w:r w:rsidRPr="003D036D">
        <w:rPr>
          <w:rFonts w:ascii="Arial" w:hAnsi="Arial" w:cs="Arial"/>
        </w:rPr>
        <w:t>as in non-FH patients</w:t>
      </w:r>
      <w:r w:rsidRPr="0011246A">
        <w:rPr>
          <w:rFonts w:ascii="Arial" w:hAnsi="Arial" w:cs="Arial"/>
        </w:rPr>
        <w:t xml:space="preserve">. </w:t>
      </w:r>
      <w:r w:rsidRPr="00600E92">
        <w:rPr>
          <w:rFonts w:ascii="Arial" w:hAnsi="Arial" w:cs="Arial"/>
          <w:noProof/>
          <w:vertAlign w:val="superscript"/>
        </w:rPr>
        <w:t>24</w:t>
      </w:r>
      <w:r w:rsidRPr="0011246A">
        <w:rPr>
          <w:rFonts w:ascii="Arial" w:hAnsi="Arial" w:cs="Arial"/>
        </w:rPr>
        <w:t xml:space="preserve"> HeFH patients with LDLR-null mutations responded equally well to evolocumab (~55% reductions in LDL-C) as those with either LDLR-defective </w:t>
      </w:r>
      <w:r w:rsidRPr="003D0778">
        <w:rPr>
          <w:rFonts w:ascii="Arial" w:hAnsi="Arial" w:cs="Arial"/>
        </w:rPr>
        <w:t>mutations or APOB mutations</w:t>
      </w:r>
      <w:r w:rsidRPr="003D0778">
        <w:rPr>
          <w:rFonts w:ascii="Arial" w:hAnsi="Arial" w:cs="Arial"/>
          <w:vertAlign w:val="superscript"/>
        </w:rPr>
        <w:t xml:space="preserve"> </w:t>
      </w:r>
      <w:r w:rsidRPr="00305485">
        <w:rPr>
          <w:rFonts w:ascii="Arial" w:hAnsi="Arial" w:cs="Arial"/>
          <w:noProof/>
          <w:vertAlign w:val="superscript"/>
        </w:rPr>
        <w:t>14</w:t>
      </w:r>
      <w:r w:rsidRPr="003D0778">
        <w:rPr>
          <w:rFonts w:ascii="Arial" w:hAnsi="Arial" w:cs="Arial"/>
        </w:rPr>
        <w:t>,</w:t>
      </w:r>
      <w:r>
        <w:rPr>
          <w:rFonts w:ascii="Arial" w:hAnsi="Arial" w:cs="Arial"/>
        </w:rPr>
        <w:t xml:space="preserve"> </w:t>
      </w:r>
      <w:r w:rsidRPr="0011246A">
        <w:rPr>
          <w:rFonts w:ascii="Arial" w:hAnsi="Arial" w:cs="Arial"/>
        </w:rPr>
        <w:t xml:space="preserve">suggesting that response depends mainly on upregulation of the normal LDLR allele, with the mutant receptor contributing negligibly. In contrast, in HoFH PCSK9 inhibitors had no effect on LDL-C in individuals with two LDLR-null alleles, but if at least one allele had residual LDLR activity, PCSK9 inhibitors lowered LDL cholesterol by ~ 35%. </w:t>
      </w:r>
      <w:r w:rsidRPr="00D20EF4">
        <w:rPr>
          <w:rFonts w:ascii="Arial" w:hAnsi="Arial" w:cs="Arial"/>
          <w:noProof/>
          <w:vertAlign w:val="superscript"/>
        </w:rPr>
        <w:t>60</w:t>
      </w:r>
      <w:r w:rsidRPr="0011246A">
        <w:rPr>
          <w:rFonts w:ascii="Arial" w:hAnsi="Arial" w:cs="Arial"/>
        </w:rPr>
        <w:t xml:space="preserve"> Thus, the genotype may predict response to PCSK9 inhibition in </w:t>
      </w:r>
      <w:r w:rsidRPr="00004D5A">
        <w:rPr>
          <w:rFonts w:ascii="Arial" w:hAnsi="Arial" w:cs="Arial"/>
        </w:rPr>
        <w:t>HoFH patients.</w:t>
      </w:r>
      <w:r w:rsidRPr="0011246A">
        <w:rPr>
          <w:rFonts w:ascii="Arial" w:hAnsi="Arial" w:cs="Arial"/>
        </w:rPr>
        <w:t xml:space="preserve"> </w:t>
      </w:r>
      <w:r w:rsidRPr="00D20EF4">
        <w:rPr>
          <w:rFonts w:ascii="Arial" w:hAnsi="Arial" w:cs="Arial"/>
          <w:noProof/>
          <w:vertAlign w:val="superscript"/>
        </w:rPr>
        <w:t>14,60</w:t>
      </w:r>
      <w:r w:rsidRPr="0011246A">
        <w:rPr>
          <w:rFonts w:ascii="Arial" w:hAnsi="Arial" w:cs="Arial"/>
        </w:rPr>
        <w:t xml:space="preserve">  </w:t>
      </w:r>
    </w:p>
    <w:p w14:paraId="4D033485" w14:textId="77777777" w:rsidR="00B175ED" w:rsidRPr="0011246A" w:rsidRDefault="00B175ED" w:rsidP="00D67CD2">
      <w:pPr>
        <w:spacing w:line="480" w:lineRule="auto"/>
        <w:ind w:left="-567"/>
        <w:rPr>
          <w:rFonts w:ascii="Arial" w:hAnsi="Arial" w:cs="Arial"/>
          <w:b/>
        </w:rPr>
      </w:pPr>
      <w:r w:rsidRPr="0011246A">
        <w:rPr>
          <w:rFonts w:ascii="Arial" w:hAnsi="Arial" w:cs="Arial"/>
          <w:b/>
        </w:rPr>
        <w:t>Cardiovascular risk hete</w:t>
      </w:r>
      <w:r>
        <w:rPr>
          <w:rFonts w:ascii="Arial" w:hAnsi="Arial" w:cs="Arial"/>
          <w:b/>
        </w:rPr>
        <w:t>rogeneity</w:t>
      </w:r>
      <w:r w:rsidRPr="0011246A">
        <w:rPr>
          <w:rFonts w:ascii="Arial" w:hAnsi="Arial" w:cs="Arial"/>
          <w:b/>
        </w:rPr>
        <w:t xml:space="preserve"> and stratification: defining the severe FH phenotype</w:t>
      </w:r>
    </w:p>
    <w:p w14:paraId="0F02B96C" w14:textId="77777777" w:rsidR="00B175ED" w:rsidRPr="0011246A" w:rsidRDefault="00B175ED" w:rsidP="00305485">
      <w:pPr>
        <w:spacing w:line="480" w:lineRule="auto"/>
        <w:ind w:left="-567"/>
        <w:rPr>
          <w:rFonts w:ascii="Arial" w:hAnsi="Arial" w:cs="Arial"/>
        </w:rPr>
      </w:pPr>
      <w:r>
        <w:rPr>
          <w:rFonts w:ascii="Arial" w:hAnsi="Arial" w:cs="Arial"/>
        </w:rPr>
        <w:t xml:space="preserve"> </w:t>
      </w:r>
      <w:r w:rsidRPr="0011246A">
        <w:rPr>
          <w:rFonts w:ascii="Arial" w:hAnsi="Arial" w:cs="Arial"/>
        </w:rPr>
        <w:t xml:space="preserve">FH patients with a history of an ASCVD event are at the highest risk for event recurrence and mortality. This was clearly shown </w:t>
      </w:r>
      <w:r>
        <w:rPr>
          <w:rFonts w:ascii="Arial" w:hAnsi="Arial" w:cs="Arial"/>
        </w:rPr>
        <w:t xml:space="preserve">by Neil et al. </w:t>
      </w:r>
      <w:r w:rsidRPr="00552312">
        <w:rPr>
          <w:rFonts w:ascii="Arial" w:hAnsi="Arial" w:cs="Arial"/>
          <w:noProof/>
          <w:vertAlign w:val="superscript"/>
        </w:rPr>
        <w:t>18</w:t>
      </w:r>
      <w:r w:rsidRPr="0011246A">
        <w:rPr>
          <w:rFonts w:ascii="Arial" w:hAnsi="Arial" w:cs="Arial"/>
        </w:rPr>
        <w:t xml:space="preserve"> in 3,382 HeFH patients from UK clinics followed for 26 years. Notwithstanding an overall reduction in coronary heart disease mortality by 37% with statin therapy, the excess standardized mortality ratio in secondary prevention patients was still four-fold higher compared to the general population. The benefit was half that encountered in treated FH patients in the context of primary prevention. This emphasizes the need for early diagnosis and intervention in FH, which is achievable with efficient cascade screening programs.</w:t>
      </w:r>
    </w:p>
    <w:p w14:paraId="7690154F" w14:textId="77777777" w:rsidR="00B175ED" w:rsidRDefault="00B175ED" w:rsidP="00305485">
      <w:pPr>
        <w:spacing w:line="480" w:lineRule="auto"/>
        <w:ind w:left="-567"/>
        <w:rPr>
          <w:rFonts w:ascii="Arial" w:hAnsi="Arial" w:cs="Arial"/>
        </w:rPr>
      </w:pPr>
    </w:p>
    <w:p w14:paraId="108E76EE" w14:textId="77777777" w:rsidR="00B175ED" w:rsidRPr="0011246A" w:rsidRDefault="00B175ED" w:rsidP="00305485">
      <w:pPr>
        <w:spacing w:line="480" w:lineRule="auto"/>
        <w:ind w:left="-567"/>
        <w:rPr>
          <w:rFonts w:ascii="Arial" w:hAnsi="Arial" w:cs="Arial"/>
        </w:rPr>
      </w:pPr>
      <w:r w:rsidRPr="0011246A">
        <w:rPr>
          <w:rFonts w:ascii="Arial" w:hAnsi="Arial" w:cs="Arial"/>
        </w:rPr>
        <w:t xml:space="preserve">Despite the elevated lifetime ASCVD risk in FH, the risk is heterogeneous in primary prevention </w:t>
      </w:r>
      <w:r w:rsidRPr="00600E92">
        <w:rPr>
          <w:rFonts w:ascii="Arial" w:hAnsi="Arial" w:cs="Arial"/>
          <w:noProof/>
          <w:vertAlign w:val="superscript"/>
        </w:rPr>
        <w:t>9,22,37</w:t>
      </w:r>
      <w:r w:rsidRPr="0011246A">
        <w:rPr>
          <w:rFonts w:ascii="Arial" w:hAnsi="Arial" w:cs="Arial"/>
        </w:rPr>
        <w:t xml:space="preserve">. This is true even among individuals with the same FH-causing mutation </w:t>
      </w:r>
      <w:r w:rsidRPr="00D20EF4">
        <w:rPr>
          <w:rFonts w:ascii="Arial" w:hAnsi="Arial" w:cs="Arial"/>
          <w:noProof/>
          <w:vertAlign w:val="superscript"/>
        </w:rPr>
        <w:t>61</w:t>
      </w:r>
      <w:r w:rsidRPr="0011246A">
        <w:rPr>
          <w:rFonts w:ascii="Arial" w:hAnsi="Arial" w:cs="Arial"/>
        </w:rPr>
        <w:t>. In addition to higher LDL-C levels and late onset or refractoriness to treatment, conventional risk factors explain</w:t>
      </w:r>
      <w:r>
        <w:rPr>
          <w:rFonts w:ascii="Arial" w:hAnsi="Arial" w:cs="Arial"/>
        </w:rPr>
        <w:t xml:space="preserve"> in part </w:t>
      </w:r>
      <w:r w:rsidRPr="0011246A">
        <w:rPr>
          <w:rFonts w:ascii="Arial" w:hAnsi="Arial" w:cs="Arial"/>
        </w:rPr>
        <w:t>this ASCVD risk heterogeneity</w:t>
      </w:r>
      <w:r w:rsidRPr="00D20EF4">
        <w:rPr>
          <w:rFonts w:ascii="Arial" w:hAnsi="Arial" w:cs="Arial"/>
          <w:noProof/>
          <w:vertAlign w:val="superscript"/>
        </w:rPr>
        <w:t>22,62-64</w:t>
      </w:r>
      <w:r w:rsidRPr="0011246A">
        <w:rPr>
          <w:rFonts w:ascii="Arial" w:hAnsi="Arial" w:cs="Arial"/>
        </w:rPr>
        <w:t xml:space="preserve">. </w:t>
      </w:r>
    </w:p>
    <w:p w14:paraId="44754C6C" w14:textId="77777777" w:rsidR="00B175ED" w:rsidRDefault="00B175ED" w:rsidP="00D67CD2">
      <w:pPr>
        <w:spacing w:line="480" w:lineRule="auto"/>
        <w:ind w:left="-567"/>
        <w:rPr>
          <w:rFonts w:ascii="Arial" w:hAnsi="Arial" w:cs="Arial"/>
          <w:i/>
        </w:rPr>
      </w:pPr>
    </w:p>
    <w:p w14:paraId="63019B68" w14:textId="77777777" w:rsidR="00B175ED" w:rsidRPr="0011246A" w:rsidRDefault="00B175ED" w:rsidP="00D67CD2">
      <w:pPr>
        <w:spacing w:line="480" w:lineRule="auto"/>
        <w:ind w:left="-567"/>
        <w:rPr>
          <w:rFonts w:ascii="Arial" w:hAnsi="Arial" w:cs="Arial"/>
        </w:rPr>
      </w:pPr>
      <w:r w:rsidRPr="0011246A">
        <w:rPr>
          <w:rFonts w:ascii="Arial" w:hAnsi="Arial" w:cs="Arial"/>
          <w:i/>
        </w:rPr>
        <w:t xml:space="preserve">Presence of risk conditions for atherosclerosis other than elevated LDL-C </w:t>
      </w:r>
    </w:p>
    <w:p w14:paraId="4FB3CC42" w14:textId="77777777" w:rsidR="00B175ED" w:rsidRPr="0011246A" w:rsidRDefault="00B175ED" w:rsidP="00D67CD2">
      <w:pPr>
        <w:spacing w:line="480" w:lineRule="auto"/>
        <w:ind w:left="-567"/>
        <w:rPr>
          <w:rFonts w:ascii="Arial" w:hAnsi="Arial" w:cs="Arial"/>
        </w:rPr>
      </w:pPr>
      <w:r>
        <w:rPr>
          <w:rFonts w:ascii="Arial" w:hAnsi="Arial" w:cs="Arial"/>
        </w:rPr>
        <w:t xml:space="preserve"> </w:t>
      </w:r>
      <w:r w:rsidRPr="0011246A">
        <w:rPr>
          <w:rFonts w:ascii="Arial" w:hAnsi="Arial" w:cs="Arial"/>
        </w:rPr>
        <w:t>Atherosclerosis is a multifactorial disease and risk conditions like onset of lipid lowering treatment &gt; 40 years of age, male sex, smoking, low HDL-cholesterol (&lt;1 mmol/L</w:t>
      </w:r>
      <w:r>
        <w:rPr>
          <w:rFonts w:ascii="Arial" w:hAnsi="Arial" w:cs="Arial"/>
        </w:rPr>
        <w:t xml:space="preserve"> or 40 mg/dL</w:t>
      </w:r>
      <w:r w:rsidRPr="0011246A">
        <w:rPr>
          <w:rFonts w:ascii="Arial" w:hAnsi="Arial" w:cs="Arial"/>
        </w:rPr>
        <w:t xml:space="preserve">), </w:t>
      </w:r>
      <w:r>
        <w:rPr>
          <w:rFonts w:ascii="Arial" w:hAnsi="Arial" w:cs="Arial"/>
        </w:rPr>
        <w:t xml:space="preserve">diabetes mellitus, </w:t>
      </w:r>
      <w:r w:rsidRPr="0011246A">
        <w:rPr>
          <w:rFonts w:ascii="Arial" w:hAnsi="Arial" w:cs="Arial"/>
        </w:rPr>
        <w:t>hypertension, family history of early ASCVD in first degree relatives (&lt; 55 years males and &lt; 60 years in females), body mass index &gt; 30 kg/m</w:t>
      </w:r>
      <w:r w:rsidRPr="0011246A">
        <w:rPr>
          <w:rFonts w:ascii="Arial" w:hAnsi="Arial" w:cs="Arial"/>
          <w:vertAlign w:val="superscript"/>
        </w:rPr>
        <w:t>2</w:t>
      </w:r>
      <w:r w:rsidRPr="0011246A">
        <w:rPr>
          <w:rFonts w:ascii="Arial" w:hAnsi="Arial" w:cs="Arial"/>
        </w:rPr>
        <w:t>, and chronic kidney disease (defined as an estimated glomerular filtration rare &lt; 60 ml/min/1.73 m</w:t>
      </w:r>
      <w:r w:rsidRPr="0011246A">
        <w:rPr>
          <w:rFonts w:ascii="Arial" w:hAnsi="Arial" w:cs="Arial"/>
          <w:vertAlign w:val="superscript"/>
        </w:rPr>
        <w:t>2</w:t>
      </w:r>
      <w:r w:rsidRPr="0011246A">
        <w:rPr>
          <w:rFonts w:ascii="Arial" w:hAnsi="Arial" w:cs="Arial"/>
        </w:rPr>
        <w:t xml:space="preserve">) are independently associated ASCVD risk in HeFH </w:t>
      </w:r>
      <w:r w:rsidRPr="00D20EF4">
        <w:rPr>
          <w:rFonts w:ascii="Arial" w:hAnsi="Arial" w:cs="Arial"/>
          <w:noProof/>
          <w:vertAlign w:val="superscript"/>
        </w:rPr>
        <w:t>22,62-65</w:t>
      </w:r>
      <w:r w:rsidRPr="0011246A">
        <w:rPr>
          <w:rFonts w:ascii="Arial" w:hAnsi="Arial" w:cs="Arial"/>
        </w:rPr>
        <w:t xml:space="preserve">. </w:t>
      </w:r>
    </w:p>
    <w:p w14:paraId="3FAFD3E6" w14:textId="77777777" w:rsidR="00B175ED" w:rsidRDefault="00B175ED" w:rsidP="00F51B9E">
      <w:pPr>
        <w:spacing w:line="480" w:lineRule="auto"/>
        <w:ind w:left="-567"/>
        <w:rPr>
          <w:rFonts w:ascii="Arial" w:hAnsi="Arial" w:cs="Arial"/>
        </w:rPr>
      </w:pPr>
      <w:r w:rsidRPr="0011246A">
        <w:rPr>
          <w:rFonts w:ascii="Arial" w:hAnsi="Arial" w:cs="Arial"/>
        </w:rPr>
        <w:t xml:space="preserve"> </w:t>
      </w:r>
    </w:p>
    <w:p w14:paraId="5760E2D0" w14:textId="77777777" w:rsidR="00B175ED" w:rsidRDefault="00B175ED" w:rsidP="00F51B9E">
      <w:pPr>
        <w:spacing w:line="480" w:lineRule="auto"/>
        <w:ind w:left="-567"/>
        <w:rPr>
          <w:rFonts w:ascii="Arial" w:hAnsi="Arial" w:cs="Arial"/>
          <w:i/>
        </w:rPr>
      </w:pPr>
      <w:r w:rsidRPr="0011246A">
        <w:rPr>
          <w:rFonts w:ascii="Arial" w:hAnsi="Arial" w:cs="Arial"/>
        </w:rPr>
        <w:t xml:space="preserve">Elevated plasma lipoprotein(a) [Lp(a)] concentrations seem to be particularly deleterious for FH patients </w:t>
      </w:r>
      <w:r w:rsidRPr="00D20EF4">
        <w:rPr>
          <w:rFonts w:ascii="Arial" w:hAnsi="Arial" w:cs="Arial"/>
          <w:noProof/>
          <w:vertAlign w:val="superscript"/>
        </w:rPr>
        <w:t>62-64,66</w:t>
      </w:r>
      <w:r w:rsidRPr="0011246A">
        <w:rPr>
          <w:rFonts w:ascii="Arial" w:hAnsi="Arial" w:cs="Arial"/>
        </w:rPr>
        <w:t xml:space="preserve">. High Lp(a) has been independently associated with coronary heart disease, ischemic stroke and aortic stenosis in meta-analysis of prospective studies </w:t>
      </w:r>
      <w:r w:rsidRPr="00D20EF4">
        <w:rPr>
          <w:rFonts w:ascii="Arial" w:hAnsi="Arial" w:cs="Arial"/>
          <w:noProof/>
          <w:vertAlign w:val="superscript"/>
        </w:rPr>
        <w:t>67</w:t>
      </w:r>
      <w:r w:rsidRPr="0011246A">
        <w:rPr>
          <w:rFonts w:ascii="Arial" w:hAnsi="Arial" w:cs="Arial"/>
        </w:rPr>
        <w:t>, GWAS</w:t>
      </w:r>
      <w:r w:rsidRPr="00D20EF4">
        <w:rPr>
          <w:rFonts w:ascii="Arial" w:hAnsi="Arial" w:cs="Arial"/>
          <w:noProof/>
          <w:vertAlign w:val="superscript"/>
        </w:rPr>
        <w:t>68</w:t>
      </w:r>
      <w:r w:rsidRPr="0011246A">
        <w:rPr>
          <w:rFonts w:ascii="Arial" w:hAnsi="Arial" w:cs="Arial"/>
        </w:rPr>
        <w:t xml:space="preserve"> and in mendelian</w:t>
      </w:r>
      <w:r w:rsidRPr="00D20EF4">
        <w:rPr>
          <w:rFonts w:ascii="Arial" w:hAnsi="Arial" w:cs="Arial"/>
          <w:noProof/>
          <w:vertAlign w:val="superscript"/>
        </w:rPr>
        <w:t>69</w:t>
      </w:r>
      <w:r w:rsidRPr="0011246A">
        <w:rPr>
          <w:rFonts w:ascii="Arial" w:hAnsi="Arial" w:cs="Arial"/>
        </w:rPr>
        <w:t xml:space="preserve"> randomization studies in the general population. Lp(a) is pro-atherogenic not only because it is a cholesterol-rich particle but also due to its pro-thrombotic and pro-inflammatory properties</w:t>
      </w:r>
      <w:r w:rsidRPr="00D20EF4">
        <w:rPr>
          <w:rFonts w:ascii="Arial" w:hAnsi="Arial" w:cs="Arial"/>
          <w:noProof/>
          <w:vertAlign w:val="superscript"/>
        </w:rPr>
        <w:t>70,71</w:t>
      </w:r>
      <w:r w:rsidRPr="0011246A">
        <w:rPr>
          <w:rFonts w:ascii="Arial" w:hAnsi="Arial" w:cs="Arial"/>
        </w:rPr>
        <w:t>.</w:t>
      </w:r>
      <w:r>
        <w:rPr>
          <w:rFonts w:ascii="Arial" w:hAnsi="Arial" w:cs="Arial"/>
        </w:rPr>
        <w:t xml:space="preserve"> </w:t>
      </w:r>
      <w:r w:rsidRPr="0011246A">
        <w:rPr>
          <w:rFonts w:ascii="Arial" w:hAnsi="Arial" w:cs="Arial"/>
        </w:rPr>
        <w:t xml:space="preserve">Lp(a) levels are elevated in FH in comparison with normolipidemic subjects </w:t>
      </w:r>
      <w:r w:rsidRPr="00D20EF4">
        <w:rPr>
          <w:rFonts w:ascii="Arial" w:hAnsi="Arial" w:cs="Arial"/>
          <w:noProof/>
          <w:vertAlign w:val="superscript"/>
        </w:rPr>
        <w:t>62,66,71</w:t>
      </w:r>
      <w:r w:rsidRPr="0011246A">
        <w:rPr>
          <w:rFonts w:ascii="Arial" w:hAnsi="Arial" w:cs="Arial"/>
        </w:rPr>
        <w:t xml:space="preserve">, and very high levels </w:t>
      </w:r>
      <w:r>
        <w:rPr>
          <w:rFonts w:ascii="Arial" w:hAnsi="Arial" w:cs="Arial"/>
        </w:rPr>
        <w:t>are seen</w:t>
      </w:r>
      <w:r w:rsidRPr="0011246A">
        <w:rPr>
          <w:rFonts w:ascii="Arial" w:hAnsi="Arial" w:cs="Arial"/>
        </w:rPr>
        <w:t xml:space="preserve"> usually in HoFH</w:t>
      </w:r>
      <w:r w:rsidRPr="00D20EF4">
        <w:rPr>
          <w:rFonts w:ascii="Arial" w:hAnsi="Arial" w:cs="Arial"/>
          <w:noProof/>
          <w:vertAlign w:val="superscript"/>
        </w:rPr>
        <w:t>71,72</w:t>
      </w:r>
      <w:r w:rsidRPr="0011246A">
        <w:rPr>
          <w:rFonts w:ascii="Arial" w:hAnsi="Arial" w:cs="Arial"/>
        </w:rPr>
        <w:t xml:space="preserve">. This finding is remarkable in the light of the lack of definitive evidence of a crucial role of the LDL receptor in Lp(a) plasma clearance </w:t>
      </w:r>
      <w:r w:rsidRPr="00D20EF4">
        <w:rPr>
          <w:rFonts w:ascii="Arial" w:hAnsi="Arial" w:cs="Arial"/>
          <w:noProof/>
          <w:vertAlign w:val="superscript"/>
        </w:rPr>
        <w:t>71,73</w:t>
      </w:r>
      <w:r w:rsidRPr="0011246A">
        <w:rPr>
          <w:rFonts w:ascii="Arial" w:hAnsi="Arial" w:cs="Arial"/>
        </w:rPr>
        <w:t xml:space="preserve">. Previous evidence associating Lp(a) with elevated ASCVD risk in FH </w:t>
      </w:r>
      <w:r w:rsidRPr="00D20EF4">
        <w:rPr>
          <w:rFonts w:ascii="Arial" w:hAnsi="Arial" w:cs="Arial"/>
          <w:noProof/>
          <w:vertAlign w:val="superscript"/>
        </w:rPr>
        <w:t>63,64,66</w:t>
      </w:r>
      <w:r w:rsidRPr="0011246A">
        <w:rPr>
          <w:rFonts w:ascii="Arial" w:hAnsi="Arial" w:cs="Arial"/>
        </w:rPr>
        <w:t xml:space="preserve"> has been subsequently supported by observations from the SAFEHEART cohort </w:t>
      </w:r>
      <w:r w:rsidRPr="00D20EF4">
        <w:rPr>
          <w:rFonts w:ascii="Arial" w:hAnsi="Arial" w:cs="Arial"/>
          <w:noProof/>
          <w:vertAlign w:val="superscript"/>
        </w:rPr>
        <w:t>62</w:t>
      </w:r>
      <w:r w:rsidRPr="0011246A">
        <w:rPr>
          <w:rFonts w:ascii="Arial" w:hAnsi="Arial" w:cs="Arial"/>
        </w:rPr>
        <w:t xml:space="preserve"> where Lp(a) levels  &gt; 50 mg/d</w:t>
      </w:r>
      <w:r>
        <w:rPr>
          <w:rFonts w:ascii="Arial" w:hAnsi="Arial" w:cs="Arial"/>
        </w:rPr>
        <w:t>L (</w:t>
      </w:r>
      <w:r w:rsidRPr="005C0756">
        <w:rPr>
          <w:rFonts w:ascii="Arial" w:hAnsi="Arial" w:cs="Arial"/>
        </w:rPr>
        <w:t>75 nmol/L</w:t>
      </w:r>
      <w:r>
        <w:rPr>
          <w:rFonts w:ascii="Arial" w:hAnsi="Arial" w:cs="Arial"/>
        </w:rPr>
        <w:t>)</w:t>
      </w:r>
      <w:r w:rsidRPr="0011246A">
        <w:rPr>
          <w:rFonts w:ascii="Arial" w:hAnsi="Arial" w:cs="Arial"/>
        </w:rPr>
        <w:t xml:space="preserve"> were found associated the onset of ASCVD. Moreover, in asymptomatic, statin-treated FH patients, high Lp(a) level was an independent risk of aortic valve calcification, pointing at potential additional cardiac disease outside the coronary problems in long-term treated patients</w:t>
      </w:r>
      <w:r w:rsidRPr="00D20EF4">
        <w:rPr>
          <w:rFonts w:ascii="Arial" w:hAnsi="Arial" w:cs="Arial"/>
          <w:noProof/>
          <w:vertAlign w:val="superscript"/>
        </w:rPr>
        <w:t>74</w:t>
      </w:r>
      <w:r w:rsidRPr="0011246A">
        <w:rPr>
          <w:rFonts w:ascii="Arial" w:hAnsi="Arial" w:cs="Arial"/>
        </w:rPr>
        <w:t xml:space="preserve">. </w:t>
      </w:r>
    </w:p>
    <w:p w14:paraId="3AEA319C" w14:textId="77777777" w:rsidR="00B175ED" w:rsidRDefault="00B175ED" w:rsidP="00D67CD2">
      <w:pPr>
        <w:spacing w:line="480" w:lineRule="auto"/>
        <w:ind w:left="-567"/>
        <w:rPr>
          <w:rFonts w:ascii="Arial" w:hAnsi="Arial" w:cs="Arial"/>
          <w:i/>
        </w:rPr>
      </w:pPr>
    </w:p>
    <w:p w14:paraId="457E04AA" w14:textId="77777777" w:rsidR="00B175ED" w:rsidRPr="0011246A" w:rsidRDefault="00B175ED" w:rsidP="00D67CD2">
      <w:pPr>
        <w:spacing w:line="480" w:lineRule="auto"/>
        <w:ind w:left="-567"/>
        <w:rPr>
          <w:rFonts w:ascii="Arial" w:hAnsi="Arial" w:cs="Arial"/>
        </w:rPr>
      </w:pPr>
      <w:r>
        <w:rPr>
          <w:rFonts w:ascii="Arial" w:hAnsi="Arial" w:cs="Arial"/>
          <w:i/>
        </w:rPr>
        <w:t xml:space="preserve">Advanced </w:t>
      </w:r>
      <w:r w:rsidRPr="0011246A">
        <w:rPr>
          <w:rFonts w:ascii="Arial" w:hAnsi="Arial" w:cs="Arial"/>
          <w:i/>
        </w:rPr>
        <w:t xml:space="preserve">subclinical coronary atherosclerosis burden </w:t>
      </w:r>
    </w:p>
    <w:p w14:paraId="0E85C32E" w14:textId="77777777" w:rsidR="00B175ED" w:rsidRPr="0011246A" w:rsidRDefault="00B175ED" w:rsidP="00D67CD2">
      <w:pPr>
        <w:spacing w:line="480" w:lineRule="auto"/>
        <w:ind w:left="-567"/>
        <w:rPr>
          <w:rFonts w:ascii="Arial" w:hAnsi="Arial" w:cs="Arial"/>
        </w:rPr>
      </w:pPr>
      <w:r>
        <w:rPr>
          <w:rFonts w:ascii="Arial" w:hAnsi="Arial" w:cs="Arial"/>
        </w:rPr>
        <w:t xml:space="preserve"> An advanced burden of </w:t>
      </w:r>
      <w:r w:rsidRPr="0011246A">
        <w:rPr>
          <w:rFonts w:ascii="Arial" w:hAnsi="Arial" w:cs="Arial"/>
        </w:rPr>
        <w:t xml:space="preserve">subclinical atherosclerosis in the coronary arteries is an independent marker of ASCVD </w:t>
      </w:r>
      <w:r>
        <w:rPr>
          <w:rFonts w:ascii="Arial" w:hAnsi="Arial" w:cs="Arial"/>
        </w:rPr>
        <w:t xml:space="preserve">risk </w:t>
      </w:r>
      <w:r w:rsidRPr="0011246A">
        <w:rPr>
          <w:rFonts w:ascii="Arial" w:hAnsi="Arial" w:cs="Arial"/>
        </w:rPr>
        <w:t>in the general population</w:t>
      </w:r>
      <w:r w:rsidRPr="0011246A">
        <w:rPr>
          <w:rFonts w:ascii="Arial" w:hAnsi="Arial" w:cs="Arial"/>
          <w:noProof/>
        </w:rPr>
        <w:t xml:space="preserve"> </w:t>
      </w:r>
      <w:r w:rsidRPr="00D20EF4">
        <w:rPr>
          <w:rFonts w:ascii="Arial" w:hAnsi="Arial" w:cs="Arial"/>
          <w:noProof/>
          <w:vertAlign w:val="superscript"/>
        </w:rPr>
        <w:t>19,20,75</w:t>
      </w:r>
      <w:r w:rsidRPr="0011246A">
        <w:rPr>
          <w:rFonts w:ascii="Arial" w:hAnsi="Arial" w:cs="Arial"/>
        </w:rPr>
        <w:t xml:space="preserve">. There is evidence from robust prospective studies that </w:t>
      </w:r>
      <w:r>
        <w:rPr>
          <w:rFonts w:ascii="Arial" w:hAnsi="Arial" w:cs="Arial"/>
        </w:rPr>
        <w:t>advanced</w:t>
      </w:r>
      <w:r w:rsidRPr="0011246A">
        <w:rPr>
          <w:rFonts w:ascii="Arial" w:hAnsi="Arial" w:cs="Arial"/>
        </w:rPr>
        <w:t xml:space="preserve"> coronary artery calcification detected by cardiac computed tomography, defined mainly as a coronary calcium score &gt;100 Agatston units, identifies individuals at high relative and absolute risk of coronary heart disease events and mortality </w:t>
      </w:r>
      <w:r w:rsidRPr="00D20EF4">
        <w:rPr>
          <w:rFonts w:ascii="Arial" w:hAnsi="Arial" w:cs="Arial"/>
          <w:noProof/>
          <w:vertAlign w:val="superscript"/>
        </w:rPr>
        <w:t>19,76</w:t>
      </w:r>
      <w:r w:rsidRPr="0011246A">
        <w:rPr>
          <w:rFonts w:ascii="Arial" w:hAnsi="Arial" w:cs="Arial"/>
        </w:rPr>
        <w:t>. Coronary calcium scores &gt; the 75</w:t>
      </w:r>
      <w:r w:rsidRPr="0011246A">
        <w:rPr>
          <w:rFonts w:ascii="Arial" w:hAnsi="Arial" w:cs="Arial"/>
          <w:vertAlign w:val="superscript"/>
        </w:rPr>
        <w:t>th</w:t>
      </w:r>
      <w:r>
        <w:rPr>
          <w:rFonts w:ascii="Arial" w:hAnsi="Arial" w:cs="Arial"/>
        </w:rPr>
        <w:t xml:space="preserve"> percentile</w:t>
      </w:r>
      <w:r w:rsidRPr="0011246A">
        <w:rPr>
          <w:rFonts w:ascii="Arial" w:hAnsi="Arial" w:cs="Arial"/>
        </w:rPr>
        <w:t xml:space="preserve"> for age and gender can also be used to identify individuals with an elevated atherosclerotic plaque burden</w:t>
      </w:r>
      <w:r>
        <w:rPr>
          <w:rFonts w:ascii="Arial" w:hAnsi="Arial" w:cs="Arial"/>
        </w:rPr>
        <w:t xml:space="preserve"> and increased higher ASCVD risk </w:t>
      </w:r>
      <w:r w:rsidRPr="00D20EF4">
        <w:rPr>
          <w:rFonts w:ascii="Arial" w:hAnsi="Arial" w:cs="Arial"/>
          <w:noProof/>
          <w:vertAlign w:val="superscript"/>
        </w:rPr>
        <w:t>77</w:t>
      </w:r>
      <w:r w:rsidRPr="0011246A">
        <w:rPr>
          <w:rFonts w:ascii="Arial" w:hAnsi="Arial" w:cs="Arial"/>
        </w:rPr>
        <w:t xml:space="preserve">. </w:t>
      </w:r>
    </w:p>
    <w:p w14:paraId="3C9D71E2" w14:textId="77777777" w:rsidR="00B175ED" w:rsidRDefault="00B175ED" w:rsidP="006D0E02">
      <w:pPr>
        <w:spacing w:line="480" w:lineRule="auto"/>
        <w:ind w:left="-567"/>
        <w:rPr>
          <w:rFonts w:ascii="Arial" w:hAnsi="Arial" w:cs="Arial"/>
        </w:rPr>
      </w:pPr>
    </w:p>
    <w:p w14:paraId="7F26D173" w14:textId="77777777" w:rsidR="00B175ED" w:rsidRPr="0011246A" w:rsidRDefault="00B175ED" w:rsidP="006D0E02">
      <w:pPr>
        <w:spacing w:line="480" w:lineRule="auto"/>
        <w:ind w:left="-567"/>
        <w:rPr>
          <w:rFonts w:ascii="Arial" w:hAnsi="Arial" w:cs="Arial"/>
        </w:rPr>
      </w:pPr>
      <w:r>
        <w:rPr>
          <w:rFonts w:ascii="Arial" w:hAnsi="Arial" w:cs="Arial"/>
        </w:rPr>
        <w:t xml:space="preserve"> </w:t>
      </w:r>
      <w:r w:rsidRPr="0011246A">
        <w:rPr>
          <w:rFonts w:ascii="Arial" w:hAnsi="Arial" w:cs="Arial"/>
        </w:rPr>
        <w:t xml:space="preserve">The presence of obstructive (&gt;50% luminal obstruction) </w:t>
      </w:r>
      <w:r>
        <w:rPr>
          <w:rFonts w:ascii="Arial" w:hAnsi="Arial" w:cs="Arial"/>
        </w:rPr>
        <w:t xml:space="preserve">in one vessel </w:t>
      </w:r>
      <w:r w:rsidRPr="0011246A">
        <w:rPr>
          <w:rFonts w:ascii="Arial" w:hAnsi="Arial" w:cs="Arial"/>
        </w:rPr>
        <w:t xml:space="preserve">or non-obstructive coronary plaques in </w:t>
      </w:r>
      <w:r>
        <w:rPr>
          <w:rFonts w:ascii="Arial" w:hAnsi="Arial" w:cs="Arial"/>
        </w:rPr>
        <w:t xml:space="preserve">at least two vessels </w:t>
      </w:r>
      <w:r w:rsidRPr="0011246A">
        <w:rPr>
          <w:rFonts w:ascii="Arial" w:hAnsi="Arial" w:cs="Arial"/>
        </w:rPr>
        <w:t>detected by cardiac computed tomography angiography also represent independent markers of death and myocardial infarction</w:t>
      </w:r>
      <w:r w:rsidRPr="00D20EF4">
        <w:rPr>
          <w:rFonts w:ascii="Arial" w:hAnsi="Arial" w:cs="Arial"/>
          <w:noProof/>
          <w:vertAlign w:val="superscript"/>
        </w:rPr>
        <w:t>20,78-80</w:t>
      </w:r>
      <w:r w:rsidRPr="0011246A">
        <w:rPr>
          <w:rFonts w:ascii="Arial" w:hAnsi="Arial" w:cs="Arial"/>
        </w:rPr>
        <w:t xml:space="preserve">. </w:t>
      </w:r>
    </w:p>
    <w:p w14:paraId="0F3E2DA1" w14:textId="77777777" w:rsidR="00B175ED" w:rsidRDefault="00B175ED" w:rsidP="00F51B9E">
      <w:pPr>
        <w:spacing w:line="480" w:lineRule="auto"/>
        <w:ind w:left="-567"/>
        <w:rPr>
          <w:rFonts w:ascii="Arial" w:hAnsi="Arial" w:cs="Arial"/>
        </w:rPr>
      </w:pPr>
    </w:p>
    <w:p w14:paraId="5F692EE9" w14:textId="77777777" w:rsidR="00B175ED" w:rsidRPr="0011246A" w:rsidRDefault="00B175ED" w:rsidP="00F51B9E">
      <w:pPr>
        <w:spacing w:line="480" w:lineRule="auto"/>
        <w:ind w:left="-567"/>
        <w:rPr>
          <w:rFonts w:ascii="Arial" w:hAnsi="Arial" w:cs="Arial"/>
        </w:rPr>
      </w:pPr>
      <w:r w:rsidRPr="0011246A">
        <w:rPr>
          <w:rFonts w:ascii="Arial" w:hAnsi="Arial" w:cs="Arial"/>
        </w:rPr>
        <w:t xml:space="preserve">Indeed </w:t>
      </w:r>
      <w:r>
        <w:rPr>
          <w:rFonts w:ascii="Arial" w:hAnsi="Arial" w:cs="Arial"/>
        </w:rPr>
        <w:t xml:space="preserve">advanced </w:t>
      </w:r>
      <w:r w:rsidRPr="0011246A">
        <w:rPr>
          <w:rFonts w:ascii="Arial" w:hAnsi="Arial" w:cs="Arial"/>
        </w:rPr>
        <w:t>subclinical atherosclerosis can be detected in FH patients cardiac computed tomography</w:t>
      </w:r>
      <w:r w:rsidRPr="00D20EF4">
        <w:rPr>
          <w:rFonts w:ascii="Arial" w:hAnsi="Arial" w:cs="Arial"/>
          <w:noProof/>
          <w:vertAlign w:val="superscript"/>
        </w:rPr>
        <w:t>81-84</w:t>
      </w:r>
      <w:r w:rsidRPr="0011246A">
        <w:rPr>
          <w:rFonts w:ascii="Arial" w:hAnsi="Arial" w:cs="Arial"/>
        </w:rPr>
        <w:t xml:space="preserve"> </w:t>
      </w:r>
      <w:r>
        <w:rPr>
          <w:rFonts w:ascii="Arial" w:hAnsi="Arial" w:cs="Arial"/>
        </w:rPr>
        <w:t xml:space="preserve">.Recently, </w:t>
      </w:r>
      <w:r w:rsidRPr="0011246A">
        <w:rPr>
          <w:rFonts w:ascii="Arial" w:hAnsi="Arial" w:cs="Arial"/>
        </w:rPr>
        <w:t>Tada et al</w:t>
      </w:r>
      <w:r>
        <w:rPr>
          <w:rFonts w:ascii="Arial" w:hAnsi="Arial" w:cs="Arial"/>
        </w:rPr>
        <w:t xml:space="preserve">. </w:t>
      </w:r>
      <w:r w:rsidRPr="00600E92">
        <w:rPr>
          <w:rFonts w:ascii="Arial" w:hAnsi="Arial" w:cs="Arial"/>
          <w:noProof/>
          <w:vertAlign w:val="superscript"/>
        </w:rPr>
        <w:t>21</w:t>
      </w:r>
      <w:r w:rsidRPr="0011246A">
        <w:rPr>
          <w:rFonts w:ascii="Arial" w:hAnsi="Arial" w:cs="Arial"/>
        </w:rPr>
        <w:t xml:space="preserve"> evaluated prospectively 101 molecularly defined HeFH individuals, of whom 65-70% took statins for 7 to 9 years. After a median 941 days of follow-up, 21 major atherosclerotic events had occurred</w:t>
      </w:r>
      <w:r>
        <w:rPr>
          <w:rFonts w:ascii="Arial" w:hAnsi="Arial" w:cs="Arial"/>
        </w:rPr>
        <w:t xml:space="preserve"> </w:t>
      </w:r>
      <w:r w:rsidRPr="0011246A">
        <w:rPr>
          <w:rFonts w:ascii="Arial" w:hAnsi="Arial" w:cs="Arial"/>
        </w:rPr>
        <w:t>and an elevated coronary atherosclerotic plaque score (hazard ratio 3.65; 95% CI 1.</w:t>
      </w:r>
      <w:r>
        <w:rPr>
          <w:rFonts w:ascii="Arial" w:hAnsi="Arial" w:cs="Arial"/>
        </w:rPr>
        <w:t>32 to 25.84) was</w:t>
      </w:r>
      <w:r w:rsidRPr="0011246A">
        <w:rPr>
          <w:rFonts w:ascii="Arial" w:hAnsi="Arial" w:cs="Arial"/>
        </w:rPr>
        <w:t xml:space="preserve"> independently associated with coronary events. </w:t>
      </w:r>
    </w:p>
    <w:p w14:paraId="61398E0A" w14:textId="77777777" w:rsidR="00B175ED" w:rsidRDefault="00B175ED" w:rsidP="00D67CD2">
      <w:pPr>
        <w:spacing w:line="480" w:lineRule="auto"/>
        <w:ind w:left="-567"/>
        <w:rPr>
          <w:rFonts w:ascii="Arial" w:hAnsi="Arial" w:cs="Arial"/>
        </w:rPr>
      </w:pPr>
    </w:p>
    <w:p w14:paraId="780AF6F6" w14:textId="77777777" w:rsidR="00B175ED" w:rsidRPr="0011246A" w:rsidRDefault="00B175ED" w:rsidP="00D67CD2">
      <w:pPr>
        <w:spacing w:line="480" w:lineRule="auto"/>
        <w:ind w:left="-567"/>
        <w:rPr>
          <w:rFonts w:ascii="Arial" w:hAnsi="Arial" w:cs="Arial"/>
        </w:rPr>
      </w:pPr>
      <w:r>
        <w:rPr>
          <w:rFonts w:ascii="Arial" w:hAnsi="Arial" w:cs="Arial"/>
        </w:rPr>
        <w:t xml:space="preserve"> Firm recommendations for </w:t>
      </w:r>
      <w:r w:rsidRPr="00E928F9">
        <w:rPr>
          <w:rFonts w:ascii="Arial" w:hAnsi="Arial" w:cs="Arial"/>
        </w:rPr>
        <w:t xml:space="preserve">the detection of </w:t>
      </w:r>
      <w:r>
        <w:rPr>
          <w:rFonts w:ascii="Arial" w:hAnsi="Arial" w:cs="Arial"/>
        </w:rPr>
        <w:t xml:space="preserve">advanced </w:t>
      </w:r>
      <w:r w:rsidRPr="00E928F9">
        <w:rPr>
          <w:rFonts w:ascii="Arial" w:hAnsi="Arial" w:cs="Arial"/>
        </w:rPr>
        <w:t xml:space="preserve">subclinical coronary atherosclerosis </w:t>
      </w:r>
      <w:r>
        <w:rPr>
          <w:rFonts w:ascii="Arial" w:hAnsi="Arial" w:cs="Arial"/>
        </w:rPr>
        <w:t>do not exist for either the general population or those with FH.  At one extreme, those with homozygous FH and LDL-C &gt; 10 mmol/L (400 mg/dL), often detected in childhood, require frequent monitoring for atherosclerosis</w:t>
      </w:r>
      <w:r w:rsidRPr="00002A46">
        <w:rPr>
          <w:rFonts w:ascii="Arial" w:hAnsi="Arial" w:cs="Arial"/>
          <w:noProof/>
          <w:vertAlign w:val="superscript"/>
        </w:rPr>
        <w:t>1,4</w:t>
      </w:r>
      <w:r>
        <w:rPr>
          <w:rFonts w:ascii="Arial" w:hAnsi="Arial" w:cs="Arial"/>
        </w:rPr>
        <w:t xml:space="preserve">. In others who meet the severe FH definition, subclinical atherosclerosis testing </w:t>
      </w:r>
      <w:r w:rsidRPr="00E928F9">
        <w:rPr>
          <w:rFonts w:ascii="Arial" w:hAnsi="Arial" w:cs="Arial"/>
        </w:rPr>
        <w:t xml:space="preserve">could help identify </w:t>
      </w:r>
      <w:r>
        <w:rPr>
          <w:rFonts w:ascii="Arial" w:hAnsi="Arial" w:cs="Arial"/>
        </w:rPr>
        <w:t xml:space="preserve">those with advanced atherosclerosis </w:t>
      </w:r>
      <w:r w:rsidRPr="00D20EF4">
        <w:rPr>
          <w:rFonts w:ascii="Arial" w:hAnsi="Arial" w:cs="Arial"/>
          <w:noProof/>
          <w:vertAlign w:val="superscript"/>
        </w:rPr>
        <w:t>75</w:t>
      </w:r>
      <w:r w:rsidRPr="00E928F9">
        <w:rPr>
          <w:rFonts w:ascii="Arial" w:hAnsi="Arial" w:cs="Arial"/>
        </w:rPr>
        <w:t xml:space="preserve"> for whom more intense lipid lowering treatment (LDL-C &lt;</w:t>
      </w:r>
      <w:r>
        <w:rPr>
          <w:rFonts w:ascii="Arial" w:hAnsi="Arial" w:cs="Arial"/>
        </w:rPr>
        <w:t>1.8</w:t>
      </w:r>
      <w:r w:rsidRPr="00E928F9">
        <w:rPr>
          <w:rFonts w:ascii="Arial" w:hAnsi="Arial" w:cs="Arial"/>
        </w:rPr>
        <w:t xml:space="preserve"> mmol/L</w:t>
      </w:r>
      <w:r>
        <w:rPr>
          <w:rFonts w:ascii="Arial" w:hAnsi="Arial" w:cs="Arial"/>
        </w:rPr>
        <w:t xml:space="preserve"> or &lt; 70 mg/dL</w:t>
      </w:r>
      <w:r w:rsidRPr="00E928F9">
        <w:rPr>
          <w:rFonts w:ascii="Arial" w:hAnsi="Arial" w:cs="Arial"/>
        </w:rPr>
        <w:t xml:space="preserve"> depending on treatment availability and toxicity) would be appropriate.</w:t>
      </w:r>
      <w:r w:rsidRPr="0011246A">
        <w:rPr>
          <w:rFonts w:ascii="Arial" w:hAnsi="Arial" w:cs="Arial"/>
        </w:rPr>
        <w:t xml:space="preserve"> </w:t>
      </w:r>
      <w:r>
        <w:rPr>
          <w:rFonts w:ascii="Arial" w:hAnsi="Arial" w:cs="Arial"/>
        </w:rPr>
        <w:t>Examples include those recognized in adulthood and thus untreated for many years and those with multiple ASCVD risk factors. A</w:t>
      </w:r>
      <w:r w:rsidRPr="0011246A">
        <w:rPr>
          <w:rFonts w:ascii="Arial" w:hAnsi="Arial" w:cs="Arial"/>
        </w:rPr>
        <w:t>bsence of subclinical disease should not preclude initiation of lipid-lowering treatment</w:t>
      </w:r>
      <w:r>
        <w:rPr>
          <w:rFonts w:ascii="Arial" w:hAnsi="Arial" w:cs="Arial"/>
        </w:rPr>
        <w:t>.</w:t>
      </w:r>
      <w:r w:rsidRPr="0011246A">
        <w:rPr>
          <w:rFonts w:ascii="Arial" w:hAnsi="Arial" w:cs="Arial"/>
        </w:rPr>
        <w:t xml:space="preserve"> </w:t>
      </w:r>
    </w:p>
    <w:p w14:paraId="57B139B2" w14:textId="77777777" w:rsidR="00B175ED" w:rsidRDefault="00B175ED" w:rsidP="00D67CD2">
      <w:pPr>
        <w:spacing w:line="480" w:lineRule="auto"/>
        <w:ind w:left="-567"/>
        <w:rPr>
          <w:rFonts w:ascii="Arial" w:hAnsi="Arial" w:cs="Arial"/>
          <w:i/>
        </w:rPr>
      </w:pPr>
    </w:p>
    <w:p w14:paraId="44FF4518" w14:textId="77777777" w:rsidR="00B175ED" w:rsidRPr="0011246A" w:rsidRDefault="00B175ED" w:rsidP="00D67CD2">
      <w:pPr>
        <w:spacing w:line="480" w:lineRule="auto"/>
        <w:ind w:left="-567"/>
        <w:rPr>
          <w:rFonts w:ascii="Arial" w:hAnsi="Arial" w:cs="Arial"/>
          <w:i/>
        </w:rPr>
      </w:pPr>
      <w:r w:rsidRPr="0011246A">
        <w:rPr>
          <w:rFonts w:ascii="Arial" w:hAnsi="Arial" w:cs="Arial"/>
          <w:i/>
        </w:rPr>
        <w:t xml:space="preserve">Risk stratification </w:t>
      </w:r>
    </w:p>
    <w:p w14:paraId="100A84FC" w14:textId="77777777" w:rsidR="00B175ED" w:rsidRPr="0011246A" w:rsidRDefault="00B175ED" w:rsidP="00307CA7">
      <w:pPr>
        <w:spacing w:line="480" w:lineRule="auto"/>
        <w:ind w:left="-567"/>
        <w:rPr>
          <w:rFonts w:ascii="Arial" w:hAnsi="Arial" w:cs="Arial"/>
        </w:rPr>
      </w:pPr>
      <w:r>
        <w:rPr>
          <w:rFonts w:ascii="Arial" w:hAnsi="Arial" w:cs="Arial"/>
        </w:rPr>
        <w:t xml:space="preserve"> Table 1</w:t>
      </w:r>
      <w:r w:rsidRPr="0011246A">
        <w:rPr>
          <w:rFonts w:ascii="Arial" w:hAnsi="Arial" w:cs="Arial"/>
        </w:rPr>
        <w:t xml:space="preserve"> depicts the proposed definition and lipid goals for patients with severe FH</w:t>
      </w:r>
      <w:r>
        <w:rPr>
          <w:rFonts w:ascii="Arial" w:hAnsi="Arial" w:cs="Arial"/>
        </w:rPr>
        <w:t>. Those with prevalent ASCVD have the highest risk</w:t>
      </w:r>
      <w:r w:rsidRPr="0011246A">
        <w:rPr>
          <w:rFonts w:ascii="Arial" w:hAnsi="Arial" w:cs="Arial"/>
        </w:rPr>
        <w:t xml:space="preserve">. </w:t>
      </w:r>
      <w:r>
        <w:rPr>
          <w:rFonts w:ascii="Arial" w:hAnsi="Arial" w:cs="Arial"/>
        </w:rPr>
        <w:t>D</w:t>
      </w:r>
      <w:r w:rsidRPr="0011246A">
        <w:rPr>
          <w:rFonts w:ascii="Arial" w:hAnsi="Arial" w:cs="Arial"/>
        </w:rPr>
        <w:t xml:space="preserve">etection of </w:t>
      </w:r>
      <w:r>
        <w:rPr>
          <w:rFonts w:ascii="Arial" w:hAnsi="Arial" w:cs="Arial"/>
        </w:rPr>
        <w:t xml:space="preserve">advanced </w:t>
      </w:r>
      <w:r w:rsidRPr="0011246A">
        <w:rPr>
          <w:rFonts w:ascii="Arial" w:hAnsi="Arial" w:cs="Arial"/>
        </w:rPr>
        <w:t>subclinical atherosclerosis, depending on availability of such testing, indicates the need for more intensive LDL-C lowering therapy.</w:t>
      </w:r>
      <w:r>
        <w:rPr>
          <w:rFonts w:ascii="Arial" w:hAnsi="Arial" w:cs="Arial"/>
        </w:rPr>
        <w:t xml:space="preserve"> </w:t>
      </w:r>
      <w:r w:rsidRPr="0011246A">
        <w:rPr>
          <w:rFonts w:ascii="Arial" w:hAnsi="Arial" w:cs="Arial"/>
        </w:rPr>
        <w:t xml:space="preserve">Advanced subclinical atherosclerosis is defined as </w:t>
      </w:r>
      <w:r>
        <w:rPr>
          <w:rFonts w:ascii="Arial" w:hAnsi="Arial" w:cs="Arial"/>
        </w:rPr>
        <w:t xml:space="preserve">an elevated burden of </w:t>
      </w:r>
      <w:r w:rsidRPr="0011246A">
        <w:rPr>
          <w:rFonts w:ascii="Arial" w:hAnsi="Arial" w:cs="Arial"/>
        </w:rPr>
        <w:t xml:space="preserve">subclinical atherosclerosis detected in </w:t>
      </w:r>
      <w:r>
        <w:rPr>
          <w:rFonts w:ascii="Arial" w:hAnsi="Arial" w:cs="Arial"/>
        </w:rPr>
        <w:t xml:space="preserve">the </w:t>
      </w:r>
      <w:r w:rsidRPr="0011246A">
        <w:rPr>
          <w:rFonts w:ascii="Arial" w:hAnsi="Arial" w:cs="Arial"/>
        </w:rPr>
        <w:t>coronary</w:t>
      </w:r>
      <w:r>
        <w:rPr>
          <w:rFonts w:ascii="Arial" w:hAnsi="Arial" w:cs="Arial"/>
        </w:rPr>
        <w:t xml:space="preserve"> arteries as shown in Table 1</w:t>
      </w:r>
      <w:r w:rsidRPr="0011246A">
        <w:rPr>
          <w:rFonts w:ascii="Arial" w:hAnsi="Arial" w:cs="Arial"/>
        </w:rPr>
        <w:t xml:space="preserve">. </w:t>
      </w:r>
      <w:r>
        <w:rPr>
          <w:rFonts w:ascii="Arial" w:hAnsi="Arial" w:cs="Arial"/>
        </w:rPr>
        <w:t>In the absence of ASCVD</w:t>
      </w:r>
      <w:r w:rsidRPr="009861E1">
        <w:rPr>
          <w:rFonts w:ascii="Arial" w:hAnsi="Arial" w:cs="Arial"/>
          <w:noProof/>
          <w:vertAlign w:val="superscript"/>
        </w:rPr>
        <w:t>18</w:t>
      </w:r>
      <w:r>
        <w:rPr>
          <w:rFonts w:ascii="Arial" w:hAnsi="Arial" w:cs="Arial"/>
        </w:rPr>
        <w:t xml:space="preserve"> or subclinical atherosclerosis</w:t>
      </w:r>
      <w:r w:rsidRPr="00C95C75">
        <w:rPr>
          <w:rFonts w:ascii="Arial" w:hAnsi="Arial" w:cs="Arial"/>
          <w:noProof/>
          <w:vertAlign w:val="superscript"/>
        </w:rPr>
        <w:t>20,21,79,85</w:t>
      </w:r>
      <w:r>
        <w:rPr>
          <w:rFonts w:ascii="Arial" w:hAnsi="Arial" w:cs="Arial"/>
        </w:rPr>
        <w:t xml:space="preserve">, </w:t>
      </w:r>
      <w:r w:rsidRPr="0011246A">
        <w:rPr>
          <w:rFonts w:ascii="Arial" w:hAnsi="Arial" w:cs="Arial"/>
        </w:rPr>
        <w:t>LDL-C is the greatest driver of ASCVD onset</w:t>
      </w:r>
      <w:r w:rsidRPr="00C95C75">
        <w:rPr>
          <w:rFonts w:ascii="Arial" w:hAnsi="Arial" w:cs="Arial"/>
          <w:noProof/>
          <w:vertAlign w:val="superscript"/>
        </w:rPr>
        <w:t>22</w:t>
      </w:r>
      <w:r>
        <w:rPr>
          <w:rFonts w:ascii="Arial" w:hAnsi="Arial" w:cs="Arial"/>
        </w:rPr>
        <w:t xml:space="preserve">. Risk factors </w:t>
      </w:r>
      <w:r w:rsidRPr="0011246A">
        <w:rPr>
          <w:rFonts w:ascii="Arial" w:hAnsi="Arial" w:cs="Arial"/>
        </w:rPr>
        <w:t>are additive</w:t>
      </w:r>
      <w:r>
        <w:rPr>
          <w:rFonts w:ascii="Arial" w:hAnsi="Arial" w:cs="Arial"/>
        </w:rPr>
        <w:t xml:space="preserve"> thus the risk needs to be </w:t>
      </w:r>
      <w:r w:rsidRPr="0011246A">
        <w:rPr>
          <w:rFonts w:ascii="Arial" w:hAnsi="Arial" w:cs="Arial"/>
        </w:rPr>
        <w:t xml:space="preserve">stratified </w:t>
      </w:r>
      <w:r>
        <w:rPr>
          <w:rFonts w:ascii="Arial" w:hAnsi="Arial" w:cs="Arial"/>
        </w:rPr>
        <w:t>according to LDL-C thresholds</w:t>
      </w:r>
      <w:r w:rsidRPr="0011246A">
        <w:rPr>
          <w:rFonts w:ascii="Arial" w:hAnsi="Arial" w:cs="Arial"/>
        </w:rPr>
        <w:t xml:space="preserve"> and </w:t>
      </w:r>
      <w:r>
        <w:rPr>
          <w:rFonts w:ascii="Arial" w:hAnsi="Arial" w:cs="Arial"/>
        </w:rPr>
        <w:t xml:space="preserve">a </w:t>
      </w:r>
      <w:r w:rsidRPr="0011246A">
        <w:rPr>
          <w:rFonts w:ascii="Arial" w:hAnsi="Arial" w:cs="Arial"/>
        </w:rPr>
        <w:t>concomitant risk condition algorithm.</w:t>
      </w:r>
      <w:r>
        <w:rPr>
          <w:rFonts w:ascii="Arial" w:hAnsi="Arial" w:cs="Arial"/>
        </w:rPr>
        <w:t xml:space="preserve"> T</w:t>
      </w:r>
      <w:r w:rsidRPr="0011246A">
        <w:rPr>
          <w:rFonts w:ascii="Arial" w:hAnsi="Arial" w:cs="Arial"/>
        </w:rPr>
        <w:t xml:space="preserve">hree LDL-C values were chosen </w:t>
      </w:r>
      <w:r>
        <w:rPr>
          <w:rFonts w:ascii="Arial" w:hAnsi="Arial" w:cs="Arial"/>
        </w:rPr>
        <w:t>to identify a severe FH patient</w:t>
      </w:r>
      <w:r w:rsidRPr="0011246A">
        <w:rPr>
          <w:rFonts w:ascii="Arial" w:hAnsi="Arial" w:cs="Arial"/>
        </w:rPr>
        <w:t>: LDL-C &gt;10 mmol/L</w:t>
      </w:r>
      <w:r>
        <w:rPr>
          <w:rFonts w:ascii="Arial" w:hAnsi="Arial" w:cs="Arial"/>
        </w:rPr>
        <w:t xml:space="preserve"> (400 mg/dL)</w:t>
      </w:r>
      <w:r w:rsidRPr="0011246A">
        <w:rPr>
          <w:rFonts w:ascii="Arial" w:hAnsi="Arial" w:cs="Arial"/>
        </w:rPr>
        <w:t xml:space="preserve">, LDL-C&gt; </w:t>
      </w:r>
      <w:r>
        <w:rPr>
          <w:rFonts w:ascii="Arial" w:hAnsi="Arial" w:cs="Arial"/>
        </w:rPr>
        <w:t xml:space="preserve">8.0 </w:t>
      </w:r>
      <w:r w:rsidRPr="0011246A">
        <w:rPr>
          <w:rFonts w:ascii="Arial" w:hAnsi="Arial" w:cs="Arial"/>
        </w:rPr>
        <w:t xml:space="preserve">mmol/L </w:t>
      </w:r>
      <w:r>
        <w:rPr>
          <w:rFonts w:ascii="Arial" w:hAnsi="Arial" w:cs="Arial"/>
        </w:rPr>
        <w:t xml:space="preserve">(310 mg/dL) </w:t>
      </w:r>
      <w:r w:rsidRPr="0011246A">
        <w:rPr>
          <w:rFonts w:ascii="Arial" w:hAnsi="Arial" w:cs="Arial"/>
        </w:rPr>
        <w:t xml:space="preserve">+ one high-risk condition and LDL-C &gt; 5 mmol/L </w:t>
      </w:r>
      <w:r>
        <w:rPr>
          <w:rFonts w:ascii="Arial" w:hAnsi="Arial" w:cs="Arial"/>
        </w:rPr>
        <w:t xml:space="preserve">(190 mg/dL) </w:t>
      </w:r>
      <w:r w:rsidRPr="0011246A">
        <w:rPr>
          <w:rFonts w:ascii="Arial" w:hAnsi="Arial" w:cs="Arial"/>
        </w:rPr>
        <w:t xml:space="preserve">+ two high-risk conditions. </w:t>
      </w:r>
      <w:r>
        <w:rPr>
          <w:rFonts w:ascii="Arial" w:hAnsi="Arial" w:cs="Arial"/>
        </w:rPr>
        <w:t xml:space="preserve"> These criteria were chosen based on the previously discussed clinical epidemiology and also considering the possible additive costs of newer treatments. </w:t>
      </w:r>
    </w:p>
    <w:p w14:paraId="7E9C7429" w14:textId="77777777" w:rsidR="00B175ED" w:rsidRPr="0011246A" w:rsidRDefault="00B175ED" w:rsidP="00D67CD2">
      <w:pPr>
        <w:ind w:left="-567"/>
        <w:rPr>
          <w:rFonts w:ascii="Arial" w:hAnsi="Arial" w:cs="Arial"/>
          <w:b/>
        </w:rPr>
      </w:pPr>
    </w:p>
    <w:p w14:paraId="53214713" w14:textId="77777777" w:rsidR="00B175ED" w:rsidRPr="0011246A" w:rsidRDefault="00B175ED" w:rsidP="00D67CD2">
      <w:pPr>
        <w:ind w:left="-567"/>
        <w:rPr>
          <w:rFonts w:ascii="Arial" w:hAnsi="Arial" w:cs="Arial"/>
          <w:b/>
        </w:rPr>
      </w:pPr>
      <w:r w:rsidRPr="0011246A">
        <w:rPr>
          <w:rFonts w:ascii="Arial" w:hAnsi="Arial" w:cs="Arial"/>
          <w:b/>
        </w:rPr>
        <w:t xml:space="preserve">Treatments for severe familial hypercholesterolemia </w:t>
      </w:r>
    </w:p>
    <w:p w14:paraId="3EB0793F" w14:textId="77777777" w:rsidR="00B175ED" w:rsidRPr="0011246A" w:rsidRDefault="00B175ED" w:rsidP="00D67CD2">
      <w:pPr>
        <w:spacing w:line="480" w:lineRule="auto"/>
        <w:ind w:left="-567"/>
        <w:rPr>
          <w:rFonts w:ascii="Arial" w:hAnsi="Arial" w:cs="Arial"/>
        </w:rPr>
      </w:pPr>
      <w:r w:rsidRPr="0011246A">
        <w:rPr>
          <w:rFonts w:ascii="Arial" w:hAnsi="Arial" w:cs="Arial"/>
        </w:rPr>
        <w:tab/>
        <w:t xml:space="preserve"> </w:t>
      </w:r>
    </w:p>
    <w:p w14:paraId="13283B75" w14:textId="77777777" w:rsidR="00B175ED" w:rsidRDefault="00B175ED" w:rsidP="00D67CD2">
      <w:pPr>
        <w:spacing w:line="480" w:lineRule="auto"/>
        <w:ind w:left="-567"/>
        <w:rPr>
          <w:rFonts w:ascii="Arial" w:hAnsi="Arial" w:cs="Arial"/>
        </w:rPr>
      </w:pPr>
      <w:r>
        <w:rPr>
          <w:rFonts w:ascii="Arial" w:hAnsi="Arial" w:cs="Arial"/>
        </w:rPr>
        <w:t xml:space="preserve"> Table and figure 1 show respectively the panel’s proposed LDL-C goals and treatment algorithm for severe FH. </w:t>
      </w:r>
      <w:r w:rsidRPr="0011246A">
        <w:rPr>
          <w:rFonts w:ascii="Arial" w:hAnsi="Arial" w:cs="Arial"/>
        </w:rPr>
        <w:t xml:space="preserve">Table </w:t>
      </w:r>
      <w:r>
        <w:rPr>
          <w:rFonts w:ascii="Arial" w:hAnsi="Arial" w:cs="Arial"/>
        </w:rPr>
        <w:t>2 resumes effectiveness</w:t>
      </w:r>
      <w:r w:rsidRPr="0011246A">
        <w:rPr>
          <w:rFonts w:ascii="Arial" w:hAnsi="Arial" w:cs="Arial"/>
        </w:rPr>
        <w:t xml:space="preserve">, indications, treatment posology and side effects of </w:t>
      </w:r>
      <w:r>
        <w:rPr>
          <w:rFonts w:ascii="Arial" w:hAnsi="Arial" w:cs="Arial"/>
        </w:rPr>
        <w:t xml:space="preserve">lipoprotein apheresis and </w:t>
      </w:r>
      <w:r w:rsidRPr="0011246A">
        <w:rPr>
          <w:rFonts w:ascii="Arial" w:hAnsi="Arial" w:cs="Arial"/>
        </w:rPr>
        <w:t xml:space="preserve">the recently approved </w:t>
      </w:r>
      <w:r>
        <w:rPr>
          <w:rFonts w:ascii="Arial" w:hAnsi="Arial" w:cs="Arial"/>
        </w:rPr>
        <w:t xml:space="preserve">pharmacological </w:t>
      </w:r>
      <w:r w:rsidRPr="0011246A">
        <w:rPr>
          <w:rFonts w:ascii="Arial" w:hAnsi="Arial" w:cs="Arial"/>
        </w:rPr>
        <w:t>treatments for severe FH forms</w:t>
      </w:r>
      <w:r>
        <w:rPr>
          <w:rFonts w:ascii="Arial" w:hAnsi="Arial" w:cs="Arial"/>
        </w:rPr>
        <w:t xml:space="preserve"> (e.g. PCSK9 inhibitors, lomitapide and mipomersen).</w:t>
      </w:r>
      <w:r w:rsidRPr="0011246A">
        <w:rPr>
          <w:rFonts w:ascii="Arial" w:hAnsi="Arial" w:cs="Arial"/>
        </w:rPr>
        <w:t xml:space="preserve"> </w:t>
      </w:r>
      <w:r>
        <w:rPr>
          <w:rFonts w:ascii="Arial" w:hAnsi="Arial" w:cs="Arial"/>
        </w:rPr>
        <w:t xml:space="preserve">Since in most situations severe FH patients have extremely elevated LDL-C levels, goals should be considered as realistic or ideal, depending on baseline LDL-C, treatment availability, toxicity and costs. </w:t>
      </w:r>
      <w:r w:rsidRPr="00E928F9">
        <w:rPr>
          <w:rFonts w:ascii="Arial" w:hAnsi="Arial" w:cs="Arial"/>
        </w:rPr>
        <w:t xml:space="preserve">A realistic goal </w:t>
      </w:r>
      <w:r>
        <w:rPr>
          <w:rFonts w:ascii="Arial" w:hAnsi="Arial" w:cs="Arial"/>
        </w:rPr>
        <w:t>for</w:t>
      </w:r>
      <w:r w:rsidRPr="00E928F9">
        <w:rPr>
          <w:rFonts w:ascii="Arial" w:hAnsi="Arial" w:cs="Arial"/>
        </w:rPr>
        <w:t xml:space="preserve"> these patients would be to achieve minimally a 50% reduction in LDL-C. </w:t>
      </w:r>
      <w:r>
        <w:rPr>
          <w:rFonts w:ascii="Arial" w:hAnsi="Arial" w:cs="Arial"/>
        </w:rPr>
        <w:t xml:space="preserve">Generally, </w:t>
      </w:r>
      <w:r w:rsidRPr="00E928F9">
        <w:rPr>
          <w:rFonts w:ascii="Arial" w:hAnsi="Arial" w:cs="Arial"/>
        </w:rPr>
        <w:t>LDL-</w:t>
      </w:r>
      <w:r>
        <w:rPr>
          <w:rFonts w:ascii="Arial" w:hAnsi="Arial" w:cs="Arial"/>
        </w:rPr>
        <w:t>C</w:t>
      </w:r>
      <w:r w:rsidRPr="00E928F9">
        <w:rPr>
          <w:rFonts w:ascii="Arial" w:hAnsi="Arial" w:cs="Arial"/>
        </w:rPr>
        <w:t xml:space="preserve"> reduction to </w:t>
      </w:r>
      <w:r>
        <w:rPr>
          <w:rFonts w:ascii="Arial" w:hAnsi="Arial" w:cs="Arial"/>
        </w:rPr>
        <w:t>&lt; 2</w:t>
      </w:r>
      <w:r w:rsidRPr="00E928F9">
        <w:rPr>
          <w:rFonts w:ascii="Arial" w:hAnsi="Arial" w:cs="Arial"/>
        </w:rPr>
        <w:t>.5 mmol/L</w:t>
      </w:r>
      <w:r>
        <w:rPr>
          <w:rFonts w:ascii="Arial" w:hAnsi="Arial" w:cs="Arial"/>
        </w:rPr>
        <w:t xml:space="preserve"> (100 mg/dL)</w:t>
      </w:r>
      <w:r w:rsidRPr="00E928F9">
        <w:rPr>
          <w:rFonts w:ascii="Arial" w:hAnsi="Arial" w:cs="Arial"/>
        </w:rPr>
        <w:t xml:space="preserve"> would be ideal</w:t>
      </w:r>
      <w:r>
        <w:rPr>
          <w:rFonts w:ascii="Arial" w:hAnsi="Arial" w:cs="Arial"/>
        </w:rPr>
        <w:t xml:space="preserve"> target in adults. However, i</w:t>
      </w:r>
      <w:r w:rsidRPr="00E928F9">
        <w:rPr>
          <w:rFonts w:ascii="Arial" w:hAnsi="Arial" w:cs="Arial"/>
        </w:rPr>
        <w:t xml:space="preserve">n the presence of </w:t>
      </w:r>
      <w:r>
        <w:rPr>
          <w:rFonts w:ascii="Arial" w:hAnsi="Arial" w:cs="Arial"/>
        </w:rPr>
        <w:t xml:space="preserve">previous ASCVD event, or advanced </w:t>
      </w:r>
      <w:r w:rsidRPr="00E928F9">
        <w:rPr>
          <w:rFonts w:ascii="Arial" w:hAnsi="Arial" w:cs="Arial"/>
        </w:rPr>
        <w:t xml:space="preserve">subclinical atherosclerosis, </w:t>
      </w:r>
      <w:r>
        <w:rPr>
          <w:rFonts w:ascii="Arial" w:hAnsi="Arial" w:cs="Arial"/>
        </w:rPr>
        <w:t xml:space="preserve">a </w:t>
      </w:r>
      <w:r w:rsidRPr="00E928F9">
        <w:rPr>
          <w:rFonts w:ascii="Arial" w:hAnsi="Arial" w:cs="Arial"/>
        </w:rPr>
        <w:t xml:space="preserve">lower ideal treatment goal, </w:t>
      </w:r>
      <w:r>
        <w:rPr>
          <w:rFonts w:ascii="Arial" w:hAnsi="Arial" w:cs="Arial"/>
        </w:rPr>
        <w:t>&lt;</w:t>
      </w:r>
      <w:r w:rsidRPr="00E928F9">
        <w:rPr>
          <w:rFonts w:ascii="Arial" w:hAnsi="Arial" w:cs="Arial"/>
        </w:rPr>
        <w:t>1.</w:t>
      </w:r>
      <w:r>
        <w:rPr>
          <w:rFonts w:ascii="Arial" w:hAnsi="Arial" w:cs="Arial"/>
        </w:rPr>
        <w:t>8</w:t>
      </w:r>
      <w:r w:rsidRPr="00E928F9">
        <w:rPr>
          <w:rFonts w:ascii="Arial" w:hAnsi="Arial" w:cs="Arial"/>
        </w:rPr>
        <w:t xml:space="preserve"> mmol/L</w:t>
      </w:r>
      <w:r>
        <w:rPr>
          <w:rFonts w:ascii="Arial" w:hAnsi="Arial" w:cs="Arial"/>
        </w:rPr>
        <w:t xml:space="preserve"> (70 mg/dL)</w:t>
      </w:r>
      <w:r w:rsidRPr="001E397F">
        <w:rPr>
          <w:rFonts w:ascii="Arial" w:hAnsi="Arial" w:cs="Arial"/>
          <w:noProof/>
          <w:vertAlign w:val="superscript"/>
        </w:rPr>
        <w:t>4,5</w:t>
      </w:r>
      <w:r>
        <w:rPr>
          <w:rFonts w:ascii="Arial" w:hAnsi="Arial" w:cs="Arial"/>
        </w:rPr>
        <w:t xml:space="preserve"> is</w:t>
      </w:r>
      <w:r w:rsidRPr="00E928F9">
        <w:rPr>
          <w:rFonts w:ascii="Arial" w:hAnsi="Arial" w:cs="Arial"/>
        </w:rPr>
        <w:t xml:space="preserve"> proposed</w:t>
      </w:r>
      <w:r>
        <w:rPr>
          <w:rFonts w:ascii="Arial" w:hAnsi="Arial" w:cs="Arial"/>
        </w:rPr>
        <w:t xml:space="preserve"> based on epidemiology</w:t>
      </w:r>
      <w:r w:rsidRPr="00C95C75">
        <w:rPr>
          <w:rFonts w:ascii="Arial" w:hAnsi="Arial" w:cs="Arial"/>
          <w:noProof/>
          <w:vertAlign w:val="superscript"/>
        </w:rPr>
        <w:t>86</w:t>
      </w:r>
      <w:r>
        <w:rPr>
          <w:rFonts w:ascii="Arial" w:hAnsi="Arial" w:cs="Arial"/>
        </w:rPr>
        <w:t xml:space="preserve"> and data from clinical trials that included FH patients, but were not specific for this population</w:t>
      </w:r>
      <w:r w:rsidRPr="00A20B01">
        <w:rPr>
          <w:rFonts w:ascii="Arial" w:hAnsi="Arial" w:cs="Arial"/>
          <w:noProof/>
          <w:vertAlign w:val="superscript"/>
        </w:rPr>
        <w:t>31</w:t>
      </w:r>
      <w:r>
        <w:rPr>
          <w:rFonts w:ascii="Arial" w:hAnsi="Arial" w:cs="Arial"/>
        </w:rPr>
        <w:t>.</w:t>
      </w:r>
    </w:p>
    <w:p w14:paraId="097DBB9E" w14:textId="77777777" w:rsidR="00B175ED" w:rsidRDefault="00B175ED" w:rsidP="00D67CD2">
      <w:pPr>
        <w:spacing w:line="480" w:lineRule="auto"/>
        <w:ind w:left="-567"/>
        <w:rPr>
          <w:rFonts w:ascii="Arial" w:hAnsi="Arial" w:cs="Arial"/>
        </w:rPr>
      </w:pPr>
    </w:p>
    <w:p w14:paraId="37935425" w14:textId="77777777" w:rsidR="00B175ED" w:rsidRDefault="00B175ED" w:rsidP="00D67CD2">
      <w:pPr>
        <w:spacing w:line="480" w:lineRule="auto"/>
        <w:ind w:left="-567"/>
        <w:rPr>
          <w:rFonts w:ascii="Arial" w:hAnsi="Arial" w:cs="Arial"/>
        </w:rPr>
      </w:pPr>
      <w:r>
        <w:rPr>
          <w:rFonts w:ascii="Arial" w:hAnsi="Arial" w:cs="Arial"/>
        </w:rPr>
        <w:t xml:space="preserve"> </w:t>
      </w:r>
      <w:r w:rsidRPr="0011246A">
        <w:rPr>
          <w:rFonts w:ascii="Arial" w:hAnsi="Arial" w:cs="Arial"/>
        </w:rPr>
        <w:t>Considering the available evidence</w:t>
      </w:r>
      <w:r w:rsidRPr="00600E92">
        <w:rPr>
          <w:rFonts w:ascii="Arial" w:hAnsi="Arial" w:cs="Arial"/>
          <w:noProof/>
          <w:vertAlign w:val="superscript"/>
        </w:rPr>
        <w:t>31</w:t>
      </w:r>
      <w:r w:rsidRPr="0011246A">
        <w:rPr>
          <w:rFonts w:ascii="Arial" w:hAnsi="Arial" w:cs="Arial"/>
        </w:rPr>
        <w:t xml:space="preserve"> LDL-C reduction must be attained initially with the highest tolerated dose </w:t>
      </w:r>
      <w:r>
        <w:rPr>
          <w:rFonts w:ascii="Arial" w:hAnsi="Arial" w:cs="Arial"/>
        </w:rPr>
        <w:t xml:space="preserve">of a potent </w:t>
      </w:r>
      <w:r w:rsidRPr="0011246A">
        <w:rPr>
          <w:rFonts w:ascii="Arial" w:hAnsi="Arial" w:cs="Arial"/>
        </w:rPr>
        <w:t xml:space="preserve">statin </w:t>
      </w:r>
      <w:r>
        <w:rPr>
          <w:rFonts w:ascii="Arial" w:hAnsi="Arial" w:cs="Arial"/>
        </w:rPr>
        <w:t>(preferentially atorvastatin or rosuvastatin)</w:t>
      </w:r>
      <w:r w:rsidRPr="0011246A">
        <w:rPr>
          <w:rFonts w:ascii="Arial" w:hAnsi="Arial" w:cs="Arial"/>
        </w:rPr>
        <w:t xml:space="preserve"> with </w:t>
      </w:r>
      <w:r w:rsidRPr="004D44D7">
        <w:rPr>
          <w:rFonts w:ascii="Arial" w:hAnsi="Arial" w:cs="Arial"/>
        </w:rPr>
        <w:t>addition of ezetimibe</w:t>
      </w:r>
      <w:r w:rsidRPr="00600E92">
        <w:rPr>
          <w:rFonts w:ascii="Arial" w:hAnsi="Arial" w:cs="Arial"/>
          <w:noProof/>
          <w:vertAlign w:val="superscript"/>
        </w:rPr>
        <w:t>32</w:t>
      </w:r>
      <w:r w:rsidRPr="0011246A">
        <w:rPr>
          <w:rFonts w:ascii="Arial" w:hAnsi="Arial" w:cs="Arial"/>
        </w:rPr>
        <w:t>. Other drugs like bile acid sequestrants</w:t>
      </w:r>
      <w:r>
        <w:rPr>
          <w:rFonts w:ascii="Arial" w:hAnsi="Arial" w:cs="Arial"/>
        </w:rPr>
        <w:t xml:space="preserve"> and </w:t>
      </w:r>
      <w:r w:rsidRPr="0011246A">
        <w:rPr>
          <w:rFonts w:ascii="Arial" w:hAnsi="Arial" w:cs="Arial"/>
        </w:rPr>
        <w:t xml:space="preserve">niacin </w:t>
      </w:r>
      <w:r>
        <w:rPr>
          <w:rFonts w:ascii="Arial" w:hAnsi="Arial" w:cs="Arial"/>
        </w:rPr>
        <w:t xml:space="preserve">are optional, </w:t>
      </w:r>
      <w:r w:rsidRPr="00076C58">
        <w:rPr>
          <w:rFonts w:ascii="Arial" w:hAnsi="Arial" w:cs="Arial"/>
        </w:rPr>
        <w:t xml:space="preserve"> </w:t>
      </w:r>
      <w:r>
        <w:rPr>
          <w:rFonts w:ascii="Arial" w:hAnsi="Arial" w:cs="Arial"/>
        </w:rPr>
        <w:t xml:space="preserve">depending on availability and tolerability </w:t>
      </w:r>
      <w:r w:rsidRPr="0011246A">
        <w:rPr>
          <w:rFonts w:ascii="Arial" w:hAnsi="Arial" w:cs="Arial"/>
        </w:rPr>
        <w:t xml:space="preserve">with the aim of reducing cholesterol in refractory patients who are not at goal. </w:t>
      </w:r>
      <w:r>
        <w:rPr>
          <w:rFonts w:ascii="Arial" w:hAnsi="Arial" w:cs="Arial"/>
        </w:rPr>
        <w:t xml:space="preserve"> </w:t>
      </w:r>
    </w:p>
    <w:p w14:paraId="2A0FEEAD" w14:textId="77777777" w:rsidR="00B175ED" w:rsidRDefault="00B175ED" w:rsidP="00D67CD2">
      <w:pPr>
        <w:spacing w:line="480" w:lineRule="auto"/>
        <w:ind w:left="-567"/>
        <w:rPr>
          <w:rFonts w:ascii="Arial" w:hAnsi="Arial" w:cs="Arial"/>
          <w:i/>
        </w:rPr>
      </w:pPr>
    </w:p>
    <w:p w14:paraId="40443784" w14:textId="77777777" w:rsidR="00B175ED" w:rsidRPr="00305485" w:rsidRDefault="00B175ED" w:rsidP="00D67CD2">
      <w:pPr>
        <w:spacing w:line="480" w:lineRule="auto"/>
        <w:ind w:left="-567"/>
        <w:rPr>
          <w:rFonts w:ascii="Arial" w:hAnsi="Arial" w:cs="Arial"/>
          <w:i/>
        </w:rPr>
      </w:pPr>
      <w:r w:rsidRPr="00305485">
        <w:rPr>
          <w:rFonts w:ascii="Arial" w:hAnsi="Arial" w:cs="Arial"/>
          <w:i/>
        </w:rPr>
        <w:t xml:space="preserve">PCSK9 inhibitors </w:t>
      </w:r>
    </w:p>
    <w:p w14:paraId="1412A689" w14:textId="77777777" w:rsidR="00B175ED" w:rsidRDefault="00B175ED" w:rsidP="00A65832">
      <w:pPr>
        <w:spacing w:line="480" w:lineRule="auto"/>
        <w:ind w:left="-567"/>
        <w:rPr>
          <w:rFonts w:ascii="Arial" w:hAnsi="Arial" w:cs="Arial"/>
        </w:rPr>
      </w:pPr>
      <w:r>
        <w:rPr>
          <w:rFonts w:ascii="Arial" w:hAnsi="Arial" w:cs="Arial"/>
        </w:rPr>
        <w:t xml:space="preserve"> If patients are considered refractory (LDL-C reduction &lt;50% and out of ideal goals) with conventional therapy t</w:t>
      </w:r>
      <w:r w:rsidRPr="00E928F9">
        <w:rPr>
          <w:rFonts w:ascii="Arial" w:hAnsi="Arial" w:cs="Arial"/>
        </w:rPr>
        <w:t xml:space="preserve">he panel acknowledges that PCSK9 inhibitors may be prescribed for reasons of efficacy, </w:t>
      </w:r>
      <w:r>
        <w:rPr>
          <w:rFonts w:ascii="Arial" w:hAnsi="Arial" w:cs="Arial"/>
        </w:rPr>
        <w:t xml:space="preserve">tolerability, </w:t>
      </w:r>
      <w:r w:rsidRPr="00E928F9">
        <w:rPr>
          <w:rFonts w:ascii="Arial" w:hAnsi="Arial" w:cs="Arial"/>
        </w:rPr>
        <w:t>and lower costs in comparison with mipomersen and lomitapide</w:t>
      </w:r>
      <w:r w:rsidRPr="00C95C75">
        <w:rPr>
          <w:rFonts w:ascii="Arial" w:hAnsi="Arial" w:cs="Arial"/>
          <w:noProof/>
          <w:vertAlign w:val="superscript"/>
        </w:rPr>
        <w:t>13,14,24-26,60,87</w:t>
      </w:r>
      <w:r>
        <w:rPr>
          <w:rFonts w:ascii="Arial" w:hAnsi="Arial" w:cs="Arial"/>
        </w:rPr>
        <w:t xml:space="preserve"> (these two last medications approved only for HoFH), and lipoprotein apheresis</w:t>
      </w:r>
      <w:r w:rsidRPr="00C95C75">
        <w:rPr>
          <w:rFonts w:ascii="Arial" w:hAnsi="Arial" w:cs="Arial"/>
          <w:noProof/>
          <w:vertAlign w:val="superscript"/>
        </w:rPr>
        <w:t>88</w:t>
      </w:r>
      <w:r w:rsidRPr="00E928F9">
        <w:rPr>
          <w:rFonts w:ascii="Arial" w:hAnsi="Arial" w:cs="Arial"/>
        </w:rPr>
        <w:t xml:space="preserve"> to treat severe FH</w:t>
      </w:r>
      <w:r>
        <w:rPr>
          <w:rFonts w:ascii="Arial" w:hAnsi="Arial" w:cs="Arial"/>
        </w:rPr>
        <w:t>.</w:t>
      </w:r>
      <w:r w:rsidRPr="0011246A">
        <w:rPr>
          <w:rFonts w:ascii="Arial" w:hAnsi="Arial" w:cs="Arial"/>
        </w:rPr>
        <w:t xml:space="preserve"> </w:t>
      </w:r>
      <w:r>
        <w:rPr>
          <w:rFonts w:ascii="Arial" w:hAnsi="Arial" w:cs="Arial"/>
        </w:rPr>
        <w:t xml:space="preserve">PCSK9 inhibitors should be started as soon as refractoriness to conventional treatment is detected, and should be maintained indefinitely, if well tolerated until proven otherwise. PCSK9 inhibitors have a great potential in controlling LDL-C levels in severe FH patients since LDL-C values &lt; </w:t>
      </w:r>
      <w:r w:rsidRPr="0011246A">
        <w:rPr>
          <w:rFonts w:ascii="Arial" w:hAnsi="Arial" w:cs="Arial"/>
        </w:rPr>
        <w:t>1.</w:t>
      </w:r>
      <w:r>
        <w:rPr>
          <w:rFonts w:ascii="Arial" w:hAnsi="Arial" w:cs="Arial"/>
        </w:rPr>
        <w:t>8</w:t>
      </w:r>
      <w:r w:rsidRPr="0011246A">
        <w:rPr>
          <w:rFonts w:ascii="Arial" w:hAnsi="Arial" w:cs="Arial"/>
        </w:rPr>
        <w:t xml:space="preserve"> mmol/L </w:t>
      </w:r>
      <w:r>
        <w:rPr>
          <w:rFonts w:ascii="Arial" w:hAnsi="Arial" w:cs="Arial"/>
        </w:rPr>
        <w:t xml:space="preserve">(70 mg/dL) </w:t>
      </w:r>
      <w:r w:rsidRPr="0011246A">
        <w:rPr>
          <w:rFonts w:ascii="Arial" w:hAnsi="Arial" w:cs="Arial"/>
        </w:rPr>
        <w:t xml:space="preserve">were attained </w:t>
      </w:r>
      <w:r>
        <w:rPr>
          <w:rFonts w:ascii="Arial" w:hAnsi="Arial" w:cs="Arial"/>
        </w:rPr>
        <w:t>in 61-66% in refractory to standard lipid lowering therapy HeFH patients treated with evolocumab</w:t>
      </w:r>
      <w:r w:rsidRPr="005D6979">
        <w:rPr>
          <w:rFonts w:ascii="Arial" w:hAnsi="Arial" w:cs="Arial"/>
          <w:noProof/>
          <w:vertAlign w:val="superscript"/>
        </w:rPr>
        <w:t>14</w:t>
      </w:r>
      <w:r>
        <w:rPr>
          <w:rFonts w:ascii="Arial" w:hAnsi="Arial" w:cs="Arial"/>
        </w:rPr>
        <w:t xml:space="preserve"> and 60-68% in those receiving alirocumab </w:t>
      </w:r>
      <w:r w:rsidRPr="00600E92">
        <w:rPr>
          <w:rFonts w:ascii="Arial" w:hAnsi="Arial" w:cs="Arial"/>
          <w:noProof/>
          <w:vertAlign w:val="superscript"/>
        </w:rPr>
        <w:t>24</w:t>
      </w:r>
      <w:r w:rsidRPr="0011246A">
        <w:rPr>
          <w:rFonts w:ascii="Arial" w:hAnsi="Arial" w:cs="Arial"/>
        </w:rPr>
        <w:t xml:space="preserve">. </w:t>
      </w:r>
      <w:r>
        <w:rPr>
          <w:rFonts w:ascii="Arial" w:hAnsi="Arial" w:cs="Arial"/>
        </w:rPr>
        <w:t xml:space="preserve">In both alirocumab and evolocumab studies the drugs were well tolerated and side effects were not different from placebo. </w:t>
      </w:r>
      <w:r w:rsidRPr="0011246A">
        <w:rPr>
          <w:rFonts w:ascii="Arial" w:hAnsi="Arial" w:cs="Arial"/>
        </w:rPr>
        <w:t>The potential of PCSK9 inhibitors in ASCVD prevention</w:t>
      </w:r>
      <w:r>
        <w:rPr>
          <w:rFonts w:ascii="Arial" w:hAnsi="Arial" w:cs="Arial"/>
        </w:rPr>
        <w:t xml:space="preserve"> and their long-term safety</w:t>
      </w:r>
      <w:r w:rsidRPr="0011246A">
        <w:rPr>
          <w:rFonts w:ascii="Arial" w:hAnsi="Arial" w:cs="Arial"/>
        </w:rPr>
        <w:t xml:space="preserve"> is being tested in</w:t>
      </w:r>
      <w:r>
        <w:rPr>
          <w:rFonts w:ascii="Arial" w:hAnsi="Arial" w:cs="Arial"/>
        </w:rPr>
        <w:t xml:space="preserve"> </w:t>
      </w:r>
      <w:r w:rsidRPr="0011246A">
        <w:rPr>
          <w:rFonts w:ascii="Arial" w:hAnsi="Arial" w:cs="Arial"/>
        </w:rPr>
        <w:t>studies enrolling high-risk patients with a background of statin therapy</w:t>
      </w:r>
      <w:r w:rsidRPr="0011246A">
        <w:rPr>
          <w:rFonts w:ascii="Arial" w:hAnsi="Arial" w:cs="Arial"/>
          <w:lang w:val="en-GB"/>
        </w:rPr>
        <w:t xml:space="preserve"> like FOURIER (NCT01764633), ODYSSEY</w:t>
      </w:r>
      <w:r>
        <w:rPr>
          <w:rFonts w:ascii="Arial" w:hAnsi="Arial" w:cs="Arial"/>
          <w:lang w:val="en-GB"/>
        </w:rPr>
        <w:t xml:space="preserve"> Outcomes</w:t>
      </w:r>
      <w:r w:rsidRPr="0011246A">
        <w:rPr>
          <w:rFonts w:ascii="Arial" w:hAnsi="Arial" w:cs="Arial"/>
          <w:lang w:val="en-GB"/>
        </w:rPr>
        <w:t xml:space="preserve"> (NCT01663402)</w:t>
      </w:r>
      <w:r>
        <w:rPr>
          <w:rFonts w:ascii="Arial" w:hAnsi="Arial" w:cs="Arial"/>
          <w:lang w:val="en-GB"/>
        </w:rPr>
        <w:t>,</w:t>
      </w:r>
      <w:r w:rsidRPr="0011246A">
        <w:rPr>
          <w:rFonts w:ascii="Arial" w:hAnsi="Arial" w:cs="Arial"/>
          <w:lang w:val="en-GB"/>
        </w:rPr>
        <w:t xml:space="preserve"> SPIRE-1 (NCT01975389) and SPIRE-2 (NCT01975376)</w:t>
      </w:r>
      <w:r w:rsidRPr="00C95C75">
        <w:rPr>
          <w:rFonts w:ascii="Arial" w:hAnsi="Arial" w:cs="Arial"/>
          <w:noProof/>
          <w:vertAlign w:val="superscript"/>
          <w:lang w:val="en-GB"/>
        </w:rPr>
        <w:t>89</w:t>
      </w:r>
      <w:r w:rsidRPr="0011246A">
        <w:rPr>
          <w:rFonts w:ascii="Arial" w:hAnsi="Arial" w:cs="Arial"/>
          <w:lang w:val="en-GB"/>
        </w:rPr>
        <w:t xml:space="preserve">. </w:t>
      </w:r>
    </w:p>
    <w:p w14:paraId="2A8B989B" w14:textId="77777777" w:rsidR="00B175ED" w:rsidRDefault="00B175ED" w:rsidP="00D67CD2">
      <w:pPr>
        <w:spacing w:line="480" w:lineRule="auto"/>
        <w:ind w:left="-567" w:hanging="141"/>
        <w:rPr>
          <w:rFonts w:ascii="Arial" w:hAnsi="Arial" w:cs="Arial"/>
          <w:i/>
        </w:rPr>
      </w:pPr>
    </w:p>
    <w:p w14:paraId="486A4D0C" w14:textId="77777777" w:rsidR="00B175ED" w:rsidRPr="00305485" w:rsidRDefault="00B175ED" w:rsidP="00D67CD2">
      <w:pPr>
        <w:spacing w:line="480" w:lineRule="auto"/>
        <w:ind w:left="-567" w:hanging="141"/>
        <w:rPr>
          <w:rFonts w:ascii="Arial" w:hAnsi="Arial" w:cs="Arial"/>
          <w:i/>
        </w:rPr>
      </w:pPr>
      <w:r w:rsidRPr="00305485">
        <w:rPr>
          <w:rFonts w:ascii="Arial" w:hAnsi="Arial" w:cs="Arial"/>
          <w:i/>
        </w:rPr>
        <w:t xml:space="preserve">Mipomersen and lomitapide </w:t>
      </w:r>
    </w:p>
    <w:p w14:paraId="311A9DED" w14:textId="77777777" w:rsidR="00B175ED" w:rsidRDefault="00B175ED" w:rsidP="00305485">
      <w:pPr>
        <w:spacing w:line="480" w:lineRule="auto"/>
        <w:ind w:left="-567"/>
        <w:rPr>
          <w:rFonts w:ascii="Arial" w:hAnsi="Arial" w:cs="Arial"/>
        </w:rPr>
      </w:pPr>
      <w:r w:rsidRPr="0011246A">
        <w:rPr>
          <w:rFonts w:ascii="Arial" w:hAnsi="Arial" w:cs="Arial"/>
        </w:rPr>
        <w:t>Both mipomersen, an antisense oligonucleotide that reduces the production of apolipoprotein B, and lomitapide</w:t>
      </w:r>
      <w:r>
        <w:rPr>
          <w:rFonts w:ascii="Arial" w:hAnsi="Arial" w:cs="Arial"/>
        </w:rPr>
        <w:t xml:space="preserve"> a microsomal transfer protein (MTP) inhibitor</w:t>
      </w:r>
      <w:r w:rsidRPr="0011246A">
        <w:rPr>
          <w:rFonts w:ascii="Arial" w:hAnsi="Arial" w:cs="Arial"/>
        </w:rPr>
        <w:t>, are approved (the former in the USA and the latter in both North America and Europe) for treatment of HoFH patients.</w:t>
      </w:r>
      <w:r>
        <w:rPr>
          <w:rFonts w:ascii="Arial" w:hAnsi="Arial" w:cs="Arial"/>
        </w:rPr>
        <w:t xml:space="preserve"> These drugs can low LDL-C by 25-50% in HoFH patients</w:t>
      </w:r>
      <w:r w:rsidRPr="009B03AA">
        <w:rPr>
          <w:rFonts w:ascii="Arial" w:hAnsi="Arial" w:cs="Arial"/>
          <w:noProof/>
          <w:vertAlign w:val="superscript"/>
        </w:rPr>
        <w:t>12,13</w:t>
      </w:r>
      <w:r>
        <w:rPr>
          <w:rFonts w:ascii="Arial" w:hAnsi="Arial" w:cs="Arial"/>
        </w:rPr>
        <w:t xml:space="preserve">. They may be used in HOFH patients refractory to statin + ezetimibe and PCKS9 treatment e.g. those homozygotes due to null </w:t>
      </w:r>
      <w:r w:rsidRPr="004E262F">
        <w:rPr>
          <w:rFonts w:ascii="Arial" w:hAnsi="Arial" w:cs="Arial"/>
        </w:rPr>
        <w:t>LDLR mutations</w:t>
      </w:r>
      <w:r w:rsidRPr="00305485">
        <w:rPr>
          <w:rFonts w:ascii="Arial" w:hAnsi="Arial" w:cs="Arial"/>
          <w:noProof/>
          <w:vertAlign w:val="superscript"/>
        </w:rPr>
        <w:t>60</w:t>
      </w:r>
      <w:r>
        <w:rPr>
          <w:rFonts w:ascii="Arial" w:hAnsi="Arial" w:cs="Arial"/>
        </w:rPr>
        <w:t>.  It is important to emphasize that the use of mipomersen and lomitapide is restricted by their side effects and extremely elevated costs</w:t>
      </w:r>
      <w:r w:rsidRPr="00C95C75">
        <w:rPr>
          <w:rFonts w:ascii="Arial" w:hAnsi="Arial" w:cs="Arial"/>
          <w:noProof/>
          <w:vertAlign w:val="superscript"/>
        </w:rPr>
        <w:t>13,26,87</w:t>
      </w:r>
      <w:r>
        <w:rPr>
          <w:rFonts w:ascii="Arial" w:hAnsi="Arial" w:cs="Arial"/>
        </w:rPr>
        <w:t>. Studies are necessary to evaluate the association of either mipomersen or lomitapide with PCSK9 inhibitors.</w:t>
      </w:r>
    </w:p>
    <w:p w14:paraId="65295B65" w14:textId="77777777" w:rsidR="00B175ED" w:rsidRPr="00305485" w:rsidRDefault="00B175ED" w:rsidP="00D67CD2">
      <w:pPr>
        <w:spacing w:line="480" w:lineRule="auto"/>
        <w:ind w:left="-567" w:hanging="141"/>
        <w:rPr>
          <w:rFonts w:ascii="Arial" w:hAnsi="Arial" w:cs="Arial"/>
          <w:i/>
        </w:rPr>
      </w:pPr>
      <w:r w:rsidRPr="00305485">
        <w:rPr>
          <w:rFonts w:ascii="Arial" w:hAnsi="Arial" w:cs="Arial"/>
          <w:i/>
        </w:rPr>
        <w:t xml:space="preserve">Lipoprotein apheresis </w:t>
      </w:r>
    </w:p>
    <w:p w14:paraId="7EA42AC6" w14:textId="77777777" w:rsidR="00B175ED" w:rsidRPr="0011246A" w:rsidRDefault="00B175ED" w:rsidP="00D67CD2">
      <w:pPr>
        <w:spacing w:line="480" w:lineRule="auto"/>
        <w:ind w:left="-567" w:hanging="141"/>
        <w:rPr>
          <w:rFonts w:ascii="Arial" w:hAnsi="Arial" w:cs="Arial"/>
        </w:rPr>
      </w:pPr>
      <w:r>
        <w:rPr>
          <w:rFonts w:ascii="Arial" w:hAnsi="Arial" w:cs="Arial"/>
        </w:rPr>
        <w:tab/>
        <w:t xml:space="preserve"> </w:t>
      </w:r>
      <w:r w:rsidRPr="0011246A">
        <w:rPr>
          <w:rFonts w:ascii="Arial" w:hAnsi="Arial" w:cs="Arial"/>
        </w:rPr>
        <w:t>Apheresis, either non-selective plasmapheresis or preferably selective LDL apheresis or lipopheresis is approved and reimbursed in some countries to lower LDL-C levels</w:t>
      </w:r>
      <w:r>
        <w:rPr>
          <w:rFonts w:ascii="Arial" w:hAnsi="Arial" w:cs="Arial"/>
        </w:rPr>
        <w:t xml:space="preserve"> and Lp(a)</w:t>
      </w:r>
      <w:r w:rsidRPr="0011246A">
        <w:rPr>
          <w:rFonts w:ascii="Arial" w:hAnsi="Arial" w:cs="Arial"/>
        </w:rPr>
        <w:t xml:space="preserve"> in high-risk individuals with refractory dyslipidemia </w:t>
      </w:r>
      <w:r w:rsidRPr="00C95C75">
        <w:rPr>
          <w:rFonts w:ascii="Arial" w:hAnsi="Arial" w:cs="Arial"/>
          <w:noProof/>
          <w:vertAlign w:val="superscript"/>
        </w:rPr>
        <w:t>90</w:t>
      </w:r>
      <w:r w:rsidRPr="0011246A">
        <w:rPr>
          <w:rFonts w:ascii="Arial" w:hAnsi="Arial" w:cs="Arial"/>
        </w:rPr>
        <w:t xml:space="preserve">. Previous studies have associated the use of </w:t>
      </w:r>
      <w:r>
        <w:rPr>
          <w:rFonts w:ascii="Arial" w:hAnsi="Arial" w:cs="Arial"/>
        </w:rPr>
        <w:t xml:space="preserve">lipoprotein apheresis </w:t>
      </w:r>
      <w:r w:rsidRPr="0011246A">
        <w:rPr>
          <w:rFonts w:ascii="Arial" w:hAnsi="Arial" w:cs="Arial"/>
        </w:rPr>
        <w:t>with reduction in progression or regression of anatomical coronary disease</w:t>
      </w:r>
      <w:r w:rsidRPr="00C95C75">
        <w:rPr>
          <w:rFonts w:ascii="Arial" w:hAnsi="Arial" w:cs="Arial"/>
          <w:noProof/>
          <w:vertAlign w:val="superscript"/>
        </w:rPr>
        <w:t>42,90,91</w:t>
      </w:r>
      <w:r w:rsidRPr="0011246A">
        <w:rPr>
          <w:rFonts w:ascii="Arial" w:hAnsi="Arial" w:cs="Arial"/>
        </w:rPr>
        <w:t xml:space="preserve">. A ten-year non-randomized study performed in Japan </w:t>
      </w:r>
      <w:r w:rsidRPr="00C95C75">
        <w:rPr>
          <w:rFonts w:ascii="Arial" w:hAnsi="Arial" w:cs="Arial"/>
          <w:noProof/>
          <w:vertAlign w:val="superscript"/>
        </w:rPr>
        <w:t>92</w:t>
      </w:r>
      <w:r w:rsidRPr="0011246A">
        <w:rPr>
          <w:rFonts w:ascii="Arial" w:hAnsi="Arial" w:cs="Arial"/>
        </w:rPr>
        <w:t xml:space="preserve"> in 130 HeFH patients suggests that apheresis decreases events when added to lipid lowering drugs.</w:t>
      </w:r>
      <w:r>
        <w:rPr>
          <w:rFonts w:ascii="Arial" w:hAnsi="Arial" w:cs="Arial"/>
        </w:rPr>
        <w:t xml:space="preserve"> Lipoprotein apheresis  is indicated when pharmacological treatment is not efficacious in controlling severe FH patients</w:t>
      </w:r>
      <w:r w:rsidRPr="00DE6444">
        <w:rPr>
          <w:rFonts w:ascii="Arial" w:hAnsi="Arial" w:cs="Arial"/>
          <w:noProof/>
          <w:vertAlign w:val="superscript"/>
        </w:rPr>
        <w:t>4,42</w:t>
      </w:r>
      <w:r>
        <w:rPr>
          <w:rFonts w:ascii="Arial" w:hAnsi="Arial" w:cs="Arial"/>
        </w:rPr>
        <w:t>.</w:t>
      </w:r>
    </w:p>
    <w:p w14:paraId="7B09DC25" w14:textId="77777777" w:rsidR="00B175ED" w:rsidRPr="0011246A" w:rsidRDefault="00B175ED" w:rsidP="00305485">
      <w:pPr>
        <w:spacing w:line="480" w:lineRule="auto"/>
        <w:ind w:left="-567" w:hanging="141"/>
        <w:rPr>
          <w:rFonts w:ascii="Arial" w:hAnsi="Arial" w:cs="Arial"/>
        </w:rPr>
      </w:pPr>
      <w:r w:rsidRPr="0011246A">
        <w:rPr>
          <w:rFonts w:ascii="Arial" w:hAnsi="Arial" w:cs="Arial"/>
        </w:rPr>
        <w:tab/>
      </w:r>
      <w:r w:rsidRPr="0011246A">
        <w:rPr>
          <w:rFonts w:ascii="Arial" w:hAnsi="Arial" w:cs="Arial"/>
        </w:rPr>
        <w:tab/>
      </w:r>
    </w:p>
    <w:p w14:paraId="444F7F23" w14:textId="77777777" w:rsidR="00B175ED" w:rsidRPr="0011246A" w:rsidRDefault="00B175ED" w:rsidP="00D67CD2">
      <w:pPr>
        <w:spacing w:line="480" w:lineRule="auto"/>
        <w:ind w:left="-567"/>
        <w:rPr>
          <w:rFonts w:ascii="Arial" w:hAnsi="Arial" w:cs="Arial"/>
        </w:rPr>
      </w:pPr>
      <w:r w:rsidRPr="0011246A">
        <w:rPr>
          <w:rFonts w:ascii="Arial" w:hAnsi="Arial" w:cs="Arial"/>
          <w:i/>
        </w:rPr>
        <w:t xml:space="preserve">Future developments for the treatment of severe FH forms  </w:t>
      </w:r>
    </w:p>
    <w:p w14:paraId="38CD39C2" w14:textId="77777777" w:rsidR="00B175ED" w:rsidRPr="0011246A" w:rsidRDefault="00B175ED" w:rsidP="00D67CD2">
      <w:pPr>
        <w:spacing w:line="480" w:lineRule="auto"/>
        <w:ind w:left="-567"/>
        <w:rPr>
          <w:rFonts w:ascii="Arial" w:hAnsi="Arial" w:cs="Arial"/>
        </w:rPr>
      </w:pPr>
      <w:r>
        <w:rPr>
          <w:rFonts w:ascii="Arial" w:hAnsi="Arial" w:cs="Arial"/>
        </w:rPr>
        <w:t xml:space="preserve"> </w:t>
      </w:r>
      <w:r w:rsidRPr="0011246A">
        <w:rPr>
          <w:rFonts w:ascii="Arial" w:hAnsi="Arial" w:cs="Arial"/>
        </w:rPr>
        <w:t>Orthotopic liver transplantation is associated with the dramatic correction and even resolution of the HoFH phenotype</w:t>
      </w:r>
      <w:r w:rsidRPr="008534B6">
        <w:rPr>
          <w:rFonts w:ascii="Arial" w:hAnsi="Arial" w:cs="Arial"/>
          <w:noProof/>
          <w:vertAlign w:val="superscript"/>
        </w:rPr>
        <w:t>4</w:t>
      </w:r>
      <w:r w:rsidRPr="0011246A">
        <w:rPr>
          <w:rFonts w:ascii="Arial" w:hAnsi="Arial" w:cs="Arial"/>
        </w:rPr>
        <w:t xml:space="preserve">. The disadvantages and risks of transplantation and long-term immunosuppression have limited the viability of this approach in this disease, but have given the rationale for the development of novel therapeutic approaches, such as liver-directed gene delivery or stem cell transplantation.  </w:t>
      </w:r>
    </w:p>
    <w:p w14:paraId="342D8B5D" w14:textId="77777777" w:rsidR="00B175ED" w:rsidRPr="0011246A" w:rsidRDefault="00B175ED" w:rsidP="00FD464B">
      <w:pPr>
        <w:spacing w:line="480" w:lineRule="auto"/>
        <w:ind w:left="-567"/>
        <w:rPr>
          <w:rFonts w:ascii="Arial" w:hAnsi="Arial" w:cs="Arial"/>
        </w:rPr>
      </w:pPr>
      <w:r w:rsidRPr="0011246A">
        <w:rPr>
          <w:rFonts w:ascii="Arial" w:hAnsi="Arial" w:cs="Arial"/>
        </w:rPr>
        <w:t>After decades of pre-clinical research</w:t>
      </w:r>
      <w:r w:rsidRPr="00C95C75">
        <w:rPr>
          <w:rFonts w:ascii="Arial" w:hAnsi="Arial" w:cs="Arial"/>
          <w:noProof/>
          <w:vertAlign w:val="superscript"/>
        </w:rPr>
        <w:t>93</w:t>
      </w:r>
      <w:r w:rsidRPr="0011246A">
        <w:rPr>
          <w:rFonts w:ascii="Arial" w:hAnsi="Arial" w:cs="Arial"/>
        </w:rPr>
        <w:t>, a gene therapy trial utilizing an AAV-based vector carrying an LDLR transgene has been announced (</w:t>
      </w:r>
      <w:r w:rsidRPr="0011246A">
        <w:rPr>
          <w:rFonts w:ascii="Arial" w:hAnsi="Arial" w:cs="Arial"/>
          <w:lang w:val="en-GB"/>
        </w:rPr>
        <w:t xml:space="preserve">NCT02651675).  </w:t>
      </w:r>
      <w:r w:rsidRPr="0011246A">
        <w:rPr>
          <w:rFonts w:ascii="Arial" w:hAnsi="Arial" w:cs="Arial"/>
        </w:rPr>
        <w:t>Autologous transplantation of genetically corrected cells derived from human induced pluripotent stem cells is also being tested, albeit this approach is still in preclinical stage</w:t>
      </w:r>
      <w:r w:rsidRPr="00C95C75">
        <w:rPr>
          <w:rFonts w:ascii="Arial" w:hAnsi="Arial" w:cs="Arial"/>
          <w:noProof/>
          <w:vertAlign w:val="superscript"/>
        </w:rPr>
        <w:t>94</w:t>
      </w:r>
      <w:r w:rsidRPr="0011246A">
        <w:rPr>
          <w:rFonts w:ascii="Arial" w:hAnsi="Arial" w:cs="Arial"/>
        </w:rPr>
        <w:t>.</w:t>
      </w:r>
    </w:p>
    <w:p w14:paraId="524837FD" w14:textId="77777777" w:rsidR="00B175ED" w:rsidRDefault="00B175ED" w:rsidP="00D67CD2">
      <w:pPr>
        <w:spacing w:line="480" w:lineRule="auto"/>
        <w:ind w:left="-567"/>
        <w:rPr>
          <w:rFonts w:ascii="Arial" w:hAnsi="Arial" w:cs="Arial"/>
          <w:b/>
        </w:rPr>
      </w:pPr>
    </w:p>
    <w:p w14:paraId="3798D082" w14:textId="77777777" w:rsidR="00B175ED" w:rsidRPr="0011246A" w:rsidRDefault="00B175ED" w:rsidP="00D67CD2">
      <w:pPr>
        <w:spacing w:line="480" w:lineRule="auto"/>
        <w:ind w:left="-567"/>
        <w:rPr>
          <w:rFonts w:ascii="Arial" w:hAnsi="Arial" w:cs="Arial"/>
          <w:b/>
        </w:rPr>
      </w:pPr>
      <w:r w:rsidRPr="0011246A">
        <w:rPr>
          <w:rFonts w:ascii="Arial" w:hAnsi="Arial" w:cs="Arial"/>
          <w:b/>
        </w:rPr>
        <w:t xml:space="preserve">Cost effectiveness issues </w:t>
      </w:r>
    </w:p>
    <w:p w14:paraId="7C83DEC5" w14:textId="77777777" w:rsidR="00B175ED" w:rsidRPr="0011246A" w:rsidRDefault="00B175ED" w:rsidP="00D67CD2">
      <w:pPr>
        <w:spacing w:line="480" w:lineRule="auto"/>
        <w:ind w:left="-567"/>
        <w:rPr>
          <w:rFonts w:ascii="Arial" w:hAnsi="Arial" w:cs="Arial"/>
        </w:rPr>
      </w:pPr>
      <w:r>
        <w:rPr>
          <w:rFonts w:ascii="Arial" w:hAnsi="Arial" w:cs="Arial"/>
        </w:rPr>
        <w:t xml:space="preserve"> </w:t>
      </w:r>
      <w:r w:rsidRPr="0011246A">
        <w:rPr>
          <w:rFonts w:ascii="Arial" w:hAnsi="Arial" w:cs="Arial"/>
        </w:rPr>
        <w:t xml:space="preserve">The use of statins to prevent cardiovascular events in FH has been proven to be cost-effective. However, treatments for more severe FH cases can be extremely costly. The yearly cost of weekly intensive </w:t>
      </w:r>
      <w:r>
        <w:rPr>
          <w:rFonts w:ascii="Arial" w:hAnsi="Arial" w:cs="Arial"/>
        </w:rPr>
        <w:t>lipoprotein apheresis</w:t>
      </w:r>
      <w:r w:rsidRPr="0011246A">
        <w:rPr>
          <w:rFonts w:ascii="Arial" w:hAnsi="Arial" w:cs="Arial"/>
        </w:rPr>
        <w:t xml:space="preserve"> has been estimated at $100,000</w:t>
      </w:r>
      <w:r w:rsidRPr="00C95C75">
        <w:rPr>
          <w:rFonts w:ascii="Arial" w:hAnsi="Arial" w:cs="Arial"/>
          <w:noProof/>
          <w:vertAlign w:val="superscript"/>
        </w:rPr>
        <w:t>88</w:t>
      </w:r>
      <w:r w:rsidRPr="0011246A">
        <w:rPr>
          <w:rFonts w:ascii="Arial" w:hAnsi="Arial" w:cs="Arial"/>
        </w:rPr>
        <w:t>. Mipomersen and lomitapide cost respectively  $176,000 and between 235,000–$295,000 per year</w:t>
      </w:r>
      <w:r w:rsidRPr="00600E92">
        <w:rPr>
          <w:rFonts w:ascii="Arial" w:hAnsi="Arial" w:cs="Arial"/>
          <w:noProof/>
          <w:vertAlign w:val="superscript"/>
        </w:rPr>
        <w:t>26</w:t>
      </w:r>
      <w:r w:rsidRPr="0011246A">
        <w:rPr>
          <w:rFonts w:ascii="Arial" w:hAnsi="Arial" w:cs="Arial"/>
        </w:rPr>
        <w:t xml:space="preserve">, while PCSK9 monoclonal antibodies cost ~ $14,000 per year in the USA (but about half this cost in Europe and Canada) </w:t>
      </w:r>
      <w:r w:rsidRPr="00600E92">
        <w:rPr>
          <w:rFonts w:ascii="Arial" w:hAnsi="Arial" w:cs="Arial"/>
          <w:noProof/>
          <w:vertAlign w:val="superscript"/>
        </w:rPr>
        <w:t>25</w:t>
      </w:r>
      <w:r w:rsidRPr="0011246A">
        <w:rPr>
          <w:rFonts w:ascii="Arial" w:hAnsi="Arial" w:cs="Arial"/>
        </w:rPr>
        <w:t xml:space="preserve">. The use of these expensive treatments certainly can impose an elevated burden to health systems especially for developing countries where FH is severely underdiagnosed </w:t>
      </w:r>
      <w:r w:rsidRPr="008534B6">
        <w:rPr>
          <w:rFonts w:ascii="Arial" w:hAnsi="Arial" w:cs="Arial"/>
          <w:noProof/>
          <w:vertAlign w:val="superscript"/>
        </w:rPr>
        <w:t>5</w:t>
      </w:r>
      <w:r w:rsidRPr="0011246A">
        <w:rPr>
          <w:rFonts w:ascii="Arial" w:hAnsi="Arial" w:cs="Arial"/>
        </w:rPr>
        <w:t xml:space="preserve">. Therefore the characterization of higher-risk individuals, the maximization of standard treatment use  and the judicious use of those treatments following a step-by-step protocol as shown in </w:t>
      </w:r>
      <w:r>
        <w:rPr>
          <w:rFonts w:ascii="Arial" w:hAnsi="Arial" w:cs="Arial"/>
        </w:rPr>
        <w:t>F</w:t>
      </w:r>
      <w:r w:rsidRPr="0011246A">
        <w:rPr>
          <w:rFonts w:ascii="Arial" w:hAnsi="Arial" w:cs="Arial"/>
        </w:rPr>
        <w:t xml:space="preserve">igure 1 could attenuate these costs as long as intensive LDL-C reduction effectively reduces the risk of these events. </w:t>
      </w:r>
    </w:p>
    <w:p w14:paraId="6A0619B5" w14:textId="77777777" w:rsidR="00B175ED" w:rsidRPr="0011246A" w:rsidRDefault="00B175ED" w:rsidP="00D67CD2">
      <w:pPr>
        <w:spacing w:line="480" w:lineRule="auto"/>
        <w:ind w:left="-567" w:hanging="142"/>
        <w:rPr>
          <w:rFonts w:ascii="Arial" w:hAnsi="Arial" w:cs="Arial"/>
          <w:b/>
        </w:rPr>
      </w:pPr>
      <w:r w:rsidRPr="0011246A">
        <w:rPr>
          <w:rFonts w:ascii="Arial" w:hAnsi="Arial" w:cs="Arial"/>
          <w:b/>
        </w:rPr>
        <w:t xml:space="preserve"> </w:t>
      </w:r>
    </w:p>
    <w:p w14:paraId="0715358F" w14:textId="77777777" w:rsidR="00B175ED" w:rsidRPr="0011246A" w:rsidRDefault="00B175ED" w:rsidP="00D67CD2">
      <w:pPr>
        <w:spacing w:line="480" w:lineRule="auto"/>
        <w:ind w:left="-567" w:hanging="142"/>
        <w:rPr>
          <w:rFonts w:ascii="Arial" w:hAnsi="Arial" w:cs="Arial"/>
          <w:b/>
        </w:rPr>
      </w:pPr>
      <w:r w:rsidRPr="0011246A">
        <w:rPr>
          <w:rFonts w:ascii="Arial" w:hAnsi="Arial" w:cs="Arial"/>
          <w:b/>
        </w:rPr>
        <w:t>Conclusions</w:t>
      </w:r>
    </w:p>
    <w:p w14:paraId="53B46BA4" w14:textId="77777777" w:rsidR="00B175ED" w:rsidRPr="0011246A" w:rsidRDefault="00B175ED" w:rsidP="00D67CD2">
      <w:pPr>
        <w:spacing w:line="480" w:lineRule="auto"/>
        <w:ind w:left="-567" w:hanging="142"/>
        <w:rPr>
          <w:rFonts w:ascii="Arial" w:hAnsi="Arial" w:cs="Arial"/>
          <w:b/>
        </w:rPr>
      </w:pPr>
      <w:r w:rsidRPr="0011246A">
        <w:rPr>
          <w:rFonts w:ascii="Arial" w:hAnsi="Arial" w:cs="Arial"/>
        </w:rPr>
        <w:t xml:space="preserve"> </w:t>
      </w:r>
      <w:r w:rsidRPr="0011246A">
        <w:rPr>
          <w:rFonts w:ascii="Arial" w:hAnsi="Arial" w:cs="Arial"/>
        </w:rPr>
        <w:tab/>
      </w:r>
      <w:r>
        <w:rPr>
          <w:rFonts w:ascii="Arial" w:hAnsi="Arial" w:cs="Arial"/>
        </w:rPr>
        <w:t xml:space="preserve"> </w:t>
      </w:r>
      <w:r w:rsidRPr="0011246A">
        <w:rPr>
          <w:rFonts w:ascii="Arial" w:hAnsi="Arial" w:cs="Arial"/>
        </w:rPr>
        <w:t xml:space="preserve">Essentially everyone with FH lives with increased lifetime risk for ASCVD. Among those with FH, a group with enhanced risk can be identified. </w:t>
      </w:r>
      <w:r>
        <w:rPr>
          <w:rFonts w:ascii="Arial" w:hAnsi="Arial" w:cs="Arial"/>
        </w:rPr>
        <w:t>In addition to</w:t>
      </w:r>
      <w:r w:rsidRPr="0011246A">
        <w:rPr>
          <w:rFonts w:ascii="Arial" w:hAnsi="Arial" w:cs="Arial"/>
        </w:rPr>
        <w:t xml:space="preserve"> patients with symptomatic ASCVD</w:t>
      </w:r>
      <w:r>
        <w:rPr>
          <w:rFonts w:ascii="Arial" w:hAnsi="Arial" w:cs="Arial"/>
        </w:rPr>
        <w:t>,</w:t>
      </w:r>
      <w:r w:rsidRPr="0011246A">
        <w:rPr>
          <w:rFonts w:ascii="Arial" w:hAnsi="Arial" w:cs="Arial"/>
        </w:rPr>
        <w:t xml:space="preserve"> they include those with the highest levels of LDL-C (irrespective of a molecular HeFH or HoFH diagnosis), those with </w:t>
      </w:r>
      <w:r>
        <w:rPr>
          <w:rFonts w:ascii="Arial" w:hAnsi="Arial" w:cs="Arial"/>
        </w:rPr>
        <w:t xml:space="preserve">advanced </w:t>
      </w:r>
      <w:r w:rsidRPr="0011246A">
        <w:rPr>
          <w:rFonts w:ascii="Arial" w:hAnsi="Arial" w:cs="Arial"/>
        </w:rPr>
        <w:t xml:space="preserve"> subclinical </w:t>
      </w:r>
      <w:r>
        <w:rPr>
          <w:rFonts w:ascii="Arial" w:hAnsi="Arial" w:cs="Arial"/>
        </w:rPr>
        <w:t xml:space="preserve">coronary </w:t>
      </w:r>
      <w:r w:rsidRPr="0011246A">
        <w:rPr>
          <w:rFonts w:ascii="Arial" w:hAnsi="Arial" w:cs="Arial"/>
        </w:rPr>
        <w:t xml:space="preserve">atherosclerosis, and those with additional ASCVD risk factors. For these severe FH patients treatment should be initiated with statins plus ezetimibe, </w:t>
      </w:r>
      <w:r>
        <w:rPr>
          <w:rFonts w:ascii="Arial" w:hAnsi="Arial" w:cs="Arial"/>
        </w:rPr>
        <w:t>and</w:t>
      </w:r>
      <w:r w:rsidRPr="0011246A">
        <w:rPr>
          <w:rFonts w:ascii="Arial" w:hAnsi="Arial" w:cs="Arial"/>
        </w:rPr>
        <w:t xml:space="preserve"> other conventional treatments as tolerated. If treatment goals are not met then newer agents including PCSK9 inhibitors, lomitapide, and mipomersen, should be considered. Other risk factors for ASCVD like smoking, or a sedentary life style must also be aggressively treated in this high-risk population. Those FH individuals with existing ASCVD should be treated </w:t>
      </w:r>
      <w:r>
        <w:rPr>
          <w:rFonts w:ascii="Arial" w:hAnsi="Arial" w:cs="Arial"/>
        </w:rPr>
        <w:t>aggressively and t</w:t>
      </w:r>
      <w:r w:rsidRPr="0011246A">
        <w:rPr>
          <w:rFonts w:ascii="Arial" w:hAnsi="Arial" w:cs="Arial"/>
        </w:rPr>
        <w:t xml:space="preserve">o achieve LDL-C targets </w:t>
      </w:r>
      <w:r>
        <w:rPr>
          <w:rFonts w:ascii="Arial" w:hAnsi="Arial" w:cs="Arial"/>
        </w:rPr>
        <w:t>earlier</w:t>
      </w:r>
      <w:r w:rsidRPr="0011246A">
        <w:rPr>
          <w:rFonts w:ascii="Arial" w:hAnsi="Arial" w:cs="Arial"/>
        </w:rPr>
        <w:t xml:space="preserve"> institution of treatment with newer agents is likely necessary. </w:t>
      </w:r>
    </w:p>
    <w:p w14:paraId="4B92515D" w14:textId="77777777" w:rsidR="00B175ED" w:rsidRDefault="00B175ED" w:rsidP="00D67CD2">
      <w:pPr>
        <w:spacing w:line="480" w:lineRule="auto"/>
        <w:ind w:left="-567"/>
        <w:rPr>
          <w:rFonts w:ascii="Arial" w:hAnsi="Arial" w:cs="Arial"/>
          <w:b/>
        </w:rPr>
      </w:pPr>
    </w:p>
    <w:p w14:paraId="47482E02" w14:textId="77777777" w:rsidR="00B175ED" w:rsidRPr="00305485" w:rsidRDefault="00B175ED" w:rsidP="00732FF8">
      <w:pPr>
        <w:spacing w:line="480" w:lineRule="auto"/>
        <w:ind w:left="-567"/>
        <w:rPr>
          <w:rFonts w:ascii="Arial" w:hAnsi="Arial" w:cs="Arial"/>
          <w:b/>
        </w:rPr>
      </w:pPr>
      <w:r w:rsidRPr="00DE6444">
        <w:rPr>
          <w:rFonts w:ascii="Arial" w:hAnsi="Arial" w:cs="Arial"/>
          <w:b/>
        </w:rPr>
        <w:t>Contributors</w:t>
      </w:r>
      <w:r w:rsidRPr="00305485">
        <w:rPr>
          <w:rFonts w:ascii="Arial" w:hAnsi="Arial" w:cs="Arial"/>
          <w:b/>
        </w:rPr>
        <w:t xml:space="preserve">  </w:t>
      </w:r>
    </w:p>
    <w:p w14:paraId="3719D8AC" w14:textId="77777777" w:rsidR="00B175ED" w:rsidRPr="00305485" w:rsidRDefault="00B175ED" w:rsidP="00732FF8">
      <w:pPr>
        <w:spacing w:line="480" w:lineRule="auto"/>
        <w:ind w:left="-567"/>
        <w:rPr>
          <w:rFonts w:ascii="Arial" w:hAnsi="Arial" w:cs="Arial"/>
        </w:rPr>
      </w:pPr>
      <w:r>
        <w:rPr>
          <w:rFonts w:ascii="Arial" w:hAnsi="Arial" w:cs="Arial"/>
        </w:rPr>
        <w:t xml:space="preserve">Writing committee: </w:t>
      </w:r>
      <w:r w:rsidRPr="00FF6BF2">
        <w:rPr>
          <w:rFonts w:ascii="Arial" w:hAnsi="Arial" w:cs="Arial"/>
        </w:rPr>
        <w:t xml:space="preserve">RDS, SSG, RAH, </w:t>
      </w:r>
      <w:r w:rsidRPr="00305485">
        <w:rPr>
          <w:rFonts w:ascii="Arial" w:hAnsi="Arial" w:cs="Arial"/>
        </w:rPr>
        <w:t>MC</w:t>
      </w:r>
      <w:r>
        <w:rPr>
          <w:rFonts w:ascii="Arial" w:hAnsi="Arial" w:cs="Arial"/>
        </w:rPr>
        <w:t xml:space="preserve"> and GW</w:t>
      </w:r>
      <w:r w:rsidRPr="00E42CD7">
        <w:rPr>
          <w:rFonts w:ascii="Arial" w:hAnsi="Arial" w:cs="Arial"/>
        </w:rPr>
        <w:t>.  PJB,</w:t>
      </w:r>
      <w:r>
        <w:rPr>
          <w:rFonts w:ascii="Arial" w:hAnsi="Arial" w:cs="Arial"/>
        </w:rPr>
        <w:t xml:space="preserve"> </w:t>
      </w:r>
      <w:r w:rsidRPr="00305485">
        <w:rPr>
          <w:rFonts w:ascii="Arial" w:hAnsi="Arial" w:cs="Arial"/>
        </w:rPr>
        <w:t>SSB, ALC, MJC, JP, EF, TF, JG, GKH, MHS, SHE, ASJ, PMa, PMo, FJR, KAR, KKR</w:t>
      </w:r>
      <w:r w:rsidRPr="00594AA8">
        <w:rPr>
          <w:rFonts w:ascii="Arial" w:hAnsi="Arial" w:cs="Arial"/>
        </w:rPr>
        <w:t>, ZR, EJGS, and SY have revised</w:t>
      </w:r>
      <w:r w:rsidRPr="00305485">
        <w:rPr>
          <w:rFonts w:ascii="Arial" w:hAnsi="Arial" w:cs="Arial"/>
        </w:rPr>
        <w:t xml:space="preserve"> the paper, discussed its contents and suggested changes. </w:t>
      </w:r>
      <w:r w:rsidRPr="009E41BD">
        <w:rPr>
          <w:rFonts w:ascii="Arial" w:hAnsi="Arial" w:cs="Arial"/>
        </w:rPr>
        <w:t>The IAS Severe FH Panel was chaired</w:t>
      </w:r>
      <w:r>
        <w:rPr>
          <w:rFonts w:ascii="Arial" w:hAnsi="Arial" w:cs="Arial"/>
        </w:rPr>
        <w:t xml:space="preserve"> by RDS with the help of SSG,</w:t>
      </w:r>
      <w:r w:rsidRPr="009E41BD">
        <w:rPr>
          <w:rFonts w:ascii="Arial" w:hAnsi="Arial" w:cs="Arial"/>
        </w:rPr>
        <w:t xml:space="preserve"> MC</w:t>
      </w:r>
      <w:r>
        <w:rPr>
          <w:rFonts w:ascii="Arial" w:hAnsi="Arial" w:cs="Arial"/>
        </w:rPr>
        <w:t>, AJ, EF and PB</w:t>
      </w:r>
      <w:r w:rsidRPr="009E41BD">
        <w:rPr>
          <w:rFonts w:ascii="Arial" w:hAnsi="Arial" w:cs="Arial"/>
        </w:rPr>
        <w:t xml:space="preserve">. </w:t>
      </w:r>
      <w:r>
        <w:rPr>
          <w:rFonts w:ascii="Arial" w:hAnsi="Arial" w:cs="Arial"/>
        </w:rPr>
        <w:t>RDS, SSG, RAH, GW, MC, and GKH have reviewed the literature and presented at the Amsterdam meeting in May 2015.</w:t>
      </w:r>
    </w:p>
    <w:p w14:paraId="7599FF12" w14:textId="77777777" w:rsidR="00B175ED" w:rsidRDefault="00B175ED" w:rsidP="00D67CD2">
      <w:pPr>
        <w:spacing w:line="480" w:lineRule="auto"/>
        <w:ind w:left="-567"/>
        <w:rPr>
          <w:rFonts w:ascii="Arial" w:hAnsi="Arial" w:cs="Arial"/>
          <w:b/>
        </w:rPr>
      </w:pPr>
    </w:p>
    <w:p w14:paraId="2FDB4569" w14:textId="77777777" w:rsidR="00B175ED" w:rsidRPr="00C30D1E" w:rsidRDefault="00B175ED" w:rsidP="00D67CD2">
      <w:pPr>
        <w:spacing w:line="480" w:lineRule="auto"/>
        <w:ind w:left="-567"/>
        <w:rPr>
          <w:rFonts w:ascii="Arial" w:hAnsi="Arial" w:cs="Arial"/>
          <w:b/>
        </w:rPr>
      </w:pPr>
      <w:r w:rsidRPr="00C30D1E">
        <w:rPr>
          <w:rFonts w:ascii="Arial" w:hAnsi="Arial" w:cs="Arial"/>
          <w:b/>
        </w:rPr>
        <w:t>D</w:t>
      </w:r>
      <w:r>
        <w:rPr>
          <w:rFonts w:ascii="Arial" w:hAnsi="Arial" w:cs="Arial"/>
          <w:b/>
        </w:rPr>
        <w:t>eclaration of interest</w:t>
      </w:r>
      <w:r w:rsidRPr="00C30D1E">
        <w:rPr>
          <w:rFonts w:ascii="Arial" w:hAnsi="Arial" w:cs="Arial"/>
          <w:b/>
        </w:rPr>
        <w:t>:</w:t>
      </w:r>
    </w:p>
    <w:p w14:paraId="0A0287F8" w14:textId="77777777" w:rsidR="00B175ED" w:rsidRPr="0011246A" w:rsidRDefault="00B175ED" w:rsidP="00D67CD2">
      <w:pPr>
        <w:ind w:left="-567"/>
        <w:rPr>
          <w:rFonts w:ascii="Arial" w:hAnsi="Arial" w:cs="Arial"/>
          <w:b/>
        </w:rPr>
      </w:pPr>
    </w:p>
    <w:p w14:paraId="1E26D8C3" w14:textId="77777777" w:rsidR="00B175ED" w:rsidRPr="00CA4891" w:rsidRDefault="00B175ED" w:rsidP="00D23B4F">
      <w:pPr>
        <w:spacing w:line="480" w:lineRule="auto"/>
        <w:rPr>
          <w:rFonts w:ascii="Arial" w:eastAsia="Times New Roman" w:hAnsi="Arial" w:cs="Arial"/>
        </w:rPr>
      </w:pPr>
      <w:r w:rsidRPr="00CA4891">
        <w:rPr>
          <w:rFonts w:ascii="Arial" w:eastAsia="Times New Roman" w:hAnsi="Arial" w:cs="Arial"/>
        </w:rPr>
        <w:t>Dr. Al-Rasadi reports grants from Pfizer, Sanofi, AstraZeneca</w:t>
      </w:r>
      <w:r>
        <w:rPr>
          <w:rFonts w:ascii="Arial" w:eastAsia="Times New Roman" w:hAnsi="Arial" w:cs="Arial"/>
        </w:rPr>
        <w:t xml:space="preserve"> and </w:t>
      </w:r>
      <w:r w:rsidRPr="00CA4891">
        <w:rPr>
          <w:rFonts w:ascii="Arial" w:eastAsia="Times New Roman" w:hAnsi="Arial" w:cs="Arial"/>
        </w:rPr>
        <w:t>Pfizer, outside the submitted work.</w:t>
      </w:r>
    </w:p>
    <w:p w14:paraId="535675FF" w14:textId="77777777" w:rsidR="00B175ED" w:rsidRDefault="00B175ED" w:rsidP="00D23B4F">
      <w:pPr>
        <w:spacing w:line="480" w:lineRule="auto"/>
        <w:rPr>
          <w:rFonts w:ascii="Arial" w:eastAsia="Times New Roman" w:hAnsi="Arial" w:cs="Arial"/>
        </w:rPr>
      </w:pPr>
      <w:r w:rsidRPr="001228ED">
        <w:rPr>
          <w:rFonts w:ascii="Arial" w:eastAsia="Times New Roman" w:hAnsi="Arial" w:cs="Arial"/>
        </w:rPr>
        <w:t>Dr. Barter reports personal fees from Amgen, personal fees from Sanofi-Regeneron, grants and personal fees from Pfizer, personal fees from Merck, during the conduct of the study.</w:t>
      </w:r>
      <w:r>
        <w:rPr>
          <w:rFonts w:ascii="Arial" w:eastAsia="Times New Roman" w:hAnsi="Arial" w:cs="Arial"/>
        </w:rPr>
        <w:t xml:space="preserve"> </w:t>
      </w:r>
    </w:p>
    <w:p w14:paraId="36F9AA94" w14:textId="77777777" w:rsidR="00B175ED" w:rsidRPr="00CA4891" w:rsidRDefault="00B175ED" w:rsidP="00D23B4F">
      <w:pPr>
        <w:spacing w:line="480" w:lineRule="auto"/>
        <w:rPr>
          <w:rFonts w:ascii="Arial" w:eastAsia="Times New Roman" w:hAnsi="Arial" w:cs="Arial"/>
        </w:rPr>
      </w:pPr>
      <w:r w:rsidRPr="00CA4891">
        <w:rPr>
          <w:rFonts w:ascii="Arial" w:eastAsia="Times New Roman" w:hAnsi="Arial" w:cs="Arial"/>
        </w:rPr>
        <w:t>Dr. Baum reports personal fees from Aegerion, personal fees from Amgen, personal fees from Merck, personal fees from Sanofi/Regeneron, outside the submitted work.</w:t>
      </w:r>
    </w:p>
    <w:p w14:paraId="2311BBAC" w14:textId="77777777" w:rsidR="00B175ED" w:rsidRPr="00305485" w:rsidRDefault="00B175ED" w:rsidP="00973DDC">
      <w:pPr>
        <w:spacing w:line="480" w:lineRule="auto"/>
        <w:rPr>
          <w:rFonts w:ascii="Arial" w:hAnsi="Arial" w:cs="Arial"/>
        </w:rPr>
      </w:pPr>
      <w:r w:rsidRPr="00305485">
        <w:rPr>
          <w:rFonts w:ascii="Arial" w:hAnsi="Arial" w:cs="Arial"/>
        </w:rPr>
        <w:t xml:space="preserve">Dr. Chapman declares the following relationships </w:t>
      </w:r>
      <w:r w:rsidRPr="00305485">
        <w:rPr>
          <w:rFonts w:ascii="Arial" w:hAnsi="Arial" w:cs="Arial"/>
          <w:i/>
          <w:iCs/>
        </w:rPr>
        <w:t>honoraria/grants for advisory boards/speaker/research funding from Amg</w:t>
      </w:r>
      <w:r>
        <w:rPr>
          <w:rFonts w:ascii="Arial" w:hAnsi="Arial" w:cs="Arial"/>
          <w:i/>
          <w:iCs/>
        </w:rPr>
        <w:t>en, Astra Zeneca, CSL, Kowa,</w:t>
      </w:r>
      <w:r w:rsidRPr="00305485">
        <w:rPr>
          <w:rFonts w:ascii="Arial" w:hAnsi="Arial" w:cs="Arial"/>
          <w:i/>
          <w:iCs/>
        </w:rPr>
        <w:t xml:space="preserve"> Sanofi-Regeneron, and Unilever</w:t>
      </w:r>
    </w:p>
    <w:p w14:paraId="7A596908" w14:textId="77777777" w:rsidR="00B175ED" w:rsidRDefault="00B175ED" w:rsidP="00D23B4F">
      <w:pPr>
        <w:spacing w:line="480" w:lineRule="auto"/>
        <w:rPr>
          <w:rFonts w:ascii="Arial" w:hAnsi="Arial" w:cs="Arial"/>
        </w:rPr>
      </w:pPr>
      <w:r w:rsidRPr="00CA4891">
        <w:rPr>
          <w:rFonts w:ascii="Arial" w:hAnsi="Arial" w:cs="Arial"/>
        </w:rPr>
        <w:t>Dr. Cuchel reports grants from NIH-NHLBI (P01-HL-0594-07-14), during the conduct of the study</w:t>
      </w:r>
      <w:r>
        <w:rPr>
          <w:rFonts w:ascii="Arial" w:hAnsi="Arial" w:cs="Arial"/>
        </w:rPr>
        <w:t>;</w:t>
      </w:r>
      <w:r w:rsidRPr="00CA4891">
        <w:rPr>
          <w:rFonts w:ascii="Arial" w:hAnsi="Arial" w:cs="Arial"/>
        </w:rPr>
        <w:t xml:space="preserve"> grants from Regeneron Pharmaceuticals, grants and personal fees from Sanofi-Aventis, grants and personal fees from Aegerion Pharmaceuticals, outside the submitted work.</w:t>
      </w:r>
    </w:p>
    <w:p w14:paraId="531F56E9" w14:textId="77777777" w:rsidR="00B175ED" w:rsidRDefault="00B175ED" w:rsidP="00D23B4F">
      <w:pPr>
        <w:spacing w:line="480" w:lineRule="auto"/>
        <w:rPr>
          <w:rFonts w:ascii="Arial" w:hAnsi="Arial" w:cs="Arial"/>
        </w:rPr>
      </w:pPr>
      <w:r w:rsidRPr="00CA4891">
        <w:rPr>
          <w:rFonts w:ascii="Arial" w:hAnsi="Arial" w:cs="Arial"/>
        </w:rPr>
        <w:t>Dr. Defesche has nothing to disclose.</w:t>
      </w:r>
    </w:p>
    <w:p w14:paraId="7455FDFC" w14:textId="77777777" w:rsidR="00B175ED" w:rsidRDefault="00B175ED" w:rsidP="00D23B4F">
      <w:pPr>
        <w:spacing w:line="480" w:lineRule="auto"/>
        <w:rPr>
          <w:rFonts w:ascii="Arial" w:hAnsi="Arial" w:cs="Arial"/>
        </w:rPr>
      </w:pPr>
      <w:r w:rsidRPr="001228ED">
        <w:rPr>
          <w:rFonts w:ascii="Arial" w:hAnsi="Arial" w:cs="Arial"/>
        </w:rPr>
        <w:t>Dr. Folco reports she is the Executive Director, International Atherosclerosis Society.</w:t>
      </w:r>
    </w:p>
    <w:p w14:paraId="21FDA87B" w14:textId="77777777" w:rsidR="00B175ED" w:rsidRDefault="00B175ED" w:rsidP="00D23B4F">
      <w:pPr>
        <w:spacing w:line="480" w:lineRule="auto"/>
        <w:rPr>
          <w:rFonts w:ascii="Arial" w:hAnsi="Arial" w:cs="Arial"/>
        </w:rPr>
      </w:pPr>
      <w:r w:rsidRPr="00CA4891">
        <w:rPr>
          <w:rFonts w:ascii="Arial" w:hAnsi="Arial" w:cs="Arial"/>
        </w:rPr>
        <w:t>Dr. Freiberger reports other from Amgen, other from Sanofi, other from Pfizer, outside the submitted work.</w:t>
      </w:r>
    </w:p>
    <w:p w14:paraId="1B353AF2" w14:textId="77777777" w:rsidR="00B175ED" w:rsidRDefault="00B175ED" w:rsidP="00D23B4F">
      <w:pPr>
        <w:spacing w:line="480" w:lineRule="auto"/>
        <w:rPr>
          <w:rFonts w:ascii="Arial" w:hAnsi="Arial" w:cs="Arial"/>
        </w:rPr>
      </w:pPr>
      <w:r w:rsidRPr="00CA4891">
        <w:rPr>
          <w:rFonts w:ascii="Arial" w:hAnsi="Arial" w:cs="Arial"/>
        </w:rPr>
        <w:t xml:space="preserve">Dr. Genest </w:t>
      </w:r>
      <w:r w:rsidRPr="008478B5">
        <w:rPr>
          <w:rFonts w:ascii="Arial" w:hAnsi="Arial" w:cs="Arial"/>
        </w:rPr>
        <w:t>reports grants from AMGEN, grants from Sanofi, grants from Pfizer, grants from Aegerion,  outside the submitted work.</w:t>
      </w:r>
    </w:p>
    <w:p w14:paraId="64231B98" w14:textId="77777777" w:rsidR="00B175ED" w:rsidRDefault="00B175ED" w:rsidP="00D23B4F">
      <w:pPr>
        <w:spacing w:line="480" w:lineRule="auto"/>
        <w:rPr>
          <w:rFonts w:ascii="Arial" w:hAnsi="Arial" w:cs="Arial"/>
        </w:rPr>
      </w:pPr>
      <w:r>
        <w:rPr>
          <w:rFonts w:ascii="Arial" w:hAnsi="Arial" w:cs="Arial"/>
        </w:rPr>
        <w:t xml:space="preserve">Dr. Gidding reports </w:t>
      </w:r>
      <w:r w:rsidRPr="00CA4891">
        <w:rPr>
          <w:rFonts w:ascii="Arial" w:hAnsi="Arial" w:cs="Arial"/>
        </w:rPr>
        <w:t>Membership, Scientific Advisory Board, FH Foundation.</w:t>
      </w:r>
    </w:p>
    <w:p w14:paraId="31E69393" w14:textId="77777777" w:rsidR="00B175ED" w:rsidRDefault="00B175ED" w:rsidP="00D23B4F">
      <w:pPr>
        <w:spacing w:line="480" w:lineRule="auto"/>
        <w:rPr>
          <w:rFonts w:ascii="Arial" w:hAnsi="Arial" w:cs="Arial"/>
        </w:rPr>
      </w:pPr>
      <w:r w:rsidRPr="00CA4891">
        <w:rPr>
          <w:rFonts w:ascii="Arial" w:hAnsi="Arial" w:cs="Arial"/>
        </w:rPr>
        <w:t xml:space="preserve">Dr. Harada-Shiba reports </w:t>
      </w:r>
      <w:r w:rsidRPr="008478B5">
        <w:rPr>
          <w:rFonts w:ascii="Arial" w:hAnsi="Arial" w:cs="Arial"/>
        </w:rPr>
        <w:t>grants from Japanese Ministry of Health and Welfare, grants from Japan Agency of Medical Research and Development,  during the conduct of the study; grants from Astellas Pharm Inc., grants from Kaneka Medix Co., personal fees from Sanofi Co., personal fees from Astellas Pham Inc., personal fees from Kowa Co., personal fees from Astellas Amgen Co., personal fees from Astrazeneca Co., personal fees from Boehringer Ingerheim Co., personal fees from BML Co., personal fees from Bayer Co., personal fees from MSD, personal fees from Aegerion.</w:t>
      </w:r>
    </w:p>
    <w:p w14:paraId="75B843D1" w14:textId="77777777" w:rsidR="00B175ED" w:rsidRDefault="00B175ED" w:rsidP="00D23B4F">
      <w:pPr>
        <w:spacing w:line="480" w:lineRule="auto"/>
        <w:rPr>
          <w:rFonts w:ascii="Arial" w:hAnsi="Arial" w:cs="Arial"/>
        </w:rPr>
      </w:pPr>
    </w:p>
    <w:p w14:paraId="390EABD4" w14:textId="77777777" w:rsidR="00B175ED" w:rsidRDefault="00B175ED" w:rsidP="000F4F94">
      <w:pPr>
        <w:spacing w:line="480" w:lineRule="auto"/>
        <w:rPr>
          <w:rFonts w:ascii="Arial" w:hAnsi="Arial" w:cs="Arial"/>
        </w:rPr>
      </w:pPr>
      <w:r w:rsidRPr="00CA4891">
        <w:rPr>
          <w:rFonts w:ascii="Arial" w:hAnsi="Arial" w:cs="Arial"/>
        </w:rPr>
        <w:t xml:space="preserve">Dr. Hegele reports others from </w:t>
      </w:r>
      <w:r w:rsidRPr="008478B5">
        <w:rPr>
          <w:rFonts w:ascii="Arial" w:hAnsi="Arial" w:cs="Arial"/>
        </w:rPr>
        <w:t>from Aegerion, Amgen, Ionis. Pfizer, Sanofi, Valeant; grants from Canadian Institutes of Health Research, Heart and Stroke Foundation of Canada; others from Genome Canada, Tribute and Ionis outside the submitted work.</w:t>
      </w:r>
    </w:p>
    <w:p w14:paraId="02E2A415" w14:textId="77777777" w:rsidR="00B175ED" w:rsidRPr="000F4F94" w:rsidRDefault="00B175ED" w:rsidP="000F4F94">
      <w:pPr>
        <w:spacing w:line="480" w:lineRule="auto"/>
        <w:rPr>
          <w:rFonts w:ascii="Arial" w:hAnsi="Arial" w:cs="Arial"/>
        </w:rPr>
      </w:pPr>
      <w:r w:rsidRPr="000F4F94">
        <w:rPr>
          <w:rFonts w:ascii="Arial" w:hAnsi="Arial" w:cs="Arial"/>
        </w:rPr>
        <w:t>Dr. Hovingh or his institution received honoraria for consultancy,</w:t>
      </w:r>
    </w:p>
    <w:p w14:paraId="4BBD78B8" w14:textId="77777777" w:rsidR="00B175ED" w:rsidRPr="000F4F94" w:rsidRDefault="00B175ED" w:rsidP="000F4F94">
      <w:pPr>
        <w:spacing w:line="480" w:lineRule="auto"/>
        <w:rPr>
          <w:rFonts w:ascii="Arial" w:hAnsi="Arial" w:cs="Arial"/>
        </w:rPr>
      </w:pPr>
      <w:r w:rsidRPr="000F4F94">
        <w:rPr>
          <w:rFonts w:ascii="Arial" w:hAnsi="Arial" w:cs="Arial"/>
        </w:rPr>
        <w:t>ad boards, and/or conduct of clinical trials from: Amgen,</w:t>
      </w:r>
    </w:p>
    <w:p w14:paraId="3ECD0270" w14:textId="77777777" w:rsidR="00B175ED" w:rsidRPr="000F4F94" w:rsidRDefault="00B175ED" w:rsidP="000F4F94">
      <w:pPr>
        <w:spacing w:line="480" w:lineRule="auto"/>
        <w:rPr>
          <w:rFonts w:ascii="Arial" w:hAnsi="Arial" w:cs="Arial"/>
        </w:rPr>
      </w:pPr>
      <w:r w:rsidRPr="000F4F94">
        <w:rPr>
          <w:rFonts w:ascii="Arial" w:hAnsi="Arial" w:cs="Arial"/>
        </w:rPr>
        <w:t>Aegerion, Pfizer, Astra Zeneca, Sanofi, Regeneron, KOWA, Ionis</w:t>
      </w:r>
    </w:p>
    <w:p w14:paraId="59E35A21" w14:textId="77777777" w:rsidR="00B175ED" w:rsidRPr="000F4F94" w:rsidRDefault="00B175ED" w:rsidP="000F4F94">
      <w:pPr>
        <w:spacing w:line="480" w:lineRule="auto"/>
        <w:rPr>
          <w:rFonts w:ascii="Arial" w:hAnsi="Arial" w:cs="Arial"/>
        </w:rPr>
      </w:pPr>
      <w:r w:rsidRPr="000F4F94">
        <w:rPr>
          <w:rFonts w:ascii="Arial" w:hAnsi="Arial" w:cs="Arial"/>
        </w:rPr>
        <w:t>pharmaceuticals, and Cerenis</w:t>
      </w:r>
      <w:r>
        <w:rPr>
          <w:rFonts w:ascii="Arial" w:hAnsi="Arial" w:cs="Arial"/>
        </w:rPr>
        <w:t xml:space="preserve"> </w:t>
      </w:r>
      <w:r w:rsidRPr="000F4F94">
        <w:rPr>
          <w:rFonts w:ascii="Arial" w:hAnsi="Arial" w:cs="Arial"/>
        </w:rPr>
        <w:t>and Synageva.</w:t>
      </w:r>
    </w:p>
    <w:p w14:paraId="02057CDB" w14:textId="77777777" w:rsidR="00B175ED" w:rsidRDefault="00B175ED" w:rsidP="00D23B4F">
      <w:pPr>
        <w:spacing w:line="480" w:lineRule="auto"/>
        <w:rPr>
          <w:rFonts w:ascii="Arial" w:hAnsi="Arial" w:cs="Arial"/>
        </w:rPr>
      </w:pPr>
      <w:r w:rsidRPr="00CA4891">
        <w:rPr>
          <w:rFonts w:ascii="Arial" w:hAnsi="Arial" w:cs="Arial"/>
        </w:rPr>
        <w:t>Dr. Humphries reports grants from British Heart Foundation, outside the submitted work.</w:t>
      </w:r>
    </w:p>
    <w:p w14:paraId="2793A15F" w14:textId="77777777" w:rsidR="00B175ED" w:rsidRDefault="00B175ED" w:rsidP="00D23B4F">
      <w:pPr>
        <w:spacing w:line="480" w:lineRule="auto"/>
        <w:rPr>
          <w:rFonts w:ascii="Arial" w:hAnsi="Arial" w:cs="Arial"/>
        </w:rPr>
      </w:pPr>
      <w:r w:rsidRPr="001228ED">
        <w:rPr>
          <w:rFonts w:ascii="Arial" w:hAnsi="Arial" w:cs="Arial"/>
        </w:rPr>
        <w:t>Dr. Jackson reports she is the Executive Director, International Atherosclerosis Society.</w:t>
      </w:r>
    </w:p>
    <w:p w14:paraId="65A27BC0" w14:textId="77777777" w:rsidR="00B175ED" w:rsidRDefault="00B175ED" w:rsidP="00D23B4F">
      <w:pPr>
        <w:spacing w:line="480" w:lineRule="auto"/>
        <w:rPr>
          <w:rFonts w:ascii="Arial" w:hAnsi="Arial" w:cs="Arial"/>
        </w:rPr>
      </w:pPr>
      <w:r w:rsidRPr="00CA4891">
        <w:rPr>
          <w:rFonts w:ascii="Arial" w:hAnsi="Arial" w:cs="Arial"/>
        </w:rPr>
        <w:t>Dr. Mata reports grants and personal fees from Amgen</w:t>
      </w:r>
      <w:r>
        <w:rPr>
          <w:rFonts w:ascii="Arial" w:hAnsi="Arial" w:cs="Arial"/>
        </w:rPr>
        <w:t xml:space="preserve">, grants from Sanofi, </w:t>
      </w:r>
      <w:r w:rsidRPr="00CA4891">
        <w:rPr>
          <w:rFonts w:ascii="Arial" w:hAnsi="Arial" w:cs="Arial"/>
        </w:rPr>
        <w:t>outside the submitted work.</w:t>
      </w:r>
    </w:p>
    <w:p w14:paraId="2572551C" w14:textId="77777777" w:rsidR="00B175ED" w:rsidRDefault="00B175ED" w:rsidP="00D23B4F">
      <w:pPr>
        <w:spacing w:line="480" w:lineRule="auto"/>
        <w:rPr>
          <w:rFonts w:ascii="Arial" w:hAnsi="Arial" w:cs="Arial"/>
        </w:rPr>
      </w:pPr>
      <w:r w:rsidRPr="00CA4891">
        <w:rPr>
          <w:rFonts w:ascii="Arial" w:hAnsi="Arial" w:cs="Arial"/>
        </w:rPr>
        <w:t>Dr. Moriarty reports grants and personal fees from Genzyme, grants and personal fees from Regeneron, grants and personal fees from Sanofi, grants and personal fees from Amgen, personal fees from Duke, personal fees from Alexion (formerly Synageva), personal fees from Cymabay Therapeutics, personal fees from Aegerion, grants and personal fees from ISIS/Akcea Therapeutics, grants from Catabasis, grants from Pfizer, grants from Novartis, grants from Kaneka, grants from NIH, personal fees from Esperion, outside the submitted work.</w:t>
      </w:r>
    </w:p>
    <w:p w14:paraId="2E37DD47" w14:textId="77777777" w:rsidR="00B175ED" w:rsidRDefault="00B175ED" w:rsidP="00D23B4F">
      <w:pPr>
        <w:spacing w:line="480" w:lineRule="auto"/>
        <w:rPr>
          <w:rFonts w:ascii="Arial" w:hAnsi="Arial" w:cs="Arial"/>
        </w:rPr>
      </w:pPr>
      <w:r w:rsidRPr="00CA4891">
        <w:rPr>
          <w:rFonts w:ascii="Arial" w:hAnsi="Arial" w:cs="Arial"/>
        </w:rPr>
        <w:t>Dr. Raal reports grants from University of Witwatersrand,  during the conduct of the study; personal fees and non-financial support from AstraZeneca, personal fees and non-financial support from Pfizer, personal fees and non-financial support from Merck, personal fees and non-financial support from Amgen, personal fees and non-financial support from Sanofi, outside the submitted work.</w:t>
      </w:r>
    </w:p>
    <w:p w14:paraId="3030B8EC" w14:textId="77777777" w:rsidR="00B175ED" w:rsidRDefault="00B175ED" w:rsidP="00D23B4F">
      <w:pPr>
        <w:spacing w:line="480" w:lineRule="auto"/>
        <w:rPr>
          <w:rFonts w:ascii="Arial" w:hAnsi="Arial" w:cs="Arial"/>
        </w:rPr>
      </w:pPr>
      <w:r w:rsidRPr="001228ED">
        <w:rPr>
          <w:rFonts w:ascii="Arial" w:hAnsi="Arial" w:cs="Arial"/>
        </w:rPr>
        <w:t>Dr. Ray reports grants from Pfizer, grants from Amgen, grants from MSD, grants from Sanofi, grants from Regeneron, personal fees from Amgen, personal fees from Sanofi, personal fees from Regeneron, personal fees from Pfizer, personal fees from AZ, personal fees from Kowa, personal fees from Aegerion, personal fees from MedCo, personal fees from MSD, personal fees from ISIS, personal fees from Cerenis, personal fees from Lilly, during the conduct of the study.</w:t>
      </w:r>
    </w:p>
    <w:p w14:paraId="5832FE30" w14:textId="77777777" w:rsidR="00B175ED" w:rsidRDefault="00B175ED" w:rsidP="00D23B4F">
      <w:pPr>
        <w:spacing w:line="480" w:lineRule="auto"/>
        <w:rPr>
          <w:rFonts w:ascii="Arial" w:hAnsi="Arial" w:cs="Arial"/>
        </w:rPr>
      </w:pPr>
      <w:r w:rsidRPr="001228ED">
        <w:rPr>
          <w:rFonts w:ascii="Arial" w:hAnsi="Arial" w:cs="Arial"/>
        </w:rPr>
        <w:t>Dr. Reiner reports personal fees from Sanofi, personal fees from Amgen, personal fees from Synageva, outside the submitted work.</w:t>
      </w:r>
    </w:p>
    <w:p w14:paraId="374E6A14" w14:textId="77777777" w:rsidR="00B175ED" w:rsidRDefault="00B175ED" w:rsidP="00D23B4F">
      <w:pPr>
        <w:spacing w:line="480" w:lineRule="auto"/>
        <w:rPr>
          <w:rFonts w:ascii="Arial" w:hAnsi="Arial" w:cs="Arial"/>
        </w:rPr>
      </w:pPr>
      <w:r w:rsidRPr="001228ED">
        <w:rPr>
          <w:rFonts w:ascii="Arial" w:hAnsi="Arial" w:cs="Arial"/>
        </w:rPr>
        <w:t>Dr. Sijbrands reports other from International FH Foundation, other from FH Foundation, during the conduct of the study; and outside the submitted work: grants from Novartis, grants from Erasmus MC, grants from Masqueliers, grants from Diabetes Fund, other from Novartis, other from Boehringer Ingelheim, MSD, Astellas.</w:t>
      </w:r>
    </w:p>
    <w:p w14:paraId="564857A8" w14:textId="77777777" w:rsidR="00B175ED" w:rsidRDefault="00B175ED" w:rsidP="00D23B4F">
      <w:pPr>
        <w:spacing w:line="480" w:lineRule="auto"/>
        <w:rPr>
          <w:rFonts w:ascii="Arial" w:hAnsi="Arial" w:cs="Arial"/>
        </w:rPr>
      </w:pPr>
      <w:r w:rsidRPr="001228ED">
        <w:rPr>
          <w:rFonts w:ascii="Arial" w:hAnsi="Arial" w:cs="Arial"/>
        </w:rPr>
        <w:t xml:space="preserve">Dr. Santos reports personal fees from Amgen, Aegerion, Astra Zeneca, Akcea, Biolab, Boehringer-Ingelheim, Cerenis, Eli-Lilly, </w:t>
      </w:r>
      <w:r>
        <w:rPr>
          <w:rFonts w:ascii="Arial" w:hAnsi="Arial" w:cs="Arial"/>
        </w:rPr>
        <w:t xml:space="preserve">Genzyme, </w:t>
      </w:r>
      <w:r w:rsidRPr="001228ED">
        <w:rPr>
          <w:rFonts w:ascii="Arial" w:hAnsi="Arial" w:cs="Arial"/>
        </w:rPr>
        <w:t>Kowa, Merck, Pfizer, Sanofi/Regeneron, Torrent</w:t>
      </w:r>
      <w:r>
        <w:rPr>
          <w:rFonts w:ascii="Arial" w:hAnsi="Arial" w:cs="Arial"/>
        </w:rPr>
        <w:t>, and</w:t>
      </w:r>
      <w:r w:rsidRPr="001228ED">
        <w:rPr>
          <w:rFonts w:ascii="Arial" w:hAnsi="Arial" w:cs="Arial"/>
        </w:rPr>
        <w:t xml:space="preserve"> Unilever, outside the submitted work</w:t>
      </w:r>
      <w:r>
        <w:rPr>
          <w:rFonts w:ascii="Arial" w:hAnsi="Arial" w:cs="Arial"/>
        </w:rPr>
        <w:t>.</w:t>
      </w:r>
    </w:p>
    <w:p w14:paraId="3057B26E" w14:textId="77777777" w:rsidR="00B175ED" w:rsidRDefault="00B175ED" w:rsidP="00D23B4F">
      <w:pPr>
        <w:spacing w:line="480" w:lineRule="auto"/>
        <w:rPr>
          <w:rFonts w:ascii="Arial" w:hAnsi="Arial" w:cs="Arial"/>
        </w:rPr>
      </w:pPr>
      <w:r w:rsidRPr="001228ED">
        <w:rPr>
          <w:rFonts w:ascii="Arial" w:hAnsi="Arial" w:cs="Arial"/>
        </w:rPr>
        <w:t>Dr. Watts reports grants and personal fees from Sanofi, grants and personal fees from Amgen, outside the submitted work.</w:t>
      </w:r>
    </w:p>
    <w:p w14:paraId="2F64FD1B" w14:textId="77777777" w:rsidR="00B175ED" w:rsidRDefault="00B175ED" w:rsidP="00D23B4F">
      <w:pPr>
        <w:spacing w:line="480" w:lineRule="auto"/>
        <w:rPr>
          <w:rFonts w:ascii="Arial" w:hAnsi="Arial" w:cs="Arial"/>
        </w:rPr>
      </w:pPr>
      <w:r w:rsidRPr="001228ED">
        <w:rPr>
          <w:rFonts w:ascii="Arial" w:hAnsi="Arial" w:cs="Arial"/>
        </w:rPr>
        <w:t>Dr. Yamashita reports grants from Boehringer</w:t>
      </w:r>
      <w:r>
        <w:rPr>
          <w:rFonts w:ascii="Arial" w:hAnsi="Arial" w:cs="Arial"/>
        </w:rPr>
        <w:t>-</w:t>
      </w:r>
      <w:r w:rsidRPr="001228ED">
        <w:rPr>
          <w:rFonts w:ascii="Arial" w:hAnsi="Arial" w:cs="Arial"/>
        </w:rPr>
        <w:t xml:space="preserve">Ingelheim, grants from Otsuka, grants and personal fees from Shionogi, grants and personal fees from Bayer, grants from National Institute of Biomedical Innovation, grants and personal fees from MSD, grants from Japan Tobacco, grants from Kyowa Medex, grants and personal fees from Takeda, grants and personal fees from Sanwa Kagaku Kenkyusho, grants and personal fees from Kowa, grants from Ono Pharmaceutical Co, grants from Astellas, grants from Daiichi-Sankyo, grants from Mochida, grants from Astrazeneca, grants from Izumisano City, grants from Kaizuka City, personal fees from Medical Review, personal fees from Skylight Biotec, grants from Hayashibara, grants from Teijin, grants from Kaken,  outside the submitted work; </w:t>
      </w:r>
      <w:r>
        <w:rPr>
          <w:rFonts w:ascii="Arial" w:hAnsi="Arial" w:cs="Arial"/>
        </w:rPr>
        <w:t>i</w:t>
      </w:r>
      <w:r w:rsidRPr="001228ED">
        <w:rPr>
          <w:rFonts w:ascii="Arial" w:hAnsi="Arial" w:cs="Arial"/>
        </w:rPr>
        <w:t>n addition, Dr. Yamashita has a patent Fujirebio pending.</w:t>
      </w:r>
    </w:p>
    <w:p w14:paraId="504EB1CD" w14:textId="77777777" w:rsidR="00B175ED" w:rsidRPr="0011246A" w:rsidRDefault="00B175ED" w:rsidP="00D67CD2">
      <w:pPr>
        <w:ind w:left="-567"/>
        <w:rPr>
          <w:rFonts w:ascii="Arial" w:hAnsi="Arial" w:cs="Arial"/>
          <w:b/>
        </w:rPr>
      </w:pPr>
    </w:p>
    <w:p w14:paraId="7607D9C4" w14:textId="77777777" w:rsidR="00B175ED" w:rsidRPr="0011246A" w:rsidRDefault="00B175ED" w:rsidP="005C7596">
      <w:pPr>
        <w:spacing w:line="480" w:lineRule="auto"/>
        <w:ind w:left="426" w:hanging="993"/>
        <w:rPr>
          <w:rFonts w:ascii="Arial" w:hAnsi="Arial" w:cs="Arial"/>
          <w:b/>
        </w:rPr>
      </w:pPr>
    </w:p>
    <w:p w14:paraId="263A1B4E" w14:textId="77777777" w:rsidR="00B175ED" w:rsidRPr="0011246A" w:rsidRDefault="00B175ED" w:rsidP="005C7596">
      <w:pPr>
        <w:ind w:left="-567"/>
        <w:rPr>
          <w:rFonts w:ascii="Arial" w:hAnsi="Arial" w:cs="Arial"/>
          <w:b/>
        </w:rPr>
      </w:pPr>
    </w:p>
    <w:p w14:paraId="1E3656C8" w14:textId="77777777" w:rsidR="00B175ED" w:rsidRPr="0011246A" w:rsidRDefault="00B175ED" w:rsidP="005C7596">
      <w:pPr>
        <w:spacing w:line="480" w:lineRule="auto"/>
        <w:ind w:left="-567"/>
        <w:rPr>
          <w:rFonts w:ascii="Arial" w:hAnsi="Arial" w:cs="Arial"/>
        </w:rPr>
      </w:pPr>
    </w:p>
    <w:p w14:paraId="25ABE929" w14:textId="77777777" w:rsidR="00B175ED" w:rsidRDefault="00B175ED" w:rsidP="00D67CD2">
      <w:pPr>
        <w:spacing w:line="480" w:lineRule="auto"/>
        <w:ind w:left="-567"/>
        <w:rPr>
          <w:rFonts w:ascii="Arial" w:hAnsi="Arial" w:cs="Arial"/>
          <w:b/>
        </w:rPr>
      </w:pPr>
    </w:p>
    <w:p w14:paraId="4F1C8DB4" w14:textId="77777777" w:rsidR="00B175ED" w:rsidRDefault="00B175ED" w:rsidP="00D67CD2">
      <w:pPr>
        <w:spacing w:line="480" w:lineRule="auto"/>
        <w:ind w:left="-567"/>
        <w:rPr>
          <w:rFonts w:ascii="Arial" w:hAnsi="Arial" w:cs="Arial"/>
          <w:b/>
        </w:rPr>
      </w:pPr>
    </w:p>
    <w:p w14:paraId="15751AFE" w14:textId="77777777" w:rsidR="00B175ED" w:rsidRDefault="00B175ED" w:rsidP="00D67CD2">
      <w:pPr>
        <w:spacing w:line="480" w:lineRule="auto"/>
        <w:ind w:left="-567"/>
        <w:rPr>
          <w:rFonts w:ascii="Arial" w:hAnsi="Arial" w:cs="Arial"/>
          <w:b/>
        </w:rPr>
      </w:pPr>
    </w:p>
    <w:p w14:paraId="48994BA1" w14:textId="77777777" w:rsidR="00B175ED" w:rsidRDefault="00B175ED" w:rsidP="00D67CD2">
      <w:pPr>
        <w:spacing w:line="480" w:lineRule="auto"/>
        <w:ind w:left="-567"/>
        <w:rPr>
          <w:rFonts w:ascii="Arial" w:hAnsi="Arial" w:cs="Arial"/>
          <w:b/>
        </w:rPr>
      </w:pPr>
    </w:p>
    <w:p w14:paraId="3BF732A9" w14:textId="77777777" w:rsidR="00B175ED" w:rsidRDefault="00B175ED" w:rsidP="00D67CD2">
      <w:pPr>
        <w:spacing w:line="480" w:lineRule="auto"/>
        <w:ind w:left="-567"/>
        <w:rPr>
          <w:rFonts w:ascii="Arial" w:hAnsi="Arial" w:cs="Arial"/>
          <w:b/>
        </w:rPr>
      </w:pPr>
    </w:p>
    <w:p w14:paraId="155F48B3" w14:textId="77777777" w:rsidR="00B175ED" w:rsidRPr="0011246A" w:rsidRDefault="00B175ED" w:rsidP="00DC15F3">
      <w:pPr>
        <w:ind w:left="-567"/>
        <w:rPr>
          <w:rFonts w:ascii="Arial" w:hAnsi="Arial" w:cs="Arial"/>
          <w:b/>
        </w:rPr>
      </w:pPr>
    </w:p>
    <w:p w14:paraId="0374C390" w14:textId="77777777" w:rsidR="00B175ED" w:rsidRPr="00F96BCA" w:rsidRDefault="00B175ED" w:rsidP="00D67CD2">
      <w:pPr>
        <w:spacing w:line="480" w:lineRule="auto"/>
        <w:ind w:left="-567"/>
        <w:rPr>
          <w:rFonts w:ascii="Arial" w:hAnsi="Arial" w:cs="Arial"/>
          <w:b/>
        </w:rPr>
      </w:pPr>
      <w:r w:rsidRPr="00F96BCA">
        <w:rPr>
          <w:rFonts w:ascii="Arial" w:hAnsi="Arial" w:cs="Arial"/>
          <w:b/>
        </w:rPr>
        <w:t xml:space="preserve">References </w:t>
      </w:r>
    </w:p>
    <w:p w14:paraId="317F1832" w14:textId="77777777" w:rsidR="00B175ED" w:rsidRPr="00DF7A53" w:rsidRDefault="00B175ED" w:rsidP="00D67CD2">
      <w:pPr>
        <w:spacing w:line="480" w:lineRule="auto"/>
        <w:ind w:left="-567"/>
        <w:rPr>
          <w:rFonts w:ascii="Arial" w:hAnsi="Arial" w:cs="Arial"/>
        </w:rPr>
      </w:pPr>
    </w:p>
    <w:p w14:paraId="73D0086F" w14:textId="77777777" w:rsidR="00B175ED" w:rsidRPr="00DF7A53" w:rsidRDefault="00B175ED" w:rsidP="00DE6444">
      <w:pPr>
        <w:pStyle w:val="EndNoteBibliography"/>
        <w:rPr>
          <w:rFonts w:ascii="Arial" w:hAnsi="Arial"/>
          <w:noProof/>
        </w:rPr>
      </w:pPr>
      <w:r w:rsidRPr="00DF7A53">
        <w:rPr>
          <w:rFonts w:ascii="Arial" w:hAnsi="Arial"/>
          <w:noProof/>
        </w:rPr>
        <w:t>1.</w:t>
      </w:r>
      <w:r w:rsidRPr="00DF7A53">
        <w:rPr>
          <w:rFonts w:ascii="Arial" w:hAnsi="Arial"/>
          <w:noProof/>
        </w:rPr>
        <w:tab/>
        <w:t xml:space="preserve">Gidding SS, Ann Champagne M, de Ferranti SD, et al. The Agenda for Familial Hypercholesterolemia: A Scientific Statement From the American Heart Association. </w:t>
      </w:r>
      <w:r w:rsidRPr="00DF7A53">
        <w:rPr>
          <w:rFonts w:ascii="Arial" w:hAnsi="Arial"/>
          <w:i/>
          <w:noProof/>
        </w:rPr>
        <w:t>Circulation</w:t>
      </w:r>
      <w:r w:rsidRPr="00DF7A53">
        <w:rPr>
          <w:rFonts w:ascii="Arial" w:hAnsi="Arial"/>
          <w:noProof/>
        </w:rPr>
        <w:t xml:space="preserve"> 2015; 132: 2167-92.</w:t>
      </w:r>
    </w:p>
    <w:p w14:paraId="0EE0751A" w14:textId="77777777" w:rsidR="00B175ED" w:rsidRPr="00DF7A53" w:rsidRDefault="00B175ED" w:rsidP="00DE6444">
      <w:pPr>
        <w:pStyle w:val="EndNoteBibliography"/>
        <w:rPr>
          <w:rFonts w:ascii="Arial" w:hAnsi="Arial"/>
          <w:noProof/>
        </w:rPr>
      </w:pPr>
      <w:r w:rsidRPr="00DF7A53">
        <w:rPr>
          <w:rFonts w:ascii="Arial" w:hAnsi="Arial"/>
          <w:noProof/>
        </w:rPr>
        <w:t>2.</w:t>
      </w:r>
      <w:r w:rsidRPr="00DF7A53">
        <w:rPr>
          <w:rFonts w:ascii="Arial" w:hAnsi="Arial"/>
          <w:noProof/>
        </w:rPr>
        <w:tab/>
        <w:t xml:space="preserve">Benn M, Watts GF, Tybjaerg-Hansen A, Nordestgaard BG. Familial hypercholesterolemia in the danish general population: prevalence, coronary artery disease, and cholesterol-lowering medication. </w:t>
      </w:r>
      <w:r w:rsidRPr="00DF7A53">
        <w:rPr>
          <w:rFonts w:ascii="Arial" w:hAnsi="Arial"/>
          <w:i/>
          <w:noProof/>
        </w:rPr>
        <w:t>J Clin Endocrinol Metab</w:t>
      </w:r>
      <w:r w:rsidRPr="00DF7A53">
        <w:rPr>
          <w:rFonts w:ascii="Arial" w:hAnsi="Arial"/>
          <w:noProof/>
        </w:rPr>
        <w:t xml:space="preserve"> 2012; 97</w:t>
      </w:r>
      <w:r>
        <w:rPr>
          <w:rFonts w:ascii="Arial" w:hAnsi="Arial"/>
          <w:noProof/>
        </w:rPr>
        <w:t>(11</w:t>
      </w:r>
      <w:r w:rsidRPr="00DF7A53">
        <w:rPr>
          <w:rFonts w:ascii="Arial" w:hAnsi="Arial"/>
          <w:noProof/>
        </w:rPr>
        <w:t>: 3956-64.</w:t>
      </w:r>
    </w:p>
    <w:p w14:paraId="53F913C7" w14:textId="77777777" w:rsidR="00B175ED" w:rsidRPr="00DF7A53" w:rsidRDefault="00B175ED" w:rsidP="00DE6444">
      <w:pPr>
        <w:pStyle w:val="EndNoteBibliography"/>
        <w:rPr>
          <w:rFonts w:ascii="Arial" w:hAnsi="Arial"/>
          <w:noProof/>
        </w:rPr>
      </w:pPr>
      <w:r w:rsidRPr="00DF7A53">
        <w:rPr>
          <w:rFonts w:ascii="Arial" w:hAnsi="Arial"/>
          <w:noProof/>
        </w:rPr>
        <w:t>3.</w:t>
      </w:r>
      <w:r w:rsidRPr="00DF7A53">
        <w:rPr>
          <w:rFonts w:ascii="Arial" w:hAnsi="Arial"/>
          <w:noProof/>
        </w:rPr>
        <w:tab/>
        <w:t xml:space="preserve">Watts GF, Gidding S, Wierzbicki AS, et al. Integrated guidance on the care of familial hypercholesterolemia from the International FH Foundation. </w:t>
      </w:r>
      <w:r w:rsidRPr="00DF7A53">
        <w:rPr>
          <w:rFonts w:ascii="Arial" w:hAnsi="Arial"/>
          <w:i/>
          <w:noProof/>
        </w:rPr>
        <w:t>J Clin Lipidol</w:t>
      </w:r>
      <w:r w:rsidRPr="00DF7A53">
        <w:rPr>
          <w:rFonts w:ascii="Arial" w:hAnsi="Arial"/>
          <w:noProof/>
        </w:rPr>
        <w:t xml:space="preserve"> 2014; 8(2): 148-72.</w:t>
      </w:r>
    </w:p>
    <w:p w14:paraId="15788F04" w14:textId="77777777" w:rsidR="00B175ED" w:rsidRPr="00DF7A53" w:rsidRDefault="00B175ED" w:rsidP="00DE6444">
      <w:pPr>
        <w:pStyle w:val="EndNoteBibliography"/>
        <w:rPr>
          <w:rFonts w:ascii="Arial" w:hAnsi="Arial"/>
          <w:noProof/>
        </w:rPr>
      </w:pPr>
      <w:r w:rsidRPr="00DF7A53">
        <w:rPr>
          <w:rFonts w:ascii="Arial" w:hAnsi="Arial"/>
          <w:noProof/>
        </w:rPr>
        <w:t>4.</w:t>
      </w:r>
      <w:r w:rsidRPr="00DF7A53">
        <w:rPr>
          <w:rFonts w:ascii="Arial" w:hAnsi="Arial"/>
          <w:noProof/>
        </w:rPr>
        <w:tab/>
        <w:t xml:space="preserve">Cuchel M, Bruckert E, Ginsberg HN, et al. Homozygous familial hypercholesterolaemia: new insights and guidance for clinicians to improve detection and clinical management. A position paper from the Consensus Panel on Familial Hypercholesterolaemia of the European Atherosclerosis Society. </w:t>
      </w:r>
      <w:r w:rsidRPr="00DF7A53">
        <w:rPr>
          <w:rFonts w:ascii="Arial" w:hAnsi="Arial"/>
          <w:i/>
          <w:noProof/>
        </w:rPr>
        <w:t>Eur Heart J</w:t>
      </w:r>
      <w:r w:rsidRPr="00DF7A53">
        <w:rPr>
          <w:rFonts w:ascii="Arial" w:hAnsi="Arial"/>
          <w:noProof/>
        </w:rPr>
        <w:t xml:space="preserve"> 2014; 35(32): 2146-57.</w:t>
      </w:r>
    </w:p>
    <w:p w14:paraId="4D133823" w14:textId="77777777" w:rsidR="00B175ED" w:rsidRPr="00DF7A53" w:rsidRDefault="00B175ED" w:rsidP="00DE6444">
      <w:pPr>
        <w:pStyle w:val="EndNoteBibliography"/>
        <w:rPr>
          <w:rFonts w:ascii="Arial" w:hAnsi="Arial"/>
          <w:noProof/>
        </w:rPr>
      </w:pPr>
      <w:r w:rsidRPr="00DF7A53">
        <w:rPr>
          <w:rFonts w:ascii="Arial" w:hAnsi="Arial"/>
          <w:noProof/>
        </w:rPr>
        <w:t>5.</w:t>
      </w:r>
      <w:r w:rsidRPr="00DF7A53">
        <w:rPr>
          <w:rFonts w:ascii="Arial" w:hAnsi="Arial"/>
          <w:noProof/>
        </w:rPr>
        <w:tab/>
        <w:t xml:space="preserve">Nordestgaard BG, Chapman MJ, Humphries SE, et al. Familial hypercholesterolaemia is underdiagnosed and undertreated in the general population: guidance for clinicians to prevent coronary heart disease: consensus statement of the European Atherosclerosis Society. </w:t>
      </w:r>
      <w:r w:rsidRPr="00DF7A53">
        <w:rPr>
          <w:rFonts w:ascii="Arial" w:hAnsi="Arial"/>
          <w:i/>
          <w:noProof/>
        </w:rPr>
        <w:t>Eur Heart J</w:t>
      </w:r>
      <w:r w:rsidRPr="00DF7A53">
        <w:rPr>
          <w:rFonts w:ascii="Arial" w:hAnsi="Arial"/>
          <w:noProof/>
        </w:rPr>
        <w:t xml:space="preserve"> 2013; 34(45): 3478-90a.</w:t>
      </w:r>
    </w:p>
    <w:p w14:paraId="755D6C94" w14:textId="77777777" w:rsidR="00B175ED" w:rsidRPr="00DF7A53" w:rsidRDefault="00B175ED" w:rsidP="00DE6444">
      <w:pPr>
        <w:pStyle w:val="EndNoteBibliography"/>
        <w:rPr>
          <w:rFonts w:ascii="Arial" w:hAnsi="Arial"/>
          <w:noProof/>
        </w:rPr>
      </w:pPr>
      <w:r w:rsidRPr="00DF7A53">
        <w:rPr>
          <w:rFonts w:ascii="Arial" w:hAnsi="Arial"/>
          <w:noProof/>
        </w:rPr>
        <w:t>6.</w:t>
      </w:r>
      <w:r w:rsidRPr="00DF7A53">
        <w:rPr>
          <w:rFonts w:ascii="Arial" w:hAnsi="Arial"/>
          <w:noProof/>
        </w:rPr>
        <w:tab/>
        <w:t xml:space="preserve">Lahtinen AM, Havulinna AS, Jula A, Salomaa V, Kontula K. Prevalence and clinical correlates of familial hypercholesterolemia founder mutations in the general population. </w:t>
      </w:r>
      <w:r w:rsidRPr="00DF7A53">
        <w:rPr>
          <w:rFonts w:ascii="Arial" w:hAnsi="Arial"/>
          <w:i/>
          <w:noProof/>
        </w:rPr>
        <w:t>Atherosclerosis</w:t>
      </w:r>
      <w:r w:rsidRPr="00DF7A53">
        <w:rPr>
          <w:rFonts w:ascii="Arial" w:hAnsi="Arial"/>
          <w:noProof/>
        </w:rPr>
        <w:t xml:space="preserve"> 2015; 238(1): 64-9.</w:t>
      </w:r>
    </w:p>
    <w:p w14:paraId="1C1B701D" w14:textId="77777777" w:rsidR="00B175ED" w:rsidRPr="00DF7A53" w:rsidRDefault="00B175ED" w:rsidP="00DE6444">
      <w:pPr>
        <w:pStyle w:val="EndNoteBibliography"/>
        <w:rPr>
          <w:rFonts w:ascii="Arial" w:hAnsi="Arial"/>
          <w:noProof/>
        </w:rPr>
      </w:pPr>
      <w:r w:rsidRPr="00DF7A53">
        <w:rPr>
          <w:rFonts w:ascii="Arial" w:hAnsi="Arial"/>
          <w:noProof/>
        </w:rPr>
        <w:t>7.</w:t>
      </w:r>
      <w:r w:rsidRPr="00DF7A53">
        <w:rPr>
          <w:rFonts w:ascii="Arial" w:hAnsi="Arial"/>
          <w:noProof/>
        </w:rPr>
        <w:tab/>
        <w:t xml:space="preserve">Raal FJ, Santos RD. Homozygous familial hypercholesterolemia: current perspectives on diagnosis and treatment. </w:t>
      </w:r>
      <w:r w:rsidRPr="00DF7A53">
        <w:rPr>
          <w:rFonts w:ascii="Arial" w:hAnsi="Arial"/>
          <w:i/>
          <w:noProof/>
        </w:rPr>
        <w:t>Atherosclerosis</w:t>
      </w:r>
      <w:r w:rsidRPr="00DF7A53">
        <w:rPr>
          <w:rFonts w:ascii="Arial" w:hAnsi="Arial"/>
          <w:noProof/>
        </w:rPr>
        <w:t xml:space="preserve"> 2012; 223(2): 262-8.</w:t>
      </w:r>
    </w:p>
    <w:p w14:paraId="63A8D63C" w14:textId="77777777" w:rsidR="00B175ED" w:rsidRPr="00DF7A53" w:rsidRDefault="00B175ED" w:rsidP="00DE6444">
      <w:pPr>
        <w:pStyle w:val="EndNoteBibliography"/>
        <w:rPr>
          <w:rFonts w:ascii="Arial" w:hAnsi="Arial"/>
          <w:noProof/>
        </w:rPr>
      </w:pPr>
      <w:r w:rsidRPr="00DF7A53">
        <w:rPr>
          <w:rFonts w:ascii="Arial" w:hAnsi="Arial"/>
          <w:noProof/>
        </w:rPr>
        <w:t>8.</w:t>
      </w:r>
      <w:r w:rsidRPr="00DF7A53">
        <w:rPr>
          <w:rFonts w:ascii="Arial" w:hAnsi="Arial"/>
          <w:noProof/>
        </w:rPr>
        <w:tab/>
        <w:t xml:space="preserve">Sjouke B, Kusters DM, Kindt I, et al. Homozygous autosomal dominant hypercholesterolaemia in the Netherlands: prevalence, genotype-phenotype relationship, and clinical outcome. </w:t>
      </w:r>
      <w:r w:rsidRPr="00DF7A53">
        <w:rPr>
          <w:rFonts w:ascii="Arial" w:hAnsi="Arial"/>
          <w:i/>
          <w:noProof/>
        </w:rPr>
        <w:t>Eur Heart J</w:t>
      </w:r>
      <w:r w:rsidRPr="00DF7A53">
        <w:rPr>
          <w:rFonts w:ascii="Arial" w:hAnsi="Arial"/>
          <w:noProof/>
        </w:rPr>
        <w:t xml:space="preserve"> 2015; 36(9): 560-5.</w:t>
      </w:r>
    </w:p>
    <w:p w14:paraId="5F2FA37F" w14:textId="77777777" w:rsidR="00B175ED" w:rsidRPr="00DF7A53" w:rsidRDefault="00B175ED" w:rsidP="00DE6444">
      <w:pPr>
        <w:pStyle w:val="EndNoteBibliography"/>
        <w:rPr>
          <w:rFonts w:ascii="Arial" w:hAnsi="Arial"/>
          <w:noProof/>
        </w:rPr>
      </w:pPr>
      <w:r w:rsidRPr="00DF7A53">
        <w:rPr>
          <w:rFonts w:ascii="Arial" w:hAnsi="Arial"/>
          <w:noProof/>
        </w:rPr>
        <w:t>9.</w:t>
      </w:r>
      <w:r w:rsidRPr="00DF7A53">
        <w:rPr>
          <w:rFonts w:ascii="Arial" w:hAnsi="Arial"/>
          <w:noProof/>
        </w:rPr>
        <w:tab/>
        <w:t xml:space="preserve">Austin MA, Hutter CM, Zimmern RL, Humphries SE. Familial hypercholesterolemia and coronary heart disease: a HuGE association review. </w:t>
      </w:r>
      <w:r w:rsidRPr="00DF7A53">
        <w:rPr>
          <w:rFonts w:ascii="Arial" w:hAnsi="Arial"/>
          <w:i/>
          <w:noProof/>
        </w:rPr>
        <w:t>American journal of epidemiology</w:t>
      </w:r>
      <w:r w:rsidRPr="00DF7A53">
        <w:rPr>
          <w:rFonts w:ascii="Arial" w:hAnsi="Arial"/>
          <w:noProof/>
        </w:rPr>
        <w:t xml:space="preserve"> 2004; 160(5): 421-9.</w:t>
      </w:r>
    </w:p>
    <w:p w14:paraId="41A027F6" w14:textId="77777777" w:rsidR="00B175ED" w:rsidRPr="00DF7A53" w:rsidRDefault="00B175ED" w:rsidP="00DE6444">
      <w:pPr>
        <w:pStyle w:val="EndNoteBibliography"/>
        <w:rPr>
          <w:rFonts w:ascii="Arial" w:hAnsi="Arial"/>
          <w:noProof/>
        </w:rPr>
      </w:pPr>
      <w:r w:rsidRPr="00DF7A53">
        <w:rPr>
          <w:rFonts w:ascii="Arial" w:hAnsi="Arial"/>
          <w:noProof/>
        </w:rPr>
        <w:t>10.</w:t>
      </w:r>
      <w:r w:rsidRPr="00DF7A53">
        <w:rPr>
          <w:rFonts w:ascii="Arial" w:hAnsi="Arial"/>
          <w:noProof/>
        </w:rPr>
        <w:tab/>
        <w:t xml:space="preserve">Baum SJ, Sijbrands EJ, Mata P, Watts GF. The doctor's dilemma: challenges in the diagnosis and care of homozygous familial hypercholesterolemia. </w:t>
      </w:r>
      <w:r w:rsidRPr="00DF7A53">
        <w:rPr>
          <w:rFonts w:ascii="Arial" w:hAnsi="Arial"/>
          <w:i/>
          <w:noProof/>
        </w:rPr>
        <w:t>J Clin Lipidol</w:t>
      </w:r>
      <w:r w:rsidRPr="00DF7A53">
        <w:rPr>
          <w:rFonts w:ascii="Arial" w:hAnsi="Arial"/>
          <w:noProof/>
        </w:rPr>
        <w:t xml:space="preserve"> 2014; 8(6): 542-9.</w:t>
      </w:r>
    </w:p>
    <w:p w14:paraId="3829E6A1" w14:textId="77777777" w:rsidR="00B175ED" w:rsidRPr="00DF7A53" w:rsidRDefault="00B175ED" w:rsidP="00DE6444">
      <w:pPr>
        <w:pStyle w:val="EndNoteBibliography"/>
        <w:rPr>
          <w:rFonts w:ascii="Arial" w:hAnsi="Arial"/>
          <w:noProof/>
        </w:rPr>
      </w:pPr>
      <w:r w:rsidRPr="00DF7A53">
        <w:rPr>
          <w:rFonts w:ascii="Arial" w:hAnsi="Arial"/>
          <w:noProof/>
        </w:rPr>
        <w:t>11.</w:t>
      </w:r>
      <w:r w:rsidRPr="00DF7A53">
        <w:rPr>
          <w:rFonts w:ascii="Arial" w:hAnsi="Arial"/>
          <w:noProof/>
        </w:rPr>
        <w:tab/>
        <w:t xml:space="preserve">Bertolini S, Pisciotta L, Rabacchi C, et al. Spectrum of mutations and phenotypic expression in patients with autosomal dominant hypercholesterolemia identified in Italy. </w:t>
      </w:r>
      <w:r w:rsidRPr="00DF7A53">
        <w:rPr>
          <w:rFonts w:ascii="Arial" w:hAnsi="Arial"/>
          <w:i/>
          <w:noProof/>
        </w:rPr>
        <w:t>Atherosclerosis</w:t>
      </w:r>
      <w:r w:rsidRPr="00DF7A53">
        <w:rPr>
          <w:rFonts w:ascii="Arial" w:hAnsi="Arial"/>
          <w:noProof/>
        </w:rPr>
        <w:t xml:space="preserve"> 2013; 227(2): 342-8.</w:t>
      </w:r>
    </w:p>
    <w:p w14:paraId="3A81754C" w14:textId="77777777" w:rsidR="00B175ED" w:rsidRPr="00DF7A53" w:rsidRDefault="00B175ED" w:rsidP="00DE6444">
      <w:pPr>
        <w:pStyle w:val="EndNoteBibliography"/>
        <w:rPr>
          <w:rFonts w:ascii="Arial" w:hAnsi="Arial"/>
          <w:noProof/>
        </w:rPr>
      </w:pPr>
      <w:r w:rsidRPr="00DF7A53">
        <w:rPr>
          <w:rFonts w:ascii="Arial" w:hAnsi="Arial"/>
          <w:noProof/>
        </w:rPr>
        <w:t>12.</w:t>
      </w:r>
      <w:r w:rsidRPr="00DF7A53">
        <w:rPr>
          <w:rFonts w:ascii="Arial" w:hAnsi="Arial"/>
          <w:noProof/>
        </w:rPr>
        <w:tab/>
        <w:t xml:space="preserve">Raal FJ, Santos RD, Blom DJ, et al. Mipomersen, an apolipoprotein B synthesis inhibitor, for lowering of LDL cholesterol concentrations in patients with homozygous familial hypercholesterolaemia: a randomised, double-blind, placebo-controlled trial. </w:t>
      </w:r>
      <w:r w:rsidRPr="00DF7A53">
        <w:rPr>
          <w:rFonts w:ascii="Arial" w:hAnsi="Arial"/>
          <w:i/>
          <w:noProof/>
        </w:rPr>
        <w:t>Lancet</w:t>
      </w:r>
      <w:r w:rsidRPr="00DF7A53">
        <w:rPr>
          <w:rFonts w:ascii="Arial" w:hAnsi="Arial"/>
          <w:noProof/>
        </w:rPr>
        <w:t xml:space="preserve"> 2010; 375(9719): 998-1006.</w:t>
      </w:r>
    </w:p>
    <w:p w14:paraId="137DB10A" w14:textId="77777777" w:rsidR="00B175ED" w:rsidRPr="00DF7A53" w:rsidRDefault="00B175ED" w:rsidP="00DE6444">
      <w:pPr>
        <w:pStyle w:val="EndNoteBibliography"/>
        <w:rPr>
          <w:rFonts w:ascii="Arial" w:hAnsi="Arial"/>
          <w:noProof/>
        </w:rPr>
      </w:pPr>
      <w:r w:rsidRPr="00DF7A53">
        <w:rPr>
          <w:rFonts w:ascii="Arial" w:hAnsi="Arial"/>
          <w:noProof/>
        </w:rPr>
        <w:t>13.</w:t>
      </w:r>
      <w:r w:rsidRPr="00DF7A53">
        <w:rPr>
          <w:rFonts w:ascii="Arial" w:hAnsi="Arial"/>
          <w:noProof/>
        </w:rPr>
        <w:tab/>
        <w:t xml:space="preserve">Cuchel M, Meagher EA, du Toit Theron H, et al. Efficacy and safety of a microsomal triglyceride transfer protein inhibitor in patients with homozygous familial hypercholesterolaemia: a single-arm, open-label, phase 3 study. </w:t>
      </w:r>
      <w:r w:rsidRPr="00DF7A53">
        <w:rPr>
          <w:rFonts w:ascii="Arial" w:hAnsi="Arial"/>
          <w:i/>
          <w:noProof/>
        </w:rPr>
        <w:t>Lancet</w:t>
      </w:r>
      <w:r w:rsidRPr="00DF7A53">
        <w:rPr>
          <w:rFonts w:ascii="Arial" w:hAnsi="Arial"/>
          <w:noProof/>
        </w:rPr>
        <w:t xml:space="preserve"> 2013; 381(9860): 40-6.</w:t>
      </w:r>
    </w:p>
    <w:p w14:paraId="57FD8A99" w14:textId="77777777" w:rsidR="00B175ED" w:rsidRPr="00DF7A53" w:rsidRDefault="00B175ED" w:rsidP="00DE6444">
      <w:pPr>
        <w:pStyle w:val="EndNoteBibliography"/>
        <w:rPr>
          <w:rFonts w:ascii="Arial" w:hAnsi="Arial"/>
          <w:noProof/>
        </w:rPr>
      </w:pPr>
      <w:r w:rsidRPr="00DF7A53">
        <w:rPr>
          <w:rFonts w:ascii="Arial" w:hAnsi="Arial"/>
          <w:noProof/>
        </w:rPr>
        <w:t>14.</w:t>
      </w:r>
      <w:r w:rsidRPr="00DF7A53">
        <w:rPr>
          <w:rFonts w:ascii="Arial" w:hAnsi="Arial"/>
          <w:noProof/>
        </w:rPr>
        <w:tab/>
        <w:t xml:space="preserve">Raal FJ, Stein EA, Dufour R, et al. PCSK9 inhibition with evolocumab (AMG 145) in heterozygous familial hypercholesterolaemia (RUTHERFORD-2): a randomised, double-blind, placebo-controlled trial. </w:t>
      </w:r>
      <w:r w:rsidRPr="00DF7A53">
        <w:rPr>
          <w:rFonts w:ascii="Arial" w:hAnsi="Arial"/>
          <w:i/>
          <w:noProof/>
        </w:rPr>
        <w:t>The Lancet</w:t>
      </w:r>
      <w:r w:rsidRPr="00DF7A53">
        <w:rPr>
          <w:rFonts w:ascii="Arial" w:hAnsi="Arial"/>
          <w:noProof/>
        </w:rPr>
        <w:t xml:space="preserve"> 2015; 385(9965): 331-40.</w:t>
      </w:r>
    </w:p>
    <w:p w14:paraId="34BAF1BD" w14:textId="77777777" w:rsidR="00B175ED" w:rsidRPr="00DF7A53" w:rsidRDefault="00B175ED" w:rsidP="00DE6444">
      <w:pPr>
        <w:pStyle w:val="EndNoteBibliography"/>
        <w:rPr>
          <w:rFonts w:ascii="Arial" w:hAnsi="Arial"/>
          <w:noProof/>
        </w:rPr>
      </w:pPr>
      <w:r w:rsidRPr="00DF7A53">
        <w:rPr>
          <w:rFonts w:ascii="Arial" w:hAnsi="Arial"/>
          <w:noProof/>
        </w:rPr>
        <w:t>15.</w:t>
      </w:r>
      <w:r w:rsidRPr="00DF7A53">
        <w:rPr>
          <w:rFonts w:ascii="Arial" w:hAnsi="Arial"/>
          <w:noProof/>
        </w:rPr>
        <w:tab/>
        <w:t xml:space="preserve">Talmud PJ, Shah S, Whittall R, et al. Use of low-density lipoprotein cholesterol gene score to distinguish patients with polygenic and monogenic familial hypercholesterolaemia: a case-control study. </w:t>
      </w:r>
      <w:r w:rsidRPr="00DF7A53">
        <w:rPr>
          <w:rFonts w:ascii="Arial" w:hAnsi="Arial"/>
          <w:i/>
          <w:noProof/>
        </w:rPr>
        <w:t>Lancet</w:t>
      </w:r>
      <w:r w:rsidRPr="00DF7A53">
        <w:rPr>
          <w:rFonts w:ascii="Arial" w:hAnsi="Arial"/>
          <w:noProof/>
        </w:rPr>
        <w:t xml:space="preserve"> 2013; 381(9874): 1293-301.</w:t>
      </w:r>
    </w:p>
    <w:p w14:paraId="02D8B78E" w14:textId="77777777" w:rsidR="00B175ED" w:rsidRPr="00DF7A53" w:rsidRDefault="00B175ED" w:rsidP="00DE6444">
      <w:pPr>
        <w:pStyle w:val="EndNoteBibliography"/>
        <w:rPr>
          <w:rFonts w:ascii="Arial" w:hAnsi="Arial"/>
          <w:noProof/>
        </w:rPr>
      </w:pPr>
      <w:r w:rsidRPr="00DF7A53">
        <w:rPr>
          <w:rFonts w:ascii="Arial" w:hAnsi="Arial"/>
          <w:noProof/>
        </w:rPr>
        <w:t>16.</w:t>
      </w:r>
      <w:r w:rsidRPr="00DF7A53">
        <w:rPr>
          <w:rFonts w:ascii="Arial" w:hAnsi="Arial"/>
          <w:noProof/>
        </w:rPr>
        <w:tab/>
        <w:t xml:space="preserve">Futema M, Shah S, Cooper JA, et al. Refinement of variant selection for the LDL cholesterol genetic risk score in the diagnosis of the polygenic form of clinical familial hypercholesterolemia and replication in samples from 6 countries. </w:t>
      </w:r>
      <w:r w:rsidRPr="00DF7A53">
        <w:rPr>
          <w:rFonts w:ascii="Arial" w:hAnsi="Arial"/>
          <w:i/>
          <w:noProof/>
        </w:rPr>
        <w:t>Clin Chem</w:t>
      </w:r>
      <w:r w:rsidRPr="00DF7A53">
        <w:rPr>
          <w:rFonts w:ascii="Arial" w:hAnsi="Arial"/>
          <w:noProof/>
        </w:rPr>
        <w:t xml:space="preserve"> 2015; 61(1): 231-8.</w:t>
      </w:r>
    </w:p>
    <w:p w14:paraId="4F067889" w14:textId="77777777" w:rsidR="00B175ED" w:rsidRPr="00DF7A53" w:rsidRDefault="00B175ED" w:rsidP="00DE6444">
      <w:pPr>
        <w:pStyle w:val="EndNoteBibliography"/>
        <w:rPr>
          <w:rFonts w:ascii="Arial" w:hAnsi="Arial"/>
          <w:noProof/>
        </w:rPr>
      </w:pPr>
      <w:r w:rsidRPr="00DF7A53">
        <w:rPr>
          <w:rFonts w:ascii="Arial" w:hAnsi="Arial"/>
          <w:noProof/>
        </w:rPr>
        <w:t>17.</w:t>
      </w:r>
      <w:r w:rsidRPr="00DF7A53">
        <w:rPr>
          <w:rFonts w:ascii="Arial" w:hAnsi="Arial"/>
          <w:noProof/>
        </w:rPr>
        <w:tab/>
        <w:t xml:space="preserve">Souverein OW, Defesche JC, Zwinderman AH, Kastelein JJ, Tanck MW. Influence of LDL-receptor mutation type on age at first cardiovascular event in patients with familial hypercholesterolaemia. </w:t>
      </w:r>
      <w:r w:rsidRPr="00DF7A53">
        <w:rPr>
          <w:rFonts w:ascii="Arial" w:hAnsi="Arial"/>
          <w:i/>
          <w:noProof/>
        </w:rPr>
        <w:t>Eur Heart J</w:t>
      </w:r>
      <w:r w:rsidRPr="00DF7A53">
        <w:rPr>
          <w:rFonts w:ascii="Arial" w:hAnsi="Arial"/>
          <w:noProof/>
        </w:rPr>
        <w:t xml:space="preserve"> 2007; 28(3): 299-304.</w:t>
      </w:r>
    </w:p>
    <w:p w14:paraId="464AF138" w14:textId="77777777" w:rsidR="00B175ED" w:rsidRPr="00DF7A53" w:rsidRDefault="00B175ED" w:rsidP="00DE6444">
      <w:pPr>
        <w:pStyle w:val="EndNoteBibliography"/>
        <w:rPr>
          <w:rFonts w:ascii="Arial" w:hAnsi="Arial"/>
          <w:noProof/>
        </w:rPr>
      </w:pPr>
      <w:r w:rsidRPr="00DF7A53">
        <w:rPr>
          <w:rFonts w:ascii="Arial" w:hAnsi="Arial"/>
          <w:noProof/>
        </w:rPr>
        <w:t>18.</w:t>
      </w:r>
      <w:r w:rsidRPr="00DF7A53">
        <w:rPr>
          <w:rFonts w:ascii="Arial" w:hAnsi="Arial"/>
          <w:noProof/>
        </w:rPr>
        <w:tab/>
        <w:t xml:space="preserve">Neil A, Cooper J, Betteridge J, et al. Reductions in all-cause, cancer, and coronary mortality in statin-treated patients with heterozygous familial hypercholesterolaemia: a prospective registry study. </w:t>
      </w:r>
      <w:r w:rsidRPr="00DF7A53">
        <w:rPr>
          <w:rFonts w:ascii="Arial" w:hAnsi="Arial"/>
          <w:i/>
          <w:noProof/>
        </w:rPr>
        <w:t>Eur Heart J</w:t>
      </w:r>
      <w:r w:rsidRPr="00DF7A53">
        <w:rPr>
          <w:rFonts w:ascii="Arial" w:hAnsi="Arial"/>
          <w:noProof/>
        </w:rPr>
        <w:t xml:space="preserve"> 2008; 29(21): 2625-33.</w:t>
      </w:r>
    </w:p>
    <w:p w14:paraId="4414CCD5" w14:textId="77777777" w:rsidR="00B175ED" w:rsidRPr="00DF7A53" w:rsidRDefault="00B175ED" w:rsidP="00DE6444">
      <w:pPr>
        <w:pStyle w:val="EndNoteBibliography"/>
        <w:rPr>
          <w:rFonts w:ascii="Arial" w:hAnsi="Arial"/>
          <w:noProof/>
        </w:rPr>
      </w:pPr>
      <w:r w:rsidRPr="00DF7A53">
        <w:rPr>
          <w:rFonts w:ascii="Arial" w:hAnsi="Arial"/>
          <w:noProof/>
        </w:rPr>
        <w:t>19.</w:t>
      </w:r>
      <w:r w:rsidRPr="00DF7A53">
        <w:rPr>
          <w:rFonts w:ascii="Arial" w:hAnsi="Arial"/>
          <w:noProof/>
        </w:rPr>
        <w:tab/>
        <w:t xml:space="preserve">Yeboah J, McClelland RL, Polonsky TS, et al. Comparison of novel risk markers for improvement in cardiovascular risk assessment in intermediate-risk individuals. </w:t>
      </w:r>
      <w:r w:rsidRPr="00DF7A53">
        <w:rPr>
          <w:rFonts w:ascii="Arial" w:hAnsi="Arial"/>
          <w:i/>
          <w:noProof/>
        </w:rPr>
        <w:t>Jama</w:t>
      </w:r>
      <w:r w:rsidRPr="00DF7A53">
        <w:rPr>
          <w:rFonts w:ascii="Arial" w:hAnsi="Arial"/>
          <w:noProof/>
        </w:rPr>
        <w:t xml:space="preserve"> 2012; 308(8): 788-95.</w:t>
      </w:r>
    </w:p>
    <w:p w14:paraId="6D02D8E6" w14:textId="77777777" w:rsidR="00B175ED" w:rsidRPr="00DF7A53" w:rsidRDefault="00B175ED" w:rsidP="00DE6444">
      <w:pPr>
        <w:pStyle w:val="EndNoteBibliography"/>
        <w:rPr>
          <w:rFonts w:ascii="Arial" w:hAnsi="Arial"/>
          <w:noProof/>
        </w:rPr>
      </w:pPr>
      <w:r w:rsidRPr="00DF7A53">
        <w:rPr>
          <w:rFonts w:ascii="Arial" w:hAnsi="Arial"/>
          <w:noProof/>
        </w:rPr>
        <w:t>20.</w:t>
      </w:r>
      <w:r w:rsidRPr="00DF7A53">
        <w:rPr>
          <w:rFonts w:ascii="Arial" w:hAnsi="Arial"/>
          <w:noProof/>
        </w:rPr>
        <w:tab/>
        <w:t xml:space="preserve">Cho I, Chang HJ, B OH, et al. Incremental prognostic utility of coronary CT angiography for asymptomatic patients based upon extent and severity of coronary artery calcium: results from the COronary CT Angiography EvaluatioN For Clinical Outcomes InteRnational Multicenter (CONFIRM) study. </w:t>
      </w:r>
      <w:r w:rsidRPr="00DF7A53">
        <w:rPr>
          <w:rFonts w:ascii="Arial" w:hAnsi="Arial"/>
          <w:i/>
          <w:noProof/>
        </w:rPr>
        <w:t>Eur Heart J</w:t>
      </w:r>
      <w:r w:rsidRPr="00DF7A53">
        <w:rPr>
          <w:rFonts w:ascii="Arial" w:hAnsi="Arial"/>
          <w:noProof/>
        </w:rPr>
        <w:t xml:space="preserve"> 2015; 36(8): 501-8.</w:t>
      </w:r>
    </w:p>
    <w:p w14:paraId="2147E15F" w14:textId="77777777" w:rsidR="00B175ED" w:rsidRPr="00DF7A53" w:rsidRDefault="00B175ED" w:rsidP="00DE6444">
      <w:pPr>
        <w:pStyle w:val="EndNoteBibliography"/>
        <w:rPr>
          <w:rFonts w:ascii="Arial" w:hAnsi="Arial"/>
          <w:noProof/>
        </w:rPr>
      </w:pPr>
      <w:r w:rsidRPr="00DF7A53">
        <w:rPr>
          <w:rFonts w:ascii="Arial" w:hAnsi="Arial"/>
          <w:noProof/>
        </w:rPr>
        <w:t>21.</w:t>
      </w:r>
      <w:r w:rsidRPr="00DF7A53">
        <w:rPr>
          <w:rFonts w:ascii="Arial" w:hAnsi="Arial"/>
          <w:noProof/>
        </w:rPr>
        <w:tab/>
        <w:t xml:space="preserve">Tada H, Kawashiri MA, Okada H, et al. Assessment of coronary atherosclerosis in patients with familial hypercholesterolemia by coronary computed tomography angiography. </w:t>
      </w:r>
      <w:r w:rsidRPr="00DF7A53">
        <w:rPr>
          <w:rFonts w:ascii="Arial" w:hAnsi="Arial"/>
          <w:i/>
          <w:noProof/>
        </w:rPr>
        <w:t>Am J Cardiol</w:t>
      </w:r>
      <w:r w:rsidRPr="00DF7A53">
        <w:rPr>
          <w:rFonts w:ascii="Arial" w:hAnsi="Arial"/>
          <w:noProof/>
        </w:rPr>
        <w:t xml:space="preserve"> 2015; 115(6): 724-9.</w:t>
      </w:r>
    </w:p>
    <w:p w14:paraId="5D9DD00D" w14:textId="77777777" w:rsidR="00B175ED" w:rsidRPr="00DF7A53" w:rsidRDefault="00B175ED" w:rsidP="00DE6444">
      <w:pPr>
        <w:pStyle w:val="EndNoteBibliography"/>
        <w:rPr>
          <w:rFonts w:ascii="Arial" w:hAnsi="Arial"/>
          <w:noProof/>
        </w:rPr>
      </w:pPr>
      <w:r w:rsidRPr="00DF7A53">
        <w:rPr>
          <w:rFonts w:ascii="Arial" w:hAnsi="Arial"/>
          <w:noProof/>
        </w:rPr>
        <w:t>22.</w:t>
      </w:r>
      <w:r w:rsidRPr="00DF7A53">
        <w:rPr>
          <w:rFonts w:ascii="Arial" w:hAnsi="Arial"/>
          <w:noProof/>
        </w:rPr>
        <w:tab/>
        <w:t xml:space="preserve">Besseling J, Kindt I, Hof M, Kastelein JJ, Hutten BA, Hovingh GK. Severe heterozygous familial hypercholesterolemia and risk for cardiovascular disease: a study of a cohort of 14,000 mutation carriers. </w:t>
      </w:r>
      <w:r w:rsidRPr="00DF7A53">
        <w:rPr>
          <w:rFonts w:ascii="Arial" w:hAnsi="Arial"/>
          <w:i/>
          <w:noProof/>
        </w:rPr>
        <w:t>Atherosclerosis</w:t>
      </w:r>
      <w:r w:rsidRPr="00DF7A53">
        <w:rPr>
          <w:rFonts w:ascii="Arial" w:hAnsi="Arial"/>
          <w:noProof/>
        </w:rPr>
        <w:t xml:space="preserve"> 2014; 233(1): 219-23.</w:t>
      </w:r>
    </w:p>
    <w:p w14:paraId="0A437B10" w14:textId="77777777" w:rsidR="00B175ED" w:rsidRPr="00DF7A53" w:rsidRDefault="00B175ED" w:rsidP="00DE6444">
      <w:pPr>
        <w:pStyle w:val="EndNoteBibliography"/>
        <w:rPr>
          <w:rFonts w:ascii="Arial" w:hAnsi="Arial"/>
          <w:noProof/>
        </w:rPr>
      </w:pPr>
      <w:r w:rsidRPr="00DF7A53">
        <w:rPr>
          <w:rFonts w:ascii="Arial" w:hAnsi="Arial"/>
          <w:noProof/>
        </w:rPr>
        <w:t>23.</w:t>
      </w:r>
      <w:r w:rsidRPr="00DF7A53">
        <w:rPr>
          <w:rFonts w:ascii="Arial" w:hAnsi="Arial"/>
          <w:noProof/>
        </w:rPr>
        <w:tab/>
        <w:t xml:space="preserve">Santos RD, Raal FJ, Catapano AL, Witztum JL, Steinhagen-Thiessen E, Tsimikas S. Mipomersen, an antisense oligonucleotide to apolipoprotein B-100, reduces lipoprotein(a) in various populations with hypercholesterolemia: results of 4 phase III trials. </w:t>
      </w:r>
      <w:r w:rsidRPr="00DF7A53">
        <w:rPr>
          <w:rFonts w:ascii="Arial" w:hAnsi="Arial"/>
          <w:i/>
          <w:noProof/>
        </w:rPr>
        <w:t>Arterioscler Thromb Vasc Biol</w:t>
      </w:r>
      <w:r w:rsidRPr="00DF7A53">
        <w:rPr>
          <w:rFonts w:ascii="Arial" w:hAnsi="Arial"/>
          <w:noProof/>
        </w:rPr>
        <w:t xml:space="preserve"> 2015; 35(3): 689-99.</w:t>
      </w:r>
    </w:p>
    <w:p w14:paraId="59D4BD59" w14:textId="77777777" w:rsidR="00B175ED" w:rsidRPr="00DF7A53" w:rsidRDefault="00B175ED" w:rsidP="00DE6444">
      <w:pPr>
        <w:pStyle w:val="EndNoteBibliography"/>
        <w:rPr>
          <w:rFonts w:ascii="Arial" w:hAnsi="Arial"/>
          <w:noProof/>
        </w:rPr>
      </w:pPr>
      <w:r w:rsidRPr="00DF7A53">
        <w:rPr>
          <w:rFonts w:ascii="Arial" w:hAnsi="Arial"/>
          <w:noProof/>
        </w:rPr>
        <w:t>24.</w:t>
      </w:r>
      <w:r w:rsidRPr="00DF7A53">
        <w:rPr>
          <w:rFonts w:ascii="Arial" w:hAnsi="Arial"/>
          <w:noProof/>
        </w:rPr>
        <w:tab/>
        <w:t xml:space="preserve">Kastelein JJ, Ginsberg HN, Langslet G, et al. ODYSSEY FH I and FH II: 78 week results with alirocumab treatment in 735 patients with heterozygous familial hypercholesterolaemia. </w:t>
      </w:r>
      <w:r w:rsidRPr="00DF7A53">
        <w:rPr>
          <w:rFonts w:ascii="Arial" w:hAnsi="Arial"/>
          <w:i/>
          <w:noProof/>
        </w:rPr>
        <w:t>Eur Heart J</w:t>
      </w:r>
      <w:r w:rsidRPr="00DF7A53">
        <w:rPr>
          <w:rFonts w:ascii="Arial" w:hAnsi="Arial"/>
          <w:noProof/>
        </w:rPr>
        <w:t xml:space="preserve"> 2015; 36(43): 2996-3003.</w:t>
      </w:r>
    </w:p>
    <w:p w14:paraId="5170E36F" w14:textId="77777777" w:rsidR="00B175ED" w:rsidRPr="00DF7A53" w:rsidRDefault="00B175ED" w:rsidP="00DE6444">
      <w:pPr>
        <w:pStyle w:val="EndNoteBibliography"/>
        <w:rPr>
          <w:rFonts w:ascii="Arial" w:hAnsi="Arial"/>
          <w:noProof/>
        </w:rPr>
      </w:pPr>
      <w:r w:rsidRPr="00DF7A53">
        <w:rPr>
          <w:rFonts w:ascii="Arial" w:hAnsi="Arial"/>
          <w:noProof/>
        </w:rPr>
        <w:t>25.</w:t>
      </w:r>
      <w:r w:rsidRPr="00DF7A53">
        <w:rPr>
          <w:rFonts w:ascii="Arial" w:hAnsi="Arial"/>
          <w:noProof/>
        </w:rPr>
        <w:tab/>
        <w:t xml:space="preserve">Weintraub WS, Gidding SS. PCSK9 Inhibitors: A Technology Worth Paying For? </w:t>
      </w:r>
      <w:r w:rsidRPr="00DF7A53">
        <w:rPr>
          <w:rFonts w:ascii="Arial" w:hAnsi="Arial"/>
          <w:i/>
          <w:noProof/>
        </w:rPr>
        <w:t>PharmacoEconomics</w:t>
      </w:r>
      <w:r w:rsidRPr="00DF7A53">
        <w:rPr>
          <w:rFonts w:ascii="Arial" w:hAnsi="Arial"/>
          <w:noProof/>
        </w:rPr>
        <w:t xml:space="preserve"> 2015.</w:t>
      </w:r>
    </w:p>
    <w:p w14:paraId="72D20CF0" w14:textId="77777777" w:rsidR="00B175ED" w:rsidRPr="00DF7A53" w:rsidRDefault="00B175ED" w:rsidP="00DE6444">
      <w:pPr>
        <w:pStyle w:val="EndNoteBibliography"/>
        <w:rPr>
          <w:rFonts w:ascii="Arial" w:hAnsi="Arial"/>
          <w:noProof/>
        </w:rPr>
      </w:pPr>
      <w:r w:rsidRPr="00DF7A53">
        <w:rPr>
          <w:rFonts w:ascii="Arial" w:hAnsi="Arial"/>
          <w:noProof/>
        </w:rPr>
        <w:t>26.</w:t>
      </w:r>
      <w:r w:rsidRPr="00DF7A53">
        <w:rPr>
          <w:rFonts w:ascii="Arial" w:hAnsi="Arial"/>
          <w:noProof/>
        </w:rPr>
        <w:tab/>
        <w:t xml:space="preserve">Milani RV, Lavie CJ. Lipid control in the modern era: an orphan's tale of rags to riches. </w:t>
      </w:r>
      <w:r w:rsidRPr="00DF7A53">
        <w:rPr>
          <w:rFonts w:ascii="Arial" w:hAnsi="Arial"/>
          <w:i/>
          <w:noProof/>
        </w:rPr>
        <w:t>J Am Coll Cardiol</w:t>
      </w:r>
      <w:r w:rsidRPr="00DF7A53">
        <w:rPr>
          <w:rFonts w:ascii="Arial" w:hAnsi="Arial"/>
          <w:noProof/>
        </w:rPr>
        <w:t xml:space="preserve"> 2013; 62(23): 2185-7.</w:t>
      </w:r>
    </w:p>
    <w:p w14:paraId="7F473770" w14:textId="77777777" w:rsidR="00B175ED" w:rsidRPr="00DF7A53" w:rsidRDefault="00B175ED" w:rsidP="00DE6444">
      <w:pPr>
        <w:pStyle w:val="EndNoteBibliography"/>
        <w:rPr>
          <w:rFonts w:ascii="Arial" w:hAnsi="Arial"/>
          <w:noProof/>
        </w:rPr>
      </w:pPr>
      <w:r w:rsidRPr="00DF7A53">
        <w:rPr>
          <w:rFonts w:ascii="Arial" w:hAnsi="Arial"/>
          <w:noProof/>
        </w:rPr>
        <w:t>27.</w:t>
      </w:r>
      <w:r w:rsidRPr="00DF7A53">
        <w:rPr>
          <w:rFonts w:ascii="Arial" w:hAnsi="Arial"/>
          <w:noProof/>
        </w:rPr>
        <w:tab/>
        <w:t xml:space="preserve">Di Angelantonio E, Gao P, Pennells L, et al. Lipid-related markers and cardiovascular disease prediction. </w:t>
      </w:r>
      <w:r w:rsidRPr="00DF7A53">
        <w:rPr>
          <w:rFonts w:ascii="Arial" w:hAnsi="Arial"/>
          <w:i/>
          <w:noProof/>
        </w:rPr>
        <w:t>Jama</w:t>
      </w:r>
      <w:r w:rsidRPr="00DF7A53">
        <w:rPr>
          <w:rFonts w:ascii="Arial" w:hAnsi="Arial"/>
          <w:noProof/>
        </w:rPr>
        <w:t xml:space="preserve"> 2012; 307(23): 2499-506.</w:t>
      </w:r>
    </w:p>
    <w:p w14:paraId="6A26C563" w14:textId="77777777" w:rsidR="00B175ED" w:rsidRPr="00DF7A53" w:rsidRDefault="00B175ED" w:rsidP="00DE6444">
      <w:pPr>
        <w:pStyle w:val="EndNoteBibliography"/>
        <w:rPr>
          <w:rFonts w:ascii="Arial" w:hAnsi="Arial"/>
          <w:noProof/>
        </w:rPr>
      </w:pPr>
      <w:r w:rsidRPr="00DF7A53">
        <w:rPr>
          <w:rFonts w:ascii="Arial" w:hAnsi="Arial"/>
          <w:noProof/>
        </w:rPr>
        <w:t>28.</w:t>
      </w:r>
      <w:r w:rsidRPr="00DF7A53">
        <w:rPr>
          <w:rFonts w:ascii="Arial" w:hAnsi="Arial"/>
          <w:noProof/>
        </w:rPr>
        <w:tab/>
        <w:t xml:space="preserve">Teslovich TM, Musunuru K, Smith AV, et al. Biological, clinical and population relevance of 95 loci for blood lipids. </w:t>
      </w:r>
      <w:r w:rsidRPr="00DF7A53">
        <w:rPr>
          <w:rFonts w:ascii="Arial" w:hAnsi="Arial"/>
          <w:i/>
          <w:noProof/>
        </w:rPr>
        <w:t>Nature</w:t>
      </w:r>
      <w:r w:rsidRPr="00DF7A53">
        <w:rPr>
          <w:rFonts w:ascii="Arial" w:hAnsi="Arial"/>
          <w:noProof/>
        </w:rPr>
        <w:t xml:space="preserve"> 2010; 466(7307): 707-13.</w:t>
      </w:r>
    </w:p>
    <w:p w14:paraId="6C6F50FC" w14:textId="77777777" w:rsidR="00B175ED" w:rsidRPr="00DF7A53" w:rsidRDefault="00B175ED" w:rsidP="00DE6444">
      <w:pPr>
        <w:pStyle w:val="EndNoteBibliography"/>
        <w:rPr>
          <w:rFonts w:ascii="Arial" w:hAnsi="Arial"/>
          <w:noProof/>
        </w:rPr>
      </w:pPr>
      <w:r w:rsidRPr="00DF7A53">
        <w:rPr>
          <w:rFonts w:ascii="Arial" w:hAnsi="Arial"/>
          <w:noProof/>
        </w:rPr>
        <w:t>29.</w:t>
      </w:r>
      <w:r w:rsidRPr="00DF7A53">
        <w:rPr>
          <w:rFonts w:ascii="Arial" w:hAnsi="Arial"/>
          <w:noProof/>
        </w:rPr>
        <w:tab/>
        <w:t xml:space="preserve">Cohen JC, Boerwinkle E, Mosley TH, Jr., Hobbs HH. Sequence variations in PCSK9, low LDL, and protection against coronary heart disease. </w:t>
      </w:r>
      <w:r w:rsidRPr="00DF7A53">
        <w:rPr>
          <w:rFonts w:ascii="Arial" w:hAnsi="Arial"/>
          <w:i/>
          <w:noProof/>
        </w:rPr>
        <w:t>The New England journal of medicine</w:t>
      </w:r>
      <w:r w:rsidRPr="00DF7A53">
        <w:rPr>
          <w:rFonts w:ascii="Arial" w:hAnsi="Arial"/>
          <w:noProof/>
        </w:rPr>
        <w:t xml:space="preserve"> 2006; 354(12): 1264-72.</w:t>
      </w:r>
    </w:p>
    <w:p w14:paraId="0582D494" w14:textId="77777777" w:rsidR="00B175ED" w:rsidRPr="00DF7A53" w:rsidRDefault="00B175ED" w:rsidP="00DE6444">
      <w:pPr>
        <w:pStyle w:val="EndNoteBibliography"/>
        <w:rPr>
          <w:rFonts w:ascii="Arial" w:hAnsi="Arial"/>
          <w:noProof/>
        </w:rPr>
      </w:pPr>
      <w:r w:rsidRPr="00DF7A53">
        <w:rPr>
          <w:rFonts w:ascii="Arial" w:hAnsi="Arial"/>
          <w:noProof/>
        </w:rPr>
        <w:t>30.</w:t>
      </w:r>
      <w:r w:rsidRPr="00DF7A53">
        <w:rPr>
          <w:rFonts w:ascii="Arial" w:hAnsi="Arial"/>
          <w:noProof/>
        </w:rPr>
        <w:tab/>
        <w:t xml:space="preserve">Ference BA, Yoo W, Alesh I, et al. Effect of long-term exposure to lower low-density lipoprotein cholesterol beginning early in life on the risk of coronary heart disease: a Mendelian randomization analysis. </w:t>
      </w:r>
      <w:r w:rsidRPr="00DF7A53">
        <w:rPr>
          <w:rFonts w:ascii="Arial" w:hAnsi="Arial"/>
          <w:i/>
          <w:noProof/>
        </w:rPr>
        <w:t>J Am Coll Cardiol</w:t>
      </w:r>
      <w:r w:rsidRPr="00DF7A53">
        <w:rPr>
          <w:rFonts w:ascii="Arial" w:hAnsi="Arial"/>
          <w:noProof/>
        </w:rPr>
        <w:t xml:space="preserve"> 2012; 60(25): 2631-9.</w:t>
      </w:r>
    </w:p>
    <w:p w14:paraId="0721DD27" w14:textId="77777777" w:rsidR="00B175ED" w:rsidRPr="00DF7A53" w:rsidRDefault="00B175ED" w:rsidP="00DE6444">
      <w:pPr>
        <w:pStyle w:val="EndNoteBibliography"/>
        <w:rPr>
          <w:rFonts w:ascii="Arial" w:hAnsi="Arial"/>
          <w:noProof/>
        </w:rPr>
      </w:pPr>
      <w:r w:rsidRPr="00DF7A53">
        <w:rPr>
          <w:rFonts w:ascii="Arial" w:hAnsi="Arial"/>
          <w:noProof/>
        </w:rPr>
        <w:t>31.</w:t>
      </w:r>
      <w:r w:rsidRPr="00DF7A53">
        <w:rPr>
          <w:rFonts w:ascii="Arial" w:hAnsi="Arial"/>
          <w:noProof/>
        </w:rPr>
        <w:tab/>
        <w:t xml:space="preserve">Cholesterol Treatment Trialists C, Baigent C, Blackwell L, et al. Efficacy and safety of more intensive lowering of LDL cholesterol: a meta-analysis of data from 170,000 participants in 26 randomised trials. </w:t>
      </w:r>
      <w:r w:rsidRPr="00DF7A53">
        <w:rPr>
          <w:rFonts w:ascii="Arial" w:hAnsi="Arial"/>
          <w:i/>
          <w:noProof/>
        </w:rPr>
        <w:t>Lancet</w:t>
      </w:r>
      <w:r w:rsidRPr="00DF7A53">
        <w:rPr>
          <w:rFonts w:ascii="Arial" w:hAnsi="Arial"/>
          <w:noProof/>
        </w:rPr>
        <w:t xml:space="preserve"> 2010; 376(9753): 1670-81.</w:t>
      </w:r>
    </w:p>
    <w:p w14:paraId="392DDB2A" w14:textId="77777777" w:rsidR="00B175ED" w:rsidRPr="00DF7A53" w:rsidRDefault="00B175ED" w:rsidP="00DE6444">
      <w:pPr>
        <w:pStyle w:val="EndNoteBibliography"/>
        <w:rPr>
          <w:rFonts w:ascii="Arial" w:hAnsi="Arial"/>
          <w:noProof/>
        </w:rPr>
      </w:pPr>
      <w:r w:rsidRPr="00DF7A53">
        <w:rPr>
          <w:rFonts w:ascii="Arial" w:hAnsi="Arial"/>
          <w:noProof/>
        </w:rPr>
        <w:t>32.</w:t>
      </w:r>
      <w:r w:rsidRPr="00DF7A53">
        <w:rPr>
          <w:rFonts w:ascii="Arial" w:hAnsi="Arial"/>
          <w:noProof/>
        </w:rPr>
        <w:tab/>
        <w:t xml:space="preserve">Cannon CP, Blazing MA, Braunwald E. Ezetimibe plus a Statin after Acute Coronary Syndromes. </w:t>
      </w:r>
      <w:r w:rsidRPr="00DF7A53">
        <w:rPr>
          <w:rFonts w:ascii="Arial" w:hAnsi="Arial"/>
          <w:i/>
          <w:noProof/>
        </w:rPr>
        <w:t>The New England journal of medicine</w:t>
      </w:r>
      <w:r w:rsidRPr="00DF7A53">
        <w:rPr>
          <w:rFonts w:ascii="Arial" w:hAnsi="Arial"/>
          <w:noProof/>
        </w:rPr>
        <w:t xml:space="preserve"> 2015; 373(15): 1476-7.</w:t>
      </w:r>
    </w:p>
    <w:p w14:paraId="2F3DA45D" w14:textId="77777777" w:rsidR="00B175ED" w:rsidRPr="00DF7A53" w:rsidRDefault="00B175ED" w:rsidP="00DE6444">
      <w:pPr>
        <w:pStyle w:val="EndNoteBibliography"/>
        <w:rPr>
          <w:rFonts w:ascii="Arial" w:hAnsi="Arial"/>
          <w:noProof/>
        </w:rPr>
      </w:pPr>
      <w:r w:rsidRPr="00DF7A53">
        <w:rPr>
          <w:rFonts w:ascii="Arial" w:hAnsi="Arial"/>
          <w:noProof/>
        </w:rPr>
        <w:t>33.</w:t>
      </w:r>
      <w:r w:rsidRPr="00DF7A53">
        <w:rPr>
          <w:rFonts w:ascii="Arial" w:hAnsi="Arial"/>
          <w:noProof/>
        </w:rPr>
        <w:tab/>
        <w:t xml:space="preserve">Lakoski SG, Lagace TA, Cohen JC, Horton JD, Hobbs HH. Genetic and metabolic determinants of plasma PCSK9 levels. </w:t>
      </w:r>
      <w:r w:rsidRPr="00DF7A53">
        <w:rPr>
          <w:rFonts w:ascii="Arial" w:hAnsi="Arial"/>
          <w:i/>
          <w:noProof/>
        </w:rPr>
        <w:t>J Clin Endocrinol Metab</w:t>
      </w:r>
      <w:r w:rsidRPr="00DF7A53">
        <w:rPr>
          <w:rFonts w:ascii="Arial" w:hAnsi="Arial"/>
          <w:noProof/>
        </w:rPr>
        <w:t xml:space="preserve"> 2009; 94(7): 2537-43.</w:t>
      </w:r>
    </w:p>
    <w:p w14:paraId="6AD74FE9" w14:textId="77777777" w:rsidR="00B175ED" w:rsidRPr="00DF7A53" w:rsidRDefault="00B175ED" w:rsidP="00DE6444">
      <w:pPr>
        <w:pStyle w:val="EndNoteBibliography"/>
        <w:rPr>
          <w:rFonts w:ascii="Arial" w:hAnsi="Arial"/>
          <w:noProof/>
        </w:rPr>
      </w:pPr>
      <w:r w:rsidRPr="00DF7A53">
        <w:rPr>
          <w:rFonts w:ascii="Arial" w:hAnsi="Arial"/>
          <w:noProof/>
        </w:rPr>
        <w:t>34.</w:t>
      </w:r>
      <w:r w:rsidRPr="00DF7A53">
        <w:rPr>
          <w:rFonts w:ascii="Arial" w:hAnsi="Arial"/>
          <w:noProof/>
        </w:rPr>
        <w:tab/>
        <w:t xml:space="preserve">Horton JD, Cohen JC, Hobbs HH. PCSK9: a convertase that coordinates LDL catabolism. </w:t>
      </w:r>
      <w:r w:rsidRPr="00DF7A53">
        <w:rPr>
          <w:rFonts w:ascii="Arial" w:hAnsi="Arial"/>
          <w:i/>
          <w:noProof/>
        </w:rPr>
        <w:t>J Lipid Res</w:t>
      </w:r>
      <w:r w:rsidRPr="00DF7A53">
        <w:rPr>
          <w:rFonts w:ascii="Arial" w:hAnsi="Arial"/>
          <w:noProof/>
        </w:rPr>
        <w:t xml:space="preserve"> 2009; 50 Suppl: S172-7.</w:t>
      </w:r>
    </w:p>
    <w:p w14:paraId="61218C76" w14:textId="77777777" w:rsidR="00B175ED" w:rsidRPr="00DF7A53" w:rsidRDefault="00B175ED" w:rsidP="00DE6444">
      <w:pPr>
        <w:pStyle w:val="EndNoteBibliography"/>
        <w:rPr>
          <w:rFonts w:ascii="Arial" w:hAnsi="Arial"/>
          <w:noProof/>
        </w:rPr>
      </w:pPr>
      <w:r w:rsidRPr="00DF7A53">
        <w:rPr>
          <w:rFonts w:ascii="Arial" w:hAnsi="Arial"/>
          <w:noProof/>
        </w:rPr>
        <w:t>35.</w:t>
      </w:r>
      <w:r w:rsidRPr="00DF7A53">
        <w:rPr>
          <w:rFonts w:ascii="Arial" w:hAnsi="Arial"/>
          <w:noProof/>
        </w:rPr>
        <w:tab/>
        <w:t xml:space="preserve">Kolansky DM, Cuchel M, Clark BJ, et al. Longitudinal evaluation and assessment of cardiovascular disease in patients with homozygous familial hypercholesterolemia. </w:t>
      </w:r>
      <w:r w:rsidRPr="00DF7A53">
        <w:rPr>
          <w:rFonts w:ascii="Arial" w:hAnsi="Arial"/>
          <w:i/>
          <w:noProof/>
        </w:rPr>
        <w:t>Am J Cardiol</w:t>
      </w:r>
      <w:r w:rsidRPr="00DF7A53">
        <w:rPr>
          <w:rFonts w:ascii="Arial" w:hAnsi="Arial"/>
          <w:noProof/>
        </w:rPr>
        <w:t xml:space="preserve"> 2008; 102(11): 1438-43.</w:t>
      </w:r>
    </w:p>
    <w:p w14:paraId="5F167D95" w14:textId="77777777" w:rsidR="00B175ED" w:rsidRPr="00DF7A53" w:rsidRDefault="00B175ED" w:rsidP="00DE6444">
      <w:pPr>
        <w:pStyle w:val="EndNoteBibliography"/>
        <w:rPr>
          <w:rFonts w:ascii="Arial" w:hAnsi="Arial"/>
          <w:noProof/>
        </w:rPr>
      </w:pPr>
      <w:r w:rsidRPr="00DF7A53">
        <w:rPr>
          <w:rFonts w:ascii="Arial" w:hAnsi="Arial"/>
          <w:noProof/>
        </w:rPr>
        <w:t>36.</w:t>
      </w:r>
      <w:r w:rsidRPr="00DF7A53">
        <w:rPr>
          <w:rFonts w:ascii="Arial" w:hAnsi="Arial"/>
          <w:noProof/>
        </w:rPr>
        <w:tab/>
        <w:t xml:space="preserve">Thompson GR. Managing homozygous familial hypercholesterolaemia from cradle to grave. </w:t>
      </w:r>
      <w:r w:rsidRPr="00DF7A53">
        <w:rPr>
          <w:rFonts w:ascii="Arial" w:hAnsi="Arial"/>
          <w:i/>
          <w:noProof/>
        </w:rPr>
        <w:t>Atheroscler Suppl</w:t>
      </w:r>
      <w:r w:rsidRPr="00DF7A53">
        <w:rPr>
          <w:rFonts w:ascii="Arial" w:hAnsi="Arial"/>
          <w:noProof/>
        </w:rPr>
        <w:t xml:space="preserve"> 2015; 18: 16-20.</w:t>
      </w:r>
    </w:p>
    <w:p w14:paraId="7CDC9A7C" w14:textId="77777777" w:rsidR="00B175ED" w:rsidRPr="00DF7A53" w:rsidRDefault="00B175ED" w:rsidP="00DE6444">
      <w:pPr>
        <w:pStyle w:val="EndNoteBibliography"/>
        <w:rPr>
          <w:rFonts w:ascii="Arial" w:hAnsi="Arial"/>
          <w:noProof/>
        </w:rPr>
      </w:pPr>
      <w:r w:rsidRPr="00DF7A53">
        <w:rPr>
          <w:rFonts w:ascii="Arial" w:hAnsi="Arial"/>
          <w:noProof/>
        </w:rPr>
        <w:t>37.</w:t>
      </w:r>
      <w:r w:rsidRPr="00DF7A53">
        <w:rPr>
          <w:rFonts w:ascii="Arial" w:hAnsi="Arial"/>
          <w:noProof/>
        </w:rPr>
        <w:tab/>
        <w:t xml:space="preserve">Risk of fatal coronary heart disease in familial hypercholesterolaemia. Scientific Steering Committee on behalf of the Simon Broome Register Group. </w:t>
      </w:r>
      <w:r w:rsidRPr="00DF7A53">
        <w:rPr>
          <w:rFonts w:ascii="Arial" w:hAnsi="Arial"/>
          <w:i/>
          <w:noProof/>
        </w:rPr>
        <w:t>BMJ (Clinical research ed)</w:t>
      </w:r>
      <w:r w:rsidRPr="00DF7A53">
        <w:rPr>
          <w:rFonts w:ascii="Arial" w:hAnsi="Arial"/>
          <w:noProof/>
        </w:rPr>
        <w:t xml:space="preserve"> 1991; 303(6807): 893-6.</w:t>
      </w:r>
    </w:p>
    <w:p w14:paraId="361F93B0" w14:textId="77777777" w:rsidR="00B175ED" w:rsidRPr="00DF7A53" w:rsidRDefault="00B175ED" w:rsidP="00DE6444">
      <w:pPr>
        <w:pStyle w:val="EndNoteBibliography"/>
        <w:rPr>
          <w:rFonts w:ascii="Arial" w:hAnsi="Arial"/>
          <w:noProof/>
        </w:rPr>
      </w:pPr>
      <w:r w:rsidRPr="00DF7A53">
        <w:rPr>
          <w:rFonts w:ascii="Arial" w:hAnsi="Arial"/>
          <w:noProof/>
        </w:rPr>
        <w:t>38.</w:t>
      </w:r>
      <w:r w:rsidRPr="00DF7A53">
        <w:rPr>
          <w:rFonts w:ascii="Arial" w:hAnsi="Arial"/>
          <w:noProof/>
        </w:rPr>
        <w:tab/>
        <w:t xml:space="preserve">Do R, Stitziel NO, Won HH, et al. Exome sequencing identifies rare LDLR and APOA5 alleles conferring risk for myocardial infarction. </w:t>
      </w:r>
      <w:r w:rsidRPr="00DF7A53">
        <w:rPr>
          <w:rFonts w:ascii="Arial" w:hAnsi="Arial"/>
          <w:i/>
          <w:noProof/>
        </w:rPr>
        <w:t>Nature</w:t>
      </w:r>
      <w:r w:rsidRPr="00DF7A53">
        <w:rPr>
          <w:rFonts w:ascii="Arial" w:hAnsi="Arial"/>
          <w:noProof/>
        </w:rPr>
        <w:t xml:space="preserve"> 2015; 518(7537): 102-6.</w:t>
      </w:r>
    </w:p>
    <w:p w14:paraId="74719E87" w14:textId="77777777" w:rsidR="00B175ED" w:rsidRPr="00DF7A53" w:rsidRDefault="00B175ED" w:rsidP="00DE6444">
      <w:pPr>
        <w:pStyle w:val="EndNoteBibliography"/>
        <w:rPr>
          <w:rFonts w:ascii="Arial" w:hAnsi="Arial"/>
          <w:noProof/>
        </w:rPr>
      </w:pPr>
      <w:r w:rsidRPr="00DF7A53">
        <w:rPr>
          <w:rFonts w:ascii="Arial" w:hAnsi="Arial"/>
          <w:noProof/>
        </w:rPr>
        <w:t>39.</w:t>
      </w:r>
      <w:r w:rsidRPr="00DF7A53">
        <w:rPr>
          <w:rFonts w:ascii="Arial" w:hAnsi="Arial"/>
          <w:noProof/>
        </w:rPr>
        <w:tab/>
        <w:t xml:space="preserve">Nanchen D, Gencer B, Auer R, et al. Prevalence and management of familial hypercholesterolaemia in patients with acute coronary syndromes. </w:t>
      </w:r>
      <w:r w:rsidRPr="00DF7A53">
        <w:rPr>
          <w:rFonts w:ascii="Arial" w:hAnsi="Arial"/>
          <w:i/>
          <w:noProof/>
        </w:rPr>
        <w:t>Eur Heart J</w:t>
      </w:r>
      <w:r w:rsidRPr="00DF7A53">
        <w:rPr>
          <w:rFonts w:ascii="Arial" w:hAnsi="Arial"/>
          <w:noProof/>
        </w:rPr>
        <w:t xml:space="preserve"> 2015; 36(36): 2438-45.</w:t>
      </w:r>
    </w:p>
    <w:p w14:paraId="45DB87D8" w14:textId="77777777" w:rsidR="00B175ED" w:rsidRPr="00DF7A53" w:rsidRDefault="00B175ED" w:rsidP="00DE6444">
      <w:pPr>
        <w:pStyle w:val="EndNoteBibliography"/>
        <w:rPr>
          <w:rFonts w:ascii="Arial" w:hAnsi="Arial"/>
          <w:noProof/>
        </w:rPr>
      </w:pPr>
      <w:r w:rsidRPr="00DF7A53">
        <w:rPr>
          <w:rFonts w:ascii="Arial" w:hAnsi="Arial"/>
          <w:noProof/>
        </w:rPr>
        <w:t>40.</w:t>
      </w:r>
      <w:r w:rsidRPr="00DF7A53">
        <w:rPr>
          <w:rFonts w:ascii="Arial" w:hAnsi="Arial"/>
          <w:noProof/>
        </w:rPr>
        <w:tab/>
        <w:t xml:space="preserve">Raal FJ, Pilcher GJ, Panz VR, et al. Reduction in mortality in subjects with homozygous familial hypercholesterolemia associated with advances in lipid-lowering therapy. </w:t>
      </w:r>
      <w:r w:rsidRPr="00DF7A53">
        <w:rPr>
          <w:rFonts w:ascii="Arial" w:hAnsi="Arial"/>
          <w:i/>
          <w:noProof/>
        </w:rPr>
        <w:t>Circulation</w:t>
      </w:r>
      <w:r w:rsidRPr="00DF7A53">
        <w:rPr>
          <w:rFonts w:ascii="Arial" w:hAnsi="Arial"/>
          <w:noProof/>
        </w:rPr>
        <w:t xml:space="preserve"> 2011; 124(20): 2202-7.</w:t>
      </w:r>
    </w:p>
    <w:p w14:paraId="11F74B67" w14:textId="77777777" w:rsidR="00B175ED" w:rsidRPr="00DF7A53" w:rsidRDefault="00B175ED" w:rsidP="00DE6444">
      <w:pPr>
        <w:pStyle w:val="EndNoteBibliography"/>
        <w:rPr>
          <w:rFonts w:ascii="Arial" w:hAnsi="Arial"/>
          <w:noProof/>
        </w:rPr>
      </w:pPr>
      <w:r w:rsidRPr="00DF7A53">
        <w:rPr>
          <w:rFonts w:ascii="Arial" w:hAnsi="Arial"/>
          <w:noProof/>
        </w:rPr>
        <w:t>41.</w:t>
      </w:r>
      <w:r w:rsidRPr="00DF7A53">
        <w:rPr>
          <w:rFonts w:ascii="Arial" w:hAnsi="Arial"/>
          <w:noProof/>
        </w:rPr>
        <w:tab/>
        <w:t xml:space="preserve">Thompson GR, Seed M, Naoumova RP, et al. Improved cardiovascular outcomes following temporal advances in lipid-lowering therapy in a genetically-characterised cohort of familial hypercholesterolaemia homozygotes. </w:t>
      </w:r>
      <w:r w:rsidRPr="00DF7A53">
        <w:rPr>
          <w:rFonts w:ascii="Arial" w:hAnsi="Arial"/>
          <w:i/>
          <w:noProof/>
        </w:rPr>
        <w:t>Atherosclerosis</w:t>
      </w:r>
      <w:r w:rsidRPr="00DF7A53">
        <w:rPr>
          <w:rFonts w:ascii="Arial" w:hAnsi="Arial"/>
          <w:noProof/>
        </w:rPr>
        <w:t xml:space="preserve"> 2015; 243(1): 328-33.</w:t>
      </w:r>
    </w:p>
    <w:p w14:paraId="57147167" w14:textId="77777777" w:rsidR="00B175ED" w:rsidRPr="00DF7A53" w:rsidRDefault="00B175ED" w:rsidP="00DE6444">
      <w:pPr>
        <w:pStyle w:val="EndNoteBibliography"/>
        <w:rPr>
          <w:rFonts w:ascii="Arial" w:hAnsi="Arial"/>
          <w:noProof/>
        </w:rPr>
      </w:pPr>
      <w:r w:rsidRPr="00DF7A53">
        <w:rPr>
          <w:rFonts w:ascii="Arial" w:hAnsi="Arial"/>
          <w:noProof/>
        </w:rPr>
        <w:t>42.</w:t>
      </w:r>
      <w:r w:rsidRPr="00DF7A53">
        <w:rPr>
          <w:rFonts w:ascii="Arial" w:hAnsi="Arial"/>
          <w:noProof/>
        </w:rPr>
        <w:tab/>
        <w:t xml:space="preserve">Stefanutti C, Thompson GR. Lipoprotein apheresis in the management of familial hypercholesterolaemia: historical perspective and recent advances. </w:t>
      </w:r>
      <w:r w:rsidRPr="00DF7A53">
        <w:rPr>
          <w:rFonts w:ascii="Arial" w:hAnsi="Arial"/>
          <w:i/>
          <w:noProof/>
        </w:rPr>
        <w:t>Curr Atheroscler Rep</w:t>
      </w:r>
      <w:r w:rsidRPr="00DF7A53">
        <w:rPr>
          <w:rFonts w:ascii="Arial" w:hAnsi="Arial"/>
          <w:noProof/>
        </w:rPr>
        <w:t xml:space="preserve"> 2015; 17(1): 465.</w:t>
      </w:r>
    </w:p>
    <w:p w14:paraId="464F6518" w14:textId="77777777" w:rsidR="00B175ED" w:rsidRPr="00DF7A53" w:rsidRDefault="00B175ED" w:rsidP="00DE6444">
      <w:pPr>
        <w:pStyle w:val="EndNoteBibliography"/>
        <w:rPr>
          <w:rFonts w:ascii="Arial" w:hAnsi="Arial"/>
          <w:noProof/>
        </w:rPr>
      </w:pPr>
      <w:r w:rsidRPr="00DF7A53">
        <w:rPr>
          <w:rFonts w:ascii="Arial" w:hAnsi="Arial"/>
          <w:noProof/>
        </w:rPr>
        <w:t>43.</w:t>
      </w:r>
      <w:r w:rsidRPr="00DF7A53">
        <w:rPr>
          <w:rFonts w:ascii="Arial" w:hAnsi="Arial"/>
          <w:noProof/>
        </w:rPr>
        <w:tab/>
        <w:t xml:space="preserve">Pijlman AH, Huijgen R, Verhagen SN, et al. Evaluation of cholesterol lowering treatment of patients with familial hypercholesterolemia: a large cross-sectional study in The Netherlands. </w:t>
      </w:r>
      <w:r w:rsidRPr="00DF7A53">
        <w:rPr>
          <w:rFonts w:ascii="Arial" w:hAnsi="Arial"/>
          <w:i/>
          <w:noProof/>
        </w:rPr>
        <w:t>Atherosclerosis</w:t>
      </w:r>
      <w:r w:rsidRPr="00DF7A53">
        <w:rPr>
          <w:rFonts w:ascii="Arial" w:hAnsi="Arial"/>
          <w:noProof/>
        </w:rPr>
        <w:t xml:space="preserve"> 2010; 209(1): 189-94.</w:t>
      </w:r>
    </w:p>
    <w:p w14:paraId="6EE61A0A" w14:textId="77777777" w:rsidR="00B175ED" w:rsidRPr="00DF7A53" w:rsidRDefault="00B175ED" w:rsidP="00DE6444">
      <w:pPr>
        <w:pStyle w:val="EndNoteBibliography"/>
        <w:rPr>
          <w:rFonts w:ascii="Arial" w:hAnsi="Arial"/>
          <w:noProof/>
        </w:rPr>
      </w:pPr>
      <w:r w:rsidRPr="00DF7A53">
        <w:rPr>
          <w:rFonts w:ascii="Arial" w:hAnsi="Arial"/>
          <w:noProof/>
        </w:rPr>
        <w:t>44.</w:t>
      </w:r>
      <w:r w:rsidRPr="00DF7A53">
        <w:rPr>
          <w:rFonts w:ascii="Arial" w:hAnsi="Arial"/>
          <w:noProof/>
        </w:rPr>
        <w:tab/>
        <w:t xml:space="preserve">Perez de- Isla L, Alonso R, Watts GF, et al. Attainment of LDL Cholesterol Treatment Goals in Patients with Familial Hypercholesterolemia at 5-year Follow-up: SAFEHEART Registry. </w:t>
      </w:r>
      <w:r w:rsidRPr="00DF7A53">
        <w:rPr>
          <w:rFonts w:ascii="Arial" w:hAnsi="Arial"/>
          <w:i/>
          <w:noProof/>
        </w:rPr>
        <w:t>J Am Coll Cardiol</w:t>
      </w:r>
      <w:r w:rsidRPr="00DF7A53">
        <w:rPr>
          <w:rFonts w:ascii="Arial" w:hAnsi="Arial"/>
          <w:noProof/>
        </w:rPr>
        <w:t xml:space="preserve"> 2016; 67</w:t>
      </w:r>
    </w:p>
    <w:p w14:paraId="0C81E70D" w14:textId="77777777" w:rsidR="00B175ED" w:rsidRPr="00DF7A53" w:rsidRDefault="00B175ED" w:rsidP="00DE6444">
      <w:pPr>
        <w:pStyle w:val="EndNoteBibliography"/>
        <w:rPr>
          <w:rFonts w:ascii="Arial" w:hAnsi="Arial"/>
          <w:noProof/>
        </w:rPr>
      </w:pPr>
      <w:r w:rsidRPr="00DF7A53">
        <w:rPr>
          <w:rFonts w:ascii="Arial" w:hAnsi="Arial"/>
          <w:noProof/>
        </w:rPr>
        <w:t>: 1278-85.</w:t>
      </w:r>
    </w:p>
    <w:p w14:paraId="6E89831C" w14:textId="77777777" w:rsidR="00B175ED" w:rsidRPr="00DF7A53" w:rsidRDefault="00B175ED" w:rsidP="00DE6444">
      <w:pPr>
        <w:pStyle w:val="EndNoteBibliography"/>
        <w:rPr>
          <w:rFonts w:ascii="Arial" w:hAnsi="Arial"/>
          <w:noProof/>
        </w:rPr>
      </w:pPr>
      <w:r w:rsidRPr="00DF7A53">
        <w:rPr>
          <w:rFonts w:ascii="Arial" w:hAnsi="Arial"/>
          <w:noProof/>
        </w:rPr>
        <w:t>45.</w:t>
      </w:r>
      <w:r w:rsidRPr="00DF7A53">
        <w:rPr>
          <w:rFonts w:ascii="Arial" w:hAnsi="Arial"/>
          <w:noProof/>
        </w:rPr>
        <w:tab/>
        <w:t xml:space="preserve">Wiegman A, Gidding SS, Watts GF, et al. Familial hypercholesterolaemia in children and adolescents: gaining decades of life by optimizing detection and treatment. </w:t>
      </w:r>
      <w:r w:rsidRPr="00DF7A53">
        <w:rPr>
          <w:rFonts w:ascii="Arial" w:hAnsi="Arial"/>
          <w:i/>
          <w:noProof/>
        </w:rPr>
        <w:t>Eur Heart J</w:t>
      </w:r>
      <w:r>
        <w:rPr>
          <w:rFonts w:ascii="Arial" w:hAnsi="Arial"/>
          <w:noProof/>
        </w:rPr>
        <w:t xml:space="preserve"> 2015;</w:t>
      </w:r>
      <w:r w:rsidRPr="00DF7A53">
        <w:rPr>
          <w:rFonts w:ascii="Arial" w:hAnsi="Arial" w:cs="Arial"/>
        </w:rPr>
        <w:t xml:space="preserve"> </w:t>
      </w:r>
      <w:r>
        <w:rPr>
          <w:rFonts w:ascii="Arial" w:hAnsi="Arial"/>
          <w:noProof/>
        </w:rPr>
        <w:t>36</w:t>
      </w:r>
      <w:r w:rsidRPr="00DF7A53">
        <w:rPr>
          <w:rFonts w:ascii="Arial" w:hAnsi="Arial"/>
          <w:noProof/>
        </w:rPr>
        <w:t>:2425-37</w:t>
      </w:r>
    </w:p>
    <w:p w14:paraId="2C77BB84" w14:textId="77777777" w:rsidR="00B175ED" w:rsidRPr="00DF7A53" w:rsidRDefault="00B175ED" w:rsidP="00DE6444">
      <w:pPr>
        <w:pStyle w:val="EndNoteBibliography"/>
        <w:rPr>
          <w:rFonts w:ascii="Arial" w:hAnsi="Arial"/>
          <w:noProof/>
        </w:rPr>
      </w:pPr>
      <w:r w:rsidRPr="00DF7A53">
        <w:rPr>
          <w:rFonts w:ascii="Arial" w:hAnsi="Arial"/>
          <w:noProof/>
        </w:rPr>
        <w:t>46.</w:t>
      </w:r>
      <w:r w:rsidRPr="00DF7A53">
        <w:rPr>
          <w:rFonts w:ascii="Arial" w:hAnsi="Arial"/>
          <w:noProof/>
        </w:rPr>
        <w:tab/>
        <w:t xml:space="preserve">Brautbar A, Leary E, Rasmussen K, Wilson DP, Steiner RD, Virani S. Genetics of familial hypercholesterolemia. </w:t>
      </w:r>
      <w:r w:rsidRPr="00DF7A53">
        <w:rPr>
          <w:rFonts w:ascii="Arial" w:hAnsi="Arial"/>
          <w:i/>
          <w:noProof/>
        </w:rPr>
        <w:t>Curr Atheroscler Rep</w:t>
      </w:r>
      <w:r w:rsidRPr="00DF7A53">
        <w:rPr>
          <w:rFonts w:ascii="Arial" w:hAnsi="Arial"/>
          <w:noProof/>
        </w:rPr>
        <w:t xml:space="preserve"> 2015; 17(4): 491.</w:t>
      </w:r>
    </w:p>
    <w:p w14:paraId="086171A0" w14:textId="77777777" w:rsidR="00B175ED" w:rsidRPr="00DF7A53" w:rsidRDefault="00B175ED" w:rsidP="00DE6444">
      <w:pPr>
        <w:pStyle w:val="EndNoteBibliography"/>
        <w:rPr>
          <w:rFonts w:ascii="Arial" w:hAnsi="Arial"/>
          <w:noProof/>
        </w:rPr>
      </w:pPr>
      <w:r w:rsidRPr="00DF7A53">
        <w:rPr>
          <w:rFonts w:ascii="Arial" w:hAnsi="Arial"/>
          <w:noProof/>
        </w:rPr>
        <w:t>47.</w:t>
      </w:r>
      <w:r w:rsidRPr="00DF7A53">
        <w:rPr>
          <w:rFonts w:ascii="Arial" w:hAnsi="Arial"/>
          <w:noProof/>
        </w:rPr>
        <w:tab/>
        <w:t xml:space="preserve">Moorjani S, Roy M, Torres A, et al. Mutations of low-density-lipoprotein-receptor gene, variation in plasma cholesterol, and expression of coronary heart disease in homozygous familial hypercholesterolaemia. </w:t>
      </w:r>
      <w:r w:rsidRPr="00DF7A53">
        <w:rPr>
          <w:rFonts w:ascii="Arial" w:hAnsi="Arial"/>
          <w:i/>
          <w:noProof/>
        </w:rPr>
        <w:t>Lancet</w:t>
      </w:r>
      <w:r w:rsidRPr="00DF7A53">
        <w:rPr>
          <w:rFonts w:ascii="Arial" w:hAnsi="Arial"/>
          <w:noProof/>
        </w:rPr>
        <w:t xml:space="preserve"> 1993; 341(8856): 1303-6.</w:t>
      </w:r>
    </w:p>
    <w:p w14:paraId="1D50C338" w14:textId="77777777" w:rsidR="00B175ED" w:rsidRPr="00DF7A53" w:rsidRDefault="00B175ED" w:rsidP="00DE6444">
      <w:pPr>
        <w:pStyle w:val="EndNoteBibliography"/>
        <w:rPr>
          <w:rFonts w:ascii="Arial" w:hAnsi="Arial"/>
          <w:noProof/>
        </w:rPr>
      </w:pPr>
      <w:r w:rsidRPr="00DF7A53">
        <w:rPr>
          <w:rFonts w:ascii="Arial" w:hAnsi="Arial"/>
          <w:noProof/>
        </w:rPr>
        <w:t>48.</w:t>
      </w:r>
      <w:r w:rsidRPr="00DF7A53">
        <w:rPr>
          <w:rFonts w:ascii="Arial" w:hAnsi="Arial"/>
          <w:noProof/>
        </w:rPr>
        <w:tab/>
        <w:t xml:space="preserve">van der Graaf A, Avis HJ, Kusters DM, et al. Molecular basis of autosomal dominant hypercholesterolemia: assessment in a large cohort of hypercholesterolemic children. </w:t>
      </w:r>
      <w:r w:rsidRPr="00DF7A53">
        <w:rPr>
          <w:rFonts w:ascii="Arial" w:hAnsi="Arial"/>
          <w:i/>
          <w:noProof/>
        </w:rPr>
        <w:t>Circulation</w:t>
      </w:r>
      <w:r w:rsidRPr="00DF7A53">
        <w:rPr>
          <w:rFonts w:ascii="Arial" w:hAnsi="Arial"/>
          <w:noProof/>
        </w:rPr>
        <w:t xml:space="preserve"> 2011; 123(11): 1167-73.</w:t>
      </w:r>
    </w:p>
    <w:p w14:paraId="3E5E08BF" w14:textId="77777777" w:rsidR="00B175ED" w:rsidRPr="00DF7A53" w:rsidRDefault="00B175ED" w:rsidP="00DE6444">
      <w:pPr>
        <w:pStyle w:val="EndNoteBibliography"/>
        <w:rPr>
          <w:rFonts w:ascii="Arial" w:hAnsi="Arial"/>
          <w:noProof/>
        </w:rPr>
      </w:pPr>
      <w:r w:rsidRPr="00DF7A53">
        <w:rPr>
          <w:rFonts w:ascii="Arial" w:hAnsi="Arial"/>
          <w:noProof/>
        </w:rPr>
        <w:t>49.</w:t>
      </w:r>
      <w:r w:rsidRPr="00DF7A53">
        <w:rPr>
          <w:rFonts w:ascii="Arial" w:hAnsi="Arial"/>
          <w:noProof/>
        </w:rPr>
        <w:tab/>
        <w:t xml:space="preserve">Taylor A, Bayly G, Patel K, et al. A double heterozygote for familial hypercholesterolaemia and familial defective apolipoprotein B-100. </w:t>
      </w:r>
      <w:r w:rsidRPr="00DF7A53">
        <w:rPr>
          <w:rFonts w:ascii="Arial" w:hAnsi="Arial"/>
          <w:i/>
          <w:noProof/>
        </w:rPr>
        <w:t>Ann Clin Biochem</w:t>
      </w:r>
      <w:r w:rsidRPr="00DF7A53">
        <w:rPr>
          <w:rFonts w:ascii="Arial" w:hAnsi="Arial"/>
          <w:noProof/>
        </w:rPr>
        <w:t xml:space="preserve"> 2010; 47(Pt 5): 487-90.</w:t>
      </w:r>
    </w:p>
    <w:p w14:paraId="38825337" w14:textId="77777777" w:rsidR="00B175ED" w:rsidRPr="00DF7A53" w:rsidRDefault="00B175ED" w:rsidP="00DE6444">
      <w:pPr>
        <w:pStyle w:val="EndNoteBibliography"/>
        <w:rPr>
          <w:rFonts w:ascii="Arial" w:hAnsi="Arial"/>
          <w:noProof/>
        </w:rPr>
      </w:pPr>
      <w:r w:rsidRPr="00DF7A53">
        <w:rPr>
          <w:rFonts w:ascii="Arial" w:hAnsi="Arial"/>
          <w:noProof/>
        </w:rPr>
        <w:t>50.</w:t>
      </w:r>
      <w:r w:rsidRPr="00DF7A53">
        <w:rPr>
          <w:rFonts w:ascii="Arial" w:hAnsi="Arial"/>
          <w:noProof/>
        </w:rPr>
        <w:tab/>
        <w:t xml:space="preserve">Hopkins PN, Wu LL, Schumacher MC, et al. Type III dyslipoproteinemia in patients heterozygous for familial hypercholesterolemia and apolipoprotein E2. Evidence for a gene-gene interaction. </w:t>
      </w:r>
      <w:r w:rsidRPr="00DF7A53">
        <w:rPr>
          <w:rFonts w:ascii="Arial" w:hAnsi="Arial"/>
          <w:i/>
          <w:noProof/>
        </w:rPr>
        <w:t>Arteriosclerosis and thrombosis : a journal of vascular biology / American Heart Association</w:t>
      </w:r>
      <w:r w:rsidRPr="00DF7A53">
        <w:rPr>
          <w:rFonts w:ascii="Arial" w:hAnsi="Arial"/>
          <w:noProof/>
        </w:rPr>
        <w:t xml:space="preserve"> 1991; 11(5): 1137-46.</w:t>
      </w:r>
    </w:p>
    <w:p w14:paraId="7ABF37EC" w14:textId="77777777" w:rsidR="00B175ED" w:rsidRPr="00DF7A53" w:rsidRDefault="00B175ED" w:rsidP="00DE6444">
      <w:pPr>
        <w:pStyle w:val="EndNoteBibliography"/>
        <w:rPr>
          <w:rFonts w:ascii="Arial" w:hAnsi="Arial"/>
          <w:noProof/>
        </w:rPr>
      </w:pPr>
      <w:r w:rsidRPr="00DF7A53">
        <w:rPr>
          <w:rFonts w:ascii="Arial" w:hAnsi="Arial"/>
          <w:noProof/>
        </w:rPr>
        <w:t>51.</w:t>
      </w:r>
      <w:r w:rsidRPr="00DF7A53">
        <w:rPr>
          <w:rFonts w:ascii="Arial" w:hAnsi="Arial"/>
          <w:noProof/>
        </w:rPr>
        <w:tab/>
        <w:t xml:space="preserve">Emi M, Hegele RM, Hopkins PN, et al. Effects of three genetic loci in a pedigree with multiple lipoprotein phenotypes. </w:t>
      </w:r>
      <w:r w:rsidRPr="00DF7A53">
        <w:rPr>
          <w:rFonts w:ascii="Arial" w:hAnsi="Arial"/>
          <w:i/>
          <w:noProof/>
        </w:rPr>
        <w:t>Arteriosclerosis and thrombosis : a journal of vascular biology / American Heart Association</w:t>
      </w:r>
      <w:r w:rsidRPr="00DF7A53">
        <w:rPr>
          <w:rFonts w:ascii="Arial" w:hAnsi="Arial"/>
          <w:noProof/>
        </w:rPr>
        <w:t xml:space="preserve"> 1991; 11(5): 1349-55.</w:t>
      </w:r>
    </w:p>
    <w:p w14:paraId="14D15BDD" w14:textId="77777777" w:rsidR="00B175ED" w:rsidRPr="00DF7A53" w:rsidRDefault="00B175ED" w:rsidP="00DE6444">
      <w:pPr>
        <w:pStyle w:val="EndNoteBibliography"/>
        <w:rPr>
          <w:rFonts w:ascii="Arial" w:hAnsi="Arial"/>
          <w:noProof/>
        </w:rPr>
      </w:pPr>
      <w:r w:rsidRPr="00DF7A53">
        <w:rPr>
          <w:rFonts w:ascii="Arial" w:hAnsi="Arial"/>
          <w:noProof/>
        </w:rPr>
        <w:t>52.</w:t>
      </w:r>
      <w:r w:rsidRPr="00DF7A53">
        <w:rPr>
          <w:rFonts w:ascii="Arial" w:hAnsi="Arial"/>
          <w:noProof/>
        </w:rPr>
        <w:tab/>
        <w:t xml:space="preserve">Besseling J, Huijgen R, Martin SS, Hutten BA, Kastelein JJ, Hovingh GK. Clinical phenotype in relation to the distance-to-index-patient in familial hypercholesterolemia. </w:t>
      </w:r>
      <w:r w:rsidRPr="00DF7A53">
        <w:rPr>
          <w:rFonts w:ascii="Arial" w:hAnsi="Arial"/>
          <w:i/>
          <w:noProof/>
        </w:rPr>
        <w:t>Atherosclerosis</w:t>
      </w:r>
      <w:r w:rsidRPr="00DF7A53">
        <w:rPr>
          <w:rFonts w:ascii="Arial" w:hAnsi="Arial"/>
          <w:noProof/>
        </w:rPr>
        <w:t xml:space="preserve"> 2015; 246: 1-6.</w:t>
      </w:r>
    </w:p>
    <w:p w14:paraId="3EBDDBF7" w14:textId="77777777" w:rsidR="00B175ED" w:rsidRPr="00DF7A53" w:rsidRDefault="00B175ED" w:rsidP="00DE6444">
      <w:pPr>
        <w:pStyle w:val="EndNoteBibliography"/>
        <w:rPr>
          <w:rFonts w:ascii="Arial" w:hAnsi="Arial"/>
          <w:noProof/>
        </w:rPr>
      </w:pPr>
      <w:r w:rsidRPr="00DF7A53">
        <w:rPr>
          <w:rFonts w:ascii="Arial" w:hAnsi="Arial"/>
          <w:noProof/>
        </w:rPr>
        <w:t>53.</w:t>
      </w:r>
      <w:r w:rsidRPr="00DF7A53">
        <w:rPr>
          <w:rFonts w:ascii="Arial" w:hAnsi="Arial"/>
          <w:noProof/>
        </w:rPr>
        <w:tab/>
        <w:t xml:space="preserve">Sijbrands EJ, Westendorp RG, Defesche JC, de Meier PH, Smelt AH, Kastelein JJ. Mortality over two centuries in large pedigree with familial hypercholesterolaemia: family tree mortality study. </w:t>
      </w:r>
      <w:r w:rsidRPr="00DF7A53">
        <w:rPr>
          <w:rFonts w:ascii="Arial" w:hAnsi="Arial"/>
          <w:i/>
          <w:noProof/>
        </w:rPr>
        <w:t>BMJ (Clinical research ed)</w:t>
      </w:r>
      <w:r w:rsidRPr="00DF7A53">
        <w:rPr>
          <w:rFonts w:ascii="Arial" w:hAnsi="Arial"/>
          <w:noProof/>
        </w:rPr>
        <w:t xml:space="preserve"> 2001; 322(7293): 1019-23.</w:t>
      </w:r>
    </w:p>
    <w:p w14:paraId="14AC72CB" w14:textId="77777777" w:rsidR="00B175ED" w:rsidRPr="00DF7A53" w:rsidRDefault="00B175ED" w:rsidP="00DE6444">
      <w:pPr>
        <w:pStyle w:val="EndNoteBibliography"/>
        <w:rPr>
          <w:rFonts w:ascii="Arial" w:hAnsi="Arial"/>
          <w:noProof/>
        </w:rPr>
      </w:pPr>
      <w:r w:rsidRPr="00DF7A53">
        <w:rPr>
          <w:rFonts w:ascii="Arial" w:hAnsi="Arial"/>
          <w:noProof/>
        </w:rPr>
        <w:t>54.</w:t>
      </w:r>
      <w:r w:rsidRPr="00DF7A53">
        <w:rPr>
          <w:rFonts w:ascii="Arial" w:hAnsi="Arial"/>
          <w:noProof/>
        </w:rPr>
        <w:tab/>
        <w:t xml:space="preserve">Williams RR, Hasstedt SJ, Wilson DE, et al. Evidence that men with familial hypercholesterolemia can avoid early coronary death. An analysis of 77 gene carriers in four Utah pedigrees. </w:t>
      </w:r>
      <w:r w:rsidRPr="00DF7A53">
        <w:rPr>
          <w:rFonts w:ascii="Arial" w:hAnsi="Arial"/>
          <w:i/>
          <w:noProof/>
        </w:rPr>
        <w:t>Jama</w:t>
      </w:r>
      <w:r w:rsidRPr="00DF7A53">
        <w:rPr>
          <w:rFonts w:ascii="Arial" w:hAnsi="Arial"/>
          <w:noProof/>
        </w:rPr>
        <w:t xml:space="preserve"> 1986; 255(2): 219-24.</w:t>
      </w:r>
    </w:p>
    <w:p w14:paraId="36BC83FA" w14:textId="77777777" w:rsidR="00B175ED" w:rsidRPr="00DF7A53" w:rsidRDefault="00B175ED" w:rsidP="00DE6444">
      <w:pPr>
        <w:pStyle w:val="EndNoteBibliography"/>
        <w:rPr>
          <w:rFonts w:ascii="Arial" w:hAnsi="Arial"/>
          <w:noProof/>
        </w:rPr>
      </w:pPr>
      <w:r w:rsidRPr="00DF7A53">
        <w:rPr>
          <w:rFonts w:ascii="Arial" w:hAnsi="Arial"/>
          <w:noProof/>
        </w:rPr>
        <w:t>55.</w:t>
      </w:r>
      <w:r w:rsidRPr="00DF7A53">
        <w:rPr>
          <w:rFonts w:ascii="Arial" w:hAnsi="Arial"/>
          <w:noProof/>
        </w:rPr>
        <w:tab/>
        <w:t xml:space="preserve">Bima AI, Hooper AJ, van Bockxmeer FM, Burnett JR. Hypobetalipoproteinaemia secondary to chronic hepatitis C virus infection in a patient with familial hypercholesterolaemia. </w:t>
      </w:r>
      <w:r w:rsidRPr="00DF7A53">
        <w:rPr>
          <w:rFonts w:ascii="Arial" w:hAnsi="Arial"/>
          <w:i/>
          <w:noProof/>
        </w:rPr>
        <w:t>Ann Clin Biochem</w:t>
      </w:r>
      <w:r w:rsidRPr="00DF7A53">
        <w:rPr>
          <w:rFonts w:ascii="Arial" w:hAnsi="Arial"/>
          <w:noProof/>
        </w:rPr>
        <w:t xml:space="preserve"> 2009; 46(Pt 5): 420-2.</w:t>
      </w:r>
    </w:p>
    <w:p w14:paraId="791FEA6E" w14:textId="77777777" w:rsidR="00B175ED" w:rsidRPr="00DF7A53" w:rsidRDefault="00B175ED" w:rsidP="00DE6444">
      <w:pPr>
        <w:pStyle w:val="EndNoteBibliography"/>
        <w:rPr>
          <w:rFonts w:ascii="Arial" w:hAnsi="Arial"/>
          <w:noProof/>
        </w:rPr>
      </w:pPr>
      <w:r w:rsidRPr="00DF7A53">
        <w:rPr>
          <w:rFonts w:ascii="Arial" w:hAnsi="Arial"/>
          <w:noProof/>
        </w:rPr>
        <w:t>56.</w:t>
      </w:r>
      <w:r w:rsidRPr="00DF7A53">
        <w:rPr>
          <w:rFonts w:ascii="Arial" w:hAnsi="Arial"/>
          <w:noProof/>
        </w:rPr>
        <w:tab/>
        <w:t xml:space="preserve">Guay SP, Brisson D, Lamarche B, Gaudet D, Bouchard L. Epipolymorphisms within lipoprotein genes contribute independently to plasma lipid levels in familial hypercholesterolemia. </w:t>
      </w:r>
      <w:r w:rsidRPr="00DF7A53">
        <w:rPr>
          <w:rFonts w:ascii="Arial" w:hAnsi="Arial"/>
          <w:i/>
          <w:noProof/>
        </w:rPr>
        <w:t>Epigenetics</w:t>
      </w:r>
      <w:r w:rsidRPr="00DF7A53">
        <w:rPr>
          <w:rFonts w:ascii="Arial" w:hAnsi="Arial"/>
          <w:noProof/>
        </w:rPr>
        <w:t xml:space="preserve"> 2014; 9(5): 718-29.</w:t>
      </w:r>
    </w:p>
    <w:p w14:paraId="58716B48" w14:textId="77777777" w:rsidR="00B175ED" w:rsidRPr="00DF7A53" w:rsidRDefault="00B175ED" w:rsidP="00DE6444">
      <w:pPr>
        <w:pStyle w:val="EndNoteBibliography"/>
        <w:rPr>
          <w:rFonts w:ascii="Arial" w:hAnsi="Arial"/>
          <w:noProof/>
        </w:rPr>
      </w:pPr>
      <w:r w:rsidRPr="00DF7A53">
        <w:rPr>
          <w:rFonts w:ascii="Arial" w:hAnsi="Arial"/>
          <w:noProof/>
        </w:rPr>
        <w:t>57.</w:t>
      </w:r>
      <w:r w:rsidRPr="00DF7A53">
        <w:rPr>
          <w:rFonts w:ascii="Arial" w:hAnsi="Arial"/>
          <w:noProof/>
        </w:rPr>
        <w:tab/>
        <w:t xml:space="preserve">Couture P, Brun LD, Szots F, et al. Association of specific LDL receptor gene mutations with differential plasma lipoprotein response to simvastatin in young French Canadians with heterozygous familial hypercholesterolemia. </w:t>
      </w:r>
      <w:r w:rsidRPr="00DF7A53">
        <w:rPr>
          <w:rFonts w:ascii="Arial" w:hAnsi="Arial"/>
          <w:i/>
          <w:noProof/>
        </w:rPr>
        <w:t>Arterioscler Thromb Vasc Biol</w:t>
      </w:r>
      <w:r w:rsidRPr="00DF7A53">
        <w:rPr>
          <w:rFonts w:ascii="Arial" w:hAnsi="Arial"/>
          <w:noProof/>
        </w:rPr>
        <w:t xml:space="preserve"> 1998; 18(6): 1007-12.</w:t>
      </w:r>
    </w:p>
    <w:p w14:paraId="122D8399" w14:textId="77777777" w:rsidR="00B175ED" w:rsidRPr="00DF7A53" w:rsidRDefault="00B175ED" w:rsidP="00DE6444">
      <w:pPr>
        <w:pStyle w:val="EndNoteBibliography"/>
        <w:rPr>
          <w:rFonts w:ascii="Arial" w:hAnsi="Arial"/>
          <w:noProof/>
        </w:rPr>
      </w:pPr>
      <w:r w:rsidRPr="00DF7A53">
        <w:rPr>
          <w:rFonts w:ascii="Arial" w:hAnsi="Arial"/>
          <w:noProof/>
        </w:rPr>
        <w:t>58.</w:t>
      </w:r>
      <w:r w:rsidRPr="00DF7A53">
        <w:rPr>
          <w:rFonts w:ascii="Arial" w:hAnsi="Arial"/>
          <w:noProof/>
        </w:rPr>
        <w:tab/>
        <w:t xml:space="preserve">Santos PC, Morgan AC, Jannes CE, et al. Presence and type of low density lipoprotein receptor (LDLR) mutation influences the lipid profile and response to lipid-lowering therapy in Brazilian patients with heterozygous familial hypercholesterolemia. </w:t>
      </w:r>
      <w:r w:rsidRPr="00DF7A53">
        <w:rPr>
          <w:rFonts w:ascii="Arial" w:hAnsi="Arial"/>
          <w:i/>
          <w:noProof/>
        </w:rPr>
        <w:t>Atherosclerosis</w:t>
      </w:r>
      <w:r w:rsidRPr="00DF7A53">
        <w:rPr>
          <w:rFonts w:ascii="Arial" w:hAnsi="Arial"/>
          <w:noProof/>
        </w:rPr>
        <w:t xml:space="preserve"> 2014; 233(1): 206-10.</w:t>
      </w:r>
    </w:p>
    <w:p w14:paraId="771E4145" w14:textId="77777777" w:rsidR="00B175ED" w:rsidRPr="00DF7A53" w:rsidRDefault="00B175ED" w:rsidP="00DE6444">
      <w:pPr>
        <w:pStyle w:val="EndNoteBibliography"/>
        <w:rPr>
          <w:rFonts w:ascii="Arial" w:hAnsi="Arial"/>
          <w:noProof/>
        </w:rPr>
      </w:pPr>
      <w:r w:rsidRPr="00DF7A53">
        <w:rPr>
          <w:rFonts w:ascii="Arial" w:hAnsi="Arial"/>
          <w:noProof/>
        </w:rPr>
        <w:t>59.</w:t>
      </w:r>
      <w:r w:rsidRPr="00DF7A53">
        <w:rPr>
          <w:rFonts w:ascii="Arial" w:hAnsi="Arial"/>
          <w:noProof/>
        </w:rPr>
        <w:tab/>
        <w:t xml:space="preserve">Gryn SE, Hegele RA. Pharmacogenomics, lipid disorders, and treatment options. </w:t>
      </w:r>
      <w:r w:rsidRPr="00DF7A53">
        <w:rPr>
          <w:rFonts w:ascii="Arial" w:hAnsi="Arial"/>
          <w:i/>
          <w:noProof/>
        </w:rPr>
        <w:t>Clin Pharmacol Ther</w:t>
      </w:r>
      <w:r w:rsidRPr="00DF7A53">
        <w:rPr>
          <w:rFonts w:ascii="Arial" w:hAnsi="Arial"/>
          <w:noProof/>
        </w:rPr>
        <w:t xml:space="preserve"> 2014; 96(1): 36-47.</w:t>
      </w:r>
    </w:p>
    <w:p w14:paraId="5EBAF936" w14:textId="77777777" w:rsidR="00B175ED" w:rsidRPr="00DF7A53" w:rsidRDefault="00B175ED" w:rsidP="00DE6444">
      <w:pPr>
        <w:pStyle w:val="EndNoteBibliography"/>
        <w:rPr>
          <w:rFonts w:ascii="Arial" w:hAnsi="Arial"/>
          <w:noProof/>
        </w:rPr>
      </w:pPr>
      <w:r w:rsidRPr="00DF7A53">
        <w:rPr>
          <w:rFonts w:ascii="Arial" w:hAnsi="Arial"/>
          <w:noProof/>
        </w:rPr>
        <w:t>60.</w:t>
      </w:r>
      <w:r w:rsidRPr="00DF7A53">
        <w:rPr>
          <w:rFonts w:ascii="Arial" w:hAnsi="Arial"/>
          <w:noProof/>
        </w:rPr>
        <w:tab/>
        <w:t xml:space="preserve">Raal FJ, Honarpour N, Blom DJ, et al. Inhibition of PCSK9 with evolocumab in homozygous familial hypercholesterolaemia (TESLA Part B): a randomised, double-blind, placebo-controlled trial. </w:t>
      </w:r>
      <w:r w:rsidRPr="00DF7A53">
        <w:rPr>
          <w:rFonts w:ascii="Arial" w:hAnsi="Arial"/>
          <w:i/>
          <w:noProof/>
        </w:rPr>
        <w:t>Lancet</w:t>
      </w:r>
      <w:r w:rsidRPr="00DF7A53">
        <w:rPr>
          <w:rFonts w:ascii="Arial" w:hAnsi="Arial"/>
          <w:noProof/>
        </w:rPr>
        <w:t xml:space="preserve"> 2015; 385(9965): 341-50.</w:t>
      </w:r>
    </w:p>
    <w:p w14:paraId="45F78447" w14:textId="77777777" w:rsidR="00B175ED" w:rsidRPr="00DF7A53" w:rsidRDefault="00B175ED" w:rsidP="00DE6444">
      <w:pPr>
        <w:pStyle w:val="EndNoteBibliography"/>
        <w:rPr>
          <w:rFonts w:ascii="Arial" w:hAnsi="Arial"/>
          <w:noProof/>
        </w:rPr>
      </w:pPr>
      <w:r w:rsidRPr="00DF7A53">
        <w:rPr>
          <w:rFonts w:ascii="Arial" w:hAnsi="Arial"/>
          <w:noProof/>
        </w:rPr>
        <w:t>61.</w:t>
      </w:r>
      <w:r w:rsidRPr="00DF7A53">
        <w:rPr>
          <w:rFonts w:ascii="Arial" w:hAnsi="Arial"/>
          <w:noProof/>
        </w:rPr>
        <w:tab/>
        <w:t xml:space="preserve">Ferrieres J, Lambert J, Lussier-Cacan S, Davignon J. Coronary artery disease in heterozygous familial hypercholesterolemia patients with the same LDL receptor gene mutation. </w:t>
      </w:r>
      <w:r w:rsidRPr="00DF7A53">
        <w:rPr>
          <w:rFonts w:ascii="Arial" w:hAnsi="Arial"/>
          <w:i/>
          <w:noProof/>
        </w:rPr>
        <w:t>Circulation</w:t>
      </w:r>
      <w:r w:rsidRPr="00DF7A53">
        <w:rPr>
          <w:rFonts w:ascii="Arial" w:hAnsi="Arial"/>
          <w:noProof/>
        </w:rPr>
        <w:t xml:space="preserve"> 1995; 92(3): 290-5.</w:t>
      </w:r>
    </w:p>
    <w:p w14:paraId="439A74B4" w14:textId="77777777" w:rsidR="00B175ED" w:rsidRPr="00DF7A53" w:rsidRDefault="00B175ED" w:rsidP="00DE6444">
      <w:pPr>
        <w:pStyle w:val="EndNoteBibliography"/>
        <w:rPr>
          <w:rFonts w:ascii="Arial" w:hAnsi="Arial"/>
          <w:noProof/>
        </w:rPr>
      </w:pPr>
      <w:r w:rsidRPr="00DF7A53">
        <w:rPr>
          <w:rFonts w:ascii="Arial" w:hAnsi="Arial"/>
          <w:noProof/>
        </w:rPr>
        <w:t>62.</w:t>
      </w:r>
      <w:r w:rsidRPr="00DF7A53">
        <w:rPr>
          <w:rFonts w:ascii="Arial" w:hAnsi="Arial"/>
          <w:noProof/>
        </w:rPr>
        <w:tab/>
        <w:t xml:space="preserve">Alonso R, Andres E, Mata N, et al. Lipoprotein(a) levels in familial hypercholesterolemia: an important predictor of cardiovascular disease independent of the type of LDL receptor mutation. </w:t>
      </w:r>
      <w:r w:rsidRPr="00DF7A53">
        <w:rPr>
          <w:rFonts w:ascii="Arial" w:hAnsi="Arial"/>
          <w:i/>
          <w:noProof/>
        </w:rPr>
        <w:t>J Am Coll Cardiol</w:t>
      </w:r>
      <w:r w:rsidRPr="00DF7A53">
        <w:rPr>
          <w:rFonts w:ascii="Arial" w:hAnsi="Arial"/>
          <w:noProof/>
        </w:rPr>
        <w:t xml:space="preserve"> 2014; 63(19): 1982-9.</w:t>
      </w:r>
    </w:p>
    <w:p w14:paraId="177C0039" w14:textId="77777777" w:rsidR="00B175ED" w:rsidRPr="00DF7A53" w:rsidRDefault="00B175ED" w:rsidP="00DE6444">
      <w:pPr>
        <w:pStyle w:val="EndNoteBibliography"/>
        <w:rPr>
          <w:rFonts w:ascii="Arial" w:hAnsi="Arial"/>
          <w:noProof/>
        </w:rPr>
      </w:pPr>
      <w:r w:rsidRPr="00DF7A53">
        <w:rPr>
          <w:rFonts w:ascii="Arial" w:hAnsi="Arial"/>
          <w:noProof/>
        </w:rPr>
        <w:t>63.</w:t>
      </w:r>
      <w:r w:rsidRPr="00DF7A53">
        <w:rPr>
          <w:rFonts w:ascii="Arial" w:hAnsi="Arial"/>
          <w:noProof/>
        </w:rPr>
        <w:tab/>
        <w:t xml:space="preserve">Jansen AC, van Aalst-Cohen ES, Tanck MW, et al. The contribution of classical risk factors to cardiovascular disease in familial hypercholesterolaemia: data in 2400 patients. </w:t>
      </w:r>
      <w:r w:rsidRPr="00DF7A53">
        <w:rPr>
          <w:rFonts w:ascii="Arial" w:hAnsi="Arial"/>
          <w:i/>
          <w:noProof/>
        </w:rPr>
        <w:t>Journal of internal medicine</w:t>
      </w:r>
      <w:r w:rsidRPr="00DF7A53">
        <w:rPr>
          <w:rFonts w:ascii="Arial" w:hAnsi="Arial"/>
          <w:noProof/>
        </w:rPr>
        <w:t xml:space="preserve"> 2004; 256(6): 482-90.</w:t>
      </w:r>
    </w:p>
    <w:p w14:paraId="0B215497" w14:textId="77777777" w:rsidR="00B175ED" w:rsidRPr="00DF7A53" w:rsidRDefault="00B175ED" w:rsidP="00DE6444">
      <w:pPr>
        <w:pStyle w:val="EndNoteBibliography"/>
        <w:rPr>
          <w:rFonts w:ascii="Arial" w:hAnsi="Arial"/>
          <w:noProof/>
        </w:rPr>
      </w:pPr>
      <w:r w:rsidRPr="00DF7A53">
        <w:rPr>
          <w:rFonts w:ascii="Arial" w:hAnsi="Arial"/>
          <w:noProof/>
        </w:rPr>
        <w:t>64.</w:t>
      </w:r>
      <w:r w:rsidRPr="00DF7A53">
        <w:rPr>
          <w:rFonts w:ascii="Arial" w:hAnsi="Arial"/>
          <w:noProof/>
        </w:rPr>
        <w:tab/>
        <w:t xml:space="preserve">Chan DC, Pang J, Hooper AJ, et al. Elevated lipoprotein(a), hypertension and renal insufficiency as predictors of coronary artery disease in patients with genetically confirmed heterozygous familial hypercholesterolemia. </w:t>
      </w:r>
      <w:r w:rsidRPr="00DF7A53">
        <w:rPr>
          <w:rFonts w:ascii="Arial" w:hAnsi="Arial"/>
          <w:i/>
          <w:noProof/>
        </w:rPr>
        <w:t>Int J Cardiol</w:t>
      </w:r>
      <w:r w:rsidRPr="00DF7A53">
        <w:rPr>
          <w:rFonts w:ascii="Arial" w:hAnsi="Arial"/>
          <w:noProof/>
        </w:rPr>
        <w:t xml:space="preserve"> 2015; 201: 633-8.</w:t>
      </w:r>
    </w:p>
    <w:p w14:paraId="18B6DC15" w14:textId="77777777" w:rsidR="00B175ED" w:rsidRPr="00DF7A53" w:rsidRDefault="00B175ED" w:rsidP="00DE6444">
      <w:pPr>
        <w:pStyle w:val="EndNoteBibliography"/>
        <w:rPr>
          <w:rFonts w:ascii="Arial" w:hAnsi="Arial"/>
          <w:noProof/>
        </w:rPr>
      </w:pPr>
      <w:r w:rsidRPr="00DF7A53">
        <w:rPr>
          <w:rFonts w:ascii="Arial" w:hAnsi="Arial"/>
          <w:noProof/>
        </w:rPr>
        <w:t>65.</w:t>
      </w:r>
      <w:r w:rsidRPr="00DF7A53">
        <w:rPr>
          <w:rFonts w:ascii="Arial" w:hAnsi="Arial"/>
          <w:noProof/>
        </w:rPr>
        <w:tab/>
        <w:t xml:space="preserve">Civeira F, Castillo S, Alonso R, et al. Tendon xanthomas in familial hypercholesterolemia are associated with cardiovascular risk independently of the low-density lipoprotein receptor gene mutation. </w:t>
      </w:r>
      <w:r w:rsidRPr="00DF7A53">
        <w:rPr>
          <w:rFonts w:ascii="Arial" w:hAnsi="Arial"/>
          <w:i/>
          <w:noProof/>
        </w:rPr>
        <w:t>Arterioscler Thromb Vasc Biol</w:t>
      </w:r>
      <w:r w:rsidRPr="00DF7A53">
        <w:rPr>
          <w:rFonts w:ascii="Arial" w:hAnsi="Arial"/>
          <w:noProof/>
        </w:rPr>
        <w:t xml:space="preserve"> 2005; 25(9): 1960-5.</w:t>
      </w:r>
    </w:p>
    <w:p w14:paraId="3A25C016" w14:textId="77777777" w:rsidR="00B175ED" w:rsidRPr="00DF7A53" w:rsidRDefault="00B175ED" w:rsidP="00DE6444">
      <w:pPr>
        <w:pStyle w:val="EndNoteBibliography"/>
        <w:rPr>
          <w:rFonts w:ascii="Arial" w:hAnsi="Arial"/>
          <w:noProof/>
        </w:rPr>
      </w:pPr>
      <w:r w:rsidRPr="00DF7A53">
        <w:rPr>
          <w:rFonts w:ascii="Arial" w:hAnsi="Arial"/>
          <w:noProof/>
        </w:rPr>
        <w:t>66.</w:t>
      </w:r>
      <w:r w:rsidRPr="00DF7A53">
        <w:rPr>
          <w:rFonts w:ascii="Arial" w:hAnsi="Arial"/>
          <w:noProof/>
        </w:rPr>
        <w:tab/>
        <w:t xml:space="preserve">Seed M, Hoppichler F, Reaveley D, et al. Relation of serum lipoprotein(a) concentration and apolipoprotein(a) phenotype to coronary heart disease in patients with familial hypercholesterolemia. </w:t>
      </w:r>
      <w:r w:rsidRPr="00DF7A53">
        <w:rPr>
          <w:rFonts w:ascii="Arial" w:hAnsi="Arial"/>
          <w:i/>
          <w:noProof/>
        </w:rPr>
        <w:t>The New England journal of medicine</w:t>
      </w:r>
      <w:r w:rsidRPr="00DF7A53">
        <w:rPr>
          <w:rFonts w:ascii="Arial" w:hAnsi="Arial"/>
          <w:noProof/>
        </w:rPr>
        <w:t xml:space="preserve"> 1990; 322(21): 1494-9.</w:t>
      </w:r>
    </w:p>
    <w:p w14:paraId="5546D725" w14:textId="77777777" w:rsidR="00B175ED" w:rsidRPr="00DF7A53" w:rsidRDefault="00B175ED" w:rsidP="00DE6444">
      <w:pPr>
        <w:pStyle w:val="EndNoteBibliography"/>
        <w:rPr>
          <w:rFonts w:ascii="Arial" w:hAnsi="Arial"/>
          <w:noProof/>
        </w:rPr>
      </w:pPr>
      <w:r w:rsidRPr="00DF7A53">
        <w:rPr>
          <w:rFonts w:ascii="Arial" w:hAnsi="Arial"/>
          <w:noProof/>
        </w:rPr>
        <w:t>67.</w:t>
      </w:r>
      <w:r w:rsidRPr="00DF7A53">
        <w:rPr>
          <w:rFonts w:ascii="Arial" w:hAnsi="Arial"/>
          <w:noProof/>
        </w:rPr>
        <w:tab/>
        <w:t xml:space="preserve">Erqou S, Kaptoge S, Perry PL, et al. Lipoprotein(a) concentration and the risk of coronary heart disease, stroke, and nonvascular mortality. </w:t>
      </w:r>
      <w:r w:rsidRPr="00DF7A53">
        <w:rPr>
          <w:rFonts w:ascii="Arial" w:hAnsi="Arial"/>
          <w:i/>
          <w:noProof/>
        </w:rPr>
        <w:t>Jama</w:t>
      </w:r>
      <w:r w:rsidRPr="00DF7A53">
        <w:rPr>
          <w:rFonts w:ascii="Arial" w:hAnsi="Arial"/>
          <w:noProof/>
        </w:rPr>
        <w:t xml:space="preserve"> 2009; 302(4): 412-23.</w:t>
      </w:r>
    </w:p>
    <w:p w14:paraId="19B88767" w14:textId="77777777" w:rsidR="00B175ED" w:rsidRPr="00DF7A53" w:rsidRDefault="00B175ED" w:rsidP="00DE6444">
      <w:pPr>
        <w:pStyle w:val="EndNoteBibliography"/>
        <w:rPr>
          <w:rFonts w:ascii="Arial" w:hAnsi="Arial"/>
          <w:noProof/>
        </w:rPr>
      </w:pPr>
      <w:r w:rsidRPr="00DF7A53">
        <w:rPr>
          <w:rFonts w:ascii="Arial" w:hAnsi="Arial"/>
          <w:noProof/>
        </w:rPr>
        <w:t>68.</w:t>
      </w:r>
      <w:r w:rsidRPr="00DF7A53">
        <w:rPr>
          <w:rFonts w:ascii="Arial" w:hAnsi="Arial"/>
          <w:noProof/>
        </w:rPr>
        <w:tab/>
        <w:t xml:space="preserve">Clarke R, Peden JF, Hopewell JC, et al. Genetic variants associated with Lp(a) lipoprotein level and coronary disease. </w:t>
      </w:r>
      <w:r w:rsidRPr="00DF7A53">
        <w:rPr>
          <w:rFonts w:ascii="Arial" w:hAnsi="Arial"/>
          <w:i/>
          <w:noProof/>
        </w:rPr>
        <w:t>The New England journal of medicine</w:t>
      </w:r>
      <w:r w:rsidRPr="00DF7A53">
        <w:rPr>
          <w:rFonts w:ascii="Arial" w:hAnsi="Arial"/>
          <w:noProof/>
        </w:rPr>
        <w:t xml:space="preserve"> 2009; 361(26): 2518-28.</w:t>
      </w:r>
    </w:p>
    <w:p w14:paraId="572F2F8B" w14:textId="77777777" w:rsidR="00B175ED" w:rsidRPr="00DF7A53" w:rsidRDefault="00B175ED" w:rsidP="00DE6444">
      <w:pPr>
        <w:pStyle w:val="EndNoteBibliography"/>
        <w:rPr>
          <w:rFonts w:ascii="Arial" w:hAnsi="Arial"/>
          <w:noProof/>
        </w:rPr>
      </w:pPr>
      <w:r w:rsidRPr="00DF7A53">
        <w:rPr>
          <w:rFonts w:ascii="Arial" w:hAnsi="Arial"/>
          <w:noProof/>
        </w:rPr>
        <w:t>69.</w:t>
      </w:r>
      <w:r w:rsidRPr="00DF7A53">
        <w:rPr>
          <w:rFonts w:ascii="Arial" w:hAnsi="Arial"/>
          <w:noProof/>
        </w:rPr>
        <w:tab/>
        <w:t xml:space="preserve">Kamstrup PR, Tybjaerg-Hansen A, Steffensen R, Nordestgaard BG. Genetically elevated lipoprotein(a) and increased risk of myocardial infarction. </w:t>
      </w:r>
      <w:r w:rsidRPr="00DF7A53">
        <w:rPr>
          <w:rFonts w:ascii="Arial" w:hAnsi="Arial"/>
          <w:i/>
          <w:noProof/>
        </w:rPr>
        <w:t>Jama</w:t>
      </w:r>
      <w:r w:rsidRPr="00DF7A53">
        <w:rPr>
          <w:rFonts w:ascii="Arial" w:hAnsi="Arial"/>
          <w:noProof/>
        </w:rPr>
        <w:t xml:space="preserve"> 2009; 301(22): 2331-9.</w:t>
      </w:r>
    </w:p>
    <w:p w14:paraId="483FB905" w14:textId="77777777" w:rsidR="00B175ED" w:rsidRPr="00DF7A53" w:rsidRDefault="00B175ED" w:rsidP="00DE6444">
      <w:pPr>
        <w:pStyle w:val="EndNoteBibliography"/>
        <w:rPr>
          <w:rFonts w:ascii="Arial" w:hAnsi="Arial"/>
          <w:noProof/>
        </w:rPr>
      </w:pPr>
      <w:r w:rsidRPr="00DF7A53">
        <w:rPr>
          <w:rFonts w:ascii="Arial" w:hAnsi="Arial"/>
          <w:noProof/>
        </w:rPr>
        <w:t>70.</w:t>
      </w:r>
      <w:r w:rsidRPr="00DF7A53">
        <w:rPr>
          <w:rFonts w:ascii="Arial" w:hAnsi="Arial"/>
          <w:noProof/>
        </w:rPr>
        <w:tab/>
        <w:t xml:space="preserve">Nordestgaard BG, Chapman MJ, Ray K, et al. Lipoprotein(a) as a cardiovascular risk factor: current status. </w:t>
      </w:r>
      <w:r w:rsidRPr="00DF7A53">
        <w:rPr>
          <w:rFonts w:ascii="Arial" w:hAnsi="Arial"/>
          <w:i/>
          <w:noProof/>
        </w:rPr>
        <w:t>Eur Heart J</w:t>
      </w:r>
      <w:r w:rsidRPr="00DF7A53">
        <w:rPr>
          <w:rFonts w:ascii="Arial" w:hAnsi="Arial"/>
          <w:noProof/>
        </w:rPr>
        <w:t xml:space="preserve"> 2010; 31(23): 2844-53.</w:t>
      </w:r>
    </w:p>
    <w:p w14:paraId="4FA9C045" w14:textId="77777777" w:rsidR="00B175ED" w:rsidRPr="00DF7A53" w:rsidRDefault="00B175ED" w:rsidP="00DE6444">
      <w:pPr>
        <w:pStyle w:val="EndNoteBibliography"/>
        <w:rPr>
          <w:rFonts w:ascii="Arial" w:hAnsi="Arial"/>
          <w:noProof/>
        </w:rPr>
      </w:pPr>
      <w:r w:rsidRPr="00DF7A53">
        <w:rPr>
          <w:rFonts w:ascii="Arial" w:hAnsi="Arial"/>
          <w:noProof/>
        </w:rPr>
        <w:t>71.</w:t>
      </w:r>
      <w:r w:rsidRPr="00DF7A53">
        <w:rPr>
          <w:rFonts w:ascii="Arial" w:hAnsi="Arial"/>
          <w:noProof/>
        </w:rPr>
        <w:tab/>
        <w:t xml:space="preserve">Santos RD. Lipoprotein(a) and cardiovascular disease in heterozygous familial hypercholesterolemia: should we also blame the LDL receptor? </w:t>
      </w:r>
      <w:r w:rsidRPr="00DF7A53">
        <w:rPr>
          <w:rFonts w:ascii="Arial" w:hAnsi="Arial"/>
          <w:i/>
          <w:noProof/>
        </w:rPr>
        <w:t>J Am Coll Cardiol</w:t>
      </w:r>
      <w:r w:rsidRPr="00DF7A53">
        <w:rPr>
          <w:rFonts w:ascii="Arial" w:hAnsi="Arial"/>
          <w:noProof/>
        </w:rPr>
        <w:t xml:space="preserve"> 2014; 63(19): 1990-1.</w:t>
      </w:r>
    </w:p>
    <w:p w14:paraId="3E41ED89" w14:textId="77777777" w:rsidR="00B175ED" w:rsidRPr="00DF7A53" w:rsidRDefault="00B175ED" w:rsidP="00DE6444">
      <w:pPr>
        <w:pStyle w:val="EndNoteBibliography"/>
        <w:rPr>
          <w:rFonts w:ascii="Arial" w:hAnsi="Arial"/>
          <w:noProof/>
        </w:rPr>
      </w:pPr>
      <w:r w:rsidRPr="00DF7A53">
        <w:rPr>
          <w:rFonts w:ascii="Arial" w:hAnsi="Arial"/>
          <w:noProof/>
        </w:rPr>
        <w:t>72.</w:t>
      </w:r>
      <w:r w:rsidRPr="00DF7A53">
        <w:rPr>
          <w:rFonts w:ascii="Arial" w:hAnsi="Arial"/>
          <w:noProof/>
        </w:rPr>
        <w:tab/>
        <w:t xml:space="preserve">Kraft HG, Lingenhel A, Raal FJ, Hohenegger M, Utermann G. Lipoprotein(a) in homozygous familial hypercholesterolemia. </w:t>
      </w:r>
      <w:r w:rsidRPr="00DF7A53">
        <w:rPr>
          <w:rFonts w:ascii="Arial" w:hAnsi="Arial"/>
          <w:i/>
          <w:noProof/>
        </w:rPr>
        <w:t>Arterioscler Thromb Vasc Biol</w:t>
      </w:r>
      <w:r w:rsidRPr="00DF7A53">
        <w:rPr>
          <w:rFonts w:ascii="Arial" w:hAnsi="Arial"/>
          <w:noProof/>
        </w:rPr>
        <w:t xml:space="preserve"> 2000; 20(2): 522-8.</w:t>
      </w:r>
    </w:p>
    <w:p w14:paraId="02426BC7" w14:textId="77777777" w:rsidR="00B175ED" w:rsidRPr="00DF7A53" w:rsidRDefault="00B175ED" w:rsidP="00DE6444">
      <w:pPr>
        <w:pStyle w:val="EndNoteBibliography"/>
        <w:rPr>
          <w:rFonts w:ascii="Arial" w:hAnsi="Arial"/>
          <w:noProof/>
        </w:rPr>
      </w:pPr>
      <w:r w:rsidRPr="00DF7A53">
        <w:rPr>
          <w:rFonts w:ascii="Arial" w:hAnsi="Arial"/>
          <w:noProof/>
        </w:rPr>
        <w:t>73.</w:t>
      </w:r>
      <w:r w:rsidRPr="00DF7A53">
        <w:rPr>
          <w:rFonts w:ascii="Arial" w:hAnsi="Arial"/>
          <w:noProof/>
        </w:rPr>
        <w:tab/>
        <w:t xml:space="preserve">Romagnuolo R, Scipione CA, Boffa MB, Marcovina SM, Seidah NG, Koschinsky ML. Lipoprotein(a) catabolism is regulated by proprotein convertase subtilisin/kexin type 9 through the low density lipoprotein receptor. </w:t>
      </w:r>
      <w:r w:rsidRPr="00DF7A53">
        <w:rPr>
          <w:rFonts w:ascii="Arial" w:hAnsi="Arial"/>
          <w:i/>
          <w:noProof/>
        </w:rPr>
        <w:t>The Journal of biological chemistry</w:t>
      </w:r>
      <w:r w:rsidRPr="00DF7A53">
        <w:rPr>
          <w:rFonts w:ascii="Arial" w:hAnsi="Arial"/>
          <w:noProof/>
        </w:rPr>
        <w:t xml:space="preserve"> 2015; 290(18): 11649-62.</w:t>
      </w:r>
    </w:p>
    <w:p w14:paraId="492D5DF3" w14:textId="77777777" w:rsidR="00B175ED" w:rsidRPr="00DF7A53" w:rsidRDefault="00B175ED" w:rsidP="00DE6444">
      <w:pPr>
        <w:pStyle w:val="EndNoteBibliography"/>
        <w:rPr>
          <w:rFonts w:ascii="Arial" w:hAnsi="Arial"/>
          <w:noProof/>
        </w:rPr>
      </w:pPr>
      <w:r w:rsidRPr="00DF7A53">
        <w:rPr>
          <w:rFonts w:ascii="Arial" w:hAnsi="Arial"/>
          <w:noProof/>
        </w:rPr>
        <w:t>74.</w:t>
      </w:r>
      <w:r w:rsidRPr="00DF7A53">
        <w:rPr>
          <w:rFonts w:ascii="Arial" w:hAnsi="Arial"/>
          <w:noProof/>
        </w:rPr>
        <w:tab/>
        <w:t xml:space="preserve">Vongpromek R, Bos S, Ten Kate GJ, et al. Lipoprotein(a) levels are associated with aortic valve calcification in asymptomatic patients with familial hypercholesterolaemia. </w:t>
      </w:r>
      <w:r w:rsidRPr="00DF7A53">
        <w:rPr>
          <w:rFonts w:ascii="Arial" w:hAnsi="Arial"/>
          <w:i/>
          <w:noProof/>
        </w:rPr>
        <w:t>Journal of internal medicine</w:t>
      </w:r>
      <w:r w:rsidRPr="00DF7A53">
        <w:rPr>
          <w:rFonts w:ascii="Arial" w:hAnsi="Arial"/>
          <w:noProof/>
        </w:rPr>
        <w:t xml:space="preserve"> 2015; 278(2): 166-73.</w:t>
      </w:r>
    </w:p>
    <w:p w14:paraId="6C7A1702" w14:textId="77777777" w:rsidR="00B175ED" w:rsidRPr="00DF7A53" w:rsidRDefault="00B175ED" w:rsidP="00DE6444">
      <w:pPr>
        <w:pStyle w:val="EndNoteBibliography"/>
        <w:rPr>
          <w:rFonts w:ascii="Arial" w:hAnsi="Arial"/>
          <w:noProof/>
        </w:rPr>
      </w:pPr>
      <w:r w:rsidRPr="00DF7A53">
        <w:rPr>
          <w:rFonts w:ascii="Arial" w:hAnsi="Arial"/>
          <w:noProof/>
        </w:rPr>
        <w:t>75.</w:t>
      </w:r>
      <w:r w:rsidRPr="00DF7A53">
        <w:rPr>
          <w:rFonts w:ascii="Arial" w:hAnsi="Arial"/>
          <w:noProof/>
        </w:rPr>
        <w:tab/>
        <w:t xml:space="preserve">Sijbrands EJ, Nieman K, Budoff MJ. Cardiac computed tomography imaging in familial hypercholesterolaemia: implications for therapy and clinical trials. </w:t>
      </w:r>
      <w:r w:rsidRPr="00DF7A53">
        <w:rPr>
          <w:rFonts w:ascii="Arial" w:hAnsi="Arial"/>
          <w:i/>
          <w:noProof/>
        </w:rPr>
        <w:t>Curr Opin Lipidol</w:t>
      </w:r>
      <w:r w:rsidRPr="00DF7A53">
        <w:rPr>
          <w:rFonts w:ascii="Arial" w:hAnsi="Arial"/>
          <w:noProof/>
        </w:rPr>
        <w:t xml:space="preserve"> 2015; 26(6): 586-92.</w:t>
      </w:r>
    </w:p>
    <w:p w14:paraId="22D18F81" w14:textId="77777777" w:rsidR="00B175ED" w:rsidRPr="00DF7A53" w:rsidRDefault="00B175ED" w:rsidP="00DE6444">
      <w:pPr>
        <w:pStyle w:val="EndNoteBibliography"/>
        <w:rPr>
          <w:rFonts w:ascii="Arial" w:hAnsi="Arial"/>
          <w:noProof/>
        </w:rPr>
      </w:pPr>
      <w:r w:rsidRPr="00DF7A53">
        <w:rPr>
          <w:rFonts w:ascii="Arial" w:hAnsi="Arial"/>
          <w:noProof/>
        </w:rPr>
        <w:t>76.</w:t>
      </w:r>
      <w:r w:rsidRPr="00DF7A53">
        <w:rPr>
          <w:rFonts w:ascii="Arial" w:hAnsi="Arial"/>
          <w:noProof/>
        </w:rPr>
        <w:tab/>
        <w:t xml:space="preserve">McClelland RL, Jorgensen NW, Budoff M, et al. 10-Year Coronary Heart Disease Risk Prediction Using Coronary Artery Calcium and Traditional Risk Factors: Derivation in the MESA (Multi-Ethnic Study of Atherosclerosis) With Validation in the HNR (Heinz Nixdorf Recall) Study and the DHS (Dallas Heart Study). </w:t>
      </w:r>
      <w:r w:rsidRPr="00DF7A53">
        <w:rPr>
          <w:rFonts w:ascii="Arial" w:hAnsi="Arial"/>
          <w:i/>
          <w:noProof/>
        </w:rPr>
        <w:t>J Am Coll Cardiol</w:t>
      </w:r>
      <w:r w:rsidRPr="00DF7A53">
        <w:rPr>
          <w:rFonts w:ascii="Arial" w:hAnsi="Arial"/>
          <w:noProof/>
        </w:rPr>
        <w:t xml:space="preserve"> 2015; 66(15): 1643-53.</w:t>
      </w:r>
    </w:p>
    <w:p w14:paraId="5C7B115E" w14:textId="77777777" w:rsidR="00B175ED" w:rsidRPr="00DF7A53" w:rsidRDefault="00B175ED" w:rsidP="00DE6444">
      <w:pPr>
        <w:pStyle w:val="EndNoteBibliography"/>
        <w:rPr>
          <w:rFonts w:ascii="Arial" w:hAnsi="Arial"/>
          <w:noProof/>
        </w:rPr>
      </w:pPr>
      <w:r w:rsidRPr="00DF7A53">
        <w:rPr>
          <w:rFonts w:ascii="Arial" w:hAnsi="Arial"/>
          <w:noProof/>
        </w:rPr>
        <w:t>77.</w:t>
      </w:r>
      <w:r w:rsidRPr="00DF7A53">
        <w:rPr>
          <w:rFonts w:ascii="Arial" w:hAnsi="Arial"/>
          <w:noProof/>
        </w:rPr>
        <w:tab/>
        <w:t xml:space="preserve">Georgiou D, Budoff MJ, Kaufer E, Kennedy JM, Lu B, Brundage BH. Screening patients with chest pain in the emergency department using electron beam tomography: a follow-up study. </w:t>
      </w:r>
      <w:r w:rsidRPr="00DF7A53">
        <w:rPr>
          <w:rFonts w:ascii="Arial" w:hAnsi="Arial"/>
          <w:i/>
          <w:noProof/>
        </w:rPr>
        <w:t>J Am Coll Cardiol</w:t>
      </w:r>
      <w:r w:rsidRPr="00DF7A53">
        <w:rPr>
          <w:rFonts w:ascii="Arial" w:hAnsi="Arial"/>
          <w:noProof/>
        </w:rPr>
        <w:t xml:space="preserve"> 2001; 38(1): 105-10.</w:t>
      </w:r>
    </w:p>
    <w:p w14:paraId="78562441" w14:textId="77777777" w:rsidR="00B175ED" w:rsidRPr="00DF7A53" w:rsidRDefault="00B175ED" w:rsidP="00DE6444">
      <w:pPr>
        <w:pStyle w:val="EndNoteBibliography"/>
        <w:rPr>
          <w:rFonts w:ascii="Arial" w:hAnsi="Arial"/>
          <w:noProof/>
        </w:rPr>
      </w:pPr>
      <w:r w:rsidRPr="00DF7A53">
        <w:rPr>
          <w:rFonts w:ascii="Arial" w:hAnsi="Arial"/>
          <w:noProof/>
        </w:rPr>
        <w:t>78.</w:t>
      </w:r>
      <w:r w:rsidRPr="00DF7A53">
        <w:rPr>
          <w:rFonts w:ascii="Arial" w:hAnsi="Arial"/>
          <w:noProof/>
        </w:rPr>
        <w:tab/>
        <w:t xml:space="preserve">Hadamitzky M, Taubert S, Deseive S, et al. Prognostic value of coronary computed tomography angiography during 5 years of follow-up in patients with suspected coronary artery disease. </w:t>
      </w:r>
      <w:r w:rsidRPr="00DF7A53">
        <w:rPr>
          <w:rFonts w:ascii="Arial" w:hAnsi="Arial"/>
          <w:i/>
          <w:noProof/>
        </w:rPr>
        <w:t>Eur Heart J</w:t>
      </w:r>
      <w:r w:rsidRPr="00DF7A53">
        <w:rPr>
          <w:rFonts w:ascii="Arial" w:hAnsi="Arial"/>
          <w:noProof/>
        </w:rPr>
        <w:t xml:space="preserve"> 2013; 34(42): 3277-85.</w:t>
      </w:r>
    </w:p>
    <w:p w14:paraId="1BB9BB0A" w14:textId="77777777" w:rsidR="00B175ED" w:rsidRPr="00DF7A53" w:rsidRDefault="00B175ED" w:rsidP="00DE6444">
      <w:pPr>
        <w:pStyle w:val="EndNoteBibliography"/>
        <w:rPr>
          <w:rFonts w:ascii="Arial" w:hAnsi="Arial"/>
          <w:noProof/>
        </w:rPr>
      </w:pPr>
      <w:r w:rsidRPr="00DF7A53">
        <w:rPr>
          <w:rFonts w:ascii="Arial" w:hAnsi="Arial"/>
          <w:noProof/>
        </w:rPr>
        <w:t>79.</w:t>
      </w:r>
      <w:r w:rsidRPr="00DF7A53">
        <w:rPr>
          <w:rFonts w:ascii="Arial" w:hAnsi="Arial"/>
          <w:noProof/>
        </w:rPr>
        <w:tab/>
        <w:t xml:space="preserve">Chow BJ, Small G, Yam Y, et al. Prognostic and therapeutic implications of statin and aspirin therapy in individuals with nonobstructive coronary artery disease: results from the CONFIRM (COronary CT Angiography EvaluatioN For Clinical Outcomes: An InteRnational Multicenter registry) registry. </w:t>
      </w:r>
      <w:r w:rsidRPr="00DF7A53">
        <w:rPr>
          <w:rFonts w:ascii="Arial" w:hAnsi="Arial"/>
          <w:i/>
          <w:noProof/>
        </w:rPr>
        <w:t>Arterioscler Thromb Vasc Biol</w:t>
      </w:r>
      <w:r w:rsidRPr="00DF7A53">
        <w:rPr>
          <w:rFonts w:ascii="Arial" w:hAnsi="Arial"/>
          <w:noProof/>
        </w:rPr>
        <w:t xml:space="preserve"> 2015; 35(4): 981-9.</w:t>
      </w:r>
    </w:p>
    <w:p w14:paraId="3F4937FD" w14:textId="77777777" w:rsidR="00B175ED" w:rsidRPr="00DF7A53" w:rsidRDefault="00B175ED" w:rsidP="00DE6444">
      <w:pPr>
        <w:pStyle w:val="EndNoteBibliography"/>
        <w:rPr>
          <w:rFonts w:ascii="Arial" w:hAnsi="Arial"/>
          <w:noProof/>
        </w:rPr>
      </w:pPr>
      <w:r w:rsidRPr="00DF7A53">
        <w:rPr>
          <w:rFonts w:ascii="Arial" w:hAnsi="Arial"/>
          <w:noProof/>
        </w:rPr>
        <w:t>80.</w:t>
      </w:r>
      <w:r w:rsidRPr="00DF7A53">
        <w:rPr>
          <w:rFonts w:ascii="Arial" w:hAnsi="Arial"/>
          <w:noProof/>
        </w:rPr>
        <w:tab/>
        <w:t xml:space="preserve">Cheruvu C, Precious B, Naoum C, et al. Long term prognostic utility of coronary CT angiography in patients with no modifiable coronary artery disease risk factors: Results from the 5 year follow-up of the CONFIRM International Multicenter Registry. </w:t>
      </w:r>
      <w:r w:rsidRPr="00DF7A53">
        <w:rPr>
          <w:rFonts w:ascii="Arial" w:hAnsi="Arial"/>
          <w:i/>
          <w:noProof/>
        </w:rPr>
        <w:t>J Cardiovasc Comput Tomogr</w:t>
      </w:r>
      <w:r w:rsidRPr="00DF7A53">
        <w:rPr>
          <w:rFonts w:ascii="Arial" w:hAnsi="Arial"/>
          <w:noProof/>
        </w:rPr>
        <w:t xml:space="preserve"> 2016; 10(1): 22-7.</w:t>
      </w:r>
    </w:p>
    <w:p w14:paraId="76F5B814" w14:textId="77777777" w:rsidR="00B175ED" w:rsidRPr="00DF7A53" w:rsidRDefault="00B175ED" w:rsidP="00DE6444">
      <w:pPr>
        <w:pStyle w:val="EndNoteBibliography"/>
        <w:rPr>
          <w:rFonts w:ascii="Arial" w:hAnsi="Arial"/>
          <w:noProof/>
        </w:rPr>
      </w:pPr>
      <w:r w:rsidRPr="00DF7A53">
        <w:rPr>
          <w:rFonts w:ascii="Arial" w:hAnsi="Arial"/>
          <w:noProof/>
        </w:rPr>
        <w:t>81.</w:t>
      </w:r>
      <w:r w:rsidRPr="00DF7A53">
        <w:rPr>
          <w:rFonts w:ascii="Arial" w:hAnsi="Arial"/>
          <w:noProof/>
        </w:rPr>
        <w:tab/>
        <w:t xml:space="preserve">Gidding SS, Bookstein LC, Chomka EV. Usefulness of electron beam tomography in adolescents and young adults with heterozygous familial hypercholesterolemia. </w:t>
      </w:r>
      <w:r w:rsidRPr="00DF7A53">
        <w:rPr>
          <w:rFonts w:ascii="Arial" w:hAnsi="Arial"/>
          <w:i/>
          <w:noProof/>
        </w:rPr>
        <w:t>Circulation</w:t>
      </w:r>
      <w:r w:rsidRPr="00DF7A53">
        <w:rPr>
          <w:rFonts w:ascii="Arial" w:hAnsi="Arial"/>
          <w:noProof/>
        </w:rPr>
        <w:t xml:space="preserve"> 1998; 98(23): 2580-3.</w:t>
      </w:r>
    </w:p>
    <w:p w14:paraId="4BA3C8EE" w14:textId="77777777" w:rsidR="00B175ED" w:rsidRPr="00DF7A53" w:rsidRDefault="00B175ED" w:rsidP="00DE6444">
      <w:pPr>
        <w:pStyle w:val="EndNoteBibliography"/>
        <w:rPr>
          <w:rFonts w:ascii="Arial" w:hAnsi="Arial"/>
          <w:noProof/>
        </w:rPr>
      </w:pPr>
      <w:r w:rsidRPr="00DF7A53">
        <w:rPr>
          <w:rFonts w:ascii="Arial" w:hAnsi="Arial"/>
          <w:noProof/>
        </w:rPr>
        <w:t>82.</w:t>
      </w:r>
      <w:r w:rsidRPr="00DF7A53">
        <w:rPr>
          <w:rFonts w:ascii="Arial" w:hAnsi="Arial"/>
          <w:noProof/>
        </w:rPr>
        <w:tab/>
        <w:t xml:space="preserve">Miname MH, Ribeiro MS, 2nd, Parga Filho J, et al. Evaluation of subclinical atherosclerosis by computed tomography coronary angiography and its association with risk factors in familial hypercholesterolemia. </w:t>
      </w:r>
      <w:r w:rsidRPr="00DF7A53">
        <w:rPr>
          <w:rFonts w:ascii="Arial" w:hAnsi="Arial"/>
          <w:i/>
          <w:noProof/>
        </w:rPr>
        <w:t>Atherosclerosis</w:t>
      </w:r>
      <w:r w:rsidRPr="00DF7A53">
        <w:rPr>
          <w:rFonts w:ascii="Arial" w:hAnsi="Arial"/>
          <w:noProof/>
        </w:rPr>
        <w:t xml:space="preserve"> 2010; 213(2): 486-91.</w:t>
      </w:r>
    </w:p>
    <w:p w14:paraId="6560416E" w14:textId="77777777" w:rsidR="00B175ED" w:rsidRPr="00DF7A53" w:rsidRDefault="00B175ED" w:rsidP="00DE6444">
      <w:pPr>
        <w:pStyle w:val="EndNoteBibliography"/>
        <w:rPr>
          <w:rFonts w:ascii="Arial" w:hAnsi="Arial"/>
          <w:noProof/>
        </w:rPr>
      </w:pPr>
      <w:r w:rsidRPr="00DF7A53">
        <w:rPr>
          <w:rFonts w:ascii="Arial" w:hAnsi="Arial"/>
          <w:noProof/>
        </w:rPr>
        <w:t>83.</w:t>
      </w:r>
      <w:r w:rsidRPr="00DF7A53">
        <w:rPr>
          <w:rFonts w:ascii="Arial" w:hAnsi="Arial"/>
          <w:noProof/>
        </w:rPr>
        <w:tab/>
        <w:t xml:space="preserve">Neefjes LA, Ten Kate GJ, Alexia R, et al. Accelerated subclinical coronary atherosclerosis in patients with familial hypercholesterolemia. </w:t>
      </w:r>
      <w:r w:rsidRPr="00DF7A53">
        <w:rPr>
          <w:rFonts w:ascii="Arial" w:hAnsi="Arial"/>
          <w:i/>
          <w:noProof/>
        </w:rPr>
        <w:t>Atherosclerosis</w:t>
      </w:r>
      <w:r w:rsidRPr="00DF7A53">
        <w:rPr>
          <w:rFonts w:ascii="Arial" w:hAnsi="Arial"/>
          <w:noProof/>
        </w:rPr>
        <w:t xml:space="preserve"> 2011; 219(2): 721-7.</w:t>
      </w:r>
    </w:p>
    <w:p w14:paraId="38BAF32D" w14:textId="77777777" w:rsidR="00B175ED" w:rsidRPr="00DF7A53" w:rsidRDefault="00B175ED" w:rsidP="00DE6444">
      <w:pPr>
        <w:pStyle w:val="EndNoteBibliography"/>
        <w:rPr>
          <w:rFonts w:ascii="Arial" w:hAnsi="Arial"/>
          <w:noProof/>
        </w:rPr>
      </w:pPr>
      <w:r w:rsidRPr="00DF7A53">
        <w:rPr>
          <w:rFonts w:ascii="Arial" w:hAnsi="Arial"/>
          <w:noProof/>
        </w:rPr>
        <w:t>84.</w:t>
      </w:r>
      <w:r w:rsidRPr="00DF7A53">
        <w:rPr>
          <w:rFonts w:ascii="Arial" w:hAnsi="Arial"/>
          <w:noProof/>
        </w:rPr>
        <w:tab/>
        <w:t xml:space="preserve">Santos RD, Miname MH, Martinez LR, et al. Non-invasive detection of aortic and coronary atherosclerosis in homozygous familial hypercholesterolemia by 64 slice multi-detector row computed tomography angiography. </w:t>
      </w:r>
      <w:r w:rsidRPr="00DF7A53">
        <w:rPr>
          <w:rFonts w:ascii="Arial" w:hAnsi="Arial"/>
          <w:i/>
          <w:noProof/>
        </w:rPr>
        <w:t>Atherosclerosis</w:t>
      </w:r>
      <w:r w:rsidRPr="00DF7A53">
        <w:rPr>
          <w:rFonts w:ascii="Arial" w:hAnsi="Arial"/>
          <w:noProof/>
        </w:rPr>
        <w:t xml:space="preserve"> 2008; 197(2): 910-5.</w:t>
      </w:r>
    </w:p>
    <w:p w14:paraId="770FD37F" w14:textId="77777777" w:rsidR="00B175ED" w:rsidRPr="00DF7A53" w:rsidRDefault="00B175ED" w:rsidP="00DE6444">
      <w:pPr>
        <w:pStyle w:val="EndNoteBibliography"/>
        <w:rPr>
          <w:rFonts w:ascii="Arial" w:hAnsi="Arial"/>
          <w:noProof/>
        </w:rPr>
      </w:pPr>
      <w:r w:rsidRPr="00DF7A53">
        <w:rPr>
          <w:rFonts w:ascii="Arial" w:hAnsi="Arial"/>
          <w:noProof/>
        </w:rPr>
        <w:t>85.</w:t>
      </w:r>
      <w:r w:rsidRPr="00DF7A53">
        <w:rPr>
          <w:rFonts w:ascii="Arial" w:hAnsi="Arial"/>
          <w:noProof/>
        </w:rPr>
        <w:tab/>
        <w:t xml:space="preserve">Hongu N, Kitts DD, Zawistowski J, et al. Pigmented rice bran and plant sterol combination reduces serum lipids in overweight and obese adults. </w:t>
      </w:r>
      <w:r w:rsidRPr="00DF7A53">
        <w:rPr>
          <w:rFonts w:ascii="Arial" w:hAnsi="Arial"/>
          <w:i/>
          <w:noProof/>
        </w:rPr>
        <w:t>Journal of the American College of Nutrition</w:t>
      </w:r>
      <w:r w:rsidRPr="00DF7A53">
        <w:rPr>
          <w:rFonts w:ascii="Arial" w:hAnsi="Arial"/>
          <w:noProof/>
        </w:rPr>
        <w:t xml:space="preserve"> 2014; 33(3): 231-8.</w:t>
      </w:r>
    </w:p>
    <w:p w14:paraId="35319A49" w14:textId="77777777" w:rsidR="00B175ED" w:rsidRPr="00DF7A53" w:rsidRDefault="00B175ED" w:rsidP="00DE6444">
      <w:pPr>
        <w:pStyle w:val="EndNoteBibliography"/>
        <w:rPr>
          <w:rFonts w:ascii="Arial" w:hAnsi="Arial"/>
          <w:noProof/>
        </w:rPr>
      </w:pPr>
      <w:r w:rsidRPr="00DF7A53">
        <w:rPr>
          <w:rFonts w:ascii="Arial" w:hAnsi="Arial"/>
          <w:noProof/>
        </w:rPr>
        <w:t>86.</w:t>
      </w:r>
      <w:r w:rsidRPr="00DF7A53">
        <w:rPr>
          <w:rFonts w:ascii="Arial" w:hAnsi="Arial"/>
          <w:noProof/>
        </w:rPr>
        <w:tab/>
        <w:t xml:space="preserve">Versmissen J, Oosterveer DM, Yazdanpanah M, et al. Efficacy of statins in familial hypercholesterolaemia: a long term cohort study. </w:t>
      </w:r>
      <w:r w:rsidRPr="00DF7A53">
        <w:rPr>
          <w:rFonts w:ascii="Arial" w:hAnsi="Arial"/>
          <w:i/>
          <w:noProof/>
        </w:rPr>
        <w:t>BMJ (Clinical research ed)</w:t>
      </w:r>
      <w:r w:rsidRPr="00DF7A53">
        <w:rPr>
          <w:rFonts w:ascii="Arial" w:hAnsi="Arial"/>
          <w:noProof/>
        </w:rPr>
        <w:t xml:space="preserve"> 2008; 337: a2423.</w:t>
      </w:r>
    </w:p>
    <w:p w14:paraId="4AF8B2C4" w14:textId="77777777" w:rsidR="00B175ED" w:rsidRPr="00DF7A53" w:rsidRDefault="00B175ED" w:rsidP="00DE6444">
      <w:pPr>
        <w:pStyle w:val="EndNoteBibliography"/>
        <w:rPr>
          <w:rFonts w:ascii="Arial" w:hAnsi="Arial"/>
          <w:noProof/>
        </w:rPr>
      </w:pPr>
      <w:r w:rsidRPr="00DF7A53">
        <w:rPr>
          <w:rFonts w:ascii="Arial" w:hAnsi="Arial"/>
          <w:noProof/>
        </w:rPr>
        <w:t>87.</w:t>
      </w:r>
      <w:r w:rsidRPr="00DF7A53">
        <w:rPr>
          <w:rFonts w:ascii="Arial" w:hAnsi="Arial"/>
          <w:noProof/>
        </w:rPr>
        <w:tab/>
        <w:t xml:space="preserve">Santos RD, Duell PB, East C, et al. Long-term efficacy and safety of mipomersen in patients with familial hypercholesterolaemia: 2-year interim results of an open-label extension. </w:t>
      </w:r>
      <w:r w:rsidRPr="00DF7A53">
        <w:rPr>
          <w:rFonts w:ascii="Arial" w:hAnsi="Arial"/>
          <w:i/>
          <w:noProof/>
        </w:rPr>
        <w:t>Eur Heart J</w:t>
      </w:r>
      <w:r w:rsidRPr="00DF7A53">
        <w:rPr>
          <w:rFonts w:ascii="Arial" w:hAnsi="Arial"/>
          <w:noProof/>
        </w:rPr>
        <w:t xml:space="preserve"> 2015; 36(9): 566-75.</w:t>
      </w:r>
    </w:p>
    <w:p w14:paraId="41EEF7A6" w14:textId="77777777" w:rsidR="00B175ED" w:rsidRPr="00DF7A53" w:rsidRDefault="00B175ED" w:rsidP="00DE6444">
      <w:pPr>
        <w:pStyle w:val="EndNoteBibliography"/>
        <w:rPr>
          <w:rFonts w:ascii="Arial" w:hAnsi="Arial"/>
          <w:noProof/>
        </w:rPr>
      </w:pPr>
      <w:r w:rsidRPr="00DF7A53">
        <w:rPr>
          <w:rFonts w:ascii="Arial" w:hAnsi="Arial"/>
          <w:noProof/>
        </w:rPr>
        <w:t>88.</w:t>
      </w:r>
      <w:r w:rsidRPr="00DF7A53">
        <w:rPr>
          <w:rFonts w:ascii="Arial" w:hAnsi="Arial"/>
          <w:noProof/>
        </w:rPr>
        <w:tab/>
        <w:t xml:space="preserve">Brown WV, Brook R, Hemphill LC, Moriarty PM. The use of lipopheresis in the practice of clinical lipidology. </w:t>
      </w:r>
      <w:r w:rsidRPr="00DF7A53">
        <w:rPr>
          <w:rFonts w:ascii="Arial" w:hAnsi="Arial"/>
          <w:i/>
          <w:noProof/>
        </w:rPr>
        <w:t>J Clin Lipidol</w:t>
      </w:r>
      <w:r w:rsidRPr="00DF7A53">
        <w:rPr>
          <w:rFonts w:ascii="Arial" w:hAnsi="Arial"/>
          <w:noProof/>
        </w:rPr>
        <w:t xml:space="preserve"> 2012; 6(2): 98-104.</w:t>
      </w:r>
    </w:p>
    <w:p w14:paraId="079F6B1B" w14:textId="77777777" w:rsidR="00B175ED" w:rsidRPr="00DF7A53" w:rsidRDefault="00B175ED" w:rsidP="00DE6444">
      <w:pPr>
        <w:pStyle w:val="EndNoteBibliography"/>
        <w:rPr>
          <w:rFonts w:ascii="Arial" w:hAnsi="Arial"/>
          <w:noProof/>
        </w:rPr>
      </w:pPr>
      <w:r w:rsidRPr="00DF7A53">
        <w:rPr>
          <w:rFonts w:ascii="Arial" w:hAnsi="Arial"/>
          <w:noProof/>
        </w:rPr>
        <w:t>89.</w:t>
      </w:r>
      <w:r w:rsidRPr="00DF7A53">
        <w:rPr>
          <w:rFonts w:ascii="Arial" w:hAnsi="Arial"/>
          <w:noProof/>
        </w:rPr>
        <w:tab/>
        <w:t xml:space="preserve">Santos RD, Watts GF. Familial hypercholesterolaemia: PCSK9 inhibitors are coming. </w:t>
      </w:r>
      <w:r w:rsidRPr="00DF7A53">
        <w:rPr>
          <w:rFonts w:ascii="Arial" w:hAnsi="Arial"/>
          <w:i/>
          <w:noProof/>
        </w:rPr>
        <w:t>Lancet</w:t>
      </w:r>
      <w:r w:rsidRPr="00DF7A53">
        <w:rPr>
          <w:rFonts w:ascii="Arial" w:hAnsi="Arial"/>
          <w:noProof/>
        </w:rPr>
        <w:t xml:space="preserve"> 2015; 385(9965): 307-10.</w:t>
      </w:r>
    </w:p>
    <w:p w14:paraId="09DCAF72" w14:textId="77777777" w:rsidR="00B175ED" w:rsidRPr="00DF7A53" w:rsidRDefault="00B175ED" w:rsidP="00DE6444">
      <w:pPr>
        <w:pStyle w:val="EndNoteBibliography"/>
        <w:rPr>
          <w:rFonts w:ascii="Arial" w:hAnsi="Arial"/>
          <w:noProof/>
        </w:rPr>
      </w:pPr>
      <w:r w:rsidRPr="00DF7A53">
        <w:rPr>
          <w:rFonts w:ascii="Arial" w:hAnsi="Arial"/>
          <w:noProof/>
        </w:rPr>
        <w:t>90.</w:t>
      </w:r>
      <w:r w:rsidRPr="00DF7A53">
        <w:rPr>
          <w:rFonts w:ascii="Arial" w:hAnsi="Arial"/>
          <w:noProof/>
        </w:rPr>
        <w:tab/>
        <w:t xml:space="preserve">Thompson GR, Barbir M, Davies D, et al. Efficacy criteria and cholesterol targets for LDL apheresis. </w:t>
      </w:r>
      <w:r w:rsidRPr="00DF7A53">
        <w:rPr>
          <w:rFonts w:ascii="Arial" w:hAnsi="Arial"/>
          <w:i/>
          <w:noProof/>
        </w:rPr>
        <w:t>Atherosclerosis</w:t>
      </w:r>
      <w:r w:rsidRPr="00DF7A53">
        <w:rPr>
          <w:rFonts w:ascii="Arial" w:hAnsi="Arial"/>
          <w:noProof/>
        </w:rPr>
        <w:t xml:space="preserve"> 2010; 208(2): 317-21.</w:t>
      </w:r>
    </w:p>
    <w:p w14:paraId="72436A93" w14:textId="77777777" w:rsidR="00B175ED" w:rsidRPr="00DF7A53" w:rsidRDefault="00B175ED" w:rsidP="00DE6444">
      <w:pPr>
        <w:pStyle w:val="EndNoteBibliography"/>
        <w:rPr>
          <w:rFonts w:ascii="Arial" w:hAnsi="Arial"/>
          <w:noProof/>
        </w:rPr>
      </w:pPr>
      <w:r w:rsidRPr="00DF7A53">
        <w:rPr>
          <w:rFonts w:ascii="Arial" w:hAnsi="Arial"/>
          <w:noProof/>
        </w:rPr>
        <w:t>91.</w:t>
      </w:r>
      <w:r w:rsidRPr="00DF7A53">
        <w:rPr>
          <w:rFonts w:ascii="Arial" w:hAnsi="Arial"/>
          <w:noProof/>
        </w:rPr>
        <w:tab/>
        <w:t xml:space="preserve">Stefanutti C, Vivenzio A, Di Giacomo S, Mazzarella B, Bosco G, Berni A. Aorta and coronary angiographic follow-up of children with severe hypercholesterolemia treated with low-density lipoprotein apheresis. </w:t>
      </w:r>
      <w:r w:rsidRPr="00DF7A53">
        <w:rPr>
          <w:rFonts w:ascii="Arial" w:hAnsi="Arial"/>
          <w:i/>
          <w:noProof/>
        </w:rPr>
        <w:t>Transfusion</w:t>
      </w:r>
      <w:r w:rsidRPr="00DF7A53">
        <w:rPr>
          <w:rFonts w:ascii="Arial" w:hAnsi="Arial"/>
          <w:noProof/>
        </w:rPr>
        <w:t xml:space="preserve"> 2009; 49(7): 1461-70.</w:t>
      </w:r>
    </w:p>
    <w:p w14:paraId="1F5C7228" w14:textId="77777777" w:rsidR="00B175ED" w:rsidRPr="00DF7A53" w:rsidRDefault="00B175ED" w:rsidP="00DE6444">
      <w:pPr>
        <w:pStyle w:val="EndNoteBibliography"/>
        <w:rPr>
          <w:rFonts w:ascii="Arial" w:hAnsi="Arial"/>
          <w:noProof/>
        </w:rPr>
      </w:pPr>
      <w:r w:rsidRPr="00DF7A53">
        <w:rPr>
          <w:rFonts w:ascii="Arial" w:hAnsi="Arial"/>
          <w:noProof/>
        </w:rPr>
        <w:t>92.</w:t>
      </w:r>
      <w:r w:rsidRPr="00DF7A53">
        <w:rPr>
          <w:rFonts w:ascii="Arial" w:hAnsi="Arial"/>
          <w:noProof/>
        </w:rPr>
        <w:tab/>
        <w:t xml:space="preserve">Mabuchi H, Koizumi J, Shimizu M, et al. Long-term efficacy of low-density lipoprotein apheresis on coronary heart disease in familial hypercholesterolemia. Hokuriku-FH-LDL-Apheresis Study Group. </w:t>
      </w:r>
      <w:r w:rsidRPr="00DF7A53">
        <w:rPr>
          <w:rFonts w:ascii="Arial" w:hAnsi="Arial"/>
          <w:i/>
          <w:noProof/>
        </w:rPr>
        <w:t>Am J Cardiol</w:t>
      </w:r>
      <w:r w:rsidRPr="00DF7A53">
        <w:rPr>
          <w:rFonts w:ascii="Arial" w:hAnsi="Arial"/>
          <w:noProof/>
        </w:rPr>
        <w:t xml:space="preserve"> 1998; 82(12): 1489-95.</w:t>
      </w:r>
    </w:p>
    <w:p w14:paraId="3894199C" w14:textId="77777777" w:rsidR="00B175ED" w:rsidRPr="00DF7A53" w:rsidRDefault="00B175ED" w:rsidP="00DE6444">
      <w:pPr>
        <w:pStyle w:val="EndNoteBibliography"/>
        <w:rPr>
          <w:rFonts w:ascii="Arial" w:hAnsi="Arial"/>
          <w:noProof/>
        </w:rPr>
      </w:pPr>
      <w:r w:rsidRPr="00DF7A53">
        <w:rPr>
          <w:rFonts w:ascii="Arial" w:hAnsi="Arial"/>
          <w:noProof/>
        </w:rPr>
        <w:t>93.</w:t>
      </w:r>
      <w:r w:rsidRPr="00DF7A53">
        <w:rPr>
          <w:rFonts w:ascii="Arial" w:hAnsi="Arial"/>
          <w:noProof/>
        </w:rPr>
        <w:tab/>
        <w:t xml:space="preserve">Somanathan S, Jacobs F, Wang Q, Hanlon AL, Wilson JM, Rader DJ. AAV vectors expressing LDLR gain-of-function variants demonstrate increased efficacy in mouse models of familial hypercholesterolemia. </w:t>
      </w:r>
      <w:r w:rsidRPr="00DF7A53">
        <w:rPr>
          <w:rFonts w:ascii="Arial" w:hAnsi="Arial"/>
          <w:i/>
          <w:noProof/>
        </w:rPr>
        <w:t>Circulation research</w:t>
      </w:r>
      <w:r w:rsidRPr="00DF7A53">
        <w:rPr>
          <w:rFonts w:ascii="Arial" w:hAnsi="Arial"/>
          <w:noProof/>
        </w:rPr>
        <w:t xml:space="preserve"> 2014; 115(6): 591-9.</w:t>
      </w:r>
    </w:p>
    <w:p w14:paraId="24A74E8A" w14:textId="77777777" w:rsidR="00B175ED" w:rsidRPr="00DF7A53" w:rsidRDefault="00B175ED" w:rsidP="00DE6444">
      <w:pPr>
        <w:pStyle w:val="EndNoteBibliography"/>
        <w:rPr>
          <w:rFonts w:ascii="Arial" w:hAnsi="Arial"/>
          <w:noProof/>
        </w:rPr>
      </w:pPr>
      <w:r w:rsidRPr="00DF7A53">
        <w:rPr>
          <w:rFonts w:ascii="Arial" w:hAnsi="Arial"/>
          <w:noProof/>
        </w:rPr>
        <w:t>94.</w:t>
      </w:r>
      <w:r w:rsidRPr="00DF7A53">
        <w:rPr>
          <w:rFonts w:ascii="Arial" w:hAnsi="Arial"/>
          <w:noProof/>
        </w:rPr>
        <w:tab/>
        <w:t xml:space="preserve">Ramakrishnan VM, Yang JY, Tien KT, et al. Restoration of Physiologically Responsive Low-Density Lipoprotein Receptor-Mediated Endocytosis in Genetically Deficient Induced Pluripotent Stem Cells. </w:t>
      </w:r>
      <w:r w:rsidRPr="00DF7A53">
        <w:rPr>
          <w:rFonts w:ascii="Arial" w:hAnsi="Arial"/>
          <w:i/>
          <w:noProof/>
        </w:rPr>
        <w:t>Scientific reports</w:t>
      </w:r>
      <w:r w:rsidRPr="00DF7A53">
        <w:rPr>
          <w:rFonts w:ascii="Arial" w:hAnsi="Arial"/>
          <w:noProof/>
        </w:rPr>
        <w:t xml:space="preserve"> 2015; 5: 13231.</w:t>
      </w:r>
    </w:p>
    <w:p w14:paraId="417CC7F1" w14:textId="77777777" w:rsidR="00B175ED" w:rsidRPr="00DF7A53" w:rsidRDefault="00B175ED" w:rsidP="00305485">
      <w:pPr>
        <w:spacing w:line="480" w:lineRule="auto"/>
        <w:ind w:left="-567"/>
        <w:rPr>
          <w:rFonts w:ascii="Arial" w:hAnsi="Arial" w:cs="Arial"/>
        </w:rPr>
      </w:pPr>
    </w:p>
    <w:p w14:paraId="6B0F5126" w14:textId="77777777" w:rsidR="00B175ED" w:rsidRDefault="00B175ED" w:rsidP="00305485">
      <w:pPr>
        <w:spacing w:line="480" w:lineRule="auto"/>
        <w:ind w:left="-567"/>
        <w:rPr>
          <w:rFonts w:ascii="Arial" w:hAnsi="Arial" w:cs="Arial"/>
        </w:rPr>
      </w:pPr>
    </w:p>
    <w:p w14:paraId="45A90E86" w14:textId="77777777" w:rsidR="00B175ED" w:rsidRDefault="00B175ED" w:rsidP="00305485">
      <w:pPr>
        <w:spacing w:line="480" w:lineRule="auto"/>
        <w:ind w:left="-567"/>
        <w:rPr>
          <w:rFonts w:ascii="Arial" w:hAnsi="Arial" w:cs="Arial"/>
        </w:rPr>
      </w:pPr>
    </w:p>
    <w:p w14:paraId="019EFDEE" w14:textId="77777777" w:rsidR="00B175ED" w:rsidRDefault="00B175ED" w:rsidP="00F96BCA">
      <w:pPr>
        <w:spacing w:line="480" w:lineRule="auto"/>
        <w:ind w:left="-567"/>
        <w:rPr>
          <w:rFonts w:ascii="Arial" w:hAnsi="Arial" w:cs="Arial"/>
        </w:rPr>
      </w:pPr>
    </w:p>
    <w:p w14:paraId="4B803F5E" w14:textId="77777777" w:rsidR="00B175ED" w:rsidRDefault="00B175ED" w:rsidP="00F96BCA">
      <w:pPr>
        <w:spacing w:line="480" w:lineRule="auto"/>
        <w:ind w:left="-567"/>
        <w:rPr>
          <w:rFonts w:ascii="Arial" w:hAnsi="Arial" w:cs="Arial"/>
        </w:rPr>
      </w:pPr>
    </w:p>
    <w:p w14:paraId="120BE3ED" w14:textId="77777777" w:rsidR="00B175ED" w:rsidRDefault="00B175ED" w:rsidP="00FF61E5">
      <w:pPr>
        <w:spacing w:line="480" w:lineRule="auto"/>
        <w:ind w:left="-567"/>
        <w:rPr>
          <w:rFonts w:ascii="Arial" w:hAnsi="Arial" w:cs="Arial"/>
          <w:b/>
        </w:rPr>
      </w:pPr>
    </w:p>
    <w:p w14:paraId="6D33B3D1" w14:textId="77777777" w:rsidR="00B175ED" w:rsidRDefault="00B175ED" w:rsidP="00FF61E5">
      <w:pPr>
        <w:spacing w:line="480" w:lineRule="auto"/>
        <w:ind w:left="-567"/>
        <w:rPr>
          <w:rFonts w:ascii="Arial" w:hAnsi="Arial" w:cs="Arial"/>
          <w:b/>
        </w:rPr>
      </w:pPr>
    </w:p>
    <w:p w14:paraId="73864605" w14:textId="77777777" w:rsidR="00B175ED" w:rsidRDefault="00B175ED" w:rsidP="00FF61E5">
      <w:pPr>
        <w:spacing w:line="480" w:lineRule="auto"/>
        <w:ind w:left="-567"/>
        <w:rPr>
          <w:rFonts w:ascii="Arial" w:hAnsi="Arial" w:cs="Arial"/>
          <w:b/>
        </w:rPr>
      </w:pPr>
    </w:p>
    <w:p w14:paraId="013919A4" w14:textId="77777777" w:rsidR="00B175ED" w:rsidRPr="00685E03" w:rsidRDefault="00B175ED" w:rsidP="00FF61E5">
      <w:pPr>
        <w:spacing w:line="480" w:lineRule="auto"/>
        <w:ind w:left="-567"/>
        <w:rPr>
          <w:rFonts w:ascii="Arial" w:hAnsi="Arial" w:cs="Arial"/>
        </w:rPr>
      </w:pPr>
      <w:r>
        <w:rPr>
          <w:rFonts w:ascii="Arial" w:hAnsi="Arial" w:cs="Arial"/>
          <w:b/>
        </w:rPr>
        <w:t xml:space="preserve">Legend for </w:t>
      </w:r>
      <w:r w:rsidRPr="0011246A">
        <w:rPr>
          <w:rFonts w:ascii="Arial" w:hAnsi="Arial" w:cs="Arial"/>
          <w:b/>
        </w:rPr>
        <w:t xml:space="preserve">Figure 1: Treatment algorithm for severe FH </w:t>
      </w:r>
    </w:p>
    <w:p w14:paraId="06996ABE" w14:textId="77777777" w:rsidR="00B175ED" w:rsidRPr="0011246A" w:rsidRDefault="00B175ED" w:rsidP="00FF61E5">
      <w:pPr>
        <w:ind w:left="-567"/>
        <w:rPr>
          <w:rFonts w:ascii="Arial" w:hAnsi="Arial" w:cs="Arial"/>
          <w:b/>
        </w:rPr>
      </w:pPr>
    </w:p>
    <w:p w14:paraId="46A0BD69" w14:textId="77777777" w:rsidR="00B175ED" w:rsidRPr="0011246A" w:rsidRDefault="00B175ED" w:rsidP="00FF61E5">
      <w:pPr>
        <w:ind w:left="-567"/>
        <w:rPr>
          <w:rFonts w:ascii="Arial" w:hAnsi="Arial" w:cs="Arial"/>
        </w:rPr>
      </w:pPr>
      <w:r w:rsidRPr="0011246A">
        <w:rPr>
          <w:rFonts w:ascii="Arial" w:hAnsi="Arial" w:cs="Arial"/>
        </w:rPr>
        <w:t xml:space="preserve">Legend for figure 1: Treatment based on refractoriness of treatment, on drug or procedure availability, reimbursement and approval by local regulatory agency. </w:t>
      </w:r>
    </w:p>
    <w:p w14:paraId="1F8F47EF" w14:textId="77777777" w:rsidR="00B175ED" w:rsidRDefault="00B175ED" w:rsidP="00FF61E5">
      <w:pPr>
        <w:spacing w:line="480" w:lineRule="auto"/>
        <w:ind w:left="-567"/>
        <w:rPr>
          <w:rFonts w:ascii="Arial" w:hAnsi="Arial" w:cs="Arial"/>
        </w:rPr>
      </w:pPr>
    </w:p>
    <w:p w14:paraId="56C76DCB" w14:textId="77777777" w:rsidR="00B175ED" w:rsidRPr="0011246A" w:rsidRDefault="00B175ED" w:rsidP="00F96BCA">
      <w:pPr>
        <w:spacing w:line="480" w:lineRule="auto"/>
        <w:ind w:left="-567"/>
        <w:rPr>
          <w:rFonts w:ascii="Arial" w:hAnsi="Arial" w:cs="Arial"/>
        </w:rPr>
      </w:pPr>
    </w:p>
    <w:p w14:paraId="3BCBFA02" w14:textId="77777777" w:rsidR="006F272C" w:rsidRDefault="006F272C"/>
    <w:sectPr w:rsidR="006F272C" w:rsidSect="0087200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9572" w14:textId="77777777" w:rsidR="00802A4B" w:rsidRDefault="00806FF4">
      <w:r>
        <w:separator/>
      </w:r>
    </w:p>
  </w:endnote>
  <w:endnote w:type="continuationSeparator" w:id="0">
    <w:p w14:paraId="41A1FDDD" w14:textId="77777777" w:rsidR="00802A4B" w:rsidRDefault="008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C71A" w14:textId="77777777" w:rsidR="008F0A35" w:rsidRDefault="00B175ED" w:rsidP="00331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2FBE7" w14:textId="77777777" w:rsidR="008F0A35" w:rsidRDefault="00601621" w:rsidP="003316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1A2E" w14:textId="77777777" w:rsidR="008F0A35" w:rsidRDefault="00B175ED" w:rsidP="00331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621">
      <w:rPr>
        <w:rStyle w:val="PageNumber"/>
        <w:noProof/>
      </w:rPr>
      <w:t>2</w:t>
    </w:r>
    <w:r>
      <w:rPr>
        <w:rStyle w:val="PageNumber"/>
      </w:rPr>
      <w:fldChar w:fldCharType="end"/>
    </w:r>
  </w:p>
  <w:p w14:paraId="0A045019" w14:textId="77777777" w:rsidR="008F0A35" w:rsidRDefault="00601621" w:rsidP="003316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02D5" w14:textId="77777777" w:rsidR="00802A4B" w:rsidRDefault="00806FF4">
      <w:r>
        <w:separator/>
      </w:r>
    </w:p>
  </w:footnote>
  <w:footnote w:type="continuationSeparator" w:id="0">
    <w:p w14:paraId="7BCA6EBD" w14:textId="77777777" w:rsidR="00802A4B" w:rsidRDefault="0080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D3BDD"/>
    <w:multiLevelType w:val="hybridMultilevel"/>
    <w:tmpl w:val="9AF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B103C"/>
    <w:multiLevelType w:val="hybridMultilevel"/>
    <w:tmpl w:val="0C8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A3F54"/>
    <w:multiLevelType w:val="hybridMultilevel"/>
    <w:tmpl w:val="7568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E6799"/>
    <w:multiLevelType w:val="hybridMultilevel"/>
    <w:tmpl w:val="3364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62E00"/>
    <w:multiLevelType w:val="hybridMultilevel"/>
    <w:tmpl w:val="F6E6940A"/>
    <w:lvl w:ilvl="0" w:tplc="D7102EDA">
      <w:start w:val="1"/>
      <w:numFmt w:val="bullet"/>
      <w:lvlText w:val="•"/>
      <w:lvlJc w:val="left"/>
      <w:pPr>
        <w:tabs>
          <w:tab w:val="num" w:pos="720"/>
        </w:tabs>
        <w:ind w:left="720" w:hanging="360"/>
      </w:pPr>
      <w:rPr>
        <w:rFonts w:ascii="Arial" w:hAnsi="Arial" w:hint="default"/>
      </w:rPr>
    </w:lvl>
    <w:lvl w:ilvl="1" w:tplc="B7E0A446" w:tentative="1">
      <w:start w:val="1"/>
      <w:numFmt w:val="bullet"/>
      <w:lvlText w:val="•"/>
      <w:lvlJc w:val="left"/>
      <w:pPr>
        <w:tabs>
          <w:tab w:val="num" w:pos="1440"/>
        </w:tabs>
        <w:ind w:left="1440" w:hanging="360"/>
      </w:pPr>
      <w:rPr>
        <w:rFonts w:ascii="Arial" w:hAnsi="Arial" w:hint="default"/>
      </w:rPr>
    </w:lvl>
    <w:lvl w:ilvl="2" w:tplc="9530FA30" w:tentative="1">
      <w:start w:val="1"/>
      <w:numFmt w:val="bullet"/>
      <w:lvlText w:val="•"/>
      <w:lvlJc w:val="left"/>
      <w:pPr>
        <w:tabs>
          <w:tab w:val="num" w:pos="2160"/>
        </w:tabs>
        <w:ind w:left="2160" w:hanging="360"/>
      </w:pPr>
      <w:rPr>
        <w:rFonts w:ascii="Arial" w:hAnsi="Arial" w:hint="default"/>
      </w:rPr>
    </w:lvl>
    <w:lvl w:ilvl="3" w:tplc="A5EAAADE" w:tentative="1">
      <w:start w:val="1"/>
      <w:numFmt w:val="bullet"/>
      <w:lvlText w:val="•"/>
      <w:lvlJc w:val="left"/>
      <w:pPr>
        <w:tabs>
          <w:tab w:val="num" w:pos="2880"/>
        </w:tabs>
        <w:ind w:left="2880" w:hanging="360"/>
      </w:pPr>
      <w:rPr>
        <w:rFonts w:ascii="Arial" w:hAnsi="Arial" w:hint="default"/>
      </w:rPr>
    </w:lvl>
    <w:lvl w:ilvl="4" w:tplc="B1B4BCAC" w:tentative="1">
      <w:start w:val="1"/>
      <w:numFmt w:val="bullet"/>
      <w:lvlText w:val="•"/>
      <w:lvlJc w:val="left"/>
      <w:pPr>
        <w:tabs>
          <w:tab w:val="num" w:pos="3600"/>
        </w:tabs>
        <w:ind w:left="3600" w:hanging="360"/>
      </w:pPr>
      <w:rPr>
        <w:rFonts w:ascii="Arial" w:hAnsi="Arial" w:hint="default"/>
      </w:rPr>
    </w:lvl>
    <w:lvl w:ilvl="5" w:tplc="C6B6DB4C" w:tentative="1">
      <w:start w:val="1"/>
      <w:numFmt w:val="bullet"/>
      <w:lvlText w:val="•"/>
      <w:lvlJc w:val="left"/>
      <w:pPr>
        <w:tabs>
          <w:tab w:val="num" w:pos="4320"/>
        </w:tabs>
        <w:ind w:left="4320" w:hanging="360"/>
      </w:pPr>
      <w:rPr>
        <w:rFonts w:ascii="Arial" w:hAnsi="Arial" w:hint="default"/>
      </w:rPr>
    </w:lvl>
    <w:lvl w:ilvl="6" w:tplc="738EAE02" w:tentative="1">
      <w:start w:val="1"/>
      <w:numFmt w:val="bullet"/>
      <w:lvlText w:val="•"/>
      <w:lvlJc w:val="left"/>
      <w:pPr>
        <w:tabs>
          <w:tab w:val="num" w:pos="5040"/>
        </w:tabs>
        <w:ind w:left="5040" w:hanging="360"/>
      </w:pPr>
      <w:rPr>
        <w:rFonts w:ascii="Arial" w:hAnsi="Arial" w:hint="default"/>
      </w:rPr>
    </w:lvl>
    <w:lvl w:ilvl="7" w:tplc="1F2C1DF4" w:tentative="1">
      <w:start w:val="1"/>
      <w:numFmt w:val="bullet"/>
      <w:lvlText w:val="•"/>
      <w:lvlJc w:val="left"/>
      <w:pPr>
        <w:tabs>
          <w:tab w:val="num" w:pos="5760"/>
        </w:tabs>
        <w:ind w:left="5760" w:hanging="360"/>
      </w:pPr>
      <w:rPr>
        <w:rFonts w:ascii="Arial" w:hAnsi="Arial" w:hint="default"/>
      </w:rPr>
    </w:lvl>
    <w:lvl w:ilvl="8" w:tplc="6F2C69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840C51"/>
    <w:multiLevelType w:val="hybridMultilevel"/>
    <w:tmpl w:val="8042E6A4"/>
    <w:lvl w:ilvl="0" w:tplc="DF960DD8">
      <w:start w:val="1"/>
      <w:numFmt w:val="bullet"/>
      <w:lvlText w:val="•"/>
      <w:lvlJc w:val="left"/>
      <w:pPr>
        <w:tabs>
          <w:tab w:val="num" w:pos="720"/>
        </w:tabs>
        <w:ind w:left="720" w:hanging="360"/>
      </w:pPr>
      <w:rPr>
        <w:rFonts w:ascii="Arial" w:hAnsi="Arial" w:hint="default"/>
      </w:rPr>
    </w:lvl>
    <w:lvl w:ilvl="1" w:tplc="80D84F02">
      <w:start w:val="1"/>
      <w:numFmt w:val="bullet"/>
      <w:lvlText w:val="•"/>
      <w:lvlJc w:val="left"/>
      <w:pPr>
        <w:tabs>
          <w:tab w:val="num" w:pos="1440"/>
        </w:tabs>
        <w:ind w:left="1440" w:hanging="360"/>
      </w:pPr>
      <w:rPr>
        <w:rFonts w:ascii="Arial" w:hAnsi="Arial" w:hint="default"/>
      </w:rPr>
    </w:lvl>
    <w:lvl w:ilvl="2" w:tplc="89842F3E" w:tentative="1">
      <w:start w:val="1"/>
      <w:numFmt w:val="bullet"/>
      <w:lvlText w:val="•"/>
      <w:lvlJc w:val="left"/>
      <w:pPr>
        <w:tabs>
          <w:tab w:val="num" w:pos="2160"/>
        </w:tabs>
        <w:ind w:left="2160" w:hanging="360"/>
      </w:pPr>
      <w:rPr>
        <w:rFonts w:ascii="Arial" w:hAnsi="Arial" w:hint="default"/>
      </w:rPr>
    </w:lvl>
    <w:lvl w:ilvl="3" w:tplc="BF244532" w:tentative="1">
      <w:start w:val="1"/>
      <w:numFmt w:val="bullet"/>
      <w:lvlText w:val="•"/>
      <w:lvlJc w:val="left"/>
      <w:pPr>
        <w:tabs>
          <w:tab w:val="num" w:pos="2880"/>
        </w:tabs>
        <w:ind w:left="2880" w:hanging="360"/>
      </w:pPr>
      <w:rPr>
        <w:rFonts w:ascii="Arial" w:hAnsi="Arial" w:hint="default"/>
      </w:rPr>
    </w:lvl>
    <w:lvl w:ilvl="4" w:tplc="22F6AD58" w:tentative="1">
      <w:start w:val="1"/>
      <w:numFmt w:val="bullet"/>
      <w:lvlText w:val="•"/>
      <w:lvlJc w:val="left"/>
      <w:pPr>
        <w:tabs>
          <w:tab w:val="num" w:pos="3600"/>
        </w:tabs>
        <w:ind w:left="3600" w:hanging="360"/>
      </w:pPr>
      <w:rPr>
        <w:rFonts w:ascii="Arial" w:hAnsi="Arial" w:hint="default"/>
      </w:rPr>
    </w:lvl>
    <w:lvl w:ilvl="5" w:tplc="90B29F3A" w:tentative="1">
      <w:start w:val="1"/>
      <w:numFmt w:val="bullet"/>
      <w:lvlText w:val="•"/>
      <w:lvlJc w:val="left"/>
      <w:pPr>
        <w:tabs>
          <w:tab w:val="num" w:pos="4320"/>
        </w:tabs>
        <w:ind w:left="4320" w:hanging="360"/>
      </w:pPr>
      <w:rPr>
        <w:rFonts w:ascii="Arial" w:hAnsi="Arial" w:hint="default"/>
      </w:rPr>
    </w:lvl>
    <w:lvl w:ilvl="6" w:tplc="1B3E5F10" w:tentative="1">
      <w:start w:val="1"/>
      <w:numFmt w:val="bullet"/>
      <w:lvlText w:val="•"/>
      <w:lvlJc w:val="left"/>
      <w:pPr>
        <w:tabs>
          <w:tab w:val="num" w:pos="5040"/>
        </w:tabs>
        <w:ind w:left="5040" w:hanging="360"/>
      </w:pPr>
      <w:rPr>
        <w:rFonts w:ascii="Arial" w:hAnsi="Arial" w:hint="default"/>
      </w:rPr>
    </w:lvl>
    <w:lvl w:ilvl="7" w:tplc="79D8CCBC" w:tentative="1">
      <w:start w:val="1"/>
      <w:numFmt w:val="bullet"/>
      <w:lvlText w:val="•"/>
      <w:lvlJc w:val="left"/>
      <w:pPr>
        <w:tabs>
          <w:tab w:val="num" w:pos="5760"/>
        </w:tabs>
        <w:ind w:left="5760" w:hanging="360"/>
      </w:pPr>
      <w:rPr>
        <w:rFonts w:ascii="Arial" w:hAnsi="Arial" w:hint="default"/>
      </w:rPr>
    </w:lvl>
    <w:lvl w:ilvl="8" w:tplc="DDB4FB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CC407C"/>
    <w:multiLevelType w:val="hybridMultilevel"/>
    <w:tmpl w:val="600AFCDA"/>
    <w:lvl w:ilvl="0" w:tplc="BAC6E0AA">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E4E3D"/>
    <w:multiLevelType w:val="hybridMultilevel"/>
    <w:tmpl w:val="D83E4ED8"/>
    <w:lvl w:ilvl="0" w:tplc="45367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40791"/>
    <w:multiLevelType w:val="hybridMultilevel"/>
    <w:tmpl w:val="D23E46EE"/>
    <w:lvl w:ilvl="0" w:tplc="2EBC5A8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53CEF"/>
    <w:multiLevelType w:val="hybridMultilevel"/>
    <w:tmpl w:val="648606AE"/>
    <w:lvl w:ilvl="0" w:tplc="F956E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285324"/>
    <w:multiLevelType w:val="hybridMultilevel"/>
    <w:tmpl w:val="C84E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C7B39"/>
    <w:multiLevelType w:val="hybridMultilevel"/>
    <w:tmpl w:val="1BAC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247A2"/>
    <w:multiLevelType w:val="hybridMultilevel"/>
    <w:tmpl w:val="8B9A3A28"/>
    <w:lvl w:ilvl="0" w:tplc="8F72B2B6">
      <w:start w:val="1"/>
      <w:numFmt w:val="bullet"/>
      <w:lvlText w:val="–"/>
      <w:lvlJc w:val="left"/>
      <w:pPr>
        <w:tabs>
          <w:tab w:val="num" w:pos="720"/>
        </w:tabs>
        <w:ind w:left="720" w:hanging="360"/>
      </w:pPr>
      <w:rPr>
        <w:rFonts w:ascii="Arial" w:hAnsi="Arial" w:hint="default"/>
      </w:rPr>
    </w:lvl>
    <w:lvl w:ilvl="1" w:tplc="673E1F28">
      <w:start w:val="1"/>
      <w:numFmt w:val="bullet"/>
      <w:lvlText w:val="–"/>
      <w:lvlJc w:val="left"/>
      <w:pPr>
        <w:tabs>
          <w:tab w:val="num" w:pos="1440"/>
        </w:tabs>
        <w:ind w:left="1440" w:hanging="360"/>
      </w:pPr>
      <w:rPr>
        <w:rFonts w:ascii="Arial" w:hAnsi="Arial" w:hint="default"/>
      </w:rPr>
    </w:lvl>
    <w:lvl w:ilvl="2" w:tplc="BA561A5E" w:tentative="1">
      <w:start w:val="1"/>
      <w:numFmt w:val="bullet"/>
      <w:lvlText w:val="–"/>
      <w:lvlJc w:val="left"/>
      <w:pPr>
        <w:tabs>
          <w:tab w:val="num" w:pos="2160"/>
        </w:tabs>
        <w:ind w:left="2160" w:hanging="360"/>
      </w:pPr>
      <w:rPr>
        <w:rFonts w:ascii="Arial" w:hAnsi="Arial" w:hint="default"/>
      </w:rPr>
    </w:lvl>
    <w:lvl w:ilvl="3" w:tplc="CD00F506" w:tentative="1">
      <w:start w:val="1"/>
      <w:numFmt w:val="bullet"/>
      <w:lvlText w:val="–"/>
      <w:lvlJc w:val="left"/>
      <w:pPr>
        <w:tabs>
          <w:tab w:val="num" w:pos="2880"/>
        </w:tabs>
        <w:ind w:left="2880" w:hanging="360"/>
      </w:pPr>
      <w:rPr>
        <w:rFonts w:ascii="Arial" w:hAnsi="Arial" w:hint="default"/>
      </w:rPr>
    </w:lvl>
    <w:lvl w:ilvl="4" w:tplc="A26EFC06" w:tentative="1">
      <w:start w:val="1"/>
      <w:numFmt w:val="bullet"/>
      <w:lvlText w:val="–"/>
      <w:lvlJc w:val="left"/>
      <w:pPr>
        <w:tabs>
          <w:tab w:val="num" w:pos="3600"/>
        </w:tabs>
        <w:ind w:left="3600" w:hanging="360"/>
      </w:pPr>
      <w:rPr>
        <w:rFonts w:ascii="Arial" w:hAnsi="Arial" w:hint="default"/>
      </w:rPr>
    </w:lvl>
    <w:lvl w:ilvl="5" w:tplc="FB407000" w:tentative="1">
      <w:start w:val="1"/>
      <w:numFmt w:val="bullet"/>
      <w:lvlText w:val="–"/>
      <w:lvlJc w:val="left"/>
      <w:pPr>
        <w:tabs>
          <w:tab w:val="num" w:pos="4320"/>
        </w:tabs>
        <w:ind w:left="4320" w:hanging="360"/>
      </w:pPr>
      <w:rPr>
        <w:rFonts w:ascii="Arial" w:hAnsi="Arial" w:hint="default"/>
      </w:rPr>
    </w:lvl>
    <w:lvl w:ilvl="6" w:tplc="11925586" w:tentative="1">
      <w:start w:val="1"/>
      <w:numFmt w:val="bullet"/>
      <w:lvlText w:val="–"/>
      <w:lvlJc w:val="left"/>
      <w:pPr>
        <w:tabs>
          <w:tab w:val="num" w:pos="5040"/>
        </w:tabs>
        <w:ind w:left="5040" w:hanging="360"/>
      </w:pPr>
      <w:rPr>
        <w:rFonts w:ascii="Arial" w:hAnsi="Arial" w:hint="default"/>
      </w:rPr>
    </w:lvl>
    <w:lvl w:ilvl="7" w:tplc="67EADBF4" w:tentative="1">
      <w:start w:val="1"/>
      <w:numFmt w:val="bullet"/>
      <w:lvlText w:val="–"/>
      <w:lvlJc w:val="left"/>
      <w:pPr>
        <w:tabs>
          <w:tab w:val="num" w:pos="5760"/>
        </w:tabs>
        <w:ind w:left="5760" w:hanging="360"/>
      </w:pPr>
      <w:rPr>
        <w:rFonts w:ascii="Arial" w:hAnsi="Arial" w:hint="default"/>
      </w:rPr>
    </w:lvl>
    <w:lvl w:ilvl="8" w:tplc="C3DEA4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77594E"/>
    <w:multiLevelType w:val="hybridMultilevel"/>
    <w:tmpl w:val="89889E2E"/>
    <w:lvl w:ilvl="0" w:tplc="BF6AEDC0">
      <w:start w:val="1"/>
      <w:numFmt w:val="bullet"/>
      <w:lvlText w:val="•"/>
      <w:lvlJc w:val="left"/>
      <w:pPr>
        <w:tabs>
          <w:tab w:val="num" w:pos="720"/>
        </w:tabs>
        <w:ind w:left="720" w:hanging="360"/>
      </w:pPr>
      <w:rPr>
        <w:rFonts w:ascii="Arial" w:hAnsi="Arial" w:hint="default"/>
      </w:rPr>
    </w:lvl>
    <w:lvl w:ilvl="1" w:tplc="7640153C" w:tentative="1">
      <w:start w:val="1"/>
      <w:numFmt w:val="bullet"/>
      <w:lvlText w:val="•"/>
      <w:lvlJc w:val="left"/>
      <w:pPr>
        <w:tabs>
          <w:tab w:val="num" w:pos="1440"/>
        </w:tabs>
        <w:ind w:left="1440" w:hanging="360"/>
      </w:pPr>
      <w:rPr>
        <w:rFonts w:ascii="Arial" w:hAnsi="Arial" w:hint="default"/>
      </w:rPr>
    </w:lvl>
    <w:lvl w:ilvl="2" w:tplc="04A46D92" w:tentative="1">
      <w:start w:val="1"/>
      <w:numFmt w:val="bullet"/>
      <w:lvlText w:val="•"/>
      <w:lvlJc w:val="left"/>
      <w:pPr>
        <w:tabs>
          <w:tab w:val="num" w:pos="2160"/>
        </w:tabs>
        <w:ind w:left="2160" w:hanging="360"/>
      </w:pPr>
      <w:rPr>
        <w:rFonts w:ascii="Arial" w:hAnsi="Arial" w:hint="default"/>
      </w:rPr>
    </w:lvl>
    <w:lvl w:ilvl="3" w:tplc="04C437F0" w:tentative="1">
      <w:start w:val="1"/>
      <w:numFmt w:val="bullet"/>
      <w:lvlText w:val="•"/>
      <w:lvlJc w:val="left"/>
      <w:pPr>
        <w:tabs>
          <w:tab w:val="num" w:pos="2880"/>
        </w:tabs>
        <w:ind w:left="2880" w:hanging="360"/>
      </w:pPr>
      <w:rPr>
        <w:rFonts w:ascii="Arial" w:hAnsi="Arial" w:hint="default"/>
      </w:rPr>
    </w:lvl>
    <w:lvl w:ilvl="4" w:tplc="524809B6" w:tentative="1">
      <w:start w:val="1"/>
      <w:numFmt w:val="bullet"/>
      <w:lvlText w:val="•"/>
      <w:lvlJc w:val="left"/>
      <w:pPr>
        <w:tabs>
          <w:tab w:val="num" w:pos="3600"/>
        </w:tabs>
        <w:ind w:left="3600" w:hanging="360"/>
      </w:pPr>
      <w:rPr>
        <w:rFonts w:ascii="Arial" w:hAnsi="Arial" w:hint="default"/>
      </w:rPr>
    </w:lvl>
    <w:lvl w:ilvl="5" w:tplc="FE9EABBC" w:tentative="1">
      <w:start w:val="1"/>
      <w:numFmt w:val="bullet"/>
      <w:lvlText w:val="•"/>
      <w:lvlJc w:val="left"/>
      <w:pPr>
        <w:tabs>
          <w:tab w:val="num" w:pos="4320"/>
        </w:tabs>
        <w:ind w:left="4320" w:hanging="360"/>
      </w:pPr>
      <w:rPr>
        <w:rFonts w:ascii="Arial" w:hAnsi="Arial" w:hint="default"/>
      </w:rPr>
    </w:lvl>
    <w:lvl w:ilvl="6" w:tplc="B7F0E538" w:tentative="1">
      <w:start w:val="1"/>
      <w:numFmt w:val="bullet"/>
      <w:lvlText w:val="•"/>
      <w:lvlJc w:val="left"/>
      <w:pPr>
        <w:tabs>
          <w:tab w:val="num" w:pos="5040"/>
        </w:tabs>
        <w:ind w:left="5040" w:hanging="360"/>
      </w:pPr>
      <w:rPr>
        <w:rFonts w:ascii="Arial" w:hAnsi="Arial" w:hint="default"/>
      </w:rPr>
    </w:lvl>
    <w:lvl w:ilvl="7" w:tplc="309EAD98" w:tentative="1">
      <w:start w:val="1"/>
      <w:numFmt w:val="bullet"/>
      <w:lvlText w:val="•"/>
      <w:lvlJc w:val="left"/>
      <w:pPr>
        <w:tabs>
          <w:tab w:val="num" w:pos="5760"/>
        </w:tabs>
        <w:ind w:left="5760" w:hanging="360"/>
      </w:pPr>
      <w:rPr>
        <w:rFonts w:ascii="Arial" w:hAnsi="Arial" w:hint="default"/>
      </w:rPr>
    </w:lvl>
    <w:lvl w:ilvl="8" w:tplc="1EFAA9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4B4741"/>
    <w:multiLevelType w:val="hybridMultilevel"/>
    <w:tmpl w:val="C9BA75D6"/>
    <w:lvl w:ilvl="0" w:tplc="1E4A83A2">
      <w:start w:val="1"/>
      <w:numFmt w:val="bullet"/>
      <w:lvlText w:val="•"/>
      <w:lvlJc w:val="left"/>
      <w:pPr>
        <w:tabs>
          <w:tab w:val="num" w:pos="720"/>
        </w:tabs>
        <w:ind w:left="720" w:hanging="360"/>
      </w:pPr>
      <w:rPr>
        <w:rFonts w:ascii="Arial" w:hAnsi="Arial" w:hint="default"/>
      </w:rPr>
    </w:lvl>
    <w:lvl w:ilvl="1" w:tplc="70FE354C">
      <w:numFmt w:val="none"/>
      <w:lvlText w:val=""/>
      <w:lvlJc w:val="left"/>
      <w:pPr>
        <w:tabs>
          <w:tab w:val="num" w:pos="360"/>
        </w:tabs>
      </w:pPr>
    </w:lvl>
    <w:lvl w:ilvl="2" w:tplc="0FF6BFE6" w:tentative="1">
      <w:start w:val="1"/>
      <w:numFmt w:val="bullet"/>
      <w:lvlText w:val="•"/>
      <w:lvlJc w:val="left"/>
      <w:pPr>
        <w:tabs>
          <w:tab w:val="num" w:pos="2160"/>
        </w:tabs>
        <w:ind w:left="2160" w:hanging="360"/>
      </w:pPr>
      <w:rPr>
        <w:rFonts w:ascii="Arial" w:hAnsi="Arial" w:hint="default"/>
      </w:rPr>
    </w:lvl>
    <w:lvl w:ilvl="3" w:tplc="621C6150" w:tentative="1">
      <w:start w:val="1"/>
      <w:numFmt w:val="bullet"/>
      <w:lvlText w:val="•"/>
      <w:lvlJc w:val="left"/>
      <w:pPr>
        <w:tabs>
          <w:tab w:val="num" w:pos="2880"/>
        </w:tabs>
        <w:ind w:left="2880" w:hanging="360"/>
      </w:pPr>
      <w:rPr>
        <w:rFonts w:ascii="Arial" w:hAnsi="Arial" w:hint="default"/>
      </w:rPr>
    </w:lvl>
    <w:lvl w:ilvl="4" w:tplc="C64A8346" w:tentative="1">
      <w:start w:val="1"/>
      <w:numFmt w:val="bullet"/>
      <w:lvlText w:val="•"/>
      <w:lvlJc w:val="left"/>
      <w:pPr>
        <w:tabs>
          <w:tab w:val="num" w:pos="3600"/>
        </w:tabs>
        <w:ind w:left="3600" w:hanging="360"/>
      </w:pPr>
      <w:rPr>
        <w:rFonts w:ascii="Arial" w:hAnsi="Arial" w:hint="default"/>
      </w:rPr>
    </w:lvl>
    <w:lvl w:ilvl="5" w:tplc="A998DC44" w:tentative="1">
      <w:start w:val="1"/>
      <w:numFmt w:val="bullet"/>
      <w:lvlText w:val="•"/>
      <w:lvlJc w:val="left"/>
      <w:pPr>
        <w:tabs>
          <w:tab w:val="num" w:pos="4320"/>
        </w:tabs>
        <w:ind w:left="4320" w:hanging="360"/>
      </w:pPr>
      <w:rPr>
        <w:rFonts w:ascii="Arial" w:hAnsi="Arial" w:hint="default"/>
      </w:rPr>
    </w:lvl>
    <w:lvl w:ilvl="6" w:tplc="B91CD6D8" w:tentative="1">
      <w:start w:val="1"/>
      <w:numFmt w:val="bullet"/>
      <w:lvlText w:val="•"/>
      <w:lvlJc w:val="left"/>
      <w:pPr>
        <w:tabs>
          <w:tab w:val="num" w:pos="5040"/>
        </w:tabs>
        <w:ind w:left="5040" w:hanging="360"/>
      </w:pPr>
      <w:rPr>
        <w:rFonts w:ascii="Arial" w:hAnsi="Arial" w:hint="default"/>
      </w:rPr>
    </w:lvl>
    <w:lvl w:ilvl="7" w:tplc="C84C967A" w:tentative="1">
      <w:start w:val="1"/>
      <w:numFmt w:val="bullet"/>
      <w:lvlText w:val="•"/>
      <w:lvlJc w:val="left"/>
      <w:pPr>
        <w:tabs>
          <w:tab w:val="num" w:pos="5760"/>
        </w:tabs>
        <w:ind w:left="5760" w:hanging="360"/>
      </w:pPr>
      <w:rPr>
        <w:rFonts w:ascii="Arial" w:hAnsi="Arial" w:hint="default"/>
      </w:rPr>
    </w:lvl>
    <w:lvl w:ilvl="8" w:tplc="60C6FF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CB6710"/>
    <w:multiLevelType w:val="hybridMultilevel"/>
    <w:tmpl w:val="467E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5023A"/>
    <w:multiLevelType w:val="hybridMultilevel"/>
    <w:tmpl w:val="59D2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A33B6"/>
    <w:multiLevelType w:val="hybridMultilevel"/>
    <w:tmpl w:val="B2562492"/>
    <w:lvl w:ilvl="0" w:tplc="58D8B886">
      <w:start w:val="1"/>
      <w:numFmt w:val="bullet"/>
      <w:lvlText w:val="–"/>
      <w:lvlJc w:val="left"/>
      <w:pPr>
        <w:tabs>
          <w:tab w:val="num" w:pos="720"/>
        </w:tabs>
        <w:ind w:left="720" w:hanging="360"/>
      </w:pPr>
      <w:rPr>
        <w:rFonts w:ascii="Arial" w:hAnsi="Arial" w:hint="default"/>
      </w:rPr>
    </w:lvl>
    <w:lvl w:ilvl="1" w:tplc="7D0815BE">
      <w:start w:val="1"/>
      <w:numFmt w:val="bullet"/>
      <w:lvlText w:val="–"/>
      <w:lvlJc w:val="left"/>
      <w:pPr>
        <w:tabs>
          <w:tab w:val="num" w:pos="1440"/>
        </w:tabs>
        <w:ind w:left="1440" w:hanging="360"/>
      </w:pPr>
      <w:rPr>
        <w:rFonts w:ascii="Arial" w:hAnsi="Arial" w:hint="default"/>
      </w:rPr>
    </w:lvl>
    <w:lvl w:ilvl="2" w:tplc="8AE63BEC">
      <w:numFmt w:val="none"/>
      <w:lvlText w:val=""/>
      <w:lvlJc w:val="left"/>
      <w:pPr>
        <w:tabs>
          <w:tab w:val="num" w:pos="360"/>
        </w:tabs>
      </w:pPr>
    </w:lvl>
    <w:lvl w:ilvl="3" w:tplc="33E67AEE" w:tentative="1">
      <w:start w:val="1"/>
      <w:numFmt w:val="bullet"/>
      <w:lvlText w:val="–"/>
      <w:lvlJc w:val="left"/>
      <w:pPr>
        <w:tabs>
          <w:tab w:val="num" w:pos="2880"/>
        </w:tabs>
        <w:ind w:left="2880" w:hanging="360"/>
      </w:pPr>
      <w:rPr>
        <w:rFonts w:ascii="Arial" w:hAnsi="Arial" w:hint="default"/>
      </w:rPr>
    </w:lvl>
    <w:lvl w:ilvl="4" w:tplc="64EAF380" w:tentative="1">
      <w:start w:val="1"/>
      <w:numFmt w:val="bullet"/>
      <w:lvlText w:val="–"/>
      <w:lvlJc w:val="left"/>
      <w:pPr>
        <w:tabs>
          <w:tab w:val="num" w:pos="3600"/>
        </w:tabs>
        <w:ind w:left="3600" w:hanging="360"/>
      </w:pPr>
      <w:rPr>
        <w:rFonts w:ascii="Arial" w:hAnsi="Arial" w:hint="default"/>
      </w:rPr>
    </w:lvl>
    <w:lvl w:ilvl="5" w:tplc="0866831A" w:tentative="1">
      <w:start w:val="1"/>
      <w:numFmt w:val="bullet"/>
      <w:lvlText w:val="–"/>
      <w:lvlJc w:val="left"/>
      <w:pPr>
        <w:tabs>
          <w:tab w:val="num" w:pos="4320"/>
        </w:tabs>
        <w:ind w:left="4320" w:hanging="360"/>
      </w:pPr>
      <w:rPr>
        <w:rFonts w:ascii="Arial" w:hAnsi="Arial" w:hint="default"/>
      </w:rPr>
    </w:lvl>
    <w:lvl w:ilvl="6" w:tplc="FE3E3B98" w:tentative="1">
      <w:start w:val="1"/>
      <w:numFmt w:val="bullet"/>
      <w:lvlText w:val="–"/>
      <w:lvlJc w:val="left"/>
      <w:pPr>
        <w:tabs>
          <w:tab w:val="num" w:pos="5040"/>
        </w:tabs>
        <w:ind w:left="5040" w:hanging="360"/>
      </w:pPr>
      <w:rPr>
        <w:rFonts w:ascii="Arial" w:hAnsi="Arial" w:hint="default"/>
      </w:rPr>
    </w:lvl>
    <w:lvl w:ilvl="7" w:tplc="B44448D4" w:tentative="1">
      <w:start w:val="1"/>
      <w:numFmt w:val="bullet"/>
      <w:lvlText w:val="–"/>
      <w:lvlJc w:val="left"/>
      <w:pPr>
        <w:tabs>
          <w:tab w:val="num" w:pos="5760"/>
        </w:tabs>
        <w:ind w:left="5760" w:hanging="360"/>
      </w:pPr>
      <w:rPr>
        <w:rFonts w:ascii="Arial" w:hAnsi="Arial" w:hint="default"/>
      </w:rPr>
    </w:lvl>
    <w:lvl w:ilvl="8" w:tplc="6354EA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E93CCE"/>
    <w:multiLevelType w:val="hybridMultilevel"/>
    <w:tmpl w:val="4F248B56"/>
    <w:lvl w:ilvl="0" w:tplc="81C60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A73D7"/>
    <w:multiLevelType w:val="hybridMultilevel"/>
    <w:tmpl w:val="D6483944"/>
    <w:lvl w:ilvl="0" w:tplc="F1341840">
      <w:start w:val="1"/>
      <w:numFmt w:val="upperLetter"/>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71C97"/>
    <w:multiLevelType w:val="hybridMultilevel"/>
    <w:tmpl w:val="9DE4A05A"/>
    <w:lvl w:ilvl="0" w:tplc="366AEED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3"/>
  </w:num>
  <w:num w:numId="5">
    <w:abstractNumId w:val="5"/>
  </w:num>
  <w:num w:numId="6">
    <w:abstractNumId w:val="17"/>
  </w:num>
  <w:num w:numId="7">
    <w:abstractNumId w:val="4"/>
  </w:num>
  <w:num w:numId="8">
    <w:abstractNumId w:val="14"/>
  </w:num>
  <w:num w:numId="9">
    <w:abstractNumId w:val="11"/>
  </w:num>
  <w:num w:numId="10">
    <w:abstractNumId w:val="3"/>
  </w:num>
  <w:num w:numId="11">
    <w:abstractNumId w:val="1"/>
  </w:num>
  <w:num w:numId="12">
    <w:abstractNumId w:val="12"/>
  </w:num>
  <w:num w:numId="13">
    <w:abstractNumId w:val="7"/>
  </w:num>
  <w:num w:numId="14">
    <w:abstractNumId w:val="21"/>
  </w:num>
  <w:num w:numId="15">
    <w:abstractNumId w:val="9"/>
  </w:num>
  <w:num w:numId="16">
    <w:abstractNumId w:val="19"/>
  </w:num>
  <w:num w:numId="17">
    <w:abstractNumId w:val="20"/>
  </w:num>
  <w:num w:numId="18">
    <w:abstractNumId w:val="8"/>
  </w:num>
  <w:num w:numId="19">
    <w:abstractNumId w:val="10"/>
  </w:num>
  <w:num w:numId="20">
    <w:abstractNumId w:val="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175ED"/>
    <w:rsid w:val="00601621"/>
    <w:rsid w:val="006F272C"/>
    <w:rsid w:val="00802A4B"/>
    <w:rsid w:val="00806FF4"/>
    <w:rsid w:val="0087200D"/>
    <w:rsid w:val="00B1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ADB28"/>
  <w14:defaultImageDpi w14:val="300"/>
  <w15:docId w15:val="{4D3484CF-0221-4A36-88A9-8C4DFC26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5ED"/>
    <w:rPr>
      <w:rFonts w:ascii="Lucida Grande" w:hAnsi="Lucida Grande" w:cs="Lucida Grande"/>
      <w:sz w:val="18"/>
      <w:szCs w:val="18"/>
    </w:rPr>
  </w:style>
  <w:style w:type="paragraph" w:styleId="ListParagraph">
    <w:name w:val="List Paragraph"/>
    <w:basedOn w:val="Normal"/>
    <w:uiPriority w:val="34"/>
    <w:qFormat/>
    <w:rsid w:val="00B175ED"/>
    <w:pPr>
      <w:ind w:left="720"/>
      <w:contextualSpacing/>
    </w:pPr>
    <w:rPr>
      <w:rFonts w:ascii="Times" w:hAnsi="Times"/>
      <w:sz w:val="20"/>
      <w:szCs w:val="20"/>
    </w:rPr>
  </w:style>
  <w:style w:type="paragraph" w:styleId="Footer">
    <w:name w:val="footer"/>
    <w:basedOn w:val="Normal"/>
    <w:link w:val="FooterChar"/>
    <w:uiPriority w:val="99"/>
    <w:unhideWhenUsed/>
    <w:rsid w:val="00B175ED"/>
    <w:pPr>
      <w:tabs>
        <w:tab w:val="center" w:pos="4320"/>
        <w:tab w:val="right" w:pos="8640"/>
      </w:tabs>
    </w:pPr>
  </w:style>
  <w:style w:type="character" w:customStyle="1" w:styleId="FooterChar">
    <w:name w:val="Footer Char"/>
    <w:basedOn w:val="DefaultParagraphFont"/>
    <w:link w:val="Footer"/>
    <w:uiPriority w:val="99"/>
    <w:rsid w:val="00B175ED"/>
  </w:style>
  <w:style w:type="character" w:styleId="PageNumber">
    <w:name w:val="page number"/>
    <w:basedOn w:val="DefaultParagraphFont"/>
    <w:uiPriority w:val="99"/>
    <w:semiHidden/>
    <w:unhideWhenUsed/>
    <w:rsid w:val="00B175ED"/>
  </w:style>
  <w:style w:type="character" w:styleId="CommentReference">
    <w:name w:val="annotation reference"/>
    <w:basedOn w:val="DefaultParagraphFont"/>
    <w:uiPriority w:val="99"/>
    <w:semiHidden/>
    <w:unhideWhenUsed/>
    <w:rsid w:val="00B175ED"/>
    <w:rPr>
      <w:sz w:val="16"/>
      <w:szCs w:val="16"/>
    </w:rPr>
  </w:style>
  <w:style w:type="paragraph" w:styleId="CommentText">
    <w:name w:val="annotation text"/>
    <w:basedOn w:val="Normal"/>
    <w:link w:val="CommentTextChar"/>
    <w:uiPriority w:val="99"/>
    <w:semiHidden/>
    <w:unhideWhenUsed/>
    <w:rsid w:val="00B175ED"/>
    <w:rPr>
      <w:sz w:val="20"/>
      <w:szCs w:val="20"/>
    </w:rPr>
  </w:style>
  <w:style w:type="character" w:customStyle="1" w:styleId="CommentTextChar">
    <w:name w:val="Comment Text Char"/>
    <w:basedOn w:val="DefaultParagraphFont"/>
    <w:link w:val="CommentText"/>
    <w:uiPriority w:val="99"/>
    <w:semiHidden/>
    <w:rsid w:val="00B175ED"/>
    <w:rPr>
      <w:sz w:val="20"/>
      <w:szCs w:val="20"/>
    </w:rPr>
  </w:style>
  <w:style w:type="paragraph" w:styleId="CommentSubject">
    <w:name w:val="annotation subject"/>
    <w:basedOn w:val="CommentText"/>
    <w:next w:val="CommentText"/>
    <w:link w:val="CommentSubjectChar"/>
    <w:uiPriority w:val="99"/>
    <w:semiHidden/>
    <w:unhideWhenUsed/>
    <w:rsid w:val="00B175ED"/>
    <w:rPr>
      <w:b/>
      <w:bCs/>
    </w:rPr>
  </w:style>
  <w:style w:type="character" w:customStyle="1" w:styleId="CommentSubjectChar">
    <w:name w:val="Comment Subject Char"/>
    <w:basedOn w:val="CommentTextChar"/>
    <w:link w:val="CommentSubject"/>
    <w:uiPriority w:val="99"/>
    <w:semiHidden/>
    <w:rsid w:val="00B175ED"/>
    <w:rPr>
      <w:b/>
      <w:bCs/>
      <w:sz w:val="20"/>
      <w:szCs w:val="20"/>
    </w:rPr>
  </w:style>
  <w:style w:type="table" w:styleId="TableGrid">
    <w:name w:val="Table Grid"/>
    <w:basedOn w:val="TableNormal"/>
    <w:uiPriority w:val="59"/>
    <w:rsid w:val="00B1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B175ED"/>
    <w:pPr>
      <w:jc w:val="center"/>
    </w:pPr>
    <w:rPr>
      <w:rFonts w:ascii="Cambria" w:hAnsi="Cambria"/>
    </w:rPr>
  </w:style>
  <w:style w:type="paragraph" w:customStyle="1" w:styleId="EndNoteBibliography">
    <w:name w:val="EndNote Bibliography"/>
    <w:basedOn w:val="Normal"/>
    <w:rsid w:val="00B175ED"/>
    <w:rPr>
      <w:rFonts w:ascii="Cambria" w:hAnsi="Cambria"/>
    </w:rPr>
  </w:style>
  <w:style w:type="paragraph" w:styleId="NoSpacing">
    <w:name w:val="No Spacing"/>
    <w:uiPriority w:val="1"/>
    <w:qFormat/>
    <w:rsid w:val="00B175ED"/>
  </w:style>
  <w:style w:type="character" w:styleId="Hyperlink">
    <w:name w:val="Hyperlink"/>
    <w:basedOn w:val="DefaultParagraphFont"/>
    <w:uiPriority w:val="99"/>
    <w:unhideWhenUsed/>
    <w:rsid w:val="00B175ED"/>
    <w:rPr>
      <w:color w:val="0000FF" w:themeColor="hyperlink"/>
      <w:u w:val="single"/>
    </w:rPr>
  </w:style>
  <w:style w:type="paragraph" w:styleId="Header">
    <w:name w:val="header"/>
    <w:basedOn w:val="Normal"/>
    <w:link w:val="HeaderChar"/>
    <w:uiPriority w:val="99"/>
    <w:unhideWhenUsed/>
    <w:rsid w:val="00B175ED"/>
    <w:pPr>
      <w:tabs>
        <w:tab w:val="center" w:pos="4320"/>
        <w:tab w:val="right" w:pos="8640"/>
      </w:tabs>
    </w:pPr>
  </w:style>
  <w:style w:type="character" w:customStyle="1" w:styleId="HeaderChar">
    <w:name w:val="Header Char"/>
    <w:basedOn w:val="DefaultParagraphFont"/>
    <w:link w:val="Header"/>
    <w:uiPriority w:val="99"/>
    <w:rsid w:val="00B175ED"/>
  </w:style>
  <w:style w:type="paragraph" w:styleId="Revision">
    <w:name w:val="Revision"/>
    <w:hidden/>
    <w:uiPriority w:val="99"/>
    <w:semiHidden/>
    <w:rsid w:val="00B1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dsf@uo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9753</Words>
  <Characters>55595</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Santos Filho</dc:creator>
  <cp:keywords/>
  <dc:description/>
  <cp:lastModifiedBy>Landmann, Jennifer E</cp:lastModifiedBy>
  <cp:revision>2</cp:revision>
  <dcterms:created xsi:type="dcterms:W3CDTF">2016-05-19T10:21:00Z</dcterms:created>
  <dcterms:modified xsi:type="dcterms:W3CDTF">2016-05-19T10:21:00Z</dcterms:modified>
</cp:coreProperties>
</file>