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A7A6B" w14:textId="3BEF1BCE" w:rsidR="00F9171C" w:rsidRDefault="00994675" w:rsidP="002F6643">
      <w:pPr>
        <w:pStyle w:val="Title"/>
      </w:pPr>
      <w:bookmarkStart w:id="0" w:name="_GoBack"/>
      <w:r w:rsidRPr="00096822">
        <w:t xml:space="preserve">Expansion of </w:t>
      </w:r>
      <w:r w:rsidR="006F7985">
        <w:t>h</w:t>
      </w:r>
      <w:r w:rsidR="006F7985" w:rsidRPr="00096822">
        <w:t xml:space="preserve">ealth </w:t>
      </w:r>
      <w:r w:rsidR="006F7985">
        <w:t>i</w:t>
      </w:r>
      <w:r w:rsidR="006F7985" w:rsidRPr="00096822">
        <w:t xml:space="preserve">nsurance </w:t>
      </w:r>
      <w:r w:rsidR="0004342E" w:rsidRPr="00096822">
        <w:t xml:space="preserve">in </w:t>
      </w:r>
      <w:r w:rsidR="00744D21" w:rsidRPr="00096822">
        <w:t>Moldova</w:t>
      </w:r>
      <w:r w:rsidR="006F7985">
        <w:t xml:space="preserve"> </w:t>
      </w:r>
      <w:r w:rsidR="00025DA0">
        <w:t xml:space="preserve">and associated </w:t>
      </w:r>
      <w:r w:rsidR="006F7985">
        <w:t>improve</w:t>
      </w:r>
      <w:r w:rsidR="00025DA0">
        <w:t>ments in</w:t>
      </w:r>
      <w:r w:rsidR="006F7985">
        <w:t xml:space="preserve"> access and reduc</w:t>
      </w:r>
      <w:r w:rsidR="00025DA0">
        <w:t>tions in</w:t>
      </w:r>
      <w:r w:rsidR="006F7985">
        <w:t xml:space="preserve"> direct payments </w:t>
      </w:r>
    </w:p>
    <w:bookmarkEnd w:id="0"/>
    <w:p w14:paraId="01E70895" w14:textId="77777777" w:rsidR="00E5276A" w:rsidRDefault="00E5276A" w:rsidP="00E5276A"/>
    <w:p w14:paraId="1740E7F7" w14:textId="77777777" w:rsidR="00096822" w:rsidRDefault="00096822" w:rsidP="002F6643"/>
    <w:p w14:paraId="300FAC2D" w14:textId="77777777" w:rsidR="00096822" w:rsidRDefault="00042D5B" w:rsidP="002F6643">
      <w:pPr>
        <w:pStyle w:val="Heading3"/>
      </w:pPr>
      <w:r>
        <w:t>Authors</w:t>
      </w:r>
    </w:p>
    <w:p w14:paraId="644D02BA" w14:textId="77777777" w:rsidR="00042D5B" w:rsidRDefault="00B6456E" w:rsidP="002F6643">
      <w:r>
        <w:t>Thomas Hone</w:t>
      </w:r>
      <w:r w:rsidR="00E27D79" w:rsidRPr="00E27D79">
        <w:rPr>
          <w:vertAlign w:val="superscript"/>
        </w:rPr>
        <w:t>1</w:t>
      </w:r>
    </w:p>
    <w:p w14:paraId="796E853D" w14:textId="77777777" w:rsidR="00B6456E" w:rsidRDefault="00B6456E" w:rsidP="002F6643">
      <w:proofErr w:type="spellStart"/>
      <w:r>
        <w:t>Jarno</w:t>
      </w:r>
      <w:proofErr w:type="spellEnd"/>
      <w:r>
        <w:t xml:space="preserve"> Habicht</w:t>
      </w:r>
      <w:r w:rsidR="00E27D79" w:rsidRPr="00E27D79">
        <w:rPr>
          <w:vertAlign w:val="superscript"/>
        </w:rPr>
        <w:t>2</w:t>
      </w:r>
      <w:r w:rsidR="00E27D79">
        <w:tab/>
      </w:r>
    </w:p>
    <w:p w14:paraId="1FFA760A" w14:textId="77777777" w:rsidR="00B6456E" w:rsidRDefault="00B6456E" w:rsidP="002F6643">
      <w:proofErr w:type="spellStart"/>
      <w:r>
        <w:t>Silviu</w:t>
      </w:r>
      <w:proofErr w:type="spellEnd"/>
      <w:r>
        <w:t xml:space="preserve"> Domente</w:t>
      </w:r>
      <w:r w:rsidR="0097582F">
        <w:rPr>
          <w:vertAlign w:val="superscript"/>
        </w:rPr>
        <w:t>3</w:t>
      </w:r>
    </w:p>
    <w:p w14:paraId="668F214B" w14:textId="77777777" w:rsidR="00B6456E" w:rsidRDefault="00B6456E" w:rsidP="002F6643">
      <w:proofErr w:type="spellStart"/>
      <w:r>
        <w:t>Rifat</w:t>
      </w:r>
      <w:proofErr w:type="spellEnd"/>
      <w:r>
        <w:t xml:space="preserve"> Atun</w:t>
      </w:r>
      <w:r w:rsidR="0097582F">
        <w:rPr>
          <w:vertAlign w:val="superscript"/>
        </w:rPr>
        <w:t>4</w:t>
      </w:r>
    </w:p>
    <w:p w14:paraId="1BFD14E9" w14:textId="77777777" w:rsidR="00B6456E" w:rsidRDefault="00B6456E" w:rsidP="002F6643"/>
    <w:p w14:paraId="5718003E" w14:textId="77777777" w:rsidR="00E27D79" w:rsidRDefault="00E27D79" w:rsidP="002F6643">
      <w:r w:rsidRPr="00E27D79">
        <w:rPr>
          <w:vertAlign w:val="superscript"/>
        </w:rPr>
        <w:t>1</w:t>
      </w:r>
      <w:r>
        <w:t xml:space="preserve"> </w:t>
      </w:r>
      <w:r w:rsidRPr="00994E96">
        <w:t xml:space="preserve">Department of </w:t>
      </w:r>
      <w:r w:rsidRPr="002F6643">
        <w:t>Primary</w:t>
      </w:r>
      <w:r w:rsidRPr="00994E96">
        <w:t xml:space="preserve"> Care and Public Health, Imperial College, London, UK</w:t>
      </w:r>
    </w:p>
    <w:p w14:paraId="4ECE1CF2" w14:textId="77777777" w:rsidR="0097582F" w:rsidRDefault="0097582F" w:rsidP="002F6643">
      <w:r>
        <w:t xml:space="preserve">2 WHO Country Office in Kyrgyzstan, </w:t>
      </w:r>
      <w:r w:rsidRPr="00994E96">
        <w:t>World Health Organization</w:t>
      </w:r>
    </w:p>
    <w:p w14:paraId="54394242" w14:textId="77777777" w:rsidR="0097582F" w:rsidRPr="00994E96" w:rsidRDefault="0097582F" w:rsidP="002F6643">
      <w:r>
        <w:t xml:space="preserve">3 WHO </w:t>
      </w:r>
      <w:r w:rsidR="00F345CC">
        <w:t xml:space="preserve">Project </w:t>
      </w:r>
      <w:r>
        <w:t xml:space="preserve">Office in Greece, </w:t>
      </w:r>
      <w:r w:rsidRPr="00994E96">
        <w:t>World Health Organization</w:t>
      </w:r>
    </w:p>
    <w:p w14:paraId="33AFCFB8" w14:textId="77777777" w:rsidR="00E27D79" w:rsidRDefault="0097582F" w:rsidP="002F6643">
      <w:r>
        <w:rPr>
          <w:vertAlign w:val="superscript"/>
        </w:rPr>
        <w:t>4</w:t>
      </w:r>
      <w:r w:rsidR="00E27D79">
        <w:t xml:space="preserve"> Harvard T.H. Chan</w:t>
      </w:r>
      <w:r w:rsidR="00E27D79" w:rsidRPr="00994E96">
        <w:t xml:space="preserve"> </w:t>
      </w:r>
      <w:proofErr w:type="gramStart"/>
      <w:r w:rsidR="00E27D79" w:rsidRPr="00994E96">
        <w:t>School</w:t>
      </w:r>
      <w:proofErr w:type="gramEnd"/>
      <w:r w:rsidR="00E27D79" w:rsidRPr="00994E96">
        <w:t xml:space="preserve"> of Public Health, Boston, MA, USA</w:t>
      </w:r>
    </w:p>
    <w:p w14:paraId="7AC09557" w14:textId="77777777" w:rsidR="00E27D79" w:rsidRDefault="00E27D79" w:rsidP="002F6643"/>
    <w:p w14:paraId="492E2018" w14:textId="77777777" w:rsidR="00B6456E" w:rsidRDefault="00573E21" w:rsidP="002F6643">
      <w:pPr>
        <w:pStyle w:val="Heading3"/>
      </w:pPr>
      <w:r>
        <w:t>Conflicts of interest</w:t>
      </w:r>
    </w:p>
    <w:p w14:paraId="09920B5E" w14:textId="08A04658" w:rsidR="00573E21" w:rsidRDefault="00F60786" w:rsidP="00F60786">
      <w:r>
        <w:t>None to declare</w:t>
      </w:r>
    </w:p>
    <w:p w14:paraId="42CAD609" w14:textId="77777777" w:rsidR="00573E21" w:rsidRDefault="00573E21" w:rsidP="002F6643">
      <w:pPr>
        <w:pStyle w:val="Heading3"/>
      </w:pPr>
      <w:r>
        <w:t>Word Count</w:t>
      </w:r>
    </w:p>
    <w:p w14:paraId="4D31F6D9" w14:textId="34A4FFAD" w:rsidR="00F60786" w:rsidRDefault="00F60786" w:rsidP="00F60786">
      <w:r>
        <w:t>4700</w:t>
      </w:r>
    </w:p>
    <w:p w14:paraId="10D7C511" w14:textId="40AFD5AC" w:rsidR="00F60786" w:rsidRPr="00F60786" w:rsidRDefault="00F60786" w:rsidP="00F60786">
      <w:pPr>
        <w:pStyle w:val="Heading3"/>
      </w:pPr>
      <w:r>
        <w:t xml:space="preserve">Acknowledgements </w:t>
      </w:r>
    </w:p>
    <w:p w14:paraId="7A81FCA5" w14:textId="004F997B" w:rsidR="00573E21" w:rsidRDefault="00F60786" w:rsidP="00F60786">
      <w:r>
        <w:t xml:space="preserve">We are grateful to the Moldovan </w:t>
      </w:r>
      <w:r w:rsidRPr="00366EDE">
        <w:t xml:space="preserve">National </w:t>
      </w:r>
      <w:proofErr w:type="spellStart"/>
      <w:r w:rsidRPr="00366EDE">
        <w:t>Center</w:t>
      </w:r>
      <w:proofErr w:type="spellEnd"/>
      <w:r w:rsidRPr="00366EDE">
        <w:t xml:space="preserve"> for Health Management</w:t>
      </w:r>
      <w:r>
        <w:t xml:space="preserve"> (CNMS) and the </w:t>
      </w:r>
      <w:r w:rsidRPr="00225C78">
        <w:t>Moldovan National Bureau of Statistics</w:t>
      </w:r>
      <w:r>
        <w:t xml:space="preserve"> (NBS) for providing data to support the analysis, and the WHO regional office for Moldova for hosting a research visit in 2013.  </w:t>
      </w:r>
    </w:p>
    <w:p w14:paraId="35C37344" w14:textId="77777777" w:rsidR="00F60786" w:rsidRDefault="00F60786" w:rsidP="00F60786"/>
    <w:p w14:paraId="2629C315" w14:textId="16FCDD1E" w:rsidR="00F60786" w:rsidRDefault="00F60786" w:rsidP="00F60786">
      <w:r w:rsidRPr="00F60786">
        <w:t>The views expressed in the article are those of the authors alone and do not necessarily reflect the decision or stated policy of the World Health Organization</w:t>
      </w:r>
    </w:p>
    <w:p w14:paraId="67C63CED" w14:textId="77777777" w:rsidR="00381E2D" w:rsidRDefault="00381E2D" w:rsidP="002F6643">
      <w:pPr>
        <w:rPr>
          <w:rFonts w:asciiTheme="majorHAnsi" w:eastAsiaTheme="majorEastAsia" w:hAnsiTheme="majorHAnsi" w:cstheme="majorBidi"/>
          <w:kern w:val="32"/>
          <w:sz w:val="32"/>
          <w:szCs w:val="32"/>
        </w:rPr>
      </w:pPr>
      <w:r>
        <w:br w:type="page"/>
      </w:r>
    </w:p>
    <w:p w14:paraId="3B1C3B05" w14:textId="77777777" w:rsidR="00042D5B" w:rsidRDefault="00573E21" w:rsidP="002F6643">
      <w:pPr>
        <w:pStyle w:val="Heading1"/>
      </w:pPr>
      <w:r>
        <w:lastRenderedPageBreak/>
        <w:t>Abstract</w:t>
      </w:r>
    </w:p>
    <w:p w14:paraId="45111060" w14:textId="77777777" w:rsidR="00381E2D" w:rsidRDefault="00381E2D" w:rsidP="002F6643">
      <w:pPr>
        <w:pStyle w:val="Heading2"/>
      </w:pPr>
      <w:r>
        <w:t>Background</w:t>
      </w:r>
    </w:p>
    <w:p w14:paraId="3AADF962" w14:textId="50CF355C" w:rsidR="00381E2D" w:rsidRDefault="00382752" w:rsidP="002F6643">
      <w:r>
        <w:t>Moldova is the poorest country in Europe. Economic constraints mean that Moldova faces challenges in protecting individuals from excessive costs, improving population health and securing health system sustainability. T</w:t>
      </w:r>
      <w:r w:rsidR="006F7985">
        <w:t xml:space="preserve">he Moldovan government has </w:t>
      </w:r>
      <w:r>
        <w:t>introduced a state benefit package and expanded health insurance coverage to reduce</w:t>
      </w:r>
      <w:r w:rsidR="006F7985">
        <w:t xml:space="preserve"> the burden of healthcare costs </w:t>
      </w:r>
      <w:r>
        <w:t>for citizens</w:t>
      </w:r>
      <w:r w:rsidR="006F7985">
        <w:t xml:space="preserve">. </w:t>
      </w:r>
      <w:r w:rsidR="00E501D2">
        <w:t xml:space="preserve">This study examines </w:t>
      </w:r>
      <w:r>
        <w:t xml:space="preserve">the effects of expanded health insurance by examining </w:t>
      </w:r>
      <w:r w:rsidR="00E501D2">
        <w:t xml:space="preserve">factors associated with health insurance coverage, likelihood of incurring </w:t>
      </w:r>
      <w:r w:rsidR="006F7985">
        <w:t>out</w:t>
      </w:r>
      <w:r w:rsidR="00E501D2">
        <w:t>-of-</w:t>
      </w:r>
      <w:r w:rsidR="006F7985">
        <w:t>p</w:t>
      </w:r>
      <w:r w:rsidR="00E501D2">
        <w:t>ocket (OOP) payment</w:t>
      </w:r>
      <w:r>
        <w:t>s</w:t>
      </w:r>
      <w:r w:rsidR="00E501D2">
        <w:t xml:space="preserve"> for medicines or services, and the likelihood of forgoing healthcare when unwell. </w:t>
      </w:r>
    </w:p>
    <w:p w14:paraId="3F44FB85" w14:textId="77777777" w:rsidR="00381E2D" w:rsidRDefault="00381E2D" w:rsidP="002F6643"/>
    <w:p w14:paraId="5471EBC4" w14:textId="77777777" w:rsidR="00381E2D" w:rsidRDefault="00381E2D" w:rsidP="002F6643">
      <w:pPr>
        <w:pStyle w:val="Heading2"/>
      </w:pPr>
      <w:r>
        <w:t>Methods</w:t>
      </w:r>
    </w:p>
    <w:p w14:paraId="316E9EDD" w14:textId="10CA3FFF" w:rsidR="00381E2D" w:rsidRDefault="00381E2D" w:rsidP="002F6643">
      <w:r>
        <w:t xml:space="preserve">Using publically available databases and the annual Moldova </w:t>
      </w:r>
      <w:r w:rsidR="00F973A4">
        <w:t>H</w:t>
      </w:r>
      <w:r>
        <w:t xml:space="preserve">ousehold </w:t>
      </w:r>
      <w:r w:rsidR="00F973A4">
        <w:t>Budgetary Survey</w:t>
      </w:r>
      <w:r>
        <w:t xml:space="preserve">, we examine trends in health system financing, healthcare utilisation, </w:t>
      </w:r>
      <w:r w:rsidR="00382752">
        <w:t xml:space="preserve">health </w:t>
      </w:r>
      <w:r>
        <w:t>insurance coverage, and costs incurred by individuals for the years 200</w:t>
      </w:r>
      <w:r w:rsidR="00581E66">
        <w:t>6</w:t>
      </w:r>
      <w:r>
        <w:t xml:space="preserve">-2012. We perform logistic regression to assess the likelihood of having </w:t>
      </w:r>
      <w:r w:rsidR="00382752">
        <w:t xml:space="preserve">health </w:t>
      </w:r>
      <w:r>
        <w:t xml:space="preserve">insurance, incurring a cost for healthcare, and forgoing healthcare when ill, controlling for socio-economic and demographic covariates. </w:t>
      </w:r>
    </w:p>
    <w:p w14:paraId="7BD143E5" w14:textId="77777777" w:rsidR="00381E2D" w:rsidRDefault="00381E2D" w:rsidP="002F6643"/>
    <w:p w14:paraId="2626B090" w14:textId="77777777" w:rsidR="00381E2D" w:rsidRDefault="00381E2D" w:rsidP="002F6643">
      <w:pPr>
        <w:pStyle w:val="Heading2"/>
      </w:pPr>
      <w:r>
        <w:t>Findings</w:t>
      </w:r>
    </w:p>
    <w:p w14:paraId="35504E45" w14:textId="1947E4B8" w:rsidR="00381E2D" w:rsidRDefault="00382752" w:rsidP="002F6643">
      <w:r>
        <w:t xml:space="preserve">Private </w:t>
      </w:r>
      <w:r w:rsidR="009C2BBA">
        <w:t>expenditure</w:t>
      </w:r>
      <w:r>
        <w:t xml:space="preserve"> </w:t>
      </w:r>
      <w:r w:rsidR="009C2BBA">
        <w:t>accounted for 55.5</w:t>
      </w:r>
      <w:r>
        <w:t xml:space="preserve">% of total </w:t>
      </w:r>
      <w:r w:rsidR="00E501D2">
        <w:t xml:space="preserve">health </w:t>
      </w:r>
      <w:r>
        <w:t>expenditures</w:t>
      </w:r>
      <w:r w:rsidR="009C2BBA">
        <w:t xml:space="preserve"> in 2012</w:t>
      </w:r>
      <w:r>
        <w:t xml:space="preserve">. </w:t>
      </w:r>
      <w:r w:rsidR="009C2BBA">
        <w:t>83</w:t>
      </w:r>
      <w:r w:rsidR="00297B0E">
        <w:t>.2</w:t>
      </w:r>
      <w:r>
        <w:t xml:space="preserve">% of private health expenditures </w:t>
      </w:r>
      <w:proofErr w:type="gramStart"/>
      <w:r>
        <w:t>is</w:t>
      </w:r>
      <w:proofErr w:type="gramEnd"/>
      <w:r>
        <w:t xml:space="preserve"> </w:t>
      </w:r>
      <w:r w:rsidR="00E501D2">
        <w:t xml:space="preserve">OOP payments – especially for medicines. </w:t>
      </w:r>
      <w:r w:rsidR="0020159B">
        <w:t xml:space="preserve">Healthcare utilisation </w:t>
      </w:r>
      <w:r>
        <w:t xml:space="preserve">is </w:t>
      </w:r>
      <w:r w:rsidR="0020159B">
        <w:t>inline with EU averages</w:t>
      </w:r>
      <w:r>
        <w:t xml:space="preserve"> of </w:t>
      </w:r>
      <w:r w:rsidR="00297B0E">
        <w:t>6.93 outpatient visits per person</w:t>
      </w:r>
      <w:r w:rsidR="0020159B">
        <w:t xml:space="preserve">. </w:t>
      </w:r>
      <w:r w:rsidR="00E501D2">
        <w:t xml:space="preserve">Being uninsured is associated </w:t>
      </w:r>
      <w:r w:rsidR="0020159B">
        <w:t>with groups</w:t>
      </w:r>
      <w:r w:rsidR="00E501D2">
        <w:t xml:space="preserve"> </w:t>
      </w:r>
      <w:r w:rsidR="0020159B">
        <w:t>of those aged 25-49 years</w:t>
      </w:r>
      <w:r w:rsidR="00E501D2">
        <w:t xml:space="preserve">, </w:t>
      </w:r>
      <w:r w:rsidR="0020159B">
        <w:t xml:space="preserve">the </w:t>
      </w:r>
      <w:r w:rsidR="00381E2D">
        <w:t>self-employ</w:t>
      </w:r>
      <w:r w:rsidR="0020159B">
        <w:t>ed, unpaid family workers, and the unemployed</w:t>
      </w:r>
      <w:r>
        <w:t>,</w:t>
      </w:r>
      <w:r w:rsidR="00381E2D">
        <w:t xml:space="preserve"> although </w:t>
      </w:r>
      <w:r w:rsidR="0020159B">
        <w:t>we find lower likelihood of being uninsured for some of these groups over time</w:t>
      </w:r>
      <w:r w:rsidR="00381E2D">
        <w:t xml:space="preserve">. </w:t>
      </w:r>
      <w:r w:rsidR="0020159B">
        <w:t>Overtime, the likelihood of OOP for medicines increas</w:t>
      </w:r>
      <w:r>
        <w:t>ed (</w:t>
      </w:r>
      <w:r w:rsidR="00297B0E">
        <w:t>OR=1.422 in 2012 compared to 2006</w:t>
      </w:r>
      <w:r>
        <w:t>)</w:t>
      </w:r>
      <w:r w:rsidR="0020159B">
        <w:t xml:space="preserve">, but </w:t>
      </w:r>
      <w:r>
        <w:t xml:space="preserve">fell </w:t>
      </w:r>
      <w:r w:rsidR="0020159B">
        <w:t xml:space="preserve">for </w:t>
      </w:r>
      <w:r>
        <w:t xml:space="preserve">healthcare </w:t>
      </w:r>
      <w:r w:rsidR="0020159B">
        <w:t>services</w:t>
      </w:r>
      <w:r w:rsidR="00297B0E">
        <w:t xml:space="preserve"> (</w:t>
      </w:r>
      <w:r w:rsidR="00297B0E">
        <w:t>OR=</w:t>
      </w:r>
      <w:r w:rsidR="00297B0E">
        <w:t xml:space="preserve">0.873 </w:t>
      </w:r>
      <w:r w:rsidR="00297B0E">
        <w:t>in 2012 compared to 2006</w:t>
      </w:r>
      <w:r>
        <w:t>)</w:t>
      </w:r>
      <w:r w:rsidR="0020159B">
        <w:t>. No insurance</w:t>
      </w:r>
      <w:r>
        <w:t xml:space="preserve"> </w:t>
      </w:r>
      <w:r w:rsidR="0020159B">
        <w:t>and being older and male, was associated with increased likelihood of forgoing healthcare when sick</w:t>
      </w:r>
      <w:r w:rsidR="00297B0E">
        <w:t xml:space="preserve">, </w:t>
      </w:r>
      <w:r w:rsidR="0020159B">
        <w:t>but we found the likelihood of forgoing healthcare to be increasing over time</w:t>
      </w:r>
      <w:r>
        <w:t xml:space="preserve"> </w:t>
      </w:r>
      <w:r w:rsidR="00297B0E">
        <w:t xml:space="preserve">(OR=1.295 </w:t>
      </w:r>
      <w:r w:rsidR="00297B0E">
        <w:t xml:space="preserve">in 2012 compared to </w:t>
      </w:r>
      <w:r w:rsidR="00297B0E">
        <w:t>2009).</w:t>
      </w:r>
    </w:p>
    <w:p w14:paraId="64D76B41" w14:textId="77777777" w:rsidR="00381E2D" w:rsidRDefault="00381E2D" w:rsidP="002F6643"/>
    <w:p w14:paraId="373A93AD" w14:textId="77777777" w:rsidR="00381E2D" w:rsidRDefault="00381E2D" w:rsidP="002F6643">
      <w:pPr>
        <w:pStyle w:val="Heading2"/>
      </w:pPr>
      <w:r>
        <w:t>Interpretation</w:t>
      </w:r>
    </w:p>
    <w:p w14:paraId="5D401F60" w14:textId="6E9C06C1" w:rsidR="00381E2D" w:rsidRPr="004E1793" w:rsidRDefault="00381E2D" w:rsidP="002F6643">
      <w:r>
        <w:t xml:space="preserve">Moldova has </w:t>
      </w:r>
      <w:r w:rsidR="006F7985">
        <w:t>achieved</w:t>
      </w:r>
      <w:r w:rsidR="0020159B">
        <w:t xml:space="preserve"> improvements in </w:t>
      </w:r>
      <w:r w:rsidR="006F7985">
        <w:t xml:space="preserve">health </w:t>
      </w:r>
      <w:r w:rsidR="0020159B">
        <w:t xml:space="preserve">insurance coverage </w:t>
      </w:r>
      <w:r w:rsidR="006F7985">
        <w:t xml:space="preserve">with </w:t>
      </w:r>
      <w:r w:rsidR="0020159B">
        <w:t>reductions in OOP for services</w:t>
      </w:r>
      <w:r w:rsidR="006F7985">
        <w:t>, which</w:t>
      </w:r>
      <w:r w:rsidR="0020159B">
        <w:t xml:space="preserve"> are modest </w:t>
      </w:r>
      <w:r w:rsidR="00382752">
        <w:t xml:space="preserve">but are </w:t>
      </w:r>
      <w:r w:rsidR="0020159B">
        <w:t xml:space="preserve">eroded by increasing likelihood </w:t>
      </w:r>
      <w:r w:rsidR="006F7985">
        <w:t xml:space="preserve">of </w:t>
      </w:r>
      <w:r w:rsidR="0020159B">
        <w:t xml:space="preserve">OOP for medicines. </w:t>
      </w:r>
      <w:r>
        <w:t xml:space="preserve">Insurance coverage </w:t>
      </w:r>
      <w:r w:rsidR="006F7985">
        <w:t>was</w:t>
      </w:r>
      <w:r>
        <w:t xml:space="preserve"> an important determinant for healt</w:t>
      </w:r>
      <w:r w:rsidR="0020159B">
        <w:t xml:space="preserve">hcare costs </w:t>
      </w:r>
      <w:r w:rsidR="006F7985">
        <w:t xml:space="preserve">incurred by patients </w:t>
      </w:r>
      <w:r w:rsidR="0020159B">
        <w:t xml:space="preserve">and </w:t>
      </w:r>
      <w:r w:rsidR="00382752">
        <w:t xml:space="preserve">patients </w:t>
      </w:r>
      <w:r w:rsidR="0020159B">
        <w:t xml:space="preserve">forgoing healthcare. </w:t>
      </w:r>
      <w:r w:rsidR="006F7985">
        <w:t>Improvements notwithstanding, there is an unfinished agenda of attaining universal health coverage</w:t>
      </w:r>
      <w:r w:rsidR="006F7985" w:rsidDel="006F7985">
        <w:t xml:space="preserve"> </w:t>
      </w:r>
      <w:r w:rsidR="006F7985">
        <w:t xml:space="preserve">in </w:t>
      </w:r>
      <w:r>
        <w:t xml:space="preserve">Moldova </w:t>
      </w:r>
      <w:r w:rsidR="006F7985">
        <w:t>to</w:t>
      </w:r>
      <w:r>
        <w:t xml:space="preserve"> protect individuals from </w:t>
      </w:r>
      <w:r w:rsidR="006F7985">
        <w:t xml:space="preserve">healthcare </w:t>
      </w:r>
      <w:r>
        <w:t xml:space="preserve">costs.  </w:t>
      </w:r>
    </w:p>
    <w:p w14:paraId="00008351" w14:textId="77777777" w:rsidR="00A33AEE" w:rsidRDefault="00A33AEE" w:rsidP="002F6643"/>
    <w:p w14:paraId="2EBA5AF2" w14:textId="77777777" w:rsidR="00237623" w:rsidRPr="00A33AEE" w:rsidRDefault="00237623" w:rsidP="002F6643">
      <w:pPr>
        <w:pStyle w:val="Heading1"/>
        <w:rPr>
          <w:rFonts w:cstheme="minorHAnsi"/>
          <w:sz w:val="28"/>
        </w:rPr>
      </w:pPr>
      <w:r w:rsidRPr="00096822">
        <w:t>Introduction</w:t>
      </w:r>
    </w:p>
    <w:p w14:paraId="3E3FC950" w14:textId="65CF6CF4" w:rsidR="007B3E08" w:rsidRDefault="00B907DC" w:rsidP="002F6643">
      <w:r w:rsidRPr="00C21DBC">
        <w:t>Moldova</w:t>
      </w:r>
      <w:r w:rsidR="00885031">
        <w:t xml:space="preserve"> </w:t>
      </w:r>
      <w:r w:rsidR="007666F7">
        <w:t>is the poorest country i</w:t>
      </w:r>
      <w:r w:rsidR="00B152B8">
        <w:t>n</w:t>
      </w:r>
      <w:r w:rsidR="007666F7">
        <w:t xml:space="preserve"> Europe. </w:t>
      </w:r>
      <w:r w:rsidR="00A53357">
        <w:t xml:space="preserve">Following independence from the Soviet Union in 1991, </w:t>
      </w:r>
      <w:r w:rsidR="00382752">
        <w:t>Moldova experienced</w:t>
      </w:r>
      <w:r w:rsidR="007B3E08">
        <w:t xml:space="preserve"> </w:t>
      </w:r>
      <w:r w:rsidR="007B3E08" w:rsidRPr="002952B0">
        <w:t>rapid</w:t>
      </w:r>
      <w:r w:rsidR="007B3E08" w:rsidRPr="00CA1C5E">
        <w:t xml:space="preserve"> economic decline</w:t>
      </w:r>
      <w:r w:rsidR="00382752">
        <w:t xml:space="preserve"> and </w:t>
      </w:r>
      <w:r w:rsidR="00885031">
        <w:t xml:space="preserve">has faced </w:t>
      </w:r>
      <w:r w:rsidR="007B3E08">
        <w:t xml:space="preserve">economic </w:t>
      </w:r>
      <w:r w:rsidR="00885031">
        <w:t xml:space="preserve">challenges </w:t>
      </w:r>
      <w:r w:rsidR="00A53357">
        <w:t xml:space="preserve">since, hampering </w:t>
      </w:r>
      <w:r w:rsidR="00382752">
        <w:t xml:space="preserve">government </w:t>
      </w:r>
      <w:r w:rsidR="00A53357">
        <w:t xml:space="preserve">efforts </w:t>
      </w:r>
      <w:r w:rsidR="00382752">
        <w:t xml:space="preserve">aimed at </w:t>
      </w:r>
      <w:r w:rsidR="00885031">
        <w:t xml:space="preserve">health system </w:t>
      </w:r>
      <w:r w:rsidR="00A53357">
        <w:t xml:space="preserve">strengthening, </w:t>
      </w:r>
      <w:r w:rsidR="007B3E08">
        <w:t>financial sustainability</w:t>
      </w:r>
      <w:r w:rsidR="00A53357">
        <w:t>,</w:t>
      </w:r>
      <w:r w:rsidR="007B3E08">
        <w:t xml:space="preserve"> </w:t>
      </w:r>
      <w:r w:rsidR="00382752">
        <w:t xml:space="preserve">and </w:t>
      </w:r>
      <w:r w:rsidR="00183928">
        <w:t>universal health coverage (UHC)</w:t>
      </w:r>
      <w:r w:rsidR="00821C61">
        <w:fldChar w:fldCharType="begin"/>
      </w:r>
      <w:r w:rsidR="00445345">
        <w:instrText xml:space="preserve"> ADDIN EN.CITE &lt;EndNote&gt;&lt;Cite&gt;&lt;Author&gt;World Health Organizaton&lt;/Author&gt;&lt;Year&gt;2013&lt;/Year&gt;&lt;RecNum&gt;88&lt;/RecNum&gt;&lt;DisplayText&gt;&lt;style face="superscript"&gt;1,2&lt;/style&gt;&lt;/DisplayText&gt;&lt;record&gt;&lt;rec-number&gt;88&lt;/rec-number&gt;&lt;foreign-keys&gt;&lt;key app="EN" db-id="afate9rf5sat09edfarpdvt4xt0w0a2zp9fe"&gt;88&lt;/key&gt;&lt;/foreign-keys&gt;&lt;ref-type name="Report"&gt;27&lt;/ref-type&gt;&lt;contributors&gt;&lt;authors&gt;&lt;author&gt;World Health Organizaton,&lt;/author&gt;&lt;/authors&gt;&lt;/contributors&gt;&lt;titles&gt;&lt;title&gt;The World Health Report 2013: Research for Universal Health Coverage&lt;/title&gt;&lt;/titles&gt;&lt;pages&gt;1-168&lt;/pages&gt;&lt;dates&gt;&lt;year&gt;2013&lt;/year&gt;&lt;/dates&gt;&lt;pub-location&gt;Geneva, Switzerland&lt;/pub-location&gt;&lt;publisher&gt;World Health Organization&lt;/publisher&gt;&lt;urls&gt;&lt;/urls&gt;&lt;/record&gt;&lt;/Cite&gt;&lt;Cite&gt;&lt;Author&gt;World Health Organization&lt;/Author&gt;&lt;Year&gt;2010&lt;/Year&gt;&lt;RecNum&gt;13&lt;/RecNum&gt;&lt;record&gt;&lt;rec-number&gt;13&lt;/rec-number&gt;&lt;foreign-keys&gt;&lt;key app="EN" db-id="afate9rf5sat09edfarpdvt4xt0w0a2zp9fe"&gt;13&lt;/key&gt;&lt;/foreign-keys&gt;&lt;ref-type name="Report"&gt;27&lt;/ref-type&gt;&lt;contributors&gt;&lt;authors&gt;&lt;author&gt;World Health Organization,&lt;/author&gt;&lt;/authors&gt;&lt;/contributors&gt;&lt;titles&gt;&lt;title&gt;The World Health Report 2010: Health System Financing - The path to universal coverage&lt;/title&gt;&lt;/titles&gt;&lt;pages&gt;1-102&lt;/pages&gt;&lt;dates&gt;&lt;year&gt;2010&lt;/year&gt;&lt;/dates&gt;&lt;pub-location&gt;Geneva, Switzerland &lt;/pub-location&gt;&lt;publisher&gt;World Health Organization&lt;/publisher&gt;&lt;urls&gt;&lt;/urls&gt;&lt;/record&gt;&lt;/Cite&gt;&lt;/EndNote&gt;</w:instrText>
      </w:r>
      <w:r w:rsidR="00821C61">
        <w:fldChar w:fldCharType="separate"/>
      </w:r>
      <w:hyperlink w:anchor="_ENREF_1" w:tooltip="World Health Organizaton, 2013 #88" w:history="1">
        <w:r w:rsidR="00025DA0" w:rsidRPr="00445345">
          <w:rPr>
            <w:noProof/>
            <w:vertAlign w:val="superscript"/>
          </w:rPr>
          <w:t>1</w:t>
        </w:r>
      </w:hyperlink>
      <w:r w:rsidR="00445345" w:rsidRPr="00445345">
        <w:rPr>
          <w:noProof/>
          <w:vertAlign w:val="superscript"/>
        </w:rPr>
        <w:t>,</w:t>
      </w:r>
      <w:hyperlink w:anchor="_ENREF_2" w:tooltip="World Health Organization, 2010 #13" w:history="1">
        <w:r w:rsidR="00025DA0" w:rsidRPr="00445345">
          <w:rPr>
            <w:noProof/>
            <w:vertAlign w:val="superscript"/>
          </w:rPr>
          <w:t>2</w:t>
        </w:r>
      </w:hyperlink>
      <w:r w:rsidR="00821C61">
        <w:fldChar w:fldCharType="end"/>
      </w:r>
      <w:r w:rsidR="00782C0E">
        <w:t xml:space="preserve"> </w:t>
      </w:r>
      <w:r w:rsidR="00382752">
        <w:t>– the</w:t>
      </w:r>
      <w:r w:rsidR="00782C0E">
        <w:t xml:space="preserve"> sustainable development goals (SDGs) for health</w:t>
      </w:r>
      <w:hyperlink w:anchor="_ENREF_3" w:tooltip="Tangcharoensathien, 2015 #432" w:history="1">
        <w:r w:rsidR="00025DA0">
          <w:fldChar w:fldCharType="begin"/>
        </w:r>
        <w:r w:rsidR="00025DA0">
          <w:instrText xml:space="preserve"> ADDIN EN.CITE &lt;EndNote&gt;&lt;Cite&gt;&lt;Author&gt;Tangcharoensathien&lt;/Author&gt;&lt;Year&gt;2015&lt;/Year&gt;&lt;RecNum&gt;432&lt;/RecNum&gt;&lt;DisplayText&gt;&lt;style face="superscript"&gt;3&lt;/style&gt;&lt;/DisplayText&gt;&lt;record&gt;&lt;rec-number&gt;432&lt;/rec-number&gt;&lt;foreign-keys&gt;&lt;key app="EN" db-id="afate9rf5sat09edfarpdvt4xt0w0a2zp9fe"&gt;432&lt;/key&gt;&lt;/foreign-keys&gt;&lt;ref-type name="Journal Article"&gt;17&lt;/ref-type&gt;&lt;contributors&gt;&lt;authors&gt;&lt;author&gt;Tangcharoensathien, Viroj&lt;/author&gt;&lt;author&gt;Mills, Anne&lt;/author&gt;&lt;author&gt;Palu, Toomas&lt;/author&gt;&lt;/authors&gt;&lt;/contributors&gt;&lt;titles&gt;&lt;title&gt;Accelerating health equity: the key role of universal health coverage in the Sustainable Development Goals&lt;/title&gt;&lt;secondary-title&gt;BMC Medicine&lt;/secondary-title&gt;&lt;/titles&gt;&lt;periodical&gt;&lt;full-title&gt;BMC Medicine&lt;/full-title&gt;&lt;/periodical&gt;&lt;pages&gt;1-5&lt;/pages&gt;&lt;volume&gt;13&lt;/volume&gt;&lt;number&gt;1&lt;/number&gt;&lt;dates&gt;&lt;year&gt;2015&lt;/year&gt;&lt;/dates&gt;&lt;isbn&gt;1741-7015&lt;/isbn&gt;&lt;label&gt;Tangcharoensathien2015&lt;/label&gt;&lt;work-type&gt;journal article&lt;/work-type&gt;&lt;urls&gt;&lt;related-urls&gt;&lt;url&gt;http://dx.doi.org/10.1186/s12916-015-0342-3&lt;/url&gt;&lt;/related-urls&gt;&lt;/urls&gt;&lt;electronic-resource-num&gt;10.1186/s12916-015-0342-3&lt;/electronic-resource-num&gt;&lt;/record&gt;&lt;/Cite&gt;&lt;/EndNote&gt;</w:instrText>
        </w:r>
        <w:r w:rsidR="00025DA0">
          <w:fldChar w:fldCharType="separate"/>
        </w:r>
        <w:r w:rsidR="00025DA0" w:rsidRPr="00782C0E">
          <w:rPr>
            <w:noProof/>
            <w:vertAlign w:val="superscript"/>
          </w:rPr>
          <w:t>3</w:t>
        </w:r>
        <w:r w:rsidR="00025DA0">
          <w:fldChar w:fldCharType="end"/>
        </w:r>
      </w:hyperlink>
      <w:r w:rsidR="00782C0E">
        <w:t>.</w:t>
      </w:r>
    </w:p>
    <w:p w14:paraId="301AC9B2" w14:textId="77777777" w:rsidR="00950D21" w:rsidRDefault="00950D21" w:rsidP="002F6643"/>
    <w:p w14:paraId="0EB87E05" w14:textId="7CCD26C7" w:rsidR="00FC42AB" w:rsidRDefault="007B3E08" w:rsidP="002F6643">
      <w:r>
        <w:t xml:space="preserve">The economic downturn </w:t>
      </w:r>
      <w:r w:rsidR="00382752">
        <w:t xml:space="preserve">in Moldova </w:t>
      </w:r>
      <w:r w:rsidR="00885031">
        <w:t>led</w:t>
      </w:r>
      <w:r>
        <w:t xml:space="preserve"> </w:t>
      </w:r>
      <w:r w:rsidR="00885031">
        <w:t>to</w:t>
      </w:r>
      <w:r w:rsidR="00C75A51">
        <w:t xml:space="preserve"> health system f</w:t>
      </w:r>
      <w:r w:rsidR="004E7A9F" w:rsidRPr="00A5248F">
        <w:t>unding shortages</w:t>
      </w:r>
      <w:r w:rsidR="00C75A51">
        <w:t>,</w:t>
      </w:r>
      <w:r w:rsidR="004E7A9F" w:rsidRPr="00A5248F">
        <w:t xml:space="preserve"> reduc</w:t>
      </w:r>
      <w:r w:rsidR="00885031">
        <w:t xml:space="preserve">tions in </w:t>
      </w:r>
      <w:r w:rsidR="004E7A9F" w:rsidRPr="00FF1583">
        <w:t>servic</w:t>
      </w:r>
      <w:r w:rsidR="004E7A9F" w:rsidRPr="00CA37AD">
        <w:t>e provision</w:t>
      </w:r>
      <w:r w:rsidR="00052012">
        <w:t>,</w:t>
      </w:r>
      <w:r w:rsidR="004E7A9F" w:rsidRPr="00CA37AD">
        <w:t xml:space="preserve"> </w:t>
      </w:r>
      <w:r w:rsidR="004E7A9F" w:rsidRPr="002213F7">
        <w:t>increas</w:t>
      </w:r>
      <w:r w:rsidR="004E7A9F" w:rsidRPr="001A2FE1">
        <w:t>ed</w:t>
      </w:r>
      <w:r w:rsidR="004E7A9F" w:rsidRPr="00225C78">
        <w:t xml:space="preserve"> </w:t>
      </w:r>
      <w:r w:rsidR="00AA5433">
        <w:t>out-of-pocket</w:t>
      </w:r>
      <w:r w:rsidR="00AA5433" w:rsidRPr="00225C78">
        <w:t xml:space="preserve"> </w:t>
      </w:r>
      <w:r w:rsidR="004E7A9F" w:rsidRPr="00225C78">
        <w:t>payments</w:t>
      </w:r>
      <w:r w:rsidR="00885031">
        <w:t xml:space="preserve"> for users</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rsidR="00052012">
        <w:t>, and a rise</w:t>
      </w:r>
      <w:r w:rsidR="004E7A9F" w:rsidRPr="001B1BED">
        <w:t xml:space="preserve"> </w:t>
      </w:r>
      <w:r w:rsidR="00052012">
        <w:t>in</w:t>
      </w:r>
      <w:r w:rsidR="00950D21">
        <w:t xml:space="preserve"> tobacco and alcohol use. </w:t>
      </w:r>
      <w:r w:rsidR="00885031">
        <w:t>L</w:t>
      </w:r>
      <w:r w:rsidR="00B907DC" w:rsidRPr="000753CE">
        <w:t xml:space="preserve">ife expectancy </w:t>
      </w:r>
      <w:r w:rsidR="00245BE1">
        <w:t xml:space="preserve">at birth </w:t>
      </w:r>
      <w:r w:rsidR="00B907DC" w:rsidRPr="000753CE">
        <w:t>fell from 6</w:t>
      </w:r>
      <w:r w:rsidR="00B907DC" w:rsidRPr="00FF5A99">
        <w:t xml:space="preserve">9 years in 1989 to 66 years in 1995, </w:t>
      </w:r>
      <w:r w:rsidR="00245BE1">
        <w:t xml:space="preserve">and </w:t>
      </w:r>
      <w:r w:rsidR="004E7A9F" w:rsidRPr="004A3181">
        <w:t xml:space="preserve">the </w:t>
      </w:r>
      <w:r w:rsidR="00B907DC" w:rsidRPr="004E5EAC">
        <w:t xml:space="preserve">health burden from </w:t>
      </w:r>
      <w:r w:rsidR="00C75A51" w:rsidRPr="004E5EAC">
        <w:t>infecti</w:t>
      </w:r>
      <w:r w:rsidR="00C75A51">
        <w:t>ons</w:t>
      </w:r>
      <w:r w:rsidR="00C75A51" w:rsidRPr="004E5EAC">
        <w:t xml:space="preserve"> </w:t>
      </w:r>
      <w:r w:rsidR="00B907DC" w:rsidRPr="004E5EAC">
        <w:t xml:space="preserve">(particularly tuberculosis) and </w:t>
      </w:r>
      <w:r w:rsidR="00C75A51">
        <w:t xml:space="preserve">chronic illness </w:t>
      </w:r>
      <w:r w:rsidR="00B907DC" w:rsidRPr="004E5EAC">
        <w:t>rose</w:t>
      </w:r>
      <w:r w:rsidR="00821C61">
        <w:fldChar w:fldCharType="begin"/>
      </w:r>
      <w:r w:rsidR="00782C0E">
        <w:instrText xml:space="preserve"> ADDIN EN.CITE &lt;EndNote&gt;&lt;Cite&gt;&lt;Author&gt;World Health Organization Regional Office for Europe&lt;/Author&gt;&lt;Year&gt;2013&lt;/Year&gt;&lt;RecNum&gt;96&lt;/RecNum&gt;&lt;DisplayText&gt;&lt;style face="superscript"&gt;5,6&lt;/style&gt;&lt;/DisplayText&gt;&lt;record&gt;&lt;rec-number&gt;96&lt;/rec-number&gt;&lt;foreign-keys&gt;&lt;key app="EN" db-id="afate9rf5sat09edfarpdvt4xt0w0a2zp9fe"&gt;96&lt;/key&gt;&lt;/foreign-keys&gt;&lt;ref-type name="Web Page"&gt;12&lt;/ref-type&gt;&lt;contributors&gt;&lt;authors&gt;&lt;author&gt;World Health Organization Regional Office for Europe,&lt;/author&gt;&lt;/authors&gt;&lt;/contributors&gt;&lt;titles&gt;&lt;title&gt;European health for all database (HFA-DB)&lt;/title&gt;&lt;/titles&gt;&lt;volume&gt;2013&lt;/volume&gt;&lt;number&gt;8/11&lt;/number&gt;&lt;dates&gt;&lt;year&gt;2013&lt;/year&gt;&lt;/dates&gt;&lt;pub-location&gt;Copenhagen, Denmark&lt;/pub-location&gt;&lt;publisher&gt;World Health Organization Regional Office for Europe,&lt;/publisher&gt;&lt;urls&gt;&lt;related-urls&gt;&lt;url&gt;http://data.euro.who.int/hfadb/&lt;/url&gt;&lt;/related-urls&gt;&lt;/urls&gt;&lt;/record&gt;&lt;/Cite&gt;&lt;Cite&gt;&lt;Author&gt;Atun&lt;/Author&gt;&lt;Year&gt;2008&lt;/Year&gt;&lt;RecNum&gt;94&lt;/RecNum&gt;&lt;record&gt;&lt;rec-number&gt;94&lt;/rec-number&gt;&lt;foreign-keys&gt;&lt;key app="EN" db-id="afate9rf5sat09edfarpdvt4xt0w0a2zp9fe"&gt;94&lt;/key&gt;&lt;/foreign-keys&gt;&lt;ref-type name="Journal Article"&gt;17&lt;/ref-type&gt;&lt;contributors&gt;&lt;authors&gt;&lt;author&gt;Atun, Rifat&lt;/author&gt;&lt;author&gt;Richardson, Erica&lt;/author&gt;&lt;author&gt;Shishkin, Sergey&lt;/author&gt;&lt;author&gt;Kacevicius, Gintaras&lt;/author&gt;&lt;author&gt;Ciocanu, Mihai&lt;/author&gt;&lt;author&gt;Sava, Valeriu&lt;/author&gt;&lt;/authors&gt;&lt;/contributors&gt;&lt;titles&gt;&lt;title&gt;Republic of Moldova: Health Sytem Review&lt;/title&gt;&lt;secondary-title&gt;Health Systems in Transition&lt;/secondary-title&gt;&lt;/titles&gt;&lt;periodical&gt;&lt;full-title&gt;Health Systems in Transition&lt;/full-title&gt;&lt;/periodical&gt;&lt;pages&gt;1-140&lt;/pages&gt;&lt;volume&gt;10&lt;/volume&gt;&lt;number&gt;5&lt;/number&gt;&lt;dates&gt;&lt;year&gt;2008&lt;/year&gt;&lt;/dates&gt;&lt;urls&gt;&lt;/urls&gt;&lt;/record&gt;&lt;/Cite&gt;&lt;/EndNote&gt;</w:instrText>
      </w:r>
      <w:r w:rsidR="00821C61">
        <w:fldChar w:fldCharType="separate"/>
      </w:r>
      <w:hyperlink w:anchor="_ENREF_5" w:tooltip="World Health Organization Regional Office for Europe, 2013 #96" w:history="1">
        <w:r w:rsidR="00025DA0" w:rsidRPr="00782C0E">
          <w:rPr>
            <w:noProof/>
            <w:vertAlign w:val="superscript"/>
          </w:rPr>
          <w:t>5</w:t>
        </w:r>
      </w:hyperlink>
      <w:r w:rsidR="00782C0E" w:rsidRPr="00782C0E">
        <w:rPr>
          <w:noProof/>
          <w:vertAlign w:val="superscript"/>
        </w:rPr>
        <w:t>,</w:t>
      </w:r>
      <w:hyperlink w:anchor="_ENREF_6" w:tooltip="Atun, 2008 #94" w:history="1">
        <w:r w:rsidR="00025DA0" w:rsidRPr="00782C0E">
          <w:rPr>
            <w:noProof/>
            <w:vertAlign w:val="superscript"/>
          </w:rPr>
          <w:t>6</w:t>
        </w:r>
      </w:hyperlink>
      <w:r w:rsidR="00821C61">
        <w:fldChar w:fldCharType="end"/>
      </w:r>
      <w:hyperlink w:anchor="_ENREF_3" w:tooltip="Atun, 2008 #94" w:history="1"/>
      <w:r w:rsidR="00A53357">
        <w:t xml:space="preserve">. </w:t>
      </w:r>
      <w:r w:rsidR="00382752">
        <w:t xml:space="preserve">Adverse </w:t>
      </w:r>
      <w:r w:rsidR="00FC42AB">
        <w:t>economic condition</w:t>
      </w:r>
      <w:r w:rsidR="00B12333">
        <w:t xml:space="preserve">s </w:t>
      </w:r>
      <w:r w:rsidR="00382752">
        <w:t>led to</w:t>
      </w:r>
      <w:r w:rsidR="00B12333">
        <w:t xml:space="preserve"> emigration</w:t>
      </w:r>
      <w:r w:rsidR="00052012">
        <w:t>,</w:t>
      </w:r>
      <w:r w:rsidR="00B12333">
        <w:t xml:space="preserve"> with t</w:t>
      </w:r>
      <w:r w:rsidR="00FC42AB" w:rsidRPr="001958FE">
        <w:t xml:space="preserve">he resident population </w:t>
      </w:r>
      <w:r w:rsidR="00805A5B">
        <w:t xml:space="preserve">of Moldova </w:t>
      </w:r>
      <w:r w:rsidR="00B12333">
        <w:t>falling</w:t>
      </w:r>
      <w:r w:rsidR="00FC42AB" w:rsidRPr="0080724F">
        <w:t xml:space="preserve"> from 3.6</w:t>
      </w:r>
      <w:r w:rsidR="00FC42AB">
        <w:t>2</w:t>
      </w:r>
      <w:r w:rsidR="00FC42AB" w:rsidRPr="0080724F">
        <w:t xml:space="preserve"> million in </w:t>
      </w:r>
      <w:r w:rsidR="00FC42AB">
        <w:t>2003</w:t>
      </w:r>
      <w:r w:rsidR="00FC42AB" w:rsidRPr="0080724F">
        <w:t xml:space="preserve"> </w:t>
      </w:r>
      <w:r w:rsidR="00FC42AB">
        <w:t xml:space="preserve">to </w:t>
      </w:r>
      <w:r w:rsidR="00FC42AB" w:rsidRPr="001958FE">
        <w:t>3.56 million in 2013</w:t>
      </w:r>
      <w:hyperlink w:anchor="_ENREF_7" w:tooltip="National Bureau of Statistics of the Republic of Moldova, 2013 #97" w:history="1">
        <w:r w:rsidR="00025DA0">
          <w:fldChar w:fldCharType="begin"/>
        </w:r>
        <w:r w:rsidR="00025DA0">
          <w:instrText xml:space="preserve"> ADDIN EN.CITE &lt;EndNote&gt;&lt;Cite&gt;&lt;Author&gt;National Bureau of Statistics of the Republic of Moldova&lt;/Author&gt;&lt;Year&gt;2013&lt;/Year&gt;&lt;RecNum&gt;97&lt;/RecNum&gt;&lt;DisplayText&gt;&lt;style face="superscript"&gt;7&lt;/style&gt;&lt;/DisplayText&gt;&lt;record&gt;&lt;rec-number&gt;97&lt;/rec-number&gt;&lt;foreign-keys&gt;&lt;key app="EN" db-id="afate9rf5sat09edfarpdvt4xt0w0a2zp9fe"&gt;97&lt;/key&gt;&lt;/foreign-keys&gt;&lt;ref-type name="Web Page"&gt;12&lt;/ref-type&gt;&lt;contributors&gt;&lt;authors&gt;&lt;author&gt;National Bureau of Statistics of the Republic of Moldova,&lt;/author&gt;&lt;/authors&gt;&lt;/contributors&gt;&lt;titles&gt;&lt;title&gt;StatBank&lt;/title&gt;&lt;/titles&gt;&lt;volume&gt;2013&lt;/volume&gt;&lt;number&gt;11/12&lt;/number&gt;&lt;dates&gt;&lt;year&gt;2013&lt;/year&gt;&lt;/dates&gt;&lt;pub-location&gt;Chisinau, Republic of Moldova &lt;/pub-location&gt;&lt;publisher&gt;National Bureau of Statistics of the Republic of Moldova&lt;/publisher&gt;&lt;urls&gt;&lt;related-urls&gt;&lt;url&gt;http://www.statistica.md/&lt;/url&gt;&lt;/related-urls&gt;&lt;/urls&gt;&lt;/record&gt;&lt;/Cite&gt;&lt;/EndNote&gt;</w:instrText>
        </w:r>
        <w:r w:rsidR="00025DA0">
          <w:fldChar w:fldCharType="separate"/>
        </w:r>
        <w:r w:rsidR="00025DA0" w:rsidRPr="00782C0E">
          <w:rPr>
            <w:noProof/>
            <w:vertAlign w:val="superscript"/>
          </w:rPr>
          <w:t>7</w:t>
        </w:r>
        <w:r w:rsidR="00025DA0">
          <w:fldChar w:fldCharType="end"/>
        </w:r>
      </w:hyperlink>
      <w:r w:rsidR="00B12333">
        <w:t xml:space="preserve">. </w:t>
      </w:r>
      <w:r w:rsidR="00FC42AB">
        <w:t>In</w:t>
      </w:r>
      <w:r w:rsidR="00FC42AB" w:rsidRPr="001B1BED">
        <w:t xml:space="preserve"> </w:t>
      </w:r>
      <w:r w:rsidR="00FC42AB">
        <w:t xml:space="preserve">2006, around </w:t>
      </w:r>
      <w:r w:rsidR="00FC42AB" w:rsidRPr="001B1BED">
        <w:t xml:space="preserve">20% </w:t>
      </w:r>
      <w:r w:rsidR="00FC42AB">
        <w:t xml:space="preserve">of the population </w:t>
      </w:r>
      <w:r w:rsidR="00FC42AB" w:rsidRPr="000975EF">
        <w:t>liv</w:t>
      </w:r>
      <w:r w:rsidR="00FC42AB">
        <w:t>ed</w:t>
      </w:r>
      <w:r w:rsidR="00FC42AB" w:rsidRPr="000975EF">
        <w:t xml:space="preserve"> </w:t>
      </w:r>
      <w:r w:rsidR="00B12333">
        <w:t xml:space="preserve">on less than </w:t>
      </w:r>
      <w:r w:rsidR="00FC42AB" w:rsidRPr="00B6682D">
        <w:t>US$2 (</w:t>
      </w:r>
      <w:r w:rsidR="00052012">
        <w:t>purchasing power parity</w:t>
      </w:r>
      <w:r w:rsidR="00FC42AB">
        <w:t>)</w:t>
      </w:r>
      <w:r w:rsidR="00B12333">
        <w:t xml:space="preserve"> a day</w:t>
      </w:r>
      <w:hyperlink w:anchor="_ENREF_8" w:tooltip="The World Bank, 2013 #107" w:history="1">
        <w:r w:rsidR="00025DA0">
          <w:fldChar w:fldCharType="begin"/>
        </w:r>
        <w:r w:rsidR="00025DA0">
          <w:instrText xml:space="preserve"> ADDIN EN.CITE &lt;EndNote&gt;&lt;Cite&gt;&lt;Author&gt;The World Bank&lt;/Author&gt;&lt;Year&gt;2013&lt;/Year&gt;&lt;RecNum&gt;107&lt;/RecNum&gt;&lt;DisplayText&gt;&lt;style face="superscript"&gt;8&lt;/style&gt;&lt;/DisplayText&gt;&lt;record&gt;&lt;rec-number&gt;107&lt;/rec-number&gt;&lt;foreign-keys&gt;&lt;key app="EN" db-id="afate9rf5sat09edfarpdvt4xt0w0a2zp9fe"&gt;107&lt;/key&gt;&lt;/foreign-keys&gt;&lt;ref-type name="Web Page"&gt;12&lt;/ref-type&gt;&lt;contributors&gt;&lt;authors&gt;&lt;author&gt;The World Bank,&lt;/author&gt;&lt;/authors&gt;&lt;/contributors&gt;&lt;titles&gt;&lt;title&gt;Migration &amp;amp; Remittances Data&lt;/title&gt;&lt;/titles&gt;&lt;volume&gt;2013&lt;/volume&gt;&lt;number&gt;8/11&lt;/number&gt;&lt;dates&gt;&lt;year&gt;2013&lt;/year&gt;&lt;/dates&gt;&lt;pub-location&gt;Washington, D.C, USA&lt;/pub-location&gt;&lt;publisher&gt;The World Bank&lt;/publisher&gt;&lt;urls&gt;&lt;related-urls&gt;&lt;url&gt;http://go.worldbank.org/092X1CHHD0&lt;/url&gt;&lt;/related-urls&gt;&lt;/urls&gt;&lt;/record&gt;&lt;/Cite&gt;&lt;/EndNote&gt;</w:instrText>
        </w:r>
        <w:r w:rsidR="00025DA0">
          <w:fldChar w:fldCharType="separate"/>
        </w:r>
        <w:r w:rsidR="00025DA0" w:rsidRPr="00782C0E">
          <w:rPr>
            <w:noProof/>
            <w:vertAlign w:val="superscript"/>
          </w:rPr>
          <w:t>8</w:t>
        </w:r>
        <w:r w:rsidR="00025DA0">
          <w:fldChar w:fldCharType="end"/>
        </w:r>
      </w:hyperlink>
      <w:r w:rsidR="00382752">
        <w:t>,</w:t>
      </w:r>
      <w:r w:rsidR="00A53357">
        <w:t xml:space="preserve"> whilst</w:t>
      </w:r>
      <w:r w:rsidR="0052462E">
        <w:t xml:space="preserve"> </w:t>
      </w:r>
      <w:r w:rsidR="004940FF">
        <w:t>gross domestic product (</w:t>
      </w:r>
      <w:r w:rsidR="00FC42AB" w:rsidRPr="001B1BED">
        <w:t>GD</w:t>
      </w:r>
      <w:r w:rsidR="00B12333">
        <w:t>P</w:t>
      </w:r>
      <w:r w:rsidR="004940FF">
        <w:t>)</w:t>
      </w:r>
      <w:r w:rsidR="00B12333">
        <w:t xml:space="preserve"> per capita </w:t>
      </w:r>
      <w:r w:rsidR="003E0145">
        <w:t>was</w:t>
      </w:r>
      <w:r w:rsidR="00B12333">
        <w:t xml:space="preserve"> $1967 </w:t>
      </w:r>
      <w:r w:rsidR="00FC42AB" w:rsidRPr="001B1BED">
        <w:t xml:space="preserve">in </w:t>
      </w:r>
      <w:r w:rsidR="00A53357">
        <w:t xml:space="preserve">2011 </w:t>
      </w:r>
      <w:r w:rsidR="00382752">
        <w:t>–</w:t>
      </w:r>
      <w:r w:rsidR="003E0145">
        <w:t xml:space="preserve"> the lowest in </w:t>
      </w:r>
      <w:r w:rsidR="00FC42AB" w:rsidRPr="001B1BED">
        <w:t>geographical Europe</w:t>
      </w:r>
      <w:hyperlink w:anchor="_ENREF_5" w:tooltip="World Health Organization Regional Office for Europe, 2013 #96" w:history="1">
        <w:r w:rsidR="00025DA0">
          <w:fldChar w:fldCharType="begin"/>
        </w:r>
        <w:r w:rsidR="00025DA0">
          <w:instrText xml:space="preserve"> ADDIN EN.CITE &lt;EndNote&gt;&lt;Cite&gt;&lt;Author&gt;World Health Organization Regional Office for Europe&lt;/Author&gt;&lt;Year&gt;2013&lt;/Year&gt;&lt;RecNum&gt;96&lt;/RecNum&gt;&lt;DisplayText&gt;&lt;style face="superscript"&gt;5&lt;/style&gt;&lt;/DisplayText&gt;&lt;record&gt;&lt;rec-number&gt;96&lt;/rec-number&gt;&lt;foreign-keys&gt;&lt;key app="EN" db-id="afate9rf5sat09edfarpdvt4xt0w0a2zp9fe"&gt;96&lt;/key&gt;&lt;/foreign-keys&gt;&lt;ref-type name="Web Page"&gt;12&lt;/ref-type&gt;&lt;contributors&gt;&lt;authors&gt;&lt;author&gt;World Health Organization Regional Office for Europe,&lt;/author&gt;&lt;/authors&gt;&lt;/contributors&gt;&lt;titles&gt;&lt;title&gt;European health for all database (HFA-DB)&lt;/title&gt;&lt;/titles&gt;&lt;volume&gt;2013&lt;/volume&gt;&lt;number&gt;8/11&lt;/number&gt;&lt;dates&gt;&lt;year&gt;2013&lt;/year&gt;&lt;/dates&gt;&lt;pub-location&gt;Copenhagen, Denmark&lt;/pub-location&gt;&lt;publisher&gt;World Health Organization Regional Office for Europe,&lt;/publisher&gt;&lt;urls&gt;&lt;related-urls&gt;&lt;url&gt;http://data.euro.who.int/hfadb/&lt;/url&gt;&lt;/related-urls&gt;&lt;/urls&gt;&lt;/record&gt;&lt;/Cite&gt;&lt;/EndNote&gt;</w:instrText>
        </w:r>
        <w:r w:rsidR="00025DA0">
          <w:fldChar w:fldCharType="separate"/>
        </w:r>
        <w:r w:rsidR="00025DA0" w:rsidRPr="00782C0E">
          <w:rPr>
            <w:noProof/>
            <w:vertAlign w:val="superscript"/>
          </w:rPr>
          <w:t>5</w:t>
        </w:r>
        <w:r w:rsidR="00025DA0">
          <w:fldChar w:fldCharType="end"/>
        </w:r>
      </w:hyperlink>
      <w:r w:rsidR="00FC42AB" w:rsidRPr="001B1BED">
        <w:t>.</w:t>
      </w:r>
      <w:r w:rsidR="00FC42AB" w:rsidRPr="000975EF">
        <w:t xml:space="preserve"> </w:t>
      </w:r>
      <w:r w:rsidR="00382752">
        <w:t xml:space="preserve">The </w:t>
      </w:r>
      <w:r w:rsidR="00FC42AB" w:rsidRPr="001958FE">
        <w:t xml:space="preserve">GDP has increased from $1.3 billion </w:t>
      </w:r>
      <w:r w:rsidR="00B12333">
        <w:t>in 2000 to $7.3 billion in 2012</w:t>
      </w:r>
      <w:hyperlink w:anchor="_ENREF_9" w:tooltip="The World Bank, 2013 #106" w:history="1">
        <w:r w:rsidR="00025DA0">
          <w:fldChar w:fldCharType="begin"/>
        </w:r>
        <w:r w:rsidR="00025DA0">
          <w:instrText xml:space="preserve"> ADDIN EN.CITE &lt;EndNote&gt;&lt;Cite&gt;&lt;Author&gt;The World Bank&lt;/Author&gt;&lt;Year&gt;2013&lt;/Year&gt;&lt;RecNum&gt;106&lt;/RecNum&gt;&lt;DisplayText&gt;&lt;style face="superscript"&gt;9&lt;/style&gt;&lt;/DisplayText&gt;&lt;record&gt;&lt;rec-number&gt;106&lt;/rec-number&gt;&lt;foreign-keys&gt;&lt;key app="EN" db-id="afate9rf5sat09edfarpdvt4xt0w0a2zp9fe"&gt;106&lt;/key&gt;&lt;/foreign-keys&gt;&lt;ref-type name="Web Page"&gt;12&lt;/ref-type&gt;&lt;contributors&gt;&lt;authors&gt;&lt;author&gt;The World Bank, &lt;/author&gt;&lt;/authors&gt;&lt;/contributors&gt;&lt;titles&gt;&lt;title&gt;DataBank: Country: Moldova&lt;/title&gt;&lt;/titles&gt;&lt;volume&gt;2013&lt;/volume&gt;&lt;number&gt;07/11&lt;/number&gt;&lt;dates&gt;&lt;year&gt;2013&lt;/year&gt;&lt;/dates&gt;&lt;pub-location&gt;Washington DC, USA&lt;/pub-location&gt;&lt;publisher&gt;The World Bank&lt;/publisher&gt;&lt;urls&gt;&lt;related-urls&gt;&lt;url&gt;http://data.worldbank.org/country/moldova&lt;/url&gt;&lt;/related-urls&gt;&lt;/urls&gt;&lt;/record&gt;&lt;/Cite&gt;&lt;/EndNote&gt;</w:instrText>
        </w:r>
        <w:r w:rsidR="00025DA0">
          <w:fldChar w:fldCharType="separate"/>
        </w:r>
        <w:r w:rsidR="00025DA0" w:rsidRPr="00782C0E">
          <w:rPr>
            <w:noProof/>
            <w:vertAlign w:val="superscript"/>
          </w:rPr>
          <w:t>9</w:t>
        </w:r>
        <w:r w:rsidR="00025DA0">
          <w:fldChar w:fldCharType="end"/>
        </w:r>
      </w:hyperlink>
      <w:r w:rsidR="00FC42AB">
        <w:t xml:space="preserve">, </w:t>
      </w:r>
      <w:r w:rsidR="00B12333">
        <w:t>but</w:t>
      </w:r>
      <w:r w:rsidR="00FC42AB" w:rsidRPr="000753CE">
        <w:t xml:space="preserve"> </w:t>
      </w:r>
      <w:r w:rsidR="00A53357">
        <w:t xml:space="preserve">approximately one </w:t>
      </w:r>
      <w:r w:rsidR="00FC42AB" w:rsidRPr="000753CE">
        <w:t>quarter</w:t>
      </w:r>
      <w:r w:rsidR="005C3644">
        <w:t xml:space="preserve"> </w:t>
      </w:r>
      <w:r w:rsidR="00A53357">
        <w:t>comes from</w:t>
      </w:r>
      <w:r w:rsidR="00FC42AB" w:rsidRPr="00FF5A99">
        <w:t xml:space="preserve"> remittances from </w:t>
      </w:r>
      <w:r w:rsidR="00FC42AB">
        <w:t xml:space="preserve">Moldovan </w:t>
      </w:r>
      <w:r w:rsidR="00FC42AB" w:rsidRPr="00FF5A99">
        <w:t xml:space="preserve">population </w:t>
      </w:r>
      <w:r w:rsidR="003E0145">
        <w:t>working abroad</w:t>
      </w:r>
      <w:hyperlink w:anchor="_ENREF_8" w:tooltip="The World Bank, 2013 #107" w:history="1">
        <w:r w:rsidR="00025DA0">
          <w:fldChar w:fldCharType="begin"/>
        </w:r>
        <w:r w:rsidR="00025DA0">
          <w:instrText xml:space="preserve"> ADDIN EN.CITE &lt;EndNote&gt;&lt;Cite&gt;&lt;Author&gt;The World Bank&lt;/Author&gt;&lt;Year&gt;2013&lt;/Year&gt;&lt;RecNum&gt;107&lt;/RecNum&gt;&lt;DisplayText&gt;&lt;style face="superscript"&gt;8&lt;/style&gt;&lt;/DisplayText&gt;&lt;record&gt;&lt;rec-number&gt;107&lt;/rec-number&gt;&lt;foreign-keys&gt;&lt;key app="EN" db-id="afate9rf5sat09edfarpdvt4xt0w0a2zp9fe"&gt;107&lt;/key&gt;&lt;/foreign-keys&gt;&lt;ref-type name="Web Page"&gt;12&lt;/ref-type&gt;&lt;contributors&gt;&lt;authors&gt;&lt;author&gt;The World Bank,&lt;/author&gt;&lt;/authors&gt;&lt;/contributors&gt;&lt;titles&gt;&lt;title&gt;Migration &amp;amp; Remittances Data&lt;/title&gt;&lt;/titles&gt;&lt;volume&gt;2013&lt;/volume&gt;&lt;number&gt;8/11&lt;/number&gt;&lt;dates&gt;&lt;year&gt;2013&lt;/year&gt;&lt;/dates&gt;&lt;pub-location&gt;Washington, D.C, USA&lt;/pub-location&gt;&lt;publisher&gt;The World Bank&lt;/publisher&gt;&lt;urls&gt;&lt;related-urls&gt;&lt;url&gt;http://go.worldbank.org/092X1CHHD0&lt;/url&gt;&lt;/related-urls&gt;&lt;/urls&gt;&lt;/record&gt;&lt;/Cite&gt;&lt;/EndNote&gt;</w:instrText>
        </w:r>
        <w:r w:rsidR="00025DA0">
          <w:fldChar w:fldCharType="separate"/>
        </w:r>
        <w:r w:rsidR="00025DA0" w:rsidRPr="00782C0E">
          <w:rPr>
            <w:noProof/>
            <w:vertAlign w:val="superscript"/>
          </w:rPr>
          <w:t>8</w:t>
        </w:r>
        <w:r w:rsidR="00025DA0">
          <w:fldChar w:fldCharType="end"/>
        </w:r>
      </w:hyperlink>
      <w:r w:rsidR="00FC42AB" w:rsidRPr="001B1BED">
        <w:t xml:space="preserve">. </w:t>
      </w:r>
    </w:p>
    <w:p w14:paraId="56C73CD0" w14:textId="77777777" w:rsidR="00071AA7" w:rsidRDefault="00071AA7" w:rsidP="002F6643"/>
    <w:p w14:paraId="29150138" w14:textId="251234FE" w:rsidR="002815B2" w:rsidRDefault="00071AA7" w:rsidP="002F6643">
      <w:r>
        <w:t>The</w:t>
      </w:r>
      <w:r w:rsidRPr="000753CE">
        <w:t xml:space="preserve"> </w:t>
      </w:r>
      <w:r w:rsidRPr="00423023">
        <w:t xml:space="preserve">government of </w:t>
      </w:r>
      <w:r w:rsidRPr="00AD5C7A">
        <w:t>Moldova</w:t>
      </w:r>
      <w:r>
        <w:t xml:space="preserve"> </w:t>
      </w:r>
      <w:r w:rsidR="00A53357">
        <w:t xml:space="preserve">has </w:t>
      </w:r>
      <w:r w:rsidR="002815B2">
        <w:t xml:space="preserve">embarked on </w:t>
      </w:r>
      <w:r w:rsidR="002815B2" w:rsidRPr="00FF1583">
        <w:t xml:space="preserve">health system </w:t>
      </w:r>
      <w:r w:rsidR="002815B2">
        <w:t>reforms aimed at</w:t>
      </w:r>
      <w:r w:rsidR="00A53357">
        <w:t xml:space="preserve"> rationalising</w:t>
      </w:r>
      <w:r w:rsidRPr="00BB17C1">
        <w:t xml:space="preserve"> excess </w:t>
      </w:r>
      <w:r>
        <w:t xml:space="preserve">hospital </w:t>
      </w:r>
      <w:r w:rsidRPr="00BB17C1">
        <w:t>capacity</w:t>
      </w:r>
      <w:hyperlink w:anchor="_ENREF_6" w:tooltip="Atun, 2008 #94" w:history="1">
        <w:r w:rsidR="00025DA0">
          <w:fldChar w:fldCharType="begin"/>
        </w:r>
        <w:r w:rsidR="00025DA0">
          <w:instrText xml:space="preserve"> ADDIN EN.CITE &lt;EndNote&gt;&lt;Cite&gt;&lt;Author&gt;Atun&lt;/Author&gt;&lt;Year&gt;2008&lt;/Year&gt;&lt;RecNum&gt;94&lt;/RecNum&gt;&lt;DisplayText&gt;&lt;style face="superscript"&gt;6&lt;/style&gt;&lt;/DisplayText&gt;&lt;record&gt;&lt;rec-number&gt;94&lt;/rec-number&gt;&lt;foreign-keys&gt;&lt;key app="EN" db-id="afate9rf5sat09edfarpdvt4xt0w0a2zp9fe"&gt;94&lt;/key&gt;&lt;/foreign-keys&gt;&lt;ref-type name="Journal Article"&gt;17&lt;/ref-type&gt;&lt;contributors&gt;&lt;authors&gt;&lt;author&gt;Atun, Rifat&lt;/author&gt;&lt;author&gt;Richardson, Erica&lt;/author&gt;&lt;author&gt;Shishkin, Sergey&lt;/author&gt;&lt;author&gt;Kacevicius, Gintaras&lt;/author&gt;&lt;author&gt;Ciocanu, Mihai&lt;/author&gt;&lt;author&gt;Sava, Valeriu&lt;/author&gt;&lt;/authors&gt;&lt;/contributors&gt;&lt;titles&gt;&lt;title&gt;Republic of Moldova: Health Sytem Review&lt;/title&gt;&lt;secondary-title&gt;Health Systems in Transition&lt;/secondary-title&gt;&lt;/titles&gt;&lt;periodical&gt;&lt;full-title&gt;Health Systems in Transition&lt;/full-title&gt;&lt;/periodical&gt;&lt;pages&gt;1-140&lt;/pages&gt;&lt;volume&gt;10&lt;/volume&gt;&lt;number&gt;5&lt;/number&gt;&lt;dates&gt;&lt;year&gt;2008&lt;/year&gt;&lt;/dates&gt;&lt;urls&gt;&lt;/urls&gt;&lt;/record&gt;&lt;/Cite&gt;&lt;/EndNote&gt;</w:instrText>
        </w:r>
        <w:r w:rsidR="00025DA0">
          <w:fldChar w:fldCharType="separate"/>
        </w:r>
        <w:r w:rsidR="00025DA0" w:rsidRPr="00782C0E">
          <w:rPr>
            <w:noProof/>
            <w:vertAlign w:val="superscript"/>
          </w:rPr>
          <w:t>6</w:t>
        </w:r>
        <w:r w:rsidR="00025DA0">
          <w:fldChar w:fldCharType="end"/>
        </w:r>
      </w:hyperlink>
      <w:r w:rsidR="005C3644">
        <w:t>,</w:t>
      </w:r>
      <w:r w:rsidRPr="001B1BED">
        <w:t xml:space="preserve"> </w:t>
      </w:r>
      <w:r w:rsidR="00A53357">
        <w:t>reducing</w:t>
      </w:r>
      <w:r w:rsidRPr="000753CE">
        <w:t xml:space="preserve"> </w:t>
      </w:r>
      <w:r>
        <w:t xml:space="preserve">service </w:t>
      </w:r>
      <w:r w:rsidRPr="000753CE">
        <w:t xml:space="preserve">duplication and </w:t>
      </w:r>
      <w:r w:rsidR="00052012">
        <w:t>develop</w:t>
      </w:r>
      <w:r w:rsidR="00A53357">
        <w:t>ing</w:t>
      </w:r>
      <w:r w:rsidR="00052012" w:rsidRPr="000753CE">
        <w:t xml:space="preserve"> </w:t>
      </w:r>
      <w:r w:rsidRPr="000753CE">
        <w:t>primary health care (PHC)</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rsidR="002815B2">
        <w:t xml:space="preserve"> in order to</w:t>
      </w:r>
      <w:r w:rsidR="002815B2" w:rsidRPr="002213F7">
        <w:t xml:space="preserve"> </w:t>
      </w:r>
      <w:r w:rsidR="002815B2" w:rsidRPr="001A2FE1">
        <w:t>improve</w:t>
      </w:r>
      <w:r w:rsidR="002815B2" w:rsidRPr="00262E98">
        <w:t xml:space="preserve"> health outcomes</w:t>
      </w:r>
      <w:r w:rsidR="002815B2">
        <w:t xml:space="preserve">, provide financial protection and </w:t>
      </w:r>
      <w:r w:rsidR="002815B2" w:rsidRPr="00C77C2A">
        <w:t xml:space="preserve">achieve </w:t>
      </w:r>
      <w:r w:rsidR="002815B2" w:rsidRPr="002213F7">
        <w:t>financial sustainability</w:t>
      </w:r>
      <w:r w:rsidR="002815B2">
        <w:t>.</w:t>
      </w:r>
      <w:r>
        <w:t xml:space="preserve"> </w:t>
      </w:r>
      <w:r w:rsidR="005D6038" w:rsidRPr="00CA37AD">
        <w:rPr>
          <w:i/>
        </w:rPr>
        <w:t>The Health Sector Strategy for 1997–2003</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rsidR="005C3644">
        <w:t xml:space="preserve"> </w:t>
      </w:r>
      <w:r w:rsidR="00C70927">
        <w:t xml:space="preserve">set out </w:t>
      </w:r>
      <w:r w:rsidR="00056604">
        <w:t xml:space="preserve">plans </w:t>
      </w:r>
      <w:r w:rsidR="00C70927">
        <w:t xml:space="preserve">to develop </w:t>
      </w:r>
      <w:r w:rsidR="009E400B" w:rsidRPr="000753CE">
        <w:t>an</w:t>
      </w:r>
      <w:r w:rsidR="005B66A6" w:rsidRPr="00FF5A99">
        <w:t xml:space="preserve"> efficient, effective, responsive and equitable </w:t>
      </w:r>
      <w:r w:rsidR="009E400B" w:rsidRPr="004E5EAC">
        <w:t>health system</w:t>
      </w:r>
      <w:hyperlink w:anchor="_ENREF_10" w:tooltip="Atun, 2004 #25" w:history="1">
        <w:r w:rsidR="00025DA0">
          <w:fldChar w:fldCharType="begin">
            <w:fldData xml:space="preserve">PEVuZE5vdGU+PENpdGU+PEF1dGhvcj5BdHVuPC9BdXRob3I+PFllYXI+MjAwNDwvWWVhcj48UmVj
TnVtPjI1PC9SZWNOdW0+PERpc3BsYXlUZXh0PjxzdHlsZSBmYWNlPSJzdXBlcnNjcmlwdCI+MTAt
MTI8L3N0eWxlPjwvRGlzcGxheVRleHQ+PHJlY29yZD48cmVjLW51bWJlcj4yNTwvcmVjLW51bWJl
cj48Zm9yZWlnbi1rZXlzPjxrZXkgYXBwPSJFTiIgZGItaWQ9ImFmYXRlOXJmNXNhdDA5ZWRmYXJw
ZHZ0NHh0MHcwYTJ6cDlmZSI+MjU8L2tleT48L2ZvcmVpZ24ta2V5cz48cmVmLXR5cGUgbmFtZT0i
U2VyaWFsIj41NzwvcmVmLXR5cGU+PGNvbnRyaWJ1dG9ycz48YXV0aG9ycz48YXV0aG9yPkF0dW4s
IFJpZmF0PC9hdXRob3I+PC9hdXRob3JzPjwvY29udHJpYnV0b3JzPjx0aXRsZXM+PHRpdGxlPldo
YXQgYXJlIHRoZSBhZHZhbnRhZ2VzIGFuZCBkaXNhZHZhbnRhZ2VzIG9mIHJlc3RydWN0dXJpbmcg
YSBoZWFsdGggY2FyZSBzeXN0ZW0gdG8gYmUgbW9yZSBmb2N1c2VkIG9uIHByaW1hcnkgY2FyZSBz
ZXJ2aWNlczwvdGl0bGU+PC90aXRsZXM+PHBhZ2VzPjEtMTg8L3BhZ2VzPjxkYXRlcz48eWVhcj4y
MDA0PC95ZWFyPjwvZGF0ZXM+PHB1Ymxpc2hlcj5Db3BlbmhhZ2VuLCBXSE8gUmVnaW9uYWwgT2Zm
aWNlIGZvciBFdXJvcGU8L3B1Ymxpc2hlcj48dXJscz48L3VybHM+PC9yZWNvcmQ+PC9DaXRlPjxD
aXRlPjxBdXRob3I+U3RhcmZpZWxkPC9BdXRob3I+PFllYXI+MTk5NDwvWWVhcj48UmVjTnVtPjEw
MDwvUmVjTnVtPjxyZWNvcmQ+PHJlYy1udW1iZXI+MTAwPC9yZWMtbnVtYmVyPjxmb3JlaWduLWtl
eXM+PGtleSBhcHA9IkVOIiBkYi1pZD0iYWZhdGU5cmY1c2F0MDllZGZhcnBkdnQ0eHQwdzBhMnpw
OWZlIj4xMDA8L2tleT48L2ZvcmVpZ24ta2V5cz48cmVmLXR5cGUgbmFtZT0iSm91cm5hbCBBcnRp
Y2xlIj4xNzwvcmVmLXR5cGU+PGNvbnRyaWJ1dG9ycz48YXV0aG9ycz48YXV0aG9yPlN0YXJmaWVs
ZCwgQmFyYmFyYTwvYXV0aG9yPjwvYXV0aG9ycz48L2NvbnRyaWJ1dG9ycz48dGl0bGVzPjx0aXRs
ZT5JcyBwcmltYXJ5IGNhcmUgZXNzZW50aWFsPzwvdGl0bGU+PHNlY29uZGFyeS10aXRsZT5UaGUg
TGFuY2V0PC9zZWNvbmRhcnktdGl0bGU+PC90aXRsZXM+PHBlcmlvZGljYWw+PGZ1bGwtdGl0bGU+
VGhlIExhbmNldDwvZnVsbC10aXRsZT48L3BlcmlvZGljYWw+PHBhZ2VzPjExMjktMTEzMzwvcGFn
ZXM+PHZvbHVtZT4zNDQ8L3ZvbHVtZT48bnVtYmVyPjg5MzA8L251bWJlcj48ZGF0ZXM+PHllYXI+
MTk5NDwveWVhcj48L2RhdGVzPjxwdWJsaXNoZXI+V0hPLCBHZW5ldmEmI3hEO0FtZXJpY2FuIE1l
ZGljYWwgQXNzb2NpYXRpb24sIENoaWNhZ28mI3hEO1VTIERlcGFydG1lbnQgb2YgSGVhbHRoLCBF
ZHVjYXRpb24sIGFuZCBXZWxmYXJlLCBQdWJsaWMgSGVhbHRoIFNlcnZpY2UsIEhlYWx0aCBSZXNv
dXJjZXMgQWRtaW5pc3RyYXRpb24sIFJvY2t2aWxsZSwgTUQmI3hEO0hlYWx0aCBSZXNvdXJjZXMg
YW5kIFNlcnZpY2VzIEFkbWluaXN0cmF0aW9uLCBSb2NrdmlsbGUsIE1EJiN4RDtOYXRpb25hbCBB
Y2FkZW15IG9mIFNjaWVuY2VzLCBXYXNoaW5ndG9uLCBEQyYjeEQ7T3hmb3JkIFVuaXZlcnNpdHkg
UHJlc3MsIE5ldyBZb3JrJiN4RDtIZWFsdGggUmVzb3VyY2VzIEFkbWluaXN0cmF0aW9uLCBXYXNo
aW5ndG9uIERDJiN4RDtIZWFsdGggQWRtaW5pc3RyYXRpb24gUHJlc3MgUGVyc3BlY3RpdmVzLCBB
bm4gQXJib3ImI3hEO1VTIEdvdmVybm1lbnQgUHJpbnRpbmcgT2ZmaWNlLCBXYXNoaW5ndG9uIERD
JiN4RDtSYW5kIENvcnBvcmF0aW9uLCBTYW50YSBNb25pY2EgQ0E8L3B1Ymxpc2hlcj48aXNibj4w
MTQwLTY3MzY8L2lzYm4+PHVybHM+PHJlbGF0ZWQtdXJscz48dXJsPmh0dHA6Ly9saW5raW5naHVi
LmVsc2V2aWVyLmNvbS9yZXRyaWV2ZS9waWkvUzAxNDA2NzM2OTQ5MDYzNDM8L3VybD48L3JlbGF0
ZWQtdXJscz48L3VybHM+PC9yZWNvcmQ+PC9DaXRlPjxDaXRlPjxBdXRob3I+U3RhcmZpZWxkPC9B
dXRob3I+PFllYXI+MjAwNTwvWWVhcj48UmVjTnVtPjI3PC9SZWNOdW0+PHJlY29yZD48cmVjLW51
bWJlcj4yNzwvcmVjLW51bWJlcj48Zm9yZWlnbi1rZXlzPjxrZXkgYXBwPSJFTiIgZGItaWQ9ImFm
YXRlOXJmNXNhdDA5ZWRmYXJwZHZ0NHh0MHcwYTJ6cDlmZSI+Mjc8L2tleT48L2ZvcmVpZ24ta2V5
cz48cmVmLXR5cGUgbmFtZT0iSm91cm5hbCBBcnRpY2xlIj4xNzwvcmVmLXR5cGU+PGNvbnRyaWJ1
dG9ycz48YXV0aG9ycz48YXV0aG9yPlN0YXJmaWVsZCwgQmFyYmFyYTwvYXV0aG9yPjxhdXRob3I+
U2hpLCBMZWl5dTwvYXV0aG9yPjxhdXRob3I+TWFjaW5rbywgSmFtZXM8L2F1dGhvcj48L2F1dGhv
cnM+PC9jb250cmlidXRvcnM+PHRpdGxlcz48dGl0bGU+Q29udHJpYnV0aW9uIG9mIHByaW1hcnkg
Y2FyZSB0byBoZWFsdGggc3lzdGVtcyBhbmQgaGVhbHRoPC90aXRsZT48c2Vjb25kYXJ5LXRpdGxl
Pk1pbGJhbmsgcXVhcnRlcmx5PC9zZWNvbmRhcnktdGl0bGU+PC90aXRsZXM+PHBlcmlvZGljYWw+
PGZ1bGwtdGl0bGU+TWlsYmFuayBxdWFydGVybHk8L2Z1bGwtdGl0bGU+PC9wZXJpb2RpY2FsPjxw
YWdlcz40NTctNTAyPC9wYWdlcz48dm9sdW1lPjgzPC92b2x1bWU+PG51bWJlcj4zPC9udW1iZXI+
PGRhdGVzPjx5ZWFyPjIwMDU8L3llYXI+PC9kYXRlcz48aXNibj4xNDY4LTAwMDk8L2lzYm4+PHVy
bHM+PC91cmxzPjwvcmVjb3JkPjwvQ2l0ZT48L0VuZE5vdGU+AG==
</w:fldData>
          </w:fldChar>
        </w:r>
        <w:r w:rsidR="00025DA0">
          <w:instrText xml:space="preserve"> ADDIN EN.CITE </w:instrText>
        </w:r>
        <w:r w:rsidR="00025DA0">
          <w:fldChar w:fldCharType="begin">
            <w:fldData xml:space="preserve">PEVuZE5vdGU+PENpdGU+PEF1dGhvcj5BdHVuPC9BdXRob3I+PFllYXI+MjAwNDwvWWVhcj48UmVj
TnVtPjI1PC9SZWNOdW0+PERpc3BsYXlUZXh0PjxzdHlsZSBmYWNlPSJzdXBlcnNjcmlwdCI+MTAt
MTI8L3N0eWxlPjwvRGlzcGxheVRleHQ+PHJlY29yZD48cmVjLW51bWJlcj4yNTwvcmVjLW51bWJl
cj48Zm9yZWlnbi1rZXlzPjxrZXkgYXBwPSJFTiIgZGItaWQ9ImFmYXRlOXJmNXNhdDA5ZWRmYXJw
ZHZ0NHh0MHcwYTJ6cDlmZSI+MjU8L2tleT48L2ZvcmVpZ24ta2V5cz48cmVmLXR5cGUgbmFtZT0i
U2VyaWFsIj41NzwvcmVmLXR5cGU+PGNvbnRyaWJ1dG9ycz48YXV0aG9ycz48YXV0aG9yPkF0dW4s
IFJpZmF0PC9hdXRob3I+PC9hdXRob3JzPjwvY29udHJpYnV0b3JzPjx0aXRsZXM+PHRpdGxlPldo
YXQgYXJlIHRoZSBhZHZhbnRhZ2VzIGFuZCBkaXNhZHZhbnRhZ2VzIG9mIHJlc3RydWN0dXJpbmcg
YSBoZWFsdGggY2FyZSBzeXN0ZW0gdG8gYmUgbW9yZSBmb2N1c2VkIG9uIHByaW1hcnkgY2FyZSBz
ZXJ2aWNlczwvdGl0bGU+PC90aXRsZXM+PHBhZ2VzPjEtMTg8L3BhZ2VzPjxkYXRlcz48eWVhcj4y
MDA0PC95ZWFyPjwvZGF0ZXM+PHB1Ymxpc2hlcj5Db3BlbmhhZ2VuLCBXSE8gUmVnaW9uYWwgT2Zm
aWNlIGZvciBFdXJvcGU8L3B1Ymxpc2hlcj48dXJscz48L3VybHM+PC9yZWNvcmQ+PC9DaXRlPjxD
aXRlPjxBdXRob3I+U3RhcmZpZWxkPC9BdXRob3I+PFllYXI+MTk5NDwvWWVhcj48UmVjTnVtPjEw
MDwvUmVjTnVtPjxyZWNvcmQ+PHJlYy1udW1iZXI+MTAwPC9yZWMtbnVtYmVyPjxmb3JlaWduLWtl
eXM+PGtleSBhcHA9IkVOIiBkYi1pZD0iYWZhdGU5cmY1c2F0MDllZGZhcnBkdnQ0eHQwdzBhMnpw
OWZlIj4xMDA8L2tleT48L2ZvcmVpZ24ta2V5cz48cmVmLXR5cGUgbmFtZT0iSm91cm5hbCBBcnRp
Y2xlIj4xNzwvcmVmLXR5cGU+PGNvbnRyaWJ1dG9ycz48YXV0aG9ycz48YXV0aG9yPlN0YXJmaWVs
ZCwgQmFyYmFyYTwvYXV0aG9yPjwvYXV0aG9ycz48L2NvbnRyaWJ1dG9ycz48dGl0bGVzPjx0aXRs
ZT5JcyBwcmltYXJ5IGNhcmUgZXNzZW50aWFsPzwvdGl0bGU+PHNlY29uZGFyeS10aXRsZT5UaGUg
TGFuY2V0PC9zZWNvbmRhcnktdGl0bGU+PC90aXRsZXM+PHBlcmlvZGljYWw+PGZ1bGwtdGl0bGU+
VGhlIExhbmNldDwvZnVsbC10aXRsZT48L3BlcmlvZGljYWw+PHBhZ2VzPjExMjktMTEzMzwvcGFn
ZXM+PHZvbHVtZT4zNDQ8L3ZvbHVtZT48bnVtYmVyPjg5MzA8L251bWJlcj48ZGF0ZXM+PHllYXI+
MTk5NDwveWVhcj48L2RhdGVzPjxwdWJsaXNoZXI+V0hPLCBHZW5ldmEmI3hEO0FtZXJpY2FuIE1l
ZGljYWwgQXNzb2NpYXRpb24sIENoaWNhZ28mI3hEO1VTIERlcGFydG1lbnQgb2YgSGVhbHRoLCBF
ZHVjYXRpb24sIGFuZCBXZWxmYXJlLCBQdWJsaWMgSGVhbHRoIFNlcnZpY2UsIEhlYWx0aCBSZXNv
dXJjZXMgQWRtaW5pc3RyYXRpb24sIFJvY2t2aWxsZSwgTUQmI3hEO0hlYWx0aCBSZXNvdXJjZXMg
YW5kIFNlcnZpY2VzIEFkbWluaXN0cmF0aW9uLCBSb2NrdmlsbGUsIE1EJiN4RDtOYXRpb25hbCBB
Y2FkZW15IG9mIFNjaWVuY2VzLCBXYXNoaW5ndG9uLCBEQyYjeEQ7T3hmb3JkIFVuaXZlcnNpdHkg
UHJlc3MsIE5ldyBZb3JrJiN4RDtIZWFsdGggUmVzb3VyY2VzIEFkbWluaXN0cmF0aW9uLCBXYXNo
aW5ndG9uIERDJiN4RDtIZWFsdGggQWRtaW5pc3RyYXRpb24gUHJlc3MgUGVyc3BlY3RpdmVzLCBB
bm4gQXJib3ImI3hEO1VTIEdvdmVybm1lbnQgUHJpbnRpbmcgT2ZmaWNlLCBXYXNoaW5ndG9uIERD
JiN4RDtSYW5kIENvcnBvcmF0aW9uLCBTYW50YSBNb25pY2EgQ0E8L3B1Ymxpc2hlcj48aXNibj4w
MTQwLTY3MzY8L2lzYm4+PHVybHM+PHJlbGF0ZWQtdXJscz48dXJsPmh0dHA6Ly9saW5raW5naHVi
LmVsc2V2aWVyLmNvbS9yZXRyaWV2ZS9waWkvUzAxNDA2NzM2OTQ5MDYzNDM8L3VybD48L3JlbGF0
ZWQtdXJscz48L3VybHM+PC9yZWNvcmQ+PC9DaXRlPjxDaXRlPjxBdXRob3I+U3RhcmZpZWxkPC9B
dXRob3I+PFllYXI+MjAwNTwvWWVhcj48UmVjTnVtPjI3PC9SZWNOdW0+PHJlY29yZD48cmVjLW51
bWJlcj4yNzwvcmVjLW51bWJlcj48Zm9yZWlnbi1rZXlzPjxrZXkgYXBwPSJFTiIgZGItaWQ9ImFm
YXRlOXJmNXNhdDA5ZWRmYXJwZHZ0NHh0MHcwYTJ6cDlmZSI+Mjc8L2tleT48L2ZvcmVpZ24ta2V5
cz48cmVmLXR5cGUgbmFtZT0iSm91cm5hbCBBcnRpY2xlIj4xNzwvcmVmLXR5cGU+PGNvbnRyaWJ1
dG9ycz48YXV0aG9ycz48YXV0aG9yPlN0YXJmaWVsZCwgQmFyYmFyYTwvYXV0aG9yPjxhdXRob3I+
U2hpLCBMZWl5dTwvYXV0aG9yPjxhdXRob3I+TWFjaW5rbywgSmFtZXM8L2F1dGhvcj48L2F1dGhv
cnM+PC9jb250cmlidXRvcnM+PHRpdGxlcz48dGl0bGU+Q29udHJpYnV0aW9uIG9mIHByaW1hcnkg
Y2FyZSB0byBoZWFsdGggc3lzdGVtcyBhbmQgaGVhbHRoPC90aXRsZT48c2Vjb25kYXJ5LXRpdGxl
Pk1pbGJhbmsgcXVhcnRlcmx5PC9zZWNvbmRhcnktdGl0bGU+PC90aXRsZXM+PHBlcmlvZGljYWw+
PGZ1bGwtdGl0bGU+TWlsYmFuayBxdWFydGVybHk8L2Z1bGwtdGl0bGU+PC9wZXJpb2RpY2FsPjxw
YWdlcz40NTctNTAyPC9wYWdlcz48dm9sdW1lPjgzPC92b2x1bWU+PG51bWJlcj4zPC9udW1iZXI+
PGRhdGVzPjx5ZWFyPjIwMDU8L3llYXI+PC9kYXRlcz48aXNibj4xNDY4LTAwMDk8L2lzYm4+PHVy
bHM+PC91cmxzPjwvcmVjb3JkPjwvQ2l0ZT48L0VuZE5vdGU+AG==
</w:fldData>
          </w:fldChar>
        </w:r>
        <w:r w:rsidR="00025DA0">
          <w:instrText xml:space="preserve"> ADDIN EN.CITE.DATA </w:instrText>
        </w:r>
        <w:r w:rsidR="00025DA0">
          <w:fldChar w:fldCharType="end"/>
        </w:r>
        <w:r w:rsidR="00025DA0">
          <w:fldChar w:fldCharType="separate"/>
        </w:r>
        <w:r w:rsidR="00025DA0" w:rsidRPr="00782C0E">
          <w:rPr>
            <w:noProof/>
            <w:vertAlign w:val="superscript"/>
          </w:rPr>
          <w:t>10-12</w:t>
        </w:r>
        <w:r w:rsidR="00025DA0">
          <w:fldChar w:fldCharType="end"/>
        </w:r>
      </w:hyperlink>
      <w:r w:rsidR="005B66A6" w:rsidRPr="001B1BED">
        <w:t>.</w:t>
      </w:r>
      <w:r w:rsidR="004E7A9F" w:rsidRPr="000975EF">
        <w:t xml:space="preserve"> </w:t>
      </w:r>
      <w:r w:rsidR="005C3644">
        <w:t xml:space="preserve">Following the 1994 </w:t>
      </w:r>
      <w:r w:rsidR="002815B2">
        <w:t xml:space="preserve">Constitution, </w:t>
      </w:r>
      <w:r w:rsidR="005C3644">
        <w:t>which guaranteed a right to h</w:t>
      </w:r>
      <w:r w:rsidR="00805A5B">
        <w:t>ealth,</w:t>
      </w:r>
      <w:r w:rsidR="005C3644">
        <w:t xml:space="preserve"> a</w:t>
      </w:r>
      <w:r w:rsidR="0014058F" w:rsidRPr="004E5EAC">
        <w:t xml:space="preserve"> </w:t>
      </w:r>
      <w:r w:rsidR="00C70927">
        <w:t>state</w:t>
      </w:r>
      <w:r w:rsidR="005C3644">
        <w:t>-</w:t>
      </w:r>
      <w:r w:rsidR="00C70927">
        <w:t>funded free health service</w:t>
      </w:r>
      <w:r w:rsidR="00C70927" w:rsidRPr="00413258">
        <w:t xml:space="preserve"> </w:t>
      </w:r>
      <w:r w:rsidR="004C0F70" w:rsidRPr="00413258">
        <w:t>package</w:t>
      </w:r>
      <w:r w:rsidR="00C70927">
        <w:t xml:space="preserve"> </w:t>
      </w:r>
      <w:r w:rsidR="004C0F70" w:rsidRPr="00413258">
        <w:t>was</w:t>
      </w:r>
      <w:r w:rsidR="00FA3888" w:rsidRPr="00632059">
        <w:t xml:space="preserve"> introduced</w:t>
      </w:r>
      <w:r w:rsidR="00D00888" w:rsidRPr="00914867">
        <w:t xml:space="preserve"> </w:t>
      </w:r>
      <w:r w:rsidR="0014058F" w:rsidRPr="00FA0685">
        <w:t>in 1999</w:t>
      </w:r>
      <w:r w:rsidR="00821C61">
        <w:fldChar w:fldCharType="begin"/>
      </w:r>
      <w:r w:rsidR="00782C0E">
        <w:instrText xml:space="preserve"> ADDIN EN.CITE &lt;EndNote&gt;&lt;Cite&gt;&lt;Author&gt;Turcanu&lt;/Author&gt;&lt;Year&gt;2012&lt;/Year&gt;&lt;RecNum&gt;95&lt;/RecNum&gt;&lt;DisplayText&gt;&lt;style face="superscript"&gt;4,6&lt;/style&gt;&lt;/DisplayText&gt;&lt;record&gt;&lt;rec-number&gt;95&lt;/rec-number&gt;&lt;foreign-keys&gt;&lt;key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Cite&gt;&lt;Author&gt;Atun&lt;/Author&gt;&lt;Year&gt;2008&lt;/Year&gt;&lt;RecNum&gt;94&lt;/RecNum&gt;&lt;record&gt;&lt;rec-number&gt;94&lt;/rec-number&gt;&lt;foreign-keys&gt;&lt;key app="EN" db-id="afate9rf5sat09edfarpdvt4xt0w0a2zp9fe"&gt;94&lt;/key&gt;&lt;/foreign-keys&gt;&lt;ref-type name="Journal Article"&gt;17&lt;/ref-type&gt;&lt;contributors&gt;&lt;authors&gt;&lt;author&gt;Atun, Rifat&lt;/author&gt;&lt;author&gt;Richardson, Erica&lt;/author&gt;&lt;author&gt;Shishkin, Sergey&lt;/author&gt;&lt;author&gt;Kacevicius, Gintaras&lt;/author&gt;&lt;author&gt;Ciocanu, Mihai&lt;/author&gt;&lt;author&gt;Sava, Valeriu&lt;/author&gt;&lt;/authors&gt;&lt;/contributors&gt;&lt;titles&gt;&lt;title&gt;Republic of Moldova: Health Sytem Review&lt;/title&gt;&lt;secondary-title&gt;Health Systems in Transition&lt;/secondary-title&gt;&lt;/titles&gt;&lt;periodical&gt;&lt;full-title&gt;Health Systems in Transition&lt;/full-title&gt;&lt;/periodical&gt;&lt;pages&gt;1-140&lt;/pages&gt;&lt;volume&gt;10&lt;/volume&gt;&lt;number&gt;5&lt;/number&gt;&lt;dates&gt;&lt;year&gt;2008&lt;/year&gt;&lt;/dates&gt;&lt;urls&gt;&lt;/urls&gt;&lt;/record&gt;&lt;/Cite&gt;&lt;/EndNote&gt;</w:instrText>
      </w:r>
      <w:r w:rsidR="00821C61">
        <w:fldChar w:fldCharType="separate"/>
      </w:r>
      <w:hyperlink w:anchor="_ENREF_4" w:tooltip="Turcanu, 2012 #95" w:history="1">
        <w:r w:rsidR="00025DA0" w:rsidRPr="00782C0E">
          <w:rPr>
            <w:noProof/>
            <w:vertAlign w:val="superscript"/>
          </w:rPr>
          <w:t>4</w:t>
        </w:r>
      </w:hyperlink>
      <w:r w:rsidR="00782C0E" w:rsidRPr="00782C0E">
        <w:rPr>
          <w:noProof/>
          <w:vertAlign w:val="superscript"/>
        </w:rPr>
        <w:t>,</w:t>
      </w:r>
      <w:hyperlink w:anchor="_ENREF_6" w:tooltip="Atun, 2008 #94" w:history="1">
        <w:r w:rsidR="00025DA0" w:rsidRPr="00782C0E">
          <w:rPr>
            <w:noProof/>
            <w:vertAlign w:val="superscript"/>
          </w:rPr>
          <w:t>6</w:t>
        </w:r>
      </w:hyperlink>
      <w:r w:rsidR="00821C61">
        <w:fldChar w:fldCharType="end"/>
      </w:r>
      <w:r w:rsidR="005C3644">
        <w:t>,</w:t>
      </w:r>
      <w:hyperlink w:anchor="_ENREF_3" w:tooltip="Atun, 2008 #94" w:history="1"/>
      <w:r w:rsidR="00637A87">
        <w:t xml:space="preserve"> followed by t</w:t>
      </w:r>
      <w:r w:rsidR="00C70927">
        <w:t xml:space="preserve">he </w:t>
      </w:r>
      <w:r w:rsidR="00B907DC" w:rsidRPr="004A3181">
        <w:t>L</w:t>
      </w:r>
      <w:r w:rsidR="008E0A7E" w:rsidRPr="00413258">
        <w:t>aw on Mandatory Health Insurance (MHI) in 2001</w:t>
      </w:r>
      <w:r w:rsidR="00B907DC" w:rsidRPr="00632059">
        <w:t>,</w:t>
      </w:r>
      <w:r w:rsidR="00B907DC" w:rsidRPr="00914867">
        <w:t xml:space="preserve"> </w:t>
      </w:r>
      <w:r w:rsidR="00637A87">
        <w:t>and</w:t>
      </w:r>
      <w:r w:rsidR="00B907DC" w:rsidRPr="00914867">
        <w:t xml:space="preserve"> </w:t>
      </w:r>
      <w:r w:rsidR="00B907DC" w:rsidRPr="001958FE">
        <w:t>t</w:t>
      </w:r>
      <w:r w:rsidR="008E0A7E" w:rsidRPr="00EF6F69">
        <w:t xml:space="preserve">he </w:t>
      </w:r>
      <w:r w:rsidR="00245BE1">
        <w:t xml:space="preserve">establishment of the </w:t>
      </w:r>
      <w:r w:rsidR="008E0A7E" w:rsidRPr="00EF6F69">
        <w:t xml:space="preserve">National Health Insurance Company (CNAM) </w:t>
      </w:r>
      <w:r w:rsidR="005C3644">
        <w:t>in</w:t>
      </w:r>
      <w:r w:rsidR="008E0A7E" w:rsidRPr="00AD5C7A">
        <w:t xml:space="preserve"> 2004.</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rsidR="00337B1C" w:rsidRPr="001B1BED">
        <w:t xml:space="preserve"> </w:t>
      </w:r>
    </w:p>
    <w:p w14:paraId="16F2FD06" w14:textId="77777777" w:rsidR="002815B2" w:rsidRDefault="002815B2" w:rsidP="002F6643"/>
    <w:p w14:paraId="3474DDD7" w14:textId="12B87CB1" w:rsidR="00FA3888" w:rsidRDefault="00E62881" w:rsidP="002F6643">
      <w:r>
        <w:t xml:space="preserve">The MHI is compulsory for Moldovan citizens – </w:t>
      </w:r>
      <w:r w:rsidR="002815B2">
        <w:t xml:space="preserve">and </w:t>
      </w:r>
      <w:r>
        <w:t>aim</w:t>
      </w:r>
      <w:r w:rsidR="002815B2">
        <w:t>s to</w:t>
      </w:r>
      <w:r>
        <w:t xml:space="preserve"> </w:t>
      </w:r>
      <w:r w:rsidR="002815B2">
        <w:t xml:space="preserve">provide </w:t>
      </w:r>
      <w:r w:rsidR="003F6881">
        <w:t xml:space="preserve">complete insurance coverage </w:t>
      </w:r>
      <w:r w:rsidR="002815B2">
        <w:t>–</w:t>
      </w:r>
      <w:r>
        <w:t xml:space="preserve"> but in </w:t>
      </w:r>
      <w:r w:rsidR="003F6881">
        <w:t>reality</w:t>
      </w:r>
      <w:r>
        <w:t xml:space="preserve"> individuals may</w:t>
      </w:r>
      <w:r w:rsidR="003F6881">
        <w:t xml:space="preserve"> </w:t>
      </w:r>
      <w:r>
        <w:t xml:space="preserve">chose their own insurance or not </w:t>
      </w:r>
      <w:r w:rsidR="003F6881">
        <w:t>to purchase</w:t>
      </w:r>
      <w:r>
        <w:t xml:space="preserve"> any</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t xml:space="preserve">. </w:t>
      </w:r>
      <w:r w:rsidR="003F6881">
        <w:t>Certain individuals (non-working groups including students, children, pensioners, disabled etc.) receive insurance coverage without payment covered by the government</w:t>
      </w:r>
      <w:r w:rsidR="00DF269C">
        <w:t xml:space="preserve"> according to equalized groups</w:t>
      </w:r>
      <w:r w:rsidR="003F6881">
        <w:t>.</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rsidR="003F6881">
        <w:t xml:space="preserve"> MHI coverage entitles individuals to a benefits package of covered services – including </w:t>
      </w:r>
      <w:r w:rsidR="002815B2">
        <w:t xml:space="preserve">selected </w:t>
      </w:r>
      <w:r w:rsidR="003F6881">
        <w:t xml:space="preserve">primary and secondary care services, emergency care, </w:t>
      </w:r>
      <w:r w:rsidR="002815B2">
        <w:t xml:space="preserve">and </w:t>
      </w:r>
      <w:r w:rsidR="003F6881">
        <w:t>dental</w:t>
      </w:r>
      <w:r w:rsidR="002815B2">
        <w:t xml:space="preserve"> services</w:t>
      </w:r>
      <w:r w:rsidR="00B314AA">
        <w:t xml:space="preserve">. In 2009, </w:t>
      </w:r>
      <w:r w:rsidR="002815B2">
        <w:t xml:space="preserve">primary </w:t>
      </w:r>
      <w:r w:rsidR="00B314AA">
        <w:t>care services were extended, free of charge, to all irrespective of insurance status, and in 2012, services covered by the benefit package were further extended</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rsidR="00B314AA">
        <w:t>.</w:t>
      </w:r>
      <w:r w:rsidR="003F6881">
        <w:t xml:space="preserve"> None-the-less, many medicines are not covered and </w:t>
      </w:r>
      <w:r w:rsidR="002815B2">
        <w:t xml:space="preserve">patients incur </w:t>
      </w:r>
      <w:r w:rsidR="003F6881">
        <w:t xml:space="preserve">informal payments </w:t>
      </w:r>
      <w:r w:rsidR="002815B2">
        <w:t>due to</w:t>
      </w:r>
      <w:r w:rsidR="003F6881">
        <w:t xml:space="preserve"> limited financing </w:t>
      </w:r>
      <w:r w:rsidR="002815B2">
        <w:t xml:space="preserve">of </w:t>
      </w:r>
      <w:r w:rsidR="003F6881">
        <w:t>the benefit package.</w:t>
      </w:r>
      <w:r w:rsidR="00821C61">
        <w:fldChar w:fldCharType="begin">
          <w:fldData xml:space="preserve">PEVuZE5vdGU+PENpdGU+PEF1dGhvcj5UdXJjYW51PC9BdXRob3I+PFllYXI+MjAxMjwvWWVhcj48
UmVjTnVtPjk1PC9SZWNOdW0+PERpc3BsYXlUZXh0PjxzdHlsZSBmYWNlPSJzdXBlcnNjcmlwdCI+
NCwxMzwvc3R5bGU+PC9EaXNwbGF5VGV4dD48cmVjb3JkPjxyZWMtbnVtYmVyPjk1PC9yZWMtbnVt
YmVyPjxmb3JlaWduLWtleXM+PGtleSBhcHA9IkVOIiBkYi1pZD0iYWZhdGU5cmY1c2F0MDllZGZh
cnBkdnQ0eHQwdzBhMnpwOWZlIj45NTwva2V5PjwvZm9yZWlnbi1rZXlzPjxyZWYtdHlwZSBuYW1l
PSJKb3VybmFsIEFydGljbGUiPjE3PC9yZWYtdHlwZT48Y29udHJpYnV0b3JzPjxhdXRob3JzPjxh
dXRob3I+VHVyY2FudSwgR2hlbmFkaWU8L2F1dGhvcj48YXV0aG9yPkRvbWVudGUsIFNpbHZpdTwv
YXV0aG9yPjxhdXRob3I+QnVnYSwgTWlyY2VhPC9hdXRob3I+PGF1dGhvcj5SaWNoYXJkc29uLCBF
cmljYTwvYXV0aG9yPjwvYXV0aG9ycz48L2NvbnRyaWJ1dG9ycz48dGl0bGVzPjx0aXRsZT5SZXB1
YmxpYyBvZiBNb2xkb3ZhOiBIZWFsdGggU3lzdGVtIFJldmlldzwvdGl0bGU+PHNlY29uZGFyeS10
aXRsZT5IZWFsdGggU3lzdGVtcyBpbiBUcmFuc2l0aW9uPC9zZWNvbmRhcnktdGl0bGU+PC90aXRs
ZXM+PHBlcmlvZGljYWw+PGZ1bGwtdGl0bGU+SGVhbHRoIFN5c3RlbXMgaW4gVHJhbnNpdGlvbjwv
ZnVsbC10aXRsZT48L3BlcmlvZGljYWw+PHBhZ2VzPjEtMTUxPC9wYWdlcz48dm9sdW1lPjE0PC92
b2x1bWU+PG51bWJlcj43PC9udW1iZXI+PGRhdGVzPjx5ZWFyPjIwMTI8L3llYXI+PC9kYXRlcz48
dXJscz48L3VybHM+PC9yZWNvcmQ+PC9DaXRlPjxDaXRlPjxBdXRob3I+VmlhbjwvQXV0aG9yPjxZ
ZWFyPjIwMTU8L1llYXI+PFJlY051bT4yNDY8L1JlY051bT48cmVjb3JkPjxyZWMtbnVtYmVyPjI0
NjwvcmVjLW51bWJlcj48Zm9yZWlnbi1rZXlzPjxrZXkgYXBwPSJFTiIgZGItaWQ9ImFmYXRlOXJm
NXNhdDA5ZWRmYXJwZHZ0NHh0MHcwYTJ6cDlmZSI+MjQ2PC9rZXk+PC9mb3JlaWduLWtleXM+PHJl
Zi10eXBlIG5hbWU9IkpvdXJuYWwgQXJ0aWNsZSI+MTc8L3JlZi10eXBlPjxjb250cmlidXRvcnM+
PGF1dGhvcnM+PGF1dGhvcj5WaWFuLCBULjwvYXV0aG9yPjxhdXRob3I+RmVlbGV5LCBGLiBHLjwv
YXV0aG9yPjxhdXRob3I+RG9tZW50ZSwgUy48L2F1dGhvcj48YXV0aG9yPk5lZ3J1dGEsIEEuPC9h
dXRob3I+PGF1dGhvcj5NYXRlaSwgQS48L2F1dGhvcj48YXV0aG9yPkhhYmljaHQsIEouPC9hdXRo
b3I+PC9hdXRob3JzPjwvY29udHJpYnV0b3JzPjxhdXRoLWFkZHJlc3M+RGVwYXJ0bWVudCBvZiBH
bG9iYWwgSGVhbHRoLCBCb3N0b24gVW5pdmVyc2l0eSBTY2hvb2wgb2YgUHVibGljIEhlYWx0aCwg
ODAxIE1hc3NhY2h1c2V0dHMgQXZlbnVlLCBDcm9zc3Rvd24gQnVpbGRpbmcgM3JkIGZsb29yLCBC
b3N0b24sIE1BLCAwMjExOCwgVVNBLiB0dmlhbkBidS5lZHUuJiN4RDtEZXBhcnRtZW50IG9mIEds
b2JhbCBIZWFsdGgsIEJvc3RvbiBVbml2ZXJzaXR5IFNjaG9vbCBvZiBQdWJsaWMgSGVhbHRoLCA4
MDEgTWFzc2FjaHVzZXR0cyBBdmVudWUsIENyb3NzdG93biBCdWlsZGluZyAzcmQgZmxvb3IsIEJv
c3RvbiwgTUEsIDAyMTE4LCBVU0EuIGZmZWVsZXlAYnUuZWR1LiYjeEQ7V29ybGQgSGVhbHRoIE9y
Z2FuaXphdGlvbiBDb3VudHJ5IE9mZmljZSBpbiBSZXB1YmxpYyBvZiBNb2xkb3ZhLCBTZmF0dWwg
VGFyaWkgU3RyLiAyOSwgTUQtMjAxMiwgQ2hpc2luYXUsIFJlcHVibGljIG9mIE1vbGRvdmEuIERv
bWVudGVTQGV1cm8ud2hvLmludC4mI3hEO05hdGlvbmFsIEJ1cmVhdSBvZiBTdGF0aXN0aWNzLCAx
MDYgR3Jlbm9ibGUgU3RyLiwgTUQtMjAxOSwgQ2hpc2luYXUsIFJlcHVibGljIG9mIE1vbGRvdmEu
IGFsYS5uZWdydXRhQHN0YXRpc3RpY2EubWQuJiN4RDtXb3JsZCBIZWFsdGggT3JnYW5pemF0aW9u
IENvdW50cnkgT2ZmaWNlIGluIFJlcHVibGljIG9mIE1vbGRvdmEsIFNmYXR1bCBUYXJpaSBTdHIu
IDI5LCBNRC0yMDEyLCBDaGlzaW5hdSwgUmVwdWJsaWMgb2YgTW9sZG92YS4gbWF0QGV1cm8ud2hv
LmludC4mI3hEO1dvcmxkIEhlYWx0aCBPcmdhbml6YXRpb24gQ291bnRyeSBPZmZpY2UgaW4gUmVw
dWJsaWMgb2YgTW9sZG92YSwgU2ZhdHVsIFRhcmlpIFN0ci4gMjksIE1ELTIwMTIsIENoaXNpbmF1
LCBSZXB1YmxpYyBvZiBNb2xkb3ZhLiBoYWJpY2h0akBldXJvLndoby5pbnQuPC9hdXRoLWFkZHJl
c3M+PHRpdGxlcz48dGl0bGU+QmFycmllcnMgdG8gdW5pdmVyc2FsIGhlYWx0aCBjb3ZlcmFnZSBp
biBSZXB1YmxpYyBvZiBNb2xkb3ZhOiBhIHBvbGljeSBhbmFseXNpcyBvZiBmb3JtYWwgYW5kIGlu
Zm9ybWFsIG91dC1vZi1wb2NrZXQgcGF5bWVudHM8L3RpdGxlPjxzZWNvbmRhcnktdGl0bGU+Qk1D
IEhlYWx0aCBTZXJ2IFJlczwvc2Vjb25kYXJ5LXRpdGxlPjxhbHQtdGl0bGU+Qk1DIGhlYWx0aCBz
ZXJ2aWNlcyByZXNlYXJjaDwvYWx0LXRpdGxlPjwvdGl0bGVzPjxhbHQtcGVyaW9kaWNhbD48ZnVs
bC10aXRsZT5CTUMgaGVhbHRoIHNlcnZpY2VzIHJlc2VhcmNoPC9mdWxsLXRpdGxlPjwvYWx0LXBl
cmlvZGljYWw+PHBhZ2VzPjMxOTwvcGFnZXM+PHZvbHVtZT4xNTwvdm9sdW1lPjxlZGl0aW9uPjIw
MTUvMDgvMTI8L2VkaXRpb24+PGRhdGVzPjx5ZWFyPjIwMTU8L3llYXI+PC9kYXRlcz48aXNibj4x
NDcyLTY5NjM8L2lzYm4+PGFjY2Vzc2lvbi1udW0+MjYyNjAzMjQ8L2FjY2Vzc2lvbi1udW0+PHVy
bHM+PC91cmxzPjxjdXN0b20yPlBtYzQ1MzE0Nzc8L2N1c3RvbTI+PGVsZWN0cm9uaWMtcmVzb3Vy
Y2UtbnVtPjEwLjExODYvczEyOTEzLTAxNS0wOTg0LXo8L2VsZWN0cm9uaWMtcmVzb3VyY2UtbnVt
PjxyZW1vdGUtZGF0YWJhc2UtcHJvdmlkZXI+TkxNPC9yZW1vdGUtZGF0YWJhc2UtcHJvdmlkZXI+
PGxhbmd1YWdlPmVuZzwvbGFuZ3VhZ2U+PC9yZWNvcmQ+PC9DaXRlPjwvRW5kTm90ZT4A
</w:fldData>
        </w:fldChar>
      </w:r>
      <w:r w:rsidR="00782C0E">
        <w:instrText xml:space="preserve"> ADDIN EN.CITE </w:instrText>
      </w:r>
      <w:r w:rsidR="00782C0E">
        <w:fldChar w:fldCharType="begin">
          <w:fldData xml:space="preserve">PEVuZE5vdGU+PENpdGU+PEF1dGhvcj5UdXJjYW51PC9BdXRob3I+PFllYXI+MjAxMjwvWWVhcj48
UmVjTnVtPjk1PC9SZWNOdW0+PERpc3BsYXlUZXh0PjxzdHlsZSBmYWNlPSJzdXBlcnNjcmlwdCI+
NCwxMzwvc3R5bGU+PC9EaXNwbGF5VGV4dD48cmVjb3JkPjxyZWMtbnVtYmVyPjk1PC9yZWMtbnVt
YmVyPjxmb3JlaWduLWtleXM+PGtleSBhcHA9IkVOIiBkYi1pZD0iYWZhdGU5cmY1c2F0MDllZGZh
cnBkdnQ0eHQwdzBhMnpwOWZlIj45NTwva2V5PjwvZm9yZWlnbi1rZXlzPjxyZWYtdHlwZSBuYW1l
PSJKb3VybmFsIEFydGljbGUiPjE3PC9yZWYtdHlwZT48Y29udHJpYnV0b3JzPjxhdXRob3JzPjxh
dXRob3I+VHVyY2FudSwgR2hlbmFkaWU8L2F1dGhvcj48YXV0aG9yPkRvbWVudGUsIFNpbHZpdTwv
YXV0aG9yPjxhdXRob3I+QnVnYSwgTWlyY2VhPC9hdXRob3I+PGF1dGhvcj5SaWNoYXJkc29uLCBF
cmljYTwvYXV0aG9yPjwvYXV0aG9ycz48L2NvbnRyaWJ1dG9ycz48dGl0bGVzPjx0aXRsZT5SZXB1
YmxpYyBvZiBNb2xkb3ZhOiBIZWFsdGggU3lzdGVtIFJldmlldzwvdGl0bGU+PHNlY29uZGFyeS10
aXRsZT5IZWFsdGggU3lzdGVtcyBpbiBUcmFuc2l0aW9uPC9zZWNvbmRhcnktdGl0bGU+PC90aXRs
ZXM+PHBlcmlvZGljYWw+PGZ1bGwtdGl0bGU+SGVhbHRoIFN5c3RlbXMgaW4gVHJhbnNpdGlvbjwv
ZnVsbC10aXRsZT48L3BlcmlvZGljYWw+PHBhZ2VzPjEtMTUxPC9wYWdlcz48dm9sdW1lPjE0PC92
b2x1bWU+PG51bWJlcj43PC9udW1iZXI+PGRhdGVzPjx5ZWFyPjIwMTI8L3llYXI+PC9kYXRlcz48
dXJscz48L3VybHM+PC9yZWNvcmQ+PC9DaXRlPjxDaXRlPjxBdXRob3I+VmlhbjwvQXV0aG9yPjxZ
ZWFyPjIwMTU8L1llYXI+PFJlY051bT4yNDY8L1JlY051bT48cmVjb3JkPjxyZWMtbnVtYmVyPjI0
NjwvcmVjLW51bWJlcj48Zm9yZWlnbi1rZXlzPjxrZXkgYXBwPSJFTiIgZGItaWQ9ImFmYXRlOXJm
NXNhdDA5ZWRmYXJwZHZ0NHh0MHcwYTJ6cDlmZSI+MjQ2PC9rZXk+PC9mb3JlaWduLWtleXM+PHJl
Zi10eXBlIG5hbWU9IkpvdXJuYWwgQXJ0aWNsZSI+MTc8L3JlZi10eXBlPjxjb250cmlidXRvcnM+
PGF1dGhvcnM+PGF1dGhvcj5WaWFuLCBULjwvYXV0aG9yPjxhdXRob3I+RmVlbGV5LCBGLiBHLjwv
YXV0aG9yPjxhdXRob3I+RG9tZW50ZSwgUy48L2F1dGhvcj48YXV0aG9yPk5lZ3J1dGEsIEEuPC9h
dXRob3I+PGF1dGhvcj5NYXRlaSwgQS48L2F1dGhvcj48YXV0aG9yPkhhYmljaHQsIEouPC9hdXRo
b3I+PC9hdXRob3JzPjwvY29udHJpYnV0b3JzPjxhdXRoLWFkZHJlc3M+RGVwYXJ0bWVudCBvZiBH
bG9iYWwgSGVhbHRoLCBCb3N0b24gVW5pdmVyc2l0eSBTY2hvb2wgb2YgUHVibGljIEhlYWx0aCwg
ODAxIE1hc3NhY2h1c2V0dHMgQXZlbnVlLCBDcm9zc3Rvd24gQnVpbGRpbmcgM3JkIGZsb29yLCBC
b3N0b24sIE1BLCAwMjExOCwgVVNBLiB0dmlhbkBidS5lZHUuJiN4RDtEZXBhcnRtZW50IG9mIEds
b2JhbCBIZWFsdGgsIEJvc3RvbiBVbml2ZXJzaXR5IFNjaG9vbCBvZiBQdWJsaWMgSGVhbHRoLCA4
MDEgTWFzc2FjaHVzZXR0cyBBdmVudWUsIENyb3NzdG93biBCdWlsZGluZyAzcmQgZmxvb3IsIEJv
c3RvbiwgTUEsIDAyMTE4LCBVU0EuIGZmZWVsZXlAYnUuZWR1LiYjeEQ7V29ybGQgSGVhbHRoIE9y
Z2FuaXphdGlvbiBDb3VudHJ5IE9mZmljZSBpbiBSZXB1YmxpYyBvZiBNb2xkb3ZhLCBTZmF0dWwg
VGFyaWkgU3RyLiAyOSwgTUQtMjAxMiwgQ2hpc2luYXUsIFJlcHVibGljIG9mIE1vbGRvdmEuIERv
bWVudGVTQGV1cm8ud2hvLmludC4mI3hEO05hdGlvbmFsIEJ1cmVhdSBvZiBTdGF0aXN0aWNzLCAx
MDYgR3Jlbm9ibGUgU3RyLiwgTUQtMjAxOSwgQ2hpc2luYXUsIFJlcHVibGljIG9mIE1vbGRvdmEu
IGFsYS5uZWdydXRhQHN0YXRpc3RpY2EubWQuJiN4RDtXb3JsZCBIZWFsdGggT3JnYW5pemF0aW9u
IENvdW50cnkgT2ZmaWNlIGluIFJlcHVibGljIG9mIE1vbGRvdmEsIFNmYXR1bCBUYXJpaSBTdHIu
IDI5LCBNRC0yMDEyLCBDaGlzaW5hdSwgUmVwdWJsaWMgb2YgTW9sZG92YS4gbWF0QGV1cm8ud2hv
LmludC4mI3hEO1dvcmxkIEhlYWx0aCBPcmdhbml6YXRpb24gQ291bnRyeSBPZmZpY2UgaW4gUmVw
dWJsaWMgb2YgTW9sZG92YSwgU2ZhdHVsIFRhcmlpIFN0ci4gMjksIE1ELTIwMTIsIENoaXNpbmF1
LCBSZXB1YmxpYyBvZiBNb2xkb3ZhLiBoYWJpY2h0akBldXJvLndoby5pbnQuPC9hdXRoLWFkZHJl
c3M+PHRpdGxlcz48dGl0bGU+QmFycmllcnMgdG8gdW5pdmVyc2FsIGhlYWx0aCBjb3ZlcmFnZSBp
biBSZXB1YmxpYyBvZiBNb2xkb3ZhOiBhIHBvbGljeSBhbmFseXNpcyBvZiBmb3JtYWwgYW5kIGlu
Zm9ybWFsIG91dC1vZi1wb2NrZXQgcGF5bWVudHM8L3RpdGxlPjxzZWNvbmRhcnktdGl0bGU+Qk1D
IEhlYWx0aCBTZXJ2IFJlczwvc2Vjb25kYXJ5LXRpdGxlPjxhbHQtdGl0bGU+Qk1DIGhlYWx0aCBz
ZXJ2aWNlcyByZXNlYXJjaDwvYWx0LXRpdGxlPjwvdGl0bGVzPjxhbHQtcGVyaW9kaWNhbD48ZnVs
bC10aXRsZT5CTUMgaGVhbHRoIHNlcnZpY2VzIHJlc2VhcmNoPC9mdWxsLXRpdGxlPjwvYWx0LXBl
cmlvZGljYWw+PHBhZ2VzPjMxOTwvcGFnZXM+PHZvbHVtZT4xNTwvdm9sdW1lPjxlZGl0aW9uPjIw
MTUvMDgvMTI8L2VkaXRpb24+PGRhdGVzPjx5ZWFyPjIwMTU8L3llYXI+PC9kYXRlcz48aXNibj4x
NDcyLTY5NjM8L2lzYm4+PGFjY2Vzc2lvbi1udW0+MjYyNjAzMjQ8L2FjY2Vzc2lvbi1udW0+PHVy
bHM+PC91cmxzPjxjdXN0b20yPlBtYzQ1MzE0Nzc8L2N1c3RvbTI+PGVsZWN0cm9uaWMtcmVzb3Vy
Y2UtbnVtPjEwLjExODYvczEyOTEzLTAxNS0wOTg0LXo8L2VsZWN0cm9uaWMtcmVzb3VyY2UtbnVt
PjxyZW1vdGUtZGF0YWJhc2UtcHJvdmlkZXI+TkxNPC9yZW1vdGUtZGF0YWJhc2UtcHJvdmlkZXI+
PGxhbmd1YWdlPmVuZzwvbGFuZ3VhZ2U+PC9yZWNvcmQ+PC9DaXRlPjwvRW5kTm90ZT4A
</w:fldData>
        </w:fldChar>
      </w:r>
      <w:r w:rsidR="00782C0E">
        <w:instrText xml:space="preserve"> ADDIN EN.CITE.DATA </w:instrText>
      </w:r>
      <w:r w:rsidR="00782C0E">
        <w:fldChar w:fldCharType="end"/>
      </w:r>
      <w:r w:rsidR="00821C61">
        <w:fldChar w:fldCharType="separate"/>
      </w:r>
      <w:hyperlink w:anchor="_ENREF_4" w:tooltip="Turcanu, 2012 #95" w:history="1">
        <w:r w:rsidR="00025DA0" w:rsidRPr="00782C0E">
          <w:rPr>
            <w:noProof/>
            <w:vertAlign w:val="superscript"/>
          </w:rPr>
          <w:t>4</w:t>
        </w:r>
      </w:hyperlink>
      <w:r w:rsidR="00782C0E" w:rsidRPr="00782C0E">
        <w:rPr>
          <w:noProof/>
          <w:vertAlign w:val="superscript"/>
        </w:rPr>
        <w:t>,</w:t>
      </w:r>
      <w:hyperlink w:anchor="_ENREF_13" w:tooltip="Vian, 2015 #246" w:history="1">
        <w:r w:rsidR="00025DA0" w:rsidRPr="00782C0E">
          <w:rPr>
            <w:noProof/>
            <w:vertAlign w:val="superscript"/>
          </w:rPr>
          <w:t>13</w:t>
        </w:r>
      </w:hyperlink>
      <w:r w:rsidR="00821C61">
        <w:fldChar w:fldCharType="end"/>
      </w:r>
      <w:r w:rsidR="003F6881">
        <w:t xml:space="preserve"> </w:t>
      </w:r>
      <w:r w:rsidR="00C70927">
        <w:t>T</w:t>
      </w:r>
      <w:r w:rsidR="00C70927" w:rsidRPr="0080724F">
        <w:t xml:space="preserve">he </w:t>
      </w:r>
      <w:r w:rsidR="00C00F71" w:rsidRPr="00EF6F69">
        <w:rPr>
          <w:i/>
        </w:rPr>
        <w:t>National Health Policy 2007-2021</w:t>
      </w:r>
      <w:hyperlink w:anchor="_ENREF_14" w:tooltip="Government of Republic of Moldova, 2007 #109" w:history="1">
        <w:r w:rsidR="00025DA0">
          <w:rPr>
            <w:i/>
          </w:rPr>
          <w:fldChar w:fldCharType="begin"/>
        </w:r>
        <w:r w:rsidR="00025DA0">
          <w:rPr>
            <w:i/>
          </w:rPr>
          <w:instrText xml:space="preserve"> ADDIN EN.CITE &lt;EndNote&gt;&lt;Cite&gt;&lt;Author&gt;Government of Republic of Moldova&lt;/Author&gt;&lt;Year&gt;2007&lt;/Year&gt;&lt;RecNum&gt;109&lt;/RecNum&gt;&lt;DisplayText&gt;&lt;style face="superscript"&gt;14&lt;/style&gt;&lt;/DisplayText&gt;&lt;record&gt;&lt;rec-number&gt;109&lt;/rec-number&gt;&lt;foreign-keys&gt;&lt;key app="EN" db-id="afate9rf5sat09edfarpdvt4xt0w0a2zp9fe"&gt;109&lt;/key&gt;&lt;/foreign-keys&gt;&lt;ref-type name="Report"&gt;27&lt;/ref-type&gt;&lt;contributors&gt;&lt;authors&gt;&lt;author&gt;Government of Republic of Moldova,&lt;/author&gt;&lt;/authors&gt;&lt;/contributors&gt;&lt;titles&gt;&lt;title&gt;National Health Policy 2007-2021&lt;/title&gt;&lt;/titles&gt;&lt;pages&gt;1-72&lt;/pages&gt;&lt;dates&gt;&lt;year&gt;2007&lt;/year&gt;&lt;/dates&gt;&lt;pub-location&gt;Chisinau, Republic of Moldova&lt;/pub-location&gt;&lt;publisher&gt;Government of Republic of Moldova&lt;/publisher&gt;&lt;urls&gt;&lt;/urls&gt;&lt;/record&gt;&lt;/Cite&gt;&lt;/EndNote&gt;</w:instrText>
        </w:r>
        <w:r w:rsidR="00025DA0">
          <w:rPr>
            <w:i/>
          </w:rPr>
          <w:fldChar w:fldCharType="separate"/>
        </w:r>
        <w:r w:rsidR="00025DA0" w:rsidRPr="00782C0E">
          <w:rPr>
            <w:i/>
            <w:noProof/>
            <w:vertAlign w:val="superscript"/>
          </w:rPr>
          <w:t>14</w:t>
        </w:r>
        <w:r w:rsidR="00025DA0">
          <w:rPr>
            <w:i/>
          </w:rPr>
          <w:fldChar w:fldCharType="end"/>
        </w:r>
      </w:hyperlink>
      <w:r w:rsidR="00C00F71" w:rsidRPr="001B1BED">
        <w:rPr>
          <w:i/>
        </w:rPr>
        <w:t xml:space="preserve"> </w:t>
      </w:r>
      <w:r w:rsidR="00C70927" w:rsidRPr="005C3644">
        <w:t>was</w:t>
      </w:r>
      <w:r w:rsidR="00C70927">
        <w:rPr>
          <w:i/>
        </w:rPr>
        <w:t xml:space="preserve"> </w:t>
      </w:r>
      <w:r w:rsidR="00C00F71" w:rsidRPr="00B6682D">
        <w:t>follow</w:t>
      </w:r>
      <w:r w:rsidR="00337B1C" w:rsidRPr="00FF5A99">
        <w:t>ed</w:t>
      </w:r>
      <w:r w:rsidR="00C00F71" w:rsidRPr="004A3181">
        <w:t xml:space="preserve"> </w:t>
      </w:r>
      <w:r w:rsidR="00337B1C" w:rsidRPr="00413258">
        <w:t>by</w:t>
      </w:r>
      <w:r w:rsidR="00C00F71" w:rsidRPr="00632059">
        <w:t xml:space="preserve"> </w:t>
      </w:r>
      <w:r w:rsidR="00C00F71" w:rsidRPr="00914867">
        <w:rPr>
          <w:i/>
        </w:rPr>
        <w:t xml:space="preserve">the </w:t>
      </w:r>
      <w:r w:rsidR="003A1056" w:rsidRPr="00FA0685">
        <w:rPr>
          <w:i/>
        </w:rPr>
        <w:t>Healthcare Development Strategy 20</w:t>
      </w:r>
      <w:r w:rsidR="003A1056" w:rsidRPr="00C21DBC">
        <w:rPr>
          <w:i/>
        </w:rPr>
        <w:t>08-2017</w:t>
      </w:r>
      <w:hyperlink w:anchor="_ENREF_15" w:tooltip="Government of Republic of Moldova, 2007 #98" w:history="1">
        <w:r w:rsidR="00025DA0">
          <w:rPr>
            <w:i/>
          </w:rPr>
          <w:fldChar w:fldCharType="begin"/>
        </w:r>
        <w:r w:rsidR="00025DA0">
          <w:rPr>
            <w:i/>
          </w:rPr>
          <w:instrText xml:space="preserve"> ADDIN EN.CITE &lt;EndNote&gt;&lt;Cite&gt;&lt;Author&gt;Government of Republic of Moldova&lt;/Author&gt;&lt;Year&gt;2007&lt;/Year&gt;&lt;RecNum&gt;98&lt;/RecNum&gt;&lt;DisplayText&gt;&lt;style face="superscript"&gt;15&lt;/style&gt;&lt;/DisplayText&gt;&lt;record&gt;&lt;rec-number&gt;98&lt;/rec-number&gt;&lt;foreign-keys&gt;&lt;key app="EN" db-id="afate9rf5sat09edfarpdvt4xt0w0a2zp9fe"&gt;98&lt;/key&gt;&lt;key app="ENWeb" db-id=""&gt;0&lt;/key&gt;&lt;/foreign-keys&gt;&lt;ref-type name="Report"&gt;27&lt;/ref-type&gt;&lt;contributors&gt;&lt;authors&gt;&lt;author&gt;Government of Republic of Moldova,&lt;/author&gt;&lt;/authors&gt;&lt;/contributors&gt;&lt;titles&gt;&lt;title&gt;Healthcare System Development Strategy for the period 2008-2017&lt;/title&gt;&lt;/titles&gt;&lt;pages&gt;1-72&lt;/pages&gt;&lt;dates&gt;&lt;year&gt;2007&lt;/year&gt;&lt;/dates&gt;&lt;pub-location&gt;Chisinau, Republic of Moldova&lt;/pub-location&gt;&lt;publisher&gt;Minsitry of Health&lt;/publisher&gt;&lt;urls&gt;&lt;/urls&gt;&lt;/record&gt;&lt;/Cite&gt;&lt;/EndNote&gt;</w:instrText>
        </w:r>
        <w:r w:rsidR="00025DA0">
          <w:rPr>
            <w:i/>
          </w:rPr>
          <w:fldChar w:fldCharType="separate"/>
        </w:r>
        <w:r w:rsidR="00025DA0" w:rsidRPr="00782C0E">
          <w:rPr>
            <w:i/>
            <w:noProof/>
            <w:vertAlign w:val="superscript"/>
          </w:rPr>
          <w:t>15</w:t>
        </w:r>
        <w:r w:rsidR="00025DA0">
          <w:rPr>
            <w:i/>
          </w:rPr>
          <w:fldChar w:fldCharType="end"/>
        </w:r>
      </w:hyperlink>
      <w:r w:rsidR="00994675">
        <w:t xml:space="preserve"> which</w:t>
      </w:r>
      <w:r w:rsidR="005C3644">
        <w:t xml:space="preserve">, alongside wider health system reform, </w:t>
      </w:r>
      <w:r w:rsidR="005C3644">
        <w:lastRenderedPageBreak/>
        <w:t xml:space="preserve">specifically </w:t>
      </w:r>
      <w:r w:rsidR="00994675">
        <w:t xml:space="preserve">aimed to expand insurance coverage </w:t>
      </w:r>
      <w:r>
        <w:t xml:space="preserve">through financial incentives and mandating an insurance policy when renewing </w:t>
      </w:r>
      <w:r w:rsidR="009C2BBA">
        <w:t xml:space="preserve">government issued </w:t>
      </w:r>
      <w:r>
        <w:t>licences</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t>.</w:t>
      </w:r>
    </w:p>
    <w:p w14:paraId="026F58A0" w14:textId="77777777" w:rsidR="005C3644" w:rsidRDefault="005C3644" w:rsidP="002F6643"/>
    <w:p w14:paraId="04A7AB99" w14:textId="277777FF" w:rsidR="002F6643" w:rsidRDefault="002815B2" w:rsidP="002F6643">
      <w:r>
        <w:t>Earlier studies</w:t>
      </w:r>
      <w:r w:rsidR="00A53357">
        <w:t xml:space="preserve"> </w:t>
      </w:r>
      <w:r w:rsidR="00505DFA">
        <w:t xml:space="preserve">highlight the significant burden of OOP </w:t>
      </w:r>
      <w:r>
        <w:t>incurred for</w:t>
      </w:r>
      <w:r w:rsidR="00505DFA">
        <w:t xml:space="preserve"> hospital </w:t>
      </w:r>
      <w:r>
        <w:t xml:space="preserve">services </w:t>
      </w:r>
      <w:r w:rsidR="00505DFA">
        <w:t>(</w:t>
      </w:r>
      <w:r>
        <w:t xml:space="preserve">mostly due to </w:t>
      </w:r>
      <w:r w:rsidR="00505DFA">
        <w:t>informal payments) and for medicines</w:t>
      </w:r>
      <w:hyperlink w:anchor="_ENREF_13" w:tooltip="Vian, 2015 #246" w:history="1">
        <w:r w:rsidR="00025DA0">
          <w:fldChar w:fldCharType="begin">
            <w:fldData xml:space="preserve">PEVuZE5vdGU+PENpdGU+PEF1dGhvcj5WaWFuPC9BdXRob3I+PFllYXI+MjAxNTwvWWVhcj48UmVj
TnVtPjI0NjwvUmVjTnVtPjxEaXNwbGF5VGV4dD48c3R5bGUgZmFjZT0ic3VwZXJzY3JpcHQiPjEz
PC9zdHlsZT48L0Rpc3BsYXlUZXh0PjxyZWNvcmQ+PHJlYy1udW1iZXI+MjQ2PC9yZWMtbnVtYmVy
Pjxmb3JlaWduLWtleXM+PGtleSBhcHA9IkVOIiBkYi1pZD0iYWZhdGU5cmY1c2F0MDllZGZhcnBk
dnQ0eHQwdzBhMnpwOWZlIj4yNDY8L2tleT48L2ZvcmVpZ24ta2V5cz48cmVmLXR5cGUgbmFtZT0i
Sm91cm5hbCBBcnRpY2xlIj4xNzwvcmVmLXR5cGU+PGNvbnRyaWJ1dG9ycz48YXV0aG9ycz48YXV0
aG9yPlZpYW4sIFQuPC9hdXRob3I+PGF1dGhvcj5GZWVsZXksIEYuIEcuPC9hdXRob3I+PGF1dGhv
cj5Eb21lbnRlLCBTLjwvYXV0aG9yPjxhdXRob3I+TmVncnV0YSwgQS48L2F1dGhvcj48YXV0aG9y
Pk1hdGVpLCBBLjwvYXV0aG9yPjxhdXRob3I+SGFiaWNodCwgSi48L2F1dGhvcj48L2F1dGhvcnM+
PC9jb250cmlidXRvcnM+PGF1dGgtYWRkcmVzcz5EZXBhcnRtZW50IG9mIEdsb2JhbCBIZWFsdGgs
IEJvc3RvbiBVbml2ZXJzaXR5IFNjaG9vbCBvZiBQdWJsaWMgSGVhbHRoLCA4MDEgTWFzc2FjaHVz
ZXR0cyBBdmVudWUsIENyb3NzdG93biBCdWlsZGluZyAzcmQgZmxvb3IsIEJvc3RvbiwgTUEsIDAy
MTE4LCBVU0EuIHR2aWFuQGJ1LmVkdS4mI3hEO0RlcGFydG1lbnQgb2YgR2xvYmFsIEhlYWx0aCwg
Qm9zdG9uIFVuaXZlcnNpdHkgU2Nob29sIG9mIFB1YmxpYyBIZWFsdGgsIDgwMSBNYXNzYWNodXNl
dHRzIEF2ZW51ZSwgQ3Jvc3N0b3duIEJ1aWxkaW5nIDNyZCBmbG9vciwgQm9zdG9uLCBNQSwgMDIx
MTgsIFVTQS4gZmZlZWxleUBidS5lZHUuJiN4RDtXb3JsZCBIZWFsdGggT3JnYW5pemF0aW9uIENv
dW50cnkgT2ZmaWNlIGluIFJlcHVibGljIG9mIE1vbGRvdmEsIFNmYXR1bCBUYXJpaSBTdHIuIDI5
LCBNRC0yMDEyLCBDaGlzaW5hdSwgUmVwdWJsaWMgb2YgTW9sZG92YS4gRG9tZW50ZVNAZXVyby53
aG8uaW50LiYjeEQ7TmF0aW9uYWwgQnVyZWF1IG9mIFN0YXRpc3RpY3MsIDEwNiBHcmVub2JsZSBT
dHIuLCBNRC0yMDE5LCBDaGlzaW5hdSwgUmVwdWJsaWMgb2YgTW9sZG92YS4gYWxhLm5lZ3J1dGFA
c3RhdGlzdGljYS5tZC4mI3hEO1dvcmxkIEhlYWx0aCBPcmdhbml6YXRpb24gQ291bnRyeSBPZmZp
Y2UgaW4gUmVwdWJsaWMgb2YgTW9sZG92YSwgU2ZhdHVsIFRhcmlpIFN0ci4gMjksIE1ELTIwMTIs
IENoaXNpbmF1LCBSZXB1YmxpYyBvZiBNb2xkb3ZhLiBtYXRAZXVyby53aG8uaW50LiYjeEQ7V29y
bGQgSGVhbHRoIE9yZ2FuaXphdGlvbiBDb3VudHJ5IE9mZmljZSBpbiBSZXB1YmxpYyBvZiBNb2xk
b3ZhLCBTZmF0dWwgVGFyaWkgU3RyLiAyOSwgTUQtMjAxMiwgQ2hpc2luYXUsIFJlcHVibGljIG9m
IE1vbGRvdmEuIGhhYmljaHRqQGV1cm8ud2hvLmludC48L2F1dGgtYWRkcmVzcz48dGl0bGVzPjx0
aXRsZT5CYXJyaWVycyB0byB1bml2ZXJzYWwgaGVhbHRoIGNvdmVyYWdlIGluIFJlcHVibGljIG9m
IE1vbGRvdmE6IGEgcG9saWN5IGFuYWx5c2lzIG9mIGZvcm1hbCBhbmQgaW5mb3JtYWwgb3V0LW9m
LXBvY2tldCBwYXltZW50czwvdGl0bGU+PHNlY29uZGFyeS10aXRsZT5CTUMgSGVhbHRoIFNlcnYg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ZXM+MzE5PC9wYWdlcz48dm9sdW1lPjE1PC92b2x1bWU+PGVkaXRpb24+MjAxNS8wOC8xMjwvZWRp
dGlvbj48ZGF0ZXM+PHllYXI+MjAxNTwveWVhcj48L2RhdGVzPjxpc2JuPjE0NzItNjk2MzwvaXNi
bj48YWNjZXNzaW9uLW51bT4yNjI2MDMyNDwvYWNjZXNzaW9uLW51bT48dXJscz48L3VybHM+PGN1
c3RvbTI+UG1jNDUzMTQ3NzwvY3VzdG9tMj48ZWxlY3Ryb25pYy1yZXNvdXJjZS1udW0+MTAuMTE4
Ni9zMTI5MTMtMDE1LTA5ODQtejwvZWxlY3Ryb25pYy1yZXNvdXJjZS1udW0+PHJlbW90ZS1kYXRh
YmFzZS1wcm92aWRlcj5OTE08L3JlbW90ZS1kYXRhYmFzZS1wcm92aWRlcj48bGFuZ3VhZ2U+ZW5n
PC9sYW5ndWFnZT48L3JlY29yZD48L0NpdGU+PC9FbmROb3RlPgB=
</w:fldData>
          </w:fldChar>
        </w:r>
        <w:r w:rsidR="00025DA0">
          <w:instrText xml:space="preserve"> ADDIN EN.CITE </w:instrText>
        </w:r>
        <w:r w:rsidR="00025DA0">
          <w:fldChar w:fldCharType="begin">
            <w:fldData xml:space="preserve">PEVuZE5vdGU+PENpdGU+PEF1dGhvcj5WaWFuPC9BdXRob3I+PFllYXI+MjAxNTwvWWVhcj48UmVj
TnVtPjI0NjwvUmVjTnVtPjxEaXNwbGF5VGV4dD48c3R5bGUgZmFjZT0ic3VwZXJzY3JpcHQiPjEz
PC9zdHlsZT48L0Rpc3BsYXlUZXh0PjxyZWNvcmQ+PHJlYy1udW1iZXI+MjQ2PC9yZWMtbnVtYmVy
Pjxmb3JlaWduLWtleXM+PGtleSBhcHA9IkVOIiBkYi1pZD0iYWZhdGU5cmY1c2F0MDllZGZhcnBk
dnQ0eHQwdzBhMnpwOWZlIj4yNDY8L2tleT48L2ZvcmVpZ24ta2V5cz48cmVmLXR5cGUgbmFtZT0i
Sm91cm5hbCBBcnRpY2xlIj4xNzwvcmVmLXR5cGU+PGNvbnRyaWJ1dG9ycz48YXV0aG9ycz48YXV0
aG9yPlZpYW4sIFQuPC9hdXRob3I+PGF1dGhvcj5GZWVsZXksIEYuIEcuPC9hdXRob3I+PGF1dGhv
cj5Eb21lbnRlLCBTLjwvYXV0aG9yPjxhdXRob3I+TmVncnV0YSwgQS48L2F1dGhvcj48YXV0aG9y
Pk1hdGVpLCBBLjwvYXV0aG9yPjxhdXRob3I+SGFiaWNodCwgSi48L2F1dGhvcj48L2F1dGhvcnM+
PC9jb250cmlidXRvcnM+PGF1dGgtYWRkcmVzcz5EZXBhcnRtZW50IG9mIEdsb2JhbCBIZWFsdGgs
IEJvc3RvbiBVbml2ZXJzaXR5IFNjaG9vbCBvZiBQdWJsaWMgSGVhbHRoLCA4MDEgTWFzc2FjaHVz
ZXR0cyBBdmVudWUsIENyb3NzdG93biBCdWlsZGluZyAzcmQgZmxvb3IsIEJvc3RvbiwgTUEsIDAy
MTE4LCBVU0EuIHR2aWFuQGJ1LmVkdS4mI3hEO0RlcGFydG1lbnQgb2YgR2xvYmFsIEhlYWx0aCwg
Qm9zdG9uIFVuaXZlcnNpdHkgU2Nob29sIG9mIFB1YmxpYyBIZWFsdGgsIDgwMSBNYXNzYWNodXNl
dHRzIEF2ZW51ZSwgQ3Jvc3N0b3duIEJ1aWxkaW5nIDNyZCBmbG9vciwgQm9zdG9uLCBNQSwgMDIx
MTgsIFVTQS4gZmZlZWxleUBidS5lZHUuJiN4RDtXb3JsZCBIZWFsdGggT3JnYW5pemF0aW9uIENv
dW50cnkgT2ZmaWNlIGluIFJlcHVibGljIG9mIE1vbGRvdmEsIFNmYXR1bCBUYXJpaSBTdHIuIDI5
LCBNRC0yMDEyLCBDaGlzaW5hdSwgUmVwdWJsaWMgb2YgTW9sZG92YS4gRG9tZW50ZVNAZXVyby53
aG8uaW50LiYjeEQ7TmF0aW9uYWwgQnVyZWF1IG9mIFN0YXRpc3RpY3MsIDEwNiBHcmVub2JsZSBT
dHIuLCBNRC0yMDE5LCBDaGlzaW5hdSwgUmVwdWJsaWMgb2YgTW9sZG92YS4gYWxhLm5lZ3J1dGFA
c3RhdGlzdGljYS5tZC4mI3hEO1dvcmxkIEhlYWx0aCBPcmdhbml6YXRpb24gQ291bnRyeSBPZmZp
Y2UgaW4gUmVwdWJsaWMgb2YgTW9sZG92YSwgU2ZhdHVsIFRhcmlpIFN0ci4gMjksIE1ELTIwMTIs
IENoaXNpbmF1LCBSZXB1YmxpYyBvZiBNb2xkb3ZhLiBtYXRAZXVyby53aG8uaW50LiYjeEQ7V29y
bGQgSGVhbHRoIE9yZ2FuaXphdGlvbiBDb3VudHJ5IE9mZmljZSBpbiBSZXB1YmxpYyBvZiBNb2xk
b3ZhLCBTZmF0dWwgVGFyaWkgU3RyLiAyOSwgTUQtMjAxMiwgQ2hpc2luYXUsIFJlcHVibGljIG9m
IE1vbGRvdmEuIGhhYmljaHRqQGV1cm8ud2hvLmludC48L2F1dGgtYWRkcmVzcz48dGl0bGVzPjx0
aXRsZT5CYXJyaWVycyB0byB1bml2ZXJzYWwgaGVhbHRoIGNvdmVyYWdlIGluIFJlcHVibGljIG9m
IE1vbGRvdmE6IGEgcG9saWN5IGFuYWx5c2lzIG9mIGZvcm1hbCBhbmQgaW5mb3JtYWwgb3V0LW9m
LXBvY2tldCBwYXltZW50czwvdGl0bGU+PHNlY29uZGFyeS10aXRsZT5CTUMgSGVhbHRoIFNlcnYg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ZXM+MzE5PC9wYWdlcz48dm9sdW1lPjE1PC92b2x1bWU+PGVkaXRpb24+MjAxNS8wOC8xMjwvZWRp
dGlvbj48ZGF0ZXM+PHllYXI+MjAxNTwveWVhcj48L2RhdGVzPjxpc2JuPjE0NzItNjk2MzwvaXNi
bj48YWNjZXNzaW9uLW51bT4yNjI2MDMyNDwvYWNjZXNzaW9uLW51bT48dXJscz48L3VybHM+PGN1
c3RvbTI+UG1jNDUzMTQ3NzwvY3VzdG9tMj48ZWxlY3Ryb25pYy1yZXNvdXJjZS1udW0+MTAuMTE4
Ni9zMTI5MTMtMDE1LTA5ODQtejwvZWxlY3Ryb25pYy1yZXNvdXJjZS1udW0+PHJlbW90ZS1kYXRh
YmFzZS1wcm92aWRlcj5OTE08L3JlbW90ZS1kYXRhYmFzZS1wcm92aWRlcj48bGFuZ3VhZ2U+ZW5n
PC9sYW5ndWFnZT48L3JlY29yZD48L0NpdGU+PC9FbmROb3RlPgB=
</w:fldData>
          </w:fldChar>
        </w:r>
        <w:r w:rsidR="00025DA0">
          <w:instrText xml:space="preserve"> ADDIN EN.CITE.DATA </w:instrText>
        </w:r>
        <w:r w:rsidR="00025DA0">
          <w:fldChar w:fldCharType="end"/>
        </w:r>
        <w:r w:rsidR="00025DA0">
          <w:fldChar w:fldCharType="separate"/>
        </w:r>
        <w:r w:rsidR="00025DA0" w:rsidRPr="00782C0E">
          <w:rPr>
            <w:noProof/>
            <w:vertAlign w:val="superscript"/>
          </w:rPr>
          <w:t>13</w:t>
        </w:r>
        <w:r w:rsidR="00025DA0">
          <w:fldChar w:fldCharType="end"/>
        </w:r>
      </w:hyperlink>
      <w:r w:rsidR="00973577">
        <w:t xml:space="preserve"> (Panel 1). </w:t>
      </w:r>
      <w:r w:rsidR="00505DFA">
        <w:t xml:space="preserve">This study </w:t>
      </w:r>
      <w:r w:rsidR="00142411">
        <w:t>us</w:t>
      </w:r>
      <w:r w:rsidR="00FA6E37">
        <w:t>es</w:t>
      </w:r>
      <w:r w:rsidR="00142411">
        <w:t xml:space="preserve"> </w:t>
      </w:r>
      <w:r w:rsidR="00FA6E37">
        <w:t xml:space="preserve">routine administrative data on insurance coverage and healthcare utilisation and household surveys to explore the effect of health system reforms on OOP, and applies </w:t>
      </w:r>
      <w:r w:rsidR="00142411">
        <w:t xml:space="preserve">robust </w:t>
      </w:r>
      <w:r w:rsidR="00FA6E37">
        <w:t xml:space="preserve">econometric </w:t>
      </w:r>
      <w:r w:rsidR="00142411">
        <w:t xml:space="preserve">methods to </w:t>
      </w:r>
      <w:r w:rsidR="00FA6E37">
        <w:t xml:space="preserve">analyse </w:t>
      </w:r>
      <w:r w:rsidR="00142411">
        <w:t xml:space="preserve">the likelihood of being uninsured, incurring an OOP for </w:t>
      </w:r>
      <w:r w:rsidR="00FA6E37">
        <w:t xml:space="preserve">medicines </w:t>
      </w:r>
      <w:r w:rsidR="00142411">
        <w:t xml:space="preserve">or </w:t>
      </w:r>
      <w:r w:rsidR="00FA6E37">
        <w:t xml:space="preserve">health </w:t>
      </w:r>
      <w:r w:rsidR="00142411">
        <w:t>services</w:t>
      </w:r>
      <w:r w:rsidR="002F6643">
        <w:t xml:space="preserve">, </w:t>
      </w:r>
      <w:r w:rsidR="00FA6E37">
        <w:t xml:space="preserve">or </w:t>
      </w:r>
      <w:r w:rsidR="002F6643">
        <w:t>forgoing healthcare</w:t>
      </w:r>
      <w:r w:rsidR="00142411">
        <w:t xml:space="preserve"> by socio-</w:t>
      </w:r>
      <w:r w:rsidR="002F6643">
        <w:t xml:space="preserve">economic and demographic characteristics. </w:t>
      </w:r>
    </w:p>
    <w:p w14:paraId="2F6ECC46" w14:textId="77777777" w:rsidR="002F6643" w:rsidRDefault="002F6643" w:rsidP="002F6643"/>
    <w:p w14:paraId="489F7309" w14:textId="77777777" w:rsidR="002F6643" w:rsidRPr="002F6643" w:rsidRDefault="00973577" w:rsidP="002F6643">
      <w:pPr>
        <w:rPr>
          <w:b/>
        </w:rPr>
      </w:pPr>
      <w:r w:rsidRPr="002F6643">
        <w:rPr>
          <w:b/>
        </w:rPr>
        <w:t>Panel 1 | Health System Financing</w:t>
      </w:r>
      <w:r w:rsidR="002F6643" w:rsidRPr="002F6643">
        <w:rPr>
          <w:b/>
        </w:rPr>
        <w:t xml:space="preserve"> in Moldova</w:t>
      </w:r>
    </w:p>
    <w:tbl>
      <w:tblPr>
        <w:tblStyle w:val="TableGrid"/>
        <w:tblW w:w="0" w:type="auto"/>
        <w:tblLook w:val="04A0" w:firstRow="1" w:lastRow="0" w:firstColumn="1" w:lastColumn="0" w:noHBand="0" w:noVBand="1"/>
      </w:tblPr>
      <w:tblGrid>
        <w:gridCol w:w="8856"/>
      </w:tblGrid>
      <w:tr w:rsidR="00973577" w14:paraId="450B49D2" w14:textId="77777777" w:rsidTr="00973577">
        <w:tc>
          <w:tcPr>
            <w:tcW w:w="8856" w:type="dxa"/>
          </w:tcPr>
          <w:p w14:paraId="280CF427" w14:textId="3E0742E2" w:rsidR="00973577" w:rsidRPr="000337C4" w:rsidRDefault="00973577" w:rsidP="002F6643">
            <w:pPr>
              <w:rPr>
                <w:b/>
              </w:rPr>
            </w:pPr>
            <w:r w:rsidRPr="000337C4">
              <w:rPr>
                <w:b/>
              </w:rPr>
              <w:t>Trends in health system financing</w:t>
            </w:r>
          </w:p>
          <w:p w14:paraId="3991E115" w14:textId="18969A21" w:rsidR="00973577" w:rsidRDefault="00973577" w:rsidP="002F6643">
            <w:r w:rsidRPr="000753CE">
              <w:t xml:space="preserve">Total health expenditure (THE) as a percentage of GDP </w:t>
            </w:r>
            <w:r>
              <w:t>rose</w:t>
            </w:r>
            <w:r w:rsidRPr="000753CE">
              <w:t xml:space="preserve"> </w:t>
            </w:r>
            <w:r w:rsidRPr="00FF5A99">
              <w:t xml:space="preserve">from </w:t>
            </w:r>
            <w:r>
              <w:t>8.</w:t>
            </w:r>
            <w:r w:rsidRPr="004A3181">
              <w:t>1</w:t>
            </w:r>
            <w:r w:rsidRPr="00413258">
              <w:t>% in 2002 to 11.72% in 2012</w:t>
            </w:r>
            <w:r>
              <w:t xml:space="preserve">. Whilst </w:t>
            </w:r>
            <w:r w:rsidRPr="00914867">
              <w:t xml:space="preserve">higher than the EU average </w:t>
            </w:r>
            <w:r>
              <w:t xml:space="preserve">of 9.61% in 2012, </w:t>
            </w:r>
            <w:r w:rsidRPr="00F06D18">
              <w:t>the</w:t>
            </w:r>
            <w:r w:rsidRPr="00885E48">
              <w:t xml:space="preserve"> absolute level of health expenditure per person (PPP$) is the lowest in Europe at $34</w:t>
            </w:r>
            <w:r>
              <w:t>4</w:t>
            </w:r>
            <w:r w:rsidRPr="00683E02">
              <w:t xml:space="preserve">, </w:t>
            </w:r>
            <w:r w:rsidRPr="00D81135">
              <w:t xml:space="preserve">compared with </w:t>
            </w:r>
            <w:r w:rsidRPr="0056616B">
              <w:t xml:space="preserve">the </w:t>
            </w:r>
            <w:r w:rsidRPr="00B8413A">
              <w:t>EU average of $3</w:t>
            </w:r>
            <w:r>
              <w:t>,</w:t>
            </w:r>
            <w:r w:rsidRPr="00B8413A">
              <w:t>30</w:t>
            </w:r>
            <w:r>
              <w:t>7.</w:t>
            </w:r>
            <w:hyperlink w:anchor="_ENREF_5" w:tooltip="World Health Organization Regional Office for Europe, 2013 #96" w:history="1">
              <w:r w:rsidR="00025DA0">
                <w:fldChar w:fldCharType="begin"/>
              </w:r>
              <w:r w:rsidR="00025DA0">
                <w:instrText xml:space="preserve"> ADDIN EN.CITE &lt;EndNote&gt;&lt;Cite&gt;&lt;Author&gt;World Health Organization Regional Office for Europe&lt;/Author&gt;&lt;Year&gt;2013&lt;/Year&gt;&lt;RecNum&gt;96&lt;/RecNum&gt;&lt;DisplayText&gt;&lt;style face="superscript"&gt;5&lt;/style&gt;&lt;/DisplayText&gt;&lt;record&gt;&lt;rec-number&gt;96&lt;/rec-number&gt;&lt;foreign-keys&gt;&lt;key app="EN" db-id="afate9rf5sat09edfarpdvt4xt0w0a2zp9fe"&gt;96&lt;/key&gt;&lt;/foreign-keys&gt;&lt;ref-type name="Web Page"&gt;12&lt;/ref-type&gt;&lt;contributors&gt;&lt;authors&gt;&lt;author&gt;World Health Organization Regional Office for Europe,&lt;/author&gt;&lt;/authors&gt;&lt;/contributors&gt;&lt;titles&gt;&lt;title&gt;European health for all database (HFA-DB)&lt;/title&gt;&lt;/titles&gt;&lt;volume&gt;2013&lt;/volume&gt;&lt;number&gt;8/11&lt;/number&gt;&lt;dates&gt;&lt;year&gt;2013&lt;/year&gt;&lt;/dates&gt;&lt;pub-location&gt;Copenhagen, Denmark&lt;/pub-location&gt;&lt;publisher&gt;World Health Organization Regional Office for Europe,&lt;/publisher&gt;&lt;urls&gt;&lt;related-urls&gt;&lt;url&gt;http://data.euro.who.int/hfadb/&lt;/url&gt;&lt;/related-urls&gt;&lt;/urls&gt;&lt;/record&gt;&lt;/Cite&gt;&lt;/EndNote&gt;</w:instrText>
              </w:r>
              <w:r w:rsidR="00025DA0">
                <w:fldChar w:fldCharType="separate"/>
              </w:r>
              <w:r w:rsidR="00025DA0" w:rsidRPr="00782C0E">
                <w:rPr>
                  <w:noProof/>
                  <w:vertAlign w:val="superscript"/>
                </w:rPr>
                <w:t>5</w:t>
              </w:r>
              <w:r w:rsidR="00025DA0">
                <w:fldChar w:fldCharType="end"/>
              </w:r>
            </w:hyperlink>
          </w:p>
          <w:p w14:paraId="2C74B99F" w14:textId="77777777" w:rsidR="00973577" w:rsidRDefault="00973577" w:rsidP="002F6643"/>
          <w:p w14:paraId="1501DE2F" w14:textId="60867CC9" w:rsidR="00973577" w:rsidRDefault="00973577" w:rsidP="002F6643">
            <w:r>
              <w:t>I</w:t>
            </w:r>
            <w:r w:rsidRPr="00A5248F">
              <w:t>n 2012</w:t>
            </w:r>
            <w:r>
              <w:t>, h</w:t>
            </w:r>
            <w:r w:rsidRPr="00423023">
              <w:t xml:space="preserve">ealth expenditure </w:t>
            </w:r>
            <w:r w:rsidRPr="00AD5C7A">
              <w:t>from public sources</w:t>
            </w:r>
            <w:r w:rsidRPr="002952B0">
              <w:t xml:space="preserve"> </w:t>
            </w:r>
            <w:r w:rsidRPr="00F92DBE">
              <w:t>was</w:t>
            </w:r>
            <w:r w:rsidRPr="00A5248F">
              <w:t xml:space="preserve"> 45.5% </w:t>
            </w:r>
            <w:r>
              <w:t xml:space="preserve">of THE </w:t>
            </w:r>
            <w:r w:rsidRPr="00CA37AD">
              <w:t xml:space="preserve">compared to </w:t>
            </w:r>
            <w:r>
              <w:t>the</w:t>
            </w:r>
            <w:r w:rsidRPr="00CA37AD">
              <w:t xml:space="preserve"> </w:t>
            </w:r>
            <w:r>
              <w:t>EU average of 76.0%, illustrating the large role private sources play. P</w:t>
            </w:r>
            <w:r w:rsidRPr="00CA37AD">
              <w:t>ublic sector expenditure on health as a proport</w:t>
            </w:r>
            <w:r w:rsidRPr="00C77C2A">
              <w:t xml:space="preserve">ion of total government expenditure </w:t>
            </w:r>
            <w:r>
              <w:t>rose</w:t>
            </w:r>
            <w:r w:rsidRPr="00C77C2A">
              <w:t xml:space="preserve"> from 11.7% in 2007 to 13.</w:t>
            </w:r>
            <w:r>
              <w:t>3</w:t>
            </w:r>
            <w:r w:rsidRPr="00C77C2A">
              <w:t>% in 2012</w:t>
            </w:r>
            <w:r>
              <w:t xml:space="preserve"> –</w:t>
            </w:r>
            <w:r w:rsidRPr="00C77C2A">
              <w:t xml:space="preserve"> </w:t>
            </w:r>
            <w:r>
              <w:t>similar</w:t>
            </w:r>
            <w:r w:rsidRPr="001A2FE1">
              <w:t xml:space="preserve"> </w:t>
            </w:r>
            <w:r>
              <w:t xml:space="preserve">to </w:t>
            </w:r>
            <w:r w:rsidRPr="001A2FE1">
              <w:t xml:space="preserve">the </w:t>
            </w:r>
            <w:r w:rsidRPr="00225C78">
              <w:t>EU average of 15.</w:t>
            </w:r>
            <w:r>
              <w:t>2</w:t>
            </w:r>
            <w:r w:rsidRPr="00225C78">
              <w:t>%</w:t>
            </w:r>
            <w:r w:rsidRPr="00262E98">
              <w:t>.</w:t>
            </w:r>
            <w:hyperlink w:anchor="_ENREF_5" w:tooltip="World Health Organization Regional Office for Europe, 2013 #96" w:history="1">
              <w:r w:rsidR="00025DA0">
                <w:fldChar w:fldCharType="begin"/>
              </w:r>
              <w:r w:rsidR="00025DA0">
                <w:instrText xml:space="preserve"> ADDIN EN.CITE &lt;EndNote&gt;&lt;Cite&gt;&lt;Author&gt;World Health Organization Regional Office for Europe&lt;/Author&gt;&lt;Year&gt;2013&lt;/Year&gt;&lt;RecNum&gt;96&lt;/RecNum&gt;&lt;DisplayText&gt;&lt;style face="superscript"&gt;5&lt;/style&gt;&lt;/DisplayText&gt;&lt;record&gt;&lt;rec-number&gt;96&lt;/rec-number&gt;&lt;foreign-keys&gt;&lt;key app="EN" db-id="afate9rf5sat09edfarpdvt4xt0w0a2zp9fe"&gt;96&lt;/key&gt;&lt;/foreign-keys&gt;&lt;ref-type name="Web Page"&gt;12&lt;/ref-type&gt;&lt;contributors&gt;&lt;authors&gt;&lt;author&gt;World Health Organization Regional Office for Europe,&lt;/author&gt;&lt;/authors&gt;&lt;/contributors&gt;&lt;titles&gt;&lt;title&gt;European health for all database (HFA-DB)&lt;/title&gt;&lt;/titles&gt;&lt;volume&gt;2013&lt;/volume&gt;&lt;number&gt;8/11&lt;/number&gt;&lt;dates&gt;&lt;year&gt;2013&lt;/year&gt;&lt;/dates&gt;&lt;pub-location&gt;Copenhagen, Denmark&lt;/pub-location&gt;&lt;publisher&gt;World Health Organization Regional Office for Europe,&lt;/publisher&gt;&lt;urls&gt;&lt;related-urls&gt;&lt;url&gt;http://data.euro.who.int/hfadb/&lt;/url&gt;&lt;/related-urls&gt;&lt;/urls&gt;&lt;/record&gt;&lt;/Cite&gt;&lt;/EndNote&gt;</w:instrText>
              </w:r>
              <w:r w:rsidR="00025DA0">
                <w:fldChar w:fldCharType="separate"/>
              </w:r>
              <w:r w:rsidR="00025DA0" w:rsidRPr="00782C0E">
                <w:rPr>
                  <w:noProof/>
                  <w:vertAlign w:val="superscript"/>
                </w:rPr>
                <w:t>5</w:t>
              </w:r>
              <w:r w:rsidR="00025DA0">
                <w:fldChar w:fldCharType="end"/>
              </w:r>
            </w:hyperlink>
            <w:r w:rsidRPr="00262E98">
              <w:t xml:space="preserve"> </w:t>
            </w:r>
          </w:p>
          <w:p w14:paraId="03B56740" w14:textId="77777777" w:rsidR="00973577" w:rsidRDefault="00973577" w:rsidP="002F6643"/>
          <w:p w14:paraId="6146C23D" w14:textId="3C7F3D59" w:rsidR="00973577" w:rsidRDefault="00D14E74" w:rsidP="002F6643">
            <w:r>
              <w:t>T</w:t>
            </w:r>
            <w:r w:rsidR="00973577">
              <w:t xml:space="preserve">he majority </w:t>
            </w:r>
            <w:r>
              <w:t xml:space="preserve">of private health expenditures </w:t>
            </w:r>
            <w:r w:rsidR="00973577">
              <w:t>(83.2% in 2012)</w:t>
            </w:r>
            <w:r w:rsidR="00973577" w:rsidRPr="001B1BED">
              <w:t xml:space="preserve"> </w:t>
            </w:r>
            <w:r w:rsidR="00973577">
              <w:t>is OOP and has risen from 79.9% in 2003.</w:t>
            </w:r>
            <w:r w:rsidR="00973577" w:rsidRPr="000975EF">
              <w:t xml:space="preserve"> </w:t>
            </w:r>
            <w:r w:rsidR="00973577">
              <w:t>P</w:t>
            </w:r>
            <w:r w:rsidR="00973577" w:rsidRPr="00FF5A99">
              <w:t>harmaceutical</w:t>
            </w:r>
            <w:r>
              <w:t xml:space="preserve"> expenditures</w:t>
            </w:r>
            <w:r w:rsidR="00973577" w:rsidRPr="00FF5A99">
              <w:t xml:space="preserve"> </w:t>
            </w:r>
            <w:r w:rsidR="00973577">
              <w:t xml:space="preserve">accounted for </w:t>
            </w:r>
            <w:r w:rsidR="00973577" w:rsidRPr="00FF5A99">
              <w:t>72%</w:t>
            </w:r>
            <w:r w:rsidR="00973577">
              <w:t xml:space="preserve"> </w:t>
            </w:r>
            <w:r w:rsidR="00973577" w:rsidRPr="00FF5A99">
              <w:t xml:space="preserve">of the </w:t>
            </w:r>
            <w:r w:rsidR="00973577">
              <w:t>OOP payments</w:t>
            </w:r>
            <w:r w:rsidR="00973577" w:rsidRPr="00FF5A99">
              <w:t xml:space="preserve"> in 2010</w:t>
            </w:r>
            <w:r w:rsidR="00973577">
              <w:t>.</w:t>
            </w:r>
            <w:hyperlink w:anchor="_ENREF_16" w:tooltip="Sautenkova, 2012 #126" w:history="1">
              <w:r w:rsidR="00025DA0">
                <w:fldChar w:fldCharType="begin"/>
              </w:r>
              <w:r w:rsidR="00025DA0">
                <w:instrText xml:space="preserve"> ADDIN EN.CITE &lt;EndNote&gt;&lt;Cite&gt;&lt;Author&gt;Sautenkova&lt;/Author&gt;&lt;Year&gt;2012&lt;/Year&gt;&lt;RecNum&gt;126&lt;/RecNum&gt;&lt;DisplayText&gt;&lt;style face="superscript"&gt;16&lt;/style&gt;&lt;/DisplayText&gt;&lt;record&gt;&lt;rec-number&gt;126&lt;/rec-number&gt;&lt;foreign-keys&gt;&lt;key app="EN" db-id="afate9rf5sat09edfarpdvt4xt0w0a2zp9fe"&gt;126&lt;/key&gt;&lt;/foreign-keys&gt;&lt;ref-type name="Government Document"&gt;46&lt;/ref-type&gt;&lt;contributors&gt;&lt;authors&gt;&lt;author&gt;Sautenkova, Nina&lt;/author&gt;&lt;author&gt;Ferrario, Alessandra&lt;/author&gt;&lt;author&gt;Bolokhovets, Ganna&lt;/author&gt;&lt;author&gt;Kanavos, Panos&lt;/author&gt;&lt;/authors&gt;&lt;/contributors&gt;&lt;titles&gt;&lt;title&gt;Availability and Affordability of Medicines and Assessment of Quality Systems for Prescription of Medicines in the Republic of Moldova&lt;/title&gt;&lt;secondary-title&gt;Republic of Moldova Health Policy Series 6&lt;/secondary-title&gt;&lt;/titles&gt;&lt;dates&gt;&lt;year&gt;2012&lt;/year&gt;&lt;/dates&gt;&lt;pub-location&gt;Copenhagen, Denmark&lt;/pub-location&gt;&lt;publisher&gt;World Health Organization Regional Office for Europe&lt;/publisher&gt;&lt;urls&gt;&lt;/urls&gt;&lt;/record&gt;&lt;/Cite&gt;&lt;/EndNote&gt;</w:instrText>
              </w:r>
              <w:r w:rsidR="00025DA0">
                <w:fldChar w:fldCharType="separate"/>
              </w:r>
              <w:r w:rsidR="00025DA0" w:rsidRPr="00782C0E">
                <w:rPr>
                  <w:noProof/>
                  <w:vertAlign w:val="superscript"/>
                </w:rPr>
                <w:t>16</w:t>
              </w:r>
              <w:r w:rsidR="00025DA0">
                <w:fldChar w:fldCharType="end"/>
              </w:r>
            </w:hyperlink>
            <w:r w:rsidR="00973577" w:rsidRPr="000975EF">
              <w:t xml:space="preserve"> </w:t>
            </w:r>
          </w:p>
          <w:p w14:paraId="72967CA4" w14:textId="77777777" w:rsidR="00973577" w:rsidRDefault="00973577" w:rsidP="002F6643"/>
          <w:p w14:paraId="1238A1A8" w14:textId="6834D4CF" w:rsidR="00973577" w:rsidRPr="000337C4" w:rsidRDefault="00D14E74" w:rsidP="002F6643">
            <w:pPr>
              <w:rPr>
                <w:b/>
              </w:rPr>
            </w:pPr>
            <w:r>
              <w:rPr>
                <w:b/>
              </w:rPr>
              <w:t>Purchaser-</w:t>
            </w:r>
            <w:r w:rsidR="00973577" w:rsidRPr="000337C4">
              <w:rPr>
                <w:b/>
              </w:rPr>
              <w:t>provider split</w:t>
            </w:r>
          </w:p>
          <w:p w14:paraId="219E6A19" w14:textId="2A45B47E" w:rsidR="00973577" w:rsidRDefault="00FA6E37" w:rsidP="002F6643">
            <w:r>
              <w:t xml:space="preserve">In 2003, the creation of </w:t>
            </w:r>
            <w:r w:rsidR="00973577">
              <w:t xml:space="preserve">CNAM introduced a purchaser-provider split in Moldovan health system </w:t>
            </w:r>
            <w:r>
              <w:t xml:space="preserve">by separating health </w:t>
            </w:r>
            <w:r w:rsidR="00973577">
              <w:t>financing</w:t>
            </w:r>
            <w:r w:rsidR="00BC2E7A">
              <w:t xml:space="preserve"> and service delivery</w:t>
            </w:r>
            <w:r>
              <w:t>. CNAM</w:t>
            </w:r>
            <w:r w:rsidR="00973577">
              <w:t xml:space="preserve"> is responsible for direct contracting of hospitals and PHC providers,</w:t>
            </w:r>
            <w:r w:rsidR="00973577" w:rsidRPr="0097722E">
              <w:t xml:space="preserve"> </w:t>
            </w:r>
            <w:r w:rsidR="00973577">
              <w:t>and</w:t>
            </w:r>
            <w:r w:rsidR="00973577" w:rsidRPr="0097722E">
              <w:t xml:space="preserve"> for </w:t>
            </w:r>
            <w:r w:rsidR="00973577" w:rsidRPr="00881FA8">
              <w:t>85% of the government expenditure on health</w:t>
            </w:r>
            <w:hyperlink w:anchor="_ENREF_17" w:tooltip="Shishkin, 2012 #102" w:history="1">
              <w:r w:rsidR="00025DA0">
                <w:fldChar w:fldCharType="begin"/>
              </w:r>
              <w:r w:rsidR="00025DA0">
                <w:instrText xml:space="preserve"> ADDIN EN.CITE &lt;EndNote&gt;&lt;Cite&gt;&lt;Author&gt;Shishkin&lt;/Author&gt;&lt;Year&gt;2012&lt;/Year&gt;&lt;RecNum&gt;102&lt;/RecNum&gt;&lt;DisplayText&gt;&lt;style face="superscript"&gt;17&lt;/style&gt;&lt;/DisplayText&gt;&lt;record&gt;&lt;rec-number&gt;102&lt;/rec-number&gt;&lt;foreign-keys&gt;&lt;key app="EN" db-id="afate9rf5sat09edfarpdvt4xt0w0a2zp9fe"&gt;102&lt;/key&gt;&lt;/foreign-keys&gt;&lt;ref-type name="Report"&gt;27&lt;/ref-type&gt;&lt;contributors&gt;&lt;authors&gt;&lt;author&gt;Sergey Shishkin &lt;/author&gt;&lt;author&gt;Matthew Jowett &lt;/author&gt;&lt;/authors&gt;&lt;/contributors&gt;&lt;titles&gt;&lt;title&gt;A Review Of Health Financing Reforms In The Republic Of Moldova&lt;/title&gt;&lt;secondary-title&gt;Republic of Moldova Health Policy Paper Series&lt;/secondary-title&gt;&lt;/titles&gt;&lt;pages&gt;1-40&lt;/pages&gt;&lt;num-vols&gt;4&lt;/num-vols&gt;&lt;dates&gt;&lt;year&gt;2012&lt;/year&gt;&lt;/dates&gt;&lt;pub-location&gt;Copenhagen, Denmark&lt;/pub-location&gt;&lt;publisher&gt;WHO Regional Office for Europe&lt;/publisher&gt;&lt;urls&gt;&lt;/urls&gt;&lt;/record&gt;&lt;/Cite&gt;&lt;/EndNote&gt;</w:instrText>
              </w:r>
              <w:r w:rsidR="00025DA0">
                <w:fldChar w:fldCharType="separate"/>
              </w:r>
              <w:r w:rsidR="00025DA0" w:rsidRPr="00782C0E">
                <w:rPr>
                  <w:noProof/>
                  <w:vertAlign w:val="superscript"/>
                </w:rPr>
                <w:t>17</w:t>
              </w:r>
              <w:r w:rsidR="00025DA0">
                <w:fldChar w:fldCharType="end"/>
              </w:r>
            </w:hyperlink>
            <w:r w:rsidR="00973577" w:rsidRPr="001B1BED">
              <w:t xml:space="preserve">. </w:t>
            </w:r>
            <w:r w:rsidR="00973577" w:rsidRPr="000975EF">
              <w:t>Of this</w:t>
            </w:r>
            <w:r>
              <w:t xml:space="preserve"> expenditure</w:t>
            </w:r>
            <w:r w:rsidR="00973577" w:rsidRPr="000975EF">
              <w:t xml:space="preserve">, </w:t>
            </w:r>
            <w:r w:rsidR="00973577">
              <w:t>around</w:t>
            </w:r>
            <w:r w:rsidR="00973577" w:rsidRPr="000975EF">
              <w:t xml:space="preserve"> 49% </w:t>
            </w:r>
            <w:r w:rsidR="00973577">
              <w:t>was</w:t>
            </w:r>
            <w:r w:rsidR="00973577" w:rsidRPr="000975EF">
              <w:t xml:space="preserve"> spent on hospitals, 29</w:t>
            </w:r>
            <w:r w:rsidR="00973577" w:rsidRPr="00B6682D">
              <w:t xml:space="preserve">% on PHC, 9% on ambulance </w:t>
            </w:r>
            <w:r w:rsidR="00973577">
              <w:t>services</w:t>
            </w:r>
            <w:r w:rsidR="00973577" w:rsidRPr="00B6682D">
              <w:t>, 7% on specialized outpatient care</w:t>
            </w:r>
            <w:r w:rsidR="00973577" w:rsidRPr="000753CE">
              <w:t>, 4% on compensated</w:t>
            </w:r>
            <w:r w:rsidR="00973577" w:rsidRPr="00FF5A99">
              <w:t xml:space="preserve"> outpatient medicines, and 2% on </w:t>
            </w:r>
            <w:r w:rsidR="00973577">
              <w:t>complex healthcare services</w:t>
            </w:r>
            <w:r w:rsidR="00973577" w:rsidRPr="00FF5A99">
              <w:t xml:space="preserve"> (2011 data), with little variation in these proportions since 2007</w:t>
            </w:r>
            <w:hyperlink w:anchor="_ENREF_17" w:tooltip="Shishkin, 2012 #102" w:history="1">
              <w:r w:rsidR="00025DA0">
                <w:fldChar w:fldCharType="begin"/>
              </w:r>
              <w:r w:rsidR="00025DA0">
                <w:instrText xml:space="preserve"> ADDIN EN.CITE &lt;EndNote&gt;&lt;Cite&gt;&lt;Author&gt;Shishkin&lt;/Author&gt;&lt;Year&gt;2012&lt;/Year&gt;&lt;RecNum&gt;102&lt;/RecNum&gt;&lt;DisplayText&gt;&lt;style face="superscript"&gt;17&lt;/style&gt;&lt;/DisplayText&gt;&lt;record&gt;&lt;rec-number&gt;102&lt;/rec-number&gt;&lt;foreign-keys&gt;&lt;key app="EN" db-id="afate9rf5sat09edfarpdvt4xt0w0a2zp9fe"&gt;102&lt;/key&gt;&lt;/foreign-keys&gt;&lt;ref-type name="Report"&gt;27&lt;/ref-type&gt;&lt;contributors&gt;&lt;authors&gt;&lt;author&gt;Sergey Shishkin &lt;/author&gt;&lt;author&gt;Matthew Jowett &lt;/author&gt;&lt;/authors&gt;&lt;/contributors&gt;&lt;titles&gt;&lt;title&gt;A Review Of Health Financing Reforms In The Republic Of Moldova&lt;/title&gt;&lt;secondary-title&gt;Republic of Moldova Health Policy Paper Series&lt;/secondary-title&gt;&lt;/titles&gt;&lt;pages&gt;1-40&lt;/pages&gt;&lt;num-vols&gt;4&lt;/num-vols&gt;&lt;dates&gt;&lt;year&gt;2012&lt;/year&gt;&lt;/dates&gt;&lt;pub-location&gt;Copenhagen, Denmark&lt;/pub-location&gt;&lt;publisher&gt;WHO Regional Office for Europe&lt;/publisher&gt;&lt;urls&gt;&lt;/urls&gt;&lt;/record&gt;&lt;/Cite&gt;&lt;/EndNote&gt;</w:instrText>
              </w:r>
              <w:r w:rsidR="00025DA0">
                <w:fldChar w:fldCharType="separate"/>
              </w:r>
              <w:r w:rsidR="00025DA0" w:rsidRPr="00782C0E">
                <w:rPr>
                  <w:noProof/>
                  <w:vertAlign w:val="superscript"/>
                </w:rPr>
                <w:t>17</w:t>
              </w:r>
              <w:r w:rsidR="00025DA0">
                <w:fldChar w:fldCharType="end"/>
              </w:r>
            </w:hyperlink>
            <w:r w:rsidR="00973577" w:rsidRPr="001B1BED">
              <w:t>.</w:t>
            </w:r>
            <w:r w:rsidR="00973577" w:rsidRPr="000975EF">
              <w:t xml:space="preserve"> </w:t>
            </w:r>
          </w:p>
          <w:p w14:paraId="5559002C" w14:textId="77777777" w:rsidR="00973577" w:rsidRDefault="00973577" w:rsidP="002F6643"/>
          <w:p w14:paraId="52686F93" w14:textId="77777777" w:rsidR="00973577" w:rsidRPr="000337C4" w:rsidRDefault="00973577" w:rsidP="002F6643">
            <w:pPr>
              <w:rPr>
                <w:b/>
              </w:rPr>
            </w:pPr>
            <w:r w:rsidRPr="000337C4">
              <w:rPr>
                <w:b/>
              </w:rPr>
              <w:t>Geographical variation in health system financing</w:t>
            </w:r>
          </w:p>
          <w:p w14:paraId="0B8D4135" w14:textId="7116BE95" w:rsidR="00973577" w:rsidRPr="00973577" w:rsidRDefault="00973577" w:rsidP="00025DA0">
            <w:r>
              <w:t>H</w:t>
            </w:r>
            <w:r w:rsidRPr="00FF5A99">
              <w:t xml:space="preserve">ealthcare spending across </w:t>
            </w:r>
            <w:r>
              <w:t>regions (</w:t>
            </w:r>
            <w:proofErr w:type="spellStart"/>
            <w:r>
              <w:t>rayons</w:t>
            </w:r>
            <w:proofErr w:type="spellEnd"/>
            <w:r>
              <w:t xml:space="preserve">) </w:t>
            </w:r>
            <w:r w:rsidR="00FA6E37">
              <w:t xml:space="preserve">has been </w:t>
            </w:r>
            <w:r>
              <w:t>uneven</w:t>
            </w:r>
            <w:r w:rsidR="00FA6E37">
              <w:t>,</w:t>
            </w:r>
            <w:r>
              <w:t xml:space="preserve"> with </w:t>
            </w:r>
            <w:r w:rsidRPr="00FF5A99">
              <w:t xml:space="preserve">per capita funding across </w:t>
            </w:r>
            <w:proofErr w:type="spellStart"/>
            <w:r w:rsidRPr="00FF5A99">
              <w:t>rayons</w:t>
            </w:r>
            <w:proofErr w:type="spellEnd"/>
            <w:r>
              <w:t xml:space="preserve"> in 2003</w:t>
            </w:r>
            <w:r w:rsidRPr="00FF5A99">
              <w:t xml:space="preserve"> </w:t>
            </w:r>
            <w:r>
              <w:t xml:space="preserve">differing </w:t>
            </w:r>
            <w:r w:rsidRPr="00FF5A99">
              <w:t>by a factor of 4.6</w:t>
            </w:r>
            <w:r>
              <w:t xml:space="preserve">. Urban </w:t>
            </w:r>
            <w:proofErr w:type="spellStart"/>
            <w:r w:rsidRPr="004E5EAC">
              <w:t>rayons</w:t>
            </w:r>
            <w:proofErr w:type="spellEnd"/>
            <w:r w:rsidRPr="004E5EAC">
              <w:t xml:space="preserve"> </w:t>
            </w:r>
            <w:r>
              <w:t xml:space="preserve">received a substantially greater share of funds </w:t>
            </w:r>
            <w:r w:rsidRPr="004E5EAC">
              <w:t xml:space="preserve">due to </w:t>
            </w:r>
            <w:r w:rsidRPr="00FF5A99">
              <w:t>concentrat</w:t>
            </w:r>
            <w:r>
              <w:t>ion of</w:t>
            </w:r>
            <w:r w:rsidRPr="00FF5A99">
              <w:t xml:space="preserve"> hospital and specialist care. </w:t>
            </w:r>
            <w:r>
              <w:t>F</w:t>
            </w:r>
            <w:r w:rsidRPr="00FF5A99">
              <w:t xml:space="preserve">ollowing financial reorganization </w:t>
            </w:r>
            <w:r>
              <w:t xml:space="preserve">in 2004 that </w:t>
            </w:r>
            <w:r w:rsidRPr="00FF5A99">
              <w:t>centrali</w:t>
            </w:r>
            <w:r>
              <w:t>s</w:t>
            </w:r>
            <w:r w:rsidRPr="00FF5A99">
              <w:t xml:space="preserve">ed pooling </w:t>
            </w:r>
            <w:r>
              <w:t xml:space="preserve">of funds </w:t>
            </w:r>
            <w:r w:rsidRPr="00FF5A99">
              <w:t xml:space="preserve">with CNAM, in 2010 the difference </w:t>
            </w:r>
            <w:r>
              <w:t>fell to</w:t>
            </w:r>
            <w:r w:rsidRPr="00FF5A99">
              <w:t xml:space="preserve"> 3.8.</w:t>
            </w:r>
            <w:hyperlink w:anchor="_ENREF_17" w:tooltip="Shishkin, 2012 #102" w:history="1">
              <w:r w:rsidR="00025DA0">
                <w:fldChar w:fldCharType="begin"/>
              </w:r>
              <w:r w:rsidR="00025DA0">
                <w:instrText xml:space="preserve"> ADDIN EN.CITE &lt;EndNote&gt;&lt;Cite&gt;&lt;Author&gt;Shishkin&lt;/Author&gt;&lt;Year&gt;2012&lt;/Year&gt;&lt;RecNum&gt;102&lt;/RecNum&gt;&lt;DisplayText&gt;&lt;style face="superscript"&gt;17&lt;/style&gt;&lt;/DisplayText&gt;&lt;record&gt;&lt;rec-number&gt;102&lt;/rec-number&gt;&lt;foreign-keys&gt;&lt;key app="EN" db-id="afate9rf5sat09edfarpdvt4xt0w0a2zp9fe"&gt;102&lt;/key&gt;&lt;/foreign-keys&gt;&lt;ref-type name="Report"&gt;27&lt;/ref-type&gt;&lt;contributors&gt;&lt;authors&gt;&lt;author&gt;Sergey Shishkin &lt;/author&gt;&lt;author&gt;Matthew Jowett &lt;/author&gt;&lt;/authors&gt;&lt;/contributors&gt;&lt;titles&gt;&lt;title&gt;A Review Of Health Financing Reforms In The Republic Of Moldova&lt;/title&gt;&lt;secondary-title&gt;Republic of Moldova Health Policy Paper Series&lt;/secondary-title&gt;&lt;/titles&gt;&lt;pages&gt;1-40&lt;/pages&gt;&lt;num-vols&gt;4&lt;/num-vols&gt;&lt;dates&gt;&lt;year&gt;2012&lt;/year&gt;&lt;/dates&gt;&lt;pub-location&gt;Copenhagen, Denmark&lt;/pub-location&gt;&lt;publisher&gt;WHO Regional Office for Europe&lt;/publisher&gt;&lt;urls&gt;&lt;/urls&gt;&lt;/record&gt;&lt;/Cite&gt;&lt;/EndNote&gt;</w:instrText>
              </w:r>
              <w:r w:rsidR="00025DA0">
                <w:fldChar w:fldCharType="separate"/>
              </w:r>
              <w:r w:rsidR="00025DA0" w:rsidRPr="00782C0E">
                <w:rPr>
                  <w:noProof/>
                  <w:vertAlign w:val="superscript"/>
                </w:rPr>
                <w:t>17</w:t>
              </w:r>
              <w:r w:rsidR="00025DA0">
                <w:fldChar w:fldCharType="end"/>
              </w:r>
            </w:hyperlink>
          </w:p>
        </w:tc>
      </w:tr>
    </w:tbl>
    <w:p w14:paraId="50127227" w14:textId="77777777" w:rsidR="008B479C" w:rsidRDefault="008B479C" w:rsidP="002F6643">
      <w:pPr>
        <w:pStyle w:val="Heading1"/>
      </w:pPr>
      <w:r w:rsidRPr="00096822">
        <w:lastRenderedPageBreak/>
        <w:t>Methods</w:t>
      </w:r>
    </w:p>
    <w:p w14:paraId="6EB21137" w14:textId="77777777" w:rsidR="00F75E21" w:rsidRPr="00F75E21" w:rsidRDefault="00F75E21" w:rsidP="002F6643">
      <w:pPr>
        <w:pStyle w:val="Heading2"/>
      </w:pPr>
      <w:r>
        <w:t>Analytical framework</w:t>
      </w:r>
    </w:p>
    <w:p w14:paraId="263C7457" w14:textId="2E005B42" w:rsidR="00705BF2" w:rsidRDefault="00943834" w:rsidP="002F6643">
      <w:r>
        <w:t>The study uses</w:t>
      </w:r>
      <w:r w:rsidR="001D74F4" w:rsidRPr="004E5EAC">
        <w:t xml:space="preserve"> </w:t>
      </w:r>
      <w:r w:rsidR="00FC42AB">
        <w:t>a health systems</w:t>
      </w:r>
      <w:r w:rsidR="008B479C" w:rsidRPr="00914867">
        <w:t xml:space="preserve"> </w:t>
      </w:r>
      <w:r w:rsidR="008B479C" w:rsidRPr="00C21DBC">
        <w:t>framework</w:t>
      </w:r>
      <w:r w:rsidR="00821C61">
        <w:fldChar w:fldCharType="begin">
          <w:fldData xml:space="preserve">PEVuZE5vdGU+PENpdGU+PEF1dGhvcj5BdHVuPC9BdXRob3I+PFllYXI+MjAxNDwvWWVhcj48UmVj
TnVtPjIxMDwvUmVjTnVtPjxEaXNwbGF5VGV4dD48c3R5bGUgZmFjZT0ic3VwZXJzY3JpcHQiPjE4
LDE5PC9zdHlsZT48L0Rpc3BsYXlUZXh0PjxyZWNvcmQ+PHJlYy1udW1iZXI+MjEwPC9yZWMtbnVt
YmVyPjxmb3JlaWduLWtleXM+PGtleSBhcHA9IkVOIiBkYi1pZD0iYWZhdGU5cmY1c2F0MDllZGZh
cnBkdnQ0eHQwdzBhMnpwOWZlIj4yMTA8L2tleT48L2ZvcmVpZ24ta2V5cz48cmVmLXR5cGUgbmFt
ZT0iSm91cm5hbCBBcnRpY2xlIj4xNzwvcmVmLXR5cGU+PGNvbnRyaWJ1dG9ycz48YXV0aG9ycz48
YXV0aG9yPkF0dW4sIFJpZmF0PC9hdXRob3I+PGF1dGhvcj5kZSBBbmRyYWRlLCBMdWl6IE9kb3Jp
Y28gTW9udGVpcm88L2F1dGhvcj48YXV0aG9yPkFsbWVpZGEsIEdpc2VsZTwvYXV0aG9yPjxhdXRo
b3I+Q290bGVhciwgRGFuaWVsPC9hdXRob3I+PGF1dGhvcj5EbXl0cmFjemVua28sIFQ8L2F1dGhv
cj48YXV0aG9yPkZyZW56LCBQYXRyaWNpYTwvYXV0aG9yPjxhdXRob3I+R2FyY2lhLCBQYXRyw61j
aWE8L2F1dGhvcj48YXV0aG9yPkfDs21lei1EYW50w6lzLCBPY3RhdmlvPC9hdXRob3I+PGF1dGhv
cj5LbmF1bCwgRmVsaWNpYSBNPC9hdXRob3I+PGF1dGhvcj5NdW50YW5lciwgQ2FybGVzPC9hdXRo
b3I+PC9hdXRob3JzPjwvY29udHJpYnV0b3JzPjx0aXRsZXM+PHRpdGxlPkhlYWx0aC1zeXN0ZW0g
cmVmb3JtIGFuZCB1bml2ZXJzYWwgaGVhbHRoIGNvdmVyYWdlIGluIExhdGluIEFtZXJpY2E8L3Rp
dGxlPjxzZWNvbmRhcnktdGl0bGU+VGhlIExhbmNldDwvc2Vjb25kYXJ5LXRpdGxlPjwvdGl0bGVz
PjxwZXJpb2RpY2FsPjxmdWxsLXRpdGxlPlRoZSBMYW5jZXQ8L2Z1bGwtdGl0bGU+PC9wZXJpb2Rp
Y2FsPjxkYXRlcz48eWVhcj4yMDE0PC95ZWFyPjwvZGF0ZXM+PGlzYm4+MDE0MC02NzM2PC9pc2Ju
Pjx1cmxzPjwvdXJscz48L3JlY29yZD48L0NpdGU+PENpdGU+PEF1dGhvcj5BdHVuPC9BdXRob3I+
PFllYXI+MjAxMzwvWWVhcj48UmVjTnVtPjI2PC9SZWNOdW0+PHJlY29yZD48cmVjLW51bWJlcj4y
NjwvcmVjLW51bWJlcj48Zm9yZWlnbi1rZXlzPjxrZXkgYXBwPSJFTiIgZGItaWQ9ImFmYXRlOXJm
NXNhdDA5ZWRmYXJwZHZ0NHh0MHcwYTJ6cDlmZSI+MjY8L2tleT48L2ZvcmVpZ24ta2V5cz48cmVm
LXR5cGUgbmFtZT0iSm91cm5hbCBBcnRpY2xlIj4xNzwvcmVmLXR5cGU+PGNvbnRyaWJ1dG9ycz48
YXV0aG9ycz48YXV0aG9yPkF0dW4sIFJpZmF0PC9hdXRob3I+PGF1dGhvcj5BeWTEsW4sIFNhYmFo
YXR0aW48L2F1dGhvcj48YXV0aG9yPkNoYWtyYWJvcnR5LCBTYXJiYW5pPC9hdXRob3I+PGF1dGhv
cj5Tw7xtZXIsIFNhZmlyPC9hdXRob3I+PGF1dGhvcj5BcmFuLCBNZWx0ZW08L2F1dGhvcj48YXV0
aG9yPkfDvHJvbCwgSXBlazwvYXV0aG9yPjxhdXRob3I+TmF6bMSxb8SfbHUsIFNlcnBpbDwvYXV0
aG9yPjxhdXRob3I+w5Z6Z8O8bGPDvCwgZW5heTwvYXV0aG9yPjxhdXRob3I+QXlkb8SfYW4sIMOc
bGdlcjwvYXV0aG9yPjxhdXRob3I+QXlhciwgQmFudTwvYXV0aG9yPjxhdXRob3I+RGlsbWVuLCBV
LiB1cjwvYXV0aG9yPjxhdXRob3I+QWtkYcSfLCBSZWNlcDwvYXV0aG9yPjwvYXV0aG9ycz48L2Nv
bnRyaWJ1dG9ycz48dGl0bGVzPjx0aXRsZT5Vbml2ZXJzYWwgaGVhbHRoIGNvdmVyYWdlIGluIFR1
cmtleTogZW5oYW5jZW1lbnQgb2YgZXF1aXR5PC90aXRsZT48c2Vjb25kYXJ5LXRpdGxlPlRoZSBM
YW5jZXQ8L3NlY29uZGFyeS10aXRsZT48L3RpdGxlcz48cGVyaW9kaWNhbD48ZnVsbC10aXRsZT5U
aGUgTGFuY2V0PC9mdWxsLXRpdGxlPjwvcGVyaW9kaWNhbD48cGFnZXM+NjUtOTk8L3BhZ2VzPjx2
b2x1bWU+MzgyPC92b2x1bWU+PG51bWJlcj45ODg2PC9udW1iZXI+PGRhdGVzPjx5ZWFyPjIwMTM8
L3llYXI+PC9kYXRlcz48aXNibj4wMTQwLTY3MzY8L2lzYm4+PHVybHM+PHJlbGF0ZWQtdXJscz48
dXJsPmh0dHA6Ly9saW5raW5naHViLmVsc2V2aWVyLmNvbS9yZXRyaWV2ZS9waWkvUzAxNDA2NzM2
MTM2MTA1MVg8L3VybD48L3JlbGF0ZWQtdXJscz48L3VybHM+PC9yZWNvcmQ+PC9DaXRlPjwvRW5k
Tm90ZT5=
</w:fldData>
        </w:fldChar>
      </w:r>
      <w:r w:rsidR="00782C0E">
        <w:instrText xml:space="preserve"> ADDIN EN.CITE </w:instrText>
      </w:r>
      <w:r w:rsidR="00782C0E">
        <w:fldChar w:fldCharType="begin">
          <w:fldData xml:space="preserve">PEVuZE5vdGU+PENpdGU+PEF1dGhvcj5BdHVuPC9BdXRob3I+PFllYXI+MjAxNDwvWWVhcj48UmVj
TnVtPjIxMDwvUmVjTnVtPjxEaXNwbGF5VGV4dD48c3R5bGUgZmFjZT0ic3VwZXJzY3JpcHQiPjE4
LDE5PC9zdHlsZT48L0Rpc3BsYXlUZXh0PjxyZWNvcmQ+PHJlYy1udW1iZXI+MjEwPC9yZWMtbnVt
YmVyPjxmb3JlaWduLWtleXM+PGtleSBhcHA9IkVOIiBkYi1pZD0iYWZhdGU5cmY1c2F0MDllZGZh
cnBkdnQ0eHQwdzBhMnpwOWZlIj4yMTA8L2tleT48L2ZvcmVpZ24ta2V5cz48cmVmLXR5cGUgbmFt
ZT0iSm91cm5hbCBBcnRpY2xlIj4xNzwvcmVmLXR5cGU+PGNvbnRyaWJ1dG9ycz48YXV0aG9ycz48
YXV0aG9yPkF0dW4sIFJpZmF0PC9hdXRob3I+PGF1dGhvcj5kZSBBbmRyYWRlLCBMdWl6IE9kb3Jp
Y28gTW9udGVpcm88L2F1dGhvcj48YXV0aG9yPkFsbWVpZGEsIEdpc2VsZTwvYXV0aG9yPjxhdXRo
b3I+Q290bGVhciwgRGFuaWVsPC9hdXRob3I+PGF1dGhvcj5EbXl0cmFjemVua28sIFQ8L2F1dGhv
cj48YXV0aG9yPkZyZW56LCBQYXRyaWNpYTwvYXV0aG9yPjxhdXRob3I+R2FyY2lhLCBQYXRyw61j
aWE8L2F1dGhvcj48YXV0aG9yPkfDs21lei1EYW50w6lzLCBPY3RhdmlvPC9hdXRob3I+PGF1dGhv
cj5LbmF1bCwgRmVsaWNpYSBNPC9hdXRob3I+PGF1dGhvcj5NdW50YW5lciwgQ2FybGVzPC9hdXRo
b3I+PC9hdXRob3JzPjwvY29udHJpYnV0b3JzPjx0aXRsZXM+PHRpdGxlPkhlYWx0aC1zeXN0ZW0g
cmVmb3JtIGFuZCB1bml2ZXJzYWwgaGVhbHRoIGNvdmVyYWdlIGluIExhdGluIEFtZXJpY2E8L3Rp
dGxlPjxzZWNvbmRhcnktdGl0bGU+VGhlIExhbmNldDwvc2Vjb25kYXJ5LXRpdGxlPjwvdGl0bGVz
PjxwZXJpb2RpY2FsPjxmdWxsLXRpdGxlPlRoZSBMYW5jZXQ8L2Z1bGwtdGl0bGU+PC9wZXJpb2Rp
Y2FsPjxkYXRlcz48eWVhcj4yMDE0PC95ZWFyPjwvZGF0ZXM+PGlzYm4+MDE0MC02NzM2PC9pc2Ju
Pjx1cmxzPjwvdXJscz48L3JlY29yZD48L0NpdGU+PENpdGU+PEF1dGhvcj5BdHVuPC9BdXRob3I+
PFllYXI+MjAxMzwvWWVhcj48UmVjTnVtPjI2PC9SZWNOdW0+PHJlY29yZD48cmVjLW51bWJlcj4y
NjwvcmVjLW51bWJlcj48Zm9yZWlnbi1rZXlzPjxrZXkgYXBwPSJFTiIgZGItaWQ9ImFmYXRlOXJm
NXNhdDA5ZWRmYXJwZHZ0NHh0MHcwYTJ6cDlmZSI+MjY8L2tleT48L2ZvcmVpZ24ta2V5cz48cmVm
LXR5cGUgbmFtZT0iSm91cm5hbCBBcnRpY2xlIj4xNzwvcmVmLXR5cGU+PGNvbnRyaWJ1dG9ycz48
YXV0aG9ycz48YXV0aG9yPkF0dW4sIFJpZmF0PC9hdXRob3I+PGF1dGhvcj5BeWTEsW4sIFNhYmFo
YXR0aW48L2F1dGhvcj48YXV0aG9yPkNoYWtyYWJvcnR5LCBTYXJiYW5pPC9hdXRob3I+PGF1dGhv
cj5Tw7xtZXIsIFNhZmlyPC9hdXRob3I+PGF1dGhvcj5BcmFuLCBNZWx0ZW08L2F1dGhvcj48YXV0
aG9yPkfDvHJvbCwgSXBlazwvYXV0aG9yPjxhdXRob3I+TmF6bMSxb8SfbHUsIFNlcnBpbDwvYXV0
aG9yPjxhdXRob3I+w5Z6Z8O8bGPDvCwgZW5heTwvYXV0aG9yPjxhdXRob3I+QXlkb8SfYW4sIMOc
bGdlcjwvYXV0aG9yPjxhdXRob3I+QXlhciwgQmFudTwvYXV0aG9yPjxhdXRob3I+RGlsbWVuLCBV
LiB1cjwvYXV0aG9yPjxhdXRob3I+QWtkYcSfLCBSZWNlcDwvYXV0aG9yPjwvYXV0aG9ycz48L2Nv
bnRyaWJ1dG9ycz48dGl0bGVzPjx0aXRsZT5Vbml2ZXJzYWwgaGVhbHRoIGNvdmVyYWdlIGluIFR1
cmtleTogZW5oYW5jZW1lbnQgb2YgZXF1aXR5PC90aXRsZT48c2Vjb25kYXJ5LXRpdGxlPlRoZSBM
YW5jZXQ8L3NlY29uZGFyeS10aXRsZT48L3RpdGxlcz48cGVyaW9kaWNhbD48ZnVsbC10aXRsZT5U
aGUgTGFuY2V0PC9mdWxsLXRpdGxlPjwvcGVyaW9kaWNhbD48cGFnZXM+NjUtOTk8L3BhZ2VzPjx2
b2x1bWU+MzgyPC92b2x1bWU+PG51bWJlcj45ODg2PC9udW1iZXI+PGRhdGVzPjx5ZWFyPjIwMTM8
L3llYXI+PC9kYXRlcz48aXNibj4wMTQwLTY3MzY8L2lzYm4+PHVybHM+PHJlbGF0ZWQtdXJscz48
dXJsPmh0dHA6Ly9saW5raW5naHViLmVsc2V2aWVyLmNvbS9yZXRyaWV2ZS9waWkvUzAxNDA2NzM2
MTM2MTA1MVg8L3VybD48L3JlbGF0ZWQtdXJscz48L3VybHM+PC9yZWNvcmQ+PC9DaXRlPjwvRW5k
Tm90ZT5=
</w:fldData>
        </w:fldChar>
      </w:r>
      <w:r w:rsidR="00782C0E">
        <w:instrText xml:space="preserve"> ADDIN EN.CITE.DATA </w:instrText>
      </w:r>
      <w:r w:rsidR="00782C0E">
        <w:fldChar w:fldCharType="end"/>
      </w:r>
      <w:r w:rsidR="00821C61">
        <w:fldChar w:fldCharType="separate"/>
      </w:r>
      <w:hyperlink w:anchor="_ENREF_18" w:tooltip="Atun, 2014 #210" w:history="1">
        <w:r w:rsidR="00025DA0" w:rsidRPr="00782C0E">
          <w:rPr>
            <w:noProof/>
            <w:vertAlign w:val="superscript"/>
          </w:rPr>
          <w:t>18</w:t>
        </w:r>
      </w:hyperlink>
      <w:r w:rsidR="00782C0E" w:rsidRPr="00782C0E">
        <w:rPr>
          <w:noProof/>
          <w:vertAlign w:val="superscript"/>
        </w:rPr>
        <w:t>,</w:t>
      </w:r>
      <w:hyperlink w:anchor="_ENREF_19" w:tooltip="Atun, 2013 #26" w:history="1">
        <w:r w:rsidR="00025DA0" w:rsidRPr="00782C0E">
          <w:rPr>
            <w:noProof/>
            <w:vertAlign w:val="superscript"/>
          </w:rPr>
          <w:t>19</w:t>
        </w:r>
      </w:hyperlink>
      <w:r w:rsidR="00821C61">
        <w:fldChar w:fldCharType="end"/>
      </w:r>
      <w:r w:rsidR="00705BF2">
        <w:t>,</w:t>
      </w:r>
      <w:hyperlink w:anchor="_ENREF_10" w:tooltip="Atun, 2013 #26" w:history="1"/>
      <w:r w:rsidR="00705BF2">
        <w:t xml:space="preserve"> to</w:t>
      </w:r>
      <w:r w:rsidR="00705BF2" w:rsidRPr="00EF6F69">
        <w:t xml:space="preserve"> </w:t>
      </w:r>
      <w:r>
        <w:t>guide the</w:t>
      </w:r>
      <w:r w:rsidR="00F75E21">
        <w:t xml:space="preserve"> analysis (Panel </w:t>
      </w:r>
      <w:r w:rsidR="00973577">
        <w:t>2</w:t>
      </w:r>
      <w:r w:rsidR="00F75E21">
        <w:t>).</w:t>
      </w:r>
      <w:r w:rsidR="00805A5B">
        <w:t xml:space="preserve"> </w:t>
      </w:r>
      <w:r w:rsidR="00705BF2">
        <w:t xml:space="preserve">The framework </w:t>
      </w:r>
      <w:r w:rsidR="006C6B3B" w:rsidRPr="00632059">
        <w:t xml:space="preserve">builds </w:t>
      </w:r>
      <w:r w:rsidR="006C6B3B" w:rsidRPr="00FA0685">
        <w:t>on</w:t>
      </w:r>
      <w:r w:rsidR="00E429FF" w:rsidRPr="00C21DBC">
        <w:t xml:space="preserve"> </w:t>
      </w:r>
      <w:r w:rsidR="00FA6E37">
        <w:rPr>
          <w:i/>
        </w:rPr>
        <w:t xml:space="preserve">earlier </w:t>
      </w:r>
      <w:r w:rsidR="00FA6E37" w:rsidRPr="00FF5A99">
        <w:t>appro</w:t>
      </w:r>
      <w:r w:rsidR="00FA6E37" w:rsidRPr="004A3181">
        <w:t>ac</w:t>
      </w:r>
      <w:r w:rsidR="00FA6E37" w:rsidRPr="004E5EAC">
        <w:t>he</w:t>
      </w:r>
      <w:r w:rsidR="00FA6E37" w:rsidRPr="00413258">
        <w:t>s</w:t>
      </w:r>
      <w:r w:rsidR="00FA6E37" w:rsidRPr="00FA6E37">
        <w:t xml:space="preserve"> </w:t>
      </w:r>
      <w:r w:rsidR="00FA6E37" w:rsidRPr="00413258">
        <w:t xml:space="preserve">used to analyse </w:t>
      </w:r>
      <w:r w:rsidR="00FA6E37" w:rsidRPr="002E3FCD">
        <w:t>health system reforms</w:t>
      </w:r>
      <w:hyperlink w:anchor="_ENREF_20" w:tooltip="World Health Organization, 2007 #108" w:history="1">
        <w:r w:rsidR="00025DA0">
          <w:rPr>
            <w:i/>
          </w:rPr>
          <w:fldChar w:fldCharType="begin"/>
        </w:r>
        <w:r w:rsidR="00025DA0">
          <w:rPr>
            <w:i/>
          </w:rPr>
          <w:instrText xml:space="preserve"> ADDIN EN.CITE &lt;EndNote&gt;&lt;Cite&gt;&lt;Author&gt;World Health Organization&lt;/Author&gt;&lt;Year&gt;2007&lt;/Year&gt;&lt;RecNum&gt;108&lt;/RecNum&gt;&lt;DisplayText&gt;&lt;style face="superscript"&gt;20&lt;/style&gt;&lt;/DisplayText&gt;&lt;record&gt;&lt;rec-number&gt;108&lt;/rec-number&gt;&lt;foreign-keys&gt;&lt;key app="EN" db-id="afate9rf5sat09edfarpdvt4xt0w0a2zp9fe"&gt;108&lt;/key&gt;&lt;/foreign-keys&gt;&lt;ref-type name="Report"&gt;27&lt;/ref-type&gt;&lt;contributors&gt;&lt;authors&gt;&lt;author&gt;World Health Organization,&lt;/author&gt;&lt;/authors&gt;&lt;/contributors&gt;&lt;titles&gt;&lt;title&gt;Everybody&amp;apos;s business--strengthening health systems to improve health outcomes: WHO&amp;apos;s framework for action&lt;/title&gt;&lt;/titles&gt;&lt;dates&gt;&lt;year&gt;2007&lt;/year&gt;&lt;/dates&gt;&lt;pub-location&gt;Geneva, Swtizerland&lt;/pub-location&gt;&lt;publisher&gt;World Health Organization&lt;/publisher&gt;&lt;urls&gt;&lt;/urls&gt;&lt;/record&gt;&lt;/Cite&gt;&lt;/EndNote&gt;</w:instrText>
        </w:r>
        <w:r w:rsidR="00025DA0">
          <w:rPr>
            <w:i/>
          </w:rPr>
          <w:fldChar w:fldCharType="separate"/>
        </w:r>
        <w:r w:rsidR="00025DA0" w:rsidRPr="00782C0E">
          <w:rPr>
            <w:i/>
            <w:noProof/>
            <w:vertAlign w:val="superscript"/>
          </w:rPr>
          <w:t>20</w:t>
        </w:r>
        <w:r w:rsidR="00025DA0">
          <w:rPr>
            <w:i/>
          </w:rPr>
          <w:fldChar w:fldCharType="end"/>
        </w:r>
      </w:hyperlink>
      <w:r w:rsidR="00FA6E37" w:rsidRPr="009C2BBA">
        <w:rPr>
          <w:i/>
          <w:vertAlign w:val="superscript"/>
        </w:rPr>
        <w:t>,</w:t>
      </w:r>
      <w:hyperlink w:anchor="_ENREF_21" w:tooltip="Roberts, 2003 #70" w:history="1">
        <w:r w:rsidR="00025DA0">
          <w:rPr>
            <w:i/>
          </w:rPr>
          <w:fldChar w:fldCharType="begin"/>
        </w:r>
        <w:r w:rsidR="00025DA0">
          <w:rPr>
            <w:i/>
          </w:rPr>
          <w:instrText xml:space="preserve"> ADDIN EN.CITE &lt;EndNote&gt;&lt;Cite&gt;&lt;Author&gt;Roberts&lt;/Author&gt;&lt;Year&gt;2003&lt;/Year&gt;&lt;RecNum&gt;70&lt;/RecNum&gt;&lt;DisplayText&gt;&lt;style face="superscript"&gt;21&lt;/style&gt;&lt;/DisplayText&gt;&lt;record&gt;&lt;rec-number&gt;70&lt;/rec-number&gt;&lt;foreign-keys&gt;&lt;key app="EN" db-id="afate9rf5sat09edfarpdvt4xt0w0a2zp9fe"&gt;70&lt;/key&gt;&lt;/foreign-keys&gt;&lt;ref-type name="Book"&gt;6&lt;/ref-type&gt;&lt;contributors&gt;&lt;authors&gt;&lt;author&gt;Roberts, Marc&lt;/author&gt;&lt;author&gt;Hsiao, William&lt;/author&gt;&lt;author&gt;Berman, Peter&lt;/author&gt;&lt;author&gt;Reich, Michael&lt;/author&gt;&lt;/authors&gt;&lt;/contributors&gt;&lt;titles&gt;&lt;title&gt;Getting health reform right: a guide to improving performance and equity&lt;/title&gt;&lt;/titles&gt;&lt;dates&gt;&lt;year&gt;2003&lt;/year&gt;&lt;/dates&gt;&lt;publisher&gt;Oxford university press&lt;/publisher&gt;&lt;isbn&gt;0199888167&lt;/isbn&gt;&lt;urls&gt;&lt;/urls&gt;&lt;/record&gt;&lt;/Cite&gt;&lt;/EndNote&gt;</w:instrText>
        </w:r>
        <w:r w:rsidR="00025DA0">
          <w:rPr>
            <w:i/>
          </w:rPr>
          <w:fldChar w:fldCharType="separate"/>
        </w:r>
        <w:r w:rsidR="00025DA0" w:rsidRPr="00782C0E">
          <w:rPr>
            <w:i/>
            <w:noProof/>
            <w:vertAlign w:val="superscript"/>
          </w:rPr>
          <w:t>21</w:t>
        </w:r>
        <w:r w:rsidR="00025DA0">
          <w:rPr>
            <w:i/>
          </w:rPr>
          <w:fldChar w:fldCharType="end"/>
        </w:r>
      </w:hyperlink>
      <w:r w:rsidR="00C00F71" w:rsidRPr="00413258">
        <w:t>.</w:t>
      </w:r>
      <w:r w:rsidR="00E429FF" w:rsidRPr="00632059">
        <w:t xml:space="preserve"> </w:t>
      </w:r>
      <w:r w:rsidR="00FA6E37">
        <w:t>T</w:t>
      </w:r>
      <w:r w:rsidR="00BC2E7A">
        <w:t xml:space="preserve">he </w:t>
      </w:r>
      <w:r w:rsidR="00C173FF">
        <w:t xml:space="preserve">national </w:t>
      </w:r>
      <w:r w:rsidR="00821C61" w:rsidRPr="00313C14">
        <w:t>Healthcare Development Strategy 2008</w:t>
      </w:r>
      <w:r w:rsidR="00BC2E7A">
        <w:rPr>
          <w:i/>
        </w:rPr>
        <w:t>-</w:t>
      </w:r>
      <w:r w:rsidR="00821C61" w:rsidRPr="00313C14">
        <w:t>2017</w:t>
      </w:r>
      <w:r w:rsidR="00BC2E7A">
        <w:t xml:space="preserve"> follows </w:t>
      </w:r>
      <w:r w:rsidR="00FA6E37">
        <w:t xml:space="preserve">a </w:t>
      </w:r>
      <w:r w:rsidR="00BC2E7A">
        <w:t>similar structure</w:t>
      </w:r>
      <w:r w:rsidR="00FA6E37">
        <w:t xml:space="preserve"> to the health systems framework used in the study, enabling analysis of changes in </w:t>
      </w:r>
      <w:r w:rsidR="00DA2501">
        <w:t xml:space="preserve">health system goal of </w:t>
      </w:r>
      <w:r w:rsidR="00096822">
        <w:t xml:space="preserve">financial protection </w:t>
      </w:r>
      <w:r w:rsidR="00FA6E37">
        <w:t>following</w:t>
      </w:r>
      <w:r w:rsidR="002F6643">
        <w:t xml:space="preserve"> health system reform</w:t>
      </w:r>
      <w:r w:rsidR="00FA6E37">
        <w:t>s</w:t>
      </w:r>
      <w:r w:rsidR="002F6643">
        <w:t xml:space="preserve"> aimed at </w:t>
      </w:r>
      <w:r w:rsidR="00FA6E37">
        <w:t xml:space="preserve">expanding </w:t>
      </w:r>
      <w:r w:rsidR="002F6643">
        <w:t xml:space="preserve">insurance coverage to </w:t>
      </w:r>
      <w:r w:rsidR="00FA6E37">
        <w:t xml:space="preserve">explore association of </w:t>
      </w:r>
      <w:r w:rsidR="002F6643">
        <w:t>actual insurance coverage</w:t>
      </w:r>
      <w:r w:rsidR="00FA6E37">
        <w:t xml:space="preserve"> with</w:t>
      </w:r>
      <w:r w:rsidR="002F6643">
        <w:t xml:space="preserve"> service utilisation, OOP payments incurred and forgone healthcare. </w:t>
      </w:r>
    </w:p>
    <w:p w14:paraId="7847FA2E" w14:textId="77777777" w:rsidR="00A5248F" w:rsidRPr="0097722E" w:rsidRDefault="00203ACE" w:rsidP="002F6643">
      <w:pPr>
        <w:pStyle w:val="Heading5"/>
      </w:pPr>
      <w:r>
        <w:t>Panel</w:t>
      </w:r>
      <w:r w:rsidR="00245BE1">
        <w:t xml:space="preserve"> </w:t>
      </w:r>
      <w:r w:rsidR="00973577">
        <w:t>2</w:t>
      </w:r>
      <w:r w:rsidR="00A5248F" w:rsidRPr="002E3FCD">
        <w:t xml:space="preserve"> | Health System Framework used for analysis</w:t>
      </w:r>
    </w:p>
    <w:tbl>
      <w:tblPr>
        <w:tblStyle w:val="TableGrid"/>
        <w:tblW w:w="0" w:type="auto"/>
        <w:tblLook w:val="04A0" w:firstRow="1" w:lastRow="0" w:firstColumn="1" w:lastColumn="0" w:noHBand="0" w:noVBand="1"/>
      </w:tblPr>
      <w:tblGrid>
        <w:gridCol w:w="8856"/>
      </w:tblGrid>
      <w:tr w:rsidR="002F6643" w14:paraId="6F9772A0" w14:textId="77777777" w:rsidTr="002F6643">
        <w:tc>
          <w:tcPr>
            <w:tcW w:w="8856" w:type="dxa"/>
          </w:tcPr>
          <w:p w14:paraId="7C55A8F9" w14:textId="77777777" w:rsidR="002F6643" w:rsidRPr="002F6643" w:rsidRDefault="002F6643" w:rsidP="002F6643">
            <w:pPr>
              <w:rPr>
                <w:b/>
              </w:rPr>
            </w:pPr>
            <w:r w:rsidRPr="002F6643">
              <w:rPr>
                <w:b/>
              </w:rPr>
              <w:t xml:space="preserve">Health system functions </w:t>
            </w:r>
          </w:p>
          <w:p w14:paraId="7D4058CE" w14:textId="306A6EEC" w:rsidR="002F6643" w:rsidRDefault="002F6643" w:rsidP="002F6643">
            <w:r w:rsidRPr="00FF3CF5">
              <w:t>We identify four key health system functions which the policy makers can modify to achieve health system goals: (</w:t>
            </w:r>
            <w:proofErr w:type="spellStart"/>
            <w:r w:rsidRPr="00FF3CF5">
              <w:t>i</w:t>
            </w:r>
            <w:proofErr w:type="spellEnd"/>
            <w:r w:rsidRPr="00FF3CF5">
              <w:t xml:space="preserve">) </w:t>
            </w:r>
            <w:r w:rsidRPr="00096822">
              <w:rPr>
                <w:b/>
              </w:rPr>
              <w:t>governance and organisation</w:t>
            </w:r>
            <w:r w:rsidRPr="00FF3CF5">
              <w:t xml:space="preserve"> </w:t>
            </w:r>
            <w:r>
              <w:t xml:space="preserve">- </w:t>
            </w:r>
            <w:r w:rsidRPr="00FF3CF5">
              <w:t xml:space="preserve">the policy and regulatory environment, stewardship function of the ministry of health and </w:t>
            </w:r>
            <w:r>
              <w:t xml:space="preserve">its </w:t>
            </w:r>
            <w:r w:rsidRPr="00FF3CF5">
              <w:t>relation</w:t>
            </w:r>
            <w:r>
              <w:t xml:space="preserve">ship </w:t>
            </w:r>
            <w:r w:rsidRPr="00FF3CF5">
              <w:t xml:space="preserve">with other levels of the health system, and structural arrangements for insurers/purchasers, healthcare providers and market regulators; (ii) </w:t>
            </w:r>
            <w:r w:rsidRPr="00096822">
              <w:rPr>
                <w:b/>
              </w:rPr>
              <w:t>financing</w:t>
            </w:r>
            <w:r>
              <w:t xml:space="preserve"> - </w:t>
            </w:r>
            <w:r w:rsidRPr="00FF3CF5">
              <w:t xml:space="preserve">how the funds are collected, funds and risks pooled, finances allocated within the health system and how healthcare providers are remunerated; (iii) </w:t>
            </w:r>
            <w:r w:rsidRPr="00096822">
              <w:rPr>
                <w:b/>
              </w:rPr>
              <w:t>resource management</w:t>
            </w:r>
            <w:r w:rsidRPr="00FF3CF5">
              <w:t xml:space="preserve"> </w:t>
            </w:r>
            <w:r w:rsidR="00FE681A">
              <w:t>–</w:t>
            </w:r>
            <w:r>
              <w:t xml:space="preserve"> </w:t>
            </w:r>
            <w:r w:rsidRPr="00FF3CF5">
              <w:t xml:space="preserve">how physical, human and intellectual </w:t>
            </w:r>
            <w:r w:rsidR="00FE681A" w:rsidRPr="00FF3CF5">
              <w:t xml:space="preserve">resources </w:t>
            </w:r>
            <w:r w:rsidRPr="00FF3CF5">
              <w:t>– are generate</w:t>
            </w:r>
            <w:r w:rsidR="00FE681A">
              <w:t>d</w:t>
            </w:r>
            <w:r w:rsidRPr="00FF3CF5">
              <w:t xml:space="preserve"> and allocated, including their geographic and needs-based allocation; and (iv) </w:t>
            </w:r>
            <w:r w:rsidRPr="00096822">
              <w:rPr>
                <w:b/>
              </w:rPr>
              <w:t>service delivery</w:t>
            </w:r>
            <w:r w:rsidRPr="00FF3CF5">
              <w:t xml:space="preserve"> that includes both public health </w:t>
            </w:r>
            <w:r w:rsidR="00FE681A">
              <w:t>services</w:t>
            </w:r>
            <w:r w:rsidR="00FE681A" w:rsidRPr="00FF3CF5">
              <w:t xml:space="preserve"> </w:t>
            </w:r>
            <w:r w:rsidRPr="00FF3CF5">
              <w:t xml:space="preserve">and </w:t>
            </w:r>
            <w:r w:rsidR="00FE681A">
              <w:t xml:space="preserve">individual </w:t>
            </w:r>
            <w:r w:rsidRPr="00FF3CF5">
              <w:t>health services provided within the community, PHC, hospitals, and other health institutions</w:t>
            </w:r>
            <w:r w:rsidR="00FE681A">
              <w:t>. Health services are produced using governance and organisation, financing and resource management functions</w:t>
            </w:r>
            <w:r w:rsidRPr="00FF3CF5">
              <w:t xml:space="preserve">. </w:t>
            </w:r>
          </w:p>
          <w:p w14:paraId="289BDCE2" w14:textId="77777777" w:rsidR="002F6643" w:rsidRDefault="002F6643" w:rsidP="002F6643"/>
          <w:p w14:paraId="59A1D2D9" w14:textId="77777777" w:rsidR="002F6643" w:rsidRPr="007E60E1" w:rsidRDefault="002F6643" w:rsidP="002F6643">
            <w:pPr>
              <w:rPr>
                <w:b/>
              </w:rPr>
            </w:pPr>
            <w:r w:rsidRPr="007E60E1">
              <w:rPr>
                <w:b/>
              </w:rPr>
              <w:t xml:space="preserve">Health system objectives </w:t>
            </w:r>
          </w:p>
          <w:p w14:paraId="55CCC8F1" w14:textId="2E1762B9" w:rsidR="00FE681A" w:rsidRDefault="002F6643" w:rsidP="002F6643">
            <w:r>
              <w:t xml:space="preserve">We define four objectives which the policy makers need to balance when designing or financing a health system, and in relation to </w:t>
            </w:r>
            <w:r w:rsidR="00FE681A">
              <w:t>individual</w:t>
            </w:r>
            <w:r w:rsidRPr="00FF3CF5">
              <w:t xml:space="preserve"> and public health </w:t>
            </w:r>
            <w:r w:rsidR="00FE681A">
              <w:t>services</w:t>
            </w:r>
            <w:r>
              <w:t xml:space="preserve">: </w:t>
            </w:r>
            <w:r w:rsidRPr="003F5C58">
              <w:rPr>
                <w:b/>
              </w:rPr>
              <w:t>equity</w:t>
            </w:r>
            <w:r w:rsidRPr="00FF3CF5">
              <w:t xml:space="preserve"> (including access</w:t>
            </w:r>
            <w:r w:rsidR="00FE681A">
              <w:t xml:space="preserve"> and use of services by different population groups</w:t>
            </w:r>
            <w:r w:rsidRPr="00FF3CF5">
              <w:t xml:space="preserve">), </w:t>
            </w:r>
            <w:r w:rsidRPr="003F5C58">
              <w:rPr>
                <w:b/>
              </w:rPr>
              <w:t>efficiency</w:t>
            </w:r>
            <w:r w:rsidR="00FE681A">
              <w:rPr>
                <w:b/>
              </w:rPr>
              <w:t xml:space="preserve"> </w:t>
            </w:r>
            <w:r w:rsidR="00FE681A" w:rsidRPr="009C2BBA">
              <w:t>(</w:t>
            </w:r>
            <w:r w:rsidR="00FE681A">
              <w:t>efficient allocation of resources to right interventions and producing them at low cost</w:t>
            </w:r>
            <w:r w:rsidR="00FE681A" w:rsidRPr="009C2BBA">
              <w:t>)</w:t>
            </w:r>
            <w:r w:rsidRPr="00FF3CF5">
              <w:t xml:space="preserve">, </w:t>
            </w:r>
            <w:r w:rsidRPr="003F5C58">
              <w:rPr>
                <w:b/>
              </w:rPr>
              <w:t>effectiveness</w:t>
            </w:r>
            <w:r w:rsidRPr="00FF3CF5">
              <w:t xml:space="preserve"> (the extent to which interventions </w:t>
            </w:r>
            <w:r w:rsidR="00FE681A">
              <w:t xml:space="preserve">provided </w:t>
            </w:r>
            <w:r w:rsidRPr="00FF3CF5">
              <w:t xml:space="preserve">are evidence based and safe) and </w:t>
            </w:r>
            <w:r w:rsidR="00FE681A">
              <w:rPr>
                <w:b/>
              </w:rPr>
              <w:t>responsiveness</w:t>
            </w:r>
            <w:r w:rsidR="00FE681A">
              <w:t xml:space="preserve"> </w:t>
            </w:r>
            <w:r w:rsidRPr="00FF3CF5">
              <w:t>(</w:t>
            </w:r>
            <w:r>
              <w:t xml:space="preserve">of care providers </w:t>
            </w:r>
            <w:r w:rsidR="00FE681A">
              <w:t>to user needs</w:t>
            </w:r>
            <w:r w:rsidR="008053B0">
              <w:t>, including choice of providers</w:t>
            </w:r>
            <w:r w:rsidRPr="00FF3CF5">
              <w:t>)</w:t>
            </w:r>
            <w:r>
              <w:t>.</w:t>
            </w:r>
          </w:p>
          <w:p w14:paraId="753754F0" w14:textId="77777777" w:rsidR="00FE681A" w:rsidRDefault="00FE681A" w:rsidP="002F6643"/>
          <w:p w14:paraId="0792FEE6" w14:textId="77777777" w:rsidR="00FE681A" w:rsidRPr="007E60E1" w:rsidRDefault="00FE681A" w:rsidP="00FE681A">
            <w:pPr>
              <w:rPr>
                <w:b/>
              </w:rPr>
            </w:pPr>
            <w:r w:rsidRPr="007E60E1">
              <w:rPr>
                <w:b/>
              </w:rPr>
              <w:t xml:space="preserve">Health system goals </w:t>
            </w:r>
          </w:p>
          <w:p w14:paraId="3E201376" w14:textId="0E852BDB" w:rsidR="002F6643" w:rsidRDefault="00FE681A" w:rsidP="002F6643">
            <w:r>
              <w:t xml:space="preserve">There are </w:t>
            </w:r>
            <w:r w:rsidRPr="00FF3CF5">
              <w:t xml:space="preserve">three health system goals in our </w:t>
            </w:r>
            <w:proofErr w:type="gramStart"/>
            <w:r w:rsidRPr="00FF3CF5">
              <w:t>framework</w:t>
            </w:r>
            <w:r>
              <w:t xml:space="preserve"> which</w:t>
            </w:r>
            <w:proofErr w:type="gramEnd"/>
            <w:r>
              <w:t xml:space="preserve"> the system aims to achieve</w:t>
            </w:r>
            <w:r w:rsidRPr="00FF3CF5">
              <w:t xml:space="preserve">. The first goal </w:t>
            </w:r>
            <w:r>
              <w:t>is</w:t>
            </w:r>
            <w:r w:rsidRPr="00FF3CF5">
              <w:t xml:space="preserve"> </w:t>
            </w:r>
            <w:r w:rsidRPr="003F5C58">
              <w:rPr>
                <w:b/>
              </w:rPr>
              <w:t>health</w:t>
            </w:r>
            <w:r w:rsidRPr="00FF3CF5">
              <w:t xml:space="preserve">, both the level and distribution of population health as measured by morbidity and mortality. The second goal </w:t>
            </w:r>
            <w:r>
              <w:t>is</w:t>
            </w:r>
            <w:r w:rsidRPr="00FF3CF5">
              <w:t xml:space="preserve"> </w:t>
            </w:r>
            <w:r w:rsidRPr="003F5C58">
              <w:rPr>
                <w:b/>
              </w:rPr>
              <w:t>financial protection</w:t>
            </w:r>
            <w:r w:rsidRPr="00FF3CF5">
              <w:t xml:space="preserve">, for which we examined level and distribution of health expenditures (targeting of health insurance), levels of health insurance coverage, and levels of financial protection (out of pocket expenditures, and catastrophic health expenditures) for different population segments. The third goal </w:t>
            </w:r>
            <w:r>
              <w:t xml:space="preserve">is </w:t>
            </w:r>
            <w:r w:rsidRPr="003F5C58">
              <w:rPr>
                <w:b/>
              </w:rPr>
              <w:t>user satisfaction</w:t>
            </w:r>
            <w:r w:rsidRPr="00FF3CF5">
              <w:t xml:space="preserve">, </w:t>
            </w:r>
            <w:r>
              <w:t>specifically the</w:t>
            </w:r>
            <w:r w:rsidRPr="00FF3CF5">
              <w:t xml:space="preserve"> satisfaction of the population with </w:t>
            </w:r>
            <w:r>
              <w:t xml:space="preserve">the </w:t>
            </w:r>
            <w:r w:rsidRPr="00FF3CF5">
              <w:t xml:space="preserve">health </w:t>
            </w:r>
            <w:r>
              <w:t>system</w:t>
            </w:r>
            <w:r w:rsidRPr="00FF3CF5">
              <w:t>.</w:t>
            </w:r>
          </w:p>
        </w:tc>
      </w:tr>
    </w:tbl>
    <w:p w14:paraId="6EF904CC" w14:textId="77777777" w:rsidR="00637A87" w:rsidRDefault="00637A87" w:rsidP="002F6643">
      <w:pPr>
        <w:pStyle w:val="Heading2"/>
      </w:pPr>
      <w:r w:rsidRPr="002E3FCD">
        <w:lastRenderedPageBreak/>
        <w:t>Data Sources</w:t>
      </w:r>
    </w:p>
    <w:p w14:paraId="6239E9E9" w14:textId="77777777" w:rsidR="00F237F2" w:rsidRDefault="00F237F2" w:rsidP="00F237F2">
      <w:r>
        <w:t>Two main sources of data were used for the years 2006-2012. Firstly,</w:t>
      </w:r>
      <w:r w:rsidRPr="00F237F2">
        <w:t xml:space="preserve"> </w:t>
      </w:r>
      <w:r>
        <w:t xml:space="preserve">publically available datasets the Moldovan </w:t>
      </w:r>
      <w:r w:rsidRPr="00366EDE">
        <w:t xml:space="preserve">National </w:t>
      </w:r>
      <w:proofErr w:type="spellStart"/>
      <w:r w:rsidRPr="00366EDE">
        <w:t>Center</w:t>
      </w:r>
      <w:proofErr w:type="spellEnd"/>
      <w:r w:rsidRPr="00366EDE">
        <w:t xml:space="preserve"> for Health Management</w:t>
      </w:r>
      <w:r>
        <w:t xml:space="preserve"> (CNMS) were collected. CNMS</w:t>
      </w:r>
      <w:r w:rsidRPr="00EF6F69">
        <w:t xml:space="preserve"> </w:t>
      </w:r>
      <w:r>
        <w:t xml:space="preserve">collates data from public healthcare provider reports. We extracted health service utilisation information relating to number of hospitalisations, average number of visits per person, and emergency calls per 1,000 residents. </w:t>
      </w:r>
    </w:p>
    <w:p w14:paraId="62CF8DBF" w14:textId="77777777" w:rsidR="008B479C" w:rsidRPr="00CA37AD" w:rsidRDefault="008B479C" w:rsidP="002F6643"/>
    <w:p w14:paraId="4F7DCD20" w14:textId="33C38043" w:rsidR="00F75E21" w:rsidRDefault="007117E1" w:rsidP="002F6643">
      <w:r>
        <w:t>Secondly, the</w:t>
      </w:r>
      <w:r w:rsidR="00D4523F">
        <w:t xml:space="preserve"> </w:t>
      </w:r>
      <w:r w:rsidR="00F75E21">
        <w:t xml:space="preserve">monthly </w:t>
      </w:r>
      <w:r w:rsidR="00883D6F">
        <w:t xml:space="preserve">collected annual </w:t>
      </w:r>
      <w:r w:rsidR="00F75E21">
        <w:t xml:space="preserve">Household Budget Survey (HBS) </w:t>
      </w:r>
      <w:r>
        <w:t xml:space="preserve">was used. </w:t>
      </w:r>
      <w:r w:rsidR="00304AAB">
        <w:t>HBS</w:t>
      </w:r>
      <w:r w:rsidR="00F75E21">
        <w:t xml:space="preserve"> </w:t>
      </w:r>
      <w:r w:rsidR="00097527">
        <w:t>based on an in</w:t>
      </w:r>
      <w:r w:rsidR="003E0145">
        <w:t xml:space="preserve">ternationally validated survey </w:t>
      </w:r>
      <w:r w:rsidR="00097527">
        <w:t xml:space="preserve">and is </w:t>
      </w:r>
      <w:r w:rsidR="00F75E21">
        <w:t xml:space="preserve">undertaken by the </w:t>
      </w:r>
      <w:r w:rsidR="008B479C" w:rsidRPr="00225C78">
        <w:t>Moldovan National Bureau of Statistics</w:t>
      </w:r>
      <w:r w:rsidR="0080340B">
        <w:t xml:space="preserve"> (NBS)</w:t>
      </w:r>
      <w:hyperlink w:anchor="_ENREF_7" w:tooltip="National Bureau of Statistics of the Republic of Moldova, 2013 #97" w:history="1">
        <w:r w:rsidR="00025DA0">
          <w:fldChar w:fldCharType="begin"/>
        </w:r>
        <w:r w:rsidR="00025DA0">
          <w:instrText xml:space="preserve"> ADDIN EN.CITE &lt;EndNote&gt;&lt;Cite&gt;&lt;Author&gt;National Bureau of Statistics of the Republic of Moldova&lt;/Author&gt;&lt;Year&gt;2013&lt;/Year&gt;&lt;RecNum&gt;97&lt;/RecNum&gt;&lt;DisplayText&gt;&lt;style face="superscript"&gt;7&lt;/style&gt;&lt;/DisplayText&gt;&lt;record&gt;&lt;rec-number&gt;97&lt;/rec-number&gt;&lt;foreign-keys&gt;&lt;key app="EN" db-id="afate9rf5sat09edfarpdvt4xt0w0a2zp9fe"&gt;97&lt;/key&gt;&lt;/foreign-keys&gt;&lt;ref-type name="Web Page"&gt;12&lt;/ref-type&gt;&lt;contributors&gt;&lt;authors&gt;&lt;author&gt;National Bureau of Statistics of the Republic of Moldova,&lt;/author&gt;&lt;/authors&gt;&lt;/contributors&gt;&lt;titles&gt;&lt;title&gt;StatBank&lt;/title&gt;&lt;/titles&gt;&lt;volume&gt;2013&lt;/volume&gt;&lt;number&gt;11/12&lt;/number&gt;&lt;dates&gt;&lt;year&gt;2013&lt;/year&gt;&lt;/dates&gt;&lt;pub-location&gt;Chisinau, Republic of Moldova &lt;/pub-location&gt;&lt;publisher&gt;National Bureau of Statistics of the Republic of Moldova&lt;/publisher&gt;&lt;urls&gt;&lt;related-urls&gt;&lt;url&gt;http://www.statistica.md/&lt;/url&gt;&lt;/related-urls&gt;&lt;/urls&gt;&lt;/record&gt;&lt;/Cite&gt;&lt;/EndNote&gt;</w:instrText>
        </w:r>
        <w:r w:rsidR="00025DA0">
          <w:fldChar w:fldCharType="separate"/>
        </w:r>
        <w:r w:rsidR="00025DA0" w:rsidRPr="00782C0E">
          <w:rPr>
            <w:noProof/>
            <w:vertAlign w:val="superscript"/>
          </w:rPr>
          <w:t>7</w:t>
        </w:r>
        <w:r w:rsidR="00025DA0">
          <w:fldChar w:fldCharType="end"/>
        </w:r>
      </w:hyperlink>
      <w:r w:rsidR="00F75E21">
        <w:t xml:space="preserve">. </w:t>
      </w:r>
      <w:r w:rsidR="00304AAB">
        <w:t>The HBS</w:t>
      </w:r>
      <w:r w:rsidR="00F75E21">
        <w:t xml:space="preserve"> is nationally representative </w:t>
      </w:r>
      <w:r w:rsidR="00E750D9">
        <w:t xml:space="preserve">and </w:t>
      </w:r>
      <w:r w:rsidR="00F75E21">
        <w:t xml:space="preserve">is undertaken through </w:t>
      </w:r>
      <w:r w:rsidR="00097527">
        <w:t>two-stage</w:t>
      </w:r>
      <w:r w:rsidR="00F75E21">
        <w:t xml:space="preserve"> sampling based on regional areas and a random </w:t>
      </w:r>
      <w:r w:rsidR="00E750D9">
        <w:t>selection of households</w:t>
      </w:r>
      <w:r w:rsidR="00232076">
        <w:t xml:space="preserve">. Approximately 5,500 households </w:t>
      </w:r>
      <w:r>
        <w:t xml:space="preserve">(15,000 individuals) </w:t>
      </w:r>
      <w:r w:rsidR="00232076">
        <w:t>are survey</w:t>
      </w:r>
      <w:r>
        <w:t>ed</w:t>
      </w:r>
      <w:r w:rsidR="00232076">
        <w:t xml:space="preserve"> annually</w:t>
      </w:r>
      <w:r>
        <w:t xml:space="preserve"> on</w:t>
      </w:r>
      <w:r w:rsidR="00232076">
        <w:t xml:space="preserve"> </w:t>
      </w:r>
      <w:r w:rsidR="0080340B">
        <w:t>a wide range of questions relating to the economic situation of the household and individual</w:t>
      </w:r>
      <w:r w:rsidR="00097527">
        <w:t xml:space="preserve">s. </w:t>
      </w:r>
      <w:r w:rsidR="0080340B">
        <w:t>Responses for the years 2006-2012 were obtained from the NBS.</w:t>
      </w:r>
      <w:r>
        <w:t xml:space="preserve"> We selected questions relevant to this analysis including demographic, socio-economic, health and healthcare-related questions. </w:t>
      </w:r>
      <w:r w:rsidR="002D2F6A">
        <w:t xml:space="preserve">Our outcome variables of interest were calculated from survey questions: “If individuals currently have health insurance”; “if individuals paid for any service (inpatient or outpatient) either formally or informally when using care in the last four weeks”, and “if you were unwell in the last four weeks, but did not use healthcare”. </w:t>
      </w:r>
      <w:r w:rsidR="00A95309">
        <w:t>Because of issues of non-response</w:t>
      </w:r>
      <w:r>
        <w:t xml:space="preserve"> (up to 40% in some year</w:t>
      </w:r>
      <w:r w:rsidR="000337C4">
        <w:t>s</w:t>
      </w:r>
      <w:r>
        <w:t>)</w:t>
      </w:r>
      <w:r w:rsidR="00A95309">
        <w:t>, t</w:t>
      </w:r>
      <w:r w:rsidR="00A95309" w:rsidRPr="00C77C2A">
        <w:t xml:space="preserve">he age and gender distribution </w:t>
      </w:r>
      <w:r w:rsidR="00A95309">
        <w:t>of the HBS</w:t>
      </w:r>
      <w:r w:rsidR="00A95309" w:rsidRPr="00C77C2A">
        <w:t xml:space="preserve"> </w:t>
      </w:r>
      <w:r w:rsidR="00A95309" w:rsidRPr="001A2FE1">
        <w:t xml:space="preserve">was compared to national population data (from </w:t>
      </w:r>
      <w:r w:rsidR="00A95309">
        <w:t>NBS</w:t>
      </w:r>
      <w:hyperlink w:anchor="_ENREF_7" w:tooltip="National Bureau of Statistics of the Republic of Moldova, 2013 #97" w:history="1">
        <w:r w:rsidR="00025DA0">
          <w:fldChar w:fldCharType="begin"/>
        </w:r>
        <w:r w:rsidR="00025DA0">
          <w:instrText xml:space="preserve"> ADDIN EN.CITE &lt;EndNote&gt;&lt;Cite&gt;&lt;Author&gt;National Bureau of Statistics of the Republic of Moldova&lt;/Author&gt;&lt;Year&gt;2013&lt;/Year&gt;&lt;RecNum&gt;97&lt;/RecNum&gt;&lt;DisplayText&gt;&lt;style face="superscript"&gt;7&lt;/style&gt;&lt;/DisplayText&gt;&lt;record&gt;&lt;rec-number&gt;97&lt;/rec-number&gt;&lt;foreign-keys&gt;&lt;key app="EN" db-id="afate9rf5sat09edfarpdvt4xt0w0a2zp9fe"&gt;97&lt;/key&gt;&lt;/foreign-keys&gt;&lt;ref-type name="Web Page"&gt;12&lt;/ref-type&gt;&lt;contributors&gt;&lt;authors&gt;&lt;author&gt;National Bureau of Statistics of the Republic of Moldova,&lt;/author&gt;&lt;/authors&gt;&lt;/contributors&gt;&lt;titles&gt;&lt;title&gt;StatBank&lt;/title&gt;&lt;/titles&gt;&lt;volume&gt;2013&lt;/volume&gt;&lt;number&gt;11/12&lt;/number&gt;&lt;dates&gt;&lt;year&gt;2013&lt;/year&gt;&lt;/dates&gt;&lt;pub-location&gt;Chisinau, Republic of Moldova &lt;/pub-location&gt;&lt;publisher&gt;National Bureau of Statistics of the Republic of Moldova&lt;/publisher&gt;&lt;urls&gt;&lt;related-urls&gt;&lt;url&gt;http://www.statistica.md/&lt;/url&gt;&lt;/related-urls&gt;&lt;/urls&gt;&lt;/record&gt;&lt;/Cite&gt;&lt;/EndNote&gt;</w:instrText>
        </w:r>
        <w:r w:rsidR="00025DA0">
          <w:fldChar w:fldCharType="separate"/>
        </w:r>
        <w:r w:rsidR="00025DA0" w:rsidRPr="00782C0E">
          <w:rPr>
            <w:noProof/>
            <w:vertAlign w:val="superscript"/>
          </w:rPr>
          <w:t>7</w:t>
        </w:r>
        <w:r w:rsidR="00025DA0">
          <w:fldChar w:fldCharType="end"/>
        </w:r>
      </w:hyperlink>
      <w:r w:rsidR="00A95309">
        <w:t>) showing high similarity (</w:t>
      </w:r>
      <w:r w:rsidR="00097527">
        <w:t xml:space="preserve">See </w:t>
      </w:r>
      <w:r w:rsidR="00304AAB">
        <w:t xml:space="preserve">Supplementary </w:t>
      </w:r>
      <w:r w:rsidR="00A95309">
        <w:t xml:space="preserve">Appendix). </w:t>
      </w:r>
    </w:p>
    <w:p w14:paraId="28331E51" w14:textId="77777777" w:rsidR="000011B7" w:rsidRDefault="008253DE" w:rsidP="002F6643">
      <w:pPr>
        <w:pStyle w:val="Heading2"/>
      </w:pPr>
      <w:r>
        <w:t>Analysis</w:t>
      </w:r>
    </w:p>
    <w:p w14:paraId="4C1ECD29" w14:textId="0CC9B7FD" w:rsidR="00F237F2" w:rsidRDefault="00B6456E" w:rsidP="002F6643">
      <w:r>
        <w:t>Using the health system</w:t>
      </w:r>
      <w:r w:rsidR="00421008">
        <w:t xml:space="preserve"> </w:t>
      </w:r>
      <w:r w:rsidR="00097527">
        <w:t xml:space="preserve">analytical </w:t>
      </w:r>
      <w:r w:rsidR="00421008">
        <w:t>framework</w:t>
      </w:r>
      <w:r w:rsidR="00097527" w:rsidRPr="003E0145">
        <w:rPr>
          <w:vertAlign w:val="superscript"/>
        </w:rPr>
        <w:t>14</w:t>
      </w:r>
      <w:proofErr w:type="gramStart"/>
      <w:r w:rsidR="00097527" w:rsidRPr="003E0145">
        <w:rPr>
          <w:vertAlign w:val="superscript"/>
        </w:rPr>
        <w:t>,15</w:t>
      </w:r>
      <w:proofErr w:type="gramEnd"/>
      <w:r w:rsidR="00421008">
        <w:t xml:space="preserve">, we </w:t>
      </w:r>
      <w:r w:rsidR="00F237F2">
        <w:t xml:space="preserve">examine </w:t>
      </w:r>
      <w:r w:rsidR="004C3723">
        <w:t xml:space="preserve">elements </w:t>
      </w:r>
      <w:r w:rsidR="00F237F2">
        <w:t xml:space="preserve">of financial protection in the context of the health system </w:t>
      </w:r>
      <w:r w:rsidR="00CD3751">
        <w:t xml:space="preserve">objectives. </w:t>
      </w:r>
      <w:r w:rsidR="00617F81">
        <w:t>Equity is a key health system objective for this analysis. We examine equity in insurance status, OOP payments, and for</w:t>
      </w:r>
      <w:r w:rsidR="008053B0">
        <w:t>e</w:t>
      </w:r>
      <w:r w:rsidR="00617F81">
        <w:t xml:space="preserve">gone health across demographic groups. We demonstrate the interactions between insurance status and equity in other financial protection </w:t>
      </w:r>
      <w:r w:rsidR="000C741B">
        <w:t>elements</w:t>
      </w:r>
      <w:r w:rsidR="00617F81">
        <w:t xml:space="preserve"> </w:t>
      </w:r>
      <w:r w:rsidR="007905D6">
        <w:t xml:space="preserve">such as OOP. </w:t>
      </w:r>
      <w:r w:rsidR="00617F81">
        <w:t xml:space="preserve">Additionally, we </w:t>
      </w:r>
      <w:r w:rsidR="008053B0">
        <w:t>also explore</w:t>
      </w:r>
      <w:r w:rsidR="00617F81">
        <w:t xml:space="preserve"> the </w:t>
      </w:r>
      <w:r w:rsidR="008053B0">
        <w:t xml:space="preserve">health system </w:t>
      </w:r>
      <w:r w:rsidR="00617F81">
        <w:t xml:space="preserve">objectives of </w:t>
      </w:r>
      <w:r w:rsidR="008053B0">
        <w:t xml:space="preserve">responsiveness </w:t>
      </w:r>
      <w:r w:rsidR="00617F81">
        <w:t xml:space="preserve">in terms of preferred healthcare provider, </w:t>
      </w:r>
      <w:r w:rsidR="007905D6">
        <w:t xml:space="preserve">effectiveness through forgone healthcare, </w:t>
      </w:r>
      <w:r w:rsidR="00617F81">
        <w:t xml:space="preserve">and efficiency in terms of national utilisation trends. We triangulate these findings to </w:t>
      </w:r>
      <w:r w:rsidR="000C741B">
        <w:t>understand</w:t>
      </w:r>
      <w:r w:rsidR="007905D6">
        <w:t xml:space="preserve"> how f</w:t>
      </w:r>
      <w:r w:rsidR="000C741B">
        <w:t>actors contributing to financial protection are</w:t>
      </w:r>
      <w:r w:rsidR="007905D6">
        <w:t xml:space="preserve"> being met.</w:t>
      </w:r>
      <w:r w:rsidR="00617F81">
        <w:t xml:space="preserve"> </w:t>
      </w:r>
    </w:p>
    <w:p w14:paraId="54B17F86" w14:textId="77777777" w:rsidR="003326C9" w:rsidRPr="009C2BBA" w:rsidRDefault="003326C9" w:rsidP="002F6643">
      <w:pPr>
        <w:pStyle w:val="Heading3"/>
        <w:rPr>
          <w:b w:val="0"/>
          <w:i/>
        </w:rPr>
      </w:pPr>
      <w:r w:rsidRPr="009C2BBA">
        <w:rPr>
          <w:b w:val="0"/>
          <w:i/>
        </w:rPr>
        <w:t>Descriptive analysis</w:t>
      </w:r>
    </w:p>
    <w:p w14:paraId="38762B85" w14:textId="31AC52C4" w:rsidR="007F236E" w:rsidRDefault="00A95309" w:rsidP="002F6643">
      <w:r>
        <w:t xml:space="preserve">CNMS </w:t>
      </w:r>
      <w:r w:rsidR="007905D6">
        <w:t xml:space="preserve">data on healthcare utilisation </w:t>
      </w:r>
      <w:r w:rsidR="00313C14">
        <w:t>are</w:t>
      </w:r>
      <w:r w:rsidR="00B152B8">
        <w:t xml:space="preserve"> </w:t>
      </w:r>
      <w:r w:rsidR="007905D6">
        <w:t>shown over time. Individual r</w:t>
      </w:r>
      <w:r w:rsidR="003326C9">
        <w:t xml:space="preserve">esponses </w:t>
      </w:r>
      <w:r w:rsidR="007905D6">
        <w:t>on</w:t>
      </w:r>
      <w:r w:rsidR="003326C9">
        <w:t xml:space="preserve"> </w:t>
      </w:r>
      <w:r w:rsidR="007905D6">
        <w:t>preferred</w:t>
      </w:r>
      <w:r w:rsidR="003326C9">
        <w:t xml:space="preserve"> of healthcare provider</w:t>
      </w:r>
      <w:r w:rsidR="008053B0">
        <w:t>,</w:t>
      </w:r>
      <w:r w:rsidR="003326C9">
        <w:t xml:space="preserve"> for </w:t>
      </w:r>
      <w:r w:rsidR="007905D6">
        <w:t>those with</w:t>
      </w:r>
      <w:r w:rsidR="003326C9">
        <w:t xml:space="preserve"> healthcare use in the last four weeks</w:t>
      </w:r>
      <w:r w:rsidR="008053B0">
        <w:t>,</w:t>
      </w:r>
      <w:r w:rsidR="007905D6">
        <w:t xml:space="preserve"> were stratified by provider and year. </w:t>
      </w:r>
    </w:p>
    <w:p w14:paraId="2870601D" w14:textId="77777777" w:rsidR="007905D6" w:rsidRDefault="007905D6" w:rsidP="002F6643"/>
    <w:p w14:paraId="7A24075B" w14:textId="31A41192" w:rsidR="007905D6" w:rsidRDefault="007905D6" w:rsidP="002F6643">
      <w:r>
        <w:t>For insurance coverage, CNMS data was compared with individual HBS responses (stratified by employed status and age groups) over time.</w:t>
      </w:r>
    </w:p>
    <w:p w14:paraId="533B318F" w14:textId="77777777" w:rsidR="007F236E" w:rsidRDefault="007F236E" w:rsidP="002F6643"/>
    <w:p w14:paraId="20E90C66" w14:textId="77777777" w:rsidR="002D2F6A" w:rsidRDefault="002D2F6A" w:rsidP="002F6643"/>
    <w:p w14:paraId="278D698A" w14:textId="77777777" w:rsidR="002D2F6A" w:rsidRDefault="002D2F6A" w:rsidP="002F6643"/>
    <w:p w14:paraId="7716ADB8" w14:textId="77777777" w:rsidR="00B6456E" w:rsidRDefault="003326C9" w:rsidP="002F6643">
      <w:r>
        <w:t xml:space="preserve">Insurance coverage trends were compared between </w:t>
      </w:r>
      <w:r w:rsidR="003B1E16">
        <w:t xml:space="preserve">individual </w:t>
      </w:r>
      <w:r>
        <w:t xml:space="preserve">HBS responses and from administrative data (CNMS) sources. Furthermore, </w:t>
      </w:r>
      <w:r w:rsidR="00097527">
        <w:t xml:space="preserve">we stratified the </w:t>
      </w:r>
      <w:r>
        <w:t>insurance status</w:t>
      </w:r>
      <w:r w:rsidR="00097527">
        <w:t xml:space="preserve"> of the respondents </w:t>
      </w:r>
      <w:r>
        <w:t xml:space="preserve">in the HBS by occupation and age group. </w:t>
      </w:r>
    </w:p>
    <w:p w14:paraId="3C135CD6" w14:textId="77777777" w:rsidR="003326C9" w:rsidRDefault="003326C9" w:rsidP="002F6643"/>
    <w:p w14:paraId="3EF7467E" w14:textId="6382258D" w:rsidR="00421008" w:rsidRDefault="00C3364A" w:rsidP="002F6643">
      <w:r>
        <w:t xml:space="preserve">The percentages of individuals reporting OOP payments were described by consultative services, inpatient services and drugs, and </w:t>
      </w:r>
      <w:r w:rsidR="008053B0">
        <w:t xml:space="preserve">by </w:t>
      </w:r>
      <w:r>
        <w:t>each year. Mean incurred costs by individuals were shown. Additionally, mean costs were compared to average monthly earnings.</w:t>
      </w:r>
    </w:p>
    <w:p w14:paraId="2F581EAD" w14:textId="77777777" w:rsidR="00421008" w:rsidRPr="009C2BBA" w:rsidRDefault="003326C9" w:rsidP="002F6643">
      <w:pPr>
        <w:pStyle w:val="Heading3"/>
        <w:rPr>
          <w:b w:val="0"/>
          <w:i/>
          <w:sz w:val="28"/>
        </w:rPr>
      </w:pPr>
      <w:r w:rsidRPr="009C2BBA">
        <w:rPr>
          <w:b w:val="0"/>
          <w:i/>
          <w:sz w:val="28"/>
        </w:rPr>
        <w:t>Logistic regression</w:t>
      </w:r>
    </w:p>
    <w:p w14:paraId="629D9096" w14:textId="3D9E8D4C" w:rsidR="00217DD7" w:rsidRDefault="00217DD7" w:rsidP="002F6643">
      <w:pPr>
        <w:rPr>
          <w:rFonts w:cstheme="minorHAnsi"/>
        </w:rPr>
      </w:pPr>
      <w:r>
        <w:t xml:space="preserve">We employed logistic regression to calculate the likelihood of: being uninsured, incurring an OOP for medicines or any healthcare service </w:t>
      </w:r>
      <w:r>
        <w:rPr>
          <w:rFonts w:cstheme="minorHAnsi"/>
        </w:rPr>
        <w:t>from healthcare used in the last four weeks</w:t>
      </w:r>
      <w:r>
        <w:t xml:space="preserve">, and </w:t>
      </w:r>
      <w:r>
        <w:rPr>
          <w:rFonts w:cstheme="minorHAnsi"/>
        </w:rPr>
        <w:t>not using (for</w:t>
      </w:r>
      <w:r w:rsidR="008053B0">
        <w:rPr>
          <w:rFonts w:cstheme="minorHAnsi"/>
        </w:rPr>
        <w:t>e</w:t>
      </w:r>
      <w:r>
        <w:rPr>
          <w:rFonts w:cstheme="minorHAnsi"/>
        </w:rPr>
        <w:t xml:space="preserve">going) healthcare when reporting a health problem in the last four weeks. Logistic regression was employed as the most appropriate method for binary outcomes. </w:t>
      </w:r>
    </w:p>
    <w:p w14:paraId="51C0BE1B" w14:textId="77777777" w:rsidR="00217DD7" w:rsidRDefault="00217DD7" w:rsidP="002F6643"/>
    <w:p w14:paraId="769322B9" w14:textId="77777777" w:rsidR="00C07078" w:rsidRDefault="00217DD7" w:rsidP="002F6643">
      <w:r>
        <w:t xml:space="preserve">Covariates from the HBS survey were used to control for and highlight explanatory factors. We included in all models: age group (0-17 year, 18-24, 25-34, 35-49, 50-59, 60-74 and 75+); gender; chronic disease status (yes or no); and employment status (employed, self-employed (non-agriculture), self-employed (agriculture), unpaid family worker, unemployed (including those of not working age); and educational attainment (pre-school or no education, primary, secondary, and college or university). We also included year </w:t>
      </w:r>
      <w:r w:rsidR="00957FC1">
        <w:t xml:space="preserve">(2006-2012) </w:t>
      </w:r>
      <w:r>
        <w:t xml:space="preserve">to look for time trends. </w:t>
      </w:r>
    </w:p>
    <w:p w14:paraId="1AB003E5" w14:textId="77777777" w:rsidR="00C07078" w:rsidRDefault="00C07078" w:rsidP="002F6643"/>
    <w:p w14:paraId="6A49F60F" w14:textId="5BFE6285" w:rsidR="00957FC1" w:rsidRPr="00957FC1" w:rsidRDefault="00217DD7" w:rsidP="002F6643">
      <w:r>
        <w:t xml:space="preserve">For the regressions on the likelihood of an OOP and forgone healthcare, we included disability (yes or no) and uninsured (yes or no) as covariates. Additionally, for the regressions on the likelihood of an OOP we included first choice of healthcare provider </w:t>
      </w:r>
      <w:r w:rsidR="00957FC1">
        <w:t>(family doctor’s office, home visit, polyclinic (health centre), hospital or other (e.g. pharmacy). For the regression of for</w:t>
      </w:r>
      <w:r w:rsidR="008053B0">
        <w:t>e</w:t>
      </w:r>
      <w:r w:rsidR="00957FC1">
        <w:t>gone healthcare, we only examined the years 2009-2012</w:t>
      </w:r>
      <w:r w:rsidR="008053B0">
        <w:t>,</w:t>
      </w:r>
      <w:r w:rsidR="00957FC1">
        <w:t xml:space="preserve"> as the questi</w:t>
      </w:r>
      <w:r w:rsidR="002E1C51">
        <w:t xml:space="preserve">on was not in earlier surveys. </w:t>
      </w:r>
      <w:r>
        <w:t xml:space="preserve">Analyses were carried out at the individual level, with adjustments for the clustered nature of the survey. </w:t>
      </w:r>
      <w:r w:rsidR="00F56241">
        <w:t>All individual responses were included for analyses, except the likelihood of being uninsured. Th</w:t>
      </w:r>
      <w:r w:rsidR="009C2BBA">
        <w:t xml:space="preserve">e regression </w:t>
      </w:r>
      <w:r w:rsidR="00F56241">
        <w:t xml:space="preserve">was restricted to those </w:t>
      </w:r>
      <w:r w:rsidR="008053B0">
        <w:t xml:space="preserve">aged </w:t>
      </w:r>
      <w:r w:rsidR="00F56241">
        <w:t xml:space="preserve">over 18 and under </w:t>
      </w:r>
      <w:r w:rsidR="00C07078">
        <w:t xml:space="preserve">the age of </w:t>
      </w:r>
      <w:r w:rsidR="00F56241">
        <w:t xml:space="preserve">60 </w:t>
      </w:r>
      <w:r w:rsidR="008053B0">
        <w:t xml:space="preserve">years, </w:t>
      </w:r>
      <w:r w:rsidR="00F56241">
        <w:t xml:space="preserve">as individuals outside these ages are eligible for free insurance coverage. </w:t>
      </w:r>
      <w:r w:rsidR="00957FC1">
        <w:t xml:space="preserve">We report adjusted odds ratios and 95% confidence intervals. </w:t>
      </w:r>
      <w:r w:rsidR="002E1C51">
        <w:t>Interaction terms between covariates and year (linear trends) were additionally tested.</w:t>
      </w:r>
    </w:p>
    <w:p w14:paraId="32719F00" w14:textId="77777777" w:rsidR="00CA37AD" w:rsidRDefault="00CA37AD" w:rsidP="002F6643">
      <w:pPr>
        <w:pStyle w:val="Heading1"/>
      </w:pPr>
      <w:r w:rsidRPr="002E3FCD">
        <w:t>Results</w:t>
      </w:r>
    </w:p>
    <w:p w14:paraId="4BED9F03" w14:textId="7C8695C4" w:rsidR="00DA2501" w:rsidRDefault="00CA1841" w:rsidP="002F6643">
      <w:r>
        <w:t xml:space="preserve">Table 1 shows the descriptive </w:t>
      </w:r>
      <w:r w:rsidR="008053B0">
        <w:t>statistics, which categorises the</w:t>
      </w:r>
      <w:r>
        <w:t xml:space="preserve"> respondents by socio-economic and demographic </w:t>
      </w:r>
      <w:r w:rsidR="00EB32AD">
        <w:t xml:space="preserve">covariates, and additionally overall responses to key variables of interest. </w:t>
      </w:r>
    </w:p>
    <w:p w14:paraId="75FA1206" w14:textId="77777777" w:rsidR="00CF3440" w:rsidRDefault="00CF3440" w:rsidP="002F6643"/>
    <w:p w14:paraId="2FA8784F" w14:textId="77777777" w:rsidR="008053B0" w:rsidRDefault="008053B0" w:rsidP="009C2BBA">
      <w:pPr>
        <w:jc w:val="center"/>
        <w:rPr>
          <w:b/>
          <w:i/>
        </w:rPr>
      </w:pPr>
      <w:r>
        <w:rPr>
          <w:b/>
          <w:i/>
        </w:rPr>
        <w:lastRenderedPageBreak/>
        <w:t>Insert here Table 1</w:t>
      </w:r>
    </w:p>
    <w:p w14:paraId="15926B84" w14:textId="6D1C4C22" w:rsidR="00EB32AD" w:rsidRPr="009C2BBA" w:rsidRDefault="00EB32AD" w:rsidP="009C2BBA">
      <w:pPr>
        <w:jc w:val="center"/>
        <w:rPr>
          <w:b/>
          <w:i/>
        </w:rPr>
      </w:pPr>
      <w:r w:rsidRPr="009C2BBA">
        <w:rPr>
          <w:b/>
          <w:i/>
        </w:rPr>
        <w:t>&lt;Table 1 – Numbers and percentage distribution of Household Budget Survey (HBS) respondents by year (2006-2012), socio-economics and demographics, and key variables of interest &gt;</w:t>
      </w:r>
    </w:p>
    <w:p w14:paraId="2D3359D5" w14:textId="77777777" w:rsidR="00EB32AD" w:rsidRPr="00CA1841" w:rsidRDefault="00EB32AD" w:rsidP="002F6643"/>
    <w:p w14:paraId="260A00AB" w14:textId="77777777" w:rsidR="00B537AB" w:rsidRPr="009C2BBA" w:rsidRDefault="00432285" w:rsidP="002F6643">
      <w:pPr>
        <w:pStyle w:val="Heading2"/>
        <w:rPr>
          <w:b w:val="0"/>
        </w:rPr>
      </w:pPr>
      <w:r w:rsidRPr="009C2BBA">
        <w:rPr>
          <w:b w:val="0"/>
        </w:rPr>
        <w:t xml:space="preserve">Service </w:t>
      </w:r>
      <w:r w:rsidR="000975EF" w:rsidRPr="009C2BBA">
        <w:rPr>
          <w:b w:val="0"/>
        </w:rPr>
        <w:t>utilisation</w:t>
      </w:r>
    </w:p>
    <w:p w14:paraId="68C8741D" w14:textId="58D99229" w:rsidR="00AD5C7A" w:rsidRDefault="00EB32AD" w:rsidP="002F6643">
      <w:r>
        <w:t xml:space="preserve">We examined average healthcare utilisation </w:t>
      </w:r>
      <w:r w:rsidR="00C07078">
        <w:t xml:space="preserve">rate at national </w:t>
      </w:r>
      <w:r>
        <w:t xml:space="preserve">and preferred first contact provider from HBS respondents. </w:t>
      </w:r>
      <w:r w:rsidR="00C07078">
        <w:t>The</w:t>
      </w:r>
      <w:r>
        <w:t xml:space="preserve"> h</w:t>
      </w:r>
      <w:r w:rsidR="0051251E">
        <w:t xml:space="preserve">ealthcare utilisation </w:t>
      </w:r>
      <w:r w:rsidR="00C07078">
        <w:t xml:space="preserve">rate at national level </w:t>
      </w:r>
      <w:r w:rsidR="00AD324B">
        <w:t>rose</w:t>
      </w:r>
      <w:r w:rsidR="0051251E">
        <w:t xml:space="preserve"> b</w:t>
      </w:r>
      <w:r w:rsidR="00A53816">
        <w:t>etween 2006 and 2012 (Table 2)</w:t>
      </w:r>
      <w:r w:rsidR="00C07078">
        <w:t>,</w:t>
      </w:r>
      <w:r>
        <w:t xml:space="preserve"> with</w:t>
      </w:r>
      <w:r w:rsidR="00A53816">
        <w:t xml:space="preserve"> </w:t>
      </w:r>
      <w:r>
        <w:t xml:space="preserve">the </w:t>
      </w:r>
      <w:r w:rsidR="009513BE" w:rsidRPr="001B1BED">
        <w:t>hospitalization rate (per 100 residents) incr</w:t>
      </w:r>
      <w:r>
        <w:t>easing</w:t>
      </w:r>
      <w:r w:rsidR="009513BE" w:rsidRPr="000975EF">
        <w:t xml:space="preserve"> from 16.7 in 2006 to 18.</w:t>
      </w:r>
      <w:r>
        <w:t>4</w:t>
      </w:r>
      <w:r w:rsidR="009513BE" w:rsidRPr="000975EF">
        <w:t xml:space="preserve"> in 2012</w:t>
      </w:r>
      <w:r>
        <w:t xml:space="preserve"> and</w:t>
      </w:r>
      <w:r w:rsidR="00FB0429">
        <w:t xml:space="preserve"> t</w:t>
      </w:r>
      <w:r w:rsidR="009513BE">
        <w:t>he</w:t>
      </w:r>
      <w:r w:rsidR="009513BE" w:rsidRPr="000975EF">
        <w:t xml:space="preserve"> average number of </w:t>
      </w:r>
      <w:r w:rsidR="009513BE">
        <w:t xml:space="preserve">outpatient </w:t>
      </w:r>
      <w:r w:rsidR="009513BE" w:rsidRPr="000975EF">
        <w:t xml:space="preserve">visits per person </w:t>
      </w:r>
      <w:r>
        <w:t>rising</w:t>
      </w:r>
      <w:r w:rsidR="009513BE" w:rsidRPr="000975EF">
        <w:t xml:space="preserve"> from 6.02 to 6.45</w:t>
      </w:r>
      <w:r w:rsidR="00A27F99" w:rsidRPr="001B1BED">
        <w:t>.</w:t>
      </w:r>
      <w:r w:rsidR="008635F3">
        <w:t xml:space="preserve"> These numbers </w:t>
      </w:r>
      <w:r w:rsidR="00B07C39">
        <w:t>are</w:t>
      </w:r>
      <w:r w:rsidR="008635F3">
        <w:t xml:space="preserve"> broadly </w:t>
      </w:r>
      <w:r w:rsidR="00242ACC">
        <w:t>in line with European averages</w:t>
      </w:r>
      <w:r w:rsidR="009C2BBA">
        <w:t xml:space="preserve"> (of 18.04 hospitalisations and 6.93 outpatient visits per person in 2012)</w:t>
      </w:r>
      <w:hyperlink w:anchor="_ENREF_5" w:tooltip="World Health Organization Regional Office for Europe, 2013 #96" w:history="1">
        <w:r w:rsidR="00025DA0">
          <w:fldChar w:fldCharType="begin"/>
        </w:r>
        <w:r w:rsidR="00025DA0">
          <w:instrText xml:space="preserve"> ADDIN EN.CITE &lt;EndNote&gt;&lt;Cite&gt;&lt;Author&gt;World Health Organization Regional Office for Europe&lt;/Author&gt;&lt;Year&gt;2013&lt;/Year&gt;&lt;RecNum&gt;96&lt;/RecNum&gt;&lt;DisplayText&gt;&lt;style face="superscript"&gt;5&lt;/style&gt;&lt;/DisplayText&gt;&lt;record&gt;&lt;rec-number&gt;96&lt;/rec-number&gt;&lt;foreign-keys&gt;&lt;key app="EN" db-id="afate9rf5sat09edfarpdvt4xt0w0a2zp9fe"&gt;96&lt;/key&gt;&lt;/foreign-keys&gt;&lt;ref-type name="Web Page"&gt;12&lt;/ref-type&gt;&lt;contributors&gt;&lt;authors&gt;&lt;author&gt;World Health Organization Regional Office for Europe,&lt;/author&gt;&lt;/authors&gt;&lt;/contributors&gt;&lt;titles&gt;&lt;title&gt;European health for all database (HFA-DB)&lt;/title&gt;&lt;/titles&gt;&lt;volume&gt;2013&lt;/volume&gt;&lt;number&gt;8/11&lt;/number&gt;&lt;dates&gt;&lt;year&gt;2013&lt;/year&gt;&lt;/dates&gt;&lt;pub-location&gt;Copenhagen, Denmark&lt;/pub-location&gt;&lt;publisher&gt;World Health Organization Regional Office for Europe,&lt;/publisher&gt;&lt;urls&gt;&lt;related-urls&gt;&lt;url&gt;http://data.euro.who.int/hfadb/&lt;/url&gt;&lt;/related-urls&gt;&lt;/urls&gt;&lt;/record&gt;&lt;/Cite&gt;&lt;/EndNote&gt;</w:instrText>
        </w:r>
        <w:r w:rsidR="00025DA0">
          <w:fldChar w:fldCharType="separate"/>
        </w:r>
        <w:r w:rsidR="00025DA0" w:rsidRPr="00782C0E">
          <w:rPr>
            <w:noProof/>
            <w:vertAlign w:val="superscript"/>
          </w:rPr>
          <w:t>5</w:t>
        </w:r>
        <w:r w:rsidR="00025DA0">
          <w:fldChar w:fldCharType="end"/>
        </w:r>
      </w:hyperlink>
      <w:r w:rsidR="008635F3">
        <w:t>.</w:t>
      </w:r>
      <w:r w:rsidR="00A27F99" w:rsidRPr="001B1BED">
        <w:t xml:space="preserve"> </w:t>
      </w:r>
    </w:p>
    <w:p w14:paraId="6D1B6E20" w14:textId="77777777" w:rsidR="00DA2501" w:rsidRPr="00FF5A99" w:rsidRDefault="00DA2501" w:rsidP="002F6643"/>
    <w:p w14:paraId="505CA98D" w14:textId="77777777" w:rsidR="00FB0429" w:rsidRDefault="00EB32AD" w:rsidP="002F6643">
      <w:r>
        <w:t xml:space="preserve">Individual respondents in the HBS who sought healthcare in the last four weeks show the majority </w:t>
      </w:r>
      <w:r w:rsidR="00AD324B" w:rsidRPr="000975EF">
        <w:t>s</w:t>
      </w:r>
      <w:r w:rsidR="00AD324B">
        <w:t>ought</w:t>
      </w:r>
      <w:r w:rsidR="00AD324B" w:rsidRPr="000975EF">
        <w:t xml:space="preserve"> </w:t>
      </w:r>
      <w:r w:rsidR="003407BD" w:rsidRPr="000975EF">
        <w:t>healthcare in</w:t>
      </w:r>
      <w:r w:rsidR="00313C14">
        <w:t xml:space="preserve"> former</w:t>
      </w:r>
      <w:r w:rsidR="003407BD" w:rsidRPr="000975EF">
        <w:t xml:space="preserve"> polyclinics (</w:t>
      </w:r>
      <w:proofErr w:type="spellStart"/>
      <w:r w:rsidR="003407BD" w:rsidRPr="000975EF">
        <w:t>centers</w:t>
      </w:r>
      <w:proofErr w:type="spellEnd"/>
      <w:r w:rsidR="00883D6F">
        <w:t xml:space="preserve"> that in majority of cases include both family doctors and out-patient specialists</w:t>
      </w:r>
      <w:r w:rsidR="003407BD" w:rsidRPr="000975EF">
        <w:t xml:space="preserve">) (48.0% in 2012) with family doctor offices (32.6%), </w:t>
      </w:r>
      <w:r w:rsidR="00D55E50" w:rsidRPr="00B6682D">
        <w:t xml:space="preserve">home visits (8.9%) and hospitals (5.2%) the next </w:t>
      </w:r>
      <w:r w:rsidR="001A2237">
        <w:t xml:space="preserve">most </w:t>
      </w:r>
      <w:r w:rsidR="00D55E50" w:rsidRPr="00B6682D">
        <w:t>popular. These trends have remained fairly constant since 2003 (</w:t>
      </w:r>
      <w:r w:rsidR="00DA2501">
        <w:t>Figure 1</w:t>
      </w:r>
      <w:r w:rsidR="00D55E50" w:rsidRPr="001B1BED">
        <w:t>).</w:t>
      </w:r>
    </w:p>
    <w:p w14:paraId="0DE15DAB" w14:textId="77777777" w:rsidR="00DA2501" w:rsidRDefault="00DA2501" w:rsidP="002F6643"/>
    <w:p w14:paraId="7BD4D860" w14:textId="0690F79B" w:rsidR="00C07078" w:rsidRPr="009C2BBA" w:rsidRDefault="00C07078" w:rsidP="009C2BBA">
      <w:pPr>
        <w:jc w:val="center"/>
        <w:rPr>
          <w:b/>
          <w:i/>
        </w:rPr>
      </w:pPr>
      <w:bookmarkStart w:id="1" w:name="_Ref393379341"/>
      <w:r w:rsidRPr="009C2BBA">
        <w:rPr>
          <w:b/>
          <w:i/>
        </w:rPr>
        <w:t>Insert here Table 2</w:t>
      </w:r>
    </w:p>
    <w:p w14:paraId="19D31BA0" w14:textId="2F7DE14C" w:rsidR="00EB32AD" w:rsidRPr="009C2BBA" w:rsidRDefault="00EB32AD" w:rsidP="009C2BBA">
      <w:pPr>
        <w:jc w:val="center"/>
        <w:rPr>
          <w:b/>
          <w:i/>
        </w:rPr>
      </w:pPr>
      <w:r w:rsidRPr="009C2BBA">
        <w:rPr>
          <w:b/>
          <w:i/>
        </w:rPr>
        <w:t xml:space="preserve">&lt;Table </w:t>
      </w:r>
      <w:bookmarkEnd w:id="1"/>
      <w:r w:rsidRPr="009C2BBA">
        <w:rPr>
          <w:b/>
          <w:i/>
          <w:noProof/>
        </w:rPr>
        <w:t>2</w:t>
      </w:r>
      <w:r w:rsidRPr="009C2BBA">
        <w:rPr>
          <w:b/>
          <w:i/>
        </w:rPr>
        <w:t xml:space="preserve"> | Healthcare utilization (2006-2012)&gt;</w:t>
      </w:r>
    </w:p>
    <w:p w14:paraId="52D78CEF" w14:textId="77777777" w:rsidR="00EB32AD" w:rsidRDefault="00EB32AD" w:rsidP="002F6643"/>
    <w:p w14:paraId="0277AA10" w14:textId="77777777" w:rsidR="00C07078" w:rsidRPr="009C2BBA" w:rsidRDefault="00C07078" w:rsidP="009C2BBA">
      <w:pPr>
        <w:jc w:val="center"/>
        <w:rPr>
          <w:b/>
          <w:i/>
        </w:rPr>
      </w:pPr>
      <w:r w:rsidRPr="009C2BBA">
        <w:rPr>
          <w:b/>
          <w:i/>
        </w:rPr>
        <w:t>Insert here Figure 1</w:t>
      </w:r>
    </w:p>
    <w:p w14:paraId="3246956D" w14:textId="43C3D67E" w:rsidR="002952B0" w:rsidRPr="009C2BBA" w:rsidRDefault="00DA2501" w:rsidP="009C2BBA">
      <w:pPr>
        <w:jc w:val="center"/>
        <w:rPr>
          <w:b/>
          <w:i/>
        </w:rPr>
      </w:pPr>
      <w:r w:rsidRPr="009C2BBA">
        <w:rPr>
          <w:b/>
          <w:i/>
        </w:rPr>
        <w:t>&lt;</w:t>
      </w:r>
      <w:r w:rsidR="002952B0" w:rsidRPr="009C2BBA">
        <w:rPr>
          <w:b/>
          <w:i/>
        </w:rPr>
        <w:t xml:space="preserve">Figure </w:t>
      </w:r>
      <w:r w:rsidR="0051251E" w:rsidRPr="009C2BBA">
        <w:rPr>
          <w:b/>
          <w:i/>
        </w:rPr>
        <w:t xml:space="preserve">1 </w:t>
      </w:r>
      <w:r w:rsidR="002952B0" w:rsidRPr="009C2BBA">
        <w:rPr>
          <w:b/>
          <w:i/>
        </w:rPr>
        <w:t>| Choice of healthcare provider for individuals who sought medical care in the last 4 weeks prior to household budget survey (2006-12)</w:t>
      </w:r>
      <w:r w:rsidRPr="009C2BBA">
        <w:rPr>
          <w:b/>
          <w:i/>
        </w:rPr>
        <w:t>&gt;</w:t>
      </w:r>
    </w:p>
    <w:p w14:paraId="58DF3FF4" w14:textId="77777777" w:rsidR="00B5682C" w:rsidRPr="00B5682C" w:rsidRDefault="00B5682C" w:rsidP="002F6643"/>
    <w:p w14:paraId="07A546D1" w14:textId="77777777" w:rsidR="006024DF" w:rsidRPr="009C2BBA" w:rsidRDefault="001A2237" w:rsidP="002F6643">
      <w:pPr>
        <w:pStyle w:val="Heading2"/>
        <w:rPr>
          <w:b w:val="0"/>
        </w:rPr>
      </w:pPr>
      <w:r w:rsidRPr="009C2BBA">
        <w:rPr>
          <w:b w:val="0"/>
        </w:rPr>
        <w:t>I</w:t>
      </w:r>
      <w:r w:rsidR="006024DF" w:rsidRPr="009C2BBA">
        <w:rPr>
          <w:b w:val="0"/>
        </w:rPr>
        <w:t>nsurance Coverage</w:t>
      </w:r>
    </w:p>
    <w:p w14:paraId="6A9A64DD" w14:textId="12AEBF5E" w:rsidR="0051251E" w:rsidRDefault="00A53816" w:rsidP="002F6643">
      <w:r>
        <w:t xml:space="preserve">Approximately 75% of HBS respondents reported having health insurance during the period 2006-2012 </w:t>
      </w:r>
      <w:r w:rsidR="006024DF" w:rsidRPr="000753CE">
        <w:t>(</w:t>
      </w:r>
      <w:r w:rsidR="00821C61" w:rsidRPr="000975EF">
        <w:fldChar w:fldCharType="begin"/>
      </w:r>
      <w:r w:rsidR="0051251E" w:rsidRPr="00885A89">
        <w:instrText xml:space="preserve"> REF _Ref253415219 \h </w:instrText>
      </w:r>
      <w:r w:rsidR="00821C61" w:rsidRPr="000975EF">
        <w:fldChar w:fldCharType="separate"/>
      </w:r>
      <w:r w:rsidR="0051251E" w:rsidRPr="000975EF">
        <w:t xml:space="preserve">Table </w:t>
      </w:r>
      <w:r w:rsidR="0051251E">
        <w:rPr>
          <w:noProof/>
        </w:rPr>
        <w:t>3</w:t>
      </w:r>
      <w:r w:rsidR="00821C61" w:rsidRPr="000975EF">
        <w:fldChar w:fldCharType="end"/>
      </w:r>
      <w:r w:rsidR="006024DF" w:rsidRPr="001B1BED">
        <w:t>)</w:t>
      </w:r>
      <w:r>
        <w:t>. National</w:t>
      </w:r>
      <w:r w:rsidR="00CB0190">
        <w:t xml:space="preserve"> </w:t>
      </w:r>
      <w:r w:rsidR="006024DF" w:rsidRPr="001B1BED">
        <w:t xml:space="preserve">statistics </w:t>
      </w:r>
      <w:r w:rsidR="006A342A">
        <w:t>suggest</w:t>
      </w:r>
      <w:r w:rsidR="00CB0190">
        <w:t xml:space="preserve"> </w:t>
      </w:r>
      <w:r w:rsidR="00212BEB">
        <w:t>rising</w:t>
      </w:r>
      <w:r w:rsidR="006A342A">
        <w:t xml:space="preserve"> coverage</w:t>
      </w:r>
      <w:r w:rsidR="00CB0190">
        <w:t xml:space="preserve"> </w:t>
      </w:r>
      <w:r w:rsidR="00C07078">
        <w:t xml:space="preserve">of health insurance </w:t>
      </w:r>
      <w:r w:rsidR="00CB0190">
        <w:t xml:space="preserve">from </w:t>
      </w:r>
      <w:r w:rsidR="00CB0190" w:rsidRPr="001B1BED">
        <w:t xml:space="preserve">76.1% </w:t>
      </w:r>
      <w:r w:rsidR="00CB0190">
        <w:t>to</w:t>
      </w:r>
      <w:r w:rsidR="006024DF" w:rsidRPr="001B1BED">
        <w:t xml:space="preserve"> 80.3%.</w:t>
      </w:r>
      <w:r w:rsidR="00885E48">
        <w:t xml:space="preserve"> </w:t>
      </w:r>
      <w:r w:rsidR="00212BEB">
        <w:t>I</w:t>
      </w:r>
      <w:r w:rsidR="00212BEB" w:rsidRPr="00B6682D">
        <w:t>n 2012</w:t>
      </w:r>
      <w:r w:rsidR="00C07078">
        <w:t>,</w:t>
      </w:r>
      <w:r w:rsidR="00212BEB" w:rsidRPr="00B6682D">
        <w:t xml:space="preserve"> </w:t>
      </w:r>
      <w:r w:rsidR="002F3506">
        <w:t>o</w:t>
      </w:r>
      <w:r w:rsidR="006A342A">
        <w:t xml:space="preserve">nly 60% </w:t>
      </w:r>
      <w:r w:rsidR="006A342A" w:rsidRPr="000753CE">
        <w:t xml:space="preserve">of </w:t>
      </w:r>
      <w:r w:rsidR="006A342A">
        <w:t xml:space="preserve">the </w:t>
      </w:r>
      <w:r w:rsidR="006A342A" w:rsidRPr="000753CE">
        <w:t xml:space="preserve">working age </w:t>
      </w:r>
      <w:r w:rsidR="006A342A">
        <w:t xml:space="preserve">population </w:t>
      </w:r>
      <w:r w:rsidR="006A342A" w:rsidRPr="000753CE">
        <w:t>(18-59 years</w:t>
      </w:r>
      <w:r w:rsidR="006A342A">
        <w:t>)</w:t>
      </w:r>
      <w:r w:rsidR="006A342A" w:rsidRPr="000753CE">
        <w:t xml:space="preserve"> had </w:t>
      </w:r>
      <w:r w:rsidR="006A342A">
        <w:t xml:space="preserve">insurance </w:t>
      </w:r>
      <w:r w:rsidR="006A342A" w:rsidRPr="000753CE">
        <w:t>coverage</w:t>
      </w:r>
      <w:r w:rsidR="006A342A">
        <w:t>, with t</w:t>
      </w:r>
      <w:r w:rsidR="006024DF" w:rsidRPr="00B6682D">
        <w:t xml:space="preserve">he self-employed and those working </w:t>
      </w:r>
      <w:r w:rsidR="00CB0190">
        <w:t>in</w:t>
      </w:r>
      <w:r w:rsidR="006024DF" w:rsidRPr="00B6682D">
        <w:t xml:space="preserve"> </w:t>
      </w:r>
      <w:r w:rsidR="00CB0190" w:rsidRPr="00B6682D">
        <w:t>famil</w:t>
      </w:r>
      <w:r w:rsidR="00CB0190">
        <w:t>y business</w:t>
      </w:r>
      <w:r w:rsidR="00CB0190" w:rsidRPr="00B6682D">
        <w:t xml:space="preserve"> </w:t>
      </w:r>
      <w:r w:rsidR="006A342A" w:rsidRPr="00B6682D">
        <w:t>hav</w:t>
      </w:r>
      <w:r w:rsidR="006A342A">
        <w:t>ing</w:t>
      </w:r>
      <w:r w:rsidR="006A342A" w:rsidRPr="00B6682D">
        <w:t xml:space="preserve"> </w:t>
      </w:r>
      <w:r w:rsidR="006024DF" w:rsidRPr="00B6682D">
        <w:t>lower coverage</w:t>
      </w:r>
      <w:r w:rsidR="00BE59B9">
        <w:t xml:space="preserve"> levels</w:t>
      </w:r>
      <w:r w:rsidR="006A342A">
        <w:t>:</w:t>
      </w:r>
      <w:r w:rsidR="00CB0190">
        <w:t xml:space="preserve"> </w:t>
      </w:r>
      <w:r w:rsidR="006024DF" w:rsidRPr="00B6682D">
        <w:t>24% of self-employed agriculture workers, 57.8% of self-employed non-agr</w:t>
      </w:r>
      <w:r w:rsidR="006024DF" w:rsidRPr="000753CE">
        <w:t>iculture workers, and 53.8% of unpaid family workers had insurance.</w:t>
      </w:r>
      <w:r w:rsidR="002E1C51">
        <w:t xml:space="preserve"> </w:t>
      </w:r>
      <w:r w:rsidR="006024DF" w:rsidRPr="000753CE">
        <w:t xml:space="preserve">In 2012, </w:t>
      </w:r>
      <w:r w:rsidR="006024DF" w:rsidRPr="00FF5A99">
        <w:t xml:space="preserve">the main reasons </w:t>
      </w:r>
      <w:r w:rsidR="00CB0190" w:rsidRPr="000753CE">
        <w:t xml:space="preserve">for being uninsured </w:t>
      </w:r>
      <w:r w:rsidR="006024DF" w:rsidRPr="00FF5A99">
        <w:t xml:space="preserve">were unemployment (27.9%), cost (26.2%), they would pay anyway (13.9%), working informally (13.1%), </w:t>
      </w:r>
      <w:r w:rsidR="006024DF" w:rsidRPr="004E5EAC">
        <w:t xml:space="preserve">belief </w:t>
      </w:r>
      <w:r w:rsidR="00885E48">
        <w:t xml:space="preserve">that </w:t>
      </w:r>
      <w:r w:rsidR="006024DF" w:rsidRPr="004E5EAC">
        <w:t>it would not be needed (8.5%) and working abroad (8.1%).</w:t>
      </w:r>
    </w:p>
    <w:p w14:paraId="401C612E" w14:textId="77777777" w:rsidR="001A2237" w:rsidRDefault="001A2237" w:rsidP="002F6643"/>
    <w:p w14:paraId="1BC8F4F5" w14:textId="77777777" w:rsidR="002E1C51" w:rsidRDefault="001A2237" w:rsidP="002F6643">
      <w:r>
        <w:t xml:space="preserve">The odds of </w:t>
      </w:r>
      <w:r w:rsidR="00B07C39">
        <w:t xml:space="preserve">not </w:t>
      </w:r>
      <w:r>
        <w:t xml:space="preserve">having health insurance were examined </w:t>
      </w:r>
      <w:r w:rsidR="00AD324B">
        <w:t xml:space="preserve">using </w:t>
      </w:r>
      <w:r>
        <w:t>multivariate logistic regression (Table 4). Age was an important determinant of being uninsured, with those</w:t>
      </w:r>
      <w:r w:rsidR="002E1C51">
        <w:t xml:space="preserve"> aged 25-43 and 35-49 years of age 2.9 (OR=2.898, p&lt;0.000) and 2.3 times (OR=2.261, </w:t>
      </w:r>
      <w:r w:rsidR="002E1C51">
        <w:lastRenderedPageBreak/>
        <w:t xml:space="preserve">p&lt;0.000) respectively more likely to be uninsured than those aged 18-24 or 50-60 years of age. </w:t>
      </w:r>
    </w:p>
    <w:p w14:paraId="076A2D47" w14:textId="77777777" w:rsidR="002E1C51" w:rsidRDefault="002E1C51" w:rsidP="002F6643"/>
    <w:p w14:paraId="0F57C135" w14:textId="77777777" w:rsidR="001A2237" w:rsidRDefault="000A4DB9" w:rsidP="002F6643">
      <w:r>
        <w:t>Fem</w:t>
      </w:r>
      <w:r w:rsidR="001A2237">
        <w:t xml:space="preserve">ales were </w:t>
      </w:r>
      <w:r>
        <w:t>less</w:t>
      </w:r>
      <w:r w:rsidR="001A2237">
        <w:t xml:space="preserve"> likely to be uninsured </w:t>
      </w:r>
      <w:r>
        <w:t xml:space="preserve">than men (OR=0.599, p&lt;0.000), as were those with chronic health conditions (OR=0.303, p&lt;0.000). All categories of employment were substantially more likely to be uninsured than those employed. The self-employed, and unpaid family workers were all more than 20 times more likely to be uninsured. Unemployed were 5 times more likely (OR=4.915, p&lt;0.000). All categories of education were more likely to be uninsured than those with only pre-school or no-education with primary, secondary, and college or university educated individuals 7.7, 6.1 and 3.2 times more likely to be uninsured. </w:t>
      </w:r>
    </w:p>
    <w:p w14:paraId="349BBB83" w14:textId="77777777" w:rsidR="00E03C42" w:rsidRDefault="00E03C42" w:rsidP="002F6643"/>
    <w:p w14:paraId="55755F57" w14:textId="77777777" w:rsidR="000A4DB9" w:rsidRDefault="000A4DB9" w:rsidP="002F6643">
      <w:r>
        <w:t xml:space="preserve">Generally over time, there was no evidence of a trend in change in likelihood of being uninsured. Model with interactions with time (results not shown) suggest that the likelihood of being uninsured declined over time for those with chronic conditions (compared to those without), females (compared to males), and the self-employed (agriculture) and unpaid family workers (compared to employed). There was an increased likelihood in being </w:t>
      </w:r>
      <w:r w:rsidR="00C01027">
        <w:t>un</w:t>
      </w:r>
      <w:r>
        <w:t xml:space="preserve">insured </w:t>
      </w:r>
      <w:r w:rsidR="00C01027">
        <w:t>for the unemployed over time (compared to other employment categories).</w:t>
      </w:r>
    </w:p>
    <w:p w14:paraId="12D762C7" w14:textId="77777777" w:rsidR="001A2237" w:rsidRDefault="001A2237" w:rsidP="002F6643"/>
    <w:p w14:paraId="6BF51B6C" w14:textId="77777777" w:rsidR="007F236E" w:rsidRDefault="007F236E" w:rsidP="002F6643"/>
    <w:p w14:paraId="3529E1BD" w14:textId="77777777" w:rsidR="001A2237" w:rsidRDefault="001A2237" w:rsidP="002F6643"/>
    <w:p w14:paraId="59FD2A8A" w14:textId="77777777" w:rsidR="00C07078" w:rsidRPr="00330CD4" w:rsidRDefault="00C07078" w:rsidP="00330CD4">
      <w:pPr>
        <w:jc w:val="center"/>
        <w:rPr>
          <w:b/>
          <w:i/>
        </w:rPr>
      </w:pPr>
      <w:r w:rsidRPr="00330CD4">
        <w:rPr>
          <w:b/>
          <w:i/>
        </w:rPr>
        <w:t>Insert Table 3 here</w:t>
      </w:r>
    </w:p>
    <w:p w14:paraId="22C5F1E5" w14:textId="6055D5CF" w:rsidR="001A2237" w:rsidRPr="00330CD4" w:rsidRDefault="001A2237" w:rsidP="00330CD4">
      <w:pPr>
        <w:jc w:val="center"/>
        <w:rPr>
          <w:b/>
          <w:i/>
        </w:rPr>
      </w:pPr>
      <w:r w:rsidRPr="00330CD4">
        <w:rPr>
          <w:b/>
          <w:i/>
        </w:rPr>
        <w:t>&lt;Table 3 | Insurance coverage national and occupational groups (2006-2012)&gt;</w:t>
      </w:r>
    </w:p>
    <w:p w14:paraId="1EDD96B1" w14:textId="77777777" w:rsidR="006024DF" w:rsidRPr="004E5EAC" w:rsidRDefault="006024DF" w:rsidP="002F6643"/>
    <w:p w14:paraId="7DC86B7F" w14:textId="43539CDB" w:rsidR="00C07078" w:rsidRPr="009C2BBA" w:rsidRDefault="00C07078" w:rsidP="00330CD4">
      <w:pPr>
        <w:jc w:val="center"/>
      </w:pPr>
      <w:r w:rsidRPr="00330CD4">
        <w:rPr>
          <w:b/>
          <w:i/>
        </w:rPr>
        <w:t>Insert Table 4 here</w:t>
      </w:r>
    </w:p>
    <w:p w14:paraId="35EAB621" w14:textId="624F1E4B" w:rsidR="00C01027" w:rsidRPr="00C07078" w:rsidRDefault="00C01027" w:rsidP="00330CD4">
      <w:pPr>
        <w:jc w:val="center"/>
      </w:pPr>
      <w:r w:rsidRPr="00C01027">
        <w:rPr>
          <w:b/>
          <w:bCs/>
          <w:i/>
          <w:iCs/>
        </w:rPr>
        <w:t>Table 4 | Multivariate Regression Results on Likelihood of being Uninsured for individuals aged 18-60 years (2006-2012)</w:t>
      </w:r>
      <w:r>
        <w:rPr>
          <w:b/>
          <w:bCs/>
          <w:i/>
          <w:iCs/>
        </w:rPr>
        <w:t>&gt;</w:t>
      </w:r>
    </w:p>
    <w:p w14:paraId="0859E1D0" w14:textId="77777777" w:rsidR="00C01027" w:rsidRDefault="00C01027" w:rsidP="002F6643">
      <w:pPr>
        <w:pStyle w:val="Heading2"/>
        <w:rPr>
          <w:rFonts w:ascii="Calibri" w:eastAsiaTheme="minorEastAsia" w:hAnsi="Calibri" w:cs="Times New Roman"/>
          <w:b w:val="0"/>
          <w:bCs w:val="0"/>
          <w:i w:val="0"/>
          <w:iCs w:val="0"/>
          <w:sz w:val="24"/>
          <w:szCs w:val="24"/>
        </w:rPr>
      </w:pPr>
    </w:p>
    <w:p w14:paraId="7B38A986" w14:textId="77777777" w:rsidR="001A2237" w:rsidRPr="00330CD4" w:rsidRDefault="001A2237" w:rsidP="002F6643">
      <w:pPr>
        <w:pStyle w:val="Heading2"/>
        <w:rPr>
          <w:b w:val="0"/>
        </w:rPr>
      </w:pPr>
      <w:r w:rsidRPr="00330CD4">
        <w:rPr>
          <w:b w:val="0"/>
        </w:rPr>
        <w:t xml:space="preserve">Private and Out of Pocket Expenditure </w:t>
      </w:r>
    </w:p>
    <w:p w14:paraId="47CC6607" w14:textId="05AF366E" w:rsidR="007654C7" w:rsidRDefault="007F236E" w:rsidP="002F6643">
      <w:r>
        <w:t>A</w:t>
      </w:r>
      <w:r w:rsidR="007654C7" w:rsidRPr="000975EF">
        <w:t xml:space="preserve">round 15% of </w:t>
      </w:r>
      <w:r>
        <w:t>HBS respondents</w:t>
      </w:r>
      <w:r w:rsidR="007654C7" w:rsidRPr="000975EF">
        <w:t xml:space="preserve"> who sought</w:t>
      </w:r>
      <w:r w:rsidR="007654C7" w:rsidRPr="00B6682D">
        <w:t xml:space="preserve"> healthcare reported a payment for consultative services and 2% for inpatient care in 2012 </w:t>
      </w:r>
      <w:r w:rsidR="008303B2">
        <w:t>(Table 5)</w:t>
      </w:r>
      <w:r w:rsidR="007654C7" w:rsidRPr="000975EF">
        <w:t xml:space="preserve"> </w:t>
      </w:r>
      <w:r w:rsidR="007654C7">
        <w:t xml:space="preserve">compared with </w:t>
      </w:r>
      <w:r w:rsidR="007654C7" w:rsidRPr="00B6682D">
        <w:t>20% and 3%</w:t>
      </w:r>
      <w:r w:rsidR="007654C7" w:rsidRPr="000753CE">
        <w:t xml:space="preserve"> in 2006 respectively</w:t>
      </w:r>
      <w:r w:rsidR="007654C7" w:rsidRPr="00FF5A99">
        <w:t xml:space="preserve">. </w:t>
      </w:r>
      <w:r w:rsidR="007654C7" w:rsidRPr="004E5EAC">
        <w:t xml:space="preserve">The average costs for both consultative services and </w:t>
      </w:r>
      <w:r w:rsidR="00C07078">
        <w:t>medicines</w:t>
      </w:r>
      <w:r w:rsidR="00C07078" w:rsidRPr="004E5EAC">
        <w:t xml:space="preserve"> </w:t>
      </w:r>
      <w:r w:rsidR="007654C7" w:rsidRPr="004E5EAC">
        <w:t>ha</w:t>
      </w:r>
      <w:r w:rsidR="007654C7">
        <w:t>d</w:t>
      </w:r>
      <w:r w:rsidR="007654C7" w:rsidRPr="004E5EAC">
        <w:t xml:space="preserve"> increased since 2006</w:t>
      </w:r>
      <w:r w:rsidR="007654C7">
        <w:t>.</w:t>
      </w:r>
      <w:r w:rsidR="008303B2">
        <w:t xml:space="preserve"> </w:t>
      </w:r>
    </w:p>
    <w:p w14:paraId="0772E733" w14:textId="77777777" w:rsidR="007654C7" w:rsidRPr="00B6682D" w:rsidRDefault="007654C7" w:rsidP="002F6643"/>
    <w:p w14:paraId="5E1C3C09" w14:textId="2DC7CA5E" w:rsidR="001A2237" w:rsidRDefault="001A2237" w:rsidP="002F6643">
      <w:bookmarkStart w:id="2" w:name="_Ref393115122"/>
      <w:r>
        <w:t xml:space="preserve">The factors affecting the likelihood of an OOP payment for both </w:t>
      </w:r>
      <w:r w:rsidR="00C07078">
        <w:t xml:space="preserve">medicines </w:t>
      </w:r>
      <w:r>
        <w:t>and healthcare services were analysed separately using multivariate logistic regression</w:t>
      </w:r>
      <w:r w:rsidR="00C01027">
        <w:t xml:space="preserve"> (Table 6</w:t>
      </w:r>
      <w:r w:rsidR="007654C7">
        <w:t>).</w:t>
      </w:r>
    </w:p>
    <w:p w14:paraId="2E912D4B" w14:textId="77777777" w:rsidR="00E87725" w:rsidRDefault="00E87725" w:rsidP="002F6643"/>
    <w:p w14:paraId="68E3BC21" w14:textId="03B538A6" w:rsidR="00E87725" w:rsidRDefault="00E87725" w:rsidP="002F6643">
      <w:r>
        <w:t>Although low numbers and fluctuations in reported costs make conclusions difficult, there appears to be only modest reductions in costs incurred relative to average monthly earnings over time (Table 7).</w:t>
      </w:r>
    </w:p>
    <w:p w14:paraId="7C37FB0F" w14:textId="77777777" w:rsidR="001A2237" w:rsidRPr="00330CD4" w:rsidRDefault="001A2237" w:rsidP="002F6643">
      <w:pPr>
        <w:pStyle w:val="Heading3"/>
        <w:rPr>
          <w:b w:val="0"/>
          <w:i/>
        </w:rPr>
      </w:pPr>
      <w:r w:rsidRPr="00330CD4">
        <w:rPr>
          <w:b w:val="0"/>
          <w:i/>
        </w:rPr>
        <w:lastRenderedPageBreak/>
        <w:t>Out of Pocket Payment for Drugs</w:t>
      </w:r>
    </w:p>
    <w:p w14:paraId="0AA76DD5" w14:textId="709EB006" w:rsidR="001A2237" w:rsidRDefault="001A2237" w:rsidP="002F6643">
      <w:r>
        <w:t>Older individuals</w:t>
      </w:r>
      <w:r w:rsidR="00C01027">
        <w:t xml:space="preserve"> (aged over 50 years)</w:t>
      </w:r>
      <w:r>
        <w:t>, who sought healthcare in the last four weeks, were more likely to incur a cost</w:t>
      </w:r>
      <w:r w:rsidR="00C01027">
        <w:t xml:space="preserve"> than those</w:t>
      </w:r>
      <w:r w:rsidR="007F236E">
        <w:t xml:space="preserve"> </w:t>
      </w:r>
      <w:r w:rsidR="00C07078">
        <w:t xml:space="preserve">aged </w:t>
      </w:r>
      <w:proofErr w:type="gramStart"/>
      <w:r w:rsidR="00C01027">
        <w:t>under</w:t>
      </w:r>
      <w:proofErr w:type="gramEnd"/>
      <w:r w:rsidR="00C01027">
        <w:t xml:space="preserve"> 34 years</w:t>
      </w:r>
      <w:r>
        <w:t xml:space="preserve">. </w:t>
      </w:r>
      <w:r w:rsidR="00C01027">
        <w:t>Fem</w:t>
      </w:r>
      <w:r>
        <w:t>al</w:t>
      </w:r>
      <w:r w:rsidR="007F236E">
        <w:t xml:space="preserve">es </w:t>
      </w:r>
      <w:r w:rsidR="00C01027">
        <w:t>were</w:t>
      </w:r>
      <w:r w:rsidR="007F236E">
        <w:t xml:space="preserve"> </w:t>
      </w:r>
      <w:r w:rsidR="00C01027">
        <w:t>13%</w:t>
      </w:r>
      <w:r>
        <w:t xml:space="preserve"> </w:t>
      </w:r>
      <w:r w:rsidR="00C01027">
        <w:t>most likely to</w:t>
      </w:r>
      <w:r>
        <w:t xml:space="preserve"> </w:t>
      </w:r>
      <w:r w:rsidR="00C01027">
        <w:t>pay</w:t>
      </w:r>
      <w:r>
        <w:t xml:space="preserve"> (</w:t>
      </w:r>
      <w:r w:rsidR="007F236E">
        <w:t>OR=</w:t>
      </w:r>
      <w:r w:rsidR="00C01027">
        <w:t>1.133</w:t>
      </w:r>
      <w:r w:rsidR="007F236E">
        <w:t xml:space="preserve">, </w:t>
      </w:r>
      <w:r>
        <w:t>p=0.0</w:t>
      </w:r>
      <w:r w:rsidR="00C01027">
        <w:t>13</w:t>
      </w:r>
      <w:r>
        <w:t>), whilst those with chronic conditions were nearly 1.9 times as likely to incurring a cost (</w:t>
      </w:r>
      <w:r w:rsidR="007F236E">
        <w:t>OR=1.9</w:t>
      </w:r>
      <w:r w:rsidR="00C01027">
        <w:t>11</w:t>
      </w:r>
      <w:r w:rsidR="007F236E">
        <w:t xml:space="preserve"> </w:t>
      </w:r>
      <w:r>
        <w:t xml:space="preserve">p&lt;0.000). </w:t>
      </w:r>
    </w:p>
    <w:p w14:paraId="542D2FC3" w14:textId="77777777" w:rsidR="00C01027" w:rsidRDefault="00C01027" w:rsidP="002F6643"/>
    <w:p w14:paraId="648E2C32" w14:textId="0D110C93" w:rsidR="001A2237" w:rsidRDefault="00C01027" w:rsidP="002F6643">
      <w:r>
        <w:t xml:space="preserve">Unpaid family workers and the unemployed were less likely to incur costs for </w:t>
      </w:r>
      <w:r w:rsidR="00C07078">
        <w:t xml:space="preserve">medicines, </w:t>
      </w:r>
      <w:r>
        <w:t>as were those with primary and secondary education. Those without health insurance were 1.3</w:t>
      </w:r>
      <w:r w:rsidR="00C07078">
        <w:t xml:space="preserve"> times</w:t>
      </w:r>
      <w:r>
        <w:t xml:space="preserve"> more likely (OR=1.297, p=0.004) to incur an OOP for </w:t>
      </w:r>
      <w:r w:rsidR="00C07078">
        <w:t>medicines</w:t>
      </w:r>
      <w:r>
        <w:t xml:space="preserve"> compared to than those with insurance. </w:t>
      </w:r>
      <w:r w:rsidR="001A2237">
        <w:t>Individuals were</w:t>
      </w:r>
      <w:r>
        <w:t xml:space="preserve"> only</w:t>
      </w:r>
      <w:r w:rsidR="001A2237">
        <w:t xml:space="preserve"> less likely to incur a cost for </w:t>
      </w:r>
      <w:r w:rsidR="00C07078">
        <w:t xml:space="preserve">medicines </w:t>
      </w:r>
      <w:r>
        <w:t>at hospitals or other services (such as pharmacies).</w:t>
      </w:r>
    </w:p>
    <w:p w14:paraId="3D426AA2" w14:textId="77777777" w:rsidR="001A2237" w:rsidRDefault="001A2237" w:rsidP="002F6643"/>
    <w:p w14:paraId="380194FB" w14:textId="6CC2EF18" w:rsidR="001A2237" w:rsidRDefault="00F460CB" w:rsidP="002F6643">
      <w:r>
        <w:t>Over the period 2006-2012</w:t>
      </w:r>
      <w:r w:rsidR="001A2237">
        <w:t xml:space="preserve">, the odds of incurring a cost for </w:t>
      </w:r>
      <w:r w:rsidR="00C07078">
        <w:t xml:space="preserve">medicines </w:t>
      </w:r>
      <w:r w:rsidR="001A2237">
        <w:t>h</w:t>
      </w:r>
      <w:r>
        <w:t>ave increased (up</w:t>
      </w:r>
      <w:r w:rsidR="00AD324B">
        <w:t xml:space="preserve"> </w:t>
      </w:r>
      <w:r w:rsidR="00C01027">
        <w:t>to 1.8</w:t>
      </w:r>
      <w:r w:rsidR="001A2237">
        <w:t xml:space="preserve"> times more likely t</w:t>
      </w:r>
      <w:r w:rsidR="00C01027">
        <w:t>o incur a cost in 2011 (OR=1.772</w:t>
      </w:r>
      <w:r w:rsidR="001A2237">
        <w:t xml:space="preserve">, p&lt;0.000) compared to </w:t>
      </w:r>
      <w:r w:rsidR="00C01027">
        <w:t>2006.</w:t>
      </w:r>
      <w:r w:rsidR="000A12D7">
        <w:t xml:space="preserve"> The only significant interaction with time (results not shown) was insurance status with those without insurance increasingly more likely to pay for </w:t>
      </w:r>
      <w:r w:rsidR="00C07078">
        <w:t>medicines</w:t>
      </w:r>
      <w:r w:rsidR="000A12D7">
        <w:t xml:space="preserve"> OOP over time.</w:t>
      </w:r>
    </w:p>
    <w:p w14:paraId="2FBD29A4" w14:textId="77777777" w:rsidR="00F460CB" w:rsidRDefault="00F460CB" w:rsidP="002F6643"/>
    <w:p w14:paraId="06F344DC" w14:textId="77777777" w:rsidR="001A2237" w:rsidRPr="00330CD4" w:rsidRDefault="001A2237" w:rsidP="002F6643">
      <w:pPr>
        <w:pStyle w:val="Heading3"/>
        <w:rPr>
          <w:b w:val="0"/>
          <w:i/>
        </w:rPr>
      </w:pPr>
      <w:r w:rsidRPr="00330CD4">
        <w:rPr>
          <w:b w:val="0"/>
          <w:i/>
        </w:rPr>
        <w:t>Out of Pocket Payment for Healthcare Services</w:t>
      </w:r>
    </w:p>
    <w:p w14:paraId="3DA55BF4" w14:textId="77777777" w:rsidR="00660833" w:rsidRDefault="001A2237" w:rsidP="002F6643">
      <w:r>
        <w:t xml:space="preserve">Individuals who sought medical care in the last </w:t>
      </w:r>
      <w:r w:rsidR="00E942B8">
        <w:t xml:space="preserve">four </w:t>
      </w:r>
      <w:r>
        <w:t>weeks and incurred OOP payments (informally or formally) for consultative or inpatient services showed different trends to costs for dr</w:t>
      </w:r>
      <w:r w:rsidR="00F460CB">
        <w:t xml:space="preserve">ugs. Older individuals </w:t>
      </w:r>
      <w:r w:rsidR="00660833">
        <w:t>and those under 18 were least</w:t>
      </w:r>
      <w:r>
        <w:t xml:space="preserve"> likely to incur a cost than those aged 18-24. Those with chronic conditions were 1.3 ti</w:t>
      </w:r>
      <w:r w:rsidR="00F460CB">
        <w:t>mes more likely to pay (OR=1.</w:t>
      </w:r>
      <w:r w:rsidR="00660833">
        <w:t>296</w:t>
      </w:r>
      <w:r>
        <w:t>, p&lt;0.000), but those with disability w</w:t>
      </w:r>
      <w:r w:rsidR="00F460CB">
        <w:t>ere nearly 40%</w:t>
      </w:r>
      <w:r w:rsidR="007915D5">
        <w:t xml:space="preserve"> less</w:t>
      </w:r>
      <w:r w:rsidR="00F460CB">
        <w:t xml:space="preserve"> likely to pay (OR=0.6</w:t>
      </w:r>
      <w:r w:rsidR="00660833">
        <w:t>34</w:t>
      </w:r>
      <w:r>
        <w:t>, p&lt;0.000).</w:t>
      </w:r>
    </w:p>
    <w:p w14:paraId="0BC563AE" w14:textId="77777777" w:rsidR="00660833" w:rsidRDefault="00660833" w:rsidP="002F6643"/>
    <w:p w14:paraId="2E8DBAFE" w14:textId="77777777" w:rsidR="00660833" w:rsidRDefault="00660833" w:rsidP="002F6643">
      <w:r>
        <w:t>Uninsured individuals were 3.8 times (OR=3833, p&lt;0.000) more likely to incur an OOP payment for health services. There was no difference between employment categories whilst only those with college or university education were more likely to pay (OR=1.391, P=0.008)</w:t>
      </w:r>
    </w:p>
    <w:p w14:paraId="0E4B5F45" w14:textId="77777777" w:rsidR="001A2237" w:rsidRDefault="001A2237" w:rsidP="002F6643"/>
    <w:p w14:paraId="7C9287FE" w14:textId="77777777" w:rsidR="001A2237" w:rsidRDefault="00660833" w:rsidP="002F6643">
      <w:r>
        <w:t>Those using hospitals and</w:t>
      </w:r>
      <w:r w:rsidR="001A2237">
        <w:t xml:space="preserve"> polyclinics </w:t>
      </w:r>
      <w:r w:rsidR="00F460CB">
        <w:t xml:space="preserve">respectively were </w:t>
      </w:r>
      <w:r>
        <w:t>7.2</w:t>
      </w:r>
      <w:r w:rsidR="00F460CB">
        <w:t xml:space="preserve"> times (OR=</w:t>
      </w:r>
      <w:r>
        <w:t>7.205, p&lt;0.000) and</w:t>
      </w:r>
      <w:r w:rsidR="00F460CB">
        <w:t xml:space="preserve"> </w:t>
      </w:r>
      <w:r>
        <w:t>2.8</w:t>
      </w:r>
      <w:r w:rsidR="00F460CB">
        <w:t xml:space="preserve"> times (OR=</w:t>
      </w:r>
      <w:r>
        <w:t>2.723</w:t>
      </w:r>
      <w:r w:rsidR="00F460CB">
        <w:t xml:space="preserve">, p&lt;0.000) </w:t>
      </w:r>
      <w:r w:rsidR="001A2237">
        <w:t xml:space="preserve">more likely to incur a cost than at family doctor offices. </w:t>
      </w:r>
      <w:r>
        <w:t>Home visits were less likely to incur a cost than family doctor office (OR=0.415, p&lt;0.000).</w:t>
      </w:r>
    </w:p>
    <w:p w14:paraId="1C7828BE" w14:textId="77777777" w:rsidR="00D14E68" w:rsidRDefault="00D14E68" w:rsidP="002F6643"/>
    <w:p w14:paraId="48BFB21A" w14:textId="4AFB0674" w:rsidR="00D14E68" w:rsidRDefault="00D14E68" w:rsidP="002F6643">
      <w:r>
        <w:t>There was a general decline in the likelihood of incurring a</w:t>
      </w:r>
      <w:r w:rsidR="00330CD4">
        <w:t>n OOP expenditure</w:t>
      </w:r>
      <w:r>
        <w:t xml:space="preserve"> cost for services, although the difference was not significant every year. The only interaction with time (results not shown) was age with those aged 50-60 years having an increased likelihood of incurring a cost over time compared to other ages.</w:t>
      </w:r>
    </w:p>
    <w:p w14:paraId="7D20684F" w14:textId="77777777" w:rsidR="008303B2" w:rsidRDefault="008303B2" w:rsidP="002F6643"/>
    <w:p w14:paraId="5F4E88DF" w14:textId="77777777" w:rsidR="00F460CB" w:rsidRDefault="00F460CB" w:rsidP="002F6643"/>
    <w:p w14:paraId="62E5BBAF" w14:textId="77777777" w:rsidR="007654C7" w:rsidRPr="00D64B5D" w:rsidRDefault="007654C7" w:rsidP="002F6643"/>
    <w:bookmarkEnd w:id="2"/>
    <w:p w14:paraId="7D2F6DE9" w14:textId="77777777" w:rsidR="00E87725" w:rsidRPr="00330CD4" w:rsidRDefault="00E87725" w:rsidP="00330CD4">
      <w:pPr>
        <w:jc w:val="center"/>
        <w:rPr>
          <w:b/>
          <w:i/>
        </w:rPr>
      </w:pPr>
      <w:r w:rsidRPr="00330CD4">
        <w:rPr>
          <w:b/>
          <w:i/>
        </w:rPr>
        <w:t>Insert here Table 5</w:t>
      </w:r>
    </w:p>
    <w:p w14:paraId="225E1F43" w14:textId="1F988B91" w:rsidR="007654C7" w:rsidRPr="00330CD4" w:rsidRDefault="007654C7" w:rsidP="00330CD4">
      <w:pPr>
        <w:jc w:val="center"/>
        <w:rPr>
          <w:b/>
          <w:i/>
        </w:rPr>
      </w:pPr>
      <w:r w:rsidRPr="00330CD4">
        <w:rPr>
          <w:b/>
          <w:i/>
        </w:rPr>
        <w:t xml:space="preserve">&lt;Table </w:t>
      </w:r>
      <w:r w:rsidR="00C01027" w:rsidRPr="00330CD4">
        <w:rPr>
          <w:b/>
          <w:i/>
        </w:rPr>
        <w:t>5</w:t>
      </w:r>
      <w:r w:rsidRPr="00330CD4">
        <w:rPr>
          <w:b/>
          <w:i/>
        </w:rPr>
        <w:t xml:space="preserve"> | Percentage of individuals reporting costs for healthcare services and average costs incurred (2006-12)&gt;</w:t>
      </w:r>
    </w:p>
    <w:p w14:paraId="0FE21C64" w14:textId="77777777" w:rsidR="001A2237" w:rsidRDefault="001A2237" w:rsidP="00330CD4">
      <w:pPr>
        <w:jc w:val="center"/>
      </w:pPr>
    </w:p>
    <w:p w14:paraId="23456F82" w14:textId="0345FB01" w:rsidR="00E87725" w:rsidRPr="00330CD4" w:rsidRDefault="00E87725" w:rsidP="00330CD4">
      <w:pPr>
        <w:jc w:val="center"/>
        <w:rPr>
          <w:b/>
          <w:i/>
        </w:rPr>
      </w:pPr>
      <w:r w:rsidRPr="00330CD4">
        <w:rPr>
          <w:b/>
          <w:i/>
        </w:rPr>
        <w:t>Insert here Table 6</w:t>
      </w:r>
    </w:p>
    <w:p w14:paraId="7067F401" w14:textId="77777777" w:rsidR="001A2237" w:rsidRPr="00330CD4" w:rsidRDefault="00082341" w:rsidP="00330CD4">
      <w:pPr>
        <w:jc w:val="center"/>
        <w:rPr>
          <w:b/>
          <w:i/>
        </w:rPr>
      </w:pPr>
      <w:r w:rsidRPr="00330CD4">
        <w:rPr>
          <w:b/>
          <w:i/>
        </w:rPr>
        <w:t xml:space="preserve">&lt;Table </w:t>
      </w:r>
      <w:r w:rsidR="00C01027" w:rsidRPr="00330CD4">
        <w:rPr>
          <w:b/>
          <w:i/>
        </w:rPr>
        <w:t>6</w:t>
      </w:r>
      <w:r w:rsidRPr="00330CD4">
        <w:rPr>
          <w:b/>
          <w:i/>
        </w:rPr>
        <w:t xml:space="preserve"> | Odds of Incurring OOP for either drugs or healthcare services for those who sought medical care in last 4 weeks&gt;</w:t>
      </w:r>
    </w:p>
    <w:p w14:paraId="5F08B5BC" w14:textId="77777777" w:rsidR="004365C3" w:rsidRPr="002E3FCD" w:rsidRDefault="004365C3" w:rsidP="00330CD4">
      <w:pPr>
        <w:jc w:val="center"/>
      </w:pPr>
    </w:p>
    <w:p w14:paraId="2EBB0E29" w14:textId="7D25ADEB" w:rsidR="00E87725" w:rsidRPr="00330CD4" w:rsidRDefault="00E87725" w:rsidP="00330CD4">
      <w:pPr>
        <w:jc w:val="center"/>
        <w:rPr>
          <w:b/>
          <w:i/>
        </w:rPr>
      </w:pPr>
      <w:r w:rsidRPr="00330CD4">
        <w:rPr>
          <w:b/>
          <w:i/>
        </w:rPr>
        <w:t>Insert here Table 7</w:t>
      </w:r>
    </w:p>
    <w:p w14:paraId="6C30D25F" w14:textId="77777777" w:rsidR="007654C7" w:rsidRPr="00330CD4" w:rsidRDefault="007654C7" w:rsidP="00330CD4">
      <w:pPr>
        <w:jc w:val="center"/>
        <w:rPr>
          <w:b/>
          <w:i/>
        </w:rPr>
      </w:pPr>
      <w:r w:rsidRPr="00330CD4">
        <w:rPr>
          <w:b/>
          <w:i/>
        </w:rPr>
        <w:t xml:space="preserve">&lt;Table </w:t>
      </w:r>
      <w:r w:rsidR="00C01027" w:rsidRPr="00330CD4">
        <w:rPr>
          <w:b/>
          <w:i/>
        </w:rPr>
        <w:t>7</w:t>
      </w:r>
      <w:r w:rsidRPr="00330CD4">
        <w:rPr>
          <w:b/>
          <w:i/>
        </w:rPr>
        <w:t xml:space="preserve"> | Average reported healthcare costs compared to average monthly earnings&gt;</w:t>
      </w:r>
    </w:p>
    <w:p w14:paraId="280387FD" w14:textId="77777777" w:rsidR="007F0D0C" w:rsidRDefault="007F0D0C" w:rsidP="002F6643"/>
    <w:p w14:paraId="2A84C9F5" w14:textId="298E167F" w:rsidR="007F0D0C" w:rsidRPr="00330CD4" w:rsidRDefault="007F0D0C" w:rsidP="002F6643">
      <w:pPr>
        <w:pStyle w:val="Heading2"/>
        <w:rPr>
          <w:b w:val="0"/>
        </w:rPr>
      </w:pPr>
      <w:r w:rsidRPr="00330CD4">
        <w:rPr>
          <w:b w:val="0"/>
        </w:rPr>
        <w:t>For</w:t>
      </w:r>
      <w:r w:rsidR="00E87725" w:rsidRPr="00330CD4">
        <w:rPr>
          <w:b w:val="0"/>
        </w:rPr>
        <w:t>e</w:t>
      </w:r>
      <w:r w:rsidRPr="00330CD4">
        <w:rPr>
          <w:b w:val="0"/>
        </w:rPr>
        <w:t>gone Healthcare Utilisation</w:t>
      </w:r>
    </w:p>
    <w:p w14:paraId="434475B3" w14:textId="4B01BF02" w:rsidR="007F0D0C" w:rsidRDefault="007F0D0C" w:rsidP="002F6643">
      <w:r>
        <w:t xml:space="preserve">Using multivariate logistic regression the likelihood of not visiting a healthcare provider when being sick in the last </w:t>
      </w:r>
      <w:r w:rsidR="00BF4DA5">
        <w:t xml:space="preserve">four weeks was examined (Table 8). </w:t>
      </w:r>
      <w:r>
        <w:t xml:space="preserve">Older individuals were more likely not to seek healthcare with those </w:t>
      </w:r>
      <w:r w:rsidR="00BF4DA5">
        <w:t>75</w:t>
      </w:r>
      <w:r>
        <w:t xml:space="preserve"> years or more </w:t>
      </w:r>
      <w:r w:rsidR="007566CB">
        <w:t>2.4</w:t>
      </w:r>
      <w:r>
        <w:t xml:space="preserve"> times (OR=</w:t>
      </w:r>
      <w:r w:rsidR="007566CB">
        <w:t>2.379</w:t>
      </w:r>
      <w:r>
        <w:t xml:space="preserve">, p&lt;0.000) more likely than </w:t>
      </w:r>
      <w:r w:rsidR="007566CB">
        <w:t>0-24</w:t>
      </w:r>
      <w:r>
        <w:t xml:space="preserve"> year olds. </w:t>
      </w:r>
      <w:r w:rsidR="007566CB">
        <w:t>Fem</w:t>
      </w:r>
      <w:r>
        <w:t xml:space="preserve">ales were </w:t>
      </w:r>
      <w:r w:rsidR="007566CB">
        <w:t>9.8%</w:t>
      </w:r>
      <w:r>
        <w:t xml:space="preserve"> </w:t>
      </w:r>
      <w:r w:rsidR="007566CB">
        <w:t>less</w:t>
      </w:r>
      <w:r>
        <w:t xml:space="preserve"> likely to for</w:t>
      </w:r>
      <w:r w:rsidR="00E87725">
        <w:t>e</w:t>
      </w:r>
      <w:r>
        <w:t>go care (OR=</w:t>
      </w:r>
      <w:r w:rsidR="007566CB">
        <w:t>0.902</w:t>
      </w:r>
      <w:r>
        <w:t>, p=0.00</w:t>
      </w:r>
      <w:r w:rsidR="007566CB">
        <w:t>3</w:t>
      </w:r>
      <w:r>
        <w:t>).</w:t>
      </w:r>
    </w:p>
    <w:p w14:paraId="3464289F" w14:textId="77777777" w:rsidR="009D0BDE" w:rsidRDefault="009D0BDE" w:rsidP="002F6643"/>
    <w:p w14:paraId="01773861" w14:textId="1D098466" w:rsidR="007F0D0C" w:rsidRDefault="007F0D0C" w:rsidP="002F6643">
      <w:r>
        <w:t>Employed and self-employed (non-agriculture) individuals were most likely to not seek healthcare when sick</w:t>
      </w:r>
      <w:r w:rsidR="007566CB">
        <w:t>.</w:t>
      </w:r>
      <w:r>
        <w:t xml:space="preserve"> </w:t>
      </w:r>
      <w:r w:rsidR="007566CB">
        <w:t>The disabled were less likely to for</w:t>
      </w:r>
      <w:r w:rsidR="00E87725">
        <w:t>e</w:t>
      </w:r>
      <w:r w:rsidR="007566CB">
        <w:t xml:space="preserve">go healthcare when sick (OR=0.819, p&lt;0.001). </w:t>
      </w:r>
    </w:p>
    <w:p w14:paraId="55BA81D5" w14:textId="77777777" w:rsidR="007F0D0C" w:rsidRDefault="007F0D0C" w:rsidP="002F6643"/>
    <w:p w14:paraId="6F13A2BE" w14:textId="77777777" w:rsidR="007F0D0C" w:rsidRDefault="007F0D0C" w:rsidP="002F6643">
      <w:r>
        <w:t>Those without insurance were 1.7 times (</w:t>
      </w:r>
      <w:r w:rsidR="007566CB">
        <w:t>68</w:t>
      </w:r>
      <w:r>
        <w:t>%) more likely not to seek healthcare when sick (OR=1.</w:t>
      </w:r>
      <w:r w:rsidR="007566CB">
        <w:t>680</w:t>
      </w:r>
      <w:r>
        <w:t>, p&lt;0.000).</w:t>
      </w:r>
    </w:p>
    <w:p w14:paraId="5F573A93" w14:textId="77777777" w:rsidR="007566CB" w:rsidRDefault="007566CB" w:rsidP="002F6643"/>
    <w:p w14:paraId="306EF471" w14:textId="1128FA46" w:rsidR="007566CB" w:rsidRDefault="007566CB" w:rsidP="002F6643">
      <w:r>
        <w:t>Over average there is an increasingly likelihood of forgoing healthcare when sick with individuals on average 1.3 times (30%) more likely in 2012 than 2009. There were no significant interactions between covariates and time suggesting the increasing trend in likelihood of for</w:t>
      </w:r>
      <w:r w:rsidR="00E87725">
        <w:t>e</w:t>
      </w:r>
      <w:r>
        <w:t>going healthcare applies to all individuals.</w:t>
      </w:r>
    </w:p>
    <w:p w14:paraId="2BA46121" w14:textId="77777777" w:rsidR="00BF4DA5" w:rsidRPr="007F0D0C" w:rsidRDefault="00BF4DA5" w:rsidP="002F6643"/>
    <w:p w14:paraId="6C161243" w14:textId="74BCE8B0" w:rsidR="00E87725" w:rsidRPr="00330CD4" w:rsidRDefault="00E87725" w:rsidP="00330CD4">
      <w:pPr>
        <w:jc w:val="center"/>
        <w:rPr>
          <w:b/>
          <w:i/>
        </w:rPr>
      </w:pPr>
      <w:r w:rsidRPr="00330CD4">
        <w:rPr>
          <w:b/>
          <w:i/>
        </w:rPr>
        <w:t>Insert here Table 8</w:t>
      </w:r>
    </w:p>
    <w:p w14:paraId="5C2EECCD" w14:textId="77777777" w:rsidR="00F31A51" w:rsidRPr="00330CD4" w:rsidRDefault="00C01027" w:rsidP="00330CD4">
      <w:pPr>
        <w:jc w:val="center"/>
        <w:rPr>
          <w:b/>
          <w:i/>
        </w:rPr>
      </w:pPr>
      <w:r w:rsidRPr="00330CD4">
        <w:rPr>
          <w:b/>
          <w:i/>
        </w:rPr>
        <w:t>&lt;Table 8 | Results from multivariate logistic regression on odds of not utilizing healthcare when unwell&gt;</w:t>
      </w:r>
    </w:p>
    <w:p w14:paraId="0F3F6F0F" w14:textId="77777777" w:rsidR="00694A9A" w:rsidRPr="002E3FCD" w:rsidRDefault="0051251E" w:rsidP="002F6643">
      <w:pPr>
        <w:pStyle w:val="Heading1"/>
      </w:pPr>
      <w:r>
        <w:t>Discussion</w:t>
      </w:r>
    </w:p>
    <w:p w14:paraId="0C641A75" w14:textId="0907C2F4" w:rsidR="00E87725" w:rsidRDefault="005E6644" w:rsidP="002F6643">
      <w:r>
        <w:t>Our results indicate</w:t>
      </w:r>
      <w:r w:rsidR="004C3723">
        <w:t xml:space="preserve"> </w:t>
      </w:r>
      <w:r w:rsidR="00E87725">
        <w:t xml:space="preserve">that </w:t>
      </w:r>
      <w:r w:rsidR="000C741B">
        <w:t>aspects of</w:t>
      </w:r>
      <w:r>
        <w:t xml:space="preserve"> financial protection in Moldova </w:t>
      </w:r>
      <w:r w:rsidR="000C741B">
        <w:t>are</w:t>
      </w:r>
      <w:r>
        <w:t xml:space="preserve"> improv</w:t>
      </w:r>
      <w:r w:rsidR="00E87725">
        <w:t>ing</w:t>
      </w:r>
      <w:r>
        <w:t>, albeit slowly, but with different trajectories f</w:t>
      </w:r>
      <w:r w:rsidR="00721D68">
        <w:t>or certain demographic groups.</w:t>
      </w:r>
      <w:r>
        <w:t xml:space="preserve"> </w:t>
      </w:r>
    </w:p>
    <w:p w14:paraId="7810DAFE" w14:textId="77777777" w:rsidR="00E87725" w:rsidRDefault="00E87725" w:rsidP="002F6643"/>
    <w:p w14:paraId="0F944C39" w14:textId="425227C4" w:rsidR="00721D68" w:rsidRDefault="00E03C42" w:rsidP="002F6643">
      <w:r>
        <w:t xml:space="preserve">Health service utilisation has gradually increased </w:t>
      </w:r>
      <w:r w:rsidR="00330CD4">
        <w:t>from</w:t>
      </w:r>
      <w:r>
        <w:t xml:space="preserve"> </w:t>
      </w:r>
      <w:r w:rsidR="00330CD4" w:rsidRPr="000975EF">
        <w:t>to 6.45</w:t>
      </w:r>
      <w:r w:rsidR="00330CD4">
        <w:t xml:space="preserve"> visits per person in 2012</w:t>
      </w:r>
      <w:r>
        <w:t>– now in</w:t>
      </w:r>
      <w:r w:rsidR="00E87725">
        <w:t xml:space="preserve"> </w:t>
      </w:r>
      <w:r>
        <w:t xml:space="preserve">line with </w:t>
      </w:r>
      <w:r w:rsidR="00330CD4">
        <w:t>the European average</w:t>
      </w:r>
      <w:r>
        <w:t xml:space="preserve"> </w:t>
      </w:r>
      <w:r w:rsidR="00330CD4">
        <w:t>of 6.93</w:t>
      </w:r>
      <w:r w:rsidR="00E87725">
        <w:t xml:space="preserve"> </w:t>
      </w:r>
      <w:r>
        <w:t>– and whilst the majority of individuals use some form of PHC (</w:t>
      </w:r>
      <w:r w:rsidR="00313C14">
        <w:t xml:space="preserve">former </w:t>
      </w:r>
      <w:r w:rsidR="000C741B">
        <w:t>poly</w:t>
      </w:r>
      <w:r>
        <w:t>clinic</w:t>
      </w:r>
      <w:r w:rsidR="00313C14">
        <w:t>s</w:t>
      </w:r>
      <w:r>
        <w:t xml:space="preserve"> or family doctor office</w:t>
      </w:r>
      <w:r w:rsidR="000C741B">
        <w:t>s</w:t>
      </w:r>
      <w:r>
        <w:t xml:space="preserve">), there has been little </w:t>
      </w:r>
      <w:r>
        <w:lastRenderedPageBreak/>
        <w:t xml:space="preserve">change </w:t>
      </w:r>
      <w:r w:rsidR="000C741B">
        <w:t xml:space="preserve">over time </w:t>
      </w:r>
      <w:r>
        <w:t xml:space="preserve">in utilisation </w:t>
      </w:r>
      <w:r w:rsidR="00E87725">
        <w:t xml:space="preserve">levels for </w:t>
      </w:r>
      <w:r>
        <w:t xml:space="preserve">PHC services. </w:t>
      </w:r>
      <w:r w:rsidR="00E87725">
        <w:t>The</w:t>
      </w:r>
      <w:r w:rsidR="00721D68">
        <w:t xml:space="preserve"> inefficient hospital network</w:t>
      </w:r>
      <w:hyperlink w:anchor="_ENREF_17" w:tooltip="Shishkin, 2012 #102" w:history="1">
        <w:r w:rsidR="00025DA0">
          <w:fldChar w:fldCharType="begin"/>
        </w:r>
        <w:r w:rsidR="00025DA0">
          <w:instrText xml:space="preserve"> ADDIN EN.CITE &lt;EndNote&gt;&lt;Cite&gt;&lt;Author&gt;Shishkin&lt;/Author&gt;&lt;Year&gt;2012&lt;/Year&gt;&lt;RecNum&gt;102&lt;/RecNum&gt;&lt;DisplayText&gt;&lt;style face="superscript"&gt;17&lt;/style&gt;&lt;/DisplayText&gt;&lt;record&gt;&lt;rec-number&gt;102&lt;/rec-number&gt;&lt;foreign-keys&gt;&lt;key app="EN" db-id="afate9rf5sat09edfarpdvt4xt0w0a2zp9fe"&gt;102&lt;/key&gt;&lt;/foreign-keys&gt;&lt;ref-type name="Report"&gt;27&lt;/ref-type&gt;&lt;contributors&gt;&lt;authors&gt;&lt;author&gt;Sergey Shishkin &lt;/author&gt;&lt;author&gt;Matthew Jowett &lt;/author&gt;&lt;/authors&gt;&lt;/contributors&gt;&lt;titles&gt;&lt;title&gt;A Review Of Health Financing Reforms In The Republic Of Moldova&lt;/title&gt;&lt;secondary-title&gt;Republic of Moldova Health Policy Paper Series&lt;/secondary-title&gt;&lt;/titles&gt;&lt;pages&gt;1-40&lt;/pages&gt;&lt;num-vols&gt;4&lt;/num-vols&gt;&lt;dates&gt;&lt;year&gt;2012&lt;/year&gt;&lt;/dates&gt;&lt;pub-location&gt;Copenhagen, Denmark&lt;/pub-location&gt;&lt;publisher&gt;WHO Regional Office for Europe&lt;/publisher&gt;&lt;urls&gt;&lt;/urls&gt;&lt;/record&gt;&lt;/Cite&gt;&lt;/EndNote&gt;</w:instrText>
        </w:r>
        <w:r w:rsidR="00025DA0">
          <w:fldChar w:fldCharType="separate"/>
        </w:r>
        <w:r w:rsidR="00025DA0" w:rsidRPr="00782C0E">
          <w:rPr>
            <w:noProof/>
            <w:vertAlign w:val="superscript"/>
          </w:rPr>
          <w:t>17</w:t>
        </w:r>
        <w:r w:rsidR="00025DA0">
          <w:fldChar w:fldCharType="end"/>
        </w:r>
      </w:hyperlink>
      <w:r w:rsidR="00721D68">
        <w:t xml:space="preserve">, </w:t>
      </w:r>
      <w:r w:rsidR="00E87725">
        <w:t xml:space="preserve">needs to be rationalised </w:t>
      </w:r>
      <w:r w:rsidR="00721D68">
        <w:t>to encourag</w:t>
      </w:r>
      <w:r w:rsidR="00E87725">
        <w:t>e</w:t>
      </w:r>
      <w:r w:rsidR="00721D68">
        <w:t xml:space="preserve"> </w:t>
      </w:r>
      <w:r w:rsidR="00E87725">
        <w:t>greater use of</w:t>
      </w:r>
      <w:r w:rsidR="00721D68">
        <w:t xml:space="preserve"> PHC </w:t>
      </w:r>
      <w:r w:rsidR="00E87725">
        <w:t xml:space="preserve">services and to develop </w:t>
      </w:r>
      <w:r w:rsidR="00721D68">
        <w:t xml:space="preserve">a </w:t>
      </w:r>
      <w:r w:rsidR="00E87725">
        <w:t xml:space="preserve">more </w:t>
      </w:r>
      <w:r w:rsidR="00721D68">
        <w:t xml:space="preserve">efficient and effective health </w:t>
      </w:r>
      <w:r w:rsidR="00E87725">
        <w:t>system</w:t>
      </w:r>
      <w:r w:rsidR="00721D68">
        <w:t>.</w:t>
      </w:r>
    </w:p>
    <w:p w14:paraId="473CDBE8" w14:textId="77777777" w:rsidR="00721D68" w:rsidRDefault="00721D68" w:rsidP="002F6643"/>
    <w:p w14:paraId="46E3AE46" w14:textId="640051FE" w:rsidR="00EC232E" w:rsidRDefault="00721D68" w:rsidP="002F6643">
      <w:r>
        <w:t xml:space="preserve">The challenging economic environment is slowing efforts to improve financial protection – particularly in terms of equity. Our finding that insurance coverage is still not universal – impacting accessibility of services </w:t>
      </w:r>
      <w:r w:rsidR="00EC232E">
        <w:t>–</w:t>
      </w:r>
      <w:r>
        <w:t xml:space="preserve"> particularly in older individuals, unemployed, agriculture workers and those of working age is in</w:t>
      </w:r>
      <w:r w:rsidR="00EC232E">
        <w:t xml:space="preserve"> </w:t>
      </w:r>
      <w:r>
        <w:t xml:space="preserve">line with </w:t>
      </w:r>
      <w:r w:rsidR="00EC232E">
        <w:t xml:space="preserve">earlier </w:t>
      </w:r>
      <w:r>
        <w:t>studies</w:t>
      </w:r>
      <w:hyperlink w:anchor="_ENREF_22" w:tooltip="Richardson, 2012 #247" w:history="1">
        <w:r w:rsidR="00025DA0">
          <w:fldChar w:fldCharType="begin"/>
        </w:r>
        <w:r w:rsidR="00025DA0">
          <w:instrText xml:space="preserve"> ADDIN EN.CITE &lt;EndNote&gt;&lt;Cite&gt;&lt;Author&gt;Richardson&lt;/Author&gt;&lt;Year&gt;2012&lt;/Year&gt;&lt;RecNum&gt;247&lt;/RecNum&gt;&lt;DisplayText&gt;&lt;style face="superscript"&gt;22&lt;/style&gt;&lt;/DisplayText&gt;&lt;record&gt;&lt;rec-number&gt;247&lt;/rec-number&gt;&lt;foreign-keys&gt;&lt;key app="EN" db-id="afate9rf5sat09edfarpdvt4xt0w0a2zp9fe"&gt;247&lt;/key&gt;&lt;/foreign-keys&gt;&lt;ref-type name="Journal Article"&gt;17&lt;/ref-type&gt;&lt;contributors&gt;&lt;authors&gt;&lt;author&gt;Richardson, Erica&lt;/author&gt;&lt;author&gt;Roberts, Bayard&lt;/author&gt;&lt;author&gt;Sava, Valeriu&lt;/author&gt;&lt;author&gt;Menon, Rekha&lt;/author&gt;&lt;author&gt;McKee, Martin&lt;/author&gt;&lt;/authors&gt;&lt;/contributors&gt;&lt;titles&gt;&lt;title&gt;Health insurance coverage and health care access in Moldova&lt;/title&gt;&lt;secondary-title&gt;Health Policy and Planning&lt;/secondary-title&gt;&lt;/titles&gt;&lt;periodical&gt;&lt;full-title&gt;Health Policy and Planning&lt;/full-title&gt;&lt;/periodical&gt;&lt;pages&gt;204-212&lt;/pages&gt;&lt;volume&gt;27&lt;/volume&gt;&lt;number&gt;3&lt;/number&gt;&lt;dates&gt;&lt;year&gt;2012&lt;/year&gt;&lt;pub-dates&gt;&lt;date&gt;May 1, 2012&lt;/date&gt;&lt;/pub-dates&gt;&lt;/dates&gt;&lt;urls&gt;&lt;related-urls&gt;&lt;url&gt;http://heapol.oxfordjournals.org/content/27/3/204.abstract&lt;/url&gt;&lt;/related-urls&gt;&lt;/urls&gt;&lt;electronic-resource-num&gt;10.1093/heapol/czr024&lt;/electronic-resource-num&gt;&lt;/record&gt;&lt;/Cite&gt;&lt;/EndNote&gt;</w:instrText>
        </w:r>
        <w:r w:rsidR="00025DA0">
          <w:fldChar w:fldCharType="separate"/>
        </w:r>
        <w:r w:rsidR="00025DA0" w:rsidRPr="00782C0E">
          <w:rPr>
            <w:noProof/>
            <w:vertAlign w:val="superscript"/>
          </w:rPr>
          <w:t>22</w:t>
        </w:r>
        <w:r w:rsidR="00025DA0">
          <w:fldChar w:fldCharType="end"/>
        </w:r>
      </w:hyperlink>
      <w:r>
        <w:t xml:space="preserve">. </w:t>
      </w:r>
      <w:r w:rsidR="00EC232E">
        <w:t xml:space="preserve">Our findings </w:t>
      </w:r>
      <w:r>
        <w:t xml:space="preserve">illustrate that despite </w:t>
      </w:r>
      <w:r w:rsidR="00EC232E">
        <w:t xml:space="preserve">the government </w:t>
      </w:r>
      <w:r>
        <w:t>efforts to expand coverage through financial incentives to purchasing coverage and as a requirement during certain licence renewal</w:t>
      </w:r>
      <w:r w:rsidR="00EC232E">
        <w:t>s</w:t>
      </w:r>
      <w:r>
        <w:t xml:space="preserve">, not enough progress has been made. </w:t>
      </w:r>
    </w:p>
    <w:p w14:paraId="7D25512E" w14:textId="77777777" w:rsidR="00EC232E" w:rsidRDefault="00EC232E" w:rsidP="002F6643"/>
    <w:p w14:paraId="04CD2BC7" w14:textId="053665CA" w:rsidR="00E03C42" w:rsidRDefault="00EC232E" w:rsidP="002F6643">
      <w:r>
        <w:t>Limited</w:t>
      </w:r>
      <w:r w:rsidR="00721D68">
        <w:t xml:space="preserve"> public finances for health </w:t>
      </w:r>
      <w:r>
        <w:t>are misallocated</w:t>
      </w:r>
      <w:r w:rsidR="00721D68">
        <w:t xml:space="preserve"> </w:t>
      </w:r>
      <w:r>
        <w:t xml:space="preserve">due to </w:t>
      </w:r>
      <w:r w:rsidR="00721D68">
        <w:t xml:space="preserve">slow progress in tackling the inefficient hospital network </w:t>
      </w:r>
      <w:r>
        <w:t xml:space="preserve">which reinforces </w:t>
      </w:r>
      <w:r w:rsidR="00721D68">
        <w:t xml:space="preserve">inequitable </w:t>
      </w:r>
      <w:r>
        <w:t xml:space="preserve">provision of </w:t>
      </w:r>
      <w:r w:rsidR="00721D68">
        <w:t>healthcare services</w:t>
      </w:r>
      <w:hyperlink w:anchor="_ENREF_17" w:tooltip="Shishkin, 2012 #102" w:history="1">
        <w:r w:rsidR="00025DA0">
          <w:fldChar w:fldCharType="begin"/>
        </w:r>
        <w:r w:rsidR="00025DA0">
          <w:instrText xml:space="preserve"> ADDIN EN.CITE &lt;EndNote&gt;&lt;Cite&gt;&lt;Author&gt;Shishkin&lt;/Author&gt;&lt;Year&gt;2012&lt;/Year&gt;&lt;RecNum&gt;102&lt;/RecNum&gt;&lt;DisplayText&gt;&lt;style face="superscript"&gt;17&lt;/style&gt;&lt;/DisplayText&gt;&lt;record&gt;&lt;rec-number&gt;102&lt;/rec-number&gt;&lt;foreign-keys&gt;&lt;key app="EN" db-id="afate9rf5sat09edfarpdvt4xt0w0a2zp9fe"&gt;102&lt;/key&gt;&lt;/foreign-keys&gt;&lt;ref-type name="Report"&gt;27&lt;/ref-type&gt;&lt;contributors&gt;&lt;authors&gt;&lt;author&gt;Sergey Shishkin &lt;/author&gt;&lt;author&gt;Matthew Jowett &lt;/author&gt;&lt;/authors&gt;&lt;/contributors&gt;&lt;titles&gt;&lt;title&gt;A Review Of Health Financing Reforms In The Republic Of Moldova&lt;/title&gt;&lt;secondary-title&gt;Republic of Moldova Health Policy Paper Series&lt;/secondary-title&gt;&lt;/titles&gt;&lt;pages&gt;1-40&lt;/pages&gt;&lt;num-vols&gt;4&lt;/num-vols&gt;&lt;dates&gt;&lt;year&gt;2012&lt;/year&gt;&lt;/dates&gt;&lt;pub-location&gt;Copenhagen, Denmark&lt;/pub-location&gt;&lt;publisher&gt;WHO Regional Office for Europe&lt;/publisher&gt;&lt;urls&gt;&lt;/urls&gt;&lt;/record&gt;&lt;/Cite&gt;&lt;/EndNote&gt;</w:instrText>
        </w:r>
        <w:r w:rsidR="00025DA0">
          <w:fldChar w:fldCharType="separate"/>
        </w:r>
        <w:r w:rsidR="00025DA0" w:rsidRPr="00782C0E">
          <w:rPr>
            <w:noProof/>
            <w:vertAlign w:val="superscript"/>
          </w:rPr>
          <w:t>17</w:t>
        </w:r>
        <w:r w:rsidR="00025DA0">
          <w:fldChar w:fldCharType="end"/>
        </w:r>
      </w:hyperlink>
      <w:r w:rsidR="00721D68">
        <w:t xml:space="preserve">, </w:t>
      </w:r>
      <w:r>
        <w:t xml:space="preserve">and limits </w:t>
      </w:r>
      <w:r w:rsidR="00721D68">
        <w:t>the ability</w:t>
      </w:r>
      <w:r>
        <w:t xml:space="preserve"> of the government</w:t>
      </w:r>
      <w:r w:rsidR="00721D68">
        <w:t xml:space="preserve"> to further incentivise insurance coverage and expand the benefit package. </w:t>
      </w:r>
      <w:r w:rsidR="00E03C42">
        <w:t xml:space="preserve">Although overall there was no significant improvement over time in insurance coverage, the finding that particular groups </w:t>
      </w:r>
      <w:r>
        <w:t>–</w:t>
      </w:r>
      <w:r w:rsidR="00E03C42">
        <w:t xml:space="preserve"> the self-employed (agriculture) and unpaid family workers – had reduced likelihood of being uninsured suggests attempts to expand coverage to these groups are having some success. </w:t>
      </w:r>
    </w:p>
    <w:p w14:paraId="4E151243" w14:textId="77777777" w:rsidR="00721D68" w:rsidRDefault="00721D68" w:rsidP="002F6643"/>
    <w:p w14:paraId="196A6B2F" w14:textId="3D517D7C" w:rsidR="00812BF0" w:rsidRPr="00CD753B" w:rsidRDefault="00E03C42" w:rsidP="002F6643">
      <w:r>
        <w:t xml:space="preserve">Our findings confirm </w:t>
      </w:r>
      <w:r w:rsidR="00DE5597">
        <w:t xml:space="preserve">earlier </w:t>
      </w:r>
      <w:r>
        <w:t>studies</w:t>
      </w:r>
      <w:hyperlink w:anchor="_ENREF_13" w:tooltip="Vian, 2015 #246" w:history="1">
        <w:r w:rsidR="00025DA0">
          <w:fldChar w:fldCharType="begin">
            <w:fldData xml:space="preserve">PEVuZE5vdGU+PENpdGU+PEF1dGhvcj5WaWFuPC9BdXRob3I+PFllYXI+MjAxNTwvWWVhcj48UmVj
TnVtPjI0NjwvUmVjTnVtPjxEaXNwbGF5VGV4dD48c3R5bGUgZmFjZT0ic3VwZXJzY3JpcHQiPjEz
PC9zdHlsZT48L0Rpc3BsYXlUZXh0PjxyZWNvcmQ+PHJlYy1udW1iZXI+MjQ2PC9yZWMtbnVtYmVy
Pjxmb3JlaWduLWtleXM+PGtleSBhcHA9IkVOIiBkYi1pZD0iYWZhdGU5cmY1c2F0MDllZGZhcnBk
dnQ0eHQwdzBhMnpwOWZlIj4yNDY8L2tleT48L2ZvcmVpZ24ta2V5cz48cmVmLXR5cGUgbmFtZT0i
Sm91cm5hbCBBcnRpY2xlIj4xNzwvcmVmLXR5cGU+PGNvbnRyaWJ1dG9ycz48YXV0aG9ycz48YXV0
aG9yPlZpYW4sIFQuPC9hdXRob3I+PGF1dGhvcj5GZWVsZXksIEYuIEcuPC9hdXRob3I+PGF1dGhv
cj5Eb21lbnRlLCBTLjwvYXV0aG9yPjxhdXRob3I+TmVncnV0YSwgQS48L2F1dGhvcj48YXV0aG9y
Pk1hdGVpLCBBLjwvYXV0aG9yPjxhdXRob3I+SGFiaWNodCwgSi48L2F1dGhvcj48L2F1dGhvcnM+
PC9jb250cmlidXRvcnM+PGF1dGgtYWRkcmVzcz5EZXBhcnRtZW50IG9mIEdsb2JhbCBIZWFsdGgs
IEJvc3RvbiBVbml2ZXJzaXR5IFNjaG9vbCBvZiBQdWJsaWMgSGVhbHRoLCA4MDEgTWFzc2FjaHVz
ZXR0cyBBdmVudWUsIENyb3NzdG93biBCdWlsZGluZyAzcmQgZmxvb3IsIEJvc3RvbiwgTUEsIDAy
MTE4LCBVU0EuIHR2aWFuQGJ1LmVkdS4mI3hEO0RlcGFydG1lbnQgb2YgR2xvYmFsIEhlYWx0aCwg
Qm9zdG9uIFVuaXZlcnNpdHkgU2Nob29sIG9mIFB1YmxpYyBIZWFsdGgsIDgwMSBNYXNzYWNodXNl
dHRzIEF2ZW51ZSwgQ3Jvc3N0b3duIEJ1aWxkaW5nIDNyZCBmbG9vciwgQm9zdG9uLCBNQSwgMDIx
MTgsIFVTQS4gZmZlZWxleUBidS5lZHUuJiN4RDtXb3JsZCBIZWFsdGggT3JnYW5pemF0aW9uIENv
dW50cnkgT2ZmaWNlIGluIFJlcHVibGljIG9mIE1vbGRvdmEsIFNmYXR1bCBUYXJpaSBTdHIuIDI5
LCBNRC0yMDEyLCBDaGlzaW5hdSwgUmVwdWJsaWMgb2YgTW9sZG92YS4gRG9tZW50ZVNAZXVyby53
aG8uaW50LiYjeEQ7TmF0aW9uYWwgQnVyZWF1IG9mIFN0YXRpc3RpY3MsIDEwNiBHcmVub2JsZSBT
dHIuLCBNRC0yMDE5LCBDaGlzaW5hdSwgUmVwdWJsaWMgb2YgTW9sZG92YS4gYWxhLm5lZ3J1dGFA
c3RhdGlzdGljYS5tZC4mI3hEO1dvcmxkIEhlYWx0aCBPcmdhbml6YXRpb24gQ291bnRyeSBPZmZp
Y2UgaW4gUmVwdWJsaWMgb2YgTW9sZG92YSwgU2ZhdHVsIFRhcmlpIFN0ci4gMjksIE1ELTIwMTIs
IENoaXNpbmF1LCBSZXB1YmxpYyBvZiBNb2xkb3ZhLiBtYXRAZXVyby53aG8uaW50LiYjeEQ7V29y
bGQgSGVhbHRoIE9yZ2FuaXphdGlvbiBDb3VudHJ5IE9mZmljZSBpbiBSZXB1YmxpYyBvZiBNb2xk
b3ZhLCBTZmF0dWwgVGFyaWkgU3RyLiAyOSwgTUQtMjAxMiwgQ2hpc2luYXUsIFJlcHVibGljIG9m
IE1vbGRvdmEuIGhhYmljaHRqQGV1cm8ud2hvLmludC48L2F1dGgtYWRkcmVzcz48dGl0bGVzPjx0
aXRsZT5CYXJyaWVycyB0byB1bml2ZXJzYWwgaGVhbHRoIGNvdmVyYWdlIGluIFJlcHVibGljIG9m
IE1vbGRvdmE6IGEgcG9saWN5IGFuYWx5c2lzIG9mIGZvcm1hbCBhbmQgaW5mb3JtYWwgb3V0LW9m
LXBvY2tldCBwYXltZW50czwvdGl0bGU+PHNlY29uZGFyeS10aXRsZT5CTUMgSGVhbHRoIFNlcnYg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ZXM+MzE5PC9wYWdlcz48dm9sdW1lPjE1PC92b2x1bWU+PGVkaXRpb24+MjAxNS8wOC8xMjwvZWRp
dGlvbj48ZGF0ZXM+PHllYXI+MjAxNTwveWVhcj48L2RhdGVzPjxpc2JuPjE0NzItNjk2MzwvaXNi
bj48YWNjZXNzaW9uLW51bT4yNjI2MDMyNDwvYWNjZXNzaW9uLW51bT48dXJscz48L3VybHM+PGN1
c3RvbTI+UG1jNDUzMTQ3NzwvY3VzdG9tMj48ZWxlY3Ryb25pYy1yZXNvdXJjZS1udW0+MTAuMTE4
Ni9zMTI5MTMtMDE1LTA5ODQtejwvZWxlY3Ryb25pYy1yZXNvdXJjZS1udW0+PHJlbW90ZS1kYXRh
YmFzZS1wcm92aWRlcj5OTE08L3JlbW90ZS1kYXRhYmFzZS1wcm92aWRlcj48bGFuZ3VhZ2U+ZW5n
PC9sYW5ndWFnZT48L3JlY29yZD48L0NpdGU+PC9FbmROb3RlPgB=
</w:fldData>
          </w:fldChar>
        </w:r>
        <w:r w:rsidR="00025DA0">
          <w:instrText xml:space="preserve"> ADDIN EN.CITE </w:instrText>
        </w:r>
        <w:r w:rsidR="00025DA0">
          <w:fldChar w:fldCharType="begin">
            <w:fldData xml:space="preserve">PEVuZE5vdGU+PENpdGU+PEF1dGhvcj5WaWFuPC9BdXRob3I+PFllYXI+MjAxNTwvWWVhcj48UmVj
TnVtPjI0NjwvUmVjTnVtPjxEaXNwbGF5VGV4dD48c3R5bGUgZmFjZT0ic3VwZXJzY3JpcHQiPjEz
PC9zdHlsZT48L0Rpc3BsYXlUZXh0PjxyZWNvcmQ+PHJlYy1udW1iZXI+MjQ2PC9yZWMtbnVtYmVy
Pjxmb3JlaWduLWtleXM+PGtleSBhcHA9IkVOIiBkYi1pZD0iYWZhdGU5cmY1c2F0MDllZGZhcnBk
dnQ0eHQwdzBhMnpwOWZlIj4yNDY8L2tleT48L2ZvcmVpZ24ta2V5cz48cmVmLXR5cGUgbmFtZT0i
Sm91cm5hbCBBcnRpY2xlIj4xNzwvcmVmLXR5cGU+PGNvbnRyaWJ1dG9ycz48YXV0aG9ycz48YXV0
aG9yPlZpYW4sIFQuPC9hdXRob3I+PGF1dGhvcj5GZWVsZXksIEYuIEcuPC9hdXRob3I+PGF1dGhv
cj5Eb21lbnRlLCBTLjwvYXV0aG9yPjxhdXRob3I+TmVncnV0YSwgQS48L2F1dGhvcj48YXV0aG9y
Pk1hdGVpLCBBLjwvYXV0aG9yPjxhdXRob3I+SGFiaWNodCwgSi48L2F1dGhvcj48L2F1dGhvcnM+
PC9jb250cmlidXRvcnM+PGF1dGgtYWRkcmVzcz5EZXBhcnRtZW50IG9mIEdsb2JhbCBIZWFsdGgs
IEJvc3RvbiBVbml2ZXJzaXR5IFNjaG9vbCBvZiBQdWJsaWMgSGVhbHRoLCA4MDEgTWFzc2FjaHVz
ZXR0cyBBdmVudWUsIENyb3NzdG93biBCdWlsZGluZyAzcmQgZmxvb3IsIEJvc3RvbiwgTUEsIDAy
MTE4LCBVU0EuIHR2aWFuQGJ1LmVkdS4mI3hEO0RlcGFydG1lbnQgb2YgR2xvYmFsIEhlYWx0aCwg
Qm9zdG9uIFVuaXZlcnNpdHkgU2Nob29sIG9mIFB1YmxpYyBIZWFsdGgsIDgwMSBNYXNzYWNodXNl
dHRzIEF2ZW51ZSwgQ3Jvc3N0b3duIEJ1aWxkaW5nIDNyZCBmbG9vciwgQm9zdG9uLCBNQSwgMDIx
MTgsIFVTQS4gZmZlZWxleUBidS5lZHUuJiN4RDtXb3JsZCBIZWFsdGggT3JnYW5pemF0aW9uIENv
dW50cnkgT2ZmaWNlIGluIFJlcHVibGljIG9mIE1vbGRvdmEsIFNmYXR1bCBUYXJpaSBTdHIuIDI5
LCBNRC0yMDEyLCBDaGlzaW5hdSwgUmVwdWJsaWMgb2YgTW9sZG92YS4gRG9tZW50ZVNAZXVyby53
aG8uaW50LiYjeEQ7TmF0aW9uYWwgQnVyZWF1IG9mIFN0YXRpc3RpY3MsIDEwNiBHcmVub2JsZSBT
dHIuLCBNRC0yMDE5LCBDaGlzaW5hdSwgUmVwdWJsaWMgb2YgTW9sZG92YS4gYWxhLm5lZ3J1dGFA
c3RhdGlzdGljYS5tZC4mI3hEO1dvcmxkIEhlYWx0aCBPcmdhbml6YXRpb24gQ291bnRyeSBPZmZp
Y2UgaW4gUmVwdWJsaWMgb2YgTW9sZG92YSwgU2ZhdHVsIFRhcmlpIFN0ci4gMjksIE1ELTIwMTIs
IENoaXNpbmF1LCBSZXB1YmxpYyBvZiBNb2xkb3ZhLiBtYXRAZXVyby53aG8uaW50LiYjeEQ7V29y
bGQgSGVhbHRoIE9yZ2FuaXphdGlvbiBDb3VudHJ5IE9mZmljZSBpbiBSZXB1YmxpYyBvZiBNb2xk
b3ZhLCBTZmF0dWwgVGFyaWkgU3RyLiAyOSwgTUQtMjAxMiwgQ2hpc2luYXUsIFJlcHVibGljIG9m
IE1vbGRvdmEuIGhhYmljaHRqQGV1cm8ud2hvLmludC48L2F1dGgtYWRkcmVzcz48dGl0bGVzPjx0
aXRsZT5CYXJyaWVycyB0byB1bml2ZXJzYWwgaGVhbHRoIGNvdmVyYWdlIGluIFJlcHVibGljIG9m
IE1vbGRvdmE6IGEgcG9saWN5IGFuYWx5c2lzIG9mIGZvcm1hbCBhbmQgaW5mb3JtYWwgb3V0LW9m
LXBvY2tldCBwYXltZW50czwvdGl0bGU+PHNlY29uZGFyeS10aXRsZT5CTUMgSGVhbHRoIFNlcnYg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ZXM+MzE5PC9wYWdlcz48dm9sdW1lPjE1PC92b2x1bWU+PGVkaXRpb24+MjAxNS8wOC8xMjwvZWRp
dGlvbj48ZGF0ZXM+PHllYXI+MjAxNTwveWVhcj48L2RhdGVzPjxpc2JuPjE0NzItNjk2MzwvaXNi
bj48YWNjZXNzaW9uLW51bT4yNjI2MDMyNDwvYWNjZXNzaW9uLW51bT48dXJscz48L3VybHM+PGN1
c3RvbTI+UG1jNDUzMTQ3NzwvY3VzdG9tMj48ZWxlY3Ryb25pYy1yZXNvdXJjZS1udW0+MTAuMTE4
Ni9zMTI5MTMtMDE1LTA5ODQtejwvZWxlY3Ryb25pYy1yZXNvdXJjZS1udW0+PHJlbW90ZS1kYXRh
YmFzZS1wcm92aWRlcj5OTE08L3JlbW90ZS1kYXRhYmFzZS1wcm92aWRlcj48bGFuZ3VhZ2U+ZW5n
PC9sYW5ndWFnZT48L3JlY29yZD48L0NpdGU+PC9FbmROb3RlPgB=
</w:fldData>
          </w:fldChar>
        </w:r>
        <w:r w:rsidR="00025DA0">
          <w:instrText xml:space="preserve"> ADDIN EN.CITE.DATA </w:instrText>
        </w:r>
        <w:r w:rsidR="00025DA0">
          <w:fldChar w:fldCharType="end"/>
        </w:r>
        <w:r w:rsidR="00025DA0">
          <w:fldChar w:fldCharType="separate"/>
        </w:r>
        <w:r w:rsidR="00025DA0" w:rsidRPr="00782C0E">
          <w:rPr>
            <w:noProof/>
            <w:vertAlign w:val="superscript"/>
          </w:rPr>
          <w:t>13</w:t>
        </w:r>
        <w:r w:rsidR="00025DA0">
          <w:fldChar w:fldCharType="end"/>
        </w:r>
      </w:hyperlink>
      <w:r>
        <w:t xml:space="preserve"> </w:t>
      </w:r>
      <w:r w:rsidR="00DE5597">
        <w:t xml:space="preserve">that reveal </w:t>
      </w:r>
      <w:r>
        <w:t xml:space="preserve">the large burden OOP payments – </w:t>
      </w:r>
      <w:r w:rsidR="005E6644">
        <w:t>particularly</w:t>
      </w:r>
      <w:r>
        <w:t xml:space="preserve"> for </w:t>
      </w:r>
      <w:r w:rsidR="00DE5597">
        <w:t>medicines</w:t>
      </w:r>
      <w:r w:rsidR="005E6644">
        <w:t xml:space="preserve">. Our results indicate the likelihood of incurring a payment has increased over time for medicines, but </w:t>
      </w:r>
      <w:r w:rsidR="00DE5597">
        <w:t xml:space="preserve">declined </w:t>
      </w:r>
      <w:r w:rsidR="005E6644">
        <w:t xml:space="preserve">for </w:t>
      </w:r>
      <w:r w:rsidR="00DE5597">
        <w:t xml:space="preserve">healthcare </w:t>
      </w:r>
      <w:r w:rsidR="005E6644">
        <w:t xml:space="preserve">services. Notably insurance status is a strong determinant of likelihood of incurring an OOP payment. </w:t>
      </w:r>
      <w:r w:rsidR="00CD753B">
        <w:t xml:space="preserve">The fact </w:t>
      </w:r>
      <w:r w:rsidR="00DE5597">
        <w:t xml:space="preserve">that </w:t>
      </w:r>
      <w:r w:rsidR="00CD753B">
        <w:t>many medicines are not covered by the MHI package</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rsidR="00CD753B">
        <w:t xml:space="preserve"> is clearly contributing to OOP burdens. </w:t>
      </w:r>
      <w:r w:rsidR="00721D68">
        <w:t xml:space="preserve">The high average cost for drugs, which have both increased since 2006, is resulting in the unaffordability of medicines and </w:t>
      </w:r>
      <w:r w:rsidR="00721D68">
        <w:rPr>
          <w:rFonts w:cstheme="minorHAnsi"/>
        </w:rPr>
        <w:t>high</w:t>
      </w:r>
      <w:r w:rsidR="00721D68" w:rsidRPr="004E5EAC">
        <w:rPr>
          <w:rFonts w:cstheme="minorHAnsi"/>
        </w:rPr>
        <w:t xml:space="preserve"> prices in both the public and private sector</w:t>
      </w:r>
      <w:r w:rsidR="00721D68">
        <w:rPr>
          <w:rFonts w:cstheme="minorHAnsi"/>
        </w:rPr>
        <w:t>s</w:t>
      </w:r>
      <w:hyperlink w:anchor="_ENREF_16" w:tooltip="Sautenkova, 2012 #126" w:history="1">
        <w:r w:rsidR="00025DA0">
          <w:rPr>
            <w:rFonts w:cstheme="minorHAnsi"/>
          </w:rPr>
          <w:fldChar w:fldCharType="begin"/>
        </w:r>
        <w:r w:rsidR="00025DA0">
          <w:rPr>
            <w:rFonts w:cstheme="minorHAnsi"/>
          </w:rPr>
          <w:instrText xml:space="preserve"> ADDIN EN.CITE &lt;EndNote&gt;&lt;Cite&gt;&lt;Author&gt;Sautenkova&lt;/Author&gt;&lt;Year&gt;2012&lt;/Year&gt;&lt;RecNum&gt;126&lt;/RecNum&gt;&lt;DisplayText&gt;&lt;style face="superscript"&gt;16&lt;/style&gt;&lt;/DisplayText&gt;&lt;record&gt;&lt;rec-number&gt;126&lt;/rec-number&gt;&lt;foreign-keys&gt;&lt;key app="EN" db-id="afate9rf5sat09edfarpdvt4xt0w0a2zp9fe"&gt;126&lt;/key&gt;&lt;/foreign-keys&gt;&lt;ref-type name="Government Document"&gt;46&lt;/ref-type&gt;&lt;contributors&gt;&lt;authors&gt;&lt;author&gt;Sautenkova, Nina&lt;/author&gt;&lt;author&gt;Ferrario, Alessandra&lt;/author&gt;&lt;author&gt;Bolokhovets, Ganna&lt;/author&gt;&lt;author&gt;Kanavos, Panos&lt;/author&gt;&lt;/authors&gt;&lt;/contributors&gt;&lt;titles&gt;&lt;title&gt;Availability and Affordability of Medicines and Assessment of Quality Systems for Prescription of Medicines in the Republic of Moldova&lt;/title&gt;&lt;secondary-title&gt;Republic of Moldova Health Policy Series 6&lt;/secondary-title&gt;&lt;/titles&gt;&lt;dates&gt;&lt;year&gt;2012&lt;/year&gt;&lt;/dates&gt;&lt;pub-location&gt;Copenhagen, Denmark&lt;/pub-location&gt;&lt;publisher&gt;World Health Organization Regional Office for Europe&lt;/publisher&gt;&lt;urls&gt;&lt;/urls&gt;&lt;/record&gt;&lt;/Cite&gt;&lt;/EndNote&gt;</w:instrText>
        </w:r>
        <w:r w:rsidR="00025DA0">
          <w:rPr>
            <w:rFonts w:cstheme="minorHAnsi"/>
          </w:rPr>
          <w:fldChar w:fldCharType="separate"/>
        </w:r>
        <w:r w:rsidR="00025DA0" w:rsidRPr="00782C0E">
          <w:rPr>
            <w:rFonts w:cstheme="minorHAnsi"/>
            <w:noProof/>
            <w:vertAlign w:val="superscript"/>
          </w:rPr>
          <w:t>16</w:t>
        </w:r>
        <w:r w:rsidR="00025DA0">
          <w:rPr>
            <w:rFonts w:cstheme="minorHAnsi"/>
          </w:rPr>
          <w:fldChar w:fldCharType="end"/>
        </w:r>
      </w:hyperlink>
      <w:r w:rsidR="00721D68">
        <w:rPr>
          <w:rFonts w:cstheme="minorHAnsi"/>
        </w:rPr>
        <w:t xml:space="preserve">. </w:t>
      </w:r>
      <w:r w:rsidR="00CD753B">
        <w:rPr>
          <w:rFonts w:cstheme="minorHAnsi"/>
        </w:rPr>
        <w:t xml:space="preserve">Financial protection is still not being met in terms of access to medicines, but on the other hand, we see that efforts to curtail informal payments and reduce OOP in services have had some success. </w:t>
      </w:r>
      <w:r w:rsidR="00842EF0">
        <w:rPr>
          <w:rFonts w:cstheme="minorHAnsi"/>
        </w:rPr>
        <w:t xml:space="preserve">Earlier studies in Moldova </w:t>
      </w:r>
      <w:r w:rsidR="00CD753B">
        <w:rPr>
          <w:rFonts w:cstheme="minorHAnsi"/>
        </w:rPr>
        <w:t xml:space="preserve">suggest that </w:t>
      </w:r>
      <w:r w:rsidR="00812BF0">
        <w:rPr>
          <w:rFonts w:cstheme="minorHAnsi"/>
        </w:rPr>
        <w:t>cost as a</w:t>
      </w:r>
      <w:r w:rsidR="00812BF0">
        <w:t xml:space="preserve"> reason for not seeking care when experiencing a health problem has fallen </w:t>
      </w:r>
      <w:r w:rsidR="00842EF0">
        <w:t>in x to y</w:t>
      </w:r>
      <w:r w:rsidR="00812BF0">
        <w:t>, but is still a major factor especially in poorer income groups</w:t>
      </w:r>
      <w:hyperlink w:anchor="_ENREF_13" w:tooltip="Vian, 2015 #246" w:history="1">
        <w:r w:rsidR="00025DA0">
          <w:fldChar w:fldCharType="begin">
            <w:fldData xml:space="preserve">PEVuZE5vdGU+PENpdGU+PEF1dGhvcj5WaWFuPC9BdXRob3I+PFllYXI+MjAxNTwvWWVhcj48UmVj
TnVtPjI0NjwvUmVjTnVtPjxEaXNwbGF5VGV4dD48c3R5bGUgZmFjZT0ic3VwZXJzY3JpcHQiPjEz
PC9zdHlsZT48L0Rpc3BsYXlUZXh0PjxyZWNvcmQ+PHJlYy1udW1iZXI+MjQ2PC9yZWMtbnVtYmVy
Pjxmb3JlaWduLWtleXM+PGtleSBhcHA9IkVOIiBkYi1pZD0iYWZhdGU5cmY1c2F0MDllZGZhcnBk
dnQ0eHQwdzBhMnpwOWZlIj4yNDY8L2tleT48L2ZvcmVpZ24ta2V5cz48cmVmLXR5cGUgbmFtZT0i
Sm91cm5hbCBBcnRpY2xlIj4xNzwvcmVmLXR5cGU+PGNvbnRyaWJ1dG9ycz48YXV0aG9ycz48YXV0
aG9yPlZpYW4sIFQuPC9hdXRob3I+PGF1dGhvcj5GZWVsZXksIEYuIEcuPC9hdXRob3I+PGF1dGhv
cj5Eb21lbnRlLCBTLjwvYXV0aG9yPjxhdXRob3I+TmVncnV0YSwgQS48L2F1dGhvcj48YXV0aG9y
Pk1hdGVpLCBBLjwvYXV0aG9yPjxhdXRob3I+SGFiaWNodCwgSi48L2F1dGhvcj48L2F1dGhvcnM+
PC9jb250cmlidXRvcnM+PGF1dGgtYWRkcmVzcz5EZXBhcnRtZW50IG9mIEdsb2JhbCBIZWFsdGgs
IEJvc3RvbiBVbml2ZXJzaXR5IFNjaG9vbCBvZiBQdWJsaWMgSGVhbHRoLCA4MDEgTWFzc2FjaHVz
ZXR0cyBBdmVudWUsIENyb3NzdG93biBCdWlsZGluZyAzcmQgZmxvb3IsIEJvc3RvbiwgTUEsIDAy
MTE4LCBVU0EuIHR2aWFuQGJ1LmVkdS4mI3hEO0RlcGFydG1lbnQgb2YgR2xvYmFsIEhlYWx0aCwg
Qm9zdG9uIFVuaXZlcnNpdHkgU2Nob29sIG9mIFB1YmxpYyBIZWFsdGgsIDgwMSBNYXNzYWNodXNl
dHRzIEF2ZW51ZSwgQ3Jvc3N0b3duIEJ1aWxkaW5nIDNyZCBmbG9vciwgQm9zdG9uLCBNQSwgMDIx
MTgsIFVTQS4gZmZlZWxleUBidS5lZHUuJiN4RDtXb3JsZCBIZWFsdGggT3JnYW5pemF0aW9uIENv
dW50cnkgT2ZmaWNlIGluIFJlcHVibGljIG9mIE1vbGRvdmEsIFNmYXR1bCBUYXJpaSBTdHIuIDI5
LCBNRC0yMDEyLCBDaGlzaW5hdSwgUmVwdWJsaWMgb2YgTW9sZG92YS4gRG9tZW50ZVNAZXVyby53
aG8uaW50LiYjeEQ7TmF0aW9uYWwgQnVyZWF1IG9mIFN0YXRpc3RpY3MsIDEwNiBHcmVub2JsZSBT
dHIuLCBNRC0yMDE5LCBDaGlzaW5hdSwgUmVwdWJsaWMgb2YgTW9sZG92YS4gYWxhLm5lZ3J1dGFA
c3RhdGlzdGljYS5tZC4mI3hEO1dvcmxkIEhlYWx0aCBPcmdhbml6YXRpb24gQ291bnRyeSBPZmZp
Y2UgaW4gUmVwdWJsaWMgb2YgTW9sZG92YSwgU2ZhdHVsIFRhcmlpIFN0ci4gMjksIE1ELTIwMTIs
IENoaXNpbmF1LCBSZXB1YmxpYyBvZiBNb2xkb3ZhLiBtYXRAZXVyby53aG8uaW50LiYjeEQ7V29y
bGQgSGVhbHRoIE9yZ2FuaXphdGlvbiBDb3VudHJ5IE9mZmljZSBpbiBSZXB1YmxpYyBvZiBNb2xk
b3ZhLCBTZmF0dWwgVGFyaWkgU3RyLiAyOSwgTUQtMjAxMiwgQ2hpc2luYXUsIFJlcHVibGljIG9m
IE1vbGRvdmEuIGhhYmljaHRqQGV1cm8ud2hvLmludC48L2F1dGgtYWRkcmVzcz48dGl0bGVzPjx0
aXRsZT5CYXJyaWVycyB0byB1bml2ZXJzYWwgaGVhbHRoIGNvdmVyYWdlIGluIFJlcHVibGljIG9m
IE1vbGRvdmE6IGEgcG9saWN5IGFuYWx5c2lzIG9mIGZvcm1hbCBhbmQgaW5mb3JtYWwgb3V0LW9m
LXBvY2tldCBwYXltZW50czwvdGl0bGU+PHNlY29uZGFyeS10aXRsZT5CTUMgSGVhbHRoIFNlcnYg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ZXM+MzE5PC9wYWdlcz48dm9sdW1lPjE1PC92b2x1bWU+PGVkaXRpb24+MjAxNS8wOC8xMjwvZWRp
dGlvbj48ZGF0ZXM+PHllYXI+MjAxNTwveWVhcj48L2RhdGVzPjxpc2JuPjE0NzItNjk2MzwvaXNi
bj48YWNjZXNzaW9uLW51bT4yNjI2MDMyNDwvYWNjZXNzaW9uLW51bT48dXJscz48L3VybHM+PGN1
c3RvbTI+UG1jNDUzMTQ3NzwvY3VzdG9tMj48ZWxlY3Ryb25pYy1yZXNvdXJjZS1udW0+MTAuMTE4
Ni9zMTI5MTMtMDE1LTA5ODQtejwvZWxlY3Ryb25pYy1yZXNvdXJjZS1udW0+PHJlbW90ZS1kYXRh
YmFzZS1wcm92aWRlcj5OTE08L3JlbW90ZS1kYXRhYmFzZS1wcm92aWRlcj48bGFuZ3VhZ2U+ZW5n
PC9sYW5ndWFnZT48L3JlY29yZD48L0NpdGU+PC9FbmROb3RlPgB=
</w:fldData>
          </w:fldChar>
        </w:r>
        <w:r w:rsidR="00025DA0">
          <w:instrText xml:space="preserve"> ADDIN EN.CITE </w:instrText>
        </w:r>
        <w:r w:rsidR="00025DA0">
          <w:fldChar w:fldCharType="begin">
            <w:fldData xml:space="preserve">PEVuZE5vdGU+PENpdGU+PEF1dGhvcj5WaWFuPC9BdXRob3I+PFllYXI+MjAxNTwvWWVhcj48UmVj
TnVtPjI0NjwvUmVjTnVtPjxEaXNwbGF5VGV4dD48c3R5bGUgZmFjZT0ic3VwZXJzY3JpcHQiPjEz
PC9zdHlsZT48L0Rpc3BsYXlUZXh0PjxyZWNvcmQ+PHJlYy1udW1iZXI+MjQ2PC9yZWMtbnVtYmVy
Pjxmb3JlaWduLWtleXM+PGtleSBhcHA9IkVOIiBkYi1pZD0iYWZhdGU5cmY1c2F0MDllZGZhcnBk
dnQ0eHQwdzBhMnpwOWZlIj4yNDY8L2tleT48L2ZvcmVpZ24ta2V5cz48cmVmLXR5cGUgbmFtZT0i
Sm91cm5hbCBBcnRpY2xlIj4xNzwvcmVmLXR5cGU+PGNvbnRyaWJ1dG9ycz48YXV0aG9ycz48YXV0
aG9yPlZpYW4sIFQuPC9hdXRob3I+PGF1dGhvcj5GZWVsZXksIEYuIEcuPC9hdXRob3I+PGF1dGhv
cj5Eb21lbnRlLCBTLjwvYXV0aG9yPjxhdXRob3I+TmVncnV0YSwgQS48L2F1dGhvcj48YXV0aG9y
Pk1hdGVpLCBBLjwvYXV0aG9yPjxhdXRob3I+SGFiaWNodCwgSi48L2F1dGhvcj48L2F1dGhvcnM+
PC9jb250cmlidXRvcnM+PGF1dGgtYWRkcmVzcz5EZXBhcnRtZW50IG9mIEdsb2JhbCBIZWFsdGgs
IEJvc3RvbiBVbml2ZXJzaXR5IFNjaG9vbCBvZiBQdWJsaWMgSGVhbHRoLCA4MDEgTWFzc2FjaHVz
ZXR0cyBBdmVudWUsIENyb3NzdG93biBCdWlsZGluZyAzcmQgZmxvb3IsIEJvc3RvbiwgTUEsIDAy
MTE4LCBVU0EuIHR2aWFuQGJ1LmVkdS4mI3hEO0RlcGFydG1lbnQgb2YgR2xvYmFsIEhlYWx0aCwg
Qm9zdG9uIFVuaXZlcnNpdHkgU2Nob29sIG9mIFB1YmxpYyBIZWFsdGgsIDgwMSBNYXNzYWNodXNl
dHRzIEF2ZW51ZSwgQ3Jvc3N0b3duIEJ1aWxkaW5nIDNyZCBmbG9vciwgQm9zdG9uLCBNQSwgMDIx
MTgsIFVTQS4gZmZlZWxleUBidS5lZHUuJiN4RDtXb3JsZCBIZWFsdGggT3JnYW5pemF0aW9uIENv
dW50cnkgT2ZmaWNlIGluIFJlcHVibGljIG9mIE1vbGRvdmEsIFNmYXR1bCBUYXJpaSBTdHIuIDI5
LCBNRC0yMDEyLCBDaGlzaW5hdSwgUmVwdWJsaWMgb2YgTW9sZG92YS4gRG9tZW50ZVNAZXVyby53
aG8uaW50LiYjeEQ7TmF0aW9uYWwgQnVyZWF1IG9mIFN0YXRpc3RpY3MsIDEwNiBHcmVub2JsZSBT
dHIuLCBNRC0yMDE5LCBDaGlzaW5hdSwgUmVwdWJsaWMgb2YgTW9sZG92YS4gYWxhLm5lZ3J1dGFA
c3RhdGlzdGljYS5tZC4mI3hEO1dvcmxkIEhlYWx0aCBPcmdhbml6YXRpb24gQ291bnRyeSBPZmZp
Y2UgaW4gUmVwdWJsaWMgb2YgTW9sZG92YSwgU2ZhdHVsIFRhcmlpIFN0ci4gMjksIE1ELTIwMTIs
IENoaXNpbmF1LCBSZXB1YmxpYyBvZiBNb2xkb3ZhLiBtYXRAZXVyby53aG8uaW50LiYjeEQ7V29y
bGQgSGVhbHRoIE9yZ2FuaXphdGlvbiBDb3VudHJ5IE9mZmljZSBpbiBSZXB1YmxpYyBvZiBNb2xk
b3ZhLCBTZmF0dWwgVGFyaWkgU3RyLiAyOSwgTUQtMjAxMiwgQ2hpc2luYXUsIFJlcHVibGljIG9m
IE1vbGRvdmEuIGhhYmljaHRqQGV1cm8ud2hvLmludC48L2F1dGgtYWRkcmVzcz48dGl0bGVzPjx0
aXRsZT5CYXJyaWVycyB0byB1bml2ZXJzYWwgaGVhbHRoIGNvdmVyYWdlIGluIFJlcHVibGljIG9m
IE1vbGRvdmE6IGEgcG9saWN5IGFuYWx5c2lzIG9mIGZvcm1hbCBhbmQgaW5mb3JtYWwgb3V0LW9m
LXBvY2tldCBwYXltZW50czwvdGl0bGU+PHNlY29uZGFyeS10aXRsZT5CTUMgSGVhbHRoIFNlcnYg
UmVzPC9zZWNvbmRhcnktdGl0bGU+PGFsdC10aXRsZT5CTUMgaGVhbHRoIHNlcnZpY2VzIHJlc2Vh
cmNoPC9hbHQtdGl0bGU+PC90aXRsZXM+PGFsdC1wZXJpb2RpY2FsPjxmdWxsLXRpdGxlPkJNQyBo
ZWFsdGggc2VydmljZXMgcmVzZWFyY2g8L2Z1bGwtdGl0bGU+PC9hbHQtcGVyaW9kaWNhbD48cGFn
ZXM+MzE5PC9wYWdlcz48dm9sdW1lPjE1PC92b2x1bWU+PGVkaXRpb24+MjAxNS8wOC8xMjwvZWRp
dGlvbj48ZGF0ZXM+PHllYXI+MjAxNTwveWVhcj48L2RhdGVzPjxpc2JuPjE0NzItNjk2MzwvaXNi
bj48YWNjZXNzaW9uLW51bT4yNjI2MDMyNDwvYWNjZXNzaW9uLW51bT48dXJscz48L3VybHM+PGN1
c3RvbTI+UG1jNDUzMTQ3NzwvY3VzdG9tMj48ZWxlY3Ryb25pYy1yZXNvdXJjZS1udW0+MTAuMTE4
Ni9zMTI5MTMtMDE1LTA5ODQtejwvZWxlY3Ryb25pYy1yZXNvdXJjZS1udW0+PHJlbW90ZS1kYXRh
YmFzZS1wcm92aWRlcj5OTE08L3JlbW90ZS1kYXRhYmFzZS1wcm92aWRlcj48bGFuZ3VhZ2U+ZW5n
PC9sYW5ndWFnZT48L3JlY29yZD48L0NpdGU+PC9FbmROb3RlPgB=
</w:fldData>
          </w:fldChar>
        </w:r>
        <w:r w:rsidR="00025DA0">
          <w:instrText xml:space="preserve"> ADDIN EN.CITE.DATA </w:instrText>
        </w:r>
        <w:r w:rsidR="00025DA0">
          <w:fldChar w:fldCharType="end"/>
        </w:r>
        <w:r w:rsidR="00025DA0">
          <w:fldChar w:fldCharType="separate"/>
        </w:r>
        <w:r w:rsidR="00025DA0" w:rsidRPr="00782C0E">
          <w:rPr>
            <w:noProof/>
            <w:vertAlign w:val="superscript"/>
          </w:rPr>
          <w:t>13</w:t>
        </w:r>
        <w:r w:rsidR="00025DA0">
          <w:fldChar w:fldCharType="end"/>
        </w:r>
      </w:hyperlink>
      <w:r w:rsidR="00812BF0">
        <w:t xml:space="preserve">. </w:t>
      </w:r>
    </w:p>
    <w:p w14:paraId="229EB18F" w14:textId="77777777" w:rsidR="00812BF0" w:rsidRDefault="00812BF0" w:rsidP="002F6643"/>
    <w:p w14:paraId="3D0E795D" w14:textId="29030B0F" w:rsidR="009D0BDE" w:rsidRDefault="008B719B" w:rsidP="002F6643">
      <w:r>
        <w:t xml:space="preserve">The </w:t>
      </w:r>
      <w:r w:rsidR="00330CD4">
        <w:t>finding that healthcare is still being foregone suggests</w:t>
      </w:r>
      <w:r>
        <w:t xml:space="preserve"> </w:t>
      </w:r>
      <w:r w:rsidR="00330CD4">
        <w:t xml:space="preserve">the </w:t>
      </w:r>
      <w:r>
        <w:t>minor improvements for some groups in insurance coverage and OOP for services</w:t>
      </w:r>
      <w:r w:rsidR="00330CD4">
        <w:t>,</w:t>
      </w:r>
      <w:r>
        <w:t xml:space="preserve"> are not translating to improvements</w:t>
      </w:r>
      <w:r w:rsidR="00330CD4">
        <w:t xml:space="preserve"> in he</w:t>
      </w:r>
      <w:r w:rsidR="00297B0E">
        <w:t>althcare utilisation</w:t>
      </w:r>
      <w:r>
        <w:t>.  Individuals are increasingly likely to for</w:t>
      </w:r>
      <w:r w:rsidR="00842EF0">
        <w:t>e</w:t>
      </w:r>
      <w:r>
        <w:t xml:space="preserve">go healthcare </w:t>
      </w:r>
      <w:r w:rsidR="00AE4B2F">
        <w:t>–</w:t>
      </w:r>
      <w:r>
        <w:t xml:space="preserve"> </w:t>
      </w:r>
      <w:r w:rsidR="00AE4B2F">
        <w:t>notably the uninsured, older, and certain groups of employed individuals. Challenges in expanding insurance coverage are clearly impacting on healthcare utilisation</w:t>
      </w:r>
      <w:r w:rsidR="00842EF0">
        <w:t>. B</w:t>
      </w:r>
      <w:r w:rsidR="00AE4B2F">
        <w:t xml:space="preserve">ut </w:t>
      </w:r>
      <w:r w:rsidR="00842EF0">
        <w:t xml:space="preserve">healthcare utilisation is </w:t>
      </w:r>
      <w:r w:rsidR="00AE4B2F">
        <w:t xml:space="preserve">also likely </w:t>
      </w:r>
      <w:r w:rsidR="00842EF0">
        <w:t>affected by</w:t>
      </w:r>
      <w:r w:rsidR="00AE4B2F">
        <w:t xml:space="preserve"> the limited benefit package, health service quality and non-financial barriers to access </w:t>
      </w:r>
      <w:hyperlink w:anchor="_ENREF_4" w:tooltip="Turcanu, 2012 #95" w:history="1">
        <w:r w:rsidR="00025DA0">
          <w:fldChar w:fldCharType="begin"/>
        </w:r>
        <w:r w:rsidR="00025DA0">
          <w:instrText xml:space="preserve"> ADDIN EN.CITE &lt;EndNote&gt;&lt;Cite&gt;&lt;Author&gt;Turcanu&lt;/Author&gt;&lt;Year&gt;2012&lt;/Year&gt;&lt;RecNum&gt;95&lt;/RecNum&gt;&lt;DisplayText&gt;&lt;style face="superscript"&gt;4&lt;/style&gt;&lt;/DisplayText&gt;&lt;record&gt;&lt;rec-number&gt;95&lt;/rec-number&gt;&lt;foreign-keys&gt;&lt;key app="EN" db-id="afate9rf5sat09edfarpdvt4xt0w0a2zp9fe"&gt;95&lt;/key&gt;&lt;/foreign-keys&gt;&lt;ref-type name="Journal Article"&gt;17&lt;/ref-type&gt;&lt;contributors&gt;&lt;authors&gt;&lt;author&gt;Turcanu, Ghenadie&lt;/author&gt;&lt;author&gt;Domente, Silviu&lt;/author&gt;&lt;author&gt;Buga, Mircea&lt;/author&gt;&lt;author&gt;Richardson, Erica&lt;/author&gt;&lt;/authors&gt;&lt;/contributors&gt;&lt;titles&gt;&lt;title&gt;Republic of Moldova: Health System Review&lt;/title&gt;&lt;secondary-title&gt;Health Systems in Transition&lt;/secondary-title&gt;&lt;/titles&gt;&lt;periodical&gt;&lt;full-title&gt;Health Systems in Transition&lt;/full-title&gt;&lt;/periodical&gt;&lt;pages&gt;1-151&lt;/pages&gt;&lt;volume&gt;14&lt;/volume&gt;&lt;number&gt;7&lt;/number&gt;&lt;dates&gt;&lt;year&gt;2012&lt;/year&gt;&lt;/dates&gt;&lt;urls&gt;&lt;/urls&gt;&lt;/record&gt;&lt;/Cite&gt;&lt;/EndNote&gt;</w:instrText>
        </w:r>
        <w:r w:rsidR="00025DA0">
          <w:fldChar w:fldCharType="separate"/>
        </w:r>
        <w:r w:rsidR="00025DA0" w:rsidRPr="00782C0E">
          <w:rPr>
            <w:noProof/>
            <w:vertAlign w:val="superscript"/>
          </w:rPr>
          <w:t>4</w:t>
        </w:r>
        <w:r w:rsidR="00025DA0">
          <w:fldChar w:fldCharType="end"/>
        </w:r>
      </w:hyperlink>
      <w:r w:rsidR="00AE4B2F">
        <w:t xml:space="preserve">.  </w:t>
      </w:r>
      <w:r w:rsidR="00812BF0">
        <w:t>Evidence indicates h</w:t>
      </w:r>
      <w:r w:rsidR="00510739">
        <w:t>ealth insurance is key to protecting individuals against OOP payments and promoting healthcare utilization</w:t>
      </w:r>
      <w:r w:rsidR="00821C61">
        <w:fldChar w:fldCharType="begin"/>
      </w:r>
      <w:r w:rsidR="00782C0E">
        <w:instrText xml:space="preserve"> ADDIN EN.CITE &lt;EndNote&gt;&lt;Cite&gt;&lt;Author&gt;Spaan&lt;/Author&gt;&lt;Year&gt;2012&lt;/Year&gt;&lt;RecNum&gt;248&lt;/RecNum&gt;&lt;DisplayText&gt;&lt;style face="superscript"&gt;23,24&lt;/style&gt;&lt;/DisplayText&gt;&lt;record&gt;&lt;rec-number&gt;248&lt;/rec-number&gt;&lt;foreign-keys&gt;&lt;key app="EN" db-id="afate9rf5sat09edfarpdvt4xt0w0a2zp9fe"&gt;248&lt;/key&gt;&lt;/foreign-keys&gt;&lt;ref-type name="Journal Article"&gt;17&lt;/ref-type&gt;&lt;contributors&gt;&lt;authors&gt;&lt;author&gt;Spaan, Ernst&lt;/author&gt;&lt;author&gt;Mathijssen, Judith&lt;/author&gt;&lt;author&gt;Tromp, Noor&lt;/author&gt;&lt;author&gt;McBain, Florence&lt;/author&gt;&lt;author&gt;Have, Arthur ten&lt;/author&gt;&lt;author&gt;Baltussen, Rob&lt;/author&gt;&lt;/authors&gt;&lt;/contributors&gt;&lt;titles&gt;&lt;title&gt;The impact of health insurance in Africa and Asia: a systematic review&lt;/title&gt;&lt;secondary-title&gt;Bulletin of the World Health Organization&lt;/secondary-title&gt;&lt;/titles&gt;&lt;periodical&gt;&lt;full-title&gt;Bulletin of the World Health Organization&lt;/full-title&gt;&lt;/periodical&gt;&lt;pages&gt;685-692&lt;/pages&gt;&lt;volume&gt;90&lt;/volume&gt;&lt;number&gt;9&lt;/number&gt;&lt;dates&gt;&lt;year&gt;2012&lt;/year&gt;&lt;/dates&gt;&lt;isbn&gt;0042-9686&lt;/isbn&gt;&lt;urls&gt;&lt;/urls&gt;&lt;/record&gt;&lt;/Cite&gt;&lt;Cite&gt;&lt;Author&gt;Ekman&lt;/Author&gt;&lt;Year&gt;2004&lt;/Year&gt;&lt;RecNum&gt;249&lt;/RecNum&gt;&lt;record&gt;&lt;rec-number&gt;249&lt;/rec-number&gt;&lt;foreign-keys&gt;&lt;key app="EN" db-id="afate9rf5sat09edfarpdvt4xt0w0a2zp9fe"&gt;249&lt;/key&gt;&lt;/foreign-keys&gt;&lt;ref-type name="Journal Article"&gt;17&lt;/ref-type&gt;&lt;contributors&gt;&lt;authors&gt;&lt;author&gt;Ekman, Björn&lt;/author&gt;&lt;/authors&gt;&lt;/contributors&gt;&lt;titles&gt;&lt;title&gt;Community-based health insurance in low-income countries: a systematic review of the evidence&lt;/title&gt;&lt;secondary-title&gt;Health Policy and Planning&lt;/secondary-title&gt;&lt;/titles&gt;&lt;periodical&gt;&lt;full-title&gt;Health Policy and Planning&lt;/full-title&gt;&lt;/periodical&gt;&lt;pages&gt;249-270&lt;/pages&gt;&lt;volume&gt;19&lt;/volume&gt;&lt;number&gt;5&lt;/number&gt;&lt;dates&gt;&lt;year&gt;2004&lt;/year&gt;&lt;pub-dates&gt;&lt;date&gt;September 1, 2004&lt;/date&gt;&lt;/pub-dates&gt;&lt;/dates&gt;&lt;urls&gt;&lt;related-urls&gt;&lt;url&gt;http://heapol.oxfordjournals.org/content/19/5/249.abstract&lt;/url&gt;&lt;/related-urls&gt;&lt;/urls&gt;&lt;electronic-resource-num&gt;10.1093/heapol/czh031&lt;/electronic-resource-num&gt;&lt;/record&gt;&lt;/Cite&gt;&lt;/EndNote&gt;</w:instrText>
      </w:r>
      <w:r w:rsidR="00821C61">
        <w:fldChar w:fldCharType="separate"/>
      </w:r>
      <w:hyperlink w:anchor="_ENREF_23" w:tooltip="Spaan, 2012 #248" w:history="1">
        <w:r w:rsidR="00025DA0" w:rsidRPr="00782C0E">
          <w:rPr>
            <w:noProof/>
            <w:vertAlign w:val="superscript"/>
          </w:rPr>
          <w:t>23</w:t>
        </w:r>
      </w:hyperlink>
      <w:r w:rsidR="00782C0E" w:rsidRPr="00782C0E">
        <w:rPr>
          <w:noProof/>
          <w:vertAlign w:val="superscript"/>
        </w:rPr>
        <w:t>,</w:t>
      </w:r>
      <w:hyperlink w:anchor="_ENREF_24" w:tooltip="Ekman, 2004 #249" w:history="1">
        <w:r w:rsidR="00025DA0" w:rsidRPr="00782C0E">
          <w:rPr>
            <w:noProof/>
            <w:vertAlign w:val="superscript"/>
          </w:rPr>
          <w:t>24</w:t>
        </w:r>
      </w:hyperlink>
      <w:r w:rsidR="00821C61">
        <w:fldChar w:fldCharType="end"/>
      </w:r>
      <w:r w:rsidR="00510739">
        <w:t>, al</w:t>
      </w:r>
      <w:r w:rsidR="00812BF0">
        <w:t>though for those in the informal sector the effects may be weaker</w:t>
      </w:r>
      <w:hyperlink w:anchor="_ENREF_25" w:tooltip="Acharya, 2012 #250" w:history="1">
        <w:r w:rsidR="00025DA0">
          <w:fldChar w:fldCharType="begin"/>
        </w:r>
        <w:r w:rsidR="00025DA0">
          <w:instrText xml:space="preserve"> ADDIN EN.CITE &lt;EndNote&gt;&lt;Cite&gt;&lt;Author&gt;Acharya&lt;/Author&gt;&lt;Year&gt;2012&lt;/Year&gt;&lt;RecNum&gt;250&lt;/RecNum&gt;&lt;DisplayText&gt;&lt;style face="superscript"&gt;25&lt;/style&gt;&lt;/DisplayText&gt;&lt;record&gt;&lt;rec-number&gt;250&lt;/rec-number&gt;&lt;foreign-keys&gt;&lt;key app="EN" db-id="afate9rf5sat09edfarpdvt4xt0w0a2zp9fe"&gt;250&lt;/key&gt;&lt;/foreign-keys&gt;&lt;ref-type name="Journal Article"&gt;17&lt;/ref-type&gt;&lt;contributors&gt;&lt;authors&gt;&lt;author&gt;Acharya, Arnab&lt;/author&gt;&lt;author&gt;Vellakkal, Sukumar&lt;/author&gt;&lt;author&gt;Taylor, Fiona&lt;/author&gt;&lt;author&gt;Masset, Edoardo&lt;/author&gt;&lt;author&gt;Satija, Ambika&lt;/author&gt;&lt;author&gt;Burke, Margaret&lt;/author&gt;&lt;author&gt;Ebrahim, Shah&lt;/author&gt;&lt;/authors&gt;&lt;/contributors&gt;&lt;titles&gt;&lt;title&gt;The Impact of Health Insurance Schemes for the Informal Sector in Low- and Middle-Income Countries: A Systematic Review&lt;/title&gt;&lt;secondary-title&gt;The World Bank Research Observer&lt;/secondary-title&gt;&lt;/titles&gt;&lt;periodical&gt;&lt;full-title&gt;The World Bank Research Observer&lt;/full-title&gt;&lt;/periodical&gt;&lt;dates&gt;&lt;year&gt;2012&lt;/year&gt;&lt;pub-dates&gt;&lt;date&gt;November 9, 2012&lt;/date&gt;&lt;/pub-dates&gt;&lt;/dates&gt;&lt;urls&gt;&lt;related-urls&gt;&lt;url&gt;http://wbro.oxfordjournals.org/content/early/2013/02/12/wbro.lks009.abstract&lt;/url&gt;&lt;/related-urls&gt;&lt;/urls&gt;&lt;electronic-resource-num&gt;10.1093/wbro/lks009&lt;/electronic-resource-num&gt;&lt;/record&gt;&lt;/Cite&gt;&lt;/EndNote&gt;</w:instrText>
        </w:r>
        <w:r w:rsidR="00025DA0">
          <w:fldChar w:fldCharType="separate"/>
        </w:r>
        <w:r w:rsidR="00025DA0" w:rsidRPr="00782C0E">
          <w:rPr>
            <w:noProof/>
            <w:vertAlign w:val="superscript"/>
          </w:rPr>
          <w:t>25</w:t>
        </w:r>
        <w:r w:rsidR="00025DA0">
          <w:fldChar w:fldCharType="end"/>
        </w:r>
      </w:hyperlink>
      <w:r w:rsidR="00812BF0">
        <w:t xml:space="preserve">. </w:t>
      </w:r>
    </w:p>
    <w:p w14:paraId="6F52CA63" w14:textId="77777777" w:rsidR="005E6644" w:rsidRDefault="005E6644" w:rsidP="002F6643"/>
    <w:p w14:paraId="562B1D7E" w14:textId="77777777" w:rsidR="005E6644" w:rsidRPr="00297B0E" w:rsidRDefault="005E6644" w:rsidP="005E6644">
      <w:pPr>
        <w:pStyle w:val="Heading2"/>
        <w:rPr>
          <w:b w:val="0"/>
        </w:rPr>
      </w:pPr>
      <w:r w:rsidRPr="00297B0E">
        <w:rPr>
          <w:b w:val="0"/>
        </w:rPr>
        <w:t>Strengths and Limitations</w:t>
      </w:r>
    </w:p>
    <w:p w14:paraId="4F174968" w14:textId="332BC1C5" w:rsidR="005E6644" w:rsidRDefault="005E6644" w:rsidP="005E6644">
      <w:r>
        <w:t xml:space="preserve">The HBS only provides limited insight into financial protection in Moldova over time. As a survey certain populations – e.g. travelling communities or homeless – will be not represented. The high non-response rate </w:t>
      </w:r>
      <w:r w:rsidR="00B51517">
        <w:t xml:space="preserve">(~40%) </w:t>
      </w:r>
      <w:r>
        <w:t xml:space="preserve">raises the issue of reliability of the survey, although the concordance of results with </w:t>
      </w:r>
      <w:r w:rsidR="00842EF0">
        <w:t>earlier studies</w:t>
      </w:r>
      <w:r>
        <w:t xml:space="preserve"> and representativeness of age and sex distributions could mean the impact of </w:t>
      </w:r>
      <w:r w:rsidR="00842EF0">
        <w:t>the high non-response rate</w:t>
      </w:r>
      <w:r>
        <w:t xml:space="preserve"> is low.</w:t>
      </w:r>
      <w:r w:rsidR="00B51517">
        <w:t xml:space="preserve"> There are also potential issues of recall or selective reporting possible. There are limitations for the questions asked in the survey</w:t>
      </w:r>
      <w:r w:rsidR="00842EF0">
        <w:t>.</w:t>
      </w:r>
      <w:r w:rsidR="00B51517">
        <w:t xml:space="preserve"> </w:t>
      </w:r>
      <w:r>
        <w:t>For example, we do not know individuals</w:t>
      </w:r>
      <w:r w:rsidR="00842EF0">
        <w:t>’</w:t>
      </w:r>
      <w:r>
        <w:t xml:space="preserve"> utilization patterns of healthcare – only if they have used a healthcare provider in the last four weeks. Healthcare utilisation could confound the results reported here. None-the-less, whilst we must acknowledge certain groups (for example those with chronic conditions, older or the disabled) are likely to use healthcare more, true financial protection should be equitable across groups. Further research into the exact costs and fees incurred by individuals and explanatory demographic variables is also needed. </w:t>
      </w:r>
    </w:p>
    <w:p w14:paraId="4B68046E" w14:textId="77777777" w:rsidR="00B51517" w:rsidRDefault="00B51517" w:rsidP="005E6644"/>
    <w:p w14:paraId="707ECE25" w14:textId="22CE1A5E" w:rsidR="00B51517" w:rsidRDefault="00B51517" w:rsidP="005E6644">
      <w:r>
        <w:t xml:space="preserve">Other data sources employed – including CNMS – are from administrative sources that may be prone to errors and issue of data quality. Additionally, </w:t>
      </w:r>
      <w:r w:rsidR="00842EF0">
        <w:t xml:space="preserve">as administrative data are </w:t>
      </w:r>
      <w:r>
        <w:t xml:space="preserve">only from public facilities, </w:t>
      </w:r>
      <w:r w:rsidR="00842EF0">
        <w:t>the study is not able to analyse private providers in</w:t>
      </w:r>
      <w:r>
        <w:t xml:space="preserve"> the health system. </w:t>
      </w:r>
    </w:p>
    <w:p w14:paraId="4BB747A5" w14:textId="77777777" w:rsidR="00B51517" w:rsidRDefault="00B51517" w:rsidP="005E6644"/>
    <w:p w14:paraId="5144557D" w14:textId="537A7B1C" w:rsidR="00B51517" w:rsidRDefault="00B51517" w:rsidP="005E6644">
      <w:r>
        <w:t xml:space="preserve">The analyses undertaken may also introduce potential errors. Logistic regression identifies associations through predictive probabilities between groups and outcomes, but cannot prove causality. Our results must be interpreted with </w:t>
      </w:r>
      <w:r w:rsidR="00842EF0">
        <w:t xml:space="preserve">this limitation </w:t>
      </w:r>
      <w:r>
        <w:t xml:space="preserve">in mind. Additionally, assumptions about grouping of outcomes – including OOP from informal and formal sources and between different services – may obscure finer trends and patterns, but due to small </w:t>
      </w:r>
      <w:r w:rsidR="00842EF0">
        <w:t>sample size it</w:t>
      </w:r>
      <w:r>
        <w:t xml:space="preserve"> was not possible to analyse </w:t>
      </w:r>
      <w:r w:rsidR="00842EF0">
        <w:t xml:space="preserve">these subgroups </w:t>
      </w:r>
      <w:r>
        <w:t xml:space="preserve">separately. Even so, we use multiple covariates not to just examine potential inequities between demographic groups, but also to control for potential effects and elucidate clearer associations than descriptive trends. This allows us to identify whether it is age or employment status, for example, which is the stronger determinant of an outcome. Furthermore, we take into account the clustered nature of the survey design further strengthening the validity of our findings. </w:t>
      </w:r>
    </w:p>
    <w:p w14:paraId="4590805D" w14:textId="77777777" w:rsidR="005E6644" w:rsidRDefault="005E6644" w:rsidP="002F6643"/>
    <w:p w14:paraId="53995576" w14:textId="1CD1D4B7" w:rsidR="005E6644" w:rsidRDefault="005E6644" w:rsidP="005E6644">
      <w:pPr>
        <w:pStyle w:val="Heading2"/>
      </w:pPr>
      <w:r>
        <w:t xml:space="preserve">Conclusions </w:t>
      </w:r>
    </w:p>
    <w:p w14:paraId="3C707C5D" w14:textId="77777777" w:rsidR="009D0BDE" w:rsidRDefault="009D0BDE" w:rsidP="002F6643"/>
    <w:p w14:paraId="2B03DFCC" w14:textId="339A67C5" w:rsidR="000026AA" w:rsidRDefault="009B43B4" w:rsidP="002F6643">
      <w:r>
        <w:t xml:space="preserve">There is clear </w:t>
      </w:r>
      <w:r w:rsidR="00313C14">
        <w:t xml:space="preserve">evidence that many </w:t>
      </w:r>
      <w:r w:rsidR="009D64ED">
        <w:t>elements</w:t>
      </w:r>
      <w:r>
        <w:t xml:space="preserve"> </w:t>
      </w:r>
      <w:r w:rsidR="00313C14">
        <w:t>of</w:t>
      </w:r>
      <w:r>
        <w:t xml:space="preserve"> financial protection </w:t>
      </w:r>
      <w:r w:rsidR="00313C14">
        <w:t>are</w:t>
      </w:r>
      <w:r>
        <w:t xml:space="preserve"> not being met in Moldova</w:t>
      </w:r>
      <w:r w:rsidR="00842EF0">
        <w:t>.</w:t>
      </w:r>
      <w:r>
        <w:t xml:space="preserve"> </w:t>
      </w:r>
      <w:r w:rsidR="00842EF0">
        <w:t>W</w:t>
      </w:r>
      <w:r>
        <w:t>hilst in some areas – insurance coverage and OOP for services – there is slow improvement, th</w:t>
      </w:r>
      <w:r w:rsidR="00842EF0">
        <w:t>e increase in</w:t>
      </w:r>
      <w:r>
        <w:t xml:space="preserve"> OOP for </w:t>
      </w:r>
      <w:r w:rsidR="00842EF0">
        <w:t>medicines counteract the improvements observed</w:t>
      </w:r>
      <w:r>
        <w:t>. Healthcare is potentially being for</w:t>
      </w:r>
      <w:r w:rsidR="00842EF0">
        <w:t>e</w:t>
      </w:r>
      <w:r>
        <w:t>gone due to limited protection</w:t>
      </w:r>
      <w:r w:rsidR="008E656F">
        <w:t xml:space="preserve"> from costs</w:t>
      </w:r>
      <w:r>
        <w:t xml:space="preserve">. </w:t>
      </w:r>
      <w:r w:rsidR="0048192E">
        <w:lastRenderedPageBreak/>
        <w:t xml:space="preserve">Progress towards UHC is an integral </w:t>
      </w:r>
      <w:r w:rsidR="000026AA">
        <w:t xml:space="preserve">to </w:t>
      </w:r>
      <w:r w:rsidR="0048192E">
        <w:t>the SDGs</w:t>
      </w:r>
      <w:hyperlink w:anchor="_ENREF_3" w:tooltip="Tangcharoensathien, 2015 #432" w:history="1">
        <w:r w:rsidR="00025DA0">
          <w:fldChar w:fldCharType="begin"/>
        </w:r>
        <w:r w:rsidR="00025DA0">
          <w:instrText xml:space="preserve"> ADDIN EN.CITE &lt;EndNote&gt;&lt;Cite&gt;&lt;Author&gt;Tangcharoensathien&lt;/Author&gt;&lt;Year&gt;2015&lt;/Year&gt;&lt;RecNum&gt;432&lt;/RecNum&gt;&lt;DisplayText&gt;&lt;style face="superscript"&gt;3&lt;/style&gt;&lt;/DisplayText&gt;&lt;record&gt;&lt;rec-number&gt;432&lt;/rec-number&gt;&lt;foreign-keys&gt;&lt;key app="EN" db-id="afate9rf5sat09edfarpdvt4xt0w0a2zp9fe"&gt;432&lt;/key&gt;&lt;/foreign-keys&gt;&lt;ref-type name="Journal Article"&gt;17&lt;/ref-type&gt;&lt;contributors&gt;&lt;authors&gt;&lt;author&gt;Tangcharoensathien, Viroj&lt;/author&gt;&lt;author&gt;Mills, Anne&lt;/author&gt;&lt;author&gt;Palu, Toomas&lt;/author&gt;&lt;/authors&gt;&lt;/contributors&gt;&lt;titles&gt;&lt;title&gt;Accelerating health equity: the key role of universal health coverage in the Sustainable Development Goals&lt;/title&gt;&lt;secondary-title&gt;BMC Medicine&lt;/secondary-title&gt;&lt;/titles&gt;&lt;periodical&gt;&lt;full-title&gt;BMC Medicine&lt;/full-title&gt;&lt;/periodical&gt;&lt;pages&gt;1-5&lt;/pages&gt;&lt;volume&gt;13&lt;/volume&gt;&lt;number&gt;1&lt;/number&gt;&lt;dates&gt;&lt;year&gt;2015&lt;/year&gt;&lt;/dates&gt;&lt;isbn&gt;1741-7015&lt;/isbn&gt;&lt;label&gt;Tangcharoensathien2015&lt;/label&gt;&lt;work-type&gt;journal article&lt;/work-type&gt;&lt;urls&gt;&lt;related-urls&gt;&lt;url&gt;http://dx.doi.org/10.1186/s12916-015-0342-3&lt;/url&gt;&lt;/related-urls&gt;&lt;/urls&gt;&lt;electronic-resource-num&gt;10.1186/s12916-015-0342-3&lt;/electronic-resource-num&gt;&lt;/record&gt;&lt;/Cite&gt;&lt;/EndNote&gt;</w:instrText>
        </w:r>
        <w:r w:rsidR="00025DA0">
          <w:fldChar w:fldCharType="separate"/>
        </w:r>
        <w:r w:rsidR="00025DA0" w:rsidRPr="00782C0E">
          <w:rPr>
            <w:noProof/>
            <w:vertAlign w:val="superscript"/>
          </w:rPr>
          <w:t>3</w:t>
        </w:r>
        <w:r w:rsidR="00025DA0">
          <w:fldChar w:fldCharType="end"/>
        </w:r>
      </w:hyperlink>
      <w:r w:rsidR="0048192E">
        <w:t xml:space="preserve">, and </w:t>
      </w:r>
      <w:r w:rsidR="000026AA">
        <w:t xml:space="preserve">removing </w:t>
      </w:r>
      <w:r w:rsidR="0048192E">
        <w:t xml:space="preserve">financial barriers </w:t>
      </w:r>
      <w:r w:rsidR="000026AA">
        <w:t xml:space="preserve">to access </w:t>
      </w:r>
      <w:r w:rsidR="0048192E">
        <w:t>is key</w:t>
      </w:r>
      <w:r w:rsidR="000026AA">
        <w:t xml:space="preserve"> to attaining UHC</w:t>
      </w:r>
      <w:r w:rsidR="0048192E">
        <w:t>.</w:t>
      </w:r>
      <w:r w:rsidR="00DD404F">
        <w:t xml:space="preserve"> T</w:t>
      </w:r>
      <w:r w:rsidR="000026AA">
        <w:t>o reduce financial access barriers t</w:t>
      </w:r>
      <w:r w:rsidR="00DD404F">
        <w:t xml:space="preserve">he Moldovan government should </w:t>
      </w:r>
      <w:r w:rsidR="000026AA">
        <w:t xml:space="preserve">focus on three areas: </w:t>
      </w:r>
      <w:r w:rsidR="00081616">
        <w:t xml:space="preserve">further expansion of </w:t>
      </w:r>
      <w:r w:rsidR="000026AA">
        <w:t xml:space="preserve">health insurance </w:t>
      </w:r>
      <w:r w:rsidR="00081616">
        <w:t xml:space="preserve">coverage, </w:t>
      </w:r>
      <w:r w:rsidR="0025620A">
        <w:t xml:space="preserve">tackling </w:t>
      </w:r>
      <w:r w:rsidR="00AA40E8">
        <w:t>costs</w:t>
      </w:r>
      <w:r w:rsidR="00081616">
        <w:t xml:space="preserve"> </w:t>
      </w:r>
      <w:r w:rsidR="000026AA">
        <w:t xml:space="preserve">of </w:t>
      </w:r>
      <w:r w:rsidR="00081616">
        <w:t xml:space="preserve">medicines and </w:t>
      </w:r>
      <w:r w:rsidR="000026AA">
        <w:t xml:space="preserve">healthcare </w:t>
      </w:r>
      <w:r w:rsidR="00081616">
        <w:t xml:space="preserve">services, and </w:t>
      </w:r>
      <w:r w:rsidR="000026AA">
        <w:t xml:space="preserve">improving the efficiency of </w:t>
      </w:r>
      <w:r w:rsidR="00AA40E8">
        <w:t>health system financing.</w:t>
      </w:r>
      <w:r w:rsidR="00081616">
        <w:t xml:space="preserve"> </w:t>
      </w:r>
      <w:r w:rsidR="000026AA">
        <w:t>The first, further e</w:t>
      </w:r>
      <w:r w:rsidR="00081616">
        <w:t>xpan</w:t>
      </w:r>
      <w:r w:rsidR="00302015">
        <w:t>sion of insurance</w:t>
      </w:r>
      <w:r w:rsidR="00081616">
        <w:t xml:space="preserve"> coverage and access to services </w:t>
      </w:r>
      <w:r w:rsidR="00302015">
        <w:t>centres</w:t>
      </w:r>
      <w:r w:rsidR="000026AA">
        <w:t>,</w:t>
      </w:r>
      <w:r w:rsidR="00302015">
        <w:t xml:space="preserve"> </w:t>
      </w:r>
      <w:r w:rsidR="00DA57B1">
        <w:t xml:space="preserve">can be </w:t>
      </w:r>
      <w:r w:rsidR="000026AA">
        <w:t xml:space="preserve">achieved by </w:t>
      </w:r>
      <w:r w:rsidR="00DA57B1">
        <w:t>further targeting of coverage to the uninsured</w:t>
      </w:r>
      <w:r w:rsidR="000026AA">
        <w:t xml:space="preserve">, by </w:t>
      </w:r>
      <w:r w:rsidR="00DA57B1">
        <w:t xml:space="preserve">utilising incentives (both financial and </w:t>
      </w:r>
      <w:r w:rsidR="000026AA">
        <w:t xml:space="preserve">using </w:t>
      </w:r>
      <w:r w:rsidR="00DA57B1">
        <w:t>legal requirements)</w:t>
      </w:r>
      <w:r w:rsidR="000026AA">
        <w:t>,</w:t>
      </w:r>
      <w:r w:rsidR="00DA57B1">
        <w:t xml:space="preserve"> and </w:t>
      </w:r>
      <w:r w:rsidR="000026AA">
        <w:t xml:space="preserve">by </w:t>
      </w:r>
      <w:r w:rsidR="00DA57B1">
        <w:t>streamlining the enrolment process</w:t>
      </w:r>
      <w:hyperlink w:anchor="_ENREF_26" w:tooltip="Vilcu, 2016 #451" w:history="1">
        <w:r w:rsidR="00025DA0">
          <w:fldChar w:fldCharType="begin"/>
        </w:r>
        <w:r w:rsidR="00025DA0">
          <w:instrText xml:space="preserve"> ADDIN EN.CITE &lt;EndNote&gt;&lt;Cite&gt;&lt;Author&gt;Vilcu&lt;/Author&gt;&lt;Year&gt;2016&lt;/Year&gt;&lt;RecNum&gt;451&lt;/RecNum&gt;&lt;DisplayText&gt;&lt;style face="superscript"&gt;26&lt;/style&gt;&lt;/DisplayText&gt;&lt;record&gt;&lt;rec-number&gt;451&lt;/rec-number&gt;&lt;foreign-keys&gt;&lt;key app="EN" db-id="afate9rf5sat09edfarpdvt4xt0w0a2zp9fe"&gt;451&lt;/key&gt;&lt;/foreign-keys&gt;&lt;ref-type name="Journal Article"&gt;17&lt;/ref-type&gt;&lt;contributors&gt;&lt;authors&gt;&lt;author&gt;Vilcu, Ileana&lt;/author&gt;&lt;author&gt;Mathauer, Inke&lt;/author&gt;&lt;/authors&gt;&lt;/contributors&gt;&lt;titles&gt;&lt;title&gt;State budget transfers to Health Insurance Funds for universal health coverage: institutional design patterns and challenges of covering those outside the formal sector in Eastern European high-income countries&lt;/title&gt;&lt;secondary-title&gt;International journal for equity in health&lt;/secondary-title&gt;&lt;/titles&gt;&lt;periodical&gt;&lt;full-title&gt;International Journal for Equity in Health&lt;/full-title&gt;&lt;/periodical&gt;&lt;pages&gt;1-19&lt;/pages&gt;&lt;volume&gt;15&lt;/volume&gt;&lt;number&gt;1&lt;/number&gt;&lt;dates&gt;&lt;year&gt;2016&lt;/year&gt;&lt;/dates&gt;&lt;isbn&gt;1475-9276&lt;/isbn&gt;&lt;urls&gt;&lt;/urls&gt;&lt;/record&gt;&lt;/Cite&gt;&lt;/EndNote&gt;</w:instrText>
        </w:r>
        <w:r w:rsidR="00025DA0">
          <w:fldChar w:fldCharType="separate"/>
        </w:r>
        <w:r w:rsidR="00025DA0" w:rsidRPr="00025DA0">
          <w:rPr>
            <w:noProof/>
            <w:vertAlign w:val="superscript"/>
          </w:rPr>
          <w:t>26</w:t>
        </w:r>
        <w:r w:rsidR="00025DA0">
          <w:fldChar w:fldCharType="end"/>
        </w:r>
      </w:hyperlink>
      <w:r w:rsidR="00DA57B1">
        <w:t xml:space="preserve">. Our results indicate </w:t>
      </w:r>
      <w:r w:rsidR="0025620A">
        <w:t>that these efforts in the past may have had only small gains</w:t>
      </w:r>
      <w:r w:rsidR="00DA57B1">
        <w:t>, and marginal returns may be low. Alternatively, building upon the expansion and free entitlement to primary care services for all</w:t>
      </w:r>
      <w:r w:rsidR="001575C9">
        <w:t xml:space="preserve"> in 2009</w:t>
      </w:r>
      <w:r w:rsidR="00DA57B1">
        <w:t xml:space="preserve">, insurance coverage could be </w:t>
      </w:r>
      <w:r w:rsidR="001575C9">
        <w:t>extended free of charge maintaining inputs from taxation and insurance</w:t>
      </w:r>
      <w:r w:rsidR="00DA57B1">
        <w:t xml:space="preserve"> </w:t>
      </w:r>
      <w:r w:rsidR="001575C9">
        <w:t>premiums. Moldova must weigh up the marginal costs of targeted insurance premiums versus expanding free entitlement on the pathway to UHC.</w:t>
      </w:r>
    </w:p>
    <w:p w14:paraId="2B18E341" w14:textId="77777777" w:rsidR="004F1AED" w:rsidRDefault="004F1AED" w:rsidP="002F6643"/>
    <w:p w14:paraId="53AE59CF" w14:textId="21A92DD5" w:rsidR="00081616" w:rsidRDefault="000026AA" w:rsidP="002F6643">
      <w:r>
        <w:t xml:space="preserve">Second, </w:t>
      </w:r>
      <w:r w:rsidR="00081616">
        <w:t xml:space="preserve">costs for medicines and services </w:t>
      </w:r>
      <w:r>
        <w:t>could be reduced by</w:t>
      </w:r>
      <w:r w:rsidR="00081616">
        <w:t xml:space="preserve">: </w:t>
      </w:r>
      <w:proofErr w:type="spellStart"/>
      <w:r w:rsidR="00081616">
        <w:t>i</w:t>
      </w:r>
      <w:proofErr w:type="spellEnd"/>
      <w:r w:rsidR="00081616">
        <w:t>) introducing regulations to prevent informal payments and to regularise formal cost-sharing</w:t>
      </w:r>
      <w:hyperlink w:anchor="_ENREF_27" w:tooltip="Ferrario, 2016 #450" w:history="1">
        <w:r w:rsidR="00025DA0">
          <w:fldChar w:fldCharType="begin"/>
        </w:r>
        <w:r w:rsidR="00025DA0">
          <w:instrText xml:space="preserve"> ADDIN EN.CITE &lt;EndNote&gt;&lt;Cite&gt;&lt;Author&gt;Ferrario&lt;/Author&gt;&lt;Year&gt;2016&lt;/Year&gt;&lt;RecNum&gt;450&lt;/RecNum&gt;&lt;DisplayText&gt;&lt;style face="superscript"&gt;27&lt;/style&gt;&lt;/DisplayText&gt;&lt;record&gt;&lt;rec-number&gt;450&lt;/rec-number&gt;&lt;foreign-keys&gt;&lt;key app="EN" db-id="afate9rf5sat09edfarpdvt4xt0w0a2zp9fe"&gt;450&lt;/key&gt;&lt;/foreign-keys&gt;&lt;ref-type name="Journal Article"&gt;17&lt;/ref-type&gt;&lt;contributors&gt;&lt;authors&gt;&lt;author&gt;Ferrario, A.&lt;/author&gt;&lt;author&gt;Chitan, E.&lt;/author&gt;&lt;author&gt;Seicas, R.&lt;/author&gt;&lt;author&gt;Sautenkova, N.&lt;/author&gt;&lt;author&gt;Bezverhni, Z.&lt;/author&gt;&lt;author&gt;Kluge, H.&lt;/author&gt;&lt;author&gt;Habicht, J.&lt;/author&gt;&lt;/authors&gt;&lt;/contributors&gt;&lt;auth-address&gt;LSE Health, London School of Economics and Political Science, London WC2A 2AE, UK a.ferrario@lse.ac.uk.&amp;#xD;State University of Medicine and Pharmacy Nicolae Testemitanu, Testemitanu 22, 2025 Chisinau, Republic of Moldova.&amp;#xD;Center for Health Policies and Studies, 99/1,V.Alexandri str., 2012 Chisinau, Republic of Moldova.&amp;#xD;World Health Organization, Regional Office for Europe UN City, Marmorvej 51, 2100 Copenhagen O, Denmark.&amp;#xD;World Health Organization, Country Office for Moldova, Sfatul Tarii str. 29, 2012 Chisinau, Republic of Moldova.&lt;/auth-address&gt;&lt;titles&gt;&lt;title&gt;Progress in increasing affordability of medicines for non-communicable diseases since the introduction of mandatory health insurance in the Republic of Moldova&lt;/title&gt;&lt;secondary-title&gt;Health Policy Plan&lt;/secondary-title&gt;&lt;alt-title&gt;Health policy and planning&lt;/alt-title&gt;&lt;/titles&gt;&lt;alt-periodical&gt;&lt;full-title&gt;Health Policy and Planning&lt;/full-title&gt;&lt;/alt-periodical&gt;&lt;edition&gt;2016/02/03&lt;/edition&gt;&lt;dates&gt;&lt;year&gt;2016&lt;/year&gt;&lt;pub-dates&gt;&lt;date&gt;Feb 1&lt;/date&gt;&lt;/pub-dates&gt;&lt;/dates&gt;&lt;isbn&gt;1460-2237 (Electronic)&amp;#xD;0268-1080 (Linking)&lt;/isbn&gt;&lt;accession-num&gt;26830363&lt;/accession-num&gt;&lt;urls&gt;&lt;/urls&gt;&lt;electronic-resource-num&gt;10.1093/heapol/czv136&lt;/electronic-resource-num&gt;&lt;remote-database-provider&gt;NLM&lt;/remote-database-provider&gt;&lt;language&gt;Eng&lt;/language&gt;&lt;/record&gt;&lt;/Cite&gt;&lt;/EndNote&gt;</w:instrText>
        </w:r>
        <w:r w:rsidR="00025DA0">
          <w:fldChar w:fldCharType="separate"/>
        </w:r>
        <w:r w:rsidR="00025DA0" w:rsidRPr="00025DA0">
          <w:rPr>
            <w:noProof/>
            <w:vertAlign w:val="superscript"/>
          </w:rPr>
          <w:t>27</w:t>
        </w:r>
        <w:r w:rsidR="00025DA0">
          <w:fldChar w:fldCharType="end"/>
        </w:r>
      </w:hyperlink>
      <w:r w:rsidR="00081616">
        <w:t>; ii)</w:t>
      </w:r>
      <w:r w:rsidR="00081616" w:rsidRPr="00081616">
        <w:t xml:space="preserve"> </w:t>
      </w:r>
      <w:r w:rsidR="00081616">
        <w:t xml:space="preserve">increasing, through allocated funding and legal powers, the powers of the Moldovan Medicines and Medical Devices Agency (MMDA) and CNAM, in procuring medicines, negotiating prices, and regulating quality, </w:t>
      </w:r>
      <w:r>
        <w:t>to</w:t>
      </w:r>
      <w:r w:rsidR="00081616">
        <w:t xml:space="preserve"> </w:t>
      </w:r>
      <w:r>
        <w:t xml:space="preserve">reduce </w:t>
      </w:r>
      <w:r w:rsidR="00081616">
        <w:t>costs for those who purchase drugs and the cost burden of medicines in the benefit package</w:t>
      </w:r>
      <w:r w:rsidR="00081616">
        <w:fldChar w:fldCharType="begin"/>
      </w:r>
      <w:r w:rsidR="00025DA0">
        <w:instrText xml:space="preserve"> ADDIN EN.CITE &lt;EndNote&gt;&lt;Cite&gt;&lt;Author&gt;Sautenkova&lt;/Author&gt;&lt;Year&gt;2012&lt;/Year&gt;&lt;RecNum&gt;126&lt;/RecNum&gt;&lt;DisplayText&gt;&lt;style face="superscript"&gt;16,28&lt;/style&gt;&lt;/DisplayText&gt;&lt;record&gt;&lt;rec-number&gt;126&lt;/rec-number&gt;&lt;foreign-keys&gt;&lt;key app="EN" db-id="afate9rf5sat09edfarpdvt4xt0w0a2zp9fe"&gt;126&lt;/key&gt;&lt;/foreign-keys&gt;&lt;ref-type name="Government Document"&gt;46&lt;/ref-type&gt;&lt;contributors&gt;&lt;authors&gt;&lt;author&gt;Sautenkova, Nina&lt;/author&gt;&lt;author&gt;Ferrario, Alessandra&lt;/author&gt;&lt;author&gt;Bolokhovets, Ganna&lt;/author&gt;&lt;author&gt;Kanavos, Panos&lt;/author&gt;&lt;/authors&gt;&lt;/contributors&gt;&lt;titles&gt;&lt;title&gt;Availability and Affordability of Medicines and Assessment of Quality Systems for Prescription of Medicines in the Republic of Moldova&lt;/title&gt;&lt;secondary-title&gt;Republic of Moldova Health Policy Series 6&lt;/secondary-title&gt;&lt;/titles&gt;&lt;dates&gt;&lt;year&gt;2012&lt;/year&gt;&lt;/dates&gt;&lt;pub-location&gt;Copenhagen, Denmark&lt;/pub-location&gt;&lt;publisher&gt;World Health Organization Regional Office for Europe&lt;/publisher&gt;&lt;urls&gt;&lt;/urls&gt;&lt;/record&gt;&lt;/Cite&gt;&lt;Cite&gt;&lt;Author&gt;Ferrario&lt;/Author&gt;&lt;Year&gt;2014&lt;/Year&gt;&lt;RecNum&gt;182&lt;/RecNum&gt;&lt;record&gt;&lt;rec-number&gt;182&lt;/rec-number&gt;&lt;foreign-keys&gt;&lt;key app="EN" db-id="afate9rf5sat09edfarpdvt4xt0w0a2zp9fe"&gt;182&lt;/key&gt;&lt;/foreign-keys&gt;&lt;ref-type name="Journal Article"&gt;17&lt;/ref-type&gt;&lt;contributors&gt;&lt;authors&gt;&lt;author&gt;Ferrario, Alessandra&lt;/author&gt;&lt;author&gt;Sautenkova, Nina&lt;/author&gt;&lt;author&gt;Bezverhni, Zinaida&lt;/author&gt;&lt;author&gt;Seicas, Rita&lt;/author&gt;&lt;author&gt;Habicht, Jarno&lt;/author&gt;&lt;author&gt;Kanavos, Panos&lt;/author&gt;&lt;author&gt;Safta, Vladimir&lt;/author&gt;&lt;/authors&gt;&lt;/contributors&gt;&lt;titles&gt;&lt;title&gt;An in-depth analysis of pharmaceutical regulation in the Republic of Moldova&lt;/title&gt;&lt;secondary-title&gt;Journal of Pharmaceutical Policy and Practice&lt;/secondary-title&gt;&lt;/titles&gt;&lt;periodical&gt;&lt;full-title&gt;Journal of Pharmaceutical Policy and Practice&lt;/full-title&gt;&lt;/periodical&gt;&lt;pages&gt;4&lt;/pages&gt;&lt;volume&gt;7&lt;/volume&gt;&lt;number&gt;1&lt;/number&gt;&lt;dates&gt;&lt;year&gt;2014&lt;/year&gt;&lt;/dates&gt;&lt;isbn&gt;2052-3211&lt;/isbn&gt;&lt;urls&gt;&lt;/urls&gt;&lt;/record&gt;&lt;/Cite&gt;&lt;/EndNote&gt;</w:instrText>
      </w:r>
      <w:r w:rsidR="00081616">
        <w:fldChar w:fldCharType="separate"/>
      </w:r>
      <w:hyperlink w:anchor="_ENREF_16" w:tooltip="Sautenkova, 2012 #126" w:history="1">
        <w:r w:rsidR="00025DA0" w:rsidRPr="00025DA0">
          <w:rPr>
            <w:noProof/>
            <w:vertAlign w:val="superscript"/>
          </w:rPr>
          <w:t>16</w:t>
        </w:r>
      </w:hyperlink>
      <w:r w:rsidR="00025DA0" w:rsidRPr="00025DA0">
        <w:rPr>
          <w:noProof/>
          <w:vertAlign w:val="superscript"/>
        </w:rPr>
        <w:t>,</w:t>
      </w:r>
      <w:hyperlink w:anchor="_ENREF_28" w:tooltip="Ferrario, 2014 #182" w:history="1">
        <w:r w:rsidR="00025DA0" w:rsidRPr="00025DA0">
          <w:rPr>
            <w:noProof/>
            <w:vertAlign w:val="superscript"/>
          </w:rPr>
          <w:t>28</w:t>
        </w:r>
      </w:hyperlink>
      <w:r w:rsidR="00081616">
        <w:fldChar w:fldCharType="end"/>
      </w:r>
      <w:r w:rsidR="00081616">
        <w:t>; ii</w:t>
      </w:r>
      <w:r w:rsidR="001575C9">
        <w:t>i</w:t>
      </w:r>
      <w:r w:rsidR="00081616">
        <w:t>)</w:t>
      </w:r>
      <w:r w:rsidR="001575C9">
        <w:t xml:space="preserve"> strengthening the provision of PHC, where the majority of health needs can be dealt with cost-effectively, in resource allocations for both services and medicines</w:t>
      </w:r>
      <w:hyperlink w:anchor="_ENREF_27" w:tooltip="Ferrario, 2016 #450" w:history="1">
        <w:r w:rsidR="00025DA0">
          <w:fldChar w:fldCharType="begin"/>
        </w:r>
        <w:r w:rsidR="00025DA0">
          <w:instrText xml:space="preserve"> ADDIN EN.CITE &lt;EndNote&gt;&lt;Cite&gt;&lt;Author&gt;Ferrario&lt;/Author&gt;&lt;Year&gt;2016&lt;/Year&gt;&lt;RecNum&gt;450&lt;/RecNum&gt;&lt;DisplayText&gt;&lt;style face="superscript"&gt;27&lt;/style&gt;&lt;/DisplayText&gt;&lt;record&gt;&lt;rec-number&gt;450&lt;/rec-number&gt;&lt;foreign-keys&gt;&lt;key app="EN" db-id="afate9rf5sat09edfarpdvt4xt0w0a2zp9fe"&gt;450&lt;/key&gt;&lt;/foreign-keys&gt;&lt;ref-type name="Journal Article"&gt;17&lt;/ref-type&gt;&lt;contributors&gt;&lt;authors&gt;&lt;author&gt;Ferrario, A.&lt;/author&gt;&lt;author&gt;Chitan, E.&lt;/author&gt;&lt;author&gt;Seicas, R.&lt;/author&gt;&lt;author&gt;Sautenkova, N.&lt;/author&gt;&lt;author&gt;Bezverhni, Z.&lt;/author&gt;&lt;author&gt;Kluge, H.&lt;/author&gt;&lt;author&gt;Habicht, J.&lt;/author&gt;&lt;/authors&gt;&lt;/contributors&gt;&lt;auth-address&gt;LSE Health, London School of Economics and Political Science, London WC2A 2AE, UK a.ferrario@lse.ac.uk.&amp;#xD;State University of Medicine and Pharmacy Nicolae Testemitanu, Testemitanu 22, 2025 Chisinau, Republic of Moldova.&amp;#xD;Center for Health Policies and Studies, 99/1,V.Alexandri str., 2012 Chisinau, Republic of Moldova.&amp;#xD;World Health Organization, Regional Office for Europe UN City, Marmorvej 51, 2100 Copenhagen O, Denmark.&amp;#xD;World Health Organization, Country Office for Moldova, Sfatul Tarii str. 29, 2012 Chisinau, Republic of Moldova.&lt;/auth-address&gt;&lt;titles&gt;&lt;title&gt;Progress in increasing affordability of medicines for non-communicable diseases since the introduction of mandatory health insurance in the Republic of Moldova&lt;/title&gt;&lt;secondary-title&gt;Health Policy Plan&lt;/secondary-title&gt;&lt;alt-title&gt;Health policy and planning&lt;/alt-title&gt;&lt;/titles&gt;&lt;alt-periodical&gt;&lt;full-title&gt;Health Policy and Planning&lt;/full-title&gt;&lt;/alt-periodical&gt;&lt;edition&gt;2016/02/03&lt;/edition&gt;&lt;dates&gt;&lt;year&gt;2016&lt;/year&gt;&lt;pub-dates&gt;&lt;date&gt;Feb 1&lt;/date&gt;&lt;/pub-dates&gt;&lt;/dates&gt;&lt;isbn&gt;1460-2237 (Electronic)&amp;#xD;0268-1080 (Linking)&lt;/isbn&gt;&lt;accession-num&gt;26830363&lt;/accession-num&gt;&lt;urls&gt;&lt;/urls&gt;&lt;electronic-resource-num&gt;10.1093/heapol/czv136&lt;/electronic-resource-num&gt;&lt;remote-database-provider&gt;NLM&lt;/remote-database-provider&gt;&lt;language&gt;Eng&lt;/language&gt;&lt;/record&gt;&lt;/Cite&gt;&lt;/EndNote&gt;</w:instrText>
        </w:r>
        <w:r w:rsidR="00025DA0">
          <w:fldChar w:fldCharType="separate"/>
        </w:r>
        <w:r w:rsidR="00025DA0" w:rsidRPr="00025DA0">
          <w:rPr>
            <w:noProof/>
            <w:vertAlign w:val="superscript"/>
          </w:rPr>
          <w:t>27</w:t>
        </w:r>
        <w:r w:rsidR="00025DA0">
          <w:fldChar w:fldCharType="end"/>
        </w:r>
      </w:hyperlink>
      <w:r w:rsidR="001575C9">
        <w:t xml:space="preserve">; </w:t>
      </w:r>
    </w:p>
    <w:p w14:paraId="1D783E34" w14:textId="77777777" w:rsidR="000B7E17" w:rsidRDefault="000B7E17" w:rsidP="002F6643"/>
    <w:p w14:paraId="7A8AC161" w14:textId="3768B1FC" w:rsidR="0025620A" w:rsidRDefault="000026AA" w:rsidP="00297B0E">
      <w:pPr>
        <w:rPr>
          <w:rFonts w:asciiTheme="majorHAnsi" w:eastAsiaTheme="majorEastAsia" w:hAnsiTheme="majorHAnsi" w:cstheme="majorBidi"/>
          <w:b/>
          <w:bCs/>
          <w:kern w:val="32"/>
          <w:sz w:val="32"/>
          <w:szCs w:val="32"/>
        </w:rPr>
      </w:pPr>
      <w:r>
        <w:t xml:space="preserve">Third, </w:t>
      </w:r>
      <w:r w:rsidR="000B7E17">
        <w:t xml:space="preserve">health system financing trends indicate </w:t>
      </w:r>
      <w:r>
        <w:t xml:space="preserve">that although </w:t>
      </w:r>
      <w:r w:rsidR="000B7E17">
        <w:t>Moldova commits</w:t>
      </w:r>
      <w:r>
        <w:t xml:space="preserve"> a proportion of </w:t>
      </w:r>
      <w:r w:rsidR="00081616">
        <w:t xml:space="preserve">public sources to health inline with EU averages, the actual amount is very low. </w:t>
      </w:r>
      <w:r>
        <w:t>The government f</w:t>
      </w:r>
      <w:r w:rsidR="00081616">
        <w:t xml:space="preserve">iscal space for </w:t>
      </w:r>
      <w:r>
        <w:t xml:space="preserve">increased </w:t>
      </w:r>
      <w:r w:rsidR="00081616">
        <w:t xml:space="preserve">funding </w:t>
      </w:r>
      <w:r>
        <w:t xml:space="preserve">of </w:t>
      </w:r>
      <w:r w:rsidR="00081616">
        <w:t xml:space="preserve">health system </w:t>
      </w:r>
      <w:r>
        <w:t>could be improved by</w:t>
      </w:r>
      <w:r w:rsidR="00081616">
        <w:t xml:space="preserve">: </w:t>
      </w:r>
      <w:r w:rsidR="004D7BB4">
        <w:t xml:space="preserve"> (</w:t>
      </w:r>
      <w:proofErr w:type="spellStart"/>
      <w:r w:rsidR="004D7BB4">
        <w:t>i</w:t>
      </w:r>
      <w:proofErr w:type="spellEnd"/>
      <w:r w:rsidR="004D7BB4">
        <w:t xml:space="preserve">) </w:t>
      </w:r>
      <w:r w:rsidR="00E83044">
        <w:t>increasing tobacco and alcohol tax</w:t>
      </w:r>
      <w:r w:rsidR="00081616">
        <w:t>es</w:t>
      </w:r>
      <w:r w:rsidR="00E83044">
        <w:t xml:space="preserve"> </w:t>
      </w:r>
      <w:r w:rsidR="004F1AED">
        <w:t>– which will</w:t>
      </w:r>
      <w:r w:rsidR="00E83044">
        <w:t xml:space="preserve"> </w:t>
      </w:r>
      <w:r w:rsidR="00081616">
        <w:t>not only reduce consumption and tackle</w:t>
      </w:r>
      <w:r w:rsidR="00E83044">
        <w:t xml:space="preserve"> the health burden of these substances, </w:t>
      </w:r>
      <w:r w:rsidR="00081616">
        <w:t>but generate revenues for the government</w:t>
      </w:r>
      <w:r w:rsidR="004F1AED">
        <w:t>,</w:t>
      </w:r>
      <w:r w:rsidR="00E83044">
        <w:t xml:space="preserve"> </w:t>
      </w:r>
      <w:r w:rsidR="004F1AED">
        <w:t>(</w:t>
      </w:r>
      <w:r w:rsidR="001575C9">
        <w:t>i</w:t>
      </w:r>
      <w:r w:rsidR="00E83044">
        <w:t>i</w:t>
      </w:r>
      <w:r w:rsidR="00046798">
        <w:t>)</w:t>
      </w:r>
      <w:r w:rsidR="004D7BB4">
        <w:t xml:space="preserve"> </w:t>
      </w:r>
      <w:r w:rsidR="00041901">
        <w:t xml:space="preserve">optimizing </w:t>
      </w:r>
      <w:r w:rsidR="00E83044">
        <w:t xml:space="preserve">and consolidating </w:t>
      </w:r>
      <w:r w:rsidR="00D34CEA">
        <w:t xml:space="preserve">the </w:t>
      </w:r>
      <w:r w:rsidR="004F1AED">
        <w:t xml:space="preserve">inefficient </w:t>
      </w:r>
      <w:r w:rsidR="00D34CEA">
        <w:t xml:space="preserve">hospital sector </w:t>
      </w:r>
      <w:r w:rsidR="004F1AED">
        <w:t xml:space="preserve">(iii) </w:t>
      </w:r>
      <w:r w:rsidR="00D34CEA">
        <w:t>invest</w:t>
      </w:r>
      <w:r w:rsidR="00E83044">
        <w:t>ing</w:t>
      </w:r>
      <w:r w:rsidR="00D34CEA">
        <w:t xml:space="preserve"> in new infrastructure</w:t>
      </w:r>
      <w:r w:rsidR="004D7BB4">
        <w:t xml:space="preserve"> </w:t>
      </w:r>
      <w:r w:rsidR="00E83044">
        <w:t>using EU development financing and private sector funding</w:t>
      </w:r>
      <w:r w:rsidR="00313C14">
        <w:t xml:space="preserve"> </w:t>
      </w:r>
      <w:r w:rsidR="00E83044">
        <w:t xml:space="preserve">to improve health system efficiency. </w:t>
      </w:r>
      <w:r w:rsidR="0025620A">
        <w:br w:type="page"/>
      </w:r>
    </w:p>
    <w:p w14:paraId="2E33E96C" w14:textId="3E69C3D6" w:rsidR="00DB4B3F" w:rsidRPr="009B4897" w:rsidRDefault="000F3618" w:rsidP="002F6643">
      <w:pPr>
        <w:pStyle w:val="Heading1"/>
      </w:pPr>
      <w:r w:rsidRPr="002E3FCD">
        <w:lastRenderedPageBreak/>
        <w:t>References</w:t>
      </w:r>
    </w:p>
    <w:p w14:paraId="47DCBB40" w14:textId="77777777" w:rsidR="00025DA0" w:rsidRPr="00025DA0" w:rsidRDefault="00821C61" w:rsidP="00025DA0">
      <w:pPr>
        <w:rPr>
          <w:rFonts w:cstheme="minorHAnsi"/>
          <w:noProof/>
        </w:rPr>
      </w:pPr>
      <w:r>
        <w:rPr>
          <w:rFonts w:asciiTheme="minorHAnsi" w:hAnsiTheme="minorHAnsi" w:cstheme="minorHAnsi"/>
          <w:sz w:val="28"/>
        </w:rPr>
        <w:fldChar w:fldCharType="begin"/>
      </w:r>
      <w:r w:rsidR="00DB4B3F">
        <w:rPr>
          <w:rFonts w:asciiTheme="minorHAnsi" w:hAnsiTheme="minorHAnsi" w:cstheme="minorHAnsi"/>
          <w:sz w:val="28"/>
        </w:rPr>
        <w:instrText xml:space="preserve"> ADDIN EN.REFLIST </w:instrText>
      </w:r>
      <w:r>
        <w:rPr>
          <w:rFonts w:asciiTheme="minorHAnsi" w:hAnsiTheme="minorHAnsi" w:cstheme="minorHAnsi"/>
          <w:sz w:val="28"/>
        </w:rPr>
        <w:fldChar w:fldCharType="separate"/>
      </w:r>
      <w:bookmarkStart w:id="3" w:name="_ENREF_1"/>
      <w:r w:rsidR="00025DA0" w:rsidRPr="00025DA0">
        <w:rPr>
          <w:rFonts w:cstheme="minorHAnsi"/>
          <w:noProof/>
        </w:rPr>
        <w:t>1.</w:t>
      </w:r>
      <w:r w:rsidR="00025DA0" w:rsidRPr="00025DA0">
        <w:rPr>
          <w:rFonts w:cstheme="minorHAnsi"/>
          <w:noProof/>
        </w:rPr>
        <w:tab/>
        <w:t>World Health Organizaton. The World Health Report 2013: Research for Universal Health Coverage. Geneva, Switzerland: World Health Organization, 2013.</w:t>
      </w:r>
      <w:bookmarkEnd w:id="3"/>
    </w:p>
    <w:p w14:paraId="0ABF1BB1" w14:textId="77777777" w:rsidR="00025DA0" w:rsidRPr="00025DA0" w:rsidRDefault="00025DA0" w:rsidP="00025DA0">
      <w:pPr>
        <w:rPr>
          <w:rFonts w:cstheme="minorHAnsi"/>
          <w:noProof/>
        </w:rPr>
      </w:pPr>
      <w:bookmarkStart w:id="4" w:name="_ENREF_2"/>
      <w:r w:rsidRPr="00025DA0">
        <w:rPr>
          <w:rFonts w:cstheme="minorHAnsi"/>
          <w:noProof/>
        </w:rPr>
        <w:t>2.</w:t>
      </w:r>
      <w:r w:rsidRPr="00025DA0">
        <w:rPr>
          <w:rFonts w:cstheme="minorHAnsi"/>
          <w:noProof/>
        </w:rPr>
        <w:tab/>
        <w:t>World Health Organization. The World Health Report 2010: Health System Financing - The path to universal coverage. Geneva, Switzerland World Health Organization, 2010.</w:t>
      </w:r>
      <w:bookmarkEnd w:id="4"/>
    </w:p>
    <w:p w14:paraId="793450EF" w14:textId="77777777" w:rsidR="00025DA0" w:rsidRPr="00025DA0" w:rsidRDefault="00025DA0" w:rsidP="00025DA0">
      <w:pPr>
        <w:rPr>
          <w:rFonts w:cstheme="minorHAnsi"/>
          <w:noProof/>
        </w:rPr>
      </w:pPr>
      <w:bookmarkStart w:id="5" w:name="_ENREF_3"/>
      <w:r w:rsidRPr="00025DA0">
        <w:rPr>
          <w:rFonts w:cstheme="minorHAnsi"/>
          <w:noProof/>
        </w:rPr>
        <w:t>3.</w:t>
      </w:r>
      <w:r w:rsidRPr="00025DA0">
        <w:rPr>
          <w:rFonts w:cstheme="minorHAnsi"/>
          <w:noProof/>
        </w:rPr>
        <w:tab/>
        <w:t xml:space="preserve">Tangcharoensathien V, Mills A, Palu T. Accelerating health equity: the key role of universal health coverage in the Sustainable Development Goals. </w:t>
      </w:r>
      <w:r w:rsidRPr="00025DA0">
        <w:rPr>
          <w:rFonts w:cstheme="minorHAnsi"/>
          <w:i/>
          <w:noProof/>
        </w:rPr>
        <w:t>BMC Medicine</w:t>
      </w:r>
      <w:r w:rsidRPr="00025DA0">
        <w:rPr>
          <w:rFonts w:cstheme="minorHAnsi"/>
          <w:noProof/>
        </w:rPr>
        <w:t xml:space="preserve"> 2015; </w:t>
      </w:r>
      <w:r w:rsidRPr="00025DA0">
        <w:rPr>
          <w:rFonts w:cstheme="minorHAnsi"/>
          <w:b/>
          <w:noProof/>
        </w:rPr>
        <w:t>13</w:t>
      </w:r>
      <w:r w:rsidRPr="00025DA0">
        <w:rPr>
          <w:rFonts w:cstheme="minorHAnsi"/>
          <w:noProof/>
        </w:rPr>
        <w:t>(1): 1-5.</w:t>
      </w:r>
      <w:bookmarkEnd w:id="5"/>
    </w:p>
    <w:p w14:paraId="660F1E06" w14:textId="77777777" w:rsidR="00025DA0" w:rsidRPr="00025DA0" w:rsidRDefault="00025DA0" w:rsidP="00025DA0">
      <w:pPr>
        <w:rPr>
          <w:rFonts w:cstheme="minorHAnsi"/>
          <w:noProof/>
        </w:rPr>
      </w:pPr>
      <w:bookmarkStart w:id="6" w:name="_ENREF_4"/>
      <w:r w:rsidRPr="00025DA0">
        <w:rPr>
          <w:rFonts w:cstheme="minorHAnsi"/>
          <w:noProof/>
        </w:rPr>
        <w:t>4.</w:t>
      </w:r>
      <w:r w:rsidRPr="00025DA0">
        <w:rPr>
          <w:rFonts w:cstheme="minorHAnsi"/>
          <w:noProof/>
        </w:rPr>
        <w:tab/>
        <w:t xml:space="preserve">Turcanu G, Domente S, Buga M, Richardson E. Republic of Moldova: Health System Review. </w:t>
      </w:r>
      <w:r w:rsidRPr="00025DA0">
        <w:rPr>
          <w:rFonts w:cstheme="minorHAnsi"/>
          <w:i/>
          <w:noProof/>
        </w:rPr>
        <w:t>Health Systems in Transition</w:t>
      </w:r>
      <w:r w:rsidRPr="00025DA0">
        <w:rPr>
          <w:rFonts w:cstheme="minorHAnsi"/>
          <w:noProof/>
        </w:rPr>
        <w:t xml:space="preserve"> 2012; </w:t>
      </w:r>
      <w:r w:rsidRPr="00025DA0">
        <w:rPr>
          <w:rFonts w:cstheme="minorHAnsi"/>
          <w:b/>
          <w:noProof/>
        </w:rPr>
        <w:t>14</w:t>
      </w:r>
      <w:r w:rsidRPr="00025DA0">
        <w:rPr>
          <w:rFonts w:cstheme="minorHAnsi"/>
          <w:noProof/>
        </w:rPr>
        <w:t>(7): 1-151.</w:t>
      </w:r>
      <w:bookmarkEnd w:id="6"/>
    </w:p>
    <w:p w14:paraId="2A822A66" w14:textId="1644223B" w:rsidR="00025DA0" w:rsidRPr="00025DA0" w:rsidRDefault="00025DA0" w:rsidP="00025DA0">
      <w:pPr>
        <w:rPr>
          <w:rFonts w:cstheme="minorHAnsi"/>
          <w:noProof/>
        </w:rPr>
      </w:pPr>
      <w:bookmarkStart w:id="7" w:name="_ENREF_5"/>
      <w:r w:rsidRPr="00025DA0">
        <w:rPr>
          <w:rFonts w:cstheme="minorHAnsi"/>
          <w:noProof/>
        </w:rPr>
        <w:t>5.</w:t>
      </w:r>
      <w:r w:rsidRPr="00025DA0">
        <w:rPr>
          <w:rFonts w:cstheme="minorHAnsi"/>
          <w:noProof/>
        </w:rPr>
        <w:tab/>
        <w:t xml:space="preserve">World Health Organization Regional Office for Europe. European health for all database (HFA-DB). 2013. </w:t>
      </w:r>
      <w:hyperlink r:id="rId10" w:history="1">
        <w:r w:rsidRPr="00025DA0">
          <w:rPr>
            <w:rStyle w:val="Hyperlink"/>
            <w:noProof/>
          </w:rPr>
          <w:t>http://data.euro.who.int/hfadb/</w:t>
        </w:r>
      </w:hyperlink>
      <w:r w:rsidRPr="00025DA0">
        <w:rPr>
          <w:rFonts w:cstheme="minorHAnsi"/>
          <w:noProof/>
        </w:rPr>
        <w:t xml:space="preserve"> (accessed 8/11 2013).</w:t>
      </w:r>
      <w:bookmarkEnd w:id="7"/>
    </w:p>
    <w:p w14:paraId="6DFF3583" w14:textId="77777777" w:rsidR="00025DA0" w:rsidRPr="00025DA0" w:rsidRDefault="00025DA0" w:rsidP="00025DA0">
      <w:pPr>
        <w:rPr>
          <w:rFonts w:cstheme="minorHAnsi"/>
          <w:noProof/>
        </w:rPr>
      </w:pPr>
      <w:bookmarkStart w:id="8" w:name="_ENREF_6"/>
      <w:r w:rsidRPr="00025DA0">
        <w:rPr>
          <w:rFonts w:cstheme="minorHAnsi"/>
          <w:noProof/>
        </w:rPr>
        <w:t>6.</w:t>
      </w:r>
      <w:r w:rsidRPr="00025DA0">
        <w:rPr>
          <w:rFonts w:cstheme="minorHAnsi"/>
          <w:noProof/>
        </w:rPr>
        <w:tab/>
        <w:t xml:space="preserve">Atun R, Richardson E, Shishkin S, Kacevicius G, Ciocanu M, Sava V. Republic of Moldova: Health Sytem Review. </w:t>
      </w:r>
      <w:r w:rsidRPr="00025DA0">
        <w:rPr>
          <w:rFonts w:cstheme="minorHAnsi"/>
          <w:i/>
          <w:noProof/>
        </w:rPr>
        <w:t>Health Systems in Transition</w:t>
      </w:r>
      <w:r w:rsidRPr="00025DA0">
        <w:rPr>
          <w:rFonts w:cstheme="minorHAnsi"/>
          <w:noProof/>
        </w:rPr>
        <w:t xml:space="preserve"> 2008; </w:t>
      </w:r>
      <w:r w:rsidRPr="00025DA0">
        <w:rPr>
          <w:rFonts w:cstheme="minorHAnsi"/>
          <w:b/>
          <w:noProof/>
        </w:rPr>
        <w:t>10</w:t>
      </w:r>
      <w:r w:rsidRPr="00025DA0">
        <w:rPr>
          <w:rFonts w:cstheme="minorHAnsi"/>
          <w:noProof/>
        </w:rPr>
        <w:t>(5): 1-140.</w:t>
      </w:r>
      <w:bookmarkEnd w:id="8"/>
    </w:p>
    <w:p w14:paraId="35E86E47" w14:textId="33833F63" w:rsidR="00025DA0" w:rsidRPr="00025DA0" w:rsidRDefault="00025DA0" w:rsidP="00025DA0">
      <w:pPr>
        <w:rPr>
          <w:rFonts w:cstheme="minorHAnsi"/>
          <w:noProof/>
        </w:rPr>
      </w:pPr>
      <w:bookmarkStart w:id="9" w:name="_ENREF_7"/>
      <w:r w:rsidRPr="00025DA0">
        <w:rPr>
          <w:rFonts w:cstheme="minorHAnsi"/>
          <w:noProof/>
        </w:rPr>
        <w:t>7.</w:t>
      </w:r>
      <w:r w:rsidRPr="00025DA0">
        <w:rPr>
          <w:rFonts w:cstheme="minorHAnsi"/>
          <w:noProof/>
        </w:rPr>
        <w:tab/>
        <w:t xml:space="preserve">National Bureau of Statistics of the Republic of Moldova. StatBank. 2013. </w:t>
      </w:r>
      <w:hyperlink r:id="rId11" w:history="1">
        <w:r w:rsidRPr="00025DA0">
          <w:rPr>
            <w:rStyle w:val="Hyperlink"/>
            <w:noProof/>
          </w:rPr>
          <w:t>http://www.statistica.md/</w:t>
        </w:r>
      </w:hyperlink>
      <w:r w:rsidRPr="00025DA0">
        <w:rPr>
          <w:rFonts w:cstheme="minorHAnsi"/>
          <w:noProof/>
        </w:rPr>
        <w:t xml:space="preserve"> (accessed 11/12 2013).</w:t>
      </w:r>
      <w:bookmarkEnd w:id="9"/>
    </w:p>
    <w:p w14:paraId="6E9977E4" w14:textId="54D92943" w:rsidR="00025DA0" w:rsidRPr="00025DA0" w:rsidRDefault="00025DA0" w:rsidP="00025DA0">
      <w:pPr>
        <w:rPr>
          <w:rFonts w:cstheme="minorHAnsi"/>
          <w:noProof/>
        </w:rPr>
      </w:pPr>
      <w:bookmarkStart w:id="10" w:name="_ENREF_8"/>
      <w:r w:rsidRPr="00025DA0">
        <w:rPr>
          <w:rFonts w:cstheme="minorHAnsi"/>
          <w:noProof/>
        </w:rPr>
        <w:t>8.</w:t>
      </w:r>
      <w:r w:rsidRPr="00025DA0">
        <w:rPr>
          <w:rFonts w:cstheme="minorHAnsi"/>
          <w:noProof/>
        </w:rPr>
        <w:tab/>
        <w:t xml:space="preserve">The World Bank. Migration &amp; Remittances Data. 2013. </w:t>
      </w:r>
      <w:hyperlink r:id="rId12" w:history="1">
        <w:r w:rsidRPr="00025DA0">
          <w:rPr>
            <w:rStyle w:val="Hyperlink"/>
            <w:noProof/>
          </w:rPr>
          <w:t>http://go.worldbank.org/092X1CHHD0</w:t>
        </w:r>
      </w:hyperlink>
      <w:r w:rsidRPr="00025DA0">
        <w:rPr>
          <w:rFonts w:cstheme="minorHAnsi"/>
          <w:noProof/>
        </w:rPr>
        <w:t xml:space="preserve"> (accessed 8/11 2013).</w:t>
      </w:r>
      <w:bookmarkEnd w:id="10"/>
    </w:p>
    <w:p w14:paraId="4B5586BA" w14:textId="4AFDB333" w:rsidR="00025DA0" w:rsidRPr="00025DA0" w:rsidRDefault="00025DA0" w:rsidP="00025DA0">
      <w:pPr>
        <w:rPr>
          <w:rFonts w:cstheme="minorHAnsi"/>
          <w:noProof/>
        </w:rPr>
      </w:pPr>
      <w:bookmarkStart w:id="11" w:name="_ENREF_9"/>
      <w:r w:rsidRPr="00025DA0">
        <w:rPr>
          <w:rFonts w:cstheme="minorHAnsi"/>
          <w:noProof/>
        </w:rPr>
        <w:t>9.</w:t>
      </w:r>
      <w:r w:rsidRPr="00025DA0">
        <w:rPr>
          <w:rFonts w:cstheme="minorHAnsi"/>
          <w:noProof/>
        </w:rPr>
        <w:tab/>
        <w:t xml:space="preserve">The World Bank. DataBank: Country: Moldova. 2013. </w:t>
      </w:r>
      <w:hyperlink r:id="rId13" w:history="1">
        <w:r w:rsidRPr="00025DA0">
          <w:rPr>
            <w:rStyle w:val="Hyperlink"/>
            <w:noProof/>
          </w:rPr>
          <w:t>http://data.worldbank.org/country/moldova</w:t>
        </w:r>
      </w:hyperlink>
      <w:r w:rsidRPr="00025DA0">
        <w:rPr>
          <w:rFonts w:cstheme="minorHAnsi"/>
          <w:noProof/>
        </w:rPr>
        <w:t xml:space="preserve"> (accessed 07/11 2013).</w:t>
      </w:r>
      <w:bookmarkEnd w:id="11"/>
    </w:p>
    <w:p w14:paraId="48273C2E" w14:textId="77777777" w:rsidR="00025DA0" w:rsidRPr="00025DA0" w:rsidRDefault="00025DA0" w:rsidP="00025DA0">
      <w:pPr>
        <w:rPr>
          <w:rFonts w:cstheme="minorHAnsi"/>
          <w:noProof/>
        </w:rPr>
      </w:pPr>
      <w:bookmarkStart w:id="12" w:name="_ENREF_10"/>
      <w:r w:rsidRPr="00025DA0">
        <w:rPr>
          <w:rFonts w:cstheme="minorHAnsi"/>
          <w:noProof/>
        </w:rPr>
        <w:t>10.</w:t>
      </w:r>
      <w:r w:rsidRPr="00025DA0">
        <w:rPr>
          <w:rFonts w:cstheme="minorHAnsi"/>
          <w:noProof/>
        </w:rPr>
        <w:tab/>
        <w:t>Atun R. What are the advantages and disadvantages of restructuring a health care system to be more focused on primary care services. Copenhagen, WHO Regional Office for Europe; 2004. p. 1-18.</w:t>
      </w:r>
      <w:bookmarkEnd w:id="12"/>
    </w:p>
    <w:p w14:paraId="5D0C1AD3" w14:textId="77777777" w:rsidR="00025DA0" w:rsidRPr="00025DA0" w:rsidRDefault="00025DA0" w:rsidP="00025DA0">
      <w:pPr>
        <w:rPr>
          <w:rFonts w:cstheme="minorHAnsi"/>
          <w:noProof/>
        </w:rPr>
      </w:pPr>
      <w:bookmarkStart w:id="13" w:name="_ENREF_11"/>
      <w:r w:rsidRPr="00025DA0">
        <w:rPr>
          <w:rFonts w:cstheme="minorHAnsi"/>
          <w:noProof/>
        </w:rPr>
        <w:t>11.</w:t>
      </w:r>
      <w:r w:rsidRPr="00025DA0">
        <w:rPr>
          <w:rFonts w:cstheme="minorHAnsi"/>
          <w:noProof/>
        </w:rPr>
        <w:tab/>
        <w:t xml:space="preserve">Starfield B. Is primary care essential? </w:t>
      </w:r>
      <w:r w:rsidRPr="00025DA0">
        <w:rPr>
          <w:rFonts w:cstheme="minorHAnsi"/>
          <w:i/>
          <w:noProof/>
        </w:rPr>
        <w:t>The Lancet</w:t>
      </w:r>
      <w:r w:rsidRPr="00025DA0">
        <w:rPr>
          <w:rFonts w:cstheme="minorHAnsi"/>
          <w:noProof/>
        </w:rPr>
        <w:t xml:space="preserve"> 1994; </w:t>
      </w:r>
      <w:r w:rsidRPr="00025DA0">
        <w:rPr>
          <w:rFonts w:cstheme="minorHAnsi"/>
          <w:b/>
          <w:noProof/>
        </w:rPr>
        <w:t>344</w:t>
      </w:r>
      <w:r w:rsidRPr="00025DA0">
        <w:rPr>
          <w:rFonts w:cstheme="minorHAnsi"/>
          <w:noProof/>
        </w:rPr>
        <w:t>(8930): 1129-33.</w:t>
      </w:r>
      <w:bookmarkEnd w:id="13"/>
    </w:p>
    <w:p w14:paraId="7B41ED7B" w14:textId="77777777" w:rsidR="00025DA0" w:rsidRPr="00025DA0" w:rsidRDefault="00025DA0" w:rsidP="00025DA0">
      <w:pPr>
        <w:rPr>
          <w:rFonts w:cstheme="minorHAnsi"/>
          <w:noProof/>
        </w:rPr>
      </w:pPr>
      <w:bookmarkStart w:id="14" w:name="_ENREF_12"/>
      <w:r w:rsidRPr="00025DA0">
        <w:rPr>
          <w:rFonts w:cstheme="minorHAnsi"/>
          <w:noProof/>
        </w:rPr>
        <w:t>12.</w:t>
      </w:r>
      <w:r w:rsidRPr="00025DA0">
        <w:rPr>
          <w:rFonts w:cstheme="minorHAnsi"/>
          <w:noProof/>
        </w:rPr>
        <w:tab/>
        <w:t xml:space="preserve">Starfield B, Shi L, Macinko J. Contribution of primary care to health systems and health. </w:t>
      </w:r>
      <w:r w:rsidRPr="00025DA0">
        <w:rPr>
          <w:rFonts w:cstheme="minorHAnsi"/>
          <w:i/>
          <w:noProof/>
        </w:rPr>
        <w:t>Milbank quarterly</w:t>
      </w:r>
      <w:r w:rsidRPr="00025DA0">
        <w:rPr>
          <w:rFonts w:cstheme="minorHAnsi"/>
          <w:noProof/>
        </w:rPr>
        <w:t xml:space="preserve"> 2005; </w:t>
      </w:r>
      <w:r w:rsidRPr="00025DA0">
        <w:rPr>
          <w:rFonts w:cstheme="minorHAnsi"/>
          <w:b/>
          <w:noProof/>
        </w:rPr>
        <w:t>83</w:t>
      </w:r>
      <w:r w:rsidRPr="00025DA0">
        <w:rPr>
          <w:rFonts w:cstheme="minorHAnsi"/>
          <w:noProof/>
        </w:rPr>
        <w:t>(3): 457-502.</w:t>
      </w:r>
      <w:bookmarkEnd w:id="14"/>
    </w:p>
    <w:p w14:paraId="06532654" w14:textId="77777777" w:rsidR="00025DA0" w:rsidRPr="00025DA0" w:rsidRDefault="00025DA0" w:rsidP="00025DA0">
      <w:pPr>
        <w:rPr>
          <w:rFonts w:cstheme="minorHAnsi"/>
          <w:noProof/>
        </w:rPr>
      </w:pPr>
      <w:bookmarkStart w:id="15" w:name="_ENREF_13"/>
      <w:r w:rsidRPr="00025DA0">
        <w:rPr>
          <w:rFonts w:cstheme="minorHAnsi"/>
          <w:noProof/>
        </w:rPr>
        <w:t>13.</w:t>
      </w:r>
      <w:r w:rsidRPr="00025DA0">
        <w:rPr>
          <w:rFonts w:cstheme="minorHAnsi"/>
          <w:noProof/>
        </w:rPr>
        <w:tab/>
        <w:t xml:space="preserve">Vian T, Feeley FG, Domente S, Negruta A, Matei A, Habicht J. Barriers to universal health coverage in Republic of Moldova: a policy analysis of formal and informal out-of-pocket payments. </w:t>
      </w:r>
      <w:r w:rsidRPr="00025DA0">
        <w:rPr>
          <w:rFonts w:cstheme="minorHAnsi"/>
          <w:i/>
          <w:noProof/>
        </w:rPr>
        <w:t>BMC Health Serv Res</w:t>
      </w:r>
      <w:r w:rsidRPr="00025DA0">
        <w:rPr>
          <w:rFonts w:cstheme="minorHAnsi"/>
          <w:noProof/>
        </w:rPr>
        <w:t xml:space="preserve"> 2015; </w:t>
      </w:r>
      <w:r w:rsidRPr="00025DA0">
        <w:rPr>
          <w:rFonts w:cstheme="minorHAnsi"/>
          <w:b/>
          <w:noProof/>
        </w:rPr>
        <w:t>15</w:t>
      </w:r>
      <w:r w:rsidRPr="00025DA0">
        <w:rPr>
          <w:rFonts w:cstheme="minorHAnsi"/>
          <w:noProof/>
        </w:rPr>
        <w:t>: 319.</w:t>
      </w:r>
      <w:bookmarkEnd w:id="15"/>
    </w:p>
    <w:p w14:paraId="267EB3B8" w14:textId="77777777" w:rsidR="00025DA0" w:rsidRPr="00025DA0" w:rsidRDefault="00025DA0" w:rsidP="00025DA0">
      <w:pPr>
        <w:rPr>
          <w:rFonts w:cstheme="minorHAnsi"/>
          <w:noProof/>
        </w:rPr>
      </w:pPr>
      <w:bookmarkStart w:id="16" w:name="_ENREF_14"/>
      <w:r w:rsidRPr="00025DA0">
        <w:rPr>
          <w:rFonts w:cstheme="minorHAnsi"/>
          <w:noProof/>
        </w:rPr>
        <w:t>14.</w:t>
      </w:r>
      <w:r w:rsidRPr="00025DA0">
        <w:rPr>
          <w:rFonts w:cstheme="minorHAnsi"/>
          <w:noProof/>
        </w:rPr>
        <w:tab/>
        <w:t>Government of Republic of Moldova. National Health Policy 2007-2021. Chisinau, Republic of Moldova: Government of Republic of Moldova, 2007.</w:t>
      </w:r>
      <w:bookmarkEnd w:id="16"/>
    </w:p>
    <w:p w14:paraId="4968D348" w14:textId="77777777" w:rsidR="00025DA0" w:rsidRPr="00025DA0" w:rsidRDefault="00025DA0" w:rsidP="00025DA0">
      <w:pPr>
        <w:rPr>
          <w:rFonts w:cstheme="minorHAnsi"/>
          <w:noProof/>
        </w:rPr>
      </w:pPr>
      <w:bookmarkStart w:id="17" w:name="_ENREF_15"/>
      <w:r w:rsidRPr="00025DA0">
        <w:rPr>
          <w:rFonts w:cstheme="minorHAnsi"/>
          <w:noProof/>
        </w:rPr>
        <w:t>15.</w:t>
      </w:r>
      <w:r w:rsidRPr="00025DA0">
        <w:rPr>
          <w:rFonts w:cstheme="minorHAnsi"/>
          <w:noProof/>
        </w:rPr>
        <w:tab/>
        <w:t>Government of Republic of Moldova. Healthcare System Development Strategy for the period 2008-2017. Chisinau, Republic of Moldova: Minsitry of Health, 2007.</w:t>
      </w:r>
      <w:bookmarkEnd w:id="17"/>
    </w:p>
    <w:p w14:paraId="6F287AC3" w14:textId="77777777" w:rsidR="00025DA0" w:rsidRPr="00025DA0" w:rsidRDefault="00025DA0" w:rsidP="00025DA0">
      <w:pPr>
        <w:rPr>
          <w:rFonts w:cstheme="minorHAnsi"/>
          <w:noProof/>
        </w:rPr>
      </w:pPr>
      <w:bookmarkStart w:id="18" w:name="_ENREF_16"/>
      <w:r w:rsidRPr="00025DA0">
        <w:rPr>
          <w:rFonts w:cstheme="minorHAnsi"/>
          <w:noProof/>
        </w:rPr>
        <w:t>16.</w:t>
      </w:r>
      <w:r w:rsidRPr="00025DA0">
        <w:rPr>
          <w:rFonts w:cstheme="minorHAnsi"/>
          <w:noProof/>
        </w:rPr>
        <w:tab/>
        <w:t>Sautenkova N, Ferrario A, Bolokhovets G, Kanavos P. Availability and Affordability of Medicines and Assessment of Quality Systems for Prescription of Medicines in the Republic of Moldova.  Republic of Moldova Health Policy Series 6. Copenhagen, Denmark: World Health Organization Regional Office for Europe; 2012.</w:t>
      </w:r>
      <w:bookmarkEnd w:id="18"/>
    </w:p>
    <w:p w14:paraId="6B844473" w14:textId="77777777" w:rsidR="00025DA0" w:rsidRPr="00025DA0" w:rsidRDefault="00025DA0" w:rsidP="00025DA0">
      <w:pPr>
        <w:rPr>
          <w:rFonts w:cstheme="minorHAnsi"/>
          <w:noProof/>
        </w:rPr>
      </w:pPr>
      <w:bookmarkStart w:id="19" w:name="_ENREF_17"/>
      <w:r w:rsidRPr="00025DA0">
        <w:rPr>
          <w:rFonts w:cstheme="minorHAnsi"/>
          <w:noProof/>
        </w:rPr>
        <w:t>17.</w:t>
      </w:r>
      <w:r w:rsidRPr="00025DA0">
        <w:rPr>
          <w:rFonts w:cstheme="minorHAnsi"/>
          <w:noProof/>
        </w:rPr>
        <w:tab/>
        <w:t>Shishkin S, Jowett M. A Review Of Health Financing Reforms In The Republic Of Moldova. Copenhagen, Denmark: WHO Regional Office for Europe, 2012.</w:t>
      </w:r>
      <w:bookmarkEnd w:id="19"/>
    </w:p>
    <w:p w14:paraId="3AADAC88" w14:textId="77777777" w:rsidR="00025DA0" w:rsidRPr="00025DA0" w:rsidRDefault="00025DA0" w:rsidP="00025DA0">
      <w:pPr>
        <w:rPr>
          <w:rFonts w:cstheme="minorHAnsi"/>
          <w:noProof/>
        </w:rPr>
      </w:pPr>
      <w:bookmarkStart w:id="20" w:name="_ENREF_18"/>
      <w:r w:rsidRPr="00025DA0">
        <w:rPr>
          <w:rFonts w:cstheme="minorHAnsi"/>
          <w:noProof/>
        </w:rPr>
        <w:t>18.</w:t>
      </w:r>
      <w:r w:rsidRPr="00025DA0">
        <w:rPr>
          <w:rFonts w:cstheme="minorHAnsi"/>
          <w:noProof/>
        </w:rPr>
        <w:tab/>
        <w:t xml:space="preserve">Atun R, de Andrade LOM, Almeida G, et al. Health-system reform and universal health coverage in Latin America. </w:t>
      </w:r>
      <w:r w:rsidRPr="00025DA0">
        <w:rPr>
          <w:rFonts w:cstheme="minorHAnsi"/>
          <w:i/>
          <w:noProof/>
        </w:rPr>
        <w:t>The Lancet</w:t>
      </w:r>
      <w:r w:rsidRPr="00025DA0">
        <w:rPr>
          <w:rFonts w:cstheme="minorHAnsi"/>
          <w:noProof/>
        </w:rPr>
        <w:t xml:space="preserve"> 2014.</w:t>
      </w:r>
      <w:bookmarkEnd w:id="20"/>
    </w:p>
    <w:p w14:paraId="7FB6666C" w14:textId="77777777" w:rsidR="00025DA0" w:rsidRPr="00025DA0" w:rsidRDefault="00025DA0" w:rsidP="00025DA0">
      <w:pPr>
        <w:rPr>
          <w:rFonts w:cstheme="minorHAnsi"/>
          <w:noProof/>
        </w:rPr>
      </w:pPr>
      <w:bookmarkStart w:id="21" w:name="_ENREF_19"/>
      <w:r w:rsidRPr="00025DA0">
        <w:rPr>
          <w:rFonts w:cstheme="minorHAnsi"/>
          <w:noProof/>
        </w:rPr>
        <w:t>19.</w:t>
      </w:r>
      <w:r w:rsidRPr="00025DA0">
        <w:rPr>
          <w:rFonts w:cstheme="minorHAnsi"/>
          <w:noProof/>
        </w:rPr>
        <w:tab/>
        <w:t xml:space="preserve">Atun R, Aydın S, Chakraborty S, et al. Universal health coverage in Turkey: enhancement of equity. </w:t>
      </w:r>
      <w:r w:rsidRPr="00025DA0">
        <w:rPr>
          <w:rFonts w:cstheme="minorHAnsi"/>
          <w:i/>
          <w:noProof/>
        </w:rPr>
        <w:t>The Lancet</w:t>
      </w:r>
      <w:r w:rsidRPr="00025DA0">
        <w:rPr>
          <w:rFonts w:cstheme="minorHAnsi"/>
          <w:noProof/>
        </w:rPr>
        <w:t xml:space="preserve"> 2013; </w:t>
      </w:r>
      <w:r w:rsidRPr="00025DA0">
        <w:rPr>
          <w:rFonts w:cstheme="minorHAnsi"/>
          <w:b/>
          <w:noProof/>
        </w:rPr>
        <w:t>382</w:t>
      </w:r>
      <w:r w:rsidRPr="00025DA0">
        <w:rPr>
          <w:rFonts w:cstheme="minorHAnsi"/>
          <w:noProof/>
        </w:rPr>
        <w:t>(9886): 65-99.</w:t>
      </w:r>
      <w:bookmarkEnd w:id="21"/>
    </w:p>
    <w:p w14:paraId="2B3D4967" w14:textId="77777777" w:rsidR="00025DA0" w:rsidRPr="00025DA0" w:rsidRDefault="00025DA0" w:rsidP="00025DA0">
      <w:pPr>
        <w:rPr>
          <w:rFonts w:cstheme="minorHAnsi"/>
          <w:noProof/>
        </w:rPr>
      </w:pPr>
      <w:bookmarkStart w:id="22" w:name="_ENREF_20"/>
      <w:r w:rsidRPr="00025DA0">
        <w:rPr>
          <w:rFonts w:cstheme="minorHAnsi"/>
          <w:noProof/>
        </w:rPr>
        <w:t>20.</w:t>
      </w:r>
      <w:r w:rsidRPr="00025DA0">
        <w:rPr>
          <w:rFonts w:cstheme="minorHAnsi"/>
          <w:noProof/>
        </w:rPr>
        <w:tab/>
        <w:t>World Health Organization. Everybody's business--strengthening health systems to improve health outcomes: WHO's framework for action. Geneva, Swtizerland: World Health Organization, 2007.</w:t>
      </w:r>
      <w:bookmarkEnd w:id="22"/>
    </w:p>
    <w:p w14:paraId="27130A3E" w14:textId="77777777" w:rsidR="00025DA0" w:rsidRPr="00025DA0" w:rsidRDefault="00025DA0" w:rsidP="00025DA0">
      <w:pPr>
        <w:rPr>
          <w:rFonts w:cstheme="minorHAnsi"/>
          <w:noProof/>
        </w:rPr>
      </w:pPr>
      <w:bookmarkStart w:id="23" w:name="_ENREF_21"/>
      <w:r w:rsidRPr="00025DA0">
        <w:rPr>
          <w:rFonts w:cstheme="minorHAnsi"/>
          <w:noProof/>
        </w:rPr>
        <w:t>21.</w:t>
      </w:r>
      <w:r w:rsidRPr="00025DA0">
        <w:rPr>
          <w:rFonts w:cstheme="minorHAnsi"/>
          <w:noProof/>
        </w:rPr>
        <w:tab/>
        <w:t>Roberts M, Hsiao W, Berman P, Reich M. Getting health reform right: a guide to improving performance and equity: Oxford university press; 2003.</w:t>
      </w:r>
      <w:bookmarkEnd w:id="23"/>
    </w:p>
    <w:p w14:paraId="6DBE905C" w14:textId="77777777" w:rsidR="00025DA0" w:rsidRPr="00025DA0" w:rsidRDefault="00025DA0" w:rsidP="00025DA0">
      <w:pPr>
        <w:rPr>
          <w:rFonts w:cstheme="minorHAnsi"/>
          <w:noProof/>
        </w:rPr>
      </w:pPr>
      <w:bookmarkStart w:id="24" w:name="_ENREF_22"/>
      <w:r w:rsidRPr="00025DA0">
        <w:rPr>
          <w:rFonts w:cstheme="minorHAnsi"/>
          <w:noProof/>
        </w:rPr>
        <w:t>22.</w:t>
      </w:r>
      <w:r w:rsidRPr="00025DA0">
        <w:rPr>
          <w:rFonts w:cstheme="minorHAnsi"/>
          <w:noProof/>
        </w:rPr>
        <w:tab/>
        <w:t xml:space="preserve">Richardson E, Roberts B, Sava V, Menon R, McKee M. Health insurance coverage and health care access in Moldova. </w:t>
      </w:r>
      <w:r w:rsidRPr="00025DA0">
        <w:rPr>
          <w:rFonts w:cstheme="minorHAnsi"/>
          <w:i/>
          <w:noProof/>
        </w:rPr>
        <w:t>Health Policy and Planning</w:t>
      </w:r>
      <w:r w:rsidRPr="00025DA0">
        <w:rPr>
          <w:rFonts w:cstheme="minorHAnsi"/>
          <w:noProof/>
        </w:rPr>
        <w:t xml:space="preserve"> 2012; </w:t>
      </w:r>
      <w:r w:rsidRPr="00025DA0">
        <w:rPr>
          <w:rFonts w:cstheme="minorHAnsi"/>
          <w:b/>
          <w:noProof/>
        </w:rPr>
        <w:t>27</w:t>
      </w:r>
      <w:r w:rsidRPr="00025DA0">
        <w:rPr>
          <w:rFonts w:cstheme="minorHAnsi"/>
          <w:noProof/>
        </w:rPr>
        <w:t>(3): 204-12.</w:t>
      </w:r>
      <w:bookmarkEnd w:id="24"/>
    </w:p>
    <w:p w14:paraId="5DC187C8" w14:textId="77777777" w:rsidR="00025DA0" w:rsidRPr="00025DA0" w:rsidRDefault="00025DA0" w:rsidP="00025DA0">
      <w:pPr>
        <w:rPr>
          <w:rFonts w:cstheme="minorHAnsi"/>
          <w:noProof/>
        </w:rPr>
      </w:pPr>
      <w:bookmarkStart w:id="25" w:name="_ENREF_23"/>
      <w:r w:rsidRPr="00025DA0">
        <w:rPr>
          <w:rFonts w:cstheme="minorHAnsi"/>
          <w:noProof/>
        </w:rPr>
        <w:t>23.</w:t>
      </w:r>
      <w:r w:rsidRPr="00025DA0">
        <w:rPr>
          <w:rFonts w:cstheme="minorHAnsi"/>
          <w:noProof/>
        </w:rPr>
        <w:tab/>
        <w:t xml:space="preserve">Spaan E, Mathijssen J, Tromp N, McBain F, Have At, Baltussen R. The impact of health insurance in Africa and Asia: a systematic review. </w:t>
      </w:r>
      <w:r w:rsidRPr="00025DA0">
        <w:rPr>
          <w:rFonts w:cstheme="minorHAnsi"/>
          <w:i/>
          <w:noProof/>
        </w:rPr>
        <w:t>Bulletin of the World Health Organization</w:t>
      </w:r>
      <w:r w:rsidRPr="00025DA0">
        <w:rPr>
          <w:rFonts w:cstheme="minorHAnsi"/>
          <w:noProof/>
        </w:rPr>
        <w:t xml:space="preserve"> 2012; </w:t>
      </w:r>
      <w:r w:rsidRPr="00025DA0">
        <w:rPr>
          <w:rFonts w:cstheme="minorHAnsi"/>
          <w:b/>
          <w:noProof/>
        </w:rPr>
        <w:t>90</w:t>
      </w:r>
      <w:r w:rsidRPr="00025DA0">
        <w:rPr>
          <w:rFonts w:cstheme="minorHAnsi"/>
          <w:noProof/>
        </w:rPr>
        <w:t>(9): 685-92.</w:t>
      </w:r>
      <w:bookmarkEnd w:id="25"/>
    </w:p>
    <w:p w14:paraId="18B71A50" w14:textId="77777777" w:rsidR="00025DA0" w:rsidRPr="00025DA0" w:rsidRDefault="00025DA0" w:rsidP="00025DA0">
      <w:pPr>
        <w:rPr>
          <w:rFonts w:cstheme="minorHAnsi"/>
          <w:noProof/>
        </w:rPr>
      </w:pPr>
      <w:bookmarkStart w:id="26" w:name="_ENREF_24"/>
      <w:r w:rsidRPr="00025DA0">
        <w:rPr>
          <w:rFonts w:cstheme="minorHAnsi"/>
          <w:noProof/>
        </w:rPr>
        <w:t>24.</w:t>
      </w:r>
      <w:r w:rsidRPr="00025DA0">
        <w:rPr>
          <w:rFonts w:cstheme="minorHAnsi"/>
          <w:noProof/>
        </w:rPr>
        <w:tab/>
        <w:t xml:space="preserve">Ekman B. Community-based health insurance in low-income countries: a systematic review of the evidence. </w:t>
      </w:r>
      <w:r w:rsidRPr="00025DA0">
        <w:rPr>
          <w:rFonts w:cstheme="minorHAnsi"/>
          <w:i/>
          <w:noProof/>
        </w:rPr>
        <w:t>Health Policy and Planning</w:t>
      </w:r>
      <w:r w:rsidRPr="00025DA0">
        <w:rPr>
          <w:rFonts w:cstheme="minorHAnsi"/>
          <w:noProof/>
        </w:rPr>
        <w:t xml:space="preserve"> 2004; </w:t>
      </w:r>
      <w:r w:rsidRPr="00025DA0">
        <w:rPr>
          <w:rFonts w:cstheme="minorHAnsi"/>
          <w:b/>
          <w:noProof/>
        </w:rPr>
        <w:t>19</w:t>
      </w:r>
      <w:r w:rsidRPr="00025DA0">
        <w:rPr>
          <w:rFonts w:cstheme="minorHAnsi"/>
          <w:noProof/>
        </w:rPr>
        <w:t>(5): 249-70.</w:t>
      </w:r>
      <w:bookmarkEnd w:id="26"/>
    </w:p>
    <w:p w14:paraId="1CB85112" w14:textId="77777777" w:rsidR="00025DA0" w:rsidRPr="00025DA0" w:rsidRDefault="00025DA0" w:rsidP="00025DA0">
      <w:pPr>
        <w:rPr>
          <w:rFonts w:cstheme="minorHAnsi"/>
          <w:noProof/>
        </w:rPr>
      </w:pPr>
      <w:bookmarkStart w:id="27" w:name="_ENREF_25"/>
      <w:r w:rsidRPr="00025DA0">
        <w:rPr>
          <w:rFonts w:cstheme="minorHAnsi"/>
          <w:noProof/>
        </w:rPr>
        <w:t>25.</w:t>
      </w:r>
      <w:r w:rsidRPr="00025DA0">
        <w:rPr>
          <w:rFonts w:cstheme="minorHAnsi"/>
          <w:noProof/>
        </w:rPr>
        <w:tab/>
        <w:t xml:space="preserve">Acharya A, Vellakkal S, Taylor F, et al. The Impact of Health Insurance Schemes for the Informal Sector in Low- and Middle-Income Countries: A Systematic Review. </w:t>
      </w:r>
      <w:r w:rsidRPr="00025DA0">
        <w:rPr>
          <w:rFonts w:cstheme="minorHAnsi"/>
          <w:i/>
          <w:noProof/>
        </w:rPr>
        <w:t>The World Bank Research Observer</w:t>
      </w:r>
      <w:r w:rsidRPr="00025DA0">
        <w:rPr>
          <w:rFonts w:cstheme="minorHAnsi"/>
          <w:noProof/>
        </w:rPr>
        <w:t xml:space="preserve"> 2012.</w:t>
      </w:r>
      <w:bookmarkEnd w:id="27"/>
    </w:p>
    <w:p w14:paraId="637E9A4A" w14:textId="77777777" w:rsidR="00025DA0" w:rsidRPr="00025DA0" w:rsidRDefault="00025DA0" w:rsidP="00025DA0">
      <w:pPr>
        <w:rPr>
          <w:rFonts w:cstheme="minorHAnsi"/>
          <w:noProof/>
        </w:rPr>
      </w:pPr>
      <w:bookmarkStart w:id="28" w:name="_ENREF_26"/>
      <w:r w:rsidRPr="00025DA0">
        <w:rPr>
          <w:rFonts w:cstheme="minorHAnsi"/>
          <w:noProof/>
        </w:rPr>
        <w:t>26.</w:t>
      </w:r>
      <w:r w:rsidRPr="00025DA0">
        <w:rPr>
          <w:rFonts w:cstheme="minorHAnsi"/>
          <w:noProof/>
        </w:rPr>
        <w:tab/>
        <w:t xml:space="preserve">Vilcu I, Mathauer I. State budget transfers to Health Insurance Funds for universal health coverage: institutional design patterns and challenges of covering those outside the formal sector in Eastern European high-income countries. </w:t>
      </w:r>
      <w:r w:rsidRPr="00025DA0">
        <w:rPr>
          <w:rFonts w:cstheme="minorHAnsi"/>
          <w:i/>
          <w:noProof/>
        </w:rPr>
        <w:t>International journal for equity in health</w:t>
      </w:r>
      <w:r w:rsidRPr="00025DA0">
        <w:rPr>
          <w:rFonts w:cstheme="minorHAnsi"/>
          <w:noProof/>
        </w:rPr>
        <w:t xml:space="preserve"> 2016; </w:t>
      </w:r>
      <w:r w:rsidRPr="00025DA0">
        <w:rPr>
          <w:rFonts w:cstheme="minorHAnsi"/>
          <w:b/>
          <w:noProof/>
        </w:rPr>
        <w:t>15</w:t>
      </w:r>
      <w:r w:rsidRPr="00025DA0">
        <w:rPr>
          <w:rFonts w:cstheme="minorHAnsi"/>
          <w:noProof/>
        </w:rPr>
        <w:t>(1): 1-19.</w:t>
      </w:r>
      <w:bookmarkEnd w:id="28"/>
    </w:p>
    <w:p w14:paraId="44A6AF88" w14:textId="77777777" w:rsidR="00025DA0" w:rsidRPr="00025DA0" w:rsidRDefault="00025DA0" w:rsidP="00025DA0">
      <w:pPr>
        <w:rPr>
          <w:rFonts w:cstheme="minorHAnsi"/>
          <w:noProof/>
        </w:rPr>
      </w:pPr>
      <w:bookmarkStart w:id="29" w:name="_ENREF_27"/>
      <w:r w:rsidRPr="00025DA0">
        <w:rPr>
          <w:rFonts w:cstheme="minorHAnsi"/>
          <w:noProof/>
        </w:rPr>
        <w:t>27.</w:t>
      </w:r>
      <w:r w:rsidRPr="00025DA0">
        <w:rPr>
          <w:rFonts w:cstheme="minorHAnsi"/>
          <w:noProof/>
        </w:rPr>
        <w:tab/>
        <w:t xml:space="preserve">Ferrario A, Chitan E, Seicas R, et al. Progress in increasing affordability of medicines for non-communicable diseases since the introduction of mandatory health insurance in the Republic of Moldova. </w:t>
      </w:r>
      <w:r w:rsidRPr="00025DA0">
        <w:rPr>
          <w:rFonts w:cstheme="minorHAnsi"/>
          <w:i/>
          <w:noProof/>
        </w:rPr>
        <w:t>Health Policy Plan</w:t>
      </w:r>
      <w:r w:rsidRPr="00025DA0">
        <w:rPr>
          <w:rFonts w:cstheme="minorHAnsi"/>
          <w:noProof/>
        </w:rPr>
        <w:t xml:space="preserve"> 2016.</w:t>
      </w:r>
      <w:bookmarkEnd w:id="29"/>
    </w:p>
    <w:p w14:paraId="693FB81D" w14:textId="77777777" w:rsidR="00025DA0" w:rsidRPr="00025DA0" w:rsidRDefault="00025DA0" w:rsidP="00025DA0">
      <w:pPr>
        <w:rPr>
          <w:rFonts w:cstheme="minorHAnsi"/>
          <w:noProof/>
        </w:rPr>
      </w:pPr>
      <w:bookmarkStart w:id="30" w:name="_ENREF_28"/>
      <w:r w:rsidRPr="00025DA0">
        <w:rPr>
          <w:rFonts w:cstheme="minorHAnsi"/>
          <w:noProof/>
        </w:rPr>
        <w:t>28.</w:t>
      </w:r>
      <w:r w:rsidRPr="00025DA0">
        <w:rPr>
          <w:rFonts w:cstheme="minorHAnsi"/>
          <w:noProof/>
        </w:rPr>
        <w:tab/>
        <w:t xml:space="preserve">Ferrario A, Sautenkova N, Bezverhni Z, et al. An in-depth analysis of pharmaceutical regulation in the Republic of Moldova. </w:t>
      </w:r>
      <w:r w:rsidRPr="00025DA0">
        <w:rPr>
          <w:rFonts w:cstheme="minorHAnsi"/>
          <w:i/>
          <w:noProof/>
        </w:rPr>
        <w:t>Journal of Pharmaceutical Policy and Practice</w:t>
      </w:r>
      <w:r w:rsidRPr="00025DA0">
        <w:rPr>
          <w:rFonts w:cstheme="minorHAnsi"/>
          <w:noProof/>
        </w:rPr>
        <w:t xml:space="preserve"> 2014; </w:t>
      </w:r>
      <w:r w:rsidRPr="00025DA0">
        <w:rPr>
          <w:rFonts w:cstheme="minorHAnsi"/>
          <w:b/>
          <w:noProof/>
        </w:rPr>
        <w:t>7</w:t>
      </w:r>
      <w:r w:rsidRPr="00025DA0">
        <w:rPr>
          <w:rFonts w:cstheme="minorHAnsi"/>
          <w:noProof/>
        </w:rPr>
        <w:t>(1): 4.</w:t>
      </w:r>
      <w:bookmarkEnd w:id="30"/>
    </w:p>
    <w:p w14:paraId="71094EB7" w14:textId="49A8BBF6" w:rsidR="00025DA0" w:rsidRDefault="00025DA0" w:rsidP="00025DA0">
      <w:pPr>
        <w:rPr>
          <w:rFonts w:cstheme="minorHAnsi"/>
          <w:noProof/>
        </w:rPr>
      </w:pPr>
    </w:p>
    <w:p w14:paraId="14BAD170" w14:textId="2A6EA053" w:rsidR="00DB4B3F" w:rsidRDefault="00821C61" w:rsidP="00282132">
      <w:r>
        <w:fldChar w:fldCharType="end"/>
      </w:r>
    </w:p>
    <w:sectPr w:rsidR="00DB4B3F" w:rsidSect="00237623">
      <w:footerReference w:type="default" r:id="rId14"/>
      <w:footnotePr>
        <w:numFmt w:val="lowerLetter"/>
      </w:foot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A87F9" w14:textId="77777777" w:rsidR="00330CD4" w:rsidRDefault="00330CD4" w:rsidP="002F6643">
      <w:r>
        <w:separator/>
      </w:r>
    </w:p>
  </w:endnote>
  <w:endnote w:type="continuationSeparator" w:id="0">
    <w:p w14:paraId="7191F5B4" w14:textId="77777777" w:rsidR="00330CD4" w:rsidRDefault="00330CD4" w:rsidP="002F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Ｐ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005578"/>
      <w:docPartObj>
        <w:docPartGallery w:val="Page Numbers (Bottom of Page)"/>
        <w:docPartUnique/>
      </w:docPartObj>
    </w:sdtPr>
    <w:sdtEndPr>
      <w:rPr>
        <w:noProof/>
      </w:rPr>
    </w:sdtEndPr>
    <w:sdtContent>
      <w:p w14:paraId="20A084F7" w14:textId="77777777" w:rsidR="00330CD4" w:rsidRDefault="00330CD4" w:rsidP="002F6643">
        <w:pPr>
          <w:pStyle w:val="Footer"/>
        </w:pPr>
        <w:r>
          <w:fldChar w:fldCharType="begin"/>
        </w:r>
        <w:r>
          <w:instrText xml:space="preserve"> PAGE   \* MERGEFORMAT </w:instrText>
        </w:r>
        <w:r>
          <w:fldChar w:fldCharType="separate"/>
        </w:r>
        <w:r w:rsidR="00025DA0">
          <w:rPr>
            <w:noProof/>
          </w:rPr>
          <w:t>1</w:t>
        </w:r>
        <w:r>
          <w:rPr>
            <w:noProof/>
          </w:rPr>
          <w:fldChar w:fldCharType="end"/>
        </w:r>
      </w:p>
    </w:sdtContent>
  </w:sdt>
  <w:p w14:paraId="4919B6D2" w14:textId="77777777" w:rsidR="00330CD4" w:rsidRDefault="00330CD4" w:rsidP="002F66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4BC33" w14:textId="77777777" w:rsidR="00330CD4" w:rsidRDefault="00330CD4" w:rsidP="002F6643">
      <w:r>
        <w:separator/>
      </w:r>
    </w:p>
  </w:footnote>
  <w:footnote w:type="continuationSeparator" w:id="0">
    <w:p w14:paraId="5A201A2C" w14:textId="77777777" w:rsidR="00330CD4" w:rsidRDefault="00330CD4" w:rsidP="002F664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7F5F"/>
    <w:multiLevelType w:val="hybridMultilevel"/>
    <w:tmpl w:val="18362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2E0E5792">
      <w:start w:val="17"/>
      <w:numFmt w:val="bullet"/>
      <w:lvlText w:val="-"/>
      <w:lvlJc w:val="left"/>
      <w:pPr>
        <w:ind w:left="1800" w:hanging="360"/>
      </w:pPr>
      <w:rPr>
        <w:rFonts w:ascii="Cambria" w:eastAsiaTheme="minorEastAsia" w:hAnsi="Cambria" w:cstheme="minorBid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4F318B"/>
    <w:multiLevelType w:val="hybridMultilevel"/>
    <w:tmpl w:val="A890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DC65C3"/>
    <w:multiLevelType w:val="hybridMultilevel"/>
    <w:tmpl w:val="4C78E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124A32"/>
    <w:multiLevelType w:val="hybridMultilevel"/>
    <w:tmpl w:val="2D9E8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5B356E"/>
    <w:multiLevelType w:val="hybridMultilevel"/>
    <w:tmpl w:val="F590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2F5D23"/>
    <w:multiLevelType w:val="hybridMultilevel"/>
    <w:tmpl w:val="A8CAED0C"/>
    <w:lvl w:ilvl="0" w:tplc="EE34BFB4">
      <w:start w:val="1"/>
      <w:numFmt w:val="bullet"/>
      <w:lvlText w:val=""/>
      <w:lvlJc w:val="left"/>
      <w:pPr>
        <w:ind w:left="94" w:hanging="94"/>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F34188"/>
    <w:multiLevelType w:val="hybridMultilevel"/>
    <w:tmpl w:val="607A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9F138B"/>
    <w:multiLevelType w:val="hybridMultilevel"/>
    <w:tmpl w:val="B98A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EC2313"/>
    <w:multiLevelType w:val="hybridMultilevel"/>
    <w:tmpl w:val="B0F6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DB7B84"/>
    <w:multiLevelType w:val="hybridMultilevel"/>
    <w:tmpl w:val="B086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B700D0"/>
    <w:multiLevelType w:val="hybridMultilevel"/>
    <w:tmpl w:val="CB60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A4625"/>
    <w:multiLevelType w:val="hybridMultilevel"/>
    <w:tmpl w:val="8DFE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6F4C7A"/>
    <w:multiLevelType w:val="hybridMultilevel"/>
    <w:tmpl w:val="D0B4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B25735"/>
    <w:multiLevelType w:val="hybridMultilevel"/>
    <w:tmpl w:val="A4B2F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FDA6A07"/>
    <w:multiLevelType w:val="hybridMultilevel"/>
    <w:tmpl w:val="C692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A12FDF"/>
    <w:multiLevelType w:val="hybridMultilevel"/>
    <w:tmpl w:val="9274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A51B5F"/>
    <w:multiLevelType w:val="hybridMultilevel"/>
    <w:tmpl w:val="60644E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5CE702D"/>
    <w:multiLevelType w:val="hybridMultilevel"/>
    <w:tmpl w:val="AEF6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F40B86"/>
    <w:multiLevelType w:val="hybridMultilevel"/>
    <w:tmpl w:val="98A2E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17A2E"/>
    <w:multiLevelType w:val="hybridMultilevel"/>
    <w:tmpl w:val="103404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86120DA"/>
    <w:multiLevelType w:val="hybridMultilevel"/>
    <w:tmpl w:val="F5848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9F243F7"/>
    <w:multiLevelType w:val="hybridMultilevel"/>
    <w:tmpl w:val="43EA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BC01E1"/>
    <w:multiLevelType w:val="hybridMultilevel"/>
    <w:tmpl w:val="4CB05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F381971"/>
    <w:multiLevelType w:val="hybridMultilevel"/>
    <w:tmpl w:val="6F5CA4E8"/>
    <w:lvl w:ilvl="0" w:tplc="C6ECCC44">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74D09"/>
    <w:multiLevelType w:val="hybridMultilevel"/>
    <w:tmpl w:val="38B4A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5917FD"/>
    <w:multiLevelType w:val="hybridMultilevel"/>
    <w:tmpl w:val="E2E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721126"/>
    <w:multiLevelType w:val="hybridMultilevel"/>
    <w:tmpl w:val="0180C2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B3B569E"/>
    <w:multiLevelType w:val="hybridMultilevel"/>
    <w:tmpl w:val="46549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DF16671"/>
    <w:multiLevelType w:val="hybridMultilevel"/>
    <w:tmpl w:val="B686D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4D3D2E"/>
    <w:multiLevelType w:val="hybridMultilevel"/>
    <w:tmpl w:val="850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E97FCF"/>
    <w:multiLevelType w:val="hybridMultilevel"/>
    <w:tmpl w:val="1FB2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8A7BFA"/>
    <w:multiLevelType w:val="hybridMultilevel"/>
    <w:tmpl w:val="C7D01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9351AA7"/>
    <w:multiLevelType w:val="hybridMultilevel"/>
    <w:tmpl w:val="3CB2F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F0630A"/>
    <w:multiLevelType w:val="hybridMultilevel"/>
    <w:tmpl w:val="65BE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D960BB5"/>
    <w:multiLevelType w:val="hybridMultilevel"/>
    <w:tmpl w:val="2BE8C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6D7BA2"/>
    <w:multiLevelType w:val="hybridMultilevel"/>
    <w:tmpl w:val="90A8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50076DE"/>
    <w:multiLevelType w:val="hybridMultilevel"/>
    <w:tmpl w:val="E57A3CB8"/>
    <w:lvl w:ilvl="0" w:tplc="08090001">
      <w:start w:val="1"/>
      <w:numFmt w:val="bullet"/>
      <w:lvlText w:val=""/>
      <w:lvlJc w:val="left"/>
      <w:pPr>
        <w:ind w:left="454" w:hanging="360"/>
      </w:pPr>
      <w:rPr>
        <w:rFonts w:ascii="Symbol" w:hAnsi="Symbol" w:hint="default"/>
      </w:rPr>
    </w:lvl>
    <w:lvl w:ilvl="1" w:tplc="08090003" w:tentative="1">
      <w:start w:val="1"/>
      <w:numFmt w:val="bullet"/>
      <w:lvlText w:val="o"/>
      <w:lvlJc w:val="left"/>
      <w:pPr>
        <w:ind w:left="1174" w:hanging="360"/>
      </w:pPr>
      <w:rPr>
        <w:rFonts w:ascii="Courier New" w:hAnsi="Courier New" w:cs="Courier New" w:hint="default"/>
      </w:rPr>
    </w:lvl>
    <w:lvl w:ilvl="2" w:tplc="08090005" w:tentative="1">
      <w:start w:val="1"/>
      <w:numFmt w:val="bullet"/>
      <w:lvlText w:val=""/>
      <w:lvlJc w:val="left"/>
      <w:pPr>
        <w:ind w:left="1894" w:hanging="360"/>
      </w:pPr>
      <w:rPr>
        <w:rFonts w:ascii="Wingdings" w:hAnsi="Wingdings" w:hint="default"/>
      </w:rPr>
    </w:lvl>
    <w:lvl w:ilvl="3" w:tplc="08090001" w:tentative="1">
      <w:start w:val="1"/>
      <w:numFmt w:val="bullet"/>
      <w:lvlText w:val=""/>
      <w:lvlJc w:val="left"/>
      <w:pPr>
        <w:ind w:left="2614" w:hanging="360"/>
      </w:pPr>
      <w:rPr>
        <w:rFonts w:ascii="Symbol" w:hAnsi="Symbol" w:hint="default"/>
      </w:rPr>
    </w:lvl>
    <w:lvl w:ilvl="4" w:tplc="08090003" w:tentative="1">
      <w:start w:val="1"/>
      <w:numFmt w:val="bullet"/>
      <w:lvlText w:val="o"/>
      <w:lvlJc w:val="left"/>
      <w:pPr>
        <w:ind w:left="3334" w:hanging="360"/>
      </w:pPr>
      <w:rPr>
        <w:rFonts w:ascii="Courier New" w:hAnsi="Courier New" w:cs="Courier New" w:hint="default"/>
      </w:rPr>
    </w:lvl>
    <w:lvl w:ilvl="5" w:tplc="08090005" w:tentative="1">
      <w:start w:val="1"/>
      <w:numFmt w:val="bullet"/>
      <w:lvlText w:val=""/>
      <w:lvlJc w:val="left"/>
      <w:pPr>
        <w:ind w:left="4054" w:hanging="360"/>
      </w:pPr>
      <w:rPr>
        <w:rFonts w:ascii="Wingdings" w:hAnsi="Wingdings" w:hint="default"/>
      </w:rPr>
    </w:lvl>
    <w:lvl w:ilvl="6" w:tplc="08090001" w:tentative="1">
      <w:start w:val="1"/>
      <w:numFmt w:val="bullet"/>
      <w:lvlText w:val=""/>
      <w:lvlJc w:val="left"/>
      <w:pPr>
        <w:ind w:left="4774" w:hanging="360"/>
      </w:pPr>
      <w:rPr>
        <w:rFonts w:ascii="Symbol" w:hAnsi="Symbol" w:hint="default"/>
      </w:rPr>
    </w:lvl>
    <w:lvl w:ilvl="7" w:tplc="08090003" w:tentative="1">
      <w:start w:val="1"/>
      <w:numFmt w:val="bullet"/>
      <w:lvlText w:val="o"/>
      <w:lvlJc w:val="left"/>
      <w:pPr>
        <w:ind w:left="5494" w:hanging="360"/>
      </w:pPr>
      <w:rPr>
        <w:rFonts w:ascii="Courier New" w:hAnsi="Courier New" w:cs="Courier New" w:hint="default"/>
      </w:rPr>
    </w:lvl>
    <w:lvl w:ilvl="8" w:tplc="08090005" w:tentative="1">
      <w:start w:val="1"/>
      <w:numFmt w:val="bullet"/>
      <w:lvlText w:val=""/>
      <w:lvlJc w:val="left"/>
      <w:pPr>
        <w:ind w:left="6214" w:hanging="360"/>
      </w:pPr>
      <w:rPr>
        <w:rFonts w:ascii="Wingdings" w:hAnsi="Wingdings" w:hint="default"/>
      </w:rPr>
    </w:lvl>
  </w:abstractNum>
  <w:abstractNum w:abstractNumId="37">
    <w:nsid w:val="66E64C86"/>
    <w:multiLevelType w:val="hybridMultilevel"/>
    <w:tmpl w:val="E074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D739C"/>
    <w:multiLevelType w:val="hybridMultilevel"/>
    <w:tmpl w:val="CCDC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A3151A"/>
    <w:multiLevelType w:val="hybridMultilevel"/>
    <w:tmpl w:val="88443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nsid w:val="6EAB5A96"/>
    <w:multiLevelType w:val="hybridMultilevel"/>
    <w:tmpl w:val="F9EC6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82500E2"/>
    <w:multiLevelType w:val="hybridMultilevel"/>
    <w:tmpl w:val="3D6C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D021F5"/>
    <w:multiLevelType w:val="hybridMultilevel"/>
    <w:tmpl w:val="DB5AC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8DF6145"/>
    <w:multiLevelType w:val="hybridMultilevel"/>
    <w:tmpl w:val="F472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AF01B4"/>
    <w:multiLevelType w:val="hybridMultilevel"/>
    <w:tmpl w:val="FAAE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9C0706"/>
    <w:multiLevelType w:val="hybridMultilevel"/>
    <w:tmpl w:val="4E72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3F06F7"/>
    <w:multiLevelType w:val="hybridMultilevel"/>
    <w:tmpl w:val="2CBCA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4"/>
  </w:num>
  <w:num w:numId="3">
    <w:abstractNumId w:val="37"/>
  </w:num>
  <w:num w:numId="4">
    <w:abstractNumId w:val="18"/>
  </w:num>
  <w:num w:numId="5">
    <w:abstractNumId w:val="9"/>
  </w:num>
  <w:num w:numId="6">
    <w:abstractNumId w:val="25"/>
  </w:num>
  <w:num w:numId="7">
    <w:abstractNumId w:val="15"/>
  </w:num>
  <w:num w:numId="8">
    <w:abstractNumId w:val="12"/>
  </w:num>
  <w:num w:numId="9">
    <w:abstractNumId w:val="17"/>
  </w:num>
  <w:num w:numId="10">
    <w:abstractNumId w:val="6"/>
  </w:num>
  <w:num w:numId="11">
    <w:abstractNumId w:val="8"/>
  </w:num>
  <w:num w:numId="12">
    <w:abstractNumId w:val="33"/>
  </w:num>
  <w:num w:numId="13">
    <w:abstractNumId w:val="4"/>
  </w:num>
  <w:num w:numId="14">
    <w:abstractNumId w:val="23"/>
  </w:num>
  <w:num w:numId="15">
    <w:abstractNumId w:val="21"/>
  </w:num>
  <w:num w:numId="16">
    <w:abstractNumId w:val="14"/>
  </w:num>
  <w:num w:numId="17">
    <w:abstractNumId w:val="0"/>
  </w:num>
  <w:num w:numId="18">
    <w:abstractNumId w:val="38"/>
  </w:num>
  <w:num w:numId="19">
    <w:abstractNumId w:val="34"/>
  </w:num>
  <w:num w:numId="20">
    <w:abstractNumId w:val="43"/>
  </w:num>
  <w:num w:numId="21">
    <w:abstractNumId w:val="10"/>
  </w:num>
  <w:num w:numId="22">
    <w:abstractNumId w:val="19"/>
  </w:num>
  <w:num w:numId="23">
    <w:abstractNumId w:val="39"/>
  </w:num>
  <w:num w:numId="24">
    <w:abstractNumId w:val="5"/>
  </w:num>
  <w:num w:numId="25">
    <w:abstractNumId w:val="45"/>
  </w:num>
  <w:num w:numId="26">
    <w:abstractNumId w:val="20"/>
  </w:num>
  <w:num w:numId="27">
    <w:abstractNumId w:val="31"/>
  </w:num>
  <w:num w:numId="28">
    <w:abstractNumId w:val="1"/>
  </w:num>
  <w:num w:numId="29">
    <w:abstractNumId w:val="36"/>
  </w:num>
  <w:num w:numId="30">
    <w:abstractNumId w:val="13"/>
  </w:num>
  <w:num w:numId="31">
    <w:abstractNumId w:val="35"/>
  </w:num>
  <w:num w:numId="32">
    <w:abstractNumId w:val="3"/>
  </w:num>
  <w:num w:numId="33">
    <w:abstractNumId w:val="42"/>
  </w:num>
  <w:num w:numId="34">
    <w:abstractNumId w:val="24"/>
  </w:num>
  <w:num w:numId="35">
    <w:abstractNumId w:val="32"/>
  </w:num>
  <w:num w:numId="36">
    <w:abstractNumId w:val="16"/>
  </w:num>
  <w:num w:numId="37">
    <w:abstractNumId w:val="28"/>
  </w:num>
  <w:num w:numId="38">
    <w:abstractNumId w:val="2"/>
  </w:num>
  <w:num w:numId="39">
    <w:abstractNumId w:val="22"/>
  </w:num>
  <w:num w:numId="40">
    <w:abstractNumId w:val="29"/>
  </w:num>
  <w:num w:numId="41">
    <w:abstractNumId w:val="41"/>
  </w:num>
  <w:num w:numId="42">
    <w:abstractNumId w:val="11"/>
  </w:num>
  <w:num w:numId="43">
    <w:abstractNumId w:val="46"/>
  </w:num>
  <w:num w:numId="44">
    <w:abstractNumId w:val="30"/>
  </w:num>
  <w:num w:numId="45">
    <w:abstractNumId w:val="27"/>
  </w:num>
  <w:num w:numId="46">
    <w:abstractNumId w:val="2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doNotDisplayPageBoundaries/>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fate9rf5sat09edfarpdvt4xt0w0a2zp9fe&quot;&gt;Thomas Hone Endnote Library&lt;record-ids&gt;&lt;item&gt;13&lt;/item&gt;&lt;item&gt;25&lt;/item&gt;&lt;item&gt;26&lt;/item&gt;&lt;item&gt;27&lt;/item&gt;&lt;item&gt;70&lt;/item&gt;&lt;item&gt;88&lt;/item&gt;&lt;item&gt;94&lt;/item&gt;&lt;item&gt;95&lt;/item&gt;&lt;item&gt;96&lt;/item&gt;&lt;item&gt;97&lt;/item&gt;&lt;item&gt;98&lt;/item&gt;&lt;item&gt;100&lt;/item&gt;&lt;item&gt;102&lt;/item&gt;&lt;item&gt;106&lt;/item&gt;&lt;item&gt;107&lt;/item&gt;&lt;item&gt;108&lt;/item&gt;&lt;item&gt;109&lt;/item&gt;&lt;item&gt;126&lt;/item&gt;&lt;item&gt;182&lt;/item&gt;&lt;item&gt;210&lt;/item&gt;&lt;item&gt;246&lt;/item&gt;&lt;item&gt;247&lt;/item&gt;&lt;item&gt;248&lt;/item&gt;&lt;item&gt;249&lt;/item&gt;&lt;item&gt;250&lt;/item&gt;&lt;item&gt;432&lt;/item&gt;&lt;item&gt;450&lt;/item&gt;&lt;item&gt;451&lt;/item&gt;&lt;/record-ids&gt;&lt;/item&gt;&lt;/Libraries&gt;"/>
  </w:docVars>
  <w:rsids>
    <w:rsidRoot w:val="00237623"/>
    <w:rsid w:val="000011B7"/>
    <w:rsid w:val="000026AA"/>
    <w:rsid w:val="00006C66"/>
    <w:rsid w:val="00017595"/>
    <w:rsid w:val="000204E2"/>
    <w:rsid w:val="00020CDA"/>
    <w:rsid w:val="00022277"/>
    <w:rsid w:val="00025DA0"/>
    <w:rsid w:val="000337C4"/>
    <w:rsid w:val="00034DE8"/>
    <w:rsid w:val="000379D2"/>
    <w:rsid w:val="00041901"/>
    <w:rsid w:val="0004225C"/>
    <w:rsid w:val="00042802"/>
    <w:rsid w:val="00042D5B"/>
    <w:rsid w:val="0004342E"/>
    <w:rsid w:val="000447D1"/>
    <w:rsid w:val="000448A1"/>
    <w:rsid w:val="000462C2"/>
    <w:rsid w:val="0004649A"/>
    <w:rsid w:val="00046798"/>
    <w:rsid w:val="00047EC1"/>
    <w:rsid w:val="00051F45"/>
    <w:rsid w:val="00052012"/>
    <w:rsid w:val="0005264D"/>
    <w:rsid w:val="00055266"/>
    <w:rsid w:val="00056604"/>
    <w:rsid w:val="00056652"/>
    <w:rsid w:val="00057268"/>
    <w:rsid w:val="0006407E"/>
    <w:rsid w:val="000647E9"/>
    <w:rsid w:val="000659BD"/>
    <w:rsid w:val="00065B66"/>
    <w:rsid w:val="00066095"/>
    <w:rsid w:val="00071AA7"/>
    <w:rsid w:val="0007354D"/>
    <w:rsid w:val="0007492E"/>
    <w:rsid w:val="000753CE"/>
    <w:rsid w:val="00076D28"/>
    <w:rsid w:val="00077D50"/>
    <w:rsid w:val="00080771"/>
    <w:rsid w:val="00081616"/>
    <w:rsid w:val="00082341"/>
    <w:rsid w:val="00083FEC"/>
    <w:rsid w:val="000845E3"/>
    <w:rsid w:val="00085909"/>
    <w:rsid w:val="00086B7A"/>
    <w:rsid w:val="0008717A"/>
    <w:rsid w:val="00087E0E"/>
    <w:rsid w:val="000904C5"/>
    <w:rsid w:val="00093060"/>
    <w:rsid w:val="00093618"/>
    <w:rsid w:val="00093FE9"/>
    <w:rsid w:val="0009479B"/>
    <w:rsid w:val="0009506E"/>
    <w:rsid w:val="00096822"/>
    <w:rsid w:val="00097527"/>
    <w:rsid w:val="000975EF"/>
    <w:rsid w:val="000A12D7"/>
    <w:rsid w:val="000A3B7F"/>
    <w:rsid w:val="000A4DB9"/>
    <w:rsid w:val="000A6601"/>
    <w:rsid w:val="000A713A"/>
    <w:rsid w:val="000A771B"/>
    <w:rsid w:val="000B2CB7"/>
    <w:rsid w:val="000B3AAD"/>
    <w:rsid w:val="000B694B"/>
    <w:rsid w:val="000B7E17"/>
    <w:rsid w:val="000C0A25"/>
    <w:rsid w:val="000C1563"/>
    <w:rsid w:val="000C17BD"/>
    <w:rsid w:val="000C2522"/>
    <w:rsid w:val="000C3053"/>
    <w:rsid w:val="000C38DE"/>
    <w:rsid w:val="000C41DE"/>
    <w:rsid w:val="000C53F9"/>
    <w:rsid w:val="000C741B"/>
    <w:rsid w:val="000D2BC6"/>
    <w:rsid w:val="000D7F6D"/>
    <w:rsid w:val="000E1328"/>
    <w:rsid w:val="000E217F"/>
    <w:rsid w:val="000F3618"/>
    <w:rsid w:val="000F41E8"/>
    <w:rsid w:val="000F649D"/>
    <w:rsid w:val="000F6E28"/>
    <w:rsid w:val="00104852"/>
    <w:rsid w:val="001108A1"/>
    <w:rsid w:val="00112F97"/>
    <w:rsid w:val="00114D14"/>
    <w:rsid w:val="00125117"/>
    <w:rsid w:val="00127A4D"/>
    <w:rsid w:val="001330F5"/>
    <w:rsid w:val="00133B36"/>
    <w:rsid w:val="001378B4"/>
    <w:rsid w:val="0014058F"/>
    <w:rsid w:val="00142411"/>
    <w:rsid w:val="0014412B"/>
    <w:rsid w:val="0015009A"/>
    <w:rsid w:val="00154005"/>
    <w:rsid w:val="0015489C"/>
    <w:rsid w:val="00155EFD"/>
    <w:rsid w:val="001575C9"/>
    <w:rsid w:val="00162C31"/>
    <w:rsid w:val="00162D6A"/>
    <w:rsid w:val="001659F5"/>
    <w:rsid w:val="001669E1"/>
    <w:rsid w:val="00170717"/>
    <w:rsid w:val="00173A5F"/>
    <w:rsid w:val="001753C9"/>
    <w:rsid w:val="001806BD"/>
    <w:rsid w:val="00181370"/>
    <w:rsid w:val="00181C20"/>
    <w:rsid w:val="00182254"/>
    <w:rsid w:val="00183928"/>
    <w:rsid w:val="00183BAA"/>
    <w:rsid w:val="00191124"/>
    <w:rsid w:val="0019237E"/>
    <w:rsid w:val="0019254C"/>
    <w:rsid w:val="00192A7B"/>
    <w:rsid w:val="00194C3A"/>
    <w:rsid w:val="001958FE"/>
    <w:rsid w:val="001967DB"/>
    <w:rsid w:val="001A2237"/>
    <w:rsid w:val="001A2FE1"/>
    <w:rsid w:val="001A58B4"/>
    <w:rsid w:val="001A6221"/>
    <w:rsid w:val="001A7CE2"/>
    <w:rsid w:val="001B14CE"/>
    <w:rsid w:val="001B1BED"/>
    <w:rsid w:val="001B5F87"/>
    <w:rsid w:val="001C058A"/>
    <w:rsid w:val="001C08FA"/>
    <w:rsid w:val="001C0E89"/>
    <w:rsid w:val="001C27A2"/>
    <w:rsid w:val="001C52C8"/>
    <w:rsid w:val="001D0C92"/>
    <w:rsid w:val="001D3844"/>
    <w:rsid w:val="001D441D"/>
    <w:rsid w:val="001D53CE"/>
    <w:rsid w:val="001D57FD"/>
    <w:rsid w:val="001D74F4"/>
    <w:rsid w:val="001E199F"/>
    <w:rsid w:val="001E2FE3"/>
    <w:rsid w:val="001F166E"/>
    <w:rsid w:val="001F216D"/>
    <w:rsid w:val="001F297B"/>
    <w:rsid w:val="001F31F9"/>
    <w:rsid w:val="001F6F34"/>
    <w:rsid w:val="002010F9"/>
    <w:rsid w:val="0020159B"/>
    <w:rsid w:val="00203ACE"/>
    <w:rsid w:val="002064D1"/>
    <w:rsid w:val="00212BEB"/>
    <w:rsid w:val="00212D6E"/>
    <w:rsid w:val="00216996"/>
    <w:rsid w:val="00217DD7"/>
    <w:rsid w:val="002213F7"/>
    <w:rsid w:val="00225C78"/>
    <w:rsid w:val="0023019D"/>
    <w:rsid w:val="002312EC"/>
    <w:rsid w:val="00231BBE"/>
    <w:rsid w:val="00232076"/>
    <w:rsid w:val="00236B7D"/>
    <w:rsid w:val="00237623"/>
    <w:rsid w:val="00237E55"/>
    <w:rsid w:val="00241577"/>
    <w:rsid w:val="00242ACC"/>
    <w:rsid w:val="00244263"/>
    <w:rsid w:val="00245BE1"/>
    <w:rsid w:val="002505A4"/>
    <w:rsid w:val="00253DD5"/>
    <w:rsid w:val="00255352"/>
    <w:rsid w:val="0025620A"/>
    <w:rsid w:val="002624CE"/>
    <w:rsid w:val="00262DC6"/>
    <w:rsid w:val="00262E98"/>
    <w:rsid w:val="002647A8"/>
    <w:rsid w:val="00265DB1"/>
    <w:rsid w:val="00265EFB"/>
    <w:rsid w:val="0026632E"/>
    <w:rsid w:val="00272AAF"/>
    <w:rsid w:val="00272B1A"/>
    <w:rsid w:val="00273B2A"/>
    <w:rsid w:val="00275981"/>
    <w:rsid w:val="002815B2"/>
    <w:rsid w:val="00281AE6"/>
    <w:rsid w:val="00282132"/>
    <w:rsid w:val="00284D30"/>
    <w:rsid w:val="0028588D"/>
    <w:rsid w:val="0028701A"/>
    <w:rsid w:val="00287EFA"/>
    <w:rsid w:val="00290983"/>
    <w:rsid w:val="00291FB7"/>
    <w:rsid w:val="0029496F"/>
    <w:rsid w:val="002952B0"/>
    <w:rsid w:val="00295CE7"/>
    <w:rsid w:val="002969B7"/>
    <w:rsid w:val="00297005"/>
    <w:rsid w:val="00297B0E"/>
    <w:rsid w:val="00297B35"/>
    <w:rsid w:val="002A0721"/>
    <w:rsid w:val="002A26DA"/>
    <w:rsid w:val="002A2DBA"/>
    <w:rsid w:val="002A36F6"/>
    <w:rsid w:val="002A5574"/>
    <w:rsid w:val="002A5880"/>
    <w:rsid w:val="002B33D9"/>
    <w:rsid w:val="002C249F"/>
    <w:rsid w:val="002C2B35"/>
    <w:rsid w:val="002C38E3"/>
    <w:rsid w:val="002D1F4B"/>
    <w:rsid w:val="002D2F6A"/>
    <w:rsid w:val="002D4C63"/>
    <w:rsid w:val="002D6B48"/>
    <w:rsid w:val="002D785F"/>
    <w:rsid w:val="002E0972"/>
    <w:rsid w:val="002E1C51"/>
    <w:rsid w:val="002E3FCD"/>
    <w:rsid w:val="002E4F6D"/>
    <w:rsid w:val="002E54BF"/>
    <w:rsid w:val="002F05D7"/>
    <w:rsid w:val="002F1304"/>
    <w:rsid w:val="002F3506"/>
    <w:rsid w:val="002F4545"/>
    <w:rsid w:val="002F6643"/>
    <w:rsid w:val="00300F98"/>
    <w:rsid w:val="00302015"/>
    <w:rsid w:val="00304AAB"/>
    <w:rsid w:val="003058B9"/>
    <w:rsid w:val="00307358"/>
    <w:rsid w:val="00307FEE"/>
    <w:rsid w:val="003139BA"/>
    <w:rsid w:val="00313C14"/>
    <w:rsid w:val="00314926"/>
    <w:rsid w:val="00321D69"/>
    <w:rsid w:val="0032360B"/>
    <w:rsid w:val="00324E45"/>
    <w:rsid w:val="00324F47"/>
    <w:rsid w:val="003262C1"/>
    <w:rsid w:val="00330CD4"/>
    <w:rsid w:val="003322FC"/>
    <w:rsid w:val="003326C9"/>
    <w:rsid w:val="00333413"/>
    <w:rsid w:val="00335C19"/>
    <w:rsid w:val="00335DCA"/>
    <w:rsid w:val="00336954"/>
    <w:rsid w:val="00337B1C"/>
    <w:rsid w:val="003407BD"/>
    <w:rsid w:val="003411C3"/>
    <w:rsid w:val="003446D4"/>
    <w:rsid w:val="00352A59"/>
    <w:rsid w:val="00352BCE"/>
    <w:rsid w:val="0035614C"/>
    <w:rsid w:val="00356456"/>
    <w:rsid w:val="00357F75"/>
    <w:rsid w:val="00362E42"/>
    <w:rsid w:val="00364E73"/>
    <w:rsid w:val="00365A2E"/>
    <w:rsid w:val="00366EDE"/>
    <w:rsid w:val="0037008E"/>
    <w:rsid w:val="003715ED"/>
    <w:rsid w:val="003745BE"/>
    <w:rsid w:val="003749CE"/>
    <w:rsid w:val="00376C44"/>
    <w:rsid w:val="00377243"/>
    <w:rsid w:val="00381BE8"/>
    <w:rsid w:val="00381E2D"/>
    <w:rsid w:val="00382752"/>
    <w:rsid w:val="0038393E"/>
    <w:rsid w:val="00383E5A"/>
    <w:rsid w:val="003845BD"/>
    <w:rsid w:val="003849ED"/>
    <w:rsid w:val="00387FA8"/>
    <w:rsid w:val="00395546"/>
    <w:rsid w:val="00395756"/>
    <w:rsid w:val="003A0DE6"/>
    <w:rsid w:val="003A1056"/>
    <w:rsid w:val="003A3784"/>
    <w:rsid w:val="003A4410"/>
    <w:rsid w:val="003A521E"/>
    <w:rsid w:val="003A53FA"/>
    <w:rsid w:val="003B0037"/>
    <w:rsid w:val="003B0E50"/>
    <w:rsid w:val="003B1C23"/>
    <w:rsid w:val="003B1E16"/>
    <w:rsid w:val="003B4C4E"/>
    <w:rsid w:val="003B70A8"/>
    <w:rsid w:val="003C5C73"/>
    <w:rsid w:val="003C6EF6"/>
    <w:rsid w:val="003D16AD"/>
    <w:rsid w:val="003D5EA1"/>
    <w:rsid w:val="003D67B4"/>
    <w:rsid w:val="003D6EC6"/>
    <w:rsid w:val="003D76A1"/>
    <w:rsid w:val="003E0145"/>
    <w:rsid w:val="003E3069"/>
    <w:rsid w:val="003E6B53"/>
    <w:rsid w:val="003F3476"/>
    <w:rsid w:val="003F48CE"/>
    <w:rsid w:val="003F5C58"/>
    <w:rsid w:val="003F6881"/>
    <w:rsid w:val="00404F52"/>
    <w:rsid w:val="00405736"/>
    <w:rsid w:val="00406646"/>
    <w:rsid w:val="00407A74"/>
    <w:rsid w:val="004117AB"/>
    <w:rsid w:val="00411C23"/>
    <w:rsid w:val="00413258"/>
    <w:rsid w:val="00416079"/>
    <w:rsid w:val="00417993"/>
    <w:rsid w:val="00420050"/>
    <w:rsid w:val="00421008"/>
    <w:rsid w:val="00422130"/>
    <w:rsid w:val="00423023"/>
    <w:rsid w:val="00424A50"/>
    <w:rsid w:val="00427693"/>
    <w:rsid w:val="00432285"/>
    <w:rsid w:val="00433A45"/>
    <w:rsid w:val="0043457C"/>
    <w:rsid w:val="00435457"/>
    <w:rsid w:val="004365C3"/>
    <w:rsid w:val="00440219"/>
    <w:rsid w:val="00440A4B"/>
    <w:rsid w:val="00440B5D"/>
    <w:rsid w:val="0044371D"/>
    <w:rsid w:val="00443836"/>
    <w:rsid w:val="00444D05"/>
    <w:rsid w:val="00445345"/>
    <w:rsid w:val="00446007"/>
    <w:rsid w:val="00450D11"/>
    <w:rsid w:val="004510EC"/>
    <w:rsid w:val="0045581A"/>
    <w:rsid w:val="00460C75"/>
    <w:rsid w:val="0046244E"/>
    <w:rsid w:val="0046273F"/>
    <w:rsid w:val="00464187"/>
    <w:rsid w:val="00464B58"/>
    <w:rsid w:val="00465703"/>
    <w:rsid w:val="004701E4"/>
    <w:rsid w:val="00470403"/>
    <w:rsid w:val="0047152D"/>
    <w:rsid w:val="00471554"/>
    <w:rsid w:val="004730F5"/>
    <w:rsid w:val="004758FB"/>
    <w:rsid w:val="004759CE"/>
    <w:rsid w:val="0048192E"/>
    <w:rsid w:val="00481FBE"/>
    <w:rsid w:val="00483454"/>
    <w:rsid w:val="00483E9F"/>
    <w:rsid w:val="00484433"/>
    <w:rsid w:val="00487F55"/>
    <w:rsid w:val="00492209"/>
    <w:rsid w:val="00493C83"/>
    <w:rsid w:val="004940FF"/>
    <w:rsid w:val="004A3181"/>
    <w:rsid w:val="004A4193"/>
    <w:rsid w:val="004A6AE5"/>
    <w:rsid w:val="004A79A8"/>
    <w:rsid w:val="004B26D0"/>
    <w:rsid w:val="004B793A"/>
    <w:rsid w:val="004C0096"/>
    <w:rsid w:val="004C0669"/>
    <w:rsid w:val="004C0F70"/>
    <w:rsid w:val="004C3628"/>
    <w:rsid w:val="004C3723"/>
    <w:rsid w:val="004C3944"/>
    <w:rsid w:val="004C6F84"/>
    <w:rsid w:val="004D7BB4"/>
    <w:rsid w:val="004E0459"/>
    <w:rsid w:val="004E277E"/>
    <w:rsid w:val="004E5EAC"/>
    <w:rsid w:val="004E7A9F"/>
    <w:rsid w:val="004F1AED"/>
    <w:rsid w:val="004F6A2E"/>
    <w:rsid w:val="005043DE"/>
    <w:rsid w:val="00505DFA"/>
    <w:rsid w:val="00505DFF"/>
    <w:rsid w:val="00507F42"/>
    <w:rsid w:val="00510739"/>
    <w:rsid w:val="005117DF"/>
    <w:rsid w:val="0051251E"/>
    <w:rsid w:val="00515A19"/>
    <w:rsid w:val="005165A4"/>
    <w:rsid w:val="005209DC"/>
    <w:rsid w:val="00520DE9"/>
    <w:rsid w:val="0052243D"/>
    <w:rsid w:val="00522D89"/>
    <w:rsid w:val="0052355C"/>
    <w:rsid w:val="0052462E"/>
    <w:rsid w:val="00525069"/>
    <w:rsid w:val="00525DD9"/>
    <w:rsid w:val="00531847"/>
    <w:rsid w:val="00536B95"/>
    <w:rsid w:val="0054409F"/>
    <w:rsid w:val="005530F2"/>
    <w:rsid w:val="0055310F"/>
    <w:rsid w:val="005545AB"/>
    <w:rsid w:val="00555699"/>
    <w:rsid w:val="0055591A"/>
    <w:rsid w:val="005600DE"/>
    <w:rsid w:val="00561DB3"/>
    <w:rsid w:val="00563B51"/>
    <w:rsid w:val="00565AC0"/>
    <w:rsid w:val="0056616B"/>
    <w:rsid w:val="005673B6"/>
    <w:rsid w:val="00567B10"/>
    <w:rsid w:val="00571802"/>
    <w:rsid w:val="00571CDA"/>
    <w:rsid w:val="00573E21"/>
    <w:rsid w:val="0057608D"/>
    <w:rsid w:val="0057749B"/>
    <w:rsid w:val="005803AB"/>
    <w:rsid w:val="00581E66"/>
    <w:rsid w:val="00583730"/>
    <w:rsid w:val="005840C7"/>
    <w:rsid w:val="005869EE"/>
    <w:rsid w:val="00586CF7"/>
    <w:rsid w:val="005918E9"/>
    <w:rsid w:val="005931FD"/>
    <w:rsid w:val="00594327"/>
    <w:rsid w:val="00595349"/>
    <w:rsid w:val="0059555B"/>
    <w:rsid w:val="00595FBA"/>
    <w:rsid w:val="005A1070"/>
    <w:rsid w:val="005A2D35"/>
    <w:rsid w:val="005A2EE2"/>
    <w:rsid w:val="005A4133"/>
    <w:rsid w:val="005A4F85"/>
    <w:rsid w:val="005A6F7F"/>
    <w:rsid w:val="005A74CC"/>
    <w:rsid w:val="005A7562"/>
    <w:rsid w:val="005B0B25"/>
    <w:rsid w:val="005B2521"/>
    <w:rsid w:val="005B5C41"/>
    <w:rsid w:val="005B6297"/>
    <w:rsid w:val="005B66A6"/>
    <w:rsid w:val="005B7A43"/>
    <w:rsid w:val="005B7F80"/>
    <w:rsid w:val="005C186F"/>
    <w:rsid w:val="005C32D5"/>
    <w:rsid w:val="005C3644"/>
    <w:rsid w:val="005C434C"/>
    <w:rsid w:val="005C45EB"/>
    <w:rsid w:val="005D12E2"/>
    <w:rsid w:val="005D6038"/>
    <w:rsid w:val="005D728B"/>
    <w:rsid w:val="005D73BB"/>
    <w:rsid w:val="005E0080"/>
    <w:rsid w:val="005E0345"/>
    <w:rsid w:val="005E4F39"/>
    <w:rsid w:val="005E5176"/>
    <w:rsid w:val="005E6644"/>
    <w:rsid w:val="005E7211"/>
    <w:rsid w:val="005F66BD"/>
    <w:rsid w:val="005F6FDF"/>
    <w:rsid w:val="005F7705"/>
    <w:rsid w:val="00601241"/>
    <w:rsid w:val="006024DF"/>
    <w:rsid w:val="00602F6A"/>
    <w:rsid w:val="00604812"/>
    <w:rsid w:val="00606708"/>
    <w:rsid w:val="00606AB9"/>
    <w:rsid w:val="00612E6C"/>
    <w:rsid w:val="006145E9"/>
    <w:rsid w:val="00617F81"/>
    <w:rsid w:val="00624EBC"/>
    <w:rsid w:val="00626AE8"/>
    <w:rsid w:val="00630204"/>
    <w:rsid w:val="00632059"/>
    <w:rsid w:val="00632654"/>
    <w:rsid w:val="00636D1B"/>
    <w:rsid w:val="00637A87"/>
    <w:rsid w:val="006401CC"/>
    <w:rsid w:val="00640ABD"/>
    <w:rsid w:val="00646F56"/>
    <w:rsid w:val="00651753"/>
    <w:rsid w:val="006529FB"/>
    <w:rsid w:val="00655DAA"/>
    <w:rsid w:val="00656243"/>
    <w:rsid w:val="00660833"/>
    <w:rsid w:val="00662FD9"/>
    <w:rsid w:val="00663180"/>
    <w:rsid w:val="00665A45"/>
    <w:rsid w:val="00666BC6"/>
    <w:rsid w:val="006741D7"/>
    <w:rsid w:val="006800BA"/>
    <w:rsid w:val="0068225F"/>
    <w:rsid w:val="006832E7"/>
    <w:rsid w:val="00683E02"/>
    <w:rsid w:val="0068406F"/>
    <w:rsid w:val="0068468E"/>
    <w:rsid w:val="00687DCD"/>
    <w:rsid w:val="006914A4"/>
    <w:rsid w:val="006919A6"/>
    <w:rsid w:val="00691C83"/>
    <w:rsid w:val="00694A9A"/>
    <w:rsid w:val="006A0F4D"/>
    <w:rsid w:val="006A13F9"/>
    <w:rsid w:val="006A1E3F"/>
    <w:rsid w:val="006A342A"/>
    <w:rsid w:val="006A6A62"/>
    <w:rsid w:val="006A7DE5"/>
    <w:rsid w:val="006B2B70"/>
    <w:rsid w:val="006B6232"/>
    <w:rsid w:val="006B7E60"/>
    <w:rsid w:val="006C277D"/>
    <w:rsid w:val="006C27B7"/>
    <w:rsid w:val="006C4079"/>
    <w:rsid w:val="006C43EF"/>
    <w:rsid w:val="006C4C70"/>
    <w:rsid w:val="006C4F26"/>
    <w:rsid w:val="006C6B3B"/>
    <w:rsid w:val="006D494B"/>
    <w:rsid w:val="006D73D7"/>
    <w:rsid w:val="006E0522"/>
    <w:rsid w:val="006E08FD"/>
    <w:rsid w:val="006E2E95"/>
    <w:rsid w:val="006E5F44"/>
    <w:rsid w:val="006E60DC"/>
    <w:rsid w:val="006F073B"/>
    <w:rsid w:val="006F08BE"/>
    <w:rsid w:val="006F1148"/>
    <w:rsid w:val="006F2997"/>
    <w:rsid w:val="006F7985"/>
    <w:rsid w:val="0070023E"/>
    <w:rsid w:val="00705BF2"/>
    <w:rsid w:val="00707F85"/>
    <w:rsid w:val="007104E5"/>
    <w:rsid w:val="00710B3D"/>
    <w:rsid w:val="0071105A"/>
    <w:rsid w:val="007117E1"/>
    <w:rsid w:val="00711861"/>
    <w:rsid w:val="00711A0D"/>
    <w:rsid w:val="0071375F"/>
    <w:rsid w:val="00721D68"/>
    <w:rsid w:val="00723834"/>
    <w:rsid w:val="00724F12"/>
    <w:rsid w:val="007309DE"/>
    <w:rsid w:val="00731F1B"/>
    <w:rsid w:val="007326E2"/>
    <w:rsid w:val="007341D8"/>
    <w:rsid w:val="007362BA"/>
    <w:rsid w:val="00736B73"/>
    <w:rsid w:val="00736D53"/>
    <w:rsid w:val="0073733C"/>
    <w:rsid w:val="00740AEB"/>
    <w:rsid w:val="00743764"/>
    <w:rsid w:val="00743C28"/>
    <w:rsid w:val="00744D21"/>
    <w:rsid w:val="00746CC9"/>
    <w:rsid w:val="0075035F"/>
    <w:rsid w:val="007510B8"/>
    <w:rsid w:val="007530FE"/>
    <w:rsid w:val="00754306"/>
    <w:rsid w:val="007566CB"/>
    <w:rsid w:val="007654C7"/>
    <w:rsid w:val="00765E5E"/>
    <w:rsid w:val="00766556"/>
    <w:rsid w:val="007665F7"/>
    <w:rsid w:val="007666F7"/>
    <w:rsid w:val="00770870"/>
    <w:rsid w:val="00772755"/>
    <w:rsid w:val="007734F1"/>
    <w:rsid w:val="0077695E"/>
    <w:rsid w:val="007778C7"/>
    <w:rsid w:val="0078251C"/>
    <w:rsid w:val="00782A12"/>
    <w:rsid w:val="00782B8A"/>
    <w:rsid w:val="00782C0E"/>
    <w:rsid w:val="007905D6"/>
    <w:rsid w:val="007915D5"/>
    <w:rsid w:val="00793089"/>
    <w:rsid w:val="00793B27"/>
    <w:rsid w:val="0079403A"/>
    <w:rsid w:val="00794EF5"/>
    <w:rsid w:val="007A05AD"/>
    <w:rsid w:val="007A073A"/>
    <w:rsid w:val="007A0D2C"/>
    <w:rsid w:val="007A16A5"/>
    <w:rsid w:val="007A1842"/>
    <w:rsid w:val="007A40DD"/>
    <w:rsid w:val="007A6A06"/>
    <w:rsid w:val="007A6BD3"/>
    <w:rsid w:val="007A715A"/>
    <w:rsid w:val="007B3B5E"/>
    <w:rsid w:val="007B3E08"/>
    <w:rsid w:val="007B4FBB"/>
    <w:rsid w:val="007B670E"/>
    <w:rsid w:val="007C21A6"/>
    <w:rsid w:val="007C4AC5"/>
    <w:rsid w:val="007C756D"/>
    <w:rsid w:val="007D1548"/>
    <w:rsid w:val="007D1BE2"/>
    <w:rsid w:val="007D1EA1"/>
    <w:rsid w:val="007D4570"/>
    <w:rsid w:val="007D52B8"/>
    <w:rsid w:val="007D5D9B"/>
    <w:rsid w:val="007D62EE"/>
    <w:rsid w:val="007E60E1"/>
    <w:rsid w:val="007E6DC5"/>
    <w:rsid w:val="007F0D0C"/>
    <w:rsid w:val="007F236E"/>
    <w:rsid w:val="007F2E71"/>
    <w:rsid w:val="007F3003"/>
    <w:rsid w:val="007F409E"/>
    <w:rsid w:val="007F7C79"/>
    <w:rsid w:val="00802725"/>
    <w:rsid w:val="0080340B"/>
    <w:rsid w:val="00804283"/>
    <w:rsid w:val="008053B0"/>
    <w:rsid w:val="00805A5B"/>
    <w:rsid w:val="0080724F"/>
    <w:rsid w:val="008126A5"/>
    <w:rsid w:val="00812BF0"/>
    <w:rsid w:val="00815998"/>
    <w:rsid w:val="00821C61"/>
    <w:rsid w:val="00822FE8"/>
    <w:rsid w:val="0082371A"/>
    <w:rsid w:val="00823F1D"/>
    <w:rsid w:val="008253DE"/>
    <w:rsid w:val="00826FE4"/>
    <w:rsid w:val="008275BB"/>
    <w:rsid w:val="008303B2"/>
    <w:rsid w:val="00834F95"/>
    <w:rsid w:val="00835C7D"/>
    <w:rsid w:val="0083614A"/>
    <w:rsid w:val="00836BF8"/>
    <w:rsid w:val="00840D58"/>
    <w:rsid w:val="00841428"/>
    <w:rsid w:val="00842EF0"/>
    <w:rsid w:val="008430C2"/>
    <w:rsid w:val="008440CE"/>
    <w:rsid w:val="00845788"/>
    <w:rsid w:val="00845F5A"/>
    <w:rsid w:val="00851A19"/>
    <w:rsid w:val="00851C7B"/>
    <w:rsid w:val="008529C4"/>
    <w:rsid w:val="00855D29"/>
    <w:rsid w:val="00862035"/>
    <w:rsid w:val="008631A9"/>
    <w:rsid w:val="008635F3"/>
    <w:rsid w:val="008720A4"/>
    <w:rsid w:val="00873852"/>
    <w:rsid w:val="00875F17"/>
    <w:rsid w:val="0087699E"/>
    <w:rsid w:val="008814DA"/>
    <w:rsid w:val="00881FA8"/>
    <w:rsid w:val="0088384B"/>
    <w:rsid w:val="00883D6F"/>
    <w:rsid w:val="00885031"/>
    <w:rsid w:val="00885A89"/>
    <w:rsid w:val="00885E48"/>
    <w:rsid w:val="00886D2B"/>
    <w:rsid w:val="00886EC3"/>
    <w:rsid w:val="00890032"/>
    <w:rsid w:val="00896246"/>
    <w:rsid w:val="008968B9"/>
    <w:rsid w:val="008A01E1"/>
    <w:rsid w:val="008A176B"/>
    <w:rsid w:val="008A23EB"/>
    <w:rsid w:val="008A57D5"/>
    <w:rsid w:val="008B3032"/>
    <w:rsid w:val="008B479C"/>
    <w:rsid w:val="008B4AD1"/>
    <w:rsid w:val="008B6872"/>
    <w:rsid w:val="008B719B"/>
    <w:rsid w:val="008C0695"/>
    <w:rsid w:val="008C1DED"/>
    <w:rsid w:val="008C51E0"/>
    <w:rsid w:val="008C5C6B"/>
    <w:rsid w:val="008C63E9"/>
    <w:rsid w:val="008C6B15"/>
    <w:rsid w:val="008D33D2"/>
    <w:rsid w:val="008D4024"/>
    <w:rsid w:val="008D4665"/>
    <w:rsid w:val="008D7379"/>
    <w:rsid w:val="008E090E"/>
    <w:rsid w:val="008E0A7E"/>
    <w:rsid w:val="008E656F"/>
    <w:rsid w:val="008F3A8A"/>
    <w:rsid w:val="008F3C86"/>
    <w:rsid w:val="008F4D6D"/>
    <w:rsid w:val="009019E9"/>
    <w:rsid w:val="00901A17"/>
    <w:rsid w:val="009026C5"/>
    <w:rsid w:val="009028B1"/>
    <w:rsid w:val="009042FD"/>
    <w:rsid w:val="00911AC2"/>
    <w:rsid w:val="00913DDB"/>
    <w:rsid w:val="00914867"/>
    <w:rsid w:val="009151B4"/>
    <w:rsid w:val="009208D3"/>
    <w:rsid w:val="00920CA1"/>
    <w:rsid w:val="009239C2"/>
    <w:rsid w:val="009328DF"/>
    <w:rsid w:val="009332C9"/>
    <w:rsid w:val="009355B6"/>
    <w:rsid w:val="009368A5"/>
    <w:rsid w:val="0094145B"/>
    <w:rsid w:val="009415B2"/>
    <w:rsid w:val="00941D0E"/>
    <w:rsid w:val="00943253"/>
    <w:rsid w:val="00943834"/>
    <w:rsid w:val="00944CC0"/>
    <w:rsid w:val="00950D21"/>
    <w:rsid w:val="009513BE"/>
    <w:rsid w:val="00953BB6"/>
    <w:rsid w:val="00954256"/>
    <w:rsid w:val="00956817"/>
    <w:rsid w:val="00957FC1"/>
    <w:rsid w:val="00970565"/>
    <w:rsid w:val="00973577"/>
    <w:rsid w:val="0097582F"/>
    <w:rsid w:val="0097722E"/>
    <w:rsid w:val="00985FCA"/>
    <w:rsid w:val="0098789F"/>
    <w:rsid w:val="00987E3D"/>
    <w:rsid w:val="00992438"/>
    <w:rsid w:val="00994675"/>
    <w:rsid w:val="0099635C"/>
    <w:rsid w:val="0099678C"/>
    <w:rsid w:val="00996CFB"/>
    <w:rsid w:val="009A324D"/>
    <w:rsid w:val="009A39EF"/>
    <w:rsid w:val="009A4298"/>
    <w:rsid w:val="009A54BC"/>
    <w:rsid w:val="009B183E"/>
    <w:rsid w:val="009B2645"/>
    <w:rsid w:val="009B43B4"/>
    <w:rsid w:val="009B4897"/>
    <w:rsid w:val="009C2BBA"/>
    <w:rsid w:val="009C3AC0"/>
    <w:rsid w:val="009C5859"/>
    <w:rsid w:val="009D0BDE"/>
    <w:rsid w:val="009D1844"/>
    <w:rsid w:val="009D46AA"/>
    <w:rsid w:val="009D53BB"/>
    <w:rsid w:val="009D5FE1"/>
    <w:rsid w:val="009D64ED"/>
    <w:rsid w:val="009E400B"/>
    <w:rsid w:val="009E58D3"/>
    <w:rsid w:val="009E63AC"/>
    <w:rsid w:val="009F34BE"/>
    <w:rsid w:val="009F5494"/>
    <w:rsid w:val="009F7692"/>
    <w:rsid w:val="00A043DA"/>
    <w:rsid w:val="00A0657F"/>
    <w:rsid w:val="00A107B0"/>
    <w:rsid w:val="00A10B2E"/>
    <w:rsid w:val="00A11DF1"/>
    <w:rsid w:val="00A15656"/>
    <w:rsid w:val="00A15DD1"/>
    <w:rsid w:val="00A2259F"/>
    <w:rsid w:val="00A26698"/>
    <w:rsid w:val="00A27F99"/>
    <w:rsid w:val="00A30130"/>
    <w:rsid w:val="00A33AEE"/>
    <w:rsid w:val="00A45C98"/>
    <w:rsid w:val="00A5248F"/>
    <w:rsid w:val="00A52FA6"/>
    <w:rsid w:val="00A53357"/>
    <w:rsid w:val="00A53816"/>
    <w:rsid w:val="00A5563E"/>
    <w:rsid w:val="00A55B9F"/>
    <w:rsid w:val="00A565EE"/>
    <w:rsid w:val="00A632D1"/>
    <w:rsid w:val="00A64770"/>
    <w:rsid w:val="00A64F35"/>
    <w:rsid w:val="00A65D36"/>
    <w:rsid w:val="00A66E1A"/>
    <w:rsid w:val="00A71F13"/>
    <w:rsid w:val="00A755B0"/>
    <w:rsid w:val="00A81E69"/>
    <w:rsid w:val="00A83060"/>
    <w:rsid w:val="00A901C4"/>
    <w:rsid w:val="00A95309"/>
    <w:rsid w:val="00A95374"/>
    <w:rsid w:val="00A968BD"/>
    <w:rsid w:val="00A96B6D"/>
    <w:rsid w:val="00AA40E8"/>
    <w:rsid w:val="00AA5433"/>
    <w:rsid w:val="00AA7A4D"/>
    <w:rsid w:val="00AB177D"/>
    <w:rsid w:val="00AB465D"/>
    <w:rsid w:val="00AB4AEE"/>
    <w:rsid w:val="00AB7AC5"/>
    <w:rsid w:val="00AC0676"/>
    <w:rsid w:val="00AC18CD"/>
    <w:rsid w:val="00AC3AC4"/>
    <w:rsid w:val="00AC4696"/>
    <w:rsid w:val="00AC490B"/>
    <w:rsid w:val="00AD0FE2"/>
    <w:rsid w:val="00AD324B"/>
    <w:rsid w:val="00AD4E98"/>
    <w:rsid w:val="00AD5A37"/>
    <w:rsid w:val="00AD5C7A"/>
    <w:rsid w:val="00AE022C"/>
    <w:rsid w:val="00AE4B2F"/>
    <w:rsid w:val="00AE7D62"/>
    <w:rsid w:val="00AF0160"/>
    <w:rsid w:val="00AF0460"/>
    <w:rsid w:val="00AF50B9"/>
    <w:rsid w:val="00AF5F4A"/>
    <w:rsid w:val="00AF792D"/>
    <w:rsid w:val="00B00A9E"/>
    <w:rsid w:val="00B01748"/>
    <w:rsid w:val="00B04629"/>
    <w:rsid w:val="00B05BAF"/>
    <w:rsid w:val="00B07C39"/>
    <w:rsid w:val="00B11CA8"/>
    <w:rsid w:val="00B12333"/>
    <w:rsid w:val="00B12BA2"/>
    <w:rsid w:val="00B152B8"/>
    <w:rsid w:val="00B22937"/>
    <w:rsid w:val="00B22E15"/>
    <w:rsid w:val="00B236E1"/>
    <w:rsid w:val="00B24653"/>
    <w:rsid w:val="00B314AA"/>
    <w:rsid w:val="00B34F6A"/>
    <w:rsid w:val="00B3624A"/>
    <w:rsid w:val="00B36750"/>
    <w:rsid w:val="00B40CC0"/>
    <w:rsid w:val="00B424E1"/>
    <w:rsid w:val="00B4451B"/>
    <w:rsid w:val="00B447E0"/>
    <w:rsid w:val="00B450AC"/>
    <w:rsid w:val="00B463B1"/>
    <w:rsid w:val="00B50271"/>
    <w:rsid w:val="00B51517"/>
    <w:rsid w:val="00B5151E"/>
    <w:rsid w:val="00B537AB"/>
    <w:rsid w:val="00B5515B"/>
    <w:rsid w:val="00B5626F"/>
    <w:rsid w:val="00B5682C"/>
    <w:rsid w:val="00B56C6D"/>
    <w:rsid w:val="00B61CB6"/>
    <w:rsid w:val="00B6363C"/>
    <w:rsid w:val="00B6456E"/>
    <w:rsid w:val="00B6566C"/>
    <w:rsid w:val="00B6682D"/>
    <w:rsid w:val="00B67A1A"/>
    <w:rsid w:val="00B70776"/>
    <w:rsid w:val="00B724D2"/>
    <w:rsid w:val="00B7390C"/>
    <w:rsid w:val="00B81482"/>
    <w:rsid w:val="00B82E6F"/>
    <w:rsid w:val="00B8413A"/>
    <w:rsid w:val="00B84AA3"/>
    <w:rsid w:val="00B874FF"/>
    <w:rsid w:val="00B907DC"/>
    <w:rsid w:val="00B91FDD"/>
    <w:rsid w:val="00B92324"/>
    <w:rsid w:val="00B9397D"/>
    <w:rsid w:val="00BA23F6"/>
    <w:rsid w:val="00BA458A"/>
    <w:rsid w:val="00BB11F8"/>
    <w:rsid w:val="00BB17C1"/>
    <w:rsid w:val="00BB1EA6"/>
    <w:rsid w:val="00BB43AF"/>
    <w:rsid w:val="00BC2E7A"/>
    <w:rsid w:val="00BC39D5"/>
    <w:rsid w:val="00BC6EE1"/>
    <w:rsid w:val="00BD1731"/>
    <w:rsid w:val="00BD19B0"/>
    <w:rsid w:val="00BD40B4"/>
    <w:rsid w:val="00BD4D1B"/>
    <w:rsid w:val="00BE02EB"/>
    <w:rsid w:val="00BE13B8"/>
    <w:rsid w:val="00BE1CAA"/>
    <w:rsid w:val="00BE59B9"/>
    <w:rsid w:val="00BF093D"/>
    <w:rsid w:val="00BF4DA5"/>
    <w:rsid w:val="00BF6DC4"/>
    <w:rsid w:val="00BF7677"/>
    <w:rsid w:val="00C00F71"/>
    <w:rsid w:val="00C01027"/>
    <w:rsid w:val="00C07078"/>
    <w:rsid w:val="00C112F3"/>
    <w:rsid w:val="00C11342"/>
    <w:rsid w:val="00C14E4C"/>
    <w:rsid w:val="00C169B9"/>
    <w:rsid w:val="00C173FF"/>
    <w:rsid w:val="00C17616"/>
    <w:rsid w:val="00C21DBC"/>
    <w:rsid w:val="00C2382C"/>
    <w:rsid w:val="00C239E6"/>
    <w:rsid w:val="00C23A65"/>
    <w:rsid w:val="00C25180"/>
    <w:rsid w:val="00C274A1"/>
    <w:rsid w:val="00C3022F"/>
    <w:rsid w:val="00C3364A"/>
    <w:rsid w:val="00C36451"/>
    <w:rsid w:val="00C36DF6"/>
    <w:rsid w:val="00C40993"/>
    <w:rsid w:val="00C476AC"/>
    <w:rsid w:val="00C51E04"/>
    <w:rsid w:val="00C5332A"/>
    <w:rsid w:val="00C54F37"/>
    <w:rsid w:val="00C550C5"/>
    <w:rsid w:val="00C553AD"/>
    <w:rsid w:val="00C670F8"/>
    <w:rsid w:val="00C70927"/>
    <w:rsid w:val="00C71B65"/>
    <w:rsid w:val="00C74A24"/>
    <w:rsid w:val="00C75686"/>
    <w:rsid w:val="00C75A51"/>
    <w:rsid w:val="00C7703B"/>
    <w:rsid w:val="00C77C2A"/>
    <w:rsid w:val="00C81883"/>
    <w:rsid w:val="00C83F21"/>
    <w:rsid w:val="00C85F5D"/>
    <w:rsid w:val="00C85FFD"/>
    <w:rsid w:val="00C93D07"/>
    <w:rsid w:val="00CA1841"/>
    <w:rsid w:val="00CA1C5E"/>
    <w:rsid w:val="00CA37AD"/>
    <w:rsid w:val="00CA7444"/>
    <w:rsid w:val="00CB0190"/>
    <w:rsid w:val="00CB1416"/>
    <w:rsid w:val="00CB5DFD"/>
    <w:rsid w:val="00CC1331"/>
    <w:rsid w:val="00CC382E"/>
    <w:rsid w:val="00CC4020"/>
    <w:rsid w:val="00CC410E"/>
    <w:rsid w:val="00CC7317"/>
    <w:rsid w:val="00CC7EE0"/>
    <w:rsid w:val="00CD1246"/>
    <w:rsid w:val="00CD147A"/>
    <w:rsid w:val="00CD33F3"/>
    <w:rsid w:val="00CD3751"/>
    <w:rsid w:val="00CD5DCB"/>
    <w:rsid w:val="00CD753B"/>
    <w:rsid w:val="00CD7FD8"/>
    <w:rsid w:val="00CE0DB8"/>
    <w:rsid w:val="00CE33FC"/>
    <w:rsid w:val="00CE3C86"/>
    <w:rsid w:val="00CE4E7C"/>
    <w:rsid w:val="00CE69EA"/>
    <w:rsid w:val="00CF012A"/>
    <w:rsid w:val="00CF19FD"/>
    <w:rsid w:val="00CF2489"/>
    <w:rsid w:val="00CF3440"/>
    <w:rsid w:val="00CF4CE5"/>
    <w:rsid w:val="00CF5323"/>
    <w:rsid w:val="00CF588E"/>
    <w:rsid w:val="00D00606"/>
    <w:rsid w:val="00D00888"/>
    <w:rsid w:val="00D00CC5"/>
    <w:rsid w:val="00D0385C"/>
    <w:rsid w:val="00D063D1"/>
    <w:rsid w:val="00D075CE"/>
    <w:rsid w:val="00D10643"/>
    <w:rsid w:val="00D119B0"/>
    <w:rsid w:val="00D13AF9"/>
    <w:rsid w:val="00D13D74"/>
    <w:rsid w:val="00D14E68"/>
    <w:rsid w:val="00D14E74"/>
    <w:rsid w:val="00D156F2"/>
    <w:rsid w:val="00D163A6"/>
    <w:rsid w:val="00D16D37"/>
    <w:rsid w:val="00D2153D"/>
    <w:rsid w:val="00D223AD"/>
    <w:rsid w:val="00D22CCD"/>
    <w:rsid w:val="00D25AC4"/>
    <w:rsid w:val="00D26388"/>
    <w:rsid w:val="00D30FE2"/>
    <w:rsid w:val="00D3232A"/>
    <w:rsid w:val="00D34CEA"/>
    <w:rsid w:val="00D358A7"/>
    <w:rsid w:val="00D3740C"/>
    <w:rsid w:val="00D40DD2"/>
    <w:rsid w:val="00D4523F"/>
    <w:rsid w:val="00D503B1"/>
    <w:rsid w:val="00D52576"/>
    <w:rsid w:val="00D52D5A"/>
    <w:rsid w:val="00D55E50"/>
    <w:rsid w:val="00D55FE3"/>
    <w:rsid w:val="00D5612E"/>
    <w:rsid w:val="00D614DB"/>
    <w:rsid w:val="00D62D52"/>
    <w:rsid w:val="00D63E8E"/>
    <w:rsid w:val="00D648A1"/>
    <w:rsid w:val="00D650DD"/>
    <w:rsid w:val="00D6645D"/>
    <w:rsid w:val="00D713B9"/>
    <w:rsid w:val="00D744D4"/>
    <w:rsid w:val="00D81135"/>
    <w:rsid w:val="00D81AE6"/>
    <w:rsid w:val="00D82399"/>
    <w:rsid w:val="00D82CBC"/>
    <w:rsid w:val="00D83179"/>
    <w:rsid w:val="00D87A0A"/>
    <w:rsid w:val="00D917ED"/>
    <w:rsid w:val="00D91E1A"/>
    <w:rsid w:val="00DA07A9"/>
    <w:rsid w:val="00DA24DF"/>
    <w:rsid w:val="00DA2501"/>
    <w:rsid w:val="00DA2758"/>
    <w:rsid w:val="00DA3C5E"/>
    <w:rsid w:val="00DA3E29"/>
    <w:rsid w:val="00DA57B1"/>
    <w:rsid w:val="00DA6184"/>
    <w:rsid w:val="00DA66A1"/>
    <w:rsid w:val="00DA7519"/>
    <w:rsid w:val="00DA77E6"/>
    <w:rsid w:val="00DB2EC6"/>
    <w:rsid w:val="00DB3F42"/>
    <w:rsid w:val="00DB472E"/>
    <w:rsid w:val="00DB4B3F"/>
    <w:rsid w:val="00DC02F0"/>
    <w:rsid w:val="00DC0439"/>
    <w:rsid w:val="00DC09F4"/>
    <w:rsid w:val="00DC0CBB"/>
    <w:rsid w:val="00DC10BB"/>
    <w:rsid w:val="00DC28D2"/>
    <w:rsid w:val="00DC5DDD"/>
    <w:rsid w:val="00DD13F6"/>
    <w:rsid w:val="00DD1BCD"/>
    <w:rsid w:val="00DD404F"/>
    <w:rsid w:val="00DD44BB"/>
    <w:rsid w:val="00DD573B"/>
    <w:rsid w:val="00DD6B17"/>
    <w:rsid w:val="00DE379E"/>
    <w:rsid w:val="00DE46AF"/>
    <w:rsid w:val="00DE49B8"/>
    <w:rsid w:val="00DE5597"/>
    <w:rsid w:val="00DF19FA"/>
    <w:rsid w:val="00DF2560"/>
    <w:rsid w:val="00DF269C"/>
    <w:rsid w:val="00DF44F4"/>
    <w:rsid w:val="00E01D1A"/>
    <w:rsid w:val="00E027FC"/>
    <w:rsid w:val="00E03C42"/>
    <w:rsid w:val="00E04B76"/>
    <w:rsid w:val="00E13A9A"/>
    <w:rsid w:val="00E15FB8"/>
    <w:rsid w:val="00E17131"/>
    <w:rsid w:val="00E17EAD"/>
    <w:rsid w:val="00E21556"/>
    <w:rsid w:val="00E22F7C"/>
    <w:rsid w:val="00E27D79"/>
    <w:rsid w:val="00E31256"/>
    <w:rsid w:val="00E326BF"/>
    <w:rsid w:val="00E343F8"/>
    <w:rsid w:val="00E34781"/>
    <w:rsid w:val="00E36728"/>
    <w:rsid w:val="00E41994"/>
    <w:rsid w:val="00E429FF"/>
    <w:rsid w:val="00E43389"/>
    <w:rsid w:val="00E44DC8"/>
    <w:rsid w:val="00E46CC8"/>
    <w:rsid w:val="00E470A0"/>
    <w:rsid w:val="00E501D2"/>
    <w:rsid w:val="00E505F3"/>
    <w:rsid w:val="00E5276A"/>
    <w:rsid w:val="00E52AB5"/>
    <w:rsid w:val="00E541BA"/>
    <w:rsid w:val="00E54262"/>
    <w:rsid w:val="00E5584A"/>
    <w:rsid w:val="00E55C88"/>
    <w:rsid w:val="00E56F3C"/>
    <w:rsid w:val="00E572D4"/>
    <w:rsid w:val="00E62721"/>
    <w:rsid w:val="00E62881"/>
    <w:rsid w:val="00E63F2C"/>
    <w:rsid w:val="00E663EA"/>
    <w:rsid w:val="00E750D9"/>
    <w:rsid w:val="00E76B12"/>
    <w:rsid w:val="00E77583"/>
    <w:rsid w:val="00E80E44"/>
    <w:rsid w:val="00E83044"/>
    <w:rsid w:val="00E83078"/>
    <w:rsid w:val="00E87725"/>
    <w:rsid w:val="00E928FA"/>
    <w:rsid w:val="00E92E56"/>
    <w:rsid w:val="00E942B8"/>
    <w:rsid w:val="00E97A3D"/>
    <w:rsid w:val="00EA29AE"/>
    <w:rsid w:val="00EB32AD"/>
    <w:rsid w:val="00EC00F8"/>
    <w:rsid w:val="00EC232E"/>
    <w:rsid w:val="00EC3DF1"/>
    <w:rsid w:val="00EC5BB5"/>
    <w:rsid w:val="00EC653E"/>
    <w:rsid w:val="00ED09E7"/>
    <w:rsid w:val="00ED20E4"/>
    <w:rsid w:val="00ED3DCE"/>
    <w:rsid w:val="00ED5DF8"/>
    <w:rsid w:val="00ED6CAD"/>
    <w:rsid w:val="00EE1271"/>
    <w:rsid w:val="00EE1A0E"/>
    <w:rsid w:val="00EE347D"/>
    <w:rsid w:val="00EE5F27"/>
    <w:rsid w:val="00EF554F"/>
    <w:rsid w:val="00EF5EA1"/>
    <w:rsid w:val="00EF6F69"/>
    <w:rsid w:val="00F01116"/>
    <w:rsid w:val="00F03985"/>
    <w:rsid w:val="00F05C84"/>
    <w:rsid w:val="00F05D02"/>
    <w:rsid w:val="00F06522"/>
    <w:rsid w:val="00F06D18"/>
    <w:rsid w:val="00F15430"/>
    <w:rsid w:val="00F204F2"/>
    <w:rsid w:val="00F237F2"/>
    <w:rsid w:val="00F3034F"/>
    <w:rsid w:val="00F306D4"/>
    <w:rsid w:val="00F31A51"/>
    <w:rsid w:val="00F345CC"/>
    <w:rsid w:val="00F40E4F"/>
    <w:rsid w:val="00F427A0"/>
    <w:rsid w:val="00F42FD3"/>
    <w:rsid w:val="00F45638"/>
    <w:rsid w:val="00F45679"/>
    <w:rsid w:val="00F460CB"/>
    <w:rsid w:val="00F47321"/>
    <w:rsid w:val="00F53528"/>
    <w:rsid w:val="00F55127"/>
    <w:rsid w:val="00F56241"/>
    <w:rsid w:val="00F57FA2"/>
    <w:rsid w:val="00F60786"/>
    <w:rsid w:val="00F62341"/>
    <w:rsid w:val="00F66454"/>
    <w:rsid w:val="00F7000F"/>
    <w:rsid w:val="00F75E21"/>
    <w:rsid w:val="00F77A1D"/>
    <w:rsid w:val="00F80C81"/>
    <w:rsid w:val="00F84642"/>
    <w:rsid w:val="00F84B58"/>
    <w:rsid w:val="00F85817"/>
    <w:rsid w:val="00F85CA5"/>
    <w:rsid w:val="00F86A43"/>
    <w:rsid w:val="00F9171C"/>
    <w:rsid w:val="00F92BBE"/>
    <w:rsid w:val="00F92DBE"/>
    <w:rsid w:val="00F93E90"/>
    <w:rsid w:val="00F94914"/>
    <w:rsid w:val="00F96B88"/>
    <w:rsid w:val="00F973A4"/>
    <w:rsid w:val="00FA0685"/>
    <w:rsid w:val="00FA12E0"/>
    <w:rsid w:val="00FA229B"/>
    <w:rsid w:val="00FA3888"/>
    <w:rsid w:val="00FA4AAB"/>
    <w:rsid w:val="00FA6E37"/>
    <w:rsid w:val="00FB0429"/>
    <w:rsid w:val="00FB0E77"/>
    <w:rsid w:val="00FB34B0"/>
    <w:rsid w:val="00FB4AAE"/>
    <w:rsid w:val="00FB6AE1"/>
    <w:rsid w:val="00FB7F9F"/>
    <w:rsid w:val="00FC29F8"/>
    <w:rsid w:val="00FC2E2D"/>
    <w:rsid w:val="00FC2F13"/>
    <w:rsid w:val="00FC2F33"/>
    <w:rsid w:val="00FC31E4"/>
    <w:rsid w:val="00FC42AB"/>
    <w:rsid w:val="00FC49D9"/>
    <w:rsid w:val="00FC55AA"/>
    <w:rsid w:val="00FC7B92"/>
    <w:rsid w:val="00FD3EA4"/>
    <w:rsid w:val="00FD7F28"/>
    <w:rsid w:val="00FE0535"/>
    <w:rsid w:val="00FE2C20"/>
    <w:rsid w:val="00FE2E82"/>
    <w:rsid w:val="00FE5DF4"/>
    <w:rsid w:val="00FE681A"/>
    <w:rsid w:val="00FF1583"/>
    <w:rsid w:val="00FF21DA"/>
    <w:rsid w:val="00FF265A"/>
    <w:rsid w:val="00FF2880"/>
    <w:rsid w:val="00FF5A99"/>
    <w:rsid w:val="00FF6C1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EAD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43"/>
    <w:pPr>
      <w:jc w:val="both"/>
    </w:pPr>
    <w:rPr>
      <w:rFonts w:ascii="Calibri" w:hAnsi="Calibri"/>
      <w:sz w:val="24"/>
      <w:szCs w:val="24"/>
      <w:lang w:val="en-GB"/>
    </w:rPr>
  </w:style>
  <w:style w:type="paragraph" w:styleId="Heading1">
    <w:name w:val="heading 1"/>
    <w:basedOn w:val="Normal"/>
    <w:next w:val="Normal"/>
    <w:link w:val="Heading1Char"/>
    <w:uiPriority w:val="9"/>
    <w:qFormat/>
    <w:rsid w:val="00F9171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9171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9171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F9171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F9171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F9171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F9171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F9171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F9171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71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9171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F917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F9171C"/>
    <w:rPr>
      <w:rFonts w:cstheme="majorBidi"/>
      <w:b/>
      <w:bCs/>
      <w:sz w:val="28"/>
      <w:szCs w:val="28"/>
    </w:rPr>
  </w:style>
  <w:style w:type="character" w:customStyle="1" w:styleId="Heading5Char">
    <w:name w:val="Heading 5 Char"/>
    <w:basedOn w:val="DefaultParagraphFont"/>
    <w:link w:val="Heading5"/>
    <w:uiPriority w:val="9"/>
    <w:rsid w:val="00F9171C"/>
    <w:rPr>
      <w:rFonts w:cstheme="majorBidi"/>
      <w:b/>
      <w:bCs/>
      <w:i/>
      <w:iCs/>
      <w:sz w:val="26"/>
      <w:szCs w:val="26"/>
    </w:rPr>
  </w:style>
  <w:style w:type="character" w:customStyle="1" w:styleId="Heading6Char">
    <w:name w:val="Heading 6 Char"/>
    <w:basedOn w:val="DefaultParagraphFont"/>
    <w:link w:val="Heading6"/>
    <w:uiPriority w:val="9"/>
    <w:semiHidden/>
    <w:rsid w:val="00F9171C"/>
    <w:rPr>
      <w:rFonts w:cstheme="majorBidi"/>
      <w:b/>
      <w:bCs/>
    </w:rPr>
  </w:style>
  <w:style w:type="character" w:customStyle="1" w:styleId="Heading7Char">
    <w:name w:val="Heading 7 Char"/>
    <w:basedOn w:val="DefaultParagraphFont"/>
    <w:link w:val="Heading7"/>
    <w:uiPriority w:val="9"/>
    <w:semiHidden/>
    <w:rsid w:val="00F9171C"/>
    <w:rPr>
      <w:rFonts w:cstheme="majorBidi"/>
      <w:sz w:val="24"/>
      <w:szCs w:val="24"/>
    </w:rPr>
  </w:style>
  <w:style w:type="character" w:customStyle="1" w:styleId="Heading8Char">
    <w:name w:val="Heading 8 Char"/>
    <w:basedOn w:val="DefaultParagraphFont"/>
    <w:link w:val="Heading8"/>
    <w:uiPriority w:val="9"/>
    <w:semiHidden/>
    <w:rsid w:val="00F9171C"/>
    <w:rPr>
      <w:rFonts w:cstheme="majorBidi"/>
      <w:i/>
      <w:iCs/>
      <w:sz w:val="24"/>
      <w:szCs w:val="24"/>
    </w:rPr>
  </w:style>
  <w:style w:type="character" w:customStyle="1" w:styleId="Heading9Char">
    <w:name w:val="Heading 9 Char"/>
    <w:basedOn w:val="DefaultParagraphFont"/>
    <w:link w:val="Heading9"/>
    <w:uiPriority w:val="9"/>
    <w:semiHidden/>
    <w:rsid w:val="00F9171C"/>
    <w:rPr>
      <w:rFonts w:asciiTheme="majorHAnsi" w:eastAsiaTheme="majorEastAsia" w:hAnsiTheme="majorHAnsi" w:cstheme="majorBidi"/>
    </w:rPr>
  </w:style>
  <w:style w:type="paragraph" w:styleId="Caption">
    <w:name w:val="caption"/>
    <w:basedOn w:val="Normal"/>
    <w:next w:val="Normal"/>
    <w:uiPriority w:val="35"/>
    <w:unhideWhenUsed/>
    <w:rsid w:val="00D5612E"/>
    <w:rPr>
      <w:b/>
      <w:bCs/>
      <w:color w:val="4F81BD" w:themeColor="accent1"/>
      <w:sz w:val="18"/>
      <w:szCs w:val="18"/>
    </w:rPr>
  </w:style>
  <w:style w:type="paragraph" w:styleId="Title">
    <w:name w:val="Title"/>
    <w:basedOn w:val="Normal"/>
    <w:next w:val="Normal"/>
    <w:link w:val="TitleChar"/>
    <w:uiPriority w:val="10"/>
    <w:qFormat/>
    <w:rsid w:val="00F9171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9171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9171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9171C"/>
    <w:rPr>
      <w:rFonts w:asciiTheme="majorHAnsi" w:eastAsiaTheme="majorEastAsia" w:hAnsiTheme="majorHAnsi" w:cstheme="majorBidi"/>
      <w:sz w:val="24"/>
      <w:szCs w:val="24"/>
    </w:rPr>
  </w:style>
  <w:style w:type="character" w:styleId="Strong">
    <w:name w:val="Strong"/>
    <w:basedOn w:val="DefaultParagraphFont"/>
    <w:uiPriority w:val="22"/>
    <w:qFormat/>
    <w:rsid w:val="00F9171C"/>
    <w:rPr>
      <w:b/>
      <w:bCs/>
    </w:rPr>
  </w:style>
  <w:style w:type="character" w:styleId="Emphasis">
    <w:name w:val="Emphasis"/>
    <w:basedOn w:val="DefaultParagraphFont"/>
    <w:uiPriority w:val="20"/>
    <w:qFormat/>
    <w:rsid w:val="00F9171C"/>
    <w:rPr>
      <w:rFonts w:asciiTheme="minorHAnsi" w:hAnsiTheme="minorHAnsi"/>
      <w:b/>
      <w:i/>
      <w:iCs/>
    </w:rPr>
  </w:style>
  <w:style w:type="paragraph" w:styleId="NoSpacing">
    <w:name w:val="No Spacing"/>
    <w:basedOn w:val="Normal"/>
    <w:uiPriority w:val="1"/>
    <w:qFormat/>
    <w:rsid w:val="00F9171C"/>
    <w:rPr>
      <w:szCs w:val="32"/>
    </w:rPr>
  </w:style>
  <w:style w:type="paragraph" w:styleId="ListParagraph">
    <w:name w:val="List Paragraph"/>
    <w:basedOn w:val="Normal"/>
    <w:uiPriority w:val="34"/>
    <w:qFormat/>
    <w:rsid w:val="00F9171C"/>
    <w:pPr>
      <w:ind w:left="720"/>
      <w:contextualSpacing/>
    </w:pPr>
  </w:style>
  <w:style w:type="paragraph" w:styleId="Quote">
    <w:name w:val="Quote"/>
    <w:basedOn w:val="Normal"/>
    <w:next w:val="Normal"/>
    <w:link w:val="QuoteChar"/>
    <w:uiPriority w:val="29"/>
    <w:qFormat/>
    <w:rsid w:val="00F9171C"/>
    <w:rPr>
      <w:i/>
    </w:rPr>
  </w:style>
  <w:style w:type="character" w:customStyle="1" w:styleId="QuoteChar">
    <w:name w:val="Quote Char"/>
    <w:basedOn w:val="DefaultParagraphFont"/>
    <w:link w:val="Quote"/>
    <w:uiPriority w:val="29"/>
    <w:rsid w:val="00F9171C"/>
    <w:rPr>
      <w:i/>
      <w:sz w:val="24"/>
      <w:szCs w:val="24"/>
    </w:rPr>
  </w:style>
  <w:style w:type="paragraph" w:styleId="IntenseQuote">
    <w:name w:val="Intense Quote"/>
    <w:basedOn w:val="Normal"/>
    <w:next w:val="Normal"/>
    <w:link w:val="IntenseQuoteChar"/>
    <w:uiPriority w:val="30"/>
    <w:qFormat/>
    <w:rsid w:val="00F9171C"/>
    <w:pPr>
      <w:ind w:left="720" w:right="720"/>
    </w:pPr>
    <w:rPr>
      <w:b/>
      <w:i/>
      <w:szCs w:val="22"/>
    </w:rPr>
  </w:style>
  <w:style w:type="character" w:customStyle="1" w:styleId="IntenseQuoteChar">
    <w:name w:val="Intense Quote Char"/>
    <w:basedOn w:val="DefaultParagraphFont"/>
    <w:link w:val="IntenseQuote"/>
    <w:uiPriority w:val="30"/>
    <w:rsid w:val="00F9171C"/>
    <w:rPr>
      <w:b/>
      <w:i/>
      <w:sz w:val="24"/>
    </w:rPr>
  </w:style>
  <w:style w:type="character" w:styleId="SubtleEmphasis">
    <w:name w:val="Subtle Emphasis"/>
    <w:uiPriority w:val="19"/>
    <w:qFormat/>
    <w:rsid w:val="00F9171C"/>
    <w:rPr>
      <w:i/>
      <w:color w:val="5A5A5A" w:themeColor="text1" w:themeTint="A5"/>
    </w:rPr>
  </w:style>
  <w:style w:type="character" w:styleId="IntenseEmphasis">
    <w:name w:val="Intense Emphasis"/>
    <w:basedOn w:val="DefaultParagraphFont"/>
    <w:uiPriority w:val="21"/>
    <w:qFormat/>
    <w:rsid w:val="00F9171C"/>
    <w:rPr>
      <w:b/>
      <w:i/>
      <w:sz w:val="24"/>
      <w:szCs w:val="24"/>
      <w:u w:val="single"/>
    </w:rPr>
  </w:style>
  <w:style w:type="character" w:styleId="SubtleReference">
    <w:name w:val="Subtle Reference"/>
    <w:basedOn w:val="DefaultParagraphFont"/>
    <w:uiPriority w:val="31"/>
    <w:qFormat/>
    <w:rsid w:val="00F9171C"/>
    <w:rPr>
      <w:sz w:val="24"/>
      <w:szCs w:val="24"/>
      <w:u w:val="single"/>
    </w:rPr>
  </w:style>
  <w:style w:type="character" w:styleId="IntenseReference">
    <w:name w:val="Intense Reference"/>
    <w:basedOn w:val="DefaultParagraphFont"/>
    <w:uiPriority w:val="32"/>
    <w:qFormat/>
    <w:rsid w:val="00F9171C"/>
    <w:rPr>
      <w:b/>
      <w:sz w:val="24"/>
      <w:u w:val="single"/>
    </w:rPr>
  </w:style>
  <w:style w:type="character" w:styleId="BookTitle">
    <w:name w:val="Book Title"/>
    <w:basedOn w:val="DefaultParagraphFont"/>
    <w:uiPriority w:val="33"/>
    <w:qFormat/>
    <w:rsid w:val="00F9171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171C"/>
    <w:pPr>
      <w:outlineLvl w:val="9"/>
    </w:pPr>
  </w:style>
  <w:style w:type="character" w:styleId="Hyperlink">
    <w:name w:val="Hyperlink"/>
    <w:basedOn w:val="DefaultParagraphFont"/>
    <w:uiPriority w:val="99"/>
    <w:unhideWhenUsed/>
    <w:rsid w:val="008430C2"/>
    <w:rPr>
      <w:color w:val="0000FF" w:themeColor="hyperlink"/>
      <w:u w:val="single"/>
    </w:rPr>
  </w:style>
  <w:style w:type="table" w:styleId="TableGrid">
    <w:name w:val="Table Grid"/>
    <w:basedOn w:val="TableNormal"/>
    <w:uiPriority w:val="59"/>
    <w:rsid w:val="00E66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5CE7"/>
    <w:rPr>
      <w:rFonts w:ascii="Tahoma" w:hAnsi="Tahoma" w:cs="Tahoma"/>
      <w:sz w:val="16"/>
      <w:szCs w:val="16"/>
    </w:rPr>
  </w:style>
  <w:style w:type="character" w:customStyle="1" w:styleId="BalloonTextChar">
    <w:name w:val="Balloon Text Char"/>
    <w:basedOn w:val="DefaultParagraphFont"/>
    <w:link w:val="BalloonText"/>
    <w:uiPriority w:val="99"/>
    <w:semiHidden/>
    <w:rsid w:val="00295CE7"/>
    <w:rPr>
      <w:rFonts w:ascii="Tahoma" w:hAnsi="Tahoma" w:cs="Tahoma"/>
      <w:sz w:val="16"/>
      <w:szCs w:val="16"/>
    </w:rPr>
  </w:style>
  <w:style w:type="character" w:styleId="CommentReference">
    <w:name w:val="annotation reference"/>
    <w:basedOn w:val="DefaultParagraphFont"/>
    <w:uiPriority w:val="99"/>
    <w:semiHidden/>
    <w:unhideWhenUsed/>
    <w:rsid w:val="003D5EA1"/>
    <w:rPr>
      <w:sz w:val="16"/>
      <w:szCs w:val="16"/>
    </w:rPr>
  </w:style>
  <w:style w:type="paragraph" w:styleId="CommentText">
    <w:name w:val="annotation text"/>
    <w:basedOn w:val="Normal"/>
    <w:link w:val="CommentTextChar"/>
    <w:uiPriority w:val="99"/>
    <w:unhideWhenUsed/>
    <w:rsid w:val="003D5EA1"/>
    <w:rPr>
      <w:sz w:val="20"/>
      <w:szCs w:val="20"/>
    </w:rPr>
  </w:style>
  <w:style w:type="character" w:customStyle="1" w:styleId="CommentTextChar">
    <w:name w:val="Comment Text Char"/>
    <w:basedOn w:val="DefaultParagraphFont"/>
    <w:link w:val="CommentText"/>
    <w:uiPriority w:val="99"/>
    <w:rsid w:val="003D5EA1"/>
    <w:rPr>
      <w:sz w:val="20"/>
      <w:szCs w:val="20"/>
    </w:rPr>
  </w:style>
  <w:style w:type="paragraph" w:styleId="CommentSubject">
    <w:name w:val="annotation subject"/>
    <w:basedOn w:val="CommentText"/>
    <w:next w:val="CommentText"/>
    <w:link w:val="CommentSubjectChar"/>
    <w:uiPriority w:val="99"/>
    <w:semiHidden/>
    <w:unhideWhenUsed/>
    <w:rsid w:val="003D5EA1"/>
    <w:rPr>
      <w:b/>
      <w:bCs/>
    </w:rPr>
  </w:style>
  <w:style w:type="character" w:customStyle="1" w:styleId="CommentSubjectChar">
    <w:name w:val="Comment Subject Char"/>
    <w:basedOn w:val="CommentTextChar"/>
    <w:link w:val="CommentSubject"/>
    <w:uiPriority w:val="99"/>
    <w:semiHidden/>
    <w:rsid w:val="003D5EA1"/>
    <w:rPr>
      <w:b/>
      <w:bCs/>
      <w:sz w:val="20"/>
      <w:szCs w:val="20"/>
    </w:rPr>
  </w:style>
  <w:style w:type="paragraph" w:styleId="Revision">
    <w:name w:val="Revision"/>
    <w:hidden/>
    <w:uiPriority w:val="99"/>
    <w:semiHidden/>
    <w:rsid w:val="003D5EA1"/>
  </w:style>
  <w:style w:type="paragraph" w:customStyle="1" w:styleId="EndNoteBibliographyTitle">
    <w:name w:val="EndNote Bibliography Title"/>
    <w:basedOn w:val="Normal"/>
    <w:link w:val="EndNoteBibliographyTitleChar"/>
    <w:rsid w:val="003D5EA1"/>
    <w:pPr>
      <w:jc w:val="center"/>
    </w:pPr>
    <w:rPr>
      <w:rFonts w:ascii="Times New Roman" w:hAnsi="Times New Roman"/>
      <w:noProof/>
      <w:sz w:val="22"/>
    </w:rPr>
  </w:style>
  <w:style w:type="character" w:customStyle="1" w:styleId="EndNoteBibliographyTitleChar">
    <w:name w:val="EndNote Bibliography Title Char"/>
    <w:basedOn w:val="DefaultParagraphFont"/>
    <w:link w:val="EndNoteBibliographyTitle"/>
    <w:rsid w:val="003D5EA1"/>
    <w:rPr>
      <w:rFonts w:ascii="Times New Roman" w:hAnsi="Times New Roman"/>
      <w:noProof/>
      <w:szCs w:val="24"/>
    </w:rPr>
  </w:style>
  <w:style w:type="paragraph" w:customStyle="1" w:styleId="EndNoteBibliography">
    <w:name w:val="EndNote Bibliography"/>
    <w:basedOn w:val="Normal"/>
    <w:link w:val="EndNoteBibliographyChar"/>
    <w:rsid w:val="003D5EA1"/>
    <w:rPr>
      <w:rFonts w:ascii="Times New Roman" w:hAnsi="Times New Roman"/>
      <w:noProof/>
      <w:sz w:val="22"/>
    </w:rPr>
  </w:style>
  <w:style w:type="character" w:customStyle="1" w:styleId="EndNoteBibliographyChar">
    <w:name w:val="EndNote Bibliography Char"/>
    <w:basedOn w:val="DefaultParagraphFont"/>
    <w:link w:val="EndNoteBibliography"/>
    <w:rsid w:val="003D5EA1"/>
    <w:rPr>
      <w:rFonts w:ascii="Times New Roman" w:hAnsi="Times New Roman"/>
      <w:noProof/>
      <w:szCs w:val="24"/>
    </w:rPr>
  </w:style>
  <w:style w:type="character" w:styleId="FollowedHyperlink">
    <w:name w:val="FollowedHyperlink"/>
    <w:basedOn w:val="DefaultParagraphFont"/>
    <w:uiPriority w:val="99"/>
    <w:semiHidden/>
    <w:unhideWhenUsed/>
    <w:rsid w:val="00D63E8E"/>
    <w:rPr>
      <w:color w:val="800080" w:themeColor="followedHyperlink"/>
      <w:u w:val="single"/>
    </w:rPr>
  </w:style>
  <w:style w:type="paragraph" w:styleId="Header">
    <w:name w:val="header"/>
    <w:basedOn w:val="Normal"/>
    <w:link w:val="HeaderChar"/>
    <w:uiPriority w:val="99"/>
    <w:unhideWhenUsed/>
    <w:rsid w:val="00265EFB"/>
    <w:pPr>
      <w:tabs>
        <w:tab w:val="center" w:pos="4513"/>
        <w:tab w:val="right" w:pos="9026"/>
      </w:tabs>
    </w:pPr>
  </w:style>
  <w:style w:type="character" w:customStyle="1" w:styleId="HeaderChar">
    <w:name w:val="Header Char"/>
    <w:basedOn w:val="DefaultParagraphFont"/>
    <w:link w:val="Header"/>
    <w:uiPriority w:val="99"/>
    <w:rsid w:val="00265EFB"/>
  </w:style>
  <w:style w:type="paragraph" w:styleId="Footer">
    <w:name w:val="footer"/>
    <w:basedOn w:val="Normal"/>
    <w:link w:val="FooterChar"/>
    <w:uiPriority w:val="99"/>
    <w:unhideWhenUsed/>
    <w:rsid w:val="00265EFB"/>
    <w:pPr>
      <w:tabs>
        <w:tab w:val="center" w:pos="4513"/>
        <w:tab w:val="right" w:pos="9026"/>
      </w:tabs>
    </w:pPr>
  </w:style>
  <w:style w:type="character" w:customStyle="1" w:styleId="FooterChar">
    <w:name w:val="Footer Char"/>
    <w:basedOn w:val="DefaultParagraphFont"/>
    <w:link w:val="Footer"/>
    <w:uiPriority w:val="99"/>
    <w:rsid w:val="00265EFB"/>
  </w:style>
  <w:style w:type="paragraph" w:styleId="FootnoteText">
    <w:name w:val="footnote text"/>
    <w:basedOn w:val="Normal"/>
    <w:link w:val="FootnoteTextChar"/>
    <w:uiPriority w:val="99"/>
    <w:unhideWhenUsed/>
    <w:rsid w:val="001D74F4"/>
  </w:style>
  <w:style w:type="character" w:customStyle="1" w:styleId="FootnoteTextChar">
    <w:name w:val="Footnote Text Char"/>
    <w:basedOn w:val="DefaultParagraphFont"/>
    <w:link w:val="FootnoteText"/>
    <w:uiPriority w:val="99"/>
    <w:rsid w:val="001D74F4"/>
    <w:rPr>
      <w:sz w:val="24"/>
      <w:szCs w:val="24"/>
    </w:rPr>
  </w:style>
  <w:style w:type="character" w:styleId="FootnoteReference">
    <w:name w:val="footnote reference"/>
    <w:basedOn w:val="DefaultParagraphFont"/>
    <w:uiPriority w:val="99"/>
    <w:unhideWhenUsed/>
    <w:rsid w:val="001D74F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43"/>
    <w:pPr>
      <w:jc w:val="both"/>
    </w:pPr>
    <w:rPr>
      <w:rFonts w:ascii="Calibri" w:hAnsi="Calibri"/>
      <w:sz w:val="24"/>
      <w:szCs w:val="24"/>
      <w:lang w:val="en-GB"/>
    </w:rPr>
  </w:style>
  <w:style w:type="paragraph" w:styleId="Heading1">
    <w:name w:val="heading 1"/>
    <w:basedOn w:val="Normal"/>
    <w:next w:val="Normal"/>
    <w:link w:val="Heading1Char"/>
    <w:uiPriority w:val="9"/>
    <w:qFormat/>
    <w:rsid w:val="00F9171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F9171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9171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F9171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F9171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F9171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F9171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F9171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F9171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71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F9171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F9171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F9171C"/>
    <w:rPr>
      <w:rFonts w:cstheme="majorBidi"/>
      <w:b/>
      <w:bCs/>
      <w:sz w:val="28"/>
      <w:szCs w:val="28"/>
    </w:rPr>
  </w:style>
  <w:style w:type="character" w:customStyle="1" w:styleId="Heading5Char">
    <w:name w:val="Heading 5 Char"/>
    <w:basedOn w:val="DefaultParagraphFont"/>
    <w:link w:val="Heading5"/>
    <w:uiPriority w:val="9"/>
    <w:rsid w:val="00F9171C"/>
    <w:rPr>
      <w:rFonts w:cstheme="majorBidi"/>
      <w:b/>
      <w:bCs/>
      <w:i/>
      <w:iCs/>
      <w:sz w:val="26"/>
      <w:szCs w:val="26"/>
    </w:rPr>
  </w:style>
  <w:style w:type="character" w:customStyle="1" w:styleId="Heading6Char">
    <w:name w:val="Heading 6 Char"/>
    <w:basedOn w:val="DefaultParagraphFont"/>
    <w:link w:val="Heading6"/>
    <w:uiPriority w:val="9"/>
    <w:semiHidden/>
    <w:rsid w:val="00F9171C"/>
    <w:rPr>
      <w:rFonts w:cstheme="majorBidi"/>
      <w:b/>
      <w:bCs/>
    </w:rPr>
  </w:style>
  <w:style w:type="character" w:customStyle="1" w:styleId="Heading7Char">
    <w:name w:val="Heading 7 Char"/>
    <w:basedOn w:val="DefaultParagraphFont"/>
    <w:link w:val="Heading7"/>
    <w:uiPriority w:val="9"/>
    <w:semiHidden/>
    <w:rsid w:val="00F9171C"/>
    <w:rPr>
      <w:rFonts w:cstheme="majorBidi"/>
      <w:sz w:val="24"/>
      <w:szCs w:val="24"/>
    </w:rPr>
  </w:style>
  <w:style w:type="character" w:customStyle="1" w:styleId="Heading8Char">
    <w:name w:val="Heading 8 Char"/>
    <w:basedOn w:val="DefaultParagraphFont"/>
    <w:link w:val="Heading8"/>
    <w:uiPriority w:val="9"/>
    <w:semiHidden/>
    <w:rsid w:val="00F9171C"/>
    <w:rPr>
      <w:rFonts w:cstheme="majorBidi"/>
      <w:i/>
      <w:iCs/>
      <w:sz w:val="24"/>
      <w:szCs w:val="24"/>
    </w:rPr>
  </w:style>
  <w:style w:type="character" w:customStyle="1" w:styleId="Heading9Char">
    <w:name w:val="Heading 9 Char"/>
    <w:basedOn w:val="DefaultParagraphFont"/>
    <w:link w:val="Heading9"/>
    <w:uiPriority w:val="9"/>
    <w:semiHidden/>
    <w:rsid w:val="00F9171C"/>
    <w:rPr>
      <w:rFonts w:asciiTheme="majorHAnsi" w:eastAsiaTheme="majorEastAsia" w:hAnsiTheme="majorHAnsi" w:cstheme="majorBidi"/>
    </w:rPr>
  </w:style>
  <w:style w:type="paragraph" w:styleId="Caption">
    <w:name w:val="caption"/>
    <w:basedOn w:val="Normal"/>
    <w:next w:val="Normal"/>
    <w:uiPriority w:val="35"/>
    <w:unhideWhenUsed/>
    <w:rsid w:val="00D5612E"/>
    <w:rPr>
      <w:b/>
      <w:bCs/>
      <w:color w:val="4F81BD" w:themeColor="accent1"/>
      <w:sz w:val="18"/>
      <w:szCs w:val="18"/>
    </w:rPr>
  </w:style>
  <w:style w:type="paragraph" w:styleId="Title">
    <w:name w:val="Title"/>
    <w:basedOn w:val="Normal"/>
    <w:next w:val="Normal"/>
    <w:link w:val="TitleChar"/>
    <w:uiPriority w:val="10"/>
    <w:qFormat/>
    <w:rsid w:val="00F9171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9171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9171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9171C"/>
    <w:rPr>
      <w:rFonts w:asciiTheme="majorHAnsi" w:eastAsiaTheme="majorEastAsia" w:hAnsiTheme="majorHAnsi" w:cstheme="majorBidi"/>
      <w:sz w:val="24"/>
      <w:szCs w:val="24"/>
    </w:rPr>
  </w:style>
  <w:style w:type="character" w:styleId="Strong">
    <w:name w:val="Strong"/>
    <w:basedOn w:val="DefaultParagraphFont"/>
    <w:uiPriority w:val="22"/>
    <w:qFormat/>
    <w:rsid w:val="00F9171C"/>
    <w:rPr>
      <w:b/>
      <w:bCs/>
    </w:rPr>
  </w:style>
  <w:style w:type="character" w:styleId="Emphasis">
    <w:name w:val="Emphasis"/>
    <w:basedOn w:val="DefaultParagraphFont"/>
    <w:uiPriority w:val="20"/>
    <w:qFormat/>
    <w:rsid w:val="00F9171C"/>
    <w:rPr>
      <w:rFonts w:asciiTheme="minorHAnsi" w:hAnsiTheme="minorHAnsi"/>
      <w:b/>
      <w:i/>
      <w:iCs/>
    </w:rPr>
  </w:style>
  <w:style w:type="paragraph" w:styleId="NoSpacing">
    <w:name w:val="No Spacing"/>
    <w:basedOn w:val="Normal"/>
    <w:uiPriority w:val="1"/>
    <w:qFormat/>
    <w:rsid w:val="00F9171C"/>
    <w:rPr>
      <w:szCs w:val="32"/>
    </w:rPr>
  </w:style>
  <w:style w:type="paragraph" w:styleId="ListParagraph">
    <w:name w:val="List Paragraph"/>
    <w:basedOn w:val="Normal"/>
    <w:uiPriority w:val="34"/>
    <w:qFormat/>
    <w:rsid w:val="00F9171C"/>
    <w:pPr>
      <w:ind w:left="720"/>
      <w:contextualSpacing/>
    </w:pPr>
  </w:style>
  <w:style w:type="paragraph" w:styleId="Quote">
    <w:name w:val="Quote"/>
    <w:basedOn w:val="Normal"/>
    <w:next w:val="Normal"/>
    <w:link w:val="QuoteChar"/>
    <w:uiPriority w:val="29"/>
    <w:qFormat/>
    <w:rsid w:val="00F9171C"/>
    <w:rPr>
      <w:i/>
    </w:rPr>
  </w:style>
  <w:style w:type="character" w:customStyle="1" w:styleId="QuoteChar">
    <w:name w:val="Quote Char"/>
    <w:basedOn w:val="DefaultParagraphFont"/>
    <w:link w:val="Quote"/>
    <w:uiPriority w:val="29"/>
    <w:rsid w:val="00F9171C"/>
    <w:rPr>
      <w:i/>
      <w:sz w:val="24"/>
      <w:szCs w:val="24"/>
    </w:rPr>
  </w:style>
  <w:style w:type="paragraph" w:styleId="IntenseQuote">
    <w:name w:val="Intense Quote"/>
    <w:basedOn w:val="Normal"/>
    <w:next w:val="Normal"/>
    <w:link w:val="IntenseQuoteChar"/>
    <w:uiPriority w:val="30"/>
    <w:qFormat/>
    <w:rsid w:val="00F9171C"/>
    <w:pPr>
      <w:ind w:left="720" w:right="720"/>
    </w:pPr>
    <w:rPr>
      <w:b/>
      <w:i/>
      <w:szCs w:val="22"/>
    </w:rPr>
  </w:style>
  <w:style w:type="character" w:customStyle="1" w:styleId="IntenseQuoteChar">
    <w:name w:val="Intense Quote Char"/>
    <w:basedOn w:val="DefaultParagraphFont"/>
    <w:link w:val="IntenseQuote"/>
    <w:uiPriority w:val="30"/>
    <w:rsid w:val="00F9171C"/>
    <w:rPr>
      <w:b/>
      <w:i/>
      <w:sz w:val="24"/>
    </w:rPr>
  </w:style>
  <w:style w:type="character" w:styleId="SubtleEmphasis">
    <w:name w:val="Subtle Emphasis"/>
    <w:uiPriority w:val="19"/>
    <w:qFormat/>
    <w:rsid w:val="00F9171C"/>
    <w:rPr>
      <w:i/>
      <w:color w:val="5A5A5A" w:themeColor="text1" w:themeTint="A5"/>
    </w:rPr>
  </w:style>
  <w:style w:type="character" w:styleId="IntenseEmphasis">
    <w:name w:val="Intense Emphasis"/>
    <w:basedOn w:val="DefaultParagraphFont"/>
    <w:uiPriority w:val="21"/>
    <w:qFormat/>
    <w:rsid w:val="00F9171C"/>
    <w:rPr>
      <w:b/>
      <w:i/>
      <w:sz w:val="24"/>
      <w:szCs w:val="24"/>
      <w:u w:val="single"/>
    </w:rPr>
  </w:style>
  <w:style w:type="character" w:styleId="SubtleReference">
    <w:name w:val="Subtle Reference"/>
    <w:basedOn w:val="DefaultParagraphFont"/>
    <w:uiPriority w:val="31"/>
    <w:qFormat/>
    <w:rsid w:val="00F9171C"/>
    <w:rPr>
      <w:sz w:val="24"/>
      <w:szCs w:val="24"/>
      <w:u w:val="single"/>
    </w:rPr>
  </w:style>
  <w:style w:type="character" w:styleId="IntenseReference">
    <w:name w:val="Intense Reference"/>
    <w:basedOn w:val="DefaultParagraphFont"/>
    <w:uiPriority w:val="32"/>
    <w:qFormat/>
    <w:rsid w:val="00F9171C"/>
    <w:rPr>
      <w:b/>
      <w:sz w:val="24"/>
      <w:u w:val="single"/>
    </w:rPr>
  </w:style>
  <w:style w:type="character" w:styleId="BookTitle">
    <w:name w:val="Book Title"/>
    <w:basedOn w:val="DefaultParagraphFont"/>
    <w:uiPriority w:val="33"/>
    <w:qFormat/>
    <w:rsid w:val="00F9171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9171C"/>
    <w:pPr>
      <w:outlineLvl w:val="9"/>
    </w:pPr>
  </w:style>
  <w:style w:type="character" w:styleId="Hyperlink">
    <w:name w:val="Hyperlink"/>
    <w:basedOn w:val="DefaultParagraphFont"/>
    <w:uiPriority w:val="99"/>
    <w:unhideWhenUsed/>
    <w:rsid w:val="008430C2"/>
    <w:rPr>
      <w:color w:val="0000FF" w:themeColor="hyperlink"/>
      <w:u w:val="single"/>
    </w:rPr>
  </w:style>
  <w:style w:type="table" w:styleId="TableGrid">
    <w:name w:val="Table Grid"/>
    <w:basedOn w:val="TableNormal"/>
    <w:uiPriority w:val="59"/>
    <w:rsid w:val="00E66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5CE7"/>
    <w:rPr>
      <w:rFonts w:ascii="Tahoma" w:hAnsi="Tahoma" w:cs="Tahoma"/>
      <w:sz w:val="16"/>
      <w:szCs w:val="16"/>
    </w:rPr>
  </w:style>
  <w:style w:type="character" w:customStyle="1" w:styleId="BalloonTextChar">
    <w:name w:val="Balloon Text Char"/>
    <w:basedOn w:val="DefaultParagraphFont"/>
    <w:link w:val="BalloonText"/>
    <w:uiPriority w:val="99"/>
    <w:semiHidden/>
    <w:rsid w:val="00295CE7"/>
    <w:rPr>
      <w:rFonts w:ascii="Tahoma" w:hAnsi="Tahoma" w:cs="Tahoma"/>
      <w:sz w:val="16"/>
      <w:szCs w:val="16"/>
    </w:rPr>
  </w:style>
  <w:style w:type="character" w:styleId="CommentReference">
    <w:name w:val="annotation reference"/>
    <w:basedOn w:val="DefaultParagraphFont"/>
    <w:uiPriority w:val="99"/>
    <w:semiHidden/>
    <w:unhideWhenUsed/>
    <w:rsid w:val="003D5EA1"/>
    <w:rPr>
      <w:sz w:val="16"/>
      <w:szCs w:val="16"/>
    </w:rPr>
  </w:style>
  <w:style w:type="paragraph" w:styleId="CommentText">
    <w:name w:val="annotation text"/>
    <w:basedOn w:val="Normal"/>
    <w:link w:val="CommentTextChar"/>
    <w:uiPriority w:val="99"/>
    <w:unhideWhenUsed/>
    <w:rsid w:val="003D5EA1"/>
    <w:rPr>
      <w:sz w:val="20"/>
      <w:szCs w:val="20"/>
    </w:rPr>
  </w:style>
  <w:style w:type="character" w:customStyle="1" w:styleId="CommentTextChar">
    <w:name w:val="Comment Text Char"/>
    <w:basedOn w:val="DefaultParagraphFont"/>
    <w:link w:val="CommentText"/>
    <w:uiPriority w:val="99"/>
    <w:rsid w:val="003D5EA1"/>
    <w:rPr>
      <w:sz w:val="20"/>
      <w:szCs w:val="20"/>
    </w:rPr>
  </w:style>
  <w:style w:type="paragraph" w:styleId="CommentSubject">
    <w:name w:val="annotation subject"/>
    <w:basedOn w:val="CommentText"/>
    <w:next w:val="CommentText"/>
    <w:link w:val="CommentSubjectChar"/>
    <w:uiPriority w:val="99"/>
    <w:semiHidden/>
    <w:unhideWhenUsed/>
    <w:rsid w:val="003D5EA1"/>
    <w:rPr>
      <w:b/>
      <w:bCs/>
    </w:rPr>
  </w:style>
  <w:style w:type="character" w:customStyle="1" w:styleId="CommentSubjectChar">
    <w:name w:val="Comment Subject Char"/>
    <w:basedOn w:val="CommentTextChar"/>
    <w:link w:val="CommentSubject"/>
    <w:uiPriority w:val="99"/>
    <w:semiHidden/>
    <w:rsid w:val="003D5EA1"/>
    <w:rPr>
      <w:b/>
      <w:bCs/>
      <w:sz w:val="20"/>
      <w:szCs w:val="20"/>
    </w:rPr>
  </w:style>
  <w:style w:type="paragraph" w:styleId="Revision">
    <w:name w:val="Revision"/>
    <w:hidden/>
    <w:uiPriority w:val="99"/>
    <w:semiHidden/>
    <w:rsid w:val="003D5EA1"/>
  </w:style>
  <w:style w:type="paragraph" w:customStyle="1" w:styleId="EndNoteBibliographyTitle">
    <w:name w:val="EndNote Bibliography Title"/>
    <w:basedOn w:val="Normal"/>
    <w:link w:val="EndNoteBibliographyTitleChar"/>
    <w:rsid w:val="003D5EA1"/>
    <w:pPr>
      <w:jc w:val="center"/>
    </w:pPr>
    <w:rPr>
      <w:rFonts w:ascii="Times New Roman" w:hAnsi="Times New Roman"/>
      <w:noProof/>
      <w:sz w:val="22"/>
    </w:rPr>
  </w:style>
  <w:style w:type="character" w:customStyle="1" w:styleId="EndNoteBibliographyTitleChar">
    <w:name w:val="EndNote Bibliography Title Char"/>
    <w:basedOn w:val="DefaultParagraphFont"/>
    <w:link w:val="EndNoteBibliographyTitle"/>
    <w:rsid w:val="003D5EA1"/>
    <w:rPr>
      <w:rFonts w:ascii="Times New Roman" w:hAnsi="Times New Roman"/>
      <w:noProof/>
      <w:szCs w:val="24"/>
    </w:rPr>
  </w:style>
  <w:style w:type="paragraph" w:customStyle="1" w:styleId="EndNoteBibliography">
    <w:name w:val="EndNote Bibliography"/>
    <w:basedOn w:val="Normal"/>
    <w:link w:val="EndNoteBibliographyChar"/>
    <w:rsid w:val="003D5EA1"/>
    <w:rPr>
      <w:rFonts w:ascii="Times New Roman" w:hAnsi="Times New Roman"/>
      <w:noProof/>
      <w:sz w:val="22"/>
    </w:rPr>
  </w:style>
  <w:style w:type="character" w:customStyle="1" w:styleId="EndNoteBibliographyChar">
    <w:name w:val="EndNote Bibliography Char"/>
    <w:basedOn w:val="DefaultParagraphFont"/>
    <w:link w:val="EndNoteBibliography"/>
    <w:rsid w:val="003D5EA1"/>
    <w:rPr>
      <w:rFonts w:ascii="Times New Roman" w:hAnsi="Times New Roman"/>
      <w:noProof/>
      <w:szCs w:val="24"/>
    </w:rPr>
  </w:style>
  <w:style w:type="character" w:styleId="FollowedHyperlink">
    <w:name w:val="FollowedHyperlink"/>
    <w:basedOn w:val="DefaultParagraphFont"/>
    <w:uiPriority w:val="99"/>
    <w:semiHidden/>
    <w:unhideWhenUsed/>
    <w:rsid w:val="00D63E8E"/>
    <w:rPr>
      <w:color w:val="800080" w:themeColor="followedHyperlink"/>
      <w:u w:val="single"/>
    </w:rPr>
  </w:style>
  <w:style w:type="paragraph" w:styleId="Header">
    <w:name w:val="header"/>
    <w:basedOn w:val="Normal"/>
    <w:link w:val="HeaderChar"/>
    <w:uiPriority w:val="99"/>
    <w:unhideWhenUsed/>
    <w:rsid w:val="00265EFB"/>
    <w:pPr>
      <w:tabs>
        <w:tab w:val="center" w:pos="4513"/>
        <w:tab w:val="right" w:pos="9026"/>
      </w:tabs>
    </w:pPr>
  </w:style>
  <w:style w:type="character" w:customStyle="1" w:styleId="HeaderChar">
    <w:name w:val="Header Char"/>
    <w:basedOn w:val="DefaultParagraphFont"/>
    <w:link w:val="Header"/>
    <w:uiPriority w:val="99"/>
    <w:rsid w:val="00265EFB"/>
  </w:style>
  <w:style w:type="paragraph" w:styleId="Footer">
    <w:name w:val="footer"/>
    <w:basedOn w:val="Normal"/>
    <w:link w:val="FooterChar"/>
    <w:uiPriority w:val="99"/>
    <w:unhideWhenUsed/>
    <w:rsid w:val="00265EFB"/>
    <w:pPr>
      <w:tabs>
        <w:tab w:val="center" w:pos="4513"/>
        <w:tab w:val="right" w:pos="9026"/>
      </w:tabs>
    </w:pPr>
  </w:style>
  <w:style w:type="character" w:customStyle="1" w:styleId="FooterChar">
    <w:name w:val="Footer Char"/>
    <w:basedOn w:val="DefaultParagraphFont"/>
    <w:link w:val="Footer"/>
    <w:uiPriority w:val="99"/>
    <w:rsid w:val="00265EFB"/>
  </w:style>
  <w:style w:type="paragraph" w:styleId="FootnoteText">
    <w:name w:val="footnote text"/>
    <w:basedOn w:val="Normal"/>
    <w:link w:val="FootnoteTextChar"/>
    <w:uiPriority w:val="99"/>
    <w:unhideWhenUsed/>
    <w:rsid w:val="001D74F4"/>
  </w:style>
  <w:style w:type="character" w:customStyle="1" w:styleId="FootnoteTextChar">
    <w:name w:val="Footnote Text Char"/>
    <w:basedOn w:val="DefaultParagraphFont"/>
    <w:link w:val="FootnoteText"/>
    <w:uiPriority w:val="99"/>
    <w:rsid w:val="001D74F4"/>
    <w:rPr>
      <w:sz w:val="24"/>
      <w:szCs w:val="24"/>
    </w:rPr>
  </w:style>
  <w:style w:type="character" w:styleId="FootnoteReference">
    <w:name w:val="footnote reference"/>
    <w:basedOn w:val="DefaultParagraphFont"/>
    <w:uiPriority w:val="99"/>
    <w:unhideWhenUsed/>
    <w:rsid w:val="001D7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8557">
      <w:bodyDiv w:val="1"/>
      <w:marLeft w:val="0"/>
      <w:marRight w:val="0"/>
      <w:marTop w:val="0"/>
      <w:marBottom w:val="0"/>
      <w:divBdr>
        <w:top w:val="none" w:sz="0" w:space="0" w:color="auto"/>
        <w:left w:val="none" w:sz="0" w:space="0" w:color="auto"/>
        <w:bottom w:val="none" w:sz="0" w:space="0" w:color="auto"/>
        <w:right w:val="none" w:sz="0" w:space="0" w:color="auto"/>
      </w:divBdr>
    </w:div>
    <w:div w:id="108554909">
      <w:bodyDiv w:val="1"/>
      <w:marLeft w:val="0"/>
      <w:marRight w:val="0"/>
      <w:marTop w:val="0"/>
      <w:marBottom w:val="0"/>
      <w:divBdr>
        <w:top w:val="none" w:sz="0" w:space="0" w:color="auto"/>
        <w:left w:val="none" w:sz="0" w:space="0" w:color="auto"/>
        <w:bottom w:val="none" w:sz="0" w:space="0" w:color="auto"/>
        <w:right w:val="none" w:sz="0" w:space="0" w:color="auto"/>
      </w:divBdr>
    </w:div>
    <w:div w:id="158497374">
      <w:bodyDiv w:val="1"/>
      <w:marLeft w:val="0"/>
      <w:marRight w:val="0"/>
      <w:marTop w:val="0"/>
      <w:marBottom w:val="0"/>
      <w:divBdr>
        <w:top w:val="none" w:sz="0" w:space="0" w:color="auto"/>
        <w:left w:val="none" w:sz="0" w:space="0" w:color="auto"/>
        <w:bottom w:val="none" w:sz="0" w:space="0" w:color="auto"/>
        <w:right w:val="none" w:sz="0" w:space="0" w:color="auto"/>
      </w:divBdr>
    </w:div>
    <w:div w:id="192807574">
      <w:bodyDiv w:val="1"/>
      <w:marLeft w:val="0"/>
      <w:marRight w:val="0"/>
      <w:marTop w:val="0"/>
      <w:marBottom w:val="0"/>
      <w:divBdr>
        <w:top w:val="none" w:sz="0" w:space="0" w:color="auto"/>
        <w:left w:val="none" w:sz="0" w:space="0" w:color="auto"/>
        <w:bottom w:val="none" w:sz="0" w:space="0" w:color="auto"/>
        <w:right w:val="none" w:sz="0" w:space="0" w:color="auto"/>
      </w:divBdr>
    </w:div>
    <w:div w:id="204560306">
      <w:bodyDiv w:val="1"/>
      <w:marLeft w:val="0"/>
      <w:marRight w:val="0"/>
      <w:marTop w:val="0"/>
      <w:marBottom w:val="0"/>
      <w:divBdr>
        <w:top w:val="none" w:sz="0" w:space="0" w:color="auto"/>
        <w:left w:val="none" w:sz="0" w:space="0" w:color="auto"/>
        <w:bottom w:val="none" w:sz="0" w:space="0" w:color="auto"/>
        <w:right w:val="none" w:sz="0" w:space="0" w:color="auto"/>
      </w:divBdr>
    </w:div>
    <w:div w:id="242684938">
      <w:bodyDiv w:val="1"/>
      <w:marLeft w:val="0"/>
      <w:marRight w:val="0"/>
      <w:marTop w:val="0"/>
      <w:marBottom w:val="0"/>
      <w:divBdr>
        <w:top w:val="none" w:sz="0" w:space="0" w:color="auto"/>
        <w:left w:val="none" w:sz="0" w:space="0" w:color="auto"/>
        <w:bottom w:val="none" w:sz="0" w:space="0" w:color="auto"/>
        <w:right w:val="none" w:sz="0" w:space="0" w:color="auto"/>
      </w:divBdr>
    </w:div>
    <w:div w:id="386880445">
      <w:bodyDiv w:val="1"/>
      <w:marLeft w:val="0"/>
      <w:marRight w:val="0"/>
      <w:marTop w:val="0"/>
      <w:marBottom w:val="0"/>
      <w:divBdr>
        <w:top w:val="none" w:sz="0" w:space="0" w:color="auto"/>
        <w:left w:val="none" w:sz="0" w:space="0" w:color="auto"/>
        <w:bottom w:val="none" w:sz="0" w:space="0" w:color="auto"/>
        <w:right w:val="none" w:sz="0" w:space="0" w:color="auto"/>
      </w:divBdr>
    </w:div>
    <w:div w:id="410976451">
      <w:bodyDiv w:val="1"/>
      <w:marLeft w:val="0"/>
      <w:marRight w:val="0"/>
      <w:marTop w:val="0"/>
      <w:marBottom w:val="0"/>
      <w:divBdr>
        <w:top w:val="none" w:sz="0" w:space="0" w:color="auto"/>
        <w:left w:val="none" w:sz="0" w:space="0" w:color="auto"/>
        <w:bottom w:val="none" w:sz="0" w:space="0" w:color="auto"/>
        <w:right w:val="none" w:sz="0" w:space="0" w:color="auto"/>
      </w:divBdr>
    </w:div>
    <w:div w:id="427969885">
      <w:bodyDiv w:val="1"/>
      <w:marLeft w:val="0"/>
      <w:marRight w:val="0"/>
      <w:marTop w:val="0"/>
      <w:marBottom w:val="0"/>
      <w:divBdr>
        <w:top w:val="none" w:sz="0" w:space="0" w:color="auto"/>
        <w:left w:val="none" w:sz="0" w:space="0" w:color="auto"/>
        <w:bottom w:val="none" w:sz="0" w:space="0" w:color="auto"/>
        <w:right w:val="none" w:sz="0" w:space="0" w:color="auto"/>
      </w:divBdr>
    </w:div>
    <w:div w:id="501554101">
      <w:bodyDiv w:val="1"/>
      <w:marLeft w:val="0"/>
      <w:marRight w:val="0"/>
      <w:marTop w:val="0"/>
      <w:marBottom w:val="0"/>
      <w:divBdr>
        <w:top w:val="none" w:sz="0" w:space="0" w:color="auto"/>
        <w:left w:val="none" w:sz="0" w:space="0" w:color="auto"/>
        <w:bottom w:val="none" w:sz="0" w:space="0" w:color="auto"/>
        <w:right w:val="none" w:sz="0" w:space="0" w:color="auto"/>
      </w:divBdr>
    </w:div>
    <w:div w:id="515189553">
      <w:bodyDiv w:val="1"/>
      <w:marLeft w:val="0"/>
      <w:marRight w:val="0"/>
      <w:marTop w:val="0"/>
      <w:marBottom w:val="0"/>
      <w:divBdr>
        <w:top w:val="none" w:sz="0" w:space="0" w:color="auto"/>
        <w:left w:val="none" w:sz="0" w:space="0" w:color="auto"/>
        <w:bottom w:val="none" w:sz="0" w:space="0" w:color="auto"/>
        <w:right w:val="none" w:sz="0" w:space="0" w:color="auto"/>
      </w:divBdr>
    </w:div>
    <w:div w:id="538710337">
      <w:bodyDiv w:val="1"/>
      <w:marLeft w:val="0"/>
      <w:marRight w:val="0"/>
      <w:marTop w:val="0"/>
      <w:marBottom w:val="0"/>
      <w:divBdr>
        <w:top w:val="none" w:sz="0" w:space="0" w:color="auto"/>
        <w:left w:val="none" w:sz="0" w:space="0" w:color="auto"/>
        <w:bottom w:val="none" w:sz="0" w:space="0" w:color="auto"/>
        <w:right w:val="none" w:sz="0" w:space="0" w:color="auto"/>
      </w:divBdr>
    </w:div>
    <w:div w:id="707528345">
      <w:bodyDiv w:val="1"/>
      <w:marLeft w:val="0"/>
      <w:marRight w:val="0"/>
      <w:marTop w:val="0"/>
      <w:marBottom w:val="0"/>
      <w:divBdr>
        <w:top w:val="none" w:sz="0" w:space="0" w:color="auto"/>
        <w:left w:val="none" w:sz="0" w:space="0" w:color="auto"/>
        <w:bottom w:val="none" w:sz="0" w:space="0" w:color="auto"/>
        <w:right w:val="none" w:sz="0" w:space="0" w:color="auto"/>
      </w:divBdr>
    </w:div>
    <w:div w:id="817458061">
      <w:bodyDiv w:val="1"/>
      <w:marLeft w:val="0"/>
      <w:marRight w:val="0"/>
      <w:marTop w:val="0"/>
      <w:marBottom w:val="0"/>
      <w:divBdr>
        <w:top w:val="none" w:sz="0" w:space="0" w:color="auto"/>
        <w:left w:val="none" w:sz="0" w:space="0" w:color="auto"/>
        <w:bottom w:val="none" w:sz="0" w:space="0" w:color="auto"/>
        <w:right w:val="none" w:sz="0" w:space="0" w:color="auto"/>
      </w:divBdr>
    </w:div>
    <w:div w:id="823399753">
      <w:bodyDiv w:val="1"/>
      <w:marLeft w:val="0"/>
      <w:marRight w:val="0"/>
      <w:marTop w:val="0"/>
      <w:marBottom w:val="0"/>
      <w:divBdr>
        <w:top w:val="none" w:sz="0" w:space="0" w:color="auto"/>
        <w:left w:val="none" w:sz="0" w:space="0" w:color="auto"/>
        <w:bottom w:val="none" w:sz="0" w:space="0" w:color="auto"/>
        <w:right w:val="none" w:sz="0" w:space="0" w:color="auto"/>
      </w:divBdr>
    </w:div>
    <w:div w:id="842284397">
      <w:bodyDiv w:val="1"/>
      <w:marLeft w:val="0"/>
      <w:marRight w:val="0"/>
      <w:marTop w:val="0"/>
      <w:marBottom w:val="0"/>
      <w:divBdr>
        <w:top w:val="none" w:sz="0" w:space="0" w:color="auto"/>
        <w:left w:val="none" w:sz="0" w:space="0" w:color="auto"/>
        <w:bottom w:val="none" w:sz="0" w:space="0" w:color="auto"/>
        <w:right w:val="none" w:sz="0" w:space="0" w:color="auto"/>
      </w:divBdr>
    </w:div>
    <w:div w:id="863985490">
      <w:bodyDiv w:val="1"/>
      <w:marLeft w:val="0"/>
      <w:marRight w:val="0"/>
      <w:marTop w:val="0"/>
      <w:marBottom w:val="0"/>
      <w:divBdr>
        <w:top w:val="none" w:sz="0" w:space="0" w:color="auto"/>
        <w:left w:val="none" w:sz="0" w:space="0" w:color="auto"/>
        <w:bottom w:val="none" w:sz="0" w:space="0" w:color="auto"/>
        <w:right w:val="none" w:sz="0" w:space="0" w:color="auto"/>
      </w:divBdr>
    </w:div>
    <w:div w:id="872503759">
      <w:bodyDiv w:val="1"/>
      <w:marLeft w:val="0"/>
      <w:marRight w:val="0"/>
      <w:marTop w:val="0"/>
      <w:marBottom w:val="0"/>
      <w:divBdr>
        <w:top w:val="none" w:sz="0" w:space="0" w:color="auto"/>
        <w:left w:val="none" w:sz="0" w:space="0" w:color="auto"/>
        <w:bottom w:val="none" w:sz="0" w:space="0" w:color="auto"/>
        <w:right w:val="none" w:sz="0" w:space="0" w:color="auto"/>
      </w:divBdr>
    </w:div>
    <w:div w:id="919607149">
      <w:bodyDiv w:val="1"/>
      <w:marLeft w:val="0"/>
      <w:marRight w:val="0"/>
      <w:marTop w:val="0"/>
      <w:marBottom w:val="0"/>
      <w:divBdr>
        <w:top w:val="none" w:sz="0" w:space="0" w:color="auto"/>
        <w:left w:val="none" w:sz="0" w:space="0" w:color="auto"/>
        <w:bottom w:val="none" w:sz="0" w:space="0" w:color="auto"/>
        <w:right w:val="none" w:sz="0" w:space="0" w:color="auto"/>
      </w:divBdr>
    </w:div>
    <w:div w:id="926959179">
      <w:bodyDiv w:val="1"/>
      <w:marLeft w:val="0"/>
      <w:marRight w:val="0"/>
      <w:marTop w:val="0"/>
      <w:marBottom w:val="0"/>
      <w:divBdr>
        <w:top w:val="none" w:sz="0" w:space="0" w:color="auto"/>
        <w:left w:val="none" w:sz="0" w:space="0" w:color="auto"/>
        <w:bottom w:val="none" w:sz="0" w:space="0" w:color="auto"/>
        <w:right w:val="none" w:sz="0" w:space="0" w:color="auto"/>
      </w:divBdr>
    </w:div>
    <w:div w:id="983003889">
      <w:bodyDiv w:val="1"/>
      <w:marLeft w:val="0"/>
      <w:marRight w:val="0"/>
      <w:marTop w:val="0"/>
      <w:marBottom w:val="0"/>
      <w:divBdr>
        <w:top w:val="none" w:sz="0" w:space="0" w:color="auto"/>
        <w:left w:val="none" w:sz="0" w:space="0" w:color="auto"/>
        <w:bottom w:val="none" w:sz="0" w:space="0" w:color="auto"/>
        <w:right w:val="none" w:sz="0" w:space="0" w:color="auto"/>
      </w:divBdr>
    </w:div>
    <w:div w:id="1021275836">
      <w:bodyDiv w:val="1"/>
      <w:marLeft w:val="0"/>
      <w:marRight w:val="0"/>
      <w:marTop w:val="0"/>
      <w:marBottom w:val="0"/>
      <w:divBdr>
        <w:top w:val="none" w:sz="0" w:space="0" w:color="auto"/>
        <w:left w:val="none" w:sz="0" w:space="0" w:color="auto"/>
        <w:bottom w:val="none" w:sz="0" w:space="0" w:color="auto"/>
        <w:right w:val="none" w:sz="0" w:space="0" w:color="auto"/>
      </w:divBdr>
    </w:div>
    <w:div w:id="1050151504">
      <w:bodyDiv w:val="1"/>
      <w:marLeft w:val="0"/>
      <w:marRight w:val="0"/>
      <w:marTop w:val="0"/>
      <w:marBottom w:val="0"/>
      <w:divBdr>
        <w:top w:val="none" w:sz="0" w:space="0" w:color="auto"/>
        <w:left w:val="none" w:sz="0" w:space="0" w:color="auto"/>
        <w:bottom w:val="none" w:sz="0" w:space="0" w:color="auto"/>
        <w:right w:val="none" w:sz="0" w:space="0" w:color="auto"/>
      </w:divBdr>
    </w:div>
    <w:div w:id="1304240101">
      <w:bodyDiv w:val="1"/>
      <w:marLeft w:val="0"/>
      <w:marRight w:val="0"/>
      <w:marTop w:val="0"/>
      <w:marBottom w:val="0"/>
      <w:divBdr>
        <w:top w:val="none" w:sz="0" w:space="0" w:color="auto"/>
        <w:left w:val="none" w:sz="0" w:space="0" w:color="auto"/>
        <w:bottom w:val="none" w:sz="0" w:space="0" w:color="auto"/>
        <w:right w:val="none" w:sz="0" w:space="0" w:color="auto"/>
      </w:divBdr>
    </w:div>
    <w:div w:id="1362197464">
      <w:bodyDiv w:val="1"/>
      <w:marLeft w:val="0"/>
      <w:marRight w:val="0"/>
      <w:marTop w:val="0"/>
      <w:marBottom w:val="0"/>
      <w:divBdr>
        <w:top w:val="none" w:sz="0" w:space="0" w:color="auto"/>
        <w:left w:val="none" w:sz="0" w:space="0" w:color="auto"/>
        <w:bottom w:val="none" w:sz="0" w:space="0" w:color="auto"/>
        <w:right w:val="none" w:sz="0" w:space="0" w:color="auto"/>
      </w:divBdr>
    </w:div>
    <w:div w:id="1399815589">
      <w:bodyDiv w:val="1"/>
      <w:marLeft w:val="0"/>
      <w:marRight w:val="0"/>
      <w:marTop w:val="0"/>
      <w:marBottom w:val="0"/>
      <w:divBdr>
        <w:top w:val="none" w:sz="0" w:space="0" w:color="auto"/>
        <w:left w:val="none" w:sz="0" w:space="0" w:color="auto"/>
        <w:bottom w:val="none" w:sz="0" w:space="0" w:color="auto"/>
        <w:right w:val="none" w:sz="0" w:space="0" w:color="auto"/>
      </w:divBdr>
    </w:div>
    <w:div w:id="1410427528">
      <w:bodyDiv w:val="1"/>
      <w:marLeft w:val="0"/>
      <w:marRight w:val="0"/>
      <w:marTop w:val="0"/>
      <w:marBottom w:val="0"/>
      <w:divBdr>
        <w:top w:val="none" w:sz="0" w:space="0" w:color="auto"/>
        <w:left w:val="none" w:sz="0" w:space="0" w:color="auto"/>
        <w:bottom w:val="none" w:sz="0" w:space="0" w:color="auto"/>
        <w:right w:val="none" w:sz="0" w:space="0" w:color="auto"/>
      </w:divBdr>
    </w:div>
    <w:div w:id="1420952907">
      <w:bodyDiv w:val="1"/>
      <w:marLeft w:val="0"/>
      <w:marRight w:val="0"/>
      <w:marTop w:val="0"/>
      <w:marBottom w:val="0"/>
      <w:divBdr>
        <w:top w:val="none" w:sz="0" w:space="0" w:color="auto"/>
        <w:left w:val="none" w:sz="0" w:space="0" w:color="auto"/>
        <w:bottom w:val="none" w:sz="0" w:space="0" w:color="auto"/>
        <w:right w:val="none" w:sz="0" w:space="0" w:color="auto"/>
      </w:divBdr>
    </w:div>
    <w:div w:id="1478260125">
      <w:bodyDiv w:val="1"/>
      <w:marLeft w:val="0"/>
      <w:marRight w:val="0"/>
      <w:marTop w:val="0"/>
      <w:marBottom w:val="0"/>
      <w:divBdr>
        <w:top w:val="none" w:sz="0" w:space="0" w:color="auto"/>
        <w:left w:val="none" w:sz="0" w:space="0" w:color="auto"/>
        <w:bottom w:val="none" w:sz="0" w:space="0" w:color="auto"/>
        <w:right w:val="none" w:sz="0" w:space="0" w:color="auto"/>
      </w:divBdr>
    </w:div>
    <w:div w:id="1531138394">
      <w:bodyDiv w:val="1"/>
      <w:marLeft w:val="0"/>
      <w:marRight w:val="0"/>
      <w:marTop w:val="0"/>
      <w:marBottom w:val="0"/>
      <w:divBdr>
        <w:top w:val="none" w:sz="0" w:space="0" w:color="auto"/>
        <w:left w:val="none" w:sz="0" w:space="0" w:color="auto"/>
        <w:bottom w:val="none" w:sz="0" w:space="0" w:color="auto"/>
        <w:right w:val="none" w:sz="0" w:space="0" w:color="auto"/>
      </w:divBdr>
    </w:div>
    <w:div w:id="1583953873">
      <w:bodyDiv w:val="1"/>
      <w:marLeft w:val="0"/>
      <w:marRight w:val="0"/>
      <w:marTop w:val="0"/>
      <w:marBottom w:val="0"/>
      <w:divBdr>
        <w:top w:val="none" w:sz="0" w:space="0" w:color="auto"/>
        <w:left w:val="none" w:sz="0" w:space="0" w:color="auto"/>
        <w:bottom w:val="none" w:sz="0" w:space="0" w:color="auto"/>
        <w:right w:val="none" w:sz="0" w:space="0" w:color="auto"/>
      </w:divBdr>
    </w:div>
    <w:div w:id="1630161866">
      <w:bodyDiv w:val="1"/>
      <w:marLeft w:val="0"/>
      <w:marRight w:val="0"/>
      <w:marTop w:val="0"/>
      <w:marBottom w:val="0"/>
      <w:divBdr>
        <w:top w:val="none" w:sz="0" w:space="0" w:color="auto"/>
        <w:left w:val="none" w:sz="0" w:space="0" w:color="auto"/>
        <w:bottom w:val="none" w:sz="0" w:space="0" w:color="auto"/>
        <w:right w:val="none" w:sz="0" w:space="0" w:color="auto"/>
      </w:divBdr>
    </w:div>
    <w:div w:id="1645693881">
      <w:bodyDiv w:val="1"/>
      <w:marLeft w:val="0"/>
      <w:marRight w:val="0"/>
      <w:marTop w:val="0"/>
      <w:marBottom w:val="0"/>
      <w:divBdr>
        <w:top w:val="none" w:sz="0" w:space="0" w:color="auto"/>
        <w:left w:val="none" w:sz="0" w:space="0" w:color="auto"/>
        <w:bottom w:val="none" w:sz="0" w:space="0" w:color="auto"/>
        <w:right w:val="none" w:sz="0" w:space="0" w:color="auto"/>
      </w:divBdr>
    </w:div>
    <w:div w:id="1659846929">
      <w:bodyDiv w:val="1"/>
      <w:marLeft w:val="0"/>
      <w:marRight w:val="0"/>
      <w:marTop w:val="0"/>
      <w:marBottom w:val="0"/>
      <w:divBdr>
        <w:top w:val="none" w:sz="0" w:space="0" w:color="auto"/>
        <w:left w:val="none" w:sz="0" w:space="0" w:color="auto"/>
        <w:bottom w:val="none" w:sz="0" w:space="0" w:color="auto"/>
        <w:right w:val="none" w:sz="0" w:space="0" w:color="auto"/>
      </w:divBdr>
    </w:div>
    <w:div w:id="1841119092">
      <w:bodyDiv w:val="1"/>
      <w:marLeft w:val="0"/>
      <w:marRight w:val="0"/>
      <w:marTop w:val="0"/>
      <w:marBottom w:val="0"/>
      <w:divBdr>
        <w:top w:val="none" w:sz="0" w:space="0" w:color="auto"/>
        <w:left w:val="none" w:sz="0" w:space="0" w:color="auto"/>
        <w:bottom w:val="none" w:sz="0" w:space="0" w:color="auto"/>
        <w:right w:val="none" w:sz="0" w:space="0" w:color="auto"/>
      </w:divBdr>
    </w:div>
    <w:div w:id="1922175402">
      <w:bodyDiv w:val="1"/>
      <w:marLeft w:val="0"/>
      <w:marRight w:val="0"/>
      <w:marTop w:val="0"/>
      <w:marBottom w:val="0"/>
      <w:divBdr>
        <w:top w:val="none" w:sz="0" w:space="0" w:color="auto"/>
        <w:left w:val="none" w:sz="0" w:space="0" w:color="auto"/>
        <w:bottom w:val="none" w:sz="0" w:space="0" w:color="auto"/>
        <w:right w:val="none" w:sz="0" w:space="0" w:color="auto"/>
      </w:divBdr>
    </w:div>
    <w:div w:id="2030373150">
      <w:bodyDiv w:val="1"/>
      <w:marLeft w:val="0"/>
      <w:marRight w:val="0"/>
      <w:marTop w:val="0"/>
      <w:marBottom w:val="0"/>
      <w:divBdr>
        <w:top w:val="none" w:sz="0" w:space="0" w:color="auto"/>
        <w:left w:val="none" w:sz="0" w:space="0" w:color="auto"/>
        <w:bottom w:val="none" w:sz="0" w:space="0" w:color="auto"/>
        <w:right w:val="none" w:sz="0" w:space="0" w:color="auto"/>
      </w:divBdr>
    </w:div>
    <w:div w:id="2035155628">
      <w:bodyDiv w:val="1"/>
      <w:marLeft w:val="0"/>
      <w:marRight w:val="0"/>
      <w:marTop w:val="0"/>
      <w:marBottom w:val="0"/>
      <w:divBdr>
        <w:top w:val="none" w:sz="0" w:space="0" w:color="auto"/>
        <w:left w:val="none" w:sz="0" w:space="0" w:color="auto"/>
        <w:bottom w:val="none" w:sz="0" w:space="0" w:color="auto"/>
        <w:right w:val="none" w:sz="0" w:space="0" w:color="auto"/>
      </w:divBdr>
    </w:div>
    <w:div w:id="2052800922">
      <w:bodyDiv w:val="1"/>
      <w:marLeft w:val="0"/>
      <w:marRight w:val="0"/>
      <w:marTop w:val="0"/>
      <w:marBottom w:val="0"/>
      <w:divBdr>
        <w:top w:val="none" w:sz="0" w:space="0" w:color="auto"/>
        <w:left w:val="none" w:sz="0" w:space="0" w:color="auto"/>
        <w:bottom w:val="none" w:sz="0" w:space="0" w:color="auto"/>
        <w:right w:val="none" w:sz="0" w:space="0" w:color="auto"/>
      </w:divBdr>
    </w:div>
    <w:div w:id="2097897208">
      <w:bodyDiv w:val="1"/>
      <w:marLeft w:val="0"/>
      <w:marRight w:val="0"/>
      <w:marTop w:val="0"/>
      <w:marBottom w:val="0"/>
      <w:divBdr>
        <w:top w:val="none" w:sz="0" w:space="0" w:color="auto"/>
        <w:left w:val="none" w:sz="0" w:space="0" w:color="auto"/>
        <w:bottom w:val="none" w:sz="0" w:space="0" w:color="auto"/>
        <w:right w:val="none" w:sz="0" w:space="0" w:color="auto"/>
      </w:divBdr>
    </w:div>
    <w:div w:id="2139296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atistica.md/" TargetMode="External"/><Relationship Id="rId12" Type="http://schemas.openxmlformats.org/officeDocument/2006/relationships/hyperlink" Target="http://go.worldbank.org/092X1CHHD0" TargetMode="External"/><Relationship Id="rId13" Type="http://schemas.openxmlformats.org/officeDocument/2006/relationships/hyperlink" Target="http://data.worldbank.org/country/moldova"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data.euro.who.int/hfa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58E9-7367-A742-90B1-8A4834DD303B}">
  <ds:schemaRefs>
    <ds:schemaRef ds:uri="http://schemas.openxmlformats.org/officeDocument/2006/bibliography"/>
  </ds:schemaRefs>
</ds:datastoreItem>
</file>

<file path=customXml/itemProps2.xml><?xml version="1.0" encoding="utf-8"?>
<ds:datastoreItem xmlns:ds="http://schemas.openxmlformats.org/officeDocument/2006/customXml" ds:itemID="{B8584DB1-866C-9D49-AD05-7653B6E5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13181</Words>
  <Characters>75137</Characters>
  <Application>Microsoft Macintosh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88142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Hone</dc:creator>
  <cp:keywords/>
  <dc:description/>
  <cp:lastModifiedBy>Thomas Hone</cp:lastModifiedBy>
  <cp:revision>4</cp:revision>
  <cp:lastPrinted>2015-01-23T08:01:00Z</cp:lastPrinted>
  <dcterms:created xsi:type="dcterms:W3CDTF">2016-05-10T13:15:00Z</dcterms:created>
  <dcterms:modified xsi:type="dcterms:W3CDTF">2016-05-10T13:46:00Z</dcterms:modified>
</cp:coreProperties>
</file>