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E08" w:rsidRPr="00F7005A" w:rsidRDefault="00FF6257" w:rsidP="00F7005A">
      <w:pPr>
        <w:spacing w:after="200"/>
        <w:ind w:left="720" w:hanging="720"/>
        <w:rPr>
          <w:rFonts w:asciiTheme="minorHAnsi" w:hAnsiTheme="minorHAnsi" w:cstheme="minorHAnsi"/>
          <w:color w:val="000000"/>
          <w:sz w:val="28"/>
          <w:szCs w:val="28"/>
        </w:rPr>
      </w:pPr>
      <w:bookmarkStart w:id="0" w:name="_GoBack"/>
      <w:bookmarkEnd w:id="0"/>
      <w:r>
        <w:rPr>
          <w:rFonts w:asciiTheme="minorHAnsi" w:hAnsiTheme="minorHAnsi" w:cstheme="minorHAnsi"/>
          <w:b/>
          <w:color w:val="000000"/>
          <w:sz w:val="28"/>
          <w:szCs w:val="28"/>
        </w:rPr>
        <w:t>Dependent personality and its</w:t>
      </w:r>
      <w:r w:rsidR="00BA406B" w:rsidRPr="00F7005A">
        <w:rPr>
          <w:rFonts w:asciiTheme="minorHAnsi" w:hAnsiTheme="minorHAnsi" w:cstheme="minorHAnsi"/>
          <w:b/>
          <w:color w:val="000000"/>
          <w:sz w:val="28"/>
          <w:szCs w:val="28"/>
        </w:rPr>
        <w:t xml:space="preserve"> influence on the short and long-term </w:t>
      </w:r>
      <w:r w:rsidR="00992E08" w:rsidRPr="00F7005A">
        <w:rPr>
          <w:rFonts w:asciiTheme="minorHAnsi" w:hAnsiTheme="minorHAnsi" w:cstheme="minorHAnsi"/>
          <w:b/>
          <w:color w:val="000000"/>
          <w:sz w:val="28"/>
          <w:szCs w:val="28"/>
        </w:rPr>
        <w:t>outcomes of cognitive behaviour therapy for health anxiety</w:t>
      </w:r>
      <w:r w:rsidR="00BA406B">
        <w:rPr>
          <w:rFonts w:asciiTheme="minorHAnsi" w:hAnsiTheme="minorHAnsi" w:cstheme="minorHAnsi"/>
          <w:b/>
          <w:color w:val="000000"/>
          <w:sz w:val="28"/>
          <w:szCs w:val="28"/>
        </w:rPr>
        <w:t>:</w:t>
      </w:r>
      <w:r w:rsidR="00BA406B" w:rsidRPr="00F7005A">
        <w:rPr>
          <w:rFonts w:asciiTheme="minorHAnsi" w:hAnsiTheme="minorHAnsi" w:cstheme="minorHAnsi"/>
          <w:b/>
          <w:color w:val="000000"/>
          <w:sz w:val="28"/>
          <w:szCs w:val="28"/>
        </w:rPr>
        <w:t xml:space="preserve"> randomised controlled trial </w:t>
      </w:r>
    </w:p>
    <w:p w:rsidR="00992E08" w:rsidRPr="00F7005A" w:rsidRDefault="00024C95" w:rsidP="00F24C52">
      <w:pPr>
        <w:spacing w:after="200"/>
        <w:rPr>
          <w:rFonts w:asciiTheme="minorHAnsi" w:hAnsiTheme="minorHAnsi" w:cstheme="minorHAnsi"/>
          <w:color w:val="000000"/>
          <w:sz w:val="28"/>
          <w:szCs w:val="28"/>
        </w:rPr>
      </w:pPr>
      <w:r w:rsidRPr="00F7005A">
        <w:rPr>
          <w:rFonts w:asciiTheme="minorHAnsi" w:hAnsiTheme="minorHAnsi" w:cstheme="minorHAnsi"/>
          <w:noProof/>
          <w:sz w:val="28"/>
          <w:szCs w:val="28"/>
        </w:rPr>
        <mc:AlternateContent>
          <mc:Choice Requires="wps">
            <w:drawing>
              <wp:anchor distT="45720" distB="45720" distL="114300" distR="114300" simplePos="0" relativeHeight="251658240" behindDoc="0" locked="0" layoutInCell="1" allowOverlap="1" wp14:anchorId="51362E67" wp14:editId="269F04E1">
                <wp:simplePos x="0" y="0"/>
                <wp:positionH relativeFrom="margin">
                  <wp:align>right</wp:align>
                </wp:positionH>
                <wp:positionV relativeFrom="paragraph">
                  <wp:posOffset>815340</wp:posOffset>
                </wp:positionV>
                <wp:extent cx="5715000" cy="3924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924300"/>
                        </a:xfrm>
                        <a:prstGeom prst="rect">
                          <a:avLst/>
                        </a:prstGeom>
                        <a:solidFill>
                          <a:srgbClr val="FFFFFF"/>
                        </a:solidFill>
                        <a:ln w="9525">
                          <a:solidFill>
                            <a:srgbClr val="000000"/>
                          </a:solidFill>
                          <a:miter lim="800000"/>
                          <a:headEnd/>
                          <a:tailEnd/>
                        </a:ln>
                      </wps:spPr>
                      <wps:txbx>
                        <w:txbxContent>
                          <w:p w:rsidR="00621880" w:rsidRDefault="00621880" w:rsidP="00812CD2">
                            <w:pPr>
                              <w:ind w:left="360"/>
                              <w:rPr>
                                <w:rFonts w:cs="Calibri"/>
                                <w:color w:val="000000"/>
                                <w:sz w:val="32"/>
                                <w:szCs w:val="32"/>
                              </w:rPr>
                            </w:pPr>
                            <w:r w:rsidRPr="002D5024">
                              <w:rPr>
                                <w:rFonts w:cs="Calibri"/>
                                <w:color w:val="000000"/>
                                <w:sz w:val="32"/>
                                <w:szCs w:val="32"/>
                              </w:rPr>
                              <w:t xml:space="preserve">Rahil Sanatinia, MD, Centre for Mental Health, Hammersmith Campus, Imperial College, London; Duolao Wang, PhD, </w:t>
                            </w:r>
                            <w:r w:rsidRPr="00812CD2">
                              <w:rPr>
                                <w:color w:val="000000"/>
                                <w:sz w:val="32"/>
                                <w:szCs w:val="32"/>
                              </w:rPr>
                              <w:t>Department of Clinical Sciences, Liverpool School of Tropical Medicine, Liverpool</w:t>
                            </w:r>
                            <w:r>
                              <w:rPr>
                                <w:color w:val="000000"/>
                                <w:sz w:val="32"/>
                                <w:szCs w:val="32"/>
                              </w:rPr>
                              <w:t xml:space="preserve">; Peter Tyrer, FRCPsych, FMedSci, </w:t>
                            </w:r>
                            <w:r w:rsidRPr="002D5024">
                              <w:rPr>
                                <w:rFonts w:cs="Calibri"/>
                                <w:color w:val="000000"/>
                                <w:sz w:val="32"/>
                                <w:szCs w:val="32"/>
                              </w:rPr>
                              <w:t xml:space="preserve">Centre for Mental Health, Hammersmith Campus, Imperial </w:t>
                            </w:r>
                          </w:p>
                          <w:p w:rsidR="00621880" w:rsidRPr="00F24C52" w:rsidRDefault="00621880" w:rsidP="00812CD2">
                            <w:pPr>
                              <w:ind w:left="360"/>
                              <w:rPr>
                                <w:color w:val="000000"/>
                              </w:rPr>
                            </w:pPr>
                            <w:r w:rsidRPr="002D5024">
                              <w:rPr>
                                <w:rFonts w:cs="Calibri"/>
                                <w:color w:val="000000"/>
                                <w:sz w:val="32"/>
                                <w:szCs w:val="32"/>
                              </w:rPr>
                              <w:t>College, London; Helen Tyrer, MB, PhD, Centre for Mental Health, Hammersmith Campus, Imperial College, London; Mike Crawford, MD,</w:t>
                            </w:r>
                            <w:r>
                              <w:rPr>
                                <w:rFonts w:cs="Calibri"/>
                                <w:color w:val="000000"/>
                                <w:sz w:val="32"/>
                                <w:szCs w:val="32"/>
                              </w:rPr>
                              <w:t xml:space="preserve"> </w:t>
                            </w:r>
                            <w:r w:rsidRPr="002D5024">
                              <w:rPr>
                                <w:rFonts w:cs="Calibri"/>
                                <w:color w:val="000000"/>
                                <w:sz w:val="32"/>
                                <w:szCs w:val="32"/>
                              </w:rPr>
                              <w:t xml:space="preserve">FRCPsych, Centre for Mental Health, Hammersmith Campus, Imperial College, London; Sylvia Cooper, BSc, Centre for Mental Health, Hammersmith Campus, Imperial College, London; Gemma Loebenberg, MSc, North West London Clinical Research Network, Hammersmith Hospital, London; Barbara Barrett, PhD, King’s Health Economics, Box P024, King’s College London, De Crespigny Park, London </w:t>
                            </w:r>
                          </w:p>
                          <w:p w:rsidR="00621880" w:rsidRDefault="00621880" w:rsidP="00D746DC"/>
                          <w:p w:rsidR="00621880" w:rsidRDefault="00621880" w:rsidP="00D746DC"/>
                          <w:p w:rsidR="00621880" w:rsidRDefault="00621880" w:rsidP="00D746DC"/>
                          <w:p w:rsidR="00621880" w:rsidRDefault="00621880" w:rsidP="00D746DC"/>
                          <w:p w:rsidR="00621880" w:rsidRDefault="00621880"/>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1362E67" id="_x0000_t202" coordsize="21600,21600" o:spt="202" path="m,l,21600r21600,l21600,xe">
                <v:stroke joinstyle="miter"/>
                <v:path gradientshapeok="t" o:connecttype="rect"/>
              </v:shapetype>
              <v:shape id="Text Box 2" o:spid="_x0000_s1026" type="#_x0000_t202" style="position:absolute;margin-left:398.8pt;margin-top:64.2pt;width:450pt;height:309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85cJwIAAEcEAAAOAAAAZHJzL2Uyb0RvYy54bWysU9tu2zAMfR+wfxD0vthxk6Ux4hRdugwD&#10;ugvQ7gNkWY6FSaImKbGzrx8lp2m6YS/D/GCIInV4eEiubgatyEE4L8FUdDrJKRGGQyPNrqLfHrdv&#10;rinxgZmGKTCiokfh6c369atVb0tRQAeqEY4giPFlbyvahWDLLPO8E5r5CVhh0NmC0yyg6XZZ41iP&#10;6FplRZ6/zXpwjXXAhfd4ezc66Trht63g4UvbehGIqihyC+nv0r+O/2y9YuXOMdtJfqLB/oGFZtJg&#10;0jPUHQuM7J38A0pL7sBDGyYcdAZtK7lINWA10/y3ah46ZkWqBcXx9iyT/3+w/PPhqyOyqWgxXVBi&#10;mMYmPYohkHcwkCLq01tfYtiDxcAw4DX2OdXq7T3w754Y2HTM7MStc9B3gjXIbxpfZhdPRxwfQer+&#10;EzSYhu0DJKChdTqKh3IQRMc+Hc+9iVQ4Xs4X03meo4uj72pZzK7QiDlY+fTcOh8+CNAkHirqsPkJ&#10;nh3ufRhDn0JiNg9KNlupVDLcrt4oRw4MB2WbvhP6izBlSF/R5byYjwr8FQKpRrZj1hcQWgaceCV1&#10;Ra/PQayMur03DT5gZWBSjWesTpmTkFG7UcUw1AMGRnVraI4oqYNxsnET8dCB+0lJj1NdUf9jz5yg&#10;RH002JbldDaLa5CM2XxRoOEuPfWlhxmOUBUNlIzHTUirEzkauMX2tTIJ+8zkxBWnNbXmtFlxHS7t&#10;FPW8/+tfAAAA//8DAFBLAwQUAAYACAAAACEARBYCkN4AAAAIAQAADwAAAGRycy9kb3ducmV2Lnht&#10;bEyPwU7DMBBE70j8g7VIXBC1KVGahjgVQgLBDQqCqxtvk4h4HWw3DX/PcoLjzoxm31Sb2Q1iwhB7&#10;TxquFgoEUuNtT62Gt9f7ywJETIasGTyhhm+MsKlPTypTWn+kF5y2qRVcQrE0GrqUxlLK2HToTFz4&#10;EYm9vQ/OJD5DK20wRy53g1wqlUtneuIPnRnxrsPmc3twGorscfqIT9fP702+H9bpYjU9fAWtz8/m&#10;2xsQCef0F4ZffEaHmpl2/kA2ikEDD0msLosMBNtrpVjZaVhleQayruT/AfUPAAAA//8DAFBLAQIt&#10;ABQABgAIAAAAIQC2gziS/gAAAOEBAAATAAAAAAAAAAAAAAAAAAAAAABbQ29udGVudF9UeXBlc10u&#10;eG1sUEsBAi0AFAAGAAgAAAAhADj9If/WAAAAlAEAAAsAAAAAAAAAAAAAAAAALwEAAF9yZWxzLy5y&#10;ZWxzUEsBAi0AFAAGAAgAAAAhAHunzlwnAgAARwQAAA4AAAAAAAAAAAAAAAAALgIAAGRycy9lMm9E&#10;b2MueG1sUEsBAi0AFAAGAAgAAAAhAEQWApDeAAAACAEAAA8AAAAAAAAAAAAAAAAAgQQAAGRycy9k&#10;b3ducmV2LnhtbFBLBQYAAAAABAAEAPMAAACMBQAAAAA=&#10;">
                <v:textbox>
                  <w:txbxContent>
                    <w:p w:rsidR="00621880" w:rsidRDefault="00621880" w:rsidP="00812CD2">
                      <w:pPr>
                        <w:ind w:left="360"/>
                        <w:rPr>
                          <w:rFonts w:cs="Calibri"/>
                          <w:color w:val="000000"/>
                          <w:sz w:val="32"/>
                          <w:szCs w:val="32"/>
                        </w:rPr>
                      </w:pPr>
                      <w:r w:rsidRPr="002D5024">
                        <w:rPr>
                          <w:rFonts w:cs="Calibri"/>
                          <w:color w:val="000000"/>
                          <w:sz w:val="32"/>
                          <w:szCs w:val="32"/>
                        </w:rPr>
                        <w:t xml:space="preserve">Rahil Sanatinia, MD, Centre for Mental Health, Hammersmith Campus, Imperial College, London; Duolao Wang, PhD, </w:t>
                      </w:r>
                      <w:r w:rsidRPr="00812CD2">
                        <w:rPr>
                          <w:color w:val="000000"/>
                          <w:sz w:val="32"/>
                          <w:szCs w:val="32"/>
                        </w:rPr>
                        <w:t>Department of Clinical Sciences, Liverpool School of Tropical Medicine, Liverpool</w:t>
                      </w:r>
                      <w:r>
                        <w:rPr>
                          <w:color w:val="000000"/>
                          <w:sz w:val="32"/>
                          <w:szCs w:val="32"/>
                        </w:rPr>
                        <w:t xml:space="preserve">; Peter Tyrer, FRCPsych, FMedSci, </w:t>
                      </w:r>
                      <w:r w:rsidRPr="002D5024">
                        <w:rPr>
                          <w:rFonts w:cs="Calibri"/>
                          <w:color w:val="000000"/>
                          <w:sz w:val="32"/>
                          <w:szCs w:val="32"/>
                        </w:rPr>
                        <w:t xml:space="preserve">Centre for Mental Health, Hammersmith Campus, Imperial </w:t>
                      </w:r>
                    </w:p>
                    <w:p w:rsidR="00621880" w:rsidRPr="00F24C52" w:rsidRDefault="00621880" w:rsidP="00812CD2">
                      <w:pPr>
                        <w:ind w:left="360"/>
                        <w:rPr>
                          <w:color w:val="000000"/>
                        </w:rPr>
                      </w:pPr>
                      <w:r w:rsidRPr="002D5024">
                        <w:rPr>
                          <w:rFonts w:cs="Calibri"/>
                          <w:color w:val="000000"/>
                          <w:sz w:val="32"/>
                          <w:szCs w:val="32"/>
                        </w:rPr>
                        <w:t>College, London; Helen Tyrer, MB, PhD, Centre for Mental Health, Hammersmith Campus, Imperial College, London; Mike Crawford, MD,</w:t>
                      </w:r>
                      <w:r>
                        <w:rPr>
                          <w:rFonts w:cs="Calibri"/>
                          <w:color w:val="000000"/>
                          <w:sz w:val="32"/>
                          <w:szCs w:val="32"/>
                        </w:rPr>
                        <w:t xml:space="preserve"> </w:t>
                      </w:r>
                      <w:r w:rsidRPr="002D5024">
                        <w:rPr>
                          <w:rFonts w:cs="Calibri"/>
                          <w:color w:val="000000"/>
                          <w:sz w:val="32"/>
                          <w:szCs w:val="32"/>
                        </w:rPr>
                        <w:t xml:space="preserve">FRCPsych, Centre for Mental Health, Hammersmith Campus, Imperial College, London; Sylvia Cooper, BSc, Centre for Mental Health, Hammersmith Campus, Imperial College, London; Gemma Loebenberg, MSc, North West London Clinical Research Network, Hammersmith Hospital, London; Barbara Barrett, PhD, King’s Health Economics, Box P024, King’s College London, De Crespigny Park, London </w:t>
                      </w:r>
                    </w:p>
                    <w:p w:rsidR="00621880" w:rsidRDefault="00621880" w:rsidP="00D746DC"/>
                    <w:p w:rsidR="00621880" w:rsidRDefault="00621880" w:rsidP="00D746DC"/>
                    <w:p w:rsidR="00621880" w:rsidRDefault="00621880" w:rsidP="00D746DC"/>
                    <w:p w:rsidR="00621880" w:rsidRDefault="00621880" w:rsidP="00D746DC"/>
                    <w:p w:rsidR="00621880" w:rsidRDefault="00621880"/>
                  </w:txbxContent>
                </v:textbox>
                <w10:wrap type="square" anchorx="margin"/>
              </v:shape>
            </w:pict>
          </mc:Fallback>
        </mc:AlternateContent>
      </w:r>
      <w:r w:rsidR="00BA406B" w:rsidRPr="00F7005A">
        <w:rPr>
          <w:rFonts w:asciiTheme="minorHAnsi" w:hAnsiTheme="minorHAnsi" w:cstheme="minorHAnsi"/>
          <w:color w:val="000000"/>
          <w:sz w:val="28"/>
          <w:szCs w:val="28"/>
        </w:rPr>
        <w:t xml:space="preserve">Peter Tyrer, </w:t>
      </w:r>
      <w:r w:rsidR="00992E08" w:rsidRPr="00F7005A">
        <w:rPr>
          <w:rFonts w:asciiTheme="minorHAnsi" w:hAnsiTheme="minorHAnsi" w:cstheme="minorHAnsi"/>
          <w:color w:val="000000"/>
          <w:sz w:val="28"/>
          <w:szCs w:val="28"/>
        </w:rPr>
        <w:t xml:space="preserve">Duolao Wang, Helen Tyrer, Mike Crawford, Sylvia Cooper, </w:t>
      </w:r>
      <w:r w:rsidR="008A4BD9">
        <w:rPr>
          <w:rFonts w:asciiTheme="minorHAnsi" w:hAnsiTheme="minorHAnsi" w:cstheme="minorHAnsi"/>
          <w:color w:val="000000"/>
          <w:sz w:val="28"/>
          <w:szCs w:val="28"/>
        </w:rPr>
        <w:t xml:space="preserve">Janice Morgan, </w:t>
      </w:r>
      <w:r w:rsidR="00BA406B" w:rsidRPr="00F7005A">
        <w:rPr>
          <w:rFonts w:asciiTheme="minorHAnsi" w:hAnsiTheme="minorHAnsi" w:cstheme="minorHAnsi"/>
          <w:color w:val="000000"/>
          <w:sz w:val="28"/>
          <w:szCs w:val="28"/>
        </w:rPr>
        <w:t xml:space="preserve">Rahil Sanatinia </w:t>
      </w:r>
      <w:r w:rsidR="00992E08" w:rsidRPr="00F7005A">
        <w:rPr>
          <w:rFonts w:asciiTheme="minorHAnsi" w:hAnsiTheme="minorHAnsi" w:cstheme="minorHAnsi"/>
          <w:color w:val="000000"/>
          <w:sz w:val="28"/>
          <w:szCs w:val="28"/>
        </w:rPr>
        <w:t xml:space="preserve">&amp; Barbara Barrett </w:t>
      </w:r>
    </w:p>
    <w:p w:rsidR="00992E08" w:rsidRPr="00F7005A" w:rsidRDefault="00992E08" w:rsidP="00D34A5A">
      <w:pPr>
        <w:spacing w:after="200"/>
        <w:rPr>
          <w:rFonts w:asciiTheme="minorHAnsi" w:hAnsiTheme="minorHAnsi" w:cstheme="minorHAnsi"/>
          <w:color w:val="000000"/>
          <w:sz w:val="28"/>
          <w:szCs w:val="28"/>
        </w:rPr>
      </w:pPr>
    </w:p>
    <w:p w:rsidR="00992E08" w:rsidRPr="00F7005A" w:rsidRDefault="00992E08" w:rsidP="00D34A5A">
      <w:pPr>
        <w:spacing w:after="200"/>
        <w:rPr>
          <w:rFonts w:asciiTheme="minorHAnsi" w:hAnsiTheme="minorHAnsi" w:cstheme="minorHAnsi"/>
          <w:color w:val="000000"/>
          <w:sz w:val="28"/>
          <w:szCs w:val="28"/>
        </w:rPr>
      </w:pPr>
    </w:p>
    <w:p w:rsidR="00884DF4" w:rsidRPr="00F7005A" w:rsidRDefault="00884DF4" w:rsidP="00D34A5A">
      <w:pPr>
        <w:spacing w:after="200"/>
        <w:rPr>
          <w:rFonts w:asciiTheme="minorHAnsi" w:hAnsiTheme="minorHAnsi" w:cstheme="minorHAnsi"/>
          <w:color w:val="000000"/>
          <w:sz w:val="28"/>
          <w:szCs w:val="28"/>
        </w:rPr>
      </w:pPr>
    </w:p>
    <w:p w:rsidR="00884DF4" w:rsidRPr="00F7005A" w:rsidRDefault="00884DF4" w:rsidP="00D34A5A">
      <w:pPr>
        <w:spacing w:after="200"/>
        <w:rPr>
          <w:rFonts w:asciiTheme="minorHAnsi" w:hAnsiTheme="minorHAnsi" w:cstheme="minorHAnsi"/>
          <w:color w:val="000000"/>
          <w:sz w:val="28"/>
          <w:szCs w:val="28"/>
        </w:rPr>
      </w:pPr>
    </w:p>
    <w:p w:rsidR="00884DF4" w:rsidRPr="00F7005A" w:rsidRDefault="00884DF4" w:rsidP="00D34A5A">
      <w:pPr>
        <w:spacing w:after="200"/>
        <w:rPr>
          <w:rFonts w:asciiTheme="minorHAnsi" w:hAnsiTheme="minorHAnsi" w:cstheme="minorHAnsi"/>
          <w:color w:val="000000"/>
          <w:sz w:val="28"/>
          <w:szCs w:val="28"/>
        </w:rPr>
      </w:pPr>
    </w:p>
    <w:p w:rsidR="00884DF4" w:rsidRPr="00F7005A" w:rsidRDefault="00884DF4" w:rsidP="00D34A5A">
      <w:pPr>
        <w:spacing w:after="200"/>
        <w:rPr>
          <w:rFonts w:asciiTheme="minorHAnsi" w:hAnsiTheme="minorHAnsi" w:cstheme="minorHAnsi"/>
          <w:color w:val="000000"/>
          <w:sz w:val="28"/>
          <w:szCs w:val="28"/>
        </w:rPr>
      </w:pPr>
    </w:p>
    <w:p w:rsidR="00884DF4" w:rsidRPr="00F7005A" w:rsidRDefault="00884DF4" w:rsidP="00D34A5A">
      <w:pPr>
        <w:spacing w:after="200"/>
        <w:rPr>
          <w:rFonts w:asciiTheme="minorHAnsi" w:hAnsiTheme="minorHAnsi" w:cstheme="minorHAnsi"/>
          <w:color w:val="000000"/>
          <w:sz w:val="28"/>
          <w:szCs w:val="28"/>
        </w:rPr>
      </w:pPr>
    </w:p>
    <w:p w:rsidR="00884DF4" w:rsidRPr="00F7005A" w:rsidRDefault="00884DF4" w:rsidP="00D34A5A">
      <w:pPr>
        <w:spacing w:after="200"/>
        <w:rPr>
          <w:rFonts w:asciiTheme="minorHAnsi" w:hAnsiTheme="minorHAnsi" w:cstheme="minorHAnsi"/>
          <w:color w:val="000000"/>
          <w:sz w:val="28"/>
          <w:szCs w:val="28"/>
        </w:rPr>
      </w:pPr>
    </w:p>
    <w:p w:rsidR="00024C95" w:rsidRPr="00F7005A" w:rsidRDefault="00024C95" w:rsidP="00D34A5A">
      <w:pPr>
        <w:spacing w:after="200"/>
        <w:rPr>
          <w:rFonts w:asciiTheme="minorHAnsi" w:hAnsiTheme="minorHAnsi" w:cstheme="minorHAnsi"/>
          <w:color w:val="000000"/>
          <w:sz w:val="28"/>
          <w:szCs w:val="28"/>
        </w:rPr>
      </w:pPr>
    </w:p>
    <w:p w:rsidR="00024C95" w:rsidRPr="00F7005A" w:rsidRDefault="00024C95" w:rsidP="00D34A5A">
      <w:pPr>
        <w:spacing w:after="200"/>
        <w:rPr>
          <w:rFonts w:asciiTheme="minorHAnsi" w:hAnsiTheme="minorHAnsi" w:cstheme="minorHAnsi"/>
          <w:color w:val="000000"/>
          <w:sz w:val="28"/>
          <w:szCs w:val="28"/>
        </w:rPr>
      </w:pPr>
    </w:p>
    <w:p w:rsidR="00024C95" w:rsidRPr="00F7005A" w:rsidRDefault="00024C95" w:rsidP="00D34A5A">
      <w:pPr>
        <w:spacing w:after="200"/>
        <w:rPr>
          <w:rFonts w:asciiTheme="minorHAnsi" w:hAnsiTheme="minorHAnsi" w:cstheme="minorHAnsi"/>
          <w:color w:val="000000"/>
          <w:sz w:val="28"/>
          <w:szCs w:val="28"/>
        </w:rPr>
      </w:pPr>
    </w:p>
    <w:p w:rsidR="00024C95" w:rsidRPr="00F7005A" w:rsidRDefault="00024C95" w:rsidP="00D34A5A">
      <w:pPr>
        <w:spacing w:after="200"/>
        <w:rPr>
          <w:rFonts w:asciiTheme="minorHAnsi" w:hAnsiTheme="minorHAnsi" w:cstheme="minorHAnsi"/>
          <w:color w:val="000000"/>
          <w:sz w:val="28"/>
          <w:szCs w:val="28"/>
        </w:rPr>
      </w:pPr>
    </w:p>
    <w:p w:rsidR="00024C95" w:rsidRPr="00F7005A" w:rsidRDefault="00024C95" w:rsidP="00D34A5A">
      <w:pPr>
        <w:spacing w:after="200"/>
        <w:rPr>
          <w:rFonts w:asciiTheme="minorHAnsi" w:hAnsiTheme="minorHAnsi" w:cstheme="minorHAnsi"/>
          <w:color w:val="000000"/>
          <w:sz w:val="28"/>
          <w:szCs w:val="28"/>
        </w:rPr>
      </w:pPr>
    </w:p>
    <w:p w:rsidR="00992E08" w:rsidRPr="00F7005A" w:rsidRDefault="00992E08" w:rsidP="00D34A5A">
      <w:pPr>
        <w:spacing w:after="200"/>
        <w:rPr>
          <w:rFonts w:asciiTheme="minorHAnsi" w:hAnsiTheme="minorHAnsi" w:cstheme="minorHAnsi"/>
          <w:color w:val="000000"/>
          <w:sz w:val="28"/>
          <w:szCs w:val="28"/>
        </w:rPr>
      </w:pPr>
      <w:r w:rsidRPr="00F7005A">
        <w:rPr>
          <w:rFonts w:asciiTheme="minorHAnsi" w:hAnsiTheme="minorHAnsi" w:cstheme="minorHAnsi"/>
          <w:color w:val="000000"/>
          <w:sz w:val="28"/>
          <w:szCs w:val="28"/>
        </w:rPr>
        <w:t>Correspondence: Professor Peter Tyrer, Centre for Mental Health, Imperial College, Hammersmith Hospital, London W12 0NN, UK. Email: p.tyrer@imperial.ac.uk.</w:t>
      </w:r>
    </w:p>
    <w:p w:rsidR="00992E08" w:rsidRPr="00F7005A" w:rsidRDefault="00992E08" w:rsidP="00D34A5A">
      <w:pPr>
        <w:spacing w:after="200"/>
        <w:rPr>
          <w:rFonts w:asciiTheme="minorHAnsi" w:hAnsiTheme="minorHAnsi" w:cstheme="minorHAnsi"/>
          <w:color w:val="000000"/>
          <w:sz w:val="28"/>
          <w:szCs w:val="28"/>
        </w:rPr>
      </w:pPr>
    </w:p>
    <w:p w:rsidR="00992E08" w:rsidRPr="00F7005A" w:rsidRDefault="00992E08" w:rsidP="00C8452D">
      <w:pPr>
        <w:rPr>
          <w:rFonts w:asciiTheme="minorHAnsi" w:hAnsiTheme="minorHAnsi" w:cstheme="minorHAnsi"/>
          <w:sz w:val="28"/>
          <w:szCs w:val="28"/>
        </w:rPr>
      </w:pPr>
    </w:p>
    <w:p w:rsidR="00992E08" w:rsidRPr="00F7005A" w:rsidRDefault="00992E08" w:rsidP="00C8452D">
      <w:pPr>
        <w:rPr>
          <w:rFonts w:asciiTheme="minorHAnsi" w:hAnsiTheme="minorHAnsi" w:cstheme="minorHAnsi"/>
          <w:sz w:val="28"/>
          <w:szCs w:val="28"/>
        </w:rPr>
      </w:pPr>
    </w:p>
    <w:p w:rsidR="00992E08" w:rsidRPr="00F7005A" w:rsidRDefault="00992E08" w:rsidP="00C8452D">
      <w:pPr>
        <w:rPr>
          <w:rFonts w:asciiTheme="minorHAnsi" w:hAnsiTheme="minorHAnsi" w:cstheme="minorHAnsi"/>
          <w:sz w:val="28"/>
          <w:szCs w:val="28"/>
        </w:rPr>
      </w:pPr>
    </w:p>
    <w:p w:rsidR="00992E08" w:rsidRPr="00F7005A" w:rsidRDefault="00992E08" w:rsidP="00C8452D">
      <w:pPr>
        <w:rPr>
          <w:rFonts w:asciiTheme="minorHAnsi" w:hAnsiTheme="minorHAnsi" w:cstheme="minorHAnsi"/>
          <w:sz w:val="28"/>
          <w:szCs w:val="28"/>
        </w:rPr>
      </w:pPr>
    </w:p>
    <w:p w:rsidR="00992E08" w:rsidRPr="00F7005A" w:rsidRDefault="00992E08" w:rsidP="00C8452D">
      <w:pPr>
        <w:rPr>
          <w:rFonts w:asciiTheme="minorHAnsi" w:hAnsiTheme="minorHAnsi" w:cstheme="minorHAnsi"/>
          <w:sz w:val="28"/>
          <w:szCs w:val="28"/>
        </w:rPr>
      </w:pPr>
    </w:p>
    <w:p w:rsidR="00992E08" w:rsidRPr="00F7005A" w:rsidRDefault="00992E08" w:rsidP="00C8452D">
      <w:pPr>
        <w:rPr>
          <w:rFonts w:asciiTheme="minorHAnsi" w:hAnsiTheme="minorHAnsi" w:cstheme="minorHAnsi"/>
          <w:sz w:val="28"/>
          <w:szCs w:val="28"/>
        </w:rPr>
      </w:pPr>
    </w:p>
    <w:p w:rsidR="00992E08" w:rsidRPr="00F7005A" w:rsidRDefault="00992E08" w:rsidP="00C8452D">
      <w:pPr>
        <w:rPr>
          <w:rFonts w:asciiTheme="minorHAnsi" w:hAnsiTheme="minorHAnsi" w:cstheme="minorHAnsi"/>
          <w:sz w:val="28"/>
          <w:szCs w:val="28"/>
        </w:rPr>
      </w:pPr>
    </w:p>
    <w:p w:rsidR="00992E08" w:rsidRPr="00F7005A" w:rsidRDefault="00992E08" w:rsidP="00C8452D">
      <w:pPr>
        <w:rPr>
          <w:rFonts w:asciiTheme="minorHAnsi" w:hAnsiTheme="minorHAnsi" w:cstheme="minorHAnsi"/>
          <w:sz w:val="28"/>
          <w:szCs w:val="28"/>
        </w:rPr>
      </w:pPr>
    </w:p>
    <w:p w:rsidR="00992E08" w:rsidRPr="00F7005A" w:rsidRDefault="00992E08" w:rsidP="00C8452D">
      <w:pPr>
        <w:rPr>
          <w:rFonts w:asciiTheme="minorHAnsi" w:hAnsiTheme="minorHAnsi" w:cstheme="minorHAnsi"/>
          <w:sz w:val="28"/>
          <w:szCs w:val="28"/>
        </w:rPr>
      </w:pPr>
    </w:p>
    <w:p w:rsidR="00992E08" w:rsidRPr="00F7005A" w:rsidRDefault="00992E08" w:rsidP="00C8452D">
      <w:pPr>
        <w:rPr>
          <w:rFonts w:asciiTheme="minorHAnsi" w:hAnsiTheme="minorHAnsi" w:cstheme="minorHAnsi"/>
          <w:sz w:val="28"/>
          <w:szCs w:val="28"/>
        </w:rPr>
      </w:pPr>
    </w:p>
    <w:p w:rsidR="00992E08" w:rsidRPr="00F7005A" w:rsidRDefault="00992E08" w:rsidP="00C8452D">
      <w:pPr>
        <w:rPr>
          <w:rFonts w:asciiTheme="minorHAnsi" w:hAnsiTheme="minorHAnsi" w:cstheme="minorHAnsi"/>
          <w:sz w:val="28"/>
          <w:szCs w:val="28"/>
        </w:rPr>
      </w:pPr>
    </w:p>
    <w:p w:rsidR="00992E08" w:rsidRPr="00F7005A" w:rsidRDefault="00992E08" w:rsidP="00C8452D">
      <w:pPr>
        <w:rPr>
          <w:rFonts w:asciiTheme="minorHAnsi" w:hAnsiTheme="minorHAnsi" w:cstheme="minorHAnsi"/>
          <w:sz w:val="28"/>
          <w:szCs w:val="28"/>
        </w:rPr>
      </w:pPr>
    </w:p>
    <w:p w:rsidR="00992E08" w:rsidRPr="00F7005A" w:rsidRDefault="00992E08" w:rsidP="00C8452D">
      <w:pPr>
        <w:rPr>
          <w:rFonts w:asciiTheme="minorHAnsi" w:hAnsiTheme="minorHAnsi" w:cstheme="minorHAnsi"/>
          <w:sz w:val="28"/>
          <w:szCs w:val="28"/>
        </w:rPr>
      </w:pPr>
    </w:p>
    <w:p w:rsidR="00992E08" w:rsidRPr="00F7005A" w:rsidRDefault="00992E08" w:rsidP="00C8452D">
      <w:pPr>
        <w:rPr>
          <w:rFonts w:asciiTheme="minorHAnsi" w:hAnsiTheme="minorHAnsi" w:cstheme="minorHAnsi"/>
          <w:sz w:val="28"/>
          <w:szCs w:val="28"/>
        </w:rPr>
      </w:pPr>
    </w:p>
    <w:p w:rsidR="00992E08" w:rsidRPr="00F7005A" w:rsidRDefault="00992E08" w:rsidP="00C8452D">
      <w:pPr>
        <w:rPr>
          <w:rFonts w:asciiTheme="minorHAnsi" w:hAnsiTheme="minorHAnsi" w:cstheme="minorHAnsi"/>
          <w:sz w:val="28"/>
          <w:szCs w:val="28"/>
        </w:rPr>
      </w:pPr>
    </w:p>
    <w:p w:rsidR="00992E08" w:rsidRPr="00F7005A" w:rsidRDefault="00992E08" w:rsidP="00C8452D">
      <w:pPr>
        <w:rPr>
          <w:rFonts w:asciiTheme="minorHAnsi" w:hAnsiTheme="minorHAnsi" w:cstheme="minorHAnsi"/>
          <w:sz w:val="28"/>
          <w:szCs w:val="28"/>
        </w:rPr>
      </w:pPr>
    </w:p>
    <w:p w:rsidR="00992E08" w:rsidRPr="00F7005A" w:rsidRDefault="00992E08" w:rsidP="00C8452D">
      <w:pPr>
        <w:rPr>
          <w:rFonts w:asciiTheme="minorHAnsi" w:hAnsiTheme="minorHAnsi" w:cstheme="minorHAnsi"/>
          <w:sz w:val="28"/>
          <w:szCs w:val="28"/>
        </w:rPr>
      </w:pPr>
    </w:p>
    <w:p w:rsidR="00992E08" w:rsidRPr="00F7005A" w:rsidRDefault="00992E08" w:rsidP="00C8452D">
      <w:pPr>
        <w:rPr>
          <w:rFonts w:asciiTheme="minorHAnsi" w:hAnsiTheme="minorHAnsi" w:cstheme="minorHAnsi"/>
          <w:sz w:val="28"/>
          <w:szCs w:val="28"/>
        </w:rPr>
      </w:pPr>
    </w:p>
    <w:p w:rsidR="00992E08" w:rsidRPr="00F7005A" w:rsidRDefault="00992E08" w:rsidP="00C8452D">
      <w:pPr>
        <w:rPr>
          <w:rFonts w:asciiTheme="minorHAnsi" w:hAnsiTheme="minorHAnsi" w:cstheme="minorHAnsi"/>
          <w:sz w:val="28"/>
          <w:szCs w:val="28"/>
        </w:rPr>
      </w:pPr>
    </w:p>
    <w:p w:rsidR="00992E08" w:rsidRPr="00F7005A" w:rsidRDefault="00992E08" w:rsidP="00C8452D">
      <w:pPr>
        <w:rPr>
          <w:rFonts w:asciiTheme="minorHAnsi" w:hAnsiTheme="minorHAnsi" w:cstheme="minorHAnsi"/>
          <w:sz w:val="28"/>
          <w:szCs w:val="28"/>
        </w:rPr>
      </w:pPr>
    </w:p>
    <w:p w:rsidR="00992E08" w:rsidRPr="00F7005A" w:rsidRDefault="00992E08" w:rsidP="00C8452D">
      <w:pPr>
        <w:rPr>
          <w:rFonts w:asciiTheme="minorHAnsi" w:hAnsiTheme="minorHAnsi" w:cstheme="minorHAnsi"/>
          <w:sz w:val="28"/>
          <w:szCs w:val="28"/>
        </w:rPr>
      </w:pPr>
    </w:p>
    <w:p w:rsidR="00992E08" w:rsidRPr="00F7005A" w:rsidRDefault="00992E08" w:rsidP="00D34A5A">
      <w:pPr>
        <w:spacing w:after="200"/>
        <w:rPr>
          <w:rFonts w:asciiTheme="minorHAnsi" w:hAnsiTheme="minorHAnsi" w:cstheme="minorHAnsi"/>
          <w:b/>
          <w:color w:val="000000"/>
          <w:sz w:val="28"/>
          <w:szCs w:val="28"/>
        </w:rPr>
      </w:pPr>
    </w:p>
    <w:p w:rsidR="00992E08" w:rsidRPr="00F7005A" w:rsidRDefault="00992E08" w:rsidP="00D34A5A">
      <w:pPr>
        <w:spacing w:after="200"/>
        <w:rPr>
          <w:rFonts w:asciiTheme="minorHAnsi" w:hAnsiTheme="minorHAnsi" w:cstheme="minorHAnsi"/>
          <w:b/>
          <w:color w:val="000000"/>
          <w:sz w:val="28"/>
          <w:szCs w:val="28"/>
        </w:rPr>
      </w:pPr>
    </w:p>
    <w:p w:rsidR="00992E08" w:rsidRPr="00F7005A" w:rsidRDefault="00992E08" w:rsidP="00D34A5A">
      <w:pPr>
        <w:spacing w:after="200"/>
        <w:rPr>
          <w:rFonts w:asciiTheme="minorHAnsi" w:hAnsiTheme="minorHAnsi" w:cstheme="minorHAnsi"/>
          <w:b/>
          <w:color w:val="000000"/>
          <w:sz w:val="28"/>
          <w:szCs w:val="28"/>
        </w:rPr>
      </w:pPr>
    </w:p>
    <w:p w:rsidR="00992E08" w:rsidRPr="00F7005A" w:rsidRDefault="00992E08" w:rsidP="00D34A5A">
      <w:pPr>
        <w:spacing w:after="200"/>
        <w:rPr>
          <w:rFonts w:asciiTheme="minorHAnsi" w:hAnsiTheme="minorHAnsi" w:cstheme="minorHAnsi"/>
          <w:b/>
          <w:color w:val="000000"/>
          <w:sz w:val="28"/>
          <w:szCs w:val="28"/>
        </w:rPr>
      </w:pPr>
    </w:p>
    <w:p w:rsidR="00992E08" w:rsidRPr="00F7005A" w:rsidRDefault="00992E08" w:rsidP="00D34A5A">
      <w:pPr>
        <w:spacing w:after="200"/>
        <w:rPr>
          <w:rFonts w:asciiTheme="minorHAnsi" w:hAnsiTheme="minorHAnsi" w:cstheme="minorHAnsi"/>
          <w:b/>
          <w:color w:val="000000"/>
          <w:sz w:val="28"/>
          <w:szCs w:val="28"/>
        </w:rPr>
      </w:pPr>
    </w:p>
    <w:p w:rsidR="00BA406B" w:rsidRPr="006119E5" w:rsidRDefault="00BA406B" w:rsidP="00F7005A">
      <w:pPr>
        <w:spacing w:after="200"/>
        <w:rPr>
          <w:rFonts w:asciiTheme="minorHAnsi" w:hAnsiTheme="minorHAnsi" w:cstheme="minorHAnsi"/>
          <w:color w:val="000000"/>
          <w:sz w:val="28"/>
          <w:szCs w:val="28"/>
        </w:rPr>
      </w:pPr>
      <w:r w:rsidRPr="006119E5">
        <w:rPr>
          <w:rFonts w:asciiTheme="minorHAnsi" w:hAnsiTheme="minorHAnsi" w:cstheme="minorHAnsi"/>
          <w:b/>
          <w:color w:val="000000"/>
          <w:sz w:val="28"/>
          <w:szCs w:val="28"/>
        </w:rPr>
        <w:lastRenderedPageBreak/>
        <w:t>Dimensions of dependence and their influence on the short and long-term outcomes of cognitive behaviour therapy for health anxiety</w:t>
      </w:r>
      <w:r>
        <w:rPr>
          <w:rFonts w:asciiTheme="minorHAnsi" w:hAnsiTheme="minorHAnsi" w:cstheme="minorHAnsi"/>
          <w:b/>
          <w:color w:val="000000"/>
          <w:sz w:val="28"/>
          <w:szCs w:val="28"/>
        </w:rPr>
        <w:t>:</w:t>
      </w:r>
      <w:r w:rsidRPr="006119E5">
        <w:rPr>
          <w:rFonts w:asciiTheme="minorHAnsi" w:hAnsiTheme="minorHAnsi" w:cstheme="minorHAnsi"/>
          <w:b/>
          <w:color w:val="000000"/>
          <w:sz w:val="28"/>
          <w:szCs w:val="28"/>
        </w:rPr>
        <w:t xml:space="preserve"> randomised controlled trial </w:t>
      </w:r>
    </w:p>
    <w:p w:rsidR="00992E08" w:rsidRPr="00F7005A" w:rsidRDefault="00BA406B" w:rsidP="008A4606">
      <w:pPr>
        <w:spacing w:line="360" w:lineRule="auto"/>
        <w:rPr>
          <w:rFonts w:asciiTheme="minorHAnsi" w:hAnsiTheme="minorHAnsi" w:cstheme="minorHAnsi"/>
          <w:sz w:val="28"/>
          <w:szCs w:val="28"/>
        </w:rPr>
      </w:pPr>
      <w:r w:rsidRPr="006119E5">
        <w:rPr>
          <w:rFonts w:asciiTheme="minorHAnsi" w:hAnsiTheme="minorHAnsi" w:cstheme="minorHAnsi"/>
          <w:color w:val="000000"/>
          <w:sz w:val="28"/>
          <w:szCs w:val="28"/>
        </w:rPr>
        <w:t xml:space="preserve">Peter Tyrer, Duolao Wang, Helen Tyrer, Mike Crawford, Sylvia Cooper, </w:t>
      </w:r>
      <w:r w:rsidR="008A4BD9">
        <w:rPr>
          <w:rFonts w:asciiTheme="minorHAnsi" w:hAnsiTheme="minorHAnsi" w:cstheme="minorHAnsi"/>
          <w:color w:val="000000"/>
          <w:sz w:val="28"/>
          <w:szCs w:val="28"/>
        </w:rPr>
        <w:t xml:space="preserve">Janice Morgan, </w:t>
      </w:r>
      <w:r w:rsidRPr="006119E5">
        <w:rPr>
          <w:rFonts w:asciiTheme="minorHAnsi" w:hAnsiTheme="minorHAnsi" w:cstheme="minorHAnsi"/>
          <w:color w:val="000000"/>
          <w:sz w:val="28"/>
          <w:szCs w:val="28"/>
        </w:rPr>
        <w:t>Rahil Sanatinia &amp; Barbara Barrett</w:t>
      </w:r>
      <w:r w:rsidRPr="00BA406B" w:rsidDel="00BA406B">
        <w:rPr>
          <w:rFonts w:asciiTheme="minorHAnsi" w:hAnsiTheme="minorHAnsi" w:cstheme="minorHAnsi"/>
          <w:color w:val="000000"/>
          <w:sz w:val="28"/>
          <w:szCs w:val="28"/>
        </w:rPr>
        <w:t xml:space="preserve"> </w:t>
      </w:r>
    </w:p>
    <w:p w:rsidR="00BA406B" w:rsidRDefault="00BA406B" w:rsidP="008A4606">
      <w:pPr>
        <w:spacing w:after="200" w:line="360" w:lineRule="auto"/>
        <w:rPr>
          <w:rFonts w:asciiTheme="minorHAnsi" w:hAnsiTheme="minorHAnsi" w:cstheme="minorHAnsi"/>
          <w:b/>
          <w:sz w:val="28"/>
          <w:szCs w:val="28"/>
        </w:rPr>
      </w:pPr>
    </w:p>
    <w:p w:rsidR="00992E08" w:rsidRPr="00F7005A" w:rsidRDefault="00992E08" w:rsidP="008A4606">
      <w:pPr>
        <w:spacing w:after="200" w:line="360" w:lineRule="auto"/>
        <w:rPr>
          <w:rFonts w:asciiTheme="minorHAnsi" w:hAnsiTheme="minorHAnsi" w:cstheme="minorHAnsi"/>
          <w:color w:val="000000"/>
          <w:sz w:val="28"/>
          <w:szCs w:val="28"/>
        </w:rPr>
      </w:pPr>
      <w:r w:rsidRPr="00F7005A">
        <w:rPr>
          <w:rFonts w:asciiTheme="minorHAnsi" w:hAnsiTheme="minorHAnsi" w:cstheme="minorHAnsi"/>
          <w:b/>
          <w:sz w:val="28"/>
          <w:szCs w:val="28"/>
        </w:rPr>
        <w:t>Background</w:t>
      </w:r>
      <w:r w:rsidRPr="00F7005A">
        <w:rPr>
          <w:rFonts w:asciiTheme="minorHAnsi" w:hAnsiTheme="minorHAnsi" w:cstheme="minorHAnsi"/>
          <w:color w:val="000000"/>
          <w:sz w:val="28"/>
          <w:szCs w:val="28"/>
        </w:rPr>
        <w:t xml:space="preserve">: </w:t>
      </w:r>
      <w:r w:rsidR="00BA406B">
        <w:rPr>
          <w:rFonts w:asciiTheme="minorHAnsi" w:hAnsiTheme="minorHAnsi" w:cstheme="minorHAnsi"/>
          <w:color w:val="000000"/>
          <w:sz w:val="28"/>
          <w:szCs w:val="28"/>
        </w:rPr>
        <w:t xml:space="preserve">The personality trait of dependence is </w:t>
      </w:r>
      <w:r w:rsidR="009F3005">
        <w:rPr>
          <w:rFonts w:asciiTheme="minorHAnsi" w:hAnsiTheme="minorHAnsi" w:cstheme="minorHAnsi"/>
          <w:color w:val="000000"/>
          <w:sz w:val="28"/>
          <w:szCs w:val="28"/>
        </w:rPr>
        <w:t xml:space="preserve">somewhat difference from many others in that it is often regarded as adaptive and, when maladaptive, is of less pathological significance than </w:t>
      </w:r>
      <w:r w:rsidR="008A4BD9">
        <w:rPr>
          <w:rFonts w:asciiTheme="minorHAnsi" w:hAnsiTheme="minorHAnsi" w:cstheme="minorHAnsi"/>
          <w:color w:val="000000"/>
          <w:sz w:val="28"/>
          <w:szCs w:val="28"/>
        </w:rPr>
        <w:t>many other traits. There is also some evidenc</w:t>
      </w:r>
      <w:r w:rsidRPr="00F7005A">
        <w:rPr>
          <w:rFonts w:asciiTheme="minorHAnsi" w:hAnsiTheme="minorHAnsi" w:cstheme="minorHAnsi"/>
          <w:color w:val="000000"/>
          <w:sz w:val="28"/>
          <w:szCs w:val="28"/>
        </w:rPr>
        <w:t>e</w:t>
      </w:r>
      <w:r w:rsidR="008A4BD9">
        <w:rPr>
          <w:rFonts w:asciiTheme="minorHAnsi" w:hAnsiTheme="minorHAnsi" w:cstheme="minorHAnsi"/>
          <w:color w:val="000000"/>
          <w:sz w:val="28"/>
          <w:szCs w:val="28"/>
        </w:rPr>
        <w:t xml:space="preserve"> that it may be a positive trait in health seeking behaviour. We therefore examined its impact in a large randomised controlled trial of psychological treatment for health anxiety. </w:t>
      </w:r>
    </w:p>
    <w:p w:rsidR="00992E08" w:rsidRPr="00F7005A" w:rsidRDefault="00992E08" w:rsidP="008A4606">
      <w:pPr>
        <w:spacing w:after="200" w:line="360" w:lineRule="auto"/>
        <w:rPr>
          <w:rFonts w:asciiTheme="minorHAnsi" w:hAnsiTheme="minorHAnsi" w:cstheme="minorHAnsi"/>
          <w:color w:val="000000"/>
          <w:sz w:val="28"/>
          <w:szCs w:val="28"/>
        </w:rPr>
      </w:pPr>
      <w:r w:rsidRPr="00F7005A">
        <w:rPr>
          <w:rFonts w:asciiTheme="minorHAnsi" w:hAnsiTheme="minorHAnsi" w:cstheme="minorHAnsi"/>
          <w:b/>
          <w:color w:val="000000"/>
          <w:sz w:val="28"/>
          <w:szCs w:val="28"/>
        </w:rPr>
        <w:t xml:space="preserve">Aims: </w:t>
      </w:r>
      <w:r w:rsidRPr="00F7005A">
        <w:rPr>
          <w:rFonts w:asciiTheme="minorHAnsi" w:hAnsiTheme="minorHAnsi" w:cstheme="minorHAnsi"/>
          <w:color w:val="000000"/>
          <w:sz w:val="28"/>
          <w:szCs w:val="28"/>
        </w:rPr>
        <w:t xml:space="preserve">To test </w:t>
      </w:r>
      <w:r w:rsidR="008A4BD9">
        <w:rPr>
          <w:rFonts w:asciiTheme="minorHAnsi" w:hAnsiTheme="minorHAnsi" w:cstheme="minorHAnsi"/>
          <w:color w:val="000000"/>
          <w:sz w:val="28"/>
          <w:szCs w:val="28"/>
        </w:rPr>
        <w:t xml:space="preserve">whether dependent personality traits were positive or negative in determining the outcome of an adapted form of cognitive behaviour therapy for health anxiety (CBT-HA) over their otv ce erh </w:t>
      </w:r>
      <w:r w:rsidRPr="00F7005A">
        <w:rPr>
          <w:rFonts w:asciiTheme="minorHAnsi" w:hAnsiTheme="minorHAnsi" w:cstheme="minorHAnsi"/>
          <w:color w:val="000000"/>
          <w:sz w:val="28"/>
          <w:szCs w:val="28"/>
        </w:rPr>
        <w:t xml:space="preserve">the hypotheses that personality dysfunction recorded using the new ICD-11 diagnostic system had a negative influence on the outcomes of treatment with cognitive behaviour therapy for health anxiety over 2 years and that personality dysfunction would be associated with increased cost. </w:t>
      </w:r>
    </w:p>
    <w:p w:rsidR="00992E08" w:rsidRPr="00F7005A" w:rsidRDefault="00992E08" w:rsidP="008A4606">
      <w:pPr>
        <w:spacing w:after="200" w:line="360" w:lineRule="auto"/>
        <w:rPr>
          <w:rFonts w:asciiTheme="minorHAnsi" w:hAnsiTheme="minorHAnsi" w:cstheme="minorHAnsi"/>
          <w:color w:val="000000"/>
          <w:sz w:val="28"/>
          <w:szCs w:val="28"/>
        </w:rPr>
      </w:pPr>
      <w:r w:rsidRPr="00F7005A">
        <w:rPr>
          <w:rFonts w:asciiTheme="minorHAnsi" w:hAnsiTheme="minorHAnsi" w:cstheme="minorHAnsi"/>
          <w:b/>
          <w:sz w:val="28"/>
          <w:szCs w:val="28"/>
        </w:rPr>
        <w:t>Method</w:t>
      </w:r>
      <w:r w:rsidRPr="00F7005A">
        <w:rPr>
          <w:rFonts w:asciiTheme="minorHAnsi" w:hAnsiTheme="minorHAnsi" w:cstheme="minorHAnsi"/>
          <w:color w:val="000000"/>
          <w:sz w:val="28"/>
          <w:szCs w:val="28"/>
        </w:rPr>
        <w:t xml:space="preserve">: Personality dysfunction was assessed at baseline in a randomised controlled trial of 444 patients from medical clinics with pathological health anxiety treated with a modified form of cognitive behaviour therapy for health anxiety (CBT-HA) or standard treatment in the medical clinics, with assessment on four occasions over 2 years. Personality dysfunction was assessed at baseline using a procedure that led to five ICD-11 proposed groups (0 = no personality dysfunction, 1 = personality difficulty, 2 = mild personality disorder, </w:t>
      </w:r>
      <w:r w:rsidRPr="00F7005A">
        <w:rPr>
          <w:rFonts w:asciiTheme="minorHAnsi" w:hAnsiTheme="minorHAnsi" w:cstheme="minorHAnsi"/>
          <w:color w:val="000000"/>
          <w:sz w:val="28"/>
          <w:szCs w:val="28"/>
        </w:rPr>
        <w:lastRenderedPageBreak/>
        <w:t xml:space="preserve">3 = moderate personality disorder, 4 = severe personality disorder). The statistical analysis used a mixed model with the primary outcome as change in health anxiety scores after one year. Total costs over follow-up were calculated from service use and hospital data and compared by personality group. </w:t>
      </w:r>
    </w:p>
    <w:p w:rsidR="00992E08" w:rsidRPr="00F7005A" w:rsidRDefault="00992E08" w:rsidP="008A4606">
      <w:pPr>
        <w:spacing w:after="200" w:line="360" w:lineRule="auto"/>
        <w:rPr>
          <w:rFonts w:asciiTheme="minorHAnsi" w:hAnsiTheme="minorHAnsi" w:cstheme="minorHAnsi"/>
          <w:color w:val="000000"/>
          <w:sz w:val="28"/>
          <w:szCs w:val="28"/>
        </w:rPr>
      </w:pPr>
      <w:r w:rsidRPr="00F7005A">
        <w:rPr>
          <w:rFonts w:asciiTheme="minorHAnsi" w:hAnsiTheme="minorHAnsi" w:cstheme="minorHAnsi"/>
          <w:b/>
          <w:color w:val="000000"/>
          <w:sz w:val="28"/>
          <w:szCs w:val="28"/>
        </w:rPr>
        <w:t>Results</w:t>
      </w:r>
      <w:r w:rsidRPr="00F7005A">
        <w:rPr>
          <w:rFonts w:asciiTheme="minorHAnsi" w:hAnsiTheme="minorHAnsi" w:cstheme="minorHAnsi"/>
          <w:color w:val="000000"/>
          <w:sz w:val="28"/>
          <w:szCs w:val="28"/>
        </w:rPr>
        <w:t>: In total, 381 patients (86%) had some personality dysfunction with 184 (41%) satisfying the ICD criteria for personality disorder. Those with no personality dysfunction showed no difference in health anxiety response to CBT compared with standard care (P=0.90) and showed worse social function (P&lt;0.03) whereas those with any form of personality dysfunction derived significant benefit from CBT-HA maintained over two years (P&lt;0.001) with lesser benefit in those with more severe personality disorders (P&lt;0.05) There was slight evidence that costs were relatively higher in participants with moderate and severe personality disorder with CBT-</w:t>
      </w:r>
      <w:r w:rsidRPr="00F7005A">
        <w:rPr>
          <w:rFonts w:asciiTheme="minorHAnsi" w:hAnsiTheme="minorHAnsi" w:cstheme="minorHAnsi"/>
          <w:sz w:val="28"/>
          <w:szCs w:val="28"/>
        </w:rPr>
        <w:t>HA and lower with less personality pathology.</w:t>
      </w:r>
      <w:r w:rsidRPr="00F7005A">
        <w:rPr>
          <w:rFonts w:asciiTheme="minorHAnsi" w:hAnsiTheme="minorHAnsi" w:cstheme="minorHAnsi"/>
          <w:color w:val="000000"/>
          <w:sz w:val="28"/>
          <w:szCs w:val="28"/>
        </w:rPr>
        <w:t xml:space="preserve">  </w:t>
      </w:r>
    </w:p>
    <w:p w:rsidR="00992E08" w:rsidRPr="00F7005A" w:rsidRDefault="00992E08" w:rsidP="008A4606">
      <w:pPr>
        <w:spacing w:after="200" w:line="360" w:lineRule="auto"/>
        <w:rPr>
          <w:rFonts w:asciiTheme="minorHAnsi" w:hAnsiTheme="minorHAnsi" w:cstheme="minorHAnsi"/>
          <w:color w:val="000000"/>
          <w:sz w:val="28"/>
          <w:szCs w:val="28"/>
        </w:rPr>
      </w:pPr>
      <w:r w:rsidRPr="00F7005A">
        <w:rPr>
          <w:rFonts w:asciiTheme="minorHAnsi" w:hAnsiTheme="minorHAnsi" w:cstheme="minorHAnsi"/>
          <w:b/>
          <w:color w:val="000000"/>
          <w:sz w:val="28"/>
          <w:szCs w:val="28"/>
        </w:rPr>
        <w:t>Conclusion</w:t>
      </w:r>
      <w:r w:rsidRPr="00F7005A">
        <w:rPr>
          <w:rFonts w:asciiTheme="minorHAnsi" w:hAnsiTheme="minorHAnsi" w:cstheme="minorHAnsi"/>
          <w:color w:val="000000"/>
          <w:sz w:val="28"/>
          <w:szCs w:val="28"/>
        </w:rPr>
        <w:t>: The results suggest that anxiety disorders in the absence of personality dysfunction do not require specific psychological treatment and that personality abnormality is not a bar to success with CBT in this population.</w:t>
      </w:r>
    </w:p>
    <w:p w:rsidR="00992E08" w:rsidRPr="00F7005A" w:rsidRDefault="00992E08" w:rsidP="008A4606">
      <w:pPr>
        <w:spacing w:after="200" w:line="360" w:lineRule="auto"/>
        <w:rPr>
          <w:rFonts w:asciiTheme="minorHAnsi" w:hAnsiTheme="minorHAnsi" w:cstheme="minorHAnsi"/>
          <w:color w:val="000000"/>
          <w:sz w:val="28"/>
          <w:szCs w:val="28"/>
        </w:rPr>
      </w:pPr>
      <w:r w:rsidRPr="00F7005A">
        <w:rPr>
          <w:rFonts w:asciiTheme="minorHAnsi" w:hAnsiTheme="minorHAnsi" w:cstheme="minorHAnsi"/>
          <w:b/>
          <w:color w:val="000000"/>
          <w:sz w:val="28"/>
          <w:szCs w:val="28"/>
        </w:rPr>
        <w:t xml:space="preserve">Declaration of Interest:   </w:t>
      </w:r>
      <w:r w:rsidRPr="00F7005A">
        <w:rPr>
          <w:rFonts w:asciiTheme="minorHAnsi" w:hAnsiTheme="minorHAnsi" w:cstheme="minorHAnsi"/>
          <w:color w:val="000000"/>
          <w:sz w:val="28"/>
          <w:szCs w:val="28"/>
        </w:rPr>
        <w:t>PT and MC are members of the World Health Organisation ICD-11 work group for the revision of the classification of personality disorder</w:t>
      </w:r>
      <w:r w:rsidR="008A4606" w:rsidRPr="00F7005A">
        <w:rPr>
          <w:rFonts w:asciiTheme="minorHAnsi" w:hAnsiTheme="minorHAnsi" w:cstheme="minorHAnsi"/>
          <w:color w:val="000000"/>
          <w:sz w:val="28"/>
          <w:szCs w:val="28"/>
        </w:rPr>
        <w:t>.</w:t>
      </w:r>
      <w:r w:rsidRPr="00F7005A">
        <w:rPr>
          <w:rFonts w:asciiTheme="minorHAnsi" w:hAnsiTheme="minorHAnsi" w:cstheme="minorHAnsi"/>
          <w:color w:val="000000"/>
          <w:sz w:val="28"/>
          <w:szCs w:val="28"/>
        </w:rPr>
        <w:t xml:space="preserve"> </w:t>
      </w:r>
    </w:p>
    <w:p w:rsidR="00992E08" w:rsidRPr="00F7005A" w:rsidRDefault="00992E08" w:rsidP="008A4606">
      <w:pPr>
        <w:spacing w:after="200" w:line="360" w:lineRule="auto"/>
        <w:rPr>
          <w:rFonts w:asciiTheme="minorHAnsi" w:hAnsiTheme="minorHAnsi" w:cstheme="minorHAnsi"/>
          <w:color w:val="000000"/>
          <w:sz w:val="28"/>
          <w:szCs w:val="28"/>
        </w:rPr>
      </w:pPr>
    </w:p>
    <w:p w:rsidR="00992E08" w:rsidRPr="00F7005A" w:rsidRDefault="00992E08" w:rsidP="008A4606">
      <w:pPr>
        <w:spacing w:after="200" w:line="360" w:lineRule="auto"/>
        <w:rPr>
          <w:rFonts w:asciiTheme="minorHAnsi" w:hAnsiTheme="minorHAnsi" w:cstheme="minorHAnsi"/>
          <w:color w:val="000000"/>
          <w:sz w:val="28"/>
          <w:szCs w:val="28"/>
        </w:rPr>
      </w:pPr>
      <w:r w:rsidRPr="00F7005A">
        <w:rPr>
          <w:rFonts w:asciiTheme="minorHAnsi" w:hAnsiTheme="minorHAnsi" w:cstheme="minorHAnsi"/>
          <w:color w:val="000000"/>
          <w:sz w:val="28"/>
          <w:szCs w:val="28"/>
        </w:rPr>
        <w:t> </w:t>
      </w:r>
    </w:p>
    <w:p w:rsidR="00992E08" w:rsidRPr="00F7005A" w:rsidRDefault="00992E08" w:rsidP="008A4606">
      <w:pPr>
        <w:spacing w:after="200" w:line="360" w:lineRule="auto"/>
        <w:rPr>
          <w:rFonts w:asciiTheme="minorHAnsi" w:hAnsiTheme="minorHAnsi" w:cstheme="minorHAnsi"/>
          <w:color w:val="000000"/>
          <w:sz w:val="28"/>
          <w:szCs w:val="28"/>
        </w:rPr>
      </w:pPr>
      <w:r w:rsidRPr="00F7005A">
        <w:rPr>
          <w:rFonts w:asciiTheme="minorHAnsi" w:hAnsiTheme="minorHAnsi" w:cstheme="minorHAnsi"/>
          <w:b/>
          <w:color w:val="000000"/>
          <w:sz w:val="28"/>
          <w:szCs w:val="28"/>
        </w:rPr>
        <w:t>Background</w:t>
      </w:r>
      <w:r w:rsidRPr="00F7005A">
        <w:rPr>
          <w:rFonts w:asciiTheme="minorHAnsi" w:hAnsiTheme="minorHAnsi" w:cstheme="minorHAnsi"/>
          <w:color w:val="000000"/>
          <w:sz w:val="28"/>
          <w:szCs w:val="28"/>
        </w:rPr>
        <w:t xml:space="preserve">  </w:t>
      </w:r>
    </w:p>
    <w:p w:rsidR="00863BD1" w:rsidRPr="0033589C" w:rsidRDefault="00E764AB" w:rsidP="00863BD1">
      <w:pPr>
        <w:spacing w:after="200" w:line="360" w:lineRule="auto"/>
        <w:rPr>
          <w:rFonts w:asciiTheme="minorHAnsi" w:hAnsiTheme="minorHAnsi" w:cstheme="minorHAnsi"/>
          <w:color w:val="000000"/>
          <w:sz w:val="28"/>
          <w:szCs w:val="28"/>
        </w:rPr>
      </w:pPr>
      <w:r>
        <w:rPr>
          <w:rFonts w:asciiTheme="minorHAnsi" w:hAnsiTheme="minorHAnsi" w:cstheme="minorHAnsi"/>
          <w:color w:val="000000"/>
          <w:sz w:val="28"/>
          <w:szCs w:val="28"/>
        </w:rPr>
        <w:lastRenderedPageBreak/>
        <w:t xml:space="preserve">There is increasing evidence that the relatively new </w:t>
      </w:r>
      <w:r w:rsidR="00992E08" w:rsidRPr="00F7005A">
        <w:rPr>
          <w:rFonts w:asciiTheme="minorHAnsi" w:hAnsiTheme="minorHAnsi" w:cstheme="minorHAnsi"/>
          <w:color w:val="000000"/>
          <w:sz w:val="28"/>
          <w:szCs w:val="28"/>
        </w:rPr>
        <w:t>diagnosis</w:t>
      </w:r>
      <w:r>
        <w:rPr>
          <w:rFonts w:asciiTheme="minorHAnsi" w:hAnsiTheme="minorHAnsi" w:cstheme="minorHAnsi"/>
          <w:color w:val="000000"/>
          <w:sz w:val="28"/>
          <w:szCs w:val="28"/>
        </w:rPr>
        <w:t xml:space="preserve"> of </w:t>
      </w:r>
      <w:r w:rsidR="00992E08" w:rsidRPr="00F7005A">
        <w:rPr>
          <w:rFonts w:asciiTheme="minorHAnsi" w:hAnsiTheme="minorHAnsi" w:cstheme="minorHAnsi"/>
          <w:color w:val="000000"/>
          <w:sz w:val="28"/>
          <w:szCs w:val="28"/>
        </w:rPr>
        <w:t>health anxiety</w:t>
      </w:r>
      <w:r w:rsidR="00BF0B88">
        <w:rPr>
          <w:rFonts w:asciiTheme="minorHAnsi" w:hAnsiTheme="minorHAnsi" w:cstheme="minorHAnsi"/>
          <w:color w:val="000000"/>
          <w:sz w:val="28"/>
          <w:szCs w:val="28"/>
        </w:rPr>
        <w:t xml:space="preserve">, linked to hypochondriasis but sowing important differencs, </w:t>
      </w:r>
      <w:r>
        <w:rPr>
          <w:rFonts w:asciiTheme="minorHAnsi" w:hAnsiTheme="minorHAnsi" w:cstheme="minorHAnsi"/>
          <w:color w:val="000000"/>
          <w:sz w:val="28"/>
          <w:szCs w:val="28"/>
        </w:rPr>
        <w:t>is an important condition that is recognised as common in epidemiological studies</w:t>
      </w:r>
      <w:r w:rsidR="00992E08" w:rsidRPr="00F7005A">
        <w:rPr>
          <w:rFonts w:asciiTheme="minorHAnsi" w:hAnsiTheme="minorHAnsi" w:cstheme="minorHAnsi"/>
          <w:color w:val="000000"/>
          <w:sz w:val="28"/>
          <w:szCs w:val="28"/>
          <w:vertAlign w:val="superscript"/>
        </w:rPr>
        <w:t>1-2</w:t>
      </w:r>
      <w:r w:rsidR="00992E08" w:rsidRPr="00F7005A">
        <w:rPr>
          <w:rFonts w:asciiTheme="minorHAnsi" w:hAnsiTheme="minorHAnsi" w:cstheme="minorHAnsi"/>
          <w:color w:val="000000"/>
          <w:sz w:val="28"/>
          <w:szCs w:val="28"/>
        </w:rPr>
        <w:t xml:space="preserve"> </w:t>
      </w:r>
      <w:r>
        <w:rPr>
          <w:rFonts w:asciiTheme="minorHAnsi" w:hAnsiTheme="minorHAnsi" w:cstheme="minorHAnsi"/>
          <w:color w:val="000000"/>
          <w:sz w:val="28"/>
          <w:szCs w:val="28"/>
        </w:rPr>
        <w:t>but not often in clinical practice, mainly because the patients with the highest prevalence are seen in non-psychiatric settings</w:t>
      </w:r>
      <w:r w:rsidR="00BF0B88">
        <w:rPr>
          <w:rFonts w:asciiTheme="minorHAnsi" w:hAnsiTheme="minorHAnsi" w:cstheme="minorHAnsi"/>
          <w:color w:val="000000"/>
          <w:sz w:val="28"/>
          <w:szCs w:val="28"/>
          <w:vertAlign w:val="superscript"/>
        </w:rPr>
        <w:t>3</w:t>
      </w:r>
      <w:r>
        <w:rPr>
          <w:rFonts w:asciiTheme="minorHAnsi" w:hAnsiTheme="minorHAnsi" w:cstheme="minorHAnsi"/>
          <w:color w:val="000000"/>
          <w:sz w:val="28"/>
          <w:szCs w:val="28"/>
        </w:rPr>
        <w:t xml:space="preserve">. </w:t>
      </w:r>
      <w:r w:rsidR="00992E08" w:rsidRPr="00F7005A">
        <w:rPr>
          <w:rFonts w:asciiTheme="minorHAnsi" w:hAnsiTheme="minorHAnsi" w:cstheme="minorHAnsi"/>
          <w:color w:val="000000"/>
          <w:sz w:val="28"/>
          <w:szCs w:val="28"/>
        </w:rPr>
        <w:t xml:space="preserve">Patients attending outpatient clinics </w:t>
      </w:r>
      <w:r w:rsidR="00863BD1">
        <w:rPr>
          <w:rFonts w:asciiTheme="minorHAnsi" w:hAnsiTheme="minorHAnsi" w:cstheme="minorHAnsi"/>
          <w:color w:val="000000"/>
          <w:sz w:val="28"/>
          <w:szCs w:val="28"/>
        </w:rPr>
        <w:t xml:space="preserve">with health anxiety </w:t>
      </w:r>
      <w:r w:rsidR="00992E08" w:rsidRPr="00F7005A">
        <w:rPr>
          <w:rFonts w:asciiTheme="minorHAnsi" w:hAnsiTheme="minorHAnsi" w:cstheme="minorHAnsi"/>
          <w:color w:val="000000"/>
          <w:sz w:val="28"/>
          <w:szCs w:val="28"/>
        </w:rPr>
        <w:t xml:space="preserve">also have a high prevalence of personality disorder, </w:t>
      </w:r>
      <w:r w:rsidR="00863BD1">
        <w:rPr>
          <w:rFonts w:asciiTheme="minorHAnsi" w:hAnsiTheme="minorHAnsi" w:cstheme="minorHAnsi"/>
          <w:color w:val="000000"/>
          <w:sz w:val="28"/>
          <w:szCs w:val="28"/>
        </w:rPr>
        <w:t>mainly with anxious, avoidant, obsessional and dependent features</w:t>
      </w:r>
      <w:r w:rsidR="00BF0B88">
        <w:rPr>
          <w:rFonts w:asciiTheme="minorHAnsi" w:hAnsiTheme="minorHAnsi" w:cstheme="minorHAnsi"/>
          <w:color w:val="000000"/>
          <w:sz w:val="28"/>
          <w:szCs w:val="28"/>
          <w:vertAlign w:val="superscript"/>
        </w:rPr>
        <w:t>4</w:t>
      </w:r>
      <w:r w:rsidR="00863BD1">
        <w:rPr>
          <w:rFonts w:asciiTheme="minorHAnsi" w:hAnsiTheme="minorHAnsi" w:cstheme="minorHAnsi"/>
          <w:color w:val="000000"/>
          <w:sz w:val="28"/>
          <w:szCs w:val="28"/>
        </w:rPr>
        <w:t>.  T</w:t>
      </w:r>
      <w:r w:rsidR="00992E08" w:rsidRPr="00F7005A">
        <w:rPr>
          <w:rFonts w:asciiTheme="minorHAnsi" w:hAnsiTheme="minorHAnsi" w:cstheme="minorHAnsi"/>
          <w:color w:val="000000"/>
          <w:sz w:val="28"/>
          <w:szCs w:val="28"/>
        </w:rPr>
        <w:t xml:space="preserve">here is </w:t>
      </w:r>
      <w:r w:rsidR="00863BD1">
        <w:rPr>
          <w:rFonts w:asciiTheme="minorHAnsi" w:hAnsiTheme="minorHAnsi" w:cstheme="minorHAnsi"/>
          <w:color w:val="000000"/>
          <w:sz w:val="28"/>
          <w:szCs w:val="28"/>
        </w:rPr>
        <w:t xml:space="preserve">also good </w:t>
      </w:r>
      <w:r w:rsidR="00992E08" w:rsidRPr="00F7005A">
        <w:rPr>
          <w:rFonts w:asciiTheme="minorHAnsi" w:hAnsiTheme="minorHAnsi" w:cstheme="minorHAnsi"/>
          <w:color w:val="000000"/>
          <w:sz w:val="28"/>
          <w:szCs w:val="28"/>
        </w:rPr>
        <w:t>evidence that the presence of personality disorder impairs outcome in depression</w:t>
      </w:r>
      <w:r w:rsidR="00863BD1">
        <w:rPr>
          <w:rFonts w:asciiTheme="minorHAnsi" w:hAnsiTheme="minorHAnsi" w:cstheme="minorHAnsi"/>
          <w:color w:val="000000"/>
          <w:sz w:val="28"/>
          <w:szCs w:val="28"/>
          <w:vertAlign w:val="superscript"/>
        </w:rPr>
        <w:t>5-6</w:t>
      </w:r>
      <w:r w:rsidR="00992E08" w:rsidRPr="00F7005A">
        <w:rPr>
          <w:rFonts w:asciiTheme="minorHAnsi" w:hAnsiTheme="minorHAnsi" w:cstheme="minorHAnsi"/>
          <w:color w:val="000000"/>
          <w:sz w:val="28"/>
          <w:szCs w:val="28"/>
        </w:rPr>
        <w:t xml:space="preserve"> and</w:t>
      </w:r>
      <w:r w:rsidR="00863BD1">
        <w:rPr>
          <w:rFonts w:asciiTheme="minorHAnsi" w:hAnsiTheme="minorHAnsi" w:cstheme="minorHAnsi"/>
          <w:color w:val="000000"/>
          <w:sz w:val="28"/>
          <w:szCs w:val="28"/>
        </w:rPr>
        <w:t xml:space="preserve">, possibly, to </w:t>
      </w:r>
      <w:r w:rsidR="00992E08" w:rsidRPr="00F7005A">
        <w:rPr>
          <w:rFonts w:asciiTheme="minorHAnsi" w:hAnsiTheme="minorHAnsi" w:cstheme="minorHAnsi"/>
          <w:color w:val="000000"/>
          <w:sz w:val="28"/>
          <w:szCs w:val="28"/>
        </w:rPr>
        <w:t xml:space="preserve">a </w:t>
      </w:r>
      <w:r w:rsidR="00863BD1">
        <w:rPr>
          <w:rFonts w:asciiTheme="minorHAnsi" w:hAnsiTheme="minorHAnsi" w:cstheme="minorHAnsi"/>
          <w:color w:val="000000"/>
          <w:sz w:val="28"/>
          <w:szCs w:val="28"/>
        </w:rPr>
        <w:t xml:space="preserve">slightly </w:t>
      </w:r>
      <w:r w:rsidR="00992E08" w:rsidRPr="00F7005A">
        <w:rPr>
          <w:rFonts w:asciiTheme="minorHAnsi" w:hAnsiTheme="minorHAnsi" w:cstheme="minorHAnsi"/>
          <w:color w:val="000000"/>
          <w:sz w:val="28"/>
          <w:szCs w:val="28"/>
        </w:rPr>
        <w:t xml:space="preserve">lesser extent in anxiety </w:t>
      </w:r>
      <w:r w:rsidR="00863BD1">
        <w:rPr>
          <w:rFonts w:asciiTheme="minorHAnsi" w:hAnsiTheme="minorHAnsi" w:cstheme="minorHAnsi"/>
          <w:color w:val="000000"/>
          <w:sz w:val="28"/>
          <w:szCs w:val="28"/>
        </w:rPr>
        <w:t>disorders</w:t>
      </w:r>
      <w:r w:rsidR="00863BD1">
        <w:rPr>
          <w:rFonts w:asciiTheme="minorHAnsi" w:hAnsiTheme="minorHAnsi" w:cstheme="minorHAnsi"/>
          <w:color w:val="000000"/>
          <w:sz w:val="28"/>
          <w:szCs w:val="28"/>
          <w:vertAlign w:val="superscript"/>
        </w:rPr>
        <w:t>7</w:t>
      </w:r>
      <w:r w:rsidR="00992E08" w:rsidRPr="00F7005A">
        <w:rPr>
          <w:rFonts w:asciiTheme="minorHAnsi" w:hAnsiTheme="minorHAnsi" w:cstheme="minorHAnsi"/>
          <w:color w:val="000000"/>
          <w:sz w:val="28"/>
          <w:szCs w:val="28"/>
        </w:rPr>
        <w:t xml:space="preserve">. </w:t>
      </w:r>
      <w:r w:rsidR="00863BD1" w:rsidRPr="0033589C">
        <w:rPr>
          <w:rFonts w:asciiTheme="minorHAnsi" w:hAnsiTheme="minorHAnsi" w:cstheme="minorHAnsi"/>
          <w:color w:val="000000"/>
          <w:sz w:val="28"/>
          <w:szCs w:val="28"/>
        </w:rPr>
        <w:t>Because of these considerations the assessment of personality status</w:t>
      </w:r>
      <w:r w:rsidR="00863BD1">
        <w:rPr>
          <w:rFonts w:asciiTheme="minorHAnsi" w:hAnsiTheme="minorHAnsi" w:cstheme="minorHAnsi"/>
          <w:color w:val="000000"/>
          <w:sz w:val="28"/>
          <w:szCs w:val="28"/>
        </w:rPr>
        <w:t xml:space="preserve">, including dependence, </w:t>
      </w:r>
      <w:r w:rsidR="00863BD1" w:rsidRPr="0033589C">
        <w:rPr>
          <w:rFonts w:asciiTheme="minorHAnsi" w:hAnsiTheme="minorHAnsi" w:cstheme="minorHAnsi"/>
          <w:color w:val="000000"/>
          <w:sz w:val="28"/>
          <w:szCs w:val="28"/>
        </w:rPr>
        <w:t>was included in a randomised study of the cost-effectiveness of a modified form of cognitive behaviour therapy for health anxiety (CBT-HA)</w:t>
      </w:r>
      <w:r w:rsidR="00863BD1" w:rsidRPr="0033589C">
        <w:rPr>
          <w:rFonts w:asciiTheme="minorHAnsi" w:hAnsiTheme="minorHAnsi" w:cstheme="minorHAnsi"/>
          <w:color w:val="000000"/>
          <w:sz w:val="28"/>
          <w:szCs w:val="28"/>
          <w:vertAlign w:val="superscript"/>
        </w:rPr>
        <w:t xml:space="preserve"> </w:t>
      </w:r>
      <w:r w:rsidR="00863BD1">
        <w:rPr>
          <w:rFonts w:asciiTheme="minorHAnsi" w:hAnsiTheme="minorHAnsi" w:cstheme="minorHAnsi"/>
          <w:color w:val="000000"/>
          <w:sz w:val="28"/>
          <w:szCs w:val="28"/>
          <w:vertAlign w:val="superscript"/>
        </w:rPr>
        <w:t>8</w:t>
      </w:r>
      <w:r w:rsidR="00863BD1" w:rsidRPr="0033589C">
        <w:rPr>
          <w:rFonts w:asciiTheme="minorHAnsi" w:hAnsiTheme="minorHAnsi" w:cstheme="minorHAnsi"/>
          <w:color w:val="000000"/>
          <w:sz w:val="28"/>
          <w:szCs w:val="28"/>
        </w:rPr>
        <w:t xml:space="preserve">. Two hypotheses related to personality were given in the published protocol. First, that CBT-HA would be less effective in patients who have additional personality </w:t>
      </w:r>
      <w:r w:rsidR="00275FB7">
        <w:rPr>
          <w:rFonts w:asciiTheme="minorHAnsi" w:hAnsiTheme="minorHAnsi" w:cstheme="minorHAnsi"/>
          <w:color w:val="000000"/>
          <w:sz w:val="28"/>
          <w:szCs w:val="28"/>
        </w:rPr>
        <w:t xml:space="preserve">disorder </w:t>
      </w:r>
      <w:r w:rsidR="00863BD1" w:rsidRPr="0033589C">
        <w:rPr>
          <w:rFonts w:asciiTheme="minorHAnsi" w:hAnsiTheme="minorHAnsi" w:cstheme="minorHAnsi"/>
          <w:color w:val="000000"/>
          <w:sz w:val="28"/>
          <w:szCs w:val="28"/>
        </w:rPr>
        <w:t xml:space="preserve">and would be associated with increased costs.  </w:t>
      </w:r>
      <w:r w:rsidR="00275FB7">
        <w:rPr>
          <w:rFonts w:asciiTheme="minorHAnsi" w:hAnsiTheme="minorHAnsi" w:cstheme="minorHAnsi"/>
          <w:color w:val="000000"/>
          <w:sz w:val="28"/>
          <w:szCs w:val="28"/>
        </w:rPr>
        <w:t>However, a previous study had shown that those with a lesser degree of dependent disorder, personality difficulty, had a worse outcome in the pilot study that led to the CHAMP trial</w:t>
      </w:r>
      <w:r w:rsidR="00275FB7">
        <w:rPr>
          <w:rFonts w:asciiTheme="minorHAnsi" w:hAnsiTheme="minorHAnsi" w:cstheme="minorHAnsi"/>
          <w:color w:val="000000"/>
          <w:sz w:val="28"/>
          <w:szCs w:val="28"/>
          <w:vertAlign w:val="superscript"/>
        </w:rPr>
        <w:t>9</w:t>
      </w:r>
      <w:r w:rsidR="00275FB7">
        <w:rPr>
          <w:rFonts w:asciiTheme="minorHAnsi" w:hAnsiTheme="minorHAnsi" w:cstheme="minorHAnsi"/>
          <w:color w:val="000000"/>
          <w:sz w:val="28"/>
          <w:szCs w:val="28"/>
        </w:rPr>
        <w:t xml:space="preserve"> and although this seemed to be counter-intuitive, it was an additional reason for assessing dependent personality in the trial.    </w:t>
      </w:r>
    </w:p>
    <w:p w:rsidR="00992E08" w:rsidRPr="00F7005A" w:rsidRDefault="00992E08" w:rsidP="008A4606">
      <w:pPr>
        <w:spacing w:after="200" w:line="360" w:lineRule="auto"/>
        <w:rPr>
          <w:rFonts w:asciiTheme="minorHAnsi" w:hAnsiTheme="minorHAnsi" w:cstheme="minorHAnsi"/>
          <w:color w:val="000000"/>
          <w:sz w:val="28"/>
          <w:szCs w:val="28"/>
        </w:rPr>
      </w:pPr>
    </w:p>
    <w:p w:rsidR="00992E08" w:rsidRPr="00F7005A" w:rsidRDefault="00992E08" w:rsidP="008A4606">
      <w:pPr>
        <w:spacing w:line="360" w:lineRule="auto"/>
        <w:rPr>
          <w:rFonts w:asciiTheme="minorHAnsi" w:hAnsiTheme="minorHAnsi" w:cstheme="minorHAnsi"/>
          <w:b/>
          <w:sz w:val="28"/>
          <w:szCs w:val="28"/>
        </w:rPr>
      </w:pPr>
      <w:r w:rsidRPr="00F7005A">
        <w:rPr>
          <w:rFonts w:asciiTheme="minorHAnsi" w:hAnsiTheme="minorHAnsi" w:cstheme="minorHAnsi"/>
          <w:b/>
          <w:sz w:val="28"/>
          <w:szCs w:val="28"/>
        </w:rPr>
        <w:t>Method</w:t>
      </w:r>
    </w:p>
    <w:p w:rsidR="00992E08" w:rsidRPr="00F7005A" w:rsidRDefault="00992E08" w:rsidP="008A4606">
      <w:pPr>
        <w:spacing w:line="360" w:lineRule="auto"/>
        <w:rPr>
          <w:rFonts w:asciiTheme="minorHAnsi" w:hAnsiTheme="minorHAnsi" w:cstheme="minorHAnsi"/>
          <w:b/>
          <w:sz w:val="28"/>
          <w:szCs w:val="28"/>
        </w:rPr>
      </w:pPr>
    </w:p>
    <w:p w:rsidR="006040D2" w:rsidRDefault="00992E08" w:rsidP="008A4606">
      <w:pPr>
        <w:autoSpaceDE w:val="0"/>
        <w:autoSpaceDN w:val="0"/>
        <w:adjustRightInd w:val="0"/>
        <w:spacing w:line="360" w:lineRule="auto"/>
        <w:rPr>
          <w:rFonts w:asciiTheme="minorHAnsi" w:hAnsiTheme="minorHAnsi" w:cstheme="minorHAnsi"/>
          <w:sz w:val="28"/>
          <w:szCs w:val="28"/>
          <w:lang w:eastAsia="en-US"/>
        </w:rPr>
      </w:pPr>
      <w:r w:rsidRPr="00F7005A">
        <w:rPr>
          <w:rFonts w:asciiTheme="minorHAnsi" w:hAnsiTheme="minorHAnsi" w:cstheme="minorHAnsi"/>
          <w:b/>
          <w:i/>
          <w:sz w:val="28"/>
          <w:szCs w:val="28"/>
        </w:rPr>
        <w:t>Study design</w:t>
      </w:r>
      <w:r w:rsidRPr="00F7005A">
        <w:rPr>
          <w:rFonts w:asciiTheme="minorHAnsi" w:hAnsiTheme="minorHAnsi" w:cstheme="minorHAnsi"/>
          <w:sz w:val="28"/>
          <w:szCs w:val="28"/>
        </w:rPr>
        <w:br/>
      </w:r>
    </w:p>
    <w:p w:rsidR="00992E08" w:rsidRPr="00F7005A" w:rsidRDefault="00992E08" w:rsidP="008A4606">
      <w:pPr>
        <w:autoSpaceDE w:val="0"/>
        <w:autoSpaceDN w:val="0"/>
        <w:adjustRightInd w:val="0"/>
        <w:spacing w:line="360" w:lineRule="auto"/>
        <w:rPr>
          <w:rFonts w:asciiTheme="minorHAnsi" w:hAnsiTheme="minorHAnsi" w:cstheme="minorHAnsi"/>
          <w:sz w:val="28"/>
          <w:szCs w:val="28"/>
        </w:rPr>
      </w:pPr>
      <w:r w:rsidRPr="00F7005A">
        <w:rPr>
          <w:rFonts w:asciiTheme="minorHAnsi" w:hAnsiTheme="minorHAnsi" w:cstheme="minorHAnsi"/>
          <w:sz w:val="28"/>
          <w:szCs w:val="28"/>
          <w:lang w:eastAsia="en-US"/>
        </w:rPr>
        <w:lastRenderedPageBreak/>
        <w:t xml:space="preserve">The </w:t>
      </w:r>
      <w:r w:rsidR="00370096">
        <w:rPr>
          <w:rFonts w:asciiTheme="minorHAnsi" w:hAnsiTheme="minorHAnsi" w:cstheme="minorHAnsi"/>
          <w:sz w:val="28"/>
          <w:szCs w:val="28"/>
          <w:lang w:eastAsia="en-US"/>
        </w:rPr>
        <w:t xml:space="preserve">assessment of dependent personality was part of the </w:t>
      </w:r>
      <w:r w:rsidRPr="00F7005A">
        <w:rPr>
          <w:rFonts w:asciiTheme="minorHAnsi" w:hAnsiTheme="minorHAnsi" w:cstheme="minorHAnsi"/>
          <w:sz w:val="28"/>
          <w:szCs w:val="28"/>
          <w:lang w:eastAsia="en-US"/>
        </w:rPr>
        <w:t>Cognitive behaviour therapy for Health Anxiety in Medical Patients (CHAMP) trial</w:t>
      </w:r>
      <w:r w:rsidR="00370096">
        <w:rPr>
          <w:rFonts w:asciiTheme="minorHAnsi" w:hAnsiTheme="minorHAnsi" w:cstheme="minorHAnsi"/>
          <w:sz w:val="28"/>
          <w:szCs w:val="28"/>
          <w:lang w:eastAsia="en-US"/>
        </w:rPr>
        <w:t>. This is</w:t>
      </w:r>
      <w:r w:rsidRPr="00F7005A">
        <w:rPr>
          <w:rFonts w:asciiTheme="minorHAnsi" w:hAnsiTheme="minorHAnsi" w:cstheme="minorHAnsi"/>
          <w:sz w:val="28"/>
          <w:szCs w:val="28"/>
          <w:lang w:eastAsia="en-US"/>
        </w:rPr>
        <w:t xml:space="preserve"> a pragmatic</w:t>
      </w:r>
      <w:r w:rsidR="00370096">
        <w:rPr>
          <w:rFonts w:asciiTheme="minorHAnsi" w:hAnsiTheme="minorHAnsi" w:cstheme="minorHAnsi"/>
          <w:sz w:val="28"/>
          <w:szCs w:val="28"/>
          <w:lang w:eastAsia="en-US"/>
        </w:rPr>
        <w:t xml:space="preserve"> large</w:t>
      </w:r>
      <w:r w:rsidRPr="00F7005A">
        <w:rPr>
          <w:rFonts w:asciiTheme="minorHAnsi" w:hAnsiTheme="minorHAnsi" w:cstheme="minorHAnsi"/>
          <w:sz w:val="28"/>
          <w:szCs w:val="28"/>
          <w:lang w:eastAsia="en-US"/>
        </w:rPr>
        <w:t xml:space="preserve"> randomised controlled trial; full details of the trial are given elsewhere</w:t>
      </w:r>
      <w:r w:rsidR="00781C2D">
        <w:rPr>
          <w:rFonts w:asciiTheme="minorHAnsi" w:hAnsiTheme="minorHAnsi" w:cstheme="minorHAnsi"/>
          <w:sz w:val="28"/>
          <w:szCs w:val="28"/>
          <w:vertAlign w:val="superscript"/>
          <w:lang w:eastAsia="en-US"/>
        </w:rPr>
        <w:t>8</w:t>
      </w:r>
      <w:r w:rsidRPr="00F7005A">
        <w:rPr>
          <w:rFonts w:asciiTheme="minorHAnsi" w:hAnsiTheme="minorHAnsi" w:cstheme="minorHAnsi"/>
          <w:sz w:val="28"/>
          <w:szCs w:val="28"/>
          <w:lang w:eastAsia="en-US"/>
        </w:rPr>
        <w:t xml:space="preserve">. </w:t>
      </w:r>
      <w:r w:rsidR="00781C2D">
        <w:rPr>
          <w:rFonts w:asciiTheme="minorHAnsi" w:hAnsiTheme="minorHAnsi" w:cstheme="minorHAnsi"/>
          <w:sz w:val="28"/>
          <w:szCs w:val="28"/>
          <w:lang w:eastAsia="en-US"/>
        </w:rPr>
        <w:t>P</w:t>
      </w:r>
      <w:r w:rsidRPr="00F7005A">
        <w:rPr>
          <w:rFonts w:asciiTheme="minorHAnsi" w:hAnsiTheme="minorHAnsi" w:cstheme="minorHAnsi"/>
          <w:sz w:val="28"/>
          <w:szCs w:val="28"/>
          <w:lang w:eastAsia="en-US"/>
        </w:rPr>
        <w:t xml:space="preserve">atients attending medical out-patient clinics </w:t>
      </w:r>
      <w:r w:rsidR="00781C2D">
        <w:rPr>
          <w:rFonts w:asciiTheme="minorHAnsi" w:hAnsiTheme="minorHAnsi" w:cstheme="minorHAnsi"/>
          <w:sz w:val="28"/>
          <w:szCs w:val="28"/>
          <w:lang w:eastAsia="en-US"/>
        </w:rPr>
        <w:t>were</w:t>
      </w:r>
      <w:r w:rsidRPr="00F7005A">
        <w:rPr>
          <w:rFonts w:asciiTheme="minorHAnsi" w:hAnsiTheme="minorHAnsi" w:cstheme="minorHAnsi"/>
          <w:sz w:val="28"/>
          <w:szCs w:val="28"/>
          <w:lang w:eastAsia="en-US"/>
        </w:rPr>
        <w:t xml:space="preserve"> randomised to either 5-10 sessions of CBT-HA (from initially naïve but subsequently trained therapists) or to standard care in primary and secondary care clinics. </w:t>
      </w:r>
      <w:r w:rsidR="00781C2D">
        <w:rPr>
          <w:rFonts w:asciiTheme="minorHAnsi" w:hAnsiTheme="minorHAnsi" w:cstheme="minorHAnsi"/>
          <w:sz w:val="28"/>
          <w:szCs w:val="28"/>
        </w:rPr>
        <w:t>C</w:t>
      </w:r>
      <w:r w:rsidRPr="00F7005A">
        <w:rPr>
          <w:rFonts w:asciiTheme="minorHAnsi" w:hAnsiTheme="minorHAnsi" w:cstheme="minorHAnsi"/>
          <w:sz w:val="28"/>
          <w:szCs w:val="28"/>
          <w:lang w:eastAsia="en-US"/>
        </w:rPr>
        <w:t xml:space="preserve">ardiology, endocrine, gastroenterology, neurology and respiratory medicine clinics were included from six hospitals in London, Middlesex and North Nottinghamshire. </w:t>
      </w:r>
      <w:r w:rsidR="00781C2D">
        <w:rPr>
          <w:rFonts w:asciiTheme="minorHAnsi" w:hAnsiTheme="minorHAnsi" w:cstheme="minorHAnsi"/>
          <w:sz w:val="28"/>
          <w:szCs w:val="28"/>
          <w:lang w:eastAsia="en-US"/>
        </w:rPr>
        <w:t xml:space="preserve">Patients </w:t>
      </w:r>
      <w:r w:rsidRPr="00F7005A">
        <w:rPr>
          <w:rFonts w:asciiTheme="minorHAnsi" w:hAnsiTheme="minorHAnsi" w:cstheme="minorHAnsi"/>
          <w:sz w:val="28"/>
          <w:szCs w:val="28"/>
          <w:lang w:eastAsia="en-US"/>
        </w:rPr>
        <w:t xml:space="preserve">who were attending </w:t>
      </w:r>
      <w:r w:rsidR="00781C2D">
        <w:rPr>
          <w:rFonts w:asciiTheme="minorHAnsi" w:hAnsiTheme="minorHAnsi" w:cstheme="minorHAnsi"/>
          <w:sz w:val="28"/>
          <w:szCs w:val="28"/>
          <w:lang w:eastAsia="en-US"/>
        </w:rPr>
        <w:t xml:space="preserve">these </w:t>
      </w:r>
      <w:r w:rsidRPr="00F7005A">
        <w:rPr>
          <w:rFonts w:asciiTheme="minorHAnsi" w:hAnsiTheme="minorHAnsi" w:cstheme="minorHAnsi"/>
          <w:sz w:val="28"/>
          <w:szCs w:val="28"/>
          <w:lang w:eastAsia="en-US"/>
        </w:rPr>
        <w:t>clinics completed the short form of the Health Anxiety Inventory (HAI)</w:t>
      </w:r>
      <w:r w:rsidRPr="00F7005A">
        <w:rPr>
          <w:rFonts w:asciiTheme="minorHAnsi" w:hAnsiTheme="minorHAnsi" w:cstheme="minorHAnsi"/>
          <w:sz w:val="28"/>
          <w:szCs w:val="28"/>
          <w:vertAlign w:val="superscript"/>
          <w:lang w:eastAsia="en-US"/>
        </w:rPr>
        <w:t xml:space="preserve"> 1</w:t>
      </w:r>
      <w:r w:rsidR="00781C2D">
        <w:rPr>
          <w:rFonts w:asciiTheme="minorHAnsi" w:hAnsiTheme="minorHAnsi" w:cstheme="minorHAnsi"/>
          <w:sz w:val="28"/>
          <w:szCs w:val="28"/>
          <w:vertAlign w:val="superscript"/>
          <w:lang w:eastAsia="en-US"/>
        </w:rPr>
        <w:t>0</w:t>
      </w:r>
      <w:r w:rsidRPr="00F7005A">
        <w:rPr>
          <w:rFonts w:asciiTheme="minorHAnsi" w:hAnsiTheme="minorHAnsi" w:cstheme="minorHAnsi"/>
          <w:sz w:val="28"/>
          <w:szCs w:val="28"/>
          <w:lang w:eastAsia="en-US"/>
        </w:rPr>
        <w:t xml:space="preserve">, a self-rated scale of 14 questions with a score range of 0-42. </w:t>
      </w:r>
      <w:r w:rsidR="00781C2D">
        <w:rPr>
          <w:rFonts w:asciiTheme="minorHAnsi" w:hAnsiTheme="minorHAnsi" w:cstheme="minorHAnsi"/>
          <w:sz w:val="28"/>
          <w:szCs w:val="28"/>
          <w:lang w:eastAsia="en-US"/>
        </w:rPr>
        <w:t>Patients who</w:t>
      </w:r>
      <w:r w:rsidRPr="00F7005A">
        <w:rPr>
          <w:rFonts w:asciiTheme="minorHAnsi" w:hAnsiTheme="minorHAnsi" w:cstheme="minorHAnsi"/>
          <w:sz w:val="28"/>
          <w:szCs w:val="28"/>
          <w:lang w:eastAsia="en-US"/>
        </w:rPr>
        <w:t xml:space="preserve"> scored 20 or more on the scale</w:t>
      </w:r>
      <w:r w:rsidR="00781C2D">
        <w:rPr>
          <w:rFonts w:asciiTheme="minorHAnsi" w:hAnsiTheme="minorHAnsi" w:cstheme="minorHAnsi"/>
          <w:sz w:val="28"/>
          <w:szCs w:val="28"/>
          <w:lang w:eastAsia="en-US"/>
        </w:rPr>
        <w:t xml:space="preserve"> and who qualified for other inclusion criteria,</w:t>
      </w:r>
      <w:r w:rsidRPr="00F7005A">
        <w:rPr>
          <w:rFonts w:asciiTheme="minorHAnsi" w:hAnsiTheme="minorHAnsi" w:cstheme="minorHAnsi"/>
          <w:sz w:val="28"/>
          <w:szCs w:val="28"/>
          <w:lang w:eastAsia="en-US"/>
        </w:rPr>
        <w:t xml:space="preserve"> were invited to take part in the trial and an information sheet about the study was given. In addition, the initial assessment involved asking key questions from the Structured Clinical Interview for DSM-IV</w:t>
      </w:r>
      <w:r w:rsidRPr="00F7005A">
        <w:rPr>
          <w:rFonts w:asciiTheme="minorHAnsi" w:hAnsiTheme="minorHAnsi" w:cstheme="minorHAnsi"/>
          <w:sz w:val="28"/>
          <w:szCs w:val="28"/>
          <w:vertAlign w:val="superscript"/>
          <w:lang w:eastAsia="en-US"/>
        </w:rPr>
        <w:t>1</w:t>
      </w:r>
      <w:r w:rsidR="00781C2D">
        <w:rPr>
          <w:rFonts w:asciiTheme="minorHAnsi" w:hAnsiTheme="minorHAnsi" w:cstheme="minorHAnsi"/>
          <w:sz w:val="28"/>
          <w:szCs w:val="28"/>
          <w:vertAlign w:val="superscript"/>
          <w:lang w:eastAsia="en-US"/>
        </w:rPr>
        <w:t>1</w:t>
      </w:r>
      <w:r w:rsidRPr="00F7005A">
        <w:rPr>
          <w:rFonts w:asciiTheme="minorHAnsi" w:hAnsiTheme="minorHAnsi" w:cstheme="minorHAnsi"/>
          <w:sz w:val="28"/>
          <w:szCs w:val="28"/>
          <w:lang w:eastAsia="en-US"/>
        </w:rPr>
        <w:t xml:space="preserve"> covering the formal diagnosis of hypochondriasis. The inclusion criteria were patients aged between 16 years and 75 years, </w:t>
      </w:r>
      <w:r w:rsidR="00781C2D">
        <w:rPr>
          <w:rFonts w:asciiTheme="minorHAnsi" w:hAnsiTheme="minorHAnsi" w:cstheme="minorHAnsi"/>
          <w:sz w:val="28"/>
          <w:szCs w:val="28"/>
          <w:lang w:eastAsia="en-US"/>
        </w:rPr>
        <w:t xml:space="preserve">a formal diagnosis of hypochondriasis, </w:t>
      </w:r>
      <w:r w:rsidRPr="00F7005A">
        <w:rPr>
          <w:rFonts w:asciiTheme="minorHAnsi" w:hAnsiTheme="minorHAnsi" w:cstheme="minorHAnsi"/>
          <w:sz w:val="28"/>
          <w:szCs w:val="28"/>
          <w:lang w:eastAsia="en-US"/>
        </w:rPr>
        <w:t>living in the area covered by the hospital, with sufficient understanding of English to read and complete study questionnaires and interviews, and who had given written consent for interviews, audio-taping of 50% of treatment sessions, and for access to their medical records</w:t>
      </w:r>
      <w:r w:rsidRPr="00F7005A">
        <w:rPr>
          <w:rFonts w:asciiTheme="minorHAnsi" w:hAnsiTheme="minorHAnsi" w:cstheme="minorHAnsi"/>
          <w:sz w:val="28"/>
          <w:szCs w:val="28"/>
          <w:vertAlign w:val="superscript"/>
          <w:lang w:eastAsia="en-US"/>
        </w:rPr>
        <w:t>13</w:t>
      </w:r>
      <w:r w:rsidRPr="00F7005A">
        <w:rPr>
          <w:rFonts w:asciiTheme="minorHAnsi" w:hAnsiTheme="minorHAnsi" w:cstheme="minorHAnsi"/>
          <w:sz w:val="28"/>
          <w:szCs w:val="28"/>
          <w:lang w:eastAsia="en-US"/>
        </w:rPr>
        <w:t xml:space="preserve">. All those </w:t>
      </w:r>
      <w:r w:rsidR="00781C2D">
        <w:rPr>
          <w:rFonts w:asciiTheme="minorHAnsi" w:hAnsiTheme="minorHAnsi" w:cstheme="minorHAnsi"/>
          <w:sz w:val="28"/>
          <w:szCs w:val="28"/>
          <w:lang w:eastAsia="en-US"/>
        </w:rPr>
        <w:t>eligible</w:t>
      </w:r>
      <w:r w:rsidRPr="00F7005A">
        <w:rPr>
          <w:rFonts w:asciiTheme="minorHAnsi" w:hAnsiTheme="minorHAnsi" w:cstheme="minorHAnsi"/>
          <w:sz w:val="28"/>
          <w:szCs w:val="28"/>
          <w:lang w:eastAsia="en-US"/>
        </w:rPr>
        <w:t xml:space="preserve"> were then offered randomisation to the trial, and, if they agreed, full baseline assessments were completed and written informed consent obtained. </w:t>
      </w:r>
    </w:p>
    <w:p w:rsidR="00992E08" w:rsidRPr="00F7005A" w:rsidRDefault="00992E08" w:rsidP="008A4606">
      <w:pPr>
        <w:spacing w:after="200" w:line="360" w:lineRule="auto"/>
        <w:rPr>
          <w:rFonts w:asciiTheme="minorHAnsi" w:hAnsiTheme="minorHAnsi" w:cstheme="minorHAnsi"/>
          <w:sz w:val="28"/>
          <w:szCs w:val="28"/>
        </w:rPr>
      </w:pPr>
    </w:p>
    <w:p w:rsidR="00992E08" w:rsidRPr="00F7005A" w:rsidRDefault="00992E08" w:rsidP="008A4606">
      <w:pPr>
        <w:autoSpaceDE w:val="0"/>
        <w:autoSpaceDN w:val="0"/>
        <w:adjustRightInd w:val="0"/>
        <w:spacing w:line="360" w:lineRule="auto"/>
        <w:rPr>
          <w:rFonts w:asciiTheme="minorHAnsi" w:hAnsiTheme="minorHAnsi" w:cstheme="minorHAnsi"/>
          <w:sz w:val="28"/>
          <w:szCs w:val="28"/>
        </w:rPr>
      </w:pPr>
      <w:r w:rsidRPr="00F7005A">
        <w:rPr>
          <w:rFonts w:asciiTheme="minorHAnsi" w:hAnsiTheme="minorHAnsi" w:cstheme="minorHAnsi"/>
          <w:sz w:val="28"/>
          <w:szCs w:val="28"/>
        </w:rPr>
        <w:t>The study was approved by the North Nottingham Ethics Committee (08/H0403/56) before the start of data collection.</w:t>
      </w:r>
    </w:p>
    <w:p w:rsidR="00992E08" w:rsidRPr="00F7005A" w:rsidRDefault="00992E08" w:rsidP="008A4606">
      <w:pPr>
        <w:spacing w:after="200" w:line="360" w:lineRule="auto"/>
        <w:rPr>
          <w:rFonts w:asciiTheme="minorHAnsi" w:hAnsiTheme="minorHAnsi" w:cstheme="minorHAnsi"/>
          <w:color w:val="000000"/>
          <w:sz w:val="28"/>
          <w:szCs w:val="28"/>
        </w:rPr>
      </w:pPr>
    </w:p>
    <w:p w:rsidR="00992E08" w:rsidRPr="00F7005A" w:rsidRDefault="00992E08" w:rsidP="008A4606">
      <w:pPr>
        <w:spacing w:line="360" w:lineRule="auto"/>
        <w:rPr>
          <w:rFonts w:asciiTheme="minorHAnsi" w:hAnsiTheme="minorHAnsi" w:cstheme="minorHAnsi"/>
          <w:b/>
          <w:i/>
          <w:color w:val="000000"/>
          <w:sz w:val="28"/>
          <w:szCs w:val="28"/>
        </w:rPr>
      </w:pPr>
      <w:r w:rsidRPr="00F7005A">
        <w:rPr>
          <w:rFonts w:asciiTheme="minorHAnsi" w:hAnsiTheme="minorHAnsi" w:cstheme="minorHAnsi"/>
          <w:b/>
          <w:i/>
          <w:color w:val="000000"/>
          <w:sz w:val="28"/>
          <w:szCs w:val="28"/>
        </w:rPr>
        <w:lastRenderedPageBreak/>
        <w:t>Assessments</w:t>
      </w:r>
    </w:p>
    <w:p w:rsidR="00992E08" w:rsidRPr="00F7005A" w:rsidRDefault="00992E08" w:rsidP="008A4606">
      <w:pPr>
        <w:autoSpaceDE w:val="0"/>
        <w:autoSpaceDN w:val="0"/>
        <w:adjustRightInd w:val="0"/>
        <w:spacing w:line="360" w:lineRule="auto"/>
        <w:rPr>
          <w:rFonts w:asciiTheme="minorHAnsi" w:hAnsiTheme="minorHAnsi" w:cstheme="minorHAnsi"/>
          <w:sz w:val="28"/>
          <w:szCs w:val="28"/>
          <w:lang w:eastAsia="en-US"/>
        </w:rPr>
      </w:pPr>
    </w:p>
    <w:p w:rsidR="00992E08" w:rsidRPr="00F7005A" w:rsidRDefault="00992E08" w:rsidP="008A4606">
      <w:pPr>
        <w:autoSpaceDE w:val="0"/>
        <w:autoSpaceDN w:val="0"/>
        <w:adjustRightInd w:val="0"/>
        <w:spacing w:line="360" w:lineRule="auto"/>
        <w:rPr>
          <w:rFonts w:asciiTheme="minorHAnsi" w:hAnsiTheme="minorHAnsi" w:cstheme="minorHAnsi"/>
          <w:sz w:val="28"/>
          <w:szCs w:val="28"/>
        </w:rPr>
      </w:pPr>
      <w:r w:rsidRPr="00F7005A">
        <w:rPr>
          <w:rFonts w:asciiTheme="minorHAnsi" w:hAnsiTheme="minorHAnsi" w:cstheme="minorHAnsi"/>
          <w:sz w:val="28"/>
          <w:szCs w:val="28"/>
          <w:lang w:eastAsia="en-US"/>
        </w:rPr>
        <w:t>The primary outcome measure was</w:t>
      </w:r>
      <w:r w:rsidRPr="00F7005A">
        <w:rPr>
          <w:rFonts w:asciiTheme="minorHAnsi" w:hAnsiTheme="minorHAnsi" w:cstheme="minorHAnsi"/>
          <w:sz w:val="28"/>
          <w:szCs w:val="28"/>
        </w:rPr>
        <w:t xml:space="preserve"> the Health Anxiety Inventory (HAI)</w:t>
      </w:r>
      <w:r w:rsidRPr="00F7005A">
        <w:rPr>
          <w:rFonts w:asciiTheme="minorHAnsi" w:hAnsiTheme="minorHAnsi" w:cstheme="minorHAnsi"/>
          <w:sz w:val="28"/>
          <w:szCs w:val="28"/>
          <w:vertAlign w:val="superscript"/>
          <w:lang w:eastAsia="en-US"/>
        </w:rPr>
        <w:t xml:space="preserve"> 1</w:t>
      </w:r>
      <w:r w:rsidR="00781C2D">
        <w:rPr>
          <w:rFonts w:asciiTheme="minorHAnsi" w:hAnsiTheme="minorHAnsi" w:cstheme="minorHAnsi"/>
          <w:sz w:val="28"/>
          <w:szCs w:val="28"/>
          <w:vertAlign w:val="superscript"/>
          <w:lang w:eastAsia="en-US"/>
        </w:rPr>
        <w:t>0</w:t>
      </w:r>
      <w:r w:rsidRPr="00F7005A">
        <w:rPr>
          <w:rFonts w:asciiTheme="minorHAnsi" w:hAnsiTheme="minorHAnsi" w:cstheme="minorHAnsi"/>
          <w:sz w:val="28"/>
          <w:szCs w:val="28"/>
          <w:lang w:eastAsia="en-US"/>
        </w:rPr>
        <w:t>. Other measures included</w:t>
      </w:r>
      <w:r w:rsidRPr="00F7005A">
        <w:rPr>
          <w:rFonts w:asciiTheme="minorHAnsi" w:hAnsiTheme="minorHAnsi" w:cstheme="minorHAnsi"/>
          <w:sz w:val="28"/>
          <w:szCs w:val="28"/>
        </w:rPr>
        <w:t xml:space="preserve"> generalised anxiety and depression using the Hospital Anxiety and Depression Scale (HADS-A and HADS-D)</w:t>
      </w:r>
      <w:r w:rsidRPr="00F7005A">
        <w:rPr>
          <w:rFonts w:asciiTheme="minorHAnsi" w:hAnsiTheme="minorHAnsi" w:cstheme="minorHAnsi"/>
          <w:sz w:val="28"/>
          <w:szCs w:val="28"/>
          <w:vertAlign w:val="superscript"/>
          <w:lang w:eastAsia="en-US"/>
        </w:rPr>
        <w:t xml:space="preserve"> 17</w:t>
      </w:r>
      <w:r w:rsidRPr="00F7005A">
        <w:rPr>
          <w:rFonts w:asciiTheme="minorHAnsi" w:hAnsiTheme="minorHAnsi" w:cstheme="minorHAnsi"/>
          <w:sz w:val="28"/>
          <w:szCs w:val="28"/>
        </w:rPr>
        <w:t>, health-related quality of life using the short Euroqol measure (EQ-5D)</w:t>
      </w:r>
      <w:r w:rsidRPr="00F7005A">
        <w:rPr>
          <w:rFonts w:asciiTheme="minorHAnsi" w:hAnsiTheme="minorHAnsi" w:cstheme="minorHAnsi"/>
          <w:sz w:val="28"/>
          <w:szCs w:val="28"/>
          <w:vertAlign w:val="superscript"/>
          <w:lang w:eastAsia="en-US"/>
        </w:rPr>
        <w:t xml:space="preserve"> 18</w:t>
      </w:r>
      <w:r w:rsidRPr="00F7005A">
        <w:rPr>
          <w:rFonts w:asciiTheme="minorHAnsi" w:hAnsiTheme="minorHAnsi" w:cstheme="minorHAnsi"/>
          <w:sz w:val="28"/>
          <w:szCs w:val="28"/>
        </w:rPr>
        <w:t>, and social function using the Social Functioning Questionnaire (SFQ)</w:t>
      </w:r>
      <w:r w:rsidRPr="00F7005A">
        <w:rPr>
          <w:rFonts w:asciiTheme="minorHAnsi" w:hAnsiTheme="minorHAnsi" w:cstheme="minorHAnsi"/>
          <w:sz w:val="28"/>
          <w:szCs w:val="28"/>
          <w:vertAlign w:val="superscript"/>
          <w:lang w:eastAsia="en-US"/>
        </w:rPr>
        <w:t xml:space="preserve"> 19</w:t>
      </w:r>
      <w:r w:rsidRPr="00F7005A">
        <w:rPr>
          <w:rFonts w:asciiTheme="minorHAnsi" w:hAnsiTheme="minorHAnsi" w:cstheme="minorHAnsi"/>
          <w:sz w:val="28"/>
          <w:szCs w:val="28"/>
        </w:rPr>
        <w:t xml:space="preserve">. All measures were recorded at baseline, 6m, 12m and </w:t>
      </w:r>
      <w:r w:rsidRPr="00F7005A">
        <w:rPr>
          <w:rFonts w:asciiTheme="minorHAnsi" w:hAnsiTheme="minorHAnsi" w:cstheme="minorHAnsi"/>
          <w:sz w:val="28"/>
          <w:szCs w:val="28"/>
          <w:lang w:eastAsia="en-US"/>
        </w:rPr>
        <w:t>24 months (</w:t>
      </w:r>
      <w:r w:rsidRPr="00F7005A">
        <w:rPr>
          <w:rFonts w:asciiTheme="minorHAnsi" w:hAnsiTheme="minorHAnsi" w:cstheme="minorHAnsi"/>
          <w:sz w:val="28"/>
          <w:szCs w:val="28"/>
        </w:rPr>
        <w:t xml:space="preserve">with </w:t>
      </w:r>
      <w:r w:rsidRPr="00F7005A">
        <w:rPr>
          <w:rFonts w:asciiTheme="minorHAnsi" w:hAnsiTheme="minorHAnsi" w:cstheme="minorHAnsi"/>
          <w:sz w:val="28"/>
          <w:szCs w:val="28"/>
          <w:lang w:eastAsia="en-US"/>
        </w:rPr>
        <w:t>the exception of the HAI which was also recorded at 3 months). Assessments were</w:t>
      </w:r>
      <w:r w:rsidRPr="00F7005A">
        <w:rPr>
          <w:rFonts w:asciiTheme="minorHAnsi" w:hAnsiTheme="minorHAnsi" w:cstheme="minorHAnsi"/>
          <w:sz w:val="28"/>
          <w:szCs w:val="28"/>
        </w:rPr>
        <w:t xml:space="preserve"> made completely independently by research assistants. Service use data for the economic evaluation </w:t>
      </w:r>
      <w:r w:rsidRPr="00F7005A">
        <w:rPr>
          <w:rFonts w:asciiTheme="minorHAnsi" w:hAnsiTheme="minorHAnsi" w:cstheme="minorHAnsi"/>
          <w:sz w:val="28"/>
          <w:szCs w:val="28"/>
          <w:lang w:eastAsia="en-US"/>
        </w:rPr>
        <w:t>w</w:t>
      </w:r>
      <w:r w:rsidR="008E09B8" w:rsidRPr="00F7005A">
        <w:rPr>
          <w:rFonts w:asciiTheme="minorHAnsi" w:hAnsiTheme="minorHAnsi" w:cstheme="minorHAnsi"/>
          <w:sz w:val="28"/>
          <w:szCs w:val="28"/>
          <w:lang w:eastAsia="en-US"/>
        </w:rPr>
        <w:t>ere</w:t>
      </w:r>
      <w:r w:rsidRPr="00F7005A">
        <w:rPr>
          <w:rFonts w:asciiTheme="minorHAnsi" w:hAnsiTheme="minorHAnsi" w:cstheme="minorHAnsi"/>
          <w:sz w:val="28"/>
          <w:szCs w:val="28"/>
          <w:lang w:eastAsia="en-US"/>
        </w:rPr>
        <w:t xml:space="preserve"> collected </w:t>
      </w:r>
      <w:r w:rsidRPr="00F7005A">
        <w:rPr>
          <w:rFonts w:asciiTheme="minorHAnsi" w:hAnsiTheme="minorHAnsi" w:cstheme="minorHAnsi"/>
          <w:sz w:val="28"/>
          <w:szCs w:val="28"/>
        </w:rPr>
        <w:t xml:space="preserve">at baseline, 6 months, 12 months, and </w:t>
      </w:r>
      <w:r w:rsidRPr="00F7005A">
        <w:rPr>
          <w:rFonts w:asciiTheme="minorHAnsi" w:hAnsiTheme="minorHAnsi" w:cstheme="minorHAnsi"/>
          <w:sz w:val="28"/>
          <w:szCs w:val="28"/>
          <w:lang w:eastAsia="en-US"/>
        </w:rPr>
        <w:t>24 month</w:t>
      </w:r>
      <w:r w:rsidRPr="00F7005A">
        <w:rPr>
          <w:rFonts w:asciiTheme="minorHAnsi" w:hAnsiTheme="minorHAnsi" w:cstheme="minorHAnsi"/>
          <w:sz w:val="28"/>
          <w:szCs w:val="28"/>
        </w:rPr>
        <w:t xml:space="preserve"> follow-</w:t>
      </w:r>
      <w:r w:rsidRPr="00F7005A">
        <w:rPr>
          <w:rFonts w:asciiTheme="minorHAnsi" w:hAnsiTheme="minorHAnsi" w:cstheme="minorHAnsi"/>
          <w:sz w:val="28"/>
          <w:szCs w:val="28"/>
          <w:lang w:eastAsia="en-US"/>
        </w:rPr>
        <w:t>up</w:t>
      </w:r>
      <w:r w:rsidRPr="00F7005A">
        <w:rPr>
          <w:rFonts w:asciiTheme="minorHAnsi" w:hAnsiTheme="minorHAnsi" w:cstheme="minorHAnsi"/>
          <w:sz w:val="28"/>
          <w:szCs w:val="28"/>
        </w:rPr>
        <w:t xml:space="preserve"> using the Adult Service</w:t>
      </w:r>
      <w:r w:rsidRPr="00F7005A">
        <w:rPr>
          <w:rFonts w:asciiTheme="minorHAnsi" w:hAnsiTheme="minorHAnsi" w:cstheme="minorHAnsi"/>
          <w:sz w:val="28"/>
          <w:szCs w:val="28"/>
          <w:lang w:eastAsia="en-US"/>
        </w:rPr>
        <w:t xml:space="preserve"> </w:t>
      </w:r>
      <w:r w:rsidRPr="00F7005A">
        <w:rPr>
          <w:rFonts w:asciiTheme="minorHAnsi" w:hAnsiTheme="minorHAnsi" w:cstheme="minorHAnsi"/>
          <w:sz w:val="28"/>
          <w:szCs w:val="28"/>
        </w:rPr>
        <w:t xml:space="preserve">Use Schedule (AD-SUS), a self-report instrument assessed in interview and designed on the basis of previous economic evaluations in adult mental health </w:t>
      </w:r>
      <w:r w:rsidRPr="00F7005A">
        <w:rPr>
          <w:rFonts w:asciiTheme="minorHAnsi" w:hAnsiTheme="minorHAnsi" w:cstheme="minorHAnsi"/>
          <w:sz w:val="28"/>
          <w:szCs w:val="28"/>
          <w:lang w:eastAsia="en-US"/>
        </w:rPr>
        <w:t>populations</w:t>
      </w:r>
      <w:r w:rsidRPr="00F7005A">
        <w:rPr>
          <w:rFonts w:asciiTheme="minorHAnsi" w:hAnsiTheme="minorHAnsi" w:cstheme="minorHAnsi"/>
          <w:sz w:val="28"/>
          <w:szCs w:val="28"/>
          <w:vertAlign w:val="superscript"/>
          <w:lang w:eastAsia="en-US"/>
        </w:rPr>
        <w:t>20</w:t>
      </w:r>
      <w:r w:rsidRPr="00F7005A">
        <w:rPr>
          <w:rFonts w:asciiTheme="minorHAnsi" w:hAnsiTheme="minorHAnsi" w:cstheme="minorHAnsi"/>
          <w:sz w:val="28"/>
          <w:szCs w:val="28"/>
          <w:lang w:eastAsia="en-US"/>
        </w:rPr>
        <w:t xml:space="preserve">. </w:t>
      </w:r>
      <w:r w:rsidRPr="00F7005A">
        <w:rPr>
          <w:rFonts w:asciiTheme="minorHAnsi" w:hAnsiTheme="minorHAnsi" w:cstheme="minorHAnsi"/>
          <w:sz w:val="28"/>
          <w:szCs w:val="28"/>
        </w:rPr>
        <w:t xml:space="preserve"> </w:t>
      </w:r>
    </w:p>
    <w:p w:rsidR="00992E08" w:rsidRPr="00F7005A" w:rsidRDefault="00992E08" w:rsidP="008A4606">
      <w:pPr>
        <w:autoSpaceDE w:val="0"/>
        <w:autoSpaceDN w:val="0"/>
        <w:adjustRightInd w:val="0"/>
        <w:spacing w:line="360" w:lineRule="auto"/>
        <w:jc w:val="center"/>
        <w:rPr>
          <w:rFonts w:asciiTheme="minorHAnsi" w:hAnsiTheme="minorHAnsi" w:cstheme="minorHAnsi"/>
          <w:sz w:val="28"/>
          <w:szCs w:val="28"/>
        </w:rPr>
      </w:pPr>
      <w:r w:rsidRPr="00F7005A">
        <w:rPr>
          <w:rFonts w:asciiTheme="minorHAnsi" w:hAnsiTheme="minorHAnsi" w:cstheme="minorHAnsi"/>
          <w:sz w:val="28"/>
          <w:szCs w:val="28"/>
        </w:rPr>
        <w:t xml:space="preserve">[Table 1 near here] </w:t>
      </w:r>
    </w:p>
    <w:p w:rsidR="00992E08" w:rsidRPr="00F7005A" w:rsidRDefault="00992E08" w:rsidP="008A4606">
      <w:pPr>
        <w:autoSpaceDE w:val="0"/>
        <w:autoSpaceDN w:val="0"/>
        <w:adjustRightInd w:val="0"/>
        <w:spacing w:line="360" w:lineRule="auto"/>
        <w:rPr>
          <w:rFonts w:asciiTheme="minorHAnsi" w:hAnsiTheme="minorHAnsi" w:cstheme="minorHAnsi"/>
          <w:sz w:val="28"/>
          <w:szCs w:val="28"/>
        </w:rPr>
      </w:pPr>
      <w:r w:rsidRPr="00F7005A">
        <w:rPr>
          <w:rFonts w:asciiTheme="minorHAnsi" w:hAnsiTheme="minorHAnsi" w:cstheme="minorHAnsi"/>
          <w:sz w:val="28"/>
          <w:szCs w:val="28"/>
        </w:rPr>
        <w:t>Personality assessment was carried out using the quick version of the Personality Assessment Schedule (PAS-Q)</w:t>
      </w:r>
      <w:r w:rsidRPr="00F7005A">
        <w:rPr>
          <w:rFonts w:asciiTheme="minorHAnsi" w:hAnsiTheme="minorHAnsi" w:cstheme="minorHAnsi"/>
          <w:sz w:val="28"/>
          <w:szCs w:val="28"/>
          <w:vertAlign w:val="superscript"/>
        </w:rPr>
        <w:t xml:space="preserve"> 21</w:t>
      </w:r>
      <w:r w:rsidRPr="00F7005A">
        <w:rPr>
          <w:rFonts w:asciiTheme="minorHAnsi" w:hAnsiTheme="minorHAnsi" w:cstheme="minorHAnsi"/>
          <w:sz w:val="28"/>
          <w:szCs w:val="28"/>
        </w:rPr>
        <w:t>, which records both the severity and the type of personality disorder using a four point scale</w:t>
      </w:r>
      <w:r w:rsidR="008E09B8" w:rsidRPr="00F7005A">
        <w:rPr>
          <w:rFonts w:asciiTheme="minorHAnsi" w:hAnsiTheme="minorHAnsi" w:cstheme="minorHAnsi"/>
          <w:sz w:val="28"/>
          <w:szCs w:val="28"/>
        </w:rPr>
        <w:t xml:space="preserve"> (see Data Supplement)</w:t>
      </w:r>
      <w:r w:rsidRPr="00F7005A">
        <w:rPr>
          <w:rFonts w:asciiTheme="minorHAnsi" w:hAnsiTheme="minorHAnsi" w:cstheme="minorHAnsi"/>
          <w:sz w:val="28"/>
          <w:szCs w:val="28"/>
        </w:rPr>
        <w:t xml:space="preserve">. This contains a series of screening questions for each area of personality dysfunction, and those that score positive are asked further questions. The PAS-Q was administered by a trained research assistant, and the assessment forms include both numerical ratings and written comments on each of the sections. During the course of the study the </w:t>
      </w:r>
      <w:r w:rsidRPr="00F7005A">
        <w:rPr>
          <w:rFonts w:asciiTheme="minorHAnsi" w:hAnsiTheme="minorHAnsi" w:cstheme="minorHAnsi"/>
          <w:color w:val="000000"/>
          <w:sz w:val="28"/>
          <w:szCs w:val="28"/>
        </w:rPr>
        <w:t>Working Group for the Reclassification of Personality Disorder in ICD-11 completed its initial work on a new system of classification based on severity criteria (April, 2010)</w:t>
      </w:r>
      <w:r w:rsidRPr="00F7005A">
        <w:rPr>
          <w:rFonts w:asciiTheme="minorHAnsi" w:hAnsiTheme="minorHAnsi" w:cstheme="minorHAnsi"/>
          <w:sz w:val="28"/>
          <w:szCs w:val="28"/>
          <w:vertAlign w:val="superscript"/>
        </w:rPr>
        <w:t>22</w:t>
      </w:r>
      <w:r w:rsidRPr="00F7005A">
        <w:rPr>
          <w:rFonts w:asciiTheme="minorHAnsi" w:hAnsiTheme="minorHAnsi" w:cstheme="minorHAnsi"/>
          <w:color w:val="000000"/>
          <w:sz w:val="28"/>
          <w:szCs w:val="28"/>
        </w:rPr>
        <w:t xml:space="preserve">. The ICD-11 classification at that stage is summarised (Table 1). Subsequently, RS, PT, and GL reclassified the personality status of the patients in the study to </w:t>
      </w:r>
      <w:r w:rsidRPr="00F7005A">
        <w:rPr>
          <w:rFonts w:asciiTheme="minorHAnsi" w:hAnsiTheme="minorHAnsi" w:cstheme="minorHAnsi"/>
          <w:color w:val="000000"/>
          <w:sz w:val="28"/>
          <w:szCs w:val="28"/>
        </w:rPr>
        <w:lastRenderedPageBreak/>
        <w:t>convert them to ICD-11 severity equivalents by examining the PAS-Q data and written comments</w:t>
      </w:r>
      <w:r w:rsidRPr="00F7005A">
        <w:rPr>
          <w:rFonts w:asciiTheme="minorHAnsi" w:hAnsiTheme="minorHAnsi" w:cstheme="minorHAnsi"/>
          <w:color w:val="000000"/>
          <w:sz w:val="28"/>
          <w:szCs w:val="28"/>
          <w:vertAlign w:val="superscript"/>
        </w:rPr>
        <w:t>23</w:t>
      </w:r>
      <w:r w:rsidRPr="00F7005A">
        <w:rPr>
          <w:rFonts w:asciiTheme="minorHAnsi" w:hAnsiTheme="minorHAnsi" w:cstheme="minorHAnsi"/>
          <w:color w:val="000000"/>
          <w:sz w:val="28"/>
          <w:szCs w:val="28"/>
        </w:rPr>
        <w:t xml:space="preserve"> as well as interviewing assessors if the data were not clear. For 30 of the assessments RS and PT completed independent assessments and achieved a good level of agreement (kappa = 0.84, 95% CI, 0.60-1.0).  </w:t>
      </w:r>
    </w:p>
    <w:p w:rsidR="00992E08" w:rsidRPr="00F7005A" w:rsidRDefault="00992E08" w:rsidP="008A4606">
      <w:pPr>
        <w:autoSpaceDE w:val="0"/>
        <w:autoSpaceDN w:val="0"/>
        <w:adjustRightInd w:val="0"/>
        <w:spacing w:line="360" w:lineRule="auto"/>
        <w:rPr>
          <w:rFonts w:asciiTheme="minorHAnsi" w:hAnsiTheme="minorHAnsi" w:cstheme="minorHAnsi"/>
          <w:b/>
          <w:sz w:val="28"/>
          <w:szCs w:val="28"/>
        </w:rPr>
      </w:pPr>
    </w:p>
    <w:p w:rsidR="00992E08" w:rsidRPr="00F7005A" w:rsidRDefault="00992E08" w:rsidP="008A4606">
      <w:pPr>
        <w:autoSpaceDE w:val="0"/>
        <w:autoSpaceDN w:val="0"/>
        <w:adjustRightInd w:val="0"/>
        <w:spacing w:line="360" w:lineRule="auto"/>
        <w:rPr>
          <w:rFonts w:asciiTheme="minorHAnsi" w:hAnsiTheme="minorHAnsi" w:cstheme="minorHAnsi"/>
          <w:b/>
          <w:i/>
          <w:sz w:val="28"/>
          <w:szCs w:val="28"/>
        </w:rPr>
      </w:pPr>
      <w:r w:rsidRPr="00F7005A">
        <w:rPr>
          <w:rFonts w:asciiTheme="minorHAnsi" w:hAnsiTheme="minorHAnsi" w:cstheme="minorHAnsi"/>
          <w:b/>
          <w:i/>
          <w:sz w:val="28"/>
          <w:szCs w:val="28"/>
        </w:rPr>
        <w:t>Randomisation and masking</w:t>
      </w:r>
    </w:p>
    <w:p w:rsidR="00992E08" w:rsidRPr="00F7005A" w:rsidRDefault="00992E08" w:rsidP="008A4606">
      <w:pPr>
        <w:autoSpaceDE w:val="0"/>
        <w:autoSpaceDN w:val="0"/>
        <w:adjustRightInd w:val="0"/>
        <w:spacing w:line="360" w:lineRule="auto"/>
        <w:rPr>
          <w:rFonts w:asciiTheme="minorHAnsi" w:hAnsiTheme="minorHAnsi" w:cstheme="minorHAnsi"/>
          <w:color w:val="000000"/>
          <w:sz w:val="28"/>
          <w:szCs w:val="28"/>
        </w:rPr>
      </w:pPr>
      <w:r w:rsidRPr="00F7005A">
        <w:rPr>
          <w:rFonts w:asciiTheme="minorHAnsi" w:hAnsiTheme="minorHAnsi" w:cstheme="minorHAnsi"/>
          <w:sz w:val="28"/>
          <w:szCs w:val="28"/>
        </w:rPr>
        <w:t xml:space="preserve">Randomisation to the two treatment groups was carried out by an independently operated computerised system (Open-CDMS), with a computer-generated random sequence using block randomisation with varying block sizes of four and six. The allocation sequence was not available to any member of the research team until databases had been completed and locked. </w:t>
      </w:r>
    </w:p>
    <w:p w:rsidR="00992E08" w:rsidRPr="00F7005A" w:rsidRDefault="00992E08" w:rsidP="008A4606">
      <w:pPr>
        <w:spacing w:after="200" w:line="360" w:lineRule="auto"/>
        <w:rPr>
          <w:rFonts w:asciiTheme="minorHAnsi" w:hAnsiTheme="minorHAnsi" w:cstheme="minorHAnsi"/>
          <w:i/>
          <w:color w:val="000000"/>
          <w:sz w:val="28"/>
          <w:szCs w:val="28"/>
        </w:rPr>
      </w:pPr>
    </w:p>
    <w:p w:rsidR="00992E08" w:rsidRPr="00F7005A" w:rsidRDefault="00992E08" w:rsidP="008A4606">
      <w:pPr>
        <w:autoSpaceDE w:val="0"/>
        <w:autoSpaceDN w:val="0"/>
        <w:adjustRightInd w:val="0"/>
        <w:spacing w:line="360" w:lineRule="auto"/>
        <w:rPr>
          <w:rFonts w:asciiTheme="minorHAnsi" w:hAnsiTheme="minorHAnsi" w:cstheme="minorHAnsi"/>
          <w:b/>
          <w:i/>
          <w:sz w:val="28"/>
          <w:szCs w:val="28"/>
        </w:rPr>
      </w:pPr>
      <w:r w:rsidRPr="00F7005A">
        <w:rPr>
          <w:rFonts w:asciiTheme="minorHAnsi" w:hAnsiTheme="minorHAnsi" w:cstheme="minorHAnsi"/>
          <w:b/>
          <w:i/>
          <w:sz w:val="28"/>
          <w:szCs w:val="28"/>
        </w:rPr>
        <w:t>Statistical analysis</w:t>
      </w:r>
    </w:p>
    <w:p w:rsidR="00992E08" w:rsidRPr="00F7005A" w:rsidRDefault="00992E08" w:rsidP="008A4606">
      <w:pPr>
        <w:autoSpaceDE w:val="0"/>
        <w:autoSpaceDN w:val="0"/>
        <w:adjustRightInd w:val="0"/>
        <w:spacing w:line="360" w:lineRule="auto"/>
        <w:rPr>
          <w:rFonts w:asciiTheme="minorHAnsi" w:hAnsiTheme="minorHAnsi" w:cstheme="minorHAnsi"/>
          <w:sz w:val="28"/>
          <w:szCs w:val="28"/>
          <w:lang w:eastAsia="en-US"/>
        </w:rPr>
      </w:pPr>
      <w:r w:rsidRPr="00F7005A">
        <w:rPr>
          <w:rFonts w:asciiTheme="minorHAnsi" w:hAnsiTheme="minorHAnsi" w:cstheme="minorHAnsi"/>
          <w:sz w:val="28"/>
          <w:szCs w:val="28"/>
          <w:lang w:eastAsia="en-US"/>
        </w:rPr>
        <w:t>The calculation of the sample size for the main study has been described previously</w:t>
      </w:r>
      <w:r w:rsidRPr="00F7005A">
        <w:rPr>
          <w:rFonts w:asciiTheme="minorHAnsi" w:hAnsiTheme="minorHAnsi" w:cstheme="minorHAnsi"/>
          <w:sz w:val="28"/>
          <w:szCs w:val="28"/>
          <w:vertAlign w:val="superscript"/>
          <w:lang w:eastAsia="en-US"/>
        </w:rPr>
        <w:t>13</w:t>
      </w:r>
      <w:r w:rsidRPr="00F7005A">
        <w:rPr>
          <w:rFonts w:asciiTheme="minorHAnsi" w:hAnsiTheme="minorHAnsi" w:cstheme="minorHAnsi"/>
          <w:sz w:val="28"/>
          <w:szCs w:val="28"/>
          <w:lang w:eastAsia="en-US"/>
        </w:rPr>
        <w:t>; it was powered to assess the superiority of CBT-HA over standard care. The current study was a secondary analysis of the outcomes for different levels of severity of personality disturbance and so no formal sample size calculation was performed.</w:t>
      </w:r>
    </w:p>
    <w:p w:rsidR="00992E08" w:rsidRPr="00F7005A" w:rsidRDefault="00992E08" w:rsidP="008A4606">
      <w:pPr>
        <w:autoSpaceDE w:val="0"/>
        <w:autoSpaceDN w:val="0"/>
        <w:adjustRightInd w:val="0"/>
        <w:spacing w:line="360" w:lineRule="auto"/>
        <w:rPr>
          <w:rFonts w:asciiTheme="minorHAnsi" w:hAnsiTheme="minorHAnsi" w:cstheme="minorHAnsi"/>
          <w:sz w:val="28"/>
          <w:szCs w:val="28"/>
          <w:lang w:eastAsia="en-US"/>
        </w:rPr>
      </w:pPr>
    </w:p>
    <w:p w:rsidR="00992E08" w:rsidRPr="00F7005A" w:rsidRDefault="00992E08" w:rsidP="008A4606">
      <w:pPr>
        <w:autoSpaceDE w:val="0"/>
        <w:autoSpaceDN w:val="0"/>
        <w:adjustRightInd w:val="0"/>
        <w:spacing w:line="360" w:lineRule="auto"/>
        <w:rPr>
          <w:rFonts w:asciiTheme="minorHAnsi" w:hAnsiTheme="minorHAnsi" w:cstheme="minorHAnsi"/>
          <w:sz w:val="28"/>
          <w:szCs w:val="28"/>
          <w:lang w:eastAsia="en-US"/>
        </w:rPr>
      </w:pPr>
      <w:r w:rsidRPr="00F7005A">
        <w:rPr>
          <w:rFonts w:asciiTheme="minorHAnsi" w:hAnsiTheme="minorHAnsi" w:cstheme="minorHAnsi"/>
          <w:sz w:val="28"/>
          <w:szCs w:val="28"/>
          <w:lang w:eastAsia="en-US"/>
        </w:rPr>
        <w:t xml:space="preserve">The primary endpoint (HAI) was analysed using a mixed model with time, treatment group, and time x treatment interaction as fixed effects, baseline measurement as covariate, and patient as random effect by personality severity group in order to test for the first hypothesis, that the CBT-HA would be less effective in participants with a personality disorder. The treatment differences between the four ICD-11 personality groups were calculated at each time point (3m (HAI only)), 6m, 1 year and 2 years). Other secondary </w:t>
      </w:r>
      <w:r w:rsidRPr="00F7005A">
        <w:rPr>
          <w:rFonts w:asciiTheme="minorHAnsi" w:hAnsiTheme="minorHAnsi" w:cstheme="minorHAnsi"/>
          <w:sz w:val="28"/>
          <w:szCs w:val="28"/>
          <w:lang w:eastAsia="en-US"/>
        </w:rPr>
        <w:lastRenderedPageBreak/>
        <w:t>endpoints were analysed in the same way. All analyses were based on the intention-to-treat principle.</w:t>
      </w:r>
    </w:p>
    <w:p w:rsidR="00992E08" w:rsidRPr="00F7005A" w:rsidRDefault="00992E08" w:rsidP="008A4606">
      <w:pPr>
        <w:autoSpaceDE w:val="0"/>
        <w:autoSpaceDN w:val="0"/>
        <w:adjustRightInd w:val="0"/>
        <w:spacing w:line="360" w:lineRule="auto"/>
        <w:rPr>
          <w:rFonts w:asciiTheme="minorHAnsi" w:hAnsiTheme="minorHAnsi" w:cstheme="minorHAnsi"/>
          <w:sz w:val="28"/>
          <w:szCs w:val="28"/>
          <w:lang w:eastAsia="en-US"/>
        </w:rPr>
      </w:pPr>
    </w:p>
    <w:p w:rsidR="00992E08" w:rsidRPr="00F7005A" w:rsidRDefault="00992E08" w:rsidP="008A4606">
      <w:pPr>
        <w:autoSpaceDE w:val="0"/>
        <w:autoSpaceDN w:val="0"/>
        <w:adjustRightInd w:val="0"/>
        <w:spacing w:line="360" w:lineRule="auto"/>
        <w:rPr>
          <w:rFonts w:asciiTheme="minorHAnsi" w:hAnsiTheme="minorHAnsi" w:cstheme="minorHAnsi"/>
          <w:sz w:val="28"/>
          <w:szCs w:val="28"/>
          <w:lang w:eastAsia="en-US"/>
        </w:rPr>
      </w:pPr>
    </w:p>
    <w:p w:rsidR="00992E08" w:rsidRPr="00F7005A" w:rsidRDefault="00992E08" w:rsidP="008A4606">
      <w:pPr>
        <w:autoSpaceDE w:val="0"/>
        <w:autoSpaceDN w:val="0"/>
        <w:adjustRightInd w:val="0"/>
        <w:spacing w:line="360" w:lineRule="auto"/>
        <w:rPr>
          <w:rFonts w:asciiTheme="minorHAnsi" w:hAnsiTheme="minorHAnsi" w:cstheme="minorHAnsi"/>
          <w:b/>
          <w:i/>
          <w:sz w:val="28"/>
          <w:szCs w:val="28"/>
        </w:rPr>
      </w:pPr>
      <w:r w:rsidRPr="00F7005A">
        <w:rPr>
          <w:rFonts w:asciiTheme="minorHAnsi" w:hAnsiTheme="minorHAnsi" w:cstheme="minorHAnsi"/>
          <w:b/>
          <w:i/>
          <w:sz w:val="28"/>
          <w:szCs w:val="28"/>
        </w:rPr>
        <w:t xml:space="preserve">Economic analysis  </w:t>
      </w:r>
    </w:p>
    <w:p w:rsidR="00992E08" w:rsidRPr="00F7005A" w:rsidRDefault="00992E08" w:rsidP="008A4606">
      <w:pPr>
        <w:spacing w:after="200" w:line="360" w:lineRule="auto"/>
        <w:rPr>
          <w:rFonts w:asciiTheme="minorHAnsi" w:hAnsiTheme="minorHAnsi" w:cstheme="minorHAnsi"/>
          <w:color w:val="000000"/>
          <w:sz w:val="28"/>
          <w:szCs w:val="28"/>
        </w:rPr>
      </w:pPr>
      <w:r w:rsidRPr="00F7005A">
        <w:rPr>
          <w:rFonts w:asciiTheme="minorHAnsi" w:hAnsiTheme="minorHAnsi" w:cstheme="minorHAnsi"/>
          <w:sz w:val="28"/>
          <w:szCs w:val="28"/>
        </w:rPr>
        <w:t>The economic evaluation is described in detail elsewhere</w:t>
      </w:r>
      <w:r w:rsidRPr="00F7005A">
        <w:rPr>
          <w:rFonts w:asciiTheme="minorHAnsi" w:hAnsiTheme="minorHAnsi" w:cstheme="minorHAnsi"/>
          <w:sz w:val="28"/>
          <w:szCs w:val="28"/>
          <w:vertAlign w:val="superscript"/>
        </w:rPr>
        <w:t>13</w:t>
      </w:r>
      <w:r w:rsidRPr="00F7005A">
        <w:rPr>
          <w:rFonts w:asciiTheme="minorHAnsi" w:hAnsiTheme="minorHAnsi" w:cstheme="minorHAnsi"/>
          <w:sz w:val="28"/>
          <w:szCs w:val="28"/>
        </w:rPr>
        <w:t>. Total costs were calculated by combining the service use data</w:t>
      </w:r>
      <w:r w:rsidRPr="00F7005A">
        <w:rPr>
          <w:rFonts w:asciiTheme="minorHAnsi" w:hAnsiTheme="minorHAnsi" w:cstheme="minorHAnsi"/>
          <w:color w:val="000000"/>
          <w:sz w:val="28"/>
          <w:szCs w:val="28"/>
        </w:rPr>
        <w:t xml:space="preserve"> collected from the AD-SUS together with hospital use from electronic records with nationally applicable unit costs</w:t>
      </w:r>
      <w:r w:rsidRPr="00F7005A">
        <w:rPr>
          <w:rFonts w:asciiTheme="minorHAnsi" w:hAnsiTheme="minorHAnsi" w:cstheme="minorHAnsi"/>
          <w:color w:val="000000"/>
          <w:sz w:val="28"/>
          <w:szCs w:val="28"/>
          <w:vertAlign w:val="superscript"/>
        </w:rPr>
        <w:t>24-26</w:t>
      </w:r>
      <w:r w:rsidRPr="00F7005A">
        <w:rPr>
          <w:rFonts w:asciiTheme="minorHAnsi" w:hAnsiTheme="minorHAnsi" w:cstheme="minorHAnsi"/>
          <w:color w:val="000000"/>
          <w:sz w:val="28"/>
          <w:szCs w:val="28"/>
        </w:rPr>
        <w:t>. Costs were calculated and analysed in UK pound sterling for the financial year 2008-09 and were discounted in the second year at a rate of 3.5% as recommended by the National Institute for Health and Clinical Excellence</w:t>
      </w:r>
      <w:r w:rsidRPr="00F7005A">
        <w:rPr>
          <w:rFonts w:asciiTheme="minorHAnsi" w:hAnsiTheme="minorHAnsi" w:cstheme="minorHAnsi"/>
          <w:color w:val="000000"/>
          <w:sz w:val="28"/>
          <w:szCs w:val="28"/>
          <w:vertAlign w:val="superscript"/>
        </w:rPr>
        <w:t>27</w:t>
      </w:r>
      <w:r w:rsidRPr="00F7005A">
        <w:rPr>
          <w:rFonts w:asciiTheme="minorHAnsi" w:hAnsiTheme="minorHAnsi" w:cstheme="minorHAnsi"/>
          <w:color w:val="000000"/>
          <w:sz w:val="28"/>
          <w:szCs w:val="28"/>
        </w:rPr>
        <w:t>. Complete case analysis was used for the economic evaluation</w:t>
      </w:r>
      <w:r w:rsidRPr="00F7005A">
        <w:rPr>
          <w:rFonts w:asciiTheme="minorHAnsi" w:hAnsiTheme="minorHAnsi" w:cstheme="minorHAnsi"/>
          <w:color w:val="000000"/>
          <w:sz w:val="28"/>
          <w:szCs w:val="28"/>
          <w:vertAlign w:val="superscript"/>
        </w:rPr>
        <w:t>13</w:t>
      </w:r>
      <w:r w:rsidRPr="00F7005A">
        <w:rPr>
          <w:rFonts w:asciiTheme="minorHAnsi" w:hAnsiTheme="minorHAnsi" w:cstheme="minorHAnsi"/>
          <w:color w:val="000000"/>
          <w:sz w:val="28"/>
          <w:szCs w:val="28"/>
        </w:rPr>
        <w:t xml:space="preserve">. The second hypothesis, that participants with personality disorder would have increased costs was </w:t>
      </w:r>
      <w:r w:rsidRPr="00F7005A">
        <w:rPr>
          <w:rFonts w:asciiTheme="minorHAnsi" w:hAnsiTheme="minorHAnsi" w:cstheme="minorHAnsi"/>
          <w:sz w:val="28"/>
          <w:szCs w:val="28"/>
        </w:rPr>
        <w:t>explored through the examination of differences in costs over the 24 month follow-up period between ICD-11 groups</w:t>
      </w:r>
      <w:r w:rsidRPr="00F7005A">
        <w:rPr>
          <w:rFonts w:asciiTheme="minorHAnsi" w:hAnsiTheme="minorHAnsi" w:cstheme="minorHAnsi"/>
          <w:color w:val="000000"/>
          <w:sz w:val="28"/>
          <w:szCs w:val="28"/>
        </w:rPr>
        <w:t>. Analysis was performed using ordinary least squares regression as is appropriate for cost data, with the robustness of the tests confirmed using bias-corrected, non-parametric bootstrapping</w:t>
      </w:r>
      <w:r w:rsidRPr="00F7005A">
        <w:rPr>
          <w:rFonts w:asciiTheme="minorHAnsi" w:hAnsiTheme="minorHAnsi" w:cstheme="minorHAnsi"/>
          <w:color w:val="000000"/>
          <w:sz w:val="28"/>
          <w:szCs w:val="28"/>
          <w:vertAlign w:val="superscript"/>
        </w:rPr>
        <w:t>28-29</w:t>
      </w:r>
      <w:r w:rsidRPr="00F7005A">
        <w:rPr>
          <w:rFonts w:asciiTheme="minorHAnsi" w:hAnsiTheme="minorHAnsi" w:cstheme="minorHAnsi"/>
          <w:color w:val="000000"/>
          <w:sz w:val="28"/>
          <w:szCs w:val="28"/>
        </w:rPr>
        <w:t xml:space="preserve">. Differences in all analyses were adjusted for baseline costs and randomised group. </w:t>
      </w:r>
    </w:p>
    <w:p w:rsidR="00992E08" w:rsidRPr="00F7005A" w:rsidRDefault="00992E08" w:rsidP="008A4606">
      <w:pPr>
        <w:spacing w:after="200" w:line="360" w:lineRule="auto"/>
        <w:rPr>
          <w:rFonts w:asciiTheme="minorHAnsi" w:hAnsiTheme="minorHAnsi" w:cstheme="minorHAnsi"/>
          <w:color w:val="000000"/>
          <w:sz w:val="28"/>
          <w:szCs w:val="28"/>
        </w:rPr>
      </w:pPr>
      <w:r w:rsidRPr="00F7005A">
        <w:rPr>
          <w:rFonts w:asciiTheme="minorHAnsi" w:hAnsiTheme="minorHAnsi" w:cstheme="minorHAnsi"/>
          <w:b/>
          <w:color w:val="000000"/>
          <w:sz w:val="28"/>
          <w:szCs w:val="28"/>
        </w:rPr>
        <w:t>Results</w:t>
      </w:r>
    </w:p>
    <w:p w:rsidR="00992E08" w:rsidRPr="00F7005A" w:rsidRDefault="00992E08" w:rsidP="008A4606">
      <w:pPr>
        <w:spacing w:line="360" w:lineRule="auto"/>
        <w:jc w:val="center"/>
        <w:rPr>
          <w:rFonts w:asciiTheme="minorHAnsi" w:hAnsiTheme="minorHAnsi" w:cstheme="minorHAnsi"/>
          <w:sz w:val="28"/>
          <w:szCs w:val="28"/>
        </w:rPr>
      </w:pPr>
      <w:r w:rsidRPr="00F7005A">
        <w:rPr>
          <w:rFonts w:asciiTheme="minorHAnsi" w:hAnsiTheme="minorHAnsi" w:cstheme="minorHAnsi"/>
          <w:sz w:val="28"/>
          <w:szCs w:val="28"/>
        </w:rPr>
        <w:t>[All figures and Tables 2 onwards near here]</w:t>
      </w:r>
    </w:p>
    <w:p w:rsidR="00992E08" w:rsidRPr="00F7005A" w:rsidRDefault="00992E08" w:rsidP="008A4606">
      <w:pPr>
        <w:spacing w:line="360" w:lineRule="auto"/>
        <w:rPr>
          <w:rFonts w:asciiTheme="minorHAnsi" w:hAnsiTheme="minorHAnsi" w:cstheme="minorHAnsi"/>
          <w:sz w:val="28"/>
          <w:szCs w:val="28"/>
        </w:rPr>
      </w:pPr>
      <w:r w:rsidRPr="00F7005A">
        <w:rPr>
          <w:rFonts w:asciiTheme="minorHAnsi" w:hAnsiTheme="minorHAnsi" w:cstheme="minorHAnsi"/>
          <w:sz w:val="28"/>
          <w:szCs w:val="28"/>
        </w:rPr>
        <w:t xml:space="preserve">445 patients were randomised in the study but one patient was referred and randomised twice – both times to the standard care group – and the first date was taken for inclusion. All 444 patients had their personality status assessed at baseline (Table 1). Nine patients died during the study, 6 in the standard care group, 3 in the CBT-HA group. Of the patients who died 1 had no </w:t>
      </w:r>
      <w:r w:rsidRPr="00F7005A">
        <w:rPr>
          <w:rFonts w:asciiTheme="minorHAnsi" w:hAnsiTheme="minorHAnsi" w:cstheme="minorHAnsi"/>
          <w:sz w:val="28"/>
          <w:szCs w:val="28"/>
        </w:rPr>
        <w:lastRenderedPageBreak/>
        <w:t xml:space="preserve">personality dysfunction, four had personality difficulty, 1 had mild personality disorder, and 3 had moderate personality disorder. </w:t>
      </w:r>
    </w:p>
    <w:p w:rsidR="00992E08" w:rsidRPr="00F7005A" w:rsidRDefault="00992E08" w:rsidP="008A4606">
      <w:pPr>
        <w:spacing w:line="360" w:lineRule="auto"/>
        <w:rPr>
          <w:rFonts w:asciiTheme="minorHAnsi" w:hAnsiTheme="minorHAnsi" w:cstheme="minorHAnsi"/>
          <w:sz w:val="28"/>
          <w:szCs w:val="28"/>
        </w:rPr>
      </w:pPr>
    </w:p>
    <w:p w:rsidR="00992E08" w:rsidRPr="00F7005A" w:rsidRDefault="00992E08" w:rsidP="008A4606">
      <w:pPr>
        <w:spacing w:line="360" w:lineRule="auto"/>
        <w:rPr>
          <w:rFonts w:asciiTheme="minorHAnsi" w:hAnsiTheme="minorHAnsi" w:cstheme="minorHAnsi"/>
          <w:sz w:val="28"/>
          <w:szCs w:val="28"/>
        </w:rPr>
      </w:pPr>
      <w:r w:rsidRPr="00F7005A">
        <w:rPr>
          <w:rFonts w:asciiTheme="minorHAnsi" w:hAnsiTheme="minorHAnsi" w:cstheme="minorHAnsi"/>
          <w:sz w:val="28"/>
          <w:szCs w:val="28"/>
        </w:rPr>
        <w:t xml:space="preserve">Using the ICD-11 classification only 63 (14.2%) had no personality dysfunction but 197 (44.3%) had personality difficulty (a sub-threshold condition not qualifying for disorder). Only 3 people assessed had severe personality disorder and so they were included with the moderate group. No differences in patient characteristics at baseline were identified and there was an even spread of male/female and a similar age profile between the ICD-11 personality groups (Table 2). However, there were significant differences in symptoms of health anxiety and generalised anxiety, depression and social functioning at baseline; participants with moderate to severe personality disorder had significantly higher scores than those with no personality disturbance (Table 2). There were no differences in total cost at baseline. </w:t>
      </w:r>
    </w:p>
    <w:p w:rsidR="00992E08" w:rsidRPr="00F7005A" w:rsidRDefault="00992E08" w:rsidP="008A4606">
      <w:pPr>
        <w:spacing w:line="360" w:lineRule="auto"/>
        <w:rPr>
          <w:rFonts w:asciiTheme="minorHAnsi" w:hAnsiTheme="minorHAnsi" w:cstheme="minorHAnsi"/>
          <w:sz w:val="28"/>
          <w:szCs w:val="28"/>
        </w:rPr>
      </w:pPr>
    </w:p>
    <w:p w:rsidR="00992E08" w:rsidRPr="00F7005A" w:rsidRDefault="00992E08" w:rsidP="008A4606">
      <w:pPr>
        <w:spacing w:line="360" w:lineRule="auto"/>
        <w:rPr>
          <w:rFonts w:asciiTheme="minorHAnsi" w:hAnsiTheme="minorHAnsi" w:cstheme="minorHAnsi"/>
          <w:sz w:val="28"/>
          <w:szCs w:val="28"/>
        </w:rPr>
      </w:pPr>
      <w:r w:rsidRPr="00F7005A">
        <w:rPr>
          <w:rFonts w:asciiTheme="minorHAnsi" w:hAnsiTheme="minorHAnsi" w:cstheme="minorHAnsi"/>
          <w:sz w:val="28"/>
          <w:szCs w:val="28"/>
        </w:rPr>
        <w:t xml:space="preserve">The outcome data over follow-up by ICD-11 classification are detailed in table 3 and in Figure 1. Contrary to our hypotheses the results show that those with no personality dysfunction showed no benefit from CBT-HA at any time point in the study; overall standard care was superior (P&lt;0.05). For all other groups the picture was different. For participants with personality difficulty and mild personality disorder, there was evidence of strong gains from CBT-HA at all time-points compared with standard care (P&lt;0.001). For participants with moderate and severe personality disorder the initial benefit was not retained at two years resulting in a less strong relationship over follow-up (P&lt;0.05). Improvement in social function was similar in all groups except in those with no personality dysfunction (P&lt;0.02 in favour of standard care). Clinical symptomatology increased and social dysfunction was greater with each </w:t>
      </w:r>
      <w:r w:rsidRPr="00F7005A">
        <w:rPr>
          <w:rFonts w:asciiTheme="minorHAnsi" w:hAnsiTheme="minorHAnsi" w:cstheme="minorHAnsi"/>
          <w:sz w:val="28"/>
          <w:szCs w:val="28"/>
        </w:rPr>
        <w:lastRenderedPageBreak/>
        <w:t>increment of personality pathology and although the results were most marked in those with health anxiety they were also found with generalised anxiety and depressive symptoms (Table 3).</w:t>
      </w:r>
    </w:p>
    <w:p w:rsidR="00992E08" w:rsidRPr="00F7005A" w:rsidRDefault="00992E08" w:rsidP="008A4606">
      <w:pPr>
        <w:spacing w:line="360" w:lineRule="auto"/>
        <w:rPr>
          <w:rFonts w:asciiTheme="minorHAnsi" w:hAnsiTheme="minorHAnsi" w:cstheme="minorHAnsi"/>
          <w:sz w:val="28"/>
          <w:szCs w:val="28"/>
        </w:rPr>
      </w:pPr>
    </w:p>
    <w:p w:rsidR="00992E08" w:rsidRPr="00F7005A" w:rsidRDefault="00992E08" w:rsidP="008A4606">
      <w:pPr>
        <w:spacing w:line="360" w:lineRule="auto"/>
        <w:rPr>
          <w:rFonts w:asciiTheme="minorHAnsi" w:hAnsiTheme="minorHAnsi" w:cstheme="minorHAnsi"/>
          <w:sz w:val="28"/>
          <w:szCs w:val="28"/>
        </w:rPr>
      </w:pPr>
      <w:r w:rsidRPr="00F7005A">
        <w:rPr>
          <w:rFonts w:asciiTheme="minorHAnsi" w:hAnsiTheme="minorHAnsi" w:cstheme="minorHAnsi"/>
          <w:sz w:val="28"/>
          <w:szCs w:val="28"/>
        </w:rPr>
        <w:t xml:space="preserve">Total costs over 24 months follow-up by randomised group and personality score are detailed in table 4. Costs were broadly similar across groups, though highest in those with personality dysfunction and lowest in those with moderate to severe personality disorder. Regression analysis suggested that the differences in cost between groups </w:t>
      </w:r>
      <w:r w:rsidR="008E09B8" w:rsidRPr="00F7005A">
        <w:rPr>
          <w:rFonts w:asciiTheme="minorHAnsi" w:hAnsiTheme="minorHAnsi" w:cstheme="minorHAnsi"/>
          <w:sz w:val="28"/>
          <w:szCs w:val="28"/>
        </w:rPr>
        <w:t>fell well short of significance</w:t>
      </w:r>
      <w:r w:rsidRPr="00F7005A">
        <w:rPr>
          <w:rFonts w:asciiTheme="minorHAnsi" w:hAnsiTheme="minorHAnsi" w:cstheme="minorHAnsi"/>
          <w:sz w:val="28"/>
          <w:szCs w:val="28"/>
        </w:rPr>
        <w:t xml:space="preserve">. </w:t>
      </w:r>
    </w:p>
    <w:p w:rsidR="00992E08" w:rsidRPr="00F7005A" w:rsidRDefault="00992E08" w:rsidP="008A4606">
      <w:pPr>
        <w:spacing w:line="360" w:lineRule="auto"/>
        <w:rPr>
          <w:rFonts w:asciiTheme="minorHAnsi" w:hAnsiTheme="minorHAnsi" w:cstheme="minorHAnsi"/>
          <w:b/>
          <w:sz w:val="28"/>
          <w:szCs w:val="28"/>
        </w:rPr>
      </w:pPr>
    </w:p>
    <w:p w:rsidR="00992E08" w:rsidRPr="00F7005A" w:rsidRDefault="00992E08" w:rsidP="008A4606">
      <w:pPr>
        <w:spacing w:line="360" w:lineRule="auto"/>
        <w:rPr>
          <w:rFonts w:asciiTheme="minorHAnsi" w:hAnsiTheme="minorHAnsi" w:cstheme="minorHAnsi"/>
          <w:b/>
          <w:sz w:val="28"/>
          <w:szCs w:val="28"/>
        </w:rPr>
      </w:pPr>
      <w:r w:rsidRPr="00F7005A">
        <w:rPr>
          <w:rFonts w:asciiTheme="minorHAnsi" w:hAnsiTheme="minorHAnsi" w:cstheme="minorHAnsi"/>
          <w:b/>
          <w:sz w:val="28"/>
          <w:szCs w:val="28"/>
        </w:rPr>
        <w:t>Discussion</w:t>
      </w:r>
    </w:p>
    <w:p w:rsidR="00992E08" w:rsidRPr="00F7005A" w:rsidRDefault="00992E08" w:rsidP="008A4606">
      <w:pPr>
        <w:spacing w:line="360" w:lineRule="auto"/>
        <w:rPr>
          <w:rFonts w:asciiTheme="minorHAnsi" w:hAnsiTheme="minorHAnsi" w:cstheme="minorHAnsi"/>
          <w:sz w:val="28"/>
          <w:szCs w:val="28"/>
        </w:rPr>
      </w:pPr>
    </w:p>
    <w:p w:rsidR="00BA406B" w:rsidRDefault="00BA406B" w:rsidP="008A4606">
      <w:pPr>
        <w:spacing w:line="360" w:lineRule="auto"/>
      </w:pPr>
      <w:r w:rsidRPr="00F7005A">
        <w:rPr>
          <w:rFonts w:asciiTheme="minorHAnsi" w:hAnsiTheme="minorHAnsi" w:cstheme="minorHAnsi"/>
          <w:sz w:val="28"/>
          <w:szCs w:val="28"/>
        </w:rPr>
        <w:t xml:space="preserve">The results of this study illustrate two important principles; the value of recording severity of personality disturbance in general in research studies, and the advantages of  randomised controlled trials in examining specific personality trait outcomes.  criticism has been made of the ICD-11 classification because a simple dimensional classification of severity  does not properly encompass the range ofvpersonality dysfunction, but this study shows that there is no reason why a personality dimension cannot be examined in the context of a severity continuum. In a previous trial a better outcome with CBT-HA was found in patients with dependent personality disorder  compared with personality difficulty. with There is also a great deal of data from categorical studies of personality that appear to be nullified by the replacement with dimensions. </w:t>
      </w:r>
      <w:r w:rsidRPr="00F7005A">
        <w:rPr>
          <w:rFonts w:asciiTheme="minorHAnsi" w:hAnsiTheme="minorHAnsi" w:cstheme="minorHAnsi"/>
          <w:sz w:val="28"/>
          <w:szCs w:val="28"/>
        </w:rPr>
        <w:br/>
      </w:r>
      <w:r w:rsidRPr="00F7005A">
        <w:rPr>
          <w:rFonts w:asciiTheme="minorHAnsi" w:hAnsiTheme="minorHAnsi" w:cstheme="minorHAnsi"/>
          <w:sz w:val="28"/>
          <w:szCs w:val="28"/>
        </w:rPr>
        <w:br/>
        <w:t>(Friborg get al, 2013 - dependent personality</w:t>
      </w:r>
      <w:r>
        <w:rPr>
          <w:sz w:val="20"/>
          <w:szCs w:val="20"/>
        </w:rPr>
        <w:br/>
      </w:r>
      <w:r>
        <w:rPr>
          <w:sz w:val="20"/>
          <w:szCs w:val="20"/>
        </w:rPr>
        <w:br/>
        <w:t>Bornstein et al 2014 j pers dis interpersonal functioning main pd sympto</w:t>
      </w:r>
      <w:r>
        <w:rPr>
          <w:sz w:val="20"/>
          <w:szCs w:val="20"/>
        </w:rPr>
        <w:br/>
      </w:r>
      <w:r>
        <w:rPr>
          <w:sz w:val="20"/>
          <w:szCs w:val="20"/>
        </w:rPr>
        <w:lastRenderedPageBreak/>
        <w:br/>
        <w:t>Bornstein 2012. Book chapter. From dysfunction to adaptation .. Dependency may be adaptive in certain contexts such as complying with medical and psychological treatment regimes.</w:t>
      </w:r>
      <w:r>
        <w:rPr>
          <w:sz w:val="20"/>
          <w:szCs w:val="20"/>
        </w:rPr>
        <w:br/>
      </w:r>
      <w:r>
        <w:rPr>
          <w:sz w:val="20"/>
          <w:szCs w:val="20"/>
        </w:rPr>
        <w:br/>
        <w:t>Bornstein 2011 single dimension of personality dysfunction best (cf ICD-11)Bornstein 1992 psychol bull dependence desire for 'nurturant supportive relationships'</w:t>
      </w:r>
      <w:r>
        <w:rPr>
          <w:sz w:val="20"/>
          <w:szCs w:val="20"/>
        </w:rPr>
        <w:br/>
      </w:r>
      <w:r>
        <w:rPr>
          <w:sz w:val="20"/>
          <w:szCs w:val="20"/>
        </w:rPr>
        <w:br/>
        <w:t>O'Neill !&amp; Bernstein 2001 more medical consultations in CPD.</w:t>
      </w:r>
    </w:p>
    <w:p w:rsidR="00992E08" w:rsidRPr="00BB39D3" w:rsidRDefault="00992E08" w:rsidP="008A4606">
      <w:pPr>
        <w:spacing w:line="360" w:lineRule="auto"/>
        <w:rPr>
          <w:rFonts w:ascii="Times New Roman" w:hAnsi="Times New Roman"/>
        </w:rPr>
      </w:pPr>
      <w:r w:rsidRPr="00BB39D3">
        <w:t xml:space="preserve">The challenging finding of this study was that </w:t>
      </w:r>
      <w:r>
        <w:t>both</w:t>
      </w:r>
      <w:r w:rsidRPr="00BB39D3">
        <w:t xml:space="preserve"> the hypotheses concerning personality status were </w:t>
      </w:r>
      <w:r>
        <w:t xml:space="preserve">soundly </w:t>
      </w:r>
      <w:r w:rsidRPr="00BB39D3">
        <w:t xml:space="preserve">contradicted. </w:t>
      </w:r>
      <w:r>
        <w:t>These results should be seen in the context of the main primary aim of the trial; in the analysis of outcomes independently of personality status CBT-HA was markedly superior to standard care with respect to clinical symptoms of anxiety (and to some extent depression) but no marked changes were found in social function</w:t>
      </w:r>
      <w:r w:rsidRPr="001F112F">
        <w:rPr>
          <w:vertAlign w:val="superscript"/>
        </w:rPr>
        <w:t>3</w:t>
      </w:r>
      <w:r>
        <w:rPr>
          <w:vertAlign w:val="superscript"/>
        </w:rPr>
        <w:t>0</w:t>
      </w:r>
      <w:r>
        <w:t xml:space="preserve">. </w:t>
      </w:r>
      <w:r w:rsidRPr="00BB39D3">
        <w:t xml:space="preserve">People with no personality dysfunction did not benefit from health anxiety adapted cognitive behaviour therapy (CBT-HA) and </w:t>
      </w:r>
      <w:r>
        <w:rPr>
          <w:rFonts w:cs="Calibri"/>
        </w:rPr>
        <w:t xml:space="preserve">as their social functioning deteriorated with CBT </w:t>
      </w:r>
      <w:r w:rsidRPr="00BB39D3">
        <w:t>this treatment</w:t>
      </w:r>
      <w:r>
        <w:rPr>
          <w:rFonts w:cs="Calibri"/>
        </w:rPr>
        <w:t xml:space="preserve"> cannot be regarded as</w:t>
      </w:r>
      <w:r w:rsidRPr="00BB39D3">
        <w:t xml:space="preserve"> effective in this population. By contrast those with any form of personality abnormality (personality difficulty, mild or moderate personality disorder) </w:t>
      </w:r>
      <w:r>
        <w:rPr>
          <w:rFonts w:cs="Calibri"/>
        </w:rPr>
        <w:t>did</w:t>
      </w:r>
      <w:r w:rsidRPr="00BB39D3">
        <w:t xml:space="preserve"> benefit from CBT-HA and their improvement </w:t>
      </w:r>
      <w:r>
        <w:rPr>
          <w:rFonts w:cs="Calibri"/>
        </w:rPr>
        <w:t>wa</w:t>
      </w:r>
      <w:r w:rsidRPr="00BB39D3">
        <w:t xml:space="preserve">s maintained over two years except in those with moderate or severe personality disorder. Such a finding has not been reported before and as it contradicted our main hypothesis </w:t>
      </w:r>
      <w:r>
        <w:rPr>
          <w:rFonts w:cs="Calibri"/>
        </w:rPr>
        <w:t xml:space="preserve">(with the possible exception of worse outcome in more severe personality disorder) </w:t>
      </w:r>
      <w:r w:rsidRPr="00BB39D3">
        <w:t xml:space="preserve">other explanations need to be considered before it can be accepted as valid. </w:t>
      </w:r>
      <w:r>
        <w:t xml:space="preserve">In addition there was no evidence that costs were higher in participants with personality disorder. </w:t>
      </w:r>
      <w:r w:rsidRPr="00907F2D">
        <w:t>In the original paper</w:t>
      </w:r>
      <w:r>
        <w:rPr>
          <w:vertAlign w:val="superscript"/>
        </w:rPr>
        <w:t>30</w:t>
      </w:r>
      <w:r w:rsidRPr="00907F2D">
        <w:t xml:space="preserve"> the costs were equivalent in both treatment groups and no clear saving was made with CBT-HA. A large part of the costs was taken up with the care of patients with severe medical illness and this may have disguised any savings made by CBT-HA.  </w:t>
      </w:r>
      <w:r>
        <w:t xml:space="preserve">Nonetheless, </w:t>
      </w:r>
      <w:r w:rsidRPr="00907F2D">
        <w:t>the costs were less, but not significantly so, in all groups receiving CBT-HA compared with standard care, with the exception of those with moderate and severe personality disorder who cost more in the CBT-HA group (mean £1</w:t>
      </w:r>
      <w:r>
        <w:t>166</w:t>
      </w:r>
      <w:r w:rsidRPr="00907F2D">
        <w:t>)</w:t>
      </w:r>
      <w:r>
        <w:t>(Table 4)</w:t>
      </w:r>
      <w:r w:rsidRPr="00907F2D">
        <w:t>.  This suggests the possibility that for those who have moderate or severe personality disorder there is a greater cost with CBT-HA, for reasons that are not completely clear but seem to be independent of medical status</w:t>
      </w:r>
      <w:r>
        <w:t xml:space="preserve">, and, as suggested </w:t>
      </w:r>
      <w:r w:rsidR="008E09B8">
        <w:t xml:space="preserve">in a </w:t>
      </w:r>
      <w:r>
        <w:t>previous</w:t>
      </w:r>
      <w:r w:rsidR="008E09B8">
        <w:t xml:space="preserve"> paper</w:t>
      </w:r>
      <w:r w:rsidR="008E09B8">
        <w:rPr>
          <w:vertAlign w:val="superscript"/>
        </w:rPr>
        <w:t>31</w:t>
      </w:r>
      <w:r>
        <w:t>, may be related to poorer social function.</w:t>
      </w:r>
      <w:r w:rsidRPr="00907F2D">
        <w:t>   </w:t>
      </w:r>
    </w:p>
    <w:p w:rsidR="00992E08" w:rsidRPr="00BB39D3" w:rsidRDefault="00992E08" w:rsidP="008A4606">
      <w:pPr>
        <w:spacing w:line="360" w:lineRule="auto"/>
      </w:pPr>
    </w:p>
    <w:p w:rsidR="00992E08" w:rsidRPr="00BB39D3" w:rsidRDefault="00992E08" w:rsidP="008A4606">
      <w:pPr>
        <w:spacing w:line="360" w:lineRule="auto"/>
        <w:rPr>
          <w:rFonts w:ascii="Times New Roman" w:hAnsi="Times New Roman"/>
        </w:rPr>
      </w:pPr>
      <w:r>
        <w:lastRenderedPageBreak/>
        <w:t>I</w:t>
      </w:r>
      <w:r w:rsidRPr="00BB39D3">
        <w:t xml:space="preserve">t </w:t>
      </w:r>
      <w:r>
        <w:t xml:space="preserve">is worth emphasising </w:t>
      </w:r>
      <w:r w:rsidRPr="00BB39D3">
        <w:t xml:space="preserve">that this is the first study to report on the effect of personality </w:t>
      </w:r>
      <w:r>
        <w:t xml:space="preserve">status </w:t>
      </w:r>
      <w:r w:rsidRPr="00BB39D3">
        <w:t>using the new ICD-11 coding and so there are no other studies by which this one can be compared. The small number of patients with no personality dysfunction (n=63) may appear surprising but there are other data suggesting that when personality difficulty is taken into account this sub-syndromal group accounts for a large proportion of the total</w:t>
      </w:r>
      <w:r w:rsidRPr="00BB39D3">
        <w:rPr>
          <w:vertAlign w:val="superscript"/>
        </w:rPr>
        <w:t>3</w:t>
      </w:r>
      <w:r>
        <w:rPr>
          <w:vertAlign w:val="superscript"/>
        </w:rPr>
        <w:t>2</w:t>
      </w:r>
      <w:r>
        <w:rPr>
          <w:rFonts w:cs="Calibri"/>
          <w:vertAlign w:val="superscript"/>
        </w:rPr>
        <w:t>-35</w:t>
      </w:r>
      <w:r w:rsidRPr="00BB39D3">
        <w:t xml:space="preserve">. Patients with health anxiety commonly have symptoms for many years before they present for </w:t>
      </w:r>
      <w:r>
        <w:rPr>
          <w:rFonts w:cs="Calibri"/>
        </w:rPr>
        <w:t>treatment</w:t>
      </w:r>
      <w:r>
        <w:rPr>
          <w:rFonts w:cs="Calibri"/>
          <w:vertAlign w:val="superscript"/>
        </w:rPr>
        <w:t>35</w:t>
      </w:r>
      <w:r w:rsidRPr="00BB39D3">
        <w:t xml:space="preserve"> and people with chronic anxiety conditions have a high prevalence of personality </w:t>
      </w:r>
      <w:r>
        <w:rPr>
          <w:rFonts w:cs="Calibri"/>
        </w:rPr>
        <w:t>disorder</w:t>
      </w:r>
      <w:r>
        <w:rPr>
          <w:rFonts w:cs="Calibri"/>
          <w:vertAlign w:val="superscript"/>
        </w:rPr>
        <w:t>36</w:t>
      </w:r>
      <w:r w:rsidRPr="00BB39D3">
        <w:t xml:space="preserve"> and so the overall prevalence of personality disorder of 42% in this sample is in keeping with other figures. </w:t>
      </w:r>
    </w:p>
    <w:p w:rsidR="00992E08" w:rsidRPr="00BB39D3" w:rsidRDefault="00992E08" w:rsidP="008A4606">
      <w:pPr>
        <w:spacing w:line="360" w:lineRule="auto"/>
      </w:pPr>
    </w:p>
    <w:p w:rsidR="00992E08" w:rsidRPr="00404DF6" w:rsidRDefault="00992E08" w:rsidP="008A4606">
      <w:pPr>
        <w:spacing w:line="360" w:lineRule="auto"/>
        <w:rPr>
          <w:rFonts w:ascii="Times New Roman" w:hAnsi="Times New Roman"/>
        </w:rPr>
      </w:pPr>
      <w:r>
        <w:t xml:space="preserve">It also </w:t>
      </w:r>
      <w:r w:rsidRPr="00BB39D3">
        <w:t xml:space="preserve">could be argued that a proportion of the population may have been misdiagnosed with health anxiety and this could be explained by the cut-off of 20 points on the Health Anxiety Inventory (HAI) as being too low. This score equates to around 62 on the long version of the HAI, and a score of 67 on the long HAI has been found to be a good cut-off point for discriminating between severe and less severe health </w:t>
      </w:r>
      <w:r>
        <w:rPr>
          <w:rFonts w:cs="Calibri"/>
        </w:rPr>
        <w:t>anxiety</w:t>
      </w:r>
      <w:r>
        <w:rPr>
          <w:rFonts w:cs="Calibri"/>
          <w:vertAlign w:val="superscript"/>
        </w:rPr>
        <w:t>3</w:t>
      </w:r>
      <w:r w:rsidR="008E09B8">
        <w:rPr>
          <w:rFonts w:cs="Calibri"/>
          <w:vertAlign w:val="superscript"/>
        </w:rPr>
        <w:t>7</w:t>
      </w:r>
      <w:r w:rsidRPr="00BB39D3">
        <w:t xml:space="preserve">. Thirdly, it could be argued that the patients with no personality dysfunction had appropriate health anxiety because </w:t>
      </w:r>
      <w:r w:rsidRPr="00907F2D">
        <w:t>of incipient and con</w:t>
      </w:r>
      <w:r w:rsidRPr="00BF4941">
        <w:t xml:space="preserve">current medical illness but this </w:t>
      </w:r>
      <w:r w:rsidR="008E09B8">
        <w:t xml:space="preserve">view </w:t>
      </w:r>
      <w:r w:rsidRPr="00BF4941">
        <w:t>is not supported by the figures as the costs were lower in those with no personality dysfunction compared to those with personality d</w:t>
      </w:r>
      <w:r w:rsidR="008E09B8">
        <w:t xml:space="preserve">ifficulty and </w:t>
      </w:r>
      <w:r w:rsidRPr="00BF4941">
        <w:t xml:space="preserve">personality disorder, although these differences were </w:t>
      </w:r>
      <w:r w:rsidRPr="00404DF6">
        <w:t xml:space="preserve">not statistically significant. </w:t>
      </w:r>
    </w:p>
    <w:p w:rsidR="00992E08" w:rsidRPr="00404DF6" w:rsidRDefault="00992E08" w:rsidP="008A4606">
      <w:pPr>
        <w:spacing w:line="360" w:lineRule="auto"/>
      </w:pPr>
    </w:p>
    <w:p w:rsidR="00992E08" w:rsidRPr="00BB39D3" w:rsidRDefault="00992E08" w:rsidP="008A4606">
      <w:pPr>
        <w:spacing w:line="360" w:lineRule="auto"/>
        <w:rPr>
          <w:rFonts w:ascii="Times New Roman" w:hAnsi="Times New Roman"/>
        </w:rPr>
      </w:pPr>
      <w:r w:rsidRPr="00404DF6">
        <w:t>It is also fair to add that the ICD-11 classification of personality disorder is not yet approved by the World Health Organisation and more is currently being done to confirm the cut-off points for the levels of personality</w:t>
      </w:r>
      <w:r w:rsidRPr="00BB39D3">
        <w:t xml:space="preserve"> </w:t>
      </w:r>
      <w:r>
        <w:rPr>
          <w:rFonts w:cs="Calibri"/>
        </w:rPr>
        <w:t>disturbance</w:t>
      </w:r>
      <w:r>
        <w:rPr>
          <w:rFonts w:cs="Calibri"/>
          <w:vertAlign w:val="superscript"/>
        </w:rPr>
        <w:t>38</w:t>
      </w:r>
      <w:r w:rsidRPr="00BB39D3">
        <w:t xml:space="preserve">. The version of the ICD-11 classification used in the </w:t>
      </w:r>
      <w:r>
        <w:rPr>
          <w:rFonts w:cs="Calibri"/>
        </w:rPr>
        <w:t>study</w:t>
      </w:r>
      <w:r>
        <w:rPr>
          <w:rFonts w:cs="Calibri"/>
          <w:vertAlign w:val="superscript"/>
        </w:rPr>
        <w:t>22</w:t>
      </w:r>
      <w:r w:rsidRPr="00BB39D3">
        <w:t xml:space="preserve"> shows some slight differences to the current version, but not to any substantive degree. There are also other suggestions that personality status may improve during the course of psychological treatment for health anxiety, and whilst one needs to be aware of the well-established evidence that standard personality measures tend to improve as mood</w:t>
      </w:r>
      <w:r>
        <w:rPr>
          <w:rFonts w:cs="Calibri"/>
          <w:vertAlign w:val="superscript"/>
        </w:rPr>
        <w:t xml:space="preserve">39 </w:t>
      </w:r>
      <w:r>
        <w:rPr>
          <w:rFonts w:cs="Calibri"/>
        </w:rPr>
        <w:t>improves</w:t>
      </w:r>
      <w:r w:rsidRPr="00BB39D3">
        <w:t xml:space="preserve"> there are some reasons to think that the change is more </w:t>
      </w:r>
      <w:r>
        <w:rPr>
          <w:rFonts w:cs="Calibri"/>
        </w:rPr>
        <w:t>substantial</w:t>
      </w:r>
      <w:r>
        <w:rPr>
          <w:rFonts w:cs="Calibri"/>
          <w:vertAlign w:val="superscript"/>
        </w:rPr>
        <w:t>40</w:t>
      </w:r>
      <w:r w:rsidRPr="00BB39D3">
        <w:t xml:space="preserve">.  </w:t>
      </w:r>
    </w:p>
    <w:p w:rsidR="00992E08" w:rsidRPr="00BB39D3" w:rsidRDefault="00992E08" w:rsidP="008A4606">
      <w:pPr>
        <w:spacing w:line="360" w:lineRule="auto"/>
      </w:pPr>
      <w:r w:rsidRPr="00BB39D3">
        <w:t xml:space="preserve"> </w:t>
      </w:r>
    </w:p>
    <w:p w:rsidR="00992E08" w:rsidRDefault="00992E08" w:rsidP="008A4606">
      <w:pPr>
        <w:spacing w:line="360" w:lineRule="auto"/>
      </w:pPr>
      <w:r w:rsidRPr="00BB39D3">
        <w:t xml:space="preserve">Taken together, but subject to further replication studies, it is reasonable to suggest </w:t>
      </w:r>
      <w:r>
        <w:t xml:space="preserve">both that in the absence of personality dysfunction CBT is inappropriate for the treatment of </w:t>
      </w:r>
      <w:r>
        <w:lastRenderedPageBreak/>
        <w:t xml:space="preserve">health anxiety, and </w:t>
      </w:r>
      <w:r w:rsidRPr="00BB39D3">
        <w:t xml:space="preserve">that an assessment of personality status </w:t>
      </w:r>
      <w:r>
        <w:t xml:space="preserve">is necessary in </w:t>
      </w:r>
      <w:r w:rsidRPr="00BB39D3">
        <w:t xml:space="preserve">the evaluation of people with suspected pathological health anxiety, as those without any personality disturbance may be much more appropriately treated, as at present, with reassurance and support rather than formal psychological intervention. The findings also give some clinical credence to the notion of a sub-syndromal form of personality dysfunction in the form of personality difficulty. </w:t>
      </w:r>
    </w:p>
    <w:p w:rsidR="00992E08" w:rsidRDefault="00992E08" w:rsidP="008A4606">
      <w:pPr>
        <w:spacing w:line="360" w:lineRule="auto"/>
      </w:pPr>
    </w:p>
    <w:p w:rsidR="00992E08" w:rsidRPr="00BB39D3" w:rsidRDefault="00992E08" w:rsidP="008A4606">
      <w:pPr>
        <w:spacing w:line="360" w:lineRule="auto"/>
        <w:rPr>
          <w:rFonts w:ascii="Times New Roman" w:hAnsi="Times New Roman"/>
        </w:rPr>
      </w:pPr>
      <w:r>
        <w:t>In contrast with studies in depression and anxiety</w:t>
      </w:r>
      <w:r>
        <w:rPr>
          <w:vertAlign w:val="superscript"/>
        </w:rPr>
        <w:t>9</w:t>
      </w:r>
      <w:r>
        <w:t xml:space="preserve">, we found no evidence that personality disorder impacted on service use and cost. The results in terms of costs present a mixed picture, one which reflects those of the main study. </w:t>
      </w:r>
      <w:r w:rsidR="00C8309A">
        <w:t>C</w:t>
      </w:r>
      <w:r>
        <w:t xml:space="preserve">lear conclusions regarding differences in cost are difficult to make in this group because, irrespective of health anxiety and personality status, study participants often had substantial physical health problems that result in substantial levels of service use and therefore high costs. The </w:t>
      </w:r>
      <w:r w:rsidR="00C8309A">
        <w:t>relative influence</w:t>
      </w:r>
      <w:r>
        <w:t xml:space="preserve"> of personality on service use behaviour may therefore be limited</w:t>
      </w:r>
      <w:r w:rsidR="00C8309A">
        <w:t xml:space="preserve"> but overall the results are still consistent with previously reported evidence of greater service use at all levels of services in patients with personality disorder</w:t>
      </w:r>
      <w:r w:rsidR="00C8309A">
        <w:rPr>
          <w:vertAlign w:val="superscript"/>
        </w:rPr>
        <w:t>32</w:t>
      </w:r>
      <w:r>
        <w:t xml:space="preserve">. </w:t>
      </w:r>
    </w:p>
    <w:p w:rsidR="00992E08" w:rsidRPr="00651D71" w:rsidRDefault="00992E08" w:rsidP="005021F1">
      <w:pPr>
        <w:rPr>
          <w:rFonts w:cs="Calibri"/>
        </w:rPr>
      </w:pPr>
    </w:p>
    <w:p w:rsidR="00992E08" w:rsidRPr="00F23FA4" w:rsidRDefault="00992E08" w:rsidP="00651D71">
      <w:pPr>
        <w:autoSpaceDE w:val="0"/>
        <w:autoSpaceDN w:val="0"/>
        <w:adjustRightInd w:val="0"/>
        <w:rPr>
          <w:rFonts w:cs="Calibri"/>
          <w:b/>
          <w:bCs/>
          <w:lang w:eastAsia="en-US"/>
        </w:rPr>
      </w:pPr>
      <w:r w:rsidRPr="00F23FA4">
        <w:rPr>
          <w:rFonts w:cs="Calibri"/>
          <w:b/>
          <w:bCs/>
          <w:lang w:eastAsia="en-US"/>
        </w:rPr>
        <w:t>Acknowledgments</w:t>
      </w:r>
    </w:p>
    <w:p w:rsidR="00992E08" w:rsidRPr="00651D71" w:rsidRDefault="00992E08" w:rsidP="00F23FA4">
      <w:pPr>
        <w:autoSpaceDE w:val="0"/>
        <w:autoSpaceDN w:val="0"/>
        <w:adjustRightInd w:val="0"/>
        <w:rPr>
          <w:rFonts w:cs="Calibri"/>
        </w:rPr>
      </w:pPr>
      <w:r w:rsidRPr="00F23FA4">
        <w:rPr>
          <w:rFonts w:cs="Calibri"/>
          <w:lang w:eastAsia="en-US"/>
        </w:rPr>
        <w:t>This research was funded by the National Coordinating Centre for Health</w:t>
      </w:r>
      <w:r>
        <w:rPr>
          <w:rFonts w:cs="Calibri"/>
          <w:lang w:eastAsia="en-US"/>
        </w:rPr>
        <w:t xml:space="preserve"> </w:t>
      </w:r>
      <w:r w:rsidRPr="00F23FA4">
        <w:rPr>
          <w:rFonts w:cs="Calibri"/>
          <w:lang w:eastAsia="en-US"/>
        </w:rPr>
        <w:t>Technology Assessment (NCCHTA) programme (project number</w:t>
      </w:r>
      <w:r>
        <w:rPr>
          <w:rFonts w:cs="Calibri"/>
          <w:lang w:eastAsia="en-US"/>
        </w:rPr>
        <w:t xml:space="preserve"> </w:t>
      </w:r>
      <w:r w:rsidRPr="00F23FA4">
        <w:rPr>
          <w:rFonts w:cs="Calibri"/>
          <w:lang w:eastAsia="en-US"/>
        </w:rPr>
        <w:t>07/01/26)</w:t>
      </w:r>
      <w:r>
        <w:rPr>
          <w:rFonts w:cs="Calibri"/>
          <w:lang w:eastAsia="en-US"/>
        </w:rPr>
        <w:t xml:space="preserve"> </w:t>
      </w:r>
      <w:r>
        <w:rPr>
          <w:rFonts w:cs="Calibri"/>
        </w:rPr>
        <w:t xml:space="preserve">and </w:t>
      </w:r>
      <w:r w:rsidRPr="00B556E4">
        <w:rPr>
          <w:rFonts w:cs="Calibri"/>
        </w:rPr>
        <w:t>the National Institute for Health Research: Imperial Biomedical</w:t>
      </w:r>
      <w:r>
        <w:rPr>
          <w:rFonts w:cs="Calibri"/>
        </w:rPr>
        <w:t xml:space="preserve"> </w:t>
      </w:r>
      <w:r w:rsidRPr="00B556E4">
        <w:rPr>
          <w:rFonts w:cs="Calibri"/>
        </w:rPr>
        <w:t>Research Centre.</w:t>
      </w:r>
      <w:r w:rsidRPr="00F23FA4">
        <w:rPr>
          <w:rFonts w:cs="Calibri"/>
          <w:lang w:eastAsia="en-US"/>
        </w:rPr>
        <w:t xml:space="preserve"> The views expressed in this publication are those of the authors</w:t>
      </w:r>
      <w:r>
        <w:rPr>
          <w:rFonts w:cs="Calibri"/>
          <w:lang w:eastAsia="en-US"/>
        </w:rPr>
        <w:t xml:space="preserve"> </w:t>
      </w:r>
      <w:r w:rsidRPr="00F23FA4">
        <w:rPr>
          <w:rFonts w:cs="Calibri"/>
          <w:lang w:eastAsia="en-US"/>
        </w:rPr>
        <w:t>and do not necessarily reflect those of the HTA programme, NIHR, NHS,</w:t>
      </w:r>
      <w:r>
        <w:rPr>
          <w:rFonts w:cs="Calibri"/>
          <w:lang w:eastAsia="en-US"/>
        </w:rPr>
        <w:t xml:space="preserve"> </w:t>
      </w:r>
      <w:r w:rsidRPr="00F23FA4">
        <w:rPr>
          <w:rFonts w:cs="Calibri"/>
          <w:lang w:eastAsia="en-US"/>
        </w:rPr>
        <w:t xml:space="preserve">or the Department of Health. We particularly thank </w:t>
      </w:r>
      <w:r>
        <w:rPr>
          <w:rFonts w:cs="Calibri"/>
          <w:lang w:eastAsia="en-US"/>
        </w:rPr>
        <w:t>Simon Dupont, Paul Salkovkis, Steven Reid</w:t>
      </w:r>
      <w:r w:rsidR="00C8309A">
        <w:rPr>
          <w:rFonts w:cs="Calibri"/>
          <w:lang w:eastAsia="en-US"/>
        </w:rPr>
        <w:t>, David Murphy, Georgina Smith</w:t>
      </w:r>
      <w:r>
        <w:rPr>
          <w:rFonts w:cs="Calibri"/>
          <w:lang w:eastAsia="en-US"/>
        </w:rPr>
        <w:t xml:space="preserve"> and John Green for facilitating this research, </w:t>
      </w:r>
      <w:r w:rsidRPr="00F23FA4">
        <w:rPr>
          <w:rFonts w:cs="Calibri"/>
          <w:lang w:eastAsia="en-US"/>
        </w:rPr>
        <w:t>the North London and</w:t>
      </w:r>
      <w:r>
        <w:rPr>
          <w:rFonts w:cs="Calibri"/>
          <w:lang w:eastAsia="en-US"/>
        </w:rPr>
        <w:t xml:space="preserve"> </w:t>
      </w:r>
      <w:r w:rsidRPr="00F23FA4">
        <w:rPr>
          <w:rFonts w:cs="Calibri"/>
          <w:lang w:eastAsia="en-US"/>
        </w:rPr>
        <w:t>East Midlands hubs of the Mental Health Research Network, for adopting,</w:t>
      </w:r>
      <w:r>
        <w:rPr>
          <w:rFonts w:cs="Calibri"/>
          <w:lang w:eastAsia="en-US"/>
        </w:rPr>
        <w:t xml:space="preserve"> </w:t>
      </w:r>
      <w:r w:rsidRPr="00F23FA4">
        <w:rPr>
          <w:rFonts w:cs="Calibri"/>
          <w:lang w:eastAsia="en-US"/>
        </w:rPr>
        <w:t>promoting, and aiding recruitment in the trial. We thank Aaron T Beck</w:t>
      </w:r>
      <w:r>
        <w:rPr>
          <w:rFonts w:cs="Calibri"/>
          <w:lang w:eastAsia="en-US"/>
        </w:rPr>
        <w:t xml:space="preserve"> </w:t>
      </w:r>
      <w:r w:rsidRPr="00F23FA4">
        <w:rPr>
          <w:rFonts w:cs="Calibri"/>
          <w:lang w:eastAsia="en-US"/>
        </w:rPr>
        <w:t>for acting as adviser to the project, and Gene Paykel (chair),</w:t>
      </w:r>
      <w:r>
        <w:rPr>
          <w:rFonts w:cs="Calibri"/>
          <w:lang w:eastAsia="en-US"/>
        </w:rPr>
        <w:t xml:space="preserve"> </w:t>
      </w:r>
      <w:r w:rsidRPr="00F23FA4">
        <w:rPr>
          <w:rFonts w:cs="Calibri"/>
          <w:lang w:eastAsia="en-US"/>
        </w:rPr>
        <w:t>Deborah Rutter, Paul Bassett, and John Brazier of the Data Monitoring</w:t>
      </w:r>
      <w:r>
        <w:rPr>
          <w:rFonts w:cs="Calibri"/>
          <w:lang w:eastAsia="en-US"/>
        </w:rPr>
        <w:t xml:space="preserve"> </w:t>
      </w:r>
      <w:r w:rsidRPr="00F23FA4">
        <w:rPr>
          <w:rFonts w:cs="Calibri"/>
          <w:lang w:eastAsia="en-US"/>
        </w:rPr>
        <w:t>and Ethical Committee and Richard Mayou (chair), Amrit Sachar,Rosemary Davidson, Devaka Fernando, Roger Mulder of the Trial Steering</w:t>
      </w:r>
      <w:r w:rsidR="00C8309A">
        <w:rPr>
          <w:rFonts w:cs="Calibri"/>
          <w:lang w:eastAsia="en-US"/>
        </w:rPr>
        <w:t xml:space="preserve"> </w:t>
      </w:r>
      <w:r w:rsidRPr="00F23FA4">
        <w:rPr>
          <w:rFonts w:cs="Calibri"/>
          <w:lang w:eastAsia="en-US"/>
        </w:rPr>
        <w:t>Committee, Sharandeep Bhogal, Faye Cooper,</w:t>
      </w:r>
      <w:r>
        <w:rPr>
          <w:rFonts w:cs="Calibri"/>
          <w:lang w:eastAsia="en-US"/>
        </w:rPr>
        <w:t xml:space="preserve"> </w:t>
      </w:r>
      <w:r w:rsidRPr="00F23FA4">
        <w:rPr>
          <w:rFonts w:cs="Calibri"/>
          <w:lang w:eastAsia="en-US"/>
        </w:rPr>
        <w:t>Rachel Evered, Mary Keeling, Stephanie Kings, Kofi Kramo, Antoinette McNulty, Amy Murphy, Jessica Nagar,</w:t>
      </w:r>
      <w:r>
        <w:rPr>
          <w:rFonts w:cs="Calibri"/>
          <w:lang w:eastAsia="en-US"/>
        </w:rPr>
        <w:t xml:space="preserve"> </w:t>
      </w:r>
      <w:r w:rsidRPr="00F23FA4">
        <w:rPr>
          <w:rFonts w:cs="Calibri"/>
          <w:lang w:eastAsia="en-US"/>
        </w:rPr>
        <w:t>Lorraine O’Connell, Richard Seivewright, Carol Sherwood, Julie Sinclair, David Trevor,</w:t>
      </w:r>
      <w:r>
        <w:rPr>
          <w:rFonts w:cs="Calibri"/>
          <w:lang w:eastAsia="en-US"/>
        </w:rPr>
        <w:t xml:space="preserve"> </w:t>
      </w:r>
      <w:r w:rsidRPr="00F23FA4">
        <w:rPr>
          <w:rFonts w:cs="Calibri"/>
          <w:lang w:eastAsia="en-US"/>
        </w:rPr>
        <w:t>Gemma Walker, and Charlotte Watson in their roles as research assistants</w:t>
      </w:r>
      <w:r>
        <w:rPr>
          <w:rFonts w:cs="Calibri"/>
          <w:lang w:eastAsia="en-US"/>
        </w:rPr>
        <w:t xml:space="preserve"> </w:t>
      </w:r>
      <w:r w:rsidRPr="00F23FA4">
        <w:rPr>
          <w:rFonts w:cs="Calibri"/>
          <w:lang w:eastAsia="en-US"/>
        </w:rPr>
        <w:t>and supervisors in the study</w:t>
      </w:r>
      <w:r>
        <w:rPr>
          <w:rFonts w:cs="Calibri"/>
          <w:lang w:eastAsia="en-US"/>
        </w:rPr>
        <w:t>, and special thanks to Sandra O’Sullivan for her help in coordinating the local recruitment strategies.</w:t>
      </w:r>
    </w:p>
    <w:p w:rsidR="00992E08" w:rsidRDefault="00992E08" w:rsidP="00282E50">
      <w:pPr>
        <w:pStyle w:val="desc2"/>
        <w:shd w:val="clear" w:color="auto" w:fill="FFFFFF"/>
        <w:rPr>
          <w:sz w:val="24"/>
        </w:rPr>
      </w:pPr>
    </w:p>
    <w:p w:rsidR="008A4606" w:rsidRDefault="008A4606" w:rsidP="00282E50">
      <w:pPr>
        <w:pStyle w:val="desc2"/>
        <w:shd w:val="clear" w:color="auto" w:fill="FFFFFF"/>
        <w:rPr>
          <w:b/>
          <w:sz w:val="24"/>
        </w:rPr>
      </w:pPr>
      <w:r>
        <w:rPr>
          <w:b/>
          <w:sz w:val="24"/>
        </w:rPr>
        <w:t>References:</w:t>
      </w:r>
    </w:p>
    <w:p w:rsidR="008A4606" w:rsidRPr="008A4606" w:rsidRDefault="008A4606" w:rsidP="00282E50">
      <w:pPr>
        <w:pStyle w:val="desc2"/>
        <w:shd w:val="clear" w:color="auto" w:fill="FFFFFF"/>
        <w:rPr>
          <w:b/>
          <w:sz w:val="24"/>
        </w:rPr>
      </w:pPr>
    </w:p>
    <w:p w:rsidR="00BF0B88" w:rsidRPr="00F7005A" w:rsidRDefault="00992E08" w:rsidP="00BF0B88">
      <w:pPr>
        <w:autoSpaceDE w:val="0"/>
        <w:autoSpaceDN w:val="0"/>
        <w:adjustRightInd w:val="0"/>
        <w:rPr>
          <w:rFonts w:asciiTheme="minorHAnsi" w:hAnsiTheme="minorHAnsi" w:cstheme="minorHAnsi"/>
        </w:rPr>
      </w:pPr>
      <w:r w:rsidRPr="00F7005A">
        <w:rPr>
          <w:rFonts w:asciiTheme="minorHAnsi" w:hAnsiTheme="minorHAnsi" w:cstheme="minorHAnsi"/>
          <w:color w:val="000000"/>
        </w:rPr>
        <w:lastRenderedPageBreak/>
        <w:t xml:space="preserve">1. </w:t>
      </w:r>
      <w:r w:rsidR="00BF0B88" w:rsidRPr="00F7005A">
        <w:rPr>
          <w:rFonts w:asciiTheme="minorHAnsi" w:hAnsiTheme="minorHAnsi" w:cstheme="minorHAnsi"/>
        </w:rPr>
        <w:t>Sunderland M, Newby JM, Andrews G. Health anxiety in Australia:</w:t>
      </w:r>
      <w:r w:rsidR="00BF0B88">
        <w:rPr>
          <w:rFonts w:asciiTheme="minorHAnsi" w:hAnsiTheme="minorHAnsi" w:cstheme="minorHAnsi"/>
        </w:rPr>
        <w:t xml:space="preserve"> </w:t>
      </w:r>
      <w:r w:rsidR="00BF0B88" w:rsidRPr="00F7005A">
        <w:rPr>
          <w:rFonts w:asciiTheme="minorHAnsi" w:hAnsiTheme="minorHAnsi" w:cstheme="minorHAnsi"/>
        </w:rPr>
        <w:t xml:space="preserve">prevalence, comorbidity, disability and service use. </w:t>
      </w:r>
      <w:r w:rsidR="00BF0B88" w:rsidRPr="00F7005A">
        <w:rPr>
          <w:rFonts w:asciiTheme="minorHAnsi" w:hAnsiTheme="minorHAnsi" w:cstheme="minorHAnsi"/>
          <w:i/>
          <w:iCs/>
        </w:rPr>
        <w:t>Br J Psychiatry</w:t>
      </w:r>
      <w:r w:rsidR="00BF0B88">
        <w:rPr>
          <w:rFonts w:asciiTheme="minorHAnsi" w:hAnsiTheme="minorHAnsi" w:cstheme="minorHAnsi"/>
          <w:i/>
          <w:iCs/>
        </w:rPr>
        <w:t xml:space="preserve"> </w:t>
      </w:r>
      <w:r w:rsidR="00BF0B88" w:rsidRPr="00F7005A">
        <w:rPr>
          <w:rFonts w:asciiTheme="minorHAnsi" w:hAnsiTheme="minorHAnsi" w:cstheme="minorHAnsi"/>
        </w:rPr>
        <w:t xml:space="preserve">2013; </w:t>
      </w:r>
      <w:r w:rsidR="00BF0B88" w:rsidRPr="00F7005A">
        <w:rPr>
          <w:rFonts w:asciiTheme="minorHAnsi" w:hAnsiTheme="minorHAnsi" w:cstheme="minorHAnsi"/>
          <w:b/>
          <w:bCs/>
        </w:rPr>
        <w:t xml:space="preserve">202: </w:t>
      </w:r>
      <w:r w:rsidR="00BF0B88" w:rsidRPr="00F7005A">
        <w:rPr>
          <w:rFonts w:asciiTheme="minorHAnsi" w:hAnsiTheme="minorHAnsi" w:cstheme="minorHAnsi"/>
        </w:rPr>
        <w:t>56–61.</w:t>
      </w:r>
    </w:p>
    <w:p w:rsidR="00BF0B88" w:rsidRPr="00F7005A" w:rsidRDefault="00BF0B88" w:rsidP="00BF0B88">
      <w:pPr>
        <w:autoSpaceDE w:val="0"/>
        <w:autoSpaceDN w:val="0"/>
        <w:adjustRightInd w:val="0"/>
        <w:rPr>
          <w:rFonts w:asciiTheme="minorHAnsi" w:hAnsiTheme="minorHAnsi" w:cstheme="minorHAnsi"/>
        </w:rPr>
      </w:pPr>
      <w:r w:rsidRPr="00F7005A">
        <w:rPr>
          <w:rFonts w:asciiTheme="minorHAnsi" w:hAnsiTheme="minorHAnsi" w:cstheme="minorHAnsi"/>
        </w:rPr>
        <w:t>2 Escobar JI, Gara M, Waitzkin H, Silver RC, Holman A, Compton W.</w:t>
      </w:r>
      <w:r>
        <w:rPr>
          <w:rFonts w:asciiTheme="minorHAnsi" w:hAnsiTheme="minorHAnsi" w:cstheme="minorHAnsi"/>
        </w:rPr>
        <w:t xml:space="preserve"> </w:t>
      </w:r>
      <w:r w:rsidRPr="00F7005A">
        <w:rPr>
          <w:rFonts w:asciiTheme="minorHAnsi" w:hAnsiTheme="minorHAnsi" w:cstheme="minorHAnsi"/>
        </w:rPr>
        <w:t xml:space="preserve">DSM–IV hypochondriasis in primary care. </w:t>
      </w:r>
      <w:r w:rsidRPr="00F7005A">
        <w:rPr>
          <w:rFonts w:asciiTheme="minorHAnsi" w:hAnsiTheme="minorHAnsi" w:cstheme="minorHAnsi"/>
          <w:i/>
          <w:iCs/>
        </w:rPr>
        <w:t>Gen Hosp Psychiatry</w:t>
      </w:r>
      <w:r>
        <w:rPr>
          <w:rFonts w:asciiTheme="minorHAnsi" w:hAnsiTheme="minorHAnsi" w:cstheme="minorHAnsi"/>
          <w:i/>
          <w:iCs/>
        </w:rPr>
        <w:t xml:space="preserve"> </w:t>
      </w:r>
      <w:r w:rsidRPr="00F7005A">
        <w:rPr>
          <w:rFonts w:asciiTheme="minorHAnsi" w:hAnsiTheme="minorHAnsi" w:cstheme="minorHAnsi"/>
        </w:rPr>
        <w:t xml:space="preserve">1998, </w:t>
      </w:r>
      <w:r w:rsidRPr="00F7005A">
        <w:rPr>
          <w:rFonts w:asciiTheme="minorHAnsi" w:hAnsiTheme="minorHAnsi" w:cstheme="minorHAnsi"/>
          <w:b/>
          <w:bCs/>
        </w:rPr>
        <w:t xml:space="preserve">20: </w:t>
      </w:r>
      <w:r w:rsidRPr="00F7005A">
        <w:rPr>
          <w:rFonts w:asciiTheme="minorHAnsi" w:hAnsiTheme="minorHAnsi" w:cstheme="minorHAnsi"/>
        </w:rPr>
        <w:t>155–59.</w:t>
      </w:r>
    </w:p>
    <w:p w:rsidR="00BF0B88" w:rsidRPr="00F7005A" w:rsidRDefault="00BF0B88" w:rsidP="00BF0B88">
      <w:pPr>
        <w:autoSpaceDE w:val="0"/>
        <w:autoSpaceDN w:val="0"/>
        <w:adjustRightInd w:val="0"/>
        <w:rPr>
          <w:rFonts w:asciiTheme="minorHAnsi" w:hAnsiTheme="minorHAnsi" w:cstheme="minorHAnsi"/>
        </w:rPr>
      </w:pPr>
      <w:r w:rsidRPr="00F7005A">
        <w:rPr>
          <w:rFonts w:asciiTheme="minorHAnsi" w:hAnsiTheme="minorHAnsi" w:cstheme="minorHAnsi"/>
        </w:rPr>
        <w:t xml:space="preserve">3 </w:t>
      </w:r>
      <w:r>
        <w:rPr>
          <w:rFonts w:asciiTheme="minorHAnsi" w:hAnsiTheme="minorHAnsi" w:cstheme="minorHAnsi"/>
        </w:rPr>
        <w:t xml:space="preserve"> </w:t>
      </w:r>
      <w:r w:rsidRPr="00F7005A">
        <w:rPr>
          <w:rFonts w:asciiTheme="minorHAnsi" w:hAnsiTheme="minorHAnsi" w:cstheme="minorHAnsi"/>
        </w:rPr>
        <w:t>Tyrer H, Ali L, Cooper F, Seivewright P, Bassett P, Tyrer P. The</w:t>
      </w:r>
      <w:r>
        <w:rPr>
          <w:rFonts w:asciiTheme="minorHAnsi" w:hAnsiTheme="minorHAnsi" w:cstheme="minorHAnsi"/>
        </w:rPr>
        <w:t xml:space="preserve"> </w:t>
      </w:r>
      <w:r w:rsidRPr="00F7005A">
        <w:rPr>
          <w:rFonts w:asciiTheme="minorHAnsi" w:hAnsiTheme="minorHAnsi" w:cstheme="minorHAnsi"/>
        </w:rPr>
        <w:t>Schedule for Evaluating Persistent Symptoms (SEPS): a new</w:t>
      </w:r>
      <w:r>
        <w:rPr>
          <w:rFonts w:asciiTheme="minorHAnsi" w:hAnsiTheme="minorHAnsi" w:cstheme="minorHAnsi"/>
        </w:rPr>
        <w:t xml:space="preserve"> </w:t>
      </w:r>
      <w:r w:rsidRPr="00F7005A">
        <w:rPr>
          <w:rFonts w:asciiTheme="minorHAnsi" w:hAnsiTheme="minorHAnsi" w:cstheme="minorHAnsi"/>
        </w:rPr>
        <w:t>method of recording medically unexplained symptoms.</w:t>
      </w:r>
    </w:p>
    <w:p w:rsidR="00BF0B88" w:rsidRDefault="00BF0B88" w:rsidP="00BF0B88">
      <w:pPr>
        <w:autoSpaceDE w:val="0"/>
        <w:autoSpaceDN w:val="0"/>
        <w:adjustRightInd w:val="0"/>
        <w:rPr>
          <w:rFonts w:asciiTheme="minorHAnsi" w:hAnsiTheme="minorHAnsi" w:cstheme="minorHAnsi"/>
        </w:rPr>
      </w:pPr>
      <w:r w:rsidRPr="00F7005A">
        <w:rPr>
          <w:rFonts w:asciiTheme="minorHAnsi" w:hAnsiTheme="minorHAnsi" w:cstheme="minorHAnsi"/>
          <w:i/>
          <w:iCs/>
        </w:rPr>
        <w:t xml:space="preserve">Int J Soc Psychiatr </w:t>
      </w:r>
      <w:r w:rsidRPr="00F7005A">
        <w:rPr>
          <w:rFonts w:asciiTheme="minorHAnsi" w:hAnsiTheme="minorHAnsi" w:cstheme="minorHAnsi"/>
        </w:rPr>
        <w:t xml:space="preserve">2013; </w:t>
      </w:r>
      <w:r w:rsidRPr="00F7005A">
        <w:rPr>
          <w:rFonts w:asciiTheme="minorHAnsi" w:hAnsiTheme="minorHAnsi" w:cstheme="minorHAnsi"/>
          <w:b/>
          <w:bCs/>
        </w:rPr>
        <w:t xml:space="preserve">59: </w:t>
      </w:r>
      <w:r w:rsidRPr="00F7005A">
        <w:rPr>
          <w:rFonts w:asciiTheme="minorHAnsi" w:hAnsiTheme="minorHAnsi" w:cstheme="minorHAnsi"/>
        </w:rPr>
        <w:t>281–87.</w:t>
      </w:r>
    </w:p>
    <w:p w:rsidR="00370096" w:rsidRPr="00F7005A" w:rsidRDefault="00BF0B88" w:rsidP="00F7005A">
      <w:pPr>
        <w:overflowPunct w:val="0"/>
        <w:autoSpaceDE w:val="0"/>
        <w:autoSpaceDN w:val="0"/>
        <w:adjustRightInd w:val="0"/>
        <w:ind w:left="-360"/>
        <w:textAlignment w:val="baseline"/>
      </w:pPr>
      <w:r w:rsidRPr="00F7005A">
        <w:rPr>
          <w:rFonts w:asciiTheme="minorHAnsi" w:hAnsiTheme="minorHAnsi" w:cstheme="minorHAnsi"/>
        </w:rPr>
        <w:t xml:space="preserve">4. </w:t>
      </w:r>
      <w:r w:rsidR="00370096" w:rsidRPr="00F7005A">
        <w:rPr>
          <w:bCs/>
        </w:rPr>
        <w:t>Tyrer P, Crawford M, Sanatinia R, Tyrer H, Cooper S, Muller-Pollard C, Christodoulou P, Zauter-Tutt M, Miloseska-Reid K, Loebenberg G, Guo B, Yang M, Wang D, &amp; Weich S. (2014).  Preliminary studies of the ICD 11 classification of personality disorder in practice</w:t>
      </w:r>
      <w:r w:rsidR="00370096" w:rsidRPr="00F7005A">
        <w:rPr>
          <w:b/>
          <w:bCs/>
        </w:rPr>
        <w:t xml:space="preserve">. </w:t>
      </w:r>
      <w:r w:rsidR="00370096" w:rsidRPr="00F7005A">
        <w:rPr>
          <w:bCs/>
          <w:i/>
        </w:rPr>
        <w:t xml:space="preserve">Personality and Mental Health, </w:t>
      </w:r>
      <w:r w:rsidR="00370096" w:rsidRPr="00F7005A">
        <w:rPr>
          <w:b/>
          <w:bCs/>
        </w:rPr>
        <w:t xml:space="preserve">8, </w:t>
      </w:r>
      <w:r w:rsidR="00370096" w:rsidRPr="00F7005A">
        <w:rPr>
          <w:rStyle w:val="Hyperlink"/>
          <w:color w:val="auto"/>
          <w:u w:val="none"/>
        </w:rPr>
        <w:t>254–263.</w:t>
      </w:r>
      <w:r w:rsidR="00370096" w:rsidRPr="00F7005A">
        <w:t xml:space="preserve">  </w:t>
      </w:r>
    </w:p>
    <w:p w:rsidR="00BF0B88" w:rsidRDefault="00BF0B88" w:rsidP="00370096">
      <w:pPr>
        <w:autoSpaceDE w:val="0"/>
        <w:autoSpaceDN w:val="0"/>
        <w:adjustRightInd w:val="0"/>
      </w:pPr>
      <w:r>
        <w:t xml:space="preserve">5. </w:t>
      </w:r>
      <w:r>
        <w:t xml:space="preserve">Newton-Howes, G., Tyrer, P. &amp; Johnson, T. (2006).  Personality disorder and the outcome of depression: a meta-analysis of published studies. </w:t>
      </w:r>
      <w:r w:rsidRPr="00B10BFF">
        <w:rPr>
          <w:i/>
        </w:rPr>
        <w:t>Br J Psychiatry,</w:t>
      </w:r>
      <w:r>
        <w:t xml:space="preserve"> </w:t>
      </w:r>
      <w:r w:rsidRPr="00B10BFF">
        <w:rPr>
          <w:b/>
        </w:rPr>
        <w:t>188</w:t>
      </w:r>
      <w:r>
        <w:t>, 13-20.</w:t>
      </w:r>
    </w:p>
    <w:p w:rsidR="00BF0B88" w:rsidRDefault="00BF0B88" w:rsidP="00BF0B88">
      <w:pPr>
        <w:ind w:left="-360"/>
      </w:pPr>
      <w:r>
        <w:t xml:space="preserve">6. </w:t>
      </w:r>
      <w:r w:rsidRPr="00EF4AEE">
        <w:t xml:space="preserve">Newton-Howes G, </w:t>
      </w:r>
      <w:r w:rsidRPr="00B10BFF">
        <w:rPr>
          <w:bCs/>
        </w:rPr>
        <w:t>Tyrer P</w:t>
      </w:r>
      <w:r w:rsidRPr="00EF4AEE">
        <w:t xml:space="preserve">, Johnson T, Mulder R, Kool S, Dekker J, Schoevers R. (2014). Influence of </w:t>
      </w:r>
      <w:r>
        <w:t>p</w:t>
      </w:r>
      <w:r w:rsidRPr="00EF4AEE">
        <w:t xml:space="preserve">ersonality on the </w:t>
      </w:r>
      <w:r>
        <w:t>o</w:t>
      </w:r>
      <w:r w:rsidRPr="00EF4AEE">
        <w:t xml:space="preserve">utcome of </w:t>
      </w:r>
      <w:r>
        <w:t>t</w:t>
      </w:r>
      <w:r w:rsidRPr="00EF4AEE">
        <w:t xml:space="preserve">reatment in </w:t>
      </w:r>
      <w:r>
        <w:t>d</w:t>
      </w:r>
      <w:r w:rsidRPr="00EF4AEE">
        <w:t xml:space="preserve">epression: </w:t>
      </w:r>
      <w:r>
        <w:t>s</w:t>
      </w:r>
      <w:r w:rsidRPr="00EF4AEE">
        <w:t xml:space="preserve">ystematic </w:t>
      </w:r>
      <w:r>
        <w:t>r</w:t>
      </w:r>
      <w:r w:rsidRPr="00EF4AEE">
        <w:t xml:space="preserve">eview and </w:t>
      </w:r>
      <w:r>
        <w:t>m</w:t>
      </w:r>
      <w:r w:rsidRPr="00EF4AEE">
        <w:t>eta-</w:t>
      </w:r>
      <w:r>
        <w:t>a</w:t>
      </w:r>
      <w:r w:rsidRPr="00EF4AEE">
        <w:t xml:space="preserve">nalysis. </w:t>
      </w:r>
      <w:r w:rsidRPr="00B10BFF">
        <w:rPr>
          <w:i/>
        </w:rPr>
        <w:t xml:space="preserve">pJ pers Disord </w:t>
      </w:r>
      <w:r>
        <w:t>2014;;</w:t>
      </w:r>
      <w:r w:rsidRPr="00B10BFF">
        <w:rPr>
          <w:i/>
        </w:rPr>
        <w:t xml:space="preserve"> </w:t>
      </w:r>
      <w:r w:rsidRPr="00B10BFF">
        <w:rPr>
          <w:b/>
        </w:rPr>
        <w:t>28::</w:t>
      </w:r>
      <w:r>
        <w:t xml:space="preserve"> 577-93.</w:t>
      </w:r>
    </w:p>
    <w:p w:rsidR="00BF0B88" w:rsidRDefault="00BF0B88" w:rsidP="00BF0B88">
      <w:pPr>
        <w:ind w:left="-360"/>
      </w:pPr>
      <w:r>
        <w:t>7. Skodol</w:t>
      </w:r>
    </w:p>
    <w:p w:rsidR="00BF0B88" w:rsidRDefault="00BF0B88" w:rsidP="00BF0B88">
      <w:pPr>
        <w:ind w:left="-360"/>
      </w:pPr>
      <w:r>
        <w:t xml:space="preserve">8. </w:t>
      </w:r>
      <w:r w:rsidRPr="00240CB3">
        <w:t xml:space="preserve">Tyrer P, Cooper S, Tyrer H, </w:t>
      </w:r>
      <w:r w:rsidRPr="00B10BFF">
        <w:rPr>
          <w:rStyle w:val="Strong"/>
          <w:b w:val="0"/>
        </w:rPr>
        <w:t>Salkovskis P, Crawford M, Green J</w:t>
      </w:r>
      <w:r w:rsidRPr="00240CB3">
        <w:t xml:space="preserve"> et al. CHAMP: cognitive behaviour therapy for health anxiety in medical patients: a randomised controlled trial. </w:t>
      </w:r>
      <w:r w:rsidRPr="00B10BFF">
        <w:rPr>
          <w:i/>
        </w:rPr>
        <w:t xml:space="preserve">BMC Psychiatry </w:t>
      </w:r>
      <w:r w:rsidRPr="00240CB3">
        <w:t xml:space="preserve">2011; </w:t>
      </w:r>
      <w:r w:rsidRPr="00B10BFF">
        <w:rPr>
          <w:b/>
        </w:rPr>
        <w:t xml:space="preserve">11: </w:t>
      </w:r>
      <w:r w:rsidRPr="00240CB3">
        <w:t>99.</w:t>
      </w:r>
    </w:p>
    <w:p w:rsidR="008D4BF2" w:rsidRDefault="008D4BF2" w:rsidP="00BF0B88">
      <w:pPr>
        <w:ind w:left="-360"/>
      </w:pPr>
      <w:r>
        <w:t xml:space="preserve">9. </w:t>
      </w:r>
      <w:r w:rsidRPr="00DB5EBA">
        <w:t xml:space="preserve">Tyrer H, Tyrer P </w:t>
      </w:r>
      <w:r>
        <w:t>,</w:t>
      </w:r>
      <w:r w:rsidRPr="00DB5EBA">
        <w:t xml:space="preserve"> Barrett B. Influence of dependent personality on the outcome and service costs of health anxiety. </w:t>
      </w:r>
      <w:r w:rsidRPr="007F7D5F">
        <w:rPr>
          <w:i/>
        </w:rPr>
        <w:t>International Journal of Social Psychiatry</w:t>
      </w:r>
      <w:r>
        <w:rPr>
          <w:i/>
        </w:rPr>
        <w:t xml:space="preserve"> </w:t>
      </w:r>
      <w:r>
        <w:t>2013</w:t>
      </w:r>
      <w:r>
        <w:rPr>
          <w:i/>
        </w:rPr>
        <w:t xml:space="preserve">, </w:t>
      </w:r>
      <w:r>
        <w:rPr>
          <w:b/>
        </w:rPr>
        <w:t xml:space="preserve">59, </w:t>
      </w:r>
      <w:r>
        <w:t>274-280</w:t>
      </w:r>
      <w:r w:rsidR="00781C2D">
        <w:t>.</w:t>
      </w:r>
    </w:p>
    <w:p w:rsidR="00781C2D" w:rsidRDefault="00781C2D" w:rsidP="00781C2D">
      <w:pPr>
        <w:autoSpaceDE w:val="0"/>
        <w:autoSpaceDN w:val="0"/>
        <w:adjustRightInd w:val="0"/>
        <w:ind w:left="-360"/>
        <w:rPr>
          <w:rFonts w:cs="Calibri"/>
        </w:rPr>
      </w:pPr>
      <w:r>
        <w:t xml:space="preserve">10. </w:t>
      </w:r>
      <w:r w:rsidRPr="00B10BFF">
        <w:rPr>
          <w:rFonts w:cs="Calibri"/>
        </w:rPr>
        <w:t xml:space="preserve">Salkovskis PM, Rimes KA, Warwick HMC, Clark DM. The Health Anxiety Inventory: development and validation of scales for the measurement of health anxiety and hypochondriasis. </w:t>
      </w:r>
      <w:r w:rsidRPr="00B10BFF">
        <w:rPr>
          <w:rFonts w:cs="Calibri"/>
          <w:i/>
          <w:iCs/>
        </w:rPr>
        <w:t xml:space="preserve">Psychol Med </w:t>
      </w:r>
      <w:r w:rsidRPr="00B10BFF">
        <w:rPr>
          <w:rFonts w:cs="Calibri"/>
        </w:rPr>
        <w:t xml:space="preserve">2002, </w:t>
      </w:r>
      <w:r w:rsidRPr="00B10BFF">
        <w:rPr>
          <w:rFonts w:cs="Calibri"/>
          <w:b/>
          <w:bCs/>
        </w:rPr>
        <w:t xml:space="preserve">32: </w:t>
      </w:r>
      <w:r w:rsidRPr="00B10BFF">
        <w:rPr>
          <w:rFonts w:cs="Calibri"/>
        </w:rPr>
        <w:t>843–53.</w:t>
      </w:r>
    </w:p>
    <w:p w:rsidR="00781C2D" w:rsidRPr="00B10BFF" w:rsidRDefault="00781C2D" w:rsidP="00781C2D">
      <w:pPr>
        <w:autoSpaceDE w:val="0"/>
        <w:autoSpaceDN w:val="0"/>
        <w:adjustRightInd w:val="0"/>
        <w:ind w:left="-360"/>
        <w:rPr>
          <w:rFonts w:cs="Calibri"/>
        </w:rPr>
      </w:pPr>
      <w:r>
        <w:rPr>
          <w:rFonts w:cs="Calibri"/>
        </w:rPr>
        <w:t xml:space="preserve">11. . </w:t>
      </w:r>
      <w:r w:rsidRPr="00B10BFF">
        <w:rPr>
          <w:rFonts w:cs="Calibri"/>
        </w:rPr>
        <w:t xml:space="preserve">First MB, Spitzer RL, Gibbon M, Williams JB. </w:t>
      </w:r>
      <w:r w:rsidRPr="00B10BFF">
        <w:rPr>
          <w:rFonts w:cs="Calibri"/>
          <w:i/>
          <w:iCs/>
        </w:rPr>
        <w:t xml:space="preserve">Structured Clinical Interview for the DSM-IV Axis I Disorders. </w:t>
      </w:r>
      <w:r w:rsidRPr="00B10BFF">
        <w:rPr>
          <w:rFonts w:cs="Calibri"/>
        </w:rPr>
        <w:t>Washington DC: American Psychiatric Press, 1996</w:t>
      </w:r>
    </w:p>
    <w:p w:rsidR="00781C2D" w:rsidRPr="00B10BFF" w:rsidRDefault="00781C2D" w:rsidP="00BF0B88">
      <w:pPr>
        <w:ind w:left="-360"/>
        <w:rPr>
          <w:rFonts w:ascii="Calibri Light" w:hAnsi="Calibri Light"/>
          <w:color w:val="000000"/>
          <w:sz w:val="28"/>
        </w:rPr>
      </w:pPr>
    </w:p>
    <w:p w:rsidR="00BF0B88" w:rsidRPr="00F7005A" w:rsidRDefault="00BF0B88" w:rsidP="00BF0B88">
      <w:pPr>
        <w:autoSpaceDE w:val="0"/>
        <w:autoSpaceDN w:val="0"/>
        <w:adjustRightInd w:val="0"/>
        <w:rPr>
          <w:rFonts w:asciiTheme="minorHAnsi" w:hAnsiTheme="minorHAnsi" w:cstheme="minorHAnsi"/>
        </w:rPr>
      </w:pPr>
    </w:p>
    <w:p w:rsidR="00992E08" w:rsidRPr="00B10BFF" w:rsidRDefault="00BF0B88" w:rsidP="00BF0B88">
      <w:pPr>
        <w:ind w:left="-360"/>
        <w:rPr>
          <w:rFonts w:ascii="Calibri Light" w:hAnsi="Calibri Light"/>
          <w:color w:val="000000"/>
          <w:sz w:val="28"/>
        </w:rPr>
      </w:pPr>
      <w:r w:rsidRPr="00F7005A">
        <w:rPr>
          <w:rFonts w:asciiTheme="minorHAnsi" w:hAnsiTheme="minorHAnsi" w:cstheme="minorHAnsi"/>
        </w:rPr>
        <w:t>5 Barsky AJ, Orav EJ, Bates DW. Somatization increases medical</w:t>
      </w:r>
      <w:r w:rsidR="00992E08" w:rsidRPr="00F7005A">
        <w:rPr>
          <w:rFonts w:asciiTheme="minorHAnsi" w:hAnsiTheme="minorHAnsi" w:cstheme="minorHAnsi"/>
          <w:color w:val="000000"/>
        </w:rPr>
        <w:t>Tyrer P, Ferguson B, Fowler-Dixon R , Kelemen A. A plea for the</w:t>
      </w:r>
      <w:r w:rsidR="00992E08" w:rsidRPr="00B10BFF">
        <w:rPr>
          <w:color w:val="000000"/>
        </w:rPr>
        <w:t xml:space="preserve"> diagnosis of hypochondriacal personality disorder. </w:t>
      </w:r>
      <w:r w:rsidR="00992E08" w:rsidRPr="00B10BFF">
        <w:rPr>
          <w:i/>
          <w:color w:val="000000"/>
        </w:rPr>
        <w:t>J Psychosom Res</w:t>
      </w:r>
      <w:r w:rsidR="00992E08" w:rsidRPr="00B10BFF">
        <w:rPr>
          <w:color w:val="000000"/>
        </w:rPr>
        <w:t xml:space="preserve"> 1990; </w:t>
      </w:r>
      <w:r w:rsidR="00992E08" w:rsidRPr="00B10BFF">
        <w:rPr>
          <w:b/>
          <w:color w:val="000000"/>
        </w:rPr>
        <w:t>34</w:t>
      </w:r>
      <w:r w:rsidR="00992E08" w:rsidRPr="00B10BFF">
        <w:rPr>
          <w:color w:val="000000"/>
        </w:rPr>
        <w:t>: 637-42.</w:t>
      </w:r>
    </w:p>
    <w:p w:rsidR="00992E08" w:rsidRPr="00B10BFF" w:rsidRDefault="00992E08" w:rsidP="00B10BFF">
      <w:pPr>
        <w:overflowPunct w:val="0"/>
        <w:autoSpaceDE w:val="0"/>
        <w:autoSpaceDN w:val="0"/>
        <w:adjustRightInd w:val="0"/>
        <w:ind w:left="-360"/>
        <w:textAlignment w:val="baseline"/>
        <w:rPr>
          <w:bCs/>
        </w:rPr>
      </w:pPr>
      <w:r>
        <w:t xml:space="preserve">2. </w:t>
      </w:r>
      <w:r w:rsidRPr="001D6B21">
        <w:t>Tyrer</w:t>
      </w:r>
      <w:r>
        <w:t xml:space="preserve"> P, Cooper S, C</w:t>
      </w:r>
      <w:r w:rsidRPr="001D6B21">
        <w:t>rawford</w:t>
      </w:r>
      <w:r>
        <w:t xml:space="preserve"> M, Dupont S, Green J, </w:t>
      </w:r>
      <w:r w:rsidRPr="001D6B21">
        <w:t>Murphy</w:t>
      </w:r>
      <w:r>
        <w:t xml:space="preserve"> D, et al (2011). </w:t>
      </w:r>
      <w:r w:rsidRPr="001D6B21">
        <w:t>Prevalence of health anxiety problems in medical clinics</w:t>
      </w:r>
      <w:r>
        <w:t xml:space="preserve">. </w:t>
      </w:r>
      <w:r w:rsidRPr="00B10BFF">
        <w:rPr>
          <w:i/>
          <w:color w:val="000000"/>
        </w:rPr>
        <w:t>J Psychosom Res</w:t>
      </w:r>
      <w:r w:rsidRPr="00B10BFF">
        <w:rPr>
          <w:b/>
          <w:i/>
          <w:color w:val="000000"/>
        </w:rPr>
        <w:t xml:space="preserve"> </w:t>
      </w:r>
      <w:r w:rsidRPr="00B10BFF">
        <w:rPr>
          <w:color w:val="000000"/>
        </w:rPr>
        <w:t>2011;</w:t>
      </w:r>
      <w:r w:rsidRPr="00B10BFF">
        <w:rPr>
          <w:i/>
        </w:rPr>
        <w:t xml:space="preserve"> </w:t>
      </w:r>
      <w:r w:rsidRPr="00B10BFF">
        <w:rPr>
          <w:b/>
        </w:rPr>
        <w:t xml:space="preserve">71: </w:t>
      </w:r>
      <w:r>
        <w:t>392-4.</w:t>
      </w:r>
    </w:p>
    <w:p w:rsidR="00992E08" w:rsidRPr="00B10BFF" w:rsidRDefault="00992E08" w:rsidP="00F7005A">
      <w:pPr>
        <w:overflowPunct w:val="0"/>
        <w:autoSpaceDE w:val="0"/>
        <w:autoSpaceDN w:val="0"/>
        <w:adjustRightInd w:val="0"/>
        <w:ind w:left="-360"/>
        <w:textAlignment w:val="baseline"/>
        <w:rPr>
          <w:rFonts w:ascii="Calibri Light" w:hAnsi="Calibri Light"/>
          <w:color w:val="000000"/>
          <w:sz w:val="28"/>
        </w:rPr>
      </w:pPr>
      <w:r>
        <w:t xml:space="preserve">3. </w:t>
      </w:r>
    </w:p>
    <w:p w:rsidR="00992E08" w:rsidRPr="00B10BFF" w:rsidRDefault="00992E08" w:rsidP="00B10BFF">
      <w:pPr>
        <w:ind w:left="-360"/>
        <w:rPr>
          <w:rFonts w:ascii="Calibri Light" w:hAnsi="Calibri Light"/>
          <w:color w:val="000000"/>
          <w:sz w:val="28"/>
        </w:rPr>
      </w:pPr>
      <w:r w:rsidRPr="00B10BFF">
        <w:rPr>
          <w:color w:val="000000"/>
        </w:rPr>
        <w:t xml:space="preserve">5. Tyrer P, Seivewright H, &amp;, Johnson T.  The Nottingham Study of Neurotic Disorder: predictors of 12 year outcome of dysthymic, panic and generalised anxiety disorder. </w:t>
      </w:r>
      <w:r w:rsidRPr="00B10BFF">
        <w:rPr>
          <w:i/>
          <w:color w:val="000000"/>
        </w:rPr>
        <w:t>Psychol Med</w:t>
      </w:r>
      <w:r w:rsidRPr="00B10BFF">
        <w:rPr>
          <w:color w:val="000000"/>
        </w:rPr>
        <w:t xml:space="preserve"> 2004; </w:t>
      </w:r>
      <w:r w:rsidRPr="00B10BFF">
        <w:rPr>
          <w:b/>
          <w:color w:val="000000"/>
          <w:lang w:val="en-US"/>
        </w:rPr>
        <w:t>34</w:t>
      </w:r>
      <w:r w:rsidRPr="00B10BFF">
        <w:rPr>
          <w:color w:val="000000"/>
          <w:lang w:val="en-US"/>
        </w:rPr>
        <w:t>: 1385-94.</w:t>
      </w:r>
    </w:p>
    <w:p w:rsidR="00992E08" w:rsidRPr="00B10BFF" w:rsidRDefault="00992E08" w:rsidP="00B10BFF">
      <w:pPr>
        <w:shd w:val="clear" w:color="auto" w:fill="FFFFFF"/>
        <w:ind w:left="-360"/>
        <w:rPr>
          <w:rFonts w:cs="Calibri"/>
        </w:rPr>
      </w:pPr>
      <w:r w:rsidRPr="00B10BFF">
        <w:rPr>
          <w:rFonts w:cs="Calibri"/>
        </w:rPr>
        <w:t xml:space="preserve">6. Telch MJ, Kamphuis JH, Schmidt NB. The effects of comorbid </w:t>
      </w:r>
      <w:r w:rsidRPr="00B10BFF">
        <w:rPr>
          <w:rStyle w:val="highlight2"/>
          <w:rFonts w:cs="Calibri"/>
        </w:rPr>
        <w:t>personality</w:t>
      </w:r>
      <w:r w:rsidRPr="00B10BFF">
        <w:rPr>
          <w:rFonts w:cs="Calibri"/>
        </w:rPr>
        <w:t xml:space="preserve"> disorders on cognitive behavioral treatment for </w:t>
      </w:r>
      <w:r w:rsidRPr="00B10BFF">
        <w:rPr>
          <w:rStyle w:val="highlight2"/>
          <w:rFonts w:cs="Calibri"/>
        </w:rPr>
        <w:t xml:space="preserve">panic disorder. </w:t>
      </w:r>
      <w:r w:rsidRPr="00B10BFF">
        <w:rPr>
          <w:i/>
        </w:rPr>
        <w:t>J Psychiatr Res</w:t>
      </w:r>
      <w:r w:rsidRPr="00B10BFF">
        <w:rPr>
          <w:rFonts w:cs="Calibri"/>
        </w:rPr>
        <w:t xml:space="preserve"> 2011; </w:t>
      </w:r>
      <w:r w:rsidRPr="00B10BFF">
        <w:rPr>
          <w:b/>
        </w:rPr>
        <w:t>45</w:t>
      </w:r>
      <w:r w:rsidRPr="00B10BFF">
        <w:rPr>
          <w:rFonts w:cs="Calibri"/>
        </w:rPr>
        <w:t xml:space="preserve">: 469-74. </w:t>
      </w:r>
    </w:p>
    <w:p w:rsidR="00992E08" w:rsidRPr="00B10BFF" w:rsidRDefault="00992E08" w:rsidP="00B10BFF">
      <w:pPr>
        <w:shd w:val="clear" w:color="auto" w:fill="FFFFFF"/>
        <w:ind w:left="-360"/>
        <w:rPr>
          <w:rFonts w:cs="Calibri"/>
        </w:rPr>
      </w:pPr>
      <w:r w:rsidRPr="00B10BFF">
        <w:rPr>
          <w:rFonts w:cs="Calibri"/>
        </w:rPr>
        <w:t xml:space="preserve">7. van Noorden MS, van Fenema EM, van der Wee NJ, van Rood YR, Carlier IV, Zitman FG, et al. Predicting outcomes of mood, </w:t>
      </w:r>
      <w:r w:rsidRPr="00B10BFF">
        <w:rPr>
          <w:rStyle w:val="highlight2"/>
          <w:rFonts w:cs="Calibri"/>
        </w:rPr>
        <w:t>anxiety</w:t>
      </w:r>
      <w:r w:rsidRPr="00B10BFF">
        <w:rPr>
          <w:rFonts w:cs="Calibri"/>
        </w:rPr>
        <w:t xml:space="preserve"> and somatoform </w:t>
      </w:r>
      <w:r w:rsidRPr="00B10BFF">
        <w:rPr>
          <w:rStyle w:val="highlight2"/>
          <w:rFonts w:cs="Calibri"/>
        </w:rPr>
        <w:t>disorders</w:t>
      </w:r>
      <w:r w:rsidRPr="00B10BFF">
        <w:rPr>
          <w:rFonts w:cs="Calibri"/>
        </w:rPr>
        <w:t xml:space="preserve">: the Leiden routine </w:t>
      </w:r>
      <w:r w:rsidRPr="00B10BFF">
        <w:rPr>
          <w:rStyle w:val="highlight2"/>
          <w:rFonts w:cs="Calibri"/>
        </w:rPr>
        <w:t>outcome</w:t>
      </w:r>
      <w:r w:rsidRPr="00B10BFF">
        <w:rPr>
          <w:rFonts w:cs="Calibri"/>
        </w:rPr>
        <w:t xml:space="preserve"> monitoring study. </w:t>
      </w:r>
      <w:r w:rsidRPr="00B10BFF">
        <w:rPr>
          <w:i/>
        </w:rPr>
        <w:t>J Affect Disord</w:t>
      </w:r>
      <w:r w:rsidRPr="00B10BFF">
        <w:rPr>
          <w:rFonts w:cs="Calibri"/>
        </w:rPr>
        <w:t xml:space="preserve"> 2012; </w:t>
      </w:r>
      <w:r w:rsidRPr="00B10BFF">
        <w:rPr>
          <w:b/>
        </w:rPr>
        <w:t>142</w:t>
      </w:r>
      <w:r w:rsidRPr="00B10BFF">
        <w:rPr>
          <w:rFonts w:cs="Calibri"/>
        </w:rPr>
        <w:t>: 122-31.</w:t>
      </w:r>
    </w:p>
    <w:p w:rsidR="00992E08" w:rsidRPr="00240CB3" w:rsidRDefault="00992E08" w:rsidP="00B10BFF">
      <w:pPr>
        <w:pStyle w:val="desc2"/>
        <w:shd w:val="clear" w:color="auto" w:fill="FFFFFF"/>
        <w:ind w:left="-360"/>
        <w:rPr>
          <w:sz w:val="22"/>
        </w:rPr>
      </w:pPr>
      <w:r w:rsidRPr="00240CB3">
        <w:rPr>
          <w:sz w:val="22"/>
        </w:rPr>
        <w:t xml:space="preserve">8. Thiel N, Hertenstein E, Nissen C, Herbst N, Külz AK, Voderholzer U. The effect of </w:t>
      </w:r>
      <w:r w:rsidRPr="00240CB3">
        <w:rPr>
          <w:rStyle w:val="highlight2"/>
          <w:sz w:val="22"/>
        </w:rPr>
        <w:t>personality disorders</w:t>
      </w:r>
      <w:r w:rsidRPr="00240CB3">
        <w:rPr>
          <w:sz w:val="22"/>
        </w:rPr>
        <w:t xml:space="preserve"> on treatment outcomes in patients with obsessive-compulsive </w:t>
      </w:r>
      <w:r w:rsidRPr="00240CB3">
        <w:rPr>
          <w:rStyle w:val="highlight2"/>
          <w:sz w:val="22"/>
        </w:rPr>
        <w:t>disorders</w:t>
      </w:r>
      <w:r w:rsidRPr="00240CB3">
        <w:rPr>
          <w:sz w:val="22"/>
        </w:rPr>
        <w:t xml:space="preserve">. </w:t>
      </w:r>
      <w:r w:rsidRPr="00240CB3">
        <w:rPr>
          <w:rStyle w:val="jrnl"/>
          <w:i/>
          <w:sz w:val="22"/>
        </w:rPr>
        <w:t>J Pers Disord</w:t>
      </w:r>
      <w:r w:rsidRPr="00240CB3">
        <w:rPr>
          <w:sz w:val="22"/>
        </w:rPr>
        <w:t xml:space="preserve"> 2013;</w:t>
      </w:r>
      <w:r w:rsidRPr="001C17BA">
        <w:rPr>
          <w:sz w:val="22"/>
        </w:rPr>
        <w:t xml:space="preserve"> </w:t>
      </w:r>
      <w:r w:rsidRPr="00240CB3">
        <w:rPr>
          <w:b/>
          <w:sz w:val="22"/>
        </w:rPr>
        <w:t>27</w:t>
      </w:r>
      <w:r w:rsidRPr="00240CB3">
        <w:rPr>
          <w:rFonts w:cs="Calibri"/>
          <w:sz w:val="22"/>
          <w:szCs w:val="22"/>
        </w:rPr>
        <w:t>:</w:t>
      </w:r>
      <w:r w:rsidRPr="001C17BA">
        <w:rPr>
          <w:sz w:val="22"/>
        </w:rPr>
        <w:t xml:space="preserve"> </w:t>
      </w:r>
      <w:r w:rsidRPr="00240CB3">
        <w:rPr>
          <w:sz w:val="22"/>
        </w:rPr>
        <w:t>697-715.</w:t>
      </w:r>
    </w:p>
    <w:p w:rsidR="00992E08" w:rsidRDefault="00992E08" w:rsidP="00B10BFF">
      <w:pPr>
        <w:overflowPunct w:val="0"/>
        <w:autoSpaceDE w:val="0"/>
        <w:autoSpaceDN w:val="0"/>
        <w:adjustRightInd w:val="0"/>
        <w:ind w:left="-284"/>
        <w:textAlignment w:val="baseline"/>
      </w:pPr>
      <w:r>
        <w:lastRenderedPageBreak/>
        <w:t xml:space="preserve">9. </w:t>
      </w:r>
      <w:r w:rsidRPr="00F15312">
        <w:t xml:space="preserve"> </w:t>
      </w:r>
      <w:r>
        <w:t>Knerer G, Byford S, Johnson T, Seivewright H, Tyrer P. The Nottingham study of neurotic disorder: predictors of 12 year costs. Acta Psychiatr Scand. 2005 Sep;112(3):224-32.</w:t>
      </w:r>
    </w:p>
    <w:p w:rsidR="00992E08" w:rsidRPr="00240CB3" w:rsidRDefault="00992E08" w:rsidP="00B10BFF">
      <w:pPr>
        <w:overflowPunct w:val="0"/>
        <w:autoSpaceDE w:val="0"/>
        <w:autoSpaceDN w:val="0"/>
        <w:adjustRightInd w:val="0"/>
        <w:ind w:left="-360"/>
        <w:textAlignment w:val="baseline"/>
      </w:pPr>
      <w:r>
        <w:t>10.</w:t>
      </w:r>
      <w:r w:rsidRPr="00240CB3">
        <w:t xml:space="preserve">Tyrer P, Seivewright N, Ferguson B, Murphy S, and  Johnson AL (1993).  The Nottingham study of neurotic disorder: impact of personality status on response to drug treatment, cognitive therapy and self-help over two years. </w:t>
      </w:r>
      <w:r w:rsidRPr="00B10BFF">
        <w:rPr>
          <w:i/>
        </w:rPr>
        <w:t>Br J Psychiatry</w:t>
      </w:r>
      <w:r w:rsidRPr="00240CB3">
        <w:t>, 162, 219-226.</w:t>
      </w:r>
    </w:p>
    <w:p w:rsidR="00992E08" w:rsidRPr="00240CB3" w:rsidRDefault="00992E08" w:rsidP="00B10BFF">
      <w:pPr>
        <w:shd w:val="clear" w:color="auto" w:fill="FFFFFF"/>
        <w:ind w:left="-360"/>
      </w:pPr>
      <w:r>
        <w:t>11.</w:t>
      </w:r>
      <w:r w:rsidRPr="00240CB3">
        <w:t xml:space="preserve">Fournier JC, DeRubeis RJ, Shelton RC, Gallop R, Amsterdam JD, Hollon SD. Antidepressant medications v. cognitive therapy in people with depression with or without personality disorder. </w:t>
      </w:r>
      <w:r w:rsidRPr="00B10BFF">
        <w:rPr>
          <w:i/>
        </w:rPr>
        <w:t>Br J Psychiatry</w:t>
      </w:r>
      <w:r w:rsidRPr="00240CB3">
        <w:t xml:space="preserve"> 2008;</w:t>
      </w:r>
      <w:r w:rsidRPr="00B10BFF">
        <w:rPr>
          <w:b/>
        </w:rPr>
        <w:t xml:space="preserve">192: </w:t>
      </w:r>
      <w:r w:rsidRPr="00240CB3">
        <w:t>124-9.</w:t>
      </w:r>
    </w:p>
    <w:p w:rsidR="00992E08" w:rsidRPr="00240CB3" w:rsidRDefault="00992E08" w:rsidP="00B10BFF">
      <w:pPr>
        <w:overflowPunct w:val="0"/>
        <w:autoSpaceDE w:val="0"/>
        <w:autoSpaceDN w:val="0"/>
        <w:adjustRightInd w:val="0"/>
        <w:ind w:left="-360"/>
        <w:textAlignment w:val="baseline"/>
      </w:pPr>
      <w:r>
        <w:t>12.</w:t>
      </w:r>
      <w:r w:rsidRPr="00240CB3">
        <w:t>Tyrer P, Seivewright N &amp; Seivewright H</w:t>
      </w:r>
      <w:r>
        <w:t xml:space="preserve">. </w:t>
      </w:r>
      <w:r w:rsidRPr="00240CB3">
        <w:t xml:space="preserve"> Long term outcome of hypochondriacal personality disorder. </w:t>
      </w:r>
      <w:r w:rsidRPr="00B10BFF">
        <w:rPr>
          <w:iCs/>
        </w:rPr>
        <w:t xml:space="preserve"> 1999;</w:t>
      </w:r>
      <w:r w:rsidRPr="00B10BFF">
        <w:rPr>
          <w:i/>
          <w:iCs/>
        </w:rPr>
        <w:t>J Psychosom Res</w:t>
      </w:r>
      <w:r w:rsidRPr="00B10BFF">
        <w:rPr>
          <w:iCs/>
        </w:rPr>
        <w:t xml:space="preserve"> 1999;</w:t>
      </w:r>
      <w:r w:rsidRPr="00240CB3">
        <w:t xml:space="preserve"> </w:t>
      </w:r>
      <w:r w:rsidRPr="00B10BFF">
        <w:rPr>
          <w:b/>
        </w:rPr>
        <w:t xml:space="preserve">46: </w:t>
      </w:r>
      <w:r w:rsidRPr="00240CB3">
        <w:t xml:space="preserve"> 177-</w:t>
      </w:r>
      <w:r>
        <w:t>88</w:t>
      </w:r>
      <w:r w:rsidRPr="00240CB3">
        <w:t>5.</w:t>
      </w:r>
    </w:p>
    <w:p w:rsidR="00992E08" w:rsidRPr="00240CB3" w:rsidRDefault="00992E08" w:rsidP="00B10BFF">
      <w:pPr>
        <w:autoSpaceDE w:val="0"/>
        <w:autoSpaceDN w:val="0"/>
        <w:adjustRightInd w:val="0"/>
        <w:ind w:left="-360"/>
      </w:pPr>
      <w:r>
        <w:t xml:space="preserve">13. </w:t>
      </w:r>
    </w:p>
    <w:p w:rsidR="00992E08" w:rsidRPr="00B10BFF" w:rsidRDefault="00992E08" w:rsidP="00B10BFF">
      <w:pPr>
        <w:autoSpaceDE w:val="0"/>
        <w:autoSpaceDN w:val="0"/>
        <w:adjustRightInd w:val="0"/>
        <w:ind w:left="-360"/>
        <w:rPr>
          <w:rFonts w:ascii="ScalaLancetPro" w:hAnsi="ScalaLancetPro" w:cs="ScalaLancetPro"/>
          <w:sz w:val="14"/>
          <w:szCs w:val="14"/>
        </w:rPr>
      </w:pPr>
      <w:r>
        <w:rPr>
          <w:rFonts w:cs="Calibri"/>
        </w:rPr>
        <w:t xml:space="preserve">14. 15. </w:t>
      </w:r>
      <w:r w:rsidRPr="00B10BFF">
        <w:rPr>
          <w:rFonts w:cs="Calibri"/>
        </w:rPr>
        <w:t>Seivewright H</w:t>
      </w:r>
      <w:r w:rsidRPr="00B10BFF">
        <w:rPr>
          <w:rFonts w:cs="Calibri"/>
          <w:i/>
          <w:iCs/>
        </w:rPr>
        <w:t xml:space="preserve">. </w:t>
      </w:r>
      <w:r w:rsidRPr="00B10BFF">
        <w:rPr>
          <w:i/>
        </w:rPr>
        <w:t>Prevalence and treatment of health anxiety in genitourinary medicine</w:t>
      </w:r>
      <w:r w:rsidRPr="00B10BFF">
        <w:rPr>
          <w:rFonts w:cs="Calibri"/>
          <w:i/>
          <w:iCs/>
        </w:rPr>
        <w:t xml:space="preserve">. </w:t>
      </w:r>
      <w:r w:rsidRPr="00B10BFF">
        <w:rPr>
          <w:rFonts w:cs="Calibri"/>
        </w:rPr>
        <w:t>PhD Thesis; London: Imperial College, 2009</w:t>
      </w:r>
      <w:r w:rsidRPr="00B10BFF">
        <w:rPr>
          <w:rFonts w:ascii="ScalaLancetPro" w:hAnsi="ScalaLancetPro" w:cs="ScalaLancetPro"/>
          <w:sz w:val="14"/>
          <w:szCs w:val="14"/>
        </w:rPr>
        <w:t>.</w:t>
      </w:r>
    </w:p>
    <w:p w:rsidR="00992E08" w:rsidRPr="00B10BFF" w:rsidRDefault="00992E08" w:rsidP="00B10BFF">
      <w:pPr>
        <w:autoSpaceDE w:val="0"/>
        <w:autoSpaceDN w:val="0"/>
        <w:adjustRightInd w:val="0"/>
        <w:ind w:left="-360"/>
        <w:rPr>
          <w:rFonts w:cs="Calibri"/>
        </w:rPr>
      </w:pPr>
      <w:r>
        <w:rPr>
          <w:rFonts w:cs="Calibri"/>
        </w:rPr>
        <w:t>16</w:t>
      </w:r>
      <w:r w:rsidRPr="00B10BFF">
        <w:rPr>
          <w:rFonts w:cs="Calibri"/>
        </w:rPr>
        <w:t>.</w:t>
      </w:r>
    </w:p>
    <w:p w:rsidR="00992E08" w:rsidRPr="00B10BFF" w:rsidRDefault="00992E08" w:rsidP="00B10BFF">
      <w:pPr>
        <w:autoSpaceDE w:val="0"/>
        <w:autoSpaceDN w:val="0"/>
        <w:adjustRightInd w:val="0"/>
        <w:ind w:left="-360"/>
        <w:rPr>
          <w:rFonts w:cs="Calibri"/>
        </w:rPr>
      </w:pPr>
      <w:r>
        <w:rPr>
          <w:rFonts w:cs="Calibri"/>
        </w:rPr>
        <w:t xml:space="preserve">17. </w:t>
      </w:r>
      <w:r w:rsidRPr="00B10BFF">
        <w:rPr>
          <w:rFonts w:cs="Calibri"/>
        </w:rPr>
        <w:t xml:space="preserve">Zigmond AS, Snaith RP. The Hospital Anxiety and Depression Scale. </w:t>
      </w:r>
      <w:r w:rsidRPr="00B10BFF">
        <w:rPr>
          <w:rFonts w:cs="Calibri"/>
          <w:i/>
          <w:iCs/>
        </w:rPr>
        <w:t xml:space="preserve">Acta Psychiatr Scand </w:t>
      </w:r>
      <w:r w:rsidRPr="00B10BFF">
        <w:rPr>
          <w:rFonts w:cs="Calibri"/>
        </w:rPr>
        <w:t xml:space="preserve">1983, </w:t>
      </w:r>
      <w:r w:rsidRPr="00B10BFF">
        <w:rPr>
          <w:rFonts w:cs="Calibri"/>
          <w:b/>
          <w:bCs/>
        </w:rPr>
        <w:t xml:space="preserve">57: </w:t>
      </w:r>
      <w:r w:rsidRPr="00B10BFF">
        <w:rPr>
          <w:rFonts w:cs="Calibri"/>
        </w:rPr>
        <w:t>361–70.</w:t>
      </w:r>
    </w:p>
    <w:p w:rsidR="00992E08" w:rsidRPr="00B10BFF" w:rsidRDefault="00992E08" w:rsidP="00B10BFF">
      <w:pPr>
        <w:autoSpaceDE w:val="0"/>
        <w:autoSpaceDN w:val="0"/>
        <w:adjustRightInd w:val="0"/>
        <w:ind w:left="-360"/>
        <w:rPr>
          <w:rFonts w:cs="Calibri"/>
        </w:rPr>
      </w:pPr>
      <w:r>
        <w:rPr>
          <w:rFonts w:cs="Calibri"/>
        </w:rPr>
        <w:t xml:space="preserve">18. </w:t>
      </w:r>
      <w:r w:rsidRPr="00B10BFF">
        <w:rPr>
          <w:rFonts w:cs="Calibri"/>
        </w:rPr>
        <w:t xml:space="preserve">EuroQol Group. EuroQol—a new facility for the measurement of health-related quality of life. </w:t>
      </w:r>
      <w:r w:rsidRPr="00B10BFF">
        <w:rPr>
          <w:rFonts w:cs="Calibri"/>
          <w:i/>
          <w:iCs/>
        </w:rPr>
        <w:t xml:space="preserve">Health Policy </w:t>
      </w:r>
      <w:r w:rsidRPr="00B10BFF">
        <w:rPr>
          <w:rFonts w:cs="Calibri"/>
        </w:rPr>
        <w:t xml:space="preserve">1990; </w:t>
      </w:r>
      <w:r w:rsidRPr="00B10BFF">
        <w:rPr>
          <w:rFonts w:cs="Calibri"/>
          <w:b/>
          <w:bCs/>
        </w:rPr>
        <w:t xml:space="preserve">16: </w:t>
      </w:r>
      <w:r w:rsidRPr="00B10BFF">
        <w:rPr>
          <w:rFonts w:cs="Calibri"/>
        </w:rPr>
        <w:t>199–208.</w:t>
      </w:r>
    </w:p>
    <w:p w:rsidR="00992E08" w:rsidRPr="00B10BFF" w:rsidRDefault="00992E08" w:rsidP="00B10BFF">
      <w:pPr>
        <w:autoSpaceDE w:val="0"/>
        <w:autoSpaceDN w:val="0"/>
        <w:adjustRightInd w:val="0"/>
        <w:ind w:left="-360"/>
        <w:rPr>
          <w:rFonts w:cs="Calibri"/>
        </w:rPr>
      </w:pPr>
      <w:r>
        <w:rPr>
          <w:rFonts w:cs="Calibri"/>
        </w:rPr>
        <w:t xml:space="preserve">19. </w:t>
      </w:r>
      <w:r w:rsidRPr="00B10BFF">
        <w:rPr>
          <w:rFonts w:cs="Calibri"/>
        </w:rPr>
        <w:t xml:space="preserve">Tyrer P, Nur U, Crawford M, et al. The Social Functioning Questionnaire: a rapid and robust measure of perceived functioning. </w:t>
      </w:r>
      <w:r w:rsidRPr="00B10BFF">
        <w:rPr>
          <w:rFonts w:cs="Calibri"/>
          <w:i/>
          <w:iCs/>
        </w:rPr>
        <w:t xml:space="preserve">Int J Soc Psychiatr </w:t>
      </w:r>
      <w:r w:rsidRPr="00B10BFF">
        <w:rPr>
          <w:rFonts w:cs="Calibri"/>
        </w:rPr>
        <w:t xml:space="preserve">2005; </w:t>
      </w:r>
      <w:r w:rsidRPr="00B10BFF">
        <w:rPr>
          <w:rFonts w:cs="Calibri"/>
          <w:b/>
          <w:bCs/>
        </w:rPr>
        <w:t xml:space="preserve">51: </w:t>
      </w:r>
      <w:r w:rsidRPr="00B10BFF">
        <w:rPr>
          <w:rFonts w:cs="Calibri"/>
        </w:rPr>
        <w:t>265–75.</w:t>
      </w:r>
    </w:p>
    <w:p w:rsidR="00992E08" w:rsidRPr="00B10BFF" w:rsidRDefault="00992E08" w:rsidP="00B10BFF">
      <w:pPr>
        <w:autoSpaceDE w:val="0"/>
        <w:autoSpaceDN w:val="0"/>
        <w:adjustRightInd w:val="0"/>
        <w:ind w:left="-360"/>
        <w:rPr>
          <w:rFonts w:cs="Calibri"/>
        </w:rPr>
      </w:pPr>
      <w:r>
        <w:rPr>
          <w:rFonts w:cs="Calibri"/>
        </w:rPr>
        <w:t xml:space="preserve">20. </w:t>
      </w:r>
      <w:r w:rsidRPr="00B10BFF">
        <w:rPr>
          <w:rFonts w:cs="Calibri"/>
        </w:rPr>
        <w:t xml:space="preserve">Barrett B, Byford S, Crawford M, et al. Cost-effectiveness of referral to an alcohol health worker in patients attending an accident and emergency department: a decision-making approach. </w:t>
      </w:r>
      <w:r w:rsidRPr="00B10BFF">
        <w:rPr>
          <w:rFonts w:cs="Calibri"/>
          <w:i/>
          <w:iCs/>
        </w:rPr>
        <w:t xml:space="preserve">Drug Alcohol Depend </w:t>
      </w:r>
      <w:r w:rsidRPr="00B10BFF">
        <w:rPr>
          <w:rFonts w:cs="Calibri"/>
        </w:rPr>
        <w:t xml:space="preserve">2006, </w:t>
      </w:r>
      <w:r w:rsidRPr="00B10BFF">
        <w:rPr>
          <w:rFonts w:cs="Calibri"/>
          <w:b/>
          <w:bCs/>
        </w:rPr>
        <w:t xml:space="preserve">81: </w:t>
      </w:r>
      <w:r w:rsidRPr="00B10BFF">
        <w:rPr>
          <w:rFonts w:cs="Calibri"/>
        </w:rPr>
        <w:t>47–54.</w:t>
      </w:r>
    </w:p>
    <w:p w:rsidR="00992E08" w:rsidRPr="00B10BFF" w:rsidRDefault="00992E08" w:rsidP="00B10BFF">
      <w:pPr>
        <w:autoSpaceDE w:val="0"/>
        <w:autoSpaceDN w:val="0"/>
        <w:adjustRightInd w:val="0"/>
        <w:ind w:left="-360"/>
        <w:rPr>
          <w:rFonts w:cs="Tahoma"/>
          <w:color w:val="000000"/>
        </w:rPr>
      </w:pPr>
      <w:r>
        <w:rPr>
          <w:rFonts w:cs="AdvOT07517017"/>
        </w:rPr>
        <w:t xml:space="preserve">21. </w:t>
      </w:r>
      <w:r w:rsidRPr="00B10BFF">
        <w:rPr>
          <w:rFonts w:cs="AdvOT07517017"/>
        </w:rPr>
        <w:t xml:space="preserve">Tyrer P.   </w:t>
      </w:r>
      <w:r w:rsidRPr="00B10BFF">
        <w:rPr>
          <w:rFonts w:cs="AdvOT46dcae81"/>
        </w:rPr>
        <w:t xml:space="preserve">Quick Personality Assessment Schedule: PAS-Q. </w:t>
      </w:r>
      <w:r w:rsidRPr="00B10BFF">
        <w:rPr>
          <w:rFonts w:cs="AdvOT07517017"/>
        </w:rPr>
        <w:t xml:space="preserve">In </w:t>
      </w:r>
      <w:r w:rsidRPr="00B10BFF">
        <w:rPr>
          <w:rFonts w:cs="AdvOT0d9ab1db.I"/>
          <w:i/>
        </w:rPr>
        <w:t xml:space="preserve">Personality Disorders: Diagnosis, Management and Course,  </w:t>
      </w:r>
      <w:r w:rsidRPr="00B10BFF">
        <w:rPr>
          <w:rFonts w:cs="AdvOT07517017"/>
          <w:i/>
        </w:rPr>
        <w:t>2nd edition</w:t>
      </w:r>
      <w:r w:rsidRPr="00B10BFF">
        <w:rPr>
          <w:rFonts w:cs="AdvOT07517017"/>
        </w:rPr>
        <w:t>. Edited by: Tyrer P. London: Arnold; 2000:181-90.</w:t>
      </w:r>
    </w:p>
    <w:p w:rsidR="00992E08" w:rsidRPr="00B10BFF" w:rsidRDefault="00992E08" w:rsidP="00B10BFF">
      <w:pPr>
        <w:overflowPunct w:val="0"/>
        <w:autoSpaceDE w:val="0"/>
        <w:autoSpaceDN w:val="0"/>
        <w:adjustRightInd w:val="0"/>
        <w:ind w:left="-357"/>
        <w:textAlignment w:val="baseline"/>
        <w:rPr>
          <w:rFonts w:cs="Calibri"/>
          <w:bCs/>
        </w:rPr>
      </w:pPr>
      <w:r>
        <w:t xml:space="preserve">22. </w:t>
      </w:r>
      <w:r w:rsidRPr="00B10BFF">
        <w:t>Tyrer P, Crawford M, Mulder R, Blashfield R, Farnam A, Fossati A, et al. The rationale for the reclassification of p</w:t>
      </w:r>
      <w:r w:rsidRPr="00B10BFF">
        <w:rPr>
          <w:rFonts w:cs="Calibri"/>
        </w:rPr>
        <w:t>ersonality disorder in the 11</w:t>
      </w:r>
      <w:r w:rsidRPr="00B10BFF">
        <w:rPr>
          <w:rFonts w:cs="Calibri"/>
          <w:vertAlign w:val="superscript"/>
        </w:rPr>
        <w:t>th</w:t>
      </w:r>
      <w:r w:rsidRPr="00B10BFF">
        <w:rPr>
          <w:rFonts w:cs="Calibri"/>
        </w:rPr>
        <w:t xml:space="preserve"> Revision of the International Classification of Diseases. </w:t>
      </w:r>
      <w:r w:rsidRPr="00B10BFF">
        <w:rPr>
          <w:rFonts w:cs="Calibri"/>
          <w:i/>
        </w:rPr>
        <w:t xml:space="preserve">Personality and Mental Health </w:t>
      </w:r>
      <w:r w:rsidRPr="00B10BFF">
        <w:rPr>
          <w:rFonts w:cs="Calibri"/>
        </w:rPr>
        <w:t>2011;</w:t>
      </w:r>
      <w:r w:rsidRPr="00B10BFF">
        <w:rPr>
          <w:rFonts w:cs="Calibri"/>
          <w:i/>
        </w:rPr>
        <w:t xml:space="preserve"> </w:t>
      </w:r>
      <w:r w:rsidRPr="00B10BFF">
        <w:rPr>
          <w:rFonts w:cs="Calibri"/>
        </w:rPr>
        <w:t>5</w:t>
      </w:r>
      <w:r w:rsidRPr="00B10BFF">
        <w:rPr>
          <w:rFonts w:cs="Calibri"/>
          <w:b/>
        </w:rPr>
        <w:t xml:space="preserve">: </w:t>
      </w:r>
      <w:r w:rsidRPr="00B10BFF">
        <w:rPr>
          <w:rFonts w:cs="Calibri"/>
        </w:rPr>
        <w:t>246-59.</w:t>
      </w:r>
    </w:p>
    <w:p w:rsidR="00992E08" w:rsidRPr="00B10BFF" w:rsidRDefault="00992E08" w:rsidP="00B10BFF">
      <w:pPr>
        <w:autoSpaceDE w:val="0"/>
        <w:autoSpaceDN w:val="0"/>
        <w:adjustRightInd w:val="0"/>
        <w:ind w:left="-360"/>
        <w:rPr>
          <w:rFonts w:cs="Calibri"/>
          <w:color w:val="000000"/>
        </w:rPr>
      </w:pPr>
      <w:r>
        <w:rPr>
          <w:rFonts w:cs="Calibri"/>
        </w:rPr>
        <w:t xml:space="preserve">23. </w:t>
      </w:r>
      <w:r w:rsidRPr="00B10BFF">
        <w:rPr>
          <w:rFonts w:cs="Calibri"/>
        </w:rPr>
        <w:t>Tyrer P, Coombs N, Ibrahimi F, Mathilakath A, Bajaj P, Ranger M et al. Critical developments in the assessment of personality disorder.</w:t>
      </w:r>
      <w:r w:rsidRPr="00B10BFF">
        <w:rPr>
          <w:rFonts w:cs="Calibri"/>
          <w:bCs/>
          <w:i/>
        </w:rPr>
        <w:t xml:space="preserve"> Br J Psychiatry </w:t>
      </w:r>
      <w:r w:rsidRPr="00B10BFF">
        <w:rPr>
          <w:rFonts w:cs="Calibri"/>
          <w:bCs/>
        </w:rPr>
        <w:t>2007;</w:t>
      </w:r>
      <w:r w:rsidRPr="00B10BFF">
        <w:rPr>
          <w:rFonts w:cs="Calibri"/>
        </w:rPr>
        <w:t xml:space="preserve"> </w:t>
      </w:r>
      <w:r w:rsidRPr="00B10BFF">
        <w:rPr>
          <w:rFonts w:cs="Calibri"/>
          <w:b/>
        </w:rPr>
        <w:t xml:space="preserve">190,suppl 49, </w:t>
      </w:r>
      <w:r w:rsidRPr="00B10BFF">
        <w:rPr>
          <w:rFonts w:cs="Calibri"/>
          <w:lang w:val="en-US"/>
        </w:rPr>
        <w:t>s51-s59</w:t>
      </w:r>
    </w:p>
    <w:p w:rsidR="00992E08" w:rsidRPr="00B10BFF" w:rsidRDefault="00992E08" w:rsidP="00B10BFF">
      <w:pPr>
        <w:autoSpaceDE w:val="0"/>
        <w:autoSpaceDN w:val="0"/>
        <w:adjustRightInd w:val="0"/>
        <w:ind w:left="-360"/>
        <w:rPr>
          <w:rFonts w:cs="Calibri"/>
        </w:rPr>
      </w:pPr>
      <w:r>
        <w:rPr>
          <w:rFonts w:cs="Calibri"/>
        </w:rPr>
        <w:t xml:space="preserve">24. </w:t>
      </w:r>
      <w:r w:rsidRPr="00B10BFF">
        <w:rPr>
          <w:rFonts w:cs="Calibri"/>
        </w:rPr>
        <w:t xml:space="preserve">Curtis L. </w:t>
      </w:r>
      <w:r w:rsidRPr="00B10BFF">
        <w:rPr>
          <w:i/>
        </w:rPr>
        <w:t>Unit costs of health and social care, 2010</w:t>
      </w:r>
      <w:r w:rsidRPr="00B10BFF">
        <w:rPr>
          <w:rFonts w:cs="Calibri"/>
        </w:rPr>
        <w:t>. Canterbury: PSSRU, University of Kent, 2011.</w:t>
      </w:r>
    </w:p>
    <w:p w:rsidR="00992E08" w:rsidRPr="00B10BFF" w:rsidRDefault="00992E08" w:rsidP="00B10BFF">
      <w:pPr>
        <w:autoSpaceDE w:val="0"/>
        <w:autoSpaceDN w:val="0"/>
        <w:adjustRightInd w:val="0"/>
        <w:ind w:left="-360"/>
        <w:rPr>
          <w:rFonts w:cs="Calibri"/>
        </w:rPr>
      </w:pPr>
      <w:r>
        <w:rPr>
          <w:rFonts w:cs="Calibri"/>
        </w:rPr>
        <w:t xml:space="preserve">25. </w:t>
      </w:r>
      <w:r w:rsidRPr="00B10BFF">
        <w:rPr>
          <w:rFonts w:cs="Calibri"/>
        </w:rPr>
        <w:t xml:space="preserve">British Medical Association &amp; Royal Pharmaceutical Society of Great Britain. </w:t>
      </w:r>
      <w:r w:rsidRPr="00B10BFF">
        <w:rPr>
          <w:rFonts w:cs="Calibri"/>
          <w:i/>
          <w:iCs/>
        </w:rPr>
        <w:t xml:space="preserve">BNF 59. </w:t>
      </w:r>
      <w:r w:rsidRPr="00B10BFF">
        <w:rPr>
          <w:rFonts w:cs="Calibri"/>
        </w:rPr>
        <w:t>London: BMJ Books/Pharmaceutical Press, 2010.</w:t>
      </w:r>
    </w:p>
    <w:p w:rsidR="00992E08" w:rsidRPr="00B10BFF" w:rsidRDefault="00992E08" w:rsidP="00B10BFF">
      <w:pPr>
        <w:autoSpaceDE w:val="0"/>
        <w:autoSpaceDN w:val="0"/>
        <w:adjustRightInd w:val="0"/>
        <w:ind w:left="-360"/>
        <w:rPr>
          <w:rFonts w:cs="Calibri"/>
        </w:rPr>
      </w:pPr>
      <w:r>
        <w:rPr>
          <w:rFonts w:cs="Calibri"/>
        </w:rPr>
        <w:t xml:space="preserve">26. </w:t>
      </w:r>
      <w:r w:rsidRPr="00B10BFF">
        <w:rPr>
          <w:rFonts w:cs="Calibri"/>
        </w:rPr>
        <w:t>Department of Health. NHS Reference Costs. London: Department of Health, 2011.</w:t>
      </w:r>
    </w:p>
    <w:p w:rsidR="00992E08" w:rsidRDefault="00992E08" w:rsidP="00B10BFF">
      <w:pPr>
        <w:autoSpaceDE w:val="0"/>
        <w:autoSpaceDN w:val="0"/>
        <w:adjustRightInd w:val="0"/>
        <w:ind w:left="-360"/>
        <w:rPr>
          <w:rFonts w:cs="Calibri"/>
        </w:rPr>
      </w:pPr>
      <w:r w:rsidRPr="00B10BFF">
        <w:rPr>
          <w:rFonts w:cs="Calibri"/>
        </w:rPr>
        <w:t xml:space="preserve">NIH. </w:t>
      </w:r>
    </w:p>
    <w:p w:rsidR="00992E08" w:rsidRPr="00B10BFF" w:rsidRDefault="00992E08" w:rsidP="00B10BFF">
      <w:pPr>
        <w:autoSpaceDE w:val="0"/>
        <w:autoSpaceDN w:val="0"/>
        <w:adjustRightInd w:val="0"/>
        <w:ind w:left="-360"/>
        <w:rPr>
          <w:rFonts w:cs="Calibri"/>
        </w:rPr>
      </w:pPr>
      <w:r>
        <w:rPr>
          <w:rFonts w:cs="Calibri"/>
        </w:rPr>
        <w:t>27. N</w:t>
      </w:r>
      <w:r w:rsidRPr="00B10BFF">
        <w:rPr>
          <w:rFonts w:cs="Calibri"/>
        </w:rPr>
        <w:t>ational Institute for Health and Clinical Excellence 2008. Guide to the methods of technology appraisal, London: NICE, 2008.</w:t>
      </w:r>
    </w:p>
    <w:p w:rsidR="00992E08" w:rsidRPr="00B10BFF" w:rsidRDefault="00992E08" w:rsidP="00B10BFF">
      <w:pPr>
        <w:autoSpaceDE w:val="0"/>
        <w:autoSpaceDN w:val="0"/>
        <w:adjustRightInd w:val="0"/>
        <w:ind w:left="-360"/>
        <w:rPr>
          <w:rFonts w:cs="Calibri"/>
        </w:rPr>
      </w:pPr>
      <w:r>
        <w:rPr>
          <w:rFonts w:cs="Calibri"/>
        </w:rPr>
        <w:t xml:space="preserve">28. </w:t>
      </w:r>
      <w:r w:rsidRPr="00B10BFF">
        <w:rPr>
          <w:rFonts w:cs="Calibri"/>
        </w:rPr>
        <w:t xml:space="preserve">Barber JA, Thompson SG. Analysis and interpretation of cost data in randomised controlled trials: review of published studies. </w:t>
      </w:r>
      <w:r w:rsidRPr="00B10BFF">
        <w:rPr>
          <w:rFonts w:cs="Calibri"/>
          <w:i/>
          <w:iCs/>
        </w:rPr>
        <w:t xml:space="preserve">BMJ </w:t>
      </w:r>
      <w:r w:rsidRPr="00B10BFF">
        <w:rPr>
          <w:rFonts w:cs="Calibri"/>
        </w:rPr>
        <w:t xml:space="preserve">1998; </w:t>
      </w:r>
      <w:r w:rsidRPr="00B10BFF">
        <w:rPr>
          <w:rFonts w:cs="Calibri"/>
          <w:b/>
          <w:bCs/>
        </w:rPr>
        <w:t xml:space="preserve">317: </w:t>
      </w:r>
      <w:r w:rsidRPr="00B10BFF">
        <w:rPr>
          <w:rFonts w:cs="Calibri"/>
        </w:rPr>
        <w:t>1195–200.</w:t>
      </w:r>
    </w:p>
    <w:p w:rsidR="00992E08" w:rsidRPr="00B10BFF" w:rsidRDefault="00992E08" w:rsidP="00B10BFF">
      <w:pPr>
        <w:autoSpaceDE w:val="0"/>
        <w:autoSpaceDN w:val="0"/>
        <w:adjustRightInd w:val="0"/>
        <w:ind w:left="-360"/>
        <w:rPr>
          <w:rFonts w:cs="Calibri"/>
        </w:rPr>
      </w:pPr>
      <w:r>
        <w:rPr>
          <w:rFonts w:cs="Calibri"/>
        </w:rPr>
        <w:t xml:space="preserve">29. </w:t>
      </w:r>
      <w:r w:rsidRPr="00B10BFF">
        <w:rPr>
          <w:rFonts w:cs="Calibri"/>
        </w:rPr>
        <w:t>Efron B, Tibshirani R. An introduction to the bootstrap. New York: Chapman and Hall, 1993.</w:t>
      </w:r>
    </w:p>
    <w:p w:rsidR="00992E08" w:rsidRPr="00BF4941" w:rsidRDefault="00992E08" w:rsidP="00B10BFF">
      <w:pPr>
        <w:overflowPunct w:val="0"/>
        <w:autoSpaceDE w:val="0"/>
        <w:autoSpaceDN w:val="0"/>
        <w:adjustRightInd w:val="0"/>
        <w:ind w:left="-360"/>
        <w:textAlignment w:val="baseline"/>
        <w:rPr>
          <w:rFonts w:cs="Calibri"/>
          <w:kern w:val="36"/>
        </w:rPr>
      </w:pPr>
      <w:r w:rsidRPr="0007759B">
        <w:rPr>
          <w:color w:val="000000"/>
        </w:rPr>
        <w:t>3</w:t>
      </w:r>
      <w:r>
        <w:rPr>
          <w:color w:val="000000"/>
        </w:rPr>
        <w:t>0</w:t>
      </w:r>
      <w:r w:rsidRPr="0007759B">
        <w:rPr>
          <w:color w:val="000000"/>
        </w:rPr>
        <w:t xml:space="preserve">. </w:t>
      </w:r>
      <w:r w:rsidRPr="00240CB3">
        <w:rPr>
          <w:sz w:val="22"/>
        </w:rPr>
        <w:t xml:space="preserve">Tyrer P, Cooper S, Salkovskis P, Tyrer H, Crawford M, Byford S, et al. </w:t>
      </w:r>
      <w:r w:rsidRPr="00240CB3">
        <w:rPr>
          <w:kern w:val="36"/>
          <w:sz w:val="22"/>
        </w:rPr>
        <w:t xml:space="preserve">Clinical and cost-effectiveness of cognitive behaviour therapy for health anxiety in medical patients: a multicentre randomised controlled trial.. </w:t>
      </w:r>
      <w:r w:rsidRPr="00240CB3">
        <w:rPr>
          <w:i/>
          <w:kern w:val="36"/>
          <w:sz w:val="22"/>
        </w:rPr>
        <w:t xml:space="preserve">Lancet </w:t>
      </w:r>
      <w:r w:rsidRPr="00BF4941">
        <w:rPr>
          <w:rFonts w:cs="Calibri"/>
          <w:kern w:val="36"/>
        </w:rPr>
        <w:t>2014;</w:t>
      </w:r>
      <w:r w:rsidRPr="00BF4941">
        <w:rPr>
          <w:rFonts w:cs="Calibri"/>
          <w:i/>
          <w:kern w:val="36"/>
        </w:rPr>
        <w:t xml:space="preserve"> </w:t>
      </w:r>
      <w:r w:rsidRPr="00BF4941">
        <w:rPr>
          <w:rFonts w:cs="Calibri"/>
          <w:kern w:val="36"/>
        </w:rPr>
        <w:t>383: 219-25.</w:t>
      </w:r>
    </w:p>
    <w:p w:rsidR="00992E08" w:rsidRPr="00282E50" w:rsidRDefault="00992E08" w:rsidP="00C124DF">
      <w:pPr>
        <w:pStyle w:val="Heading1"/>
        <w:shd w:val="clear" w:color="auto" w:fill="FFFFFF"/>
        <w:spacing w:before="0" w:after="0"/>
        <w:rPr>
          <w:rFonts w:ascii="Times New Roman" w:hAnsi="Times New Roman" w:cs="Calibri"/>
        </w:rPr>
      </w:pPr>
      <w:r w:rsidRPr="00BF4941">
        <w:rPr>
          <w:rFonts w:cs="Calibri"/>
          <w:b w:val="0"/>
          <w:sz w:val="24"/>
          <w:szCs w:val="24"/>
        </w:rPr>
        <w:t xml:space="preserve">31. Barrett B, </w:t>
      </w:r>
      <w:r w:rsidRPr="00BF4941">
        <w:rPr>
          <w:rFonts w:cs="Calibri"/>
          <w:b w:val="0"/>
          <w:sz w:val="24"/>
          <w:szCs w:val="24"/>
          <w:shd w:val="clear" w:color="auto" w:fill="FFFFFF"/>
        </w:rPr>
        <w:t>Tyrer P, Tyrer H, Cooper S, Crawford MJ, Byford S.</w:t>
      </w:r>
      <w:r w:rsidRPr="00BF4941">
        <w:rPr>
          <w:rFonts w:cs="Calibri"/>
          <w:b w:val="0"/>
          <w:sz w:val="24"/>
          <w:szCs w:val="24"/>
        </w:rPr>
        <w:t>trtAn examination of the factors that influence costs in medical patients with</w:t>
      </w:r>
      <w:r w:rsidRPr="00BF4941">
        <w:rPr>
          <w:rStyle w:val="apple-converted-space"/>
          <w:rFonts w:cs="Calibri"/>
          <w:b w:val="0"/>
          <w:sz w:val="24"/>
          <w:szCs w:val="24"/>
        </w:rPr>
        <w:t> </w:t>
      </w:r>
      <w:r w:rsidRPr="00BF4941">
        <w:rPr>
          <w:rStyle w:val="highlight"/>
          <w:rFonts w:cs="Calibri"/>
          <w:b w:val="0"/>
          <w:sz w:val="24"/>
          <w:szCs w:val="24"/>
        </w:rPr>
        <w:t>health</w:t>
      </w:r>
      <w:r w:rsidRPr="00BF4941">
        <w:rPr>
          <w:rStyle w:val="apple-converted-space"/>
          <w:rFonts w:cs="Calibri"/>
          <w:b w:val="0"/>
          <w:sz w:val="24"/>
          <w:szCs w:val="24"/>
        </w:rPr>
        <w:t> </w:t>
      </w:r>
      <w:r w:rsidRPr="00BF4941">
        <w:rPr>
          <w:rStyle w:val="highlight"/>
          <w:rFonts w:cs="Calibri"/>
          <w:b w:val="0"/>
          <w:sz w:val="24"/>
          <w:szCs w:val="24"/>
        </w:rPr>
        <w:t>anxiety</w:t>
      </w:r>
      <w:r w:rsidRPr="00BF4941">
        <w:rPr>
          <w:rFonts w:cs="Calibri"/>
          <w:b w:val="0"/>
          <w:i/>
          <w:sz w:val="24"/>
          <w:szCs w:val="24"/>
        </w:rPr>
        <w:t xml:space="preserve">. </w:t>
      </w:r>
      <w:r w:rsidRPr="00BF4941">
        <w:rPr>
          <w:rStyle w:val="jrnl"/>
          <w:rFonts w:cs="Calibri"/>
          <w:b w:val="0"/>
          <w:i/>
          <w:sz w:val="24"/>
          <w:szCs w:val="24"/>
          <w:shd w:val="clear" w:color="auto" w:fill="FFFFFF"/>
        </w:rPr>
        <w:t>J Psychosom Res</w:t>
      </w:r>
      <w:r w:rsidRPr="00BF4941">
        <w:rPr>
          <w:rFonts w:cs="Calibri"/>
          <w:b w:val="0"/>
          <w:sz w:val="24"/>
          <w:szCs w:val="24"/>
          <w:shd w:val="clear" w:color="auto" w:fill="FFFFFF"/>
        </w:rPr>
        <w:t xml:space="preserve"> 2012 ;</w:t>
      </w:r>
      <w:r>
        <w:rPr>
          <w:rFonts w:cs="Calibri"/>
          <w:b w:val="0"/>
          <w:sz w:val="24"/>
          <w:szCs w:val="24"/>
          <w:shd w:val="clear" w:color="auto" w:fill="FFFFFF"/>
        </w:rPr>
        <w:t xml:space="preserve"> </w:t>
      </w:r>
      <w:r w:rsidRPr="00BF4941">
        <w:rPr>
          <w:rFonts w:cs="Calibri"/>
          <w:sz w:val="24"/>
          <w:szCs w:val="24"/>
          <w:shd w:val="clear" w:color="auto" w:fill="FFFFFF"/>
        </w:rPr>
        <w:t>73</w:t>
      </w:r>
      <w:r w:rsidRPr="00BF4941">
        <w:rPr>
          <w:rFonts w:cs="Calibri"/>
          <w:b w:val="0"/>
          <w:sz w:val="24"/>
          <w:szCs w:val="24"/>
          <w:shd w:val="clear" w:color="auto" w:fill="FFFFFF"/>
        </w:rPr>
        <w:t>:</w:t>
      </w:r>
      <w:r>
        <w:rPr>
          <w:rFonts w:cs="Calibri"/>
          <w:b w:val="0"/>
          <w:sz w:val="24"/>
          <w:szCs w:val="24"/>
          <w:shd w:val="clear" w:color="auto" w:fill="FFFFFF"/>
        </w:rPr>
        <w:t xml:space="preserve"> </w:t>
      </w:r>
      <w:r w:rsidRPr="00BF4941">
        <w:rPr>
          <w:rFonts w:cs="Calibri"/>
          <w:b w:val="0"/>
          <w:sz w:val="24"/>
          <w:szCs w:val="24"/>
          <w:shd w:val="clear" w:color="auto" w:fill="FFFFFF"/>
        </w:rPr>
        <w:t>59-62</w:t>
      </w:r>
      <w:r>
        <w:rPr>
          <w:rFonts w:cs="Calibri"/>
          <w:b w:val="0"/>
          <w:sz w:val="24"/>
          <w:szCs w:val="24"/>
          <w:shd w:val="clear" w:color="auto" w:fill="FFFFFF"/>
        </w:rPr>
        <w:t>.</w:t>
      </w:r>
    </w:p>
    <w:p w:rsidR="00992E08" w:rsidRPr="00B10BFF" w:rsidRDefault="00992E08" w:rsidP="00B10BFF">
      <w:pPr>
        <w:shd w:val="clear" w:color="auto" w:fill="FFFFFF"/>
        <w:overflowPunct w:val="0"/>
        <w:autoSpaceDE w:val="0"/>
        <w:autoSpaceDN w:val="0"/>
        <w:adjustRightInd w:val="0"/>
        <w:ind w:left="-357"/>
        <w:textAlignment w:val="baseline"/>
        <w:rPr>
          <w:rFonts w:cs="Calibri"/>
        </w:rPr>
      </w:pPr>
      <w:r>
        <w:lastRenderedPageBreak/>
        <w:t xml:space="preserve">32. </w:t>
      </w:r>
      <w:r w:rsidRPr="00003147">
        <w:t>Yang M, Coid J</w:t>
      </w:r>
      <w:r>
        <w:t xml:space="preserve">, </w:t>
      </w:r>
      <w:r w:rsidRPr="00003147">
        <w:t xml:space="preserve">Tyrer P (2010).  A national survey of personality pathology recorded by severity. </w:t>
      </w:r>
      <w:bookmarkStart w:id="1" w:name="OLE_LINK5"/>
      <w:bookmarkStart w:id="2" w:name="OLE_LINK6"/>
      <w:r w:rsidRPr="00B10BFF">
        <w:rPr>
          <w:i/>
        </w:rPr>
        <w:t xml:space="preserve">Br J Psychiatry </w:t>
      </w:r>
      <w:r w:rsidRPr="00DF5460">
        <w:t>2010</w:t>
      </w:r>
      <w:r>
        <w:t xml:space="preserve">; </w:t>
      </w:r>
      <w:r w:rsidRPr="00B10BFF">
        <w:rPr>
          <w:b/>
        </w:rPr>
        <w:t>197:</w:t>
      </w:r>
      <w:r w:rsidRPr="00003147">
        <w:t xml:space="preserve"> 193-9.</w:t>
      </w:r>
      <w:bookmarkEnd w:id="1"/>
      <w:bookmarkEnd w:id="2"/>
    </w:p>
    <w:p w:rsidR="00992E08" w:rsidRPr="00B10BFF" w:rsidRDefault="00992E08" w:rsidP="00B10BFF">
      <w:pPr>
        <w:shd w:val="clear" w:color="auto" w:fill="FFFFFF"/>
        <w:overflowPunct w:val="0"/>
        <w:autoSpaceDE w:val="0"/>
        <w:autoSpaceDN w:val="0"/>
        <w:adjustRightInd w:val="0"/>
        <w:ind w:left="-357"/>
        <w:textAlignment w:val="baseline"/>
        <w:rPr>
          <w:rFonts w:cs="Calibri"/>
        </w:rPr>
      </w:pPr>
      <w:r>
        <w:t xml:space="preserve">  33. </w:t>
      </w:r>
      <w:r w:rsidRPr="00086C30">
        <w:t xml:space="preserve">Kim YR, Blashfield R, </w:t>
      </w:r>
      <w:r w:rsidRPr="00B10BFF">
        <w:rPr>
          <w:bCs/>
        </w:rPr>
        <w:t>Tyrer P</w:t>
      </w:r>
      <w:r w:rsidRPr="00086C30">
        <w:t xml:space="preserve">, Hwang ST, &amp; Lee HS. (2014). Field trial of a putative research algorithm for diagnosing ICD-11 personality disorders in psychiatric patients: 1. Severity of personality disturbance. </w:t>
      </w:r>
      <w:r w:rsidRPr="00B10BFF">
        <w:rPr>
          <w:i/>
        </w:rPr>
        <w:t>Personality and Mental Health</w:t>
      </w:r>
      <w:r w:rsidRPr="00086C30">
        <w:t xml:space="preserve">, </w:t>
      </w:r>
      <w:r w:rsidRPr="00B10BFF">
        <w:rPr>
          <w:b/>
        </w:rPr>
        <w:t>8</w:t>
      </w:r>
      <w:r w:rsidRPr="00086C30">
        <w:t>, 67-78.</w:t>
      </w:r>
    </w:p>
    <w:p w:rsidR="00992E08" w:rsidRPr="00B10BFF" w:rsidRDefault="00992E08" w:rsidP="00B10BFF">
      <w:pPr>
        <w:ind w:left="360"/>
        <w:rPr>
          <w:rFonts w:ascii="Calibri Light" w:hAnsi="Calibri Light"/>
          <w:color w:val="000000"/>
          <w:sz w:val="28"/>
        </w:rPr>
      </w:pPr>
      <w:r>
        <w:t xml:space="preserve">34. </w:t>
      </w:r>
      <w:r w:rsidRPr="0007759B">
        <w:t xml:space="preserve">Tyrer P, Crawford M, Sanatinia R, Tyrer H, Cooper S, Muller-Pollard C, et al (2014).  </w:t>
      </w:r>
      <w:r w:rsidRPr="00240CB3">
        <w:t>Preliminary studies of the ICD 11 classification of personality disorder in practice</w:t>
      </w:r>
      <w:r w:rsidRPr="00B10BFF">
        <w:rPr>
          <w:b/>
        </w:rPr>
        <w:t xml:space="preserve">. </w:t>
      </w:r>
      <w:r w:rsidRPr="00B10BFF">
        <w:rPr>
          <w:i/>
        </w:rPr>
        <w:t xml:space="preserve">Personality and Mental Health </w:t>
      </w:r>
      <w:r w:rsidRPr="00240CB3">
        <w:t>2014;</w:t>
      </w:r>
      <w:r w:rsidRPr="00B10BFF">
        <w:rPr>
          <w:i/>
        </w:rPr>
        <w:t xml:space="preserve"> </w:t>
      </w:r>
      <w:r w:rsidRPr="00B10BFF">
        <w:rPr>
          <w:b/>
        </w:rPr>
        <w:t xml:space="preserve">8: </w:t>
      </w:r>
      <w:r w:rsidRPr="00B10BFF">
        <w:rPr>
          <w:rStyle w:val="Hyperlink"/>
          <w:color w:val="auto"/>
          <w:u w:val="none"/>
        </w:rPr>
        <w:t>254–263.</w:t>
      </w:r>
      <w:r w:rsidRPr="00240CB3">
        <w:t xml:space="preserve">  </w:t>
      </w:r>
    </w:p>
    <w:p w:rsidR="00992E08" w:rsidRPr="00B10BFF" w:rsidRDefault="00992E08" w:rsidP="00B10BFF">
      <w:pPr>
        <w:shd w:val="clear" w:color="auto" w:fill="FFFFFF"/>
        <w:rPr>
          <w:rFonts w:cs="Calibri"/>
        </w:rPr>
      </w:pPr>
      <w:r>
        <w:rPr>
          <w:rFonts w:cs="Calibri"/>
          <w:bCs/>
        </w:rPr>
        <w:t xml:space="preserve">35. </w:t>
      </w:r>
      <w:r w:rsidRPr="00B10BFF">
        <w:rPr>
          <w:rFonts w:cs="Calibri"/>
          <w:bCs/>
        </w:rPr>
        <w:t>Hedman E</w:t>
      </w:r>
      <w:r w:rsidRPr="00B10BFF">
        <w:rPr>
          <w:rFonts w:cs="Calibri"/>
        </w:rPr>
        <w:t xml:space="preserve">, Andersson G, Andersson E, Ljótsson B, Rück C, Asmundson GJ, Lindefors N. Internet-based cognitive-behavioural therapy for severe health anxiety: randomised controlled trial. </w:t>
      </w:r>
      <w:r w:rsidRPr="00B10BFF">
        <w:rPr>
          <w:rFonts w:cs="Calibri"/>
          <w:i/>
        </w:rPr>
        <w:t>Br J Psychiatry</w:t>
      </w:r>
      <w:r w:rsidRPr="00B10BFF">
        <w:rPr>
          <w:rFonts w:cs="Calibri"/>
        </w:rPr>
        <w:t xml:space="preserve"> 2011 ; </w:t>
      </w:r>
      <w:r w:rsidRPr="00B10BFF">
        <w:rPr>
          <w:rFonts w:cs="Calibri"/>
          <w:b/>
        </w:rPr>
        <w:t>198</w:t>
      </w:r>
      <w:r w:rsidRPr="00B10BFF">
        <w:rPr>
          <w:rFonts w:cs="Calibri"/>
        </w:rPr>
        <w:t>: 230-6.</w:t>
      </w:r>
    </w:p>
    <w:p w:rsidR="00992E08" w:rsidRPr="00C124DF" w:rsidRDefault="00992E08" w:rsidP="00AF2A53">
      <w:pPr>
        <w:pStyle w:val="details1"/>
        <w:shd w:val="clear" w:color="auto" w:fill="FFFFFF"/>
        <w:rPr>
          <w:rFonts w:cs="Calibri"/>
          <w:sz w:val="24"/>
          <w:szCs w:val="24"/>
        </w:rPr>
      </w:pPr>
      <w:r>
        <w:rPr>
          <w:rFonts w:cs="Calibri"/>
          <w:sz w:val="24"/>
          <w:szCs w:val="24"/>
        </w:rPr>
        <w:t xml:space="preserve">36. </w:t>
      </w:r>
      <w:r w:rsidRPr="00C124DF">
        <w:rPr>
          <w:rFonts w:cs="Calibri"/>
          <w:sz w:val="24"/>
          <w:szCs w:val="24"/>
        </w:rPr>
        <w:t xml:space="preserve">Latas M, Milovanovic S. </w:t>
      </w:r>
      <w:r w:rsidRPr="00C124DF">
        <w:rPr>
          <w:rStyle w:val="highlight2"/>
          <w:rFonts w:cs="Calibri"/>
          <w:sz w:val="24"/>
          <w:szCs w:val="24"/>
        </w:rPr>
        <w:t>Personality disorders</w:t>
      </w:r>
      <w:r w:rsidRPr="00C124DF">
        <w:rPr>
          <w:rFonts w:cs="Calibri"/>
          <w:sz w:val="24"/>
          <w:szCs w:val="24"/>
        </w:rPr>
        <w:t xml:space="preserve"> and </w:t>
      </w:r>
      <w:r w:rsidRPr="00C124DF">
        <w:rPr>
          <w:rStyle w:val="highlight2"/>
          <w:rFonts w:cs="Calibri"/>
          <w:sz w:val="24"/>
          <w:szCs w:val="24"/>
        </w:rPr>
        <w:t>anxiety</w:t>
      </w:r>
      <w:r w:rsidRPr="00C124DF">
        <w:rPr>
          <w:rFonts w:cs="Calibri"/>
          <w:sz w:val="24"/>
          <w:szCs w:val="24"/>
        </w:rPr>
        <w:t xml:space="preserve"> </w:t>
      </w:r>
      <w:r w:rsidRPr="00C124DF">
        <w:rPr>
          <w:rStyle w:val="highlight2"/>
          <w:rFonts w:cs="Calibri"/>
          <w:sz w:val="24"/>
          <w:szCs w:val="24"/>
        </w:rPr>
        <w:t>disorders</w:t>
      </w:r>
      <w:r w:rsidRPr="00C124DF">
        <w:rPr>
          <w:rFonts w:cs="Calibri"/>
          <w:sz w:val="24"/>
          <w:szCs w:val="24"/>
        </w:rPr>
        <w:t xml:space="preserve">: what is the relationship? </w:t>
      </w:r>
      <w:r w:rsidRPr="00C124DF">
        <w:rPr>
          <w:rStyle w:val="jrnl"/>
          <w:rFonts w:cs="Calibri"/>
          <w:i/>
          <w:sz w:val="24"/>
          <w:szCs w:val="24"/>
        </w:rPr>
        <w:t>Curr Opin Psychiatry</w:t>
      </w:r>
      <w:r w:rsidRPr="00C124DF">
        <w:rPr>
          <w:rFonts w:cs="Calibri"/>
          <w:i/>
          <w:sz w:val="24"/>
          <w:szCs w:val="24"/>
        </w:rPr>
        <w:t xml:space="preserve"> </w:t>
      </w:r>
      <w:r w:rsidRPr="00C124DF">
        <w:rPr>
          <w:rFonts w:cs="Calibri"/>
          <w:sz w:val="24"/>
          <w:szCs w:val="24"/>
        </w:rPr>
        <w:t xml:space="preserve">2014; </w:t>
      </w:r>
      <w:r w:rsidRPr="00C124DF">
        <w:rPr>
          <w:rFonts w:cs="Calibri"/>
          <w:b/>
          <w:sz w:val="24"/>
          <w:szCs w:val="24"/>
        </w:rPr>
        <w:t>27</w:t>
      </w:r>
      <w:r w:rsidRPr="00C124DF">
        <w:rPr>
          <w:rFonts w:cs="Calibri"/>
          <w:sz w:val="24"/>
          <w:szCs w:val="24"/>
        </w:rPr>
        <w:t>: 57-61.</w:t>
      </w:r>
    </w:p>
    <w:p w:rsidR="00992E08" w:rsidRPr="00C124DF" w:rsidRDefault="00992E08" w:rsidP="00AF2A53">
      <w:pPr>
        <w:shd w:val="clear" w:color="auto" w:fill="FFFFFF"/>
        <w:rPr>
          <w:rFonts w:cs="Calibri"/>
        </w:rPr>
      </w:pPr>
      <w:r>
        <w:rPr>
          <w:rFonts w:cs="Calibri"/>
          <w:bCs/>
        </w:rPr>
        <w:t xml:space="preserve">37. </w:t>
      </w:r>
      <w:r w:rsidRPr="00C124DF">
        <w:rPr>
          <w:rFonts w:cs="Calibri"/>
          <w:bCs/>
        </w:rPr>
        <w:t>Hedman E</w:t>
      </w:r>
      <w:r w:rsidRPr="00C124DF">
        <w:rPr>
          <w:rFonts w:cs="Calibri"/>
        </w:rPr>
        <w:t xml:space="preserve">, Lekander M, Ljótsson B, Lindefors N, Rück C, Andersson G et al. Optimal cut-off points on the Health Anxiety Inventory, Illness Attitude Scales and Whiteley index to identify severe health anxiety. </w:t>
      </w:r>
      <w:r w:rsidRPr="00C124DF">
        <w:rPr>
          <w:rFonts w:cs="Calibri"/>
          <w:i/>
        </w:rPr>
        <w:t>PLoS One</w:t>
      </w:r>
      <w:r w:rsidRPr="00C124DF">
        <w:rPr>
          <w:rFonts w:cs="Calibri"/>
        </w:rPr>
        <w:t xml:space="preserve"> 2015; </w:t>
      </w:r>
      <w:r w:rsidRPr="00C124DF">
        <w:rPr>
          <w:rFonts w:cs="Calibri"/>
          <w:b/>
        </w:rPr>
        <w:t>10</w:t>
      </w:r>
      <w:r w:rsidRPr="00C124DF">
        <w:rPr>
          <w:rFonts w:cs="Calibri"/>
        </w:rPr>
        <w:t>: e0123412.</w:t>
      </w:r>
    </w:p>
    <w:p w:rsidR="00992E08" w:rsidRPr="00C124DF" w:rsidRDefault="00992E08" w:rsidP="00AF2A53">
      <w:pPr>
        <w:autoSpaceDE w:val="0"/>
        <w:autoSpaceDN w:val="0"/>
        <w:adjustRightInd w:val="0"/>
      </w:pPr>
      <w:r>
        <w:t>38. Tyrer P, Reed GM, Crawford M (2015).</w:t>
      </w:r>
      <w:r w:rsidRPr="00C124DF">
        <w:t xml:space="preserve"> Classification, assessment, prevalence, and effect of personality disorder. </w:t>
      </w:r>
      <w:r w:rsidRPr="00C124DF">
        <w:rPr>
          <w:i/>
        </w:rPr>
        <w:t xml:space="preserve">Lancet </w:t>
      </w:r>
      <w:r w:rsidRPr="00C124DF">
        <w:t>2015;</w:t>
      </w:r>
      <w:r w:rsidRPr="00C124DF">
        <w:rPr>
          <w:i/>
        </w:rPr>
        <w:t xml:space="preserve"> </w:t>
      </w:r>
      <w:r w:rsidRPr="00C124DF">
        <w:rPr>
          <w:b/>
        </w:rPr>
        <w:t xml:space="preserve">385: </w:t>
      </w:r>
      <w:r w:rsidRPr="00C124DF">
        <w:t xml:space="preserve">717-726. </w:t>
      </w:r>
    </w:p>
    <w:p w:rsidR="00992E08" w:rsidRDefault="00992E08" w:rsidP="00AF2A53">
      <w:pPr>
        <w:overflowPunct w:val="0"/>
        <w:autoSpaceDE w:val="0"/>
        <w:autoSpaceDN w:val="0"/>
        <w:adjustRightInd w:val="0"/>
        <w:textAlignment w:val="baseline"/>
      </w:pPr>
      <w:r>
        <w:t xml:space="preserve">39. Coppen AL, Metcalfe H (1965). The effect of a depressive illness on MMPI scores. </w:t>
      </w:r>
      <w:r w:rsidRPr="00C124DF">
        <w:rPr>
          <w:i/>
        </w:rPr>
        <w:t xml:space="preserve">Br J Psychiatry </w:t>
      </w:r>
      <w:r>
        <w:t xml:space="preserve">1965; </w:t>
      </w:r>
      <w:r w:rsidRPr="00C124DF">
        <w:rPr>
          <w:b/>
        </w:rPr>
        <w:t>111:</w:t>
      </w:r>
      <w:r>
        <w:t xml:space="preserve"> 236-39.</w:t>
      </w:r>
    </w:p>
    <w:p w:rsidR="00992E08" w:rsidRPr="00C124DF" w:rsidRDefault="00992E08" w:rsidP="00C124DF">
      <w:pPr>
        <w:shd w:val="clear" w:color="auto" w:fill="FFFFFF"/>
        <w:rPr>
          <w:rFonts w:cs="Calibri"/>
        </w:rPr>
      </w:pPr>
      <w:r w:rsidRPr="00C124DF">
        <w:rPr>
          <w:rFonts w:cs="Calibri"/>
          <w:bCs/>
        </w:rPr>
        <w:t>40. Hedman E</w:t>
      </w:r>
      <w:r w:rsidRPr="00C124DF">
        <w:rPr>
          <w:rFonts w:cs="Calibri"/>
        </w:rPr>
        <w:t xml:space="preserve">, Andersson G, Lindefors N, Gustavsson P, Lekander M, Rück C, et al. Personality change following internet-based cognitive behavior therapy for severe health anxiety. </w:t>
      </w:r>
      <w:r w:rsidRPr="00C124DF">
        <w:rPr>
          <w:rFonts w:cs="Calibri"/>
          <w:i/>
        </w:rPr>
        <w:t>PLoS One</w:t>
      </w:r>
      <w:r w:rsidRPr="00C124DF">
        <w:rPr>
          <w:rFonts w:cs="Calibri"/>
        </w:rPr>
        <w:t xml:space="preserve"> 2014 ; </w:t>
      </w:r>
      <w:r w:rsidRPr="00C124DF">
        <w:rPr>
          <w:rFonts w:cs="Calibri"/>
          <w:b/>
        </w:rPr>
        <w:t>9</w:t>
      </w:r>
      <w:r w:rsidRPr="00C124DF">
        <w:rPr>
          <w:rFonts w:cs="Calibri"/>
        </w:rPr>
        <w:t>: e113871</w:t>
      </w:r>
    </w:p>
    <w:p w:rsidR="00992E08" w:rsidRPr="00C124DF" w:rsidRDefault="00992E08" w:rsidP="00AF2A53">
      <w:pPr>
        <w:shd w:val="clear" w:color="auto" w:fill="FFFFFF"/>
        <w:rPr>
          <w:rFonts w:cs="Calibri"/>
        </w:rPr>
      </w:pPr>
      <w:r>
        <w:rPr>
          <w:rFonts w:cs="Calibri"/>
        </w:rPr>
        <w:t xml:space="preserve">41. </w:t>
      </w:r>
      <w:r w:rsidRPr="00C124DF">
        <w:rPr>
          <w:rFonts w:cs="Calibri"/>
        </w:rPr>
        <w:t xml:space="preserve">Tyrer P, Alexander J.  Classification of personality disorder.   </w:t>
      </w:r>
      <w:r w:rsidRPr="00C124DF">
        <w:rPr>
          <w:i/>
        </w:rPr>
        <w:t xml:space="preserve">Br J Psychiatry </w:t>
      </w:r>
      <w:r>
        <w:t xml:space="preserve">1979; </w:t>
      </w:r>
      <w:r w:rsidRPr="00C124DF">
        <w:rPr>
          <w:b/>
        </w:rPr>
        <w:t>135</w:t>
      </w:r>
      <w:r>
        <w:t>: 163-7.</w:t>
      </w:r>
    </w:p>
    <w:p w:rsidR="00992E08" w:rsidRDefault="00992E08" w:rsidP="00C124DF">
      <w:pPr>
        <w:overflowPunct w:val="0"/>
        <w:autoSpaceDE w:val="0"/>
        <w:autoSpaceDN w:val="0"/>
        <w:adjustRightInd w:val="0"/>
        <w:textAlignment w:val="baseline"/>
        <w:rPr>
          <w:kern w:val="36"/>
        </w:rPr>
      </w:pPr>
    </w:p>
    <w:p w:rsidR="00992E08" w:rsidRPr="0032757F" w:rsidRDefault="00992E08" w:rsidP="00C32F34">
      <w:pPr>
        <w:overflowPunct w:val="0"/>
        <w:autoSpaceDE w:val="0"/>
        <w:autoSpaceDN w:val="0"/>
        <w:adjustRightInd w:val="0"/>
        <w:textAlignment w:val="baseline"/>
        <w:rPr>
          <w:rFonts w:ascii="Times New Roman" w:hAnsi="Times New Roman"/>
          <w:kern w:val="36"/>
        </w:rPr>
      </w:pPr>
    </w:p>
    <w:p w:rsidR="00992E08" w:rsidRPr="0032757F" w:rsidRDefault="00992E08" w:rsidP="00C32F34">
      <w:pPr>
        <w:shd w:val="clear" w:color="auto" w:fill="FFFFFF"/>
        <w:rPr>
          <w:rFonts w:ascii="Times New Roman" w:hAnsi="Times New Roman"/>
        </w:rPr>
      </w:pPr>
    </w:p>
    <w:sectPr w:rsidR="00992E08" w:rsidRPr="0032757F" w:rsidSect="00E525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5FD" w:rsidRDefault="008A15FD" w:rsidP="00513FFF">
      <w:r>
        <w:separator/>
      </w:r>
    </w:p>
  </w:endnote>
  <w:endnote w:type="continuationSeparator" w:id="0">
    <w:p w:rsidR="008A15FD" w:rsidRDefault="008A15FD" w:rsidP="00513FFF">
      <w:r>
        <w:continuationSeparator/>
      </w:r>
    </w:p>
  </w:endnote>
  <w:endnote w:type="continuationNotice" w:id="1">
    <w:p w:rsidR="008A15FD" w:rsidRDefault="008A15FD" w:rsidP="00513F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ScalaLancetPro">
    <w:panose1 w:val="00000000000000000000"/>
    <w:charset w:val="00"/>
    <w:family w:val="auto"/>
    <w:notTrueType/>
    <w:pitch w:val="default"/>
    <w:sig w:usb0="00000003" w:usb1="00000000" w:usb2="00000000" w:usb3="00000000" w:csb0="00000001" w:csb1="00000000"/>
  </w:font>
  <w:font w:name="AdvOT07517017">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vOT46dcae81">
    <w:panose1 w:val="00000000000000000000"/>
    <w:charset w:val="00"/>
    <w:family w:val="swiss"/>
    <w:notTrueType/>
    <w:pitch w:val="default"/>
    <w:sig w:usb0="00000003" w:usb1="00000000" w:usb2="00000000" w:usb3="00000000" w:csb0="00000001" w:csb1="00000000"/>
  </w:font>
  <w:font w:name="AdvOT0d9ab1db.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5FD" w:rsidRDefault="008A15FD" w:rsidP="00513FFF">
      <w:r>
        <w:separator/>
      </w:r>
    </w:p>
  </w:footnote>
  <w:footnote w:type="continuationSeparator" w:id="0">
    <w:p w:rsidR="008A15FD" w:rsidRDefault="008A15FD" w:rsidP="00513FFF">
      <w:r>
        <w:continuationSeparator/>
      </w:r>
    </w:p>
  </w:footnote>
  <w:footnote w:type="continuationNotice" w:id="1">
    <w:p w:rsidR="008A15FD" w:rsidRDefault="008A15FD" w:rsidP="00513FF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802D2"/>
    <w:multiLevelType w:val="hybridMultilevel"/>
    <w:tmpl w:val="B476CB44"/>
    <w:lvl w:ilvl="0" w:tplc="0809000F">
      <w:start w:val="32"/>
      <w:numFmt w:val="decimal"/>
      <w:lvlText w:val="%1."/>
      <w:lvlJc w:val="left"/>
      <w:pPr>
        <w:ind w:left="502"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70242A"/>
    <w:multiLevelType w:val="hybridMultilevel"/>
    <w:tmpl w:val="71F2B342"/>
    <w:lvl w:ilvl="0" w:tplc="1FF0815E">
      <w:start w:val="1"/>
      <w:numFmt w:val="decimal"/>
      <w:lvlText w:val="%1."/>
      <w:lvlJc w:val="left"/>
      <w:pPr>
        <w:ind w:left="720" w:hanging="360"/>
      </w:pPr>
      <w:rPr>
        <w:rFonts w:ascii="Calibri" w:hAnsi="Calibri" w:cs="Times New Roman" w:hint="default"/>
        <w:b/>
        <w:i/>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6B45C70"/>
    <w:multiLevelType w:val="hybridMultilevel"/>
    <w:tmpl w:val="71F2B342"/>
    <w:lvl w:ilvl="0" w:tplc="1FF0815E">
      <w:start w:val="1"/>
      <w:numFmt w:val="decimal"/>
      <w:lvlText w:val="%1."/>
      <w:lvlJc w:val="left"/>
      <w:pPr>
        <w:ind w:left="720" w:hanging="360"/>
      </w:pPr>
      <w:rPr>
        <w:rFonts w:ascii="Calibri" w:hAnsi="Calibri" w:cs="Times New Roman" w:hint="default"/>
        <w:b/>
        <w:i/>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C055ED9"/>
    <w:multiLevelType w:val="hybridMultilevel"/>
    <w:tmpl w:val="6728D4A4"/>
    <w:lvl w:ilvl="0" w:tplc="A4E6A326">
      <w:start w:val="1"/>
      <w:numFmt w:val="lowerRoman"/>
      <w:lvlText w:val="(%1)"/>
      <w:lvlJc w:val="left"/>
      <w:pPr>
        <w:tabs>
          <w:tab w:val="num" w:pos="1080"/>
        </w:tabs>
        <w:ind w:left="1080" w:hanging="720"/>
      </w:pPr>
      <w:rPr>
        <w:rFonts w:cs="Times New Roman" w:hint="default"/>
      </w:rPr>
    </w:lvl>
    <w:lvl w:ilvl="1" w:tplc="17A203C2">
      <w:start w:val="7"/>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51B455B"/>
    <w:multiLevelType w:val="hybridMultilevel"/>
    <w:tmpl w:val="A1223300"/>
    <w:lvl w:ilvl="0" w:tplc="F8FA2892">
      <w:start w:val="1"/>
      <w:numFmt w:val="decimal"/>
      <w:lvlText w:val="%1."/>
      <w:lvlJc w:val="left"/>
      <w:pPr>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2BE35EB6"/>
    <w:multiLevelType w:val="hybridMultilevel"/>
    <w:tmpl w:val="71F2B342"/>
    <w:lvl w:ilvl="0" w:tplc="1FF0815E">
      <w:start w:val="1"/>
      <w:numFmt w:val="decimal"/>
      <w:lvlText w:val="%1."/>
      <w:lvlJc w:val="left"/>
      <w:pPr>
        <w:ind w:left="720" w:hanging="360"/>
      </w:pPr>
      <w:rPr>
        <w:rFonts w:ascii="Calibri" w:hAnsi="Calibri" w:cs="Times New Roman" w:hint="default"/>
        <w:b/>
        <w:i/>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4EC06DE1"/>
    <w:multiLevelType w:val="hybridMultilevel"/>
    <w:tmpl w:val="71F2B342"/>
    <w:lvl w:ilvl="0" w:tplc="1FF0815E">
      <w:start w:val="1"/>
      <w:numFmt w:val="decimal"/>
      <w:lvlText w:val="%1."/>
      <w:lvlJc w:val="left"/>
      <w:pPr>
        <w:ind w:left="644" w:hanging="360"/>
      </w:pPr>
      <w:rPr>
        <w:rFonts w:ascii="Calibri" w:hAnsi="Calibri" w:cs="Times New Roman" w:hint="default"/>
        <w:b/>
        <w:i/>
        <w:sz w:val="24"/>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7" w15:restartNumberingAfterBreak="0">
    <w:nsid w:val="50686869"/>
    <w:multiLevelType w:val="hybridMultilevel"/>
    <w:tmpl w:val="71F2B342"/>
    <w:lvl w:ilvl="0" w:tplc="1FF0815E">
      <w:start w:val="1"/>
      <w:numFmt w:val="decimal"/>
      <w:lvlText w:val="%1."/>
      <w:lvlJc w:val="left"/>
      <w:pPr>
        <w:ind w:left="720" w:hanging="360"/>
      </w:pPr>
      <w:rPr>
        <w:rFonts w:ascii="Calibri" w:hAnsi="Calibri" w:cs="Times New Roman" w:hint="default"/>
        <w:b/>
        <w:i/>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1CA7C73"/>
    <w:multiLevelType w:val="hybridMultilevel"/>
    <w:tmpl w:val="88548A0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61A67AA6"/>
    <w:multiLevelType w:val="hybridMultilevel"/>
    <w:tmpl w:val="0898313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64670718"/>
    <w:multiLevelType w:val="hybridMultilevel"/>
    <w:tmpl w:val="EC1A6A1A"/>
    <w:lvl w:ilvl="0" w:tplc="F8FA289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73EA1D18"/>
    <w:multiLevelType w:val="hybridMultilevel"/>
    <w:tmpl w:val="E598BB98"/>
    <w:lvl w:ilvl="0" w:tplc="F8FA2892">
      <w:start w:val="1"/>
      <w:numFmt w:val="decimal"/>
      <w:lvlText w:val="%1."/>
      <w:lvlJc w:val="left"/>
      <w:pPr>
        <w:tabs>
          <w:tab w:val="num" w:pos="786"/>
        </w:tabs>
        <w:ind w:left="786" w:hanging="360"/>
      </w:pPr>
      <w:rPr>
        <w:rFonts w:cs="Times New Roman"/>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F135D55"/>
    <w:multiLevelType w:val="hybridMultilevel"/>
    <w:tmpl w:val="EC1A6A1A"/>
    <w:lvl w:ilvl="0" w:tplc="F8FA289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12"/>
  </w:num>
  <w:num w:numId="4">
    <w:abstractNumId w:val="9"/>
  </w:num>
  <w:num w:numId="5">
    <w:abstractNumId w:val="7"/>
  </w:num>
  <w:num w:numId="6">
    <w:abstractNumId w:val="4"/>
  </w:num>
  <w:num w:numId="7">
    <w:abstractNumId w:val="3"/>
  </w:num>
  <w:num w:numId="8">
    <w:abstractNumId w:val="8"/>
  </w:num>
  <w:num w:numId="9">
    <w:abstractNumId w:val="1"/>
  </w:num>
  <w:num w:numId="10">
    <w:abstractNumId w:val="5"/>
  </w:num>
  <w:num w:numId="11">
    <w:abstractNumId w:val="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3D"/>
    <w:rsid w:val="00003147"/>
    <w:rsid w:val="00010FFB"/>
    <w:rsid w:val="00013000"/>
    <w:rsid w:val="00017957"/>
    <w:rsid w:val="0002196B"/>
    <w:rsid w:val="00024C95"/>
    <w:rsid w:val="000416C1"/>
    <w:rsid w:val="00050B38"/>
    <w:rsid w:val="00070AD7"/>
    <w:rsid w:val="0007759B"/>
    <w:rsid w:val="00086C30"/>
    <w:rsid w:val="000A672C"/>
    <w:rsid w:val="000B505E"/>
    <w:rsid w:val="000C797A"/>
    <w:rsid w:val="001068B7"/>
    <w:rsid w:val="00110439"/>
    <w:rsid w:val="00110FEC"/>
    <w:rsid w:val="00117B03"/>
    <w:rsid w:val="00126B08"/>
    <w:rsid w:val="00127D2F"/>
    <w:rsid w:val="0014486B"/>
    <w:rsid w:val="00150807"/>
    <w:rsid w:val="00155995"/>
    <w:rsid w:val="00170FB5"/>
    <w:rsid w:val="00172811"/>
    <w:rsid w:val="00186378"/>
    <w:rsid w:val="001B5033"/>
    <w:rsid w:val="001C0556"/>
    <w:rsid w:val="001C17BA"/>
    <w:rsid w:val="001D3E06"/>
    <w:rsid w:val="001D6B21"/>
    <w:rsid w:val="001D7DEF"/>
    <w:rsid w:val="001E0E5A"/>
    <w:rsid w:val="001F02E2"/>
    <w:rsid w:val="001F112F"/>
    <w:rsid w:val="001F22CE"/>
    <w:rsid w:val="00210987"/>
    <w:rsid w:val="00227B2F"/>
    <w:rsid w:val="00240CB3"/>
    <w:rsid w:val="00243F23"/>
    <w:rsid w:val="002739A5"/>
    <w:rsid w:val="00275FB7"/>
    <w:rsid w:val="00282E50"/>
    <w:rsid w:val="00284A17"/>
    <w:rsid w:val="002D0D58"/>
    <w:rsid w:val="002D5024"/>
    <w:rsid w:val="00300C8F"/>
    <w:rsid w:val="00304920"/>
    <w:rsid w:val="003224B0"/>
    <w:rsid w:val="0032757F"/>
    <w:rsid w:val="00330067"/>
    <w:rsid w:val="00344918"/>
    <w:rsid w:val="003453D4"/>
    <w:rsid w:val="00351E41"/>
    <w:rsid w:val="003624FB"/>
    <w:rsid w:val="00370096"/>
    <w:rsid w:val="00381927"/>
    <w:rsid w:val="00383124"/>
    <w:rsid w:val="00395D54"/>
    <w:rsid w:val="00396096"/>
    <w:rsid w:val="003A6919"/>
    <w:rsid w:val="003B5073"/>
    <w:rsid w:val="003C3844"/>
    <w:rsid w:val="003C65BE"/>
    <w:rsid w:val="003D72CF"/>
    <w:rsid w:val="00400AE8"/>
    <w:rsid w:val="00404DF6"/>
    <w:rsid w:val="00420F55"/>
    <w:rsid w:val="0042694D"/>
    <w:rsid w:val="004338DB"/>
    <w:rsid w:val="004405D2"/>
    <w:rsid w:val="00445B34"/>
    <w:rsid w:val="00463E46"/>
    <w:rsid w:val="004A7F21"/>
    <w:rsid w:val="004B6F30"/>
    <w:rsid w:val="004C247A"/>
    <w:rsid w:val="004D1BAD"/>
    <w:rsid w:val="004D3465"/>
    <w:rsid w:val="004D3B1C"/>
    <w:rsid w:val="004D6480"/>
    <w:rsid w:val="005021F1"/>
    <w:rsid w:val="00502F84"/>
    <w:rsid w:val="00513FFF"/>
    <w:rsid w:val="00536A99"/>
    <w:rsid w:val="00547419"/>
    <w:rsid w:val="005A378A"/>
    <w:rsid w:val="005A47E4"/>
    <w:rsid w:val="005A788A"/>
    <w:rsid w:val="005B6091"/>
    <w:rsid w:val="005D66ED"/>
    <w:rsid w:val="005F0EAC"/>
    <w:rsid w:val="005F76A1"/>
    <w:rsid w:val="006040D2"/>
    <w:rsid w:val="0061143D"/>
    <w:rsid w:val="00621880"/>
    <w:rsid w:val="00636E2B"/>
    <w:rsid w:val="00650FFC"/>
    <w:rsid w:val="00651D71"/>
    <w:rsid w:val="00673C64"/>
    <w:rsid w:val="00686CB1"/>
    <w:rsid w:val="00697499"/>
    <w:rsid w:val="006B16F1"/>
    <w:rsid w:val="006B741E"/>
    <w:rsid w:val="006B7C3F"/>
    <w:rsid w:val="006C7849"/>
    <w:rsid w:val="006D39D3"/>
    <w:rsid w:val="006D7E72"/>
    <w:rsid w:val="006E711B"/>
    <w:rsid w:val="006F2959"/>
    <w:rsid w:val="007024EC"/>
    <w:rsid w:val="007031EF"/>
    <w:rsid w:val="007347C1"/>
    <w:rsid w:val="007534C2"/>
    <w:rsid w:val="00763862"/>
    <w:rsid w:val="00767D6B"/>
    <w:rsid w:val="00771334"/>
    <w:rsid w:val="00772D08"/>
    <w:rsid w:val="00780227"/>
    <w:rsid w:val="00781C2D"/>
    <w:rsid w:val="00782C90"/>
    <w:rsid w:val="00785396"/>
    <w:rsid w:val="00795B3C"/>
    <w:rsid w:val="00797002"/>
    <w:rsid w:val="007974B3"/>
    <w:rsid w:val="007C3A3E"/>
    <w:rsid w:val="007E05E9"/>
    <w:rsid w:val="007E1912"/>
    <w:rsid w:val="007E6E4D"/>
    <w:rsid w:val="00812CD2"/>
    <w:rsid w:val="00824903"/>
    <w:rsid w:val="008249A0"/>
    <w:rsid w:val="008368A0"/>
    <w:rsid w:val="0084053C"/>
    <w:rsid w:val="00863BD1"/>
    <w:rsid w:val="0086698C"/>
    <w:rsid w:val="00884DF4"/>
    <w:rsid w:val="00891864"/>
    <w:rsid w:val="0089268E"/>
    <w:rsid w:val="008A15FD"/>
    <w:rsid w:val="008A4606"/>
    <w:rsid w:val="008A4BD9"/>
    <w:rsid w:val="008A76AA"/>
    <w:rsid w:val="008B6CE0"/>
    <w:rsid w:val="008C3A3D"/>
    <w:rsid w:val="008C3B82"/>
    <w:rsid w:val="008C73E4"/>
    <w:rsid w:val="008D313B"/>
    <w:rsid w:val="008D4BF2"/>
    <w:rsid w:val="008D4DF6"/>
    <w:rsid w:val="008E09B8"/>
    <w:rsid w:val="008F2D74"/>
    <w:rsid w:val="00907F2D"/>
    <w:rsid w:val="00915E9D"/>
    <w:rsid w:val="0092100F"/>
    <w:rsid w:val="0092160E"/>
    <w:rsid w:val="00925802"/>
    <w:rsid w:val="00927D09"/>
    <w:rsid w:val="00985C05"/>
    <w:rsid w:val="00992E08"/>
    <w:rsid w:val="009B062E"/>
    <w:rsid w:val="009D08B0"/>
    <w:rsid w:val="009E4ED2"/>
    <w:rsid w:val="009F3005"/>
    <w:rsid w:val="00A478B2"/>
    <w:rsid w:val="00A55D4F"/>
    <w:rsid w:val="00A63F0F"/>
    <w:rsid w:val="00A722FA"/>
    <w:rsid w:val="00A7248F"/>
    <w:rsid w:val="00A96522"/>
    <w:rsid w:val="00A97A68"/>
    <w:rsid w:val="00AA5202"/>
    <w:rsid w:val="00AA60D4"/>
    <w:rsid w:val="00AA6AFB"/>
    <w:rsid w:val="00AE2D3A"/>
    <w:rsid w:val="00AF2A53"/>
    <w:rsid w:val="00B00AD9"/>
    <w:rsid w:val="00B10BFF"/>
    <w:rsid w:val="00B3063A"/>
    <w:rsid w:val="00B5233C"/>
    <w:rsid w:val="00B556E4"/>
    <w:rsid w:val="00B71A45"/>
    <w:rsid w:val="00B87DF0"/>
    <w:rsid w:val="00B903C5"/>
    <w:rsid w:val="00BA0410"/>
    <w:rsid w:val="00BA406B"/>
    <w:rsid w:val="00BB39D3"/>
    <w:rsid w:val="00BC2C30"/>
    <w:rsid w:val="00BF0B88"/>
    <w:rsid w:val="00BF4646"/>
    <w:rsid w:val="00BF4941"/>
    <w:rsid w:val="00C05A5B"/>
    <w:rsid w:val="00C124DF"/>
    <w:rsid w:val="00C1559E"/>
    <w:rsid w:val="00C32F34"/>
    <w:rsid w:val="00C40CE0"/>
    <w:rsid w:val="00C55FAF"/>
    <w:rsid w:val="00C72D3E"/>
    <w:rsid w:val="00C74F9A"/>
    <w:rsid w:val="00C75393"/>
    <w:rsid w:val="00C8309A"/>
    <w:rsid w:val="00C8452D"/>
    <w:rsid w:val="00C91B23"/>
    <w:rsid w:val="00CC0AEC"/>
    <w:rsid w:val="00CD20C9"/>
    <w:rsid w:val="00CE19C7"/>
    <w:rsid w:val="00D32C9E"/>
    <w:rsid w:val="00D338A7"/>
    <w:rsid w:val="00D34A5A"/>
    <w:rsid w:val="00D67DC5"/>
    <w:rsid w:val="00D71C3E"/>
    <w:rsid w:val="00D746DC"/>
    <w:rsid w:val="00D82AC7"/>
    <w:rsid w:val="00D979B4"/>
    <w:rsid w:val="00DC0EF7"/>
    <w:rsid w:val="00DC2189"/>
    <w:rsid w:val="00DE40D6"/>
    <w:rsid w:val="00DE64AE"/>
    <w:rsid w:val="00DF28EB"/>
    <w:rsid w:val="00DF5460"/>
    <w:rsid w:val="00E220C5"/>
    <w:rsid w:val="00E23B58"/>
    <w:rsid w:val="00E33C09"/>
    <w:rsid w:val="00E45800"/>
    <w:rsid w:val="00E51069"/>
    <w:rsid w:val="00E5251F"/>
    <w:rsid w:val="00E62CB1"/>
    <w:rsid w:val="00E724C5"/>
    <w:rsid w:val="00E7477A"/>
    <w:rsid w:val="00E764AB"/>
    <w:rsid w:val="00E76F51"/>
    <w:rsid w:val="00E8159F"/>
    <w:rsid w:val="00EB3F8F"/>
    <w:rsid w:val="00EF4AEE"/>
    <w:rsid w:val="00EF5739"/>
    <w:rsid w:val="00F0200E"/>
    <w:rsid w:val="00F0776A"/>
    <w:rsid w:val="00F12D50"/>
    <w:rsid w:val="00F15312"/>
    <w:rsid w:val="00F23FA4"/>
    <w:rsid w:val="00F24C52"/>
    <w:rsid w:val="00F35F72"/>
    <w:rsid w:val="00F7005A"/>
    <w:rsid w:val="00F8453F"/>
    <w:rsid w:val="00F95592"/>
    <w:rsid w:val="00FA4F1C"/>
    <w:rsid w:val="00FF0417"/>
    <w:rsid w:val="00FF6257"/>
    <w:rsid w:val="00FF6B3D"/>
    <w:rsid w:val="00FF7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C61D817-113F-437C-A5B4-99FD6ECE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D74"/>
    <w:rPr>
      <w:sz w:val="24"/>
      <w:szCs w:val="24"/>
    </w:rPr>
  </w:style>
  <w:style w:type="paragraph" w:styleId="Heading1">
    <w:name w:val="heading 1"/>
    <w:basedOn w:val="Normal"/>
    <w:link w:val="Heading1Char"/>
    <w:uiPriority w:val="99"/>
    <w:qFormat/>
    <w:rsid w:val="00513FFF"/>
    <w:pPr>
      <w:spacing w:before="240" w:after="120"/>
      <w:outlineLvl w:val="0"/>
    </w:pPr>
    <w:rPr>
      <w:rFonts w:eastAsia="Times New Roman"/>
      <w:b/>
      <w:bCs/>
      <w:color w:val="000000"/>
      <w:kern w:val="3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3FFF"/>
    <w:rPr>
      <w:rFonts w:ascii="Times New Roman" w:hAnsi="Times New Roman" w:cs="Times New Roman"/>
      <w:b/>
      <w:bCs/>
      <w:color w:val="000000"/>
      <w:kern w:val="36"/>
      <w:sz w:val="33"/>
      <w:szCs w:val="33"/>
      <w:lang w:eastAsia="en-GB"/>
    </w:rPr>
  </w:style>
  <w:style w:type="paragraph" w:styleId="Header">
    <w:name w:val="header"/>
    <w:basedOn w:val="Normal"/>
    <w:link w:val="HeaderChar"/>
    <w:uiPriority w:val="99"/>
    <w:rsid w:val="00513FFF"/>
    <w:pPr>
      <w:tabs>
        <w:tab w:val="center" w:pos="4513"/>
        <w:tab w:val="right" w:pos="9026"/>
      </w:tabs>
    </w:pPr>
    <w:rPr>
      <w:sz w:val="22"/>
      <w:szCs w:val="22"/>
      <w:lang w:eastAsia="en-US"/>
    </w:rPr>
  </w:style>
  <w:style w:type="character" w:customStyle="1" w:styleId="HeaderChar">
    <w:name w:val="Header Char"/>
    <w:basedOn w:val="DefaultParagraphFont"/>
    <w:link w:val="Header"/>
    <w:uiPriority w:val="99"/>
    <w:locked/>
    <w:rsid w:val="00513FFF"/>
    <w:rPr>
      <w:rFonts w:cs="Times New Roman"/>
    </w:rPr>
  </w:style>
  <w:style w:type="paragraph" w:styleId="Footer">
    <w:name w:val="footer"/>
    <w:basedOn w:val="Normal"/>
    <w:link w:val="FooterChar"/>
    <w:uiPriority w:val="99"/>
    <w:rsid w:val="00513FFF"/>
    <w:pPr>
      <w:tabs>
        <w:tab w:val="center" w:pos="4513"/>
        <w:tab w:val="right" w:pos="9026"/>
      </w:tabs>
    </w:pPr>
    <w:rPr>
      <w:sz w:val="22"/>
      <w:szCs w:val="22"/>
      <w:lang w:eastAsia="en-US"/>
    </w:rPr>
  </w:style>
  <w:style w:type="character" w:customStyle="1" w:styleId="FooterChar">
    <w:name w:val="Footer Char"/>
    <w:basedOn w:val="DefaultParagraphFont"/>
    <w:link w:val="Footer"/>
    <w:uiPriority w:val="99"/>
    <w:locked/>
    <w:rsid w:val="00513FFF"/>
    <w:rPr>
      <w:rFonts w:cs="Times New Roman"/>
    </w:rPr>
  </w:style>
  <w:style w:type="paragraph" w:styleId="ListParagraph">
    <w:name w:val="List Paragraph"/>
    <w:basedOn w:val="Normal"/>
    <w:uiPriority w:val="34"/>
    <w:qFormat/>
    <w:rsid w:val="00513FFF"/>
    <w:pPr>
      <w:spacing w:after="200" w:line="276" w:lineRule="auto"/>
      <w:ind w:left="720"/>
      <w:contextualSpacing/>
    </w:pPr>
    <w:rPr>
      <w:sz w:val="22"/>
      <w:szCs w:val="22"/>
      <w:lang w:eastAsia="en-US"/>
    </w:rPr>
  </w:style>
  <w:style w:type="paragraph" w:customStyle="1" w:styleId="desc2">
    <w:name w:val="desc2"/>
    <w:basedOn w:val="Normal"/>
    <w:uiPriority w:val="99"/>
    <w:rsid w:val="00513FFF"/>
    <w:rPr>
      <w:rFonts w:eastAsia="Times New Roman"/>
      <w:sz w:val="26"/>
      <w:szCs w:val="26"/>
    </w:rPr>
  </w:style>
  <w:style w:type="paragraph" w:customStyle="1" w:styleId="details1">
    <w:name w:val="details1"/>
    <w:basedOn w:val="Normal"/>
    <w:uiPriority w:val="99"/>
    <w:rsid w:val="00513FFF"/>
    <w:rPr>
      <w:rFonts w:eastAsia="Times New Roman"/>
      <w:sz w:val="22"/>
      <w:szCs w:val="22"/>
    </w:rPr>
  </w:style>
  <w:style w:type="character" w:customStyle="1" w:styleId="jrnl">
    <w:name w:val="jrnl"/>
    <w:basedOn w:val="DefaultParagraphFont"/>
    <w:uiPriority w:val="99"/>
    <w:rsid w:val="00513FFF"/>
    <w:rPr>
      <w:rFonts w:cs="Times New Roman"/>
    </w:rPr>
  </w:style>
  <w:style w:type="character" w:customStyle="1" w:styleId="highlight2">
    <w:name w:val="highlight2"/>
    <w:basedOn w:val="DefaultParagraphFont"/>
    <w:uiPriority w:val="99"/>
    <w:rsid w:val="00513FFF"/>
    <w:rPr>
      <w:rFonts w:cs="Times New Roman"/>
    </w:rPr>
  </w:style>
  <w:style w:type="paragraph" w:customStyle="1" w:styleId="authors1">
    <w:name w:val="authors1"/>
    <w:basedOn w:val="Normal"/>
    <w:uiPriority w:val="99"/>
    <w:rsid w:val="00513FFF"/>
    <w:pPr>
      <w:spacing w:before="72" w:line="240" w:lineRule="atLeast"/>
      <w:ind w:left="825"/>
    </w:pPr>
    <w:rPr>
      <w:rFonts w:eastAsia="Times New Roman"/>
      <w:sz w:val="22"/>
      <w:szCs w:val="22"/>
      <w:lang w:val="en-US" w:eastAsia="en-US"/>
    </w:rPr>
  </w:style>
  <w:style w:type="character" w:customStyle="1" w:styleId="journalname">
    <w:name w:val="journalname"/>
    <w:basedOn w:val="DefaultParagraphFont"/>
    <w:uiPriority w:val="99"/>
    <w:rsid w:val="00513FFF"/>
    <w:rPr>
      <w:rFonts w:cs="Times New Roman"/>
    </w:rPr>
  </w:style>
  <w:style w:type="character" w:styleId="Hyperlink">
    <w:name w:val="Hyperlink"/>
    <w:basedOn w:val="DefaultParagraphFont"/>
    <w:uiPriority w:val="99"/>
    <w:rsid w:val="00513FFF"/>
    <w:rPr>
      <w:rFonts w:cs="Times New Roman"/>
      <w:color w:val="0000FF"/>
      <w:u w:val="single"/>
    </w:rPr>
  </w:style>
  <w:style w:type="paragraph" w:styleId="Revision">
    <w:name w:val="Revision"/>
    <w:hidden/>
    <w:uiPriority w:val="99"/>
    <w:semiHidden/>
    <w:rsid w:val="00513FFF"/>
    <w:rPr>
      <w:rFonts w:ascii="Times New Roman" w:hAnsi="Times New Roman"/>
      <w:sz w:val="24"/>
      <w:szCs w:val="24"/>
    </w:rPr>
  </w:style>
  <w:style w:type="paragraph" w:styleId="BalloonText">
    <w:name w:val="Balloon Text"/>
    <w:basedOn w:val="Normal"/>
    <w:link w:val="BalloonTextChar"/>
    <w:uiPriority w:val="99"/>
    <w:semiHidden/>
    <w:rsid w:val="00513FF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13FFF"/>
    <w:rPr>
      <w:rFonts w:ascii="Segoe UI" w:hAnsi="Segoe UI" w:cs="Segoe UI"/>
      <w:sz w:val="18"/>
      <w:szCs w:val="18"/>
      <w:lang w:eastAsia="en-GB"/>
    </w:rPr>
  </w:style>
  <w:style w:type="character" w:styleId="Strong">
    <w:name w:val="Strong"/>
    <w:basedOn w:val="DefaultParagraphFont"/>
    <w:uiPriority w:val="99"/>
    <w:qFormat/>
    <w:rsid w:val="00B71A45"/>
    <w:rPr>
      <w:rFonts w:cs="Times New Roman"/>
      <w:b/>
      <w:bCs/>
    </w:rPr>
  </w:style>
  <w:style w:type="table" w:styleId="TableGrid">
    <w:name w:val="Table Grid"/>
    <w:basedOn w:val="TableNormal"/>
    <w:uiPriority w:val="99"/>
    <w:rsid w:val="00FF78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A76AA"/>
    <w:rPr>
      <w:rFonts w:cs="Times New Roman"/>
      <w:sz w:val="16"/>
      <w:szCs w:val="16"/>
    </w:rPr>
  </w:style>
  <w:style w:type="paragraph" w:styleId="CommentText">
    <w:name w:val="annotation text"/>
    <w:basedOn w:val="Normal"/>
    <w:link w:val="CommentTextChar"/>
    <w:uiPriority w:val="99"/>
    <w:semiHidden/>
    <w:rsid w:val="008A76AA"/>
    <w:rPr>
      <w:sz w:val="20"/>
      <w:szCs w:val="20"/>
    </w:rPr>
  </w:style>
  <w:style w:type="character" w:customStyle="1" w:styleId="CommentTextChar">
    <w:name w:val="Comment Text Char"/>
    <w:basedOn w:val="DefaultParagraphFont"/>
    <w:link w:val="CommentText"/>
    <w:uiPriority w:val="99"/>
    <w:semiHidden/>
    <w:locked/>
    <w:rsid w:val="008A76AA"/>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8A76AA"/>
    <w:rPr>
      <w:b/>
      <w:bCs/>
    </w:rPr>
  </w:style>
  <w:style w:type="character" w:customStyle="1" w:styleId="CommentSubjectChar">
    <w:name w:val="Comment Subject Char"/>
    <w:basedOn w:val="CommentTextChar"/>
    <w:link w:val="CommentSubject"/>
    <w:uiPriority w:val="99"/>
    <w:semiHidden/>
    <w:locked/>
    <w:rsid w:val="008A76AA"/>
    <w:rPr>
      <w:rFonts w:ascii="Times New Roman" w:hAnsi="Times New Roman" w:cs="Times New Roman"/>
      <w:b/>
      <w:bCs/>
      <w:sz w:val="20"/>
      <w:szCs w:val="20"/>
      <w:lang w:eastAsia="en-GB"/>
    </w:rPr>
  </w:style>
  <w:style w:type="character" w:customStyle="1" w:styleId="apple-converted-space">
    <w:name w:val="apple-converted-space"/>
    <w:basedOn w:val="DefaultParagraphFont"/>
    <w:uiPriority w:val="99"/>
    <w:rsid w:val="00BF4941"/>
    <w:rPr>
      <w:rFonts w:cs="Times New Roman"/>
    </w:rPr>
  </w:style>
  <w:style w:type="character" w:customStyle="1" w:styleId="highlight">
    <w:name w:val="highlight"/>
    <w:basedOn w:val="DefaultParagraphFont"/>
    <w:uiPriority w:val="99"/>
    <w:rsid w:val="00BF494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089316">
      <w:marLeft w:val="0"/>
      <w:marRight w:val="0"/>
      <w:marTop w:val="0"/>
      <w:marBottom w:val="0"/>
      <w:divBdr>
        <w:top w:val="none" w:sz="0" w:space="0" w:color="auto"/>
        <w:left w:val="none" w:sz="0" w:space="0" w:color="auto"/>
        <w:bottom w:val="none" w:sz="0" w:space="0" w:color="auto"/>
        <w:right w:val="none" w:sz="0" w:space="0" w:color="auto"/>
      </w:divBdr>
    </w:div>
    <w:div w:id="1020089329">
      <w:marLeft w:val="0"/>
      <w:marRight w:val="0"/>
      <w:marTop w:val="0"/>
      <w:marBottom w:val="0"/>
      <w:divBdr>
        <w:top w:val="none" w:sz="0" w:space="0" w:color="auto"/>
        <w:left w:val="none" w:sz="0" w:space="0" w:color="auto"/>
        <w:bottom w:val="none" w:sz="0" w:space="0" w:color="auto"/>
        <w:right w:val="none" w:sz="0" w:space="0" w:color="auto"/>
      </w:divBdr>
      <w:divsChild>
        <w:div w:id="1020089365">
          <w:marLeft w:val="0"/>
          <w:marRight w:val="1"/>
          <w:marTop w:val="0"/>
          <w:marBottom w:val="0"/>
          <w:divBdr>
            <w:top w:val="none" w:sz="0" w:space="0" w:color="auto"/>
            <w:left w:val="none" w:sz="0" w:space="0" w:color="auto"/>
            <w:bottom w:val="none" w:sz="0" w:space="0" w:color="auto"/>
            <w:right w:val="none" w:sz="0" w:space="0" w:color="auto"/>
          </w:divBdr>
          <w:divsChild>
            <w:div w:id="1020089393">
              <w:marLeft w:val="0"/>
              <w:marRight w:val="0"/>
              <w:marTop w:val="0"/>
              <w:marBottom w:val="0"/>
              <w:divBdr>
                <w:top w:val="none" w:sz="0" w:space="0" w:color="auto"/>
                <w:left w:val="none" w:sz="0" w:space="0" w:color="auto"/>
                <w:bottom w:val="none" w:sz="0" w:space="0" w:color="auto"/>
                <w:right w:val="none" w:sz="0" w:space="0" w:color="auto"/>
              </w:divBdr>
              <w:divsChild>
                <w:div w:id="1020089321">
                  <w:marLeft w:val="0"/>
                  <w:marRight w:val="1"/>
                  <w:marTop w:val="0"/>
                  <w:marBottom w:val="0"/>
                  <w:divBdr>
                    <w:top w:val="none" w:sz="0" w:space="0" w:color="auto"/>
                    <w:left w:val="none" w:sz="0" w:space="0" w:color="auto"/>
                    <w:bottom w:val="none" w:sz="0" w:space="0" w:color="auto"/>
                    <w:right w:val="none" w:sz="0" w:space="0" w:color="auto"/>
                  </w:divBdr>
                  <w:divsChild>
                    <w:div w:id="1020089341">
                      <w:marLeft w:val="0"/>
                      <w:marRight w:val="0"/>
                      <w:marTop w:val="0"/>
                      <w:marBottom w:val="0"/>
                      <w:divBdr>
                        <w:top w:val="none" w:sz="0" w:space="0" w:color="auto"/>
                        <w:left w:val="none" w:sz="0" w:space="0" w:color="auto"/>
                        <w:bottom w:val="none" w:sz="0" w:space="0" w:color="auto"/>
                        <w:right w:val="none" w:sz="0" w:space="0" w:color="auto"/>
                      </w:divBdr>
                      <w:divsChild>
                        <w:div w:id="1020089368">
                          <w:marLeft w:val="0"/>
                          <w:marRight w:val="0"/>
                          <w:marTop w:val="0"/>
                          <w:marBottom w:val="0"/>
                          <w:divBdr>
                            <w:top w:val="none" w:sz="0" w:space="0" w:color="auto"/>
                            <w:left w:val="none" w:sz="0" w:space="0" w:color="auto"/>
                            <w:bottom w:val="none" w:sz="0" w:space="0" w:color="auto"/>
                            <w:right w:val="none" w:sz="0" w:space="0" w:color="auto"/>
                          </w:divBdr>
                          <w:divsChild>
                            <w:div w:id="1020089319">
                              <w:marLeft w:val="0"/>
                              <w:marRight w:val="0"/>
                              <w:marTop w:val="120"/>
                              <w:marBottom w:val="360"/>
                              <w:divBdr>
                                <w:top w:val="none" w:sz="0" w:space="0" w:color="auto"/>
                                <w:left w:val="none" w:sz="0" w:space="0" w:color="auto"/>
                                <w:bottom w:val="none" w:sz="0" w:space="0" w:color="auto"/>
                                <w:right w:val="none" w:sz="0" w:space="0" w:color="auto"/>
                              </w:divBdr>
                              <w:divsChild>
                                <w:div w:id="1020089373">
                                  <w:marLeft w:val="420"/>
                                  <w:marRight w:val="0"/>
                                  <w:marTop w:val="0"/>
                                  <w:marBottom w:val="0"/>
                                  <w:divBdr>
                                    <w:top w:val="none" w:sz="0" w:space="0" w:color="auto"/>
                                    <w:left w:val="none" w:sz="0" w:space="0" w:color="auto"/>
                                    <w:bottom w:val="none" w:sz="0" w:space="0" w:color="auto"/>
                                    <w:right w:val="none" w:sz="0" w:space="0" w:color="auto"/>
                                  </w:divBdr>
                                  <w:divsChild>
                                    <w:div w:id="102008940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089334">
      <w:marLeft w:val="0"/>
      <w:marRight w:val="0"/>
      <w:marTop w:val="0"/>
      <w:marBottom w:val="0"/>
      <w:divBdr>
        <w:top w:val="none" w:sz="0" w:space="0" w:color="auto"/>
        <w:left w:val="none" w:sz="0" w:space="0" w:color="auto"/>
        <w:bottom w:val="none" w:sz="0" w:space="0" w:color="auto"/>
        <w:right w:val="none" w:sz="0" w:space="0" w:color="auto"/>
      </w:divBdr>
      <w:divsChild>
        <w:div w:id="1020089358">
          <w:marLeft w:val="0"/>
          <w:marRight w:val="1"/>
          <w:marTop w:val="0"/>
          <w:marBottom w:val="0"/>
          <w:divBdr>
            <w:top w:val="none" w:sz="0" w:space="0" w:color="auto"/>
            <w:left w:val="none" w:sz="0" w:space="0" w:color="auto"/>
            <w:bottom w:val="none" w:sz="0" w:space="0" w:color="auto"/>
            <w:right w:val="none" w:sz="0" w:space="0" w:color="auto"/>
          </w:divBdr>
          <w:divsChild>
            <w:div w:id="1020089389">
              <w:marLeft w:val="0"/>
              <w:marRight w:val="0"/>
              <w:marTop w:val="0"/>
              <w:marBottom w:val="0"/>
              <w:divBdr>
                <w:top w:val="none" w:sz="0" w:space="0" w:color="auto"/>
                <w:left w:val="none" w:sz="0" w:space="0" w:color="auto"/>
                <w:bottom w:val="none" w:sz="0" w:space="0" w:color="auto"/>
                <w:right w:val="none" w:sz="0" w:space="0" w:color="auto"/>
              </w:divBdr>
              <w:divsChild>
                <w:div w:id="1020089323">
                  <w:marLeft w:val="0"/>
                  <w:marRight w:val="1"/>
                  <w:marTop w:val="0"/>
                  <w:marBottom w:val="0"/>
                  <w:divBdr>
                    <w:top w:val="none" w:sz="0" w:space="0" w:color="auto"/>
                    <w:left w:val="none" w:sz="0" w:space="0" w:color="auto"/>
                    <w:bottom w:val="none" w:sz="0" w:space="0" w:color="auto"/>
                    <w:right w:val="none" w:sz="0" w:space="0" w:color="auto"/>
                  </w:divBdr>
                  <w:divsChild>
                    <w:div w:id="1020089363">
                      <w:marLeft w:val="0"/>
                      <w:marRight w:val="0"/>
                      <w:marTop w:val="0"/>
                      <w:marBottom w:val="0"/>
                      <w:divBdr>
                        <w:top w:val="none" w:sz="0" w:space="0" w:color="auto"/>
                        <w:left w:val="none" w:sz="0" w:space="0" w:color="auto"/>
                        <w:bottom w:val="none" w:sz="0" w:space="0" w:color="auto"/>
                        <w:right w:val="none" w:sz="0" w:space="0" w:color="auto"/>
                      </w:divBdr>
                      <w:divsChild>
                        <w:div w:id="1020089370">
                          <w:marLeft w:val="0"/>
                          <w:marRight w:val="0"/>
                          <w:marTop w:val="0"/>
                          <w:marBottom w:val="0"/>
                          <w:divBdr>
                            <w:top w:val="none" w:sz="0" w:space="0" w:color="auto"/>
                            <w:left w:val="none" w:sz="0" w:space="0" w:color="auto"/>
                            <w:bottom w:val="none" w:sz="0" w:space="0" w:color="auto"/>
                            <w:right w:val="none" w:sz="0" w:space="0" w:color="auto"/>
                          </w:divBdr>
                          <w:divsChild>
                            <w:div w:id="1020089313">
                              <w:marLeft w:val="0"/>
                              <w:marRight w:val="0"/>
                              <w:marTop w:val="120"/>
                              <w:marBottom w:val="360"/>
                              <w:divBdr>
                                <w:top w:val="none" w:sz="0" w:space="0" w:color="auto"/>
                                <w:left w:val="none" w:sz="0" w:space="0" w:color="auto"/>
                                <w:bottom w:val="none" w:sz="0" w:space="0" w:color="auto"/>
                                <w:right w:val="none" w:sz="0" w:space="0" w:color="auto"/>
                              </w:divBdr>
                              <w:divsChild>
                                <w:div w:id="1020089380">
                                  <w:marLeft w:val="420"/>
                                  <w:marRight w:val="0"/>
                                  <w:marTop w:val="0"/>
                                  <w:marBottom w:val="0"/>
                                  <w:divBdr>
                                    <w:top w:val="none" w:sz="0" w:space="0" w:color="auto"/>
                                    <w:left w:val="none" w:sz="0" w:space="0" w:color="auto"/>
                                    <w:bottom w:val="none" w:sz="0" w:space="0" w:color="auto"/>
                                    <w:right w:val="none" w:sz="0" w:space="0" w:color="auto"/>
                                  </w:divBdr>
                                  <w:divsChild>
                                    <w:div w:id="102008936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089335">
      <w:marLeft w:val="0"/>
      <w:marRight w:val="0"/>
      <w:marTop w:val="0"/>
      <w:marBottom w:val="0"/>
      <w:divBdr>
        <w:top w:val="none" w:sz="0" w:space="0" w:color="auto"/>
        <w:left w:val="none" w:sz="0" w:space="0" w:color="auto"/>
        <w:bottom w:val="none" w:sz="0" w:space="0" w:color="auto"/>
        <w:right w:val="none" w:sz="0" w:space="0" w:color="auto"/>
      </w:divBdr>
    </w:div>
    <w:div w:id="1020089340">
      <w:marLeft w:val="0"/>
      <w:marRight w:val="0"/>
      <w:marTop w:val="0"/>
      <w:marBottom w:val="0"/>
      <w:divBdr>
        <w:top w:val="none" w:sz="0" w:space="0" w:color="auto"/>
        <w:left w:val="none" w:sz="0" w:space="0" w:color="auto"/>
        <w:bottom w:val="none" w:sz="0" w:space="0" w:color="auto"/>
        <w:right w:val="none" w:sz="0" w:space="0" w:color="auto"/>
      </w:divBdr>
      <w:divsChild>
        <w:div w:id="1020089364">
          <w:marLeft w:val="0"/>
          <w:marRight w:val="1"/>
          <w:marTop w:val="0"/>
          <w:marBottom w:val="0"/>
          <w:divBdr>
            <w:top w:val="none" w:sz="0" w:space="0" w:color="auto"/>
            <w:left w:val="none" w:sz="0" w:space="0" w:color="auto"/>
            <w:bottom w:val="none" w:sz="0" w:space="0" w:color="auto"/>
            <w:right w:val="none" w:sz="0" w:space="0" w:color="auto"/>
          </w:divBdr>
          <w:divsChild>
            <w:div w:id="1020089401">
              <w:marLeft w:val="0"/>
              <w:marRight w:val="0"/>
              <w:marTop w:val="0"/>
              <w:marBottom w:val="0"/>
              <w:divBdr>
                <w:top w:val="none" w:sz="0" w:space="0" w:color="auto"/>
                <w:left w:val="none" w:sz="0" w:space="0" w:color="auto"/>
                <w:bottom w:val="none" w:sz="0" w:space="0" w:color="auto"/>
                <w:right w:val="none" w:sz="0" w:space="0" w:color="auto"/>
              </w:divBdr>
              <w:divsChild>
                <w:div w:id="1020089328">
                  <w:marLeft w:val="0"/>
                  <w:marRight w:val="1"/>
                  <w:marTop w:val="0"/>
                  <w:marBottom w:val="0"/>
                  <w:divBdr>
                    <w:top w:val="none" w:sz="0" w:space="0" w:color="auto"/>
                    <w:left w:val="none" w:sz="0" w:space="0" w:color="auto"/>
                    <w:bottom w:val="none" w:sz="0" w:space="0" w:color="auto"/>
                    <w:right w:val="none" w:sz="0" w:space="0" w:color="auto"/>
                  </w:divBdr>
                  <w:divsChild>
                    <w:div w:id="1020089338">
                      <w:marLeft w:val="0"/>
                      <w:marRight w:val="0"/>
                      <w:marTop w:val="0"/>
                      <w:marBottom w:val="0"/>
                      <w:divBdr>
                        <w:top w:val="none" w:sz="0" w:space="0" w:color="auto"/>
                        <w:left w:val="none" w:sz="0" w:space="0" w:color="auto"/>
                        <w:bottom w:val="none" w:sz="0" w:space="0" w:color="auto"/>
                        <w:right w:val="none" w:sz="0" w:space="0" w:color="auto"/>
                      </w:divBdr>
                      <w:divsChild>
                        <w:div w:id="1020089361">
                          <w:marLeft w:val="0"/>
                          <w:marRight w:val="0"/>
                          <w:marTop w:val="0"/>
                          <w:marBottom w:val="0"/>
                          <w:divBdr>
                            <w:top w:val="none" w:sz="0" w:space="0" w:color="auto"/>
                            <w:left w:val="none" w:sz="0" w:space="0" w:color="auto"/>
                            <w:bottom w:val="none" w:sz="0" w:space="0" w:color="auto"/>
                            <w:right w:val="none" w:sz="0" w:space="0" w:color="auto"/>
                          </w:divBdr>
                          <w:divsChild>
                            <w:div w:id="1020089311">
                              <w:marLeft w:val="0"/>
                              <w:marRight w:val="0"/>
                              <w:marTop w:val="120"/>
                              <w:marBottom w:val="360"/>
                              <w:divBdr>
                                <w:top w:val="none" w:sz="0" w:space="0" w:color="auto"/>
                                <w:left w:val="none" w:sz="0" w:space="0" w:color="auto"/>
                                <w:bottom w:val="none" w:sz="0" w:space="0" w:color="auto"/>
                                <w:right w:val="none" w:sz="0" w:space="0" w:color="auto"/>
                              </w:divBdr>
                              <w:divsChild>
                                <w:div w:id="1020089342">
                                  <w:marLeft w:val="420"/>
                                  <w:marRight w:val="0"/>
                                  <w:marTop w:val="0"/>
                                  <w:marBottom w:val="0"/>
                                  <w:divBdr>
                                    <w:top w:val="none" w:sz="0" w:space="0" w:color="auto"/>
                                    <w:left w:val="none" w:sz="0" w:space="0" w:color="auto"/>
                                    <w:bottom w:val="none" w:sz="0" w:space="0" w:color="auto"/>
                                    <w:right w:val="none" w:sz="0" w:space="0" w:color="auto"/>
                                  </w:divBdr>
                                  <w:divsChild>
                                    <w:div w:id="102008937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089343">
      <w:marLeft w:val="0"/>
      <w:marRight w:val="0"/>
      <w:marTop w:val="0"/>
      <w:marBottom w:val="0"/>
      <w:divBdr>
        <w:top w:val="none" w:sz="0" w:space="0" w:color="auto"/>
        <w:left w:val="none" w:sz="0" w:space="0" w:color="auto"/>
        <w:bottom w:val="none" w:sz="0" w:space="0" w:color="auto"/>
        <w:right w:val="none" w:sz="0" w:space="0" w:color="auto"/>
      </w:divBdr>
      <w:divsChild>
        <w:div w:id="1020089339">
          <w:marLeft w:val="0"/>
          <w:marRight w:val="1"/>
          <w:marTop w:val="0"/>
          <w:marBottom w:val="0"/>
          <w:divBdr>
            <w:top w:val="none" w:sz="0" w:space="0" w:color="auto"/>
            <w:left w:val="none" w:sz="0" w:space="0" w:color="auto"/>
            <w:bottom w:val="none" w:sz="0" w:space="0" w:color="auto"/>
            <w:right w:val="none" w:sz="0" w:space="0" w:color="auto"/>
          </w:divBdr>
          <w:divsChild>
            <w:div w:id="1020089332">
              <w:marLeft w:val="0"/>
              <w:marRight w:val="0"/>
              <w:marTop w:val="0"/>
              <w:marBottom w:val="0"/>
              <w:divBdr>
                <w:top w:val="none" w:sz="0" w:space="0" w:color="auto"/>
                <w:left w:val="none" w:sz="0" w:space="0" w:color="auto"/>
                <w:bottom w:val="none" w:sz="0" w:space="0" w:color="auto"/>
                <w:right w:val="none" w:sz="0" w:space="0" w:color="auto"/>
              </w:divBdr>
              <w:divsChild>
                <w:div w:id="1020089394">
                  <w:marLeft w:val="0"/>
                  <w:marRight w:val="1"/>
                  <w:marTop w:val="0"/>
                  <w:marBottom w:val="0"/>
                  <w:divBdr>
                    <w:top w:val="none" w:sz="0" w:space="0" w:color="auto"/>
                    <w:left w:val="none" w:sz="0" w:space="0" w:color="auto"/>
                    <w:bottom w:val="none" w:sz="0" w:space="0" w:color="auto"/>
                    <w:right w:val="none" w:sz="0" w:space="0" w:color="auto"/>
                  </w:divBdr>
                  <w:divsChild>
                    <w:div w:id="1020089336">
                      <w:marLeft w:val="0"/>
                      <w:marRight w:val="0"/>
                      <w:marTop w:val="0"/>
                      <w:marBottom w:val="0"/>
                      <w:divBdr>
                        <w:top w:val="none" w:sz="0" w:space="0" w:color="auto"/>
                        <w:left w:val="none" w:sz="0" w:space="0" w:color="auto"/>
                        <w:bottom w:val="none" w:sz="0" w:space="0" w:color="auto"/>
                        <w:right w:val="none" w:sz="0" w:space="0" w:color="auto"/>
                      </w:divBdr>
                      <w:divsChild>
                        <w:div w:id="1020089382">
                          <w:marLeft w:val="0"/>
                          <w:marRight w:val="0"/>
                          <w:marTop w:val="0"/>
                          <w:marBottom w:val="0"/>
                          <w:divBdr>
                            <w:top w:val="none" w:sz="0" w:space="0" w:color="auto"/>
                            <w:left w:val="none" w:sz="0" w:space="0" w:color="auto"/>
                            <w:bottom w:val="none" w:sz="0" w:space="0" w:color="auto"/>
                            <w:right w:val="none" w:sz="0" w:space="0" w:color="auto"/>
                          </w:divBdr>
                          <w:divsChild>
                            <w:div w:id="1020089320">
                              <w:marLeft w:val="0"/>
                              <w:marRight w:val="0"/>
                              <w:marTop w:val="120"/>
                              <w:marBottom w:val="360"/>
                              <w:divBdr>
                                <w:top w:val="none" w:sz="0" w:space="0" w:color="auto"/>
                                <w:left w:val="none" w:sz="0" w:space="0" w:color="auto"/>
                                <w:bottom w:val="none" w:sz="0" w:space="0" w:color="auto"/>
                                <w:right w:val="none" w:sz="0" w:space="0" w:color="auto"/>
                              </w:divBdr>
                              <w:divsChild>
                                <w:div w:id="1020089347">
                                  <w:marLeft w:val="380"/>
                                  <w:marRight w:val="0"/>
                                  <w:marTop w:val="0"/>
                                  <w:marBottom w:val="0"/>
                                  <w:divBdr>
                                    <w:top w:val="none" w:sz="0" w:space="0" w:color="auto"/>
                                    <w:left w:val="none" w:sz="0" w:space="0" w:color="auto"/>
                                    <w:bottom w:val="none" w:sz="0" w:space="0" w:color="auto"/>
                                    <w:right w:val="none" w:sz="0" w:space="0" w:color="auto"/>
                                  </w:divBdr>
                                  <w:divsChild>
                                    <w:div w:id="102008936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089348">
      <w:marLeft w:val="0"/>
      <w:marRight w:val="0"/>
      <w:marTop w:val="0"/>
      <w:marBottom w:val="0"/>
      <w:divBdr>
        <w:top w:val="none" w:sz="0" w:space="0" w:color="auto"/>
        <w:left w:val="none" w:sz="0" w:space="0" w:color="auto"/>
        <w:bottom w:val="none" w:sz="0" w:space="0" w:color="auto"/>
        <w:right w:val="none" w:sz="0" w:space="0" w:color="auto"/>
      </w:divBdr>
      <w:divsChild>
        <w:div w:id="1020089337">
          <w:marLeft w:val="0"/>
          <w:marRight w:val="1"/>
          <w:marTop w:val="0"/>
          <w:marBottom w:val="0"/>
          <w:divBdr>
            <w:top w:val="none" w:sz="0" w:space="0" w:color="auto"/>
            <w:left w:val="none" w:sz="0" w:space="0" w:color="auto"/>
            <w:bottom w:val="none" w:sz="0" w:space="0" w:color="auto"/>
            <w:right w:val="none" w:sz="0" w:space="0" w:color="auto"/>
          </w:divBdr>
          <w:divsChild>
            <w:div w:id="1020089360">
              <w:marLeft w:val="0"/>
              <w:marRight w:val="0"/>
              <w:marTop w:val="0"/>
              <w:marBottom w:val="0"/>
              <w:divBdr>
                <w:top w:val="none" w:sz="0" w:space="0" w:color="auto"/>
                <w:left w:val="none" w:sz="0" w:space="0" w:color="auto"/>
                <w:bottom w:val="none" w:sz="0" w:space="0" w:color="auto"/>
                <w:right w:val="none" w:sz="0" w:space="0" w:color="auto"/>
              </w:divBdr>
              <w:divsChild>
                <w:div w:id="1020089344">
                  <w:marLeft w:val="0"/>
                  <w:marRight w:val="1"/>
                  <w:marTop w:val="0"/>
                  <w:marBottom w:val="0"/>
                  <w:divBdr>
                    <w:top w:val="none" w:sz="0" w:space="0" w:color="auto"/>
                    <w:left w:val="none" w:sz="0" w:space="0" w:color="auto"/>
                    <w:bottom w:val="none" w:sz="0" w:space="0" w:color="auto"/>
                    <w:right w:val="none" w:sz="0" w:space="0" w:color="auto"/>
                  </w:divBdr>
                  <w:divsChild>
                    <w:div w:id="1020089357">
                      <w:marLeft w:val="0"/>
                      <w:marRight w:val="0"/>
                      <w:marTop w:val="0"/>
                      <w:marBottom w:val="0"/>
                      <w:divBdr>
                        <w:top w:val="none" w:sz="0" w:space="0" w:color="auto"/>
                        <w:left w:val="none" w:sz="0" w:space="0" w:color="auto"/>
                        <w:bottom w:val="none" w:sz="0" w:space="0" w:color="auto"/>
                        <w:right w:val="none" w:sz="0" w:space="0" w:color="auto"/>
                      </w:divBdr>
                      <w:divsChild>
                        <w:div w:id="1020089314">
                          <w:marLeft w:val="0"/>
                          <w:marRight w:val="0"/>
                          <w:marTop w:val="0"/>
                          <w:marBottom w:val="0"/>
                          <w:divBdr>
                            <w:top w:val="none" w:sz="0" w:space="0" w:color="auto"/>
                            <w:left w:val="none" w:sz="0" w:space="0" w:color="auto"/>
                            <w:bottom w:val="none" w:sz="0" w:space="0" w:color="auto"/>
                            <w:right w:val="none" w:sz="0" w:space="0" w:color="auto"/>
                          </w:divBdr>
                          <w:divsChild>
                            <w:div w:id="1020089349">
                              <w:marLeft w:val="0"/>
                              <w:marRight w:val="0"/>
                              <w:marTop w:val="120"/>
                              <w:marBottom w:val="360"/>
                              <w:divBdr>
                                <w:top w:val="none" w:sz="0" w:space="0" w:color="auto"/>
                                <w:left w:val="none" w:sz="0" w:space="0" w:color="auto"/>
                                <w:bottom w:val="none" w:sz="0" w:space="0" w:color="auto"/>
                                <w:right w:val="none" w:sz="0" w:space="0" w:color="auto"/>
                              </w:divBdr>
                              <w:divsChild>
                                <w:div w:id="1020089399">
                                  <w:marLeft w:val="420"/>
                                  <w:marRight w:val="0"/>
                                  <w:marTop w:val="0"/>
                                  <w:marBottom w:val="0"/>
                                  <w:divBdr>
                                    <w:top w:val="none" w:sz="0" w:space="0" w:color="auto"/>
                                    <w:left w:val="none" w:sz="0" w:space="0" w:color="auto"/>
                                    <w:bottom w:val="none" w:sz="0" w:space="0" w:color="auto"/>
                                    <w:right w:val="none" w:sz="0" w:space="0" w:color="auto"/>
                                  </w:divBdr>
                                  <w:divsChild>
                                    <w:div w:id="102008937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089353">
      <w:marLeft w:val="0"/>
      <w:marRight w:val="0"/>
      <w:marTop w:val="0"/>
      <w:marBottom w:val="0"/>
      <w:divBdr>
        <w:top w:val="none" w:sz="0" w:space="0" w:color="auto"/>
        <w:left w:val="none" w:sz="0" w:space="0" w:color="auto"/>
        <w:bottom w:val="none" w:sz="0" w:space="0" w:color="auto"/>
        <w:right w:val="none" w:sz="0" w:space="0" w:color="auto"/>
      </w:divBdr>
    </w:div>
    <w:div w:id="1020089359">
      <w:marLeft w:val="0"/>
      <w:marRight w:val="0"/>
      <w:marTop w:val="0"/>
      <w:marBottom w:val="0"/>
      <w:divBdr>
        <w:top w:val="none" w:sz="0" w:space="0" w:color="auto"/>
        <w:left w:val="none" w:sz="0" w:space="0" w:color="auto"/>
        <w:bottom w:val="none" w:sz="0" w:space="0" w:color="auto"/>
        <w:right w:val="none" w:sz="0" w:space="0" w:color="auto"/>
      </w:divBdr>
      <w:divsChild>
        <w:div w:id="1020089385">
          <w:marLeft w:val="0"/>
          <w:marRight w:val="1"/>
          <w:marTop w:val="0"/>
          <w:marBottom w:val="0"/>
          <w:divBdr>
            <w:top w:val="none" w:sz="0" w:space="0" w:color="auto"/>
            <w:left w:val="none" w:sz="0" w:space="0" w:color="auto"/>
            <w:bottom w:val="none" w:sz="0" w:space="0" w:color="auto"/>
            <w:right w:val="none" w:sz="0" w:space="0" w:color="auto"/>
          </w:divBdr>
          <w:divsChild>
            <w:div w:id="1020089327">
              <w:marLeft w:val="0"/>
              <w:marRight w:val="0"/>
              <w:marTop w:val="0"/>
              <w:marBottom w:val="0"/>
              <w:divBdr>
                <w:top w:val="none" w:sz="0" w:space="0" w:color="auto"/>
                <w:left w:val="none" w:sz="0" w:space="0" w:color="auto"/>
                <w:bottom w:val="none" w:sz="0" w:space="0" w:color="auto"/>
                <w:right w:val="none" w:sz="0" w:space="0" w:color="auto"/>
              </w:divBdr>
              <w:divsChild>
                <w:div w:id="1020089391">
                  <w:marLeft w:val="0"/>
                  <w:marRight w:val="1"/>
                  <w:marTop w:val="0"/>
                  <w:marBottom w:val="0"/>
                  <w:divBdr>
                    <w:top w:val="none" w:sz="0" w:space="0" w:color="auto"/>
                    <w:left w:val="none" w:sz="0" w:space="0" w:color="auto"/>
                    <w:bottom w:val="none" w:sz="0" w:space="0" w:color="auto"/>
                    <w:right w:val="none" w:sz="0" w:space="0" w:color="auto"/>
                  </w:divBdr>
                  <w:divsChild>
                    <w:div w:id="1020089376">
                      <w:marLeft w:val="0"/>
                      <w:marRight w:val="0"/>
                      <w:marTop w:val="0"/>
                      <w:marBottom w:val="0"/>
                      <w:divBdr>
                        <w:top w:val="none" w:sz="0" w:space="0" w:color="auto"/>
                        <w:left w:val="none" w:sz="0" w:space="0" w:color="auto"/>
                        <w:bottom w:val="none" w:sz="0" w:space="0" w:color="auto"/>
                        <w:right w:val="none" w:sz="0" w:space="0" w:color="auto"/>
                      </w:divBdr>
                      <w:divsChild>
                        <w:div w:id="1020089402">
                          <w:marLeft w:val="0"/>
                          <w:marRight w:val="0"/>
                          <w:marTop w:val="0"/>
                          <w:marBottom w:val="0"/>
                          <w:divBdr>
                            <w:top w:val="none" w:sz="0" w:space="0" w:color="auto"/>
                            <w:left w:val="none" w:sz="0" w:space="0" w:color="auto"/>
                            <w:bottom w:val="none" w:sz="0" w:space="0" w:color="auto"/>
                            <w:right w:val="none" w:sz="0" w:space="0" w:color="auto"/>
                          </w:divBdr>
                          <w:divsChild>
                            <w:div w:id="1020089397">
                              <w:marLeft w:val="0"/>
                              <w:marRight w:val="0"/>
                              <w:marTop w:val="120"/>
                              <w:marBottom w:val="360"/>
                              <w:divBdr>
                                <w:top w:val="none" w:sz="0" w:space="0" w:color="auto"/>
                                <w:left w:val="none" w:sz="0" w:space="0" w:color="auto"/>
                                <w:bottom w:val="none" w:sz="0" w:space="0" w:color="auto"/>
                                <w:right w:val="none" w:sz="0" w:space="0" w:color="auto"/>
                              </w:divBdr>
                              <w:divsChild>
                                <w:div w:id="1020089404">
                                  <w:marLeft w:val="420"/>
                                  <w:marRight w:val="0"/>
                                  <w:marTop w:val="0"/>
                                  <w:marBottom w:val="0"/>
                                  <w:divBdr>
                                    <w:top w:val="none" w:sz="0" w:space="0" w:color="auto"/>
                                    <w:left w:val="none" w:sz="0" w:space="0" w:color="auto"/>
                                    <w:bottom w:val="none" w:sz="0" w:space="0" w:color="auto"/>
                                    <w:right w:val="none" w:sz="0" w:space="0" w:color="auto"/>
                                  </w:divBdr>
                                  <w:divsChild>
                                    <w:div w:id="102008936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089366">
      <w:marLeft w:val="0"/>
      <w:marRight w:val="0"/>
      <w:marTop w:val="0"/>
      <w:marBottom w:val="0"/>
      <w:divBdr>
        <w:top w:val="none" w:sz="0" w:space="0" w:color="auto"/>
        <w:left w:val="none" w:sz="0" w:space="0" w:color="auto"/>
        <w:bottom w:val="none" w:sz="0" w:space="0" w:color="auto"/>
        <w:right w:val="none" w:sz="0" w:space="0" w:color="auto"/>
      </w:divBdr>
      <w:divsChild>
        <w:div w:id="1020089345">
          <w:marLeft w:val="0"/>
          <w:marRight w:val="1"/>
          <w:marTop w:val="0"/>
          <w:marBottom w:val="0"/>
          <w:divBdr>
            <w:top w:val="none" w:sz="0" w:space="0" w:color="auto"/>
            <w:left w:val="none" w:sz="0" w:space="0" w:color="auto"/>
            <w:bottom w:val="none" w:sz="0" w:space="0" w:color="auto"/>
            <w:right w:val="none" w:sz="0" w:space="0" w:color="auto"/>
          </w:divBdr>
          <w:divsChild>
            <w:div w:id="1020089315">
              <w:marLeft w:val="0"/>
              <w:marRight w:val="0"/>
              <w:marTop w:val="0"/>
              <w:marBottom w:val="0"/>
              <w:divBdr>
                <w:top w:val="none" w:sz="0" w:space="0" w:color="auto"/>
                <w:left w:val="none" w:sz="0" w:space="0" w:color="auto"/>
                <w:bottom w:val="none" w:sz="0" w:space="0" w:color="auto"/>
                <w:right w:val="none" w:sz="0" w:space="0" w:color="auto"/>
              </w:divBdr>
              <w:divsChild>
                <w:div w:id="1020089406">
                  <w:marLeft w:val="0"/>
                  <w:marRight w:val="1"/>
                  <w:marTop w:val="0"/>
                  <w:marBottom w:val="0"/>
                  <w:divBdr>
                    <w:top w:val="none" w:sz="0" w:space="0" w:color="auto"/>
                    <w:left w:val="none" w:sz="0" w:space="0" w:color="auto"/>
                    <w:bottom w:val="none" w:sz="0" w:space="0" w:color="auto"/>
                    <w:right w:val="none" w:sz="0" w:space="0" w:color="auto"/>
                  </w:divBdr>
                  <w:divsChild>
                    <w:div w:id="1020089407">
                      <w:marLeft w:val="0"/>
                      <w:marRight w:val="0"/>
                      <w:marTop w:val="0"/>
                      <w:marBottom w:val="0"/>
                      <w:divBdr>
                        <w:top w:val="none" w:sz="0" w:space="0" w:color="auto"/>
                        <w:left w:val="none" w:sz="0" w:space="0" w:color="auto"/>
                        <w:bottom w:val="none" w:sz="0" w:space="0" w:color="auto"/>
                        <w:right w:val="none" w:sz="0" w:space="0" w:color="auto"/>
                      </w:divBdr>
                      <w:divsChild>
                        <w:div w:id="1020089381">
                          <w:marLeft w:val="0"/>
                          <w:marRight w:val="0"/>
                          <w:marTop w:val="0"/>
                          <w:marBottom w:val="0"/>
                          <w:divBdr>
                            <w:top w:val="none" w:sz="0" w:space="0" w:color="auto"/>
                            <w:left w:val="none" w:sz="0" w:space="0" w:color="auto"/>
                            <w:bottom w:val="none" w:sz="0" w:space="0" w:color="auto"/>
                            <w:right w:val="none" w:sz="0" w:space="0" w:color="auto"/>
                          </w:divBdr>
                          <w:divsChild>
                            <w:div w:id="1020089331">
                              <w:marLeft w:val="0"/>
                              <w:marRight w:val="0"/>
                              <w:marTop w:val="120"/>
                              <w:marBottom w:val="360"/>
                              <w:divBdr>
                                <w:top w:val="none" w:sz="0" w:space="0" w:color="auto"/>
                                <w:left w:val="none" w:sz="0" w:space="0" w:color="auto"/>
                                <w:bottom w:val="none" w:sz="0" w:space="0" w:color="auto"/>
                                <w:right w:val="none" w:sz="0" w:space="0" w:color="auto"/>
                              </w:divBdr>
                              <w:divsChild>
                                <w:div w:id="1020089388">
                                  <w:marLeft w:val="420"/>
                                  <w:marRight w:val="0"/>
                                  <w:marTop w:val="0"/>
                                  <w:marBottom w:val="0"/>
                                  <w:divBdr>
                                    <w:top w:val="none" w:sz="0" w:space="0" w:color="auto"/>
                                    <w:left w:val="none" w:sz="0" w:space="0" w:color="auto"/>
                                    <w:bottom w:val="none" w:sz="0" w:space="0" w:color="auto"/>
                                    <w:right w:val="none" w:sz="0" w:space="0" w:color="auto"/>
                                  </w:divBdr>
                                  <w:divsChild>
                                    <w:div w:id="102008935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089372">
      <w:marLeft w:val="0"/>
      <w:marRight w:val="0"/>
      <w:marTop w:val="0"/>
      <w:marBottom w:val="0"/>
      <w:divBdr>
        <w:top w:val="none" w:sz="0" w:space="0" w:color="auto"/>
        <w:left w:val="none" w:sz="0" w:space="0" w:color="auto"/>
        <w:bottom w:val="none" w:sz="0" w:space="0" w:color="auto"/>
        <w:right w:val="none" w:sz="0" w:space="0" w:color="auto"/>
      </w:divBdr>
      <w:divsChild>
        <w:div w:id="1020089308">
          <w:marLeft w:val="0"/>
          <w:marRight w:val="1"/>
          <w:marTop w:val="0"/>
          <w:marBottom w:val="0"/>
          <w:divBdr>
            <w:top w:val="none" w:sz="0" w:space="0" w:color="auto"/>
            <w:left w:val="none" w:sz="0" w:space="0" w:color="auto"/>
            <w:bottom w:val="none" w:sz="0" w:space="0" w:color="auto"/>
            <w:right w:val="none" w:sz="0" w:space="0" w:color="auto"/>
          </w:divBdr>
          <w:divsChild>
            <w:div w:id="1020089386">
              <w:marLeft w:val="0"/>
              <w:marRight w:val="0"/>
              <w:marTop w:val="0"/>
              <w:marBottom w:val="0"/>
              <w:divBdr>
                <w:top w:val="none" w:sz="0" w:space="0" w:color="auto"/>
                <w:left w:val="none" w:sz="0" w:space="0" w:color="auto"/>
                <w:bottom w:val="none" w:sz="0" w:space="0" w:color="auto"/>
                <w:right w:val="none" w:sz="0" w:space="0" w:color="auto"/>
              </w:divBdr>
              <w:divsChild>
                <w:div w:id="1020089317">
                  <w:marLeft w:val="0"/>
                  <w:marRight w:val="1"/>
                  <w:marTop w:val="0"/>
                  <w:marBottom w:val="0"/>
                  <w:divBdr>
                    <w:top w:val="none" w:sz="0" w:space="0" w:color="auto"/>
                    <w:left w:val="none" w:sz="0" w:space="0" w:color="auto"/>
                    <w:bottom w:val="none" w:sz="0" w:space="0" w:color="auto"/>
                    <w:right w:val="none" w:sz="0" w:space="0" w:color="auto"/>
                  </w:divBdr>
                  <w:divsChild>
                    <w:div w:id="1020089371">
                      <w:marLeft w:val="0"/>
                      <w:marRight w:val="0"/>
                      <w:marTop w:val="0"/>
                      <w:marBottom w:val="0"/>
                      <w:divBdr>
                        <w:top w:val="none" w:sz="0" w:space="0" w:color="auto"/>
                        <w:left w:val="none" w:sz="0" w:space="0" w:color="auto"/>
                        <w:bottom w:val="none" w:sz="0" w:space="0" w:color="auto"/>
                        <w:right w:val="none" w:sz="0" w:space="0" w:color="auto"/>
                      </w:divBdr>
                      <w:divsChild>
                        <w:div w:id="1020089375">
                          <w:marLeft w:val="0"/>
                          <w:marRight w:val="0"/>
                          <w:marTop w:val="0"/>
                          <w:marBottom w:val="0"/>
                          <w:divBdr>
                            <w:top w:val="none" w:sz="0" w:space="0" w:color="auto"/>
                            <w:left w:val="none" w:sz="0" w:space="0" w:color="auto"/>
                            <w:bottom w:val="none" w:sz="0" w:space="0" w:color="auto"/>
                            <w:right w:val="none" w:sz="0" w:space="0" w:color="auto"/>
                          </w:divBdr>
                          <w:divsChild>
                            <w:div w:id="1020089356">
                              <w:marLeft w:val="0"/>
                              <w:marRight w:val="0"/>
                              <w:marTop w:val="120"/>
                              <w:marBottom w:val="360"/>
                              <w:divBdr>
                                <w:top w:val="none" w:sz="0" w:space="0" w:color="auto"/>
                                <w:left w:val="none" w:sz="0" w:space="0" w:color="auto"/>
                                <w:bottom w:val="none" w:sz="0" w:space="0" w:color="auto"/>
                                <w:right w:val="none" w:sz="0" w:space="0" w:color="auto"/>
                              </w:divBdr>
                              <w:divsChild>
                                <w:div w:id="1020089309">
                                  <w:marLeft w:val="420"/>
                                  <w:marRight w:val="0"/>
                                  <w:marTop w:val="0"/>
                                  <w:marBottom w:val="0"/>
                                  <w:divBdr>
                                    <w:top w:val="none" w:sz="0" w:space="0" w:color="auto"/>
                                    <w:left w:val="none" w:sz="0" w:space="0" w:color="auto"/>
                                    <w:bottom w:val="none" w:sz="0" w:space="0" w:color="auto"/>
                                    <w:right w:val="none" w:sz="0" w:space="0" w:color="auto"/>
                                  </w:divBdr>
                                  <w:divsChild>
                                    <w:div w:id="102008935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089374">
      <w:marLeft w:val="0"/>
      <w:marRight w:val="0"/>
      <w:marTop w:val="0"/>
      <w:marBottom w:val="0"/>
      <w:divBdr>
        <w:top w:val="none" w:sz="0" w:space="0" w:color="auto"/>
        <w:left w:val="none" w:sz="0" w:space="0" w:color="auto"/>
        <w:bottom w:val="none" w:sz="0" w:space="0" w:color="auto"/>
        <w:right w:val="none" w:sz="0" w:space="0" w:color="auto"/>
      </w:divBdr>
      <w:divsChild>
        <w:div w:id="1020089351">
          <w:marLeft w:val="0"/>
          <w:marRight w:val="1"/>
          <w:marTop w:val="0"/>
          <w:marBottom w:val="0"/>
          <w:divBdr>
            <w:top w:val="none" w:sz="0" w:space="0" w:color="auto"/>
            <w:left w:val="none" w:sz="0" w:space="0" w:color="auto"/>
            <w:bottom w:val="none" w:sz="0" w:space="0" w:color="auto"/>
            <w:right w:val="none" w:sz="0" w:space="0" w:color="auto"/>
          </w:divBdr>
          <w:divsChild>
            <w:div w:id="1020089355">
              <w:marLeft w:val="0"/>
              <w:marRight w:val="0"/>
              <w:marTop w:val="0"/>
              <w:marBottom w:val="0"/>
              <w:divBdr>
                <w:top w:val="none" w:sz="0" w:space="0" w:color="auto"/>
                <w:left w:val="none" w:sz="0" w:space="0" w:color="auto"/>
                <w:bottom w:val="none" w:sz="0" w:space="0" w:color="auto"/>
                <w:right w:val="none" w:sz="0" w:space="0" w:color="auto"/>
              </w:divBdr>
              <w:divsChild>
                <w:div w:id="1020089398">
                  <w:marLeft w:val="0"/>
                  <w:marRight w:val="1"/>
                  <w:marTop w:val="0"/>
                  <w:marBottom w:val="0"/>
                  <w:divBdr>
                    <w:top w:val="none" w:sz="0" w:space="0" w:color="auto"/>
                    <w:left w:val="none" w:sz="0" w:space="0" w:color="auto"/>
                    <w:bottom w:val="none" w:sz="0" w:space="0" w:color="auto"/>
                    <w:right w:val="none" w:sz="0" w:space="0" w:color="auto"/>
                  </w:divBdr>
                  <w:divsChild>
                    <w:div w:id="1020089392">
                      <w:marLeft w:val="0"/>
                      <w:marRight w:val="0"/>
                      <w:marTop w:val="0"/>
                      <w:marBottom w:val="0"/>
                      <w:divBdr>
                        <w:top w:val="none" w:sz="0" w:space="0" w:color="auto"/>
                        <w:left w:val="none" w:sz="0" w:space="0" w:color="auto"/>
                        <w:bottom w:val="none" w:sz="0" w:space="0" w:color="auto"/>
                        <w:right w:val="none" w:sz="0" w:space="0" w:color="auto"/>
                      </w:divBdr>
                      <w:divsChild>
                        <w:div w:id="1020089326">
                          <w:marLeft w:val="0"/>
                          <w:marRight w:val="0"/>
                          <w:marTop w:val="0"/>
                          <w:marBottom w:val="0"/>
                          <w:divBdr>
                            <w:top w:val="none" w:sz="0" w:space="0" w:color="auto"/>
                            <w:left w:val="none" w:sz="0" w:space="0" w:color="auto"/>
                            <w:bottom w:val="none" w:sz="0" w:space="0" w:color="auto"/>
                            <w:right w:val="none" w:sz="0" w:space="0" w:color="auto"/>
                          </w:divBdr>
                          <w:divsChild>
                            <w:div w:id="102008939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089390">
      <w:marLeft w:val="0"/>
      <w:marRight w:val="0"/>
      <w:marTop w:val="0"/>
      <w:marBottom w:val="0"/>
      <w:divBdr>
        <w:top w:val="none" w:sz="0" w:space="0" w:color="auto"/>
        <w:left w:val="none" w:sz="0" w:space="0" w:color="auto"/>
        <w:bottom w:val="none" w:sz="0" w:space="0" w:color="auto"/>
        <w:right w:val="none" w:sz="0" w:space="0" w:color="auto"/>
      </w:divBdr>
      <w:divsChild>
        <w:div w:id="1020089403">
          <w:marLeft w:val="0"/>
          <w:marRight w:val="1"/>
          <w:marTop w:val="0"/>
          <w:marBottom w:val="0"/>
          <w:divBdr>
            <w:top w:val="none" w:sz="0" w:space="0" w:color="auto"/>
            <w:left w:val="none" w:sz="0" w:space="0" w:color="auto"/>
            <w:bottom w:val="none" w:sz="0" w:space="0" w:color="auto"/>
            <w:right w:val="none" w:sz="0" w:space="0" w:color="auto"/>
          </w:divBdr>
          <w:divsChild>
            <w:div w:id="1020089333">
              <w:marLeft w:val="0"/>
              <w:marRight w:val="0"/>
              <w:marTop w:val="0"/>
              <w:marBottom w:val="0"/>
              <w:divBdr>
                <w:top w:val="none" w:sz="0" w:space="0" w:color="auto"/>
                <w:left w:val="none" w:sz="0" w:space="0" w:color="auto"/>
                <w:bottom w:val="none" w:sz="0" w:space="0" w:color="auto"/>
                <w:right w:val="none" w:sz="0" w:space="0" w:color="auto"/>
              </w:divBdr>
              <w:divsChild>
                <w:div w:id="1020089310">
                  <w:marLeft w:val="0"/>
                  <w:marRight w:val="1"/>
                  <w:marTop w:val="0"/>
                  <w:marBottom w:val="0"/>
                  <w:divBdr>
                    <w:top w:val="none" w:sz="0" w:space="0" w:color="auto"/>
                    <w:left w:val="none" w:sz="0" w:space="0" w:color="auto"/>
                    <w:bottom w:val="none" w:sz="0" w:space="0" w:color="auto"/>
                    <w:right w:val="none" w:sz="0" w:space="0" w:color="auto"/>
                  </w:divBdr>
                  <w:divsChild>
                    <w:div w:id="1020089350">
                      <w:marLeft w:val="0"/>
                      <w:marRight w:val="0"/>
                      <w:marTop w:val="0"/>
                      <w:marBottom w:val="0"/>
                      <w:divBdr>
                        <w:top w:val="none" w:sz="0" w:space="0" w:color="auto"/>
                        <w:left w:val="none" w:sz="0" w:space="0" w:color="auto"/>
                        <w:bottom w:val="none" w:sz="0" w:space="0" w:color="auto"/>
                        <w:right w:val="none" w:sz="0" w:space="0" w:color="auto"/>
                      </w:divBdr>
                      <w:divsChild>
                        <w:div w:id="1020089312">
                          <w:marLeft w:val="0"/>
                          <w:marRight w:val="0"/>
                          <w:marTop w:val="0"/>
                          <w:marBottom w:val="0"/>
                          <w:divBdr>
                            <w:top w:val="none" w:sz="0" w:space="0" w:color="auto"/>
                            <w:left w:val="none" w:sz="0" w:space="0" w:color="auto"/>
                            <w:bottom w:val="none" w:sz="0" w:space="0" w:color="auto"/>
                            <w:right w:val="none" w:sz="0" w:space="0" w:color="auto"/>
                          </w:divBdr>
                          <w:divsChild>
                            <w:div w:id="1020089325">
                              <w:marLeft w:val="0"/>
                              <w:marRight w:val="0"/>
                              <w:marTop w:val="120"/>
                              <w:marBottom w:val="360"/>
                              <w:divBdr>
                                <w:top w:val="none" w:sz="0" w:space="0" w:color="auto"/>
                                <w:left w:val="none" w:sz="0" w:space="0" w:color="auto"/>
                                <w:bottom w:val="none" w:sz="0" w:space="0" w:color="auto"/>
                                <w:right w:val="none" w:sz="0" w:space="0" w:color="auto"/>
                              </w:divBdr>
                              <w:divsChild>
                                <w:div w:id="1020089395">
                                  <w:marLeft w:val="420"/>
                                  <w:marRight w:val="0"/>
                                  <w:marTop w:val="0"/>
                                  <w:marBottom w:val="0"/>
                                  <w:divBdr>
                                    <w:top w:val="none" w:sz="0" w:space="0" w:color="auto"/>
                                    <w:left w:val="none" w:sz="0" w:space="0" w:color="auto"/>
                                    <w:bottom w:val="none" w:sz="0" w:space="0" w:color="auto"/>
                                    <w:right w:val="none" w:sz="0" w:space="0" w:color="auto"/>
                                  </w:divBdr>
                                  <w:divsChild>
                                    <w:div w:id="102008938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089400">
      <w:marLeft w:val="0"/>
      <w:marRight w:val="0"/>
      <w:marTop w:val="0"/>
      <w:marBottom w:val="0"/>
      <w:divBdr>
        <w:top w:val="none" w:sz="0" w:space="0" w:color="auto"/>
        <w:left w:val="none" w:sz="0" w:space="0" w:color="auto"/>
        <w:bottom w:val="none" w:sz="0" w:space="0" w:color="auto"/>
        <w:right w:val="none" w:sz="0" w:space="0" w:color="auto"/>
      </w:divBdr>
      <w:divsChild>
        <w:div w:id="1020089346">
          <w:marLeft w:val="0"/>
          <w:marRight w:val="1"/>
          <w:marTop w:val="0"/>
          <w:marBottom w:val="0"/>
          <w:divBdr>
            <w:top w:val="none" w:sz="0" w:space="0" w:color="auto"/>
            <w:left w:val="none" w:sz="0" w:space="0" w:color="auto"/>
            <w:bottom w:val="none" w:sz="0" w:space="0" w:color="auto"/>
            <w:right w:val="none" w:sz="0" w:space="0" w:color="auto"/>
          </w:divBdr>
          <w:divsChild>
            <w:div w:id="1020089318">
              <w:marLeft w:val="0"/>
              <w:marRight w:val="0"/>
              <w:marTop w:val="0"/>
              <w:marBottom w:val="0"/>
              <w:divBdr>
                <w:top w:val="none" w:sz="0" w:space="0" w:color="auto"/>
                <w:left w:val="none" w:sz="0" w:space="0" w:color="auto"/>
                <w:bottom w:val="none" w:sz="0" w:space="0" w:color="auto"/>
                <w:right w:val="none" w:sz="0" w:space="0" w:color="auto"/>
              </w:divBdr>
              <w:divsChild>
                <w:div w:id="1020089377">
                  <w:marLeft w:val="0"/>
                  <w:marRight w:val="1"/>
                  <w:marTop w:val="0"/>
                  <w:marBottom w:val="0"/>
                  <w:divBdr>
                    <w:top w:val="none" w:sz="0" w:space="0" w:color="auto"/>
                    <w:left w:val="none" w:sz="0" w:space="0" w:color="auto"/>
                    <w:bottom w:val="none" w:sz="0" w:space="0" w:color="auto"/>
                    <w:right w:val="none" w:sz="0" w:space="0" w:color="auto"/>
                  </w:divBdr>
                  <w:divsChild>
                    <w:div w:id="1020089383">
                      <w:marLeft w:val="0"/>
                      <w:marRight w:val="0"/>
                      <w:marTop w:val="0"/>
                      <w:marBottom w:val="0"/>
                      <w:divBdr>
                        <w:top w:val="none" w:sz="0" w:space="0" w:color="auto"/>
                        <w:left w:val="none" w:sz="0" w:space="0" w:color="auto"/>
                        <w:bottom w:val="none" w:sz="0" w:space="0" w:color="auto"/>
                        <w:right w:val="none" w:sz="0" w:space="0" w:color="auto"/>
                      </w:divBdr>
                      <w:divsChild>
                        <w:div w:id="1020089322">
                          <w:marLeft w:val="0"/>
                          <w:marRight w:val="0"/>
                          <w:marTop w:val="0"/>
                          <w:marBottom w:val="0"/>
                          <w:divBdr>
                            <w:top w:val="none" w:sz="0" w:space="0" w:color="auto"/>
                            <w:left w:val="none" w:sz="0" w:space="0" w:color="auto"/>
                            <w:bottom w:val="none" w:sz="0" w:space="0" w:color="auto"/>
                            <w:right w:val="none" w:sz="0" w:space="0" w:color="auto"/>
                          </w:divBdr>
                          <w:divsChild>
                            <w:div w:id="1020089384">
                              <w:marLeft w:val="0"/>
                              <w:marRight w:val="0"/>
                              <w:marTop w:val="120"/>
                              <w:marBottom w:val="360"/>
                              <w:divBdr>
                                <w:top w:val="none" w:sz="0" w:space="0" w:color="auto"/>
                                <w:left w:val="none" w:sz="0" w:space="0" w:color="auto"/>
                                <w:bottom w:val="none" w:sz="0" w:space="0" w:color="auto"/>
                                <w:right w:val="none" w:sz="0" w:space="0" w:color="auto"/>
                              </w:divBdr>
                              <w:divsChild>
                                <w:div w:id="1020089324">
                                  <w:marLeft w:val="420"/>
                                  <w:marRight w:val="0"/>
                                  <w:marTop w:val="0"/>
                                  <w:marBottom w:val="0"/>
                                  <w:divBdr>
                                    <w:top w:val="none" w:sz="0" w:space="0" w:color="auto"/>
                                    <w:left w:val="none" w:sz="0" w:space="0" w:color="auto"/>
                                    <w:bottom w:val="none" w:sz="0" w:space="0" w:color="auto"/>
                                    <w:right w:val="none" w:sz="0" w:space="0" w:color="auto"/>
                                  </w:divBdr>
                                  <w:divsChild>
                                    <w:div w:id="102008933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17</Pages>
  <Words>4685</Words>
  <Characters>26707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The impact of personality status on the cost and outcomes</vt:lpstr>
    </vt:vector>
  </TitlesOfParts>
  <Company>Imperial College London</Company>
  <LinksUpToDate>false</LinksUpToDate>
  <CharactersWithSpaces>31330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personality status on the cost and outcomes</dc:title>
  <dc:subject/>
  <dc:creator>Tyrer, Peter J</dc:creator>
  <cp:keywords/>
  <dc:description/>
  <cp:lastModifiedBy>Tyrer, Peter J</cp:lastModifiedBy>
  <cp:revision>18</cp:revision>
  <dcterms:created xsi:type="dcterms:W3CDTF">2015-10-26T10:44:00Z</dcterms:created>
  <dcterms:modified xsi:type="dcterms:W3CDTF">2016-02-11T11:50:00Z</dcterms:modified>
</cp:coreProperties>
</file>