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61E33" w14:textId="531D1EAC" w:rsidR="005D02C3" w:rsidRPr="00941621" w:rsidRDefault="005D02C3" w:rsidP="005D02C3">
      <w:pPr>
        <w:spacing w:line="480" w:lineRule="auto"/>
        <w:jc w:val="both"/>
        <w:rPr>
          <w:sz w:val="28"/>
          <w:szCs w:val="24"/>
          <w:lang w:val="el-GR"/>
        </w:rPr>
      </w:pPr>
      <w:bookmarkStart w:id="0" w:name="_GoBack"/>
      <w:bookmarkEnd w:id="0"/>
      <w:r w:rsidRPr="00941621">
        <w:rPr>
          <w:rFonts w:ascii="Times New Roman" w:hAnsi="Times New Roman" w:cs="Times New Roman"/>
          <w:b/>
          <w:sz w:val="28"/>
          <w:szCs w:val="24"/>
        </w:rPr>
        <w:t xml:space="preserve">Loss of phosphodiesterase 10A </w:t>
      </w:r>
      <w:r>
        <w:rPr>
          <w:rFonts w:ascii="Times New Roman" w:hAnsi="Times New Roman" w:cs="Times New Roman"/>
          <w:b/>
          <w:sz w:val="28"/>
          <w:szCs w:val="24"/>
        </w:rPr>
        <w:t xml:space="preserve">expression </w:t>
      </w:r>
      <w:r w:rsidRPr="00941621">
        <w:rPr>
          <w:rFonts w:ascii="Times New Roman" w:hAnsi="Times New Roman" w:cs="Times New Roman"/>
          <w:b/>
          <w:sz w:val="28"/>
          <w:szCs w:val="24"/>
        </w:rPr>
        <w:t xml:space="preserve">is associated with progression and severity in Parkinson’s disease  </w:t>
      </w:r>
    </w:p>
    <w:p w14:paraId="039B4494" w14:textId="7BBCD4D8" w:rsidR="008D32A9" w:rsidRPr="00932158" w:rsidRDefault="008D32A9" w:rsidP="003A6D88">
      <w:pPr>
        <w:spacing w:after="0" w:line="480" w:lineRule="auto"/>
        <w:jc w:val="both"/>
        <w:rPr>
          <w:rFonts w:ascii="Times New Roman" w:hAnsi="Times New Roman" w:cs="Times New Roman"/>
          <w:sz w:val="24"/>
          <w:szCs w:val="24"/>
        </w:rPr>
      </w:pPr>
      <w:r w:rsidRPr="00932158">
        <w:rPr>
          <w:rFonts w:ascii="Times New Roman" w:hAnsi="Times New Roman" w:cs="Times New Roman"/>
          <w:sz w:val="24"/>
          <w:szCs w:val="24"/>
        </w:rPr>
        <w:t>Niccolini F</w:t>
      </w:r>
      <w:r w:rsidRPr="00932158">
        <w:rPr>
          <w:rFonts w:ascii="Times New Roman" w:hAnsi="Times New Roman" w:cs="Times New Roman"/>
          <w:sz w:val="24"/>
          <w:szCs w:val="24"/>
          <w:vertAlign w:val="superscript"/>
        </w:rPr>
        <w:t>1,2</w:t>
      </w:r>
      <w:r w:rsidRPr="00932158">
        <w:rPr>
          <w:rFonts w:ascii="Times New Roman" w:hAnsi="Times New Roman" w:cs="Times New Roman"/>
          <w:sz w:val="24"/>
          <w:szCs w:val="24"/>
        </w:rPr>
        <w:t>, Foltynie T</w:t>
      </w:r>
      <w:r w:rsidRPr="00932158">
        <w:rPr>
          <w:rFonts w:ascii="Times New Roman" w:hAnsi="Times New Roman" w:cs="Times New Roman"/>
          <w:sz w:val="24"/>
          <w:szCs w:val="24"/>
          <w:vertAlign w:val="superscript"/>
        </w:rPr>
        <w:t>3</w:t>
      </w:r>
      <w:r w:rsidRPr="00932158">
        <w:rPr>
          <w:rFonts w:ascii="Times New Roman" w:hAnsi="Times New Roman" w:cs="Times New Roman"/>
          <w:sz w:val="24"/>
          <w:szCs w:val="24"/>
        </w:rPr>
        <w:t xml:space="preserve">, </w:t>
      </w:r>
      <w:r w:rsidRPr="00932158">
        <w:rPr>
          <w:rFonts w:ascii="Times New Roman" w:hAnsi="Times New Roman"/>
          <w:sz w:val="24"/>
          <w:szCs w:val="24"/>
        </w:rPr>
        <w:t>Reis Marques T</w:t>
      </w:r>
      <w:r w:rsidRPr="00932158">
        <w:rPr>
          <w:rFonts w:ascii="Times New Roman" w:hAnsi="Times New Roman"/>
          <w:sz w:val="24"/>
          <w:szCs w:val="24"/>
          <w:vertAlign w:val="superscript"/>
        </w:rPr>
        <w:t>4</w:t>
      </w:r>
      <w:r w:rsidRPr="00932158">
        <w:rPr>
          <w:rFonts w:ascii="Times New Roman" w:hAnsi="Times New Roman"/>
          <w:sz w:val="24"/>
          <w:szCs w:val="24"/>
        </w:rPr>
        <w:t>,</w:t>
      </w:r>
      <w:r w:rsidRPr="00932158">
        <w:rPr>
          <w:rFonts w:ascii="Times New Roman" w:hAnsi="Times New Roman"/>
          <w:b/>
          <w:sz w:val="24"/>
          <w:szCs w:val="24"/>
        </w:rPr>
        <w:t xml:space="preserve"> </w:t>
      </w:r>
      <w:r w:rsidRPr="00932158">
        <w:rPr>
          <w:rFonts w:ascii="Times New Roman" w:hAnsi="Times New Roman" w:cs="Times New Roman"/>
          <w:sz w:val="24"/>
          <w:szCs w:val="24"/>
        </w:rPr>
        <w:t>Muhlert N</w:t>
      </w:r>
      <w:r w:rsidRPr="00932158">
        <w:rPr>
          <w:rFonts w:ascii="Times New Roman" w:hAnsi="Times New Roman" w:cs="Times New Roman"/>
          <w:sz w:val="24"/>
          <w:szCs w:val="24"/>
          <w:vertAlign w:val="superscript"/>
        </w:rPr>
        <w:t>5</w:t>
      </w:r>
      <w:r w:rsidRPr="00932158">
        <w:rPr>
          <w:rFonts w:ascii="Times New Roman" w:hAnsi="Times New Roman" w:cs="Times New Roman"/>
          <w:sz w:val="24"/>
          <w:szCs w:val="24"/>
        </w:rPr>
        <w:t xml:space="preserve">, </w:t>
      </w:r>
      <w:r w:rsidR="00CE3B3B" w:rsidRPr="00932158">
        <w:rPr>
          <w:rFonts w:ascii="Times New Roman" w:hAnsi="Times New Roman" w:cs="Times New Roman"/>
          <w:sz w:val="24"/>
          <w:szCs w:val="24"/>
        </w:rPr>
        <w:t>Tzortzi AC</w:t>
      </w:r>
      <w:r w:rsidR="00CE3B3B" w:rsidRPr="00932158">
        <w:rPr>
          <w:rFonts w:ascii="Times New Roman" w:hAnsi="Times New Roman" w:cs="Times New Roman"/>
          <w:sz w:val="24"/>
          <w:szCs w:val="24"/>
          <w:vertAlign w:val="superscript"/>
        </w:rPr>
        <w:t>6</w:t>
      </w:r>
      <w:r w:rsidR="00CE3B3B" w:rsidRPr="00932158">
        <w:rPr>
          <w:rFonts w:ascii="Times New Roman" w:hAnsi="Times New Roman" w:cs="Times New Roman"/>
          <w:sz w:val="24"/>
          <w:szCs w:val="24"/>
        </w:rPr>
        <w:t xml:space="preserve">, </w:t>
      </w:r>
      <w:r w:rsidR="00CE3B3B" w:rsidRPr="00932158">
        <w:rPr>
          <w:rFonts w:ascii="Times New Roman" w:hAnsi="Times New Roman"/>
          <w:sz w:val="24"/>
          <w:szCs w:val="24"/>
        </w:rPr>
        <w:t>Searle GE</w:t>
      </w:r>
      <w:r w:rsidR="00CE3B3B" w:rsidRPr="00932158">
        <w:rPr>
          <w:rFonts w:ascii="Times New Roman" w:hAnsi="Times New Roman"/>
          <w:sz w:val="24"/>
          <w:szCs w:val="24"/>
          <w:vertAlign w:val="superscript"/>
        </w:rPr>
        <w:t>6</w:t>
      </w:r>
      <w:r w:rsidR="00CE3B3B" w:rsidRPr="00932158">
        <w:rPr>
          <w:rFonts w:ascii="Times New Roman" w:hAnsi="Times New Roman"/>
          <w:sz w:val="24"/>
          <w:szCs w:val="24"/>
        </w:rPr>
        <w:t>,</w:t>
      </w:r>
      <w:r w:rsidR="00CE3B3B" w:rsidRPr="00932158">
        <w:rPr>
          <w:rFonts w:ascii="Times New Roman" w:hAnsi="Times New Roman"/>
          <w:b/>
          <w:sz w:val="24"/>
          <w:szCs w:val="24"/>
          <w:vertAlign w:val="superscript"/>
        </w:rPr>
        <w:t xml:space="preserve"> </w:t>
      </w:r>
      <w:r w:rsidR="00CE3B3B" w:rsidRPr="00932158">
        <w:rPr>
          <w:rFonts w:ascii="Times New Roman" w:hAnsi="Times New Roman"/>
          <w:sz w:val="24"/>
          <w:szCs w:val="24"/>
        </w:rPr>
        <w:t>Natesan S</w:t>
      </w:r>
      <w:r w:rsidR="00CE3B3B" w:rsidRPr="00932158">
        <w:rPr>
          <w:rFonts w:ascii="Times New Roman" w:hAnsi="Times New Roman"/>
          <w:sz w:val="24"/>
          <w:szCs w:val="24"/>
          <w:vertAlign w:val="superscript"/>
        </w:rPr>
        <w:t>4</w:t>
      </w:r>
      <w:r w:rsidR="00CE3B3B" w:rsidRPr="00932158">
        <w:rPr>
          <w:rFonts w:ascii="Times New Roman" w:hAnsi="Times New Roman"/>
          <w:sz w:val="24"/>
          <w:szCs w:val="24"/>
        </w:rPr>
        <w:t xml:space="preserve">, </w:t>
      </w:r>
      <w:r w:rsidR="00CE3B3B" w:rsidRPr="00932158">
        <w:rPr>
          <w:rFonts w:ascii="Times New Roman" w:hAnsi="Times New Roman"/>
          <w:sz w:val="24"/>
          <w:szCs w:val="24"/>
          <w:vertAlign w:val="superscript"/>
        </w:rPr>
        <w:t xml:space="preserve"> </w:t>
      </w:r>
      <w:r w:rsidR="00CE3B3B" w:rsidRPr="00932158">
        <w:rPr>
          <w:rFonts w:ascii="Times New Roman" w:hAnsi="Times New Roman"/>
          <w:sz w:val="24"/>
          <w:szCs w:val="24"/>
        </w:rPr>
        <w:t>Kapur S</w:t>
      </w:r>
      <w:r w:rsidR="00CE3B3B" w:rsidRPr="00932158">
        <w:rPr>
          <w:rFonts w:ascii="Times New Roman" w:hAnsi="Times New Roman"/>
          <w:sz w:val="24"/>
          <w:szCs w:val="24"/>
          <w:vertAlign w:val="superscript"/>
        </w:rPr>
        <w:t>4</w:t>
      </w:r>
      <w:r w:rsidR="00CE3B3B" w:rsidRPr="00932158">
        <w:rPr>
          <w:rFonts w:ascii="Times New Roman" w:hAnsi="Times New Roman"/>
          <w:sz w:val="24"/>
          <w:szCs w:val="24"/>
        </w:rPr>
        <w:t xml:space="preserve">, </w:t>
      </w:r>
      <w:r w:rsidRPr="00932158">
        <w:rPr>
          <w:rFonts w:ascii="Times New Roman" w:hAnsi="Times New Roman" w:cs="Times New Roman"/>
          <w:sz w:val="24"/>
          <w:szCs w:val="24"/>
        </w:rPr>
        <w:t xml:space="preserve">Rabiner </w:t>
      </w:r>
      <w:r w:rsidR="00E31BEC" w:rsidRPr="00932158">
        <w:rPr>
          <w:rFonts w:ascii="Times New Roman" w:hAnsi="Times New Roman" w:cs="Times New Roman"/>
          <w:sz w:val="24"/>
          <w:szCs w:val="24"/>
        </w:rPr>
        <w:t>EA</w:t>
      </w:r>
      <w:r w:rsidR="00E31BEC">
        <w:rPr>
          <w:rFonts w:ascii="Times New Roman" w:hAnsi="Times New Roman" w:cs="Times New Roman"/>
          <w:sz w:val="24"/>
          <w:szCs w:val="24"/>
          <w:vertAlign w:val="superscript"/>
        </w:rPr>
        <w:t>6</w:t>
      </w:r>
      <w:r w:rsidRPr="00932158">
        <w:rPr>
          <w:rFonts w:ascii="Times New Roman" w:hAnsi="Times New Roman" w:cs="Times New Roman"/>
          <w:sz w:val="24"/>
          <w:szCs w:val="24"/>
          <w:vertAlign w:val="superscript"/>
        </w:rPr>
        <w:t>,</w:t>
      </w:r>
      <w:r w:rsidR="00E31BEC">
        <w:rPr>
          <w:rFonts w:ascii="Times New Roman" w:hAnsi="Times New Roman" w:cs="Times New Roman"/>
          <w:sz w:val="24"/>
          <w:szCs w:val="24"/>
          <w:vertAlign w:val="superscript"/>
        </w:rPr>
        <w:t>7</w:t>
      </w:r>
      <w:r w:rsidRPr="00932158">
        <w:rPr>
          <w:rFonts w:ascii="Times New Roman" w:hAnsi="Times New Roman" w:cs="Times New Roman"/>
          <w:sz w:val="24"/>
          <w:szCs w:val="24"/>
        </w:rPr>
        <w:t>, Gunn RN</w:t>
      </w:r>
      <w:r w:rsidRPr="00932158">
        <w:rPr>
          <w:rFonts w:ascii="Times New Roman" w:hAnsi="Times New Roman" w:cs="Times New Roman"/>
          <w:sz w:val="24"/>
          <w:szCs w:val="24"/>
          <w:vertAlign w:val="superscript"/>
        </w:rPr>
        <w:t>2,6</w:t>
      </w:r>
      <w:r w:rsidRPr="00932158">
        <w:rPr>
          <w:rFonts w:ascii="Times New Roman" w:hAnsi="Times New Roman" w:cs="Times New Roman"/>
          <w:sz w:val="24"/>
          <w:szCs w:val="24"/>
        </w:rPr>
        <w:t>, Piccini P</w:t>
      </w:r>
      <w:r w:rsidRPr="00932158">
        <w:rPr>
          <w:rFonts w:ascii="Times New Roman" w:hAnsi="Times New Roman" w:cs="Times New Roman"/>
          <w:sz w:val="24"/>
          <w:szCs w:val="24"/>
          <w:vertAlign w:val="superscript"/>
        </w:rPr>
        <w:t>2</w:t>
      </w:r>
      <w:r w:rsidRPr="00932158">
        <w:rPr>
          <w:rFonts w:ascii="Times New Roman" w:hAnsi="Times New Roman" w:cs="Times New Roman"/>
          <w:sz w:val="24"/>
          <w:szCs w:val="24"/>
        </w:rPr>
        <w:t>, Politis M</w:t>
      </w:r>
      <w:r w:rsidRPr="00932158">
        <w:rPr>
          <w:rFonts w:ascii="Times New Roman" w:hAnsi="Times New Roman" w:cs="Times New Roman"/>
          <w:sz w:val="24"/>
          <w:szCs w:val="24"/>
          <w:vertAlign w:val="superscript"/>
        </w:rPr>
        <w:t>1,2</w:t>
      </w:r>
    </w:p>
    <w:p w14:paraId="76A29EAE" w14:textId="77777777" w:rsidR="008D32A9" w:rsidRPr="00932158" w:rsidRDefault="008D32A9" w:rsidP="003A6D88">
      <w:pPr>
        <w:spacing w:after="0" w:line="480" w:lineRule="auto"/>
        <w:jc w:val="both"/>
        <w:rPr>
          <w:rFonts w:ascii="Times New Roman" w:hAnsi="Times New Roman" w:cs="Times New Roman"/>
          <w:sz w:val="24"/>
          <w:szCs w:val="24"/>
          <w:vertAlign w:val="superscript"/>
        </w:rPr>
      </w:pPr>
    </w:p>
    <w:p w14:paraId="57AE6CE6" w14:textId="0BFCCAF3" w:rsidR="008D32A9" w:rsidRPr="00932158" w:rsidRDefault="008D32A9" w:rsidP="003A6D88">
      <w:pPr>
        <w:spacing w:after="0" w:line="480" w:lineRule="auto"/>
        <w:jc w:val="both"/>
        <w:rPr>
          <w:rFonts w:ascii="Times New Roman" w:hAnsi="Times New Roman" w:cs="Times New Roman"/>
          <w:sz w:val="24"/>
          <w:szCs w:val="24"/>
        </w:rPr>
      </w:pPr>
      <w:r w:rsidRPr="00932158">
        <w:rPr>
          <w:rFonts w:ascii="Times New Roman" w:hAnsi="Times New Roman" w:cs="Times New Roman"/>
          <w:sz w:val="24"/>
          <w:szCs w:val="24"/>
          <w:vertAlign w:val="superscript"/>
        </w:rPr>
        <w:t>1</w:t>
      </w:r>
      <w:r w:rsidR="00E31BEC">
        <w:rPr>
          <w:rFonts w:ascii="Times New Roman" w:hAnsi="Times New Roman" w:cs="Times New Roman"/>
          <w:sz w:val="24"/>
          <w:szCs w:val="24"/>
          <w:vertAlign w:val="superscript"/>
        </w:rPr>
        <w:t xml:space="preserve"> </w:t>
      </w:r>
      <w:r w:rsidRPr="00932158">
        <w:rPr>
          <w:rFonts w:ascii="Times New Roman" w:hAnsi="Times New Roman" w:cs="Times New Roman"/>
          <w:sz w:val="24"/>
          <w:szCs w:val="24"/>
        </w:rPr>
        <w:t xml:space="preserve">Neurodegeneration Imaging Group, Department of Basic and Clinical Neuroscience, </w:t>
      </w:r>
      <w:r w:rsidR="00E31BEC" w:rsidRPr="003208E8">
        <w:rPr>
          <w:rFonts w:ascii="Times New Roman" w:hAnsi="Times New Roman" w:cs="Times New Roman"/>
          <w:sz w:val="24"/>
          <w:szCs w:val="24"/>
          <w:lang w:val="en-US"/>
        </w:rPr>
        <w:t>Institute of Psychiatry, Psychology and Neuroscience</w:t>
      </w:r>
      <w:r w:rsidR="00E31BEC">
        <w:rPr>
          <w:rFonts w:ascii="Times New Roman" w:hAnsi="Times New Roman" w:cs="Times New Roman"/>
          <w:sz w:val="24"/>
          <w:szCs w:val="24"/>
          <w:lang w:val="en-US"/>
        </w:rPr>
        <w:t>,</w:t>
      </w:r>
      <w:r w:rsidR="00E31BEC" w:rsidRPr="00932158">
        <w:rPr>
          <w:rFonts w:ascii="Times New Roman" w:hAnsi="Times New Roman" w:cs="Times New Roman"/>
          <w:sz w:val="24"/>
          <w:szCs w:val="24"/>
        </w:rPr>
        <w:t xml:space="preserve"> </w:t>
      </w:r>
      <w:r w:rsidRPr="00932158">
        <w:rPr>
          <w:rFonts w:ascii="Times New Roman" w:hAnsi="Times New Roman" w:cs="Times New Roman"/>
          <w:sz w:val="24"/>
          <w:szCs w:val="24"/>
        </w:rPr>
        <w:t>King’s College London, London, UK</w:t>
      </w:r>
    </w:p>
    <w:p w14:paraId="59949EC7" w14:textId="3F110BC1" w:rsidR="008D32A9" w:rsidRPr="00932158" w:rsidRDefault="008D32A9" w:rsidP="003A6D88">
      <w:pPr>
        <w:spacing w:after="0" w:line="480" w:lineRule="auto"/>
        <w:jc w:val="both"/>
        <w:rPr>
          <w:rFonts w:ascii="Times New Roman" w:hAnsi="Times New Roman" w:cs="Times New Roman"/>
          <w:sz w:val="24"/>
          <w:szCs w:val="24"/>
        </w:rPr>
      </w:pPr>
      <w:r w:rsidRPr="00932158">
        <w:rPr>
          <w:rFonts w:ascii="Times New Roman" w:hAnsi="Times New Roman" w:cs="Times New Roman"/>
          <w:sz w:val="24"/>
          <w:szCs w:val="24"/>
          <w:vertAlign w:val="superscript"/>
        </w:rPr>
        <w:t>2</w:t>
      </w:r>
      <w:r w:rsidR="00E31BEC">
        <w:rPr>
          <w:rFonts w:ascii="Times New Roman" w:hAnsi="Times New Roman" w:cs="Times New Roman"/>
          <w:sz w:val="24"/>
          <w:szCs w:val="24"/>
          <w:vertAlign w:val="superscript"/>
        </w:rPr>
        <w:t xml:space="preserve"> </w:t>
      </w:r>
      <w:r w:rsidRPr="00932158">
        <w:rPr>
          <w:rFonts w:ascii="Times New Roman" w:hAnsi="Times New Roman" w:cs="Times New Roman"/>
          <w:sz w:val="24"/>
          <w:szCs w:val="24"/>
        </w:rPr>
        <w:t xml:space="preserve">Division of Brain Sciences, </w:t>
      </w:r>
      <w:r w:rsidR="00E31BEC" w:rsidRPr="00E31BEC">
        <w:rPr>
          <w:rFonts w:ascii="Times New Roman" w:hAnsi="Times New Roman" w:cs="Times New Roman"/>
          <w:sz w:val="24"/>
          <w:szCs w:val="24"/>
        </w:rPr>
        <w:t>Department of Medicine</w:t>
      </w:r>
      <w:r w:rsidR="00E31BEC">
        <w:rPr>
          <w:rFonts w:ascii="Times New Roman" w:hAnsi="Times New Roman" w:cs="Times New Roman"/>
          <w:sz w:val="24"/>
          <w:szCs w:val="24"/>
        </w:rPr>
        <w:t>,</w:t>
      </w:r>
      <w:r w:rsidR="00E31BEC" w:rsidRPr="00E31BEC">
        <w:rPr>
          <w:rFonts w:ascii="Times New Roman" w:hAnsi="Times New Roman" w:cs="Times New Roman"/>
          <w:sz w:val="24"/>
          <w:szCs w:val="24"/>
        </w:rPr>
        <w:t xml:space="preserve"> </w:t>
      </w:r>
      <w:r w:rsidRPr="00932158">
        <w:rPr>
          <w:rFonts w:ascii="Times New Roman" w:hAnsi="Times New Roman" w:cs="Times New Roman"/>
          <w:sz w:val="24"/>
          <w:szCs w:val="24"/>
        </w:rPr>
        <w:t>Imperial College London, London, UK</w:t>
      </w:r>
    </w:p>
    <w:p w14:paraId="359C0F5C" w14:textId="49BBA761" w:rsidR="008D32A9" w:rsidRPr="00EE3D83" w:rsidRDefault="008D32A9" w:rsidP="003A6D88">
      <w:pPr>
        <w:spacing w:after="0" w:line="480" w:lineRule="auto"/>
        <w:jc w:val="both"/>
        <w:rPr>
          <w:rFonts w:ascii="Times New Roman" w:hAnsi="Times New Roman" w:cs="Times New Roman"/>
          <w:sz w:val="24"/>
          <w:szCs w:val="24"/>
          <w:vertAlign w:val="superscript"/>
        </w:rPr>
      </w:pPr>
      <w:r w:rsidRPr="00932158">
        <w:rPr>
          <w:rFonts w:ascii="Times New Roman" w:hAnsi="Times New Roman" w:cs="Times New Roman"/>
          <w:sz w:val="24"/>
          <w:szCs w:val="24"/>
          <w:vertAlign w:val="superscript"/>
        </w:rPr>
        <w:t>3</w:t>
      </w:r>
      <w:r w:rsidR="00E31BEC">
        <w:rPr>
          <w:rFonts w:ascii="Times New Roman" w:hAnsi="Times New Roman" w:cs="Times New Roman"/>
          <w:sz w:val="24"/>
          <w:szCs w:val="24"/>
          <w:vertAlign w:val="superscript"/>
        </w:rPr>
        <w:t xml:space="preserve"> </w:t>
      </w:r>
      <w:r w:rsidRPr="003208E8">
        <w:rPr>
          <w:rFonts w:ascii="Times New Roman" w:hAnsi="Times New Roman" w:cs="Times New Roman"/>
          <w:sz w:val="24"/>
          <w:szCs w:val="24"/>
        </w:rPr>
        <w:t>Sobell Department of Motor Neuroscience, UCL Institute of Neurology, London, UK</w:t>
      </w:r>
    </w:p>
    <w:p w14:paraId="7001CD4A" w14:textId="60807F48" w:rsidR="003208E8" w:rsidRPr="003208E8" w:rsidRDefault="008D32A9" w:rsidP="003208E8">
      <w:pPr>
        <w:spacing w:after="0" w:line="480" w:lineRule="auto"/>
        <w:jc w:val="both"/>
        <w:rPr>
          <w:rFonts w:ascii="Times New Roman" w:hAnsi="Times New Roman" w:cs="Times New Roman"/>
          <w:sz w:val="24"/>
          <w:szCs w:val="24"/>
        </w:rPr>
      </w:pPr>
      <w:r w:rsidRPr="001077B1">
        <w:rPr>
          <w:rFonts w:ascii="Times New Roman" w:hAnsi="Times New Roman" w:cs="Times New Roman"/>
          <w:sz w:val="24"/>
          <w:szCs w:val="24"/>
          <w:vertAlign w:val="superscript"/>
        </w:rPr>
        <w:t>4</w:t>
      </w:r>
      <w:r w:rsidR="00FF1F9A" w:rsidRPr="00FF1F9A">
        <w:rPr>
          <w:rFonts w:ascii="Times New Roman" w:hAnsi="Times New Roman" w:cs="Times New Roman"/>
          <w:sz w:val="24"/>
          <w:szCs w:val="24"/>
          <w:vertAlign w:val="superscript"/>
        </w:rPr>
        <w:t xml:space="preserve"> </w:t>
      </w:r>
      <w:r w:rsidR="003208E8" w:rsidRPr="003208E8">
        <w:rPr>
          <w:rFonts w:ascii="Times New Roman" w:hAnsi="Times New Roman" w:cs="Times New Roman"/>
          <w:sz w:val="24"/>
          <w:szCs w:val="24"/>
          <w:lang w:val="en-US"/>
        </w:rPr>
        <w:t xml:space="preserve">Department of Psychosis Studies, Institute of Psychiatry, Psychology and Neuroscience, King’s College London, London, </w:t>
      </w:r>
      <w:r w:rsidR="003208E8">
        <w:rPr>
          <w:rFonts w:ascii="Times New Roman" w:hAnsi="Times New Roman" w:cs="Times New Roman"/>
          <w:sz w:val="24"/>
          <w:szCs w:val="24"/>
          <w:lang w:val="en-US"/>
        </w:rPr>
        <w:t>UK</w:t>
      </w:r>
    </w:p>
    <w:p w14:paraId="67F2959D" w14:textId="2FCC3FE3" w:rsidR="008D32A9" w:rsidRPr="00324BA9" w:rsidRDefault="008D32A9" w:rsidP="003A6D88">
      <w:pPr>
        <w:spacing w:after="0" w:line="480" w:lineRule="auto"/>
        <w:jc w:val="both"/>
        <w:rPr>
          <w:rFonts w:ascii="Times New Roman" w:hAnsi="Times New Roman" w:cs="Times New Roman"/>
          <w:sz w:val="24"/>
          <w:szCs w:val="24"/>
        </w:rPr>
      </w:pPr>
      <w:r w:rsidRPr="004E4A1F">
        <w:rPr>
          <w:rFonts w:ascii="Times New Roman" w:hAnsi="Times New Roman" w:cs="Times New Roman"/>
          <w:sz w:val="24"/>
          <w:szCs w:val="24"/>
          <w:vertAlign w:val="superscript"/>
        </w:rPr>
        <w:t>5</w:t>
      </w:r>
      <w:r w:rsidR="00E31BEC">
        <w:rPr>
          <w:rFonts w:ascii="Times New Roman" w:hAnsi="Times New Roman" w:cs="Times New Roman"/>
          <w:sz w:val="24"/>
          <w:szCs w:val="24"/>
          <w:vertAlign w:val="superscript"/>
        </w:rPr>
        <w:t xml:space="preserve"> </w:t>
      </w:r>
      <w:r w:rsidRPr="00324BA9">
        <w:rPr>
          <w:rFonts w:ascii="Times New Roman" w:hAnsi="Times New Roman" w:cs="Times New Roman"/>
          <w:sz w:val="24"/>
          <w:szCs w:val="24"/>
        </w:rPr>
        <w:t>School of Psychology, Cardiff University, Cardiff, UK</w:t>
      </w:r>
    </w:p>
    <w:p w14:paraId="60628EC3" w14:textId="3021D534" w:rsidR="008D32A9" w:rsidRDefault="008D32A9" w:rsidP="003A6D88">
      <w:pPr>
        <w:spacing w:after="0" w:line="480" w:lineRule="auto"/>
        <w:jc w:val="both"/>
        <w:rPr>
          <w:rFonts w:ascii="Times New Roman" w:hAnsi="Times New Roman" w:cs="Times New Roman"/>
          <w:sz w:val="24"/>
          <w:szCs w:val="24"/>
        </w:rPr>
      </w:pPr>
      <w:r w:rsidRPr="007F35D3">
        <w:rPr>
          <w:rFonts w:ascii="Times New Roman" w:hAnsi="Times New Roman" w:cs="Times New Roman"/>
          <w:sz w:val="24"/>
          <w:szCs w:val="24"/>
          <w:vertAlign w:val="superscript"/>
        </w:rPr>
        <w:t>6</w:t>
      </w:r>
      <w:r w:rsidR="00E31BEC">
        <w:rPr>
          <w:rFonts w:ascii="Times New Roman" w:hAnsi="Times New Roman" w:cs="Times New Roman"/>
          <w:sz w:val="24"/>
          <w:szCs w:val="24"/>
          <w:vertAlign w:val="superscript"/>
        </w:rPr>
        <w:t xml:space="preserve"> </w:t>
      </w:r>
      <w:r w:rsidR="003208E8" w:rsidRPr="003208E8">
        <w:rPr>
          <w:rFonts w:ascii="Times New Roman" w:hAnsi="Times New Roman" w:cs="Times New Roman"/>
          <w:sz w:val="24"/>
          <w:szCs w:val="24"/>
          <w:lang w:val="en-US"/>
        </w:rPr>
        <w:t xml:space="preserve">Imanova Ltd., Centre for Imaging Sciences, Hammersmith Hospital, London, </w:t>
      </w:r>
      <w:r w:rsidRPr="007F35D3">
        <w:rPr>
          <w:rFonts w:ascii="Times New Roman" w:hAnsi="Times New Roman" w:cs="Times New Roman"/>
          <w:sz w:val="24"/>
          <w:szCs w:val="24"/>
        </w:rPr>
        <w:t>Imanova, London, UK</w:t>
      </w:r>
    </w:p>
    <w:p w14:paraId="57342332" w14:textId="7A0515CA" w:rsidR="00E31BEC" w:rsidRPr="007F35D3" w:rsidRDefault="00E31BEC" w:rsidP="003A6D88">
      <w:pPr>
        <w:spacing w:after="0" w:line="480" w:lineRule="auto"/>
        <w:jc w:val="both"/>
        <w:rPr>
          <w:rFonts w:ascii="Times New Roman" w:hAnsi="Times New Roman" w:cs="Times New Roman"/>
          <w:sz w:val="24"/>
          <w:szCs w:val="24"/>
        </w:rPr>
      </w:pPr>
      <w:r w:rsidRPr="00347858">
        <w:rPr>
          <w:rFonts w:ascii="Times New Roman" w:hAnsi="Times New Roman" w:cs="Times New Roman"/>
          <w:sz w:val="24"/>
          <w:szCs w:val="24"/>
          <w:vertAlign w:val="superscript"/>
        </w:rPr>
        <w:t>7</w:t>
      </w:r>
      <w:r>
        <w:rPr>
          <w:rFonts w:ascii="Times New Roman" w:hAnsi="Times New Roman" w:cs="Times New Roman"/>
          <w:sz w:val="24"/>
          <w:szCs w:val="24"/>
          <w:vertAlign w:val="superscript"/>
        </w:rPr>
        <w:t xml:space="preserve"> </w:t>
      </w:r>
      <w:r w:rsidRPr="00E31BEC">
        <w:rPr>
          <w:rFonts w:ascii="Times New Roman" w:hAnsi="Times New Roman" w:cs="Times New Roman"/>
          <w:sz w:val="24"/>
          <w:szCs w:val="24"/>
        </w:rPr>
        <w:t>Department of Neuroimaging, Institute of Psychiatry, Psychology and Neuroscience, King’s College London, London, United Kingdom.</w:t>
      </w:r>
    </w:p>
    <w:p w14:paraId="400BA9CE" w14:textId="77777777" w:rsidR="00EE27AA" w:rsidRPr="00EE3D83" w:rsidRDefault="00EE27AA" w:rsidP="003A6D88">
      <w:pPr>
        <w:spacing w:line="480" w:lineRule="auto"/>
        <w:jc w:val="both"/>
        <w:rPr>
          <w:rFonts w:ascii="Times New Roman" w:hAnsi="Times New Roman" w:cs="Times New Roman"/>
          <w:b/>
          <w:sz w:val="28"/>
          <w:szCs w:val="28"/>
        </w:rPr>
      </w:pPr>
    </w:p>
    <w:p w14:paraId="1A7E0AF2" w14:textId="77777777" w:rsidR="00EE27AA" w:rsidRPr="00EE3D83" w:rsidRDefault="00EE27AA" w:rsidP="003A6D88">
      <w:pPr>
        <w:spacing w:line="480" w:lineRule="auto"/>
        <w:jc w:val="both"/>
        <w:rPr>
          <w:rFonts w:ascii="Times New Roman" w:hAnsi="Times New Roman" w:cs="Times New Roman"/>
          <w:sz w:val="24"/>
          <w:szCs w:val="28"/>
        </w:rPr>
      </w:pPr>
      <w:r w:rsidRPr="00EE3D83">
        <w:rPr>
          <w:rFonts w:ascii="Times New Roman" w:hAnsi="Times New Roman" w:cs="Times New Roman"/>
          <w:b/>
          <w:sz w:val="24"/>
          <w:szCs w:val="28"/>
        </w:rPr>
        <w:t xml:space="preserve">Correspondance to: </w:t>
      </w:r>
      <w:r w:rsidRPr="00EE3D83">
        <w:rPr>
          <w:rFonts w:ascii="Times New Roman" w:hAnsi="Times New Roman" w:cs="Times New Roman"/>
          <w:sz w:val="24"/>
          <w:szCs w:val="28"/>
        </w:rPr>
        <w:t>Marios Politis, Neurodegeneration Imaging Group, Department of Clinical Neuroscience, Institute of Psychiatry, Psychology and Neuroscience (IoPPN), King’s College London, 16 De Crespigny Park, London SE5 8AF, UK.</w:t>
      </w:r>
    </w:p>
    <w:p w14:paraId="7076A7D9" w14:textId="77777777" w:rsidR="00EE27AA" w:rsidRPr="00EE3D83" w:rsidRDefault="00EE27AA" w:rsidP="003A6D88">
      <w:pPr>
        <w:spacing w:line="480" w:lineRule="auto"/>
        <w:jc w:val="both"/>
        <w:rPr>
          <w:rFonts w:ascii="Times New Roman" w:hAnsi="Times New Roman" w:cs="Times New Roman"/>
          <w:sz w:val="24"/>
          <w:szCs w:val="28"/>
        </w:rPr>
      </w:pPr>
      <w:r w:rsidRPr="00EE3D83">
        <w:rPr>
          <w:rFonts w:ascii="Times New Roman" w:hAnsi="Times New Roman" w:cs="Times New Roman"/>
          <w:sz w:val="24"/>
          <w:szCs w:val="28"/>
        </w:rPr>
        <w:t>E-mail: marios.politis@kcl.ac.uk</w:t>
      </w:r>
    </w:p>
    <w:p w14:paraId="13122A0B" w14:textId="77777777" w:rsidR="00EE27AA" w:rsidRPr="00EE3D83" w:rsidRDefault="00EE27AA" w:rsidP="003A6D88">
      <w:pPr>
        <w:spacing w:line="480" w:lineRule="auto"/>
        <w:jc w:val="both"/>
        <w:rPr>
          <w:rFonts w:ascii="Times New Roman" w:hAnsi="Times New Roman" w:cs="Times New Roman"/>
          <w:b/>
          <w:sz w:val="24"/>
          <w:szCs w:val="28"/>
        </w:rPr>
      </w:pPr>
    </w:p>
    <w:p w14:paraId="3AE3A55D" w14:textId="7DFDE62E" w:rsidR="008D32A9" w:rsidRPr="00932158" w:rsidRDefault="008D32A9" w:rsidP="003A6D88">
      <w:pPr>
        <w:spacing w:line="480" w:lineRule="auto"/>
        <w:jc w:val="both"/>
        <w:rPr>
          <w:rFonts w:ascii="Times New Roman" w:hAnsi="Times New Roman" w:cs="Times New Roman"/>
          <w:sz w:val="24"/>
          <w:szCs w:val="28"/>
        </w:rPr>
      </w:pPr>
      <w:r w:rsidRPr="00EE3D83">
        <w:rPr>
          <w:rFonts w:ascii="Times New Roman" w:hAnsi="Times New Roman" w:cs="Times New Roman"/>
          <w:b/>
          <w:sz w:val="28"/>
          <w:szCs w:val="28"/>
        </w:rPr>
        <w:t>Running title:</w:t>
      </w:r>
      <w:r w:rsidRPr="00EE3D83">
        <w:rPr>
          <w:rFonts w:ascii="Times New Roman" w:hAnsi="Times New Roman" w:cs="Times New Roman"/>
          <w:sz w:val="24"/>
          <w:szCs w:val="28"/>
        </w:rPr>
        <w:t xml:space="preserve"> PDE-10A loss in Parkinson’s disease</w:t>
      </w:r>
    </w:p>
    <w:p w14:paraId="54E78D72" w14:textId="77777777" w:rsidR="00EE27AA" w:rsidRPr="004E4A1F" w:rsidRDefault="00EE27AA" w:rsidP="003A6D88">
      <w:pPr>
        <w:spacing w:line="480" w:lineRule="auto"/>
        <w:jc w:val="both"/>
        <w:rPr>
          <w:rFonts w:ascii="Times New Roman" w:hAnsi="Times New Roman" w:cs="Times New Roman"/>
          <w:b/>
          <w:sz w:val="28"/>
          <w:szCs w:val="28"/>
        </w:rPr>
      </w:pPr>
    </w:p>
    <w:p w14:paraId="522A27BA" w14:textId="77777777" w:rsidR="008D32A9" w:rsidRPr="00EE3D83" w:rsidRDefault="008D32A9" w:rsidP="003A6D88">
      <w:pPr>
        <w:spacing w:line="480" w:lineRule="auto"/>
        <w:jc w:val="both"/>
        <w:rPr>
          <w:rFonts w:ascii="Times New Roman" w:hAnsi="Times New Roman" w:cs="Times New Roman"/>
          <w:b/>
          <w:sz w:val="28"/>
          <w:szCs w:val="28"/>
        </w:rPr>
      </w:pPr>
      <w:r w:rsidRPr="004E4A1F">
        <w:rPr>
          <w:rFonts w:ascii="Times New Roman" w:hAnsi="Times New Roman" w:cs="Times New Roman"/>
          <w:b/>
          <w:sz w:val="28"/>
          <w:szCs w:val="28"/>
        </w:rPr>
        <w:t>Abstract</w:t>
      </w:r>
    </w:p>
    <w:p w14:paraId="601B594D" w14:textId="4DABCE7B" w:rsidR="005D02C3" w:rsidRPr="003208E8" w:rsidRDefault="005D02C3" w:rsidP="005D02C3">
      <w:pPr>
        <w:spacing w:line="480" w:lineRule="auto"/>
        <w:jc w:val="both"/>
        <w:rPr>
          <w:rFonts w:ascii="Times New Roman" w:hAnsi="Times New Roman" w:cs="Times New Roman"/>
          <w:sz w:val="24"/>
          <w:szCs w:val="28"/>
        </w:rPr>
      </w:pPr>
      <w:r w:rsidRPr="003208E8">
        <w:rPr>
          <w:rFonts w:ascii="Times New Roman" w:hAnsi="Times New Roman" w:cs="Times New Roman"/>
          <w:sz w:val="24"/>
          <w:szCs w:val="28"/>
        </w:rPr>
        <w:t xml:space="preserve">The mechanisms underlying neurodegeneration and loss of dopaminergic </w:t>
      </w:r>
      <w:r w:rsidRPr="00932158">
        <w:rPr>
          <w:rFonts w:ascii="Times New Roman" w:hAnsi="Times New Roman" w:cs="Times New Roman"/>
          <w:sz w:val="24"/>
          <w:szCs w:val="28"/>
        </w:rPr>
        <w:t>signalling</w:t>
      </w:r>
      <w:r>
        <w:rPr>
          <w:rFonts w:ascii="Times New Roman" w:hAnsi="Times New Roman" w:cs="Times New Roman"/>
          <w:sz w:val="24"/>
          <w:szCs w:val="28"/>
        </w:rPr>
        <w:t xml:space="preserve"> </w:t>
      </w:r>
      <w:r w:rsidRPr="003208E8">
        <w:rPr>
          <w:rFonts w:ascii="Times New Roman" w:hAnsi="Times New Roman" w:cs="Times New Roman"/>
          <w:sz w:val="24"/>
          <w:szCs w:val="28"/>
        </w:rPr>
        <w:t xml:space="preserve">in Parkinson’s disease are still </w:t>
      </w:r>
      <w:r>
        <w:rPr>
          <w:rFonts w:ascii="Times New Roman" w:hAnsi="Times New Roman" w:cs="Times New Roman"/>
          <w:sz w:val="24"/>
          <w:szCs w:val="28"/>
        </w:rPr>
        <w:t>only partially</w:t>
      </w:r>
      <w:r w:rsidRPr="003208E8">
        <w:rPr>
          <w:rFonts w:ascii="Times New Roman" w:hAnsi="Times New Roman" w:cs="Times New Roman"/>
          <w:sz w:val="24"/>
          <w:szCs w:val="28"/>
        </w:rPr>
        <w:t xml:space="preserve"> understood. Phosphodiesterase 10A (PDE-10A) is</w:t>
      </w:r>
      <w:r>
        <w:rPr>
          <w:rFonts w:ascii="Times New Roman" w:hAnsi="Times New Roman" w:cs="Times New Roman"/>
          <w:sz w:val="24"/>
          <w:szCs w:val="28"/>
        </w:rPr>
        <w:t xml:space="preserve"> a basal ganglia expressed</w:t>
      </w:r>
      <w:r w:rsidRPr="003208E8">
        <w:rPr>
          <w:rFonts w:ascii="Times New Roman" w:hAnsi="Times New Roman" w:cs="Times New Roman"/>
          <w:sz w:val="24"/>
          <w:szCs w:val="28"/>
        </w:rPr>
        <w:t xml:space="preserve"> dual substrate enzyme</w:t>
      </w:r>
      <w:r>
        <w:rPr>
          <w:rFonts w:ascii="Times New Roman" w:hAnsi="Times New Roman" w:cs="Times New Roman"/>
          <w:sz w:val="24"/>
          <w:szCs w:val="28"/>
        </w:rPr>
        <w:t>, which</w:t>
      </w:r>
      <w:r w:rsidRPr="003208E8">
        <w:rPr>
          <w:rFonts w:ascii="Times New Roman" w:hAnsi="Times New Roman" w:cs="Times New Roman"/>
          <w:sz w:val="24"/>
          <w:szCs w:val="28"/>
        </w:rPr>
        <w:t xml:space="preserve"> regulates cAMP</w:t>
      </w:r>
      <w:r>
        <w:rPr>
          <w:rFonts w:ascii="Times New Roman" w:hAnsi="Times New Roman" w:cs="Times New Roman"/>
          <w:sz w:val="24"/>
          <w:szCs w:val="28"/>
        </w:rPr>
        <w:t xml:space="preserve"> and </w:t>
      </w:r>
      <w:r w:rsidRPr="003208E8">
        <w:rPr>
          <w:rFonts w:ascii="Times New Roman" w:hAnsi="Times New Roman" w:cs="Times New Roman"/>
          <w:sz w:val="24"/>
          <w:szCs w:val="28"/>
        </w:rPr>
        <w:t xml:space="preserve">cGMP signalling cascades, thus having a key role in the regulation of </w:t>
      </w:r>
      <w:r w:rsidRPr="00A90761">
        <w:rPr>
          <w:rFonts w:ascii="Times New Roman" w:hAnsi="Times New Roman" w:cs="Times New Roman"/>
          <w:sz w:val="24"/>
          <w:szCs w:val="28"/>
        </w:rPr>
        <w:t xml:space="preserve">dopaminergic </w:t>
      </w:r>
      <w:r w:rsidRPr="00932158">
        <w:rPr>
          <w:rFonts w:ascii="Times New Roman" w:hAnsi="Times New Roman" w:cs="Times New Roman"/>
          <w:sz w:val="24"/>
          <w:szCs w:val="28"/>
        </w:rPr>
        <w:t>signalling</w:t>
      </w:r>
      <w:r>
        <w:rPr>
          <w:rFonts w:ascii="Times New Roman" w:hAnsi="Times New Roman" w:cs="Times New Roman"/>
          <w:sz w:val="24"/>
          <w:szCs w:val="28"/>
        </w:rPr>
        <w:t xml:space="preserve"> in </w:t>
      </w:r>
      <w:r w:rsidRPr="003208E8">
        <w:rPr>
          <w:rFonts w:ascii="Times New Roman" w:hAnsi="Times New Roman" w:cs="Times New Roman"/>
          <w:sz w:val="24"/>
          <w:szCs w:val="28"/>
        </w:rPr>
        <w:t>striatal pathways, and in promoting neuronal survival. Th</w:t>
      </w:r>
      <w:r>
        <w:rPr>
          <w:rFonts w:ascii="Times New Roman" w:hAnsi="Times New Roman" w:cs="Times New Roman"/>
          <w:sz w:val="24"/>
          <w:szCs w:val="28"/>
        </w:rPr>
        <w:t>is study</w:t>
      </w:r>
      <w:r w:rsidRPr="003208E8">
        <w:rPr>
          <w:rFonts w:ascii="Times New Roman" w:hAnsi="Times New Roman" w:cs="Times New Roman"/>
          <w:sz w:val="24"/>
          <w:szCs w:val="28"/>
        </w:rPr>
        <w:t xml:space="preserve"> aim</w:t>
      </w:r>
      <w:r>
        <w:rPr>
          <w:rFonts w:ascii="Times New Roman" w:hAnsi="Times New Roman" w:cs="Times New Roman"/>
          <w:sz w:val="24"/>
          <w:szCs w:val="28"/>
        </w:rPr>
        <w:t>ed</w:t>
      </w:r>
      <w:r w:rsidRPr="003208E8">
        <w:rPr>
          <w:rFonts w:ascii="Times New Roman" w:hAnsi="Times New Roman" w:cs="Times New Roman"/>
          <w:sz w:val="24"/>
          <w:szCs w:val="28"/>
        </w:rPr>
        <w:t xml:space="preserve"> to </w:t>
      </w:r>
      <w:r w:rsidRPr="00EE3D83">
        <w:rPr>
          <w:rFonts w:ascii="Times New Roman" w:hAnsi="Times New Roman" w:cs="Times New Roman"/>
          <w:sz w:val="24"/>
          <w:szCs w:val="28"/>
        </w:rPr>
        <w:t xml:space="preserve">assess </w:t>
      </w:r>
      <w:r w:rsidRPr="00932158">
        <w:rPr>
          <w:rFonts w:ascii="Times New Roman" w:hAnsi="Times New Roman" w:cs="Times New Roman"/>
          <w:i/>
          <w:sz w:val="24"/>
          <w:szCs w:val="28"/>
        </w:rPr>
        <w:t>in vivo</w:t>
      </w:r>
      <w:r w:rsidRPr="00932158">
        <w:rPr>
          <w:rFonts w:ascii="Times New Roman" w:hAnsi="Times New Roman" w:cs="Times New Roman"/>
          <w:sz w:val="24"/>
          <w:szCs w:val="28"/>
        </w:rPr>
        <w:t xml:space="preserve"> </w:t>
      </w:r>
      <w:r>
        <w:rPr>
          <w:rFonts w:ascii="Times New Roman" w:hAnsi="Times New Roman" w:cs="Times New Roman"/>
          <w:sz w:val="24"/>
          <w:szCs w:val="28"/>
        </w:rPr>
        <w:t xml:space="preserve">the </w:t>
      </w:r>
      <w:r w:rsidRPr="00932158">
        <w:rPr>
          <w:rFonts w:ascii="Times New Roman" w:hAnsi="Times New Roman" w:cs="Times New Roman"/>
          <w:sz w:val="24"/>
          <w:szCs w:val="28"/>
        </w:rPr>
        <w:t xml:space="preserve">availability of PDE-10A in </w:t>
      </w:r>
      <w:r>
        <w:rPr>
          <w:rFonts w:ascii="Times New Roman" w:hAnsi="Times New Roman" w:cs="Times New Roman"/>
          <w:sz w:val="24"/>
          <w:szCs w:val="28"/>
        </w:rPr>
        <w:t xml:space="preserve">patients with Parkinson’s disease </w:t>
      </w:r>
      <w:r w:rsidRPr="00932158">
        <w:rPr>
          <w:rFonts w:ascii="Times New Roman" w:hAnsi="Times New Roman" w:cs="Times New Roman"/>
          <w:sz w:val="24"/>
          <w:szCs w:val="28"/>
        </w:rPr>
        <w:t xml:space="preserve">using </w:t>
      </w:r>
      <w:r>
        <w:rPr>
          <w:rFonts w:ascii="Times New Roman" w:hAnsi="Times New Roman" w:cs="Times New Roman"/>
          <w:sz w:val="24"/>
          <w:szCs w:val="28"/>
        </w:rPr>
        <w:t xml:space="preserve">PET molecular imaging with </w:t>
      </w:r>
      <w:r w:rsidRPr="00932158">
        <w:rPr>
          <w:rFonts w:ascii="Times New Roman" w:hAnsi="Times New Roman" w:cs="Times New Roman"/>
          <w:sz w:val="24"/>
          <w:szCs w:val="28"/>
        </w:rPr>
        <w:t>[</w:t>
      </w:r>
      <w:r w:rsidRPr="00932158">
        <w:rPr>
          <w:rFonts w:ascii="Times New Roman" w:hAnsi="Times New Roman" w:cs="Times New Roman"/>
          <w:sz w:val="24"/>
          <w:szCs w:val="28"/>
          <w:vertAlign w:val="superscript"/>
        </w:rPr>
        <w:t>11</w:t>
      </w:r>
      <w:r w:rsidRPr="00932158">
        <w:rPr>
          <w:rFonts w:ascii="Times New Roman" w:hAnsi="Times New Roman" w:cs="Times New Roman"/>
          <w:sz w:val="24"/>
          <w:szCs w:val="28"/>
        </w:rPr>
        <w:t>C]IMA107</w:t>
      </w:r>
      <w:r>
        <w:rPr>
          <w:rFonts w:ascii="Times New Roman" w:hAnsi="Times New Roman" w:cs="Times New Roman"/>
          <w:sz w:val="24"/>
          <w:szCs w:val="28"/>
        </w:rPr>
        <w:t>, a highly selective PDE-10A radioligand.</w:t>
      </w:r>
      <w:r w:rsidRPr="00932158">
        <w:rPr>
          <w:rFonts w:ascii="Times New Roman" w:hAnsi="Times New Roman" w:cs="Times New Roman"/>
          <w:sz w:val="24"/>
          <w:szCs w:val="28"/>
        </w:rPr>
        <w:t xml:space="preserve"> </w:t>
      </w:r>
      <w:r w:rsidRPr="003208E8">
        <w:rPr>
          <w:rFonts w:ascii="Times New Roman" w:hAnsi="Times New Roman" w:cs="Times New Roman"/>
          <w:sz w:val="24"/>
          <w:szCs w:val="28"/>
        </w:rPr>
        <w:t>We studied 24 patients with levodopa-treated</w:t>
      </w:r>
      <w:r>
        <w:rPr>
          <w:rFonts w:ascii="Times New Roman" w:hAnsi="Times New Roman" w:cs="Times New Roman"/>
          <w:sz w:val="24"/>
          <w:szCs w:val="28"/>
        </w:rPr>
        <w:t>,</w:t>
      </w:r>
      <w:r w:rsidRPr="003208E8">
        <w:rPr>
          <w:rFonts w:ascii="Times New Roman" w:hAnsi="Times New Roman" w:cs="Times New Roman"/>
          <w:sz w:val="24"/>
          <w:szCs w:val="28"/>
        </w:rPr>
        <w:t xml:space="preserve"> </w:t>
      </w:r>
      <w:r>
        <w:rPr>
          <w:rFonts w:ascii="Times New Roman" w:hAnsi="Times New Roman" w:cs="Times New Roman"/>
          <w:sz w:val="24"/>
          <w:szCs w:val="28"/>
        </w:rPr>
        <w:t>moderate to advanced Parkinson’s disease. Their PET imaging data were</w:t>
      </w:r>
      <w:r w:rsidRPr="003208E8">
        <w:rPr>
          <w:rFonts w:ascii="Times New Roman" w:hAnsi="Times New Roman" w:cs="Times New Roman"/>
          <w:sz w:val="24"/>
          <w:szCs w:val="28"/>
        </w:rPr>
        <w:t xml:space="preserve"> compared to</w:t>
      </w:r>
      <w:r>
        <w:rPr>
          <w:rFonts w:ascii="Times New Roman" w:hAnsi="Times New Roman" w:cs="Times New Roman"/>
          <w:sz w:val="24"/>
          <w:szCs w:val="28"/>
        </w:rPr>
        <w:t xml:space="preserve"> those from</w:t>
      </w:r>
      <w:r w:rsidRPr="003208E8">
        <w:rPr>
          <w:rFonts w:ascii="Times New Roman" w:hAnsi="Times New Roman" w:cs="Times New Roman"/>
          <w:sz w:val="24"/>
          <w:szCs w:val="28"/>
        </w:rPr>
        <w:t xml:space="preserve"> a group of 12 healthy controls. Parametric images of [</w:t>
      </w:r>
      <w:r w:rsidRPr="003208E8">
        <w:rPr>
          <w:rFonts w:ascii="Times New Roman" w:hAnsi="Times New Roman" w:cs="Times New Roman"/>
          <w:sz w:val="24"/>
          <w:szCs w:val="28"/>
          <w:vertAlign w:val="superscript"/>
        </w:rPr>
        <w:t>11</w:t>
      </w:r>
      <w:r w:rsidRPr="003208E8">
        <w:rPr>
          <w:rFonts w:ascii="Times New Roman" w:hAnsi="Times New Roman" w:cs="Times New Roman"/>
          <w:sz w:val="24"/>
          <w:szCs w:val="28"/>
        </w:rPr>
        <w:t>C]IMA107 binding potential relative to non-displaceable binding (BP</w:t>
      </w:r>
      <w:r w:rsidRPr="003208E8">
        <w:rPr>
          <w:rFonts w:ascii="Times New Roman" w:hAnsi="Times New Roman" w:cs="Times New Roman"/>
          <w:sz w:val="24"/>
          <w:szCs w:val="28"/>
          <w:vertAlign w:val="subscript"/>
        </w:rPr>
        <w:t>ND</w:t>
      </w:r>
      <w:r w:rsidRPr="003208E8">
        <w:rPr>
          <w:rFonts w:ascii="Times New Roman" w:hAnsi="Times New Roman" w:cs="Times New Roman"/>
          <w:sz w:val="24"/>
          <w:szCs w:val="28"/>
        </w:rPr>
        <w:t>) were generated from the dynamic [</w:t>
      </w:r>
      <w:r w:rsidRPr="003208E8">
        <w:rPr>
          <w:rFonts w:ascii="Times New Roman" w:hAnsi="Times New Roman" w:cs="Times New Roman"/>
          <w:sz w:val="24"/>
          <w:szCs w:val="28"/>
          <w:vertAlign w:val="superscript"/>
        </w:rPr>
        <w:t>11</w:t>
      </w:r>
      <w:r w:rsidRPr="003208E8">
        <w:rPr>
          <w:rFonts w:ascii="Times New Roman" w:hAnsi="Times New Roman" w:cs="Times New Roman"/>
          <w:sz w:val="24"/>
          <w:szCs w:val="28"/>
        </w:rPr>
        <w:t xml:space="preserve">C]IMA107 scans using the simplified reference tissue model with the cerebellum as the reference tissue. </w:t>
      </w:r>
      <w:r>
        <w:rPr>
          <w:rFonts w:ascii="Times New Roman" w:hAnsi="Times New Roman" w:cs="Times New Roman"/>
          <w:sz w:val="24"/>
          <w:szCs w:val="28"/>
        </w:rPr>
        <w:t>Corresponding r</w:t>
      </w:r>
      <w:r w:rsidRPr="003208E8">
        <w:rPr>
          <w:rFonts w:ascii="Times New Roman" w:hAnsi="Times New Roman" w:cs="Times New Roman"/>
          <w:sz w:val="24"/>
          <w:szCs w:val="28"/>
        </w:rPr>
        <w:t>egion</w:t>
      </w:r>
      <w:r>
        <w:rPr>
          <w:rFonts w:ascii="Times New Roman" w:hAnsi="Times New Roman" w:cs="Times New Roman"/>
          <w:sz w:val="24"/>
          <w:szCs w:val="28"/>
        </w:rPr>
        <w:t>-</w:t>
      </w:r>
      <w:r w:rsidRPr="003208E8">
        <w:rPr>
          <w:rFonts w:ascii="Times New Roman" w:hAnsi="Times New Roman" w:cs="Times New Roman"/>
          <w:sz w:val="24"/>
          <w:szCs w:val="28"/>
        </w:rPr>
        <w:t xml:space="preserve">of-interest </w:t>
      </w:r>
      <w:r>
        <w:rPr>
          <w:rFonts w:ascii="Times New Roman" w:hAnsi="Times New Roman" w:cs="Times New Roman"/>
          <w:sz w:val="24"/>
          <w:szCs w:val="28"/>
        </w:rPr>
        <w:t xml:space="preserve">analysis showed </w:t>
      </w:r>
      <w:r w:rsidRPr="003208E8">
        <w:rPr>
          <w:rFonts w:ascii="Times New Roman" w:hAnsi="Times New Roman" w:cs="Times New Roman"/>
          <w:sz w:val="24"/>
          <w:szCs w:val="28"/>
        </w:rPr>
        <w:t>lower mean [</w:t>
      </w:r>
      <w:r w:rsidRPr="003208E8">
        <w:rPr>
          <w:rFonts w:ascii="Times New Roman" w:hAnsi="Times New Roman" w:cs="Times New Roman"/>
          <w:sz w:val="24"/>
          <w:szCs w:val="28"/>
          <w:vertAlign w:val="superscript"/>
        </w:rPr>
        <w:t>11</w:t>
      </w:r>
      <w:r w:rsidRPr="003208E8">
        <w:rPr>
          <w:rFonts w:ascii="Times New Roman" w:hAnsi="Times New Roman" w:cs="Times New Roman"/>
          <w:sz w:val="24"/>
          <w:szCs w:val="28"/>
        </w:rPr>
        <w:t>C]IMA107 BP</w:t>
      </w:r>
      <w:r w:rsidRPr="003208E8">
        <w:rPr>
          <w:rFonts w:ascii="Times New Roman" w:hAnsi="Times New Roman" w:cs="Times New Roman"/>
          <w:sz w:val="24"/>
          <w:szCs w:val="28"/>
          <w:vertAlign w:val="subscript"/>
        </w:rPr>
        <w:t>ND</w:t>
      </w:r>
      <w:r w:rsidRPr="003208E8">
        <w:rPr>
          <w:rFonts w:ascii="Times New Roman" w:hAnsi="Times New Roman" w:cs="Times New Roman"/>
          <w:sz w:val="24"/>
          <w:szCs w:val="28"/>
        </w:rPr>
        <w:t xml:space="preserve"> in </w:t>
      </w:r>
      <w:r>
        <w:rPr>
          <w:rFonts w:ascii="Times New Roman" w:hAnsi="Times New Roman" w:cs="Times New Roman"/>
          <w:sz w:val="24"/>
          <w:szCs w:val="28"/>
        </w:rPr>
        <w:t xml:space="preserve">the </w:t>
      </w:r>
      <w:r w:rsidRPr="003208E8">
        <w:rPr>
          <w:rFonts w:ascii="Times New Roman" w:hAnsi="Times New Roman" w:cs="Times New Roman"/>
          <w:sz w:val="24"/>
          <w:szCs w:val="28"/>
        </w:rPr>
        <w:t>caudate (</w:t>
      </w:r>
      <w:r w:rsidRPr="003208E8">
        <w:rPr>
          <w:rFonts w:ascii="Times New Roman" w:hAnsi="Times New Roman" w:cs="Times New Roman"/>
          <w:i/>
          <w:sz w:val="24"/>
          <w:szCs w:val="28"/>
        </w:rPr>
        <w:t>P</w:t>
      </w:r>
      <w:r w:rsidRPr="003208E8">
        <w:rPr>
          <w:rFonts w:ascii="Times New Roman" w:hAnsi="Times New Roman" w:cs="Times New Roman"/>
          <w:sz w:val="24"/>
          <w:szCs w:val="28"/>
        </w:rPr>
        <w:t>&lt;0.001), putamen (</w:t>
      </w:r>
      <w:r w:rsidRPr="003208E8">
        <w:rPr>
          <w:rFonts w:ascii="Times New Roman" w:hAnsi="Times New Roman" w:cs="Times New Roman"/>
          <w:i/>
          <w:sz w:val="24"/>
          <w:szCs w:val="28"/>
        </w:rPr>
        <w:t>P</w:t>
      </w:r>
      <w:r w:rsidRPr="003208E8">
        <w:rPr>
          <w:rFonts w:ascii="Times New Roman" w:hAnsi="Times New Roman" w:cs="Times New Roman"/>
          <w:sz w:val="24"/>
          <w:szCs w:val="28"/>
        </w:rPr>
        <w:t>&lt;0.001) and globus pallidus (</w:t>
      </w:r>
      <w:r w:rsidRPr="003208E8">
        <w:rPr>
          <w:rFonts w:ascii="Times New Roman" w:hAnsi="Times New Roman" w:cs="Times New Roman"/>
          <w:i/>
          <w:sz w:val="24"/>
          <w:szCs w:val="28"/>
        </w:rPr>
        <w:t>P</w:t>
      </w:r>
      <w:r w:rsidRPr="003208E8">
        <w:rPr>
          <w:rFonts w:ascii="Times New Roman" w:hAnsi="Times New Roman" w:cs="Times New Roman"/>
          <w:sz w:val="24"/>
          <w:szCs w:val="28"/>
        </w:rPr>
        <w:t xml:space="preserve">=0.025) </w:t>
      </w:r>
      <w:r>
        <w:rPr>
          <w:rFonts w:ascii="Times New Roman" w:hAnsi="Times New Roman" w:cs="Times New Roman"/>
          <w:sz w:val="24"/>
          <w:szCs w:val="28"/>
        </w:rPr>
        <w:t xml:space="preserve">in Parkinson’s disease patients </w:t>
      </w:r>
      <w:r w:rsidRPr="003208E8">
        <w:rPr>
          <w:rFonts w:ascii="Times New Roman" w:hAnsi="Times New Roman" w:cs="Times New Roman"/>
          <w:sz w:val="24"/>
          <w:szCs w:val="28"/>
        </w:rPr>
        <w:t>compared to healthy controls</w:t>
      </w:r>
      <w:r>
        <w:rPr>
          <w:rFonts w:ascii="Times New Roman" w:hAnsi="Times New Roman" w:cs="Times New Roman"/>
          <w:sz w:val="24"/>
          <w:szCs w:val="28"/>
        </w:rPr>
        <w:t xml:space="preserve">, that was confirmed with </w:t>
      </w:r>
      <w:r w:rsidRPr="00A90761">
        <w:rPr>
          <w:rFonts w:ascii="Times New Roman" w:hAnsi="Times New Roman" w:cs="Times New Roman"/>
          <w:sz w:val="24"/>
          <w:szCs w:val="28"/>
        </w:rPr>
        <w:t>voxel-based analysis</w:t>
      </w:r>
      <w:r w:rsidRPr="003208E8">
        <w:rPr>
          <w:rFonts w:ascii="Times New Roman" w:hAnsi="Times New Roman" w:cs="Times New Roman"/>
          <w:sz w:val="24"/>
          <w:szCs w:val="28"/>
        </w:rPr>
        <w:t xml:space="preserve">. Longer </w:t>
      </w:r>
      <w:r>
        <w:rPr>
          <w:rFonts w:ascii="Times New Roman" w:hAnsi="Times New Roman" w:cs="Times New Roman"/>
          <w:sz w:val="24"/>
          <w:szCs w:val="28"/>
        </w:rPr>
        <w:t xml:space="preserve">Parkinson’s </w:t>
      </w:r>
      <w:r w:rsidRPr="003208E8">
        <w:rPr>
          <w:rFonts w:ascii="Times New Roman" w:hAnsi="Times New Roman" w:cs="Times New Roman"/>
          <w:sz w:val="24"/>
          <w:szCs w:val="28"/>
        </w:rPr>
        <w:t>duration correlated with lower [</w:t>
      </w:r>
      <w:r w:rsidRPr="003208E8">
        <w:rPr>
          <w:rFonts w:ascii="Times New Roman" w:hAnsi="Times New Roman" w:cs="Times New Roman"/>
          <w:sz w:val="24"/>
          <w:szCs w:val="28"/>
          <w:vertAlign w:val="superscript"/>
        </w:rPr>
        <w:t>11</w:t>
      </w:r>
      <w:r w:rsidRPr="003208E8">
        <w:rPr>
          <w:rFonts w:ascii="Times New Roman" w:hAnsi="Times New Roman" w:cs="Times New Roman"/>
          <w:sz w:val="24"/>
          <w:szCs w:val="28"/>
        </w:rPr>
        <w:t>C]IMA107 BP</w:t>
      </w:r>
      <w:r w:rsidRPr="003208E8">
        <w:rPr>
          <w:rFonts w:ascii="Times New Roman" w:hAnsi="Times New Roman" w:cs="Times New Roman"/>
          <w:sz w:val="24"/>
          <w:szCs w:val="28"/>
          <w:vertAlign w:val="subscript"/>
        </w:rPr>
        <w:t xml:space="preserve">ND </w:t>
      </w:r>
      <w:r w:rsidRPr="003208E8">
        <w:rPr>
          <w:rFonts w:ascii="Times New Roman" w:hAnsi="Times New Roman" w:cs="Times New Roman"/>
          <w:sz w:val="24"/>
          <w:szCs w:val="28"/>
        </w:rPr>
        <w:t xml:space="preserve">in </w:t>
      </w:r>
      <w:r>
        <w:rPr>
          <w:rFonts w:ascii="Times New Roman" w:hAnsi="Times New Roman" w:cs="Times New Roman"/>
          <w:sz w:val="24"/>
          <w:szCs w:val="28"/>
        </w:rPr>
        <w:t xml:space="preserve">the </w:t>
      </w:r>
      <w:r w:rsidRPr="003208E8">
        <w:rPr>
          <w:rFonts w:ascii="Times New Roman" w:hAnsi="Times New Roman" w:cs="Times New Roman"/>
          <w:sz w:val="24"/>
          <w:szCs w:val="28"/>
        </w:rPr>
        <w:t>caudate (</w:t>
      </w:r>
      <w:r w:rsidRPr="003208E8">
        <w:rPr>
          <w:rFonts w:ascii="Times New Roman" w:hAnsi="Times New Roman" w:cs="Times New Roman"/>
          <w:i/>
          <w:sz w:val="24"/>
          <w:szCs w:val="28"/>
        </w:rPr>
        <w:t>r</w:t>
      </w:r>
      <w:r w:rsidRPr="003208E8">
        <w:rPr>
          <w:rFonts w:ascii="Times New Roman" w:hAnsi="Times New Roman" w:cs="Times New Roman"/>
          <w:sz w:val="24"/>
          <w:szCs w:val="28"/>
        </w:rPr>
        <w:t xml:space="preserve">=−0.65; </w:t>
      </w:r>
      <w:r w:rsidRPr="003208E8">
        <w:rPr>
          <w:rFonts w:ascii="Times New Roman" w:hAnsi="Times New Roman" w:cs="Times New Roman"/>
          <w:i/>
          <w:sz w:val="24"/>
          <w:szCs w:val="28"/>
        </w:rPr>
        <w:t>P</w:t>
      </w:r>
      <w:r w:rsidRPr="003208E8">
        <w:rPr>
          <w:rFonts w:ascii="Times New Roman" w:hAnsi="Times New Roman" w:cs="Times New Roman"/>
          <w:sz w:val="24"/>
          <w:szCs w:val="28"/>
        </w:rPr>
        <w:t>=0.005), putamen (</w:t>
      </w:r>
      <w:r w:rsidRPr="003208E8">
        <w:rPr>
          <w:rFonts w:ascii="Times New Roman" w:hAnsi="Times New Roman" w:cs="Times New Roman"/>
          <w:i/>
          <w:sz w:val="24"/>
          <w:szCs w:val="28"/>
        </w:rPr>
        <w:t>r</w:t>
      </w:r>
      <w:r w:rsidRPr="003208E8">
        <w:rPr>
          <w:rFonts w:ascii="Times New Roman" w:hAnsi="Times New Roman" w:cs="Times New Roman"/>
          <w:sz w:val="24"/>
          <w:szCs w:val="28"/>
        </w:rPr>
        <w:t xml:space="preserve">=−0.51; </w:t>
      </w:r>
      <w:r w:rsidRPr="003208E8">
        <w:rPr>
          <w:rFonts w:ascii="Times New Roman" w:hAnsi="Times New Roman" w:cs="Times New Roman"/>
          <w:i/>
          <w:sz w:val="24"/>
          <w:szCs w:val="28"/>
        </w:rPr>
        <w:t>P</w:t>
      </w:r>
      <w:r w:rsidRPr="003208E8">
        <w:rPr>
          <w:rFonts w:ascii="Times New Roman" w:hAnsi="Times New Roman" w:cs="Times New Roman"/>
          <w:sz w:val="24"/>
          <w:szCs w:val="28"/>
        </w:rPr>
        <w:t>=0.025), and globus pallidus (</w:t>
      </w:r>
      <w:r w:rsidRPr="003208E8">
        <w:rPr>
          <w:rFonts w:ascii="Times New Roman" w:hAnsi="Times New Roman" w:cs="Times New Roman"/>
          <w:i/>
          <w:sz w:val="24"/>
          <w:szCs w:val="28"/>
        </w:rPr>
        <w:t>r</w:t>
      </w:r>
      <w:r w:rsidRPr="003208E8">
        <w:rPr>
          <w:rFonts w:ascii="Times New Roman" w:hAnsi="Times New Roman" w:cs="Times New Roman"/>
          <w:sz w:val="24"/>
          <w:szCs w:val="28"/>
        </w:rPr>
        <w:t xml:space="preserve">=−0.47; </w:t>
      </w:r>
      <w:r w:rsidRPr="003208E8">
        <w:rPr>
          <w:rFonts w:ascii="Times New Roman" w:hAnsi="Times New Roman" w:cs="Times New Roman"/>
          <w:i/>
          <w:sz w:val="24"/>
          <w:szCs w:val="28"/>
        </w:rPr>
        <w:t>P</w:t>
      </w:r>
      <w:r w:rsidRPr="003208E8">
        <w:rPr>
          <w:rFonts w:ascii="Times New Roman" w:hAnsi="Times New Roman" w:cs="Times New Roman"/>
          <w:sz w:val="24"/>
          <w:szCs w:val="28"/>
        </w:rPr>
        <w:t xml:space="preserve">=0.030). Higher </w:t>
      </w:r>
      <w:r>
        <w:rPr>
          <w:rFonts w:ascii="Times New Roman" w:hAnsi="Times New Roman" w:cs="Times New Roman"/>
          <w:sz w:val="24"/>
          <w:szCs w:val="28"/>
        </w:rPr>
        <w:t>U</w:t>
      </w:r>
      <w:r w:rsidRPr="00324BA9">
        <w:rPr>
          <w:rFonts w:ascii="Times New Roman" w:hAnsi="Times New Roman" w:cs="Times New Roman"/>
          <w:sz w:val="24"/>
          <w:szCs w:val="28"/>
        </w:rPr>
        <w:t xml:space="preserve">nified Parkinson's </w:t>
      </w:r>
      <w:r>
        <w:rPr>
          <w:rFonts w:ascii="Times New Roman" w:hAnsi="Times New Roman" w:cs="Times New Roman"/>
          <w:sz w:val="24"/>
          <w:szCs w:val="28"/>
        </w:rPr>
        <w:t>D</w:t>
      </w:r>
      <w:r w:rsidRPr="00324BA9">
        <w:rPr>
          <w:rFonts w:ascii="Times New Roman" w:hAnsi="Times New Roman" w:cs="Times New Roman"/>
          <w:sz w:val="24"/>
          <w:szCs w:val="28"/>
        </w:rPr>
        <w:t xml:space="preserve">isease </w:t>
      </w:r>
      <w:r>
        <w:rPr>
          <w:rFonts w:ascii="Times New Roman" w:hAnsi="Times New Roman" w:cs="Times New Roman"/>
          <w:sz w:val="24"/>
          <w:szCs w:val="28"/>
        </w:rPr>
        <w:t>R</w:t>
      </w:r>
      <w:r w:rsidRPr="00324BA9">
        <w:rPr>
          <w:rFonts w:ascii="Times New Roman" w:hAnsi="Times New Roman" w:cs="Times New Roman"/>
          <w:sz w:val="24"/>
          <w:szCs w:val="28"/>
        </w:rPr>
        <w:t xml:space="preserve">ating </w:t>
      </w:r>
      <w:r>
        <w:rPr>
          <w:rFonts w:ascii="Times New Roman" w:hAnsi="Times New Roman" w:cs="Times New Roman"/>
          <w:sz w:val="24"/>
          <w:szCs w:val="28"/>
        </w:rPr>
        <w:t>S</w:t>
      </w:r>
      <w:r w:rsidRPr="00324BA9">
        <w:rPr>
          <w:rFonts w:ascii="Times New Roman" w:hAnsi="Times New Roman" w:cs="Times New Roman"/>
          <w:sz w:val="24"/>
          <w:szCs w:val="28"/>
        </w:rPr>
        <w:t xml:space="preserve">cale </w:t>
      </w:r>
      <w:r>
        <w:rPr>
          <w:rFonts w:ascii="Times New Roman" w:hAnsi="Times New Roman" w:cs="Times New Roman"/>
          <w:sz w:val="24"/>
          <w:szCs w:val="28"/>
        </w:rPr>
        <w:t>part</w:t>
      </w:r>
      <w:r w:rsidRPr="003208E8">
        <w:rPr>
          <w:rFonts w:ascii="Times New Roman" w:hAnsi="Times New Roman" w:cs="Times New Roman"/>
          <w:sz w:val="24"/>
          <w:szCs w:val="28"/>
        </w:rPr>
        <w:t xml:space="preserve">-III </w:t>
      </w:r>
      <w:r>
        <w:rPr>
          <w:rFonts w:ascii="Times New Roman" w:hAnsi="Times New Roman" w:cs="Times New Roman"/>
          <w:sz w:val="24"/>
          <w:szCs w:val="28"/>
        </w:rPr>
        <w:t xml:space="preserve">motor </w:t>
      </w:r>
      <w:r w:rsidRPr="003208E8">
        <w:rPr>
          <w:rFonts w:ascii="Times New Roman" w:hAnsi="Times New Roman" w:cs="Times New Roman"/>
          <w:sz w:val="24"/>
          <w:szCs w:val="28"/>
        </w:rPr>
        <w:t>scores correlated with lower [</w:t>
      </w:r>
      <w:r w:rsidRPr="003208E8">
        <w:rPr>
          <w:rFonts w:ascii="Times New Roman" w:hAnsi="Times New Roman" w:cs="Times New Roman"/>
          <w:sz w:val="24"/>
          <w:szCs w:val="28"/>
          <w:vertAlign w:val="superscript"/>
        </w:rPr>
        <w:t>11</w:t>
      </w:r>
      <w:r w:rsidRPr="003208E8">
        <w:rPr>
          <w:rFonts w:ascii="Times New Roman" w:hAnsi="Times New Roman" w:cs="Times New Roman"/>
          <w:sz w:val="24"/>
          <w:szCs w:val="28"/>
        </w:rPr>
        <w:t>C]IMA107 BP</w:t>
      </w:r>
      <w:r w:rsidRPr="003208E8">
        <w:rPr>
          <w:rFonts w:ascii="Times New Roman" w:hAnsi="Times New Roman" w:cs="Times New Roman"/>
          <w:sz w:val="24"/>
          <w:szCs w:val="28"/>
          <w:vertAlign w:val="subscript"/>
        </w:rPr>
        <w:t xml:space="preserve">ND </w:t>
      </w:r>
      <w:r w:rsidRPr="003208E8">
        <w:rPr>
          <w:rFonts w:ascii="Times New Roman" w:hAnsi="Times New Roman" w:cs="Times New Roman"/>
          <w:sz w:val="24"/>
          <w:szCs w:val="28"/>
        </w:rPr>
        <w:t xml:space="preserve">in </w:t>
      </w:r>
      <w:r>
        <w:rPr>
          <w:rFonts w:ascii="Times New Roman" w:hAnsi="Times New Roman" w:cs="Times New Roman"/>
          <w:sz w:val="24"/>
          <w:szCs w:val="28"/>
        </w:rPr>
        <w:t xml:space="preserve">the </w:t>
      </w:r>
      <w:r w:rsidRPr="003208E8">
        <w:rPr>
          <w:rFonts w:ascii="Times New Roman" w:hAnsi="Times New Roman" w:cs="Times New Roman"/>
          <w:sz w:val="24"/>
          <w:szCs w:val="28"/>
        </w:rPr>
        <w:t>caudate (</w:t>
      </w:r>
      <w:r w:rsidRPr="003208E8">
        <w:rPr>
          <w:rFonts w:ascii="Times New Roman" w:hAnsi="Times New Roman" w:cs="Times New Roman"/>
          <w:i/>
          <w:sz w:val="24"/>
          <w:szCs w:val="28"/>
        </w:rPr>
        <w:t>r</w:t>
      </w:r>
      <w:r w:rsidRPr="003208E8">
        <w:rPr>
          <w:rFonts w:ascii="Times New Roman" w:hAnsi="Times New Roman" w:cs="Times New Roman"/>
          <w:sz w:val="24"/>
          <w:szCs w:val="28"/>
        </w:rPr>
        <w:t>=−0.54;</w:t>
      </w:r>
      <w:r w:rsidRPr="003208E8">
        <w:rPr>
          <w:rFonts w:ascii="Times New Roman" w:hAnsi="Times New Roman" w:cs="Times New Roman"/>
          <w:i/>
          <w:sz w:val="24"/>
          <w:szCs w:val="28"/>
        </w:rPr>
        <w:t xml:space="preserve"> P</w:t>
      </w:r>
      <w:r w:rsidRPr="003208E8">
        <w:rPr>
          <w:rFonts w:ascii="Times New Roman" w:hAnsi="Times New Roman" w:cs="Times New Roman"/>
          <w:sz w:val="24"/>
          <w:szCs w:val="28"/>
        </w:rPr>
        <w:t>=0.011), putamen (</w:t>
      </w:r>
      <w:r w:rsidRPr="003208E8">
        <w:rPr>
          <w:rFonts w:ascii="Times New Roman" w:hAnsi="Times New Roman" w:cs="Times New Roman"/>
          <w:i/>
          <w:sz w:val="24"/>
          <w:szCs w:val="28"/>
        </w:rPr>
        <w:t>r</w:t>
      </w:r>
      <w:r w:rsidRPr="003208E8">
        <w:rPr>
          <w:rFonts w:ascii="Times New Roman" w:hAnsi="Times New Roman" w:cs="Times New Roman"/>
          <w:sz w:val="24"/>
          <w:szCs w:val="28"/>
        </w:rPr>
        <w:t>=−0.48;</w:t>
      </w:r>
      <w:r w:rsidRPr="003208E8">
        <w:rPr>
          <w:rFonts w:ascii="Times New Roman" w:hAnsi="Times New Roman" w:cs="Times New Roman"/>
          <w:i/>
          <w:sz w:val="24"/>
          <w:szCs w:val="28"/>
        </w:rPr>
        <w:t xml:space="preserve"> P</w:t>
      </w:r>
      <w:r w:rsidRPr="003208E8">
        <w:rPr>
          <w:rFonts w:ascii="Times New Roman" w:hAnsi="Times New Roman" w:cs="Times New Roman"/>
          <w:sz w:val="24"/>
          <w:szCs w:val="28"/>
        </w:rPr>
        <w:t>=0.022), and globus pallidus (</w:t>
      </w:r>
      <w:r w:rsidRPr="003208E8">
        <w:rPr>
          <w:rFonts w:ascii="Times New Roman" w:hAnsi="Times New Roman" w:cs="Times New Roman"/>
          <w:i/>
          <w:sz w:val="24"/>
          <w:szCs w:val="28"/>
        </w:rPr>
        <w:t>r</w:t>
      </w:r>
      <w:r w:rsidRPr="003208E8">
        <w:rPr>
          <w:rFonts w:ascii="Times New Roman" w:hAnsi="Times New Roman" w:cs="Times New Roman"/>
          <w:sz w:val="24"/>
          <w:szCs w:val="28"/>
        </w:rPr>
        <w:t xml:space="preserve">=−0.70; </w:t>
      </w:r>
      <w:r w:rsidRPr="003208E8">
        <w:rPr>
          <w:rFonts w:ascii="Times New Roman" w:hAnsi="Times New Roman" w:cs="Times New Roman"/>
          <w:i/>
          <w:sz w:val="24"/>
          <w:szCs w:val="28"/>
        </w:rPr>
        <w:t>P</w:t>
      </w:r>
      <w:r w:rsidRPr="003208E8">
        <w:rPr>
          <w:rFonts w:ascii="Times New Roman" w:hAnsi="Times New Roman" w:cs="Times New Roman"/>
          <w:sz w:val="24"/>
          <w:szCs w:val="28"/>
        </w:rPr>
        <w:t xml:space="preserve">&lt;0.001). </w:t>
      </w:r>
      <w:r>
        <w:rPr>
          <w:rFonts w:ascii="Times New Roman" w:hAnsi="Times New Roman" w:cs="Times New Roman"/>
          <w:sz w:val="24"/>
          <w:szCs w:val="28"/>
        </w:rPr>
        <w:t xml:space="preserve">Higher </w:t>
      </w:r>
      <w:r w:rsidRPr="004E4A1F">
        <w:rPr>
          <w:rFonts w:ascii="Times New Roman" w:hAnsi="Times New Roman" w:cs="Times New Roman"/>
          <w:sz w:val="24"/>
          <w:szCs w:val="28"/>
        </w:rPr>
        <w:t xml:space="preserve">Unified Dyskinesia Rating Scale </w:t>
      </w:r>
      <w:r>
        <w:rPr>
          <w:rFonts w:ascii="Times New Roman" w:hAnsi="Times New Roman" w:cs="Times New Roman"/>
          <w:sz w:val="24"/>
          <w:szCs w:val="28"/>
        </w:rPr>
        <w:t xml:space="preserve">scores in those Parkinson’s disease with </w:t>
      </w:r>
      <w:r w:rsidRPr="003208E8">
        <w:rPr>
          <w:rFonts w:ascii="Times New Roman" w:hAnsi="Times New Roman" w:cs="Times New Roman"/>
          <w:sz w:val="24"/>
          <w:szCs w:val="28"/>
        </w:rPr>
        <w:t>levodopa-induced dyskinesias</w:t>
      </w:r>
      <w:r>
        <w:rPr>
          <w:rFonts w:ascii="Times New Roman" w:hAnsi="Times New Roman" w:cs="Times New Roman"/>
          <w:sz w:val="24"/>
          <w:szCs w:val="28"/>
        </w:rPr>
        <w:t xml:space="preserve"> (n=12),</w:t>
      </w:r>
      <w:r w:rsidRPr="003208E8">
        <w:rPr>
          <w:rFonts w:ascii="Times New Roman" w:hAnsi="Times New Roman" w:cs="Times New Roman"/>
          <w:sz w:val="24"/>
          <w:szCs w:val="28"/>
        </w:rPr>
        <w:t xml:space="preserve"> correlated with lower [</w:t>
      </w:r>
      <w:r w:rsidRPr="003208E8">
        <w:rPr>
          <w:rFonts w:ascii="Times New Roman" w:hAnsi="Times New Roman" w:cs="Times New Roman"/>
          <w:sz w:val="24"/>
          <w:szCs w:val="28"/>
          <w:vertAlign w:val="superscript"/>
        </w:rPr>
        <w:t>11</w:t>
      </w:r>
      <w:r w:rsidRPr="003208E8">
        <w:rPr>
          <w:rFonts w:ascii="Times New Roman" w:hAnsi="Times New Roman" w:cs="Times New Roman"/>
          <w:sz w:val="24"/>
          <w:szCs w:val="28"/>
        </w:rPr>
        <w:t>C]IMA107 BP</w:t>
      </w:r>
      <w:r w:rsidRPr="003208E8">
        <w:rPr>
          <w:rFonts w:ascii="Times New Roman" w:hAnsi="Times New Roman" w:cs="Times New Roman"/>
          <w:sz w:val="24"/>
          <w:szCs w:val="28"/>
          <w:vertAlign w:val="subscript"/>
        </w:rPr>
        <w:t xml:space="preserve">ND </w:t>
      </w:r>
      <w:r w:rsidRPr="003208E8">
        <w:rPr>
          <w:rFonts w:ascii="Times New Roman" w:hAnsi="Times New Roman" w:cs="Times New Roman"/>
          <w:sz w:val="24"/>
          <w:szCs w:val="28"/>
        </w:rPr>
        <w:t xml:space="preserve">in </w:t>
      </w:r>
      <w:r>
        <w:rPr>
          <w:rFonts w:ascii="Times New Roman" w:hAnsi="Times New Roman" w:cs="Times New Roman"/>
          <w:sz w:val="24"/>
          <w:szCs w:val="28"/>
        </w:rPr>
        <w:t xml:space="preserve">the </w:t>
      </w:r>
      <w:r w:rsidRPr="003208E8">
        <w:rPr>
          <w:rFonts w:ascii="Times New Roman" w:hAnsi="Times New Roman" w:cs="Times New Roman"/>
          <w:sz w:val="24"/>
          <w:szCs w:val="28"/>
        </w:rPr>
        <w:t>caudate (</w:t>
      </w:r>
      <w:r w:rsidRPr="003208E8">
        <w:rPr>
          <w:rFonts w:ascii="Times New Roman" w:hAnsi="Times New Roman" w:cs="Times New Roman"/>
          <w:i/>
          <w:sz w:val="24"/>
          <w:szCs w:val="28"/>
        </w:rPr>
        <w:t>r</w:t>
      </w:r>
      <w:r>
        <w:rPr>
          <w:rFonts w:ascii="Times New Roman" w:hAnsi="Times New Roman" w:cs="Times New Roman"/>
          <w:sz w:val="24"/>
          <w:szCs w:val="28"/>
        </w:rPr>
        <w:t>=−0.73;</w:t>
      </w:r>
      <w:r w:rsidRPr="003208E8">
        <w:rPr>
          <w:rFonts w:ascii="Times New Roman" w:hAnsi="Times New Roman" w:cs="Times New Roman"/>
          <w:sz w:val="24"/>
          <w:szCs w:val="28"/>
        </w:rPr>
        <w:t xml:space="preserve"> </w:t>
      </w:r>
      <w:r w:rsidRPr="003208E8">
        <w:rPr>
          <w:rFonts w:ascii="Times New Roman" w:hAnsi="Times New Roman" w:cs="Times New Roman"/>
          <w:i/>
          <w:sz w:val="24"/>
          <w:szCs w:val="28"/>
        </w:rPr>
        <w:t>P</w:t>
      </w:r>
      <w:r w:rsidRPr="003208E8">
        <w:rPr>
          <w:rFonts w:ascii="Times New Roman" w:hAnsi="Times New Roman" w:cs="Times New Roman"/>
          <w:sz w:val="24"/>
          <w:szCs w:val="28"/>
        </w:rPr>
        <w:t>=0.031) and putamen (</w:t>
      </w:r>
      <w:r w:rsidRPr="003208E8">
        <w:rPr>
          <w:rFonts w:ascii="Times New Roman" w:hAnsi="Times New Roman" w:cs="Times New Roman"/>
          <w:i/>
          <w:sz w:val="24"/>
          <w:szCs w:val="28"/>
        </w:rPr>
        <w:t>r</w:t>
      </w:r>
      <w:r>
        <w:rPr>
          <w:rFonts w:ascii="Times New Roman" w:hAnsi="Times New Roman" w:cs="Times New Roman"/>
          <w:sz w:val="24"/>
          <w:szCs w:val="28"/>
        </w:rPr>
        <w:t>=−0.74;</w:t>
      </w:r>
      <w:r w:rsidRPr="003208E8">
        <w:rPr>
          <w:rFonts w:ascii="Times New Roman" w:hAnsi="Times New Roman" w:cs="Times New Roman"/>
          <w:sz w:val="24"/>
          <w:szCs w:val="28"/>
        </w:rPr>
        <w:t xml:space="preserve"> </w:t>
      </w:r>
      <w:r w:rsidRPr="003208E8">
        <w:rPr>
          <w:rFonts w:ascii="Times New Roman" w:hAnsi="Times New Roman" w:cs="Times New Roman"/>
          <w:i/>
          <w:sz w:val="24"/>
          <w:szCs w:val="28"/>
        </w:rPr>
        <w:t>P</w:t>
      </w:r>
      <w:r w:rsidRPr="003208E8">
        <w:rPr>
          <w:rFonts w:ascii="Times New Roman" w:hAnsi="Times New Roman" w:cs="Times New Roman"/>
          <w:sz w:val="24"/>
          <w:szCs w:val="28"/>
        </w:rPr>
        <w:t>=0.031)</w:t>
      </w:r>
      <w:r>
        <w:rPr>
          <w:rFonts w:ascii="Times New Roman" w:hAnsi="Times New Roman" w:cs="Times New Roman"/>
          <w:sz w:val="24"/>
          <w:szCs w:val="28"/>
        </w:rPr>
        <w:t xml:space="preserve">. </w:t>
      </w:r>
      <w:r w:rsidRPr="00932158">
        <w:rPr>
          <w:rFonts w:ascii="Times New Roman" w:hAnsi="Times New Roman" w:cs="Times New Roman"/>
          <w:sz w:val="24"/>
          <w:szCs w:val="28"/>
        </w:rPr>
        <w:t xml:space="preserve">Our findings </w:t>
      </w:r>
      <w:r>
        <w:rPr>
          <w:rFonts w:ascii="Times New Roman" w:hAnsi="Times New Roman" w:cs="Times New Roman"/>
          <w:sz w:val="24"/>
          <w:szCs w:val="28"/>
        </w:rPr>
        <w:t>demonstrate</w:t>
      </w:r>
      <w:r w:rsidRPr="00932158">
        <w:rPr>
          <w:rFonts w:ascii="Times New Roman" w:hAnsi="Times New Roman" w:cs="Times New Roman"/>
          <w:sz w:val="24"/>
          <w:szCs w:val="28"/>
        </w:rPr>
        <w:t xml:space="preserve"> </w:t>
      </w:r>
      <w:r>
        <w:rPr>
          <w:rFonts w:ascii="Times New Roman" w:hAnsi="Times New Roman" w:cs="Times New Roman"/>
          <w:sz w:val="24"/>
          <w:szCs w:val="28"/>
          <w:lang w:val="en-US"/>
        </w:rPr>
        <w:t xml:space="preserve">striatal and pallidal </w:t>
      </w:r>
      <w:r w:rsidRPr="00932158">
        <w:rPr>
          <w:rFonts w:ascii="Times New Roman" w:hAnsi="Times New Roman" w:cs="Times New Roman"/>
          <w:sz w:val="24"/>
          <w:szCs w:val="28"/>
        </w:rPr>
        <w:t xml:space="preserve">loss of </w:t>
      </w:r>
      <w:r>
        <w:rPr>
          <w:rFonts w:ascii="Times New Roman" w:hAnsi="Times New Roman" w:cs="Times New Roman"/>
          <w:sz w:val="24"/>
          <w:szCs w:val="28"/>
        </w:rPr>
        <w:t>PDE-10A expression,</w:t>
      </w:r>
      <w:r w:rsidRPr="00932158">
        <w:rPr>
          <w:rFonts w:ascii="Times New Roman" w:hAnsi="Times New Roman" w:cs="Times New Roman"/>
          <w:sz w:val="24"/>
          <w:szCs w:val="28"/>
        </w:rPr>
        <w:t xml:space="preserve"> </w:t>
      </w:r>
      <w:r w:rsidRPr="0035381E">
        <w:rPr>
          <w:rFonts w:ascii="Times New Roman" w:hAnsi="Times New Roman" w:cs="Times New Roman"/>
          <w:sz w:val="24"/>
          <w:szCs w:val="28"/>
        </w:rPr>
        <w:t xml:space="preserve">which is associated with </w:t>
      </w:r>
      <w:r>
        <w:rPr>
          <w:rFonts w:ascii="Times New Roman" w:hAnsi="Times New Roman" w:cs="Times New Roman"/>
          <w:sz w:val="24"/>
          <w:szCs w:val="28"/>
        </w:rPr>
        <w:t>Parkinson’s duration</w:t>
      </w:r>
      <w:r w:rsidRPr="0035381E">
        <w:rPr>
          <w:rFonts w:ascii="Times New Roman" w:hAnsi="Times New Roman" w:cs="Times New Roman"/>
          <w:sz w:val="24"/>
          <w:szCs w:val="28"/>
        </w:rPr>
        <w:t xml:space="preserve"> and severity of motor symptoms and complications</w:t>
      </w:r>
      <w:r>
        <w:rPr>
          <w:rFonts w:ascii="Times New Roman" w:hAnsi="Times New Roman" w:cs="Times New Roman"/>
          <w:sz w:val="24"/>
          <w:szCs w:val="28"/>
        </w:rPr>
        <w:t xml:space="preserve">. </w:t>
      </w:r>
      <w:r w:rsidRPr="008801A6">
        <w:rPr>
          <w:rFonts w:ascii="Times New Roman" w:hAnsi="Times New Roman" w:cs="Times New Roman"/>
          <w:sz w:val="24"/>
          <w:szCs w:val="28"/>
        </w:rPr>
        <w:t xml:space="preserve">PDE-10A is an enzyme that could be targeted with novel pharmacotherapy, </w:t>
      </w:r>
      <w:r>
        <w:rPr>
          <w:rFonts w:ascii="Times New Roman" w:hAnsi="Times New Roman" w:cs="Times New Roman"/>
          <w:sz w:val="24"/>
          <w:szCs w:val="28"/>
        </w:rPr>
        <w:t>and this</w:t>
      </w:r>
      <w:r w:rsidRPr="008801A6">
        <w:rPr>
          <w:rFonts w:ascii="Times New Roman" w:hAnsi="Times New Roman" w:cs="Times New Roman"/>
          <w:sz w:val="24"/>
          <w:szCs w:val="28"/>
        </w:rPr>
        <w:t xml:space="preserve"> may help </w:t>
      </w:r>
      <w:r>
        <w:rPr>
          <w:rFonts w:ascii="Times New Roman" w:hAnsi="Times New Roman" w:cs="Times New Roman"/>
          <w:sz w:val="24"/>
          <w:szCs w:val="28"/>
        </w:rPr>
        <w:t xml:space="preserve">improve </w:t>
      </w:r>
      <w:r w:rsidRPr="00A90761">
        <w:rPr>
          <w:rFonts w:ascii="Times New Roman" w:hAnsi="Times New Roman" w:cs="Times New Roman"/>
          <w:sz w:val="24"/>
          <w:szCs w:val="28"/>
        </w:rPr>
        <w:t xml:space="preserve">dopaminergic </w:t>
      </w:r>
      <w:r w:rsidRPr="00932158">
        <w:rPr>
          <w:rFonts w:ascii="Times New Roman" w:hAnsi="Times New Roman" w:cs="Times New Roman"/>
          <w:sz w:val="24"/>
          <w:szCs w:val="28"/>
        </w:rPr>
        <w:t>signalling</w:t>
      </w:r>
      <w:r>
        <w:rPr>
          <w:rFonts w:ascii="Times New Roman" w:hAnsi="Times New Roman" w:cs="Times New Roman"/>
          <w:sz w:val="24"/>
          <w:szCs w:val="28"/>
        </w:rPr>
        <w:t xml:space="preserve"> and striatal output and, therefore, </w:t>
      </w:r>
      <w:r w:rsidRPr="008801A6">
        <w:rPr>
          <w:rFonts w:ascii="Times New Roman" w:hAnsi="Times New Roman" w:cs="Times New Roman"/>
          <w:sz w:val="24"/>
          <w:szCs w:val="28"/>
        </w:rPr>
        <w:t xml:space="preserve">alleviate symptoms and complications of </w:t>
      </w:r>
      <w:r>
        <w:rPr>
          <w:rFonts w:ascii="Times New Roman" w:hAnsi="Times New Roman" w:cs="Times New Roman"/>
          <w:sz w:val="24"/>
          <w:szCs w:val="28"/>
        </w:rPr>
        <w:t>Parkinson’s disease</w:t>
      </w:r>
      <w:r w:rsidRPr="008801A6">
        <w:rPr>
          <w:rFonts w:ascii="Times New Roman" w:hAnsi="Times New Roman" w:cs="Times New Roman"/>
          <w:sz w:val="24"/>
          <w:szCs w:val="28"/>
        </w:rPr>
        <w:t>.</w:t>
      </w:r>
    </w:p>
    <w:p w14:paraId="5C490D64" w14:textId="77777777" w:rsidR="00AA7687" w:rsidRPr="00932158" w:rsidRDefault="00AA7687" w:rsidP="003A6D88">
      <w:pPr>
        <w:spacing w:line="480" w:lineRule="auto"/>
        <w:jc w:val="both"/>
        <w:rPr>
          <w:rFonts w:ascii="Times New Roman" w:hAnsi="Times New Roman" w:cs="Times New Roman"/>
          <w:b/>
          <w:sz w:val="24"/>
          <w:szCs w:val="24"/>
        </w:rPr>
      </w:pPr>
    </w:p>
    <w:p w14:paraId="02EF9B74" w14:textId="77777777" w:rsidR="008D32A9" w:rsidRPr="001077B1" w:rsidRDefault="008D32A9" w:rsidP="003A6D88">
      <w:pPr>
        <w:spacing w:line="480" w:lineRule="auto"/>
        <w:jc w:val="both"/>
        <w:rPr>
          <w:rFonts w:ascii="Times New Roman" w:hAnsi="Times New Roman" w:cs="Times New Roman"/>
          <w:b/>
          <w:sz w:val="24"/>
          <w:szCs w:val="24"/>
        </w:rPr>
      </w:pPr>
      <w:r w:rsidRPr="001077B1">
        <w:rPr>
          <w:rFonts w:ascii="Times New Roman" w:hAnsi="Times New Roman" w:cs="Times New Roman"/>
          <w:b/>
          <w:sz w:val="24"/>
          <w:szCs w:val="24"/>
        </w:rPr>
        <w:t>Keywords</w:t>
      </w:r>
    </w:p>
    <w:p w14:paraId="3D2B6F2F" w14:textId="29260FFA" w:rsidR="008D32A9" w:rsidRPr="00324BA9" w:rsidRDefault="008D32A9" w:rsidP="003A6D88">
      <w:pPr>
        <w:spacing w:line="480" w:lineRule="auto"/>
        <w:jc w:val="both"/>
        <w:rPr>
          <w:rFonts w:ascii="Times New Roman" w:hAnsi="Times New Roman" w:cs="Times New Roman"/>
          <w:sz w:val="24"/>
          <w:szCs w:val="28"/>
        </w:rPr>
      </w:pPr>
      <w:r w:rsidRPr="004E4A1F">
        <w:rPr>
          <w:rFonts w:ascii="Times New Roman" w:hAnsi="Times New Roman" w:cs="Times New Roman"/>
          <w:sz w:val="24"/>
          <w:szCs w:val="28"/>
        </w:rPr>
        <w:t xml:space="preserve">Parkinson’s disease; </w:t>
      </w:r>
      <w:r w:rsidR="00D62ADE" w:rsidRPr="004E4A1F">
        <w:rPr>
          <w:rFonts w:ascii="Times New Roman" w:hAnsi="Times New Roman" w:cs="Times New Roman"/>
          <w:sz w:val="24"/>
          <w:szCs w:val="28"/>
        </w:rPr>
        <w:t>PDE-10A;</w:t>
      </w:r>
      <w:r w:rsidR="00F071F8" w:rsidRPr="00324BA9">
        <w:rPr>
          <w:rFonts w:ascii="Times New Roman" w:hAnsi="Times New Roman" w:cs="Times New Roman"/>
          <w:sz w:val="24"/>
          <w:szCs w:val="28"/>
        </w:rPr>
        <w:t xml:space="preserve"> </w:t>
      </w:r>
      <w:r w:rsidR="001C163D" w:rsidRPr="00324BA9">
        <w:rPr>
          <w:rFonts w:ascii="Times New Roman" w:hAnsi="Times New Roman" w:cs="Times New Roman"/>
          <w:sz w:val="24"/>
          <w:szCs w:val="28"/>
        </w:rPr>
        <w:t xml:space="preserve">PET; </w:t>
      </w:r>
      <w:r w:rsidR="00F82FCE">
        <w:rPr>
          <w:rFonts w:ascii="Times New Roman" w:hAnsi="Times New Roman" w:cs="Times New Roman"/>
          <w:sz w:val="24"/>
          <w:szCs w:val="28"/>
        </w:rPr>
        <w:t xml:space="preserve">motor; </w:t>
      </w:r>
      <w:r w:rsidR="001C163D" w:rsidRPr="00324BA9">
        <w:rPr>
          <w:rFonts w:ascii="Times New Roman" w:hAnsi="Times New Roman" w:cs="Times New Roman"/>
          <w:sz w:val="24"/>
          <w:szCs w:val="28"/>
        </w:rPr>
        <w:t>LIDs.</w:t>
      </w:r>
    </w:p>
    <w:p w14:paraId="465520D6" w14:textId="77777777" w:rsidR="008D32A9" w:rsidRPr="00932158" w:rsidRDefault="008D32A9" w:rsidP="003A6D88">
      <w:pPr>
        <w:spacing w:line="480" w:lineRule="auto"/>
        <w:jc w:val="both"/>
        <w:rPr>
          <w:rFonts w:ascii="Times New Roman" w:hAnsi="Times New Roman" w:cs="Times New Roman"/>
          <w:b/>
          <w:sz w:val="24"/>
          <w:szCs w:val="28"/>
        </w:rPr>
      </w:pPr>
      <w:r w:rsidRPr="00985A73">
        <w:rPr>
          <w:rFonts w:ascii="Times New Roman" w:hAnsi="Times New Roman" w:cs="Times New Roman"/>
          <w:b/>
          <w:sz w:val="24"/>
          <w:szCs w:val="28"/>
        </w:rPr>
        <w:t>Abbreviations</w:t>
      </w:r>
    </w:p>
    <w:p w14:paraId="5EBF2022" w14:textId="6D24D424" w:rsidR="00C504E3" w:rsidRDefault="00A91783" w:rsidP="003A6D88">
      <w:pPr>
        <w:spacing w:line="480" w:lineRule="auto"/>
        <w:jc w:val="both"/>
        <w:rPr>
          <w:rFonts w:ascii="Times New Roman" w:hAnsi="Times New Roman" w:cs="Times New Roman"/>
          <w:sz w:val="24"/>
          <w:szCs w:val="28"/>
        </w:rPr>
      </w:pPr>
      <w:r>
        <w:rPr>
          <w:rFonts w:ascii="Times New Roman" w:hAnsi="Times New Roman" w:cs="Times New Roman"/>
          <w:sz w:val="24"/>
          <w:szCs w:val="28"/>
        </w:rPr>
        <w:t>AIMS=</w:t>
      </w:r>
      <w:r w:rsidRPr="00A91783">
        <w:rPr>
          <w:rFonts w:ascii="Times New Roman" w:hAnsi="Times New Roman" w:cs="Times New Roman"/>
          <w:sz w:val="24"/>
          <w:szCs w:val="28"/>
        </w:rPr>
        <w:t>Abnormal Involuntary Movement Scale</w:t>
      </w:r>
      <w:r>
        <w:rPr>
          <w:rFonts w:ascii="Times New Roman" w:hAnsi="Times New Roman" w:cs="Times New Roman"/>
          <w:sz w:val="24"/>
          <w:szCs w:val="28"/>
        </w:rPr>
        <w:t>; BP</w:t>
      </w:r>
      <w:r w:rsidRPr="00A91783">
        <w:rPr>
          <w:rFonts w:ascii="Times New Roman" w:hAnsi="Times New Roman" w:cs="Times New Roman"/>
          <w:sz w:val="24"/>
          <w:szCs w:val="28"/>
          <w:vertAlign w:val="subscript"/>
        </w:rPr>
        <w:t>ND</w:t>
      </w:r>
      <w:r>
        <w:rPr>
          <w:rFonts w:ascii="Times New Roman" w:hAnsi="Times New Roman" w:cs="Times New Roman"/>
          <w:sz w:val="24"/>
          <w:szCs w:val="28"/>
        </w:rPr>
        <w:t>=</w:t>
      </w:r>
      <w:r w:rsidRPr="003208E8">
        <w:rPr>
          <w:rFonts w:ascii="Times New Roman" w:hAnsi="Times New Roman" w:cs="Times New Roman"/>
          <w:sz w:val="24"/>
          <w:szCs w:val="28"/>
        </w:rPr>
        <w:t>non-displaceable binding</w:t>
      </w:r>
      <w:r w:rsidRPr="001077B1">
        <w:rPr>
          <w:rFonts w:ascii="Times New Roman" w:hAnsi="Times New Roman" w:cs="Times New Roman"/>
          <w:sz w:val="24"/>
          <w:szCs w:val="28"/>
        </w:rPr>
        <w:t xml:space="preserve"> </w:t>
      </w:r>
      <w:r>
        <w:rPr>
          <w:rFonts w:ascii="Times New Roman" w:hAnsi="Times New Roman" w:cs="Times New Roman"/>
          <w:sz w:val="24"/>
          <w:szCs w:val="28"/>
        </w:rPr>
        <w:t xml:space="preserve">potential; </w:t>
      </w:r>
      <w:r w:rsidR="0091062C">
        <w:rPr>
          <w:rFonts w:ascii="Times New Roman" w:hAnsi="Times New Roman" w:cs="Times New Roman"/>
          <w:sz w:val="24"/>
          <w:szCs w:val="28"/>
        </w:rPr>
        <w:t xml:space="preserve">LED=levodopa equivalent dose; </w:t>
      </w:r>
      <w:r>
        <w:rPr>
          <w:rFonts w:ascii="Times New Roman" w:hAnsi="Times New Roman" w:cs="Times New Roman"/>
          <w:sz w:val="24"/>
          <w:szCs w:val="28"/>
        </w:rPr>
        <w:t>LIDs=</w:t>
      </w:r>
      <w:r w:rsidRPr="00AE049E">
        <w:rPr>
          <w:rFonts w:ascii="Times New Roman" w:eastAsiaTheme="minorHAnsi" w:hAnsi="Times New Roman" w:cs="Times New Roman"/>
          <w:sz w:val="24"/>
          <w:szCs w:val="24"/>
          <w:lang w:eastAsia="en-US"/>
        </w:rPr>
        <w:t>levodopa-induced dyskinesias</w:t>
      </w:r>
      <w:r>
        <w:rPr>
          <w:rFonts w:ascii="Times New Roman" w:eastAsiaTheme="minorHAnsi" w:hAnsi="Times New Roman" w:cs="Times New Roman"/>
          <w:sz w:val="24"/>
          <w:szCs w:val="24"/>
          <w:lang w:eastAsia="en-US"/>
        </w:rPr>
        <w:t>;</w:t>
      </w:r>
      <w:r>
        <w:rPr>
          <w:rFonts w:ascii="Times New Roman" w:hAnsi="Times New Roman" w:cs="Times New Roman"/>
          <w:sz w:val="24"/>
          <w:szCs w:val="28"/>
        </w:rPr>
        <w:t xml:space="preserve"> </w:t>
      </w:r>
      <w:r w:rsidR="00E65A22" w:rsidRPr="001077B1">
        <w:rPr>
          <w:rFonts w:ascii="Times New Roman" w:hAnsi="Times New Roman" w:cs="Times New Roman"/>
          <w:sz w:val="24"/>
          <w:szCs w:val="28"/>
        </w:rPr>
        <w:t>PDE-10A=phosphodiesterase 10A</w:t>
      </w:r>
      <w:r>
        <w:rPr>
          <w:rFonts w:ascii="Times New Roman" w:hAnsi="Times New Roman" w:cs="Times New Roman"/>
          <w:sz w:val="24"/>
          <w:szCs w:val="28"/>
        </w:rPr>
        <w:t>;</w:t>
      </w:r>
      <w:r w:rsidRPr="00A91783">
        <w:rPr>
          <w:rFonts w:ascii="Times New Roman" w:hAnsi="Times New Roman" w:cs="Times New Roman"/>
          <w:sz w:val="24"/>
          <w:szCs w:val="28"/>
        </w:rPr>
        <w:t xml:space="preserve"> </w:t>
      </w:r>
      <w:r>
        <w:rPr>
          <w:rFonts w:ascii="Times New Roman" w:hAnsi="Times New Roman" w:cs="Times New Roman"/>
          <w:sz w:val="24"/>
          <w:szCs w:val="28"/>
        </w:rPr>
        <w:t>PDQ-39=</w:t>
      </w:r>
      <w:r w:rsidRPr="00A91783">
        <w:rPr>
          <w:rFonts w:ascii="Times New Roman" w:hAnsi="Times New Roman" w:cs="Times New Roman"/>
          <w:bCs/>
          <w:sz w:val="24"/>
        </w:rPr>
        <w:t>39-item Parkinson's disease Questionnaire</w:t>
      </w:r>
      <w:r>
        <w:rPr>
          <w:rFonts w:ascii="Times New Roman" w:hAnsi="Times New Roman" w:cs="Times New Roman"/>
          <w:bCs/>
          <w:sz w:val="24"/>
        </w:rPr>
        <w:t>;</w:t>
      </w:r>
      <w:r w:rsidRPr="00A91783">
        <w:rPr>
          <w:rFonts w:ascii="Times New Roman" w:hAnsi="Times New Roman" w:cs="Times New Roman"/>
          <w:bCs/>
          <w:sz w:val="24"/>
        </w:rPr>
        <w:t xml:space="preserve"> </w:t>
      </w:r>
      <w:r w:rsidRPr="00A90761">
        <w:rPr>
          <w:rFonts w:ascii="Times New Roman" w:hAnsi="Times New Roman" w:cs="Times New Roman"/>
          <w:sz w:val="24"/>
          <w:szCs w:val="28"/>
        </w:rPr>
        <w:t>UDysRS</w:t>
      </w:r>
      <w:r>
        <w:rPr>
          <w:rFonts w:ascii="Times New Roman" w:hAnsi="Times New Roman" w:cs="Times New Roman"/>
          <w:sz w:val="24"/>
          <w:szCs w:val="28"/>
        </w:rPr>
        <w:t>=</w:t>
      </w:r>
      <w:r w:rsidRPr="00A91783">
        <w:rPr>
          <w:rFonts w:ascii="Times New Roman" w:hAnsi="Times New Roman" w:cs="Times New Roman"/>
          <w:bCs/>
          <w:sz w:val="24"/>
        </w:rPr>
        <w:t>Unified Dyskinesia Rating Scale</w:t>
      </w:r>
      <w:r>
        <w:rPr>
          <w:rFonts w:ascii="Times New Roman" w:hAnsi="Times New Roman" w:cs="Times New Roman"/>
          <w:bCs/>
          <w:sz w:val="24"/>
        </w:rPr>
        <w:t>;</w:t>
      </w:r>
      <w:r w:rsidRPr="00A91783">
        <w:rPr>
          <w:rFonts w:ascii="Times New Roman" w:hAnsi="Times New Roman" w:cs="Times New Roman"/>
          <w:bCs/>
          <w:sz w:val="24"/>
        </w:rPr>
        <w:t xml:space="preserve"> </w:t>
      </w:r>
      <w:r>
        <w:rPr>
          <w:rFonts w:ascii="Times New Roman" w:hAnsi="Times New Roman" w:cs="Times New Roman"/>
          <w:sz w:val="24"/>
          <w:szCs w:val="28"/>
        </w:rPr>
        <w:t>UPDRS=</w:t>
      </w:r>
      <w:r w:rsidRPr="00A91783">
        <w:rPr>
          <w:rFonts w:ascii="Times New Roman" w:hAnsi="Times New Roman" w:cs="Times New Roman"/>
          <w:sz w:val="24"/>
        </w:rPr>
        <w:t xml:space="preserve"> Unified Parkinson’s </w:t>
      </w:r>
      <w:r>
        <w:rPr>
          <w:rFonts w:ascii="Times New Roman" w:hAnsi="Times New Roman" w:cs="Times New Roman"/>
          <w:sz w:val="24"/>
        </w:rPr>
        <w:t>Di</w:t>
      </w:r>
      <w:r w:rsidRPr="00A91783">
        <w:rPr>
          <w:rFonts w:ascii="Times New Roman" w:hAnsi="Times New Roman" w:cs="Times New Roman"/>
          <w:sz w:val="24"/>
        </w:rPr>
        <w:t>sease Rating Scale</w:t>
      </w:r>
    </w:p>
    <w:p w14:paraId="0F7C399A" w14:textId="16302609" w:rsidR="00CD00D8" w:rsidRDefault="00CD00D8" w:rsidP="003A6D88">
      <w:pPr>
        <w:spacing w:line="480" w:lineRule="auto"/>
        <w:jc w:val="both"/>
        <w:rPr>
          <w:rFonts w:ascii="Times New Roman" w:hAnsi="Times New Roman" w:cs="Times New Roman"/>
          <w:sz w:val="24"/>
          <w:szCs w:val="28"/>
        </w:rPr>
      </w:pPr>
    </w:p>
    <w:p w14:paraId="44C30897" w14:textId="77777777" w:rsidR="00591266" w:rsidRPr="007F35D3" w:rsidRDefault="00591266" w:rsidP="003A6D88">
      <w:pPr>
        <w:spacing w:line="480" w:lineRule="auto"/>
        <w:jc w:val="both"/>
        <w:rPr>
          <w:rFonts w:ascii="Times New Roman" w:hAnsi="Times New Roman" w:cs="Times New Roman"/>
          <w:b/>
          <w:sz w:val="28"/>
          <w:szCs w:val="28"/>
        </w:rPr>
      </w:pPr>
    </w:p>
    <w:p w14:paraId="092D555C" w14:textId="77777777" w:rsidR="008D32A9" w:rsidRPr="007F35D3" w:rsidRDefault="008D32A9" w:rsidP="00523257">
      <w:pPr>
        <w:pStyle w:val="Heading1"/>
        <w:spacing w:before="0" w:line="480" w:lineRule="auto"/>
        <w:rPr>
          <w:rFonts w:ascii="Times New Roman" w:hAnsi="Times New Roman"/>
          <w:color w:val="auto"/>
        </w:rPr>
      </w:pPr>
      <w:r w:rsidRPr="007F35D3">
        <w:rPr>
          <w:rFonts w:ascii="Times New Roman" w:hAnsi="Times New Roman"/>
          <w:color w:val="auto"/>
        </w:rPr>
        <w:t>Introduction</w:t>
      </w:r>
    </w:p>
    <w:p w14:paraId="2E664382" w14:textId="1F2E8C18" w:rsidR="00082B73" w:rsidRPr="00523257" w:rsidRDefault="00603819" w:rsidP="00523257">
      <w:pPr>
        <w:spacing w:after="0" w:line="480" w:lineRule="auto"/>
        <w:jc w:val="both"/>
        <w:rPr>
          <w:rFonts w:ascii="Times New Roman" w:eastAsiaTheme="minorHAnsi" w:hAnsi="Times New Roman" w:cs="Times New Roman"/>
          <w:sz w:val="24"/>
          <w:szCs w:val="24"/>
          <w:lang w:eastAsia="en-US"/>
        </w:rPr>
      </w:pPr>
      <w:r w:rsidRPr="007F35D3">
        <w:rPr>
          <w:rFonts w:ascii="Times New Roman" w:hAnsi="Times New Roman" w:cs="Times New Roman"/>
          <w:sz w:val="24"/>
          <w:szCs w:val="24"/>
        </w:rPr>
        <w:t>Parkinson’s disease is a chronic</w:t>
      </w:r>
      <w:r w:rsidR="00E17963">
        <w:rPr>
          <w:rFonts w:ascii="Times New Roman" w:hAnsi="Times New Roman" w:cs="Times New Roman"/>
          <w:sz w:val="24"/>
          <w:szCs w:val="24"/>
        </w:rPr>
        <w:t xml:space="preserve"> and</w:t>
      </w:r>
      <w:r w:rsidRPr="00E17963">
        <w:rPr>
          <w:rFonts w:ascii="Times New Roman" w:hAnsi="Times New Roman" w:cs="Times New Roman"/>
          <w:sz w:val="24"/>
          <w:szCs w:val="24"/>
        </w:rPr>
        <w:t xml:space="preserve"> </w:t>
      </w:r>
      <w:r w:rsidR="00883F47" w:rsidRPr="00E17963">
        <w:rPr>
          <w:rFonts w:ascii="Times New Roman" w:hAnsi="Times New Roman"/>
          <w:sz w:val="24"/>
          <w:szCs w:val="24"/>
        </w:rPr>
        <w:t>progressive</w:t>
      </w:r>
      <w:r w:rsidR="00883F47" w:rsidRPr="00E17963">
        <w:rPr>
          <w:rFonts w:ascii="Times New Roman" w:hAnsi="Times New Roman" w:cs="Times New Roman"/>
          <w:sz w:val="24"/>
          <w:szCs w:val="24"/>
        </w:rPr>
        <w:t xml:space="preserve"> </w:t>
      </w:r>
      <w:r w:rsidRPr="00E17963">
        <w:rPr>
          <w:rFonts w:ascii="Times New Roman" w:hAnsi="Times New Roman" w:cs="Times New Roman"/>
          <w:sz w:val="24"/>
          <w:szCs w:val="24"/>
        </w:rPr>
        <w:t>neurodegenerative disorder</w:t>
      </w:r>
      <w:r w:rsidR="00883F47" w:rsidRPr="00E17963">
        <w:rPr>
          <w:rFonts w:ascii="Times New Roman" w:hAnsi="Times New Roman"/>
          <w:sz w:val="24"/>
          <w:szCs w:val="24"/>
        </w:rPr>
        <w:t xml:space="preserve"> </w:t>
      </w:r>
      <w:r w:rsidR="00E17963">
        <w:rPr>
          <w:rFonts w:ascii="Times New Roman" w:hAnsi="Times New Roman"/>
          <w:sz w:val="24"/>
          <w:szCs w:val="24"/>
        </w:rPr>
        <w:t xml:space="preserve">characterised by </w:t>
      </w:r>
      <w:r w:rsidR="00557E1F" w:rsidRPr="00E17963">
        <w:rPr>
          <w:rFonts w:ascii="Times New Roman" w:hAnsi="Times New Roman"/>
          <w:sz w:val="24"/>
          <w:szCs w:val="24"/>
        </w:rPr>
        <w:t>the loss of dopaminergic neurotransmission in the denervated areas of the forebrain, above all in the striatum (</w:t>
      </w:r>
      <w:r w:rsidR="00557E1F" w:rsidRPr="005D02C3">
        <w:rPr>
          <w:rFonts w:ascii="Times New Roman" w:hAnsi="Times New Roman"/>
          <w:sz w:val="24"/>
          <w:szCs w:val="24"/>
        </w:rPr>
        <w:t>Jellinger, 1991).</w:t>
      </w:r>
      <w:r w:rsidR="00557E1F" w:rsidRPr="00E17963">
        <w:rPr>
          <w:rFonts w:ascii="Times New Roman" w:hAnsi="Times New Roman"/>
          <w:sz w:val="24"/>
          <w:szCs w:val="24"/>
        </w:rPr>
        <w:t xml:space="preserve"> The mechanisms underlying the progressive loss of dopamine neuron function and the development of motor symptoms and complications are still </w:t>
      </w:r>
      <w:r w:rsidR="001517E0">
        <w:rPr>
          <w:rFonts w:ascii="Times New Roman" w:hAnsi="Times New Roman"/>
          <w:sz w:val="24"/>
          <w:szCs w:val="24"/>
        </w:rPr>
        <w:t xml:space="preserve">only partially </w:t>
      </w:r>
      <w:r w:rsidR="00DA19A0">
        <w:rPr>
          <w:rFonts w:ascii="Times New Roman" w:hAnsi="Times New Roman"/>
          <w:sz w:val="24"/>
          <w:szCs w:val="24"/>
        </w:rPr>
        <w:t>understood</w:t>
      </w:r>
      <w:r w:rsidR="001F5F1A">
        <w:rPr>
          <w:rFonts w:ascii="Times New Roman" w:hAnsi="Times New Roman"/>
          <w:sz w:val="24"/>
          <w:szCs w:val="24"/>
        </w:rPr>
        <w:t>. Dopamine replacement therapy such as with levodopa</w:t>
      </w:r>
      <w:r w:rsidR="005D02C3">
        <w:rPr>
          <w:rFonts w:ascii="Times New Roman" w:hAnsi="Times New Roman"/>
          <w:sz w:val="24"/>
          <w:szCs w:val="24"/>
        </w:rPr>
        <w:t>,</w:t>
      </w:r>
      <w:r w:rsidR="001F5F1A">
        <w:rPr>
          <w:rFonts w:ascii="Times New Roman" w:hAnsi="Times New Roman"/>
          <w:sz w:val="24"/>
          <w:szCs w:val="24"/>
        </w:rPr>
        <w:t xml:space="preserve"> remains the gold standard of therapy</w:t>
      </w:r>
      <w:r w:rsidR="00AE049E">
        <w:rPr>
          <w:rFonts w:ascii="Times New Roman" w:hAnsi="Times New Roman"/>
          <w:sz w:val="24"/>
          <w:szCs w:val="24"/>
        </w:rPr>
        <w:t>, several</w:t>
      </w:r>
      <w:r w:rsidR="00612684">
        <w:rPr>
          <w:rFonts w:ascii="Times New Roman" w:hAnsi="Times New Roman"/>
          <w:sz w:val="24"/>
          <w:szCs w:val="24"/>
        </w:rPr>
        <w:t xml:space="preserve"> decades </w:t>
      </w:r>
      <w:r w:rsidR="00143689">
        <w:rPr>
          <w:rFonts w:ascii="Times New Roman" w:hAnsi="Times New Roman"/>
          <w:sz w:val="24"/>
          <w:szCs w:val="24"/>
        </w:rPr>
        <w:t>since the original work by Cotzias</w:t>
      </w:r>
      <w:r w:rsidR="00AE049E">
        <w:rPr>
          <w:rFonts w:ascii="Times New Roman" w:hAnsi="Times New Roman"/>
          <w:sz w:val="24"/>
          <w:szCs w:val="24"/>
        </w:rPr>
        <w:t xml:space="preserve"> and </w:t>
      </w:r>
      <w:r w:rsidR="00082B73">
        <w:rPr>
          <w:rFonts w:ascii="Times New Roman" w:hAnsi="Times New Roman"/>
          <w:sz w:val="24"/>
          <w:szCs w:val="24"/>
        </w:rPr>
        <w:t>colleagues</w:t>
      </w:r>
      <w:r w:rsidR="00AE049E">
        <w:rPr>
          <w:rFonts w:ascii="Times New Roman" w:hAnsi="Times New Roman"/>
          <w:sz w:val="24"/>
          <w:szCs w:val="24"/>
        </w:rPr>
        <w:t xml:space="preserve"> (Cotzias </w:t>
      </w:r>
      <w:r w:rsidR="00AE049E" w:rsidRPr="005D02C3">
        <w:rPr>
          <w:rFonts w:ascii="Times New Roman" w:hAnsi="Times New Roman"/>
          <w:i/>
          <w:sz w:val="24"/>
          <w:szCs w:val="24"/>
        </w:rPr>
        <w:t>et al.</w:t>
      </w:r>
      <w:r w:rsidR="00AE049E">
        <w:rPr>
          <w:rFonts w:ascii="Times New Roman" w:hAnsi="Times New Roman"/>
          <w:sz w:val="24"/>
          <w:szCs w:val="24"/>
        </w:rPr>
        <w:t>, 1967</w:t>
      </w:r>
      <w:r w:rsidR="000B690D">
        <w:rPr>
          <w:rFonts w:ascii="Times New Roman" w:hAnsi="Times New Roman"/>
          <w:sz w:val="24"/>
          <w:szCs w:val="24"/>
        </w:rPr>
        <w:t>,</w:t>
      </w:r>
      <w:r w:rsidR="00AE049E">
        <w:rPr>
          <w:rFonts w:ascii="Times New Roman" w:hAnsi="Times New Roman"/>
          <w:sz w:val="24"/>
          <w:szCs w:val="24"/>
        </w:rPr>
        <w:t xml:space="preserve"> 1969)</w:t>
      </w:r>
      <w:r w:rsidR="00143689">
        <w:rPr>
          <w:rFonts w:ascii="Times New Roman" w:hAnsi="Times New Roman"/>
          <w:sz w:val="24"/>
          <w:szCs w:val="24"/>
        </w:rPr>
        <w:t xml:space="preserve">. </w:t>
      </w:r>
      <w:r w:rsidR="00082B73">
        <w:rPr>
          <w:rFonts w:ascii="Times New Roman" w:hAnsi="Times New Roman"/>
          <w:sz w:val="24"/>
          <w:szCs w:val="24"/>
        </w:rPr>
        <w:t xml:space="preserve">Although levodopa has been a remarkable success in Parkinson’s therapeutics, </w:t>
      </w:r>
      <w:r w:rsidR="00D05BA2">
        <w:rPr>
          <w:rFonts w:ascii="Times New Roman" w:hAnsi="Times New Roman"/>
          <w:sz w:val="24"/>
          <w:szCs w:val="24"/>
        </w:rPr>
        <w:t xml:space="preserve">has </w:t>
      </w:r>
      <w:r w:rsidR="00082B73">
        <w:rPr>
          <w:rFonts w:ascii="Times New Roman" w:hAnsi="Times New Roman"/>
          <w:sz w:val="24"/>
          <w:szCs w:val="24"/>
        </w:rPr>
        <w:t xml:space="preserve">not </w:t>
      </w:r>
      <w:r w:rsidR="000407D8">
        <w:rPr>
          <w:rFonts w:ascii="Times New Roman" w:hAnsi="Times New Roman"/>
          <w:sz w:val="24"/>
          <w:szCs w:val="24"/>
        </w:rPr>
        <w:t>deliver</w:t>
      </w:r>
      <w:r w:rsidR="00D05BA2">
        <w:rPr>
          <w:rFonts w:ascii="Times New Roman" w:hAnsi="Times New Roman"/>
          <w:sz w:val="24"/>
          <w:szCs w:val="24"/>
        </w:rPr>
        <w:t>ed</w:t>
      </w:r>
      <w:r w:rsidR="000407D8">
        <w:rPr>
          <w:rFonts w:ascii="Times New Roman" w:hAnsi="Times New Roman"/>
          <w:sz w:val="24"/>
          <w:szCs w:val="24"/>
        </w:rPr>
        <w:t xml:space="preserve"> a complete solution</w:t>
      </w:r>
      <w:r w:rsidR="00D05BA2">
        <w:rPr>
          <w:rFonts w:ascii="Times New Roman" w:hAnsi="Times New Roman"/>
          <w:sz w:val="24"/>
          <w:szCs w:val="24"/>
        </w:rPr>
        <w:t xml:space="preserve"> for the patients</w:t>
      </w:r>
      <w:r w:rsidR="000407D8">
        <w:rPr>
          <w:rFonts w:ascii="Times New Roman" w:hAnsi="Times New Roman"/>
          <w:sz w:val="24"/>
          <w:szCs w:val="24"/>
        </w:rPr>
        <w:t>.</w:t>
      </w:r>
      <w:r w:rsidR="00082B73">
        <w:rPr>
          <w:rFonts w:ascii="Times New Roman" w:hAnsi="Times New Roman"/>
          <w:sz w:val="24"/>
          <w:szCs w:val="24"/>
        </w:rPr>
        <w:t xml:space="preserve"> </w:t>
      </w:r>
      <w:r w:rsidR="000407D8">
        <w:rPr>
          <w:rFonts w:ascii="Times New Roman" w:eastAsiaTheme="minorHAnsi" w:hAnsi="Times New Roman" w:cs="Times New Roman"/>
          <w:sz w:val="24"/>
          <w:szCs w:val="24"/>
          <w:lang w:eastAsia="en-US"/>
        </w:rPr>
        <w:t>Following</w:t>
      </w:r>
      <w:r w:rsidR="002B2AFD" w:rsidRPr="00A45412">
        <w:rPr>
          <w:rFonts w:ascii="Times New Roman" w:eastAsiaTheme="minorHAnsi" w:hAnsi="Times New Roman" w:cs="Times New Roman"/>
          <w:sz w:val="24"/>
          <w:szCs w:val="24"/>
          <w:lang w:eastAsia="en-US"/>
        </w:rPr>
        <w:t xml:space="preserve"> years of exposure, </w:t>
      </w:r>
      <w:r w:rsidR="00D713E7">
        <w:rPr>
          <w:rFonts w:ascii="Times New Roman" w:eastAsiaTheme="minorHAnsi" w:hAnsi="Times New Roman" w:cs="Times New Roman"/>
          <w:sz w:val="24"/>
          <w:szCs w:val="24"/>
          <w:lang w:eastAsia="en-US"/>
        </w:rPr>
        <w:t xml:space="preserve">levodopa </w:t>
      </w:r>
      <w:r w:rsidR="002B2AFD" w:rsidRPr="00A45412">
        <w:rPr>
          <w:rFonts w:ascii="Times New Roman" w:eastAsiaTheme="minorHAnsi" w:hAnsi="Times New Roman" w:cs="Times New Roman"/>
          <w:sz w:val="24"/>
          <w:szCs w:val="24"/>
          <w:lang w:eastAsia="en-US"/>
        </w:rPr>
        <w:t xml:space="preserve">loses its efficacy </w:t>
      </w:r>
      <w:r w:rsidR="002B2AFD" w:rsidRPr="007F35D3">
        <w:rPr>
          <w:rFonts w:ascii="Times New Roman" w:eastAsiaTheme="minorHAnsi" w:hAnsi="Times New Roman" w:cs="Times New Roman"/>
          <w:sz w:val="24"/>
          <w:szCs w:val="24"/>
          <w:lang w:eastAsia="en-US"/>
        </w:rPr>
        <w:t xml:space="preserve">and patients develop motor complications </w:t>
      </w:r>
      <w:r w:rsidR="00082B73">
        <w:rPr>
          <w:rFonts w:ascii="Times New Roman" w:eastAsiaTheme="minorHAnsi" w:hAnsi="Times New Roman" w:cs="Times New Roman"/>
          <w:sz w:val="24"/>
          <w:szCs w:val="24"/>
          <w:lang w:eastAsia="en-US"/>
        </w:rPr>
        <w:t>such</w:t>
      </w:r>
      <w:r w:rsidR="002B2AFD" w:rsidRPr="00AE049E">
        <w:rPr>
          <w:rFonts w:ascii="Times New Roman" w:eastAsiaTheme="minorHAnsi" w:hAnsi="Times New Roman" w:cs="Times New Roman"/>
          <w:sz w:val="24"/>
          <w:szCs w:val="24"/>
          <w:lang w:eastAsia="en-US"/>
        </w:rPr>
        <w:t xml:space="preserve"> as levodopa-induced dyskinesias</w:t>
      </w:r>
      <w:r w:rsidR="00BB754C">
        <w:rPr>
          <w:rFonts w:ascii="Times New Roman" w:eastAsiaTheme="minorHAnsi" w:hAnsi="Times New Roman" w:cs="Times New Roman"/>
          <w:sz w:val="24"/>
          <w:szCs w:val="24"/>
          <w:lang w:eastAsia="en-US"/>
        </w:rPr>
        <w:t xml:space="preserve"> (LIDs)</w:t>
      </w:r>
      <w:r w:rsidR="002B2AFD" w:rsidRPr="00AE049E">
        <w:rPr>
          <w:rFonts w:ascii="Times New Roman" w:eastAsiaTheme="minorHAnsi" w:hAnsi="Times New Roman" w:cs="Times New Roman"/>
          <w:sz w:val="24"/>
          <w:szCs w:val="24"/>
          <w:lang w:eastAsia="en-US"/>
        </w:rPr>
        <w:t xml:space="preserve"> (</w:t>
      </w:r>
      <w:r w:rsidR="00B24D94" w:rsidRPr="005D02C3">
        <w:rPr>
          <w:rFonts w:ascii="Times New Roman" w:eastAsiaTheme="minorHAnsi" w:hAnsi="Times New Roman" w:cs="Times New Roman"/>
          <w:sz w:val="24"/>
          <w:szCs w:val="24"/>
          <w:lang w:eastAsia="en-US"/>
        </w:rPr>
        <w:t xml:space="preserve">Lees </w:t>
      </w:r>
      <w:r w:rsidR="005D5811" w:rsidRPr="005D02C3">
        <w:rPr>
          <w:rFonts w:ascii="Times New Roman" w:eastAsiaTheme="minorHAnsi" w:hAnsi="Times New Roman" w:cs="Times New Roman"/>
          <w:i/>
          <w:sz w:val="24"/>
          <w:szCs w:val="24"/>
          <w:lang w:eastAsia="en-US"/>
        </w:rPr>
        <w:t>et al.</w:t>
      </w:r>
      <w:r w:rsidR="005D5811" w:rsidRPr="005D02C3">
        <w:rPr>
          <w:rFonts w:ascii="Times New Roman" w:eastAsiaTheme="minorHAnsi" w:hAnsi="Times New Roman" w:cs="Times New Roman"/>
          <w:sz w:val="24"/>
          <w:szCs w:val="24"/>
          <w:lang w:eastAsia="en-US"/>
        </w:rPr>
        <w:t>,</w:t>
      </w:r>
      <w:r w:rsidR="00B24D94" w:rsidRPr="005D02C3">
        <w:rPr>
          <w:rFonts w:ascii="Times New Roman" w:eastAsiaTheme="minorHAnsi" w:hAnsi="Times New Roman" w:cs="Times New Roman"/>
          <w:sz w:val="24"/>
          <w:szCs w:val="24"/>
          <w:lang w:eastAsia="en-US"/>
        </w:rPr>
        <w:t xml:space="preserve"> 1977</w:t>
      </w:r>
      <w:r w:rsidR="005D5811">
        <w:rPr>
          <w:rFonts w:ascii="Times New Roman" w:eastAsiaTheme="minorHAnsi" w:hAnsi="Times New Roman" w:cs="Times New Roman"/>
          <w:sz w:val="24"/>
          <w:szCs w:val="24"/>
          <w:lang w:eastAsia="en-US"/>
        </w:rPr>
        <w:t>).</w:t>
      </w:r>
      <w:r w:rsidR="002B2AFD" w:rsidRPr="00932158">
        <w:rPr>
          <w:rFonts w:ascii="Times New Roman" w:eastAsiaTheme="minorHAnsi" w:hAnsi="Times New Roman" w:cs="Times New Roman"/>
          <w:sz w:val="24"/>
          <w:szCs w:val="24"/>
          <w:lang w:eastAsia="en-US"/>
        </w:rPr>
        <w:t xml:space="preserve"> </w:t>
      </w:r>
      <w:r w:rsidR="00283F40">
        <w:rPr>
          <w:rFonts w:ascii="Times New Roman" w:eastAsiaTheme="minorHAnsi" w:hAnsi="Times New Roman" w:cs="Times New Roman"/>
          <w:sz w:val="24"/>
          <w:szCs w:val="24"/>
          <w:lang w:eastAsia="en-US"/>
        </w:rPr>
        <w:t xml:space="preserve">There is an urgent need for complementary and alternative treatments </w:t>
      </w:r>
      <w:r w:rsidR="00082B73" w:rsidRPr="00E17963">
        <w:rPr>
          <w:rFonts w:ascii="Times New Roman" w:hAnsi="Times New Roman"/>
          <w:sz w:val="24"/>
          <w:szCs w:val="24"/>
        </w:rPr>
        <w:t>and currently no treatment has been proven</w:t>
      </w:r>
      <w:r w:rsidR="00082B73">
        <w:rPr>
          <w:rFonts w:ascii="Times New Roman" w:hAnsi="Times New Roman"/>
          <w:sz w:val="24"/>
          <w:szCs w:val="24"/>
        </w:rPr>
        <w:t xml:space="preserve"> useful</w:t>
      </w:r>
      <w:r w:rsidR="00082B73" w:rsidRPr="00E17963">
        <w:rPr>
          <w:rFonts w:ascii="Times New Roman" w:hAnsi="Times New Roman"/>
          <w:sz w:val="24"/>
          <w:szCs w:val="24"/>
        </w:rPr>
        <w:t xml:space="preserve"> slow</w:t>
      </w:r>
      <w:r w:rsidR="00082B73">
        <w:rPr>
          <w:rFonts w:ascii="Times New Roman" w:hAnsi="Times New Roman"/>
          <w:sz w:val="24"/>
          <w:szCs w:val="24"/>
        </w:rPr>
        <w:t>ing</w:t>
      </w:r>
      <w:r w:rsidR="00082B73" w:rsidRPr="00E17963">
        <w:rPr>
          <w:rFonts w:ascii="Times New Roman" w:hAnsi="Times New Roman"/>
          <w:sz w:val="24"/>
          <w:szCs w:val="24"/>
        </w:rPr>
        <w:t xml:space="preserve"> down the progression of Parkinson’s disease</w:t>
      </w:r>
      <w:r w:rsidR="006256B7">
        <w:rPr>
          <w:rFonts w:ascii="Times New Roman" w:hAnsi="Times New Roman"/>
          <w:sz w:val="24"/>
          <w:szCs w:val="24"/>
        </w:rPr>
        <w:t xml:space="preserve"> or</w:t>
      </w:r>
      <w:r w:rsidR="00880DEA">
        <w:rPr>
          <w:rFonts w:ascii="Times New Roman" w:hAnsi="Times New Roman"/>
          <w:sz w:val="24"/>
          <w:szCs w:val="24"/>
        </w:rPr>
        <w:t xml:space="preserve"> for</w:t>
      </w:r>
      <w:r w:rsidR="006256B7">
        <w:rPr>
          <w:rFonts w:ascii="Times New Roman" w:hAnsi="Times New Roman"/>
          <w:sz w:val="24"/>
          <w:szCs w:val="24"/>
        </w:rPr>
        <w:t xml:space="preserve"> managing LIDs effectively</w:t>
      </w:r>
      <w:r w:rsidR="00082B73" w:rsidRPr="00E17963">
        <w:rPr>
          <w:rFonts w:ascii="Times New Roman" w:hAnsi="Times New Roman"/>
          <w:sz w:val="24"/>
          <w:szCs w:val="24"/>
        </w:rPr>
        <w:t>.</w:t>
      </w:r>
      <w:r w:rsidR="00082B73">
        <w:rPr>
          <w:rFonts w:ascii="Times New Roman" w:hAnsi="Times New Roman"/>
          <w:sz w:val="24"/>
          <w:szCs w:val="24"/>
        </w:rPr>
        <w:t xml:space="preserve"> </w:t>
      </w:r>
    </w:p>
    <w:p w14:paraId="5AF61A92" w14:textId="77777777" w:rsidR="00082B73" w:rsidRPr="00932158" w:rsidRDefault="00082B73" w:rsidP="00523257">
      <w:pPr>
        <w:spacing w:after="0" w:line="480" w:lineRule="auto"/>
        <w:jc w:val="both"/>
        <w:rPr>
          <w:rFonts w:ascii="Times New Roman" w:eastAsiaTheme="minorHAnsi" w:hAnsi="Times New Roman" w:cs="Times New Roman"/>
          <w:sz w:val="24"/>
          <w:szCs w:val="24"/>
          <w:lang w:eastAsia="en-US"/>
        </w:rPr>
      </w:pPr>
    </w:p>
    <w:p w14:paraId="33EE5725" w14:textId="335630EF" w:rsidR="00886FCF" w:rsidRPr="00C15675" w:rsidRDefault="00886FCF" w:rsidP="00523257">
      <w:pPr>
        <w:spacing w:after="0" w:line="480" w:lineRule="auto"/>
        <w:jc w:val="both"/>
        <w:rPr>
          <w:rFonts w:ascii="Times New Roman" w:hAnsi="Times New Roman"/>
          <w:sz w:val="24"/>
          <w:szCs w:val="24"/>
        </w:rPr>
      </w:pPr>
      <w:r w:rsidRPr="001077B1">
        <w:rPr>
          <w:rFonts w:ascii="Times New Roman" w:hAnsi="Times New Roman"/>
          <w:sz w:val="24"/>
          <w:szCs w:val="24"/>
        </w:rPr>
        <w:t xml:space="preserve">Phosphodiesterase 10A (PDE-10A) is </w:t>
      </w:r>
      <w:r w:rsidR="00FB0DD8" w:rsidRPr="001077B1">
        <w:rPr>
          <w:rFonts w:ascii="Times New Roman" w:hAnsi="Times New Roman"/>
          <w:sz w:val="24"/>
          <w:szCs w:val="24"/>
        </w:rPr>
        <w:t xml:space="preserve">a dual substrate enzyme </w:t>
      </w:r>
      <w:r w:rsidRPr="00EA64F4">
        <w:rPr>
          <w:rFonts w:ascii="Times New Roman" w:hAnsi="Times New Roman"/>
          <w:sz w:val="24"/>
          <w:szCs w:val="24"/>
        </w:rPr>
        <w:t>located almost exclusively within the basal ganglia and mainly in the axons of the stria</w:t>
      </w:r>
      <w:r w:rsidR="002B0BCE">
        <w:rPr>
          <w:rFonts w:ascii="Times New Roman" w:hAnsi="Times New Roman"/>
          <w:sz w:val="24"/>
          <w:szCs w:val="24"/>
        </w:rPr>
        <w:t xml:space="preserve">tal medium spiny neurons, where it hydrolyses cAMP and cGMP </w:t>
      </w:r>
      <w:r w:rsidRPr="00EA64F4">
        <w:rPr>
          <w:rFonts w:ascii="Times New Roman" w:hAnsi="Times New Roman"/>
          <w:sz w:val="24"/>
          <w:szCs w:val="24"/>
        </w:rPr>
        <w:t>(</w:t>
      </w:r>
      <w:r w:rsidR="00FB0DD8" w:rsidRPr="005D02C3">
        <w:rPr>
          <w:rFonts w:ascii="Times New Roman" w:hAnsi="Times New Roman"/>
          <w:sz w:val="24"/>
          <w:szCs w:val="24"/>
        </w:rPr>
        <w:t xml:space="preserve">Fujishige </w:t>
      </w:r>
      <w:r w:rsidR="00FB0DD8" w:rsidRPr="005D02C3">
        <w:rPr>
          <w:rFonts w:ascii="Times New Roman" w:hAnsi="Times New Roman"/>
          <w:i/>
          <w:sz w:val="24"/>
          <w:szCs w:val="24"/>
        </w:rPr>
        <w:t>et al.,</w:t>
      </w:r>
      <w:r w:rsidR="00FB0DD8" w:rsidRPr="005D02C3">
        <w:rPr>
          <w:rFonts w:ascii="Times New Roman" w:hAnsi="Times New Roman"/>
          <w:sz w:val="24"/>
          <w:szCs w:val="24"/>
        </w:rPr>
        <w:t xml:space="preserve"> 1999; </w:t>
      </w:r>
      <w:r w:rsidRPr="005D02C3">
        <w:rPr>
          <w:rFonts w:ascii="Times New Roman" w:hAnsi="Times New Roman"/>
          <w:sz w:val="24"/>
          <w:szCs w:val="24"/>
        </w:rPr>
        <w:t>Coskran</w:t>
      </w:r>
      <w:r w:rsidRPr="005D02C3">
        <w:rPr>
          <w:rFonts w:ascii="Times New Roman" w:hAnsi="Times New Roman"/>
          <w:i/>
          <w:sz w:val="24"/>
          <w:szCs w:val="24"/>
        </w:rPr>
        <w:t xml:space="preserve"> et al.,</w:t>
      </w:r>
      <w:r w:rsidRPr="005D02C3">
        <w:rPr>
          <w:rFonts w:ascii="Times New Roman" w:hAnsi="Times New Roman"/>
          <w:sz w:val="24"/>
          <w:szCs w:val="24"/>
        </w:rPr>
        <w:t xml:space="preserve"> 2006).</w:t>
      </w:r>
      <w:r w:rsidRPr="00C950D7">
        <w:rPr>
          <w:rFonts w:ascii="Times New Roman" w:hAnsi="Times New Roman"/>
          <w:b/>
          <w:sz w:val="24"/>
          <w:szCs w:val="24"/>
        </w:rPr>
        <w:t xml:space="preserve"> </w:t>
      </w:r>
      <w:r w:rsidR="00FB0DD8" w:rsidRPr="00046ACF">
        <w:rPr>
          <w:rFonts w:ascii="Times New Roman" w:hAnsi="Times New Roman"/>
          <w:sz w:val="24"/>
          <w:szCs w:val="24"/>
        </w:rPr>
        <w:t>In the striatal pathway,</w:t>
      </w:r>
      <w:r w:rsidR="00FB0DD8" w:rsidRPr="00523257">
        <w:rPr>
          <w:rFonts w:ascii="Times New Roman" w:hAnsi="Times New Roman"/>
          <w:b/>
          <w:sz w:val="24"/>
          <w:szCs w:val="24"/>
        </w:rPr>
        <w:t xml:space="preserve"> </w:t>
      </w:r>
      <w:r w:rsidR="00B24D94">
        <w:rPr>
          <w:rFonts w:ascii="Times New Roman" w:hAnsi="Times New Roman"/>
          <w:sz w:val="24"/>
          <w:szCs w:val="24"/>
        </w:rPr>
        <w:t>PDE-10A regulates cAMP/</w:t>
      </w:r>
      <w:r w:rsidR="00FB0DD8" w:rsidRPr="00523257">
        <w:rPr>
          <w:rFonts w:ascii="Times New Roman" w:hAnsi="Times New Roman"/>
          <w:sz w:val="24"/>
          <w:szCs w:val="24"/>
        </w:rPr>
        <w:t xml:space="preserve">cGMP downstream </w:t>
      </w:r>
      <w:r w:rsidR="00C936CC" w:rsidRPr="00C936CC">
        <w:rPr>
          <w:rFonts w:ascii="Times New Roman" w:hAnsi="Times New Roman"/>
          <w:sz w:val="24"/>
          <w:szCs w:val="24"/>
        </w:rPr>
        <w:t>signalling</w:t>
      </w:r>
      <w:r w:rsidR="00FB0DD8" w:rsidRPr="00523257">
        <w:rPr>
          <w:rFonts w:ascii="Times New Roman" w:hAnsi="Times New Roman"/>
          <w:sz w:val="24"/>
          <w:szCs w:val="24"/>
        </w:rPr>
        <w:t xml:space="preserve"> cascades </w:t>
      </w:r>
      <w:r w:rsidR="00E51222" w:rsidRPr="00523257">
        <w:rPr>
          <w:rFonts w:ascii="Times New Roman" w:hAnsi="Times New Roman"/>
          <w:sz w:val="24"/>
          <w:szCs w:val="24"/>
        </w:rPr>
        <w:t>(</w:t>
      </w:r>
      <w:r w:rsidR="00C936CC">
        <w:rPr>
          <w:rFonts w:ascii="Times New Roman" w:hAnsi="Times New Roman"/>
          <w:sz w:val="24"/>
          <w:szCs w:val="24"/>
        </w:rPr>
        <w:t>e.g</w:t>
      </w:r>
      <w:r w:rsidR="00E51222" w:rsidRPr="00523257">
        <w:rPr>
          <w:rFonts w:ascii="Times New Roman" w:hAnsi="Times New Roman"/>
          <w:sz w:val="24"/>
          <w:szCs w:val="24"/>
        </w:rPr>
        <w:t xml:space="preserve">. cAMP/PKA/DARPP-32) </w:t>
      </w:r>
      <w:r w:rsidR="00FB0DD8" w:rsidRPr="00523257">
        <w:rPr>
          <w:rFonts w:ascii="Times New Roman" w:hAnsi="Times New Roman"/>
          <w:sz w:val="24"/>
          <w:szCs w:val="24"/>
        </w:rPr>
        <w:t xml:space="preserve">that control </w:t>
      </w:r>
      <w:r w:rsidR="00FB0DD8" w:rsidRPr="00932158">
        <w:rPr>
          <w:rFonts w:ascii="Times New Roman" w:hAnsi="Times New Roman"/>
          <w:sz w:val="24"/>
          <w:szCs w:val="24"/>
        </w:rPr>
        <w:t xml:space="preserve">a diverse array of neural functions ranging from ion conductance to synaptic plasticity </w:t>
      </w:r>
      <w:r w:rsidR="00E51222" w:rsidRPr="00932158">
        <w:rPr>
          <w:rFonts w:ascii="Times New Roman" w:hAnsi="Times New Roman"/>
          <w:sz w:val="24"/>
          <w:szCs w:val="24"/>
        </w:rPr>
        <w:t xml:space="preserve">playing a key role in </w:t>
      </w:r>
      <w:r w:rsidR="00C936CC">
        <w:rPr>
          <w:rFonts w:ascii="Times New Roman" w:hAnsi="Times New Roman"/>
          <w:sz w:val="24"/>
          <w:szCs w:val="24"/>
        </w:rPr>
        <w:t xml:space="preserve">the regulation of </w:t>
      </w:r>
      <w:r w:rsidR="00E51222" w:rsidRPr="00932158">
        <w:rPr>
          <w:rFonts w:ascii="Times New Roman" w:hAnsi="Times New Roman"/>
          <w:sz w:val="24"/>
          <w:szCs w:val="24"/>
        </w:rPr>
        <w:t xml:space="preserve">dopaminergic signalling </w:t>
      </w:r>
      <w:r w:rsidR="00811009">
        <w:rPr>
          <w:rFonts w:ascii="Times New Roman" w:hAnsi="Times New Roman"/>
          <w:sz w:val="24"/>
          <w:szCs w:val="24"/>
        </w:rPr>
        <w:t>in</w:t>
      </w:r>
      <w:r w:rsidR="00811009" w:rsidRPr="00932158">
        <w:rPr>
          <w:rFonts w:ascii="Times New Roman" w:hAnsi="Times New Roman"/>
          <w:sz w:val="24"/>
          <w:szCs w:val="24"/>
        </w:rPr>
        <w:t xml:space="preserve"> </w:t>
      </w:r>
      <w:r w:rsidR="00E51222" w:rsidRPr="00932158">
        <w:rPr>
          <w:rFonts w:ascii="Times New Roman" w:hAnsi="Times New Roman"/>
          <w:sz w:val="24"/>
          <w:szCs w:val="24"/>
        </w:rPr>
        <w:t xml:space="preserve">the direct and indirect striatal </w:t>
      </w:r>
      <w:r w:rsidR="00E51222" w:rsidRPr="005D02C3">
        <w:rPr>
          <w:rFonts w:ascii="Times New Roman" w:hAnsi="Times New Roman"/>
          <w:sz w:val="24"/>
          <w:szCs w:val="24"/>
        </w:rPr>
        <w:t xml:space="preserve">pathways </w:t>
      </w:r>
      <w:r w:rsidR="00FB0DD8" w:rsidRPr="005D02C3">
        <w:rPr>
          <w:rFonts w:ascii="Times New Roman" w:hAnsi="Times New Roman"/>
          <w:sz w:val="24"/>
          <w:szCs w:val="24"/>
        </w:rPr>
        <w:t>(Nishi</w:t>
      </w:r>
      <w:r w:rsidR="001D1416" w:rsidRPr="005D02C3">
        <w:rPr>
          <w:rFonts w:ascii="Times New Roman" w:hAnsi="Times New Roman"/>
          <w:sz w:val="24"/>
          <w:szCs w:val="24"/>
        </w:rPr>
        <w:t xml:space="preserve"> </w:t>
      </w:r>
      <w:r w:rsidR="001D1416" w:rsidRPr="005D02C3">
        <w:rPr>
          <w:rFonts w:ascii="Times New Roman" w:hAnsi="Times New Roman"/>
          <w:i/>
          <w:sz w:val="24"/>
          <w:szCs w:val="24"/>
        </w:rPr>
        <w:t>et al.</w:t>
      </w:r>
      <w:r w:rsidR="00FB0DD8" w:rsidRPr="005D02C3">
        <w:rPr>
          <w:rFonts w:ascii="Times New Roman" w:hAnsi="Times New Roman"/>
          <w:sz w:val="24"/>
          <w:szCs w:val="24"/>
        </w:rPr>
        <w:t>, 2008; Girault, 2012).</w:t>
      </w:r>
      <w:r w:rsidR="00FB0DD8" w:rsidRPr="00EA64F4">
        <w:rPr>
          <w:rFonts w:ascii="Times New Roman" w:hAnsi="Times New Roman"/>
          <w:sz w:val="24"/>
          <w:szCs w:val="24"/>
        </w:rPr>
        <w:t xml:space="preserve"> </w:t>
      </w:r>
    </w:p>
    <w:p w14:paraId="599202FA" w14:textId="77777777" w:rsidR="00886FCF" w:rsidRPr="004E4A1F" w:rsidRDefault="00886FCF" w:rsidP="00523257">
      <w:pPr>
        <w:spacing w:after="0" w:line="480" w:lineRule="auto"/>
        <w:jc w:val="both"/>
        <w:rPr>
          <w:rFonts w:ascii="Times New Roman" w:hAnsi="Times New Roman"/>
          <w:sz w:val="24"/>
          <w:szCs w:val="24"/>
        </w:rPr>
      </w:pPr>
    </w:p>
    <w:p w14:paraId="0126EFDC" w14:textId="58E4FB5B" w:rsidR="004C6E7C" w:rsidRPr="00375142" w:rsidRDefault="00B00CCE" w:rsidP="00523257">
      <w:pPr>
        <w:spacing w:after="0" w:line="480" w:lineRule="auto"/>
        <w:jc w:val="both"/>
        <w:rPr>
          <w:rFonts w:ascii="Times New Roman" w:hAnsi="Times New Roman"/>
          <w:sz w:val="24"/>
          <w:szCs w:val="24"/>
        </w:rPr>
      </w:pPr>
      <w:r>
        <w:rPr>
          <w:rFonts w:ascii="Times New Roman" w:hAnsi="Times New Roman"/>
          <w:sz w:val="24"/>
          <w:szCs w:val="24"/>
        </w:rPr>
        <w:t>Preclinical</w:t>
      </w:r>
      <w:r w:rsidR="000E45BA" w:rsidRPr="004E4A1F">
        <w:rPr>
          <w:rFonts w:ascii="Times New Roman" w:hAnsi="Times New Roman"/>
          <w:sz w:val="24"/>
          <w:szCs w:val="24"/>
        </w:rPr>
        <w:t xml:space="preserve"> s</w:t>
      </w:r>
      <w:r w:rsidR="00886FCF" w:rsidRPr="00324BA9">
        <w:rPr>
          <w:rFonts w:ascii="Times New Roman" w:hAnsi="Times New Roman"/>
          <w:sz w:val="24"/>
          <w:szCs w:val="24"/>
        </w:rPr>
        <w:t>tudies in le</w:t>
      </w:r>
      <w:r w:rsidR="000E45BA" w:rsidRPr="00375142">
        <w:rPr>
          <w:rFonts w:ascii="Times New Roman" w:hAnsi="Times New Roman"/>
          <w:sz w:val="24"/>
          <w:szCs w:val="24"/>
        </w:rPr>
        <w:t>vodopa naïve animal models of</w:t>
      </w:r>
      <w:r w:rsidR="000E45BA" w:rsidRPr="00641CD3">
        <w:rPr>
          <w:rFonts w:ascii="Times New Roman" w:hAnsi="Times New Roman"/>
          <w:sz w:val="24"/>
          <w:szCs w:val="24"/>
        </w:rPr>
        <w:t xml:space="preserve"> Parkinson’s disease have shown that </w:t>
      </w:r>
      <w:r w:rsidR="004C7970" w:rsidRPr="00EE1410">
        <w:rPr>
          <w:rFonts w:ascii="Times New Roman" w:hAnsi="Times New Roman"/>
          <w:sz w:val="24"/>
          <w:szCs w:val="24"/>
        </w:rPr>
        <w:t xml:space="preserve">unilateral lesion </w:t>
      </w:r>
      <w:r w:rsidR="000E45BA" w:rsidRPr="00E17963">
        <w:rPr>
          <w:rFonts w:ascii="Times New Roman" w:hAnsi="Times New Roman"/>
          <w:sz w:val="24"/>
          <w:szCs w:val="24"/>
        </w:rPr>
        <w:t xml:space="preserve">of nigrostriatal dopaminergic </w:t>
      </w:r>
      <w:r w:rsidR="00886FCF" w:rsidRPr="00E17963">
        <w:rPr>
          <w:rFonts w:ascii="Times New Roman" w:hAnsi="Times New Roman"/>
          <w:sz w:val="24"/>
          <w:szCs w:val="24"/>
        </w:rPr>
        <w:t>projections le</w:t>
      </w:r>
      <w:r w:rsidR="000E45BA" w:rsidRPr="00E17963">
        <w:rPr>
          <w:rFonts w:ascii="Times New Roman" w:hAnsi="Times New Roman"/>
          <w:sz w:val="24"/>
          <w:szCs w:val="24"/>
        </w:rPr>
        <w:t>a</w:t>
      </w:r>
      <w:r w:rsidR="00886FCF" w:rsidRPr="00E17963">
        <w:rPr>
          <w:rFonts w:ascii="Times New Roman" w:hAnsi="Times New Roman"/>
          <w:sz w:val="24"/>
          <w:szCs w:val="24"/>
        </w:rPr>
        <w:t>d</w:t>
      </w:r>
      <w:r w:rsidR="000E45BA" w:rsidRPr="00E17963">
        <w:rPr>
          <w:rFonts w:ascii="Times New Roman" w:hAnsi="Times New Roman"/>
          <w:sz w:val="24"/>
          <w:szCs w:val="24"/>
        </w:rPr>
        <w:t>s</w:t>
      </w:r>
      <w:r w:rsidR="00886FCF" w:rsidRPr="00E17963">
        <w:rPr>
          <w:rFonts w:ascii="Times New Roman" w:hAnsi="Times New Roman"/>
          <w:sz w:val="24"/>
          <w:szCs w:val="24"/>
        </w:rPr>
        <w:t xml:space="preserve"> to increase</w:t>
      </w:r>
      <w:r w:rsidR="00AA7687" w:rsidRPr="001517E0">
        <w:rPr>
          <w:rFonts w:ascii="Times New Roman" w:hAnsi="Times New Roman"/>
          <w:sz w:val="24"/>
          <w:szCs w:val="24"/>
        </w:rPr>
        <w:t>d</w:t>
      </w:r>
      <w:r w:rsidR="00886FCF" w:rsidRPr="001517E0">
        <w:rPr>
          <w:rFonts w:ascii="Times New Roman" w:hAnsi="Times New Roman"/>
          <w:sz w:val="24"/>
          <w:szCs w:val="24"/>
        </w:rPr>
        <w:t xml:space="preserve"> cAMP levels in the ipsilateral striatum compared to the contralateral non-lesioned side (</w:t>
      </w:r>
      <w:r w:rsidR="00886FCF" w:rsidRPr="005D02C3">
        <w:rPr>
          <w:rFonts w:ascii="Times New Roman" w:hAnsi="Times New Roman"/>
          <w:sz w:val="24"/>
          <w:szCs w:val="24"/>
        </w:rPr>
        <w:t>Hossain and Weiner, 1993; Tenn and Niles, 1997</w:t>
      </w:r>
      <w:r w:rsidR="00E95B7A" w:rsidRPr="005D02C3">
        <w:rPr>
          <w:rFonts w:ascii="Times New Roman" w:hAnsi="Times New Roman"/>
          <w:sz w:val="24"/>
          <w:szCs w:val="24"/>
        </w:rPr>
        <w:t xml:space="preserve">; Giorgi </w:t>
      </w:r>
      <w:r w:rsidR="00E95B7A" w:rsidRPr="005D02C3">
        <w:rPr>
          <w:rFonts w:ascii="Times New Roman" w:hAnsi="Times New Roman"/>
          <w:i/>
          <w:sz w:val="24"/>
          <w:szCs w:val="24"/>
        </w:rPr>
        <w:t>et al.,</w:t>
      </w:r>
      <w:r w:rsidR="00E95B7A" w:rsidRPr="005D02C3">
        <w:rPr>
          <w:rFonts w:ascii="Times New Roman" w:hAnsi="Times New Roman"/>
          <w:sz w:val="24"/>
          <w:szCs w:val="24"/>
        </w:rPr>
        <w:t xml:space="preserve"> 2008</w:t>
      </w:r>
      <w:r w:rsidR="00886FCF" w:rsidRPr="005D02C3">
        <w:rPr>
          <w:rFonts w:ascii="Times New Roman" w:hAnsi="Times New Roman"/>
          <w:sz w:val="24"/>
          <w:szCs w:val="24"/>
        </w:rPr>
        <w:t>).</w:t>
      </w:r>
      <w:r w:rsidR="00886FCF" w:rsidRPr="007F35D3">
        <w:rPr>
          <w:rFonts w:ascii="Times New Roman" w:hAnsi="Times New Roman"/>
          <w:sz w:val="24"/>
          <w:szCs w:val="24"/>
        </w:rPr>
        <w:t xml:space="preserve"> </w:t>
      </w:r>
      <w:r w:rsidR="008D64B9" w:rsidRPr="00876B1D">
        <w:rPr>
          <w:rFonts w:ascii="Times New Roman" w:hAnsi="Times New Roman"/>
          <w:sz w:val="24"/>
          <w:szCs w:val="24"/>
        </w:rPr>
        <w:t xml:space="preserve">In striatal neurons, </w:t>
      </w:r>
      <w:r w:rsidR="005B6D38" w:rsidRPr="005B6D38">
        <w:rPr>
          <w:rFonts w:ascii="Times New Roman" w:hAnsi="Times New Roman"/>
          <w:sz w:val="24"/>
          <w:szCs w:val="24"/>
        </w:rPr>
        <w:t xml:space="preserve">cAMP synthesis is regulated by dopamine through the interaction with D1 and D2 receptors </w:t>
      </w:r>
      <w:r w:rsidR="008D64B9" w:rsidRPr="00EE3D83">
        <w:rPr>
          <w:rFonts w:ascii="Times New Roman" w:hAnsi="Times New Roman"/>
          <w:sz w:val="24"/>
          <w:szCs w:val="24"/>
        </w:rPr>
        <w:t xml:space="preserve">and its catabolism </w:t>
      </w:r>
      <w:r w:rsidR="005B6D38">
        <w:rPr>
          <w:rFonts w:ascii="Times New Roman" w:hAnsi="Times New Roman"/>
          <w:sz w:val="24"/>
          <w:szCs w:val="24"/>
        </w:rPr>
        <w:t xml:space="preserve">is </w:t>
      </w:r>
      <w:r w:rsidR="008D64B9" w:rsidRPr="00EE3D83">
        <w:rPr>
          <w:rFonts w:ascii="Times New Roman" w:hAnsi="Times New Roman"/>
          <w:sz w:val="24"/>
          <w:szCs w:val="24"/>
        </w:rPr>
        <w:t>mediated by phosphodiesterases such as PDE-10A</w:t>
      </w:r>
      <w:r w:rsidR="004C7970" w:rsidRPr="00EE3D83">
        <w:rPr>
          <w:rFonts w:ascii="Times New Roman" w:hAnsi="Times New Roman"/>
          <w:sz w:val="24"/>
          <w:szCs w:val="24"/>
        </w:rPr>
        <w:t xml:space="preserve"> (</w:t>
      </w:r>
      <w:r w:rsidR="004C7970" w:rsidRPr="005D02C3">
        <w:rPr>
          <w:rFonts w:ascii="Times New Roman" w:hAnsi="Times New Roman"/>
          <w:sz w:val="24"/>
          <w:szCs w:val="24"/>
        </w:rPr>
        <w:t>Rasmussen, 1970).</w:t>
      </w:r>
      <w:r w:rsidR="004C7970" w:rsidRPr="00EE3D83">
        <w:rPr>
          <w:rFonts w:ascii="Times New Roman" w:hAnsi="Times New Roman"/>
          <w:sz w:val="24"/>
          <w:szCs w:val="24"/>
        </w:rPr>
        <w:t xml:space="preserve"> </w:t>
      </w:r>
      <w:r w:rsidR="00267864">
        <w:rPr>
          <w:rFonts w:ascii="Times New Roman" w:hAnsi="Times New Roman"/>
          <w:sz w:val="24"/>
          <w:szCs w:val="24"/>
        </w:rPr>
        <w:t>In animal models of Parkinson’s disease, u</w:t>
      </w:r>
      <w:r w:rsidR="005B6D38">
        <w:rPr>
          <w:rFonts w:ascii="Times New Roman" w:hAnsi="Times New Roman"/>
          <w:sz w:val="24"/>
          <w:szCs w:val="24"/>
        </w:rPr>
        <w:t>n</w:t>
      </w:r>
      <w:r w:rsidR="00267864">
        <w:rPr>
          <w:rFonts w:ascii="Times New Roman" w:hAnsi="Times New Roman"/>
          <w:sz w:val="24"/>
          <w:szCs w:val="24"/>
        </w:rPr>
        <w:t>ilateral lesion of nigrostriatal projections not only induces an increase of cAMP but also</w:t>
      </w:r>
      <w:r w:rsidR="00267864" w:rsidRPr="00267864">
        <w:rPr>
          <w:rFonts w:ascii="Times New Roman" w:hAnsi="Times New Roman"/>
          <w:sz w:val="24"/>
          <w:szCs w:val="24"/>
        </w:rPr>
        <w:t xml:space="preserve"> down-regulates</w:t>
      </w:r>
      <w:r w:rsidR="00267864">
        <w:rPr>
          <w:rFonts w:ascii="Times New Roman" w:hAnsi="Times New Roman"/>
          <w:sz w:val="24"/>
          <w:szCs w:val="24"/>
        </w:rPr>
        <w:t xml:space="preserve"> </w:t>
      </w:r>
      <w:r w:rsidR="004C7970" w:rsidRPr="00EE3D83">
        <w:rPr>
          <w:rFonts w:ascii="Times New Roman" w:hAnsi="Times New Roman"/>
          <w:sz w:val="24"/>
          <w:szCs w:val="24"/>
        </w:rPr>
        <w:t xml:space="preserve">PDE-10A mRNA and protein levels in </w:t>
      </w:r>
      <w:r w:rsidR="008B1B81">
        <w:rPr>
          <w:rFonts w:ascii="Times New Roman" w:hAnsi="Times New Roman"/>
          <w:sz w:val="24"/>
          <w:szCs w:val="24"/>
        </w:rPr>
        <w:t xml:space="preserve">the striatum and </w:t>
      </w:r>
      <w:r w:rsidR="004C7970" w:rsidRPr="00EE3D83">
        <w:rPr>
          <w:rFonts w:ascii="Times New Roman" w:hAnsi="Times New Roman"/>
          <w:sz w:val="24"/>
          <w:szCs w:val="24"/>
        </w:rPr>
        <w:t>globus pallidus compared to the contralateral non-lesioned side (</w:t>
      </w:r>
      <w:r w:rsidR="004C7970" w:rsidRPr="005D02C3">
        <w:rPr>
          <w:rFonts w:ascii="Times New Roman" w:hAnsi="Times New Roman"/>
          <w:sz w:val="24"/>
          <w:szCs w:val="24"/>
        </w:rPr>
        <w:t xml:space="preserve">Giorgi </w:t>
      </w:r>
      <w:r w:rsidR="004C7970" w:rsidRPr="005D02C3">
        <w:rPr>
          <w:rFonts w:ascii="Times New Roman" w:hAnsi="Times New Roman"/>
          <w:i/>
          <w:sz w:val="24"/>
          <w:szCs w:val="24"/>
        </w:rPr>
        <w:t>et al.,</w:t>
      </w:r>
      <w:r w:rsidR="004C7970" w:rsidRPr="005D02C3">
        <w:rPr>
          <w:rFonts w:ascii="Times New Roman" w:hAnsi="Times New Roman"/>
          <w:sz w:val="24"/>
          <w:szCs w:val="24"/>
        </w:rPr>
        <w:t xml:space="preserve"> 2008, 2011</w:t>
      </w:r>
      <w:r w:rsidR="004C7970" w:rsidRPr="00EE3D83">
        <w:rPr>
          <w:rFonts w:ascii="Times New Roman" w:hAnsi="Times New Roman"/>
          <w:sz w:val="24"/>
          <w:szCs w:val="24"/>
        </w:rPr>
        <w:t xml:space="preserve">). </w:t>
      </w:r>
      <w:r w:rsidR="00886FCF" w:rsidRPr="00EE3D83">
        <w:rPr>
          <w:rFonts w:ascii="Times New Roman" w:hAnsi="Times New Roman"/>
          <w:sz w:val="24"/>
          <w:szCs w:val="24"/>
        </w:rPr>
        <w:t>These data demo</w:t>
      </w:r>
      <w:r w:rsidR="00ED4BBF" w:rsidRPr="00EE3D83">
        <w:rPr>
          <w:rFonts w:ascii="Times New Roman" w:hAnsi="Times New Roman"/>
          <w:sz w:val="24"/>
          <w:szCs w:val="24"/>
        </w:rPr>
        <w:t>nstrate</w:t>
      </w:r>
      <w:r w:rsidR="00CE77B3">
        <w:rPr>
          <w:rFonts w:ascii="Times New Roman" w:hAnsi="Times New Roman"/>
          <w:sz w:val="24"/>
          <w:szCs w:val="24"/>
        </w:rPr>
        <w:t>d</w:t>
      </w:r>
      <w:r w:rsidR="00ED4BBF" w:rsidRPr="00EE3D83">
        <w:rPr>
          <w:rFonts w:ascii="Times New Roman" w:hAnsi="Times New Roman"/>
          <w:sz w:val="24"/>
          <w:szCs w:val="24"/>
        </w:rPr>
        <w:t xml:space="preserve"> that </w:t>
      </w:r>
      <w:r w:rsidR="00752590" w:rsidRPr="00523257">
        <w:rPr>
          <w:rFonts w:ascii="Times New Roman" w:hAnsi="Times New Roman"/>
          <w:sz w:val="24"/>
          <w:szCs w:val="24"/>
        </w:rPr>
        <w:t xml:space="preserve">lesions of the midbrain dopaminergic neurons </w:t>
      </w:r>
      <w:r w:rsidR="005B689C" w:rsidRPr="00523257">
        <w:rPr>
          <w:rFonts w:ascii="Times New Roman" w:hAnsi="Times New Roman"/>
          <w:sz w:val="24"/>
          <w:szCs w:val="24"/>
        </w:rPr>
        <w:t>could</w:t>
      </w:r>
      <w:r w:rsidR="00752590" w:rsidRPr="00523257">
        <w:rPr>
          <w:rFonts w:ascii="Times New Roman" w:hAnsi="Times New Roman"/>
          <w:sz w:val="24"/>
          <w:szCs w:val="24"/>
        </w:rPr>
        <w:t xml:space="preserve"> regulate both PDE</w:t>
      </w:r>
      <w:r w:rsidR="00CE77B3">
        <w:rPr>
          <w:rFonts w:ascii="Times New Roman" w:hAnsi="Times New Roman"/>
          <w:sz w:val="24"/>
          <w:szCs w:val="24"/>
        </w:rPr>
        <w:t>-</w:t>
      </w:r>
      <w:r w:rsidR="00752590" w:rsidRPr="00523257">
        <w:rPr>
          <w:rFonts w:ascii="Times New Roman" w:hAnsi="Times New Roman"/>
          <w:sz w:val="24"/>
          <w:szCs w:val="24"/>
        </w:rPr>
        <w:t xml:space="preserve">10A expression and the rate of cAMP catabolism in the basal ganglia. </w:t>
      </w:r>
      <w:r w:rsidR="005D02C3">
        <w:rPr>
          <w:rFonts w:ascii="Times New Roman" w:hAnsi="Times New Roman"/>
          <w:sz w:val="24"/>
          <w:szCs w:val="24"/>
        </w:rPr>
        <w:t>The</w:t>
      </w:r>
      <w:r w:rsidR="005D02C3" w:rsidRPr="00941621">
        <w:rPr>
          <w:rFonts w:ascii="Times New Roman" w:hAnsi="Times New Roman"/>
          <w:sz w:val="24"/>
          <w:szCs w:val="24"/>
        </w:rPr>
        <w:t xml:space="preserve"> PDE-10A/cAMP interaction is essential for dopamine neurotransmission and could have a key role in the pathophysiology of P</w:t>
      </w:r>
      <w:r w:rsidR="00B17759">
        <w:rPr>
          <w:rFonts w:ascii="Times New Roman" w:hAnsi="Times New Roman"/>
          <w:sz w:val="24"/>
          <w:szCs w:val="24"/>
        </w:rPr>
        <w:t>arkinson’s disease</w:t>
      </w:r>
      <w:r w:rsidR="005D02C3">
        <w:rPr>
          <w:rFonts w:ascii="Times New Roman" w:hAnsi="Times New Roman"/>
          <w:sz w:val="24"/>
          <w:szCs w:val="24"/>
        </w:rPr>
        <w:t>. Moreover, cyclic nucleotides levels were reduced at peak dy</w:t>
      </w:r>
      <w:r w:rsidR="00B17759">
        <w:rPr>
          <w:rFonts w:ascii="Times New Roman" w:hAnsi="Times New Roman"/>
          <w:sz w:val="24"/>
          <w:szCs w:val="24"/>
        </w:rPr>
        <w:t>skinesias in rodent models of Parkinson’s disease</w:t>
      </w:r>
      <w:r w:rsidR="005D02C3">
        <w:rPr>
          <w:rFonts w:ascii="Times New Roman" w:hAnsi="Times New Roman"/>
          <w:sz w:val="24"/>
          <w:szCs w:val="24"/>
        </w:rPr>
        <w:t xml:space="preserve"> and administration of PDE inhibitors before levodopa decreased the severity of dyskinesias (Giorgi </w:t>
      </w:r>
      <w:r w:rsidR="005D02C3" w:rsidRPr="005D02C3">
        <w:rPr>
          <w:rFonts w:ascii="Times New Roman" w:hAnsi="Times New Roman"/>
          <w:i/>
          <w:sz w:val="24"/>
          <w:szCs w:val="24"/>
        </w:rPr>
        <w:t>et al.</w:t>
      </w:r>
      <w:r w:rsidR="005D02C3">
        <w:rPr>
          <w:rFonts w:ascii="Times New Roman" w:hAnsi="Times New Roman"/>
          <w:sz w:val="24"/>
          <w:szCs w:val="24"/>
        </w:rPr>
        <w:t xml:space="preserve">, 2008; Sancesario </w:t>
      </w:r>
      <w:r w:rsidR="005D02C3" w:rsidRPr="005D02C3">
        <w:rPr>
          <w:rFonts w:ascii="Times New Roman" w:hAnsi="Times New Roman"/>
          <w:i/>
          <w:sz w:val="24"/>
          <w:szCs w:val="24"/>
        </w:rPr>
        <w:t>et al.</w:t>
      </w:r>
      <w:r w:rsidR="005D02C3">
        <w:rPr>
          <w:rFonts w:ascii="Times New Roman" w:hAnsi="Times New Roman"/>
          <w:sz w:val="24"/>
          <w:szCs w:val="24"/>
        </w:rPr>
        <w:t>, 2014).</w:t>
      </w:r>
    </w:p>
    <w:p w14:paraId="44087CB5" w14:textId="77777777" w:rsidR="00295414" w:rsidRPr="00E17963" w:rsidRDefault="00295414" w:rsidP="00523257">
      <w:pPr>
        <w:spacing w:after="0" w:line="480" w:lineRule="auto"/>
        <w:jc w:val="both"/>
        <w:rPr>
          <w:rFonts w:ascii="Times New Roman" w:hAnsi="Times New Roman"/>
          <w:sz w:val="24"/>
          <w:szCs w:val="24"/>
        </w:rPr>
      </w:pPr>
    </w:p>
    <w:p w14:paraId="284BAEA4" w14:textId="009924DE" w:rsidR="00C82806" w:rsidRPr="00EE3D83" w:rsidRDefault="008C0A47" w:rsidP="00523257">
      <w:pPr>
        <w:spacing w:after="0" w:line="480" w:lineRule="auto"/>
        <w:jc w:val="both"/>
        <w:rPr>
          <w:rFonts w:ascii="Times New Roman" w:hAnsi="Times New Roman"/>
          <w:sz w:val="24"/>
          <w:szCs w:val="24"/>
        </w:rPr>
      </w:pPr>
      <w:r w:rsidRPr="00A45412">
        <w:rPr>
          <w:rFonts w:ascii="Times New Roman" w:hAnsi="Times New Roman"/>
          <w:sz w:val="24"/>
          <w:szCs w:val="24"/>
        </w:rPr>
        <w:t xml:space="preserve">Here, </w:t>
      </w:r>
      <w:r w:rsidR="004C44FF" w:rsidRPr="007F35D3">
        <w:rPr>
          <w:rFonts w:ascii="Times New Roman" w:hAnsi="Times New Roman"/>
          <w:sz w:val="24"/>
          <w:szCs w:val="24"/>
        </w:rPr>
        <w:t xml:space="preserve">we investigated </w:t>
      </w:r>
      <w:r w:rsidR="004C44FF" w:rsidRPr="007F35D3">
        <w:rPr>
          <w:rFonts w:ascii="Times New Roman" w:hAnsi="Times New Roman"/>
          <w:i/>
          <w:sz w:val="24"/>
          <w:szCs w:val="24"/>
        </w:rPr>
        <w:t xml:space="preserve">in vivo </w:t>
      </w:r>
      <w:r w:rsidR="004C44FF" w:rsidRPr="00AE049E">
        <w:rPr>
          <w:rFonts w:ascii="Times New Roman" w:hAnsi="Times New Roman"/>
          <w:sz w:val="24"/>
          <w:szCs w:val="24"/>
        </w:rPr>
        <w:t>the expression of</w:t>
      </w:r>
      <w:r w:rsidR="004C44FF" w:rsidRPr="00876B1D">
        <w:rPr>
          <w:rFonts w:ascii="Times New Roman" w:hAnsi="Times New Roman"/>
          <w:sz w:val="24"/>
          <w:szCs w:val="24"/>
        </w:rPr>
        <w:t xml:space="preserve"> PDE-10A in Parkinson’s disease</w:t>
      </w:r>
      <w:r w:rsidR="00557E1F" w:rsidRPr="00876B1D">
        <w:rPr>
          <w:rFonts w:ascii="Times New Roman" w:hAnsi="Times New Roman"/>
          <w:sz w:val="24"/>
          <w:szCs w:val="24"/>
        </w:rPr>
        <w:t xml:space="preserve"> patients, using PET</w:t>
      </w:r>
      <w:r w:rsidR="004C44FF" w:rsidRPr="00082B73">
        <w:rPr>
          <w:rFonts w:ascii="Times New Roman" w:hAnsi="Times New Roman"/>
          <w:sz w:val="24"/>
          <w:szCs w:val="24"/>
        </w:rPr>
        <w:t xml:space="preserve"> with [</w:t>
      </w:r>
      <w:r w:rsidR="004C44FF" w:rsidRPr="00082B73">
        <w:rPr>
          <w:rFonts w:ascii="Times New Roman" w:hAnsi="Times New Roman"/>
          <w:sz w:val="24"/>
          <w:szCs w:val="24"/>
          <w:vertAlign w:val="superscript"/>
        </w:rPr>
        <w:t>11</w:t>
      </w:r>
      <w:r w:rsidR="004C44FF" w:rsidRPr="00082B73">
        <w:rPr>
          <w:rFonts w:ascii="Times New Roman" w:hAnsi="Times New Roman"/>
          <w:sz w:val="24"/>
          <w:szCs w:val="24"/>
        </w:rPr>
        <w:t xml:space="preserve">C]IMA107, </w:t>
      </w:r>
      <w:r w:rsidR="00BC3B8C" w:rsidRPr="00082B73">
        <w:rPr>
          <w:rFonts w:ascii="Times New Roman" w:hAnsi="Times New Roman"/>
          <w:sz w:val="24"/>
          <w:szCs w:val="24"/>
        </w:rPr>
        <w:t>which is a specific and highly potent</w:t>
      </w:r>
      <w:r w:rsidR="00292F26">
        <w:rPr>
          <w:rFonts w:ascii="Times New Roman" w:hAnsi="Times New Roman"/>
          <w:sz w:val="24"/>
          <w:szCs w:val="24"/>
        </w:rPr>
        <w:t xml:space="preserve"> </w:t>
      </w:r>
      <w:r w:rsidR="00BC3B8C" w:rsidRPr="00082B73">
        <w:rPr>
          <w:rFonts w:ascii="Times New Roman" w:hAnsi="Times New Roman"/>
          <w:sz w:val="24"/>
          <w:szCs w:val="24"/>
        </w:rPr>
        <w:t>PDE-10A radioligand for human use</w:t>
      </w:r>
      <w:r w:rsidR="004C44FF" w:rsidRPr="00340300">
        <w:rPr>
          <w:rFonts w:ascii="Times New Roman" w:hAnsi="Times New Roman"/>
          <w:sz w:val="24"/>
          <w:szCs w:val="24"/>
        </w:rPr>
        <w:t xml:space="preserve"> </w:t>
      </w:r>
      <w:r w:rsidR="004C44FF" w:rsidRPr="005D02C3">
        <w:rPr>
          <w:rFonts w:ascii="Times New Roman" w:hAnsi="Times New Roman"/>
          <w:sz w:val="24"/>
          <w:szCs w:val="24"/>
        </w:rPr>
        <w:t xml:space="preserve">(Plisson </w:t>
      </w:r>
      <w:r w:rsidR="004C44FF" w:rsidRPr="005D02C3">
        <w:rPr>
          <w:rFonts w:ascii="Times New Roman" w:hAnsi="Times New Roman"/>
          <w:i/>
          <w:sz w:val="24"/>
          <w:szCs w:val="24"/>
        </w:rPr>
        <w:t>et al.,</w:t>
      </w:r>
      <w:r w:rsidR="004C44FF" w:rsidRPr="005D02C3">
        <w:rPr>
          <w:rFonts w:ascii="Times New Roman" w:hAnsi="Times New Roman"/>
          <w:sz w:val="24"/>
          <w:szCs w:val="24"/>
        </w:rPr>
        <w:t xml:space="preserve"> 2014).</w:t>
      </w:r>
      <w:r w:rsidR="004C44FF" w:rsidRPr="00EE3D83">
        <w:rPr>
          <w:rFonts w:ascii="Times New Roman" w:hAnsi="Times New Roman"/>
          <w:sz w:val="24"/>
          <w:szCs w:val="24"/>
        </w:rPr>
        <w:t xml:space="preserve"> Our findings suggest loss of </w:t>
      </w:r>
      <w:r w:rsidR="008E5C98">
        <w:rPr>
          <w:rFonts w:ascii="Times New Roman" w:hAnsi="Times New Roman"/>
          <w:sz w:val="24"/>
          <w:szCs w:val="24"/>
        </w:rPr>
        <w:t xml:space="preserve">striatal and pallidal </w:t>
      </w:r>
      <w:r w:rsidR="004C44FF" w:rsidRPr="00EE3D83">
        <w:rPr>
          <w:rFonts w:ascii="Times New Roman" w:hAnsi="Times New Roman"/>
          <w:sz w:val="24"/>
          <w:szCs w:val="24"/>
        </w:rPr>
        <w:t xml:space="preserve">PDE-10A </w:t>
      </w:r>
      <w:r w:rsidR="00B00CCE">
        <w:rPr>
          <w:rFonts w:ascii="Times New Roman" w:hAnsi="Times New Roman"/>
          <w:sz w:val="24"/>
          <w:szCs w:val="24"/>
        </w:rPr>
        <w:t xml:space="preserve">expression </w:t>
      </w:r>
      <w:r w:rsidR="004C44FF" w:rsidRPr="00EE3D83">
        <w:rPr>
          <w:rFonts w:ascii="Times New Roman" w:hAnsi="Times New Roman"/>
          <w:sz w:val="24"/>
          <w:szCs w:val="24"/>
        </w:rPr>
        <w:t xml:space="preserve">in </w:t>
      </w:r>
      <w:r w:rsidR="00CE77B3">
        <w:rPr>
          <w:rFonts w:ascii="Times New Roman" w:hAnsi="Times New Roman"/>
          <w:sz w:val="24"/>
          <w:szCs w:val="24"/>
        </w:rPr>
        <w:t xml:space="preserve">patients with </w:t>
      </w:r>
      <w:r w:rsidR="004C44FF" w:rsidRPr="00EE3D83">
        <w:rPr>
          <w:rFonts w:ascii="Times New Roman" w:hAnsi="Times New Roman"/>
          <w:sz w:val="24"/>
          <w:szCs w:val="24"/>
        </w:rPr>
        <w:t xml:space="preserve">Parkinson’s disease, which is associated with progression of the disease and severity of motor </w:t>
      </w:r>
      <w:r w:rsidR="005D02C3">
        <w:rPr>
          <w:rFonts w:ascii="Times New Roman" w:hAnsi="Times New Roman"/>
          <w:sz w:val="24"/>
          <w:szCs w:val="24"/>
        </w:rPr>
        <w:t>sign</w:t>
      </w:r>
      <w:r w:rsidR="004C44FF" w:rsidRPr="00EE3D83">
        <w:rPr>
          <w:rFonts w:ascii="Times New Roman" w:hAnsi="Times New Roman"/>
          <w:sz w:val="24"/>
          <w:szCs w:val="24"/>
        </w:rPr>
        <w:t>s and complications.</w:t>
      </w:r>
    </w:p>
    <w:p w14:paraId="670BC692" w14:textId="77777777" w:rsidR="001C163D" w:rsidRPr="00EE3D83" w:rsidRDefault="001C163D" w:rsidP="00523257">
      <w:pPr>
        <w:spacing w:after="0" w:line="480" w:lineRule="auto"/>
        <w:jc w:val="both"/>
        <w:rPr>
          <w:rFonts w:ascii="Times New Roman" w:hAnsi="Times New Roman"/>
          <w:sz w:val="24"/>
          <w:szCs w:val="24"/>
        </w:rPr>
      </w:pPr>
    </w:p>
    <w:p w14:paraId="14A50991" w14:textId="77777777" w:rsidR="00295414" w:rsidRPr="00EE3D83" w:rsidRDefault="00295414" w:rsidP="00523257">
      <w:pPr>
        <w:spacing w:after="0" w:line="480" w:lineRule="auto"/>
        <w:jc w:val="both"/>
        <w:rPr>
          <w:rFonts w:ascii="Times New Roman" w:hAnsi="Times New Roman" w:cs="Times New Roman"/>
          <w:b/>
          <w:sz w:val="28"/>
          <w:szCs w:val="28"/>
        </w:rPr>
      </w:pPr>
    </w:p>
    <w:p w14:paraId="505C5279" w14:textId="77777777" w:rsidR="00B20566" w:rsidRPr="00EE3D83" w:rsidRDefault="008D32A9" w:rsidP="00523257">
      <w:pPr>
        <w:pStyle w:val="Heading1"/>
        <w:spacing w:before="0" w:line="480" w:lineRule="auto"/>
        <w:rPr>
          <w:rFonts w:ascii="Times New Roman" w:hAnsi="Times New Roman"/>
          <w:color w:val="auto"/>
        </w:rPr>
      </w:pPr>
      <w:r w:rsidRPr="00EE3D83">
        <w:rPr>
          <w:rFonts w:ascii="Times New Roman" w:hAnsi="Times New Roman"/>
          <w:color w:val="auto"/>
        </w:rPr>
        <w:t>Materials and methods</w:t>
      </w:r>
    </w:p>
    <w:p w14:paraId="613BD38B" w14:textId="00D4B95D" w:rsidR="008C6D00" w:rsidRPr="00932158" w:rsidRDefault="00345F61" w:rsidP="00523257">
      <w:pPr>
        <w:pStyle w:val="Heading2"/>
        <w:spacing w:before="0" w:line="480" w:lineRule="auto"/>
        <w:rPr>
          <w:rFonts w:ascii="Times New Roman" w:hAnsi="Times New Roman"/>
          <w:color w:val="auto"/>
          <w:sz w:val="28"/>
          <w:szCs w:val="28"/>
        </w:rPr>
      </w:pPr>
      <w:r w:rsidRPr="00523257">
        <w:rPr>
          <w:rFonts w:ascii="Times New Roman" w:hAnsi="Times New Roman"/>
          <w:color w:val="auto"/>
        </w:rPr>
        <w:t xml:space="preserve">Participants and clinical characteristics </w:t>
      </w:r>
    </w:p>
    <w:p w14:paraId="5B4B1B65" w14:textId="363A86FB" w:rsidR="005D02C3" w:rsidRPr="00941621" w:rsidRDefault="00EE6CBB" w:rsidP="005D02C3">
      <w:pPr>
        <w:spacing w:after="0" w:line="480" w:lineRule="auto"/>
        <w:jc w:val="both"/>
        <w:rPr>
          <w:rFonts w:ascii="Times New Roman" w:hAnsi="Times New Roman" w:cs="Times New Roman"/>
          <w:sz w:val="24"/>
        </w:rPr>
      </w:pPr>
      <w:r w:rsidRPr="00523257">
        <w:rPr>
          <w:rFonts w:ascii="Times New Roman" w:hAnsi="Times New Roman" w:cs="Times New Roman"/>
          <w:sz w:val="24"/>
        </w:rPr>
        <w:t xml:space="preserve">Twenty-four patients with idiopathic Parkinson’s disease </w:t>
      </w:r>
      <w:r w:rsidR="0082612A" w:rsidRPr="00523257">
        <w:rPr>
          <w:rFonts w:ascii="Times New Roman" w:hAnsi="Times New Roman" w:cs="Times New Roman"/>
          <w:sz w:val="24"/>
        </w:rPr>
        <w:t>according to the UK Brain Bank c</w:t>
      </w:r>
      <w:r w:rsidRPr="00523257">
        <w:rPr>
          <w:rFonts w:ascii="Times New Roman" w:hAnsi="Times New Roman" w:cs="Times New Roman"/>
          <w:sz w:val="24"/>
        </w:rPr>
        <w:t xml:space="preserve">riteria </w:t>
      </w:r>
      <w:r w:rsidR="005D02C3">
        <w:rPr>
          <w:rFonts w:ascii="Times New Roman" w:hAnsi="Times New Roman" w:cs="Times New Roman"/>
          <w:sz w:val="24"/>
        </w:rPr>
        <w:t xml:space="preserve">(12 of whom had a history of levodopa related motor complications, 12 with a stable levodopa motor response) </w:t>
      </w:r>
      <w:r w:rsidRPr="00523257">
        <w:rPr>
          <w:rFonts w:ascii="Times New Roman" w:hAnsi="Times New Roman" w:cs="Times New Roman"/>
          <w:sz w:val="24"/>
        </w:rPr>
        <w:t xml:space="preserve">were recruited </w:t>
      </w:r>
      <w:r w:rsidR="0082612A" w:rsidRPr="00523257">
        <w:rPr>
          <w:rFonts w:ascii="Times New Roman" w:hAnsi="Times New Roman" w:cs="Times New Roman"/>
          <w:sz w:val="24"/>
        </w:rPr>
        <w:t xml:space="preserve">from </w:t>
      </w:r>
      <w:r w:rsidR="00DF1BCE">
        <w:rPr>
          <w:rFonts w:ascii="Times New Roman" w:hAnsi="Times New Roman" w:cs="Times New Roman"/>
          <w:sz w:val="24"/>
        </w:rPr>
        <w:t>specialist</w:t>
      </w:r>
      <w:r w:rsidR="00DF1BCE" w:rsidRPr="00523257">
        <w:rPr>
          <w:rFonts w:ascii="Times New Roman" w:hAnsi="Times New Roman" w:cs="Times New Roman"/>
          <w:sz w:val="24"/>
        </w:rPr>
        <w:t xml:space="preserve"> </w:t>
      </w:r>
      <w:r w:rsidR="0082612A" w:rsidRPr="00523257">
        <w:rPr>
          <w:rFonts w:ascii="Times New Roman" w:hAnsi="Times New Roman" w:cs="Times New Roman"/>
          <w:sz w:val="24"/>
        </w:rPr>
        <w:t xml:space="preserve">Movement Disorders clinics at Imperial College Healthcare NHS Trust and </w:t>
      </w:r>
      <w:r w:rsidR="0082612A" w:rsidRPr="00932158">
        <w:rPr>
          <w:rFonts w:ascii="Times New Roman" w:hAnsi="Times New Roman" w:cs="Times New Roman"/>
          <w:sz w:val="24"/>
        </w:rPr>
        <w:t xml:space="preserve">National Hospital of Neurology &amp; Neurosurgery, Queen Square, </w:t>
      </w:r>
      <w:r w:rsidR="0082612A" w:rsidRPr="0064571E">
        <w:rPr>
          <w:rFonts w:ascii="Times New Roman" w:hAnsi="Times New Roman" w:cs="Times New Roman"/>
          <w:sz w:val="24"/>
        </w:rPr>
        <w:t>London</w:t>
      </w:r>
      <w:r w:rsidR="00667394" w:rsidRPr="0064571E">
        <w:rPr>
          <w:rFonts w:ascii="Times New Roman" w:hAnsi="Times New Roman" w:cs="Times New Roman"/>
          <w:sz w:val="24"/>
        </w:rPr>
        <w:t xml:space="preserve"> (</w:t>
      </w:r>
      <w:r w:rsidR="00667394" w:rsidRPr="00347858">
        <w:rPr>
          <w:rFonts w:ascii="Times New Roman" w:hAnsi="Times New Roman" w:cs="Times New Roman"/>
          <w:sz w:val="24"/>
        </w:rPr>
        <w:t>Table 1</w:t>
      </w:r>
      <w:r w:rsidR="00667394" w:rsidRPr="0064571E">
        <w:rPr>
          <w:rFonts w:ascii="Times New Roman" w:hAnsi="Times New Roman" w:cs="Times New Roman"/>
          <w:sz w:val="24"/>
        </w:rPr>
        <w:t>)</w:t>
      </w:r>
      <w:r w:rsidR="0082612A" w:rsidRPr="0064571E">
        <w:rPr>
          <w:rFonts w:ascii="Times New Roman" w:hAnsi="Times New Roman" w:cs="Times New Roman"/>
          <w:sz w:val="24"/>
        </w:rPr>
        <w:t xml:space="preserve">. </w:t>
      </w:r>
      <w:r w:rsidR="002559B7" w:rsidRPr="0064571E">
        <w:rPr>
          <w:rFonts w:ascii="Times New Roman" w:hAnsi="Times New Roman" w:cs="Times New Roman"/>
          <w:sz w:val="24"/>
        </w:rPr>
        <w:t>Twelve</w:t>
      </w:r>
      <w:r w:rsidR="002559B7" w:rsidRPr="00523257">
        <w:rPr>
          <w:rFonts w:ascii="Times New Roman" w:hAnsi="Times New Roman" w:cs="Times New Roman"/>
          <w:sz w:val="24"/>
        </w:rPr>
        <w:t xml:space="preserve"> </w:t>
      </w:r>
      <w:r w:rsidR="007F6DED" w:rsidRPr="00523257">
        <w:rPr>
          <w:rFonts w:ascii="Times New Roman" w:hAnsi="Times New Roman" w:cs="Times New Roman"/>
          <w:sz w:val="24"/>
        </w:rPr>
        <w:t>healthy individuals</w:t>
      </w:r>
      <w:r w:rsidR="00667394" w:rsidRPr="00523257">
        <w:rPr>
          <w:rFonts w:ascii="Times New Roman" w:hAnsi="Times New Roman" w:cs="Times New Roman"/>
          <w:sz w:val="16"/>
          <w:szCs w:val="16"/>
          <w:lang w:eastAsia="en-US"/>
        </w:rPr>
        <w:t xml:space="preserve"> </w:t>
      </w:r>
      <w:r w:rsidR="006068CD">
        <w:rPr>
          <w:rFonts w:ascii="Times New Roman" w:hAnsi="Times New Roman" w:cs="Times New Roman"/>
          <w:sz w:val="24"/>
          <w:szCs w:val="16"/>
          <w:lang w:eastAsia="en-US"/>
        </w:rPr>
        <w:t>(mean age ± SD: 51.1</w:t>
      </w:r>
      <w:r w:rsidR="006068CD" w:rsidRPr="00A149E5">
        <w:rPr>
          <w:rFonts w:ascii="Times New Roman" w:hAnsi="Times New Roman" w:cs="Times New Roman"/>
          <w:sz w:val="24"/>
          <w:szCs w:val="16"/>
          <w:lang w:eastAsia="en-US"/>
        </w:rPr>
        <w:t xml:space="preserve"> </w:t>
      </w:r>
      <w:r w:rsidR="006068CD">
        <w:rPr>
          <w:rFonts w:ascii="Times New Roman" w:hAnsi="Times New Roman" w:cs="Times New Roman"/>
          <w:sz w:val="24"/>
          <w:szCs w:val="16"/>
          <w:lang w:eastAsia="en-US"/>
        </w:rPr>
        <w:t>± 11.1)</w:t>
      </w:r>
      <w:r w:rsidR="006068CD" w:rsidRPr="00A149E5">
        <w:rPr>
          <w:rFonts w:ascii="Times New Roman" w:hAnsi="Times New Roman" w:cs="Times New Roman"/>
          <w:sz w:val="24"/>
          <w:szCs w:val="16"/>
          <w:lang w:eastAsia="en-US"/>
        </w:rPr>
        <w:t xml:space="preserve"> </w:t>
      </w:r>
      <w:r w:rsidR="00667394" w:rsidRPr="00523257">
        <w:rPr>
          <w:rFonts w:ascii="Times New Roman" w:hAnsi="Times New Roman" w:cs="Times New Roman"/>
          <w:sz w:val="24"/>
        </w:rPr>
        <w:t xml:space="preserve">with no history of neurological or psychiatric disorders </w:t>
      </w:r>
      <w:r w:rsidR="00D97E99" w:rsidRPr="00523257">
        <w:rPr>
          <w:rFonts w:ascii="Times New Roman" w:hAnsi="Times New Roman" w:cs="Times New Roman"/>
          <w:sz w:val="24"/>
        </w:rPr>
        <w:t>served as</w:t>
      </w:r>
      <w:r w:rsidR="007F6DED" w:rsidRPr="00523257">
        <w:rPr>
          <w:rFonts w:ascii="Times New Roman" w:hAnsi="Times New Roman" w:cs="Times New Roman"/>
          <w:sz w:val="24"/>
        </w:rPr>
        <w:t xml:space="preserve"> </w:t>
      </w:r>
      <w:r w:rsidR="00FD5C80">
        <w:rPr>
          <w:rFonts w:ascii="Times New Roman" w:hAnsi="Times New Roman" w:cs="Times New Roman"/>
          <w:sz w:val="24"/>
        </w:rPr>
        <w:t xml:space="preserve">the </w:t>
      </w:r>
      <w:r w:rsidR="007F6DED" w:rsidRPr="00523257">
        <w:rPr>
          <w:rFonts w:ascii="Times New Roman" w:hAnsi="Times New Roman" w:cs="Times New Roman"/>
          <w:sz w:val="24"/>
        </w:rPr>
        <w:t>control group</w:t>
      </w:r>
      <w:r w:rsidR="00667394" w:rsidRPr="00523257">
        <w:rPr>
          <w:rFonts w:ascii="Times New Roman" w:hAnsi="Times New Roman" w:cs="Times New Roman"/>
          <w:sz w:val="24"/>
        </w:rPr>
        <w:t xml:space="preserve">. </w:t>
      </w:r>
      <w:r w:rsidRPr="00523257">
        <w:rPr>
          <w:rFonts w:ascii="Times New Roman" w:hAnsi="Times New Roman" w:cs="Times New Roman"/>
          <w:sz w:val="24"/>
        </w:rPr>
        <w:t>All participants screened successfully to undertake PET and MRI scanning under standard criteria</w:t>
      </w:r>
      <w:r w:rsidR="0064571E">
        <w:rPr>
          <w:rFonts w:ascii="Times New Roman" w:hAnsi="Times New Roman" w:cs="Times New Roman"/>
          <w:sz w:val="24"/>
        </w:rPr>
        <w:t xml:space="preserve"> (</w:t>
      </w:r>
      <w:r w:rsidR="008D53D2" w:rsidRPr="008D53D2">
        <w:rPr>
          <w:rFonts w:ascii="Times New Roman" w:hAnsi="Times New Roman" w:cs="Times New Roman"/>
          <w:sz w:val="24"/>
        </w:rPr>
        <w:t>http://www.mrisafety.com;</w:t>
      </w:r>
      <w:r w:rsidR="008D53D2">
        <w:t xml:space="preserve"> </w:t>
      </w:r>
      <w:r w:rsidR="008D53D2" w:rsidRPr="008D53D2">
        <w:rPr>
          <w:rFonts w:ascii="Times New Roman" w:hAnsi="Times New Roman" w:cs="Times New Roman"/>
          <w:sz w:val="24"/>
          <w:szCs w:val="24"/>
        </w:rPr>
        <w:t>https://www.gov.uk/government/publications/arsac-notes-for-guidance</w:t>
      </w:r>
      <w:r w:rsidR="00A96385" w:rsidRPr="00A96385">
        <w:rPr>
          <w:rFonts w:ascii="Times New Roman" w:hAnsi="Times New Roman" w:cs="Times New Roman"/>
          <w:sz w:val="24"/>
        </w:rPr>
        <w:t xml:space="preserve">), </w:t>
      </w:r>
      <w:r w:rsidRPr="00523257">
        <w:rPr>
          <w:rFonts w:ascii="Times New Roman" w:hAnsi="Times New Roman" w:cs="Times New Roman"/>
          <w:sz w:val="24"/>
        </w:rPr>
        <w:t>had no history of other neurological or psychiatric disorders, and</w:t>
      </w:r>
      <w:r w:rsidR="00DB5FA4">
        <w:rPr>
          <w:rFonts w:ascii="Times New Roman" w:hAnsi="Times New Roman" w:cs="Times New Roman"/>
          <w:sz w:val="24"/>
        </w:rPr>
        <w:t xml:space="preserve"> </w:t>
      </w:r>
      <w:r w:rsidRPr="00523257">
        <w:rPr>
          <w:rFonts w:ascii="Times New Roman" w:hAnsi="Times New Roman" w:cs="Times New Roman"/>
          <w:sz w:val="24"/>
        </w:rPr>
        <w:t xml:space="preserve">were not </w:t>
      </w:r>
      <w:r w:rsidRPr="00F62143">
        <w:rPr>
          <w:rFonts w:ascii="Times New Roman" w:hAnsi="Times New Roman" w:cs="Times New Roman"/>
          <w:sz w:val="24"/>
        </w:rPr>
        <w:t>under treatment w</w:t>
      </w:r>
      <w:r w:rsidRPr="00523257">
        <w:rPr>
          <w:rFonts w:ascii="Times New Roman" w:hAnsi="Times New Roman" w:cs="Times New Roman"/>
          <w:sz w:val="24"/>
        </w:rPr>
        <w:t>ith substances with known actions in PDEs</w:t>
      </w:r>
      <w:r w:rsidR="00F62143">
        <w:rPr>
          <w:rFonts w:ascii="Times New Roman" w:hAnsi="Times New Roman" w:cs="Times New Roman"/>
          <w:sz w:val="24"/>
        </w:rPr>
        <w:t xml:space="preserve"> </w:t>
      </w:r>
      <w:r w:rsidR="005D02C3">
        <w:rPr>
          <w:rFonts w:ascii="Times New Roman" w:hAnsi="Times New Roman" w:cs="Times New Roman"/>
          <w:sz w:val="24"/>
        </w:rPr>
        <w:t xml:space="preserve">(e.g. </w:t>
      </w:r>
      <w:r w:rsidR="005D02C3" w:rsidRPr="00941621">
        <w:rPr>
          <w:rFonts w:ascii="Times New Roman" w:hAnsi="Times New Roman" w:cs="Times New Roman"/>
          <w:sz w:val="24"/>
        </w:rPr>
        <w:t>aminophylline, paraxanthine, theobromine, ibudilast and papaverine</w:t>
      </w:r>
      <w:r w:rsidR="005D02C3">
        <w:rPr>
          <w:rFonts w:ascii="Times New Roman" w:hAnsi="Times New Roman" w:cs="Times New Roman"/>
          <w:sz w:val="24"/>
        </w:rPr>
        <w:t>)</w:t>
      </w:r>
      <w:r w:rsidR="005D02C3" w:rsidRPr="00941621">
        <w:rPr>
          <w:rFonts w:ascii="Times New Roman" w:hAnsi="Times New Roman" w:cs="Times New Roman"/>
          <w:sz w:val="24"/>
        </w:rPr>
        <w:t xml:space="preserve">. </w:t>
      </w:r>
    </w:p>
    <w:p w14:paraId="2E69F048" w14:textId="77777777" w:rsidR="00FD5C80" w:rsidRPr="00523257" w:rsidRDefault="00FD5C80" w:rsidP="00523257">
      <w:pPr>
        <w:spacing w:after="0" w:line="480" w:lineRule="auto"/>
        <w:jc w:val="both"/>
        <w:rPr>
          <w:rFonts w:ascii="Times New Roman" w:hAnsi="Times New Roman" w:cs="Times New Roman"/>
          <w:sz w:val="24"/>
        </w:rPr>
      </w:pPr>
    </w:p>
    <w:p w14:paraId="060FA216" w14:textId="175A1FB6" w:rsidR="0022133C" w:rsidRPr="00523257" w:rsidRDefault="0022133C" w:rsidP="00523257">
      <w:pPr>
        <w:spacing w:after="0" w:line="480" w:lineRule="auto"/>
        <w:jc w:val="both"/>
        <w:rPr>
          <w:rFonts w:ascii="Times New Roman" w:hAnsi="Times New Roman" w:cs="Times New Roman"/>
          <w:bCs/>
          <w:sz w:val="24"/>
        </w:rPr>
      </w:pPr>
      <w:r w:rsidRPr="00523257">
        <w:rPr>
          <w:rFonts w:ascii="Times New Roman" w:hAnsi="Times New Roman" w:cs="Times New Roman"/>
          <w:sz w:val="24"/>
        </w:rPr>
        <w:t xml:space="preserve">Parkinson’s disease patients </w:t>
      </w:r>
      <w:r w:rsidR="00760772" w:rsidRPr="00523257">
        <w:rPr>
          <w:rFonts w:ascii="Times New Roman" w:hAnsi="Times New Roman" w:cs="Times New Roman"/>
          <w:sz w:val="24"/>
        </w:rPr>
        <w:t>were on levodopa treatment for at least six mo</w:t>
      </w:r>
      <w:r w:rsidR="00667394" w:rsidRPr="00523257">
        <w:rPr>
          <w:rFonts w:ascii="Times New Roman" w:hAnsi="Times New Roman" w:cs="Times New Roman"/>
          <w:sz w:val="24"/>
        </w:rPr>
        <w:t xml:space="preserve">nths at the time of </w:t>
      </w:r>
      <w:r w:rsidR="00760772" w:rsidRPr="00523257">
        <w:rPr>
          <w:rFonts w:ascii="Times New Roman" w:hAnsi="Times New Roman" w:cs="Times New Roman"/>
          <w:sz w:val="24"/>
        </w:rPr>
        <w:t>study</w:t>
      </w:r>
      <w:r w:rsidR="00826510">
        <w:rPr>
          <w:rFonts w:ascii="Times New Roman" w:hAnsi="Times New Roman" w:cs="Times New Roman"/>
          <w:sz w:val="24"/>
        </w:rPr>
        <w:t xml:space="preserve"> enrolment</w:t>
      </w:r>
      <w:r w:rsidR="00760772" w:rsidRPr="00523257">
        <w:rPr>
          <w:rFonts w:ascii="Times New Roman" w:hAnsi="Times New Roman" w:cs="Times New Roman"/>
          <w:sz w:val="24"/>
        </w:rPr>
        <w:t>.</w:t>
      </w:r>
      <w:r w:rsidR="00922912" w:rsidRPr="00523257">
        <w:rPr>
          <w:rFonts w:ascii="Times New Roman" w:hAnsi="Times New Roman" w:cs="Times New Roman"/>
          <w:sz w:val="24"/>
        </w:rPr>
        <w:t xml:space="preserve"> </w:t>
      </w:r>
      <w:r w:rsidR="002F648D" w:rsidRPr="00523257">
        <w:rPr>
          <w:rFonts w:ascii="Times New Roman" w:hAnsi="Times New Roman" w:cs="Times New Roman"/>
          <w:sz w:val="24"/>
        </w:rPr>
        <w:t xml:space="preserve">Daily </w:t>
      </w:r>
      <w:r w:rsidR="00E901BB" w:rsidRPr="00523257">
        <w:rPr>
          <w:rFonts w:ascii="Times New Roman" w:hAnsi="Times New Roman" w:cs="Times New Roman"/>
          <w:sz w:val="24"/>
        </w:rPr>
        <w:t xml:space="preserve">dopaminergic medication dose was calculated </w:t>
      </w:r>
      <w:r w:rsidR="006068CD">
        <w:rPr>
          <w:rFonts w:ascii="Times New Roman" w:hAnsi="Times New Roman" w:cs="Times New Roman"/>
          <w:sz w:val="24"/>
        </w:rPr>
        <w:t xml:space="preserve">with a formula </w:t>
      </w:r>
      <w:r w:rsidR="00E901BB" w:rsidRPr="00523257">
        <w:rPr>
          <w:rFonts w:ascii="Times New Roman" w:hAnsi="Times New Roman" w:cs="Times New Roman"/>
          <w:sz w:val="24"/>
        </w:rPr>
        <w:t>based on the theoretical equivalence to levodopa</w:t>
      </w:r>
      <w:r w:rsidR="00041637" w:rsidRPr="00523257">
        <w:rPr>
          <w:rFonts w:ascii="Times New Roman" w:hAnsi="Times New Roman" w:cs="Times New Roman"/>
          <w:sz w:val="24"/>
        </w:rPr>
        <w:t xml:space="preserve"> (</w:t>
      </w:r>
      <w:r w:rsidR="005D02C3" w:rsidRPr="005D02C3">
        <w:rPr>
          <w:rFonts w:ascii="Times New Roman" w:hAnsi="Times New Roman" w:cs="Times New Roman"/>
          <w:sz w:val="24"/>
        </w:rPr>
        <w:t xml:space="preserve">Politis </w:t>
      </w:r>
      <w:r w:rsidR="005D02C3" w:rsidRPr="005D02C3">
        <w:rPr>
          <w:rFonts w:ascii="Times New Roman" w:hAnsi="Times New Roman" w:cs="Times New Roman"/>
          <w:i/>
          <w:sz w:val="24"/>
        </w:rPr>
        <w:t>et al.</w:t>
      </w:r>
      <w:r w:rsidR="005D02C3" w:rsidRPr="005D02C3">
        <w:rPr>
          <w:rFonts w:ascii="Times New Roman" w:hAnsi="Times New Roman" w:cs="Times New Roman"/>
          <w:sz w:val="24"/>
        </w:rPr>
        <w:t>, 2010</w:t>
      </w:r>
      <w:r w:rsidR="006607CB" w:rsidRPr="005D02C3">
        <w:rPr>
          <w:rFonts w:ascii="Times New Roman" w:hAnsi="Times New Roman" w:cs="Times New Roman"/>
          <w:sz w:val="24"/>
        </w:rPr>
        <w:t xml:space="preserve">; </w:t>
      </w:r>
      <w:r w:rsidR="005F40BA">
        <w:rPr>
          <w:rFonts w:ascii="Times New Roman" w:hAnsi="Times New Roman" w:cs="Times New Roman"/>
          <w:sz w:val="24"/>
        </w:rPr>
        <w:t>Supplementary M</w:t>
      </w:r>
      <w:r w:rsidR="006607CB" w:rsidRPr="00681216">
        <w:rPr>
          <w:rFonts w:ascii="Times New Roman" w:hAnsi="Times New Roman" w:cs="Times New Roman"/>
          <w:sz w:val="24"/>
        </w:rPr>
        <w:t>aterials</w:t>
      </w:r>
      <w:r w:rsidR="00041637" w:rsidRPr="00681216">
        <w:rPr>
          <w:rFonts w:ascii="Times New Roman" w:hAnsi="Times New Roman" w:cs="Times New Roman"/>
          <w:sz w:val="24"/>
        </w:rPr>
        <w:t>)</w:t>
      </w:r>
      <w:r w:rsidR="00E901BB" w:rsidRPr="00681216">
        <w:rPr>
          <w:rFonts w:ascii="Times New Roman" w:hAnsi="Times New Roman" w:cs="Times New Roman"/>
          <w:sz w:val="24"/>
        </w:rPr>
        <w:t>.</w:t>
      </w:r>
      <w:r w:rsidR="00E901BB" w:rsidRPr="00523257">
        <w:rPr>
          <w:rFonts w:ascii="Times New Roman" w:hAnsi="Times New Roman" w:cs="Times New Roman"/>
          <w:sz w:val="24"/>
        </w:rPr>
        <w:t xml:space="preserve"> </w:t>
      </w:r>
      <w:r w:rsidR="0078586A">
        <w:rPr>
          <w:rFonts w:ascii="Times New Roman" w:hAnsi="Times New Roman" w:cs="Times New Roman"/>
          <w:sz w:val="24"/>
        </w:rPr>
        <w:t>Motor symptom</w:t>
      </w:r>
      <w:r w:rsidR="0078586A" w:rsidRPr="00523257">
        <w:rPr>
          <w:rFonts w:ascii="Times New Roman" w:hAnsi="Times New Roman" w:cs="Times New Roman"/>
          <w:sz w:val="24"/>
        </w:rPr>
        <w:t xml:space="preserve"> </w:t>
      </w:r>
      <w:r w:rsidR="00922912" w:rsidRPr="00523257">
        <w:rPr>
          <w:rFonts w:ascii="Times New Roman" w:hAnsi="Times New Roman" w:cs="Times New Roman"/>
          <w:sz w:val="24"/>
        </w:rPr>
        <w:t xml:space="preserve">severity was assessed with </w:t>
      </w:r>
      <w:r w:rsidR="00667394" w:rsidRPr="00523257">
        <w:rPr>
          <w:rFonts w:ascii="Times New Roman" w:hAnsi="Times New Roman" w:cs="Times New Roman"/>
          <w:sz w:val="24"/>
        </w:rPr>
        <w:t xml:space="preserve">the Unified Parkinson’s </w:t>
      </w:r>
      <w:r w:rsidR="00E66436">
        <w:rPr>
          <w:rFonts w:ascii="Times New Roman" w:hAnsi="Times New Roman" w:cs="Times New Roman"/>
          <w:sz w:val="24"/>
        </w:rPr>
        <w:t>Di</w:t>
      </w:r>
      <w:r w:rsidR="00E66436" w:rsidRPr="00523257">
        <w:rPr>
          <w:rFonts w:ascii="Times New Roman" w:hAnsi="Times New Roman" w:cs="Times New Roman"/>
          <w:sz w:val="24"/>
        </w:rPr>
        <w:t xml:space="preserve">sease </w:t>
      </w:r>
      <w:r w:rsidR="00667394" w:rsidRPr="00523257">
        <w:rPr>
          <w:rFonts w:ascii="Times New Roman" w:hAnsi="Times New Roman" w:cs="Times New Roman"/>
          <w:sz w:val="24"/>
        </w:rPr>
        <w:t>Rating Scale</w:t>
      </w:r>
      <w:r w:rsidR="00C84140">
        <w:rPr>
          <w:rFonts w:ascii="Times New Roman" w:hAnsi="Times New Roman" w:cs="Times New Roman"/>
          <w:sz w:val="24"/>
        </w:rPr>
        <w:t xml:space="preserve"> </w:t>
      </w:r>
      <w:r w:rsidR="00BF7A96">
        <w:rPr>
          <w:rFonts w:ascii="Times New Roman" w:hAnsi="Times New Roman" w:cs="Times New Roman"/>
          <w:sz w:val="24"/>
        </w:rPr>
        <w:t>part-III</w:t>
      </w:r>
      <w:r w:rsidR="00667394" w:rsidRPr="00523257">
        <w:rPr>
          <w:rFonts w:ascii="Times New Roman" w:hAnsi="Times New Roman" w:cs="Times New Roman"/>
          <w:sz w:val="24"/>
        </w:rPr>
        <w:t xml:space="preserve"> (UPDRS-III) and</w:t>
      </w:r>
      <w:r w:rsidR="00B13399">
        <w:rPr>
          <w:rFonts w:ascii="Times New Roman" w:hAnsi="Times New Roman" w:cs="Times New Roman"/>
          <w:sz w:val="24"/>
        </w:rPr>
        <w:t xml:space="preserve"> staged with</w:t>
      </w:r>
      <w:r w:rsidR="00667394" w:rsidRPr="00523257">
        <w:rPr>
          <w:rFonts w:ascii="Times New Roman" w:hAnsi="Times New Roman" w:cs="Times New Roman"/>
          <w:sz w:val="24"/>
        </w:rPr>
        <w:t xml:space="preserve"> Hoehn &amp; Yahr</w:t>
      </w:r>
      <w:r w:rsidR="00A67268">
        <w:rPr>
          <w:rFonts w:ascii="Times New Roman" w:hAnsi="Times New Roman" w:cs="Times New Roman"/>
          <w:sz w:val="24"/>
        </w:rPr>
        <w:t xml:space="preserve"> scale</w:t>
      </w:r>
      <w:r w:rsidR="000E218C" w:rsidRPr="00523257">
        <w:rPr>
          <w:rFonts w:ascii="Times New Roman" w:hAnsi="Times New Roman" w:cs="Times New Roman"/>
          <w:sz w:val="24"/>
        </w:rPr>
        <w:t>.</w:t>
      </w:r>
      <w:r w:rsidR="00B85E7D">
        <w:rPr>
          <w:rFonts w:ascii="Times New Roman" w:hAnsi="Times New Roman" w:cs="Times New Roman"/>
          <w:sz w:val="24"/>
        </w:rPr>
        <w:t xml:space="preserve"> For </w:t>
      </w:r>
      <w:r w:rsidR="00B85E7D" w:rsidRPr="00B85E7D">
        <w:rPr>
          <w:rFonts w:ascii="Times New Roman" w:hAnsi="Times New Roman" w:cs="Times New Roman"/>
          <w:sz w:val="24"/>
        </w:rPr>
        <w:t>correlation</w:t>
      </w:r>
      <w:r w:rsidR="009B07B4">
        <w:rPr>
          <w:rFonts w:ascii="Times New Roman" w:hAnsi="Times New Roman" w:cs="Times New Roman"/>
          <w:sz w:val="24"/>
        </w:rPr>
        <w:t xml:space="preserve"> with the PET data</w:t>
      </w:r>
      <w:r w:rsidR="00B85E7D" w:rsidRPr="00B85E7D">
        <w:rPr>
          <w:rFonts w:ascii="Times New Roman" w:hAnsi="Times New Roman" w:cs="Times New Roman"/>
          <w:sz w:val="24"/>
        </w:rPr>
        <w:t xml:space="preserve"> purposes with divided </w:t>
      </w:r>
      <w:r w:rsidR="00921464" w:rsidRPr="009B07B4">
        <w:rPr>
          <w:rFonts w:ascii="Times New Roman" w:hAnsi="Times New Roman" w:cs="Times New Roman"/>
          <w:bCs/>
          <w:sz w:val="24"/>
        </w:rPr>
        <w:t>UPDRS-III tremor, rigidity, bradykinesia and axial subscores</w:t>
      </w:r>
      <w:r w:rsidR="008D53D2">
        <w:rPr>
          <w:rFonts w:ascii="Times New Roman" w:hAnsi="Times New Roman" w:cs="Times New Roman"/>
          <w:bCs/>
          <w:sz w:val="24"/>
        </w:rPr>
        <w:t xml:space="preserve"> (Supplementary M</w:t>
      </w:r>
      <w:r w:rsidR="00885A22">
        <w:rPr>
          <w:rFonts w:ascii="Times New Roman" w:hAnsi="Times New Roman" w:cs="Times New Roman"/>
          <w:bCs/>
          <w:sz w:val="24"/>
        </w:rPr>
        <w:t>aterials)</w:t>
      </w:r>
      <w:r w:rsidR="00921464" w:rsidRPr="009B07B4">
        <w:rPr>
          <w:rFonts w:ascii="Times New Roman" w:hAnsi="Times New Roman" w:cs="Times New Roman"/>
          <w:bCs/>
          <w:sz w:val="24"/>
        </w:rPr>
        <w:t xml:space="preserve">. </w:t>
      </w:r>
      <w:r w:rsidR="00BB754C" w:rsidRPr="009B07B4">
        <w:rPr>
          <w:rFonts w:ascii="Times New Roman" w:hAnsi="Times New Roman" w:cs="Times New Roman"/>
          <w:bCs/>
          <w:sz w:val="24"/>
        </w:rPr>
        <w:t>Presence</w:t>
      </w:r>
      <w:r w:rsidR="005F40BA">
        <w:rPr>
          <w:rFonts w:ascii="Times New Roman" w:hAnsi="Times New Roman" w:cs="Times New Roman"/>
          <w:bCs/>
          <w:sz w:val="24"/>
        </w:rPr>
        <w:t>/absence</w:t>
      </w:r>
      <w:r w:rsidR="00BB754C">
        <w:rPr>
          <w:rFonts w:ascii="Times New Roman" w:hAnsi="Times New Roman" w:cs="Times New Roman"/>
          <w:bCs/>
          <w:sz w:val="24"/>
        </w:rPr>
        <w:t xml:space="preserve"> of m</w:t>
      </w:r>
      <w:r w:rsidR="00200375" w:rsidRPr="00523257">
        <w:rPr>
          <w:rFonts w:ascii="Times New Roman" w:hAnsi="Times New Roman" w:cs="Times New Roman"/>
          <w:bCs/>
          <w:sz w:val="24"/>
        </w:rPr>
        <w:t xml:space="preserve">otor complications </w:t>
      </w:r>
      <w:r w:rsidR="00A8477E">
        <w:rPr>
          <w:rFonts w:ascii="Times New Roman" w:hAnsi="Times New Roman" w:cs="Times New Roman"/>
          <w:bCs/>
          <w:sz w:val="24"/>
        </w:rPr>
        <w:t>was</w:t>
      </w:r>
      <w:r w:rsidR="00A8477E" w:rsidRPr="00523257">
        <w:rPr>
          <w:rFonts w:ascii="Times New Roman" w:hAnsi="Times New Roman" w:cs="Times New Roman"/>
          <w:bCs/>
          <w:sz w:val="24"/>
        </w:rPr>
        <w:t xml:space="preserve"> </w:t>
      </w:r>
      <w:r w:rsidR="00921464" w:rsidRPr="00523257">
        <w:rPr>
          <w:rFonts w:ascii="Times New Roman" w:hAnsi="Times New Roman" w:cs="Times New Roman"/>
          <w:bCs/>
          <w:sz w:val="24"/>
        </w:rPr>
        <w:t xml:space="preserve">assessed </w:t>
      </w:r>
      <w:r w:rsidR="00200375" w:rsidRPr="00523257">
        <w:rPr>
          <w:rFonts w:ascii="Times New Roman" w:hAnsi="Times New Roman" w:cs="Times New Roman"/>
          <w:bCs/>
          <w:sz w:val="24"/>
        </w:rPr>
        <w:t>with the UPDRS part</w:t>
      </w:r>
      <w:r w:rsidR="00C84140">
        <w:rPr>
          <w:rFonts w:ascii="Times New Roman" w:hAnsi="Times New Roman" w:cs="Times New Roman"/>
          <w:bCs/>
          <w:sz w:val="24"/>
        </w:rPr>
        <w:t>-</w:t>
      </w:r>
      <w:r w:rsidR="00200375" w:rsidRPr="00523257">
        <w:rPr>
          <w:rFonts w:ascii="Times New Roman" w:hAnsi="Times New Roman" w:cs="Times New Roman"/>
          <w:bCs/>
          <w:sz w:val="24"/>
        </w:rPr>
        <w:t>IV</w:t>
      </w:r>
      <w:r w:rsidR="00C84140">
        <w:rPr>
          <w:rFonts w:ascii="Times New Roman" w:hAnsi="Times New Roman" w:cs="Times New Roman"/>
          <w:bCs/>
          <w:sz w:val="24"/>
        </w:rPr>
        <w:t xml:space="preserve"> (UPDRS-IV)</w:t>
      </w:r>
      <w:r w:rsidR="00C10EE4">
        <w:rPr>
          <w:rFonts w:ascii="Times New Roman" w:hAnsi="Times New Roman" w:cs="Times New Roman"/>
          <w:bCs/>
          <w:sz w:val="24"/>
        </w:rPr>
        <w:t>. S</w:t>
      </w:r>
      <w:r w:rsidR="00BB754C">
        <w:rPr>
          <w:rFonts w:ascii="Times New Roman" w:hAnsi="Times New Roman" w:cs="Times New Roman"/>
          <w:bCs/>
          <w:sz w:val="24"/>
        </w:rPr>
        <w:t xml:space="preserve">everity of </w:t>
      </w:r>
      <w:r w:rsidR="00570758" w:rsidRPr="00AE049E">
        <w:rPr>
          <w:rFonts w:ascii="Times New Roman" w:eastAsiaTheme="minorHAnsi" w:hAnsi="Times New Roman" w:cs="Times New Roman"/>
          <w:sz w:val="24"/>
          <w:szCs w:val="24"/>
          <w:lang w:eastAsia="en-US"/>
        </w:rPr>
        <w:t>levodopa-induced dyskinesias</w:t>
      </w:r>
      <w:r w:rsidR="00570758">
        <w:rPr>
          <w:rFonts w:ascii="Times New Roman" w:eastAsiaTheme="minorHAnsi" w:hAnsi="Times New Roman" w:cs="Times New Roman"/>
          <w:sz w:val="24"/>
          <w:szCs w:val="24"/>
          <w:lang w:eastAsia="en-US"/>
        </w:rPr>
        <w:t xml:space="preserve"> (LIDs) </w:t>
      </w:r>
      <w:r w:rsidR="00C10EE4">
        <w:rPr>
          <w:rFonts w:ascii="Times New Roman" w:eastAsiaTheme="minorHAnsi" w:hAnsi="Times New Roman" w:cs="Times New Roman"/>
          <w:sz w:val="24"/>
          <w:szCs w:val="24"/>
          <w:lang w:eastAsia="en-US"/>
        </w:rPr>
        <w:t xml:space="preserve">was assessed </w:t>
      </w:r>
      <w:r w:rsidR="00570758">
        <w:rPr>
          <w:rFonts w:ascii="Times New Roman" w:eastAsiaTheme="minorHAnsi" w:hAnsi="Times New Roman" w:cs="Times New Roman"/>
          <w:sz w:val="24"/>
          <w:szCs w:val="24"/>
          <w:lang w:eastAsia="en-US"/>
        </w:rPr>
        <w:t xml:space="preserve">with the </w:t>
      </w:r>
      <w:r w:rsidR="00200375" w:rsidRPr="00523257">
        <w:rPr>
          <w:rFonts w:ascii="Times New Roman" w:hAnsi="Times New Roman" w:cs="Times New Roman"/>
          <w:bCs/>
          <w:sz w:val="24"/>
        </w:rPr>
        <w:t xml:space="preserve">Unified Dyskinesia Rating Scale (UDysRS). </w:t>
      </w:r>
      <w:r w:rsidR="0015449E" w:rsidRPr="00523257">
        <w:rPr>
          <w:rFonts w:ascii="Times New Roman" w:hAnsi="Times New Roman" w:cs="Times New Roman"/>
          <w:bCs/>
          <w:sz w:val="24"/>
        </w:rPr>
        <w:t xml:space="preserve">Motor </w:t>
      </w:r>
      <w:r w:rsidR="00A05878" w:rsidRPr="00523257">
        <w:rPr>
          <w:rFonts w:ascii="Times New Roman" w:hAnsi="Times New Roman" w:cs="Times New Roman"/>
          <w:bCs/>
          <w:sz w:val="24"/>
        </w:rPr>
        <w:t>assessments were performed</w:t>
      </w:r>
      <w:r w:rsidR="0064227B" w:rsidRPr="0064227B">
        <w:rPr>
          <w:rFonts w:ascii="Times New Roman" w:hAnsi="Times New Roman" w:cs="Times New Roman"/>
          <w:bCs/>
          <w:sz w:val="24"/>
        </w:rPr>
        <w:t xml:space="preserve"> </w:t>
      </w:r>
      <w:r w:rsidR="0064227B">
        <w:rPr>
          <w:rFonts w:ascii="Times New Roman" w:hAnsi="Times New Roman" w:cs="Times New Roman"/>
          <w:bCs/>
          <w:sz w:val="24"/>
        </w:rPr>
        <w:t>OFF medication</w:t>
      </w:r>
      <w:r w:rsidR="00A05878" w:rsidRPr="00523257">
        <w:rPr>
          <w:rFonts w:ascii="Times New Roman" w:hAnsi="Times New Roman" w:cs="Times New Roman"/>
          <w:bCs/>
          <w:sz w:val="24"/>
        </w:rPr>
        <w:t xml:space="preserve"> after </w:t>
      </w:r>
      <w:r w:rsidR="00FE1506">
        <w:rPr>
          <w:rFonts w:ascii="Times New Roman" w:hAnsi="Times New Roman" w:cs="Times New Roman"/>
          <w:bCs/>
          <w:sz w:val="24"/>
        </w:rPr>
        <w:t xml:space="preserve">overnight </w:t>
      </w:r>
      <w:r w:rsidR="0015449E" w:rsidRPr="00523257">
        <w:rPr>
          <w:rFonts w:ascii="Times New Roman" w:hAnsi="Times New Roman" w:cs="Times New Roman"/>
          <w:bCs/>
          <w:sz w:val="24"/>
        </w:rPr>
        <w:t xml:space="preserve">withdrawal of </w:t>
      </w:r>
      <w:r w:rsidR="00921464" w:rsidRPr="00523257">
        <w:rPr>
          <w:rFonts w:ascii="Times New Roman" w:hAnsi="Times New Roman" w:cs="Times New Roman"/>
          <w:bCs/>
          <w:sz w:val="24"/>
        </w:rPr>
        <w:t xml:space="preserve">patient’s </w:t>
      </w:r>
      <w:r w:rsidR="0015449E" w:rsidRPr="00523257">
        <w:rPr>
          <w:rFonts w:ascii="Times New Roman" w:hAnsi="Times New Roman" w:cs="Times New Roman"/>
          <w:bCs/>
          <w:sz w:val="24"/>
        </w:rPr>
        <w:t xml:space="preserve">dopaminergic </w:t>
      </w:r>
      <w:r w:rsidR="00921464" w:rsidRPr="00523257">
        <w:rPr>
          <w:rFonts w:ascii="Times New Roman" w:hAnsi="Times New Roman" w:cs="Times New Roman"/>
          <w:bCs/>
          <w:sz w:val="24"/>
        </w:rPr>
        <w:t>medications</w:t>
      </w:r>
      <w:r w:rsidR="00347D44">
        <w:rPr>
          <w:rFonts w:ascii="Times New Roman" w:hAnsi="Times New Roman" w:cs="Times New Roman"/>
          <w:bCs/>
          <w:sz w:val="24"/>
        </w:rPr>
        <w:t>,</w:t>
      </w:r>
      <w:r w:rsidR="0064227B">
        <w:rPr>
          <w:rFonts w:ascii="Times New Roman" w:hAnsi="Times New Roman" w:cs="Times New Roman"/>
          <w:bCs/>
          <w:sz w:val="24"/>
        </w:rPr>
        <w:t xml:space="preserve"> </w:t>
      </w:r>
      <w:r w:rsidR="0015449E" w:rsidRPr="00523257">
        <w:rPr>
          <w:rFonts w:ascii="Times New Roman" w:hAnsi="Times New Roman" w:cs="Times New Roman"/>
          <w:bCs/>
          <w:sz w:val="24"/>
        </w:rPr>
        <w:t>and</w:t>
      </w:r>
      <w:r w:rsidR="00935170">
        <w:rPr>
          <w:rFonts w:ascii="Times New Roman" w:hAnsi="Times New Roman" w:cs="Times New Roman"/>
          <w:bCs/>
          <w:sz w:val="24"/>
        </w:rPr>
        <w:t xml:space="preserve"> also</w:t>
      </w:r>
      <w:r w:rsidR="0015449E" w:rsidRPr="00523257">
        <w:rPr>
          <w:rFonts w:ascii="Times New Roman" w:hAnsi="Times New Roman" w:cs="Times New Roman"/>
          <w:bCs/>
          <w:sz w:val="24"/>
        </w:rPr>
        <w:t xml:space="preserve"> following</w:t>
      </w:r>
      <w:r w:rsidR="00411A46">
        <w:rPr>
          <w:rFonts w:ascii="Times New Roman" w:hAnsi="Times New Roman" w:cs="Times New Roman"/>
          <w:bCs/>
          <w:sz w:val="24"/>
        </w:rPr>
        <w:t xml:space="preserve"> a </w:t>
      </w:r>
      <w:r w:rsidR="00701B4B">
        <w:rPr>
          <w:rFonts w:ascii="Times New Roman" w:hAnsi="Times New Roman" w:cs="Times New Roman"/>
          <w:bCs/>
          <w:sz w:val="24"/>
        </w:rPr>
        <w:t>challenge with</w:t>
      </w:r>
      <w:r w:rsidR="000965A3">
        <w:rPr>
          <w:rFonts w:ascii="Times New Roman" w:hAnsi="Times New Roman" w:cs="Times New Roman"/>
          <w:bCs/>
          <w:sz w:val="24"/>
        </w:rPr>
        <w:t xml:space="preserve"> </w:t>
      </w:r>
      <w:r w:rsidR="0015449E" w:rsidRPr="00523257">
        <w:rPr>
          <w:rFonts w:ascii="Times New Roman" w:hAnsi="Times New Roman" w:cs="Times New Roman"/>
          <w:bCs/>
          <w:sz w:val="24"/>
        </w:rPr>
        <w:t>levodopa 250/carbidopa 25</w:t>
      </w:r>
      <w:r w:rsidR="000965A3">
        <w:rPr>
          <w:rFonts w:ascii="Times New Roman" w:hAnsi="Times New Roman" w:cs="Times New Roman"/>
          <w:bCs/>
          <w:sz w:val="24"/>
        </w:rPr>
        <w:t xml:space="preserve">, with an observational </w:t>
      </w:r>
      <w:r w:rsidR="0051555E">
        <w:rPr>
          <w:rFonts w:ascii="Times New Roman" w:hAnsi="Times New Roman" w:cs="Times New Roman"/>
          <w:bCs/>
          <w:sz w:val="24"/>
        </w:rPr>
        <w:t xml:space="preserve">ON-medication </w:t>
      </w:r>
      <w:r w:rsidR="0036636B">
        <w:rPr>
          <w:rFonts w:ascii="Times New Roman" w:hAnsi="Times New Roman" w:cs="Times New Roman"/>
          <w:bCs/>
          <w:sz w:val="24"/>
        </w:rPr>
        <w:t xml:space="preserve">period of 150 </w:t>
      </w:r>
      <w:r w:rsidR="000965A3">
        <w:rPr>
          <w:rFonts w:ascii="Times New Roman" w:hAnsi="Times New Roman" w:cs="Times New Roman"/>
          <w:bCs/>
          <w:sz w:val="24"/>
        </w:rPr>
        <w:t>min</w:t>
      </w:r>
      <w:r w:rsidR="00AB1EBA" w:rsidRPr="00523257">
        <w:rPr>
          <w:rFonts w:ascii="Times New Roman" w:hAnsi="Times New Roman" w:cs="Times New Roman"/>
          <w:bCs/>
          <w:sz w:val="24"/>
        </w:rPr>
        <w:t>.</w:t>
      </w:r>
      <w:r w:rsidR="00980262" w:rsidRPr="00523257">
        <w:rPr>
          <w:rFonts w:ascii="Times New Roman" w:hAnsi="Times New Roman" w:cs="Times New Roman"/>
          <w:bCs/>
          <w:sz w:val="24"/>
        </w:rPr>
        <w:t xml:space="preserve"> Quality of life was measured with the patient self-reported 39-item Parkinson's </w:t>
      </w:r>
      <w:r w:rsidR="00D97E99" w:rsidRPr="00523257">
        <w:rPr>
          <w:rFonts w:ascii="Times New Roman" w:hAnsi="Times New Roman" w:cs="Times New Roman"/>
          <w:bCs/>
          <w:sz w:val="24"/>
        </w:rPr>
        <w:t>disease</w:t>
      </w:r>
      <w:r w:rsidR="00980262" w:rsidRPr="00523257">
        <w:rPr>
          <w:rFonts w:ascii="Times New Roman" w:hAnsi="Times New Roman" w:cs="Times New Roman"/>
          <w:bCs/>
          <w:sz w:val="24"/>
        </w:rPr>
        <w:t xml:space="preserve"> Questionnaire (PDQ-39).</w:t>
      </w:r>
    </w:p>
    <w:p w14:paraId="08985D3D" w14:textId="1E82E12F" w:rsidR="00B20566" w:rsidRDefault="00EE6CBB" w:rsidP="00523257">
      <w:pPr>
        <w:spacing w:after="0" w:line="480" w:lineRule="auto"/>
        <w:jc w:val="both"/>
        <w:rPr>
          <w:rFonts w:ascii="Times New Roman" w:hAnsi="Times New Roman" w:cs="Times New Roman"/>
          <w:sz w:val="24"/>
        </w:rPr>
      </w:pPr>
      <w:r w:rsidRPr="00523257">
        <w:rPr>
          <w:rFonts w:ascii="Times New Roman" w:hAnsi="Times New Roman" w:cs="Times New Roman"/>
          <w:sz w:val="24"/>
        </w:rPr>
        <w:t>The study was approved by the institutional review</w:t>
      </w:r>
      <w:r w:rsidR="002559B7" w:rsidRPr="00523257">
        <w:rPr>
          <w:rFonts w:ascii="Times New Roman" w:hAnsi="Times New Roman" w:cs="Times New Roman"/>
          <w:sz w:val="24"/>
        </w:rPr>
        <w:t xml:space="preserve"> boards and the research ethics </w:t>
      </w:r>
      <w:r w:rsidRPr="00523257">
        <w:rPr>
          <w:rFonts w:ascii="Times New Roman" w:hAnsi="Times New Roman" w:cs="Times New Roman"/>
          <w:sz w:val="24"/>
        </w:rPr>
        <w:t>committee. Written informed consent was obtained from all study participants</w:t>
      </w:r>
      <w:r w:rsidR="002559B7" w:rsidRPr="00523257">
        <w:rPr>
          <w:rFonts w:ascii="Times New Roman" w:hAnsi="Times New Roman" w:cs="Times New Roman"/>
          <w:sz w:val="16"/>
          <w:szCs w:val="16"/>
          <w:lang w:eastAsia="en-US"/>
        </w:rPr>
        <w:t xml:space="preserve"> </w:t>
      </w:r>
      <w:r w:rsidR="002559B7" w:rsidRPr="00523257">
        <w:rPr>
          <w:rFonts w:ascii="Times New Roman" w:hAnsi="Times New Roman" w:cs="Times New Roman"/>
          <w:sz w:val="24"/>
        </w:rPr>
        <w:t>in accordance with the Declaration of Helsinki.</w:t>
      </w:r>
    </w:p>
    <w:p w14:paraId="6C80FB84" w14:textId="77777777" w:rsidR="00A542E7" w:rsidRPr="00523257" w:rsidRDefault="00A542E7" w:rsidP="00523257">
      <w:pPr>
        <w:spacing w:after="0" w:line="480" w:lineRule="auto"/>
        <w:jc w:val="both"/>
        <w:rPr>
          <w:rFonts w:ascii="Times New Roman" w:hAnsi="Times New Roman" w:cs="Times New Roman"/>
          <w:sz w:val="24"/>
        </w:rPr>
      </w:pPr>
    </w:p>
    <w:p w14:paraId="5296D5D6" w14:textId="5BCEDC45" w:rsidR="001F074B" w:rsidRPr="00523257" w:rsidRDefault="00035ADB" w:rsidP="00523257">
      <w:pPr>
        <w:pStyle w:val="Heading2"/>
        <w:spacing w:before="0" w:line="480" w:lineRule="auto"/>
        <w:rPr>
          <w:rFonts w:ascii="Times New Roman" w:hAnsi="Times New Roman"/>
          <w:color w:val="auto"/>
        </w:rPr>
      </w:pPr>
      <w:r>
        <w:rPr>
          <w:rFonts w:ascii="Times New Roman" w:hAnsi="Times New Roman"/>
          <w:color w:val="auto"/>
        </w:rPr>
        <w:t>S</w:t>
      </w:r>
      <w:r w:rsidR="009B3C11" w:rsidRPr="00523257">
        <w:rPr>
          <w:rFonts w:ascii="Times New Roman" w:hAnsi="Times New Roman"/>
          <w:color w:val="auto"/>
        </w:rPr>
        <w:t>canning procedures</w:t>
      </w:r>
    </w:p>
    <w:p w14:paraId="23965D94" w14:textId="0F21FAC5" w:rsidR="00D742B7" w:rsidRDefault="00345F61" w:rsidP="00523257">
      <w:pPr>
        <w:spacing w:after="0" w:line="480" w:lineRule="auto"/>
        <w:jc w:val="both"/>
        <w:rPr>
          <w:rFonts w:ascii="Times New Roman" w:hAnsi="Times New Roman" w:cs="Times New Roman"/>
          <w:sz w:val="24"/>
          <w:szCs w:val="24"/>
        </w:rPr>
      </w:pPr>
      <w:r w:rsidRPr="00523257">
        <w:rPr>
          <w:rFonts w:ascii="Times New Roman" w:hAnsi="Times New Roman" w:cs="Times New Roman"/>
          <w:sz w:val="24"/>
          <w:szCs w:val="24"/>
        </w:rPr>
        <w:t>PET and MR imaging was performed at Imanova Ltd, London, UK. All participants were scanned on Siemens Biograph Hi-Rez 6 PET-CT scanner (Erlangen, Germany)</w:t>
      </w:r>
      <w:r w:rsidR="005F40BA">
        <w:rPr>
          <w:rFonts w:ascii="Times New Roman" w:hAnsi="Times New Roman" w:cs="Times New Roman"/>
          <w:sz w:val="24"/>
          <w:szCs w:val="24"/>
        </w:rPr>
        <w:t>,</w:t>
      </w:r>
      <w:r w:rsidR="00EA5CCE">
        <w:rPr>
          <w:rFonts w:ascii="Times New Roman" w:hAnsi="Times New Roman" w:cs="Times New Roman"/>
          <w:sz w:val="24"/>
          <w:szCs w:val="24"/>
        </w:rPr>
        <w:t xml:space="preserve"> one hour</w:t>
      </w:r>
      <w:r w:rsidRPr="00523257">
        <w:rPr>
          <w:rFonts w:ascii="Times New Roman" w:hAnsi="Times New Roman" w:cs="Times New Roman"/>
          <w:sz w:val="24"/>
          <w:szCs w:val="24"/>
        </w:rPr>
        <w:t xml:space="preserve"> following</w:t>
      </w:r>
      <w:r w:rsidR="00B82A4A">
        <w:rPr>
          <w:rFonts w:ascii="Times New Roman" w:hAnsi="Times New Roman" w:cs="Times New Roman"/>
          <w:sz w:val="24"/>
          <w:szCs w:val="24"/>
        </w:rPr>
        <w:t xml:space="preserve"> a standard</w:t>
      </w:r>
      <w:r w:rsidRPr="00523257">
        <w:rPr>
          <w:rFonts w:ascii="Times New Roman" w:hAnsi="Times New Roman" w:cs="Times New Roman"/>
          <w:sz w:val="24"/>
          <w:szCs w:val="24"/>
        </w:rPr>
        <w:t xml:space="preserve"> </w:t>
      </w:r>
      <w:r w:rsidR="000D2A85" w:rsidRPr="00523257">
        <w:rPr>
          <w:rFonts w:ascii="Times New Roman" w:hAnsi="Times New Roman" w:cs="Times New Roman"/>
          <w:bCs/>
          <w:sz w:val="24"/>
        </w:rPr>
        <w:t>levodopa 250/carbidopa 25</w:t>
      </w:r>
      <w:r w:rsidR="00B82A4A">
        <w:rPr>
          <w:rFonts w:ascii="Times New Roman" w:hAnsi="Times New Roman" w:cs="Times New Roman"/>
          <w:bCs/>
          <w:sz w:val="24"/>
        </w:rPr>
        <w:t xml:space="preserve"> dose</w:t>
      </w:r>
      <w:r w:rsidR="000D2A85" w:rsidRPr="00523257">
        <w:rPr>
          <w:rFonts w:ascii="Times New Roman" w:hAnsi="Times New Roman" w:cs="Times New Roman"/>
          <w:bCs/>
          <w:sz w:val="24"/>
        </w:rPr>
        <w:t xml:space="preserve">. </w:t>
      </w:r>
      <w:r w:rsidR="000D2A85" w:rsidRPr="00523257">
        <w:rPr>
          <w:rFonts w:ascii="Times New Roman" w:hAnsi="Times New Roman" w:cs="Times New Roman"/>
          <w:sz w:val="24"/>
          <w:szCs w:val="24"/>
        </w:rPr>
        <w:t xml:space="preserve">A </w:t>
      </w:r>
      <w:r w:rsidR="005D51CD" w:rsidRPr="00523257">
        <w:rPr>
          <w:rFonts w:ascii="Times New Roman" w:hAnsi="Times New Roman" w:cs="Times New Roman"/>
          <w:sz w:val="24"/>
          <w:szCs w:val="24"/>
        </w:rPr>
        <w:t>mean dose of 289</w:t>
      </w:r>
      <w:r w:rsidRPr="00523257">
        <w:rPr>
          <w:rFonts w:ascii="Times New Roman" w:hAnsi="Times New Roman" w:cs="Times New Roman"/>
          <w:sz w:val="24"/>
          <w:szCs w:val="24"/>
        </w:rPr>
        <w:t xml:space="preserve"> MBq [</w:t>
      </w:r>
      <w:r w:rsidRPr="00523257">
        <w:rPr>
          <w:rFonts w:ascii="Times New Roman" w:hAnsi="Times New Roman" w:cs="Times New Roman"/>
          <w:sz w:val="24"/>
          <w:szCs w:val="24"/>
          <w:vertAlign w:val="superscript"/>
        </w:rPr>
        <w:t>11</w:t>
      </w:r>
      <w:r w:rsidR="005D51CD" w:rsidRPr="00523257">
        <w:rPr>
          <w:rFonts w:ascii="Times New Roman" w:hAnsi="Times New Roman" w:cs="Times New Roman"/>
          <w:sz w:val="24"/>
          <w:szCs w:val="24"/>
        </w:rPr>
        <w:t>C]IMA107 (SD: ± 39.2</w:t>
      </w:r>
      <w:r w:rsidRPr="00523257">
        <w:rPr>
          <w:rFonts w:ascii="Times New Roman" w:hAnsi="Times New Roman" w:cs="Times New Roman"/>
          <w:sz w:val="24"/>
          <w:szCs w:val="24"/>
        </w:rPr>
        <w:t>) [m</w:t>
      </w:r>
      <w:r w:rsidR="006D16A8">
        <w:rPr>
          <w:rFonts w:ascii="Times New Roman" w:hAnsi="Times New Roman" w:cs="Times New Roman"/>
          <w:sz w:val="24"/>
          <w:szCs w:val="24"/>
        </w:rPr>
        <w:t>ean mass injected: 3.5</w:t>
      </w:r>
      <w:r w:rsidRPr="00523257">
        <w:rPr>
          <w:rFonts w:ascii="Times New Roman" w:hAnsi="Times New Roman" w:cs="Times New Roman"/>
          <w:sz w:val="24"/>
          <w:szCs w:val="24"/>
        </w:rPr>
        <w:t xml:space="preserve"> ug (SD</w:t>
      </w:r>
      <w:r w:rsidR="005D51CD" w:rsidRPr="00523257">
        <w:rPr>
          <w:rFonts w:ascii="Times New Roman" w:hAnsi="Times New Roman" w:cs="Times New Roman"/>
          <w:sz w:val="24"/>
          <w:szCs w:val="24"/>
        </w:rPr>
        <w:t>: ± 1.8</w:t>
      </w:r>
      <w:r w:rsidRPr="00523257">
        <w:rPr>
          <w:rFonts w:ascii="Times New Roman" w:hAnsi="Times New Roman" w:cs="Times New Roman"/>
          <w:sz w:val="24"/>
          <w:szCs w:val="24"/>
        </w:rPr>
        <w:t>)]</w:t>
      </w:r>
      <w:r w:rsidR="000D2A85" w:rsidRPr="00523257">
        <w:rPr>
          <w:rFonts w:ascii="Times New Roman" w:hAnsi="Times New Roman" w:cs="Times New Roman"/>
          <w:sz w:val="24"/>
          <w:szCs w:val="24"/>
        </w:rPr>
        <w:t xml:space="preserve"> </w:t>
      </w:r>
      <w:r w:rsidR="005F40BA" w:rsidRPr="00941621">
        <w:rPr>
          <w:rFonts w:ascii="Times New Roman" w:hAnsi="Times New Roman" w:cs="Times New Roman"/>
          <w:sz w:val="24"/>
          <w:szCs w:val="24"/>
        </w:rPr>
        <w:t xml:space="preserve">was administered intravenously </w:t>
      </w:r>
      <w:r w:rsidR="005F40BA">
        <w:rPr>
          <w:rFonts w:ascii="Times New Roman" w:hAnsi="Times New Roman" w:cs="Times New Roman"/>
          <w:sz w:val="24"/>
          <w:szCs w:val="24"/>
        </w:rPr>
        <w:t>as</w:t>
      </w:r>
      <w:r w:rsidR="005F40BA" w:rsidRPr="00941621">
        <w:rPr>
          <w:rFonts w:ascii="Times New Roman" w:hAnsi="Times New Roman" w:cs="Times New Roman"/>
          <w:sz w:val="24"/>
          <w:szCs w:val="24"/>
        </w:rPr>
        <w:t xml:space="preserve"> a </w:t>
      </w:r>
      <w:r w:rsidR="005F40BA">
        <w:rPr>
          <w:rFonts w:ascii="Times New Roman" w:hAnsi="Times New Roman" w:cs="Times New Roman"/>
          <w:sz w:val="24"/>
          <w:szCs w:val="24"/>
        </w:rPr>
        <w:t xml:space="preserve">slow </w:t>
      </w:r>
      <w:r w:rsidR="005F40BA" w:rsidRPr="00941621">
        <w:rPr>
          <w:rFonts w:ascii="Times New Roman" w:hAnsi="Times New Roman" w:cs="Times New Roman"/>
          <w:sz w:val="24"/>
          <w:szCs w:val="24"/>
        </w:rPr>
        <w:t>bolus injection</w:t>
      </w:r>
      <w:r w:rsidR="005F40BA">
        <w:rPr>
          <w:rFonts w:ascii="Times New Roman" w:hAnsi="Times New Roman" w:cs="Times New Roman"/>
          <w:sz w:val="24"/>
          <w:szCs w:val="24"/>
        </w:rPr>
        <w:t xml:space="preserve"> over 20s</w:t>
      </w:r>
      <w:r w:rsidR="005F40BA" w:rsidRPr="00941621">
        <w:rPr>
          <w:rFonts w:ascii="Times New Roman" w:hAnsi="Times New Roman" w:cs="Times New Roman"/>
          <w:sz w:val="24"/>
          <w:szCs w:val="24"/>
        </w:rPr>
        <w:t xml:space="preserve">. </w:t>
      </w:r>
      <w:r w:rsidRPr="00523257">
        <w:rPr>
          <w:rFonts w:ascii="Times New Roman" w:hAnsi="Times New Roman" w:cs="Times New Roman"/>
          <w:sz w:val="24"/>
          <w:szCs w:val="24"/>
        </w:rPr>
        <w:t>All participants were scanned after withholding consumption of caffeinate beverages for 12 hours</w:t>
      </w:r>
      <w:r w:rsidR="005F40BA">
        <w:rPr>
          <w:rFonts w:ascii="Times New Roman" w:hAnsi="Times New Roman" w:cs="Times New Roman"/>
          <w:sz w:val="24"/>
          <w:szCs w:val="24"/>
        </w:rPr>
        <w:t xml:space="preserve"> (</w:t>
      </w:r>
      <w:r w:rsidR="005F40BA" w:rsidRPr="005F40BA">
        <w:rPr>
          <w:rFonts w:ascii="Times New Roman" w:hAnsi="Times New Roman" w:cs="Times New Roman"/>
          <w:sz w:val="24"/>
          <w:szCs w:val="28"/>
        </w:rPr>
        <w:t>Fredholm</w:t>
      </w:r>
      <w:r w:rsidR="005F40BA">
        <w:rPr>
          <w:rFonts w:ascii="Times New Roman" w:hAnsi="Times New Roman" w:cs="Times New Roman"/>
          <w:sz w:val="24"/>
          <w:szCs w:val="24"/>
        </w:rPr>
        <w:t xml:space="preserve"> </w:t>
      </w:r>
      <w:r w:rsidR="005F40BA" w:rsidRPr="005F40BA">
        <w:rPr>
          <w:rFonts w:ascii="Times New Roman" w:hAnsi="Times New Roman" w:cs="Times New Roman"/>
          <w:i/>
          <w:sz w:val="24"/>
          <w:szCs w:val="24"/>
        </w:rPr>
        <w:t>et al.</w:t>
      </w:r>
      <w:r w:rsidR="005F40BA">
        <w:rPr>
          <w:rFonts w:ascii="Times New Roman" w:hAnsi="Times New Roman" w:cs="Times New Roman"/>
          <w:sz w:val="24"/>
          <w:szCs w:val="24"/>
        </w:rPr>
        <w:t>, 1999)</w:t>
      </w:r>
      <w:r w:rsidRPr="00523257">
        <w:rPr>
          <w:rFonts w:ascii="Times New Roman" w:hAnsi="Times New Roman" w:cs="Times New Roman"/>
          <w:sz w:val="24"/>
          <w:szCs w:val="24"/>
        </w:rPr>
        <w:t xml:space="preserve">. </w:t>
      </w:r>
    </w:p>
    <w:p w14:paraId="7E52567D" w14:textId="77777777" w:rsidR="00D742B7" w:rsidRDefault="00D742B7" w:rsidP="00523257">
      <w:pPr>
        <w:spacing w:after="0" w:line="480" w:lineRule="auto"/>
        <w:jc w:val="both"/>
        <w:rPr>
          <w:rFonts w:ascii="Times New Roman" w:hAnsi="Times New Roman" w:cs="Times New Roman"/>
          <w:sz w:val="24"/>
          <w:szCs w:val="24"/>
        </w:rPr>
      </w:pPr>
    </w:p>
    <w:p w14:paraId="07CEB021" w14:textId="77777777" w:rsidR="005F40BA" w:rsidRPr="00941621" w:rsidRDefault="00345F61" w:rsidP="005F40BA">
      <w:pPr>
        <w:spacing w:after="0" w:line="480" w:lineRule="auto"/>
        <w:jc w:val="both"/>
        <w:rPr>
          <w:rFonts w:ascii="Times New Roman" w:hAnsi="Times New Roman" w:cs="Times New Roman"/>
          <w:sz w:val="24"/>
          <w:szCs w:val="24"/>
        </w:rPr>
      </w:pPr>
      <w:r w:rsidRPr="00523257">
        <w:rPr>
          <w:rFonts w:ascii="Times New Roman" w:hAnsi="Times New Roman" w:cs="Times New Roman"/>
          <w:sz w:val="24"/>
          <w:szCs w:val="24"/>
        </w:rPr>
        <w:t>Dynamic emission data were acquired continuously for 90 minutes following the injection of [</w:t>
      </w:r>
      <w:r w:rsidRPr="00523257">
        <w:rPr>
          <w:rFonts w:ascii="Times New Roman" w:hAnsi="Times New Roman" w:cs="Times New Roman"/>
          <w:sz w:val="24"/>
          <w:szCs w:val="24"/>
          <w:vertAlign w:val="superscript"/>
        </w:rPr>
        <w:t>11</w:t>
      </w:r>
      <w:r w:rsidRPr="00523257">
        <w:rPr>
          <w:rFonts w:ascii="Times New Roman" w:hAnsi="Times New Roman" w:cs="Times New Roman"/>
          <w:sz w:val="24"/>
          <w:szCs w:val="24"/>
        </w:rPr>
        <w:t>C]IMA107. The dynamic images were reconstructed into 26 frames (8 x 15 s, 3 x 60 s, 5 x 120 s, 5 x 300 s, and 5 x 600 s), using a filtered back projection algorithm (direct inversion Fourier transform) with a 128 matrix, zoom of 2.6 producing images with isotropic voxel size of 2 x 2 x 2 mm</w:t>
      </w:r>
      <w:r w:rsidRPr="00347858">
        <w:rPr>
          <w:rFonts w:ascii="Times New Roman" w:hAnsi="Times New Roman" w:cs="Times New Roman"/>
          <w:sz w:val="24"/>
          <w:szCs w:val="24"/>
          <w:vertAlign w:val="superscript"/>
        </w:rPr>
        <w:t>3</w:t>
      </w:r>
      <w:r w:rsidRPr="00523257">
        <w:rPr>
          <w:rFonts w:ascii="Times New Roman" w:hAnsi="Times New Roman" w:cs="Times New Roman"/>
          <w:sz w:val="24"/>
          <w:szCs w:val="24"/>
        </w:rPr>
        <w:t xml:space="preserve">, </w:t>
      </w:r>
      <w:r w:rsidR="005F40BA" w:rsidRPr="00941621">
        <w:rPr>
          <w:rFonts w:ascii="Times New Roman" w:hAnsi="Times New Roman" w:cs="Times New Roman"/>
          <w:sz w:val="24"/>
          <w:szCs w:val="24"/>
        </w:rPr>
        <w:t xml:space="preserve">and </w:t>
      </w:r>
      <w:r w:rsidR="005F40BA" w:rsidRPr="00EB27A4">
        <w:rPr>
          <w:rFonts w:ascii="Times New Roman" w:hAnsi="Times New Roman" w:cs="Times New Roman"/>
          <w:sz w:val="24"/>
          <w:szCs w:val="24"/>
        </w:rPr>
        <w:t xml:space="preserve">smoothed with </w:t>
      </w:r>
      <w:r w:rsidR="005F40BA" w:rsidRPr="00941621">
        <w:rPr>
          <w:rFonts w:ascii="Times New Roman" w:hAnsi="Times New Roman" w:cs="Times New Roman"/>
          <w:sz w:val="24"/>
          <w:szCs w:val="24"/>
        </w:rPr>
        <w:t>a transaxial Gaussian filter of 5 mm.</w:t>
      </w:r>
    </w:p>
    <w:p w14:paraId="35D663EE" w14:textId="77777777" w:rsidR="00D742B7" w:rsidRPr="00523257" w:rsidRDefault="00D742B7" w:rsidP="00523257">
      <w:pPr>
        <w:spacing w:after="0" w:line="480" w:lineRule="auto"/>
        <w:jc w:val="both"/>
        <w:rPr>
          <w:rFonts w:ascii="Times New Roman" w:hAnsi="Times New Roman" w:cs="Times New Roman"/>
          <w:sz w:val="24"/>
          <w:szCs w:val="24"/>
        </w:rPr>
      </w:pPr>
    </w:p>
    <w:p w14:paraId="42C2732E" w14:textId="6A192EB9" w:rsidR="00521DA9" w:rsidRDefault="00345F61" w:rsidP="00523257">
      <w:pPr>
        <w:spacing w:after="0" w:line="480" w:lineRule="auto"/>
        <w:jc w:val="both"/>
        <w:rPr>
          <w:rFonts w:ascii="Times New Roman" w:hAnsi="Times New Roman" w:cs="Times New Roman"/>
          <w:sz w:val="24"/>
          <w:szCs w:val="24"/>
        </w:rPr>
      </w:pPr>
      <w:r w:rsidRPr="00523257">
        <w:rPr>
          <w:rFonts w:ascii="Times New Roman" w:hAnsi="Times New Roman" w:cs="Times New Roman"/>
          <w:sz w:val="24"/>
          <w:szCs w:val="24"/>
        </w:rPr>
        <w:t>MRI scans were acquired with a 32-channel head coil on a Siemens Magnetom Verio</w:t>
      </w:r>
      <w:r w:rsidR="00BA05B4">
        <w:rPr>
          <w:rFonts w:ascii="Times New Roman" w:hAnsi="Times New Roman" w:cs="Times New Roman"/>
          <w:sz w:val="24"/>
          <w:szCs w:val="24"/>
        </w:rPr>
        <w:t xml:space="preserve"> (</w:t>
      </w:r>
      <w:r w:rsidR="003D12CA" w:rsidRPr="003D12CA">
        <w:rPr>
          <w:rFonts w:ascii="Times New Roman" w:hAnsi="Times New Roman" w:cs="Times New Roman"/>
          <w:sz w:val="24"/>
          <w:szCs w:val="24"/>
          <w:lang w:val="en-US"/>
        </w:rPr>
        <w:t>Erlangen, Germany</w:t>
      </w:r>
      <w:r w:rsidR="003D12CA">
        <w:rPr>
          <w:rFonts w:ascii="Times New Roman" w:hAnsi="Times New Roman" w:cs="Times New Roman"/>
          <w:sz w:val="24"/>
          <w:szCs w:val="24"/>
          <w:lang w:val="en-US"/>
        </w:rPr>
        <w:t>)</w:t>
      </w:r>
      <w:r w:rsidRPr="00523257">
        <w:rPr>
          <w:rFonts w:ascii="Times New Roman" w:hAnsi="Times New Roman" w:cs="Times New Roman"/>
          <w:sz w:val="24"/>
          <w:szCs w:val="24"/>
        </w:rPr>
        <w:t>, 3-T</w:t>
      </w:r>
      <w:r w:rsidR="00604B28">
        <w:rPr>
          <w:rFonts w:ascii="Times New Roman" w:hAnsi="Times New Roman" w:cs="Times New Roman"/>
          <w:sz w:val="24"/>
          <w:szCs w:val="24"/>
        </w:rPr>
        <w:t>esla</w:t>
      </w:r>
      <w:r w:rsidRPr="00523257">
        <w:rPr>
          <w:rFonts w:ascii="Times New Roman" w:hAnsi="Times New Roman" w:cs="Times New Roman"/>
          <w:sz w:val="24"/>
          <w:szCs w:val="24"/>
        </w:rPr>
        <w:t xml:space="preserve"> MRI scanner and included a T1-weighted magnetization prepared rapid gradient echo sequence [MPRAGE; time repetition (TR) = 2300 ms, time echo (TE) = 2.98 ms, flip angle of 9°, time to inversion (TI) = 900 ms, matrix = 240 x 256]; fast grey matter T1 inversion recovery (FGATIR; TR = 3000 ms, TE = 2.96 ms, flip angle of 8°, TI = 409 ms, matrix = 240 x 256) </w:t>
      </w:r>
      <w:r w:rsidR="00B20566" w:rsidRPr="00523257">
        <w:rPr>
          <w:rFonts w:ascii="Times New Roman" w:hAnsi="Times New Roman" w:cs="Times New Roman"/>
          <w:sz w:val="24"/>
          <w:szCs w:val="24"/>
        </w:rPr>
        <w:t>(</w:t>
      </w:r>
      <w:r w:rsidR="00B20566" w:rsidRPr="00DB7112">
        <w:rPr>
          <w:rFonts w:ascii="Times New Roman" w:hAnsi="Times New Roman" w:cs="Times New Roman"/>
          <w:sz w:val="24"/>
          <w:szCs w:val="28"/>
        </w:rPr>
        <w:t>Sudhyadhom</w:t>
      </w:r>
      <w:r w:rsidR="00B20566" w:rsidRPr="00DB7112">
        <w:rPr>
          <w:rFonts w:ascii="Times New Roman" w:hAnsi="Times New Roman" w:cs="Times New Roman"/>
          <w:sz w:val="24"/>
          <w:szCs w:val="24"/>
        </w:rPr>
        <w:t xml:space="preserve"> </w:t>
      </w:r>
      <w:r w:rsidR="00B20566" w:rsidRPr="00DB7112">
        <w:rPr>
          <w:rFonts w:ascii="Times New Roman" w:hAnsi="Times New Roman" w:cs="Times New Roman"/>
          <w:i/>
          <w:sz w:val="24"/>
          <w:szCs w:val="24"/>
        </w:rPr>
        <w:t>et al.,</w:t>
      </w:r>
      <w:r w:rsidR="00B20566" w:rsidRPr="00DB7112">
        <w:rPr>
          <w:rFonts w:ascii="Times New Roman" w:hAnsi="Times New Roman" w:cs="Times New Roman"/>
          <w:sz w:val="24"/>
          <w:szCs w:val="24"/>
        </w:rPr>
        <w:t xml:space="preserve"> 2009)</w:t>
      </w:r>
      <w:r w:rsidRPr="00DB7112">
        <w:rPr>
          <w:rFonts w:ascii="Times New Roman" w:hAnsi="Times New Roman" w:cs="Times New Roman"/>
          <w:sz w:val="24"/>
          <w:szCs w:val="24"/>
        </w:rPr>
        <w:t xml:space="preserve"> and fluid and white matter suppression (FLAWS; TR = 5000 ms, TE = 2.94 ms, flip angle of 5°, TI = 409/1100 ms, matrix = 240 x 256) </w:t>
      </w:r>
      <w:r w:rsidR="00B20566" w:rsidRPr="00DB7112">
        <w:rPr>
          <w:rFonts w:ascii="Times New Roman" w:hAnsi="Times New Roman" w:cs="Times New Roman"/>
          <w:sz w:val="24"/>
          <w:szCs w:val="24"/>
        </w:rPr>
        <w:t xml:space="preserve">(Tanner </w:t>
      </w:r>
      <w:r w:rsidR="00B20566" w:rsidRPr="00DB7112">
        <w:rPr>
          <w:rFonts w:ascii="Times New Roman" w:hAnsi="Times New Roman" w:cs="Times New Roman"/>
          <w:i/>
          <w:sz w:val="24"/>
          <w:szCs w:val="24"/>
        </w:rPr>
        <w:t>et al.,</w:t>
      </w:r>
      <w:r w:rsidR="00B20566" w:rsidRPr="00DB7112">
        <w:rPr>
          <w:rFonts w:ascii="Times New Roman" w:hAnsi="Times New Roman" w:cs="Times New Roman"/>
          <w:sz w:val="24"/>
          <w:szCs w:val="24"/>
        </w:rPr>
        <w:t xml:space="preserve"> 2013)</w:t>
      </w:r>
      <w:r w:rsidRPr="00DB7112">
        <w:rPr>
          <w:rFonts w:ascii="Times New Roman" w:hAnsi="Times New Roman" w:cs="Times New Roman"/>
          <w:sz w:val="24"/>
          <w:szCs w:val="24"/>
        </w:rPr>
        <w:t xml:space="preserve"> sequences</w:t>
      </w:r>
      <w:r w:rsidRPr="00523257">
        <w:rPr>
          <w:rFonts w:ascii="Times New Roman" w:hAnsi="Times New Roman" w:cs="Times New Roman"/>
          <w:sz w:val="24"/>
          <w:szCs w:val="24"/>
        </w:rPr>
        <w:t xml:space="preserve"> for </w:t>
      </w:r>
      <w:r w:rsidR="00D742B7" w:rsidRPr="006522F4">
        <w:rPr>
          <w:rFonts w:ascii="Times New Roman" w:hAnsi="Times New Roman" w:cs="Times New Roman"/>
          <w:sz w:val="24"/>
          <w:szCs w:val="24"/>
        </w:rPr>
        <w:t>co-registration with the PET images</w:t>
      </w:r>
      <w:r w:rsidR="00D742B7">
        <w:rPr>
          <w:rFonts w:ascii="Times New Roman" w:hAnsi="Times New Roman" w:cs="Times New Roman"/>
          <w:sz w:val="24"/>
          <w:szCs w:val="24"/>
        </w:rPr>
        <w:t xml:space="preserve"> and for</w:t>
      </w:r>
      <w:r w:rsidR="00D742B7" w:rsidRPr="00D742B7">
        <w:rPr>
          <w:rFonts w:ascii="Times New Roman" w:hAnsi="Times New Roman" w:cs="Times New Roman"/>
          <w:sz w:val="24"/>
          <w:szCs w:val="24"/>
        </w:rPr>
        <w:t xml:space="preserve"> </w:t>
      </w:r>
      <w:r w:rsidRPr="00523257">
        <w:rPr>
          <w:rFonts w:ascii="Times New Roman" w:hAnsi="Times New Roman" w:cs="Times New Roman"/>
          <w:sz w:val="24"/>
          <w:szCs w:val="24"/>
        </w:rPr>
        <w:t>improving delineation of subcortical brain regions. All sequences used a 1 mm</w:t>
      </w:r>
      <w:r w:rsidRPr="00523257">
        <w:rPr>
          <w:rFonts w:ascii="Times New Roman" w:hAnsi="Times New Roman" w:cs="Times New Roman"/>
          <w:sz w:val="24"/>
          <w:szCs w:val="24"/>
          <w:vertAlign w:val="superscript"/>
        </w:rPr>
        <w:t>3</w:t>
      </w:r>
      <w:r w:rsidRPr="00523257">
        <w:rPr>
          <w:rFonts w:ascii="Times New Roman" w:hAnsi="Times New Roman" w:cs="Times New Roman"/>
          <w:sz w:val="24"/>
          <w:szCs w:val="24"/>
        </w:rPr>
        <w:t xml:space="preserve"> voxel size, anteroposterior phase encoding direction, and a symmetric echo. </w:t>
      </w:r>
    </w:p>
    <w:p w14:paraId="4F882B36" w14:textId="77777777" w:rsidR="0018568B" w:rsidRPr="00347858" w:rsidRDefault="0018568B" w:rsidP="00523257">
      <w:pPr>
        <w:spacing w:after="0" w:line="480" w:lineRule="auto"/>
        <w:jc w:val="both"/>
        <w:rPr>
          <w:rFonts w:ascii="Times New Roman" w:hAnsi="Times New Roman" w:cs="Times New Roman"/>
          <w:sz w:val="36"/>
          <w:szCs w:val="28"/>
        </w:rPr>
      </w:pPr>
    </w:p>
    <w:p w14:paraId="336DFEA9" w14:textId="68D7D560" w:rsidR="0018568B" w:rsidRPr="00E32EC8" w:rsidRDefault="009B3C11" w:rsidP="00523257">
      <w:pPr>
        <w:pStyle w:val="Heading2"/>
        <w:spacing w:before="0" w:line="480" w:lineRule="auto"/>
        <w:rPr>
          <w:color w:val="auto"/>
        </w:rPr>
      </w:pPr>
      <w:r w:rsidRPr="00E32EC8">
        <w:rPr>
          <w:rFonts w:ascii="Times New Roman" w:hAnsi="Times New Roman"/>
          <w:color w:val="auto"/>
        </w:rPr>
        <w:t>Imaging data analysis</w:t>
      </w:r>
    </w:p>
    <w:p w14:paraId="2415B17D" w14:textId="2FA930A6" w:rsidR="001F7802" w:rsidRPr="00523257" w:rsidRDefault="001F7802" w:rsidP="00523257">
      <w:pPr>
        <w:pStyle w:val="Heading3"/>
        <w:spacing w:before="0" w:line="480" w:lineRule="auto"/>
        <w:rPr>
          <w:rFonts w:ascii="Times New Roman" w:hAnsi="Times New Roman"/>
          <w:i/>
          <w:color w:val="auto"/>
          <w:sz w:val="24"/>
          <w:szCs w:val="24"/>
        </w:rPr>
      </w:pPr>
      <w:r w:rsidRPr="00523257">
        <w:rPr>
          <w:rFonts w:ascii="Times New Roman" w:hAnsi="Times New Roman"/>
          <w:i/>
          <w:color w:val="auto"/>
          <w:sz w:val="24"/>
          <w:szCs w:val="24"/>
        </w:rPr>
        <w:t>MRI</w:t>
      </w:r>
      <w:r w:rsidR="00294EA8">
        <w:rPr>
          <w:rFonts w:ascii="Times New Roman" w:hAnsi="Times New Roman"/>
          <w:i/>
          <w:color w:val="auto"/>
          <w:sz w:val="24"/>
          <w:szCs w:val="24"/>
        </w:rPr>
        <w:t>-based</w:t>
      </w:r>
      <w:r w:rsidRPr="00523257">
        <w:rPr>
          <w:rFonts w:ascii="Times New Roman" w:hAnsi="Times New Roman"/>
          <w:i/>
          <w:color w:val="auto"/>
          <w:sz w:val="24"/>
          <w:szCs w:val="24"/>
        </w:rPr>
        <w:t xml:space="preserve"> volumetric analys</w:t>
      </w:r>
      <w:r w:rsidR="00294EA8">
        <w:rPr>
          <w:rFonts w:ascii="Times New Roman" w:hAnsi="Times New Roman"/>
          <w:i/>
          <w:color w:val="auto"/>
          <w:sz w:val="24"/>
          <w:szCs w:val="24"/>
        </w:rPr>
        <w:t>i</w:t>
      </w:r>
      <w:r w:rsidR="00A76D36">
        <w:rPr>
          <w:rFonts w:ascii="Times New Roman" w:hAnsi="Times New Roman"/>
          <w:i/>
          <w:color w:val="auto"/>
          <w:sz w:val="24"/>
          <w:szCs w:val="24"/>
        </w:rPr>
        <w:t>s</w:t>
      </w:r>
    </w:p>
    <w:p w14:paraId="12FD7F81" w14:textId="647C5D49" w:rsidR="00521DA9" w:rsidRDefault="00271B0D" w:rsidP="00523257">
      <w:pPr>
        <w:spacing w:after="0" w:line="480" w:lineRule="auto"/>
        <w:jc w:val="both"/>
        <w:rPr>
          <w:rFonts w:ascii="Times New Roman" w:hAnsi="Times New Roman" w:cs="Times New Roman"/>
          <w:sz w:val="24"/>
        </w:rPr>
      </w:pPr>
      <w:r w:rsidRPr="00523257">
        <w:rPr>
          <w:rFonts w:ascii="Times New Roman" w:hAnsi="Times New Roman" w:cs="Times New Roman"/>
          <w:sz w:val="24"/>
          <w:szCs w:val="28"/>
        </w:rPr>
        <w:t>Since PDE-10A is an intracellular enzyme mainly expressed in the basal ganglia nuclei (</w:t>
      </w:r>
      <w:r w:rsidRPr="00274AEA">
        <w:rPr>
          <w:rFonts w:ascii="Times New Roman" w:hAnsi="Times New Roman"/>
          <w:sz w:val="24"/>
          <w:szCs w:val="24"/>
        </w:rPr>
        <w:t xml:space="preserve">Fujishige </w:t>
      </w:r>
      <w:r w:rsidRPr="00274AEA">
        <w:rPr>
          <w:rFonts w:ascii="Times New Roman" w:hAnsi="Times New Roman"/>
          <w:i/>
          <w:sz w:val="24"/>
          <w:szCs w:val="24"/>
        </w:rPr>
        <w:t>et al.,</w:t>
      </w:r>
      <w:r w:rsidRPr="00274AEA">
        <w:rPr>
          <w:rFonts w:ascii="Times New Roman" w:hAnsi="Times New Roman"/>
          <w:sz w:val="24"/>
          <w:szCs w:val="24"/>
        </w:rPr>
        <w:t xml:space="preserve"> 1999; Coskran</w:t>
      </w:r>
      <w:r w:rsidRPr="00274AEA">
        <w:rPr>
          <w:rFonts w:ascii="Times New Roman" w:hAnsi="Times New Roman"/>
          <w:i/>
          <w:sz w:val="24"/>
          <w:szCs w:val="24"/>
        </w:rPr>
        <w:t xml:space="preserve"> et al.,</w:t>
      </w:r>
      <w:r w:rsidRPr="00274AEA">
        <w:rPr>
          <w:rFonts w:ascii="Times New Roman" w:hAnsi="Times New Roman"/>
          <w:sz w:val="24"/>
          <w:szCs w:val="24"/>
        </w:rPr>
        <w:t xml:space="preserve"> 2006)</w:t>
      </w:r>
      <w:r w:rsidRPr="00274AEA">
        <w:rPr>
          <w:rFonts w:ascii="Times New Roman" w:hAnsi="Times New Roman" w:cs="Times New Roman"/>
          <w:sz w:val="24"/>
          <w:szCs w:val="28"/>
        </w:rPr>
        <w:t>,</w:t>
      </w:r>
      <w:r w:rsidRPr="00523257">
        <w:rPr>
          <w:rFonts w:ascii="Times New Roman" w:hAnsi="Times New Roman" w:cs="Times New Roman"/>
          <w:sz w:val="24"/>
          <w:szCs w:val="28"/>
        </w:rPr>
        <w:t xml:space="preserve"> degeneration of </w:t>
      </w:r>
      <w:r>
        <w:rPr>
          <w:rFonts w:ascii="Times New Roman" w:hAnsi="Times New Roman" w:cs="Times New Roman"/>
          <w:sz w:val="24"/>
          <w:szCs w:val="28"/>
        </w:rPr>
        <w:t>these</w:t>
      </w:r>
      <w:r w:rsidRPr="00523257">
        <w:rPr>
          <w:rFonts w:ascii="Times New Roman" w:hAnsi="Times New Roman" w:cs="Times New Roman"/>
          <w:sz w:val="24"/>
          <w:szCs w:val="28"/>
        </w:rPr>
        <w:t xml:space="preserve"> nuclei may affect the expression of the enzyme. Thus, we investigated volumetric changes in basal ganglia nuclei and thalamus in our cohort of Parkinson’s disease patients. </w:t>
      </w:r>
      <w:r w:rsidR="00127D01">
        <w:rPr>
          <w:rFonts w:ascii="Times New Roman" w:hAnsi="Times New Roman" w:cs="Times New Roman"/>
          <w:sz w:val="24"/>
        </w:rPr>
        <w:t>We used t</w:t>
      </w:r>
      <w:r w:rsidR="001F7802" w:rsidRPr="00523257">
        <w:rPr>
          <w:rFonts w:ascii="Times New Roman" w:hAnsi="Times New Roman" w:cs="Times New Roman"/>
          <w:sz w:val="24"/>
        </w:rPr>
        <w:t>he FreeSurfer</w:t>
      </w:r>
      <w:r w:rsidR="00A30E54">
        <w:rPr>
          <w:rFonts w:ascii="Times New Roman" w:hAnsi="Times New Roman" w:cs="Times New Roman"/>
          <w:sz w:val="24"/>
        </w:rPr>
        <w:t>’s</w:t>
      </w:r>
      <w:r w:rsidR="001F7802" w:rsidRPr="00523257">
        <w:rPr>
          <w:rFonts w:ascii="Times New Roman" w:hAnsi="Times New Roman" w:cs="Times New Roman"/>
          <w:sz w:val="24"/>
        </w:rPr>
        <w:t xml:space="preserve"> image analysis suite (version 5.3.0 http://surfer.nmr.mgh.harvard.edu) </w:t>
      </w:r>
      <w:r w:rsidR="008770F0">
        <w:rPr>
          <w:rFonts w:ascii="Times New Roman" w:hAnsi="Times New Roman" w:cs="Times New Roman"/>
          <w:sz w:val="24"/>
        </w:rPr>
        <w:t>to</w:t>
      </w:r>
      <w:r w:rsidR="007107D0">
        <w:rPr>
          <w:rFonts w:ascii="Times New Roman" w:hAnsi="Times New Roman" w:cs="Times New Roman"/>
          <w:sz w:val="24"/>
        </w:rPr>
        <w:t xml:space="preserve"> </w:t>
      </w:r>
      <w:r w:rsidR="001F7802" w:rsidRPr="00523257">
        <w:rPr>
          <w:rFonts w:ascii="Times New Roman" w:hAnsi="Times New Roman" w:cs="Times New Roman"/>
          <w:sz w:val="24"/>
        </w:rPr>
        <w:t xml:space="preserve">process </w:t>
      </w:r>
      <w:r w:rsidR="007107D0">
        <w:rPr>
          <w:rFonts w:ascii="Times New Roman" w:hAnsi="Times New Roman" w:cs="Times New Roman"/>
          <w:sz w:val="24"/>
        </w:rPr>
        <w:t>individual MRI</w:t>
      </w:r>
      <w:r w:rsidR="00806688">
        <w:rPr>
          <w:rFonts w:ascii="Times New Roman" w:hAnsi="Times New Roman" w:cs="Times New Roman"/>
          <w:sz w:val="24"/>
        </w:rPr>
        <w:t xml:space="preserve"> scans</w:t>
      </w:r>
      <w:r w:rsidR="007107D0" w:rsidRPr="00523257">
        <w:rPr>
          <w:rFonts w:ascii="Times New Roman" w:hAnsi="Times New Roman" w:cs="Times New Roman"/>
          <w:sz w:val="24"/>
        </w:rPr>
        <w:t xml:space="preserve"> </w:t>
      </w:r>
      <w:r w:rsidR="008770F0">
        <w:rPr>
          <w:rFonts w:ascii="Times New Roman" w:hAnsi="Times New Roman" w:cs="Times New Roman"/>
          <w:sz w:val="24"/>
        </w:rPr>
        <w:t>for</w:t>
      </w:r>
      <w:r w:rsidR="001F7802" w:rsidRPr="00523257">
        <w:rPr>
          <w:rFonts w:ascii="Times New Roman" w:hAnsi="Times New Roman" w:cs="Times New Roman"/>
          <w:sz w:val="24"/>
        </w:rPr>
        <w:t xml:space="preserve"> deriv</w:t>
      </w:r>
      <w:r w:rsidR="008770F0">
        <w:rPr>
          <w:rFonts w:ascii="Times New Roman" w:hAnsi="Times New Roman" w:cs="Times New Roman"/>
          <w:sz w:val="24"/>
        </w:rPr>
        <w:t>ing</w:t>
      </w:r>
      <w:r w:rsidR="001F7802" w:rsidRPr="00523257">
        <w:rPr>
          <w:rFonts w:ascii="Times New Roman" w:hAnsi="Times New Roman" w:cs="Times New Roman"/>
          <w:sz w:val="24"/>
        </w:rPr>
        <w:t xml:space="preserve"> measures of </w:t>
      </w:r>
      <w:r w:rsidR="00BA2270">
        <w:rPr>
          <w:rFonts w:ascii="Times New Roman" w:hAnsi="Times New Roman" w:cs="Times New Roman"/>
          <w:sz w:val="24"/>
        </w:rPr>
        <w:t>cortical</w:t>
      </w:r>
      <w:r w:rsidR="006776C0">
        <w:rPr>
          <w:rFonts w:ascii="Times New Roman" w:hAnsi="Times New Roman" w:cs="Times New Roman"/>
          <w:sz w:val="24"/>
        </w:rPr>
        <w:t xml:space="preserve"> and </w:t>
      </w:r>
      <w:r w:rsidR="001F7802" w:rsidRPr="00523257">
        <w:rPr>
          <w:rFonts w:ascii="Times New Roman" w:hAnsi="Times New Roman" w:cs="Times New Roman"/>
          <w:sz w:val="24"/>
        </w:rPr>
        <w:t>subcortical volumes. The automated procedures for</w:t>
      </w:r>
      <w:r w:rsidR="0066779A">
        <w:rPr>
          <w:rFonts w:ascii="Times New Roman" w:hAnsi="Times New Roman" w:cs="Times New Roman"/>
          <w:sz w:val="24"/>
        </w:rPr>
        <w:t xml:space="preserve"> acquiring</w:t>
      </w:r>
      <w:r w:rsidR="001F7802" w:rsidRPr="00523257">
        <w:rPr>
          <w:rFonts w:ascii="Times New Roman" w:hAnsi="Times New Roman" w:cs="Times New Roman"/>
          <w:sz w:val="24"/>
        </w:rPr>
        <w:t xml:space="preserve"> volumetric measures of brain structures have been previously described </w:t>
      </w:r>
      <w:r w:rsidR="001F7802" w:rsidRPr="00DB7112">
        <w:rPr>
          <w:rFonts w:ascii="Times New Roman" w:hAnsi="Times New Roman" w:cs="Times New Roman"/>
          <w:sz w:val="24"/>
        </w:rPr>
        <w:t>(</w:t>
      </w:r>
      <w:r w:rsidR="001F7802" w:rsidRPr="00DB7112">
        <w:rPr>
          <w:rFonts w:ascii="Times New Roman" w:hAnsi="Times New Roman" w:cs="Times New Roman"/>
          <w:sz w:val="24"/>
          <w:szCs w:val="28"/>
        </w:rPr>
        <w:t xml:space="preserve">Fischl </w:t>
      </w:r>
      <w:r w:rsidR="001F7802" w:rsidRPr="00DB7112">
        <w:rPr>
          <w:rFonts w:ascii="Times New Roman" w:hAnsi="Times New Roman" w:cs="Times New Roman"/>
          <w:i/>
          <w:sz w:val="24"/>
          <w:szCs w:val="28"/>
        </w:rPr>
        <w:t>et al.,</w:t>
      </w:r>
      <w:r w:rsidR="001F7802" w:rsidRPr="00DB7112">
        <w:rPr>
          <w:rFonts w:ascii="Times New Roman" w:hAnsi="Times New Roman" w:cs="Times New Roman"/>
          <w:sz w:val="24"/>
          <w:szCs w:val="28"/>
        </w:rPr>
        <w:t xml:space="preserve"> 2002)</w:t>
      </w:r>
      <w:r w:rsidR="001F7802" w:rsidRPr="00DB7112">
        <w:rPr>
          <w:rFonts w:ascii="Times New Roman" w:hAnsi="Times New Roman" w:cs="Times New Roman"/>
          <w:sz w:val="24"/>
        </w:rPr>
        <w:t>. This procedure automatically assigns</w:t>
      </w:r>
      <w:r w:rsidR="001F7802" w:rsidRPr="00523257">
        <w:rPr>
          <w:rFonts w:ascii="Times New Roman" w:hAnsi="Times New Roman" w:cs="Times New Roman"/>
          <w:sz w:val="24"/>
        </w:rPr>
        <w:t xml:space="preserve"> a neuroanatomical label to each voxel in an MRI volume based on probabilistic information automatically estimated from a manually </w:t>
      </w:r>
      <w:r w:rsidR="003205F5" w:rsidRPr="003205F5">
        <w:rPr>
          <w:rFonts w:ascii="Times New Roman" w:hAnsi="Times New Roman" w:cs="Times New Roman"/>
          <w:sz w:val="24"/>
        </w:rPr>
        <w:t>labelled</w:t>
      </w:r>
      <w:r w:rsidR="001F7802" w:rsidRPr="00523257">
        <w:rPr>
          <w:rFonts w:ascii="Times New Roman" w:hAnsi="Times New Roman" w:cs="Times New Roman"/>
          <w:sz w:val="24"/>
        </w:rPr>
        <w:t xml:space="preserve"> training set. In brief, the segmentation is carried out as follows: first, an optimal linear transform is computed that maximizes the likelihood of the input image, given an atlas constructed from manually </w:t>
      </w:r>
      <w:r w:rsidR="003205F5" w:rsidRPr="003205F5">
        <w:rPr>
          <w:rFonts w:ascii="Times New Roman" w:hAnsi="Times New Roman" w:cs="Times New Roman"/>
          <w:sz w:val="24"/>
        </w:rPr>
        <w:t>labelled</w:t>
      </w:r>
      <w:r w:rsidR="001F7802" w:rsidRPr="00523257">
        <w:rPr>
          <w:rFonts w:ascii="Times New Roman" w:hAnsi="Times New Roman" w:cs="Times New Roman"/>
          <w:sz w:val="24"/>
        </w:rPr>
        <w:t xml:space="preserve"> images. </w:t>
      </w:r>
      <w:r w:rsidR="002622A2">
        <w:rPr>
          <w:rFonts w:ascii="Times New Roman" w:hAnsi="Times New Roman" w:cs="Times New Roman"/>
          <w:sz w:val="24"/>
        </w:rPr>
        <w:t>Then</w:t>
      </w:r>
      <w:r w:rsidR="001F7802" w:rsidRPr="00523257">
        <w:rPr>
          <w:rFonts w:ascii="Times New Roman" w:hAnsi="Times New Roman" w:cs="Times New Roman"/>
          <w:sz w:val="24"/>
        </w:rPr>
        <w:t xml:space="preserve">, a nonlinear transform is initialized with the linear one, and the image is allowed to further deform to better match the atlas. Finally, a Bayesian segmentation procedure is carried out, and the maximum </w:t>
      </w:r>
      <w:r w:rsidR="001F7802" w:rsidRPr="00347858">
        <w:rPr>
          <w:rFonts w:ascii="Times New Roman" w:hAnsi="Times New Roman" w:cs="Times New Roman"/>
          <w:i/>
          <w:sz w:val="24"/>
        </w:rPr>
        <w:t>a posteriori</w:t>
      </w:r>
      <w:r w:rsidR="001F7802" w:rsidRPr="00523257">
        <w:rPr>
          <w:rFonts w:ascii="Times New Roman" w:hAnsi="Times New Roman" w:cs="Times New Roman"/>
          <w:sz w:val="24"/>
        </w:rPr>
        <w:t xml:space="preserve"> estimate of the </w:t>
      </w:r>
      <w:r w:rsidR="003205F5" w:rsidRPr="003205F5">
        <w:rPr>
          <w:rFonts w:ascii="Times New Roman" w:hAnsi="Times New Roman" w:cs="Times New Roman"/>
          <w:sz w:val="24"/>
        </w:rPr>
        <w:t>labelling</w:t>
      </w:r>
      <w:r w:rsidR="001F7802" w:rsidRPr="00523257">
        <w:rPr>
          <w:rFonts w:ascii="Times New Roman" w:hAnsi="Times New Roman" w:cs="Times New Roman"/>
          <w:sz w:val="24"/>
        </w:rPr>
        <w:t xml:space="preserve"> is computed. The segmentation uses three pieces of information to disambiguate labels: (1) the prior probability of a given tissue class occurring at a specific atlas location, (2) the likelihood of the image intensity given that tissue class, and (3) the probability of the local spatial configuration of labels given the tissue class. This technique has previously been shown to be comparable in accuracy to manual </w:t>
      </w:r>
      <w:r w:rsidR="009D44A9" w:rsidRPr="009D44A9">
        <w:rPr>
          <w:rFonts w:ascii="Times New Roman" w:hAnsi="Times New Roman" w:cs="Times New Roman"/>
          <w:sz w:val="24"/>
        </w:rPr>
        <w:t>labelling</w:t>
      </w:r>
      <w:r w:rsidR="001F7802" w:rsidRPr="00523257">
        <w:rPr>
          <w:rFonts w:ascii="Times New Roman" w:hAnsi="Times New Roman" w:cs="Times New Roman"/>
          <w:sz w:val="24"/>
        </w:rPr>
        <w:t xml:space="preserve"> (</w:t>
      </w:r>
      <w:r w:rsidR="001F7802" w:rsidRPr="00585D8B">
        <w:rPr>
          <w:rFonts w:ascii="Times New Roman" w:hAnsi="Times New Roman" w:cs="Times New Roman"/>
          <w:sz w:val="24"/>
          <w:szCs w:val="28"/>
        </w:rPr>
        <w:t xml:space="preserve">Fischl </w:t>
      </w:r>
      <w:r w:rsidR="001F7802" w:rsidRPr="00585D8B">
        <w:rPr>
          <w:rFonts w:ascii="Times New Roman" w:hAnsi="Times New Roman" w:cs="Times New Roman"/>
          <w:i/>
          <w:sz w:val="24"/>
          <w:szCs w:val="28"/>
        </w:rPr>
        <w:t>et al.,</w:t>
      </w:r>
      <w:r w:rsidR="001F7802" w:rsidRPr="00585D8B">
        <w:rPr>
          <w:rFonts w:ascii="Times New Roman" w:hAnsi="Times New Roman" w:cs="Times New Roman"/>
          <w:sz w:val="24"/>
          <w:szCs w:val="28"/>
        </w:rPr>
        <w:t xml:space="preserve"> 2002)</w:t>
      </w:r>
      <w:r w:rsidR="001F7802" w:rsidRPr="00585D8B">
        <w:rPr>
          <w:rFonts w:ascii="Times New Roman" w:hAnsi="Times New Roman" w:cs="Times New Roman"/>
          <w:sz w:val="24"/>
        </w:rPr>
        <w:t>.</w:t>
      </w:r>
      <w:r w:rsidR="00DB7722" w:rsidRPr="00585D8B">
        <w:rPr>
          <w:rFonts w:ascii="Times New Roman" w:hAnsi="Times New Roman" w:cs="Times New Roman"/>
          <w:sz w:val="16"/>
          <w:szCs w:val="16"/>
          <w:lang w:eastAsia="en-US"/>
        </w:rPr>
        <w:t xml:space="preserve"> </w:t>
      </w:r>
      <w:r w:rsidR="00DB7722" w:rsidRPr="00585D8B">
        <w:rPr>
          <w:rFonts w:ascii="Times New Roman" w:hAnsi="Times New Roman" w:cs="Times New Roman"/>
          <w:sz w:val="24"/>
        </w:rPr>
        <w:t xml:space="preserve">Adjustments for intracranial volume were calculated for each region of interest (ROI) using validated methods within the FreeSurfer toolkit (Buckner </w:t>
      </w:r>
      <w:r w:rsidR="00DB7722" w:rsidRPr="00585D8B">
        <w:rPr>
          <w:rFonts w:ascii="Times New Roman" w:hAnsi="Times New Roman" w:cs="Times New Roman"/>
          <w:i/>
          <w:sz w:val="24"/>
        </w:rPr>
        <w:t>et al.,</w:t>
      </w:r>
      <w:r w:rsidR="00DB7722" w:rsidRPr="00585D8B">
        <w:rPr>
          <w:rFonts w:ascii="Times New Roman" w:hAnsi="Times New Roman" w:cs="Times New Roman"/>
          <w:sz w:val="24"/>
        </w:rPr>
        <w:t xml:space="preserve"> 2004).</w:t>
      </w:r>
    </w:p>
    <w:p w14:paraId="228725CA" w14:textId="77777777" w:rsidR="009D44A9" w:rsidRPr="00523257" w:rsidRDefault="009D44A9" w:rsidP="00523257">
      <w:pPr>
        <w:spacing w:after="0" w:line="480" w:lineRule="auto"/>
        <w:jc w:val="both"/>
        <w:rPr>
          <w:rFonts w:ascii="Times New Roman" w:hAnsi="Times New Roman" w:cs="Times New Roman"/>
          <w:sz w:val="24"/>
        </w:rPr>
      </w:pPr>
    </w:p>
    <w:p w14:paraId="159D9DB7" w14:textId="3A68BE0E" w:rsidR="005C787C" w:rsidRPr="00523257" w:rsidRDefault="005C787C" w:rsidP="00523257">
      <w:pPr>
        <w:pStyle w:val="Heading3"/>
        <w:spacing w:before="0" w:line="480" w:lineRule="auto"/>
        <w:rPr>
          <w:rFonts w:ascii="Times New Roman" w:hAnsi="Times New Roman" w:cs="Times New Roman"/>
          <w:i/>
          <w:color w:val="auto"/>
          <w:sz w:val="24"/>
          <w:szCs w:val="24"/>
        </w:rPr>
      </w:pPr>
      <w:r w:rsidRPr="00523257">
        <w:rPr>
          <w:rFonts w:ascii="Times New Roman" w:hAnsi="Times New Roman" w:cs="Times New Roman"/>
          <w:i/>
          <w:color w:val="auto"/>
          <w:sz w:val="24"/>
          <w:szCs w:val="24"/>
        </w:rPr>
        <w:t>[</w:t>
      </w:r>
      <w:r w:rsidRPr="00523257">
        <w:rPr>
          <w:rFonts w:ascii="Times New Roman" w:hAnsi="Times New Roman" w:cs="Times New Roman"/>
          <w:i/>
          <w:color w:val="auto"/>
          <w:sz w:val="24"/>
          <w:szCs w:val="24"/>
          <w:vertAlign w:val="superscript"/>
        </w:rPr>
        <w:t>11</w:t>
      </w:r>
      <w:r w:rsidRPr="00523257">
        <w:rPr>
          <w:rFonts w:ascii="Times New Roman" w:hAnsi="Times New Roman" w:cs="Times New Roman"/>
          <w:i/>
          <w:color w:val="auto"/>
          <w:sz w:val="24"/>
          <w:szCs w:val="24"/>
        </w:rPr>
        <w:t>C]IMA107 PET data</w:t>
      </w:r>
      <w:r w:rsidR="000D7269">
        <w:rPr>
          <w:rFonts w:ascii="Times New Roman" w:hAnsi="Times New Roman" w:cs="Times New Roman"/>
          <w:i/>
          <w:color w:val="auto"/>
          <w:sz w:val="24"/>
          <w:szCs w:val="24"/>
        </w:rPr>
        <w:t xml:space="preserve"> analys</w:t>
      </w:r>
      <w:r w:rsidR="00230CE5">
        <w:rPr>
          <w:rFonts w:ascii="Times New Roman" w:hAnsi="Times New Roman" w:cs="Times New Roman"/>
          <w:i/>
          <w:color w:val="auto"/>
          <w:sz w:val="24"/>
          <w:szCs w:val="24"/>
        </w:rPr>
        <w:t>i</w:t>
      </w:r>
      <w:r w:rsidR="000D7269">
        <w:rPr>
          <w:rFonts w:ascii="Times New Roman" w:hAnsi="Times New Roman" w:cs="Times New Roman"/>
          <w:i/>
          <w:color w:val="auto"/>
          <w:sz w:val="24"/>
          <w:szCs w:val="24"/>
        </w:rPr>
        <w:t>s</w:t>
      </w:r>
    </w:p>
    <w:p w14:paraId="2308DF3B" w14:textId="77777777" w:rsidR="007B5972" w:rsidRPr="00523257" w:rsidRDefault="005C787C" w:rsidP="00523257">
      <w:pPr>
        <w:pStyle w:val="Heading4"/>
        <w:spacing w:before="0" w:line="480" w:lineRule="auto"/>
        <w:rPr>
          <w:rFonts w:ascii="Times New Roman" w:hAnsi="Times New Roman" w:cs="Times New Roman"/>
          <w:b w:val="0"/>
          <w:color w:val="auto"/>
          <w:sz w:val="24"/>
          <w:szCs w:val="24"/>
        </w:rPr>
      </w:pPr>
      <w:r w:rsidRPr="00523257">
        <w:rPr>
          <w:rFonts w:ascii="Times New Roman" w:hAnsi="Times New Roman" w:cs="Times New Roman"/>
          <w:b w:val="0"/>
          <w:color w:val="auto"/>
          <w:sz w:val="24"/>
          <w:szCs w:val="24"/>
        </w:rPr>
        <w:t>Movement correction</w:t>
      </w:r>
    </w:p>
    <w:p w14:paraId="141F4CA4" w14:textId="17CB7163" w:rsidR="00FE1B06" w:rsidRDefault="008F4EBE" w:rsidP="00523257">
      <w:pPr>
        <w:spacing w:after="0" w:line="480" w:lineRule="auto"/>
        <w:jc w:val="both"/>
        <w:rPr>
          <w:rFonts w:ascii="Times New Roman" w:hAnsi="Times New Roman" w:cs="Times New Roman"/>
          <w:sz w:val="24"/>
        </w:rPr>
      </w:pPr>
      <w:r w:rsidRPr="00523257">
        <w:rPr>
          <w:rFonts w:ascii="Times New Roman" w:hAnsi="Times New Roman" w:cs="Times New Roman"/>
          <w:sz w:val="24"/>
        </w:rPr>
        <w:t>Subjects were positioned supine with their transaxial planes parallel to the line intersecting the anterior-posterior commissure line. Head position was maintained with the help of individualized foam holders, monitored by video and was repositioned if movement was detected. Subjects were in a resting state with low light. Intrascan notes for participant’s movement were acquired during scanning.</w:t>
      </w:r>
      <w:r w:rsidR="00FE1B06" w:rsidRPr="00523257">
        <w:rPr>
          <w:rFonts w:ascii="Times New Roman" w:hAnsi="Times New Roman" w:cs="Times New Roman"/>
          <w:b/>
          <w:sz w:val="24"/>
        </w:rPr>
        <w:t xml:space="preserve"> </w:t>
      </w:r>
      <w:r w:rsidR="00962F01" w:rsidRPr="00523257">
        <w:rPr>
          <w:rFonts w:ascii="Times New Roman" w:hAnsi="Times New Roman" w:cs="Times New Roman"/>
          <w:sz w:val="24"/>
        </w:rPr>
        <w:t xml:space="preserve">We </w:t>
      </w:r>
      <w:r w:rsidR="00E44439">
        <w:rPr>
          <w:rFonts w:ascii="Times New Roman" w:hAnsi="Times New Roman" w:cs="Times New Roman"/>
          <w:sz w:val="24"/>
        </w:rPr>
        <w:t>applied</w:t>
      </w:r>
      <w:r w:rsidR="00E44439" w:rsidRPr="00523257">
        <w:rPr>
          <w:rFonts w:ascii="Times New Roman" w:hAnsi="Times New Roman" w:cs="Times New Roman"/>
          <w:sz w:val="24"/>
        </w:rPr>
        <w:t xml:space="preserve"> </w:t>
      </w:r>
      <w:r w:rsidR="00962F01" w:rsidRPr="00523257">
        <w:rPr>
          <w:rFonts w:ascii="Times New Roman" w:hAnsi="Times New Roman" w:cs="Times New Roman"/>
          <w:sz w:val="24"/>
        </w:rPr>
        <w:t>correction for movement using a frame-by-frame realignment procedure as previously described (</w:t>
      </w:r>
      <w:r w:rsidR="00962F01" w:rsidRPr="00585D8B">
        <w:rPr>
          <w:rFonts w:ascii="Times New Roman" w:hAnsi="Times New Roman" w:cs="Times New Roman"/>
          <w:sz w:val="24"/>
        </w:rPr>
        <w:t xml:space="preserve">Montgomery </w:t>
      </w:r>
      <w:r w:rsidR="00962F01" w:rsidRPr="00585D8B">
        <w:rPr>
          <w:rFonts w:ascii="Times New Roman" w:hAnsi="Times New Roman" w:cs="Times New Roman"/>
          <w:i/>
          <w:sz w:val="24"/>
        </w:rPr>
        <w:t>et al.,</w:t>
      </w:r>
      <w:r w:rsidR="00962F01" w:rsidRPr="00585D8B">
        <w:rPr>
          <w:rFonts w:ascii="Times New Roman" w:hAnsi="Times New Roman" w:cs="Times New Roman"/>
          <w:sz w:val="24"/>
        </w:rPr>
        <w:t xml:space="preserve"> 2006)</w:t>
      </w:r>
      <w:r w:rsidR="00962F01" w:rsidRPr="00523257">
        <w:rPr>
          <w:rFonts w:ascii="Times New Roman" w:hAnsi="Times New Roman" w:cs="Times New Roman"/>
          <w:sz w:val="24"/>
        </w:rPr>
        <w:t xml:space="preserve"> with in-house software (c-wave) implemented in Matlab 8.2 (The MathWorks Inc.).</w:t>
      </w:r>
      <w:r w:rsidR="00962F01" w:rsidRPr="00523257">
        <w:rPr>
          <w:rFonts w:ascii="Times New Roman" w:hAnsi="Times New Roman" w:cs="Times New Roman"/>
          <w:b/>
          <w:sz w:val="24"/>
        </w:rPr>
        <w:t xml:space="preserve"> </w:t>
      </w:r>
      <w:r w:rsidR="00AB7E27" w:rsidRPr="00523257">
        <w:rPr>
          <w:rFonts w:ascii="Times New Roman" w:hAnsi="Times New Roman" w:cs="Times New Roman"/>
          <w:sz w:val="24"/>
        </w:rPr>
        <w:t>A</w:t>
      </w:r>
      <w:r w:rsidR="00327ABF" w:rsidRPr="00523257">
        <w:rPr>
          <w:rFonts w:ascii="Times New Roman" w:hAnsi="Times New Roman" w:cs="Times New Roman"/>
          <w:sz w:val="24"/>
        </w:rPr>
        <w:t>ttenuated</w:t>
      </w:r>
      <w:r w:rsidR="000A2A92" w:rsidRPr="00523257">
        <w:rPr>
          <w:rFonts w:ascii="Times New Roman" w:hAnsi="Times New Roman" w:cs="Times New Roman"/>
          <w:sz w:val="24"/>
        </w:rPr>
        <w:t xml:space="preserve"> </w:t>
      </w:r>
      <w:r w:rsidR="00327ABF" w:rsidRPr="00523257">
        <w:rPr>
          <w:rFonts w:ascii="Times New Roman" w:hAnsi="Times New Roman" w:cs="Times New Roman"/>
          <w:sz w:val="24"/>
        </w:rPr>
        <w:t xml:space="preserve">corrected images were </w:t>
      </w:r>
      <w:r w:rsidR="00AB7E27" w:rsidRPr="00523257">
        <w:rPr>
          <w:rFonts w:ascii="Times New Roman" w:hAnsi="Times New Roman" w:cs="Times New Roman"/>
          <w:sz w:val="24"/>
        </w:rPr>
        <w:t xml:space="preserve">realigned using a mutual information algorithm </w:t>
      </w:r>
      <w:r w:rsidR="00AB7E27" w:rsidRPr="00585D8B">
        <w:rPr>
          <w:rFonts w:ascii="Times New Roman" w:hAnsi="Times New Roman" w:cs="Times New Roman"/>
          <w:sz w:val="24"/>
        </w:rPr>
        <w:t xml:space="preserve">(Studholme </w:t>
      </w:r>
      <w:r w:rsidR="00AB7E27" w:rsidRPr="00585D8B">
        <w:rPr>
          <w:rFonts w:ascii="Times New Roman" w:hAnsi="Times New Roman" w:cs="Times New Roman"/>
          <w:i/>
          <w:sz w:val="24"/>
        </w:rPr>
        <w:t>et al.,</w:t>
      </w:r>
      <w:r w:rsidR="00AB7E27" w:rsidRPr="00585D8B">
        <w:rPr>
          <w:rFonts w:ascii="Times New Roman" w:hAnsi="Times New Roman" w:cs="Times New Roman"/>
          <w:sz w:val="24"/>
        </w:rPr>
        <w:t xml:space="preserve"> 1997)</w:t>
      </w:r>
      <w:r w:rsidR="00AB7E27" w:rsidRPr="00523257">
        <w:rPr>
          <w:rFonts w:ascii="Times New Roman" w:hAnsi="Times New Roman" w:cs="Times New Roman"/>
          <w:sz w:val="24"/>
        </w:rPr>
        <w:t xml:space="preserve"> excluding the first</w:t>
      </w:r>
      <w:r w:rsidR="00327ABF" w:rsidRPr="00523257">
        <w:rPr>
          <w:rFonts w:ascii="Times New Roman" w:hAnsi="Times New Roman" w:cs="Times New Roman"/>
          <w:sz w:val="24"/>
        </w:rPr>
        <w:t xml:space="preserve"> seven </w:t>
      </w:r>
      <w:r w:rsidR="00AB7E27" w:rsidRPr="00523257">
        <w:rPr>
          <w:rFonts w:ascii="Times New Roman" w:hAnsi="Times New Roman" w:cs="Times New Roman"/>
          <w:sz w:val="24"/>
        </w:rPr>
        <w:t xml:space="preserve">frames </w:t>
      </w:r>
      <w:r w:rsidR="00327ABF" w:rsidRPr="00523257">
        <w:rPr>
          <w:rFonts w:ascii="Times New Roman" w:hAnsi="Times New Roman" w:cs="Times New Roman"/>
          <w:sz w:val="24"/>
        </w:rPr>
        <w:t>conta</w:t>
      </w:r>
      <w:r w:rsidR="00AB7E27" w:rsidRPr="00523257">
        <w:rPr>
          <w:rFonts w:ascii="Times New Roman" w:hAnsi="Times New Roman" w:cs="Times New Roman"/>
          <w:sz w:val="24"/>
        </w:rPr>
        <w:t xml:space="preserve">ining little information. Frame 17 was </w:t>
      </w:r>
      <w:r w:rsidR="00327ABF" w:rsidRPr="00523257">
        <w:rPr>
          <w:rFonts w:ascii="Times New Roman" w:hAnsi="Times New Roman" w:cs="Times New Roman"/>
          <w:sz w:val="24"/>
        </w:rPr>
        <w:t>chosen as t</w:t>
      </w:r>
      <w:r w:rsidR="00AB7E27" w:rsidRPr="00523257">
        <w:rPr>
          <w:rFonts w:ascii="Times New Roman" w:hAnsi="Times New Roman" w:cs="Times New Roman"/>
          <w:sz w:val="24"/>
        </w:rPr>
        <w:t>he reference frame because it</w:t>
      </w:r>
      <w:r w:rsidR="00327ABF" w:rsidRPr="00523257">
        <w:rPr>
          <w:rFonts w:ascii="Times New Roman" w:hAnsi="Times New Roman" w:cs="Times New Roman"/>
          <w:sz w:val="24"/>
        </w:rPr>
        <w:t xml:space="preserve"> offer</w:t>
      </w:r>
      <w:r w:rsidR="008073BD">
        <w:rPr>
          <w:rFonts w:ascii="Times New Roman" w:hAnsi="Times New Roman" w:cs="Times New Roman"/>
          <w:sz w:val="24"/>
        </w:rPr>
        <w:t>ed</w:t>
      </w:r>
      <w:r w:rsidR="00327ABF" w:rsidRPr="00523257">
        <w:rPr>
          <w:rFonts w:ascii="Times New Roman" w:hAnsi="Times New Roman" w:cs="Times New Roman"/>
          <w:sz w:val="24"/>
        </w:rPr>
        <w:t xml:space="preserve"> good signal-to-noise ratio. Frames</w:t>
      </w:r>
      <w:r w:rsidR="00AB7E27" w:rsidRPr="00523257">
        <w:rPr>
          <w:rFonts w:ascii="Times New Roman" w:hAnsi="Times New Roman" w:cs="Times New Roman"/>
          <w:sz w:val="24"/>
        </w:rPr>
        <w:t xml:space="preserve"> 8-26</w:t>
      </w:r>
      <w:r w:rsidR="00327ABF" w:rsidRPr="00523257">
        <w:rPr>
          <w:rFonts w:ascii="Times New Roman" w:hAnsi="Times New Roman" w:cs="Times New Roman"/>
          <w:sz w:val="24"/>
        </w:rPr>
        <w:t xml:space="preserve"> of the original time series were then resliced and</w:t>
      </w:r>
      <w:r w:rsidR="00AB7E27" w:rsidRPr="00523257">
        <w:rPr>
          <w:rFonts w:ascii="Times New Roman" w:hAnsi="Times New Roman" w:cs="Times New Roman"/>
          <w:sz w:val="24"/>
        </w:rPr>
        <w:t xml:space="preserve"> </w:t>
      </w:r>
      <w:r w:rsidR="00327ABF" w:rsidRPr="00523257">
        <w:rPr>
          <w:rFonts w:ascii="Times New Roman" w:hAnsi="Times New Roman" w:cs="Times New Roman"/>
          <w:sz w:val="24"/>
        </w:rPr>
        <w:t>reassembled into a movement-corrected dynamic scan. Decay-corrected time–activity curves were</w:t>
      </w:r>
      <w:r w:rsidR="000A2A92" w:rsidRPr="00523257">
        <w:rPr>
          <w:rFonts w:ascii="Times New Roman" w:hAnsi="Times New Roman" w:cs="Times New Roman"/>
          <w:sz w:val="24"/>
        </w:rPr>
        <w:t xml:space="preserve"> </w:t>
      </w:r>
      <w:r w:rsidR="00327ABF" w:rsidRPr="00523257">
        <w:rPr>
          <w:rFonts w:ascii="Times New Roman" w:hAnsi="Times New Roman" w:cs="Times New Roman"/>
          <w:sz w:val="24"/>
        </w:rPr>
        <w:t>derived and compared to those without movement correction. Amount and timing of any movement</w:t>
      </w:r>
      <w:r w:rsidR="000A2A92" w:rsidRPr="00523257">
        <w:rPr>
          <w:rFonts w:ascii="Times New Roman" w:hAnsi="Times New Roman" w:cs="Times New Roman"/>
          <w:sz w:val="24"/>
        </w:rPr>
        <w:t xml:space="preserve"> </w:t>
      </w:r>
      <w:r w:rsidR="00327ABF" w:rsidRPr="00523257">
        <w:rPr>
          <w:rFonts w:ascii="Times New Roman" w:hAnsi="Times New Roman" w:cs="Times New Roman"/>
          <w:sz w:val="24"/>
        </w:rPr>
        <w:t>were assessed graphically an</w:t>
      </w:r>
      <w:r w:rsidR="00C70E39" w:rsidRPr="00523257">
        <w:rPr>
          <w:rFonts w:ascii="Times New Roman" w:hAnsi="Times New Roman" w:cs="Times New Roman"/>
          <w:sz w:val="24"/>
        </w:rPr>
        <w:t>d compared with intrascan note</w:t>
      </w:r>
      <w:r w:rsidR="00327ABF" w:rsidRPr="00523257">
        <w:rPr>
          <w:rFonts w:ascii="Times New Roman" w:hAnsi="Times New Roman" w:cs="Times New Roman"/>
          <w:sz w:val="24"/>
        </w:rPr>
        <w:t>s.</w:t>
      </w:r>
    </w:p>
    <w:p w14:paraId="309A1C0F" w14:textId="77777777" w:rsidR="00FB6AF3" w:rsidRPr="00523257" w:rsidRDefault="00FB6AF3" w:rsidP="00523257">
      <w:pPr>
        <w:spacing w:after="0" w:line="480" w:lineRule="auto"/>
        <w:jc w:val="both"/>
        <w:rPr>
          <w:rFonts w:ascii="Times New Roman" w:hAnsi="Times New Roman" w:cs="Times New Roman"/>
          <w:i/>
          <w:sz w:val="24"/>
          <w:szCs w:val="24"/>
          <w:u w:val="single"/>
        </w:rPr>
      </w:pPr>
    </w:p>
    <w:p w14:paraId="47A5D740" w14:textId="77777777" w:rsidR="00C63673" w:rsidRPr="00523257" w:rsidRDefault="00C63673" w:rsidP="00523257">
      <w:pPr>
        <w:pStyle w:val="Heading4"/>
        <w:spacing w:before="0" w:line="480" w:lineRule="auto"/>
        <w:rPr>
          <w:rFonts w:ascii="Times New Roman" w:hAnsi="Times New Roman" w:cs="Times New Roman"/>
          <w:b w:val="0"/>
          <w:color w:val="auto"/>
          <w:sz w:val="24"/>
        </w:rPr>
      </w:pPr>
      <w:r w:rsidRPr="00523257">
        <w:rPr>
          <w:rFonts w:ascii="Times New Roman" w:hAnsi="Times New Roman" w:cs="Times New Roman"/>
          <w:b w:val="0"/>
          <w:color w:val="auto"/>
          <w:sz w:val="24"/>
        </w:rPr>
        <w:t xml:space="preserve">Parametric images </w:t>
      </w:r>
    </w:p>
    <w:p w14:paraId="5FAF0E62" w14:textId="03D81286" w:rsidR="00C63673" w:rsidRDefault="00645BEA" w:rsidP="00523257">
      <w:pPr>
        <w:spacing w:after="0" w:line="480" w:lineRule="auto"/>
        <w:jc w:val="both"/>
        <w:rPr>
          <w:rFonts w:ascii="Times New Roman" w:hAnsi="Times New Roman" w:cs="Times New Roman"/>
          <w:sz w:val="24"/>
        </w:rPr>
      </w:pPr>
      <w:r>
        <w:rPr>
          <w:rFonts w:ascii="Times New Roman" w:hAnsi="Times New Roman" w:cs="Times New Roman"/>
          <w:sz w:val="24"/>
        </w:rPr>
        <w:t>First, i</w:t>
      </w:r>
      <w:r w:rsidR="005D6E18" w:rsidRPr="00523257">
        <w:rPr>
          <w:rFonts w:ascii="Times New Roman" w:hAnsi="Times New Roman" w:cs="Times New Roman"/>
          <w:sz w:val="24"/>
        </w:rPr>
        <w:t>ntegrated (ADD) image</w:t>
      </w:r>
      <w:r w:rsidR="005D6E18">
        <w:rPr>
          <w:rFonts w:ascii="Times New Roman" w:hAnsi="Times New Roman" w:cs="Times New Roman"/>
          <w:sz w:val="24"/>
        </w:rPr>
        <w:t>s were</w:t>
      </w:r>
      <w:r w:rsidR="005D6E18" w:rsidRPr="00523257">
        <w:rPr>
          <w:rFonts w:ascii="Times New Roman" w:hAnsi="Times New Roman" w:cs="Times New Roman"/>
          <w:sz w:val="24"/>
        </w:rPr>
        <w:t xml:space="preserve"> created by summing the time series of  [</w:t>
      </w:r>
      <w:r w:rsidR="005D6E18" w:rsidRPr="00523257">
        <w:rPr>
          <w:rFonts w:ascii="Times New Roman" w:hAnsi="Times New Roman" w:cs="Times New Roman"/>
          <w:sz w:val="24"/>
          <w:vertAlign w:val="superscript"/>
        </w:rPr>
        <w:t>11</w:t>
      </w:r>
      <w:r w:rsidR="005D6E18" w:rsidRPr="00523257">
        <w:rPr>
          <w:rFonts w:ascii="Times New Roman" w:hAnsi="Times New Roman" w:cs="Times New Roman"/>
          <w:sz w:val="24"/>
        </w:rPr>
        <w:t>C]IMA107 uptake scans collected 0–90 min after tracer administration.</w:t>
      </w:r>
      <w:r w:rsidR="005D6E18">
        <w:rPr>
          <w:rFonts w:ascii="Times New Roman" w:hAnsi="Times New Roman" w:cs="Times New Roman"/>
          <w:sz w:val="24"/>
        </w:rPr>
        <w:t xml:space="preserve"> </w:t>
      </w:r>
      <w:r>
        <w:rPr>
          <w:rFonts w:ascii="Times New Roman" w:hAnsi="Times New Roman" w:cs="Times New Roman"/>
          <w:sz w:val="24"/>
        </w:rPr>
        <w:t>Then, p</w:t>
      </w:r>
      <w:r w:rsidR="00C63673" w:rsidRPr="00523257">
        <w:rPr>
          <w:rFonts w:ascii="Times New Roman" w:hAnsi="Times New Roman" w:cs="Times New Roman"/>
          <w:sz w:val="24"/>
        </w:rPr>
        <w:t>arametric images of</w:t>
      </w:r>
      <w:r w:rsidR="0077062D" w:rsidRPr="00523257">
        <w:rPr>
          <w:rFonts w:ascii="Times New Roman" w:hAnsi="Times New Roman" w:cs="Times New Roman"/>
          <w:sz w:val="24"/>
        </w:rPr>
        <w:t xml:space="preserve"> </w:t>
      </w:r>
      <w:r w:rsidR="00C63673" w:rsidRPr="00523257">
        <w:rPr>
          <w:rFonts w:ascii="Times New Roman" w:hAnsi="Times New Roman" w:cs="Times New Roman"/>
          <w:sz w:val="24"/>
        </w:rPr>
        <w:t>[</w:t>
      </w:r>
      <w:r w:rsidR="00C63673" w:rsidRPr="00523257">
        <w:rPr>
          <w:rFonts w:ascii="Times New Roman" w:hAnsi="Times New Roman" w:cs="Times New Roman"/>
          <w:sz w:val="24"/>
          <w:vertAlign w:val="superscript"/>
        </w:rPr>
        <w:t>11</w:t>
      </w:r>
      <w:r w:rsidR="00C63673" w:rsidRPr="00523257">
        <w:rPr>
          <w:rFonts w:ascii="Times New Roman" w:hAnsi="Times New Roman" w:cs="Times New Roman"/>
          <w:sz w:val="24"/>
        </w:rPr>
        <w:t xml:space="preserve">C]IMA107 </w:t>
      </w:r>
      <w:r w:rsidR="0077062D" w:rsidRPr="00523257">
        <w:rPr>
          <w:rFonts w:ascii="Times New Roman" w:hAnsi="Times New Roman" w:cs="Times New Roman"/>
          <w:sz w:val="24"/>
        </w:rPr>
        <w:t>non-displaceable binding</w:t>
      </w:r>
      <w:r w:rsidR="00FB6AF3">
        <w:rPr>
          <w:rFonts w:ascii="Times New Roman" w:hAnsi="Times New Roman" w:cs="Times New Roman"/>
          <w:sz w:val="24"/>
        </w:rPr>
        <w:t xml:space="preserve"> potential</w:t>
      </w:r>
      <w:r w:rsidR="0077062D" w:rsidRPr="00523257">
        <w:rPr>
          <w:rFonts w:ascii="Times New Roman" w:hAnsi="Times New Roman" w:cs="Times New Roman"/>
          <w:sz w:val="24"/>
        </w:rPr>
        <w:t xml:space="preserve"> (</w:t>
      </w:r>
      <w:r w:rsidR="00C63673" w:rsidRPr="00523257">
        <w:rPr>
          <w:rFonts w:ascii="Times New Roman" w:hAnsi="Times New Roman" w:cs="Times New Roman"/>
          <w:sz w:val="24"/>
        </w:rPr>
        <w:t>BP</w:t>
      </w:r>
      <w:r w:rsidR="00C63673" w:rsidRPr="00523257">
        <w:rPr>
          <w:rFonts w:ascii="Times New Roman" w:hAnsi="Times New Roman" w:cs="Times New Roman"/>
          <w:sz w:val="24"/>
          <w:vertAlign w:val="subscript"/>
        </w:rPr>
        <w:t>ND</w:t>
      </w:r>
      <w:r w:rsidR="0077062D" w:rsidRPr="00523257">
        <w:rPr>
          <w:rFonts w:ascii="Times New Roman" w:hAnsi="Times New Roman" w:cs="Times New Roman"/>
          <w:sz w:val="24"/>
        </w:rPr>
        <w:t>)</w:t>
      </w:r>
      <w:r w:rsidR="00C63673" w:rsidRPr="00523257">
        <w:rPr>
          <w:rFonts w:ascii="Times New Roman" w:hAnsi="Times New Roman" w:cs="Times New Roman"/>
          <w:sz w:val="24"/>
        </w:rPr>
        <w:t xml:space="preserve"> were generated using a basis function implementation of the simplified reference tissue model, with the cerebellum as the reference tissue for nonspecific binding using an in-house software (c-wave) implemented in Matlab 8.2 </w:t>
      </w:r>
      <w:r w:rsidR="00C63673" w:rsidRPr="00585D8B">
        <w:rPr>
          <w:rFonts w:ascii="Times New Roman" w:hAnsi="Times New Roman" w:cs="Times New Roman"/>
          <w:sz w:val="24"/>
        </w:rPr>
        <w:t>(</w:t>
      </w:r>
      <w:r w:rsidR="006301D4" w:rsidRPr="00585D8B">
        <w:rPr>
          <w:rFonts w:ascii="Times New Roman" w:hAnsi="Times New Roman" w:cs="Times New Roman"/>
          <w:sz w:val="24"/>
        </w:rPr>
        <w:t>Gunn et al., 1997)</w:t>
      </w:r>
      <w:r w:rsidR="00C63673" w:rsidRPr="00585D8B">
        <w:rPr>
          <w:rFonts w:ascii="Times New Roman" w:hAnsi="Times New Roman" w:cs="Times New Roman"/>
          <w:sz w:val="24"/>
        </w:rPr>
        <w:t>. Previous</w:t>
      </w:r>
      <w:r w:rsidR="00C63673" w:rsidRPr="00523257">
        <w:rPr>
          <w:rFonts w:ascii="Times New Roman" w:hAnsi="Times New Roman" w:cs="Times New Roman"/>
          <w:sz w:val="24"/>
        </w:rPr>
        <w:t xml:space="preserve"> PET studies have shown lower PDE-10A uptake in the </w:t>
      </w:r>
      <w:r w:rsidR="00C63673" w:rsidRPr="00585D8B">
        <w:rPr>
          <w:rFonts w:ascii="Times New Roman" w:hAnsi="Times New Roman" w:cs="Times New Roman"/>
          <w:sz w:val="24"/>
        </w:rPr>
        <w:t>cerebellum (</w:t>
      </w:r>
      <w:r w:rsidR="009867E8" w:rsidRPr="00585D8B">
        <w:rPr>
          <w:rFonts w:ascii="Times New Roman" w:hAnsi="Times New Roman" w:cs="Times New Roman"/>
          <w:sz w:val="24"/>
        </w:rPr>
        <w:t xml:space="preserve">Plisson </w:t>
      </w:r>
      <w:r w:rsidR="009867E8" w:rsidRPr="00585D8B">
        <w:rPr>
          <w:rFonts w:ascii="Times New Roman" w:hAnsi="Times New Roman" w:cs="Times New Roman"/>
          <w:i/>
          <w:sz w:val="24"/>
        </w:rPr>
        <w:t>et al.,</w:t>
      </w:r>
      <w:r w:rsidR="009867E8" w:rsidRPr="00585D8B">
        <w:rPr>
          <w:rFonts w:ascii="Times New Roman" w:hAnsi="Times New Roman" w:cs="Times New Roman"/>
          <w:sz w:val="24"/>
        </w:rPr>
        <w:t xml:space="preserve"> </w:t>
      </w:r>
      <w:r w:rsidR="002D43E3" w:rsidRPr="00585D8B">
        <w:rPr>
          <w:rFonts w:ascii="Times New Roman" w:hAnsi="Times New Roman" w:cs="Times New Roman"/>
          <w:sz w:val="24"/>
        </w:rPr>
        <w:t xml:space="preserve">2011, 2014; Barret </w:t>
      </w:r>
      <w:r w:rsidR="002D43E3" w:rsidRPr="00585D8B">
        <w:rPr>
          <w:rFonts w:ascii="Times New Roman" w:hAnsi="Times New Roman" w:cs="Times New Roman"/>
          <w:i/>
          <w:sz w:val="24"/>
        </w:rPr>
        <w:t>et al.,</w:t>
      </w:r>
      <w:r w:rsidR="002D43E3" w:rsidRPr="00585D8B">
        <w:rPr>
          <w:rFonts w:ascii="Times New Roman" w:hAnsi="Times New Roman" w:cs="Times New Roman"/>
          <w:sz w:val="24"/>
        </w:rPr>
        <w:t xml:space="preserve"> 2014</w:t>
      </w:r>
      <w:r w:rsidR="00C63673" w:rsidRPr="00585D8B">
        <w:rPr>
          <w:rFonts w:ascii="Times New Roman" w:hAnsi="Times New Roman" w:cs="Times New Roman"/>
          <w:sz w:val="24"/>
        </w:rPr>
        <w:t xml:space="preserve">) and </w:t>
      </w:r>
      <w:r w:rsidR="00FA215B" w:rsidRPr="00585D8B">
        <w:rPr>
          <w:rFonts w:ascii="Times New Roman" w:hAnsi="Times New Roman" w:cs="Times New Roman"/>
          <w:sz w:val="24"/>
        </w:rPr>
        <w:t xml:space="preserve">a </w:t>
      </w:r>
      <w:r w:rsidR="0077062D" w:rsidRPr="00585D8B">
        <w:rPr>
          <w:rFonts w:ascii="Times New Roman" w:hAnsi="Times New Roman" w:cs="Times New Roman"/>
          <w:sz w:val="24"/>
        </w:rPr>
        <w:t>blocking study with selective</w:t>
      </w:r>
      <w:r w:rsidR="0077062D" w:rsidRPr="00523257">
        <w:rPr>
          <w:rFonts w:ascii="Times New Roman" w:hAnsi="Times New Roman" w:cs="Times New Roman"/>
          <w:sz w:val="24"/>
        </w:rPr>
        <w:t xml:space="preserve"> PDE-10A inhibitors has shown no </w:t>
      </w:r>
      <w:r w:rsidR="003175CD">
        <w:rPr>
          <w:rFonts w:ascii="Times New Roman" w:hAnsi="Times New Roman" w:cs="Times New Roman"/>
          <w:sz w:val="24"/>
        </w:rPr>
        <w:t>changes</w:t>
      </w:r>
      <w:r w:rsidR="0077062D" w:rsidRPr="00523257">
        <w:rPr>
          <w:rFonts w:ascii="Times New Roman" w:hAnsi="Times New Roman" w:cs="Times New Roman"/>
          <w:sz w:val="24"/>
        </w:rPr>
        <w:t xml:space="preserve"> </w:t>
      </w:r>
      <w:r w:rsidR="003A6504">
        <w:rPr>
          <w:rFonts w:ascii="Times New Roman" w:hAnsi="Times New Roman" w:cs="Times New Roman"/>
          <w:sz w:val="24"/>
        </w:rPr>
        <w:t>in cerebellar</w:t>
      </w:r>
      <w:r w:rsidR="003A6504" w:rsidRPr="00523257">
        <w:rPr>
          <w:rFonts w:ascii="Times New Roman" w:hAnsi="Times New Roman" w:cs="Times New Roman"/>
          <w:sz w:val="24"/>
        </w:rPr>
        <w:t xml:space="preserve"> </w:t>
      </w:r>
      <w:r w:rsidR="00C63673" w:rsidRPr="00523257">
        <w:rPr>
          <w:rFonts w:ascii="Times New Roman" w:hAnsi="Times New Roman" w:cs="Times New Roman"/>
          <w:sz w:val="24"/>
        </w:rPr>
        <w:t>[</w:t>
      </w:r>
      <w:r w:rsidR="00C63673" w:rsidRPr="00523257">
        <w:rPr>
          <w:rFonts w:ascii="Times New Roman" w:hAnsi="Times New Roman" w:cs="Times New Roman"/>
          <w:sz w:val="24"/>
          <w:vertAlign w:val="superscript"/>
        </w:rPr>
        <w:t>11</w:t>
      </w:r>
      <w:r w:rsidR="00C63673" w:rsidRPr="00523257">
        <w:rPr>
          <w:rFonts w:ascii="Times New Roman" w:hAnsi="Times New Roman" w:cs="Times New Roman"/>
          <w:sz w:val="24"/>
        </w:rPr>
        <w:t>C]IMA107 binding (Imanova internal data), confirming the suitability of the cerebellum as a reference region for the determination of the regional estimation of BP</w:t>
      </w:r>
      <w:r w:rsidR="00C63673" w:rsidRPr="00523257">
        <w:rPr>
          <w:rFonts w:ascii="Times New Roman" w:hAnsi="Times New Roman" w:cs="Times New Roman"/>
          <w:sz w:val="24"/>
          <w:vertAlign w:val="subscript"/>
        </w:rPr>
        <w:t>ND</w:t>
      </w:r>
      <w:r w:rsidR="00C63673" w:rsidRPr="00523257">
        <w:rPr>
          <w:rFonts w:ascii="Times New Roman" w:hAnsi="Times New Roman" w:cs="Times New Roman"/>
          <w:sz w:val="24"/>
        </w:rPr>
        <w:t>.</w:t>
      </w:r>
      <w:r w:rsidR="000B158D" w:rsidRPr="00523257">
        <w:rPr>
          <w:rFonts w:ascii="Arial Unicode MS" w:eastAsia="Arial Unicode MS" w:cs="Arial Unicode MS"/>
          <w:color w:val="232323"/>
          <w:sz w:val="26"/>
          <w:szCs w:val="26"/>
          <w:lang w:eastAsia="en-US"/>
        </w:rPr>
        <w:t xml:space="preserve"> </w:t>
      </w:r>
    </w:p>
    <w:p w14:paraId="1107E907" w14:textId="77777777" w:rsidR="00613216" w:rsidRPr="00523257" w:rsidRDefault="00613216" w:rsidP="00523257">
      <w:pPr>
        <w:spacing w:after="0" w:line="480" w:lineRule="auto"/>
        <w:jc w:val="both"/>
        <w:rPr>
          <w:rFonts w:ascii="Times New Roman" w:hAnsi="Times New Roman" w:cs="Times New Roman"/>
          <w:sz w:val="24"/>
        </w:rPr>
      </w:pPr>
    </w:p>
    <w:p w14:paraId="6DE4B9F5" w14:textId="02A04438" w:rsidR="000D2A85" w:rsidRPr="00523257" w:rsidRDefault="00F81A40" w:rsidP="00523257">
      <w:pPr>
        <w:pStyle w:val="Heading4"/>
        <w:spacing w:before="0" w:line="480" w:lineRule="auto"/>
        <w:rPr>
          <w:rFonts w:ascii="Times New Roman" w:hAnsi="Times New Roman" w:cs="Times New Roman"/>
          <w:b w:val="0"/>
          <w:color w:val="auto"/>
          <w:sz w:val="24"/>
        </w:rPr>
      </w:pPr>
      <w:r w:rsidRPr="00523257">
        <w:rPr>
          <w:rFonts w:ascii="Times New Roman" w:hAnsi="Times New Roman" w:cs="Times New Roman"/>
          <w:b w:val="0"/>
          <w:color w:val="auto"/>
          <w:sz w:val="24"/>
        </w:rPr>
        <w:t xml:space="preserve">ROI-based </w:t>
      </w:r>
      <w:r w:rsidR="000D2A85" w:rsidRPr="00523257">
        <w:rPr>
          <w:rFonts w:ascii="Times New Roman" w:hAnsi="Times New Roman" w:cs="Times New Roman"/>
          <w:b w:val="0"/>
          <w:color w:val="auto"/>
          <w:sz w:val="24"/>
        </w:rPr>
        <w:t>analys</w:t>
      </w:r>
      <w:r w:rsidR="00230CE5">
        <w:rPr>
          <w:rFonts w:ascii="Times New Roman" w:hAnsi="Times New Roman" w:cs="Times New Roman"/>
          <w:b w:val="0"/>
          <w:color w:val="auto"/>
          <w:sz w:val="24"/>
        </w:rPr>
        <w:t>i</w:t>
      </w:r>
      <w:r w:rsidR="00613216">
        <w:rPr>
          <w:rFonts w:ascii="Times New Roman" w:hAnsi="Times New Roman" w:cs="Times New Roman"/>
          <w:b w:val="0"/>
          <w:color w:val="auto"/>
          <w:sz w:val="24"/>
        </w:rPr>
        <w:t>s</w:t>
      </w:r>
    </w:p>
    <w:p w14:paraId="24E98F1F" w14:textId="348FA57A" w:rsidR="008F4EBE" w:rsidRDefault="00C63673" w:rsidP="00523257">
      <w:pPr>
        <w:spacing w:after="0" w:line="480" w:lineRule="auto"/>
        <w:jc w:val="both"/>
        <w:rPr>
          <w:rFonts w:ascii="Times New Roman" w:hAnsi="Times New Roman" w:cs="Times New Roman"/>
          <w:sz w:val="24"/>
        </w:rPr>
      </w:pPr>
      <w:r w:rsidRPr="00523257">
        <w:rPr>
          <w:rFonts w:ascii="Times New Roman" w:hAnsi="Times New Roman" w:cs="Times New Roman"/>
          <w:sz w:val="24"/>
        </w:rPr>
        <w:t xml:space="preserve">To facilitate anatomical delineation of ROIs, PET images were anatomically co-registered and resliced to the corresponding volumetric FLAWS and FGATIR MR images </w:t>
      </w:r>
      <w:r w:rsidR="00BA7083" w:rsidRPr="00523257">
        <w:rPr>
          <w:rFonts w:ascii="Times New Roman" w:hAnsi="Times New Roman" w:cs="Times New Roman"/>
          <w:sz w:val="24"/>
        </w:rPr>
        <w:t xml:space="preserve">and spatially normalized into the T1-weighted Montreal Neurologic Institute (MNI) 152 template </w:t>
      </w:r>
      <w:r w:rsidRPr="00523257">
        <w:rPr>
          <w:rFonts w:ascii="Times New Roman" w:hAnsi="Times New Roman" w:cs="Times New Roman"/>
          <w:sz w:val="24"/>
        </w:rPr>
        <w:t xml:space="preserve">using the Mutual Information Registration algorithm in </w:t>
      </w:r>
      <w:r w:rsidR="00DF13DC">
        <w:rPr>
          <w:rFonts w:ascii="Times New Roman" w:hAnsi="Times New Roman" w:cs="Times New Roman"/>
          <w:sz w:val="24"/>
        </w:rPr>
        <w:t>Statistical Parametric Mapping version 8 (</w:t>
      </w:r>
      <w:r w:rsidRPr="00523257">
        <w:rPr>
          <w:rFonts w:ascii="Times New Roman" w:hAnsi="Times New Roman" w:cs="Times New Roman"/>
          <w:sz w:val="24"/>
        </w:rPr>
        <w:t>SPM8</w:t>
      </w:r>
      <w:r w:rsidR="00DF13DC">
        <w:rPr>
          <w:rFonts w:ascii="Times New Roman" w:hAnsi="Times New Roman" w:cs="Times New Roman"/>
          <w:sz w:val="24"/>
        </w:rPr>
        <w:t>)</w:t>
      </w:r>
      <w:r w:rsidRPr="00523257">
        <w:rPr>
          <w:rFonts w:ascii="Times New Roman" w:hAnsi="Times New Roman" w:cs="Times New Roman"/>
          <w:sz w:val="24"/>
        </w:rPr>
        <w:t xml:space="preserve"> software package implemented in Matlab 8.2. ROIs were delineated manually on the co-registered MRIs using ANALYZE version 11 (Mayo Foundation) medical imaging software package by the assessor who was blinded to groups allocation. </w:t>
      </w:r>
      <w:r w:rsidR="00BA7083" w:rsidRPr="00523257">
        <w:rPr>
          <w:rFonts w:ascii="Times New Roman" w:hAnsi="Times New Roman" w:cs="Times New Roman"/>
          <w:sz w:val="24"/>
        </w:rPr>
        <w:t xml:space="preserve">We manually delineated basal ganglia structures due to the </w:t>
      </w:r>
      <w:r w:rsidR="008C5C8C">
        <w:rPr>
          <w:rFonts w:ascii="Times New Roman" w:hAnsi="Times New Roman" w:cs="Times New Roman"/>
          <w:sz w:val="24"/>
        </w:rPr>
        <w:t>modest</w:t>
      </w:r>
      <w:r w:rsidR="008C5C8C" w:rsidRPr="00523257">
        <w:rPr>
          <w:rFonts w:ascii="Times New Roman" w:hAnsi="Times New Roman" w:cs="Times New Roman"/>
          <w:sz w:val="24"/>
        </w:rPr>
        <w:t xml:space="preserve"> </w:t>
      </w:r>
      <w:r w:rsidR="00BA7083" w:rsidRPr="00523257">
        <w:rPr>
          <w:rFonts w:ascii="Times New Roman" w:hAnsi="Times New Roman" w:cs="Times New Roman"/>
          <w:sz w:val="24"/>
        </w:rPr>
        <w:t>performance of a</w:t>
      </w:r>
      <w:r w:rsidR="00BA7083" w:rsidRPr="00932158">
        <w:rPr>
          <w:rFonts w:ascii="Times New Roman" w:hAnsi="Times New Roman" w:cs="Times New Roman"/>
          <w:sz w:val="24"/>
        </w:rPr>
        <w:t>utomated parcellation techniques on structures such as the substantia nigra</w:t>
      </w:r>
      <w:r w:rsidR="00DF58A5">
        <w:rPr>
          <w:rFonts w:ascii="Times New Roman" w:hAnsi="Times New Roman" w:cs="Times New Roman"/>
          <w:sz w:val="24"/>
        </w:rPr>
        <w:t xml:space="preserve">, which have </w:t>
      </w:r>
      <w:r w:rsidR="00BA7083" w:rsidRPr="00932158">
        <w:rPr>
          <w:rFonts w:ascii="Times New Roman" w:hAnsi="Times New Roman" w:cs="Times New Roman"/>
          <w:sz w:val="24"/>
        </w:rPr>
        <w:t xml:space="preserve">poor contrast </w:t>
      </w:r>
      <w:r w:rsidR="00BA7083" w:rsidRPr="001077B1">
        <w:rPr>
          <w:rFonts w:ascii="Times New Roman" w:hAnsi="Times New Roman" w:cs="Times New Roman"/>
          <w:sz w:val="24"/>
        </w:rPr>
        <w:t>on structural T1</w:t>
      </w:r>
      <w:r w:rsidR="00BA7083" w:rsidRPr="00EA64F4">
        <w:rPr>
          <w:rFonts w:ascii="Times New Roman" w:hAnsi="Times New Roman" w:cs="Times New Roman"/>
          <w:sz w:val="24"/>
        </w:rPr>
        <w:t xml:space="preserve">-weighted MR images. To compensate for this, we acquired state-of-the-art FGATIR and FLAWS MRI </w:t>
      </w:r>
      <w:r w:rsidR="000F7803">
        <w:rPr>
          <w:rFonts w:ascii="Times New Roman" w:hAnsi="Times New Roman" w:cs="Times New Roman"/>
          <w:sz w:val="24"/>
        </w:rPr>
        <w:t xml:space="preserve">sequences </w:t>
      </w:r>
      <w:r w:rsidR="00BA7083" w:rsidRPr="00EA64F4">
        <w:rPr>
          <w:rFonts w:ascii="Times New Roman" w:hAnsi="Times New Roman" w:cs="Times New Roman"/>
          <w:sz w:val="24"/>
        </w:rPr>
        <w:t xml:space="preserve">for each individual, which use T1-nulling to minimise white matter signal and, by improving contrast, increase the definition of basal ganglia structures. </w:t>
      </w:r>
      <w:r w:rsidR="00BA7083" w:rsidRPr="004E4A1F">
        <w:rPr>
          <w:rFonts w:ascii="Times New Roman" w:hAnsi="Times New Roman" w:cs="Times New Roman"/>
          <w:sz w:val="24"/>
        </w:rPr>
        <w:t xml:space="preserve">We </w:t>
      </w:r>
      <w:r w:rsidR="007C3BFB" w:rsidRPr="00324BA9">
        <w:rPr>
          <w:rFonts w:ascii="Times New Roman" w:hAnsi="Times New Roman" w:cs="Times New Roman"/>
          <w:sz w:val="24"/>
        </w:rPr>
        <w:t>have then used</w:t>
      </w:r>
      <w:r w:rsidR="00BA7083" w:rsidRPr="00375142">
        <w:rPr>
          <w:rFonts w:ascii="Times New Roman" w:hAnsi="Times New Roman" w:cs="Times New Roman"/>
          <w:sz w:val="24"/>
        </w:rPr>
        <w:t xml:space="preserve"> a reliable, robust and repeatable technique for manual d</w:t>
      </w:r>
      <w:r w:rsidR="00BA7083" w:rsidRPr="00641CD3">
        <w:rPr>
          <w:rFonts w:ascii="Times New Roman" w:hAnsi="Times New Roman" w:cs="Times New Roman"/>
          <w:sz w:val="24"/>
        </w:rPr>
        <w:t xml:space="preserve">elineation of basal ganglia structures </w:t>
      </w:r>
      <w:r w:rsidR="00BA7083" w:rsidRPr="00523257">
        <w:rPr>
          <w:rFonts w:ascii="Times New Roman" w:hAnsi="Times New Roman" w:cs="Times New Roman"/>
          <w:sz w:val="24"/>
        </w:rPr>
        <w:t>(</w:t>
      </w:r>
      <w:r w:rsidR="00BA7083" w:rsidRPr="00585D8B">
        <w:rPr>
          <w:rFonts w:ascii="Times New Roman" w:hAnsi="Times New Roman" w:cs="Times New Roman"/>
          <w:sz w:val="24"/>
        </w:rPr>
        <w:t xml:space="preserve">Tziortzi </w:t>
      </w:r>
      <w:r w:rsidR="00BA7083" w:rsidRPr="00585D8B">
        <w:rPr>
          <w:rFonts w:ascii="Times New Roman" w:hAnsi="Times New Roman" w:cs="Times New Roman"/>
          <w:i/>
          <w:sz w:val="24"/>
        </w:rPr>
        <w:t>et al.,</w:t>
      </w:r>
      <w:r w:rsidR="00BA7083" w:rsidRPr="00585D8B">
        <w:rPr>
          <w:rFonts w:ascii="Times New Roman" w:hAnsi="Times New Roman" w:cs="Times New Roman"/>
          <w:sz w:val="24"/>
        </w:rPr>
        <w:t xml:space="preserve"> 2011).</w:t>
      </w:r>
      <w:r w:rsidR="00BA7083" w:rsidRPr="00932158">
        <w:rPr>
          <w:rFonts w:ascii="Times New Roman" w:hAnsi="Times New Roman" w:cs="Times New Roman"/>
          <w:sz w:val="24"/>
        </w:rPr>
        <w:t xml:space="preserve"> </w:t>
      </w:r>
      <w:r w:rsidR="007C3BFB" w:rsidRPr="001077B1">
        <w:rPr>
          <w:rFonts w:ascii="Times New Roman" w:hAnsi="Times New Roman" w:cs="Times New Roman"/>
          <w:sz w:val="24"/>
        </w:rPr>
        <w:t xml:space="preserve">This technique has shown </w:t>
      </w:r>
      <w:r w:rsidR="007C3BFB" w:rsidRPr="00523257">
        <w:rPr>
          <w:rFonts w:ascii="Times New Roman" w:hAnsi="Times New Roman" w:cs="Times New Roman"/>
          <w:sz w:val="24"/>
        </w:rPr>
        <w:t>low BP</w:t>
      </w:r>
      <w:r w:rsidR="007C3BFB" w:rsidRPr="00523257">
        <w:rPr>
          <w:rFonts w:ascii="Times New Roman" w:hAnsi="Times New Roman" w:cs="Times New Roman"/>
          <w:sz w:val="24"/>
          <w:vertAlign w:val="subscript"/>
        </w:rPr>
        <w:t xml:space="preserve">ND </w:t>
      </w:r>
      <w:r w:rsidR="007C3BFB" w:rsidRPr="00523257">
        <w:rPr>
          <w:rFonts w:ascii="Times New Roman" w:hAnsi="Times New Roman" w:cs="Times New Roman"/>
          <w:sz w:val="24"/>
        </w:rPr>
        <w:t xml:space="preserve">variability for both the intra- and inter-operator comparisons and good level of agreement </w:t>
      </w:r>
      <w:r w:rsidR="001C163D" w:rsidRPr="00523257">
        <w:rPr>
          <w:rFonts w:ascii="Times New Roman" w:hAnsi="Times New Roman" w:cs="Times New Roman"/>
          <w:sz w:val="24"/>
        </w:rPr>
        <w:t xml:space="preserve">with </w:t>
      </w:r>
      <w:r w:rsidR="007C3BFB" w:rsidRPr="00523257">
        <w:rPr>
          <w:rFonts w:ascii="Times New Roman" w:hAnsi="Times New Roman" w:cs="Times New Roman"/>
          <w:sz w:val="24"/>
        </w:rPr>
        <w:t>automatically derived ROIs (</w:t>
      </w:r>
      <w:r w:rsidR="007C3BFB" w:rsidRPr="00585D8B">
        <w:rPr>
          <w:rFonts w:ascii="Times New Roman" w:hAnsi="Times New Roman" w:cs="Times New Roman"/>
          <w:sz w:val="24"/>
        </w:rPr>
        <w:t xml:space="preserve">Tziortzi </w:t>
      </w:r>
      <w:r w:rsidR="007C3BFB" w:rsidRPr="00585D8B">
        <w:rPr>
          <w:rFonts w:ascii="Times New Roman" w:hAnsi="Times New Roman" w:cs="Times New Roman"/>
          <w:i/>
          <w:sz w:val="24"/>
        </w:rPr>
        <w:t>et al.,</w:t>
      </w:r>
      <w:r w:rsidR="007C3BFB" w:rsidRPr="00585D8B">
        <w:rPr>
          <w:rFonts w:ascii="Times New Roman" w:hAnsi="Times New Roman" w:cs="Times New Roman"/>
          <w:sz w:val="24"/>
        </w:rPr>
        <w:t xml:space="preserve"> 2011). </w:t>
      </w:r>
      <w:r w:rsidRPr="00585D8B">
        <w:rPr>
          <w:rFonts w:ascii="Times New Roman" w:hAnsi="Times New Roman" w:cs="Times New Roman"/>
          <w:sz w:val="24"/>
        </w:rPr>
        <w:t>ROIs</w:t>
      </w:r>
      <w:r w:rsidRPr="00523257">
        <w:rPr>
          <w:rFonts w:ascii="Times New Roman" w:hAnsi="Times New Roman" w:cs="Times New Roman"/>
          <w:sz w:val="24"/>
        </w:rPr>
        <w:t xml:space="preserve"> included caudate, putamen, ventral striatum, globus pallidus</w:t>
      </w:r>
      <w:r w:rsidR="000855E1">
        <w:rPr>
          <w:rFonts w:ascii="Times New Roman" w:hAnsi="Times New Roman" w:cs="Times New Roman"/>
          <w:sz w:val="24"/>
        </w:rPr>
        <w:t xml:space="preserve"> (external and internal segment)</w:t>
      </w:r>
      <w:r w:rsidRPr="00523257">
        <w:rPr>
          <w:rFonts w:ascii="Times New Roman" w:hAnsi="Times New Roman" w:cs="Times New Roman"/>
          <w:sz w:val="24"/>
        </w:rPr>
        <w:t xml:space="preserve">, substantia nigra and motor thalamic nuclei. These brain regions express PDE-10A </w:t>
      </w:r>
      <w:r w:rsidR="00FD55CE">
        <w:rPr>
          <w:rFonts w:ascii="Times New Roman" w:hAnsi="Times New Roman" w:cs="Times New Roman"/>
          <w:sz w:val="24"/>
        </w:rPr>
        <w:t>to a varying degree</w:t>
      </w:r>
      <w:r w:rsidRPr="00523257">
        <w:rPr>
          <w:rFonts w:ascii="Times New Roman" w:hAnsi="Times New Roman" w:cs="Times New Roman"/>
          <w:sz w:val="24"/>
        </w:rPr>
        <w:t xml:space="preserve"> (</w:t>
      </w:r>
      <w:r w:rsidR="006945C0" w:rsidRPr="00585D8B">
        <w:rPr>
          <w:rFonts w:ascii="Times New Roman" w:hAnsi="Times New Roman" w:cs="Times New Roman"/>
          <w:sz w:val="24"/>
        </w:rPr>
        <w:t>Seeg</w:t>
      </w:r>
      <w:r w:rsidR="00092EBF" w:rsidRPr="00585D8B">
        <w:rPr>
          <w:rFonts w:ascii="Times New Roman" w:hAnsi="Times New Roman" w:cs="Times New Roman"/>
          <w:sz w:val="24"/>
        </w:rPr>
        <w:t xml:space="preserve">er </w:t>
      </w:r>
      <w:r w:rsidR="00092EBF" w:rsidRPr="00585D8B">
        <w:rPr>
          <w:rFonts w:ascii="Times New Roman" w:hAnsi="Times New Roman" w:cs="Times New Roman"/>
          <w:i/>
          <w:sz w:val="24"/>
        </w:rPr>
        <w:t>et al.,</w:t>
      </w:r>
      <w:r w:rsidR="00092EBF" w:rsidRPr="00585D8B">
        <w:rPr>
          <w:rFonts w:ascii="Times New Roman" w:hAnsi="Times New Roman" w:cs="Times New Roman"/>
          <w:sz w:val="24"/>
        </w:rPr>
        <w:t xml:space="preserve"> 2003; Coskran </w:t>
      </w:r>
      <w:r w:rsidR="00092EBF" w:rsidRPr="00585D8B">
        <w:rPr>
          <w:rFonts w:ascii="Times New Roman" w:hAnsi="Times New Roman" w:cs="Times New Roman"/>
          <w:i/>
          <w:sz w:val="24"/>
        </w:rPr>
        <w:t>et al.,</w:t>
      </w:r>
      <w:r w:rsidR="00092EBF" w:rsidRPr="00585D8B">
        <w:rPr>
          <w:rFonts w:ascii="Times New Roman" w:hAnsi="Times New Roman" w:cs="Times New Roman"/>
          <w:sz w:val="24"/>
        </w:rPr>
        <w:t xml:space="preserve"> 2006</w:t>
      </w:r>
      <w:r w:rsidRPr="00585D8B">
        <w:rPr>
          <w:rFonts w:ascii="Times New Roman" w:hAnsi="Times New Roman" w:cs="Times New Roman"/>
          <w:sz w:val="24"/>
        </w:rPr>
        <w:t>).</w:t>
      </w:r>
      <w:r w:rsidRPr="00523257">
        <w:rPr>
          <w:rFonts w:ascii="Times New Roman" w:hAnsi="Times New Roman" w:cs="Times New Roman"/>
          <w:sz w:val="24"/>
        </w:rPr>
        <w:t xml:space="preserve"> </w:t>
      </w:r>
    </w:p>
    <w:p w14:paraId="091CCB95" w14:textId="77777777" w:rsidR="00FD55CE" w:rsidRPr="00523257" w:rsidRDefault="00FD55CE" w:rsidP="00523257">
      <w:pPr>
        <w:spacing w:after="0" w:line="480" w:lineRule="auto"/>
        <w:jc w:val="both"/>
        <w:rPr>
          <w:rFonts w:ascii="Times New Roman" w:hAnsi="Times New Roman" w:cs="Times New Roman"/>
          <w:sz w:val="24"/>
        </w:rPr>
      </w:pPr>
    </w:p>
    <w:p w14:paraId="2D00093B" w14:textId="1DD36A9B" w:rsidR="00FD15F6" w:rsidRPr="00523257" w:rsidRDefault="00F81A40" w:rsidP="00523257">
      <w:pPr>
        <w:pStyle w:val="Heading4"/>
        <w:spacing w:before="0" w:line="480" w:lineRule="auto"/>
        <w:rPr>
          <w:rFonts w:ascii="Times New Roman" w:hAnsi="Times New Roman" w:cs="Times New Roman"/>
          <w:b w:val="0"/>
          <w:color w:val="auto"/>
          <w:sz w:val="24"/>
        </w:rPr>
      </w:pPr>
      <w:r w:rsidRPr="00523257">
        <w:rPr>
          <w:rFonts w:ascii="Times New Roman" w:hAnsi="Times New Roman" w:cs="Times New Roman"/>
          <w:b w:val="0"/>
          <w:color w:val="auto"/>
          <w:sz w:val="24"/>
        </w:rPr>
        <w:t>Voxel-based</w:t>
      </w:r>
      <w:r w:rsidR="00FD15F6" w:rsidRPr="00523257">
        <w:rPr>
          <w:rFonts w:ascii="Times New Roman" w:hAnsi="Times New Roman" w:cs="Times New Roman"/>
          <w:b w:val="0"/>
          <w:color w:val="auto"/>
          <w:sz w:val="24"/>
        </w:rPr>
        <w:t xml:space="preserve"> analysis</w:t>
      </w:r>
    </w:p>
    <w:p w14:paraId="49C9E1B5" w14:textId="3FAE9E0F" w:rsidR="00825140" w:rsidRDefault="00BF18E2" w:rsidP="00523257">
      <w:pPr>
        <w:spacing w:after="0" w:line="480" w:lineRule="auto"/>
        <w:jc w:val="both"/>
        <w:rPr>
          <w:rFonts w:ascii="Times New Roman" w:hAnsi="Times New Roman" w:cs="Times New Roman"/>
          <w:sz w:val="24"/>
        </w:rPr>
      </w:pPr>
      <w:r w:rsidRPr="00523257">
        <w:rPr>
          <w:rFonts w:ascii="Times New Roman" w:hAnsi="Times New Roman" w:cs="Times New Roman"/>
          <w:sz w:val="24"/>
        </w:rPr>
        <w:t xml:space="preserve">Spatial </w:t>
      </w:r>
      <w:r w:rsidR="00060001" w:rsidRPr="00523257">
        <w:rPr>
          <w:rFonts w:ascii="Times New Roman" w:hAnsi="Times New Roman" w:cs="Times New Roman"/>
          <w:sz w:val="24"/>
        </w:rPr>
        <w:t>pre-processing</w:t>
      </w:r>
      <w:r w:rsidRPr="00523257">
        <w:rPr>
          <w:rFonts w:ascii="Times New Roman" w:hAnsi="Times New Roman" w:cs="Times New Roman"/>
          <w:sz w:val="24"/>
        </w:rPr>
        <w:t xml:space="preserve"> and statistical analyses were performed using SPM8 implemented in Matlab 8.2. First, ADD images were co-registered to the corresponding T1-weighted MR images using a normalized mutual-information-based six parameter rigid registration. The resulting transformation matrix was then applied to the corresponding [</w:t>
      </w:r>
      <w:r w:rsidRPr="00523257">
        <w:rPr>
          <w:rFonts w:ascii="Times New Roman" w:hAnsi="Times New Roman" w:cs="Times New Roman"/>
          <w:sz w:val="24"/>
          <w:vertAlign w:val="superscript"/>
        </w:rPr>
        <w:t>11</w:t>
      </w:r>
      <w:r w:rsidRPr="00523257">
        <w:rPr>
          <w:rFonts w:ascii="Times New Roman" w:hAnsi="Times New Roman" w:cs="Times New Roman"/>
          <w:sz w:val="24"/>
        </w:rPr>
        <w:t>C]IMA107 BP</w:t>
      </w:r>
      <w:r w:rsidRPr="00523257">
        <w:rPr>
          <w:rFonts w:ascii="Times New Roman" w:hAnsi="Times New Roman" w:cs="Times New Roman"/>
          <w:sz w:val="24"/>
          <w:vertAlign w:val="subscript"/>
        </w:rPr>
        <w:t>ND</w:t>
      </w:r>
      <w:r w:rsidRPr="00523257">
        <w:rPr>
          <w:rFonts w:ascii="Times New Roman" w:hAnsi="Times New Roman" w:cs="Times New Roman"/>
          <w:sz w:val="24"/>
        </w:rPr>
        <w:t xml:space="preserve"> images. </w:t>
      </w:r>
      <w:r w:rsidR="00633DB5">
        <w:rPr>
          <w:rFonts w:ascii="Times New Roman" w:hAnsi="Times New Roman" w:cs="Times New Roman"/>
          <w:sz w:val="24"/>
        </w:rPr>
        <w:t>Then</w:t>
      </w:r>
      <w:r w:rsidRPr="00523257">
        <w:rPr>
          <w:rFonts w:ascii="Times New Roman" w:hAnsi="Times New Roman" w:cs="Times New Roman"/>
          <w:sz w:val="24"/>
        </w:rPr>
        <w:t xml:space="preserve">, T1-weighted MR images were spatially normalized to the T1 Montreal Neurologic Institute (MNI) template provided with SPM8 </w:t>
      </w:r>
      <w:r w:rsidRPr="00274AEA">
        <w:rPr>
          <w:rFonts w:ascii="Times New Roman" w:hAnsi="Times New Roman" w:cs="Times New Roman"/>
          <w:sz w:val="24"/>
        </w:rPr>
        <w:t>(Ashburner and Friston, 1999).</w:t>
      </w:r>
      <w:r w:rsidRPr="00523257">
        <w:rPr>
          <w:rFonts w:ascii="Times New Roman" w:hAnsi="Times New Roman" w:cs="Times New Roman"/>
          <w:sz w:val="24"/>
        </w:rPr>
        <w:t xml:space="preserve"> The transformation parameters obtained were then applied to the co-registered BP</w:t>
      </w:r>
      <w:r w:rsidRPr="00523257">
        <w:rPr>
          <w:rFonts w:ascii="Times New Roman" w:hAnsi="Times New Roman" w:cs="Times New Roman"/>
          <w:sz w:val="24"/>
          <w:vertAlign w:val="subscript"/>
        </w:rPr>
        <w:t>ND</w:t>
      </w:r>
      <w:r w:rsidRPr="00523257">
        <w:rPr>
          <w:rFonts w:ascii="Times New Roman" w:hAnsi="Times New Roman" w:cs="Times New Roman"/>
          <w:sz w:val="24"/>
        </w:rPr>
        <w:t xml:space="preserve"> images. Parametric images were spatially smoothed using a 8mm full-width half-maximum Gaussian kernel. This spatial filter accommodates inter-individual anatomic variability and improves signal to noise for the statistical analysis. Voxel-wise statistics for between-group comparisons were computed using appropriately weighted contrasts to localize significant decreases in mean voxel [</w:t>
      </w:r>
      <w:r w:rsidRPr="00523257">
        <w:rPr>
          <w:rFonts w:ascii="Times New Roman" w:hAnsi="Times New Roman" w:cs="Times New Roman"/>
          <w:sz w:val="24"/>
          <w:vertAlign w:val="superscript"/>
        </w:rPr>
        <w:t>11</w:t>
      </w:r>
      <w:r w:rsidRPr="00523257">
        <w:rPr>
          <w:rFonts w:ascii="Times New Roman" w:hAnsi="Times New Roman" w:cs="Times New Roman"/>
          <w:sz w:val="24"/>
        </w:rPr>
        <w:t>C]IMA107 BP</w:t>
      </w:r>
      <w:r w:rsidRPr="00523257">
        <w:rPr>
          <w:rFonts w:ascii="Times New Roman" w:hAnsi="Times New Roman" w:cs="Times New Roman"/>
          <w:sz w:val="24"/>
          <w:vertAlign w:val="subscript"/>
        </w:rPr>
        <w:t>ND</w:t>
      </w:r>
      <w:r w:rsidRPr="00523257">
        <w:rPr>
          <w:rFonts w:ascii="Times New Roman" w:hAnsi="Times New Roman" w:cs="Times New Roman"/>
          <w:sz w:val="24"/>
        </w:rPr>
        <w:t xml:space="preserve"> values</w:t>
      </w:r>
      <w:r w:rsidR="00FB3141" w:rsidRPr="00523257">
        <w:rPr>
          <w:rFonts w:ascii="Times New Roman" w:hAnsi="Times New Roman" w:cs="Times New Roman"/>
          <w:sz w:val="24"/>
        </w:rPr>
        <w:t xml:space="preserve"> after applying the Basal Ganglia Human Area Template </w:t>
      </w:r>
      <w:r w:rsidR="00FB3141" w:rsidRPr="00274AEA">
        <w:rPr>
          <w:rFonts w:ascii="Times New Roman" w:hAnsi="Times New Roman" w:cs="Times New Roman"/>
          <w:sz w:val="24"/>
        </w:rPr>
        <w:t xml:space="preserve">(Prodoehl </w:t>
      </w:r>
      <w:r w:rsidR="00FB3141" w:rsidRPr="00274AEA">
        <w:rPr>
          <w:rFonts w:ascii="Times New Roman" w:hAnsi="Times New Roman" w:cs="Times New Roman"/>
          <w:i/>
          <w:sz w:val="24"/>
        </w:rPr>
        <w:t>et al.,</w:t>
      </w:r>
      <w:r w:rsidR="00FB3141" w:rsidRPr="00274AEA">
        <w:rPr>
          <w:rFonts w:ascii="Times New Roman" w:hAnsi="Times New Roman" w:cs="Times New Roman"/>
          <w:sz w:val="24"/>
        </w:rPr>
        <w:t xml:space="preserve"> 2008)</w:t>
      </w:r>
      <w:r w:rsidRPr="00274AEA">
        <w:rPr>
          <w:rFonts w:ascii="Times New Roman" w:hAnsi="Times New Roman" w:cs="Times New Roman"/>
          <w:sz w:val="24"/>
        </w:rPr>
        <w:t>.</w:t>
      </w:r>
      <w:r w:rsidRPr="00523257">
        <w:rPr>
          <w:rFonts w:ascii="Times New Roman" w:hAnsi="Times New Roman" w:cs="Times New Roman"/>
          <w:sz w:val="24"/>
        </w:rPr>
        <w:t xml:space="preserve"> The contrasts were used to derive Z-scores on a voxel basis using the general linear model </w:t>
      </w:r>
      <w:r w:rsidRPr="00274AEA">
        <w:rPr>
          <w:rFonts w:ascii="Times New Roman" w:hAnsi="Times New Roman" w:cs="Times New Roman"/>
          <w:sz w:val="24"/>
        </w:rPr>
        <w:t xml:space="preserve">(Friston </w:t>
      </w:r>
      <w:r w:rsidRPr="00274AEA">
        <w:rPr>
          <w:rFonts w:ascii="Times New Roman" w:hAnsi="Times New Roman" w:cs="Times New Roman"/>
          <w:i/>
          <w:sz w:val="24"/>
        </w:rPr>
        <w:t>et al.,</w:t>
      </w:r>
      <w:r w:rsidRPr="00274AEA">
        <w:rPr>
          <w:rFonts w:ascii="Times New Roman" w:hAnsi="Times New Roman" w:cs="Times New Roman"/>
          <w:sz w:val="24"/>
        </w:rPr>
        <w:t xml:space="preserve"> 1995). The threshold for statistical sig</w:t>
      </w:r>
      <w:r w:rsidRPr="00523257">
        <w:rPr>
          <w:rFonts w:ascii="Times New Roman" w:hAnsi="Times New Roman" w:cs="Times New Roman"/>
          <w:sz w:val="24"/>
        </w:rPr>
        <w:t xml:space="preserve">nificance was set to </w:t>
      </w:r>
      <w:r w:rsidR="00455C61" w:rsidRPr="00523257">
        <w:rPr>
          <w:rFonts w:ascii="Times New Roman" w:hAnsi="Times New Roman" w:cs="Times New Roman"/>
          <w:i/>
          <w:sz w:val="24"/>
        </w:rPr>
        <w:t>P</w:t>
      </w:r>
      <w:r w:rsidR="007E6A66" w:rsidRPr="00523257">
        <w:rPr>
          <w:rFonts w:ascii="Times New Roman" w:hAnsi="Times New Roman" w:cs="Times New Roman"/>
          <w:sz w:val="24"/>
        </w:rPr>
        <w:t>&lt;0.05</w:t>
      </w:r>
      <w:r w:rsidRPr="00523257">
        <w:rPr>
          <w:rFonts w:ascii="Times New Roman" w:hAnsi="Times New Roman" w:cs="Times New Roman"/>
          <w:sz w:val="24"/>
        </w:rPr>
        <w:t xml:space="preserve"> </w:t>
      </w:r>
      <w:r w:rsidR="007E6A66" w:rsidRPr="00523257">
        <w:rPr>
          <w:rFonts w:ascii="Times New Roman" w:hAnsi="Times New Roman" w:cs="Times New Roman"/>
          <w:sz w:val="24"/>
        </w:rPr>
        <w:t>after family</w:t>
      </w:r>
      <w:r w:rsidR="005D6E18">
        <w:rPr>
          <w:rFonts w:ascii="Times New Roman" w:hAnsi="Times New Roman" w:cs="Times New Roman"/>
          <w:sz w:val="24"/>
        </w:rPr>
        <w:t xml:space="preserve"> wise </w:t>
      </w:r>
      <w:r w:rsidR="007E6A66" w:rsidRPr="00523257">
        <w:rPr>
          <w:rFonts w:ascii="Times New Roman" w:hAnsi="Times New Roman" w:cs="Times New Roman"/>
          <w:sz w:val="24"/>
        </w:rPr>
        <w:t>error (FWE) correction for multiple comparisons.</w:t>
      </w:r>
    </w:p>
    <w:p w14:paraId="28F28476" w14:textId="77777777" w:rsidR="005D6E18" w:rsidRPr="00523257" w:rsidRDefault="005D6E18" w:rsidP="00523257">
      <w:pPr>
        <w:spacing w:after="0" w:line="480" w:lineRule="auto"/>
        <w:jc w:val="both"/>
        <w:rPr>
          <w:rFonts w:ascii="Times New Roman" w:hAnsi="Times New Roman" w:cs="Times New Roman"/>
          <w:sz w:val="24"/>
        </w:rPr>
      </w:pPr>
    </w:p>
    <w:p w14:paraId="668E9740" w14:textId="1A73DEBA" w:rsidR="00597AA1" w:rsidRPr="00347858" w:rsidRDefault="00597AA1" w:rsidP="00523257">
      <w:pPr>
        <w:pStyle w:val="Heading3"/>
        <w:spacing w:before="0" w:line="480" w:lineRule="auto"/>
        <w:rPr>
          <w:rFonts w:ascii="Times New Roman" w:hAnsi="Times New Roman" w:cs="Times New Roman"/>
          <w:color w:val="auto"/>
          <w:sz w:val="26"/>
          <w:szCs w:val="26"/>
        </w:rPr>
      </w:pPr>
      <w:r w:rsidRPr="00347858">
        <w:rPr>
          <w:rFonts w:ascii="Times New Roman" w:hAnsi="Times New Roman" w:cs="Times New Roman"/>
          <w:color w:val="auto"/>
          <w:sz w:val="26"/>
          <w:szCs w:val="26"/>
        </w:rPr>
        <w:t>Statistical analysis</w:t>
      </w:r>
    </w:p>
    <w:p w14:paraId="000D751E" w14:textId="4ABDF10D" w:rsidR="00274AEA" w:rsidRDefault="00597AA1" w:rsidP="00274AEA">
      <w:pPr>
        <w:spacing w:after="0" w:line="480" w:lineRule="auto"/>
        <w:jc w:val="both"/>
        <w:rPr>
          <w:rFonts w:ascii="Times New Roman" w:hAnsi="Times New Roman" w:cs="Times New Roman"/>
          <w:sz w:val="24"/>
          <w:szCs w:val="24"/>
        </w:rPr>
      </w:pPr>
      <w:r w:rsidRPr="00523257">
        <w:rPr>
          <w:rFonts w:ascii="Times New Roman" w:hAnsi="Times New Roman" w:cs="Times New Roman"/>
          <w:sz w:val="24"/>
          <w:szCs w:val="28"/>
        </w:rPr>
        <w:t xml:space="preserve">Statistical analysis </w:t>
      </w:r>
      <w:r w:rsidR="00BE1F44" w:rsidRPr="00523257">
        <w:rPr>
          <w:rFonts w:ascii="Times New Roman" w:hAnsi="Times New Roman" w:cs="Times New Roman"/>
          <w:sz w:val="24"/>
          <w:szCs w:val="28"/>
        </w:rPr>
        <w:t>and graph illustration were</w:t>
      </w:r>
      <w:r w:rsidRPr="00523257">
        <w:rPr>
          <w:rFonts w:ascii="Times New Roman" w:hAnsi="Times New Roman" w:cs="Times New Roman"/>
          <w:sz w:val="24"/>
          <w:szCs w:val="28"/>
        </w:rPr>
        <w:t xml:space="preserve"> performed with </w:t>
      </w:r>
      <w:r w:rsidR="001270C9" w:rsidRPr="006522F4">
        <w:rPr>
          <w:rFonts w:ascii="Times New Roman" w:hAnsi="Times New Roman" w:cs="Times New Roman"/>
          <w:sz w:val="24"/>
          <w:szCs w:val="28"/>
        </w:rPr>
        <w:t xml:space="preserve">SPSS (version 20) </w:t>
      </w:r>
      <w:r w:rsidR="001270C9">
        <w:rPr>
          <w:rFonts w:ascii="Times New Roman" w:hAnsi="Times New Roman" w:cs="Times New Roman"/>
          <w:sz w:val="24"/>
          <w:szCs w:val="28"/>
        </w:rPr>
        <w:t xml:space="preserve">and </w:t>
      </w:r>
      <w:r w:rsidRPr="00523257">
        <w:rPr>
          <w:rFonts w:ascii="Times New Roman" w:hAnsi="Times New Roman" w:cs="Times New Roman"/>
          <w:sz w:val="24"/>
          <w:szCs w:val="28"/>
        </w:rPr>
        <w:t>GraphPad Prism (version 6.0c) for MAC OS X</w:t>
      </w:r>
      <w:r w:rsidR="000A3E03">
        <w:rPr>
          <w:rFonts w:ascii="Times New Roman" w:hAnsi="Times New Roman" w:cs="Times New Roman"/>
          <w:sz w:val="24"/>
          <w:szCs w:val="28"/>
        </w:rPr>
        <w:t>, respectively</w:t>
      </w:r>
      <w:r w:rsidRPr="00523257">
        <w:rPr>
          <w:rFonts w:ascii="Times New Roman" w:hAnsi="Times New Roman" w:cs="Times New Roman"/>
          <w:sz w:val="24"/>
          <w:szCs w:val="28"/>
        </w:rPr>
        <w:t>. For all variables, variance homogeneity and Gaussianity were tested with Bartle</w:t>
      </w:r>
      <w:r w:rsidR="00D52004" w:rsidRPr="00523257">
        <w:rPr>
          <w:rFonts w:ascii="Times New Roman" w:hAnsi="Times New Roman" w:cs="Times New Roman"/>
          <w:sz w:val="24"/>
          <w:szCs w:val="28"/>
        </w:rPr>
        <w:t xml:space="preserve">tt and Kolmogorov-Smirnov tests and we </w:t>
      </w:r>
      <w:r w:rsidR="0045053D" w:rsidRPr="00523257">
        <w:rPr>
          <w:rFonts w:ascii="Times New Roman" w:hAnsi="Times New Roman" w:cs="Times New Roman"/>
          <w:sz w:val="24"/>
          <w:szCs w:val="28"/>
        </w:rPr>
        <w:t>proceeded</w:t>
      </w:r>
      <w:r w:rsidR="00D52004" w:rsidRPr="00523257">
        <w:rPr>
          <w:rFonts w:ascii="Times New Roman" w:hAnsi="Times New Roman" w:cs="Times New Roman"/>
          <w:sz w:val="24"/>
          <w:szCs w:val="28"/>
        </w:rPr>
        <w:t xml:space="preserve"> with parametric</w:t>
      </w:r>
      <w:r w:rsidR="0045053D" w:rsidRPr="00523257">
        <w:rPr>
          <w:rFonts w:ascii="Times New Roman" w:hAnsi="Times New Roman" w:cs="Times New Roman"/>
          <w:sz w:val="24"/>
          <w:szCs w:val="28"/>
        </w:rPr>
        <w:t xml:space="preserve"> tests</w:t>
      </w:r>
      <w:r w:rsidR="0045053D" w:rsidRPr="00523257">
        <w:rPr>
          <w:rFonts w:ascii="Times New Roman" w:hAnsi="Times New Roman" w:cs="Times New Roman"/>
          <w:sz w:val="24"/>
          <w:szCs w:val="24"/>
          <w:lang w:eastAsia="en-US"/>
        </w:rPr>
        <w:t xml:space="preserve"> </w:t>
      </w:r>
      <w:r w:rsidR="0045053D" w:rsidRPr="00523257">
        <w:rPr>
          <w:rFonts w:ascii="Times New Roman" w:hAnsi="Times New Roman" w:cs="Times New Roman"/>
          <w:sz w:val="24"/>
          <w:szCs w:val="28"/>
        </w:rPr>
        <w:t>since our PET and clinical data were normally distributed</w:t>
      </w:r>
      <w:r w:rsidRPr="00523257">
        <w:rPr>
          <w:rFonts w:ascii="Times New Roman" w:hAnsi="Times New Roman" w:cs="Times New Roman"/>
          <w:sz w:val="24"/>
          <w:szCs w:val="28"/>
        </w:rPr>
        <w:t xml:space="preserve">. </w:t>
      </w:r>
      <w:r w:rsidR="009352CD" w:rsidRPr="00523257">
        <w:rPr>
          <w:rFonts w:ascii="Times New Roman" w:hAnsi="Times New Roman" w:cs="Times New Roman"/>
          <w:sz w:val="24"/>
          <w:szCs w:val="28"/>
        </w:rPr>
        <w:t>Multivariate analysis of variance (MANOVA) was used to assess the main effects of regional [</w:t>
      </w:r>
      <w:r w:rsidR="009352CD" w:rsidRPr="00523257">
        <w:rPr>
          <w:rFonts w:ascii="Times New Roman" w:hAnsi="Times New Roman" w:cs="Times New Roman"/>
          <w:sz w:val="24"/>
          <w:vertAlign w:val="superscript"/>
        </w:rPr>
        <w:t>11</w:t>
      </w:r>
      <w:r w:rsidR="009352CD" w:rsidRPr="00523257">
        <w:rPr>
          <w:rFonts w:ascii="Times New Roman" w:hAnsi="Times New Roman" w:cs="Times New Roman"/>
          <w:sz w:val="24"/>
        </w:rPr>
        <w:t>C]IMA107 BP</w:t>
      </w:r>
      <w:r w:rsidR="009352CD" w:rsidRPr="00523257">
        <w:rPr>
          <w:rFonts w:ascii="Times New Roman" w:hAnsi="Times New Roman" w:cs="Times New Roman"/>
          <w:sz w:val="24"/>
          <w:vertAlign w:val="subscript"/>
        </w:rPr>
        <w:t>ND</w:t>
      </w:r>
      <w:r w:rsidR="009352CD" w:rsidRPr="00523257">
        <w:rPr>
          <w:rFonts w:ascii="Times New Roman" w:hAnsi="Times New Roman" w:cs="Times New Roman"/>
          <w:sz w:val="24"/>
        </w:rPr>
        <w:t xml:space="preserve"> </w:t>
      </w:r>
      <w:r w:rsidR="009352CD" w:rsidRPr="00523257">
        <w:rPr>
          <w:rFonts w:ascii="Times New Roman" w:hAnsi="Times New Roman" w:cs="Times New Roman"/>
          <w:sz w:val="24"/>
          <w:szCs w:val="28"/>
        </w:rPr>
        <w:t xml:space="preserve">between Parkinson’s disease patients and healthy controls. If the overall multivariate test was significant, </w:t>
      </w:r>
      <w:r w:rsidR="009352CD" w:rsidRPr="00523257">
        <w:rPr>
          <w:rFonts w:ascii="Times New Roman" w:hAnsi="Times New Roman" w:cs="Times New Roman"/>
          <w:i/>
          <w:sz w:val="24"/>
          <w:szCs w:val="28"/>
        </w:rPr>
        <w:t>P</w:t>
      </w:r>
      <w:r w:rsidR="009352CD" w:rsidRPr="00523257">
        <w:rPr>
          <w:rFonts w:ascii="Times New Roman" w:hAnsi="Times New Roman" w:cs="Times New Roman"/>
          <w:sz w:val="24"/>
          <w:szCs w:val="28"/>
        </w:rPr>
        <w:t xml:space="preserve"> values for each variable were calculated following Bonferroni’s multiple-comparisons test. </w:t>
      </w:r>
      <w:r w:rsidRPr="00523257">
        <w:rPr>
          <w:rFonts w:ascii="Times New Roman" w:hAnsi="Times New Roman" w:cs="Times New Roman"/>
          <w:sz w:val="24"/>
          <w:szCs w:val="28"/>
        </w:rPr>
        <w:t xml:space="preserve">We interrogated correlations between PET and clinical data using Pearson </w:t>
      </w:r>
      <w:r w:rsidRPr="00523257">
        <w:rPr>
          <w:rFonts w:ascii="Times New Roman" w:hAnsi="Times New Roman" w:cs="Times New Roman"/>
          <w:i/>
          <w:sz w:val="24"/>
          <w:szCs w:val="28"/>
        </w:rPr>
        <w:t>r</w:t>
      </w:r>
      <w:r w:rsidRPr="00523257">
        <w:rPr>
          <w:rFonts w:ascii="Times New Roman" w:hAnsi="Times New Roman" w:cs="Times New Roman"/>
          <w:sz w:val="24"/>
          <w:szCs w:val="28"/>
        </w:rPr>
        <w:t xml:space="preserve"> and we applied the </w:t>
      </w:r>
      <w:r w:rsidR="00EF1784" w:rsidRPr="00523257">
        <w:rPr>
          <w:rFonts w:ascii="Times New Roman" w:hAnsi="Times New Roman" w:cs="Times New Roman"/>
          <w:sz w:val="24"/>
          <w:szCs w:val="28"/>
        </w:rPr>
        <w:t>Benjamini</w:t>
      </w:r>
      <w:r w:rsidR="000A3E03">
        <w:rPr>
          <w:rFonts w:ascii="Times New Roman" w:hAnsi="Times New Roman" w:cs="Times New Roman"/>
          <w:sz w:val="24"/>
          <w:szCs w:val="28"/>
        </w:rPr>
        <w:t>-</w:t>
      </w:r>
      <w:r w:rsidRPr="00523257">
        <w:rPr>
          <w:rFonts w:ascii="Times New Roman" w:hAnsi="Times New Roman" w:cs="Times New Roman"/>
          <w:sz w:val="24"/>
          <w:szCs w:val="28"/>
        </w:rPr>
        <w:t>Hochberg</w:t>
      </w:r>
      <w:r w:rsidR="00EF1784" w:rsidRPr="00523257">
        <w:rPr>
          <w:rFonts w:ascii="Times New Roman" w:hAnsi="Times New Roman" w:cs="Times New Roman"/>
          <w:sz w:val="24"/>
          <w:szCs w:val="28"/>
        </w:rPr>
        <w:t xml:space="preserve"> correction in order to reduce false discovery rate</w:t>
      </w:r>
      <w:r w:rsidRPr="00523257">
        <w:rPr>
          <w:rFonts w:ascii="Times New Roman" w:hAnsi="Times New Roman" w:cs="Times New Roman"/>
          <w:sz w:val="24"/>
          <w:szCs w:val="28"/>
        </w:rPr>
        <w:t xml:space="preserve"> </w:t>
      </w:r>
      <w:r w:rsidRPr="00274AEA">
        <w:rPr>
          <w:rFonts w:ascii="Times New Roman" w:hAnsi="Times New Roman" w:cs="Times New Roman"/>
          <w:sz w:val="24"/>
          <w:szCs w:val="28"/>
        </w:rPr>
        <w:t>(</w:t>
      </w:r>
      <w:r w:rsidR="00EF1784" w:rsidRPr="00274AEA">
        <w:rPr>
          <w:rFonts w:ascii="Times New Roman" w:hAnsi="Times New Roman" w:cs="Times New Roman"/>
          <w:sz w:val="24"/>
          <w:szCs w:val="28"/>
        </w:rPr>
        <w:t>Benjamini and Hochberg, 1995</w:t>
      </w:r>
      <w:r w:rsidRPr="00274AEA">
        <w:rPr>
          <w:rFonts w:ascii="Times New Roman" w:hAnsi="Times New Roman" w:cs="Times New Roman"/>
          <w:sz w:val="24"/>
          <w:szCs w:val="28"/>
        </w:rPr>
        <w:t>).</w:t>
      </w:r>
      <w:r w:rsidR="004043DF" w:rsidRPr="004043DF">
        <w:t xml:space="preserve"> </w:t>
      </w:r>
      <w:r w:rsidR="004043DF">
        <w:rPr>
          <w:rFonts w:ascii="Times New Roman" w:hAnsi="Times New Roman" w:cs="Times New Roman"/>
          <w:sz w:val="24"/>
          <w:szCs w:val="28"/>
        </w:rPr>
        <w:t>We set the false discovery rate</w:t>
      </w:r>
      <w:r w:rsidR="004043DF" w:rsidRPr="004043DF">
        <w:rPr>
          <w:rFonts w:ascii="Times New Roman" w:hAnsi="Times New Roman" w:cs="Times New Roman"/>
          <w:sz w:val="24"/>
          <w:szCs w:val="28"/>
        </w:rPr>
        <w:t xml:space="preserve"> cut-off at 0.05</w:t>
      </w:r>
      <w:r w:rsidR="004043DF">
        <w:rPr>
          <w:rFonts w:ascii="Times New Roman" w:hAnsi="Times New Roman" w:cs="Times New Roman"/>
          <w:sz w:val="24"/>
          <w:szCs w:val="28"/>
        </w:rPr>
        <w:t>.</w:t>
      </w:r>
      <w:r w:rsidRPr="00274AEA">
        <w:rPr>
          <w:rFonts w:ascii="Times New Roman" w:hAnsi="Times New Roman" w:cs="Times New Roman"/>
          <w:sz w:val="24"/>
          <w:szCs w:val="28"/>
          <w:vertAlign w:val="superscript"/>
        </w:rPr>
        <w:t xml:space="preserve"> </w:t>
      </w:r>
      <w:r w:rsidR="00E46A4F" w:rsidRPr="00274AEA">
        <w:rPr>
          <w:rFonts w:ascii="Times New Roman" w:hAnsi="Times New Roman" w:cs="Times New Roman"/>
          <w:sz w:val="24"/>
          <w:szCs w:val="28"/>
        </w:rPr>
        <w:t>Partial</w:t>
      </w:r>
      <w:r w:rsidR="00E46A4F" w:rsidRPr="00523257">
        <w:rPr>
          <w:rFonts w:ascii="Times New Roman" w:hAnsi="Times New Roman" w:cs="Times New Roman"/>
          <w:sz w:val="24"/>
          <w:szCs w:val="28"/>
        </w:rPr>
        <w:t xml:space="preserve"> correlation</w:t>
      </w:r>
      <w:r w:rsidR="00E46A4F" w:rsidRPr="00523257">
        <w:rPr>
          <w:rFonts w:ascii="Times New Roman" w:hAnsi="Times New Roman" w:cs="Times New Roman"/>
          <w:sz w:val="24"/>
          <w:szCs w:val="28"/>
          <w:vertAlign w:val="superscript"/>
        </w:rPr>
        <w:t xml:space="preserve"> </w:t>
      </w:r>
      <w:r w:rsidR="00E46A4F" w:rsidRPr="00523257">
        <w:rPr>
          <w:rFonts w:ascii="Times New Roman" w:hAnsi="Times New Roman" w:cs="Times New Roman"/>
          <w:sz w:val="24"/>
          <w:szCs w:val="28"/>
        </w:rPr>
        <w:t xml:space="preserve">analysis was performed to </w:t>
      </w:r>
      <w:r w:rsidR="00A81ED7" w:rsidRPr="00523257">
        <w:rPr>
          <w:rFonts w:ascii="Times New Roman" w:hAnsi="Times New Roman" w:cs="Times New Roman"/>
          <w:sz w:val="24"/>
          <w:szCs w:val="28"/>
        </w:rPr>
        <w:t>control for the effect of di</w:t>
      </w:r>
      <w:r w:rsidR="00E75026">
        <w:rPr>
          <w:rFonts w:ascii="Times New Roman" w:hAnsi="Times New Roman" w:cs="Times New Roman"/>
          <w:sz w:val="24"/>
          <w:szCs w:val="28"/>
        </w:rPr>
        <w:t xml:space="preserve">sease duration on </w:t>
      </w:r>
      <w:r w:rsidR="00274AEA">
        <w:rPr>
          <w:rFonts w:ascii="Times New Roman" w:hAnsi="Times New Roman" w:cs="Times New Roman"/>
          <w:sz w:val="24"/>
          <w:szCs w:val="28"/>
        </w:rPr>
        <w:t>UDysRS score/</w:t>
      </w:r>
      <w:r w:rsidR="00274AEA" w:rsidRPr="00515C58">
        <w:rPr>
          <w:rFonts w:ascii="Times New Roman" w:hAnsi="Times New Roman" w:cs="Times New Roman"/>
          <w:sz w:val="24"/>
          <w:szCs w:val="28"/>
        </w:rPr>
        <w:t>[</w:t>
      </w:r>
      <w:r w:rsidR="00274AEA" w:rsidRPr="00515C58">
        <w:rPr>
          <w:rFonts w:ascii="Times New Roman" w:hAnsi="Times New Roman" w:cs="Times New Roman"/>
          <w:sz w:val="24"/>
          <w:vertAlign w:val="superscript"/>
        </w:rPr>
        <w:t>11</w:t>
      </w:r>
      <w:r w:rsidR="00274AEA" w:rsidRPr="00515C58">
        <w:rPr>
          <w:rFonts w:ascii="Times New Roman" w:hAnsi="Times New Roman" w:cs="Times New Roman"/>
          <w:sz w:val="24"/>
        </w:rPr>
        <w:t>C]IMA107 BP</w:t>
      </w:r>
      <w:r w:rsidR="00274AEA" w:rsidRPr="00515C58">
        <w:rPr>
          <w:rFonts w:ascii="Times New Roman" w:hAnsi="Times New Roman" w:cs="Times New Roman"/>
          <w:sz w:val="24"/>
          <w:vertAlign w:val="subscript"/>
        </w:rPr>
        <w:t>ND</w:t>
      </w:r>
      <w:r w:rsidR="00274AEA" w:rsidRPr="00515C58">
        <w:rPr>
          <w:rFonts w:ascii="Times New Roman" w:hAnsi="Times New Roman" w:cs="Times New Roman"/>
          <w:sz w:val="24"/>
        </w:rPr>
        <w:t xml:space="preserve"> correlation</w:t>
      </w:r>
      <w:r w:rsidR="00A81ED7" w:rsidRPr="00523257">
        <w:rPr>
          <w:rFonts w:ascii="Times New Roman" w:hAnsi="Times New Roman" w:cs="Times New Roman"/>
          <w:sz w:val="24"/>
        </w:rPr>
        <w:t xml:space="preserve">. </w:t>
      </w:r>
      <w:r w:rsidRPr="00523257">
        <w:rPr>
          <w:rFonts w:ascii="Times New Roman" w:hAnsi="Times New Roman" w:cs="Times New Roman"/>
          <w:sz w:val="24"/>
          <w:szCs w:val="28"/>
        </w:rPr>
        <w:t xml:space="preserve">All data are presented as mean±SD, and the level </w:t>
      </w:r>
      <w:r w:rsidRPr="00523257">
        <w:rPr>
          <w:rFonts w:ascii="Times New Roman" w:hAnsi="Times New Roman" w:cs="Times New Roman" w:hint="eastAsia"/>
          <w:i/>
          <w:sz w:val="24"/>
          <w:szCs w:val="28"/>
        </w:rPr>
        <w:t>α</w:t>
      </w:r>
      <w:r w:rsidRPr="00523257">
        <w:rPr>
          <w:rFonts w:ascii="Times New Roman" w:hAnsi="Times New Roman" w:cs="Times New Roman"/>
          <w:sz w:val="24"/>
          <w:szCs w:val="28"/>
        </w:rPr>
        <w:t xml:space="preserve"> </w:t>
      </w:r>
      <w:r w:rsidRPr="00523257">
        <w:rPr>
          <w:rFonts w:ascii="Times New Roman" w:hAnsi="Times New Roman" w:cs="Times New Roman"/>
          <w:sz w:val="24"/>
          <w:szCs w:val="24"/>
        </w:rPr>
        <w:t>was set for all comparisons at</w:t>
      </w:r>
      <w:r w:rsidRPr="00523257">
        <w:rPr>
          <w:rFonts w:ascii="Times New Roman" w:hAnsi="Times New Roman" w:cs="Times New Roman"/>
          <w:i/>
          <w:sz w:val="24"/>
          <w:szCs w:val="24"/>
        </w:rPr>
        <w:t xml:space="preserve"> P</w:t>
      </w:r>
      <w:r w:rsidRPr="00523257">
        <w:rPr>
          <w:rFonts w:ascii="Times New Roman" w:hAnsi="Times New Roman" w:cs="Times New Roman"/>
          <w:sz w:val="24"/>
          <w:szCs w:val="24"/>
        </w:rPr>
        <w:t>&lt;0.05, corrected.</w:t>
      </w:r>
      <w:r w:rsidR="00D97E99" w:rsidRPr="00523257">
        <w:rPr>
          <w:rFonts w:ascii="Times New Roman" w:hAnsi="Times New Roman" w:cs="Times New Roman"/>
          <w:sz w:val="24"/>
          <w:szCs w:val="28"/>
        </w:rPr>
        <w:t xml:space="preserve"> </w:t>
      </w:r>
      <w:r w:rsidR="00F14BF9" w:rsidRPr="00932158">
        <w:rPr>
          <w:rFonts w:ascii="Times New Roman" w:hAnsi="Times New Roman" w:cs="Times New Roman"/>
          <w:sz w:val="24"/>
          <w:szCs w:val="24"/>
        </w:rPr>
        <w:t>In addition, we performed</w:t>
      </w:r>
      <w:r w:rsidR="002F2265" w:rsidRPr="001077B1">
        <w:rPr>
          <w:rFonts w:ascii="Times New Roman" w:hAnsi="Times New Roman" w:cs="Times New Roman"/>
          <w:sz w:val="24"/>
          <w:szCs w:val="24"/>
        </w:rPr>
        <w:t xml:space="preserve"> SPM voxel-by-voxel comparison between controls</w:t>
      </w:r>
      <w:r w:rsidR="002F2265" w:rsidRPr="004E4A1F">
        <w:rPr>
          <w:rFonts w:ascii="Times New Roman" w:hAnsi="Times New Roman" w:cs="Times New Roman"/>
          <w:sz w:val="24"/>
          <w:szCs w:val="24"/>
        </w:rPr>
        <w:t xml:space="preserve"> and Parkinson’s disease patients. These comparisons were based on </w:t>
      </w:r>
      <w:r w:rsidR="002F2265" w:rsidRPr="00347858">
        <w:rPr>
          <w:rFonts w:ascii="Times New Roman" w:hAnsi="Times New Roman" w:cs="Times New Roman"/>
          <w:i/>
          <w:sz w:val="24"/>
          <w:szCs w:val="24"/>
        </w:rPr>
        <w:t>a priori</w:t>
      </w:r>
      <w:r w:rsidR="002F2265" w:rsidRPr="004E4A1F">
        <w:rPr>
          <w:rFonts w:ascii="Times New Roman" w:hAnsi="Times New Roman" w:cs="Times New Roman"/>
          <w:sz w:val="24"/>
          <w:szCs w:val="24"/>
        </w:rPr>
        <w:t xml:space="preserve"> </w:t>
      </w:r>
      <w:r w:rsidR="00645BEA">
        <w:rPr>
          <w:rFonts w:ascii="Times New Roman" w:hAnsi="Times New Roman" w:cs="Times New Roman"/>
          <w:sz w:val="24"/>
          <w:szCs w:val="24"/>
        </w:rPr>
        <w:t xml:space="preserve">hypothesis </w:t>
      </w:r>
      <w:r w:rsidR="002F2265" w:rsidRPr="004E4A1F">
        <w:rPr>
          <w:rFonts w:ascii="Times New Roman" w:hAnsi="Times New Roman" w:cs="Times New Roman"/>
          <w:sz w:val="24"/>
          <w:szCs w:val="24"/>
        </w:rPr>
        <w:t>restricted to a volume of interest, which included the b</w:t>
      </w:r>
      <w:r w:rsidR="002F2265" w:rsidRPr="00324BA9">
        <w:rPr>
          <w:rFonts w:ascii="Times New Roman" w:hAnsi="Times New Roman" w:cs="Times New Roman"/>
          <w:sz w:val="24"/>
          <w:szCs w:val="24"/>
        </w:rPr>
        <w:t xml:space="preserve">asal ganglia in both hemispheres </w:t>
      </w:r>
      <w:r w:rsidR="00B950D5" w:rsidRPr="00A45412">
        <w:rPr>
          <w:rFonts w:ascii="Times New Roman" w:hAnsi="Times New Roman" w:cs="Times New Roman"/>
          <w:sz w:val="24"/>
          <w:szCs w:val="24"/>
        </w:rPr>
        <w:t>(</w:t>
      </w:r>
      <w:r w:rsidR="00B950D5" w:rsidRPr="00274AEA">
        <w:rPr>
          <w:rFonts w:ascii="Times New Roman" w:hAnsi="Times New Roman" w:cs="Times New Roman"/>
          <w:sz w:val="24"/>
          <w:szCs w:val="24"/>
        </w:rPr>
        <w:t>Prodoehl et al., 2008)</w:t>
      </w:r>
      <w:r w:rsidR="002F2265" w:rsidRPr="00274AEA">
        <w:rPr>
          <w:rFonts w:ascii="Times New Roman" w:hAnsi="Times New Roman" w:cs="Times New Roman"/>
          <w:sz w:val="24"/>
          <w:szCs w:val="24"/>
        </w:rPr>
        <w:t>.</w:t>
      </w:r>
      <w:r w:rsidR="002F2265" w:rsidRPr="00AE049E">
        <w:rPr>
          <w:rFonts w:ascii="Times New Roman" w:hAnsi="Times New Roman" w:cs="Times New Roman"/>
          <w:sz w:val="24"/>
          <w:szCs w:val="24"/>
        </w:rPr>
        <w:t xml:space="preserve"> This masking drastically reduces the number of voxel-by-voxel statistical comparisons, and </w:t>
      </w:r>
      <w:r w:rsidR="00274AEA" w:rsidRPr="00941621">
        <w:rPr>
          <w:rFonts w:ascii="Times New Roman" w:hAnsi="Times New Roman" w:cs="Times New Roman"/>
          <w:sz w:val="24"/>
          <w:szCs w:val="24"/>
        </w:rPr>
        <w:t xml:space="preserve">a </w:t>
      </w:r>
      <w:r w:rsidR="00274AEA">
        <w:rPr>
          <w:rFonts w:ascii="Times New Roman" w:hAnsi="Times New Roman" w:cs="Times New Roman"/>
          <w:sz w:val="24"/>
          <w:szCs w:val="24"/>
        </w:rPr>
        <w:t xml:space="preserve">cluster-corrected </w:t>
      </w:r>
      <w:r w:rsidR="00274AEA" w:rsidRPr="00941621">
        <w:rPr>
          <w:rFonts w:ascii="Times New Roman" w:hAnsi="Times New Roman" w:cs="Times New Roman"/>
          <w:sz w:val="24"/>
          <w:szCs w:val="24"/>
        </w:rPr>
        <w:t xml:space="preserve">threshold </w:t>
      </w:r>
      <w:r w:rsidR="00274AEA">
        <w:rPr>
          <w:rFonts w:ascii="Times New Roman" w:hAnsi="Times New Roman" w:cs="Times New Roman"/>
          <w:sz w:val="24"/>
          <w:szCs w:val="24"/>
        </w:rPr>
        <w:t>of</w:t>
      </w:r>
      <w:r w:rsidR="007E6A66" w:rsidRPr="00876B1D">
        <w:rPr>
          <w:rFonts w:ascii="Times New Roman" w:hAnsi="Times New Roman" w:cs="Times New Roman"/>
          <w:sz w:val="24"/>
          <w:szCs w:val="24"/>
        </w:rPr>
        <w:t xml:space="preserve"> </w:t>
      </w:r>
      <w:r w:rsidR="007E6A66" w:rsidRPr="00082B73">
        <w:rPr>
          <w:rFonts w:ascii="Times New Roman" w:hAnsi="Times New Roman" w:cs="Times New Roman"/>
          <w:i/>
          <w:sz w:val="24"/>
          <w:szCs w:val="24"/>
        </w:rPr>
        <w:t>P</w:t>
      </w:r>
      <w:r w:rsidR="007E6A66" w:rsidRPr="00082B73">
        <w:rPr>
          <w:rFonts w:ascii="Times New Roman" w:hAnsi="Times New Roman" w:cs="Times New Roman"/>
          <w:sz w:val="24"/>
          <w:szCs w:val="24"/>
        </w:rPr>
        <w:t>&lt;0.05</w:t>
      </w:r>
      <w:r w:rsidR="002F2265" w:rsidRPr="00082B73">
        <w:rPr>
          <w:rFonts w:ascii="Times New Roman" w:hAnsi="Times New Roman" w:cs="Times New Roman"/>
          <w:sz w:val="24"/>
          <w:szCs w:val="24"/>
        </w:rPr>
        <w:t xml:space="preserve"> </w:t>
      </w:r>
      <w:r w:rsidR="00274AEA">
        <w:rPr>
          <w:rFonts w:ascii="Times New Roman" w:hAnsi="Times New Roman" w:cs="Times New Roman"/>
          <w:sz w:val="24"/>
          <w:szCs w:val="24"/>
        </w:rPr>
        <w:t xml:space="preserve">used to test for </w:t>
      </w:r>
      <w:r w:rsidR="00274AEA" w:rsidRPr="00941621">
        <w:rPr>
          <w:rFonts w:ascii="Times New Roman" w:hAnsi="Times New Roman" w:cs="Times New Roman"/>
          <w:sz w:val="24"/>
          <w:szCs w:val="24"/>
        </w:rPr>
        <w:t>statistical</w:t>
      </w:r>
      <w:r w:rsidR="00274AEA">
        <w:rPr>
          <w:rFonts w:ascii="Times New Roman" w:hAnsi="Times New Roman" w:cs="Times New Roman"/>
          <w:sz w:val="24"/>
          <w:szCs w:val="24"/>
        </w:rPr>
        <w:t>ly</w:t>
      </w:r>
      <w:r w:rsidR="00274AEA" w:rsidRPr="00941621">
        <w:rPr>
          <w:rFonts w:ascii="Times New Roman" w:hAnsi="Times New Roman" w:cs="Times New Roman"/>
          <w:sz w:val="24"/>
          <w:szCs w:val="24"/>
        </w:rPr>
        <w:t xml:space="preserve"> significan</w:t>
      </w:r>
      <w:r w:rsidR="00274AEA">
        <w:rPr>
          <w:rFonts w:ascii="Times New Roman" w:hAnsi="Times New Roman" w:cs="Times New Roman"/>
          <w:sz w:val="24"/>
          <w:szCs w:val="24"/>
        </w:rPr>
        <w:t>t effects</w:t>
      </w:r>
      <w:r w:rsidR="00274AEA" w:rsidRPr="00941621">
        <w:rPr>
          <w:rFonts w:ascii="Times New Roman" w:hAnsi="Times New Roman" w:cs="Times New Roman"/>
          <w:sz w:val="24"/>
          <w:szCs w:val="24"/>
        </w:rPr>
        <w:t>.</w:t>
      </w:r>
      <w:r w:rsidR="003D0ED4">
        <w:rPr>
          <w:rFonts w:ascii="Times New Roman" w:hAnsi="Times New Roman" w:cs="Times New Roman"/>
          <w:sz w:val="24"/>
          <w:szCs w:val="24"/>
        </w:rPr>
        <w:t xml:space="preserve"> Striatal [</w:t>
      </w:r>
      <w:r w:rsidR="003D0ED4" w:rsidRPr="009C1F18">
        <w:rPr>
          <w:rFonts w:ascii="Times New Roman" w:hAnsi="Times New Roman" w:cs="Times New Roman"/>
          <w:sz w:val="24"/>
          <w:szCs w:val="24"/>
          <w:vertAlign w:val="superscript"/>
        </w:rPr>
        <w:t>11</w:t>
      </w:r>
      <w:r w:rsidR="003D0ED4">
        <w:rPr>
          <w:rFonts w:ascii="Times New Roman" w:hAnsi="Times New Roman" w:cs="Times New Roman"/>
          <w:sz w:val="24"/>
          <w:szCs w:val="24"/>
        </w:rPr>
        <w:t>C]IMA107 BP</w:t>
      </w:r>
      <w:r w:rsidR="003D0ED4" w:rsidRPr="009C1F18">
        <w:rPr>
          <w:rFonts w:ascii="Times New Roman" w:hAnsi="Times New Roman" w:cs="Times New Roman"/>
          <w:sz w:val="24"/>
          <w:szCs w:val="24"/>
          <w:vertAlign w:val="subscript"/>
        </w:rPr>
        <w:t>ND</w:t>
      </w:r>
      <w:r w:rsidR="003D0ED4">
        <w:rPr>
          <w:rFonts w:ascii="Times New Roman" w:hAnsi="Times New Roman" w:cs="Times New Roman"/>
          <w:sz w:val="24"/>
          <w:szCs w:val="24"/>
        </w:rPr>
        <w:t xml:space="preserve"> </w:t>
      </w:r>
      <w:r w:rsidR="003D0ED4" w:rsidRPr="009C1F18">
        <w:rPr>
          <w:rFonts w:ascii="Times New Roman" w:hAnsi="Times New Roman" w:cs="Times New Roman"/>
          <w:sz w:val="24"/>
          <w:szCs w:val="24"/>
        </w:rPr>
        <w:t>results were corrected for multiple comparisons using Gaussian random field theory</w:t>
      </w:r>
      <w:r w:rsidR="003D0ED4">
        <w:rPr>
          <w:rFonts w:ascii="Times New Roman" w:hAnsi="Times New Roman" w:cs="Times New Roman"/>
          <w:sz w:val="24"/>
          <w:szCs w:val="24"/>
        </w:rPr>
        <w:t xml:space="preserve">. </w:t>
      </w:r>
      <w:r w:rsidR="003D0ED4" w:rsidRPr="009C1F18">
        <w:rPr>
          <w:rFonts w:ascii="Times New Roman" w:hAnsi="Times New Roman" w:cs="Times New Roman"/>
          <w:sz w:val="24"/>
          <w:szCs w:val="24"/>
        </w:rPr>
        <w:t>Since no changes were found wit</w:t>
      </w:r>
      <w:r w:rsidR="003D0ED4">
        <w:rPr>
          <w:rFonts w:ascii="Times New Roman" w:hAnsi="Times New Roman" w:cs="Times New Roman"/>
          <w:sz w:val="24"/>
          <w:szCs w:val="24"/>
        </w:rPr>
        <w:t>hin the pallidum at this level, for completeness</w:t>
      </w:r>
      <w:r w:rsidR="003D0ED4" w:rsidRPr="009C1F18">
        <w:rPr>
          <w:rFonts w:ascii="Times New Roman" w:hAnsi="Times New Roman" w:cs="Times New Roman"/>
          <w:sz w:val="24"/>
          <w:szCs w:val="24"/>
        </w:rPr>
        <w:t xml:space="preserve"> changes in pallidal PDE-10A expression </w:t>
      </w:r>
      <w:r w:rsidR="003D0ED4">
        <w:rPr>
          <w:rFonts w:ascii="Times New Roman" w:hAnsi="Times New Roman" w:cs="Times New Roman"/>
          <w:sz w:val="24"/>
          <w:szCs w:val="24"/>
        </w:rPr>
        <w:t xml:space="preserve">were investigated </w:t>
      </w:r>
      <w:r w:rsidR="003D0ED4" w:rsidRPr="009C1F18">
        <w:rPr>
          <w:rFonts w:ascii="Times New Roman" w:hAnsi="Times New Roman" w:cs="Times New Roman"/>
          <w:sz w:val="24"/>
          <w:szCs w:val="24"/>
        </w:rPr>
        <w:t xml:space="preserve">using a more liberal threshold of </w:t>
      </w:r>
      <w:r w:rsidR="003D0ED4" w:rsidRPr="009C1F18">
        <w:rPr>
          <w:rFonts w:ascii="Times New Roman" w:hAnsi="Times New Roman" w:cs="Times New Roman"/>
          <w:i/>
          <w:sz w:val="24"/>
          <w:szCs w:val="24"/>
        </w:rPr>
        <w:t>P</w:t>
      </w:r>
      <w:r w:rsidR="003D0ED4" w:rsidRPr="009C1F18">
        <w:rPr>
          <w:rFonts w:ascii="Times New Roman" w:hAnsi="Times New Roman" w:cs="Times New Roman"/>
          <w:sz w:val="24"/>
          <w:szCs w:val="24"/>
        </w:rPr>
        <w:t xml:space="preserve">&lt;0.05 (extent threshold of </w:t>
      </w:r>
      <w:r w:rsidR="003D0ED4">
        <w:rPr>
          <w:rFonts w:ascii="Times New Roman" w:hAnsi="Times New Roman" w:cs="Times New Roman"/>
          <w:sz w:val="24"/>
          <w:szCs w:val="24"/>
        </w:rPr>
        <w:t>10</w:t>
      </w:r>
      <w:r w:rsidR="003D0ED4" w:rsidRPr="009C1F18">
        <w:rPr>
          <w:rFonts w:ascii="Times New Roman" w:hAnsi="Times New Roman" w:cs="Times New Roman"/>
          <w:sz w:val="24"/>
          <w:szCs w:val="24"/>
        </w:rPr>
        <w:t xml:space="preserve"> voxels), to rule out the risk of a type II error (false negative).</w:t>
      </w:r>
    </w:p>
    <w:p w14:paraId="0532A7E7" w14:textId="77777777" w:rsidR="00E75026" w:rsidRDefault="00E75026" w:rsidP="00523257">
      <w:pPr>
        <w:pStyle w:val="Heading1"/>
        <w:spacing w:before="0" w:line="480" w:lineRule="auto"/>
        <w:rPr>
          <w:rFonts w:ascii="Times New Roman" w:hAnsi="Times New Roman" w:cs="Times New Roman"/>
          <w:color w:val="auto"/>
        </w:rPr>
      </w:pPr>
    </w:p>
    <w:p w14:paraId="7C2CD417" w14:textId="77777777" w:rsidR="008D32A9" w:rsidRPr="001077B1" w:rsidRDefault="008D32A9" w:rsidP="00523257">
      <w:pPr>
        <w:pStyle w:val="Heading1"/>
        <w:spacing w:before="0" w:line="480" w:lineRule="auto"/>
        <w:rPr>
          <w:rFonts w:ascii="Times New Roman" w:hAnsi="Times New Roman" w:cs="Times New Roman"/>
          <w:color w:val="auto"/>
        </w:rPr>
      </w:pPr>
      <w:r w:rsidRPr="00932158">
        <w:rPr>
          <w:rFonts w:ascii="Times New Roman" w:hAnsi="Times New Roman" w:cs="Times New Roman"/>
          <w:color w:val="auto"/>
        </w:rPr>
        <w:t>Results</w:t>
      </w:r>
    </w:p>
    <w:p w14:paraId="1B3FE196" w14:textId="5D45360D" w:rsidR="006C028B" w:rsidRPr="00523257" w:rsidRDefault="004A27F6" w:rsidP="00523257">
      <w:pPr>
        <w:pStyle w:val="Heading2"/>
        <w:spacing w:before="0" w:line="480" w:lineRule="auto"/>
        <w:rPr>
          <w:rFonts w:ascii="Times New Roman" w:hAnsi="Times New Roman" w:cs="Times New Roman"/>
          <w:i/>
          <w:color w:val="auto"/>
        </w:rPr>
      </w:pPr>
      <w:r w:rsidRPr="00523257">
        <w:rPr>
          <w:rFonts w:ascii="Times New Roman" w:hAnsi="Times New Roman" w:cs="Times New Roman"/>
          <w:i/>
          <w:color w:val="auto"/>
        </w:rPr>
        <w:t>V</w:t>
      </w:r>
      <w:r w:rsidR="006C028B" w:rsidRPr="00523257">
        <w:rPr>
          <w:rFonts w:ascii="Times New Roman" w:hAnsi="Times New Roman" w:cs="Times New Roman"/>
          <w:i/>
          <w:color w:val="auto"/>
        </w:rPr>
        <w:t>olumetric analysis</w:t>
      </w:r>
    </w:p>
    <w:p w14:paraId="2B923D92" w14:textId="28C9A340" w:rsidR="006C028B" w:rsidRDefault="008F40B8" w:rsidP="00523257">
      <w:pPr>
        <w:spacing w:after="0" w:line="480" w:lineRule="auto"/>
        <w:jc w:val="both"/>
        <w:rPr>
          <w:rFonts w:ascii="Times New Roman" w:hAnsi="Times New Roman" w:cs="Times New Roman"/>
          <w:sz w:val="24"/>
          <w:szCs w:val="28"/>
        </w:rPr>
      </w:pPr>
      <w:r w:rsidRPr="00523257">
        <w:rPr>
          <w:rFonts w:ascii="Times New Roman" w:hAnsi="Times New Roman" w:cs="Times New Roman"/>
          <w:sz w:val="24"/>
          <w:szCs w:val="28"/>
        </w:rPr>
        <w:t xml:space="preserve">Freesurfer analysis showed no volumetric differences in </w:t>
      </w:r>
      <w:r w:rsidR="00107AD1" w:rsidRPr="00523257">
        <w:rPr>
          <w:rFonts w:ascii="Times New Roman" w:hAnsi="Times New Roman" w:cs="Times New Roman"/>
          <w:sz w:val="24"/>
          <w:szCs w:val="28"/>
        </w:rPr>
        <w:t xml:space="preserve">left and right </w:t>
      </w:r>
      <w:r w:rsidRPr="00523257">
        <w:rPr>
          <w:rFonts w:ascii="Times New Roman" w:hAnsi="Times New Roman" w:cs="Times New Roman"/>
          <w:sz w:val="24"/>
          <w:szCs w:val="28"/>
        </w:rPr>
        <w:t>basal ganglia and thalam</w:t>
      </w:r>
      <w:r w:rsidR="00630CBD">
        <w:rPr>
          <w:rFonts w:ascii="Times New Roman" w:hAnsi="Times New Roman" w:cs="Times New Roman"/>
          <w:sz w:val="24"/>
          <w:szCs w:val="28"/>
        </w:rPr>
        <w:t>ic</w:t>
      </w:r>
      <w:r w:rsidRPr="00523257">
        <w:rPr>
          <w:rFonts w:ascii="Times New Roman" w:hAnsi="Times New Roman" w:cs="Times New Roman"/>
          <w:sz w:val="24"/>
          <w:szCs w:val="28"/>
        </w:rPr>
        <w:t xml:space="preserve"> </w:t>
      </w:r>
      <w:r w:rsidR="00630CBD">
        <w:rPr>
          <w:rFonts w:ascii="Times New Roman" w:hAnsi="Times New Roman" w:cs="Times New Roman"/>
          <w:sz w:val="24"/>
          <w:szCs w:val="28"/>
        </w:rPr>
        <w:t>ROIs</w:t>
      </w:r>
      <w:r w:rsidR="00630CBD" w:rsidRPr="00523257">
        <w:rPr>
          <w:rFonts w:ascii="Times New Roman" w:hAnsi="Times New Roman" w:cs="Times New Roman"/>
          <w:sz w:val="24"/>
          <w:szCs w:val="28"/>
        </w:rPr>
        <w:t xml:space="preserve"> </w:t>
      </w:r>
      <w:r w:rsidRPr="00523257">
        <w:rPr>
          <w:rFonts w:ascii="Times New Roman" w:hAnsi="Times New Roman" w:cs="Times New Roman"/>
          <w:sz w:val="24"/>
          <w:szCs w:val="28"/>
        </w:rPr>
        <w:t>between the group</w:t>
      </w:r>
      <w:r w:rsidR="00A24D3C">
        <w:rPr>
          <w:rFonts w:ascii="Times New Roman" w:hAnsi="Times New Roman" w:cs="Times New Roman"/>
          <w:sz w:val="24"/>
          <w:szCs w:val="28"/>
        </w:rPr>
        <w:t>s</w:t>
      </w:r>
      <w:r w:rsidRPr="00523257">
        <w:rPr>
          <w:rFonts w:ascii="Times New Roman" w:hAnsi="Times New Roman" w:cs="Times New Roman"/>
          <w:sz w:val="24"/>
          <w:szCs w:val="28"/>
        </w:rPr>
        <w:t xml:space="preserve"> of Parkinson’s disease patients and healthy controls (</w:t>
      </w:r>
      <w:r w:rsidR="00E75026" w:rsidRPr="00347858">
        <w:rPr>
          <w:rFonts w:ascii="Times New Roman" w:hAnsi="Times New Roman" w:cs="Times New Roman"/>
          <w:sz w:val="24"/>
          <w:szCs w:val="28"/>
        </w:rPr>
        <w:t xml:space="preserve">Table </w:t>
      </w:r>
      <w:r w:rsidR="00832748">
        <w:rPr>
          <w:rFonts w:ascii="Times New Roman" w:hAnsi="Times New Roman" w:cs="Times New Roman"/>
          <w:sz w:val="24"/>
          <w:szCs w:val="28"/>
        </w:rPr>
        <w:t>S1</w:t>
      </w:r>
      <w:r w:rsidRPr="00EF08A3">
        <w:rPr>
          <w:rFonts w:ascii="Times New Roman" w:hAnsi="Times New Roman" w:cs="Times New Roman"/>
          <w:sz w:val="24"/>
          <w:szCs w:val="28"/>
        </w:rPr>
        <w:t>).</w:t>
      </w:r>
    </w:p>
    <w:p w14:paraId="6332CC93" w14:textId="77777777" w:rsidR="00630CBD" w:rsidRPr="00523257" w:rsidRDefault="00630CBD" w:rsidP="00523257">
      <w:pPr>
        <w:spacing w:after="0" w:line="480" w:lineRule="auto"/>
        <w:jc w:val="both"/>
        <w:rPr>
          <w:rFonts w:ascii="Times New Roman" w:hAnsi="Times New Roman" w:cs="Times New Roman"/>
          <w:sz w:val="24"/>
          <w:szCs w:val="28"/>
        </w:rPr>
      </w:pPr>
    </w:p>
    <w:p w14:paraId="4CB5AB29" w14:textId="6D1A0347" w:rsidR="00671718" w:rsidRPr="00523257" w:rsidRDefault="00EA0A90" w:rsidP="00523257">
      <w:pPr>
        <w:pStyle w:val="Heading2"/>
        <w:spacing w:before="0" w:line="480" w:lineRule="auto"/>
        <w:rPr>
          <w:rFonts w:ascii="Times New Roman" w:hAnsi="Times New Roman" w:cs="Times New Roman"/>
          <w:i/>
          <w:color w:val="auto"/>
        </w:rPr>
      </w:pPr>
      <w:r w:rsidRPr="00523257">
        <w:rPr>
          <w:rFonts w:ascii="Times New Roman" w:hAnsi="Times New Roman" w:cs="Times New Roman"/>
          <w:i/>
          <w:color w:val="auto"/>
        </w:rPr>
        <w:t>ROI</w:t>
      </w:r>
      <w:r w:rsidR="000E39E9" w:rsidRPr="00523257">
        <w:rPr>
          <w:rFonts w:ascii="Times New Roman" w:hAnsi="Times New Roman" w:cs="Times New Roman"/>
          <w:i/>
          <w:color w:val="auto"/>
        </w:rPr>
        <w:t>-based</w:t>
      </w:r>
      <w:r w:rsidRPr="00523257">
        <w:rPr>
          <w:rFonts w:ascii="Times New Roman" w:hAnsi="Times New Roman" w:cs="Times New Roman"/>
          <w:i/>
          <w:color w:val="auto"/>
        </w:rPr>
        <w:t xml:space="preserve"> </w:t>
      </w:r>
      <w:r w:rsidR="00671718" w:rsidRPr="00523257">
        <w:rPr>
          <w:rFonts w:ascii="Times New Roman" w:hAnsi="Times New Roman" w:cs="Times New Roman"/>
          <w:i/>
          <w:color w:val="auto"/>
        </w:rPr>
        <w:t>analysis</w:t>
      </w:r>
    </w:p>
    <w:p w14:paraId="78EF01A1" w14:textId="75A7E78B" w:rsidR="004973E9" w:rsidRDefault="00671718" w:rsidP="00523257">
      <w:pPr>
        <w:spacing w:after="0" w:line="480" w:lineRule="auto"/>
        <w:jc w:val="both"/>
        <w:rPr>
          <w:rFonts w:ascii="Times New Roman" w:hAnsi="Times New Roman" w:cs="Times New Roman"/>
          <w:sz w:val="24"/>
        </w:rPr>
      </w:pPr>
      <w:r w:rsidRPr="00932158">
        <w:rPr>
          <w:rFonts w:ascii="Times New Roman" w:hAnsi="Times New Roman" w:cs="Times New Roman"/>
          <w:sz w:val="24"/>
          <w:szCs w:val="28"/>
        </w:rPr>
        <w:t>We found significant d</w:t>
      </w:r>
      <w:r w:rsidR="00382025" w:rsidRPr="001077B1">
        <w:rPr>
          <w:rFonts w:ascii="Times New Roman" w:hAnsi="Times New Roman" w:cs="Times New Roman"/>
          <w:sz w:val="24"/>
          <w:szCs w:val="28"/>
        </w:rPr>
        <w:t>ifferences</w:t>
      </w:r>
      <w:r w:rsidRPr="00EA64F4">
        <w:rPr>
          <w:rFonts w:ascii="Times New Roman" w:hAnsi="Times New Roman" w:cs="Times New Roman"/>
          <w:sz w:val="24"/>
          <w:szCs w:val="28"/>
        </w:rPr>
        <w:t xml:space="preserve"> in </w:t>
      </w:r>
      <w:r w:rsidR="005D6CB6">
        <w:rPr>
          <w:rFonts w:ascii="Times New Roman" w:hAnsi="Times New Roman" w:cs="Times New Roman"/>
          <w:sz w:val="24"/>
          <w:szCs w:val="28"/>
        </w:rPr>
        <w:t xml:space="preserve">mean </w:t>
      </w:r>
      <w:r w:rsidRPr="00523257">
        <w:rPr>
          <w:rFonts w:ascii="Times New Roman" w:hAnsi="Times New Roman" w:cs="Times New Roman"/>
          <w:sz w:val="24"/>
          <w:szCs w:val="28"/>
        </w:rPr>
        <w:t>[</w:t>
      </w:r>
      <w:r w:rsidRPr="00523257">
        <w:rPr>
          <w:rFonts w:ascii="Times New Roman" w:hAnsi="Times New Roman" w:cs="Times New Roman"/>
          <w:sz w:val="24"/>
          <w:szCs w:val="28"/>
          <w:vertAlign w:val="superscript"/>
        </w:rPr>
        <w:t>11</w:t>
      </w:r>
      <w:r w:rsidRPr="00523257">
        <w:rPr>
          <w:rFonts w:ascii="Times New Roman" w:hAnsi="Times New Roman" w:cs="Times New Roman"/>
          <w:sz w:val="24"/>
          <w:szCs w:val="28"/>
        </w:rPr>
        <w:t>C]IMA107 BP</w:t>
      </w:r>
      <w:r w:rsidRPr="00523257">
        <w:rPr>
          <w:rFonts w:ascii="Times New Roman" w:hAnsi="Times New Roman" w:cs="Times New Roman"/>
          <w:sz w:val="24"/>
          <w:szCs w:val="28"/>
          <w:vertAlign w:val="subscript"/>
        </w:rPr>
        <w:t xml:space="preserve">ND </w:t>
      </w:r>
      <w:r w:rsidR="00382025" w:rsidRPr="00523257">
        <w:rPr>
          <w:rFonts w:ascii="Times New Roman" w:hAnsi="Times New Roman" w:cs="Times New Roman"/>
          <w:sz w:val="24"/>
          <w:szCs w:val="28"/>
        </w:rPr>
        <w:t xml:space="preserve">between </w:t>
      </w:r>
      <w:r w:rsidR="00C902D5" w:rsidRPr="00523257">
        <w:rPr>
          <w:rFonts w:ascii="Times New Roman" w:hAnsi="Times New Roman" w:cs="Times New Roman"/>
          <w:sz w:val="24"/>
          <w:szCs w:val="28"/>
        </w:rPr>
        <w:t xml:space="preserve">Parkinson’s disease patients </w:t>
      </w:r>
      <w:r w:rsidR="00382025" w:rsidRPr="00523257">
        <w:rPr>
          <w:rFonts w:ascii="Times New Roman" w:hAnsi="Times New Roman" w:cs="Times New Roman"/>
          <w:sz w:val="24"/>
          <w:szCs w:val="28"/>
        </w:rPr>
        <w:t xml:space="preserve">and healthy </w:t>
      </w:r>
      <w:r w:rsidR="0021188F" w:rsidRPr="00523257">
        <w:rPr>
          <w:rFonts w:ascii="Times New Roman" w:hAnsi="Times New Roman" w:cs="Times New Roman"/>
          <w:sz w:val="24"/>
          <w:szCs w:val="28"/>
        </w:rPr>
        <w:t>controls (</w:t>
      </w:r>
      <w:r w:rsidR="0021188F" w:rsidRPr="00523257">
        <w:rPr>
          <w:rFonts w:ascii="Times New Roman" w:hAnsi="Times New Roman" w:cs="Times New Roman"/>
          <w:i/>
          <w:sz w:val="24"/>
          <w:szCs w:val="28"/>
        </w:rPr>
        <w:t>P</w:t>
      </w:r>
      <w:r w:rsidR="0021188F" w:rsidRPr="00523257">
        <w:rPr>
          <w:rFonts w:ascii="Times New Roman" w:hAnsi="Times New Roman" w:cs="Times New Roman"/>
          <w:sz w:val="24"/>
          <w:szCs w:val="28"/>
        </w:rPr>
        <w:t>&lt;0.</w:t>
      </w:r>
      <w:r w:rsidR="0021188F" w:rsidRPr="00031483">
        <w:rPr>
          <w:rFonts w:ascii="Times New Roman" w:hAnsi="Times New Roman" w:cs="Times New Roman"/>
          <w:sz w:val="24"/>
          <w:szCs w:val="28"/>
        </w:rPr>
        <w:t>001</w:t>
      </w:r>
      <w:r w:rsidR="00134340" w:rsidRPr="00031483">
        <w:rPr>
          <w:rFonts w:ascii="Times New Roman" w:hAnsi="Times New Roman" w:cs="Times New Roman"/>
          <w:sz w:val="24"/>
          <w:szCs w:val="28"/>
        </w:rPr>
        <w:t xml:space="preserve">; </w:t>
      </w:r>
      <w:r w:rsidR="00832748">
        <w:rPr>
          <w:rFonts w:ascii="Times New Roman" w:hAnsi="Times New Roman" w:cs="Times New Roman"/>
          <w:sz w:val="24"/>
          <w:szCs w:val="28"/>
        </w:rPr>
        <w:t>Table 2</w:t>
      </w:r>
      <w:r w:rsidR="006476ED">
        <w:rPr>
          <w:rFonts w:ascii="Times New Roman" w:hAnsi="Times New Roman" w:cs="Times New Roman"/>
          <w:sz w:val="24"/>
          <w:szCs w:val="28"/>
        </w:rPr>
        <w:t>; Fig</w:t>
      </w:r>
      <w:r w:rsidR="006207DB" w:rsidRPr="00347858">
        <w:rPr>
          <w:rFonts w:ascii="Times New Roman" w:hAnsi="Times New Roman" w:cs="Times New Roman"/>
          <w:sz w:val="24"/>
          <w:szCs w:val="28"/>
        </w:rPr>
        <w:t xml:space="preserve"> 1</w:t>
      </w:r>
      <w:r w:rsidR="006476ED">
        <w:rPr>
          <w:rFonts w:ascii="Times New Roman" w:hAnsi="Times New Roman" w:cs="Times New Roman"/>
          <w:sz w:val="24"/>
          <w:szCs w:val="28"/>
        </w:rPr>
        <w:t>;</w:t>
      </w:r>
      <w:r w:rsidR="00187A2C">
        <w:rPr>
          <w:rFonts w:ascii="Times New Roman" w:hAnsi="Times New Roman" w:cs="Times New Roman"/>
          <w:sz w:val="24"/>
          <w:szCs w:val="28"/>
        </w:rPr>
        <w:t xml:space="preserve"> Fig S1</w:t>
      </w:r>
      <w:r w:rsidR="00C902D5" w:rsidRPr="00031483">
        <w:rPr>
          <w:rFonts w:ascii="Times New Roman" w:hAnsi="Times New Roman" w:cs="Times New Roman"/>
          <w:sz w:val="24"/>
          <w:szCs w:val="28"/>
        </w:rPr>
        <w:t>).</w:t>
      </w:r>
      <w:r w:rsidR="00C902D5" w:rsidRPr="00523257">
        <w:rPr>
          <w:rFonts w:ascii="Times New Roman" w:hAnsi="Times New Roman" w:cs="Times New Roman"/>
          <w:sz w:val="24"/>
          <w:szCs w:val="28"/>
        </w:rPr>
        <w:t xml:space="preserve"> Parkinson’s disease patients had significantly lower mean [</w:t>
      </w:r>
      <w:r w:rsidR="00C902D5" w:rsidRPr="00523257">
        <w:rPr>
          <w:rFonts w:ascii="Times New Roman" w:hAnsi="Times New Roman" w:cs="Times New Roman"/>
          <w:sz w:val="24"/>
          <w:szCs w:val="28"/>
          <w:vertAlign w:val="superscript"/>
        </w:rPr>
        <w:t>11</w:t>
      </w:r>
      <w:r w:rsidR="00C902D5" w:rsidRPr="00523257">
        <w:rPr>
          <w:rFonts w:ascii="Times New Roman" w:hAnsi="Times New Roman" w:cs="Times New Roman"/>
          <w:sz w:val="24"/>
          <w:szCs w:val="28"/>
        </w:rPr>
        <w:t>C]IMA107 BP</w:t>
      </w:r>
      <w:r w:rsidR="00C902D5" w:rsidRPr="00523257">
        <w:rPr>
          <w:rFonts w:ascii="Times New Roman" w:hAnsi="Times New Roman" w:cs="Times New Roman"/>
          <w:sz w:val="24"/>
          <w:szCs w:val="28"/>
          <w:vertAlign w:val="subscript"/>
        </w:rPr>
        <w:t xml:space="preserve">ND </w:t>
      </w:r>
      <w:r w:rsidR="00933D6F" w:rsidRPr="00523257">
        <w:rPr>
          <w:rFonts w:ascii="Times New Roman" w:hAnsi="Times New Roman" w:cs="Times New Roman"/>
          <w:sz w:val="24"/>
          <w:szCs w:val="28"/>
        </w:rPr>
        <w:t>in</w:t>
      </w:r>
      <w:r w:rsidR="00C902D5" w:rsidRPr="00523257">
        <w:rPr>
          <w:rFonts w:ascii="Times New Roman" w:hAnsi="Times New Roman" w:cs="Times New Roman"/>
          <w:sz w:val="24"/>
          <w:szCs w:val="28"/>
        </w:rPr>
        <w:t xml:space="preserve"> caudate (</w:t>
      </w:r>
      <w:r w:rsidR="0021188F" w:rsidRPr="00523257">
        <w:rPr>
          <w:rFonts w:ascii="Times New Roman" w:hAnsi="Times New Roman" w:cs="Times New Roman"/>
          <w:i/>
          <w:sz w:val="24"/>
          <w:szCs w:val="28"/>
        </w:rPr>
        <w:t>P</w:t>
      </w:r>
      <w:r w:rsidR="0021188F" w:rsidRPr="00523257">
        <w:rPr>
          <w:rFonts w:ascii="Times New Roman" w:hAnsi="Times New Roman" w:cs="Times New Roman"/>
          <w:sz w:val="24"/>
          <w:szCs w:val="28"/>
        </w:rPr>
        <w:t xml:space="preserve">&lt;0.001; </w:t>
      </w:r>
      <w:r w:rsidR="009352CD" w:rsidRPr="00932158">
        <w:rPr>
          <w:rFonts w:ascii="Times New Roman" w:hAnsi="Times New Roman" w:cs="Times New Roman"/>
        </w:rPr>
        <w:t>−</w:t>
      </w:r>
      <w:r w:rsidR="0021188F" w:rsidRPr="00523257">
        <w:rPr>
          <w:rFonts w:ascii="Times New Roman" w:hAnsi="Times New Roman" w:cs="Times New Roman"/>
          <w:sz w:val="24"/>
          <w:szCs w:val="28"/>
        </w:rPr>
        <w:t>28.4%</w:t>
      </w:r>
      <w:r w:rsidR="00C902D5" w:rsidRPr="00523257">
        <w:rPr>
          <w:rFonts w:ascii="Times New Roman" w:hAnsi="Times New Roman" w:cs="Times New Roman"/>
          <w:sz w:val="24"/>
          <w:szCs w:val="28"/>
        </w:rPr>
        <w:t>), putamen (</w:t>
      </w:r>
      <w:r w:rsidR="0021188F" w:rsidRPr="00523257">
        <w:rPr>
          <w:rFonts w:ascii="Times New Roman" w:hAnsi="Times New Roman" w:cs="Times New Roman"/>
          <w:i/>
          <w:sz w:val="24"/>
          <w:szCs w:val="28"/>
        </w:rPr>
        <w:t>P</w:t>
      </w:r>
      <w:r w:rsidR="0021188F" w:rsidRPr="00523257">
        <w:rPr>
          <w:rFonts w:ascii="Times New Roman" w:hAnsi="Times New Roman" w:cs="Times New Roman"/>
          <w:sz w:val="24"/>
          <w:szCs w:val="28"/>
        </w:rPr>
        <w:t xml:space="preserve">&lt;0.001; </w:t>
      </w:r>
      <w:r w:rsidR="009352CD" w:rsidRPr="00932158">
        <w:rPr>
          <w:rFonts w:ascii="Times New Roman" w:hAnsi="Times New Roman" w:cs="Times New Roman"/>
        </w:rPr>
        <w:t>−</w:t>
      </w:r>
      <w:r w:rsidR="00C902D5" w:rsidRPr="00523257">
        <w:rPr>
          <w:rFonts w:ascii="Times New Roman" w:hAnsi="Times New Roman" w:cs="Times New Roman"/>
          <w:sz w:val="24"/>
          <w:szCs w:val="28"/>
        </w:rPr>
        <w:t>25.5%;) and globus pallidus (</w:t>
      </w:r>
      <w:r w:rsidR="0021188F" w:rsidRPr="00523257">
        <w:rPr>
          <w:rFonts w:ascii="Times New Roman" w:hAnsi="Times New Roman" w:cs="Times New Roman"/>
          <w:i/>
          <w:sz w:val="24"/>
          <w:szCs w:val="28"/>
        </w:rPr>
        <w:t>P</w:t>
      </w:r>
      <w:r w:rsidR="009352CD" w:rsidRPr="00523257">
        <w:rPr>
          <w:rFonts w:ascii="Times New Roman" w:hAnsi="Times New Roman" w:cs="Times New Roman"/>
          <w:sz w:val="24"/>
          <w:szCs w:val="28"/>
        </w:rPr>
        <w:t>=0.025</w:t>
      </w:r>
      <w:r w:rsidR="0021188F" w:rsidRPr="00523257">
        <w:rPr>
          <w:rFonts w:ascii="Times New Roman" w:hAnsi="Times New Roman" w:cs="Times New Roman"/>
          <w:sz w:val="24"/>
          <w:szCs w:val="28"/>
        </w:rPr>
        <w:t xml:space="preserve">; </w:t>
      </w:r>
      <w:r w:rsidR="009352CD" w:rsidRPr="00932158">
        <w:rPr>
          <w:rFonts w:ascii="Times New Roman" w:hAnsi="Times New Roman" w:cs="Times New Roman"/>
        </w:rPr>
        <w:t>−</w:t>
      </w:r>
      <w:r w:rsidR="0021188F" w:rsidRPr="00523257">
        <w:rPr>
          <w:rFonts w:ascii="Times New Roman" w:hAnsi="Times New Roman" w:cs="Times New Roman"/>
          <w:sz w:val="24"/>
          <w:szCs w:val="28"/>
        </w:rPr>
        <w:t>14.2%</w:t>
      </w:r>
      <w:r w:rsidR="00C902D5" w:rsidRPr="00523257">
        <w:rPr>
          <w:rFonts w:ascii="Times New Roman" w:hAnsi="Times New Roman" w:cs="Times New Roman"/>
          <w:sz w:val="24"/>
          <w:szCs w:val="28"/>
        </w:rPr>
        <w:t>) compared to healthy controls.</w:t>
      </w:r>
      <w:r w:rsidR="00D363AE" w:rsidRPr="00523257">
        <w:rPr>
          <w:rFonts w:ascii="Times New Roman" w:hAnsi="Times New Roman" w:cs="Times New Roman"/>
          <w:sz w:val="24"/>
          <w:szCs w:val="28"/>
        </w:rPr>
        <w:t xml:space="preserve"> </w:t>
      </w:r>
      <w:r w:rsidR="000042BC" w:rsidRPr="00523257">
        <w:rPr>
          <w:rFonts w:ascii="Times New Roman" w:hAnsi="Times New Roman" w:cs="Times New Roman"/>
          <w:sz w:val="24"/>
          <w:szCs w:val="28"/>
        </w:rPr>
        <w:t>Within the globus pallidus, loss of [</w:t>
      </w:r>
      <w:r w:rsidR="000042BC" w:rsidRPr="00523257">
        <w:rPr>
          <w:rFonts w:ascii="Times New Roman" w:hAnsi="Times New Roman" w:cs="Times New Roman"/>
          <w:sz w:val="24"/>
          <w:szCs w:val="28"/>
          <w:vertAlign w:val="superscript"/>
        </w:rPr>
        <w:t>11</w:t>
      </w:r>
      <w:r w:rsidR="000042BC" w:rsidRPr="00523257">
        <w:rPr>
          <w:rFonts w:ascii="Times New Roman" w:hAnsi="Times New Roman" w:cs="Times New Roman"/>
          <w:sz w:val="24"/>
          <w:szCs w:val="28"/>
        </w:rPr>
        <w:t>C]IMA107 BP</w:t>
      </w:r>
      <w:r w:rsidR="000042BC" w:rsidRPr="00523257">
        <w:rPr>
          <w:rFonts w:ascii="Times New Roman" w:hAnsi="Times New Roman" w:cs="Times New Roman"/>
          <w:sz w:val="24"/>
          <w:szCs w:val="28"/>
          <w:vertAlign w:val="subscript"/>
        </w:rPr>
        <w:t xml:space="preserve">ND </w:t>
      </w:r>
      <w:r w:rsidR="000042BC" w:rsidRPr="00523257">
        <w:rPr>
          <w:rFonts w:ascii="Times New Roman" w:hAnsi="Times New Roman" w:cs="Times New Roman"/>
          <w:sz w:val="24"/>
          <w:szCs w:val="28"/>
        </w:rPr>
        <w:t>was drive</w:t>
      </w:r>
      <w:r w:rsidR="00656897" w:rsidRPr="00523257">
        <w:rPr>
          <w:rFonts w:ascii="Times New Roman" w:hAnsi="Times New Roman" w:cs="Times New Roman"/>
          <w:sz w:val="24"/>
          <w:szCs w:val="28"/>
        </w:rPr>
        <w:t>n</w:t>
      </w:r>
      <w:r w:rsidR="000042BC" w:rsidRPr="00523257">
        <w:rPr>
          <w:rFonts w:ascii="Times New Roman" w:hAnsi="Times New Roman" w:cs="Times New Roman"/>
          <w:sz w:val="24"/>
          <w:szCs w:val="28"/>
        </w:rPr>
        <w:t xml:space="preserve"> b</w:t>
      </w:r>
      <w:r w:rsidR="0021188F" w:rsidRPr="00523257">
        <w:rPr>
          <w:rFonts w:ascii="Times New Roman" w:hAnsi="Times New Roman" w:cs="Times New Roman"/>
          <w:sz w:val="24"/>
          <w:szCs w:val="28"/>
        </w:rPr>
        <w:t>y the internal segment (</w:t>
      </w:r>
      <w:r w:rsidR="0021188F" w:rsidRPr="00523257">
        <w:rPr>
          <w:rFonts w:ascii="Times New Roman" w:hAnsi="Times New Roman" w:cs="Times New Roman"/>
          <w:i/>
          <w:sz w:val="24"/>
          <w:szCs w:val="28"/>
        </w:rPr>
        <w:t>P</w:t>
      </w:r>
      <w:r w:rsidR="0021188F" w:rsidRPr="00523257">
        <w:rPr>
          <w:rFonts w:ascii="Times New Roman" w:hAnsi="Times New Roman" w:cs="Times New Roman"/>
          <w:sz w:val="24"/>
          <w:szCs w:val="28"/>
        </w:rPr>
        <w:t>=</w:t>
      </w:r>
      <w:r w:rsidR="000042BC" w:rsidRPr="00523257">
        <w:rPr>
          <w:rFonts w:ascii="Times New Roman" w:hAnsi="Times New Roman" w:cs="Times New Roman"/>
          <w:sz w:val="24"/>
          <w:szCs w:val="28"/>
        </w:rPr>
        <w:t>0.01</w:t>
      </w:r>
      <w:r w:rsidR="0021188F" w:rsidRPr="00523257">
        <w:rPr>
          <w:rFonts w:ascii="Times New Roman" w:hAnsi="Times New Roman" w:cs="Times New Roman"/>
          <w:sz w:val="24"/>
          <w:szCs w:val="28"/>
        </w:rPr>
        <w:t xml:space="preserve">8; </w:t>
      </w:r>
      <w:r w:rsidR="009352CD" w:rsidRPr="00932158">
        <w:rPr>
          <w:rFonts w:ascii="Times New Roman" w:hAnsi="Times New Roman" w:cs="Times New Roman"/>
        </w:rPr>
        <w:t>−</w:t>
      </w:r>
      <w:r w:rsidR="0021188F" w:rsidRPr="00523257">
        <w:rPr>
          <w:rFonts w:ascii="Times New Roman" w:hAnsi="Times New Roman" w:cs="Times New Roman"/>
          <w:sz w:val="24"/>
          <w:szCs w:val="28"/>
        </w:rPr>
        <w:t>18.8%</w:t>
      </w:r>
      <w:r w:rsidR="000042BC" w:rsidRPr="00523257">
        <w:rPr>
          <w:rFonts w:ascii="Times New Roman" w:hAnsi="Times New Roman" w:cs="Times New Roman"/>
          <w:sz w:val="24"/>
          <w:szCs w:val="28"/>
        </w:rPr>
        <w:t xml:space="preserve">). </w:t>
      </w:r>
      <w:r w:rsidR="00BD23DF">
        <w:rPr>
          <w:rFonts w:ascii="Times New Roman" w:hAnsi="Times New Roman" w:cs="Times New Roman"/>
          <w:sz w:val="24"/>
          <w:szCs w:val="28"/>
        </w:rPr>
        <w:t xml:space="preserve">There were no differences in </w:t>
      </w:r>
      <w:r w:rsidR="00BD23DF" w:rsidRPr="00523257">
        <w:rPr>
          <w:rFonts w:ascii="Times New Roman" w:hAnsi="Times New Roman" w:cs="Times New Roman"/>
          <w:sz w:val="24"/>
          <w:szCs w:val="28"/>
        </w:rPr>
        <w:t>[</w:t>
      </w:r>
      <w:r w:rsidR="00BD23DF" w:rsidRPr="00523257">
        <w:rPr>
          <w:rFonts w:ascii="Times New Roman" w:hAnsi="Times New Roman" w:cs="Times New Roman"/>
          <w:sz w:val="24"/>
          <w:szCs w:val="28"/>
          <w:vertAlign w:val="superscript"/>
        </w:rPr>
        <w:t>11</w:t>
      </w:r>
      <w:r w:rsidR="00BD23DF" w:rsidRPr="00523257">
        <w:rPr>
          <w:rFonts w:ascii="Times New Roman" w:hAnsi="Times New Roman" w:cs="Times New Roman"/>
          <w:sz w:val="24"/>
          <w:szCs w:val="28"/>
        </w:rPr>
        <w:t>C]IMA107 BP</w:t>
      </w:r>
      <w:r w:rsidR="00BD23DF" w:rsidRPr="00523257">
        <w:rPr>
          <w:rFonts w:ascii="Times New Roman" w:hAnsi="Times New Roman" w:cs="Times New Roman"/>
          <w:sz w:val="24"/>
          <w:szCs w:val="28"/>
          <w:vertAlign w:val="subscript"/>
        </w:rPr>
        <w:t>ND</w:t>
      </w:r>
      <w:r w:rsidR="00BD23DF">
        <w:rPr>
          <w:rFonts w:ascii="Times New Roman" w:hAnsi="Times New Roman" w:cs="Times New Roman"/>
          <w:sz w:val="24"/>
          <w:szCs w:val="28"/>
          <w:vertAlign w:val="subscript"/>
        </w:rPr>
        <w:t xml:space="preserve"> </w:t>
      </w:r>
      <w:r w:rsidR="00BD23DF">
        <w:rPr>
          <w:rFonts w:ascii="Times New Roman" w:hAnsi="Times New Roman" w:cs="Times New Roman"/>
          <w:sz w:val="24"/>
          <w:szCs w:val="28"/>
        </w:rPr>
        <w:t>between the Parkinson’s disease patients and healthy controls in ventral striatum (</w:t>
      </w:r>
      <w:r w:rsidR="00BD23DF" w:rsidRPr="00BD23DF">
        <w:rPr>
          <w:rFonts w:ascii="Times New Roman" w:hAnsi="Times New Roman" w:cs="Times New Roman"/>
          <w:i/>
          <w:sz w:val="24"/>
          <w:szCs w:val="28"/>
        </w:rPr>
        <w:t>P</w:t>
      </w:r>
      <w:r w:rsidR="00BD23DF">
        <w:rPr>
          <w:rFonts w:ascii="Times New Roman" w:hAnsi="Times New Roman" w:cs="Times New Roman"/>
          <w:sz w:val="24"/>
          <w:szCs w:val="28"/>
        </w:rPr>
        <w:t xml:space="preserve">&gt;0.10; </w:t>
      </w:r>
      <w:r w:rsidR="00BD23DF" w:rsidRPr="00932158">
        <w:rPr>
          <w:rFonts w:ascii="Times New Roman" w:hAnsi="Times New Roman" w:cs="Times New Roman"/>
        </w:rPr>
        <w:t>−</w:t>
      </w:r>
      <w:r w:rsidR="00BD23DF">
        <w:rPr>
          <w:rFonts w:ascii="Times New Roman" w:hAnsi="Times New Roman" w:cs="Times New Roman"/>
          <w:sz w:val="24"/>
          <w:szCs w:val="28"/>
        </w:rPr>
        <w:t>1.6%), substantia nigra (</w:t>
      </w:r>
      <w:r w:rsidR="00BD23DF" w:rsidRPr="00BD23DF">
        <w:rPr>
          <w:rFonts w:ascii="Times New Roman" w:hAnsi="Times New Roman" w:cs="Times New Roman"/>
          <w:i/>
          <w:sz w:val="24"/>
          <w:szCs w:val="28"/>
        </w:rPr>
        <w:t>P</w:t>
      </w:r>
      <w:r w:rsidR="00BD23DF">
        <w:rPr>
          <w:rFonts w:ascii="Times New Roman" w:hAnsi="Times New Roman" w:cs="Times New Roman"/>
          <w:sz w:val="24"/>
          <w:szCs w:val="28"/>
        </w:rPr>
        <w:t>&gt;0.10</w:t>
      </w:r>
      <w:r w:rsidR="00BD23DF" w:rsidRPr="00BD23DF">
        <w:rPr>
          <w:rFonts w:ascii="Times New Roman" w:hAnsi="Times New Roman" w:cs="Times New Roman"/>
          <w:sz w:val="28"/>
          <w:szCs w:val="28"/>
        </w:rPr>
        <w:t xml:space="preserve">; </w:t>
      </w:r>
      <w:r w:rsidR="00BD23DF" w:rsidRPr="00BD23DF">
        <w:rPr>
          <w:rFonts w:ascii="Times New Roman" w:hAnsi="Times New Roman" w:cs="Times New Roman"/>
          <w:sz w:val="24"/>
        </w:rPr>
        <w:t>−12.4%) and motor thalamic nuclei</w:t>
      </w:r>
      <w:r w:rsidR="00BD23DF">
        <w:rPr>
          <w:rFonts w:ascii="Times New Roman" w:hAnsi="Times New Roman" w:cs="Times New Roman"/>
          <w:sz w:val="24"/>
        </w:rPr>
        <w:t xml:space="preserve"> (</w:t>
      </w:r>
      <w:r w:rsidR="00BD23DF" w:rsidRPr="00BD23DF">
        <w:rPr>
          <w:rFonts w:ascii="Times New Roman" w:hAnsi="Times New Roman" w:cs="Times New Roman"/>
          <w:i/>
          <w:sz w:val="24"/>
        </w:rPr>
        <w:t>P</w:t>
      </w:r>
      <w:r w:rsidR="00BD23DF">
        <w:rPr>
          <w:rFonts w:ascii="Times New Roman" w:hAnsi="Times New Roman" w:cs="Times New Roman"/>
          <w:sz w:val="24"/>
        </w:rPr>
        <w:t xml:space="preserve">&gt;0.10; </w:t>
      </w:r>
      <w:r w:rsidR="00BD23DF" w:rsidRPr="00BD23DF">
        <w:rPr>
          <w:rFonts w:ascii="Times New Roman" w:hAnsi="Times New Roman" w:cs="Times New Roman"/>
          <w:sz w:val="24"/>
        </w:rPr>
        <w:t>−12.3%).</w:t>
      </w:r>
      <w:r w:rsidR="00D72FB7">
        <w:rPr>
          <w:rFonts w:ascii="Times New Roman" w:hAnsi="Times New Roman" w:cs="Times New Roman"/>
          <w:sz w:val="24"/>
        </w:rPr>
        <w:t xml:space="preserve"> </w:t>
      </w:r>
    </w:p>
    <w:p w14:paraId="412FFD79" w14:textId="77777777" w:rsidR="003D0ED4" w:rsidRDefault="003D0ED4" w:rsidP="003D0ED4">
      <w:pPr>
        <w:spacing w:after="0" w:line="480" w:lineRule="auto"/>
        <w:jc w:val="both"/>
        <w:rPr>
          <w:rFonts w:ascii="Times New Roman" w:hAnsi="Times New Roman" w:cs="Times New Roman"/>
          <w:sz w:val="24"/>
          <w:szCs w:val="28"/>
        </w:rPr>
      </w:pPr>
      <w:r>
        <w:rPr>
          <w:rFonts w:ascii="Times New Roman" w:hAnsi="Times New Roman" w:cs="Times New Roman"/>
          <w:sz w:val="24"/>
        </w:rPr>
        <w:t xml:space="preserve">We assessed </w:t>
      </w:r>
      <w:r w:rsidRPr="00693353">
        <w:rPr>
          <w:rFonts w:ascii="Times New Roman" w:hAnsi="Times New Roman" w:cs="Times New Roman"/>
          <w:sz w:val="24"/>
        </w:rPr>
        <w:t xml:space="preserve">whether clinically asymmetric limb motor features correspond to </w:t>
      </w:r>
      <w:r w:rsidRPr="00523257">
        <w:rPr>
          <w:rFonts w:ascii="Times New Roman" w:hAnsi="Times New Roman" w:cs="Times New Roman"/>
          <w:sz w:val="24"/>
          <w:szCs w:val="28"/>
        </w:rPr>
        <w:t>[</w:t>
      </w:r>
      <w:r w:rsidRPr="00523257">
        <w:rPr>
          <w:rFonts w:ascii="Times New Roman" w:hAnsi="Times New Roman" w:cs="Times New Roman"/>
          <w:sz w:val="24"/>
          <w:szCs w:val="28"/>
          <w:vertAlign w:val="superscript"/>
        </w:rPr>
        <w:t>11</w:t>
      </w:r>
      <w:r w:rsidRPr="00523257">
        <w:rPr>
          <w:rFonts w:ascii="Times New Roman" w:hAnsi="Times New Roman" w:cs="Times New Roman"/>
          <w:sz w:val="24"/>
          <w:szCs w:val="28"/>
        </w:rPr>
        <w:t>C]IMA107 BP</w:t>
      </w:r>
      <w:r w:rsidRPr="00523257">
        <w:rPr>
          <w:rFonts w:ascii="Times New Roman" w:hAnsi="Times New Roman" w:cs="Times New Roman"/>
          <w:sz w:val="24"/>
          <w:szCs w:val="28"/>
          <w:vertAlign w:val="subscript"/>
        </w:rPr>
        <w:t xml:space="preserve">ND </w:t>
      </w:r>
      <w:r>
        <w:rPr>
          <w:rFonts w:ascii="Times New Roman" w:hAnsi="Times New Roman" w:cs="Times New Roman"/>
          <w:sz w:val="24"/>
          <w:szCs w:val="28"/>
        </w:rPr>
        <w:t xml:space="preserve">decreases, and </w:t>
      </w:r>
      <w:r>
        <w:rPr>
          <w:rFonts w:ascii="Times New Roman" w:hAnsi="Times New Roman" w:cs="Times New Roman"/>
          <w:sz w:val="24"/>
        </w:rPr>
        <w:t xml:space="preserve">we found no significant differences </w:t>
      </w:r>
      <w:r w:rsidRPr="00D72FB7">
        <w:rPr>
          <w:rFonts w:ascii="Times New Roman" w:hAnsi="Times New Roman" w:cs="Times New Roman"/>
          <w:sz w:val="24"/>
        </w:rPr>
        <w:t>in [</w:t>
      </w:r>
      <w:r w:rsidRPr="00D72FB7">
        <w:rPr>
          <w:rFonts w:ascii="Times New Roman" w:hAnsi="Times New Roman" w:cs="Times New Roman"/>
          <w:sz w:val="24"/>
          <w:vertAlign w:val="superscript"/>
        </w:rPr>
        <w:t>11</w:t>
      </w:r>
      <w:r w:rsidRPr="00D72FB7">
        <w:rPr>
          <w:rFonts w:ascii="Times New Roman" w:hAnsi="Times New Roman" w:cs="Times New Roman"/>
          <w:sz w:val="24"/>
        </w:rPr>
        <w:t>C]IMA107 BP</w:t>
      </w:r>
      <w:r w:rsidRPr="00D72FB7">
        <w:rPr>
          <w:rFonts w:ascii="Times New Roman" w:hAnsi="Times New Roman" w:cs="Times New Roman"/>
          <w:sz w:val="24"/>
          <w:vertAlign w:val="subscript"/>
        </w:rPr>
        <w:t>ND</w:t>
      </w:r>
      <w:r w:rsidRPr="00D72FB7">
        <w:rPr>
          <w:rFonts w:ascii="Times New Roman" w:hAnsi="Times New Roman" w:cs="Times New Roman"/>
          <w:sz w:val="24"/>
        </w:rPr>
        <w:t xml:space="preserve"> between the most and less affected sides (</w:t>
      </w:r>
      <w:r w:rsidRPr="00D72FB7">
        <w:rPr>
          <w:rFonts w:ascii="Times New Roman" w:hAnsi="Times New Roman" w:cs="Times New Roman"/>
          <w:i/>
          <w:sz w:val="24"/>
        </w:rPr>
        <w:t>P</w:t>
      </w:r>
      <w:r>
        <w:rPr>
          <w:rFonts w:ascii="Times New Roman" w:hAnsi="Times New Roman" w:cs="Times New Roman"/>
          <w:sz w:val="24"/>
        </w:rPr>
        <w:t xml:space="preserve">=0.43; </w:t>
      </w:r>
      <w:r w:rsidRPr="00D72FB7">
        <w:rPr>
          <w:rFonts w:ascii="Times New Roman" w:hAnsi="Times New Roman" w:cs="Times New Roman"/>
          <w:sz w:val="24"/>
        </w:rPr>
        <w:t>Table S2).</w:t>
      </w:r>
      <w:r>
        <w:rPr>
          <w:rFonts w:ascii="Times New Roman" w:hAnsi="Times New Roman" w:cs="Times New Roman"/>
          <w:sz w:val="24"/>
        </w:rPr>
        <w:t xml:space="preserve"> Moreover, we found no </w:t>
      </w:r>
      <w:r w:rsidRPr="00A149E5">
        <w:rPr>
          <w:rFonts w:ascii="Times New Roman" w:hAnsi="Times New Roman" w:cs="Times New Roman"/>
          <w:sz w:val="24"/>
          <w:szCs w:val="28"/>
        </w:rPr>
        <w:t>effect</w:t>
      </w:r>
      <w:r>
        <w:rPr>
          <w:rFonts w:ascii="Times New Roman" w:hAnsi="Times New Roman" w:cs="Times New Roman"/>
          <w:sz w:val="24"/>
          <w:szCs w:val="28"/>
        </w:rPr>
        <w:t xml:space="preserve"> </w:t>
      </w:r>
      <w:r w:rsidRPr="00A149E5">
        <w:rPr>
          <w:rFonts w:ascii="Times New Roman" w:hAnsi="Times New Roman" w:cs="Times New Roman"/>
          <w:sz w:val="24"/>
          <w:szCs w:val="28"/>
        </w:rPr>
        <w:t>of</w:t>
      </w:r>
      <w:r>
        <w:rPr>
          <w:rFonts w:ascii="Times New Roman" w:hAnsi="Times New Roman" w:cs="Times New Roman"/>
          <w:sz w:val="24"/>
          <w:szCs w:val="28"/>
        </w:rPr>
        <w:t xml:space="preserve"> </w:t>
      </w:r>
      <w:r w:rsidRPr="00A149E5">
        <w:rPr>
          <w:rFonts w:ascii="Times New Roman" w:hAnsi="Times New Roman" w:cs="Times New Roman"/>
          <w:sz w:val="24"/>
          <w:szCs w:val="28"/>
        </w:rPr>
        <w:t>age</w:t>
      </w:r>
      <w:r>
        <w:rPr>
          <w:rFonts w:ascii="Times New Roman" w:hAnsi="Times New Roman" w:cs="Times New Roman"/>
          <w:sz w:val="24"/>
          <w:szCs w:val="28"/>
        </w:rPr>
        <w:t xml:space="preserve"> in </w:t>
      </w:r>
      <w:r w:rsidRPr="00523257">
        <w:rPr>
          <w:rFonts w:ascii="Times New Roman" w:hAnsi="Times New Roman" w:cs="Times New Roman"/>
          <w:sz w:val="24"/>
          <w:szCs w:val="28"/>
        </w:rPr>
        <w:t>[</w:t>
      </w:r>
      <w:r w:rsidRPr="00523257">
        <w:rPr>
          <w:rFonts w:ascii="Times New Roman" w:hAnsi="Times New Roman" w:cs="Times New Roman"/>
          <w:sz w:val="24"/>
          <w:szCs w:val="28"/>
          <w:vertAlign w:val="superscript"/>
        </w:rPr>
        <w:t>11</w:t>
      </w:r>
      <w:r w:rsidRPr="00523257">
        <w:rPr>
          <w:rFonts w:ascii="Times New Roman" w:hAnsi="Times New Roman" w:cs="Times New Roman"/>
          <w:sz w:val="24"/>
          <w:szCs w:val="28"/>
        </w:rPr>
        <w:t>C]IMA107 BP</w:t>
      </w:r>
      <w:r w:rsidRPr="00523257">
        <w:rPr>
          <w:rFonts w:ascii="Times New Roman" w:hAnsi="Times New Roman" w:cs="Times New Roman"/>
          <w:sz w:val="24"/>
          <w:szCs w:val="28"/>
          <w:vertAlign w:val="subscript"/>
        </w:rPr>
        <w:t xml:space="preserve">ND </w:t>
      </w:r>
      <w:r>
        <w:rPr>
          <w:rFonts w:ascii="Times New Roman" w:hAnsi="Times New Roman" w:cs="Times New Roman"/>
          <w:sz w:val="24"/>
          <w:szCs w:val="28"/>
          <w:vertAlign w:val="subscript"/>
        </w:rPr>
        <w:t xml:space="preserve"> </w:t>
      </w:r>
      <w:r w:rsidRPr="00A149E5">
        <w:rPr>
          <w:rFonts w:ascii="Times New Roman" w:hAnsi="Times New Roman" w:cs="Times New Roman"/>
          <w:sz w:val="24"/>
          <w:szCs w:val="28"/>
        </w:rPr>
        <w:t xml:space="preserve">in all the regions examined </w:t>
      </w:r>
      <w:r>
        <w:rPr>
          <w:rFonts w:ascii="Times New Roman" w:hAnsi="Times New Roman" w:cs="Times New Roman"/>
          <w:sz w:val="24"/>
          <w:szCs w:val="28"/>
        </w:rPr>
        <w:t xml:space="preserve">in the group of healthy controls </w:t>
      </w:r>
      <w:r w:rsidRPr="00A149E5">
        <w:rPr>
          <w:rFonts w:ascii="Times New Roman" w:hAnsi="Times New Roman" w:cs="Times New Roman"/>
          <w:sz w:val="24"/>
          <w:szCs w:val="28"/>
        </w:rPr>
        <w:t>(</w:t>
      </w:r>
      <w:r w:rsidRPr="00A149E5">
        <w:rPr>
          <w:rFonts w:ascii="Times New Roman" w:hAnsi="Times New Roman" w:cs="Times New Roman"/>
          <w:i/>
          <w:sz w:val="24"/>
          <w:szCs w:val="28"/>
        </w:rPr>
        <w:t>P</w:t>
      </w:r>
      <w:r w:rsidRPr="00A149E5">
        <w:rPr>
          <w:rFonts w:ascii="Times New Roman" w:hAnsi="Times New Roman" w:cs="Times New Roman"/>
          <w:sz w:val="24"/>
          <w:szCs w:val="28"/>
        </w:rPr>
        <w:t>=0.32).</w:t>
      </w:r>
    </w:p>
    <w:p w14:paraId="28D8DE9F" w14:textId="77777777" w:rsidR="00F2283B" w:rsidRDefault="00F2283B" w:rsidP="00523257">
      <w:pPr>
        <w:spacing w:after="0" w:line="480" w:lineRule="auto"/>
        <w:jc w:val="both"/>
        <w:rPr>
          <w:rFonts w:ascii="Times New Roman" w:hAnsi="Times New Roman" w:cs="Times New Roman"/>
          <w:sz w:val="24"/>
          <w:szCs w:val="28"/>
        </w:rPr>
      </w:pPr>
    </w:p>
    <w:p w14:paraId="28CE0EB8" w14:textId="3B19FE19" w:rsidR="00671718" w:rsidRPr="00347858" w:rsidRDefault="00EA1C53" w:rsidP="00523257">
      <w:pPr>
        <w:spacing w:after="0" w:line="480" w:lineRule="auto"/>
        <w:jc w:val="both"/>
        <w:rPr>
          <w:rFonts w:ascii="Times New Roman" w:hAnsi="Times New Roman" w:cs="Times New Roman"/>
          <w:sz w:val="24"/>
          <w:szCs w:val="28"/>
        </w:rPr>
      </w:pPr>
      <w:r w:rsidRPr="00523257">
        <w:rPr>
          <w:rFonts w:ascii="Times New Roman" w:hAnsi="Times New Roman" w:cs="Times New Roman"/>
          <w:sz w:val="24"/>
          <w:szCs w:val="28"/>
        </w:rPr>
        <w:t>The 24 Parkinson’s disease patients were further divided into two subgroups, dep</w:t>
      </w:r>
      <w:r w:rsidR="001C163D" w:rsidRPr="00523257">
        <w:rPr>
          <w:rFonts w:ascii="Times New Roman" w:hAnsi="Times New Roman" w:cs="Times New Roman"/>
          <w:sz w:val="24"/>
          <w:szCs w:val="28"/>
        </w:rPr>
        <w:t>ending whether they were stable responder</w:t>
      </w:r>
      <w:r w:rsidR="00EB1665">
        <w:rPr>
          <w:rFonts w:ascii="Times New Roman" w:hAnsi="Times New Roman" w:cs="Times New Roman"/>
          <w:sz w:val="24"/>
          <w:szCs w:val="28"/>
        </w:rPr>
        <w:t>s</w:t>
      </w:r>
      <w:r w:rsidR="001C163D" w:rsidRPr="00523257">
        <w:rPr>
          <w:rFonts w:ascii="Times New Roman" w:hAnsi="Times New Roman" w:cs="Times New Roman"/>
          <w:sz w:val="24"/>
          <w:szCs w:val="28"/>
        </w:rPr>
        <w:t xml:space="preserve"> to levodopa</w:t>
      </w:r>
      <w:r w:rsidR="00EB1665">
        <w:rPr>
          <w:rFonts w:ascii="Times New Roman" w:hAnsi="Times New Roman" w:cs="Times New Roman"/>
          <w:sz w:val="24"/>
          <w:szCs w:val="28"/>
        </w:rPr>
        <w:t xml:space="preserve"> (n=12)</w:t>
      </w:r>
      <w:r w:rsidR="001C163D" w:rsidRPr="00523257">
        <w:rPr>
          <w:rFonts w:ascii="Times New Roman" w:hAnsi="Times New Roman" w:cs="Times New Roman"/>
          <w:sz w:val="24"/>
          <w:szCs w:val="28"/>
        </w:rPr>
        <w:t xml:space="preserve"> or had </w:t>
      </w:r>
      <w:r w:rsidR="00EB1665">
        <w:rPr>
          <w:rFonts w:ascii="Times New Roman" w:hAnsi="Times New Roman" w:cs="Times New Roman"/>
          <w:sz w:val="24"/>
          <w:szCs w:val="28"/>
        </w:rPr>
        <w:t>LIDs (n=12)</w:t>
      </w:r>
      <w:r w:rsidR="001C163D" w:rsidRPr="00523257">
        <w:rPr>
          <w:rFonts w:ascii="Times New Roman" w:hAnsi="Times New Roman" w:cs="Times New Roman"/>
          <w:sz w:val="24"/>
          <w:szCs w:val="28"/>
        </w:rPr>
        <w:t>.</w:t>
      </w:r>
      <w:r w:rsidR="0057600C" w:rsidRPr="00523257">
        <w:rPr>
          <w:rFonts w:ascii="Times New Roman" w:hAnsi="Times New Roman" w:cs="Times New Roman"/>
          <w:sz w:val="24"/>
          <w:szCs w:val="28"/>
        </w:rPr>
        <w:t xml:space="preserve"> </w:t>
      </w:r>
      <w:r w:rsidR="00933D6F" w:rsidRPr="00523257">
        <w:rPr>
          <w:rFonts w:ascii="Times New Roman" w:hAnsi="Times New Roman" w:cs="Times New Roman"/>
          <w:sz w:val="24"/>
          <w:szCs w:val="28"/>
        </w:rPr>
        <w:t xml:space="preserve">We found significant differences </w:t>
      </w:r>
      <w:r w:rsidR="008B6D0C" w:rsidRPr="00EA64F4">
        <w:rPr>
          <w:rFonts w:ascii="Times New Roman" w:hAnsi="Times New Roman" w:cs="Times New Roman"/>
          <w:sz w:val="24"/>
          <w:szCs w:val="28"/>
        </w:rPr>
        <w:t xml:space="preserve">in </w:t>
      </w:r>
      <w:r w:rsidR="008B6D0C">
        <w:rPr>
          <w:rFonts w:ascii="Times New Roman" w:hAnsi="Times New Roman" w:cs="Times New Roman"/>
          <w:sz w:val="24"/>
          <w:szCs w:val="28"/>
        </w:rPr>
        <w:t xml:space="preserve">mean </w:t>
      </w:r>
      <w:r w:rsidR="008B6D0C" w:rsidRPr="00523257">
        <w:rPr>
          <w:rFonts w:ascii="Times New Roman" w:hAnsi="Times New Roman" w:cs="Times New Roman"/>
          <w:sz w:val="24"/>
          <w:szCs w:val="28"/>
        </w:rPr>
        <w:t>[</w:t>
      </w:r>
      <w:r w:rsidR="008B6D0C" w:rsidRPr="00523257">
        <w:rPr>
          <w:rFonts w:ascii="Times New Roman" w:hAnsi="Times New Roman" w:cs="Times New Roman"/>
          <w:sz w:val="24"/>
          <w:szCs w:val="28"/>
          <w:vertAlign w:val="superscript"/>
        </w:rPr>
        <w:t>11</w:t>
      </w:r>
      <w:r w:rsidR="008B6D0C" w:rsidRPr="00523257">
        <w:rPr>
          <w:rFonts w:ascii="Times New Roman" w:hAnsi="Times New Roman" w:cs="Times New Roman"/>
          <w:sz w:val="24"/>
          <w:szCs w:val="28"/>
        </w:rPr>
        <w:t>C]IMA107 BP</w:t>
      </w:r>
      <w:r w:rsidR="008B6D0C" w:rsidRPr="00523257">
        <w:rPr>
          <w:rFonts w:ascii="Times New Roman" w:hAnsi="Times New Roman" w:cs="Times New Roman"/>
          <w:sz w:val="24"/>
          <w:szCs w:val="28"/>
          <w:vertAlign w:val="subscript"/>
        </w:rPr>
        <w:t xml:space="preserve">ND </w:t>
      </w:r>
      <w:r w:rsidR="00933D6F" w:rsidRPr="00523257">
        <w:rPr>
          <w:rFonts w:ascii="Times New Roman" w:hAnsi="Times New Roman" w:cs="Times New Roman"/>
          <w:sz w:val="24"/>
          <w:szCs w:val="28"/>
        </w:rPr>
        <w:t>between Parkinson’s diseas</w:t>
      </w:r>
      <w:r w:rsidR="00183BCA" w:rsidRPr="00523257">
        <w:rPr>
          <w:rFonts w:ascii="Times New Roman" w:hAnsi="Times New Roman" w:cs="Times New Roman"/>
          <w:sz w:val="24"/>
          <w:szCs w:val="28"/>
        </w:rPr>
        <w:t xml:space="preserve">e </w:t>
      </w:r>
      <w:r w:rsidR="00E630F8">
        <w:rPr>
          <w:rFonts w:ascii="Times New Roman" w:hAnsi="Times New Roman" w:cs="Times New Roman"/>
          <w:sz w:val="24"/>
          <w:szCs w:val="28"/>
        </w:rPr>
        <w:t xml:space="preserve">patients </w:t>
      </w:r>
      <w:r w:rsidR="00183BCA" w:rsidRPr="00523257">
        <w:rPr>
          <w:rFonts w:ascii="Times New Roman" w:hAnsi="Times New Roman" w:cs="Times New Roman"/>
          <w:sz w:val="24"/>
          <w:szCs w:val="28"/>
        </w:rPr>
        <w:t>with</w:t>
      </w:r>
      <w:r w:rsidR="00A83998">
        <w:rPr>
          <w:rFonts w:ascii="Times New Roman" w:hAnsi="Times New Roman" w:cs="Times New Roman"/>
          <w:sz w:val="24"/>
          <w:szCs w:val="28"/>
        </w:rPr>
        <w:t xml:space="preserve"> stable</w:t>
      </w:r>
      <w:r w:rsidR="00183BCA" w:rsidRPr="00523257">
        <w:rPr>
          <w:rFonts w:ascii="Times New Roman" w:hAnsi="Times New Roman" w:cs="Times New Roman"/>
          <w:sz w:val="24"/>
          <w:szCs w:val="28"/>
        </w:rPr>
        <w:t xml:space="preserve"> </w:t>
      </w:r>
      <w:r w:rsidR="0082689B">
        <w:rPr>
          <w:rFonts w:ascii="Times New Roman" w:hAnsi="Times New Roman" w:cs="Times New Roman"/>
          <w:sz w:val="24"/>
          <w:szCs w:val="28"/>
        </w:rPr>
        <w:t xml:space="preserve">levodopa response </w:t>
      </w:r>
      <w:r w:rsidR="00183BCA" w:rsidRPr="00523257">
        <w:rPr>
          <w:rFonts w:ascii="Times New Roman" w:hAnsi="Times New Roman" w:cs="Times New Roman"/>
          <w:sz w:val="24"/>
          <w:szCs w:val="28"/>
        </w:rPr>
        <w:t>and</w:t>
      </w:r>
      <w:r w:rsidR="0082689B">
        <w:rPr>
          <w:rFonts w:ascii="Times New Roman" w:hAnsi="Times New Roman" w:cs="Times New Roman"/>
          <w:sz w:val="24"/>
          <w:szCs w:val="28"/>
        </w:rPr>
        <w:t xml:space="preserve"> those</w:t>
      </w:r>
      <w:r w:rsidR="00183BCA" w:rsidRPr="00523257">
        <w:rPr>
          <w:rFonts w:ascii="Times New Roman" w:hAnsi="Times New Roman" w:cs="Times New Roman"/>
          <w:sz w:val="24"/>
          <w:szCs w:val="28"/>
        </w:rPr>
        <w:t xml:space="preserve"> </w:t>
      </w:r>
      <w:r w:rsidR="0065494D">
        <w:rPr>
          <w:rFonts w:ascii="Times New Roman" w:hAnsi="Times New Roman" w:cs="Times New Roman"/>
          <w:sz w:val="24"/>
          <w:szCs w:val="28"/>
        </w:rPr>
        <w:t>with</w:t>
      </w:r>
      <w:r w:rsidR="0065494D" w:rsidRPr="00523257">
        <w:rPr>
          <w:rFonts w:ascii="Times New Roman" w:hAnsi="Times New Roman" w:cs="Times New Roman"/>
          <w:sz w:val="24"/>
          <w:szCs w:val="28"/>
        </w:rPr>
        <w:t xml:space="preserve"> </w:t>
      </w:r>
      <w:r w:rsidR="00C716F0">
        <w:rPr>
          <w:rFonts w:ascii="Times New Roman" w:hAnsi="Times New Roman" w:cs="Times New Roman"/>
          <w:sz w:val="24"/>
          <w:szCs w:val="28"/>
        </w:rPr>
        <w:t>LIDs</w:t>
      </w:r>
      <w:r w:rsidR="00933D6F" w:rsidRPr="00523257">
        <w:rPr>
          <w:rFonts w:ascii="Times New Roman" w:hAnsi="Times New Roman" w:cs="Times New Roman"/>
          <w:sz w:val="24"/>
          <w:szCs w:val="28"/>
        </w:rPr>
        <w:t xml:space="preserve"> (</w:t>
      </w:r>
      <w:r w:rsidR="00933D6F" w:rsidRPr="00523257">
        <w:rPr>
          <w:rFonts w:ascii="Times New Roman" w:hAnsi="Times New Roman" w:cs="Times New Roman"/>
          <w:i/>
          <w:sz w:val="24"/>
          <w:szCs w:val="28"/>
        </w:rPr>
        <w:t>P</w:t>
      </w:r>
      <w:r w:rsidR="00933D6F" w:rsidRPr="00523257">
        <w:rPr>
          <w:rFonts w:ascii="Times New Roman" w:hAnsi="Times New Roman" w:cs="Times New Roman"/>
          <w:sz w:val="24"/>
          <w:szCs w:val="28"/>
        </w:rPr>
        <w:t>=0.002;</w:t>
      </w:r>
      <w:r w:rsidR="00832748">
        <w:rPr>
          <w:rFonts w:ascii="Times New Roman" w:hAnsi="Times New Roman" w:cs="Times New Roman"/>
          <w:sz w:val="24"/>
          <w:szCs w:val="28"/>
        </w:rPr>
        <w:t xml:space="preserve"> Table 3</w:t>
      </w:r>
      <w:r w:rsidR="00933D6F" w:rsidRPr="00523257">
        <w:rPr>
          <w:rFonts w:ascii="Times New Roman" w:hAnsi="Times New Roman" w:cs="Times New Roman"/>
          <w:sz w:val="24"/>
          <w:szCs w:val="28"/>
        </w:rPr>
        <w:t>). Parkinson’s disease patients with</w:t>
      </w:r>
      <w:r w:rsidR="00BE1DF0" w:rsidRPr="00523257">
        <w:rPr>
          <w:rFonts w:ascii="Times New Roman" w:hAnsi="Times New Roman" w:cs="Times New Roman"/>
          <w:sz w:val="24"/>
          <w:szCs w:val="28"/>
        </w:rPr>
        <w:t xml:space="preserve"> </w:t>
      </w:r>
      <w:r w:rsidR="00E71202">
        <w:rPr>
          <w:rFonts w:ascii="Times New Roman" w:hAnsi="Times New Roman" w:cs="Times New Roman"/>
          <w:sz w:val="24"/>
          <w:szCs w:val="28"/>
        </w:rPr>
        <w:t>LIDs</w:t>
      </w:r>
      <w:r w:rsidR="00183BCA" w:rsidRPr="00523257">
        <w:rPr>
          <w:rFonts w:ascii="Times New Roman" w:hAnsi="Times New Roman" w:cs="Times New Roman"/>
          <w:sz w:val="24"/>
          <w:szCs w:val="28"/>
        </w:rPr>
        <w:t xml:space="preserve"> </w:t>
      </w:r>
      <w:r w:rsidR="00BE1DF0" w:rsidRPr="00523257">
        <w:rPr>
          <w:rFonts w:ascii="Times New Roman" w:hAnsi="Times New Roman" w:cs="Times New Roman"/>
          <w:sz w:val="24"/>
          <w:szCs w:val="28"/>
        </w:rPr>
        <w:t xml:space="preserve">had </w:t>
      </w:r>
      <w:r w:rsidR="00933D6F" w:rsidRPr="00523257">
        <w:rPr>
          <w:rFonts w:ascii="Times New Roman" w:hAnsi="Times New Roman" w:cs="Times New Roman"/>
          <w:sz w:val="24"/>
          <w:szCs w:val="28"/>
        </w:rPr>
        <w:t>significantly lower mean [</w:t>
      </w:r>
      <w:r w:rsidR="00933D6F" w:rsidRPr="00523257">
        <w:rPr>
          <w:rFonts w:ascii="Times New Roman" w:hAnsi="Times New Roman" w:cs="Times New Roman"/>
          <w:sz w:val="24"/>
          <w:szCs w:val="28"/>
          <w:vertAlign w:val="superscript"/>
        </w:rPr>
        <w:t>11</w:t>
      </w:r>
      <w:r w:rsidR="00933D6F" w:rsidRPr="00523257">
        <w:rPr>
          <w:rFonts w:ascii="Times New Roman" w:hAnsi="Times New Roman" w:cs="Times New Roman"/>
          <w:sz w:val="24"/>
          <w:szCs w:val="28"/>
        </w:rPr>
        <w:t>C]IMA107 BP</w:t>
      </w:r>
      <w:r w:rsidR="00933D6F" w:rsidRPr="00523257">
        <w:rPr>
          <w:rFonts w:ascii="Times New Roman" w:hAnsi="Times New Roman" w:cs="Times New Roman"/>
          <w:sz w:val="24"/>
          <w:szCs w:val="28"/>
          <w:vertAlign w:val="subscript"/>
        </w:rPr>
        <w:t xml:space="preserve">ND </w:t>
      </w:r>
      <w:r w:rsidR="00933D6F" w:rsidRPr="00523257">
        <w:rPr>
          <w:rFonts w:ascii="Times New Roman" w:hAnsi="Times New Roman" w:cs="Times New Roman"/>
          <w:sz w:val="24"/>
          <w:szCs w:val="28"/>
        </w:rPr>
        <w:t>in caudate (</w:t>
      </w:r>
      <w:r w:rsidR="00933D6F" w:rsidRPr="00523257">
        <w:rPr>
          <w:rFonts w:ascii="Times New Roman" w:hAnsi="Times New Roman" w:cs="Times New Roman"/>
          <w:i/>
          <w:sz w:val="24"/>
          <w:szCs w:val="28"/>
        </w:rPr>
        <w:t>P</w:t>
      </w:r>
      <w:r w:rsidR="00933D6F" w:rsidRPr="00523257">
        <w:rPr>
          <w:rFonts w:ascii="Times New Roman" w:hAnsi="Times New Roman" w:cs="Times New Roman"/>
          <w:sz w:val="24"/>
          <w:szCs w:val="28"/>
        </w:rPr>
        <w:t xml:space="preserve">=0.045; </w:t>
      </w:r>
      <w:r w:rsidR="00933D6F" w:rsidRPr="00932158">
        <w:rPr>
          <w:rFonts w:ascii="Times New Roman" w:hAnsi="Times New Roman" w:cs="Times New Roman"/>
          <w:sz w:val="24"/>
          <w:szCs w:val="28"/>
        </w:rPr>
        <w:t>−</w:t>
      </w:r>
      <w:r w:rsidR="00933D6F" w:rsidRPr="001077B1">
        <w:rPr>
          <w:rFonts w:ascii="Times New Roman" w:hAnsi="Times New Roman" w:cs="Times New Roman"/>
          <w:sz w:val="24"/>
          <w:szCs w:val="28"/>
        </w:rPr>
        <w:t>18.60%)</w:t>
      </w:r>
      <w:r w:rsidR="00933D6F" w:rsidRPr="00523257">
        <w:rPr>
          <w:rFonts w:ascii="Times New Roman" w:hAnsi="Times New Roman" w:cs="Times New Roman"/>
          <w:sz w:val="24"/>
          <w:szCs w:val="28"/>
        </w:rPr>
        <w:t>, substantia nigra (</w:t>
      </w:r>
      <w:r w:rsidR="00933D6F" w:rsidRPr="00523257">
        <w:rPr>
          <w:rFonts w:ascii="Times New Roman" w:hAnsi="Times New Roman" w:cs="Times New Roman"/>
          <w:i/>
          <w:sz w:val="24"/>
          <w:szCs w:val="28"/>
        </w:rPr>
        <w:t>P</w:t>
      </w:r>
      <w:r w:rsidR="00933D6F" w:rsidRPr="00523257">
        <w:rPr>
          <w:rFonts w:ascii="Times New Roman" w:hAnsi="Times New Roman" w:cs="Times New Roman"/>
          <w:sz w:val="24"/>
          <w:szCs w:val="28"/>
        </w:rPr>
        <w:t xml:space="preserve">&lt;0.001; </w:t>
      </w:r>
      <w:r w:rsidR="00933D6F" w:rsidRPr="00932158">
        <w:rPr>
          <w:rFonts w:ascii="Times New Roman" w:hAnsi="Times New Roman" w:cs="Times New Roman"/>
          <w:sz w:val="24"/>
          <w:szCs w:val="28"/>
        </w:rPr>
        <w:t>−</w:t>
      </w:r>
      <w:r w:rsidR="00933D6F" w:rsidRPr="001077B1">
        <w:rPr>
          <w:rFonts w:ascii="Times New Roman" w:hAnsi="Times New Roman" w:cs="Times New Roman"/>
          <w:bCs/>
          <w:sz w:val="24"/>
          <w:szCs w:val="28"/>
        </w:rPr>
        <w:t>33.50%)</w:t>
      </w:r>
      <w:r w:rsidR="00933D6F" w:rsidRPr="00EA64F4">
        <w:rPr>
          <w:rFonts w:ascii="Times New Roman" w:hAnsi="Times New Roman" w:cs="Times New Roman"/>
          <w:b/>
          <w:bCs/>
          <w:sz w:val="24"/>
          <w:szCs w:val="28"/>
        </w:rPr>
        <w:t xml:space="preserve"> </w:t>
      </w:r>
      <w:r w:rsidR="00933D6F" w:rsidRPr="00523257">
        <w:rPr>
          <w:rFonts w:ascii="Times New Roman" w:hAnsi="Times New Roman" w:cs="Times New Roman"/>
          <w:sz w:val="24"/>
          <w:szCs w:val="28"/>
        </w:rPr>
        <w:t>and motor thalamic nuclei (</w:t>
      </w:r>
      <w:r w:rsidR="00933D6F" w:rsidRPr="00523257">
        <w:rPr>
          <w:rFonts w:ascii="Times New Roman" w:hAnsi="Times New Roman" w:cs="Times New Roman"/>
          <w:i/>
          <w:sz w:val="24"/>
          <w:szCs w:val="28"/>
        </w:rPr>
        <w:t>P</w:t>
      </w:r>
      <w:r w:rsidR="00933D6F" w:rsidRPr="00523257">
        <w:rPr>
          <w:rFonts w:ascii="Times New Roman" w:hAnsi="Times New Roman" w:cs="Times New Roman"/>
          <w:sz w:val="24"/>
          <w:szCs w:val="28"/>
        </w:rPr>
        <w:t xml:space="preserve">=0.009; </w:t>
      </w:r>
      <w:r w:rsidR="00933D6F" w:rsidRPr="00932158">
        <w:rPr>
          <w:rFonts w:ascii="Times New Roman" w:hAnsi="Times New Roman" w:cs="Times New Roman"/>
          <w:sz w:val="24"/>
          <w:szCs w:val="28"/>
        </w:rPr>
        <w:t>−</w:t>
      </w:r>
      <w:r w:rsidR="00933D6F" w:rsidRPr="001077B1">
        <w:rPr>
          <w:rFonts w:ascii="Times New Roman" w:hAnsi="Times New Roman" w:cs="Times New Roman"/>
          <w:sz w:val="24"/>
          <w:szCs w:val="28"/>
        </w:rPr>
        <w:t>29.3%)</w:t>
      </w:r>
      <w:r w:rsidR="00BC3519">
        <w:rPr>
          <w:rFonts w:ascii="Times New Roman" w:hAnsi="Times New Roman" w:cs="Times New Roman"/>
          <w:sz w:val="24"/>
          <w:szCs w:val="28"/>
        </w:rPr>
        <w:t xml:space="preserve"> compared to stable levodopa </w:t>
      </w:r>
      <w:r w:rsidR="00E70371">
        <w:rPr>
          <w:rFonts w:ascii="Times New Roman" w:hAnsi="Times New Roman" w:cs="Times New Roman"/>
          <w:sz w:val="24"/>
          <w:szCs w:val="28"/>
        </w:rPr>
        <w:t>responders</w:t>
      </w:r>
      <w:r w:rsidR="00933D6F" w:rsidRPr="001077B1">
        <w:rPr>
          <w:rFonts w:ascii="Times New Roman" w:hAnsi="Times New Roman" w:cs="Times New Roman"/>
          <w:sz w:val="24"/>
          <w:szCs w:val="28"/>
        </w:rPr>
        <w:t>.</w:t>
      </w:r>
      <w:r w:rsidR="00974FD0" w:rsidRPr="00EA64F4">
        <w:rPr>
          <w:rFonts w:ascii="Times New Roman" w:hAnsi="Times New Roman" w:cs="Times New Roman"/>
          <w:sz w:val="24"/>
          <w:szCs w:val="28"/>
        </w:rPr>
        <w:t xml:space="preserve"> Parkinson’s disease patients </w:t>
      </w:r>
      <w:r w:rsidR="00C85159" w:rsidRPr="00C15675">
        <w:rPr>
          <w:rFonts w:ascii="Times New Roman" w:hAnsi="Times New Roman" w:cs="Times New Roman"/>
          <w:sz w:val="24"/>
          <w:szCs w:val="28"/>
        </w:rPr>
        <w:t xml:space="preserve">with </w:t>
      </w:r>
      <w:r w:rsidR="00D350F4">
        <w:rPr>
          <w:rFonts w:ascii="Times New Roman" w:hAnsi="Times New Roman" w:cs="Times New Roman"/>
          <w:sz w:val="24"/>
          <w:szCs w:val="28"/>
        </w:rPr>
        <w:t>LIDs</w:t>
      </w:r>
      <w:r w:rsidR="00183BCA" w:rsidRPr="00C15675">
        <w:rPr>
          <w:rFonts w:ascii="Times New Roman" w:hAnsi="Times New Roman" w:cs="Times New Roman"/>
          <w:sz w:val="24"/>
          <w:szCs w:val="28"/>
        </w:rPr>
        <w:t xml:space="preserve"> </w:t>
      </w:r>
      <w:r w:rsidR="00C85159" w:rsidRPr="004E4A1F">
        <w:rPr>
          <w:rFonts w:ascii="Times New Roman" w:hAnsi="Times New Roman" w:cs="Times New Roman"/>
          <w:sz w:val="24"/>
          <w:szCs w:val="28"/>
        </w:rPr>
        <w:t>had longer disease duration than Parkinson’s disease patients who were stable responder</w:t>
      </w:r>
      <w:r w:rsidR="00DD1A2E">
        <w:rPr>
          <w:rFonts w:ascii="Times New Roman" w:hAnsi="Times New Roman" w:cs="Times New Roman"/>
          <w:sz w:val="24"/>
          <w:szCs w:val="28"/>
        </w:rPr>
        <w:t>s</w:t>
      </w:r>
      <w:r w:rsidR="00C85159" w:rsidRPr="004E4A1F">
        <w:rPr>
          <w:rFonts w:ascii="Times New Roman" w:hAnsi="Times New Roman" w:cs="Times New Roman"/>
          <w:sz w:val="24"/>
          <w:szCs w:val="28"/>
        </w:rPr>
        <w:t xml:space="preserve"> to levodopa (</w:t>
      </w:r>
      <w:r w:rsidR="00645BEA">
        <w:rPr>
          <w:rFonts w:ascii="Times New Roman" w:hAnsi="Times New Roman" w:cs="Times New Roman"/>
          <w:sz w:val="24"/>
          <w:szCs w:val="28"/>
        </w:rPr>
        <w:t>6.16</w:t>
      </w:r>
      <w:r w:rsidR="00690B77">
        <w:rPr>
          <w:rFonts w:ascii="Times New Roman" w:hAnsi="Times New Roman" w:cs="Times New Roman"/>
          <w:sz w:val="24"/>
          <w:szCs w:val="28"/>
        </w:rPr>
        <w:t xml:space="preserve"> </w:t>
      </w:r>
      <w:r w:rsidR="00645BEA">
        <w:rPr>
          <w:rFonts w:ascii="Times New Roman" w:hAnsi="Times New Roman" w:cs="Times New Roman"/>
          <w:sz w:val="24"/>
          <w:szCs w:val="28"/>
        </w:rPr>
        <w:t>±</w:t>
      </w:r>
      <w:r w:rsidR="00690B77">
        <w:rPr>
          <w:rFonts w:ascii="Times New Roman" w:hAnsi="Times New Roman" w:cs="Times New Roman"/>
          <w:sz w:val="24"/>
          <w:szCs w:val="28"/>
        </w:rPr>
        <w:t>2.6</w:t>
      </w:r>
      <w:r w:rsidR="00DD1A2E">
        <w:rPr>
          <w:rFonts w:ascii="Times New Roman" w:hAnsi="Times New Roman" w:cs="Times New Roman"/>
          <w:sz w:val="24"/>
          <w:szCs w:val="28"/>
        </w:rPr>
        <w:t xml:space="preserve"> </w:t>
      </w:r>
      <w:r w:rsidR="00DD1A2E" w:rsidRPr="00690B77">
        <w:rPr>
          <w:rFonts w:ascii="Times New Roman" w:hAnsi="Times New Roman" w:cs="Times New Roman"/>
          <w:i/>
          <w:sz w:val="24"/>
          <w:szCs w:val="28"/>
        </w:rPr>
        <w:t>vs</w:t>
      </w:r>
      <w:r w:rsidR="00DD1A2E">
        <w:rPr>
          <w:rFonts w:ascii="Times New Roman" w:hAnsi="Times New Roman" w:cs="Times New Roman"/>
          <w:sz w:val="24"/>
          <w:szCs w:val="28"/>
        </w:rPr>
        <w:t xml:space="preserve"> </w:t>
      </w:r>
      <w:r w:rsidR="00690B77">
        <w:rPr>
          <w:rFonts w:ascii="Times New Roman" w:hAnsi="Times New Roman" w:cs="Times New Roman"/>
          <w:sz w:val="24"/>
          <w:szCs w:val="28"/>
        </w:rPr>
        <w:t>13.17 ±4.3</w:t>
      </w:r>
      <w:r w:rsidR="00DD1A2E">
        <w:rPr>
          <w:rFonts w:ascii="Times New Roman" w:hAnsi="Times New Roman" w:cs="Times New Roman"/>
          <w:sz w:val="24"/>
          <w:szCs w:val="28"/>
        </w:rPr>
        <w:t xml:space="preserve"> years; </w:t>
      </w:r>
      <w:r w:rsidR="007A1828" w:rsidRPr="00324BA9">
        <w:rPr>
          <w:rFonts w:ascii="Times New Roman" w:hAnsi="Times New Roman" w:cs="Times New Roman"/>
          <w:i/>
          <w:sz w:val="24"/>
          <w:szCs w:val="28"/>
        </w:rPr>
        <w:t>P</w:t>
      </w:r>
      <w:r w:rsidR="007A1828" w:rsidRPr="00375142">
        <w:rPr>
          <w:rFonts w:ascii="Times New Roman" w:hAnsi="Times New Roman" w:cs="Times New Roman"/>
          <w:sz w:val="24"/>
          <w:szCs w:val="28"/>
        </w:rPr>
        <w:t xml:space="preserve">&lt;0.001). </w:t>
      </w:r>
      <w:r w:rsidR="00524519" w:rsidRPr="00941621">
        <w:rPr>
          <w:rFonts w:ascii="Times New Roman" w:hAnsi="Times New Roman" w:cs="Times New Roman"/>
          <w:sz w:val="24"/>
          <w:szCs w:val="28"/>
        </w:rPr>
        <w:t>After</w:t>
      </w:r>
      <w:r w:rsidR="00524519">
        <w:rPr>
          <w:rFonts w:ascii="Times New Roman" w:hAnsi="Times New Roman" w:cs="Times New Roman"/>
          <w:sz w:val="24"/>
          <w:szCs w:val="28"/>
        </w:rPr>
        <w:t xml:space="preserve"> controlling for </w:t>
      </w:r>
      <w:r w:rsidR="00524519" w:rsidRPr="00941621">
        <w:rPr>
          <w:rFonts w:ascii="Times New Roman" w:hAnsi="Times New Roman" w:cs="Times New Roman"/>
          <w:sz w:val="24"/>
          <w:szCs w:val="28"/>
        </w:rPr>
        <w:t>disease duration</w:t>
      </w:r>
      <w:r w:rsidR="007A1828" w:rsidRPr="00375142">
        <w:rPr>
          <w:rFonts w:ascii="Times New Roman" w:hAnsi="Times New Roman" w:cs="Times New Roman"/>
          <w:sz w:val="24"/>
          <w:szCs w:val="28"/>
        </w:rPr>
        <w:t xml:space="preserve">, we did not find significant differences in </w:t>
      </w:r>
      <w:r w:rsidR="007A1828" w:rsidRPr="00523257">
        <w:rPr>
          <w:rFonts w:ascii="Times New Roman" w:hAnsi="Times New Roman" w:cs="Times New Roman"/>
          <w:sz w:val="24"/>
          <w:szCs w:val="28"/>
        </w:rPr>
        <w:t>[</w:t>
      </w:r>
      <w:r w:rsidR="007A1828" w:rsidRPr="00523257">
        <w:rPr>
          <w:rFonts w:ascii="Times New Roman" w:hAnsi="Times New Roman" w:cs="Times New Roman"/>
          <w:sz w:val="24"/>
          <w:szCs w:val="28"/>
          <w:vertAlign w:val="superscript"/>
        </w:rPr>
        <w:t>11</w:t>
      </w:r>
      <w:r w:rsidR="007A1828" w:rsidRPr="00523257">
        <w:rPr>
          <w:rFonts w:ascii="Times New Roman" w:hAnsi="Times New Roman" w:cs="Times New Roman"/>
          <w:sz w:val="24"/>
          <w:szCs w:val="28"/>
        </w:rPr>
        <w:t>C]IMA107 BP</w:t>
      </w:r>
      <w:r w:rsidR="007A1828" w:rsidRPr="00523257">
        <w:rPr>
          <w:rFonts w:ascii="Times New Roman" w:hAnsi="Times New Roman" w:cs="Times New Roman"/>
          <w:sz w:val="24"/>
          <w:szCs w:val="28"/>
          <w:vertAlign w:val="subscript"/>
        </w:rPr>
        <w:t xml:space="preserve">ND </w:t>
      </w:r>
      <w:r w:rsidR="007A1828" w:rsidRPr="00523257">
        <w:rPr>
          <w:rFonts w:ascii="Times New Roman" w:hAnsi="Times New Roman" w:cs="Times New Roman"/>
          <w:sz w:val="24"/>
          <w:szCs w:val="28"/>
        </w:rPr>
        <w:t>between Parkinson’s disease patients with</w:t>
      </w:r>
      <w:r w:rsidR="007300B2">
        <w:rPr>
          <w:rFonts w:ascii="Times New Roman" w:hAnsi="Times New Roman" w:cs="Times New Roman"/>
          <w:sz w:val="24"/>
          <w:szCs w:val="28"/>
        </w:rPr>
        <w:t xml:space="preserve"> stable levodopa response</w:t>
      </w:r>
      <w:r w:rsidR="007A1828" w:rsidRPr="00523257">
        <w:rPr>
          <w:rFonts w:ascii="Times New Roman" w:hAnsi="Times New Roman" w:cs="Times New Roman"/>
          <w:sz w:val="24"/>
          <w:szCs w:val="28"/>
        </w:rPr>
        <w:t xml:space="preserve"> and </w:t>
      </w:r>
      <w:r w:rsidR="007300B2">
        <w:rPr>
          <w:rFonts w:ascii="Times New Roman" w:hAnsi="Times New Roman" w:cs="Times New Roman"/>
          <w:sz w:val="24"/>
          <w:szCs w:val="28"/>
        </w:rPr>
        <w:t>those with</w:t>
      </w:r>
      <w:r w:rsidR="007300B2" w:rsidRPr="00523257">
        <w:rPr>
          <w:rFonts w:ascii="Times New Roman" w:hAnsi="Times New Roman" w:cs="Times New Roman"/>
          <w:sz w:val="24"/>
          <w:szCs w:val="28"/>
        </w:rPr>
        <w:t xml:space="preserve"> </w:t>
      </w:r>
      <w:r w:rsidR="00E70371">
        <w:rPr>
          <w:rFonts w:ascii="Times New Roman" w:hAnsi="Times New Roman" w:cs="Times New Roman"/>
          <w:sz w:val="24"/>
          <w:szCs w:val="28"/>
        </w:rPr>
        <w:t>LIDs</w:t>
      </w:r>
      <w:r w:rsidR="00183BCA" w:rsidRPr="00523257">
        <w:rPr>
          <w:rFonts w:ascii="Times New Roman" w:hAnsi="Times New Roman" w:cs="Times New Roman"/>
          <w:sz w:val="24"/>
          <w:szCs w:val="28"/>
        </w:rPr>
        <w:t xml:space="preserve"> </w:t>
      </w:r>
      <w:r w:rsidR="007A1828" w:rsidRPr="00523257">
        <w:rPr>
          <w:rFonts w:ascii="Times New Roman" w:hAnsi="Times New Roman" w:cs="Times New Roman"/>
          <w:sz w:val="24"/>
          <w:szCs w:val="28"/>
        </w:rPr>
        <w:t>(</w:t>
      </w:r>
      <w:r w:rsidR="007A1828" w:rsidRPr="00523257">
        <w:rPr>
          <w:rFonts w:ascii="Times New Roman" w:hAnsi="Times New Roman" w:cs="Times New Roman"/>
          <w:i/>
          <w:sz w:val="24"/>
          <w:szCs w:val="28"/>
        </w:rPr>
        <w:t>P</w:t>
      </w:r>
      <w:r w:rsidR="007A1828" w:rsidRPr="00523257">
        <w:rPr>
          <w:rFonts w:ascii="Times New Roman" w:hAnsi="Times New Roman" w:cs="Times New Roman"/>
          <w:sz w:val="24"/>
          <w:szCs w:val="28"/>
        </w:rPr>
        <w:t>&gt;0.05).</w:t>
      </w:r>
    </w:p>
    <w:p w14:paraId="361EAF5C" w14:textId="77777777" w:rsidR="00AC496B" w:rsidRPr="00523257" w:rsidRDefault="00AC496B" w:rsidP="00523257">
      <w:pPr>
        <w:pStyle w:val="Heading2"/>
        <w:spacing w:before="0" w:line="480" w:lineRule="auto"/>
        <w:rPr>
          <w:rFonts w:ascii="Times New Roman" w:hAnsi="Times New Roman" w:cs="Times New Roman"/>
          <w:color w:val="auto"/>
        </w:rPr>
      </w:pPr>
    </w:p>
    <w:p w14:paraId="1BF42339" w14:textId="738F4243" w:rsidR="000E39E9" w:rsidRPr="00523257" w:rsidRDefault="004730D3" w:rsidP="00523257">
      <w:pPr>
        <w:pStyle w:val="Heading2"/>
        <w:spacing w:before="0" w:line="480" w:lineRule="auto"/>
        <w:rPr>
          <w:rFonts w:ascii="Times New Roman" w:hAnsi="Times New Roman" w:cs="Times New Roman"/>
          <w:i/>
          <w:color w:val="auto"/>
        </w:rPr>
      </w:pPr>
      <w:r w:rsidRPr="003D377F">
        <w:rPr>
          <w:rFonts w:ascii="Times New Roman" w:hAnsi="Times New Roman" w:cs="Times New Roman"/>
          <w:i/>
          <w:color w:val="auto"/>
        </w:rPr>
        <w:t>V</w:t>
      </w:r>
      <w:r w:rsidR="000E39E9" w:rsidRPr="003D377F">
        <w:rPr>
          <w:rFonts w:ascii="Times New Roman" w:hAnsi="Times New Roman" w:cs="Times New Roman"/>
          <w:i/>
          <w:color w:val="auto"/>
        </w:rPr>
        <w:t>oxel-based analysis</w:t>
      </w:r>
    </w:p>
    <w:p w14:paraId="09A28FF6" w14:textId="7A481988" w:rsidR="00731191" w:rsidRPr="004F3F9A" w:rsidRDefault="004D476D" w:rsidP="00523257">
      <w:pPr>
        <w:spacing w:after="0" w:line="480" w:lineRule="auto"/>
        <w:jc w:val="both"/>
        <w:rPr>
          <w:rFonts w:ascii="Times New Roman" w:hAnsi="Times New Roman" w:cs="Times New Roman"/>
          <w:sz w:val="24"/>
          <w:szCs w:val="28"/>
        </w:rPr>
      </w:pPr>
      <w:r w:rsidRPr="00523257">
        <w:rPr>
          <w:rFonts w:ascii="Times New Roman" w:hAnsi="Times New Roman" w:cs="Times New Roman"/>
          <w:sz w:val="24"/>
          <w:szCs w:val="28"/>
        </w:rPr>
        <w:t>Voxel-by-voxel analysis of [</w:t>
      </w:r>
      <w:r w:rsidRPr="00523257">
        <w:rPr>
          <w:rFonts w:ascii="Times New Roman" w:hAnsi="Times New Roman" w:cs="Times New Roman"/>
          <w:sz w:val="24"/>
          <w:szCs w:val="28"/>
          <w:vertAlign w:val="superscript"/>
        </w:rPr>
        <w:t>11</w:t>
      </w:r>
      <w:r w:rsidRPr="00523257">
        <w:rPr>
          <w:rFonts w:ascii="Times New Roman" w:hAnsi="Times New Roman" w:cs="Times New Roman"/>
          <w:sz w:val="24"/>
          <w:szCs w:val="28"/>
        </w:rPr>
        <w:t xml:space="preserve">C]IMA107 </w:t>
      </w:r>
      <w:r w:rsidR="00F72E7A">
        <w:rPr>
          <w:rFonts w:ascii="Times New Roman" w:hAnsi="Times New Roman" w:cs="Times New Roman"/>
          <w:sz w:val="24"/>
          <w:szCs w:val="28"/>
        </w:rPr>
        <w:t>parametric images</w:t>
      </w:r>
      <w:r w:rsidRPr="00523257">
        <w:rPr>
          <w:rFonts w:ascii="Times New Roman" w:hAnsi="Times New Roman" w:cs="Times New Roman"/>
          <w:sz w:val="24"/>
          <w:szCs w:val="28"/>
        </w:rPr>
        <w:t xml:space="preserve"> between the group of Parkinson’s disease patients and healthy controls confirmed results obtained with ROI analysis.</w:t>
      </w:r>
      <w:r w:rsidR="00BC2404" w:rsidRPr="00523257">
        <w:rPr>
          <w:rFonts w:ascii="Times" w:hAnsi="Times" w:cs="Times"/>
          <w:sz w:val="26"/>
          <w:szCs w:val="26"/>
          <w:lang w:eastAsia="en-US"/>
        </w:rPr>
        <w:t xml:space="preserve"> </w:t>
      </w:r>
      <w:r w:rsidR="00BC2404" w:rsidRPr="00523257">
        <w:rPr>
          <w:rFonts w:ascii="Times New Roman" w:hAnsi="Times New Roman" w:cs="Times New Roman"/>
          <w:sz w:val="24"/>
          <w:szCs w:val="28"/>
        </w:rPr>
        <w:t xml:space="preserve">SPM analysis within the basal ganglia mask localized clusters of significant decreases in the right and left </w:t>
      </w:r>
      <w:r w:rsidR="00891D58" w:rsidRPr="00523257">
        <w:rPr>
          <w:rFonts w:ascii="Times New Roman" w:hAnsi="Times New Roman" w:cs="Times New Roman"/>
          <w:sz w:val="24"/>
          <w:szCs w:val="28"/>
        </w:rPr>
        <w:t xml:space="preserve">caudate </w:t>
      </w:r>
      <w:r w:rsidR="006207DB" w:rsidRPr="00523257">
        <w:rPr>
          <w:rFonts w:ascii="Times New Roman" w:hAnsi="Times New Roman" w:cs="Times New Roman"/>
          <w:sz w:val="24"/>
          <w:szCs w:val="28"/>
        </w:rPr>
        <w:t>(</w:t>
      </w:r>
      <w:r w:rsidR="00891D58" w:rsidRPr="00523257">
        <w:rPr>
          <w:rFonts w:ascii="Times New Roman" w:hAnsi="Times New Roman" w:cs="Times New Roman"/>
          <w:i/>
          <w:sz w:val="24"/>
          <w:szCs w:val="28"/>
        </w:rPr>
        <w:t>P</w:t>
      </w:r>
      <w:r w:rsidR="00891D58" w:rsidRPr="00523257">
        <w:rPr>
          <w:rFonts w:ascii="Times New Roman" w:hAnsi="Times New Roman" w:cs="Times New Roman"/>
          <w:sz w:val="24"/>
          <w:szCs w:val="28"/>
        </w:rPr>
        <w:t>&lt;0.05</w:t>
      </w:r>
      <w:r w:rsidR="004F3F9A">
        <w:rPr>
          <w:rFonts w:ascii="Times New Roman" w:hAnsi="Times New Roman" w:cs="Times New Roman"/>
          <w:sz w:val="24"/>
          <w:szCs w:val="28"/>
        </w:rPr>
        <w:t xml:space="preserve"> corrected), </w:t>
      </w:r>
      <w:r w:rsidR="00891D58" w:rsidRPr="00523257">
        <w:rPr>
          <w:rFonts w:ascii="Times New Roman" w:hAnsi="Times New Roman" w:cs="Times New Roman"/>
          <w:sz w:val="24"/>
          <w:szCs w:val="28"/>
        </w:rPr>
        <w:t xml:space="preserve">putamen </w:t>
      </w:r>
      <w:r w:rsidR="006207DB" w:rsidRPr="00523257">
        <w:rPr>
          <w:rFonts w:ascii="Times New Roman" w:hAnsi="Times New Roman" w:cs="Times New Roman"/>
          <w:sz w:val="24"/>
          <w:szCs w:val="28"/>
        </w:rPr>
        <w:t>(</w:t>
      </w:r>
      <w:r w:rsidR="00891D58" w:rsidRPr="00523257">
        <w:rPr>
          <w:rFonts w:ascii="Times New Roman" w:hAnsi="Times New Roman" w:cs="Times New Roman"/>
          <w:i/>
          <w:sz w:val="24"/>
          <w:szCs w:val="28"/>
        </w:rPr>
        <w:t>P</w:t>
      </w:r>
      <w:r w:rsidR="00891D58" w:rsidRPr="00523257">
        <w:rPr>
          <w:rFonts w:ascii="Times New Roman" w:hAnsi="Times New Roman" w:cs="Times New Roman"/>
          <w:sz w:val="24"/>
          <w:szCs w:val="28"/>
        </w:rPr>
        <w:t>&lt;0.05</w:t>
      </w:r>
      <w:r w:rsidR="004F3F9A">
        <w:rPr>
          <w:rFonts w:ascii="Times New Roman" w:hAnsi="Times New Roman" w:cs="Times New Roman"/>
          <w:sz w:val="24"/>
          <w:szCs w:val="28"/>
        </w:rPr>
        <w:t xml:space="preserve"> corrected</w:t>
      </w:r>
      <w:r w:rsidR="006207DB" w:rsidRPr="00523257">
        <w:rPr>
          <w:rFonts w:ascii="Times New Roman" w:hAnsi="Times New Roman" w:cs="Times New Roman"/>
          <w:sz w:val="24"/>
          <w:szCs w:val="28"/>
        </w:rPr>
        <w:t>)</w:t>
      </w:r>
      <w:r w:rsidR="004F3F9A">
        <w:rPr>
          <w:rFonts w:ascii="Times New Roman" w:hAnsi="Times New Roman" w:cs="Times New Roman"/>
          <w:sz w:val="24"/>
          <w:szCs w:val="28"/>
        </w:rPr>
        <w:t xml:space="preserve"> and globus pallidus (</w:t>
      </w:r>
      <w:r w:rsidR="004F3F9A" w:rsidRPr="004F3F9A">
        <w:rPr>
          <w:rFonts w:ascii="Times New Roman" w:hAnsi="Times New Roman" w:cs="Times New Roman"/>
          <w:i/>
          <w:sz w:val="24"/>
          <w:szCs w:val="28"/>
        </w:rPr>
        <w:t>P</w:t>
      </w:r>
      <w:r w:rsidR="004F3F9A">
        <w:rPr>
          <w:rFonts w:ascii="Times New Roman" w:hAnsi="Times New Roman" w:cs="Times New Roman"/>
          <w:sz w:val="24"/>
          <w:szCs w:val="28"/>
        </w:rPr>
        <w:t>&lt;0.05 uncorrected)</w:t>
      </w:r>
      <w:r w:rsidR="00BC2404" w:rsidRPr="00523257">
        <w:rPr>
          <w:rFonts w:ascii="Times New Roman" w:hAnsi="Times New Roman" w:cs="Times New Roman"/>
          <w:sz w:val="24"/>
          <w:szCs w:val="28"/>
        </w:rPr>
        <w:t xml:space="preserve"> in the </w:t>
      </w:r>
      <w:r w:rsidR="00BC2404" w:rsidRPr="00313EAC">
        <w:rPr>
          <w:rFonts w:ascii="Times New Roman" w:hAnsi="Times New Roman" w:cs="Times New Roman"/>
          <w:sz w:val="24"/>
          <w:szCs w:val="28"/>
        </w:rPr>
        <w:t>Parkinson’s disease patients when compared with</w:t>
      </w:r>
      <w:r w:rsidR="006207DB" w:rsidRPr="00DD7F50">
        <w:rPr>
          <w:rFonts w:ascii="Times New Roman" w:hAnsi="Times New Roman" w:cs="Times New Roman"/>
          <w:sz w:val="24"/>
          <w:szCs w:val="28"/>
        </w:rPr>
        <w:t xml:space="preserve"> the gr</w:t>
      </w:r>
      <w:r w:rsidR="00FB511B" w:rsidRPr="00DD7F50">
        <w:rPr>
          <w:rFonts w:ascii="Times New Roman" w:hAnsi="Times New Roman" w:cs="Times New Roman"/>
          <w:sz w:val="24"/>
          <w:szCs w:val="28"/>
        </w:rPr>
        <w:t>oup of healthy controls (</w:t>
      </w:r>
      <w:r w:rsidR="00832748">
        <w:rPr>
          <w:rFonts w:ascii="Times New Roman" w:hAnsi="Times New Roman" w:cs="Times New Roman"/>
          <w:sz w:val="24"/>
          <w:szCs w:val="28"/>
        </w:rPr>
        <w:t>Table 4</w:t>
      </w:r>
      <w:r w:rsidR="006207DB" w:rsidRPr="00347858">
        <w:rPr>
          <w:rFonts w:ascii="Times New Roman" w:hAnsi="Times New Roman" w:cs="Times New Roman"/>
          <w:sz w:val="24"/>
          <w:szCs w:val="28"/>
        </w:rPr>
        <w:t>; Fig. 2</w:t>
      </w:r>
      <w:r w:rsidR="006207DB" w:rsidRPr="00313EAC">
        <w:rPr>
          <w:rFonts w:ascii="Times New Roman" w:hAnsi="Times New Roman" w:cs="Times New Roman"/>
          <w:sz w:val="24"/>
          <w:szCs w:val="28"/>
        </w:rPr>
        <w:t>)</w:t>
      </w:r>
      <w:r w:rsidR="008973C9" w:rsidRPr="00DD7F50">
        <w:rPr>
          <w:rFonts w:ascii="Times New Roman" w:hAnsi="Times New Roman" w:cs="Times New Roman"/>
          <w:sz w:val="24"/>
          <w:szCs w:val="28"/>
        </w:rPr>
        <w:t>.</w:t>
      </w:r>
      <w:r w:rsidR="00690B77">
        <w:rPr>
          <w:rFonts w:ascii="Times New Roman" w:hAnsi="Times New Roman" w:cs="Times New Roman"/>
          <w:sz w:val="24"/>
          <w:szCs w:val="28"/>
        </w:rPr>
        <w:t xml:space="preserve"> </w:t>
      </w:r>
      <w:r w:rsidR="003D0ED4">
        <w:rPr>
          <w:rFonts w:ascii="Times New Roman" w:hAnsi="Times New Roman" w:cs="Times New Roman"/>
          <w:sz w:val="24"/>
          <w:szCs w:val="28"/>
        </w:rPr>
        <w:t xml:space="preserve">We repeated the SPM analysis using LED as </w:t>
      </w:r>
      <w:r w:rsidR="003D0ED4" w:rsidRPr="00027397">
        <w:rPr>
          <w:rFonts w:ascii="Times New Roman" w:hAnsi="Times New Roman" w:cs="Times New Roman"/>
          <w:sz w:val="24"/>
          <w:szCs w:val="28"/>
        </w:rPr>
        <w:t>a covariate</w:t>
      </w:r>
      <w:r w:rsidR="003D0ED4">
        <w:rPr>
          <w:rFonts w:ascii="Times New Roman" w:hAnsi="Times New Roman" w:cs="Times New Roman"/>
          <w:sz w:val="24"/>
          <w:szCs w:val="28"/>
        </w:rPr>
        <w:t xml:space="preserve"> and the results remained significant. </w:t>
      </w:r>
      <w:r w:rsidR="004F3F9A">
        <w:rPr>
          <w:rFonts w:ascii="Times New Roman" w:hAnsi="Times New Roman" w:cs="Times New Roman"/>
          <w:sz w:val="24"/>
          <w:szCs w:val="28"/>
        </w:rPr>
        <w:t xml:space="preserve">We did not find any differences in </w:t>
      </w:r>
      <w:r w:rsidR="004F3F9A" w:rsidRPr="00523257">
        <w:rPr>
          <w:rFonts w:ascii="Times New Roman" w:hAnsi="Times New Roman" w:cs="Times New Roman"/>
          <w:sz w:val="24"/>
          <w:szCs w:val="28"/>
        </w:rPr>
        <w:t>[</w:t>
      </w:r>
      <w:r w:rsidR="004F3F9A" w:rsidRPr="00523257">
        <w:rPr>
          <w:rFonts w:ascii="Times New Roman" w:hAnsi="Times New Roman" w:cs="Times New Roman"/>
          <w:sz w:val="24"/>
          <w:szCs w:val="28"/>
          <w:vertAlign w:val="superscript"/>
        </w:rPr>
        <w:t>11</w:t>
      </w:r>
      <w:r w:rsidR="004F3F9A" w:rsidRPr="00523257">
        <w:rPr>
          <w:rFonts w:ascii="Times New Roman" w:hAnsi="Times New Roman" w:cs="Times New Roman"/>
          <w:sz w:val="24"/>
          <w:szCs w:val="28"/>
        </w:rPr>
        <w:t>C]IMA107</w:t>
      </w:r>
      <w:r w:rsidR="004F3F9A">
        <w:rPr>
          <w:rFonts w:ascii="Times New Roman" w:hAnsi="Times New Roman" w:cs="Times New Roman"/>
          <w:sz w:val="24"/>
          <w:szCs w:val="28"/>
        </w:rPr>
        <w:t xml:space="preserve"> BP</w:t>
      </w:r>
      <w:r w:rsidR="004F3F9A" w:rsidRPr="004F3F9A">
        <w:rPr>
          <w:rFonts w:ascii="Times New Roman" w:hAnsi="Times New Roman" w:cs="Times New Roman"/>
          <w:sz w:val="24"/>
          <w:szCs w:val="28"/>
          <w:vertAlign w:val="subscript"/>
        </w:rPr>
        <w:t>ND</w:t>
      </w:r>
      <w:r w:rsidR="004F3F9A">
        <w:rPr>
          <w:rFonts w:ascii="Times New Roman" w:hAnsi="Times New Roman" w:cs="Times New Roman"/>
          <w:sz w:val="24"/>
          <w:szCs w:val="28"/>
          <w:vertAlign w:val="subscript"/>
        </w:rPr>
        <w:t xml:space="preserve"> </w:t>
      </w:r>
      <w:r w:rsidR="004F3F9A">
        <w:rPr>
          <w:rFonts w:ascii="Times New Roman" w:hAnsi="Times New Roman" w:cs="Times New Roman"/>
          <w:sz w:val="24"/>
          <w:szCs w:val="28"/>
        </w:rPr>
        <w:t>at a voxel-level between the Parkinson’s disease patients with stable levodopa response and those with LIDs.</w:t>
      </w:r>
    </w:p>
    <w:p w14:paraId="4A7EDCCF" w14:textId="77777777" w:rsidR="002171F3" w:rsidRDefault="002171F3" w:rsidP="003D377F">
      <w:pPr>
        <w:pStyle w:val="Heading2"/>
        <w:spacing w:line="480" w:lineRule="auto"/>
        <w:rPr>
          <w:rFonts w:ascii="Times New Roman" w:hAnsi="Times New Roman" w:cs="Times New Roman"/>
          <w:color w:val="auto"/>
        </w:rPr>
      </w:pPr>
    </w:p>
    <w:p w14:paraId="7C1F3164" w14:textId="3595FC43" w:rsidR="00F72E7A" w:rsidRPr="003D377F" w:rsidRDefault="003D377F" w:rsidP="003D377F">
      <w:pPr>
        <w:pStyle w:val="Heading2"/>
        <w:spacing w:line="480" w:lineRule="auto"/>
        <w:rPr>
          <w:rFonts w:ascii="Times New Roman" w:hAnsi="Times New Roman" w:cs="Times New Roman"/>
          <w:color w:val="auto"/>
        </w:rPr>
      </w:pPr>
      <w:r w:rsidRPr="003D377F">
        <w:rPr>
          <w:rFonts w:ascii="Times New Roman" w:hAnsi="Times New Roman" w:cs="Times New Roman"/>
          <w:color w:val="auto"/>
        </w:rPr>
        <w:t>Correl</w:t>
      </w:r>
      <w:r w:rsidR="00F72E7A" w:rsidRPr="003D377F">
        <w:rPr>
          <w:rFonts w:ascii="Times New Roman" w:hAnsi="Times New Roman" w:cs="Times New Roman"/>
          <w:color w:val="auto"/>
        </w:rPr>
        <w:t>ations</w:t>
      </w:r>
    </w:p>
    <w:p w14:paraId="5C25A3F3" w14:textId="77777777" w:rsidR="00524519" w:rsidRPr="00523257" w:rsidRDefault="00524519" w:rsidP="00524519">
      <w:pPr>
        <w:pStyle w:val="Heading2"/>
        <w:spacing w:before="0" w:line="480" w:lineRule="auto"/>
        <w:rPr>
          <w:rFonts w:ascii="Times New Roman" w:hAnsi="Times New Roman" w:cs="Times New Roman"/>
          <w:i/>
          <w:color w:val="auto"/>
        </w:rPr>
      </w:pPr>
      <w:r>
        <w:rPr>
          <w:rFonts w:ascii="Times New Roman" w:hAnsi="Times New Roman" w:cs="Times New Roman"/>
          <w:i/>
          <w:color w:val="auto"/>
        </w:rPr>
        <w:t>D</w:t>
      </w:r>
      <w:r w:rsidRPr="00523257">
        <w:rPr>
          <w:rFonts w:ascii="Times New Roman" w:hAnsi="Times New Roman" w:cs="Times New Roman"/>
          <w:i/>
          <w:color w:val="auto"/>
        </w:rPr>
        <w:t>isease severity</w:t>
      </w:r>
    </w:p>
    <w:p w14:paraId="4DF1BF8C" w14:textId="3CDEF010" w:rsidR="00524519" w:rsidRPr="00941621" w:rsidRDefault="00B51965" w:rsidP="00524519">
      <w:pPr>
        <w:spacing w:after="0" w:line="480" w:lineRule="auto"/>
        <w:jc w:val="both"/>
        <w:rPr>
          <w:rFonts w:ascii="Times New Roman" w:hAnsi="Times New Roman" w:cs="Times New Roman"/>
          <w:sz w:val="24"/>
          <w:szCs w:val="28"/>
        </w:rPr>
      </w:pPr>
      <w:r w:rsidRPr="00324BA9">
        <w:rPr>
          <w:rFonts w:ascii="Times New Roman" w:hAnsi="Times New Roman" w:cs="Times New Roman"/>
          <w:sz w:val="24"/>
          <w:szCs w:val="28"/>
        </w:rPr>
        <w:t xml:space="preserve">Longer </w:t>
      </w:r>
      <w:r w:rsidR="00DD7F50">
        <w:rPr>
          <w:rFonts w:ascii="Times New Roman" w:hAnsi="Times New Roman" w:cs="Times New Roman"/>
          <w:sz w:val="24"/>
          <w:szCs w:val="28"/>
        </w:rPr>
        <w:t xml:space="preserve">Parkinson’s </w:t>
      </w:r>
      <w:r w:rsidRPr="00324BA9">
        <w:rPr>
          <w:rFonts w:ascii="Times New Roman" w:hAnsi="Times New Roman" w:cs="Times New Roman"/>
          <w:sz w:val="24"/>
          <w:szCs w:val="28"/>
        </w:rPr>
        <w:t xml:space="preserve">disease duration </w:t>
      </w:r>
      <w:r w:rsidR="00F72E7A">
        <w:rPr>
          <w:rFonts w:ascii="Times New Roman" w:hAnsi="Times New Roman" w:cs="Times New Roman"/>
          <w:sz w:val="24"/>
          <w:szCs w:val="28"/>
        </w:rPr>
        <w:t>correlated</w:t>
      </w:r>
      <w:r w:rsidRPr="00324BA9">
        <w:rPr>
          <w:rFonts w:ascii="Times New Roman" w:hAnsi="Times New Roman" w:cs="Times New Roman"/>
          <w:sz w:val="24"/>
          <w:szCs w:val="28"/>
        </w:rPr>
        <w:t xml:space="preserve"> with l</w:t>
      </w:r>
      <w:r w:rsidR="006D6273" w:rsidRPr="00CD00D8">
        <w:rPr>
          <w:rFonts w:ascii="Times New Roman" w:hAnsi="Times New Roman" w:cs="Times New Roman"/>
          <w:sz w:val="24"/>
          <w:szCs w:val="28"/>
        </w:rPr>
        <w:t xml:space="preserve">ower </w:t>
      </w:r>
      <w:r w:rsidR="006D6273" w:rsidRPr="00523257">
        <w:rPr>
          <w:rFonts w:ascii="Times New Roman" w:hAnsi="Times New Roman" w:cs="Times New Roman"/>
          <w:sz w:val="24"/>
          <w:szCs w:val="28"/>
        </w:rPr>
        <w:t>[</w:t>
      </w:r>
      <w:r w:rsidR="006D6273" w:rsidRPr="00523257">
        <w:rPr>
          <w:rFonts w:ascii="Times New Roman" w:hAnsi="Times New Roman" w:cs="Times New Roman"/>
          <w:sz w:val="24"/>
          <w:szCs w:val="28"/>
          <w:vertAlign w:val="superscript"/>
        </w:rPr>
        <w:t>11</w:t>
      </w:r>
      <w:r w:rsidR="006D6273" w:rsidRPr="00523257">
        <w:rPr>
          <w:rFonts w:ascii="Times New Roman" w:hAnsi="Times New Roman" w:cs="Times New Roman"/>
          <w:sz w:val="24"/>
          <w:szCs w:val="28"/>
        </w:rPr>
        <w:t>C]IMA107 BP</w:t>
      </w:r>
      <w:r w:rsidR="006D6273" w:rsidRPr="00523257">
        <w:rPr>
          <w:rFonts w:ascii="Times New Roman" w:hAnsi="Times New Roman" w:cs="Times New Roman"/>
          <w:sz w:val="24"/>
          <w:szCs w:val="28"/>
          <w:vertAlign w:val="subscript"/>
        </w:rPr>
        <w:t>ND</w:t>
      </w:r>
      <w:r w:rsidR="006D6273" w:rsidRPr="00932158">
        <w:rPr>
          <w:rFonts w:ascii="Times New Roman" w:hAnsi="Times New Roman" w:cs="Times New Roman"/>
          <w:sz w:val="24"/>
          <w:szCs w:val="28"/>
        </w:rPr>
        <w:t xml:space="preserve"> in caudate</w:t>
      </w:r>
      <w:r w:rsidR="00134340" w:rsidRPr="001077B1">
        <w:rPr>
          <w:rFonts w:ascii="Times New Roman" w:hAnsi="Times New Roman" w:cs="Times New Roman"/>
          <w:sz w:val="24"/>
          <w:szCs w:val="28"/>
        </w:rPr>
        <w:t xml:space="preserve"> </w:t>
      </w:r>
      <w:r w:rsidR="0021188F" w:rsidRPr="004E4A1F">
        <w:rPr>
          <w:rFonts w:ascii="Times New Roman" w:hAnsi="Times New Roman" w:cs="Times New Roman"/>
          <w:sz w:val="24"/>
          <w:szCs w:val="28"/>
        </w:rPr>
        <w:t>(</w:t>
      </w:r>
      <w:r w:rsidR="0021188F" w:rsidRPr="00324BA9">
        <w:rPr>
          <w:rFonts w:ascii="Times New Roman" w:hAnsi="Times New Roman" w:cs="Times New Roman"/>
          <w:i/>
          <w:sz w:val="24"/>
          <w:szCs w:val="28"/>
        </w:rPr>
        <w:t>r</w:t>
      </w:r>
      <w:r w:rsidR="0021188F" w:rsidRPr="00CD00D8">
        <w:rPr>
          <w:rFonts w:ascii="Times New Roman" w:hAnsi="Times New Roman" w:cs="Times New Roman"/>
          <w:sz w:val="24"/>
          <w:szCs w:val="28"/>
        </w:rPr>
        <w:t>=</w:t>
      </w:r>
      <w:r w:rsidR="003E06D7" w:rsidRPr="00523257">
        <w:rPr>
          <w:rFonts w:ascii="Times New Roman" w:hAnsi="Times New Roman" w:cs="Times New Roman"/>
          <w:sz w:val="24"/>
          <w:szCs w:val="28"/>
        </w:rPr>
        <w:t>−</w:t>
      </w:r>
      <w:r w:rsidRPr="00932158">
        <w:rPr>
          <w:rFonts w:ascii="Times New Roman" w:hAnsi="Times New Roman" w:cs="Times New Roman"/>
          <w:sz w:val="24"/>
          <w:szCs w:val="28"/>
        </w:rPr>
        <w:t>0.</w:t>
      </w:r>
      <w:r w:rsidRPr="0021214F">
        <w:rPr>
          <w:rFonts w:ascii="Times New Roman" w:hAnsi="Times New Roman" w:cs="Times New Roman"/>
          <w:sz w:val="24"/>
          <w:szCs w:val="28"/>
        </w:rPr>
        <w:t>65</w:t>
      </w:r>
      <w:r w:rsidR="0021188F" w:rsidRPr="0021214F">
        <w:rPr>
          <w:rFonts w:ascii="Times New Roman" w:hAnsi="Times New Roman" w:cs="Times New Roman"/>
          <w:sz w:val="24"/>
          <w:szCs w:val="28"/>
        </w:rPr>
        <w:t xml:space="preserve">; </w:t>
      </w:r>
      <w:r w:rsidR="0021188F" w:rsidRPr="0021214F">
        <w:rPr>
          <w:rFonts w:ascii="Times New Roman" w:hAnsi="Times New Roman" w:cs="Times New Roman"/>
          <w:i/>
          <w:sz w:val="24"/>
          <w:szCs w:val="28"/>
        </w:rPr>
        <w:t>P</w:t>
      </w:r>
      <w:r w:rsidRPr="0021214F">
        <w:rPr>
          <w:rFonts w:ascii="Times New Roman" w:hAnsi="Times New Roman" w:cs="Times New Roman"/>
          <w:sz w:val="24"/>
          <w:szCs w:val="28"/>
        </w:rPr>
        <w:t>=0.005)</w:t>
      </w:r>
      <w:r w:rsidR="006D6273" w:rsidRPr="0021214F">
        <w:rPr>
          <w:rFonts w:ascii="Times New Roman" w:hAnsi="Times New Roman" w:cs="Times New Roman"/>
          <w:sz w:val="24"/>
          <w:szCs w:val="28"/>
        </w:rPr>
        <w:t>, putamen</w:t>
      </w:r>
      <w:r w:rsidR="00134340" w:rsidRPr="0021214F">
        <w:rPr>
          <w:rFonts w:ascii="Times New Roman" w:hAnsi="Times New Roman" w:cs="Times New Roman"/>
          <w:sz w:val="24"/>
          <w:szCs w:val="28"/>
        </w:rPr>
        <w:t xml:space="preserve"> </w:t>
      </w:r>
      <w:r w:rsidRPr="0021214F">
        <w:rPr>
          <w:rFonts w:ascii="Times New Roman" w:hAnsi="Times New Roman" w:cs="Times New Roman"/>
          <w:sz w:val="24"/>
          <w:szCs w:val="28"/>
        </w:rPr>
        <w:t>(</w:t>
      </w:r>
      <w:r w:rsidR="0021188F" w:rsidRPr="0021214F">
        <w:rPr>
          <w:rFonts w:ascii="Times New Roman" w:hAnsi="Times New Roman" w:cs="Times New Roman"/>
          <w:i/>
          <w:sz w:val="24"/>
          <w:szCs w:val="28"/>
        </w:rPr>
        <w:t>r</w:t>
      </w:r>
      <w:r w:rsidR="0021188F" w:rsidRPr="0021214F">
        <w:rPr>
          <w:rFonts w:ascii="Times New Roman" w:hAnsi="Times New Roman" w:cs="Times New Roman"/>
          <w:sz w:val="24"/>
          <w:szCs w:val="28"/>
        </w:rPr>
        <w:t>=</w:t>
      </w:r>
      <w:r w:rsidR="003E06D7" w:rsidRPr="0021214F">
        <w:rPr>
          <w:rFonts w:ascii="Times New Roman" w:hAnsi="Times New Roman" w:cs="Times New Roman"/>
          <w:sz w:val="24"/>
          <w:szCs w:val="28"/>
        </w:rPr>
        <w:t>−</w:t>
      </w:r>
      <w:r w:rsidRPr="0021214F">
        <w:rPr>
          <w:rFonts w:ascii="Times New Roman" w:hAnsi="Times New Roman" w:cs="Times New Roman"/>
          <w:sz w:val="24"/>
          <w:szCs w:val="28"/>
        </w:rPr>
        <w:t>0.51</w:t>
      </w:r>
      <w:r w:rsidR="0021188F" w:rsidRPr="0021214F">
        <w:rPr>
          <w:rFonts w:ascii="Times New Roman" w:hAnsi="Times New Roman" w:cs="Times New Roman"/>
          <w:sz w:val="24"/>
          <w:szCs w:val="28"/>
        </w:rPr>
        <w:t xml:space="preserve">; </w:t>
      </w:r>
      <w:r w:rsidR="0021188F" w:rsidRPr="0021214F">
        <w:rPr>
          <w:rFonts w:ascii="Times New Roman" w:hAnsi="Times New Roman" w:cs="Times New Roman"/>
          <w:i/>
          <w:sz w:val="24"/>
          <w:szCs w:val="28"/>
        </w:rPr>
        <w:t>P</w:t>
      </w:r>
      <w:r w:rsidRPr="0021214F">
        <w:rPr>
          <w:rFonts w:ascii="Times New Roman" w:hAnsi="Times New Roman" w:cs="Times New Roman"/>
          <w:sz w:val="24"/>
          <w:szCs w:val="28"/>
        </w:rPr>
        <w:t xml:space="preserve">=0.025) </w:t>
      </w:r>
      <w:r w:rsidR="006D6273" w:rsidRPr="0021214F">
        <w:rPr>
          <w:rFonts w:ascii="Times New Roman" w:hAnsi="Times New Roman" w:cs="Times New Roman"/>
          <w:sz w:val="24"/>
          <w:szCs w:val="28"/>
        </w:rPr>
        <w:t xml:space="preserve">and globus pallidus </w:t>
      </w:r>
      <w:r w:rsidR="0021188F" w:rsidRPr="0021214F">
        <w:rPr>
          <w:rFonts w:ascii="Times New Roman" w:hAnsi="Times New Roman" w:cs="Times New Roman"/>
          <w:sz w:val="24"/>
          <w:szCs w:val="28"/>
        </w:rPr>
        <w:t>(</w:t>
      </w:r>
      <w:r w:rsidR="0021188F" w:rsidRPr="00524519">
        <w:rPr>
          <w:rFonts w:ascii="Times New Roman" w:hAnsi="Times New Roman" w:cs="Times New Roman"/>
          <w:i/>
          <w:sz w:val="24"/>
          <w:szCs w:val="28"/>
        </w:rPr>
        <w:t>r</w:t>
      </w:r>
      <w:r w:rsidR="0021188F" w:rsidRPr="0021214F">
        <w:rPr>
          <w:rFonts w:ascii="Times New Roman" w:hAnsi="Times New Roman" w:cs="Times New Roman"/>
          <w:sz w:val="24"/>
          <w:szCs w:val="28"/>
        </w:rPr>
        <w:t>=</w:t>
      </w:r>
      <w:r w:rsidR="003E06D7" w:rsidRPr="0021214F">
        <w:rPr>
          <w:rFonts w:ascii="Times New Roman" w:hAnsi="Times New Roman" w:cs="Times New Roman"/>
          <w:sz w:val="24"/>
          <w:szCs w:val="28"/>
        </w:rPr>
        <w:t>−</w:t>
      </w:r>
      <w:r w:rsidRPr="0021214F">
        <w:rPr>
          <w:rFonts w:ascii="Times New Roman" w:hAnsi="Times New Roman" w:cs="Times New Roman"/>
          <w:sz w:val="24"/>
          <w:szCs w:val="28"/>
        </w:rPr>
        <w:t>0.47</w:t>
      </w:r>
      <w:r w:rsidR="0021188F" w:rsidRPr="0021214F">
        <w:rPr>
          <w:rFonts w:ascii="Times New Roman" w:hAnsi="Times New Roman" w:cs="Times New Roman"/>
          <w:sz w:val="24"/>
          <w:szCs w:val="28"/>
        </w:rPr>
        <w:t>;</w:t>
      </w:r>
      <w:r w:rsidRPr="0021214F">
        <w:rPr>
          <w:rFonts w:ascii="Times New Roman" w:hAnsi="Times New Roman" w:cs="Times New Roman"/>
          <w:sz w:val="24"/>
          <w:szCs w:val="28"/>
        </w:rPr>
        <w:t xml:space="preserve"> </w:t>
      </w:r>
      <w:r w:rsidR="0021188F" w:rsidRPr="0021214F">
        <w:rPr>
          <w:rFonts w:ascii="Times New Roman" w:hAnsi="Times New Roman" w:cs="Times New Roman"/>
          <w:i/>
          <w:sz w:val="24"/>
          <w:szCs w:val="28"/>
        </w:rPr>
        <w:t>P</w:t>
      </w:r>
      <w:r w:rsidRPr="0021214F">
        <w:rPr>
          <w:rFonts w:ascii="Times New Roman" w:hAnsi="Times New Roman" w:cs="Times New Roman"/>
          <w:sz w:val="24"/>
          <w:szCs w:val="28"/>
        </w:rPr>
        <w:t>=0.03</w:t>
      </w:r>
      <w:r w:rsidR="00F608A6" w:rsidRPr="00347858">
        <w:rPr>
          <w:rFonts w:ascii="Times New Roman" w:hAnsi="Times New Roman" w:cs="Times New Roman"/>
          <w:sz w:val="24"/>
          <w:szCs w:val="28"/>
        </w:rPr>
        <w:t>; Fig. 3A</w:t>
      </w:r>
      <w:r w:rsidRPr="0021214F">
        <w:rPr>
          <w:rFonts w:ascii="Times New Roman" w:hAnsi="Times New Roman" w:cs="Times New Roman"/>
          <w:sz w:val="24"/>
          <w:szCs w:val="28"/>
        </w:rPr>
        <w:t>).</w:t>
      </w:r>
      <w:r w:rsidR="006E25A1" w:rsidRPr="00A45412">
        <w:rPr>
          <w:rFonts w:ascii="Times New Roman" w:hAnsi="Times New Roman" w:cs="Times New Roman"/>
          <w:sz w:val="24"/>
          <w:szCs w:val="28"/>
        </w:rPr>
        <w:t xml:space="preserve"> </w:t>
      </w:r>
      <w:r w:rsidR="00524519" w:rsidRPr="00941621">
        <w:rPr>
          <w:rFonts w:ascii="Times New Roman" w:hAnsi="Times New Roman" w:cs="Times New Roman"/>
          <w:sz w:val="24"/>
          <w:szCs w:val="28"/>
        </w:rPr>
        <w:t xml:space="preserve">Higher UPDRS-III </w:t>
      </w:r>
      <w:r w:rsidR="00524519">
        <w:rPr>
          <w:rFonts w:ascii="Times New Roman" w:hAnsi="Times New Roman" w:cs="Times New Roman"/>
          <w:sz w:val="24"/>
          <w:szCs w:val="28"/>
        </w:rPr>
        <w:t xml:space="preserve">motor </w:t>
      </w:r>
      <w:r w:rsidR="00524519" w:rsidRPr="00941621">
        <w:rPr>
          <w:rFonts w:ascii="Times New Roman" w:hAnsi="Times New Roman" w:cs="Times New Roman"/>
          <w:sz w:val="24"/>
          <w:szCs w:val="28"/>
        </w:rPr>
        <w:t>scores</w:t>
      </w:r>
      <w:r w:rsidR="003D0ED4">
        <w:rPr>
          <w:rFonts w:ascii="Times New Roman" w:hAnsi="Times New Roman" w:cs="Times New Roman"/>
          <w:sz w:val="24"/>
          <w:szCs w:val="28"/>
        </w:rPr>
        <w:t xml:space="preserve"> (corrected for disease duration)</w:t>
      </w:r>
      <w:r w:rsidR="003D0ED4" w:rsidRPr="00941621">
        <w:rPr>
          <w:rFonts w:ascii="Times New Roman" w:hAnsi="Times New Roman" w:cs="Times New Roman"/>
          <w:sz w:val="24"/>
          <w:szCs w:val="28"/>
        </w:rPr>
        <w:t xml:space="preserve"> </w:t>
      </w:r>
      <w:r w:rsidR="00524519">
        <w:rPr>
          <w:rFonts w:ascii="Times New Roman" w:hAnsi="Times New Roman" w:cs="Times New Roman"/>
          <w:sz w:val="24"/>
          <w:szCs w:val="28"/>
        </w:rPr>
        <w:t xml:space="preserve">were also </w:t>
      </w:r>
      <w:r w:rsidR="00524519" w:rsidRPr="00941621">
        <w:rPr>
          <w:rFonts w:ascii="Times New Roman" w:hAnsi="Times New Roman" w:cs="Times New Roman"/>
          <w:sz w:val="24"/>
          <w:szCs w:val="28"/>
        </w:rPr>
        <w:t>correlated with lower [</w:t>
      </w:r>
      <w:r w:rsidR="00524519" w:rsidRPr="00941621">
        <w:rPr>
          <w:rFonts w:ascii="Times New Roman" w:hAnsi="Times New Roman" w:cs="Times New Roman"/>
          <w:sz w:val="24"/>
          <w:szCs w:val="28"/>
          <w:vertAlign w:val="superscript"/>
        </w:rPr>
        <w:t>11</w:t>
      </w:r>
      <w:r w:rsidR="00524519" w:rsidRPr="00941621">
        <w:rPr>
          <w:rFonts w:ascii="Times New Roman" w:hAnsi="Times New Roman" w:cs="Times New Roman"/>
          <w:sz w:val="24"/>
          <w:szCs w:val="28"/>
        </w:rPr>
        <w:t>C]IMA107 BP</w:t>
      </w:r>
      <w:r w:rsidR="00524519" w:rsidRPr="00941621">
        <w:rPr>
          <w:rFonts w:ascii="Times New Roman" w:hAnsi="Times New Roman" w:cs="Times New Roman"/>
          <w:sz w:val="24"/>
          <w:szCs w:val="28"/>
          <w:vertAlign w:val="subscript"/>
        </w:rPr>
        <w:t xml:space="preserve">ND  </w:t>
      </w:r>
      <w:r w:rsidR="00524519" w:rsidRPr="00941621">
        <w:rPr>
          <w:rFonts w:ascii="Times New Roman" w:hAnsi="Times New Roman" w:cs="Times New Roman"/>
          <w:sz w:val="24"/>
          <w:szCs w:val="28"/>
        </w:rPr>
        <w:t xml:space="preserve">in </w:t>
      </w:r>
      <w:r w:rsidR="00524519">
        <w:rPr>
          <w:rFonts w:ascii="Times New Roman" w:hAnsi="Times New Roman" w:cs="Times New Roman"/>
          <w:sz w:val="24"/>
          <w:szCs w:val="28"/>
        </w:rPr>
        <w:t xml:space="preserve">the </w:t>
      </w:r>
      <w:r w:rsidR="00524519" w:rsidRPr="00941621">
        <w:rPr>
          <w:rFonts w:ascii="Times New Roman" w:hAnsi="Times New Roman" w:cs="Times New Roman"/>
          <w:sz w:val="24"/>
          <w:szCs w:val="28"/>
        </w:rPr>
        <w:t>caudate (</w:t>
      </w:r>
      <w:r w:rsidR="00524519" w:rsidRPr="00941621">
        <w:rPr>
          <w:rFonts w:ascii="Times New Roman" w:hAnsi="Times New Roman" w:cs="Times New Roman"/>
          <w:i/>
          <w:sz w:val="24"/>
          <w:szCs w:val="28"/>
        </w:rPr>
        <w:t>r</w:t>
      </w:r>
      <w:r w:rsidR="00524519" w:rsidRPr="00941621">
        <w:rPr>
          <w:rFonts w:ascii="Times New Roman" w:hAnsi="Times New Roman" w:cs="Times New Roman"/>
          <w:sz w:val="24"/>
          <w:szCs w:val="28"/>
        </w:rPr>
        <w:t xml:space="preserve">=−0.54; </w:t>
      </w:r>
      <w:r w:rsidR="00524519" w:rsidRPr="00941621">
        <w:rPr>
          <w:rFonts w:ascii="Times New Roman" w:hAnsi="Times New Roman" w:cs="Times New Roman"/>
          <w:i/>
          <w:sz w:val="24"/>
          <w:szCs w:val="28"/>
        </w:rPr>
        <w:t>P</w:t>
      </w:r>
      <w:r w:rsidR="00524519" w:rsidRPr="00941621">
        <w:rPr>
          <w:rFonts w:ascii="Times New Roman" w:hAnsi="Times New Roman" w:cs="Times New Roman"/>
          <w:sz w:val="24"/>
          <w:szCs w:val="28"/>
        </w:rPr>
        <w:t>=0.011), putamen (</w:t>
      </w:r>
      <w:r w:rsidR="00524519" w:rsidRPr="00941621">
        <w:rPr>
          <w:rFonts w:ascii="Times New Roman" w:hAnsi="Times New Roman" w:cs="Times New Roman"/>
          <w:i/>
          <w:sz w:val="24"/>
          <w:szCs w:val="28"/>
        </w:rPr>
        <w:t>r</w:t>
      </w:r>
      <w:r w:rsidR="00524519" w:rsidRPr="00941621">
        <w:rPr>
          <w:rFonts w:ascii="Times New Roman" w:hAnsi="Times New Roman" w:cs="Times New Roman"/>
          <w:sz w:val="24"/>
          <w:szCs w:val="28"/>
        </w:rPr>
        <w:t>=−0.48;</w:t>
      </w:r>
      <w:r w:rsidR="00524519" w:rsidRPr="00941621">
        <w:rPr>
          <w:rFonts w:ascii="Times New Roman" w:hAnsi="Times New Roman" w:cs="Times New Roman"/>
          <w:i/>
          <w:sz w:val="24"/>
          <w:szCs w:val="28"/>
        </w:rPr>
        <w:t xml:space="preserve"> P</w:t>
      </w:r>
      <w:r w:rsidR="00524519" w:rsidRPr="00941621">
        <w:rPr>
          <w:rFonts w:ascii="Times New Roman" w:hAnsi="Times New Roman" w:cs="Times New Roman"/>
          <w:sz w:val="24"/>
          <w:szCs w:val="28"/>
        </w:rPr>
        <w:t>=0.022) and globus pallidus (</w:t>
      </w:r>
      <w:r w:rsidR="00524519" w:rsidRPr="00941621">
        <w:rPr>
          <w:rFonts w:ascii="Times New Roman" w:hAnsi="Times New Roman" w:cs="Times New Roman"/>
          <w:i/>
          <w:sz w:val="24"/>
          <w:szCs w:val="28"/>
        </w:rPr>
        <w:t>r</w:t>
      </w:r>
      <w:r w:rsidR="00524519" w:rsidRPr="00941621">
        <w:rPr>
          <w:rFonts w:ascii="Times New Roman" w:hAnsi="Times New Roman" w:cs="Times New Roman"/>
          <w:sz w:val="24"/>
          <w:szCs w:val="28"/>
        </w:rPr>
        <w:t xml:space="preserve">=−0.70; </w:t>
      </w:r>
      <w:r w:rsidR="00524519" w:rsidRPr="00941621">
        <w:rPr>
          <w:rFonts w:ascii="Times New Roman" w:hAnsi="Times New Roman" w:cs="Times New Roman"/>
          <w:i/>
          <w:sz w:val="24"/>
          <w:szCs w:val="28"/>
        </w:rPr>
        <w:t>P</w:t>
      </w:r>
      <w:r w:rsidR="00524519" w:rsidRPr="00941621">
        <w:rPr>
          <w:rFonts w:ascii="Times New Roman" w:hAnsi="Times New Roman" w:cs="Times New Roman"/>
          <w:sz w:val="24"/>
          <w:szCs w:val="28"/>
        </w:rPr>
        <w:t>&lt;0.001</w:t>
      </w:r>
      <w:r w:rsidR="00524519">
        <w:rPr>
          <w:rFonts w:ascii="Times New Roman" w:hAnsi="Times New Roman" w:cs="Times New Roman"/>
          <w:sz w:val="24"/>
          <w:szCs w:val="28"/>
        </w:rPr>
        <w:t>; Fig</w:t>
      </w:r>
      <w:r w:rsidR="00524519" w:rsidRPr="00941621">
        <w:rPr>
          <w:rFonts w:ascii="Times New Roman" w:hAnsi="Times New Roman" w:cs="Times New Roman"/>
          <w:sz w:val="24"/>
          <w:szCs w:val="28"/>
        </w:rPr>
        <w:t xml:space="preserve"> 3B). </w:t>
      </w:r>
    </w:p>
    <w:p w14:paraId="493C4164" w14:textId="241EF888" w:rsidR="002171F3" w:rsidRDefault="00524519" w:rsidP="00524519">
      <w:pPr>
        <w:spacing w:after="0" w:line="480" w:lineRule="auto"/>
        <w:jc w:val="both"/>
        <w:rPr>
          <w:rFonts w:ascii="Times New Roman" w:hAnsi="Times New Roman" w:cs="Times New Roman"/>
          <w:sz w:val="24"/>
          <w:szCs w:val="28"/>
        </w:rPr>
      </w:pPr>
      <w:r w:rsidRPr="00941621">
        <w:rPr>
          <w:rFonts w:ascii="Times New Roman" w:hAnsi="Times New Roman" w:cs="Times New Roman"/>
          <w:sz w:val="24"/>
          <w:szCs w:val="28"/>
        </w:rPr>
        <w:t>With regards to UPDRS-III subscores</w:t>
      </w:r>
      <w:r w:rsidR="006068CD">
        <w:rPr>
          <w:rFonts w:ascii="Times New Roman" w:hAnsi="Times New Roman" w:cs="Times New Roman"/>
          <w:sz w:val="24"/>
          <w:szCs w:val="28"/>
        </w:rPr>
        <w:t xml:space="preserve"> (corrected for disease duration)</w:t>
      </w:r>
      <w:r w:rsidR="006068CD" w:rsidRPr="00941621">
        <w:rPr>
          <w:rFonts w:ascii="Times New Roman" w:hAnsi="Times New Roman" w:cs="Times New Roman"/>
          <w:sz w:val="24"/>
          <w:szCs w:val="28"/>
        </w:rPr>
        <w:t xml:space="preserve">, </w:t>
      </w:r>
      <w:r w:rsidRPr="00941621">
        <w:rPr>
          <w:rFonts w:ascii="Times New Roman" w:hAnsi="Times New Roman" w:cs="Times New Roman"/>
          <w:sz w:val="24"/>
          <w:szCs w:val="28"/>
        </w:rPr>
        <w:t>higher bradykinesia subscores correlated with lower [</w:t>
      </w:r>
      <w:r w:rsidRPr="00941621">
        <w:rPr>
          <w:rFonts w:ascii="Times New Roman" w:hAnsi="Times New Roman" w:cs="Times New Roman"/>
          <w:sz w:val="24"/>
          <w:szCs w:val="28"/>
          <w:vertAlign w:val="superscript"/>
        </w:rPr>
        <w:t>11</w:t>
      </w:r>
      <w:r w:rsidRPr="00941621">
        <w:rPr>
          <w:rFonts w:ascii="Times New Roman" w:hAnsi="Times New Roman" w:cs="Times New Roman"/>
          <w:sz w:val="24"/>
          <w:szCs w:val="28"/>
        </w:rPr>
        <w:t>C]IMA107 BP</w:t>
      </w:r>
      <w:r w:rsidRPr="00941621">
        <w:rPr>
          <w:rFonts w:ascii="Times New Roman" w:hAnsi="Times New Roman" w:cs="Times New Roman"/>
          <w:sz w:val="24"/>
          <w:szCs w:val="28"/>
          <w:vertAlign w:val="subscript"/>
        </w:rPr>
        <w:t xml:space="preserve">ND  </w:t>
      </w:r>
      <w:r w:rsidRPr="00941621">
        <w:rPr>
          <w:rFonts w:ascii="Times New Roman" w:hAnsi="Times New Roman" w:cs="Times New Roman"/>
          <w:sz w:val="24"/>
          <w:szCs w:val="28"/>
        </w:rPr>
        <w:t xml:space="preserve">in </w:t>
      </w:r>
      <w:r>
        <w:rPr>
          <w:rFonts w:ascii="Times New Roman" w:hAnsi="Times New Roman" w:cs="Times New Roman"/>
          <w:sz w:val="24"/>
          <w:szCs w:val="28"/>
        </w:rPr>
        <w:t xml:space="preserve">the </w:t>
      </w:r>
      <w:r w:rsidRPr="00941621">
        <w:rPr>
          <w:rFonts w:ascii="Times New Roman" w:hAnsi="Times New Roman" w:cs="Times New Roman"/>
          <w:sz w:val="24"/>
          <w:szCs w:val="28"/>
        </w:rPr>
        <w:t>caudate (</w:t>
      </w:r>
      <w:r w:rsidRPr="00941621">
        <w:rPr>
          <w:rFonts w:ascii="Times New Roman" w:hAnsi="Times New Roman" w:cs="Times New Roman"/>
          <w:i/>
          <w:sz w:val="24"/>
          <w:szCs w:val="28"/>
        </w:rPr>
        <w:t>r</w:t>
      </w:r>
      <w:r w:rsidRPr="00941621">
        <w:rPr>
          <w:rFonts w:ascii="Times New Roman" w:hAnsi="Times New Roman" w:cs="Times New Roman"/>
          <w:sz w:val="24"/>
          <w:szCs w:val="28"/>
        </w:rPr>
        <w:t>=−0.58;</w:t>
      </w:r>
      <w:r w:rsidRPr="00941621">
        <w:rPr>
          <w:rFonts w:ascii="Times New Roman" w:hAnsi="Times New Roman" w:cs="Times New Roman"/>
          <w:i/>
          <w:sz w:val="24"/>
          <w:szCs w:val="28"/>
        </w:rPr>
        <w:t xml:space="preserve"> P</w:t>
      </w:r>
      <w:r w:rsidRPr="00941621">
        <w:rPr>
          <w:rFonts w:ascii="Times New Roman" w:hAnsi="Times New Roman" w:cs="Times New Roman"/>
          <w:sz w:val="24"/>
          <w:szCs w:val="28"/>
        </w:rPr>
        <w:t>=0.007), putamen (</w:t>
      </w:r>
      <w:r w:rsidRPr="00941621">
        <w:rPr>
          <w:rFonts w:ascii="Times New Roman" w:hAnsi="Times New Roman" w:cs="Times New Roman"/>
          <w:i/>
          <w:sz w:val="24"/>
          <w:szCs w:val="28"/>
        </w:rPr>
        <w:t>r</w:t>
      </w:r>
      <w:r w:rsidRPr="00941621">
        <w:rPr>
          <w:rFonts w:ascii="Times New Roman" w:hAnsi="Times New Roman" w:cs="Times New Roman"/>
          <w:sz w:val="24"/>
          <w:szCs w:val="28"/>
        </w:rPr>
        <w:t xml:space="preserve">=−0.53; </w:t>
      </w:r>
      <w:r w:rsidRPr="00941621">
        <w:rPr>
          <w:rFonts w:ascii="Times New Roman" w:hAnsi="Times New Roman" w:cs="Times New Roman"/>
          <w:i/>
          <w:sz w:val="24"/>
          <w:szCs w:val="28"/>
        </w:rPr>
        <w:t>P</w:t>
      </w:r>
      <w:r w:rsidRPr="00941621">
        <w:rPr>
          <w:rFonts w:ascii="Times New Roman" w:hAnsi="Times New Roman" w:cs="Times New Roman"/>
          <w:sz w:val="24"/>
          <w:szCs w:val="28"/>
        </w:rPr>
        <w:t>=0.010) and globus pallidus (</w:t>
      </w:r>
      <w:r w:rsidRPr="00941621">
        <w:rPr>
          <w:rFonts w:ascii="Times New Roman" w:hAnsi="Times New Roman" w:cs="Times New Roman"/>
          <w:i/>
          <w:sz w:val="24"/>
          <w:szCs w:val="28"/>
        </w:rPr>
        <w:t>r</w:t>
      </w:r>
      <w:r w:rsidRPr="00941621">
        <w:rPr>
          <w:rFonts w:ascii="Times New Roman" w:hAnsi="Times New Roman" w:cs="Times New Roman"/>
          <w:sz w:val="24"/>
          <w:szCs w:val="28"/>
        </w:rPr>
        <w:t xml:space="preserve">=−0.69; </w:t>
      </w:r>
      <w:r w:rsidRPr="00941621">
        <w:rPr>
          <w:rFonts w:ascii="Times New Roman" w:hAnsi="Times New Roman" w:cs="Times New Roman"/>
          <w:i/>
          <w:sz w:val="24"/>
          <w:szCs w:val="28"/>
        </w:rPr>
        <w:t>P</w:t>
      </w:r>
      <w:r w:rsidRPr="00941621">
        <w:rPr>
          <w:rFonts w:ascii="Times New Roman" w:hAnsi="Times New Roman" w:cs="Times New Roman"/>
          <w:sz w:val="24"/>
          <w:szCs w:val="28"/>
        </w:rPr>
        <w:t xml:space="preserve">&lt;0.001; </w:t>
      </w:r>
      <w:r>
        <w:rPr>
          <w:rFonts w:ascii="Times New Roman" w:hAnsi="Times New Roman" w:cs="Times New Roman"/>
          <w:sz w:val="24"/>
          <w:szCs w:val="28"/>
        </w:rPr>
        <w:t>Fig</w:t>
      </w:r>
      <w:r w:rsidRPr="00941621">
        <w:rPr>
          <w:rFonts w:ascii="Times New Roman" w:hAnsi="Times New Roman" w:cs="Times New Roman"/>
          <w:sz w:val="24"/>
          <w:szCs w:val="28"/>
        </w:rPr>
        <w:t xml:space="preserve"> 3C). Higher rigidity correlated with lower [</w:t>
      </w:r>
      <w:r w:rsidRPr="00941621">
        <w:rPr>
          <w:rFonts w:ascii="Times New Roman" w:hAnsi="Times New Roman" w:cs="Times New Roman"/>
          <w:sz w:val="24"/>
          <w:szCs w:val="28"/>
          <w:vertAlign w:val="superscript"/>
        </w:rPr>
        <w:t>11</w:t>
      </w:r>
      <w:r w:rsidRPr="00941621">
        <w:rPr>
          <w:rFonts w:ascii="Times New Roman" w:hAnsi="Times New Roman" w:cs="Times New Roman"/>
          <w:sz w:val="24"/>
          <w:szCs w:val="28"/>
        </w:rPr>
        <w:t>C]IMA107 BP</w:t>
      </w:r>
      <w:r w:rsidRPr="00941621">
        <w:rPr>
          <w:rFonts w:ascii="Times New Roman" w:hAnsi="Times New Roman" w:cs="Times New Roman"/>
          <w:sz w:val="24"/>
          <w:szCs w:val="28"/>
          <w:vertAlign w:val="subscript"/>
        </w:rPr>
        <w:t xml:space="preserve">ND  </w:t>
      </w:r>
      <w:r w:rsidRPr="00941621">
        <w:rPr>
          <w:rFonts w:ascii="Times New Roman" w:hAnsi="Times New Roman" w:cs="Times New Roman"/>
          <w:sz w:val="24"/>
          <w:szCs w:val="28"/>
        </w:rPr>
        <w:t xml:space="preserve">in </w:t>
      </w:r>
      <w:r>
        <w:rPr>
          <w:rFonts w:ascii="Times New Roman" w:hAnsi="Times New Roman" w:cs="Times New Roman"/>
          <w:sz w:val="24"/>
          <w:szCs w:val="28"/>
        </w:rPr>
        <w:t xml:space="preserve">the </w:t>
      </w:r>
      <w:r w:rsidRPr="00941621">
        <w:rPr>
          <w:rFonts w:ascii="Times New Roman" w:hAnsi="Times New Roman" w:cs="Times New Roman"/>
          <w:sz w:val="24"/>
          <w:szCs w:val="28"/>
        </w:rPr>
        <w:t>caudate (</w:t>
      </w:r>
      <w:r w:rsidRPr="00941621">
        <w:rPr>
          <w:rFonts w:ascii="Times New Roman" w:hAnsi="Times New Roman" w:cs="Times New Roman"/>
          <w:i/>
          <w:sz w:val="24"/>
          <w:szCs w:val="28"/>
        </w:rPr>
        <w:t>r</w:t>
      </w:r>
      <w:r w:rsidRPr="00941621">
        <w:rPr>
          <w:rFonts w:ascii="Times New Roman" w:hAnsi="Times New Roman" w:cs="Times New Roman"/>
          <w:sz w:val="24"/>
          <w:szCs w:val="28"/>
        </w:rPr>
        <w:t xml:space="preserve">=−0.51; </w:t>
      </w:r>
      <w:r w:rsidRPr="00941621">
        <w:rPr>
          <w:rFonts w:ascii="Times New Roman" w:hAnsi="Times New Roman" w:cs="Times New Roman"/>
          <w:i/>
          <w:sz w:val="24"/>
          <w:szCs w:val="28"/>
        </w:rPr>
        <w:t>P</w:t>
      </w:r>
      <w:r w:rsidRPr="00941621">
        <w:rPr>
          <w:rFonts w:ascii="Times New Roman" w:hAnsi="Times New Roman" w:cs="Times New Roman"/>
          <w:sz w:val="24"/>
          <w:szCs w:val="28"/>
        </w:rPr>
        <w:t>=0.022), putamen (</w:t>
      </w:r>
      <w:r w:rsidRPr="00941621">
        <w:rPr>
          <w:rFonts w:ascii="Times New Roman" w:hAnsi="Times New Roman" w:cs="Times New Roman"/>
          <w:i/>
          <w:sz w:val="24"/>
          <w:szCs w:val="28"/>
        </w:rPr>
        <w:t>r</w:t>
      </w:r>
      <w:r w:rsidRPr="00941621">
        <w:rPr>
          <w:rFonts w:ascii="Times New Roman" w:hAnsi="Times New Roman" w:cs="Times New Roman"/>
          <w:sz w:val="24"/>
          <w:szCs w:val="28"/>
        </w:rPr>
        <w:t xml:space="preserve">=−0.48; </w:t>
      </w:r>
      <w:r w:rsidRPr="00941621">
        <w:rPr>
          <w:rFonts w:ascii="Times New Roman" w:hAnsi="Times New Roman" w:cs="Times New Roman"/>
          <w:i/>
          <w:sz w:val="24"/>
          <w:szCs w:val="28"/>
        </w:rPr>
        <w:t>P</w:t>
      </w:r>
      <w:r w:rsidRPr="00941621">
        <w:rPr>
          <w:rFonts w:ascii="Times New Roman" w:hAnsi="Times New Roman" w:cs="Times New Roman"/>
          <w:sz w:val="24"/>
          <w:szCs w:val="28"/>
        </w:rPr>
        <w:t>=0.022) and globus pallidus (</w:t>
      </w:r>
      <w:r w:rsidRPr="00941621">
        <w:rPr>
          <w:rFonts w:ascii="Times New Roman" w:hAnsi="Times New Roman" w:cs="Times New Roman"/>
          <w:i/>
          <w:sz w:val="24"/>
          <w:szCs w:val="28"/>
        </w:rPr>
        <w:t>r</w:t>
      </w:r>
      <w:r w:rsidRPr="00941621">
        <w:rPr>
          <w:rFonts w:ascii="Times New Roman" w:hAnsi="Times New Roman" w:cs="Times New Roman"/>
          <w:sz w:val="24"/>
          <w:szCs w:val="28"/>
        </w:rPr>
        <w:t xml:space="preserve">=−0.67; </w:t>
      </w:r>
      <w:r w:rsidRPr="00941621">
        <w:rPr>
          <w:rFonts w:ascii="Times New Roman" w:hAnsi="Times New Roman" w:cs="Times New Roman"/>
          <w:i/>
          <w:sz w:val="24"/>
          <w:szCs w:val="28"/>
        </w:rPr>
        <w:t>P</w:t>
      </w:r>
      <w:r w:rsidRPr="00941621">
        <w:rPr>
          <w:rFonts w:ascii="Times New Roman" w:hAnsi="Times New Roman" w:cs="Times New Roman"/>
          <w:sz w:val="24"/>
          <w:szCs w:val="28"/>
        </w:rPr>
        <w:t>&lt;0.001</w:t>
      </w:r>
      <w:r>
        <w:rPr>
          <w:rFonts w:ascii="Times New Roman" w:hAnsi="Times New Roman" w:cs="Times New Roman"/>
          <w:sz w:val="24"/>
          <w:szCs w:val="28"/>
        </w:rPr>
        <w:t>; Fig</w:t>
      </w:r>
      <w:r w:rsidRPr="00941621">
        <w:rPr>
          <w:rFonts w:ascii="Times New Roman" w:hAnsi="Times New Roman" w:cs="Times New Roman"/>
          <w:sz w:val="24"/>
          <w:szCs w:val="28"/>
        </w:rPr>
        <w:t xml:space="preserve"> 3D). Higher axial subscores correlated only with lower [</w:t>
      </w:r>
      <w:r w:rsidRPr="00941621">
        <w:rPr>
          <w:rFonts w:ascii="Times New Roman" w:hAnsi="Times New Roman" w:cs="Times New Roman"/>
          <w:sz w:val="24"/>
          <w:szCs w:val="28"/>
          <w:vertAlign w:val="superscript"/>
        </w:rPr>
        <w:t>11</w:t>
      </w:r>
      <w:r w:rsidRPr="00941621">
        <w:rPr>
          <w:rFonts w:ascii="Times New Roman" w:hAnsi="Times New Roman" w:cs="Times New Roman"/>
          <w:sz w:val="24"/>
          <w:szCs w:val="28"/>
        </w:rPr>
        <w:t>C]IMA107 BP</w:t>
      </w:r>
      <w:r w:rsidRPr="00941621">
        <w:rPr>
          <w:rFonts w:ascii="Times New Roman" w:hAnsi="Times New Roman" w:cs="Times New Roman"/>
          <w:sz w:val="24"/>
          <w:szCs w:val="28"/>
          <w:vertAlign w:val="subscript"/>
        </w:rPr>
        <w:t xml:space="preserve">ND </w:t>
      </w:r>
      <w:r w:rsidRPr="00941621">
        <w:rPr>
          <w:rFonts w:ascii="Times New Roman" w:hAnsi="Times New Roman" w:cs="Times New Roman"/>
          <w:sz w:val="24"/>
          <w:szCs w:val="28"/>
        </w:rPr>
        <w:t xml:space="preserve">in </w:t>
      </w:r>
      <w:r>
        <w:rPr>
          <w:rFonts w:ascii="Times New Roman" w:hAnsi="Times New Roman" w:cs="Times New Roman"/>
          <w:sz w:val="24"/>
          <w:szCs w:val="28"/>
        </w:rPr>
        <w:t xml:space="preserve">the </w:t>
      </w:r>
      <w:r w:rsidRPr="00941621">
        <w:rPr>
          <w:rFonts w:ascii="Times New Roman" w:hAnsi="Times New Roman" w:cs="Times New Roman"/>
          <w:sz w:val="24"/>
          <w:szCs w:val="28"/>
        </w:rPr>
        <w:t>globus pallidus (</w:t>
      </w:r>
      <w:r w:rsidRPr="00941621">
        <w:rPr>
          <w:rFonts w:ascii="Times New Roman" w:hAnsi="Times New Roman" w:cs="Times New Roman"/>
          <w:i/>
          <w:sz w:val="24"/>
          <w:szCs w:val="28"/>
        </w:rPr>
        <w:t>r</w:t>
      </w:r>
      <w:r w:rsidRPr="00941621">
        <w:rPr>
          <w:rFonts w:ascii="Times New Roman" w:hAnsi="Times New Roman" w:cs="Times New Roman"/>
          <w:sz w:val="24"/>
          <w:szCs w:val="28"/>
        </w:rPr>
        <w:t xml:space="preserve">=−0.57; </w:t>
      </w:r>
      <w:r w:rsidRPr="00941621">
        <w:rPr>
          <w:rFonts w:ascii="Times New Roman" w:hAnsi="Times New Roman" w:cs="Times New Roman"/>
          <w:i/>
          <w:sz w:val="24"/>
          <w:szCs w:val="28"/>
        </w:rPr>
        <w:t>P</w:t>
      </w:r>
      <w:r w:rsidRPr="00941621">
        <w:rPr>
          <w:rFonts w:ascii="Times New Roman" w:hAnsi="Times New Roman" w:cs="Times New Roman"/>
          <w:sz w:val="24"/>
          <w:szCs w:val="28"/>
        </w:rPr>
        <w:t>=0.009</w:t>
      </w:r>
      <w:r w:rsidR="00D61CE8">
        <w:rPr>
          <w:rFonts w:ascii="Times New Roman" w:hAnsi="Times New Roman" w:cs="Times New Roman"/>
          <w:sz w:val="24"/>
          <w:szCs w:val="28"/>
        </w:rPr>
        <w:t>; Fig S</w:t>
      </w:r>
      <w:r w:rsidR="00575E9E">
        <w:rPr>
          <w:rFonts w:ascii="Times New Roman" w:hAnsi="Times New Roman" w:cs="Times New Roman"/>
          <w:sz w:val="24"/>
          <w:szCs w:val="28"/>
        </w:rPr>
        <w:t>2</w:t>
      </w:r>
      <w:r w:rsidRPr="00941621">
        <w:rPr>
          <w:rFonts w:ascii="Times New Roman" w:hAnsi="Times New Roman" w:cs="Times New Roman"/>
          <w:sz w:val="24"/>
          <w:szCs w:val="28"/>
        </w:rPr>
        <w:t>).</w:t>
      </w:r>
      <w:r w:rsidRPr="00941621">
        <w:rPr>
          <w:rFonts w:ascii="Times New Roman" w:hAnsi="Times New Roman" w:cs="Times New Roman"/>
          <w:sz w:val="24"/>
          <w:szCs w:val="28"/>
          <w:vertAlign w:val="subscript"/>
        </w:rPr>
        <w:t xml:space="preserve"> </w:t>
      </w:r>
      <w:r w:rsidRPr="00941621">
        <w:rPr>
          <w:rFonts w:ascii="Times New Roman" w:hAnsi="Times New Roman" w:cs="Times New Roman"/>
          <w:sz w:val="24"/>
          <w:szCs w:val="28"/>
        </w:rPr>
        <w:t>We did not find any correlations between tremor subscores</w:t>
      </w:r>
      <w:r w:rsidR="006068CD">
        <w:rPr>
          <w:rFonts w:ascii="Times New Roman" w:hAnsi="Times New Roman" w:cs="Times New Roman"/>
          <w:sz w:val="24"/>
          <w:szCs w:val="28"/>
        </w:rPr>
        <w:t xml:space="preserve">, </w:t>
      </w:r>
      <w:r w:rsidR="006068CD" w:rsidRPr="002635BB">
        <w:rPr>
          <w:rFonts w:ascii="Times New Roman" w:hAnsi="Times New Roman" w:cs="Times New Roman"/>
          <w:sz w:val="24"/>
          <w:szCs w:val="28"/>
        </w:rPr>
        <w:t>Hoehn &amp; Yahr staging scores, PDQ-39 ratings</w:t>
      </w:r>
      <w:r w:rsidR="002635BB" w:rsidRPr="002635BB">
        <w:rPr>
          <w:rFonts w:ascii="Times New Roman" w:hAnsi="Times New Roman" w:cs="Times New Roman"/>
          <w:sz w:val="24"/>
          <w:szCs w:val="28"/>
        </w:rPr>
        <w:t xml:space="preserve"> </w:t>
      </w:r>
      <w:r w:rsidRPr="00941621">
        <w:rPr>
          <w:rFonts w:ascii="Times New Roman" w:hAnsi="Times New Roman" w:cs="Times New Roman"/>
          <w:sz w:val="24"/>
          <w:szCs w:val="28"/>
        </w:rPr>
        <w:t>and PDE-10A data.</w:t>
      </w:r>
      <w:r w:rsidR="0000477A">
        <w:rPr>
          <w:rFonts w:ascii="Times New Roman" w:hAnsi="Times New Roman" w:cs="Times New Roman"/>
          <w:sz w:val="24"/>
          <w:szCs w:val="28"/>
        </w:rPr>
        <w:t xml:space="preserve"> </w:t>
      </w:r>
    </w:p>
    <w:p w14:paraId="672F63BB" w14:textId="77777777" w:rsidR="00E30C4B" w:rsidRPr="00E30C4B" w:rsidRDefault="00E30C4B" w:rsidP="00E30C4B">
      <w:pPr>
        <w:spacing w:after="0" w:line="480" w:lineRule="auto"/>
        <w:jc w:val="both"/>
        <w:rPr>
          <w:rFonts w:ascii="Times New Roman" w:hAnsi="Times New Roman" w:cs="Times New Roman"/>
          <w:sz w:val="24"/>
          <w:szCs w:val="28"/>
        </w:rPr>
      </w:pPr>
    </w:p>
    <w:p w14:paraId="138617FD" w14:textId="33ABE526" w:rsidR="00A458B2" w:rsidRPr="003D0ED4" w:rsidRDefault="00585879" w:rsidP="00523257">
      <w:pPr>
        <w:pStyle w:val="Heading2"/>
        <w:spacing w:before="0" w:line="480" w:lineRule="auto"/>
        <w:rPr>
          <w:rFonts w:ascii="Times New Roman" w:hAnsi="Times New Roman" w:cs="Times New Roman"/>
          <w:i/>
          <w:color w:val="auto"/>
        </w:rPr>
      </w:pPr>
      <w:r w:rsidRPr="003D0ED4">
        <w:rPr>
          <w:rFonts w:ascii="Times New Roman" w:hAnsi="Times New Roman" w:cs="Times New Roman"/>
          <w:i/>
          <w:color w:val="auto"/>
        </w:rPr>
        <w:t>M</w:t>
      </w:r>
      <w:r w:rsidR="00A458B2" w:rsidRPr="003D0ED4">
        <w:rPr>
          <w:rFonts w:ascii="Times New Roman" w:hAnsi="Times New Roman" w:cs="Times New Roman"/>
          <w:i/>
          <w:color w:val="auto"/>
        </w:rPr>
        <w:t>otor complications</w:t>
      </w:r>
    </w:p>
    <w:p w14:paraId="35BDB923" w14:textId="77777777" w:rsidR="00524519" w:rsidRDefault="00524519" w:rsidP="00524519">
      <w:pPr>
        <w:spacing w:after="0" w:line="480" w:lineRule="auto"/>
        <w:jc w:val="both"/>
        <w:rPr>
          <w:rFonts w:ascii="Times New Roman" w:hAnsi="Times New Roman" w:cs="Times New Roman"/>
          <w:sz w:val="24"/>
          <w:szCs w:val="28"/>
        </w:rPr>
      </w:pPr>
      <w:r w:rsidRPr="00941621">
        <w:rPr>
          <w:rFonts w:ascii="Times New Roman" w:hAnsi="Times New Roman" w:cs="Times New Roman"/>
          <w:sz w:val="24"/>
          <w:szCs w:val="28"/>
        </w:rPr>
        <w:t>Higher</w:t>
      </w:r>
      <w:r>
        <w:rPr>
          <w:rFonts w:ascii="Times New Roman" w:hAnsi="Times New Roman" w:cs="Times New Roman"/>
          <w:sz w:val="24"/>
          <w:szCs w:val="28"/>
        </w:rPr>
        <w:t xml:space="preserve"> </w:t>
      </w:r>
      <w:r w:rsidRPr="00941621">
        <w:rPr>
          <w:rFonts w:ascii="Times New Roman" w:hAnsi="Times New Roman" w:cs="Times New Roman"/>
          <w:sz w:val="24"/>
          <w:szCs w:val="28"/>
        </w:rPr>
        <w:t>UDysRS scores correlated with lower [</w:t>
      </w:r>
      <w:r w:rsidRPr="00941621">
        <w:rPr>
          <w:rFonts w:ascii="Times New Roman" w:hAnsi="Times New Roman" w:cs="Times New Roman"/>
          <w:sz w:val="24"/>
          <w:szCs w:val="28"/>
          <w:vertAlign w:val="superscript"/>
        </w:rPr>
        <w:t>11</w:t>
      </w:r>
      <w:r w:rsidRPr="00941621">
        <w:rPr>
          <w:rFonts w:ascii="Times New Roman" w:hAnsi="Times New Roman" w:cs="Times New Roman"/>
          <w:sz w:val="24"/>
          <w:szCs w:val="28"/>
        </w:rPr>
        <w:t>C]IMA107 BP</w:t>
      </w:r>
      <w:r w:rsidRPr="00941621">
        <w:rPr>
          <w:rFonts w:ascii="Times New Roman" w:hAnsi="Times New Roman" w:cs="Times New Roman"/>
          <w:sz w:val="24"/>
          <w:szCs w:val="28"/>
          <w:vertAlign w:val="subscript"/>
        </w:rPr>
        <w:t xml:space="preserve">ND </w:t>
      </w:r>
      <w:r w:rsidRPr="00941621">
        <w:rPr>
          <w:rFonts w:ascii="Times New Roman" w:hAnsi="Times New Roman" w:cs="Times New Roman"/>
          <w:sz w:val="24"/>
          <w:szCs w:val="28"/>
        </w:rPr>
        <w:t xml:space="preserve">in </w:t>
      </w:r>
      <w:r>
        <w:rPr>
          <w:rFonts w:ascii="Times New Roman" w:hAnsi="Times New Roman" w:cs="Times New Roman"/>
          <w:sz w:val="24"/>
          <w:szCs w:val="28"/>
        </w:rPr>
        <w:t xml:space="preserve">the </w:t>
      </w:r>
      <w:r w:rsidRPr="00941621">
        <w:rPr>
          <w:rFonts w:ascii="Times New Roman" w:hAnsi="Times New Roman" w:cs="Times New Roman"/>
          <w:sz w:val="24"/>
          <w:szCs w:val="28"/>
        </w:rPr>
        <w:t>caudate (</w:t>
      </w:r>
      <w:r w:rsidRPr="00941621">
        <w:rPr>
          <w:rFonts w:ascii="Times New Roman" w:hAnsi="Times New Roman" w:cs="Times New Roman"/>
          <w:i/>
          <w:sz w:val="24"/>
          <w:szCs w:val="28"/>
        </w:rPr>
        <w:t>r</w:t>
      </w:r>
      <w:r w:rsidRPr="00941621">
        <w:rPr>
          <w:rFonts w:ascii="Times New Roman" w:hAnsi="Times New Roman" w:cs="Times New Roman"/>
          <w:sz w:val="24"/>
          <w:szCs w:val="28"/>
        </w:rPr>
        <w:t xml:space="preserve">=−0.73, </w:t>
      </w:r>
      <w:r w:rsidRPr="00941621">
        <w:rPr>
          <w:rFonts w:ascii="Times New Roman" w:hAnsi="Times New Roman" w:cs="Times New Roman"/>
          <w:i/>
          <w:sz w:val="24"/>
          <w:szCs w:val="28"/>
        </w:rPr>
        <w:t>P</w:t>
      </w:r>
      <w:r w:rsidRPr="00941621">
        <w:rPr>
          <w:rFonts w:ascii="Times New Roman" w:hAnsi="Times New Roman" w:cs="Times New Roman"/>
          <w:sz w:val="24"/>
          <w:szCs w:val="28"/>
        </w:rPr>
        <w:t>=0.031) and putamen (</w:t>
      </w:r>
      <w:r w:rsidRPr="00941621">
        <w:rPr>
          <w:rFonts w:ascii="Times New Roman" w:hAnsi="Times New Roman" w:cs="Times New Roman"/>
          <w:i/>
          <w:sz w:val="24"/>
          <w:szCs w:val="28"/>
        </w:rPr>
        <w:t>r</w:t>
      </w:r>
      <w:r w:rsidRPr="00941621">
        <w:rPr>
          <w:rFonts w:ascii="Times New Roman" w:hAnsi="Times New Roman" w:cs="Times New Roman"/>
          <w:sz w:val="24"/>
          <w:szCs w:val="28"/>
        </w:rPr>
        <w:t xml:space="preserve">=−0.74, </w:t>
      </w:r>
      <w:r w:rsidRPr="00941621">
        <w:rPr>
          <w:rFonts w:ascii="Times New Roman" w:hAnsi="Times New Roman" w:cs="Times New Roman"/>
          <w:i/>
          <w:sz w:val="24"/>
          <w:szCs w:val="28"/>
        </w:rPr>
        <w:t>P</w:t>
      </w:r>
      <w:r w:rsidRPr="00941621">
        <w:rPr>
          <w:rFonts w:ascii="Times New Roman" w:hAnsi="Times New Roman" w:cs="Times New Roman"/>
          <w:sz w:val="24"/>
          <w:szCs w:val="28"/>
        </w:rPr>
        <w:t>=0.031</w:t>
      </w:r>
      <w:r>
        <w:rPr>
          <w:rFonts w:ascii="Times New Roman" w:hAnsi="Times New Roman" w:cs="Times New Roman"/>
          <w:sz w:val="24"/>
          <w:szCs w:val="28"/>
        </w:rPr>
        <w:t>; Fig</w:t>
      </w:r>
      <w:r w:rsidRPr="00941621">
        <w:rPr>
          <w:rFonts w:ascii="Times New Roman" w:hAnsi="Times New Roman" w:cs="Times New Roman"/>
          <w:sz w:val="24"/>
          <w:szCs w:val="28"/>
        </w:rPr>
        <w:t xml:space="preserve"> 4). </w:t>
      </w:r>
      <w:r>
        <w:rPr>
          <w:rFonts w:ascii="Times New Roman" w:hAnsi="Times New Roman" w:cs="Times New Roman"/>
          <w:sz w:val="24"/>
          <w:szCs w:val="28"/>
        </w:rPr>
        <w:t>A</w:t>
      </w:r>
      <w:r w:rsidRPr="00941621">
        <w:rPr>
          <w:rFonts w:ascii="Times New Roman" w:hAnsi="Times New Roman" w:cs="Times New Roman"/>
          <w:sz w:val="24"/>
          <w:szCs w:val="28"/>
        </w:rPr>
        <w:t xml:space="preserve">fter </w:t>
      </w:r>
      <w:r>
        <w:rPr>
          <w:rFonts w:ascii="Times New Roman" w:hAnsi="Times New Roman" w:cs="Times New Roman"/>
          <w:sz w:val="24"/>
          <w:szCs w:val="28"/>
        </w:rPr>
        <w:t xml:space="preserve">controlling </w:t>
      </w:r>
      <w:r w:rsidRPr="00941621">
        <w:rPr>
          <w:rFonts w:ascii="Times New Roman" w:hAnsi="Times New Roman" w:cs="Times New Roman"/>
          <w:sz w:val="24"/>
          <w:szCs w:val="28"/>
        </w:rPr>
        <w:t xml:space="preserve">for disease duration, </w:t>
      </w:r>
      <w:r>
        <w:rPr>
          <w:rFonts w:ascii="Times New Roman" w:hAnsi="Times New Roman" w:cs="Times New Roman"/>
          <w:sz w:val="24"/>
          <w:szCs w:val="28"/>
        </w:rPr>
        <w:t xml:space="preserve">the correlation remained significant between higher </w:t>
      </w:r>
      <w:r w:rsidRPr="00941621">
        <w:rPr>
          <w:rFonts w:ascii="Times New Roman" w:hAnsi="Times New Roman" w:cs="Times New Roman"/>
          <w:sz w:val="24"/>
          <w:szCs w:val="28"/>
        </w:rPr>
        <w:t xml:space="preserve">UDysRS scores </w:t>
      </w:r>
      <w:r>
        <w:rPr>
          <w:rFonts w:ascii="Times New Roman" w:hAnsi="Times New Roman" w:cs="Times New Roman"/>
          <w:sz w:val="24"/>
          <w:szCs w:val="28"/>
        </w:rPr>
        <w:t>and</w:t>
      </w:r>
      <w:r w:rsidRPr="00941621">
        <w:rPr>
          <w:rFonts w:ascii="Times New Roman" w:hAnsi="Times New Roman" w:cs="Times New Roman"/>
          <w:sz w:val="24"/>
          <w:szCs w:val="28"/>
        </w:rPr>
        <w:t xml:space="preserve"> lower [</w:t>
      </w:r>
      <w:r w:rsidRPr="00941621">
        <w:rPr>
          <w:rFonts w:ascii="Times New Roman" w:hAnsi="Times New Roman" w:cs="Times New Roman"/>
          <w:sz w:val="24"/>
          <w:szCs w:val="28"/>
          <w:vertAlign w:val="superscript"/>
        </w:rPr>
        <w:t>11</w:t>
      </w:r>
      <w:r w:rsidRPr="00941621">
        <w:rPr>
          <w:rFonts w:ascii="Times New Roman" w:hAnsi="Times New Roman" w:cs="Times New Roman"/>
          <w:sz w:val="24"/>
          <w:szCs w:val="28"/>
        </w:rPr>
        <w:t>C]IMA107 BP</w:t>
      </w:r>
      <w:r w:rsidRPr="00941621">
        <w:rPr>
          <w:rFonts w:ascii="Times New Roman" w:hAnsi="Times New Roman" w:cs="Times New Roman"/>
          <w:sz w:val="24"/>
          <w:szCs w:val="28"/>
          <w:vertAlign w:val="subscript"/>
        </w:rPr>
        <w:t xml:space="preserve">ND </w:t>
      </w:r>
      <w:r w:rsidRPr="00941621">
        <w:rPr>
          <w:rFonts w:ascii="Times New Roman" w:hAnsi="Times New Roman" w:cs="Times New Roman"/>
          <w:sz w:val="24"/>
          <w:szCs w:val="28"/>
        </w:rPr>
        <w:t xml:space="preserve">in </w:t>
      </w:r>
      <w:r>
        <w:rPr>
          <w:rFonts w:ascii="Times New Roman" w:hAnsi="Times New Roman" w:cs="Times New Roman"/>
          <w:sz w:val="24"/>
          <w:szCs w:val="28"/>
        </w:rPr>
        <w:t xml:space="preserve">the </w:t>
      </w:r>
      <w:r w:rsidRPr="00941621">
        <w:rPr>
          <w:rFonts w:ascii="Times New Roman" w:hAnsi="Times New Roman" w:cs="Times New Roman"/>
          <w:sz w:val="24"/>
          <w:szCs w:val="28"/>
        </w:rPr>
        <w:t>caudate (</w:t>
      </w:r>
      <w:r w:rsidRPr="00941621">
        <w:rPr>
          <w:rFonts w:ascii="Times New Roman" w:hAnsi="Times New Roman" w:cs="Times New Roman"/>
          <w:i/>
          <w:sz w:val="24"/>
          <w:szCs w:val="28"/>
        </w:rPr>
        <w:t>r</w:t>
      </w:r>
      <w:r w:rsidRPr="00941621">
        <w:rPr>
          <w:rFonts w:ascii="Times New Roman" w:hAnsi="Times New Roman" w:cs="Times New Roman"/>
          <w:sz w:val="24"/>
          <w:szCs w:val="28"/>
        </w:rPr>
        <w:t xml:space="preserve">=−0.66, </w:t>
      </w:r>
      <w:r w:rsidRPr="00941621">
        <w:rPr>
          <w:rFonts w:ascii="Times New Roman" w:hAnsi="Times New Roman" w:cs="Times New Roman"/>
          <w:i/>
          <w:sz w:val="24"/>
          <w:szCs w:val="28"/>
        </w:rPr>
        <w:t>P</w:t>
      </w:r>
      <w:r w:rsidRPr="00941621">
        <w:rPr>
          <w:rFonts w:ascii="Times New Roman" w:hAnsi="Times New Roman" w:cs="Times New Roman"/>
          <w:sz w:val="24"/>
          <w:szCs w:val="28"/>
        </w:rPr>
        <w:t>=0.027) and putamen (</w:t>
      </w:r>
      <w:r w:rsidRPr="00941621">
        <w:rPr>
          <w:rFonts w:ascii="Times New Roman" w:hAnsi="Times New Roman" w:cs="Times New Roman"/>
          <w:i/>
          <w:sz w:val="24"/>
          <w:szCs w:val="28"/>
        </w:rPr>
        <w:t>r</w:t>
      </w:r>
      <w:r w:rsidRPr="00941621">
        <w:rPr>
          <w:rFonts w:ascii="Times New Roman" w:hAnsi="Times New Roman" w:cs="Times New Roman"/>
          <w:sz w:val="24"/>
          <w:szCs w:val="28"/>
        </w:rPr>
        <w:t xml:space="preserve">=−0.68, </w:t>
      </w:r>
      <w:r w:rsidRPr="00941621">
        <w:rPr>
          <w:rFonts w:ascii="Times New Roman" w:hAnsi="Times New Roman" w:cs="Times New Roman"/>
          <w:i/>
          <w:sz w:val="24"/>
          <w:szCs w:val="28"/>
        </w:rPr>
        <w:t>P</w:t>
      </w:r>
      <w:r w:rsidRPr="00941621">
        <w:rPr>
          <w:rFonts w:ascii="Times New Roman" w:hAnsi="Times New Roman" w:cs="Times New Roman"/>
          <w:sz w:val="24"/>
          <w:szCs w:val="28"/>
        </w:rPr>
        <w:t>=0.022).</w:t>
      </w:r>
    </w:p>
    <w:p w14:paraId="4BB1FBE6" w14:textId="77777777" w:rsidR="002171F3" w:rsidRDefault="002171F3" w:rsidP="00524519">
      <w:pPr>
        <w:spacing w:after="0" w:line="480" w:lineRule="auto"/>
        <w:jc w:val="both"/>
        <w:rPr>
          <w:rFonts w:ascii="Times New Roman" w:hAnsi="Times New Roman" w:cs="Times New Roman"/>
          <w:sz w:val="24"/>
          <w:szCs w:val="28"/>
        </w:rPr>
      </w:pPr>
    </w:p>
    <w:p w14:paraId="190E63A5" w14:textId="77777777" w:rsidR="003D0ED4" w:rsidRPr="003D0ED4" w:rsidRDefault="003D0ED4" w:rsidP="003D0ED4">
      <w:pPr>
        <w:spacing w:after="0" w:line="480" w:lineRule="auto"/>
        <w:jc w:val="both"/>
        <w:rPr>
          <w:rFonts w:ascii="Times New Roman" w:hAnsi="Times New Roman" w:cs="Times New Roman"/>
          <w:b/>
          <w:i/>
          <w:sz w:val="26"/>
          <w:szCs w:val="26"/>
        </w:rPr>
      </w:pPr>
      <w:r>
        <w:rPr>
          <w:rFonts w:ascii="Times New Roman" w:hAnsi="Times New Roman" w:cs="Times New Roman"/>
          <w:b/>
          <w:i/>
          <w:sz w:val="26"/>
          <w:szCs w:val="26"/>
        </w:rPr>
        <w:t xml:space="preserve">Dopaminergic </w:t>
      </w:r>
      <w:r w:rsidRPr="009F46A8">
        <w:rPr>
          <w:rFonts w:ascii="Times New Roman" w:hAnsi="Times New Roman" w:cs="Times New Roman"/>
          <w:b/>
          <w:i/>
          <w:sz w:val="26"/>
          <w:szCs w:val="26"/>
        </w:rPr>
        <w:t>m</w:t>
      </w:r>
      <w:r w:rsidRPr="003D0ED4">
        <w:rPr>
          <w:rFonts w:ascii="Times New Roman" w:hAnsi="Times New Roman" w:cs="Times New Roman"/>
          <w:b/>
          <w:i/>
          <w:sz w:val="26"/>
          <w:szCs w:val="26"/>
        </w:rPr>
        <w:t>edication</w:t>
      </w:r>
    </w:p>
    <w:p w14:paraId="58116551" w14:textId="77777777" w:rsidR="003D0ED4" w:rsidRPr="00D91B7F" w:rsidRDefault="003D0ED4" w:rsidP="003D0ED4">
      <w:pPr>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We found a significant interaction between higher </w:t>
      </w:r>
      <w:r w:rsidRPr="005B5001">
        <w:rPr>
          <w:rFonts w:ascii="Times New Roman" w:hAnsi="Times New Roman" w:cs="Times New Roman"/>
          <w:sz w:val="24"/>
          <w:szCs w:val="28"/>
        </w:rPr>
        <w:t>daily LED</w:t>
      </w:r>
      <w:r>
        <w:rPr>
          <w:rFonts w:ascii="Times New Roman" w:hAnsi="Times New Roman" w:cs="Times New Roman"/>
          <w:sz w:val="24"/>
          <w:szCs w:val="28"/>
        </w:rPr>
        <w:t xml:space="preserve"> and longer disease duration (</w:t>
      </w:r>
      <w:r w:rsidRPr="003D0ED4">
        <w:rPr>
          <w:rFonts w:ascii="Times New Roman" w:hAnsi="Times New Roman" w:cs="Times New Roman"/>
          <w:i/>
          <w:sz w:val="24"/>
          <w:szCs w:val="28"/>
        </w:rPr>
        <w:t>r</w:t>
      </w:r>
      <w:r>
        <w:rPr>
          <w:rFonts w:ascii="Times New Roman" w:hAnsi="Times New Roman" w:cs="Times New Roman"/>
          <w:sz w:val="24"/>
          <w:szCs w:val="28"/>
        </w:rPr>
        <w:t>=0.52</w:t>
      </w:r>
      <w:r w:rsidRPr="00B3082F">
        <w:rPr>
          <w:rFonts w:ascii="Times New Roman" w:hAnsi="Times New Roman" w:cs="Times New Roman"/>
          <w:sz w:val="24"/>
          <w:szCs w:val="28"/>
        </w:rPr>
        <w:t xml:space="preserve">; </w:t>
      </w:r>
      <w:r w:rsidRPr="003D0ED4">
        <w:rPr>
          <w:rFonts w:ascii="Times New Roman" w:hAnsi="Times New Roman" w:cs="Times New Roman"/>
          <w:i/>
          <w:sz w:val="24"/>
          <w:szCs w:val="28"/>
        </w:rPr>
        <w:t>P</w:t>
      </w:r>
      <w:r w:rsidRPr="00B3082F">
        <w:rPr>
          <w:rFonts w:ascii="Times New Roman" w:hAnsi="Times New Roman" w:cs="Times New Roman"/>
          <w:sz w:val="24"/>
          <w:szCs w:val="28"/>
        </w:rPr>
        <w:t>=0.01</w:t>
      </w:r>
      <w:r>
        <w:rPr>
          <w:rFonts w:ascii="Times New Roman" w:hAnsi="Times New Roman" w:cs="Times New Roman"/>
          <w:sz w:val="24"/>
          <w:szCs w:val="28"/>
        </w:rPr>
        <w:t xml:space="preserve">4), higher UPDRS-III </w:t>
      </w:r>
      <w:r w:rsidRPr="00941621">
        <w:rPr>
          <w:rFonts w:ascii="Times New Roman" w:hAnsi="Times New Roman" w:cs="Times New Roman"/>
          <w:sz w:val="24"/>
          <w:szCs w:val="28"/>
        </w:rPr>
        <w:t>scores</w:t>
      </w:r>
      <w:r>
        <w:rPr>
          <w:rFonts w:ascii="Times New Roman" w:hAnsi="Times New Roman" w:cs="Times New Roman"/>
          <w:sz w:val="24"/>
          <w:szCs w:val="28"/>
        </w:rPr>
        <w:t xml:space="preserve"> (</w:t>
      </w:r>
      <w:r w:rsidRPr="003D0ED4">
        <w:rPr>
          <w:rFonts w:ascii="Times New Roman" w:hAnsi="Times New Roman" w:cs="Times New Roman"/>
          <w:i/>
          <w:sz w:val="24"/>
          <w:szCs w:val="28"/>
        </w:rPr>
        <w:t>r</w:t>
      </w:r>
      <w:r>
        <w:rPr>
          <w:rFonts w:ascii="Times New Roman" w:hAnsi="Times New Roman" w:cs="Times New Roman"/>
          <w:sz w:val="24"/>
          <w:szCs w:val="28"/>
        </w:rPr>
        <w:t xml:space="preserve">=0.055; </w:t>
      </w:r>
      <w:r w:rsidRPr="003D0ED4">
        <w:rPr>
          <w:rFonts w:ascii="Times New Roman" w:hAnsi="Times New Roman" w:cs="Times New Roman"/>
          <w:i/>
          <w:sz w:val="24"/>
          <w:szCs w:val="28"/>
        </w:rPr>
        <w:t>P</w:t>
      </w:r>
      <w:r>
        <w:rPr>
          <w:rFonts w:ascii="Times New Roman" w:hAnsi="Times New Roman" w:cs="Times New Roman"/>
          <w:sz w:val="24"/>
          <w:szCs w:val="28"/>
        </w:rPr>
        <w:t xml:space="preserve">=0.012), and lower </w:t>
      </w:r>
      <w:r w:rsidRPr="00941621">
        <w:rPr>
          <w:rFonts w:ascii="Times New Roman" w:hAnsi="Times New Roman" w:cs="Times New Roman"/>
          <w:sz w:val="24"/>
          <w:szCs w:val="28"/>
        </w:rPr>
        <w:t>[</w:t>
      </w:r>
      <w:r w:rsidRPr="00941621">
        <w:rPr>
          <w:rFonts w:ascii="Times New Roman" w:hAnsi="Times New Roman" w:cs="Times New Roman"/>
          <w:sz w:val="24"/>
          <w:szCs w:val="28"/>
          <w:vertAlign w:val="superscript"/>
        </w:rPr>
        <w:t>11</w:t>
      </w:r>
      <w:r w:rsidRPr="00941621">
        <w:rPr>
          <w:rFonts w:ascii="Times New Roman" w:hAnsi="Times New Roman" w:cs="Times New Roman"/>
          <w:sz w:val="24"/>
          <w:szCs w:val="28"/>
        </w:rPr>
        <w:t>C]IMA107 BP</w:t>
      </w:r>
      <w:r w:rsidRPr="00941621">
        <w:rPr>
          <w:rFonts w:ascii="Times New Roman" w:hAnsi="Times New Roman" w:cs="Times New Roman"/>
          <w:sz w:val="24"/>
          <w:szCs w:val="28"/>
          <w:vertAlign w:val="subscript"/>
        </w:rPr>
        <w:t>ND</w:t>
      </w:r>
      <w:r>
        <w:rPr>
          <w:rFonts w:ascii="Times New Roman" w:hAnsi="Times New Roman" w:cs="Times New Roman"/>
          <w:sz w:val="24"/>
          <w:szCs w:val="28"/>
        </w:rPr>
        <w:t xml:space="preserve"> in the ROIs examined (</w:t>
      </w:r>
      <w:r w:rsidRPr="003D0ED4">
        <w:rPr>
          <w:rFonts w:ascii="Times New Roman" w:hAnsi="Times New Roman" w:cs="Times New Roman"/>
          <w:i/>
          <w:sz w:val="24"/>
          <w:szCs w:val="28"/>
        </w:rPr>
        <w:t>r</w:t>
      </w:r>
      <w:r>
        <w:rPr>
          <w:rFonts w:ascii="Times New Roman" w:hAnsi="Times New Roman" w:cs="Times New Roman"/>
          <w:sz w:val="24"/>
          <w:szCs w:val="28"/>
        </w:rPr>
        <w:t xml:space="preserve">=-0.44; </w:t>
      </w:r>
      <w:r w:rsidRPr="003D0ED4">
        <w:rPr>
          <w:rFonts w:ascii="Times New Roman" w:hAnsi="Times New Roman" w:cs="Times New Roman"/>
          <w:i/>
          <w:sz w:val="24"/>
          <w:szCs w:val="28"/>
        </w:rPr>
        <w:t>P</w:t>
      </w:r>
      <w:r>
        <w:rPr>
          <w:rFonts w:ascii="Times New Roman" w:hAnsi="Times New Roman" w:cs="Times New Roman"/>
          <w:sz w:val="24"/>
          <w:szCs w:val="28"/>
        </w:rPr>
        <w:t xml:space="preserve">=0.036). Subsequently, we repeated the PET-clinical correlation analysis adding LED as </w:t>
      </w:r>
      <w:r w:rsidRPr="00BB13B3">
        <w:rPr>
          <w:rFonts w:ascii="Times New Roman" w:hAnsi="Times New Roman" w:cs="Times New Roman"/>
          <w:sz w:val="24"/>
          <w:szCs w:val="28"/>
        </w:rPr>
        <w:t>a covariate</w:t>
      </w:r>
      <w:r>
        <w:rPr>
          <w:rFonts w:ascii="Times New Roman" w:hAnsi="Times New Roman" w:cs="Times New Roman"/>
          <w:sz w:val="24"/>
          <w:szCs w:val="28"/>
        </w:rPr>
        <w:t xml:space="preserve"> and found no changes in the level of significance of the previously reported correlations between </w:t>
      </w:r>
      <w:r w:rsidRPr="00324BA9">
        <w:rPr>
          <w:rFonts w:ascii="Times New Roman" w:hAnsi="Times New Roman" w:cs="Times New Roman"/>
          <w:sz w:val="24"/>
          <w:szCs w:val="28"/>
        </w:rPr>
        <w:t>l</w:t>
      </w:r>
      <w:r w:rsidRPr="00CD00D8">
        <w:rPr>
          <w:rFonts w:ascii="Times New Roman" w:hAnsi="Times New Roman" w:cs="Times New Roman"/>
          <w:sz w:val="24"/>
          <w:szCs w:val="28"/>
        </w:rPr>
        <w:t xml:space="preserve">ower </w:t>
      </w:r>
      <w:r w:rsidRPr="00523257">
        <w:rPr>
          <w:rFonts w:ascii="Times New Roman" w:hAnsi="Times New Roman" w:cs="Times New Roman"/>
          <w:sz w:val="24"/>
          <w:szCs w:val="28"/>
        </w:rPr>
        <w:t>[</w:t>
      </w:r>
      <w:r w:rsidRPr="00523257">
        <w:rPr>
          <w:rFonts w:ascii="Times New Roman" w:hAnsi="Times New Roman" w:cs="Times New Roman"/>
          <w:sz w:val="24"/>
          <w:szCs w:val="28"/>
          <w:vertAlign w:val="superscript"/>
        </w:rPr>
        <w:t>11</w:t>
      </w:r>
      <w:r w:rsidRPr="00523257">
        <w:rPr>
          <w:rFonts w:ascii="Times New Roman" w:hAnsi="Times New Roman" w:cs="Times New Roman"/>
          <w:sz w:val="24"/>
          <w:szCs w:val="28"/>
        </w:rPr>
        <w:t>C]IMA107 BP</w:t>
      </w:r>
      <w:r w:rsidRPr="00523257">
        <w:rPr>
          <w:rFonts w:ascii="Times New Roman" w:hAnsi="Times New Roman" w:cs="Times New Roman"/>
          <w:sz w:val="24"/>
          <w:szCs w:val="28"/>
          <w:vertAlign w:val="subscript"/>
        </w:rPr>
        <w:t>ND</w:t>
      </w:r>
      <w:r>
        <w:rPr>
          <w:rFonts w:ascii="Times New Roman" w:hAnsi="Times New Roman" w:cs="Times New Roman"/>
          <w:sz w:val="24"/>
          <w:szCs w:val="28"/>
        </w:rPr>
        <w:t xml:space="preserve"> and (a) longer disease duration (</w:t>
      </w:r>
      <w:r w:rsidRPr="0021214F">
        <w:rPr>
          <w:rFonts w:ascii="Times New Roman" w:hAnsi="Times New Roman" w:cs="Times New Roman"/>
          <w:i/>
          <w:sz w:val="24"/>
          <w:szCs w:val="28"/>
        </w:rPr>
        <w:t>r</w:t>
      </w:r>
      <w:r w:rsidRPr="0021214F">
        <w:rPr>
          <w:rFonts w:ascii="Times New Roman" w:hAnsi="Times New Roman" w:cs="Times New Roman"/>
          <w:sz w:val="24"/>
          <w:szCs w:val="28"/>
        </w:rPr>
        <w:t>=−0.5</w:t>
      </w:r>
      <w:r>
        <w:rPr>
          <w:rFonts w:ascii="Times New Roman" w:hAnsi="Times New Roman" w:cs="Times New Roman"/>
          <w:sz w:val="24"/>
          <w:szCs w:val="28"/>
        </w:rPr>
        <w:t>5</w:t>
      </w:r>
      <w:r w:rsidRPr="0021214F">
        <w:rPr>
          <w:rFonts w:ascii="Times New Roman" w:hAnsi="Times New Roman" w:cs="Times New Roman"/>
          <w:sz w:val="24"/>
          <w:szCs w:val="28"/>
        </w:rPr>
        <w:t xml:space="preserve">; </w:t>
      </w:r>
      <w:r w:rsidRPr="0021214F">
        <w:rPr>
          <w:rFonts w:ascii="Times New Roman" w:hAnsi="Times New Roman" w:cs="Times New Roman"/>
          <w:i/>
          <w:sz w:val="24"/>
          <w:szCs w:val="28"/>
        </w:rPr>
        <w:t>P</w:t>
      </w:r>
      <w:r>
        <w:rPr>
          <w:rFonts w:ascii="Times New Roman" w:hAnsi="Times New Roman" w:cs="Times New Roman"/>
          <w:sz w:val="24"/>
          <w:szCs w:val="28"/>
        </w:rPr>
        <w:t xml:space="preserve">=0.020), and (b) higher </w:t>
      </w:r>
      <w:r w:rsidRPr="00941621">
        <w:rPr>
          <w:rFonts w:ascii="Times New Roman" w:hAnsi="Times New Roman" w:cs="Times New Roman"/>
          <w:sz w:val="24"/>
          <w:szCs w:val="28"/>
        </w:rPr>
        <w:t xml:space="preserve">UPDRS-III </w:t>
      </w:r>
      <w:r>
        <w:rPr>
          <w:rFonts w:ascii="Times New Roman" w:hAnsi="Times New Roman" w:cs="Times New Roman"/>
          <w:sz w:val="24"/>
          <w:szCs w:val="28"/>
        </w:rPr>
        <w:t xml:space="preserve">motor </w:t>
      </w:r>
      <w:r w:rsidRPr="00941621">
        <w:rPr>
          <w:rFonts w:ascii="Times New Roman" w:hAnsi="Times New Roman" w:cs="Times New Roman"/>
          <w:sz w:val="24"/>
          <w:szCs w:val="28"/>
        </w:rPr>
        <w:t>scores</w:t>
      </w:r>
      <w:r>
        <w:rPr>
          <w:rFonts w:ascii="Times New Roman" w:hAnsi="Times New Roman" w:cs="Times New Roman"/>
          <w:sz w:val="24"/>
          <w:szCs w:val="28"/>
        </w:rPr>
        <w:t xml:space="preserve"> (</w:t>
      </w:r>
      <w:r w:rsidRPr="00941621">
        <w:rPr>
          <w:rFonts w:ascii="Times New Roman" w:hAnsi="Times New Roman" w:cs="Times New Roman"/>
          <w:i/>
          <w:sz w:val="24"/>
          <w:szCs w:val="28"/>
        </w:rPr>
        <w:t>r</w:t>
      </w:r>
      <w:r w:rsidRPr="00941621">
        <w:rPr>
          <w:rFonts w:ascii="Times New Roman" w:hAnsi="Times New Roman" w:cs="Times New Roman"/>
          <w:sz w:val="24"/>
          <w:szCs w:val="28"/>
        </w:rPr>
        <w:t>=−0.</w:t>
      </w:r>
      <w:r>
        <w:rPr>
          <w:rFonts w:ascii="Times New Roman" w:hAnsi="Times New Roman" w:cs="Times New Roman"/>
          <w:sz w:val="24"/>
          <w:szCs w:val="28"/>
        </w:rPr>
        <w:t>6</w:t>
      </w:r>
      <w:r w:rsidRPr="00941621">
        <w:rPr>
          <w:rFonts w:ascii="Times New Roman" w:hAnsi="Times New Roman" w:cs="Times New Roman"/>
          <w:sz w:val="24"/>
          <w:szCs w:val="28"/>
        </w:rPr>
        <w:t xml:space="preserve">4; </w:t>
      </w:r>
      <w:r w:rsidRPr="00941621">
        <w:rPr>
          <w:rFonts w:ascii="Times New Roman" w:hAnsi="Times New Roman" w:cs="Times New Roman"/>
          <w:i/>
          <w:sz w:val="24"/>
          <w:szCs w:val="28"/>
        </w:rPr>
        <w:t>P</w:t>
      </w:r>
      <w:r w:rsidRPr="00941621">
        <w:rPr>
          <w:rFonts w:ascii="Times New Roman" w:hAnsi="Times New Roman" w:cs="Times New Roman"/>
          <w:sz w:val="24"/>
          <w:szCs w:val="28"/>
        </w:rPr>
        <w:t>=0</w:t>
      </w:r>
      <w:r>
        <w:rPr>
          <w:rFonts w:ascii="Times New Roman" w:hAnsi="Times New Roman" w:cs="Times New Roman"/>
          <w:sz w:val="24"/>
          <w:szCs w:val="28"/>
        </w:rPr>
        <w:t>.008).</w:t>
      </w:r>
    </w:p>
    <w:p w14:paraId="11F26C9A" w14:textId="31C5E364" w:rsidR="009C4E5E" w:rsidRPr="00523257" w:rsidRDefault="009C4E5E" w:rsidP="00523257">
      <w:pPr>
        <w:spacing w:after="0" w:line="480" w:lineRule="auto"/>
        <w:jc w:val="both"/>
        <w:rPr>
          <w:rFonts w:ascii="Times New Roman" w:hAnsi="Times New Roman" w:cs="Times New Roman"/>
          <w:b/>
          <w:sz w:val="24"/>
          <w:szCs w:val="28"/>
        </w:rPr>
      </w:pPr>
    </w:p>
    <w:p w14:paraId="5ED174FC" w14:textId="1C3D13FC" w:rsidR="008D32A9" w:rsidRDefault="008D32A9" w:rsidP="00523257">
      <w:pPr>
        <w:pStyle w:val="Heading1"/>
        <w:spacing w:before="0" w:line="480" w:lineRule="auto"/>
        <w:rPr>
          <w:rFonts w:ascii="Times New Roman" w:hAnsi="Times New Roman" w:cs="Times New Roman"/>
          <w:color w:val="auto"/>
        </w:rPr>
      </w:pPr>
      <w:r w:rsidRPr="0035381E">
        <w:rPr>
          <w:rFonts w:ascii="Times New Roman" w:hAnsi="Times New Roman" w:cs="Times New Roman"/>
          <w:color w:val="auto"/>
        </w:rPr>
        <w:t>Discussion</w:t>
      </w:r>
    </w:p>
    <w:p w14:paraId="7C52C1A1" w14:textId="2BBF602A" w:rsidR="004E6B28" w:rsidRDefault="00431D40" w:rsidP="00523257">
      <w:pPr>
        <w:spacing w:after="0" w:line="480" w:lineRule="auto"/>
        <w:jc w:val="both"/>
        <w:rPr>
          <w:rFonts w:ascii="Times New Roman" w:hAnsi="Times New Roman"/>
          <w:sz w:val="24"/>
          <w:szCs w:val="24"/>
        </w:rPr>
      </w:pPr>
      <w:r>
        <w:rPr>
          <w:rFonts w:ascii="Times New Roman" w:hAnsi="Times New Roman"/>
          <w:sz w:val="24"/>
          <w:szCs w:val="24"/>
        </w:rPr>
        <w:t>Our findings indicate</w:t>
      </w:r>
      <w:r w:rsidR="00246BA4" w:rsidRPr="0035381E">
        <w:rPr>
          <w:rFonts w:ascii="Times New Roman" w:hAnsi="Times New Roman"/>
          <w:sz w:val="24"/>
          <w:szCs w:val="24"/>
        </w:rPr>
        <w:t xml:space="preserve"> loss of PDE-10A </w:t>
      </w:r>
      <w:r w:rsidR="00EA1F84" w:rsidRPr="001077B1">
        <w:rPr>
          <w:rFonts w:ascii="Times New Roman" w:hAnsi="Times New Roman"/>
          <w:sz w:val="24"/>
          <w:szCs w:val="24"/>
        </w:rPr>
        <w:t>signalling</w:t>
      </w:r>
      <w:r w:rsidR="00246BA4" w:rsidRPr="004E4A1F">
        <w:rPr>
          <w:rFonts w:ascii="Times New Roman" w:hAnsi="Times New Roman"/>
          <w:sz w:val="24"/>
          <w:szCs w:val="24"/>
        </w:rPr>
        <w:t xml:space="preserve"> </w:t>
      </w:r>
      <w:r w:rsidR="00EA1F84" w:rsidRPr="00324BA9">
        <w:rPr>
          <w:rFonts w:ascii="Times New Roman" w:hAnsi="Times New Roman"/>
          <w:sz w:val="24"/>
          <w:szCs w:val="24"/>
        </w:rPr>
        <w:t xml:space="preserve">in </w:t>
      </w:r>
      <w:r w:rsidR="00365829" w:rsidRPr="00CD00D8">
        <w:rPr>
          <w:rFonts w:ascii="Times New Roman" w:hAnsi="Times New Roman"/>
          <w:sz w:val="24"/>
          <w:szCs w:val="24"/>
        </w:rPr>
        <w:t xml:space="preserve">the </w:t>
      </w:r>
      <w:r w:rsidR="00195AC5" w:rsidRPr="00E17963">
        <w:rPr>
          <w:rFonts w:ascii="Times New Roman" w:hAnsi="Times New Roman"/>
          <w:sz w:val="24"/>
          <w:szCs w:val="24"/>
        </w:rPr>
        <w:t xml:space="preserve">striatum and globus pallidus of </w:t>
      </w:r>
      <w:r w:rsidR="00EA1F84" w:rsidRPr="00E17963">
        <w:rPr>
          <w:rFonts w:ascii="Times New Roman" w:hAnsi="Times New Roman"/>
          <w:sz w:val="24"/>
          <w:szCs w:val="24"/>
        </w:rPr>
        <w:t>pa</w:t>
      </w:r>
      <w:r w:rsidR="006E7AE3" w:rsidRPr="00A45412">
        <w:rPr>
          <w:rFonts w:ascii="Times New Roman" w:hAnsi="Times New Roman"/>
          <w:sz w:val="24"/>
          <w:szCs w:val="24"/>
        </w:rPr>
        <w:t>tients with Parkinson’s disease</w:t>
      </w:r>
      <w:r w:rsidR="00BA3658" w:rsidRPr="007F35D3">
        <w:rPr>
          <w:rFonts w:ascii="Times New Roman" w:hAnsi="Times New Roman"/>
          <w:sz w:val="24"/>
          <w:szCs w:val="24"/>
        </w:rPr>
        <w:t>,</w:t>
      </w:r>
      <w:r w:rsidR="006E7AE3" w:rsidRPr="00AE049E">
        <w:rPr>
          <w:rFonts w:ascii="Times New Roman" w:hAnsi="Times New Roman"/>
          <w:sz w:val="24"/>
          <w:szCs w:val="24"/>
        </w:rPr>
        <w:t xml:space="preserve"> which is associated with </w:t>
      </w:r>
      <w:r w:rsidR="004A4784">
        <w:rPr>
          <w:rFonts w:ascii="Times New Roman" w:hAnsi="Times New Roman"/>
          <w:sz w:val="24"/>
          <w:szCs w:val="24"/>
        </w:rPr>
        <w:t xml:space="preserve">the duration of the </w:t>
      </w:r>
      <w:r w:rsidR="00EC3661">
        <w:rPr>
          <w:rFonts w:ascii="Times New Roman" w:hAnsi="Times New Roman"/>
          <w:sz w:val="24"/>
          <w:szCs w:val="24"/>
        </w:rPr>
        <w:t xml:space="preserve">disease </w:t>
      </w:r>
      <w:r w:rsidR="00195AC5" w:rsidRPr="00876B1D">
        <w:rPr>
          <w:rFonts w:ascii="Times New Roman" w:hAnsi="Times New Roman"/>
          <w:sz w:val="24"/>
          <w:szCs w:val="24"/>
        </w:rPr>
        <w:t>and</w:t>
      </w:r>
      <w:r w:rsidR="00EC3661">
        <w:rPr>
          <w:rFonts w:ascii="Times New Roman" w:hAnsi="Times New Roman"/>
          <w:sz w:val="24"/>
          <w:szCs w:val="24"/>
        </w:rPr>
        <w:t xml:space="preserve"> the</w:t>
      </w:r>
      <w:r w:rsidR="00195AC5" w:rsidRPr="00876B1D">
        <w:rPr>
          <w:rFonts w:ascii="Times New Roman" w:hAnsi="Times New Roman"/>
          <w:sz w:val="24"/>
          <w:szCs w:val="24"/>
        </w:rPr>
        <w:t xml:space="preserve"> severity of motor s</w:t>
      </w:r>
      <w:r w:rsidR="00B73FCB">
        <w:rPr>
          <w:rFonts w:ascii="Times New Roman" w:hAnsi="Times New Roman"/>
          <w:sz w:val="24"/>
          <w:szCs w:val="24"/>
        </w:rPr>
        <w:t>igns</w:t>
      </w:r>
      <w:r w:rsidR="00195AC5" w:rsidRPr="00876B1D">
        <w:rPr>
          <w:rFonts w:ascii="Times New Roman" w:hAnsi="Times New Roman"/>
          <w:sz w:val="24"/>
          <w:szCs w:val="24"/>
        </w:rPr>
        <w:t xml:space="preserve"> and complications</w:t>
      </w:r>
      <w:r w:rsidR="00523B85">
        <w:rPr>
          <w:rFonts w:ascii="Times New Roman" w:hAnsi="Times New Roman"/>
          <w:sz w:val="24"/>
          <w:szCs w:val="24"/>
        </w:rPr>
        <w:t xml:space="preserve"> such as LIDs</w:t>
      </w:r>
      <w:r w:rsidR="00195AC5" w:rsidRPr="00876B1D">
        <w:rPr>
          <w:rFonts w:ascii="Times New Roman" w:hAnsi="Times New Roman"/>
          <w:sz w:val="24"/>
          <w:szCs w:val="24"/>
        </w:rPr>
        <w:t xml:space="preserve">. </w:t>
      </w:r>
      <w:r w:rsidR="008B6399" w:rsidRPr="00082B73">
        <w:rPr>
          <w:rFonts w:ascii="Times New Roman" w:hAnsi="Times New Roman"/>
          <w:sz w:val="24"/>
          <w:szCs w:val="24"/>
        </w:rPr>
        <w:t xml:space="preserve">Our findings are consistent with preclinical data </w:t>
      </w:r>
      <w:r w:rsidR="002D102F" w:rsidRPr="00082B73">
        <w:rPr>
          <w:rFonts w:ascii="Times New Roman" w:hAnsi="Times New Roman"/>
          <w:sz w:val="24"/>
          <w:szCs w:val="24"/>
        </w:rPr>
        <w:t xml:space="preserve">showing that lesion of dopaminergic neurons induces </w:t>
      </w:r>
      <w:r w:rsidR="00426868" w:rsidRPr="00340300">
        <w:rPr>
          <w:rFonts w:ascii="Times New Roman" w:hAnsi="Times New Roman"/>
          <w:sz w:val="24"/>
          <w:szCs w:val="24"/>
        </w:rPr>
        <w:t xml:space="preserve">significant </w:t>
      </w:r>
      <w:r w:rsidR="00D73AD6" w:rsidRPr="00EE3D83">
        <w:rPr>
          <w:rFonts w:ascii="Times New Roman" w:hAnsi="Times New Roman"/>
          <w:sz w:val="24"/>
          <w:szCs w:val="24"/>
        </w:rPr>
        <w:t>decreases</w:t>
      </w:r>
      <w:r w:rsidR="002D102F" w:rsidRPr="00EE3D83">
        <w:rPr>
          <w:rFonts w:ascii="Times New Roman" w:hAnsi="Times New Roman"/>
          <w:sz w:val="24"/>
          <w:szCs w:val="24"/>
        </w:rPr>
        <w:t xml:space="preserve"> in</w:t>
      </w:r>
      <w:r w:rsidR="00BB5FF4">
        <w:rPr>
          <w:rFonts w:ascii="Times New Roman" w:hAnsi="Times New Roman"/>
          <w:sz w:val="24"/>
          <w:szCs w:val="24"/>
        </w:rPr>
        <w:t xml:space="preserve"> striatal and pallidal</w:t>
      </w:r>
      <w:r w:rsidR="002D102F" w:rsidRPr="00EE3D83">
        <w:rPr>
          <w:rFonts w:ascii="Times New Roman" w:hAnsi="Times New Roman"/>
          <w:sz w:val="24"/>
          <w:szCs w:val="24"/>
        </w:rPr>
        <w:t xml:space="preserve"> PDE-10A mRNA and pro</w:t>
      </w:r>
      <w:r w:rsidR="005272C2">
        <w:rPr>
          <w:rFonts w:ascii="Times New Roman" w:hAnsi="Times New Roman"/>
          <w:sz w:val="24"/>
          <w:szCs w:val="24"/>
        </w:rPr>
        <w:t xml:space="preserve">tein levels </w:t>
      </w:r>
      <w:r w:rsidR="002D102F" w:rsidRPr="00EE3D83">
        <w:rPr>
          <w:rFonts w:ascii="Times New Roman" w:hAnsi="Times New Roman"/>
          <w:sz w:val="24"/>
          <w:szCs w:val="24"/>
        </w:rPr>
        <w:t>(</w:t>
      </w:r>
      <w:r w:rsidR="002D102F" w:rsidRPr="00524519">
        <w:rPr>
          <w:rFonts w:ascii="Times New Roman" w:hAnsi="Times New Roman"/>
          <w:sz w:val="24"/>
          <w:szCs w:val="24"/>
        </w:rPr>
        <w:t xml:space="preserve">Giorgi </w:t>
      </w:r>
      <w:r w:rsidR="002D102F" w:rsidRPr="00524519">
        <w:rPr>
          <w:rFonts w:ascii="Times New Roman" w:hAnsi="Times New Roman"/>
          <w:i/>
          <w:sz w:val="24"/>
          <w:szCs w:val="24"/>
        </w:rPr>
        <w:t>et al.,</w:t>
      </w:r>
      <w:r w:rsidR="002D102F" w:rsidRPr="00524519">
        <w:rPr>
          <w:rFonts w:ascii="Times New Roman" w:hAnsi="Times New Roman"/>
          <w:sz w:val="24"/>
          <w:szCs w:val="24"/>
        </w:rPr>
        <w:t xml:space="preserve"> 2011</w:t>
      </w:r>
      <w:r w:rsidR="006068CD">
        <w:rPr>
          <w:rFonts w:ascii="Times New Roman" w:hAnsi="Times New Roman"/>
          <w:sz w:val="24"/>
          <w:szCs w:val="24"/>
        </w:rPr>
        <w:t>;</w:t>
      </w:r>
      <w:r w:rsidR="006068CD" w:rsidRPr="006F2405">
        <w:rPr>
          <w:rFonts w:ascii="Times New Roman" w:hAnsi="Times New Roman" w:cs="Times New Roman"/>
          <w:sz w:val="24"/>
          <w:szCs w:val="28"/>
        </w:rPr>
        <w:t xml:space="preserve"> </w:t>
      </w:r>
      <w:r w:rsidR="006068CD" w:rsidRPr="00B17759">
        <w:rPr>
          <w:rFonts w:ascii="Times New Roman" w:hAnsi="Times New Roman" w:cs="Times New Roman"/>
          <w:sz w:val="24"/>
          <w:szCs w:val="28"/>
        </w:rPr>
        <w:t>Sancesario</w:t>
      </w:r>
      <w:r w:rsidR="006068CD">
        <w:rPr>
          <w:rFonts w:ascii="Times New Roman" w:hAnsi="Times New Roman" w:cs="Times New Roman"/>
          <w:sz w:val="24"/>
          <w:szCs w:val="28"/>
        </w:rPr>
        <w:t xml:space="preserve"> </w:t>
      </w:r>
      <w:r w:rsidR="006068CD" w:rsidRPr="003D0ED4">
        <w:rPr>
          <w:rFonts w:ascii="Times New Roman" w:hAnsi="Times New Roman" w:cs="Times New Roman"/>
          <w:i/>
          <w:sz w:val="24"/>
          <w:szCs w:val="28"/>
        </w:rPr>
        <w:t>et al.,</w:t>
      </w:r>
      <w:r w:rsidR="006068CD">
        <w:rPr>
          <w:rFonts w:ascii="Times New Roman" w:hAnsi="Times New Roman" w:cs="Times New Roman"/>
          <w:sz w:val="24"/>
          <w:szCs w:val="28"/>
        </w:rPr>
        <w:t xml:space="preserve"> 2014</w:t>
      </w:r>
      <w:r w:rsidR="002D102F" w:rsidRPr="00524519">
        <w:rPr>
          <w:rFonts w:ascii="Times New Roman" w:hAnsi="Times New Roman"/>
          <w:sz w:val="24"/>
          <w:szCs w:val="24"/>
        </w:rPr>
        <w:t>)</w:t>
      </w:r>
      <w:r w:rsidR="00FD7823" w:rsidRPr="00524519">
        <w:rPr>
          <w:rFonts w:ascii="Times New Roman" w:hAnsi="Times New Roman"/>
          <w:sz w:val="24"/>
          <w:szCs w:val="24"/>
        </w:rPr>
        <w:t>, and</w:t>
      </w:r>
      <w:r w:rsidR="00FD7823">
        <w:rPr>
          <w:rFonts w:ascii="Times New Roman" w:hAnsi="Times New Roman"/>
          <w:sz w:val="24"/>
          <w:szCs w:val="24"/>
        </w:rPr>
        <w:t xml:space="preserve"> suggest that</w:t>
      </w:r>
      <w:r w:rsidR="004C6E7C" w:rsidRPr="00EE3D83">
        <w:rPr>
          <w:rFonts w:ascii="Times New Roman" w:hAnsi="Times New Roman"/>
          <w:sz w:val="24"/>
          <w:szCs w:val="24"/>
        </w:rPr>
        <w:t xml:space="preserve"> </w:t>
      </w:r>
      <w:r w:rsidR="001B58AC" w:rsidRPr="00EE3D83">
        <w:rPr>
          <w:rFonts w:ascii="Times New Roman" w:hAnsi="Times New Roman"/>
          <w:sz w:val="24"/>
          <w:szCs w:val="24"/>
        </w:rPr>
        <w:t xml:space="preserve">nigrostriatal degeneration </w:t>
      </w:r>
      <w:r w:rsidR="004C6E7C" w:rsidRPr="00EE3D83">
        <w:rPr>
          <w:rFonts w:ascii="Times New Roman" w:hAnsi="Times New Roman"/>
          <w:sz w:val="24"/>
          <w:szCs w:val="24"/>
        </w:rPr>
        <w:t xml:space="preserve">affects the expression of PDE-10A. </w:t>
      </w:r>
    </w:p>
    <w:p w14:paraId="6C77D8EB" w14:textId="77777777" w:rsidR="00E04505" w:rsidRPr="00D162D3" w:rsidRDefault="00E04505" w:rsidP="00523257">
      <w:pPr>
        <w:spacing w:after="0" w:line="480" w:lineRule="auto"/>
        <w:jc w:val="both"/>
        <w:rPr>
          <w:rFonts w:ascii="Times New Roman" w:hAnsi="Times New Roman"/>
          <w:sz w:val="24"/>
          <w:szCs w:val="24"/>
        </w:rPr>
      </w:pPr>
    </w:p>
    <w:p w14:paraId="0033D42B" w14:textId="2186D76F" w:rsidR="004D4E2F" w:rsidRPr="006F79FC" w:rsidRDefault="00F45C07" w:rsidP="004D4E2F">
      <w:pPr>
        <w:spacing w:after="0" w:line="480" w:lineRule="auto"/>
        <w:jc w:val="both"/>
        <w:rPr>
          <w:rFonts w:ascii="Times New Roman" w:hAnsi="Times New Roman" w:cs="Times New Roman"/>
          <w:sz w:val="24"/>
          <w:szCs w:val="24"/>
        </w:rPr>
      </w:pPr>
      <w:r w:rsidRPr="0035381E">
        <w:rPr>
          <w:rFonts w:ascii="Times New Roman" w:hAnsi="Times New Roman"/>
          <w:sz w:val="24"/>
          <w:szCs w:val="24"/>
        </w:rPr>
        <w:t xml:space="preserve">Our </w:t>
      </w:r>
      <w:r w:rsidR="00195AC5" w:rsidRPr="001077B1">
        <w:rPr>
          <w:rFonts w:ascii="Times New Roman" w:hAnsi="Times New Roman"/>
          <w:sz w:val="24"/>
          <w:szCs w:val="24"/>
        </w:rPr>
        <w:t xml:space="preserve">ROI </w:t>
      </w:r>
      <w:r w:rsidR="005E57C8" w:rsidRPr="004E4A1F">
        <w:rPr>
          <w:rFonts w:ascii="Times New Roman" w:hAnsi="Times New Roman"/>
          <w:sz w:val="24"/>
          <w:szCs w:val="24"/>
        </w:rPr>
        <w:t xml:space="preserve">analysis </w:t>
      </w:r>
      <w:r w:rsidRPr="00324BA9">
        <w:rPr>
          <w:rFonts w:ascii="Times New Roman" w:hAnsi="Times New Roman"/>
          <w:sz w:val="24"/>
          <w:szCs w:val="24"/>
        </w:rPr>
        <w:t>demonstrated</w:t>
      </w:r>
      <w:r w:rsidR="00401282">
        <w:rPr>
          <w:rFonts w:ascii="Times New Roman" w:hAnsi="Times New Roman"/>
          <w:sz w:val="24"/>
          <w:szCs w:val="24"/>
        </w:rPr>
        <w:t xml:space="preserve"> 14-28%</w:t>
      </w:r>
      <w:r w:rsidRPr="00324BA9">
        <w:rPr>
          <w:rFonts w:ascii="Times New Roman" w:hAnsi="Times New Roman"/>
          <w:sz w:val="24"/>
          <w:szCs w:val="24"/>
        </w:rPr>
        <w:t xml:space="preserve"> </w:t>
      </w:r>
      <w:r w:rsidR="000F68A7">
        <w:rPr>
          <w:rFonts w:ascii="Times New Roman" w:hAnsi="Times New Roman"/>
          <w:sz w:val="24"/>
          <w:szCs w:val="24"/>
        </w:rPr>
        <w:t xml:space="preserve">significant </w:t>
      </w:r>
      <w:r w:rsidRPr="00324BA9">
        <w:rPr>
          <w:rFonts w:ascii="Times New Roman" w:hAnsi="Times New Roman"/>
          <w:sz w:val="24"/>
          <w:szCs w:val="24"/>
        </w:rPr>
        <w:t>loss</w:t>
      </w:r>
      <w:r w:rsidRPr="00D162D3">
        <w:rPr>
          <w:rFonts w:ascii="Times New Roman" w:hAnsi="Times New Roman"/>
          <w:sz w:val="24"/>
          <w:szCs w:val="24"/>
        </w:rPr>
        <w:t xml:space="preserve"> of striatal and pallidal PDE-10A expression in patients with </w:t>
      </w:r>
      <w:r w:rsidR="00401282">
        <w:rPr>
          <w:rFonts w:ascii="Times New Roman" w:hAnsi="Times New Roman"/>
          <w:sz w:val="24"/>
          <w:szCs w:val="24"/>
        </w:rPr>
        <w:t>moderate to advanced</w:t>
      </w:r>
      <w:r w:rsidR="00401282" w:rsidRPr="00D162D3">
        <w:rPr>
          <w:rFonts w:ascii="Times New Roman" w:hAnsi="Times New Roman"/>
          <w:sz w:val="24"/>
          <w:szCs w:val="24"/>
        </w:rPr>
        <w:t xml:space="preserve"> </w:t>
      </w:r>
      <w:r w:rsidR="00806D7E" w:rsidRPr="00D162D3">
        <w:rPr>
          <w:rFonts w:ascii="Times New Roman" w:hAnsi="Times New Roman"/>
          <w:sz w:val="24"/>
          <w:szCs w:val="24"/>
        </w:rPr>
        <w:t>Parkinson’s disease who had mean disease duration of 9.7 years</w:t>
      </w:r>
      <w:r w:rsidR="00EC0550">
        <w:rPr>
          <w:rFonts w:ascii="Times New Roman" w:hAnsi="Times New Roman"/>
          <w:sz w:val="24"/>
          <w:szCs w:val="24"/>
        </w:rPr>
        <w:t xml:space="preserve">, </w:t>
      </w:r>
      <w:r w:rsidR="00806D7E" w:rsidRPr="00D162D3">
        <w:rPr>
          <w:rFonts w:ascii="Times New Roman" w:hAnsi="Times New Roman"/>
          <w:sz w:val="24"/>
          <w:szCs w:val="24"/>
        </w:rPr>
        <w:t xml:space="preserve">were on </w:t>
      </w:r>
      <w:r w:rsidR="000F68A7">
        <w:rPr>
          <w:rFonts w:ascii="Times New Roman" w:hAnsi="Times New Roman"/>
          <w:sz w:val="24"/>
          <w:szCs w:val="24"/>
        </w:rPr>
        <w:t>dopamine</w:t>
      </w:r>
      <w:r w:rsidR="00806D7E" w:rsidRPr="00D162D3">
        <w:rPr>
          <w:rFonts w:ascii="Times New Roman" w:hAnsi="Times New Roman"/>
          <w:sz w:val="24"/>
          <w:szCs w:val="24"/>
        </w:rPr>
        <w:t>-replacement therapy</w:t>
      </w:r>
      <w:r w:rsidR="00EC0550">
        <w:rPr>
          <w:rFonts w:ascii="Times New Roman" w:hAnsi="Times New Roman"/>
          <w:sz w:val="24"/>
          <w:szCs w:val="24"/>
        </w:rPr>
        <w:t>, and had no significant brain atrophy in the ROIs examined</w:t>
      </w:r>
      <w:r w:rsidR="00806D7E" w:rsidRPr="00D162D3">
        <w:rPr>
          <w:rFonts w:ascii="Times New Roman" w:hAnsi="Times New Roman"/>
          <w:sz w:val="24"/>
          <w:szCs w:val="24"/>
        </w:rPr>
        <w:t xml:space="preserve">. </w:t>
      </w:r>
      <w:r w:rsidR="00A11664">
        <w:rPr>
          <w:rFonts w:ascii="Times New Roman" w:hAnsi="Times New Roman"/>
          <w:sz w:val="24"/>
          <w:szCs w:val="24"/>
        </w:rPr>
        <w:t>We confirmed t</w:t>
      </w:r>
      <w:r w:rsidR="00DD7A60" w:rsidRPr="00D162D3">
        <w:rPr>
          <w:rFonts w:ascii="Times New Roman" w:hAnsi="Times New Roman"/>
          <w:sz w:val="24"/>
          <w:szCs w:val="24"/>
        </w:rPr>
        <w:t xml:space="preserve">hese </w:t>
      </w:r>
      <w:r w:rsidR="00337550" w:rsidRPr="00D162D3">
        <w:rPr>
          <w:rFonts w:ascii="Times New Roman" w:hAnsi="Times New Roman"/>
          <w:sz w:val="24"/>
          <w:szCs w:val="24"/>
        </w:rPr>
        <w:t xml:space="preserve">results </w:t>
      </w:r>
      <w:r w:rsidR="00DD7A60" w:rsidRPr="00D162D3">
        <w:rPr>
          <w:rFonts w:ascii="Times New Roman" w:hAnsi="Times New Roman"/>
          <w:sz w:val="24"/>
          <w:szCs w:val="24"/>
        </w:rPr>
        <w:t xml:space="preserve">at </w:t>
      </w:r>
      <w:r w:rsidR="00387ED5">
        <w:rPr>
          <w:rFonts w:ascii="Times New Roman" w:hAnsi="Times New Roman"/>
          <w:sz w:val="24"/>
          <w:szCs w:val="24"/>
        </w:rPr>
        <w:t xml:space="preserve">a </w:t>
      </w:r>
      <w:r w:rsidR="00DD7A60" w:rsidRPr="00D162D3">
        <w:rPr>
          <w:rFonts w:ascii="Times New Roman" w:hAnsi="Times New Roman"/>
          <w:sz w:val="24"/>
          <w:szCs w:val="24"/>
        </w:rPr>
        <w:t xml:space="preserve">voxel level. </w:t>
      </w:r>
      <w:r w:rsidR="003D0ED4">
        <w:rPr>
          <w:rFonts w:ascii="Times New Roman" w:hAnsi="Times New Roman"/>
          <w:sz w:val="24"/>
          <w:szCs w:val="24"/>
        </w:rPr>
        <w:t xml:space="preserve">Although </w:t>
      </w:r>
      <w:r w:rsidR="003D0ED4" w:rsidRPr="006F79FC">
        <w:rPr>
          <w:rFonts w:ascii="Times New Roman" w:hAnsi="Times New Roman" w:cs="Times New Roman"/>
          <w:sz w:val="24"/>
          <w:lang w:val="en-US"/>
        </w:rPr>
        <w:t>Parkinson’s disease patients were older tha</w:t>
      </w:r>
      <w:r w:rsidR="003D0ED4">
        <w:rPr>
          <w:rFonts w:ascii="Times New Roman" w:hAnsi="Times New Roman" w:cs="Times New Roman"/>
          <w:sz w:val="24"/>
          <w:lang w:val="en-US"/>
        </w:rPr>
        <w:t>n the group of healthy controls,</w:t>
      </w:r>
      <w:r w:rsidR="003D0ED4" w:rsidRPr="006F79FC">
        <w:rPr>
          <w:rFonts w:ascii="Times New Roman" w:hAnsi="Times New Roman" w:cs="Times New Roman"/>
          <w:sz w:val="24"/>
          <w:lang w:val="en-US"/>
        </w:rPr>
        <w:t xml:space="preserve"> we did not find any effect of age in PDE-10A expression</w:t>
      </w:r>
      <w:r w:rsidR="003D0ED4">
        <w:rPr>
          <w:rFonts w:ascii="Times New Roman" w:hAnsi="Times New Roman" w:cs="Times New Roman"/>
          <w:sz w:val="24"/>
          <w:lang w:val="en-US"/>
        </w:rPr>
        <w:t xml:space="preserve"> in the ROIs examined</w:t>
      </w:r>
      <w:r w:rsidR="003D0ED4" w:rsidRPr="006F79FC">
        <w:rPr>
          <w:rFonts w:ascii="Times New Roman" w:hAnsi="Times New Roman" w:cs="Times New Roman"/>
          <w:sz w:val="24"/>
          <w:lang w:val="en-US"/>
        </w:rPr>
        <w:t xml:space="preserve">. </w:t>
      </w:r>
      <w:r w:rsidR="003D0ED4" w:rsidRPr="006F79FC">
        <w:rPr>
          <w:rFonts w:ascii="Times New Roman" w:hAnsi="Times New Roman" w:cs="Times New Roman"/>
          <w:sz w:val="24"/>
          <w:szCs w:val="24"/>
          <w:lang w:val="en-US"/>
        </w:rPr>
        <w:t>This observation is in line with recent experimental work, which indicates no significant effect of age in striatal PDE-10A mRNA and protein levels in mice (</w:t>
      </w:r>
      <w:r w:rsidR="003D0ED4" w:rsidRPr="00787872">
        <w:rPr>
          <w:rFonts w:ascii="Times New Roman" w:hAnsi="Times New Roman" w:cs="Times New Roman"/>
          <w:sz w:val="24"/>
          <w:szCs w:val="24"/>
          <w:lang w:val="en-US"/>
        </w:rPr>
        <w:t>Kelly</w:t>
      </w:r>
      <w:r w:rsidR="003D0ED4">
        <w:rPr>
          <w:rFonts w:ascii="Times New Roman" w:hAnsi="Times New Roman" w:cs="Times New Roman"/>
          <w:sz w:val="24"/>
          <w:szCs w:val="24"/>
          <w:lang w:val="en-US"/>
        </w:rPr>
        <w:t xml:space="preserve"> </w:t>
      </w:r>
      <w:r w:rsidR="003D0ED4" w:rsidRPr="003D0ED4">
        <w:rPr>
          <w:rFonts w:ascii="Times New Roman" w:hAnsi="Times New Roman" w:cs="Times New Roman"/>
          <w:i/>
          <w:sz w:val="24"/>
          <w:szCs w:val="24"/>
          <w:lang w:val="en-US"/>
        </w:rPr>
        <w:t>et al.,</w:t>
      </w:r>
      <w:r w:rsidR="003D0ED4" w:rsidRPr="006F79FC">
        <w:rPr>
          <w:rFonts w:ascii="Times New Roman" w:hAnsi="Times New Roman" w:cs="Times New Roman"/>
          <w:sz w:val="24"/>
          <w:szCs w:val="24"/>
          <w:lang w:val="en-US"/>
        </w:rPr>
        <w:t xml:space="preserve"> 2014)</w:t>
      </w:r>
      <w:r w:rsidR="003D0ED4">
        <w:rPr>
          <w:rFonts w:ascii="Times New Roman" w:hAnsi="Times New Roman" w:cs="Times New Roman"/>
          <w:sz w:val="24"/>
          <w:szCs w:val="24"/>
          <w:lang w:val="en-US"/>
        </w:rPr>
        <w:t>.</w:t>
      </w:r>
    </w:p>
    <w:p w14:paraId="3682A00D" w14:textId="77777777" w:rsidR="009F46A8" w:rsidRPr="009F46A8" w:rsidRDefault="009F46A8" w:rsidP="00523257">
      <w:pPr>
        <w:spacing w:after="0" w:line="480" w:lineRule="auto"/>
        <w:jc w:val="both"/>
        <w:rPr>
          <w:rFonts w:ascii="Times New Roman" w:hAnsi="Times New Roman" w:cs="Times New Roman"/>
          <w:sz w:val="24"/>
          <w:szCs w:val="24"/>
        </w:rPr>
      </w:pPr>
    </w:p>
    <w:p w14:paraId="360466D3" w14:textId="72DB5C47" w:rsidR="00B73FCB" w:rsidRDefault="00B73FCB" w:rsidP="00B73FCB">
      <w:pPr>
        <w:spacing w:after="0" w:line="480" w:lineRule="auto"/>
        <w:jc w:val="both"/>
        <w:rPr>
          <w:rFonts w:ascii="Times New Roman" w:hAnsi="Times New Roman"/>
          <w:sz w:val="24"/>
          <w:szCs w:val="24"/>
        </w:rPr>
      </w:pPr>
      <w:r w:rsidRPr="00941621">
        <w:rPr>
          <w:rFonts w:ascii="Times New Roman" w:hAnsi="Times New Roman"/>
          <w:sz w:val="24"/>
          <w:szCs w:val="24"/>
        </w:rPr>
        <w:t xml:space="preserve">There were strong associations between loss of striatal and pallidal PDE-10A expression and </w:t>
      </w:r>
      <w:r>
        <w:rPr>
          <w:rFonts w:ascii="Times New Roman" w:hAnsi="Times New Roman"/>
          <w:sz w:val="24"/>
          <w:szCs w:val="24"/>
        </w:rPr>
        <w:t xml:space="preserve">Parkinson’s duration </w:t>
      </w:r>
      <w:r w:rsidRPr="00941621">
        <w:rPr>
          <w:rFonts w:ascii="Times New Roman" w:hAnsi="Times New Roman"/>
          <w:sz w:val="24"/>
          <w:szCs w:val="24"/>
        </w:rPr>
        <w:t>and severity of motor</w:t>
      </w:r>
      <w:r w:rsidR="006068CD" w:rsidRPr="006068CD">
        <w:rPr>
          <w:rFonts w:ascii="Times New Roman" w:hAnsi="Times New Roman"/>
          <w:sz w:val="24"/>
          <w:szCs w:val="24"/>
        </w:rPr>
        <w:t xml:space="preserve"> </w:t>
      </w:r>
      <w:r w:rsidR="006068CD">
        <w:rPr>
          <w:rFonts w:ascii="Times New Roman" w:hAnsi="Times New Roman"/>
          <w:sz w:val="24"/>
          <w:szCs w:val="24"/>
        </w:rPr>
        <w:t>symptoms</w:t>
      </w:r>
      <w:r w:rsidRPr="00941621">
        <w:rPr>
          <w:rFonts w:ascii="Times New Roman" w:hAnsi="Times New Roman"/>
          <w:sz w:val="24"/>
          <w:szCs w:val="24"/>
        </w:rPr>
        <w:t xml:space="preserve">. We found correlations between loss of striatal and pallidal </w:t>
      </w:r>
      <w:r>
        <w:rPr>
          <w:rFonts w:ascii="Times New Roman" w:hAnsi="Times New Roman"/>
          <w:sz w:val="24"/>
          <w:szCs w:val="24"/>
        </w:rPr>
        <w:t xml:space="preserve">PDE-10A expression, </w:t>
      </w:r>
      <w:r w:rsidRPr="00941621">
        <w:rPr>
          <w:rFonts w:ascii="Times New Roman" w:hAnsi="Times New Roman"/>
          <w:sz w:val="24"/>
          <w:szCs w:val="24"/>
        </w:rPr>
        <w:t xml:space="preserve">longer disease duration </w:t>
      </w:r>
      <w:r>
        <w:rPr>
          <w:rFonts w:ascii="Times New Roman" w:hAnsi="Times New Roman"/>
          <w:sz w:val="24"/>
          <w:szCs w:val="24"/>
        </w:rPr>
        <w:t xml:space="preserve">and </w:t>
      </w:r>
      <w:r w:rsidRPr="00941621">
        <w:rPr>
          <w:rFonts w:ascii="Times New Roman" w:hAnsi="Times New Roman"/>
          <w:sz w:val="24"/>
          <w:szCs w:val="24"/>
        </w:rPr>
        <w:t xml:space="preserve">worse motor </w:t>
      </w:r>
      <w:r w:rsidR="006068CD">
        <w:rPr>
          <w:rFonts w:ascii="Times New Roman" w:hAnsi="Times New Roman"/>
          <w:sz w:val="24"/>
          <w:szCs w:val="24"/>
        </w:rPr>
        <w:t xml:space="preserve">symptoms </w:t>
      </w:r>
      <w:r w:rsidRPr="00941621">
        <w:rPr>
          <w:rFonts w:ascii="Times New Roman" w:hAnsi="Times New Roman"/>
          <w:sz w:val="24"/>
          <w:szCs w:val="24"/>
        </w:rPr>
        <w:t xml:space="preserve">as assessed by UPDRS-III. </w:t>
      </w:r>
      <w:r>
        <w:rPr>
          <w:rFonts w:ascii="Times New Roman" w:hAnsi="Times New Roman"/>
          <w:sz w:val="24"/>
          <w:szCs w:val="24"/>
        </w:rPr>
        <w:t xml:space="preserve">The motor </w:t>
      </w:r>
      <w:r w:rsidR="006068CD">
        <w:rPr>
          <w:rFonts w:ascii="Times New Roman" w:hAnsi="Times New Roman"/>
          <w:sz w:val="24"/>
          <w:szCs w:val="24"/>
        </w:rPr>
        <w:t>symptoms</w:t>
      </w:r>
      <w:r w:rsidR="006068CD" w:rsidRPr="00941621">
        <w:rPr>
          <w:rFonts w:ascii="Times New Roman" w:hAnsi="Times New Roman"/>
          <w:sz w:val="24"/>
          <w:szCs w:val="24"/>
        </w:rPr>
        <w:t xml:space="preserve"> </w:t>
      </w:r>
      <w:r w:rsidRPr="00941621">
        <w:rPr>
          <w:rFonts w:ascii="Times New Roman" w:hAnsi="Times New Roman"/>
          <w:sz w:val="24"/>
          <w:szCs w:val="24"/>
        </w:rPr>
        <w:t>that were driving this correlation were bradykinesia and rigidity, whereas worse axial symptoms correlated with decreased PDE-10A expression only in globus pallidus. Loss of PDE-10A expression was not associated with tremor s</w:t>
      </w:r>
      <w:r>
        <w:rPr>
          <w:rFonts w:ascii="Times New Roman" w:hAnsi="Times New Roman"/>
          <w:sz w:val="24"/>
          <w:szCs w:val="24"/>
        </w:rPr>
        <w:t>igns</w:t>
      </w:r>
      <w:r w:rsidRPr="00941621">
        <w:rPr>
          <w:rFonts w:ascii="Times New Roman" w:hAnsi="Times New Roman"/>
          <w:sz w:val="24"/>
          <w:szCs w:val="24"/>
        </w:rPr>
        <w:t>.</w:t>
      </w:r>
    </w:p>
    <w:p w14:paraId="0453F0E2" w14:textId="77777777" w:rsidR="00E44C15" w:rsidRDefault="00E44C15" w:rsidP="0042137D">
      <w:pPr>
        <w:spacing w:after="0" w:line="480" w:lineRule="auto"/>
        <w:jc w:val="both"/>
        <w:rPr>
          <w:rFonts w:ascii="Times New Roman" w:hAnsi="Times New Roman"/>
          <w:sz w:val="24"/>
          <w:szCs w:val="24"/>
        </w:rPr>
      </w:pPr>
    </w:p>
    <w:p w14:paraId="44135582" w14:textId="001C42A3" w:rsidR="00DD0AF8" w:rsidRDefault="00F452C8" w:rsidP="00180108">
      <w:pPr>
        <w:spacing w:after="0" w:line="480" w:lineRule="auto"/>
        <w:jc w:val="both"/>
        <w:rPr>
          <w:rFonts w:ascii="Times New Roman" w:hAnsi="Times New Roman"/>
          <w:sz w:val="24"/>
          <w:szCs w:val="24"/>
          <w:lang w:val="en-US"/>
        </w:rPr>
      </w:pPr>
      <w:r>
        <w:rPr>
          <w:rFonts w:ascii="Times New Roman" w:hAnsi="Times New Roman"/>
          <w:sz w:val="24"/>
          <w:szCs w:val="24"/>
        </w:rPr>
        <w:t xml:space="preserve">PET and SPECT studies with dopaminergic markers have shown </w:t>
      </w:r>
      <w:r w:rsidRPr="00F452C8">
        <w:rPr>
          <w:rFonts w:ascii="Times New Roman" w:hAnsi="Times New Roman"/>
          <w:sz w:val="24"/>
          <w:szCs w:val="24"/>
          <w:lang w:val="en-US"/>
        </w:rPr>
        <w:t xml:space="preserve">correlations </w:t>
      </w:r>
      <w:r w:rsidR="002826D7">
        <w:rPr>
          <w:rFonts w:ascii="Times New Roman" w:hAnsi="Times New Roman"/>
          <w:sz w:val="24"/>
          <w:szCs w:val="24"/>
          <w:lang w:val="en-US"/>
        </w:rPr>
        <w:t>between dopaminergic decline,</w:t>
      </w:r>
      <w:r w:rsidRPr="00F452C8">
        <w:rPr>
          <w:rFonts w:ascii="Times New Roman" w:hAnsi="Times New Roman"/>
          <w:sz w:val="24"/>
          <w:szCs w:val="24"/>
          <w:lang w:val="en-US"/>
        </w:rPr>
        <w:t xml:space="preserve"> </w:t>
      </w:r>
      <w:r>
        <w:rPr>
          <w:rFonts w:ascii="Times New Roman" w:hAnsi="Times New Roman"/>
          <w:sz w:val="24"/>
          <w:szCs w:val="24"/>
          <w:lang w:val="en-US"/>
        </w:rPr>
        <w:t xml:space="preserve">Parkinson’s progression and </w:t>
      </w:r>
      <w:r w:rsidR="00B73FCB" w:rsidRPr="00941621">
        <w:rPr>
          <w:rFonts w:ascii="Times New Roman" w:hAnsi="Times New Roman"/>
          <w:sz w:val="24"/>
          <w:szCs w:val="24"/>
          <w:lang w:val="en-US"/>
        </w:rPr>
        <w:t xml:space="preserve">worse </w:t>
      </w:r>
      <w:r w:rsidR="00B73FCB">
        <w:rPr>
          <w:rFonts w:ascii="Times New Roman" w:hAnsi="Times New Roman"/>
          <w:sz w:val="24"/>
          <w:szCs w:val="24"/>
          <w:lang w:val="en-US"/>
        </w:rPr>
        <w:t xml:space="preserve">clinical </w:t>
      </w:r>
      <w:r w:rsidR="00B73FCB" w:rsidRPr="00941621">
        <w:rPr>
          <w:rFonts w:ascii="Times New Roman" w:hAnsi="Times New Roman"/>
          <w:sz w:val="24"/>
          <w:szCs w:val="24"/>
          <w:lang w:val="en-US"/>
        </w:rPr>
        <w:t>severity</w:t>
      </w:r>
      <w:r w:rsidR="00B73FCB" w:rsidRPr="00F452C8">
        <w:rPr>
          <w:rFonts w:ascii="Times New Roman" w:hAnsi="Times New Roman"/>
          <w:sz w:val="24"/>
          <w:szCs w:val="24"/>
          <w:lang w:val="en-US"/>
        </w:rPr>
        <w:t xml:space="preserve"> </w:t>
      </w:r>
      <w:r>
        <w:rPr>
          <w:rFonts w:ascii="Times New Roman" w:hAnsi="Times New Roman"/>
          <w:sz w:val="24"/>
          <w:szCs w:val="24"/>
          <w:lang w:val="en-US"/>
        </w:rPr>
        <w:t>(</w:t>
      </w:r>
      <w:r w:rsidRPr="00180108">
        <w:rPr>
          <w:rFonts w:ascii="Times New Roman" w:hAnsi="Times New Roman"/>
          <w:sz w:val="24"/>
          <w:szCs w:val="24"/>
          <w:lang w:val="en-US"/>
        </w:rPr>
        <w:t xml:space="preserve">Otsuka </w:t>
      </w:r>
      <w:r w:rsidRPr="00180108">
        <w:rPr>
          <w:rFonts w:ascii="Times New Roman" w:hAnsi="Times New Roman"/>
          <w:i/>
          <w:sz w:val="24"/>
          <w:szCs w:val="24"/>
          <w:lang w:val="en-US"/>
        </w:rPr>
        <w:t>et al.</w:t>
      </w:r>
      <w:r w:rsidRPr="00180108">
        <w:rPr>
          <w:rFonts w:ascii="Times New Roman" w:hAnsi="Times New Roman"/>
          <w:sz w:val="24"/>
          <w:szCs w:val="24"/>
          <w:lang w:val="en-US"/>
        </w:rPr>
        <w:t xml:space="preserve">, 1996; Booij </w:t>
      </w:r>
      <w:r w:rsidRPr="00180108">
        <w:rPr>
          <w:rFonts w:ascii="Times New Roman" w:hAnsi="Times New Roman"/>
          <w:i/>
          <w:sz w:val="24"/>
          <w:szCs w:val="24"/>
          <w:lang w:val="en-US"/>
        </w:rPr>
        <w:t>et al.</w:t>
      </w:r>
      <w:r w:rsidRPr="00180108">
        <w:rPr>
          <w:rFonts w:ascii="Times New Roman" w:hAnsi="Times New Roman"/>
          <w:sz w:val="24"/>
          <w:szCs w:val="24"/>
          <w:lang w:val="en-US"/>
        </w:rPr>
        <w:t xml:space="preserve">, 1997; </w:t>
      </w:r>
      <w:r w:rsidR="00BC78BB" w:rsidRPr="00180108">
        <w:rPr>
          <w:rFonts w:ascii="Times New Roman" w:hAnsi="Times New Roman"/>
          <w:sz w:val="24"/>
          <w:szCs w:val="24"/>
          <w:lang w:val="en-US"/>
        </w:rPr>
        <w:t xml:space="preserve">Broussolle </w:t>
      </w:r>
      <w:r w:rsidR="00BC78BB" w:rsidRPr="00180108">
        <w:rPr>
          <w:rFonts w:ascii="Times New Roman" w:hAnsi="Times New Roman"/>
          <w:i/>
          <w:sz w:val="24"/>
          <w:szCs w:val="24"/>
          <w:lang w:val="en-US"/>
        </w:rPr>
        <w:t>et al.</w:t>
      </w:r>
      <w:r w:rsidR="00BC78BB" w:rsidRPr="00180108">
        <w:rPr>
          <w:rFonts w:ascii="Times New Roman" w:hAnsi="Times New Roman"/>
          <w:sz w:val="24"/>
          <w:szCs w:val="24"/>
          <w:lang w:val="en-US"/>
        </w:rPr>
        <w:t xml:space="preserve">, 1999; </w:t>
      </w:r>
      <w:r w:rsidRPr="00180108">
        <w:rPr>
          <w:rFonts w:ascii="Times New Roman" w:hAnsi="Times New Roman"/>
          <w:sz w:val="24"/>
          <w:szCs w:val="24"/>
          <w:lang w:val="en-US"/>
        </w:rPr>
        <w:t xml:space="preserve">Marek </w:t>
      </w:r>
      <w:r w:rsidRPr="00180108">
        <w:rPr>
          <w:rFonts w:ascii="Times New Roman" w:hAnsi="Times New Roman"/>
          <w:i/>
          <w:sz w:val="24"/>
          <w:szCs w:val="24"/>
          <w:lang w:val="en-US"/>
        </w:rPr>
        <w:t>et al.</w:t>
      </w:r>
      <w:r w:rsidRPr="00180108">
        <w:rPr>
          <w:rFonts w:ascii="Times New Roman" w:hAnsi="Times New Roman"/>
          <w:sz w:val="24"/>
          <w:szCs w:val="24"/>
          <w:lang w:val="en-US"/>
        </w:rPr>
        <w:t>, 2001</w:t>
      </w:r>
      <w:r w:rsidR="003D0ED4">
        <w:rPr>
          <w:rFonts w:ascii="Times New Roman" w:hAnsi="Times New Roman"/>
          <w:sz w:val="24"/>
          <w:szCs w:val="24"/>
          <w:lang w:val="en-US"/>
        </w:rPr>
        <w:t xml:space="preserve">; Hsiao </w:t>
      </w:r>
      <w:r w:rsidR="003D0ED4" w:rsidRPr="00E57551">
        <w:rPr>
          <w:rFonts w:ascii="Times New Roman" w:hAnsi="Times New Roman"/>
          <w:i/>
          <w:sz w:val="24"/>
          <w:szCs w:val="24"/>
          <w:lang w:val="en-US"/>
        </w:rPr>
        <w:t>et al</w:t>
      </w:r>
      <w:r w:rsidR="003D0ED4">
        <w:rPr>
          <w:rFonts w:ascii="Times New Roman" w:hAnsi="Times New Roman"/>
          <w:sz w:val="24"/>
          <w:szCs w:val="24"/>
          <w:lang w:val="en-US"/>
        </w:rPr>
        <w:t>., 2014</w:t>
      </w:r>
      <w:r w:rsidR="003F5C30" w:rsidRPr="00180108">
        <w:rPr>
          <w:rFonts w:ascii="Times New Roman" w:hAnsi="Times New Roman"/>
          <w:sz w:val="24"/>
          <w:szCs w:val="24"/>
          <w:lang w:val="en-US"/>
        </w:rPr>
        <w:t>).</w:t>
      </w:r>
      <w:r w:rsidR="003F5C30">
        <w:rPr>
          <w:rFonts w:ascii="Times New Roman" w:hAnsi="Times New Roman"/>
          <w:sz w:val="24"/>
          <w:szCs w:val="24"/>
          <w:lang w:val="en-US"/>
        </w:rPr>
        <w:t xml:space="preserve"> </w:t>
      </w:r>
      <w:r w:rsidR="00180108" w:rsidRPr="00941621">
        <w:rPr>
          <w:rFonts w:ascii="Times New Roman" w:hAnsi="Times New Roman"/>
          <w:sz w:val="24"/>
          <w:szCs w:val="24"/>
          <w:lang w:val="en-US"/>
        </w:rPr>
        <w:t>A previous study has reported correlations between striatal decreases in [</w:t>
      </w:r>
      <w:r w:rsidR="00180108" w:rsidRPr="00941621">
        <w:rPr>
          <w:rFonts w:ascii="Times New Roman" w:hAnsi="Times New Roman"/>
          <w:sz w:val="24"/>
          <w:szCs w:val="24"/>
          <w:vertAlign w:val="superscript"/>
          <w:lang w:val="en-US"/>
        </w:rPr>
        <w:t>18</w:t>
      </w:r>
      <w:r w:rsidR="00180108" w:rsidRPr="00941621">
        <w:rPr>
          <w:rFonts w:ascii="Times New Roman" w:hAnsi="Times New Roman"/>
          <w:sz w:val="24"/>
          <w:szCs w:val="24"/>
          <w:lang w:val="en-US"/>
        </w:rPr>
        <w:t xml:space="preserve">F]dopa uptake and longer disease duration and worse UPDRS-III motor scores at a 0.01 and 0.05 </w:t>
      </w:r>
      <w:r w:rsidR="00180108" w:rsidRPr="00941621">
        <w:rPr>
          <w:rFonts w:ascii="Times New Roman" w:hAnsi="Times New Roman" w:cs="Times New Roman"/>
          <w:i/>
          <w:sz w:val="24"/>
          <w:szCs w:val="24"/>
          <w:lang w:val="en-US"/>
        </w:rPr>
        <w:t>α</w:t>
      </w:r>
      <w:r w:rsidR="00180108" w:rsidRPr="00941621">
        <w:rPr>
          <w:rFonts w:ascii="Times New Roman" w:hAnsi="Times New Roman"/>
          <w:sz w:val="24"/>
          <w:szCs w:val="24"/>
          <w:lang w:val="en-US"/>
        </w:rPr>
        <w:t xml:space="preserve"> level, respectively</w:t>
      </w:r>
      <w:r w:rsidR="00180108">
        <w:rPr>
          <w:rFonts w:ascii="Times New Roman" w:hAnsi="Times New Roman"/>
          <w:sz w:val="24"/>
          <w:szCs w:val="24"/>
          <w:lang w:val="en-US"/>
        </w:rPr>
        <w:t xml:space="preserve"> (</w:t>
      </w:r>
      <w:r w:rsidR="00180108" w:rsidRPr="00180108">
        <w:rPr>
          <w:rFonts w:ascii="Times New Roman" w:hAnsi="Times New Roman"/>
          <w:sz w:val="24"/>
          <w:szCs w:val="24"/>
          <w:lang w:val="en-US"/>
        </w:rPr>
        <w:t xml:space="preserve">Broussolle </w:t>
      </w:r>
      <w:r w:rsidR="00180108" w:rsidRPr="00180108">
        <w:rPr>
          <w:rFonts w:ascii="Times New Roman" w:hAnsi="Times New Roman"/>
          <w:i/>
          <w:sz w:val="24"/>
          <w:szCs w:val="24"/>
          <w:lang w:val="en-US"/>
        </w:rPr>
        <w:t>et al.</w:t>
      </w:r>
      <w:r w:rsidR="00180108" w:rsidRPr="00180108">
        <w:rPr>
          <w:rFonts w:ascii="Times New Roman" w:hAnsi="Times New Roman"/>
          <w:sz w:val="24"/>
          <w:szCs w:val="24"/>
          <w:lang w:val="en-US"/>
        </w:rPr>
        <w:t>, 1999</w:t>
      </w:r>
      <w:r w:rsidR="00180108">
        <w:rPr>
          <w:rFonts w:ascii="Times New Roman" w:hAnsi="Times New Roman"/>
          <w:sz w:val="24"/>
          <w:szCs w:val="24"/>
          <w:lang w:val="en-US"/>
        </w:rPr>
        <w:t xml:space="preserve">). </w:t>
      </w:r>
      <w:r w:rsidR="00180108" w:rsidRPr="00941621">
        <w:rPr>
          <w:rFonts w:ascii="Times New Roman" w:hAnsi="Times New Roman"/>
          <w:sz w:val="24"/>
          <w:szCs w:val="24"/>
          <w:lang w:val="en-US"/>
        </w:rPr>
        <w:t>[</w:t>
      </w:r>
      <w:r w:rsidR="00180108" w:rsidRPr="00941621">
        <w:rPr>
          <w:rFonts w:ascii="Times New Roman" w:hAnsi="Times New Roman"/>
          <w:sz w:val="24"/>
          <w:szCs w:val="24"/>
          <w:vertAlign w:val="superscript"/>
          <w:lang w:val="en-US"/>
        </w:rPr>
        <w:t>18</w:t>
      </w:r>
      <w:r w:rsidR="00180108" w:rsidRPr="00941621">
        <w:rPr>
          <w:rFonts w:ascii="Times New Roman" w:hAnsi="Times New Roman"/>
          <w:sz w:val="24"/>
          <w:szCs w:val="24"/>
          <w:lang w:val="en-US"/>
        </w:rPr>
        <w:t>F]dopa and [</w:t>
      </w:r>
      <w:r w:rsidR="00180108" w:rsidRPr="00941621">
        <w:rPr>
          <w:rFonts w:ascii="Times New Roman" w:hAnsi="Times New Roman"/>
          <w:sz w:val="24"/>
          <w:szCs w:val="24"/>
          <w:vertAlign w:val="superscript"/>
          <w:lang w:val="en-US"/>
        </w:rPr>
        <w:t>18</w:t>
      </w:r>
      <w:r w:rsidR="00180108" w:rsidRPr="00941621">
        <w:rPr>
          <w:rFonts w:ascii="Times New Roman" w:hAnsi="Times New Roman"/>
          <w:sz w:val="24"/>
          <w:szCs w:val="24"/>
          <w:lang w:val="en-US"/>
        </w:rPr>
        <w:t xml:space="preserve">F]DTBZ PET studies have shown correlations between dopaminergic decline, worse bradykinesia and rigidity, but not tremor scores </w:t>
      </w:r>
      <w:r w:rsidR="00180108">
        <w:rPr>
          <w:rFonts w:ascii="Times New Roman" w:hAnsi="Times New Roman"/>
          <w:sz w:val="24"/>
          <w:szCs w:val="24"/>
          <w:lang w:val="en-US"/>
        </w:rPr>
        <w:t>in group</w:t>
      </w:r>
      <w:r w:rsidR="003D0ED4">
        <w:rPr>
          <w:rFonts w:ascii="Times New Roman" w:hAnsi="Times New Roman"/>
          <w:sz w:val="24"/>
          <w:szCs w:val="24"/>
          <w:lang w:val="en-US"/>
        </w:rPr>
        <w:t>s</w:t>
      </w:r>
      <w:r w:rsidR="00180108">
        <w:rPr>
          <w:rFonts w:ascii="Times New Roman" w:hAnsi="Times New Roman"/>
          <w:sz w:val="24"/>
          <w:szCs w:val="24"/>
          <w:lang w:val="en-US"/>
        </w:rPr>
        <w:t xml:space="preserve"> of 17-27 Parkinson’s disease patients (</w:t>
      </w:r>
      <w:r w:rsidR="00180108" w:rsidRPr="00180108">
        <w:rPr>
          <w:rFonts w:ascii="Times New Roman" w:hAnsi="Times New Roman"/>
          <w:sz w:val="24"/>
          <w:szCs w:val="24"/>
          <w:lang w:val="en-US"/>
        </w:rPr>
        <w:t xml:space="preserve">Otsuka </w:t>
      </w:r>
      <w:r w:rsidR="00180108" w:rsidRPr="00180108">
        <w:rPr>
          <w:rFonts w:ascii="Times New Roman" w:hAnsi="Times New Roman"/>
          <w:i/>
          <w:sz w:val="24"/>
          <w:szCs w:val="24"/>
          <w:lang w:val="en-US"/>
        </w:rPr>
        <w:t>et al.</w:t>
      </w:r>
      <w:r w:rsidR="00180108" w:rsidRPr="00180108">
        <w:rPr>
          <w:rFonts w:ascii="Times New Roman" w:hAnsi="Times New Roman"/>
          <w:sz w:val="24"/>
          <w:szCs w:val="24"/>
          <w:lang w:val="en-US"/>
        </w:rPr>
        <w:t>, 1996</w:t>
      </w:r>
      <w:r w:rsidR="00180108">
        <w:rPr>
          <w:rFonts w:ascii="Times New Roman" w:hAnsi="Times New Roman"/>
          <w:sz w:val="24"/>
          <w:szCs w:val="24"/>
          <w:lang w:val="en-US"/>
        </w:rPr>
        <w:t xml:space="preserve">; </w:t>
      </w:r>
      <w:r w:rsidR="00180108" w:rsidRPr="00180108">
        <w:rPr>
          <w:rFonts w:ascii="Times New Roman" w:hAnsi="Times New Roman"/>
          <w:sz w:val="24"/>
          <w:szCs w:val="24"/>
          <w:lang w:val="en-US"/>
        </w:rPr>
        <w:t xml:space="preserve">Broussolle </w:t>
      </w:r>
      <w:r w:rsidR="00180108" w:rsidRPr="00180108">
        <w:rPr>
          <w:rFonts w:ascii="Times New Roman" w:hAnsi="Times New Roman"/>
          <w:i/>
          <w:sz w:val="24"/>
          <w:szCs w:val="24"/>
          <w:lang w:val="en-US"/>
        </w:rPr>
        <w:t>et al.</w:t>
      </w:r>
      <w:r w:rsidR="00180108" w:rsidRPr="00180108">
        <w:rPr>
          <w:rFonts w:ascii="Times New Roman" w:hAnsi="Times New Roman"/>
          <w:sz w:val="24"/>
          <w:szCs w:val="24"/>
          <w:lang w:val="en-US"/>
        </w:rPr>
        <w:t>, 1999</w:t>
      </w:r>
      <w:r w:rsidR="00F228EE">
        <w:rPr>
          <w:rFonts w:ascii="Times New Roman" w:hAnsi="Times New Roman"/>
          <w:sz w:val="24"/>
          <w:szCs w:val="24"/>
          <w:lang w:val="en-US"/>
        </w:rPr>
        <w:t>).</w:t>
      </w:r>
      <w:r w:rsidR="00E57551">
        <w:rPr>
          <w:rFonts w:ascii="Times New Roman" w:hAnsi="Times New Roman"/>
          <w:sz w:val="24"/>
          <w:szCs w:val="24"/>
          <w:lang w:val="en-US"/>
        </w:rPr>
        <w:t xml:space="preserve"> </w:t>
      </w:r>
      <w:r w:rsidR="00180108" w:rsidRPr="00941621">
        <w:rPr>
          <w:rFonts w:ascii="Times New Roman" w:hAnsi="Times New Roman"/>
          <w:sz w:val="24"/>
          <w:szCs w:val="24"/>
          <w:lang w:val="en-US"/>
        </w:rPr>
        <w:t>In our study, decreased PDE-10A expression correlated with longer P</w:t>
      </w:r>
      <w:r w:rsidR="00180108">
        <w:rPr>
          <w:rFonts w:ascii="Times New Roman" w:hAnsi="Times New Roman"/>
          <w:sz w:val="24"/>
          <w:szCs w:val="24"/>
          <w:lang w:val="en-US"/>
        </w:rPr>
        <w:t xml:space="preserve">arkinson’s disease duration </w:t>
      </w:r>
      <w:r w:rsidR="00180108" w:rsidRPr="00941621">
        <w:rPr>
          <w:rFonts w:ascii="Times New Roman" w:hAnsi="Times New Roman"/>
          <w:sz w:val="24"/>
          <w:szCs w:val="24"/>
          <w:lang w:val="en-US"/>
        </w:rPr>
        <w:t xml:space="preserve">and worse severity of bradykinesia and rigidity, at a similar </w:t>
      </w:r>
      <w:r w:rsidR="00180108">
        <w:rPr>
          <w:rFonts w:ascii="Times New Roman" w:hAnsi="Times New Roman"/>
          <w:sz w:val="24"/>
          <w:szCs w:val="24"/>
          <w:lang w:val="en-US"/>
        </w:rPr>
        <w:t xml:space="preserve">level of </w:t>
      </w:r>
      <w:r w:rsidR="00180108" w:rsidRPr="00941621">
        <w:rPr>
          <w:rFonts w:ascii="Times New Roman" w:hAnsi="Times New Roman"/>
          <w:sz w:val="24"/>
          <w:szCs w:val="24"/>
          <w:lang w:val="en-US"/>
        </w:rPr>
        <w:t xml:space="preserve">statistical significance to </w:t>
      </w:r>
      <w:r w:rsidR="00180108">
        <w:rPr>
          <w:rFonts w:ascii="Times New Roman" w:hAnsi="Times New Roman"/>
          <w:sz w:val="24"/>
          <w:szCs w:val="24"/>
          <w:lang w:val="en-US"/>
        </w:rPr>
        <w:t>t</w:t>
      </w:r>
      <w:r w:rsidR="00180108" w:rsidRPr="00941621">
        <w:rPr>
          <w:rFonts w:ascii="Times New Roman" w:hAnsi="Times New Roman"/>
          <w:sz w:val="24"/>
          <w:szCs w:val="24"/>
          <w:lang w:val="en-US"/>
        </w:rPr>
        <w:t xml:space="preserve">hat previously seen with dopaminergic imaging markers. </w:t>
      </w:r>
    </w:p>
    <w:p w14:paraId="68C7DFE9" w14:textId="77777777" w:rsidR="00DD0AF8" w:rsidRDefault="00DD0AF8" w:rsidP="00180108">
      <w:pPr>
        <w:spacing w:after="0" w:line="480" w:lineRule="auto"/>
        <w:jc w:val="both"/>
        <w:rPr>
          <w:rFonts w:ascii="Times New Roman" w:hAnsi="Times New Roman"/>
          <w:sz w:val="24"/>
          <w:szCs w:val="24"/>
          <w:lang w:val="en-US"/>
        </w:rPr>
      </w:pPr>
    </w:p>
    <w:p w14:paraId="1522BE3B" w14:textId="77777777" w:rsidR="004D427A" w:rsidRDefault="004D427A" w:rsidP="004D427A">
      <w:pPr>
        <w:spacing w:after="0" w:line="480" w:lineRule="auto"/>
        <w:jc w:val="both"/>
        <w:rPr>
          <w:rFonts w:ascii="Times New Roman" w:hAnsi="Times New Roman"/>
          <w:sz w:val="24"/>
          <w:szCs w:val="24"/>
          <w:lang w:val="en-US"/>
        </w:rPr>
      </w:pPr>
      <w:r>
        <w:rPr>
          <w:rFonts w:ascii="Times New Roman" w:hAnsi="Times New Roman"/>
          <w:sz w:val="24"/>
          <w:szCs w:val="24"/>
          <w:lang w:val="en-US"/>
        </w:rPr>
        <w:t>Although previous PET and SPECT studies have predominantly reported correlations between decreases in putaminal dopaminergic markers and Parkinson’s motor symptoms (</w:t>
      </w:r>
      <w:r w:rsidRPr="00180108">
        <w:rPr>
          <w:rFonts w:ascii="Times New Roman" w:hAnsi="Times New Roman"/>
          <w:sz w:val="24"/>
          <w:szCs w:val="24"/>
          <w:lang w:val="en-US"/>
        </w:rPr>
        <w:t xml:space="preserve">Otsuka </w:t>
      </w:r>
      <w:r w:rsidRPr="00180108">
        <w:rPr>
          <w:rFonts w:ascii="Times New Roman" w:hAnsi="Times New Roman"/>
          <w:i/>
          <w:sz w:val="24"/>
          <w:szCs w:val="24"/>
          <w:lang w:val="en-US"/>
        </w:rPr>
        <w:t>et al.</w:t>
      </w:r>
      <w:r w:rsidRPr="00180108">
        <w:rPr>
          <w:rFonts w:ascii="Times New Roman" w:hAnsi="Times New Roman"/>
          <w:sz w:val="24"/>
          <w:szCs w:val="24"/>
          <w:lang w:val="en-US"/>
        </w:rPr>
        <w:t>, 1996</w:t>
      </w:r>
      <w:r>
        <w:rPr>
          <w:rFonts w:ascii="Times New Roman" w:hAnsi="Times New Roman"/>
          <w:sz w:val="24"/>
          <w:szCs w:val="24"/>
          <w:lang w:val="en-US"/>
        </w:rPr>
        <w:t xml:space="preserve">; </w:t>
      </w:r>
      <w:r w:rsidRPr="00180108">
        <w:rPr>
          <w:rFonts w:ascii="Times New Roman" w:hAnsi="Times New Roman"/>
          <w:sz w:val="24"/>
          <w:szCs w:val="24"/>
          <w:lang w:val="en-US"/>
        </w:rPr>
        <w:t xml:space="preserve">Broussolle </w:t>
      </w:r>
      <w:r w:rsidRPr="00180108">
        <w:rPr>
          <w:rFonts w:ascii="Times New Roman" w:hAnsi="Times New Roman"/>
          <w:i/>
          <w:sz w:val="24"/>
          <w:szCs w:val="24"/>
          <w:lang w:val="en-US"/>
        </w:rPr>
        <w:t>et al.</w:t>
      </w:r>
      <w:r w:rsidRPr="00180108">
        <w:rPr>
          <w:rFonts w:ascii="Times New Roman" w:hAnsi="Times New Roman"/>
          <w:sz w:val="24"/>
          <w:szCs w:val="24"/>
          <w:lang w:val="en-US"/>
        </w:rPr>
        <w:t>, 1999</w:t>
      </w:r>
      <w:r>
        <w:rPr>
          <w:rFonts w:ascii="Times New Roman" w:hAnsi="Times New Roman"/>
          <w:sz w:val="24"/>
          <w:szCs w:val="24"/>
          <w:lang w:val="en-US"/>
        </w:rPr>
        <w:t xml:space="preserve">), here we found that also caudate PDE-10A decreases were associated with worse clinical scores. Our findings are consistent with a minority of previous dopaminergic PET and SPECT studies, which have shown correlations between lower </w:t>
      </w:r>
      <w:r w:rsidRPr="0029497B">
        <w:rPr>
          <w:rFonts w:ascii="Times New Roman" w:hAnsi="Times New Roman"/>
          <w:sz w:val="24"/>
          <w:szCs w:val="24"/>
          <w:lang w:val="en-US"/>
        </w:rPr>
        <w:t>caudate VMAT</w:t>
      </w:r>
      <w:r>
        <w:rPr>
          <w:rFonts w:ascii="Times New Roman" w:hAnsi="Times New Roman"/>
          <w:sz w:val="24"/>
          <w:szCs w:val="24"/>
          <w:lang w:val="en-US"/>
        </w:rPr>
        <w:t>-</w:t>
      </w:r>
      <w:r w:rsidRPr="003D0ED4">
        <w:rPr>
          <w:rFonts w:ascii="Times New Roman" w:hAnsi="Times New Roman"/>
          <w:sz w:val="24"/>
          <w:szCs w:val="24"/>
          <w:lang w:val="en-US"/>
        </w:rPr>
        <w:t>2</w:t>
      </w:r>
      <w:r w:rsidRPr="0029497B">
        <w:rPr>
          <w:rFonts w:ascii="Times New Roman" w:hAnsi="Times New Roman"/>
          <w:sz w:val="24"/>
          <w:szCs w:val="24"/>
          <w:lang w:val="en-US"/>
        </w:rPr>
        <w:t xml:space="preserve"> </w:t>
      </w:r>
      <w:r>
        <w:rPr>
          <w:rFonts w:ascii="Times New Roman" w:hAnsi="Times New Roman"/>
          <w:sz w:val="24"/>
          <w:szCs w:val="24"/>
          <w:lang w:val="en-US"/>
        </w:rPr>
        <w:t>and DAT levels and worse clinical scores (</w:t>
      </w:r>
      <w:r w:rsidRPr="007F6232">
        <w:rPr>
          <w:rFonts w:ascii="Times New Roman" w:hAnsi="Times New Roman"/>
          <w:sz w:val="24"/>
          <w:szCs w:val="24"/>
          <w:lang w:val="en-US"/>
        </w:rPr>
        <w:t xml:space="preserve">Marek </w:t>
      </w:r>
      <w:r w:rsidRPr="003D0ED4">
        <w:rPr>
          <w:rFonts w:ascii="Times New Roman" w:hAnsi="Times New Roman"/>
          <w:i/>
          <w:sz w:val="24"/>
          <w:szCs w:val="24"/>
          <w:lang w:val="en-US"/>
        </w:rPr>
        <w:t>et al.,</w:t>
      </w:r>
      <w:r w:rsidRPr="007F6232">
        <w:rPr>
          <w:rFonts w:ascii="Times New Roman" w:hAnsi="Times New Roman"/>
          <w:sz w:val="24"/>
          <w:szCs w:val="24"/>
          <w:lang w:val="en-US"/>
        </w:rPr>
        <w:t xml:space="preserve"> 2001; Hsiao </w:t>
      </w:r>
      <w:r w:rsidRPr="003D0ED4">
        <w:rPr>
          <w:rFonts w:ascii="Times New Roman" w:hAnsi="Times New Roman"/>
          <w:i/>
          <w:sz w:val="24"/>
          <w:szCs w:val="24"/>
          <w:lang w:val="en-US"/>
        </w:rPr>
        <w:t>et al.,</w:t>
      </w:r>
      <w:r w:rsidRPr="007F6232">
        <w:rPr>
          <w:rFonts w:ascii="Times New Roman" w:hAnsi="Times New Roman"/>
          <w:sz w:val="24"/>
          <w:szCs w:val="24"/>
          <w:lang w:val="en-US"/>
        </w:rPr>
        <w:t xml:space="preserve"> 2014</w:t>
      </w:r>
      <w:r>
        <w:rPr>
          <w:rFonts w:ascii="Times New Roman" w:hAnsi="Times New Roman"/>
          <w:sz w:val="24"/>
          <w:szCs w:val="24"/>
          <w:lang w:val="en-US"/>
        </w:rPr>
        <w:t xml:space="preserve">), and therefore provide support for the role of caudate in the development of motor symptoms in Parkinson’s disease. </w:t>
      </w:r>
    </w:p>
    <w:p w14:paraId="27CDDE11" w14:textId="113FB2D9" w:rsidR="003D0ED4" w:rsidRPr="009339E3" w:rsidRDefault="003D0ED4" w:rsidP="003D0ED4">
      <w:pPr>
        <w:spacing w:after="0" w:line="480" w:lineRule="auto"/>
        <w:jc w:val="both"/>
        <w:rPr>
          <w:rFonts w:ascii="Times New Roman" w:hAnsi="Times New Roman" w:cs="Times New Roman"/>
          <w:sz w:val="24"/>
        </w:rPr>
      </w:pPr>
      <w:r w:rsidRPr="000A60BF">
        <w:rPr>
          <w:rFonts w:ascii="Times New Roman" w:hAnsi="Times New Roman" w:cs="Times New Roman"/>
          <w:sz w:val="24"/>
          <w:szCs w:val="28"/>
        </w:rPr>
        <w:t xml:space="preserve">A striking feature of nigrostriatal </w:t>
      </w:r>
      <w:r>
        <w:rPr>
          <w:rFonts w:ascii="Times New Roman" w:hAnsi="Times New Roman" w:cs="Times New Roman"/>
          <w:sz w:val="24"/>
          <w:szCs w:val="28"/>
        </w:rPr>
        <w:t xml:space="preserve">dopaminergic </w:t>
      </w:r>
      <w:r w:rsidRPr="000A60BF">
        <w:rPr>
          <w:rFonts w:ascii="Times New Roman" w:hAnsi="Times New Roman" w:cs="Times New Roman"/>
          <w:sz w:val="24"/>
          <w:szCs w:val="28"/>
        </w:rPr>
        <w:t>degeneration in idiopathic P</w:t>
      </w:r>
      <w:r w:rsidR="00545837">
        <w:rPr>
          <w:rFonts w:ascii="Times New Roman" w:hAnsi="Times New Roman" w:cs="Times New Roman"/>
          <w:sz w:val="24"/>
          <w:szCs w:val="28"/>
        </w:rPr>
        <w:t>arkinson’s disease</w:t>
      </w:r>
      <w:r w:rsidRPr="000A60BF">
        <w:rPr>
          <w:rFonts w:ascii="Times New Roman" w:hAnsi="Times New Roman" w:cs="Times New Roman"/>
          <w:sz w:val="24"/>
          <w:szCs w:val="28"/>
        </w:rPr>
        <w:t xml:space="preserve"> is the clinically asymmetric presentation.</w:t>
      </w:r>
      <w:r>
        <w:rPr>
          <w:rFonts w:ascii="Times New Roman" w:hAnsi="Times New Roman" w:cs="Times New Roman"/>
          <w:sz w:val="24"/>
          <w:szCs w:val="28"/>
        </w:rPr>
        <w:t xml:space="preserve"> </w:t>
      </w:r>
      <w:r>
        <w:rPr>
          <w:rFonts w:ascii="Times New Roman" w:hAnsi="Times New Roman" w:cs="Times New Roman"/>
          <w:sz w:val="24"/>
        </w:rPr>
        <w:t xml:space="preserve">We assessed </w:t>
      </w:r>
      <w:r w:rsidRPr="00693353">
        <w:rPr>
          <w:rFonts w:ascii="Times New Roman" w:hAnsi="Times New Roman" w:cs="Times New Roman"/>
          <w:sz w:val="24"/>
        </w:rPr>
        <w:t xml:space="preserve">whether clinically asymmetric limb motor features correspond to </w:t>
      </w:r>
      <w:r>
        <w:rPr>
          <w:rFonts w:ascii="Times New Roman" w:hAnsi="Times New Roman" w:cs="Times New Roman"/>
          <w:sz w:val="24"/>
          <w:szCs w:val="28"/>
        </w:rPr>
        <w:t>PDE-10A</w:t>
      </w:r>
      <w:r w:rsidRPr="00523257">
        <w:rPr>
          <w:rFonts w:ascii="Times New Roman" w:hAnsi="Times New Roman" w:cs="Times New Roman"/>
          <w:sz w:val="24"/>
          <w:szCs w:val="28"/>
          <w:vertAlign w:val="subscript"/>
        </w:rPr>
        <w:t xml:space="preserve"> </w:t>
      </w:r>
      <w:r>
        <w:rPr>
          <w:rFonts w:ascii="Times New Roman" w:hAnsi="Times New Roman" w:cs="Times New Roman"/>
          <w:sz w:val="24"/>
          <w:szCs w:val="28"/>
        </w:rPr>
        <w:t xml:space="preserve">decreases, and </w:t>
      </w:r>
      <w:r>
        <w:rPr>
          <w:rFonts w:ascii="Times New Roman" w:hAnsi="Times New Roman" w:cs="Times New Roman"/>
          <w:sz w:val="24"/>
        </w:rPr>
        <w:t xml:space="preserve">we found no significant differences </w:t>
      </w:r>
      <w:r w:rsidRPr="00D72FB7">
        <w:rPr>
          <w:rFonts w:ascii="Times New Roman" w:hAnsi="Times New Roman" w:cs="Times New Roman"/>
          <w:sz w:val="24"/>
        </w:rPr>
        <w:t xml:space="preserve">in </w:t>
      </w:r>
      <w:r>
        <w:rPr>
          <w:rFonts w:ascii="Times New Roman" w:hAnsi="Times New Roman" w:cs="Times New Roman"/>
          <w:sz w:val="24"/>
        </w:rPr>
        <w:t xml:space="preserve">PDE-10A expression between </w:t>
      </w:r>
      <w:r w:rsidRPr="00D72FB7">
        <w:rPr>
          <w:rFonts w:ascii="Times New Roman" w:hAnsi="Times New Roman" w:cs="Times New Roman"/>
          <w:sz w:val="24"/>
        </w:rPr>
        <w:t>most and less affected sides</w:t>
      </w:r>
      <w:r>
        <w:rPr>
          <w:rFonts w:ascii="Times New Roman" w:hAnsi="Times New Roman" w:cs="Times New Roman"/>
          <w:sz w:val="24"/>
        </w:rPr>
        <w:t xml:space="preserve"> </w:t>
      </w:r>
      <w:r>
        <w:rPr>
          <w:rFonts w:ascii="Times New Roman" w:hAnsi="Times New Roman"/>
          <w:sz w:val="24"/>
          <w:szCs w:val="24"/>
        </w:rPr>
        <w:t>in our cohort of Parkinson’s disease patients</w:t>
      </w:r>
      <w:r w:rsidRPr="00D72FB7">
        <w:rPr>
          <w:rFonts w:ascii="Times New Roman" w:hAnsi="Times New Roman" w:cs="Times New Roman"/>
          <w:sz w:val="24"/>
        </w:rPr>
        <w:t>.</w:t>
      </w:r>
      <w:r>
        <w:rPr>
          <w:rFonts w:ascii="Times New Roman" w:hAnsi="Times New Roman" w:cs="Times New Roman"/>
          <w:sz w:val="24"/>
        </w:rPr>
        <w:t xml:space="preserve"> It is possible that loss of PDE-10A expression does not follow the pattern of </w:t>
      </w:r>
      <w:r>
        <w:rPr>
          <w:rFonts w:ascii="Times New Roman" w:hAnsi="Times New Roman" w:cs="Times New Roman"/>
          <w:sz w:val="24"/>
          <w:szCs w:val="28"/>
        </w:rPr>
        <w:t xml:space="preserve">dopaminergic </w:t>
      </w:r>
      <w:r w:rsidRPr="000A60BF">
        <w:rPr>
          <w:rFonts w:ascii="Times New Roman" w:hAnsi="Times New Roman" w:cs="Times New Roman"/>
          <w:sz w:val="24"/>
          <w:szCs w:val="28"/>
        </w:rPr>
        <w:t>degeneration</w:t>
      </w:r>
      <w:r>
        <w:rPr>
          <w:rFonts w:ascii="Times New Roman" w:hAnsi="Times New Roman" w:cs="Times New Roman"/>
          <w:sz w:val="24"/>
          <w:szCs w:val="28"/>
        </w:rPr>
        <w:t xml:space="preserve">, however we </w:t>
      </w:r>
      <w:r w:rsidRPr="00FE57CD">
        <w:rPr>
          <w:rFonts w:ascii="Times New Roman" w:hAnsi="Times New Roman" w:cs="Times New Roman"/>
          <w:sz w:val="24"/>
        </w:rPr>
        <w:t>speculate that this result could be due to the fact that the vast majority of the P</w:t>
      </w:r>
      <w:r>
        <w:rPr>
          <w:rFonts w:ascii="Times New Roman" w:hAnsi="Times New Roman" w:cs="Times New Roman"/>
          <w:sz w:val="24"/>
        </w:rPr>
        <w:t>arkinson’s</w:t>
      </w:r>
      <w:r w:rsidRPr="00FE57CD">
        <w:rPr>
          <w:rFonts w:ascii="Times New Roman" w:hAnsi="Times New Roman" w:cs="Times New Roman"/>
          <w:sz w:val="24"/>
        </w:rPr>
        <w:t xml:space="preserve"> patients had bilateral disease, all P</w:t>
      </w:r>
      <w:r>
        <w:rPr>
          <w:rFonts w:ascii="Times New Roman" w:hAnsi="Times New Roman" w:cs="Times New Roman"/>
          <w:sz w:val="24"/>
        </w:rPr>
        <w:t>arkinson’s</w:t>
      </w:r>
      <w:r w:rsidRPr="00FE57CD">
        <w:rPr>
          <w:rFonts w:ascii="Times New Roman" w:hAnsi="Times New Roman" w:cs="Times New Roman"/>
          <w:sz w:val="24"/>
        </w:rPr>
        <w:t xml:space="preserve"> patients were </w:t>
      </w:r>
      <w:r>
        <w:rPr>
          <w:rFonts w:ascii="Times New Roman" w:hAnsi="Times New Roman" w:cs="Times New Roman"/>
          <w:sz w:val="24"/>
        </w:rPr>
        <w:t>on</w:t>
      </w:r>
      <w:r w:rsidRPr="00FE57CD">
        <w:rPr>
          <w:rFonts w:ascii="Times New Roman" w:hAnsi="Times New Roman" w:cs="Times New Roman"/>
          <w:sz w:val="24"/>
        </w:rPr>
        <w:t xml:space="preserve"> levodopa therapy and had the</w:t>
      </w:r>
      <w:r>
        <w:rPr>
          <w:rFonts w:ascii="Times New Roman" w:hAnsi="Times New Roman" w:cs="Times New Roman"/>
          <w:sz w:val="24"/>
        </w:rPr>
        <w:t>ir PET</w:t>
      </w:r>
      <w:r w:rsidRPr="00FE57CD">
        <w:rPr>
          <w:rFonts w:ascii="Times New Roman" w:hAnsi="Times New Roman" w:cs="Times New Roman"/>
          <w:sz w:val="24"/>
        </w:rPr>
        <w:t xml:space="preserve"> scans </w:t>
      </w:r>
      <w:r>
        <w:rPr>
          <w:rFonts w:ascii="Times New Roman" w:hAnsi="Times New Roman" w:cs="Times New Roman"/>
          <w:sz w:val="24"/>
        </w:rPr>
        <w:t xml:space="preserve">while </w:t>
      </w:r>
      <w:r w:rsidRPr="00FE57CD">
        <w:rPr>
          <w:rFonts w:ascii="Times New Roman" w:hAnsi="Times New Roman" w:cs="Times New Roman"/>
          <w:sz w:val="24"/>
        </w:rPr>
        <w:t>ON</w:t>
      </w:r>
      <w:r>
        <w:rPr>
          <w:rFonts w:ascii="Times New Roman" w:hAnsi="Times New Roman" w:cs="Times New Roman"/>
          <w:sz w:val="24"/>
        </w:rPr>
        <w:t xml:space="preserve"> levodopa</w:t>
      </w:r>
      <w:r w:rsidRPr="00FE57CD">
        <w:rPr>
          <w:rFonts w:ascii="Times New Roman" w:hAnsi="Times New Roman" w:cs="Times New Roman"/>
          <w:sz w:val="24"/>
        </w:rPr>
        <w:t xml:space="preserve"> medication.</w:t>
      </w:r>
      <w:r>
        <w:rPr>
          <w:rFonts w:ascii="Times New Roman" w:hAnsi="Times New Roman" w:cs="Times New Roman"/>
          <w:sz w:val="24"/>
        </w:rPr>
        <w:t xml:space="preserve"> A recent </w:t>
      </w:r>
      <w:r>
        <w:rPr>
          <w:rFonts w:ascii="Times New Roman" w:hAnsi="Times New Roman"/>
          <w:sz w:val="24"/>
          <w:szCs w:val="24"/>
        </w:rPr>
        <w:t xml:space="preserve">experimental study has demonstrated that </w:t>
      </w:r>
      <w:r w:rsidRPr="004720A3">
        <w:rPr>
          <w:rFonts w:ascii="Times New Roman" w:hAnsi="Times New Roman"/>
          <w:sz w:val="24"/>
          <w:szCs w:val="24"/>
        </w:rPr>
        <w:t>levodopa treatment</w:t>
      </w:r>
      <w:r>
        <w:rPr>
          <w:rFonts w:ascii="Times New Roman" w:hAnsi="Times New Roman"/>
          <w:sz w:val="24"/>
          <w:szCs w:val="24"/>
        </w:rPr>
        <w:t xml:space="preserve"> reduced </w:t>
      </w:r>
      <w:r w:rsidRPr="004720A3">
        <w:rPr>
          <w:rFonts w:ascii="Times New Roman" w:hAnsi="Times New Roman"/>
          <w:sz w:val="24"/>
          <w:szCs w:val="24"/>
        </w:rPr>
        <w:t>PDE-10A levels</w:t>
      </w:r>
      <w:r>
        <w:rPr>
          <w:rFonts w:ascii="Times New Roman" w:hAnsi="Times New Roman"/>
          <w:sz w:val="24"/>
          <w:szCs w:val="24"/>
        </w:rPr>
        <w:t xml:space="preserve"> in the </w:t>
      </w:r>
      <w:r w:rsidRPr="004720A3">
        <w:rPr>
          <w:rFonts w:ascii="Times New Roman" w:hAnsi="Times New Roman"/>
          <w:sz w:val="24"/>
          <w:szCs w:val="24"/>
        </w:rPr>
        <w:t>unlesioned</w:t>
      </w:r>
      <w:r>
        <w:rPr>
          <w:rFonts w:ascii="Times New Roman" w:hAnsi="Times New Roman"/>
          <w:sz w:val="24"/>
          <w:szCs w:val="24"/>
        </w:rPr>
        <w:t xml:space="preserve"> striatum of </w:t>
      </w:r>
      <w:r w:rsidRPr="004720A3">
        <w:rPr>
          <w:rFonts w:ascii="Times New Roman" w:hAnsi="Times New Roman"/>
          <w:sz w:val="24"/>
          <w:szCs w:val="24"/>
        </w:rPr>
        <w:t xml:space="preserve">6-OHDA lesioned animals (Sancesario </w:t>
      </w:r>
      <w:r w:rsidRPr="004720A3">
        <w:rPr>
          <w:rFonts w:ascii="Times New Roman" w:hAnsi="Times New Roman"/>
          <w:i/>
          <w:sz w:val="24"/>
          <w:szCs w:val="24"/>
        </w:rPr>
        <w:t>et al.</w:t>
      </w:r>
      <w:r w:rsidRPr="004720A3">
        <w:rPr>
          <w:rFonts w:ascii="Times New Roman" w:hAnsi="Times New Roman"/>
          <w:sz w:val="24"/>
          <w:szCs w:val="24"/>
        </w:rPr>
        <w:t>, 2014).</w:t>
      </w:r>
      <w:r>
        <w:rPr>
          <w:rFonts w:ascii="Times New Roman" w:hAnsi="Times New Roman"/>
          <w:sz w:val="24"/>
          <w:szCs w:val="24"/>
        </w:rPr>
        <w:t xml:space="preserve"> In humans, w</w:t>
      </w:r>
      <w:r w:rsidRPr="00997679">
        <w:rPr>
          <w:rFonts w:ascii="Times New Roman" w:hAnsi="Times New Roman"/>
          <w:sz w:val="24"/>
          <w:szCs w:val="24"/>
        </w:rPr>
        <w:t xml:space="preserve">ould be very interesting to investigate the relationship between clinically asymmetric motor features and PDE-10A expression in early </w:t>
      </w:r>
      <w:r w:rsidRPr="003D0ED4">
        <w:rPr>
          <w:rFonts w:ascii="Times New Roman" w:hAnsi="Times New Roman"/>
          <w:i/>
          <w:sz w:val="24"/>
          <w:szCs w:val="24"/>
        </w:rPr>
        <w:t>de novo</w:t>
      </w:r>
      <w:r w:rsidRPr="00997679">
        <w:rPr>
          <w:rFonts w:ascii="Times New Roman" w:hAnsi="Times New Roman"/>
          <w:sz w:val="24"/>
          <w:szCs w:val="24"/>
        </w:rPr>
        <w:t xml:space="preserve"> </w:t>
      </w:r>
      <w:r>
        <w:rPr>
          <w:rFonts w:ascii="Times New Roman" w:hAnsi="Times New Roman"/>
          <w:sz w:val="24"/>
          <w:szCs w:val="24"/>
        </w:rPr>
        <w:t>Parkinson’s</w:t>
      </w:r>
      <w:r w:rsidRPr="00997679">
        <w:rPr>
          <w:rFonts w:ascii="Times New Roman" w:hAnsi="Times New Roman"/>
          <w:sz w:val="24"/>
          <w:szCs w:val="24"/>
        </w:rPr>
        <w:t xml:space="preserve"> patients in a future study</w:t>
      </w:r>
      <w:r>
        <w:rPr>
          <w:rFonts w:ascii="Times New Roman" w:hAnsi="Times New Roman"/>
          <w:sz w:val="24"/>
          <w:szCs w:val="24"/>
        </w:rPr>
        <w:t>.</w:t>
      </w:r>
    </w:p>
    <w:p w14:paraId="1FCCFB88" w14:textId="77777777" w:rsidR="003D0ED4" w:rsidRDefault="003D0ED4" w:rsidP="003D0ED4">
      <w:pPr>
        <w:spacing w:after="0" w:line="480" w:lineRule="auto"/>
        <w:jc w:val="both"/>
        <w:rPr>
          <w:rFonts w:ascii="Times New Roman" w:hAnsi="Times New Roman"/>
          <w:sz w:val="24"/>
          <w:szCs w:val="24"/>
          <w:lang w:val="en-US"/>
        </w:rPr>
      </w:pPr>
    </w:p>
    <w:p w14:paraId="15DA6394" w14:textId="77777777" w:rsidR="003D0ED4" w:rsidRPr="003D0ED4" w:rsidRDefault="003D0ED4" w:rsidP="003D0ED4">
      <w:pPr>
        <w:spacing w:after="0" w:line="480" w:lineRule="auto"/>
        <w:jc w:val="both"/>
        <w:rPr>
          <w:rFonts w:ascii="Times New Roman" w:hAnsi="Times New Roman"/>
          <w:sz w:val="24"/>
          <w:szCs w:val="24"/>
          <w:lang w:val="en-US"/>
        </w:rPr>
      </w:pPr>
      <w:r>
        <w:rPr>
          <w:rFonts w:ascii="Times New Roman" w:hAnsi="Times New Roman"/>
          <w:sz w:val="24"/>
          <w:szCs w:val="24"/>
          <w:lang w:val="en-US"/>
        </w:rPr>
        <w:t>Our results also suggest that exogenous dopaminergic medication could have a degree of influence in striatal PDE-10A expression in patients with Parkinson’s disease. However, covariate analysis indicated that this influence was weak and it did not alter the results of our study. It is important to note that the vast majority of our cohort of Parkinson’s patients had established disease and significant motor symptoms with bilateral presentation. Experimental studies have shown that l</w:t>
      </w:r>
      <w:r w:rsidRPr="004720A3">
        <w:rPr>
          <w:rFonts w:ascii="Times New Roman" w:hAnsi="Times New Roman"/>
          <w:sz w:val="24"/>
          <w:szCs w:val="24"/>
        </w:rPr>
        <w:t>evodopa treatment</w:t>
      </w:r>
      <w:r>
        <w:rPr>
          <w:rFonts w:ascii="Times New Roman" w:hAnsi="Times New Roman"/>
          <w:sz w:val="24"/>
          <w:szCs w:val="24"/>
        </w:rPr>
        <w:t xml:space="preserve"> balances PDE-10A levels by reducing </w:t>
      </w:r>
      <w:r w:rsidRPr="004720A3">
        <w:rPr>
          <w:rFonts w:ascii="Times New Roman" w:hAnsi="Times New Roman"/>
          <w:sz w:val="24"/>
          <w:szCs w:val="24"/>
        </w:rPr>
        <w:t xml:space="preserve">PDE-10A </w:t>
      </w:r>
      <w:r>
        <w:rPr>
          <w:rFonts w:ascii="Times New Roman" w:hAnsi="Times New Roman"/>
          <w:sz w:val="24"/>
          <w:szCs w:val="24"/>
        </w:rPr>
        <w:t xml:space="preserve">expression in the </w:t>
      </w:r>
      <w:r w:rsidRPr="004720A3">
        <w:rPr>
          <w:rFonts w:ascii="Times New Roman" w:hAnsi="Times New Roman"/>
          <w:sz w:val="24"/>
          <w:szCs w:val="24"/>
        </w:rPr>
        <w:t>unlesioned</w:t>
      </w:r>
      <w:r>
        <w:rPr>
          <w:rFonts w:ascii="Times New Roman" w:hAnsi="Times New Roman"/>
          <w:sz w:val="24"/>
          <w:szCs w:val="24"/>
        </w:rPr>
        <w:t xml:space="preserve"> striatum, without significantly affecting the </w:t>
      </w:r>
      <w:r w:rsidRPr="004720A3">
        <w:rPr>
          <w:rFonts w:ascii="Times New Roman" w:hAnsi="Times New Roman"/>
          <w:sz w:val="24"/>
          <w:szCs w:val="24"/>
        </w:rPr>
        <w:t xml:space="preserve">PDE-10A </w:t>
      </w:r>
      <w:r>
        <w:rPr>
          <w:rFonts w:ascii="Times New Roman" w:hAnsi="Times New Roman"/>
          <w:sz w:val="24"/>
          <w:szCs w:val="24"/>
        </w:rPr>
        <w:t xml:space="preserve">expression in the </w:t>
      </w:r>
      <w:r w:rsidRPr="004720A3">
        <w:rPr>
          <w:rFonts w:ascii="Times New Roman" w:hAnsi="Times New Roman"/>
          <w:sz w:val="24"/>
          <w:szCs w:val="24"/>
        </w:rPr>
        <w:t>lesioned</w:t>
      </w:r>
      <w:r>
        <w:rPr>
          <w:rFonts w:ascii="Times New Roman" w:hAnsi="Times New Roman"/>
          <w:sz w:val="24"/>
          <w:szCs w:val="24"/>
        </w:rPr>
        <w:t xml:space="preserve"> striatum of </w:t>
      </w:r>
      <w:r w:rsidRPr="004720A3">
        <w:rPr>
          <w:rFonts w:ascii="Times New Roman" w:hAnsi="Times New Roman"/>
          <w:sz w:val="24"/>
          <w:szCs w:val="24"/>
        </w:rPr>
        <w:t>6-OHDA</w:t>
      </w:r>
      <w:r w:rsidRPr="00923EFB">
        <w:rPr>
          <w:rFonts w:ascii="Times New Roman" w:hAnsi="Times New Roman"/>
          <w:sz w:val="24"/>
          <w:szCs w:val="24"/>
        </w:rPr>
        <w:t xml:space="preserve"> </w:t>
      </w:r>
      <w:r w:rsidRPr="004720A3">
        <w:rPr>
          <w:rFonts w:ascii="Times New Roman" w:hAnsi="Times New Roman"/>
          <w:sz w:val="24"/>
          <w:szCs w:val="24"/>
        </w:rPr>
        <w:t>animals</w:t>
      </w:r>
      <w:r>
        <w:rPr>
          <w:rFonts w:ascii="Times New Roman" w:hAnsi="Times New Roman"/>
          <w:sz w:val="24"/>
          <w:szCs w:val="24"/>
        </w:rPr>
        <w:t xml:space="preserve"> </w:t>
      </w:r>
      <w:r w:rsidRPr="004720A3">
        <w:rPr>
          <w:rFonts w:ascii="Times New Roman" w:hAnsi="Times New Roman"/>
          <w:sz w:val="24"/>
          <w:szCs w:val="24"/>
        </w:rPr>
        <w:t xml:space="preserve">(Sancesario </w:t>
      </w:r>
      <w:r w:rsidRPr="004720A3">
        <w:rPr>
          <w:rFonts w:ascii="Times New Roman" w:hAnsi="Times New Roman"/>
          <w:i/>
          <w:sz w:val="24"/>
          <w:szCs w:val="24"/>
        </w:rPr>
        <w:t>et al.</w:t>
      </w:r>
      <w:r w:rsidRPr="004720A3">
        <w:rPr>
          <w:rFonts w:ascii="Times New Roman" w:hAnsi="Times New Roman"/>
          <w:sz w:val="24"/>
          <w:szCs w:val="24"/>
        </w:rPr>
        <w:t>, 2014).</w:t>
      </w:r>
      <w:r>
        <w:rPr>
          <w:rFonts w:ascii="Times New Roman" w:hAnsi="Times New Roman"/>
          <w:sz w:val="24"/>
          <w:szCs w:val="24"/>
        </w:rPr>
        <w:t xml:space="preserve"> We believe that chronic effect of levodopa could be investigated by studying in parallel a cohort of unilaterally affected </w:t>
      </w:r>
      <w:r w:rsidRPr="003D0ED4">
        <w:rPr>
          <w:rFonts w:ascii="Times New Roman" w:hAnsi="Times New Roman"/>
          <w:i/>
          <w:sz w:val="24"/>
          <w:szCs w:val="24"/>
        </w:rPr>
        <w:t>de novo</w:t>
      </w:r>
      <w:r>
        <w:rPr>
          <w:rFonts w:ascii="Times New Roman" w:hAnsi="Times New Roman"/>
          <w:sz w:val="24"/>
          <w:szCs w:val="24"/>
        </w:rPr>
        <w:t xml:space="preserve"> Parkinson’s patients, whereas the acute levodopa effect could be better understood if OFF and ON levodopa PDE-10A PET scans are performed and compared in the same Parkinson’s patients.</w:t>
      </w:r>
    </w:p>
    <w:p w14:paraId="7F3112C9" w14:textId="77777777" w:rsidR="00143887" w:rsidRDefault="00143887" w:rsidP="00180108">
      <w:pPr>
        <w:spacing w:after="0" w:line="480" w:lineRule="auto"/>
        <w:jc w:val="both"/>
        <w:rPr>
          <w:rFonts w:ascii="Times New Roman" w:hAnsi="Times New Roman"/>
          <w:sz w:val="24"/>
          <w:szCs w:val="24"/>
          <w:lang w:val="en-US"/>
        </w:rPr>
      </w:pPr>
    </w:p>
    <w:p w14:paraId="2E453251" w14:textId="3C642B8E" w:rsidR="00180108" w:rsidRPr="00941621" w:rsidRDefault="003D0ED4" w:rsidP="00180108">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Our </w:t>
      </w:r>
      <w:r w:rsidR="00180108" w:rsidRPr="00941621">
        <w:rPr>
          <w:rFonts w:ascii="Times New Roman" w:hAnsi="Times New Roman"/>
          <w:sz w:val="24"/>
          <w:szCs w:val="24"/>
          <w:lang w:val="en-US"/>
        </w:rPr>
        <w:t>findings</w:t>
      </w:r>
      <w:r w:rsidR="00180108">
        <w:rPr>
          <w:rFonts w:ascii="Times New Roman" w:hAnsi="Times New Roman"/>
          <w:sz w:val="24"/>
          <w:szCs w:val="24"/>
          <w:lang w:val="en-US"/>
        </w:rPr>
        <w:t xml:space="preserve"> raise the possibility</w:t>
      </w:r>
      <w:r w:rsidR="00180108" w:rsidRPr="00941621">
        <w:rPr>
          <w:rFonts w:ascii="Times New Roman" w:hAnsi="Times New Roman"/>
          <w:sz w:val="24"/>
          <w:szCs w:val="24"/>
          <w:lang w:val="en-US"/>
        </w:rPr>
        <w:t xml:space="preserve"> that</w:t>
      </w:r>
      <w:r w:rsidR="00180108">
        <w:rPr>
          <w:rFonts w:ascii="Times New Roman" w:hAnsi="Times New Roman"/>
          <w:sz w:val="24"/>
          <w:szCs w:val="24"/>
          <w:lang w:val="en-US"/>
        </w:rPr>
        <w:t>,</w:t>
      </w:r>
      <w:r w:rsidR="00180108" w:rsidRPr="00941621">
        <w:rPr>
          <w:rFonts w:ascii="Times New Roman" w:hAnsi="Times New Roman"/>
          <w:sz w:val="24"/>
          <w:szCs w:val="24"/>
          <w:lang w:val="en-US"/>
        </w:rPr>
        <w:t xml:space="preserve"> as with dopaminergic acting drugs such as levodopa and dopamine agonists, PDE-10A modulating drugs may</w:t>
      </w:r>
      <w:r w:rsidR="00180108">
        <w:rPr>
          <w:rFonts w:ascii="Times New Roman" w:hAnsi="Times New Roman"/>
          <w:sz w:val="24"/>
          <w:szCs w:val="24"/>
          <w:lang w:val="en-US"/>
        </w:rPr>
        <w:t xml:space="preserve"> have a therapeutic role in Parkinson’s disease</w:t>
      </w:r>
      <w:r w:rsidR="00180108" w:rsidRPr="00941621">
        <w:rPr>
          <w:rFonts w:ascii="Times New Roman" w:hAnsi="Times New Roman"/>
          <w:sz w:val="24"/>
          <w:szCs w:val="24"/>
          <w:lang w:val="en-US"/>
        </w:rPr>
        <w:t xml:space="preserve">. Similarly to previous studies with dopaminergic markers, PDE-10A loss did not correlate with tremor, which </w:t>
      </w:r>
      <w:r w:rsidR="00180108">
        <w:rPr>
          <w:rFonts w:ascii="Times New Roman" w:hAnsi="Times New Roman"/>
          <w:sz w:val="24"/>
          <w:szCs w:val="24"/>
          <w:lang w:val="en-US"/>
        </w:rPr>
        <w:t xml:space="preserve">may be explicable by tremor </w:t>
      </w:r>
      <w:r w:rsidR="00180108" w:rsidRPr="00941621">
        <w:rPr>
          <w:rFonts w:ascii="Times New Roman" w:hAnsi="Times New Roman"/>
          <w:sz w:val="24"/>
          <w:szCs w:val="24"/>
          <w:lang w:val="en-US"/>
        </w:rPr>
        <w:t xml:space="preserve">pathophysiology </w:t>
      </w:r>
      <w:r w:rsidR="00180108">
        <w:rPr>
          <w:rFonts w:ascii="Times New Roman" w:hAnsi="Times New Roman"/>
          <w:sz w:val="24"/>
          <w:szCs w:val="24"/>
          <w:lang w:val="en-US"/>
        </w:rPr>
        <w:t xml:space="preserve">being more closely related </w:t>
      </w:r>
      <w:r w:rsidR="00180108" w:rsidRPr="00941621">
        <w:rPr>
          <w:rFonts w:ascii="Times New Roman" w:hAnsi="Times New Roman"/>
          <w:sz w:val="24"/>
          <w:szCs w:val="24"/>
          <w:lang w:val="en-US"/>
        </w:rPr>
        <w:t>to serotonergic deficits</w:t>
      </w:r>
      <w:r w:rsidR="00180108">
        <w:rPr>
          <w:rFonts w:ascii="Times New Roman" w:hAnsi="Times New Roman"/>
          <w:sz w:val="24"/>
          <w:szCs w:val="24"/>
          <w:lang w:val="en-US"/>
        </w:rPr>
        <w:t xml:space="preserve"> (Loane </w:t>
      </w:r>
      <w:r w:rsidR="00180108" w:rsidRPr="00180108">
        <w:rPr>
          <w:rFonts w:ascii="Times New Roman" w:hAnsi="Times New Roman"/>
          <w:i/>
          <w:sz w:val="24"/>
          <w:szCs w:val="24"/>
          <w:lang w:val="en-US"/>
        </w:rPr>
        <w:t>et al.</w:t>
      </w:r>
      <w:r w:rsidR="00180108">
        <w:rPr>
          <w:rFonts w:ascii="Times New Roman" w:hAnsi="Times New Roman"/>
          <w:sz w:val="24"/>
          <w:szCs w:val="24"/>
          <w:lang w:val="en-US"/>
        </w:rPr>
        <w:t>, 2013).</w:t>
      </w:r>
    </w:p>
    <w:p w14:paraId="4EA0E134" w14:textId="77777777" w:rsidR="009F46A8" w:rsidRPr="00941621" w:rsidRDefault="009F46A8" w:rsidP="00180108">
      <w:pPr>
        <w:spacing w:after="0" w:line="480" w:lineRule="auto"/>
        <w:jc w:val="both"/>
        <w:rPr>
          <w:rFonts w:ascii="Times New Roman" w:hAnsi="Times New Roman"/>
          <w:sz w:val="24"/>
          <w:szCs w:val="24"/>
          <w:lang w:val="en-US"/>
        </w:rPr>
      </w:pPr>
    </w:p>
    <w:p w14:paraId="5C066647" w14:textId="1556EC67" w:rsidR="00180108" w:rsidRPr="00941621" w:rsidRDefault="00180108" w:rsidP="00180108">
      <w:pPr>
        <w:spacing w:after="0" w:line="480" w:lineRule="auto"/>
        <w:jc w:val="both"/>
        <w:rPr>
          <w:rFonts w:ascii="Times New Roman" w:hAnsi="Times New Roman"/>
          <w:sz w:val="24"/>
          <w:szCs w:val="24"/>
          <w:lang w:val="en-US"/>
        </w:rPr>
      </w:pPr>
      <w:r w:rsidRPr="00941621">
        <w:rPr>
          <w:rFonts w:ascii="Times New Roman" w:hAnsi="Times New Roman"/>
          <w:sz w:val="24"/>
          <w:szCs w:val="24"/>
          <w:lang w:val="en-US"/>
        </w:rPr>
        <w:t>Axial s</w:t>
      </w:r>
      <w:r>
        <w:rPr>
          <w:rFonts w:ascii="Times New Roman" w:hAnsi="Times New Roman"/>
          <w:sz w:val="24"/>
          <w:szCs w:val="24"/>
          <w:lang w:val="en-US"/>
        </w:rPr>
        <w:t>ign</w:t>
      </w:r>
      <w:r w:rsidRPr="00941621">
        <w:rPr>
          <w:rFonts w:ascii="Times New Roman" w:hAnsi="Times New Roman"/>
          <w:sz w:val="24"/>
          <w:szCs w:val="24"/>
          <w:lang w:val="en-US"/>
        </w:rPr>
        <w:t xml:space="preserve">s such as imbalance, falls and freezing of gait are not associated with the degree of nigrostriatal dopaminergic denervation and they are </w:t>
      </w:r>
      <w:r>
        <w:rPr>
          <w:rFonts w:ascii="Times New Roman" w:hAnsi="Times New Roman"/>
          <w:sz w:val="24"/>
          <w:szCs w:val="24"/>
          <w:lang w:val="en-US"/>
        </w:rPr>
        <w:t xml:space="preserve">often </w:t>
      </w:r>
      <w:r w:rsidRPr="00941621">
        <w:rPr>
          <w:rFonts w:ascii="Times New Roman" w:hAnsi="Times New Roman"/>
          <w:sz w:val="24"/>
          <w:szCs w:val="24"/>
          <w:lang w:val="en-US"/>
        </w:rPr>
        <w:t>refractory to treatment with dopaminergic medication</w:t>
      </w:r>
      <w:r>
        <w:rPr>
          <w:rFonts w:ascii="Times New Roman" w:hAnsi="Times New Roman"/>
          <w:sz w:val="24"/>
          <w:szCs w:val="24"/>
          <w:lang w:val="en-US"/>
        </w:rPr>
        <w:t xml:space="preserve"> (</w:t>
      </w:r>
      <w:r w:rsidRPr="00942237">
        <w:rPr>
          <w:rFonts w:ascii="Times New Roman" w:hAnsi="Times New Roman" w:cs="Times New Roman"/>
          <w:sz w:val="24"/>
          <w:szCs w:val="24"/>
        </w:rPr>
        <w:t>Bohnen</w:t>
      </w:r>
      <w:r>
        <w:rPr>
          <w:rFonts w:ascii="Times New Roman" w:hAnsi="Times New Roman" w:cs="Times New Roman"/>
          <w:sz w:val="24"/>
          <w:szCs w:val="24"/>
        </w:rPr>
        <w:t xml:space="preserve"> </w:t>
      </w:r>
      <w:r w:rsidRPr="00180108">
        <w:rPr>
          <w:rFonts w:ascii="Times New Roman" w:hAnsi="Times New Roman" w:cs="Times New Roman"/>
          <w:i/>
          <w:sz w:val="24"/>
          <w:szCs w:val="24"/>
        </w:rPr>
        <w:t>et al.</w:t>
      </w:r>
      <w:r>
        <w:rPr>
          <w:rFonts w:ascii="Times New Roman" w:hAnsi="Times New Roman" w:cs="Times New Roman"/>
          <w:sz w:val="24"/>
          <w:szCs w:val="24"/>
        </w:rPr>
        <w:t>, 2009)</w:t>
      </w:r>
      <w:r>
        <w:rPr>
          <w:rFonts w:ascii="Times New Roman" w:hAnsi="Times New Roman"/>
          <w:sz w:val="24"/>
          <w:szCs w:val="24"/>
          <w:lang w:val="en-US"/>
        </w:rPr>
        <w:t xml:space="preserve">. </w:t>
      </w:r>
      <w:r w:rsidRPr="00941621">
        <w:rPr>
          <w:rFonts w:ascii="Times New Roman" w:hAnsi="Times New Roman"/>
          <w:sz w:val="24"/>
          <w:szCs w:val="24"/>
          <w:lang w:val="en-US"/>
        </w:rPr>
        <w:t>In our study, we found that worse axial s</w:t>
      </w:r>
      <w:r>
        <w:rPr>
          <w:rFonts w:ascii="Times New Roman" w:hAnsi="Times New Roman"/>
          <w:sz w:val="24"/>
          <w:szCs w:val="24"/>
          <w:lang w:val="en-US"/>
        </w:rPr>
        <w:t>ign</w:t>
      </w:r>
      <w:r w:rsidRPr="00941621">
        <w:rPr>
          <w:rFonts w:ascii="Times New Roman" w:hAnsi="Times New Roman"/>
          <w:sz w:val="24"/>
          <w:szCs w:val="24"/>
          <w:lang w:val="en-US"/>
        </w:rPr>
        <w:t xml:space="preserve">s were associated with loss of PDE-10A in globus pallidus. Deep brain stimulation of the globus pallidus has </w:t>
      </w:r>
      <w:r>
        <w:rPr>
          <w:rFonts w:ascii="Times New Roman" w:hAnsi="Times New Roman"/>
          <w:sz w:val="24"/>
          <w:szCs w:val="24"/>
          <w:lang w:val="en-US"/>
        </w:rPr>
        <w:t xml:space="preserve">been </w:t>
      </w:r>
      <w:r w:rsidRPr="00941621">
        <w:rPr>
          <w:rFonts w:ascii="Times New Roman" w:hAnsi="Times New Roman"/>
          <w:sz w:val="24"/>
          <w:szCs w:val="24"/>
          <w:lang w:val="en-US"/>
        </w:rPr>
        <w:t>shown to</w:t>
      </w:r>
      <w:r>
        <w:rPr>
          <w:rFonts w:ascii="Times New Roman" w:hAnsi="Times New Roman"/>
          <w:sz w:val="24"/>
          <w:szCs w:val="24"/>
          <w:lang w:val="en-US"/>
        </w:rPr>
        <w:t xml:space="preserve"> have variable effects on</w:t>
      </w:r>
      <w:r w:rsidRPr="00941621">
        <w:rPr>
          <w:rFonts w:ascii="Times New Roman" w:hAnsi="Times New Roman"/>
          <w:sz w:val="24"/>
          <w:szCs w:val="24"/>
          <w:lang w:val="en-US"/>
        </w:rPr>
        <w:t xml:space="preserve"> gait and balance problems in P</w:t>
      </w:r>
      <w:r>
        <w:rPr>
          <w:rFonts w:ascii="Times New Roman" w:hAnsi="Times New Roman"/>
          <w:sz w:val="24"/>
          <w:szCs w:val="24"/>
          <w:lang w:val="en-US"/>
        </w:rPr>
        <w:t>arkinson’s disease (</w:t>
      </w:r>
      <w:r>
        <w:rPr>
          <w:rFonts w:ascii="Times New Roman" w:hAnsi="Times New Roman" w:cs="Times New Roman"/>
          <w:sz w:val="24"/>
          <w:szCs w:val="28"/>
        </w:rPr>
        <w:t xml:space="preserve">Krack </w:t>
      </w:r>
      <w:r w:rsidRPr="00180108">
        <w:rPr>
          <w:rFonts w:ascii="Times New Roman" w:hAnsi="Times New Roman" w:cs="Times New Roman"/>
          <w:i/>
          <w:sz w:val="24"/>
          <w:szCs w:val="28"/>
        </w:rPr>
        <w:t>et al.</w:t>
      </w:r>
      <w:r>
        <w:rPr>
          <w:rFonts w:ascii="Times New Roman" w:hAnsi="Times New Roman" w:cs="Times New Roman"/>
          <w:sz w:val="24"/>
          <w:szCs w:val="28"/>
        </w:rPr>
        <w:t xml:space="preserve">, 1998; </w:t>
      </w:r>
      <w:r w:rsidRPr="00663E69">
        <w:rPr>
          <w:rFonts w:ascii="Times New Roman" w:hAnsi="Times New Roman" w:cs="Times New Roman"/>
          <w:sz w:val="24"/>
          <w:szCs w:val="28"/>
        </w:rPr>
        <w:t>Pötter-Nerger</w:t>
      </w:r>
      <w:r>
        <w:rPr>
          <w:rFonts w:ascii="Times New Roman" w:hAnsi="Times New Roman" w:cs="Times New Roman"/>
          <w:sz w:val="24"/>
          <w:szCs w:val="28"/>
        </w:rPr>
        <w:t xml:space="preserve"> and </w:t>
      </w:r>
      <w:r w:rsidRPr="00663E69">
        <w:rPr>
          <w:rFonts w:ascii="Times New Roman" w:hAnsi="Times New Roman" w:cs="Times New Roman"/>
          <w:sz w:val="24"/>
          <w:szCs w:val="28"/>
        </w:rPr>
        <w:t>Volkmann</w:t>
      </w:r>
      <w:r>
        <w:rPr>
          <w:rFonts w:ascii="Times New Roman" w:hAnsi="Times New Roman" w:cs="Times New Roman"/>
          <w:sz w:val="24"/>
          <w:szCs w:val="28"/>
        </w:rPr>
        <w:t>, 2013),</w:t>
      </w:r>
      <w:r>
        <w:rPr>
          <w:rFonts w:ascii="Times New Roman" w:hAnsi="Times New Roman"/>
          <w:sz w:val="24"/>
          <w:szCs w:val="24"/>
          <w:lang w:val="en-US"/>
        </w:rPr>
        <w:t xml:space="preserve"> </w:t>
      </w:r>
      <w:r>
        <w:rPr>
          <w:rFonts w:ascii="Times New Roman" w:hAnsi="Times New Roman"/>
          <w:bCs/>
          <w:sz w:val="24"/>
          <w:szCs w:val="24"/>
          <w:lang w:val="en-US"/>
        </w:rPr>
        <w:t>and can even provoke gait freezing in patients with cervical dystonia (</w:t>
      </w:r>
      <w:r>
        <w:rPr>
          <w:rFonts w:ascii="Times New Roman" w:hAnsi="Times New Roman" w:cs="Times New Roman"/>
          <w:sz w:val="24"/>
          <w:szCs w:val="28"/>
        </w:rPr>
        <w:t xml:space="preserve">Berman </w:t>
      </w:r>
      <w:r w:rsidRPr="00180108">
        <w:rPr>
          <w:rFonts w:ascii="Times New Roman" w:hAnsi="Times New Roman" w:cs="Times New Roman"/>
          <w:i/>
          <w:sz w:val="24"/>
          <w:szCs w:val="28"/>
        </w:rPr>
        <w:t>et al.</w:t>
      </w:r>
      <w:r>
        <w:rPr>
          <w:rFonts w:ascii="Times New Roman" w:hAnsi="Times New Roman" w:cs="Times New Roman"/>
          <w:sz w:val="24"/>
          <w:szCs w:val="28"/>
        </w:rPr>
        <w:t>, 2009)</w:t>
      </w:r>
      <w:r>
        <w:rPr>
          <w:rFonts w:ascii="Times New Roman" w:hAnsi="Times New Roman"/>
          <w:bCs/>
          <w:sz w:val="24"/>
          <w:szCs w:val="24"/>
          <w:lang w:val="en-US"/>
        </w:rPr>
        <w:t>.</w:t>
      </w:r>
      <w:r w:rsidRPr="00941621">
        <w:rPr>
          <w:rFonts w:ascii="Times New Roman" w:hAnsi="Times New Roman"/>
          <w:bCs/>
          <w:sz w:val="24"/>
          <w:szCs w:val="24"/>
          <w:lang w:val="en-US"/>
        </w:rPr>
        <w:t xml:space="preserve"> Moreover, recent functional MRI studies have demonstrated that freezing of gait is associated with decreased BOLD signal in </w:t>
      </w:r>
      <w:r>
        <w:rPr>
          <w:rFonts w:ascii="Times New Roman" w:hAnsi="Times New Roman"/>
          <w:bCs/>
          <w:sz w:val="24"/>
          <w:szCs w:val="24"/>
          <w:lang w:val="en-US"/>
        </w:rPr>
        <w:t xml:space="preserve">the </w:t>
      </w:r>
      <w:r w:rsidRPr="00941621">
        <w:rPr>
          <w:rFonts w:ascii="Times New Roman" w:hAnsi="Times New Roman"/>
          <w:bCs/>
          <w:sz w:val="24"/>
          <w:szCs w:val="24"/>
          <w:lang w:val="en-US"/>
        </w:rPr>
        <w:t>globus pallidus during a virtual reality gait task</w:t>
      </w:r>
      <w:r>
        <w:rPr>
          <w:rFonts w:ascii="Times New Roman" w:hAnsi="Times New Roman"/>
          <w:bCs/>
          <w:sz w:val="24"/>
          <w:szCs w:val="24"/>
          <w:lang w:val="en-US"/>
        </w:rPr>
        <w:t xml:space="preserve"> (Shine </w:t>
      </w:r>
      <w:r w:rsidRPr="00180108">
        <w:rPr>
          <w:rFonts w:ascii="Times New Roman" w:hAnsi="Times New Roman"/>
          <w:bCs/>
          <w:i/>
          <w:sz w:val="24"/>
          <w:szCs w:val="24"/>
          <w:lang w:val="en-US"/>
        </w:rPr>
        <w:t>et al.</w:t>
      </w:r>
      <w:r>
        <w:rPr>
          <w:rFonts w:ascii="Times New Roman" w:hAnsi="Times New Roman"/>
          <w:bCs/>
          <w:sz w:val="24"/>
          <w:szCs w:val="24"/>
          <w:lang w:val="en-US"/>
        </w:rPr>
        <w:t xml:space="preserve">, 2013; </w:t>
      </w:r>
      <w:r w:rsidRPr="00663E69">
        <w:rPr>
          <w:rFonts w:ascii="Times New Roman" w:hAnsi="Times New Roman" w:cs="Times New Roman"/>
          <w:sz w:val="24"/>
          <w:szCs w:val="28"/>
        </w:rPr>
        <w:t>Peterson</w:t>
      </w:r>
      <w:r>
        <w:rPr>
          <w:rFonts w:ascii="Times New Roman" w:hAnsi="Times New Roman" w:cs="Times New Roman"/>
          <w:sz w:val="24"/>
          <w:szCs w:val="28"/>
        </w:rPr>
        <w:t xml:space="preserve"> </w:t>
      </w:r>
      <w:r w:rsidRPr="00180108">
        <w:rPr>
          <w:rFonts w:ascii="Times New Roman" w:hAnsi="Times New Roman" w:cs="Times New Roman"/>
          <w:i/>
          <w:sz w:val="24"/>
          <w:szCs w:val="28"/>
        </w:rPr>
        <w:t>et al.</w:t>
      </w:r>
      <w:r>
        <w:rPr>
          <w:rFonts w:ascii="Times New Roman" w:hAnsi="Times New Roman" w:cs="Times New Roman"/>
          <w:sz w:val="24"/>
          <w:szCs w:val="28"/>
        </w:rPr>
        <w:t>, 2014)</w:t>
      </w:r>
      <w:r>
        <w:rPr>
          <w:rFonts w:ascii="Times New Roman" w:hAnsi="Times New Roman"/>
          <w:bCs/>
          <w:sz w:val="24"/>
          <w:szCs w:val="24"/>
          <w:lang w:val="en-US"/>
        </w:rPr>
        <w:t xml:space="preserve">. </w:t>
      </w:r>
      <w:r w:rsidRPr="00941621">
        <w:rPr>
          <w:rFonts w:ascii="Times New Roman" w:hAnsi="Times New Roman"/>
          <w:bCs/>
          <w:sz w:val="24"/>
          <w:szCs w:val="24"/>
          <w:lang w:val="en-US"/>
        </w:rPr>
        <w:t xml:space="preserve">We speculate that loss of PDE-10A in </w:t>
      </w:r>
      <w:r>
        <w:rPr>
          <w:rFonts w:ascii="Times New Roman" w:hAnsi="Times New Roman"/>
          <w:bCs/>
          <w:sz w:val="24"/>
          <w:szCs w:val="24"/>
          <w:lang w:val="en-US"/>
        </w:rPr>
        <w:t xml:space="preserve">the </w:t>
      </w:r>
      <w:r w:rsidRPr="00941621">
        <w:rPr>
          <w:rFonts w:ascii="Times New Roman" w:hAnsi="Times New Roman"/>
          <w:bCs/>
          <w:sz w:val="24"/>
          <w:szCs w:val="24"/>
          <w:lang w:val="en-US"/>
        </w:rPr>
        <w:t xml:space="preserve">globus pallidus may contribute </w:t>
      </w:r>
      <w:r>
        <w:rPr>
          <w:rFonts w:ascii="Times New Roman" w:hAnsi="Times New Roman"/>
          <w:bCs/>
          <w:sz w:val="24"/>
          <w:szCs w:val="24"/>
          <w:lang w:val="en-US"/>
        </w:rPr>
        <w:t xml:space="preserve">to </w:t>
      </w:r>
      <w:r w:rsidRPr="00941621">
        <w:rPr>
          <w:rFonts w:ascii="Times New Roman" w:hAnsi="Times New Roman"/>
          <w:bCs/>
          <w:sz w:val="24"/>
          <w:szCs w:val="24"/>
          <w:lang w:val="en-US"/>
        </w:rPr>
        <w:t>the development of axial s</w:t>
      </w:r>
      <w:r>
        <w:rPr>
          <w:rFonts w:ascii="Times New Roman" w:hAnsi="Times New Roman"/>
          <w:bCs/>
          <w:sz w:val="24"/>
          <w:szCs w:val="24"/>
          <w:lang w:val="en-US"/>
        </w:rPr>
        <w:t>ign</w:t>
      </w:r>
      <w:r w:rsidRPr="00941621">
        <w:rPr>
          <w:rFonts w:ascii="Times New Roman" w:hAnsi="Times New Roman"/>
          <w:bCs/>
          <w:sz w:val="24"/>
          <w:szCs w:val="24"/>
          <w:lang w:val="en-US"/>
        </w:rPr>
        <w:t>s in P</w:t>
      </w:r>
      <w:r>
        <w:rPr>
          <w:rFonts w:ascii="Times New Roman" w:hAnsi="Times New Roman"/>
          <w:bCs/>
          <w:sz w:val="24"/>
          <w:szCs w:val="24"/>
          <w:lang w:val="en-US"/>
        </w:rPr>
        <w:t>arkinson’s disease</w:t>
      </w:r>
      <w:r w:rsidRPr="00941621">
        <w:rPr>
          <w:rFonts w:ascii="Times New Roman" w:hAnsi="Times New Roman"/>
          <w:bCs/>
          <w:sz w:val="24"/>
          <w:szCs w:val="24"/>
          <w:lang w:val="en-US"/>
        </w:rPr>
        <w:t>.</w:t>
      </w:r>
    </w:p>
    <w:p w14:paraId="7C8E955F" w14:textId="77777777" w:rsidR="00180108" w:rsidRPr="00941621" w:rsidRDefault="00180108" w:rsidP="00180108">
      <w:pPr>
        <w:spacing w:after="0" w:line="480" w:lineRule="auto"/>
        <w:jc w:val="both"/>
        <w:rPr>
          <w:rFonts w:ascii="Times New Roman" w:hAnsi="Times New Roman"/>
          <w:sz w:val="24"/>
          <w:szCs w:val="24"/>
        </w:rPr>
      </w:pPr>
    </w:p>
    <w:p w14:paraId="39E3740F" w14:textId="762AF011" w:rsidR="00A82A7F" w:rsidRDefault="00180108" w:rsidP="00180108">
      <w:pPr>
        <w:spacing w:after="0" w:line="480" w:lineRule="auto"/>
        <w:jc w:val="both"/>
        <w:rPr>
          <w:rFonts w:ascii="Times New Roman" w:hAnsi="Times New Roman"/>
          <w:sz w:val="24"/>
          <w:szCs w:val="24"/>
        </w:rPr>
      </w:pPr>
      <w:r w:rsidRPr="00941621">
        <w:rPr>
          <w:rFonts w:ascii="Times New Roman" w:hAnsi="Times New Roman"/>
          <w:sz w:val="24"/>
          <w:szCs w:val="24"/>
        </w:rPr>
        <w:t>Dopaminergic signalling is regulated by PDE-10A through the cAMP/PKA/DARPP-32 signalling cascade</w:t>
      </w:r>
      <w:r>
        <w:rPr>
          <w:rFonts w:ascii="Times New Roman" w:hAnsi="Times New Roman"/>
          <w:sz w:val="24"/>
          <w:szCs w:val="24"/>
        </w:rPr>
        <w:t xml:space="preserve"> (</w:t>
      </w:r>
      <w:r w:rsidRPr="00663E69">
        <w:rPr>
          <w:rFonts w:ascii="Times New Roman" w:hAnsi="Times New Roman" w:cs="Times New Roman"/>
          <w:sz w:val="24"/>
          <w:szCs w:val="28"/>
        </w:rPr>
        <w:t>Greengard</w:t>
      </w:r>
      <w:r>
        <w:rPr>
          <w:rFonts w:ascii="Times New Roman" w:hAnsi="Times New Roman" w:cs="Times New Roman"/>
          <w:sz w:val="24"/>
          <w:szCs w:val="28"/>
        </w:rPr>
        <w:t xml:space="preserve"> </w:t>
      </w:r>
      <w:r w:rsidRPr="00180108">
        <w:rPr>
          <w:rFonts w:ascii="Times New Roman" w:hAnsi="Times New Roman" w:cs="Times New Roman"/>
          <w:i/>
          <w:sz w:val="24"/>
          <w:szCs w:val="28"/>
        </w:rPr>
        <w:t>et al.</w:t>
      </w:r>
      <w:r>
        <w:rPr>
          <w:rFonts w:ascii="Times New Roman" w:hAnsi="Times New Roman" w:cs="Times New Roman"/>
          <w:sz w:val="24"/>
          <w:szCs w:val="28"/>
        </w:rPr>
        <w:t xml:space="preserve">, 1999; Nishi </w:t>
      </w:r>
      <w:r w:rsidRPr="00180108">
        <w:rPr>
          <w:rFonts w:ascii="Times New Roman" w:hAnsi="Times New Roman" w:cs="Times New Roman"/>
          <w:i/>
          <w:sz w:val="24"/>
          <w:szCs w:val="28"/>
        </w:rPr>
        <w:t>et al.</w:t>
      </w:r>
      <w:r>
        <w:rPr>
          <w:rFonts w:ascii="Times New Roman" w:hAnsi="Times New Roman" w:cs="Times New Roman"/>
          <w:sz w:val="24"/>
          <w:szCs w:val="28"/>
        </w:rPr>
        <w:t xml:space="preserve">, 2008; </w:t>
      </w:r>
      <w:r w:rsidRPr="001378B1">
        <w:rPr>
          <w:rFonts w:ascii="Times New Roman" w:hAnsi="Times New Roman" w:cs="Times New Roman"/>
          <w:sz w:val="24"/>
          <w:szCs w:val="28"/>
        </w:rPr>
        <w:t>Girault</w:t>
      </w:r>
      <w:r>
        <w:rPr>
          <w:rFonts w:ascii="Times New Roman" w:hAnsi="Times New Roman" w:cs="Times New Roman"/>
          <w:sz w:val="24"/>
          <w:szCs w:val="28"/>
        </w:rPr>
        <w:t>, 2012)</w:t>
      </w:r>
      <w:r>
        <w:rPr>
          <w:rFonts w:ascii="Times New Roman" w:hAnsi="Times New Roman"/>
          <w:sz w:val="24"/>
          <w:szCs w:val="24"/>
        </w:rPr>
        <w:t>.</w:t>
      </w:r>
      <w:r w:rsidRPr="00941621">
        <w:rPr>
          <w:rFonts w:ascii="Times New Roman" w:hAnsi="Times New Roman"/>
          <w:sz w:val="24"/>
          <w:szCs w:val="24"/>
        </w:rPr>
        <w:t xml:space="preserve"> PDE-10A has different roles in modulating cAMP signalling in the striato-nigral and striato-pallidial postsynaptic pathways. In striato-nigral neurons, dopamine loss leads to a reduced synthesis of D1 receptor-stimulated cAMP</w:t>
      </w:r>
      <w:r w:rsidR="0005078F">
        <w:rPr>
          <w:rFonts w:ascii="Times New Roman" w:hAnsi="Times New Roman"/>
          <w:sz w:val="24"/>
          <w:szCs w:val="24"/>
        </w:rPr>
        <w:t xml:space="preserve">  (</w:t>
      </w:r>
      <w:r w:rsidR="0005078F" w:rsidRPr="00B0722B">
        <w:rPr>
          <w:rFonts w:ascii="Times New Roman" w:hAnsi="Times New Roman" w:cs="Times New Roman"/>
          <w:sz w:val="24"/>
          <w:szCs w:val="28"/>
        </w:rPr>
        <w:t>Herve</w:t>
      </w:r>
      <w:r w:rsidR="0005078F">
        <w:rPr>
          <w:rFonts w:ascii="Times New Roman" w:hAnsi="Times New Roman" w:cs="Times New Roman"/>
          <w:sz w:val="24"/>
          <w:szCs w:val="28"/>
        </w:rPr>
        <w:t xml:space="preserve"> </w:t>
      </w:r>
      <w:r w:rsidR="0005078F" w:rsidRPr="0005078F">
        <w:rPr>
          <w:rFonts w:ascii="Times New Roman" w:hAnsi="Times New Roman" w:cs="Times New Roman"/>
          <w:i/>
          <w:sz w:val="24"/>
          <w:szCs w:val="28"/>
        </w:rPr>
        <w:t>et al.</w:t>
      </w:r>
      <w:r w:rsidR="0005078F">
        <w:rPr>
          <w:rFonts w:ascii="Times New Roman" w:hAnsi="Times New Roman" w:cs="Times New Roman"/>
          <w:sz w:val="24"/>
          <w:szCs w:val="28"/>
        </w:rPr>
        <w:t>, 2001)</w:t>
      </w:r>
      <w:r>
        <w:rPr>
          <w:rFonts w:ascii="Times New Roman" w:hAnsi="Times New Roman"/>
          <w:sz w:val="24"/>
          <w:szCs w:val="24"/>
        </w:rPr>
        <w:t xml:space="preserve">; </w:t>
      </w:r>
      <w:r w:rsidRPr="00941621">
        <w:rPr>
          <w:rFonts w:ascii="Times New Roman" w:hAnsi="Times New Roman"/>
          <w:sz w:val="24"/>
          <w:szCs w:val="24"/>
        </w:rPr>
        <w:t xml:space="preserve">decreased PDE-10A expression will </w:t>
      </w:r>
      <w:r>
        <w:rPr>
          <w:rFonts w:ascii="Times New Roman" w:hAnsi="Times New Roman"/>
          <w:sz w:val="24"/>
          <w:szCs w:val="24"/>
        </w:rPr>
        <w:t xml:space="preserve">therefore </w:t>
      </w:r>
      <w:r w:rsidRPr="00941621">
        <w:rPr>
          <w:rFonts w:ascii="Times New Roman" w:hAnsi="Times New Roman"/>
          <w:sz w:val="24"/>
          <w:szCs w:val="24"/>
        </w:rPr>
        <w:t xml:space="preserve">increase cAMP levels and could in part compensate </w:t>
      </w:r>
      <w:r>
        <w:rPr>
          <w:rFonts w:ascii="Times New Roman" w:hAnsi="Times New Roman"/>
          <w:sz w:val="24"/>
          <w:szCs w:val="24"/>
        </w:rPr>
        <w:t xml:space="preserve">for </w:t>
      </w:r>
      <w:r w:rsidRPr="00941621">
        <w:rPr>
          <w:rFonts w:ascii="Times New Roman" w:hAnsi="Times New Roman"/>
          <w:sz w:val="24"/>
          <w:szCs w:val="24"/>
        </w:rPr>
        <w:t>the reduced cAMP signalling. In striato-pallidal neurons, dopamine loss decreases the inhibitory effect of D2 receptor on cAMP synthesis</w:t>
      </w:r>
      <w:r w:rsidR="0005078F">
        <w:rPr>
          <w:rFonts w:ascii="Times New Roman" w:hAnsi="Times New Roman"/>
          <w:sz w:val="24"/>
          <w:szCs w:val="24"/>
        </w:rPr>
        <w:t xml:space="preserve"> (</w:t>
      </w:r>
      <w:r w:rsidR="0005078F" w:rsidRPr="00B0722B">
        <w:rPr>
          <w:rFonts w:ascii="Times New Roman" w:hAnsi="Times New Roman" w:cs="Times New Roman"/>
          <w:sz w:val="24"/>
          <w:szCs w:val="28"/>
        </w:rPr>
        <w:t xml:space="preserve">Stoof </w:t>
      </w:r>
      <w:r w:rsidR="0005078F">
        <w:rPr>
          <w:rFonts w:ascii="Times New Roman" w:hAnsi="Times New Roman" w:cs="Times New Roman"/>
          <w:sz w:val="24"/>
          <w:szCs w:val="28"/>
        </w:rPr>
        <w:t xml:space="preserve">and </w:t>
      </w:r>
      <w:r w:rsidR="0005078F" w:rsidRPr="00B0722B">
        <w:rPr>
          <w:rFonts w:ascii="Times New Roman" w:hAnsi="Times New Roman" w:cs="Times New Roman"/>
          <w:sz w:val="24"/>
          <w:szCs w:val="28"/>
        </w:rPr>
        <w:t>Kebabian</w:t>
      </w:r>
      <w:r w:rsidR="0005078F">
        <w:rPr>
          <w:rFonts w:ascii="Times New Roman" w:hAnsi="Times New Roman" w:cs="Times New Roman"/>
          <w:sz w:val="24"/>
          <w:szCs w:val="28"/>
        </w:rPr>
        <w:t>, 1981)</w:t>
      </w:r>
      <w:r>
        <w:rPr>
          <w:rFonts w:ascii="Times New Roman" w:hAnsi="Times New Roman"/>
          <w:sz w:val="24"/>
          <w:szCs w:val="24"/>
        </w:rPr>
        <w:t>.</w:t>
      </w:r>
      <w:r w:rsidR="0005078F">
        <w:rPr>
          <w:rFonts w:ascii="Times New Roman" w:hAnsi="Times New Roman"/>
          <w:sz w:val="24"/>
          <w:szCs w:val="24"/>
          <w:vertAlign w:val="superscript"/>
        </w:rPr>
        <w:t xml:space="preserve"> </w:t>
      </w:r>
      <w:r w:rsidRPr="00941621">
        <w:rPr>
          <w:rFonts w:ascii="Times New Roman" w:hAnsi="Times New Roman"/>
          <w:sz w:val="24"/>
          <w:szCs w:val="24"/>
        </w:rPr>
        <w:t>Decreased PDE-10A levels may further increase cAMP levels by enhancing the negative consequences of dopamine loss on D2 receptor signalling and potentiate adenosine A2A receptor signalling. Hence, loss of PDE-10A may result in functional imbalance between the striato-nigral and striato-pallidal dopaminergic pathways depressing motor activity and contributing to the development of P</w:t>
      </w:r>
      <w:r w:rsidR="00D73CC8">
        <w:rPr>
          <w:rFonts w:ascii="Times New Roman" w:hAnsi="Times New Roman"/>
          <w:sz w:val="24"/>
          <w:szCs w:val="24"/>
        </w:rPr>
        <w:t xml:space="preserve">arkinson’s disease </w:t>
      </w:r>
      <w:r w:rsidRPr="00941621">
        <w:rPr>
          <w:rFonts w:ascii="Times New Roman" w:hAnsi="Times New Roman"/>
          <w:sz w:val="24"/>
          <w:szCs w:val="24"/>
        </w:rPr>
        <w:t>symptoms.</w:t>
      </w:r>
    </w:p>
    <w:p w14:paraId="65E83B57" w14:textId="77777777" w:rsidR="00A82A7F" w:rsidRDefault="00A82A7F" w:rsidP="00180108">
      <w:pPr>
        <w:spacing w:after="0" w:line="480" w:lineRule="auto"/>
        <w:jc w:val="both"/>
        <w:rPr>
          <w:rFonts w:ascii="Times New Roman" w:hAnsi="Times New Roman"/>
          <w:sz w:val="24"/>
          <w:szCs w:val="24"/>
        </w:rPr>
      </w:pPr>
    </w:p>
    <w:p w14:paraId="7D53401F" w14:textId="71F55016" w:rsidR="00180108" w:rsidRPr="00941621" w:rsidRDefault="00180108" w:rsidP="00180108">
      <w:pPr>
        <w:spacing w:after="0" w:line="480" w:lineRule="auto"/>
        <w:jc w:val="both"/>
        <w:rPr>
          <w:rFonts w:ascii="Times New Roman" w:hAnsi="Times New Roman"/>
          <w:sz w:val="24"/>
          <w:szCs w:val="24"/>
        </w:rPr>
      </w:pPr>
      <w:r w:rsidRPr="00941621">
        <w:rPr>
          <w:rFonts w:ascii="Times New Roman" w:hAnsi="Times New Roman"/>
          <w:sz w:val="24"/>
          <w:szCs w:val="24"/>
        </w:rPr>
        <w:t xml:space="preserve">Half of our </w:t>
      </w:r>
      <w:r w:rsidR="00530BAD">
        <w:rPr>
          <w:rFonts w:ascii="Times New Roman" w:hAnsi="Times New Roman"/>
          <w:sz w:val="24"/>
          <w:szCs w:val="24"/>
        </w:rPr>
        <w:t>Parkinson’s disease</w:t>
      </w:r>
      <w:r>
        <w:rPr>
          <w:rFonts w:ascii="Times New Roman" w:hAnsi="Times New Roman"/>
          <w:sz w:val="24"/>
          <w:szCs w:val="24"/>
        </w:rPr>
        <w:t xml:space="preserve"> </w:t>
      </w:r>
      <w:r w:rsidRPr="00941621">
        <w:rPr>
          <w:rFonts w:ascii="Times New Roman" w:hAnsi="Times New Roman"/>
          <w:sz w:val="24"/>
          <w:szCs w:val="24"/>
        </w:rPr>
        <w:t xml:space="preserve">patients </w:t>
      </w:r>
      <w:r>
        <w:rPr>
          <w:rFonts w:ascii="Times New Roman" w:hAnsi="Times New Roman"/>
          <w:sz w:val="24"/>
          <w:szCs w:val="24"/>
        </w:rPr>
        <w:t>had</w:t>
      </w:r>
      <w:r w:rsidRPr="00941621">
        <w:rPr>
          <w:rFonts w:ascii="Times New Roman" w:hAnsi="Times New Roman"/>
          <w:sz w:val="24"/>
          <w:szCs w:val="24"/>
        </w:rPr>
        <w:t xml:space="preserve"> more advanced </w:t>
      </w:r>
      <w:r>
        <w:rPr>
          <w:rFonts w:ascii="Times New Roman" w:hAnsi="Times New Roman"/>
          <w:sz w:val="24"/>
          <w:szCs w:val="24"/>
        </w:rPr>
        <w:t xml:space="preserve">disease </w:t>
      </w:r>
      <w:r w:rsidRPr="00941621">
        <w:rPr>
          <w:rFonts w:ascii="Times New Roman" w:hAnsi="Times New Roman"/>
          <w:sz w:val="24"/>
          <w:szCs w:val="24"/>
        </w:rPr>
        <w:t xml:space="preserve">and were exhibiting LIDs. </w:t>
      </w:r>
      <w:r>
        <w:rPr>
          <w:rFonts w:ascii="Times New Roman" w:hAnsi="Times New Roman"/>
          <w:sz w:val="24"/>
          <w:szCs w:val="24"/>
        </w:rPr>
        <w:t xml:space="preserve">In </w:t>
      </w:r>
      <w:r w:rsidRPr="00941621">
        <w:rPr>
          <w:rFonts w:ascii="Times New Roman" w:hAnsi="Times New Roman"/>
          <w:sz w:val="24"/>
          <w:szCs w:val="24"/>
        </w:rPr>
        <w:t>P</w:t>
      </w:r>
      <w:r w:rsidR="00530BAD">
        <w:rPr>
          <w:rFonts w:ascii="Times New Roman" w:hAnsi="Times New Roman"/>
          <w:sz w:val="24"/>
          <w:szCs w:val="24"/>
        </w:rPr>
        <w:t>arkinson’s disease</w:t>
      </w:r>
      <w:r>
        <w:rPr>
          <w:rFonts w:ascii="Times New Roman" w:hAnsi="Times New Roman"/>
          <w:sz w:val="24"/>
          <w:szCs w:val="24"/>
        </w:rPr>
        <w:t xml:space="preserve"> patients </w:t>
      </w:r>
      <w:r w:rsidRPr="00941621">
        <w:rPr>
          <w:rFonts w:ascii="Times New Roman" w:hAnsi="Times New Roman"/>
          <w:sz w:val="24"/>
          <w:szCs w:val="24"/>
        </w:rPr>
        <w:t>with LIDs</w:t>
      </w:r>
      <w:r>
        <w:rPr>
          <w:rFonts w:ascii="Times New Roman" w:hAnsi="Times New Roman"/>
          <w:sz w:val="24"/>
          <w:szCs w:val="24"/>
        </w:rPr>
        <w:t>,</w:t>
      </w:r>
      <w:r w:rsidRPr="00941621">
        <w:rPr>
          <w:rFonts w:ascii="Times New Roman" w:hAnsi="Times New Roman"/>
          <w:sz w:val="24"/>
          <w:szCs w:val="24"/>
        </w:rPr>
        <w:t xml:space="preserve"> </w:t>
      </w:r>
      <w:r w:rsidR="00430361">
        <w:rPr>
          <w:rFonts w:ascii="Times New Roman" w:hAnsi="Times New Roman"/>
          <w:sz w:val="24"/>
          <w:szCs w:val="24"/>
        </w:rPr>
        <w:t xml:space="preserve">ROI-based analysis of PET signalling showed </w:t>
      </w:r>
      <w:r w:rsidR="00273285">
        <w:rPr>
          <w:rFonts w:ascii="Times New Roman" w:hAnsi="Times New Roman"/>
          <w:sz w:val="24"/>
          <w:szCs w:val="24"/>
        </w:rPr>
        <w:t>19</w:t>
      </w:r>
      <w:r w:rsidRPr="00941621">
        <w:rPr>
          <w:rFonts w:ascii="Times New Roman" w:hAnsi="Times New Roman"/>
          <w:sz w:val="24"/>
          <w:szCs w:val="24"/>
        </w:rPr>
        <w:t>-34% reduc</w:t>
      </w:r>
      <w:r>
        <w:rPr>
          <w:rFonts w:ascii="Times New Roman" w:hAnsi="Times New Roman"/>
          <w:sz w:val="24"/>
          <w:szCs w:val="24"/>
        </w:rPr>
        <w:t>tions in</w:t>
      </w:r>
      <w:r w:rsidRPr="00941621">
        <w:rPr>
          <w:rFonts w:ascii="Times New Roman" w:hAnsi="Times New Roman"/>
          <w:sz w:val="24"/>
          <w:szCs w:val="24"/>
        </w:rPr>
        <w:t xml:space="preserve"> PDE-10A expression in </w:t>
      </w:r>
      <w:r>
        <w:rPr>
          <w:rFonts w:ascii="Times New Roman" w:hAnsi="Times New Roman"/>
          <w:sz w:val="24"/>
          <w:szCs w:val="24"/>
        </w:rPr>
        <w:t xml:space="preserve">the </w:t>
      </w:r>
      <w:r w:rsidRPr="00941621">
        <w:rPr>
          <w:rFonts w:ascii="Times New Roman" w:hAnsi="Times New Roman"/>
          <w:sz w:val="24"/>
          <w:szCs w:val="24"/>
        </w:rPr>
        <w:t>caudate, substantia nigra and motor thalamic nuclei, compared to P</w:t>
      </w:r>
      <w:r w:rsidR="00530BAD">
        <w:rPr>
          <w:rFonts w:ascii="Times New Roman" w:hAnsi="Times New Roman"/>
          <w:sz w:val="24"/>
          <w:szCs w:val="24"/>
        </w:rPr>
        <w:t>arkinson’s disease patients</w:t>
      </w:r>
      <w:r>
        <w:rPr>
          <w:rFonts w:ascii="Times New Roman" w:hAnsi="Times New Roman"/>
          <w:sz w:val="24"/>
          <w:szCs w:val="24"/>
        </w:rPr>
        <w:t xml:space="preserve"> </w:t>
      </w:r>
      <w:r w:rsidRPr="00941621">
        <w:rPr>
          <w:rFonts w:ascii="Times New Roman" w:hAnsi="Times New Roman"/>
          <w:sz w:val="24"/>
          <w:szCs w:val="24"/>
        </w:rPr>
        <w:t>with stable response to levodopa. These significant changes in the P</w:t>
      </w:r>
      <w:r w:rsidR="00530BAD">
        <w:rPr>
          <w:rFonts w:ascii="Times New Roman" w:hAnsi="Times New Roman"/>
          <w:sz w:val="24"/>
          <w:szCs w:val="24"/>
        </w:rPr>
        <w:t>arkinson’s disease</w:t>
      </w:r>
      <w:r>
        <w:rPr>
          <w:rFonts w:ascii="Times New Roman" w:hAnsi="Times New Roman"/>
          <w:sz w:val="24"/>
          <w:szCs w:val="24"/>
        </w:rPr>
        <w:t xml:space="preserve"> </w:t>
      </w:r>
      <w:r w:rsidRPr="00941621">
        <w:rPr>
          <w:rFonts w:ascii="Times New Roman" w:hAnsi="Times New Roman"/>
          <w:sz w:val="24"/>
          <w:szCs w:val="24"/>
        </w:rPr>
        <w:t xml:space="preserve">LIDs subgroup </w:t>
      </w:r>
      <w:r w:rsidR="00430361">
        <w:rPr>
          <w:rFonts w:ascii="Times New Roman" w:hAnsi="Times New Roman"/>
          <w:sz w:val="24"/>
          <w:szCs w:val="24"/>
        </w:rPr>
        <w:t xml:space="preserve">were not confirmed at a voxel level and </w:t>
      </w:r>
      <w:r w:rsidRPr="00941621">
        <w:rPr>
          <w:rFonts w:ascii="Times New Roman" w:hAnsi="Times New Roman"/>
          <w:sz w:val="24"/>
          <w:szCs w:val="24"/>
        </w:rPr>
        <w:t xml:space="preserve">did not survive after </w:t>
      </w:r>
      <w:r w:rsidR="003D0ED4">
        <w:rPr>
          <w:rFonts w:ascii="Times New Roman" w:hAnsi="Times New Roman"/>
          <w:sz w:val="24"/>
          <w:szCs w:val="24"/>
        </w:rPr>
        <w:t xml:space="preserve">using disease duration </w:t>
      </w:r>
      <w:r w:rsidR="006068CD">
        <w:rPr>
          <w:rFonts w:ascii="Times New Roman" w:hAnsi="Times New Roman"/>
          <w:sz w:val="24"/>
          <w:szCs w:val="24"/>
        </w:rPr>
        <w:t>as a</w:t>
      </w:r>
      <w:r w:rsidR="006068CD" w:rsidRPr="00941621">
        <w:rPr>
          <w:rFonts w:ascii="Times New Roman" w:hAnsi="Times New Roman"/>
          <w:sz w:val="24"/>
          <w:szCs w:val="24"/>
        </w:rPr>
        <w:t xml:space="preserve"> covar</w:t>
      </w:r>
      <w:r w:rsidR="006068CD">
        <w:rPr>
          <w:rFonts w:ascii="Times New Roman" w:hAnsi="Times New Roman"/>
          <w:sz w:val="24"/>
          <w:szCs w:val="24"/>
        </w:rPr>
        <w:t>iate in the analysis. These observations raise the possibility that</w:t>
      </w:r>
      <w:r w:rsidR="006068CD" w:rsidRPr="00941621">
        <w:rPr>
          <w:rFonts w:ascii="Times New Roman" w:hAnsi="Times New Roman"/>
          <w:sz w:val="24"/>
          <w:szCs w:val="24"/>
        </w:rPr>
        <w:t xml:space="preserve"> further PDE-10A decreases in </w:t>
      </w:r>
      <w:r w:rsidR="006068CD">
        <w:rPr>
          <w:rFonts w:ascii="Times New Roman" w:hAnsi="Times New Roman"/>
          <w:sz w:val="24"/>
          <w:szCs w:val="24"/>
        </w:rPr>
        <w:t xml:space="preserve">Parkinson’s patients with LIDs are the result of advanced disease rather directly related to the development of LIDs. </w:t>
      </w:r>
      <w:r w:rsidRPr="00941621">
        <w:rPr>
          <w:rFonts w:ascii="Times New Roman" w:hAnsi="Times New Roman"/>
          <w:sz w:val="24"/>
          <w:szCs w:val="24"/>
        </w:rPr>
        <w:t xml:space="preserve">However, </w:t>
      </w:r>
      <w:r>
        <w:rPr>
          <w:rFonts w:ascii="Times New Roman" w:hAnsi="Times New Roman"/>
          <w:sz w:val="24"/>
          <w:szCs w:val="24"/>
        </w:rPr>
        <w:t xml:space="preserve">when we </w:t>
      </w:r>
      <w:r w:rsidR="006068CD">
        <w:rPr>
          <w:rFonts w:ascii="Times New Roman" w:hAnsi="Times New Roman"/>
          <w:sz w:val="24"/>
          <w:szCs w:val="24"/>
        </w:rPr>
        <w:t xml:space="preserve">assessed </w:t>
      </w:r>
      <w:r>
        <w:rPr>
          <w:rFonts w:ascii="Times New Roman" w:hAnsi="Times New Roman"/>
          <w:sz w:val="24"/>
          <w:szCs w:val="24"/>
        </w:rPr>
        <w:t xml:space="preserve">dyskinesia severity, rather than simply dyskinesia presence/absence, </w:t>
      </w:r>
      <w:r w:rsidRPr="00941621">
        <w:rPr>
          <w:rFonts w:ascii="Times New Roman" w:hAnsi="Times New Roman"/>
          <w:sz w:val="24"/>
          <w:szCs w:val="24"/>
        </w:rPr>
        <w:t>worse LID</w:t>
      </w:r>
      <w:r w:rsidR="0076237A">
        <w:rPr>
          <w:rFonts w:ascii="Times New Roman" w:hAnsi="Times New Roman"/>
          <w:sz w:val="24"/>
          <w:szCs w:val="24"/>
        </w:rPr>
        <w:t>s</w:t>
      </w:r>
      <w:r w:rsidRPr="00941621">
        <w:rPr>
          <w:rFonts w:ascii="Times New Roman" w:hAnsi="Times New Roman"/>
          <w:sz w:val="24"/>
          <w:szCs w:val="24"/>
        </w:rPr>
        <w:t xml:space="preserve"> scores independently correlated with loss of striatal PDE-10A expression. It is unclear at this stage whether PDE-10A has a direct relevance to the development of LIDs in P</w:t>
      </w:r>
      <w:r w:rsidR="00530BAD">
        <w:rPr>
          <w:rFonts w:ascii="Times New Roman" w:hAnsi="Times New Roman"/>
          <w:sz w:val="24"/>
          <w:szCs w:val="24"/>
        </w:rPr>
        <w:t>arkinson’s disease</w:t>
      </w:r>
      <w:r>
        <w:rPr>
          <w:rFonts w:ascii="Times New Roman" w:hAnsi="Times New Roman"/>
          <w:sz w:val="24"/>
          <w:szCs w:val="24"/>
        </w:rPr>
        <w:t>, or whether this is simply an epiphenomenon</w:t>
      </w:r>
      <w:r w:rsidRPr="00941621">
        <w:rPr>
          <w:rFonts w:ascii="Times New Roman" w:hAnsi="Times New Roman"/>
          <w:sz w:val="24"/>
          <w:szCs w:val="24"/>
        </w:rPr>
        <w:t>. The prevalence of LIDs increases and PDE-10 expression decreases with advancing P</w:t>
      </w:r>
      <w:r w:rsidR="00530BAD">
        <w:rPr>
          <w:rFonts w:ascii="Times New Roman" w:hAnsi="Times New Roman"/>
          <w:sz w:val="24"/>
          <w:szCs w:val="24"/>
        </w:rPr>
        <w:t>arkinson’s disease</w:t>
      </w:r>
      <w:r w:rsidRPr="00941621">
        <w:rPr>
          <w:rFonts w:ascii="Times New Roman" w:hAnsi="Times New Roman"/>
          <w:sz w:val="24"/>
          <w:szCs w:val="24"/>
        </w:rPr>
        <w:t>, but a study comparing PDE-10A expression between P</w:t>
      </w:r>
      <w:r w:rsidR="00530BAD">
        <w:rPr>
          <w:rFonts w:ascii="Times New Roman" w:hAnsi="Times New Roman"/>
          <w:sz w:val="24"/>
          <w:szCs w:val="24"/>
        </w:rPr>
        <w:t>arkinson’s disease</w:t>
      </w:r>
      <w:r>
        <w:rPr>
          <w:rFonts w:ascii="Times New Roman" w:hAnsi="Times New Roman"/>
          <w:sz w:val="24"/>
          <w:szCs w:val="24"/>
        </w:rPr>
        <w:t xml:space="preserve"> </w:t>
      </w:r>
      <w:r w:rsidRPr="00941621">
        <w:rPr>
          <w:rFonts w:ascii="Times New Roman" w:hAnsi="Times New Roman"/>
          <w:sz w:val="24"/>
          <w:szCs w:val="24"/>
        </w:rPr>
        <w:t>patients</w:t>
      </w:r>
      <w:r w:rsidR="006068CD">
        <w:rPr>
          <w:rFonts w:ascii="Times New Roman" w:hAnsi="Times New Roman"/>
          <w:sz w:val="24"/>
          <w:szCs w:val="24"/>
        </w:rPr>
        <w:t xml:space="preserve">, matched for disease duration, </w:t>
      </w:r>
      <w:r w:rsidRPr="00941621">
        <w:rPr>
          <w:rFonts w:ascii="Times New Roman" w:hAnsi="Times New Roman"/>
          <w:sz w:val="24"/>
          <w:szCs w:val="24"/>
        </w:rPr>
        <w:t xml:space="preserve">with and without LIDs would be able to </w:t>
      </w:r>
      <w:r>
        <w:rPr>
          <w:rFonts w:ascii="Times New Roman" w:hAnsi="Times New Roman"/>
          <w:sz w:val="24"/>
          <w:szCs w:val="24"/>
        </w:rPr>
        <w:t xml:space="preserve">answer </w:t>
      </w:r>
      <w:r w:rsidRPr="00941621">
        <w:rPr>
          <w:rFonts w:ascii="Times New Roman" w:hAnsi="Times New Roman"/>
          <w:sz w:val="24"/>
          <w:szCs w:val="24"/>
        </w:rPr>
        <w:t>this</w:t>
      </w:r>
      <w:r>
        <w:rPr>
          <w:rFonts w:ascii="Times New Roman" w:hAnsi="Times New Roman"/>
          <w:sz w:val="24"/>
          <w:szCs w:val="24"/>
        </w:rPr>
        <w:t xml:space="preserve"> question</w:t>
      </w:r>
      <w:r w:rsidRPr="00941621">
        <w:rPr>
          <w:rFonts w:ascii="Times New Roman" w:hAnsi="Times New Roman"/>
          <w:sz w:val="24"/>
          <w:szCs w:val="24"/>
        </w:rPr>
        <w:t xml:space="preserve">. </w:t>
      </w:r>
    </w:p>
    <w:p w14:paraId="7DCFD9EC" w14:textId="77777777" w:rsidR="00180108" w:rsidRPr="00941621" w:rsidRDefault="00180108" w:rsidP="00180108">
      <w:pPr>
        <w:spacing w:after="0" w:line="480" w:lineRule="auto"/>
        <w:jc w:val="both"/>
        <w:rPr>
          <w:rFonts w:ascii="Times New Roman" w:hAnsi="Times New Roman"/>
          <w:sz w:val="24"/>
          <w:szCs w:val="24"/>
        </w:rPr>
      </w:pPr>
    </w:p>
    <w:p w14:paraId="29E82BE5" w14:textId="62251F6D" w:rsidR="00180108" w:rsidRPr="00941621" w:rsidRDefault="00180108" w:rsidP="00180108">
      <w:pPr>
        <w:spacing w:after="0" w:line="480" w:lineRule="auto"/>
        <w:jc w:val="both"/>
        <w:rPr>
          <w:rFonts w:ascii="Times New Roman" w:hAnsi="Times New Roman"/>
          <w:sz w:val="24"/>
          <w:szCs w:val="24"/>
        </w:rPr>
      </w:pPr>
      <w:r>
        <w:rPr>
          <w:rFonts w:ascii="Times New Roman" w:hAnsi="Times New Roman"/>
          <w:sz w:val="24"/>
          <w:szCs w:val="24"/>
        </w:rPr>
        <w:t xml:space="preserve">Preclinical </w:t>
      </w:r>
      <w:r w:rsidRPr="00941621">
        <w:rPr>
          <w:rFonts w:ascii="Times New Roman" w:hAnsi="Times New Roman"/>
          <w:sz w:val="24"/>
          <w:szCs w:val="24"/>
        </w:rPr>
        <w:t>studies</w:t>
      </w:r>
      <w:r w:rsidR="00956F98">
        <w:rPr>
          <w:rFonts w:ascii="Times New Roman" w:hAnsi="Times New Roman"/>
          <w:sz w:val="24"/>
          <w:szCs w:val="24"/>
        </w:rPr>
        <w:t xml:space="preserve"> </w:t>
      </w:r>
      <w:r w:rsidRPr="00941621">
        <w:rPr>
          <w:rFonts w:ascii="Times New Roman" w:hAnsi="Times New Roman"/>
          <w:sz w:val="24"/>
          <w:szCs w:val="24"/>
        </w:rPr>
        <w:t xml:space="preserve">have suggested that PDE-10A could be involved in </w:t>
      </w:r>
      <w:r w:rsidR="006068CD">
        <w:rPr>
          <w:rFonts w:ascii="Times New Roman" w:hAnsi="Times New Roman"/>
          <w:sz w:val="24"/>
          <w:szCs w:val="24"/>
        </w:rPr>
        <w:t xml:space="preserve">the development of </w:t>
      </w:r>
      <w:r w:rsidRPr="00941621">
        <w:rPr>
          <w:rFonts w:ascii="Times New Roman" w:hAnsi="Times New Roman"/>
          <w:sz w:val="24"/>
          <w:szCs w:val="24"/>
        </w:rPr>
        <w:t>P</w:t>
      </w:r>
      <w:r w:rsidR="00530BAD">
        <w:rPr>
          <w:rFonts w:ascii="Times New Roman" w:hAnsi="Times New Roman"/>
          <w:sz w:val="24"/>
          <w:szCs w:val="24"/>
        </w:rPr>
        <w:t>arkinson’s disease</w:t>
      </w:r>
      <w:r>
        <w:rPr>
          <w:rFonts w:ascii="Times New Roman" w:hAnsi="Times New Roman"/>
          <w:sz w:val="24"/>
          <w:szCs w:val="24"/>
        </w:rPr>
        <w:t xml:space="preserve"> </w:t>
      </w:r>
      <w:r w:rsidRPr="00941621">
        <w:rPr>
          <w:rFonts w:ascii="Times New Roman" w:hAnsi="Times New Roman"/>
          <w:sz w:val="24"/>
          <w:szCs w:val="24"/>
        </w:rPr>
        <w:t>LIDs. In dyskinetic P</w:t>
      </w:r>
      <w:r w:rsidR="00530BAD">
        <w:rPr>
          <w:rFonts w:ascii="Times New Roman" w:hAnsi="Times New Roman"/>
          <w:sz w:val="24"/>
          <w:szCs w:val="24"/>
        </w:rPr>
        <w:t>arkinson’s disease</w:t>
      </w:r>
      <w:r>
        <w:rPr>
          <w:rFonts w:ascii="Times New Roman" w:hAnsi="Times New Roman"/>
          <w:sz w:val="24"/>
          <w:szCs w:val="24"/>
        </w:rPr>
        <w:t xml:space="preserve"> </w:t>
      </w:r>
      <w:r w:rsidRPr="00941621">
        <w:rPr>
          <w:rFonts w:ascii="Times New Roman" w:hAnsi="Times New Roman"/>
          <w:sz w:val="24"/>
          <w:szCs w:val="24"/>
        </w:rPr>
        <w:t>rats, striatal second messenger signalling was altered at the peak of dyskinesias due to the lost ability of striatal medium spiny neurons to induce both long-term potentiation and long-term depression</w:t>
      </w:r>
      <w:r w:rsidR="00530BAD">
        <w:rPr>
          <w:rFonts w:ascii="Times New Roman" w:hAnsi="Times New Roman"/>
          <w:sz w:val="24"/>
          <w:szCs w:val="24"/>
        </w:rPr>
        <w:t xml:space="preserve"> (Picconi </w:t>
      </w:r>
      <w:r w:rsidR="00530BAD" w:rsidRPr="00530BAD">
        <w:rPr>
          <w:rFonts w:ascii="Times New Roman" w:hAnsi="Times New Roman"/>
          <w:i/>
          <w:sz w:val="24"/>
          <w:szCs w:val="24"/>
        </w:rPr>
        <w:t>et al.</w:t>
      </w:r>
      <w:r w:rsidR="00530BAD">
        <w:rPr>
          <w:rFonts w:ascii="Times New Roman" w:hAnsi="Times New Roman"/>
          <w:sz w:val="24"/>
          <w:szCs w:val="24"/>
        </w:rPr>
        <w:t>, 2003</w:t>
      </w:r>
      <w:r w:rsidR="00873481">
        <w:rPr>
          <w:rFonts w:ascii="Times New Roman" w:hAnsi="Times New Roman"/>
          <w:sz w:val="24"/>
          <w:szCs w:val="24"/>
        </w:rPr>
        <w:t>;</w:t>
      </w:r>
      <w:r w:rsidR="00530BAD">
        <w:rPr>
          <w:rFonts w:ascii="Times New Roman" w:hAnsi="Times New Roman"/>
          <w:sz w:val="24"/>
          <w:szCs w:val="24"/>
        </w:rPr>
        <w:t xml:space="preserve"> 2008</w:t>
      </w:r>
      <w:r w:rsidR="00873481">
        <w:rPr>
          <w:rFonts w:ascii="Times New Roman" w:hAnsi="Times New Roman"/>
          <w:sz w:val="24"/>
          <w:szCs w:val="24"/>
        </w:rPr>
        <w:t>;</w:t>
      </w:r>
      <w:r w:rsidR="00530BAD">
        <w:rPr>
          <w:rFonts w:ascii="Times New Roman" w:hAnsi="Times New Roman"/>
          <w:sz w:val="24"/>
          <w:szCs w:val="24"/>
        </w:rPr>
        <w:t xml:space="preserve"> 2011)</w:t>
      </w:r>
      <w:r>
        <w:rPr>
          <w:rFonts w:ascii="Times New Roman" w:hAnsi="Times New Roman"/>
          <w:sz w:val="24"/>
          <w:szCs w:val="24"/>
        </w:rPr>
        <w:t>.</w:t>
      </w:r>
      <w:r w:rsidRPr="00941621">
        <w:rPr>
          <w:rFonts w:ascii="Times New Roman" w:hAnsi="Times New Roman"/>
          <w:sz w:val="24"/>
          <w:szCs w:val="24"/>
        </w:rPr>
        <w:t xml:space="preserve"> This means that stimulation of postsynaptic striatal neurons from levodopa-derived dopamine would fail and dysregulation of PDE-10A could be a pathogenic mechanism underlying the dysfunction of second messenger signalling. In dyskinetic rodent models of P</w:t>
      </w:r>
      <w:r w:rsidR="00530BAD">
        <w:rPr>
          <w:rFonts w:ascii="Times New Roman" w:hAnsi="Times New Roman"/>
          <w:sz w:val="24"/>
          <w:szCs w:val="24"/>
        </w:rPr>
        <w:t>arkinson’s disease</w:t>
      </w:r>
      <w:r w:rsidRPr="00941621">
        <w:rPr>
          <w:rFonts w:ascii="Times New Roman" w:hAnsi="Times New Roman"/>
          <w:sz w:val="24"/>
          <w:szCs w:val="24"/>
        </w:rPr>
        <w:t xml:space="preserve">, cAMP levels in the cortico-striatal-pallidal pathway were significantly reduced at peak of dyskinesias compared to non-dyskinetic animals, and administration of </w:t>
      </w:r>
      <w:r>
        <w:rPr>
          <w:rFonts w:ascii="Times New Roman" w:hAnsi="Times New Roman"/>
          <w:sz w:val="24"/>
          <w:szCs w:val="24"/>
        </w:rPr>
        <w:t>the non-</w:t>
      </w:r>
      <w:r w:rsidRPr="00941621">
        <w:rPr>
          <w:rFonts w:ascii="Times New Roman" w:hAnsi="Times New Roman"/>
          <w:sz w:val="24"/>
          <w:szCs w:val="24"/>
        </w:rPr>
        <w:t>selective PDE inhibitor, zaprinast, before levodopa effectively reduced the severity of dyskinesias and prevented the decreases in cyclic nucleotides levels</w:t>
      </w:r>
      <w:r w:rsidR="00530BAD">
        <w:rPr>
          <w:rFonts w:ascii="Times New Roman" w:hAnsi="Times New Roman"/>
          <w:sz w:val="24"/>
          <w:szCs w:val="24"/>
        </w:rPr>
        <w:t xml:space="preserve"> (Giorgi </w:t>
      </w:r>
      <w:r w:rsidR="00530BAD" w:rsidRPr="00530BAD">
        <w:rPr>
          <w:rFonts w:ascii="Times New Roman" w:hAnsi="Times New Roman"/>
          <w:i/>
          <w:sz w:val="24"/>
          <w:szCs w:val="24"/>
        </w:rPr>
        <w:t>et al.</w:t>
      </w:r>
      <w:r w:rsidR="00530BAD">
        <w:rPr>
          <w:rFonts w:ascii="Times New Roman" w:hAnsi="Times New Roman"/>
          <w:sz w:val="24"/>
          <w:szCs w:val="24"/>
        </w:rPr>
        <w:t>, 2008)</w:t>
      </w:r>
      <w:r>
        <w:rPr>
          <w:rFonts w:ascii="Times New Roman" w:hAnsi="Times New Roman"/>
          <w:sz w:val="24"/>
          <w:szCs w:val="24"/>
        </w:rPr>
        <w:t>.</w:t>
      </w:r>
      <w:r w:rsidRPr="00941621">
        <w:rPr>
          <w:rFonts w:ascii="Times New Roman" w:hAnsi="Times New Roman"/>
          <w:sz w:val="24"/>
          <w:szCs w:val="24"/>
        </w:rPr>
        <w:t xml:space="preserve"> A recent study has shown lower </w:t>
      </w:r>
      <w:r w:rsidRPr="00941621">
        <w:rPr>
          <w:rFonts w:ascii="Times New Roman" w:hAnsi="Times New Roman"/>
          <w:sz w:val="24"/>
          <w:szCs w:val="24"/>
          <w:lang w:val="en-US"/>
        </w:rPr>
        <w:t>striatal cAMP and cGMP levels in dyskinetic animals at 60 minutes after levodopa administration</w:t>
      </w:r>
      <w:r w:rsidR="00530BAD">
        <w:rPr>
          <w:rFonts w:ascii="Times New Roman" w:hAnsi="Times New Roman"/>
          <w:sz w:val="24"/>
          <w:szCs w:val="24"/>
          <w:lang w:val="en-US"/>
        </w:rPr>
        <w:t xml:space="preserve"> (Sancesario </w:t>
      </w:r>
      <w:r w:rsidR="00530BAD" w:rsidRPr="00530BAD">
        <w:rPr>
          <w:rFonts w:ascii="Times New Roman" w:hAnsi="Times New Roman"/>
          <w:i/>
          <w:sz w:val="24"/>
          <w:szCs w:val="24"/>
          <w:lang w:val="en-US"/>
        </w:rPr>
        <w:t>et al.</w:t>
      </w:r>
      <w:r w:rsidR="00530BAD">
        <w:rPr>
          <w:rFonts w:ascii="Times New Roman" w:hAnsi="Times New Roman"/>
          <w:sz w:val="24"/>
          <w:szCs w:val="24"/>
          <w:lang w:val="en-US"/>
        </w:rPr>
        <w:t>, 2014)</w:t>
      </w:r>
      <w:r>
        <w:rPr>
          <w:rFonts w:ascii="Times New Roman" w:hAnsi="Times New Roman"/>
          <w:sz w:val="24"/>
          <w:szCs w:val="24"/>
          <w:lang w:val="en-US"/>
        </w:rPr>
        <w:t>.</w:t>
      </w:r>
      <w:r w:rsidRPr="00941621">
        <w:rPr>
          <w:rFonts w:ascii="Times New Roman" w:hAnsi="Times New Roman"/>
          <w:sz w:val="24"/>
          <w:szCs w:val="24"/>
          <w:lang w:val="en-US"/>
        </w:rPr>
        <w:t xml:space="preserve"> During the phase of decreasing and extinction of dyskinesias (from 90 to 150 minutes after levodopa), cAMP/cGMP levels were up-regulated in dyskinetic animals. Thus, changes in cyclic nucleotide levels are linked to the appearance and regression of LIDs.</w:t>
      </w:r>
      <w:r w:rsidRPr="00941621">
        <w:rPr>
          <w:rFonts w:ascii="Times New Roman" w:hAnsi="Times New Roman" w:cs="Times New Roman"/>
          <w:sz w:val="24"/>
          <w:szCs w:val="24"/>
        </w:rPr>
        <w:t xml:space="preserve"> Cyclic nucleotides levels are regulated by both dopamine-induced synthesis and PDE-related catabolism.</w:t>
      </w:r>
      <w:r w:rsidRPr="00941621">
        <w:rPr>
          <w:rFonts w:ascii="Times New Roman" w:hAnsi="Times New Roman"/>
          <w:sz w:val="24"/>
          <w:szCs w:val="24"/>
          <w:lang w:val="en-US"/>
        </w:rPr>
        <w:t xml:space="preserve"> It has been previously demonstrated that LIDs are associated with </w:t>
      </w:r>
      <w:r w:rsidR="006068CD">
        <w:rPr>
          <w:rFonts w:ascii="Times New Roman" w:hAnsi="Times New Roman"/>
          <w:sz w:val="24"/>
          <w:szCs w:val="24"/>
          <w:lang w:val="en-US"/>
        </w:rPr>
        <w:t xml:space="preserve">short-term </w:t>
      </w:r>
      <w:r w:rsidRPr="00941621">
        <w:rPr>
          <w:rFonts w:ascii="Times New Roman" w:hAnsi="Times New Roman"/>
          <w:sz w:val="24"/>
          <w:szCs w:val="24"/>
          <w:lang w:val="en-US"/>
        </w:rPr>
        <w:t>sharp rises in synaptic dopamine levels following levodopa administration</w:t>
      </w:r>
      <w:r w:rsidR="005A771E">
        <w:rPr>
          <w:rFonts w:ascii="Times New Roman" w:hAnsi="Times New Roman"/>
          <w:sz w:val="24"/>
          <w:szCs w:val="24"/>
          <w:lang w:val="en-US"/>
        </w:rPr>
        <w:t xml:space="preserve"> (</w:t>
      </w:r>
      <w:r w:rsidR="005A771E" w:rsidRPr="00B0722B">
        <w:rPr>
          <w:rFonts w:ascii="Times New Roman" w:hAnsi="Times New Roman" w:cs="Times New Roman"/>
          <w:sz w:val="24"/>
          <w:szCs w:val="28"/>
        </w:rPr>
        <w:t>de la Fuente-Fernandez</w:t>
      </w:r>
      <w:r w:rsidR="005A771E">
        <w:rPr>
          <w:rFonts w:ascii="Times New Roman" w:hAnsi="Times New Roman" w:cs="Times New Roman"/>
          <w:sz w:val="24"/>
          <w:szCs w:val="28"/>
        </w:rPr>
        <w:t xml:space="preserve"> </w:t>
      </w:r>
      <w:r w:rsidR="005A771E" w:rsidRPr="005A771E">
        <w:rPr>
          <w:rFonts w:ascii="Times New Roman" w:hAnsi="Times New Roman" w:cs="Times New Roman"/>
          <w:i/>
          <w:sz w:val="24"/>
          <w:szCs w:val="28"/>
        </w:rPr>
        <w:t>et al.</w:t>
      </w:r>
      <w:r w:rsidR="005A771E">
        <w:rPr>
          <w:rFonts w:ascii="Times New Roman" w:hAnsi="Times New Roman" w:cs="Times New Roman"/>
          <w:sz w:val="24"/>
          <w:szCs w:val="28"/>
        </w:rPr>
        <w:t xml:space="preserve">, 2001; Politis </w:t>
      </w:r>
      <w:r w:rsidR="005A771E" w:rsidRPr="005A771E">
        <w:rPr>
          <w:rFonts w:ascii="Times New Roman" w:hAnsi="Times New Roman" w:cs="Times New Roman"/>
          <w:i/>
          <w:sz w:val="24"/>
          <w:szCs w:val="28"/>
        </w:rPr>
        <w:t>et al.</w:t>
      </w:r>
      <w:r w:rsidR="005A771E">
        <w:rPr>
          <w:rFonts w:ascii="Times New Roman" w:hAnsi="Times New Roman" w:cs="Times New Roman"/>
          <w:sz w:val="24"/>
          <w:szCs w:val="28"/>
        </w:rPr>
        <w:t>, 2014)</w:t>
      </w:r>
      <w:r>
        <w:rPr>
          <w:rFonts w:ascii="Times New Roman" w:hAnsi="Times New Roman"/>
          <w:sz w:val="24"/>
          <w:szCs w:val="24"/>
          <w:lang w:val="en-US"/>
        </w:rPr>
        <w:t xml:space="preserve">. </w:t>
      </w:r>
      <w:r w:rsidRPr="00941621">
        <w:rPr>
          <w:rFonts w:ascii="Times New Roman" w:hAnsi="Times New Roman"/>
          <w:sz w:val="24"/>
          <w:szCs w:val="24"/>
          <w:lang w:val="en-US"/>
        </w:rPr>
        <w:t>Hence</w:t>
      </w:r>
      <w:r>
        <w:rPr>
          <w:rFonts w:ascii="Times New Roman" w:hAnsi="Times New Roman"/>
          <w:sz w:val="24"/>
          <w:szCs w:val="24"/>
          <w:lang w:val="en-US"/>
        </w:rPr>
        <w:t>,</w:t>
      </w:r>
      <w:r w:rsidRPr="00941621">
        <w:rPr>
          <w:rFonts w:ascii="Times New Roman" w:hAnsi="Times New Roman"/>
          <w:sz w:val="24"/>
          <w:szCs w:val="24"/>
          <w:lang w:val="en-US"/>
        </w:rPr>
        <w:t xml:space="preserve"> </w:t>
      </w:r>
      <w:r w:rsidRPr="00941621">
        <w:rPr>
          <w:rFonts w:ascii="Times New Roman" w:hAnsi="Times New Roman" w:cs="Times New Roman"/>
          <w:sz w:val="24"/>
          <w:szCs w:val="24"/>
        </w:rPr>
        <w:t xml:space="preserve">altered cyclic nucleotides </w:t>
      </w:r>
      <w:r>
        <w:rPr>
          <w:rFonts w:ascii="Times New Roman" w:hAnsi="Times New Roman" w:cs="Times New Roman"/>
          <w:sz w:val="24"/>
          <w:szCs w:val="24"/>
        </w:rPr>
        <w:t xml:space="preserve">levels due to abnormal dopamine-induced </w:t>
      </w:r>
      <w:r w:rsidRPr="00941621">
        <w:rPr>
          <w:rFonts w:ascii="Times New Roman" w:hAnsi="Times New Roman" w:cs="Times New Roman"/>
          <w:sz w:val="24"/>
          <w:szCs w:val="24"/>
        </w:rPr>
        <w:t xml:space="preserve">synthesis </w:t>
      </w:r>
      <w:r>
        <w:rPr>
          <w:rFonts w:ascii="Times New Roman" w:hAnsi="Times New Roman" w:cs="Times New Roman"/>
          <w:sz w:val="24"/>
          <w:szCs w:val="24"/>
        </w:rPr>
        <w:t xml:space="preserve">and PDE-10A-related </w:t>
      </w:r>
      <w:r w:rsidRPr="00941621">
        <w:rPr>
          <w:rFonts w:ascii="Times New Roman" w:hAnsi="Times New Roman" w:cs="Times New Roman"/>
          <w:sz w:val="24"/>
          <w:szCs w:val="24"/>
        </w:rPr>
        <w:t xml:space="preserve">catabolism might contribute to the development of LIDs. </w:t>
      </w:r>
    </w:p>
    <w:p w14:paraId="4AE8BF17" w14:textId="77777777" w:rsidR="00180108" w:rsidRPr="00632EC6" w:rsidRDefault="00180108" w:rsidP="00180108">
      <w:pPr>
        <w:spacing w:after="0" w:line="480" w:lineRule="auto"/>
        <w:jc w:val="both"/>
        <w:rPr>
          <w:rFonts w:ascii="Times New Roman" w:hAnsi="Times New Roman" w:cs="Times New Roman"/>
          <w:bCs/>
          <w:sz w:val="24"/>
          <w:szCs w:val="24"/>
        </w:rPr>
      </w:pPr>
    </w:p>
    <w:p w14:paraId="148C337A" w14:textId="28BAA50B" w:rsidR="0003545C" w:rsidRPr="00FB7EB2" w:rsidRDefault="00632EC6" w:rsidP="00180108">
      <w:pPr>
        <w:spacing w:after="0" w:line="480" w:lineRule="auto"/>
        <w:jc w:val="both"/>
        <w:rPr>
          <w:rFonts w:ascii="Times New Roman" w:hAnsi="Times New Roman" w:cs="Times New Roman"/>
          <w:sz w:val="24"/>
          <w:lang w:val="en-US"/>
        </w:rPr>
      </w:pPr>
      <w:r w:rsidRPr="00FB7EB2">
        <w:rPr>
          <w:rFonts w:ascii="Times New Roman" w:hAnsi="Times New Roman" w:cs="Times New Roman"/>
          <w:sz w:val="24"/>
          <w:lang w:val="en-US"/>
        </w:rPr>
        <w:t xml:space="preserve">Recent PET studies have demonstrated the importance of PDE-10A in other movement disorders such as Huntington’s disease (Ahmad </w:t>
      </w:r>
      <w:r w:rsidRPr="00FB7EB2">
        <w:rPr>
          <w:rFonts w:ascii="Times New Roman" w:hAnsi="Times New Roman" w:cs="Times New Roman"/>
          <w:i/>
          <w:sz w:val="24"/>
          <w:lang w:val="en-US"/>
        </w:rPr>
        <w:t>et al.</w:t>
      </w:r>
      <w:r w:rsidRPr="00FB7EB2">
        <w:rPr>
          <w:rFonts w:ascii="Times New Roman" w:hAnsi="Times New Roman" w:cs="Times New Roman"/>
          <w:sz w:val="24"/>
          <w:lang w:val="en-US"/>
        </w:rPr>
        <w:t xml:space="preserve">, 2014; Russell </w:t>
      </w:r>
      <w:r w:rsidRPr="00FB7EB2">
        <w:rPr>
          <w:rFonts w:ascii="Times New Roman" w:hAnsi="Times New Roman" w:cs="Times New Roman"/>
          <w:i/>
          <w:sz w:val="24"/>
          <w:lang w:val="en-US"/>
        </w:rPr>
        <w:t>et al.</w:t>
      </w:r>
      <w:r w:rsidRPr="00FB7EB2">
        <w:rPr>
          <w:rFonts w:ascii="Times New Roman" w:hAnsi="Times New Roman" w:cs="Times New Roman"/>
          <w:sz w:val="24"/>
          <w:lang w:val="en-US"/>
        </w:rPr>
        <w:t xml:space="preserve">, 2014). Striatal PDE-10A levels were decreased by 48-70% in manifest Huntington’s disease gene carriers (Ahmad </w:t>
      </w:r>
      <w:r w:rsidRPr="00FB7EB2">
        <w:rPr>
          <w:rFonts w:ascii="Times New Roman" w:hAnsi="Times New Roman" w:cs="Times New Roman"/>
          <w:i/>
          <w:sz w:val="24"/>
          <w:lang w:val="en-US"/>
        </w:rPr>
        <w:t>et al.</w:t>
      </w:r>
      <w:r w:rsidRPr="00FB7EB2">
        <w:rPr>
          <w:rFonts w:ascii="Times New Roman" w:hAnsi="Times New Roman" w:cs="Times New Roman"/>
          <w:sz w:val="24"/>
          <w:lang w:val="en-US"/>
        </w:rPr>
        <w:t xml:space="preserve">, 2014; Russell </w:t>
      </w:r>
      <w:r w:rsidRPr="00FB7EB2">
        <w:rPr>
          <w:rFonts w:ascii="Times New Roman" w:hAnsi="Times New Roman" w:cs="Times New Roman"/>
          <w:i/>
          <w:sz w:val="24"/>
          <w:lang w:val="en-US"/>
        </w:rPr>
        <w:t>et al.</w:t>
      </w:r>
      <w:r w:rsidRPr="00FB7EB2">
        <w:rPr>
          <w:rFonts w:ascii="Times New Roman" w:hAnsi="Times New Roman" w:cs="Times New Roman"/>
          <w:sz w:val="24"/>
          <w:lang w:val="en-US"/>
        </w:rPr>
        <w:t xml:space="preserve">, 2014). Similarly to what observed in our cohort of Parkinson’s disease patients, loss of striatal PDE-10A expression correlated with worse Unified Huntington’s Disease Rating Scale–Motor scores in manifest Huntington’s disease gene carriers (Russell </w:t>
      </w:r>
      <w:r w:rsidRPr="00FB7EB2">
        <w:rPr>
          <w:rFonts w:ascii="Times New Roman" w:hAnsi="Times New Roman" w:cs="Times New Roman"/>
          <w:i/>
          <w:sz w:val="24"/>
          <w:lang w:val="en-US"/>
        </w:rPr>
        <w:t>et al.</w:t>
      </w:r>
      <w:r w:rsidRPr="00FB7EB2">
        <w:rPr>
          <w:rFonts w:ascii="Times New Roman" w:hAnsi="Times New Roman" w:cs="Times New Roman"/>
          <w:sz w:val="24"/>
          <w:lang w:val="en-US"/>
        </w:rPr>
        <w:t>, 2014). Collectively, these observations suggest an extended role for the importance of PDE-10A expression in the clinical presentation of movement disorders.</w:t>
      </w:r>
    </w:p>
    <w:p w14:paraId="36885F3E" w14:textId="77777777" w:rsidR="00632EC6" w:rsidRPr="00941621" w:rsidRDefault="00632EC6" w:rsidP="00180108">
      <w:pPr>
        <w:spacing w:after="0" w:line="480" w:lineRule="auto"/>
        <w:jc w:val="both"/>
        <w:rPr>
          <w:rFonts w:ascii="Times New Roman" w:hAnsi="Times New Roman"/>
          <w:bCs/>
          <w:sz w:val="24"/>
          <w:szCs w:val="24"/>
        </w:rPr>
      </w:pPr>
    </w:p>
    <w:p w14:paraId="5DF7B975" w14:textId="04C119E8" w:rsidR="00180108" w:rsidRDefault="00180108" w:rsidP="00180108">
      <w:pPr>
        <w:spacing w:after="0" w:line="480" w:lineRule="auto"/>
        <w:jc w:val="both"/>
        <w:rPr>
          <w:rFonts w:ascii="Times New Roman" w:hAnsi="Times New Roman"/>
          <w:sz w:val="24"/>
          <w:szCs w:val="24"/>
        </w:rPr>
      </w:pPr>
      <w:r w:rsidRPr="00941621">
        <w:rPr>
          <w:rFonts w:ascii="Times New Roman" w:hAnsi="Times New Roman"/>
          <w:sz w:val="24"/>
          <w:szCs w:val="24"/>
        </w:rPr>
        <w:t>In conclusion, our findings</w:t>
      </w:r>
      <w:r w:rsidR="006068CD" w:rsidRPr="006068CD">
        <w:rPr>
          <w:rFonts w:ascii="Times New Roman" w:hAnsi="Times New Roman"/>
          <w:sz w:val="24"/>
          <w:szCs w:val="24"/>
        </w:rPr>
        <w:t xml:space="preserve"> </w:t>
      </w:r>
      <w:r w:rsidR="006068CD">
        <w:rPr>
          <w:rFonts w:ascii="Times New Roman" w:hAnsi="Times New Roman"/>
          <w:sz w:val="24"/>
          <w:szCs w:val="24"/>
        </w:rPr>
        <w:t>provide evidence</w:t>
      </w:r>
      <w:r w:rsidR="006068CD" w:rsidRPr="00941621">
        <w:rPr>
          <w:rFonts w:ascii="Times New Roman" w:hAnsi="Times New Roman"/>
          <w:sz w:val="24"/>
          <w:szCs w:val="24"/>
        </w:rPr>
        <w:t xml:space="preserve"> </w:t>
      </w:r>
      <w:r w:rsidR="006068CD">
        <w:rPr>
          <w:rFonts w:ascii="Times New Roman" w:hAnsi="Times New Roman"/>
          <w:sz w:val="24"/>
          <w:szCs w:val="24"/>
        </w:rPr>
        <w:t>for a</w:t>
      </w:r>
      <w:r w:rsidRPr="00941621">
        <w:rPr>
          <w:rFonts w:ascii="Times New Roman" w:hAnsi="Times New Roman"/>
          <w:sz w:val="24"/>
          <w:szCs w:val="24"/>
        </w:rPr>
        <w:t xml:space="preserve"> </w:t>
      </w:r>
      <w:r>
        <w:rPr>
          <w:rFonts w:ascii="Times New Roman" w:hAnsi="Times New Roman"/>
          <w:sz w:val="24"/>
          <w:szCs w:val="24"/>
        </w:rPr>
        <w:t>novel</w:t>
      </w:r>
      <w:r w:rsidRPr="00941621">
        <w:rPr>
          <w:rFonts w:ascii="Times New Roman" w:hAnsi="Times New Roman"/>
          <w:sz w:val="24"/>
          <w:szCs w:val="24"/>
        </w:rPr>
        <w:t xml:space="preserve"> neurochemical </w:t>
      </w:r>
      <w:r w:rsidR="006068CD">
        <w:rPr>
          <w:rFonts w:ascii="Times New Roman" w:hAnsi="Times New Roman"/>
          <w:sz w:val="24"/>
          <w:szCs w:val="24"/>
        </w:rPr>
        <w:t xml:space="preserve">change in Parkinson’s disease, which is linked with the </w:t>
      </w:r>
      <w:r w:rsidRPr="00941621">
        <w:rPr>
          <w:rFonts w:ascii="Times New Roman" w:hAnsi="Times New Roman"/>
          <w:sz w:val="24"/>
          <w:szCs w:val="24"/>
        </w:rPr>
        <w:t>progression and severity of</w:t>
      </w:r>
      <w:r w:rsidR="006068CD" w:rsidRPr="006068CD">
        <w:rPr>
          <w:rFonts w:ascii="Times New Roman" w:hAnsi="Times New Roman"/>
          <w:sz w:val="24"/>
          <w:szCs w:val="24"/>
        </w:rPr>
        <w:t xml:space="preserve"> </w:t>
      </w:r>
      <w:r w:rsidR="006068CD">
        <w:rPr>
          <w:rFonts w:ascii="Times New Roman" w:hAnsi="Times New Roman"/>
          <w:sz w:val="24"/>
          <w:szCs w:val="24"/>
        </w:rPr>
        <w:t>motor symptoms</w:t>
      </w:r>
      <w:r w:rsidRPr="00941621">
        <w:rPr>
          <w:rFonts w:ascii="Times New Roman" w:hAnsi="Times New Roman"/>
          <w:sz w:val="24"/>
          <w:szCs w:val="24"/>
        </w:rPr>
        <w:t>. [</w:t>
      </w:r>
      <w:r w:rsidRPr="00941621">
        <w:rPr>
          <w:rFonts w:ascii="Times New Roman" w:hAnsi="Times New Roman"/>
          <w:sz w:val="24"/>
          <w:szCs w:val="24"/>
          <w:vertAlign w:val="superscript"/>
        </w:rPr>
        <w:t>11</w:t>
      </w:r>
      <w:r w:rsidRPr="00941621">
        <w:rPr>
          <w:rFonts w:ascii="Times New Roman" w:hAnsi="Times New Roman"/>
          <w:sz w:val="24"/>
          <w:szCs w:val="24"/>
        </w:rPr>
        <w:t xml:space="preserve">C]IMA107 PET may be a valuable tool to understand </w:t>
      </w:r>
      <w:r w:rsidRPr="00941621">
        <w:rPr>
          <w:rFonts w:ascii="Times New Roman" w:hAnsi="Times New Roman" w:cs="Times New Roman"/>
          <w:sz w:val="24"/>
          <w:szCs w:val="28"/>
        </w:rPr>
        <w:t>the pathophysiology of P</w:t>
      </w:r>
      <w:r w:rsidR="005A771E">
        <w:rPr>
          <w:rFonts w:ascii="Times New Roman" w:hAnsi="Times New Roman" w:cs="Times New Roman"/>
          <w:sz w:val="24"/>
          <w:szCs w:val="28"/>
        </w:rPr>
        <w:t>arkinson’s disease</w:t>
      </w:r>
      <w:r w:rsidRPr="00941621">
        <w:rPr>
          <w:rFonts w:ascii="Times New Roman" w:hAnsi="Times New Roman" w:cs="Times New Roman"/>
          <w:sz w:val="24"/>
          <w:szCs w:val="28"/>
        </w:rPr>
        <w:t>.</w:t>
      </w:r>
      <w:r w:rsidRPr="00941621">
        <w:rPr>
          <w:rFonts w:ascii="Times New Roman" w:hAnsi="Times New Roman"/>
          <w:sz w:val="24"/>
          <w:szCs w:val="24"/>
        </w:rPr>
        <w:t xml:space="preserve"> PDE-10A </w:t>
      </w:r>
      <w:r w:rsidRPr="00941621">
        <w:rPr>
          <w:rFonts w:ascii="Times New Roman" w:hAnsi="Times New Roman"/>
          <w:bCs/>
          <w:sz w:val="24"/>
          <w:szCs w:val="24"/>
        </w:rPr>
        <w:t xml:space="preserve">could serve as a novel therapeutic target for manipulation with pharmacotherapy, and </w:t>
      </w:r>
      <w:r w:rsidRPr="00941621">
        <w:rPr>
          <w:rFonts w:ascii="Times New Roman" w:hAnsi="Times New Roman"/>
          <w:sz w:val="24"/>
          <w:szCs w:val="24"/>
        </w:rPr>
        <w:t>PDE-10A modulating drugs by acting independently or synergi</w:t>
      </w:r>
      <w:r>
        <w:rPr>
          <w:rFonts w:ascii="Times New Roman" w:hAnsi="Times New Roman"/>
          <w:sz w:val="24"/>
          <w:szCs w:val="24"/>
        </w:rPr>
        <w:t>sti</w:t>
      </w:r>
      <w:r w:rsidRPr="00941621">
        <w:rPr>
          <w:rFonts w:ascii="Times New Roman" w:hAnsi="Times New Roman"/>
          <w:sz w:val="24"/>
          <w:szCs w:val="24"/>
        </w:rPr>
        <w:t xml:space="preserve">cally with levodopa could </w:t>
      </w:r>
      <w:r>
        <w:rPr>
          <w:rFonts w:ascii="Times New Roman" w:hAnsi="Times New Roman"/>
          <w:sz w:val="24"/>
          <w:szCs w:val="24"/>
        </w:rPr>
        <w:t xml:space="preserve">potentially have a therapeutic role in the </w:t>
      </w:r>
      <w:r w:rsidRPr="00941621">
        <w:rPr>
          <w:rFonts w:ascii="Times New Roman" w:hAnsi="Times New Roman" w:cs="Times New Roman"/>
          <w:bCs/>
          <w:sz w:val="24"/>
          <w:szCs w:val="24"/>
        </w:rPr>
        <w:t>alleviat</w:t>
      </w:r>
      <w:r>
        <w:rPr>
          <w:rFonts w:ascii="Times New Roman" w:hAnsi="Times New Roman" w:cs="Times New Roman"/>
          <w:bCs/>
          <w:sz w:val="24"/>
          <w:szCs w:val="24"/>
        </w:rPr>
        <w:t>ion of</w:t>
      </w:r>
      <w:r w:rsidRPr="00941621">
        <w:rPr>
          <w:rFonts w:ascii="Times New Roman" w:hAnsi="Times New Roman" w:cs="Times New Roman"/>
          <w:bCs/>
          <w:sz w:val="24"/>
          <w:szCs w:val="24"/>
        </w:rPr>
        <w:t xml:space="preserve"> </w:t>
      </w:r>
      <w:r w:rsidRPr="00941621">
        <w:rPr>
          <w:rFonts w:ascii="Times New Roman" w:hAnsi="Times New Roman"/>
          <w:bCs/>
          <w:sz w:val="24"/>
          <w:szCs w:val="24"/>
        </w:rPr>
        <w:t>P</w:t>
      </w:r>
      <w:r w:rsidR="005A771E">
        <w:rPr>
          <w:rFonts w:ascii="Times New Roman" w:hAnsi="Times New Roman"/>
          <w:bCs/>
          <w:sz w:val="24"/>
          <w:szCs w:val="24"/>
        </w:rPr>
        <w:t>arkinson’s disease</w:t>
      </w:r>
      <w:r>
        <w:rPr>
          <w:rFonts w:ascii="Times New Roman" w:hAnsi="Times New Roman"/>
          <w:bCs/>
          <w:sz w:val="24"/>
          <w:szCs w:val="24"/>
        </w:rPr>
        <w:t xml:space="preserve"> </w:t>
      </w:r>
      <w:r w:rsidRPr="00941621">
        <w:rPr>
          <w:rFonts w:ascii="Times New Roman" w:hAnsi="Times New Roman" w:cs="Times New Roman"/>
          <w:bCs/>
          <w:sz w:val="24"/>
          <w:szCs w:val="24"/>
        </w:rPr>
        <w:t>symptoms</w:t>
      </w:r>
      <w:r w:rsidR="003E1ECD">
        <w:rPr>
          <w:rFonts w:ascii="Times New Roman" w:hAnsi="Times New Roman" w:cs="Times New Roman"/>
          <w:bCs/>
          <w:sz w:val="24"/>
          <w:szCs w:val="24"/>
        </w:rPr>
        <w:t xml:space="preserve"> and</w:t>
      </w:r>
      <w:r w:rsidRPr="00941621">
        <w:rPr>
          <w:rFonts w:ascii="Times New Roman" w:hAnsi="Times New Roman" w:cs="Times New Roman"/>
          <w:bCs/>
          <w:sz w:val="24"/>
          <w:szCs w:val="24"/>
        </w:rPr>
        <w:t xml:space="preserve"> complications</w:t>
      </w:r>
      <w:r w:rsidRPr="00941621">
        <w:rPr>
          <w:rFonts w:ascii="Times New Roman" w:hAnsi="Times New Roman"/>
          <w:sz w:val="24"/>
          <w:szCs w:val="24"/>
        </w:rPr>
        <w:t>.</w:t>
      </w:r>
      <w:r>
        <w:rPr>
          <w:rFonts w:ascii="Times New Roman" w:hAnsi="Times New Roman"/>
          <w:sz w:val="24"/>
          <w:szCs w:val="24"/>
        </w:rPr>
        <w:t xml:space="preserve"> </w:t>
      </w:r>
    </w:p>
    <w:p w14:paraId="590100D0" w14:textId="77777777" w:rsidR="00A91783" w:rsidRDefault="00A91783" w:rsidP="00A91783">
      <w:pPr>
        <w:pStyle w:val="Heading2"/>
        <w:spacing w:before="0" w:line="480" w:lineRule="auto"/>
        <w:rPr>
          <w:rFonts w:ascii="Times New Roman" w:eastAsiaTheme="minorEastAsia" w:hAnsi="Times New Roman" w:cs="Times New Roman"/>
          <w:bCs w:val="0"/>
          <w:color w:val="auto"/>
          <w:sz w:val="28"/>
          <w:szCs w:val="28"/>
        </w:rPr>
      </w:pPr>
    </w:p>
    <w:p w14:paraId="2481C07D" w14:textId="77777777" w:rsidR="008D32A9" w:rsidRPr="004E4A1F" w:rsidRDefault="008D32A9" w:rsidP="00A91783">
      <w:pPr>
        <w:pStyle w:val="Heading2"/>
        <w:spacing w:before="0" w:line="480" w:lineRule="auto"/>
        <w:rPr>
          <w:rFonts w:ascii="Times New Roman" w:hAnsi="Times New Roman" w:cs="Times New Roman"/>
          <w:color w:val="auto"/>
        </w:rPr>
      </w:pPr>
      <w:r w:rsidRPr="004E4A1F">
        <w:rPr>
          <w:rFonts w:ascii="Times New Roman" w:hAnsi="Times New Roman" w:cs="Times New Roman"/>
          <w:color w:val="auto"/>
        </w:rPr>
        <w:t>Acknowledgements</w:t>
      </w:r>
    </w:p>
    <w:p w14:paraId="3D45DDDA" w14:textId="2DE7D828" w:rsidR="005A771E" w:rsidRPr="00061824" w:rsidRDefault="005A771E" w:rsidP="005A771E">
      <w:pPr>
        <w:spacing w:line="480" w:lineRule="auto"/>
        <w:jc w:val="both"/>
        <w:rPr>
          <w:rStyle w:val="Heading1Char"/>
          <w:rFonts w:ascii="Times New Roman" w:eastAsiaTheme="minorEastAsia" w:hAnsi="Times New Roman" w:cstheme="minorBidi"/>
          <w:b w:val="0"/>
          <w:color w:val="auto"/>
          <w:sz w:val="24"/>
          <w:szCs w:val="24"/>
        </w:rPr>
      </w:pPr>
      <w:r w:rsidRPr="00061824">
        <w:rPr>
          <w:rStyle w:val="Heading1Char"/>
          <w:rFonts w:ascii="Times New Roman" w:hAnsi="Times New Roman" w:cs="Times New Roman"/>
          <w:b w:val="0"/>
          <w:color w:val="auto"/>
          <w:sz w:val="24"/>
          <w:szCs w:val="24"/>
        </w:rPr>
        <w:t xml:space="preserve">We thank all participants and their families, the PET technicians and radiochemists, the MRI radiographers, and the clinical research nurses at Imanova Ltd for their cooperation and support with this study. Flavia Niccolini is supported from Parkinson’s UK. Tom Foltynie’s research is supported by the Brain Research Trust, UCL’s NIHR Biomedical Research Unit, the European Union FP-7 scheme and the Michael J. Fox Foundation. Marios Politis research is supported by Parkinson’s UK, Lily and Edmond J. Safra Foundation, Michael J Fox Foundation (MJFF) for Parkinson’s research, and KCL’s NIHR Biomedical Research Unit. </w:t>
      </w:r>
    </w:p>
    <w:p w14:paraId="580B83EA" w14:textId="77777777" w:rsidR="008D32A9" w:rsidRPr="004E4A1F" w:rsidRDefault="008D32A9" w:rsidP="0090516A">
      <w:pPr>
        <w:pStyle w:val="Heading2"/>
        <w:spacing w:line="480" w:lineRule="auto"/>
        <w:rPr>
          <w:rFonts w:ascii="Times New Roman" w:hAnsi="Times New Roman" w:cs="Times New Roman"/>
          <w:color w:val="auto"/>
        </w:rPr>
      </w:pPr>
      <w:r w:rsidRPr="001077B1">
        <w:rPr>
          <w:rFonts w:ascii="Times New Roman" w:hAnsi="Times New Roman" w:cs="Times New Roman"/>
          <w:color w:val="auto"/>
        </w:rPr>
        <w:t>Fun</w:t>
      </w:r>
      <w:r w:rsidRPr="004E4A1F">
        <w:rPr>
          <w:rFonts w:ascii="Times New Roman" w:hAnsi="Times New Roman" w:cs="Times New Roman"/>
          <w:color w:val="auto"/>
        </w:rPr>
        <w:t>ding</w:t>
      </w:r>
    </w:p>
    <w:p w14:paraId="4CD0981A" w14:textId="41F96B0E" w:rsidR="00036CBD" w:rsidRPr="0035381E" w:rsidRDefault="005C4F30" w:rsidP="003A6D88">
      <w:pPr>
        <w:spacing w:line="480" w:lineRule="auto"/>
        <w:jc w:val="both"/>
        <w:rPr>
          <w:rFonts w:ascii="Times New Roman" w:hAnsi="Times New Roman" w:cs="Times New Roman"/>
          <w:sz w:val="24"/>
          <w:szCs w:val="28"/>
        </w:rPr>
      </w:pPr>
      <w:r w:rsidRPr="00286DE2">
        <w:rPr>
          <w:rStyle w:val="Heading1Char"/>
          <w:rFonts w:ascii="Times New Roman" w:hAnsi="Times New Roman" w:cs="Times New Roman"/>
          <w:b w:val="0"/>
          <w:color w:val="auto"/>
          <w:sz w:val="24"/>
          <w:szCs w:val="24"/>
        </w:rPr>
        <w:t xml:space="preserve">This research was supported by Parkinson’s UK. This research was also part supported by the </w:t>
      </w:r>
      <w:r>
        <w:rPr>
          <w:rStyle w:val="Heading1Char"/>
          <w:rFonts w:ascii="Times New Roman" w:hAnsi="Times New Roman" w:cs="Times New Roman"/>
          <w:b w:val="0"/>
          <w:color w:val="auto"/>
          <w:sz w:val="24"/>
          <w:szCs w:val="24"/>
        </w:rPr>
        <w:t>NIHR</w:t>
      </w:r>
      <w:r w:rsidRPr="00286DE2">
        <w:rPr>
          <w:rStyle w:val="Heading1Char"/>
          <w:rFonts w:ascii="Times New Roman" w:hAnsi="Times New Roman" w:cs="Times New Roman"/>
          <w:b w:val="0"/>
          <w:color w:val="auto"/>
          <w:sz w:val="24"/>
          <w:szCs w:val="24"/>
        </w:rPr>
        <w:t xml:space="preserve"> Mental Health Biomedical Research Centre at South London and Maudsley NHS Foundation. The views expressed are those of the authors and not necessarily those of the NHS, the NIHR or the Department of Health.</w:t>
      </w:r>
      <w:r>
        <w:rPr>
          <w:rStyle w:val="Heading1Char"/>
          <w:rFonts w:ascii="Times New Roman" w:hAnsi="Times New Roman" w:cs="Times New Roman"/>
          <w:b w:val="0"/>
          <w:color w:val="auto"/>
          <w:sz w:val="24"/>
          <w:szCs w:val="24"/>
        </w:rPr>
        <w:t xml:space="preserve"> </w:t>
      </w:r>
    </w:p>
    <w:p w14:paraId="00006875" w14:textId="4F267272" w:rsidR="003D70B1" w:rsidRPr="003D70B1" w:rsidRDefault="008D32A9" w:rsidP="003D70B1">
      <w:pPr>
        <w:pStyle w:val="Heading1"/>
        <w:spacing w:line="480" w:lineRule="auto"/>
        <w:rPr>
          <w:rFonts w:ascii="Times New Roman" w:hAnsi="Times New Roman" w:cs="Times New Roman"/>
          <w:color w:val="auto"/>
        </w:rPr>
      </w:pPr>
      <w:r w:rsidRPr="001077B1">
        <w:rPr>
          <w:rFonts w:ascii="Times New Roman" w:hAnsi="Times New Roman" w:cs="Times New Roman"/>
          <w:color w:val="auto"/>
        </w:rPr>
        <w:t>References</w:t>
      </w:r>
    </w:p>
    <w:p w14:paraId="2C3AB9A0" w14:textId="77777777" w:rsidR="00F203BF" w:rsidRDefault="00F203BF" w:rsidP="00B17759">
      <w:pPr>
        <w:spacing w:line="480" w:lineRule="auto"/>
        <w:ind w:left="360"/>
        <w:jc w:val="both"/>
        <w:rPr>
          <w:rFonts w:ascii="Times New Roman" w:hAnsi="Times New Roman" w:cs="Times New Roman"/>
          <w:sz w:val="24"/>
          <w:szCs w:val="28"/>
        </w:rPr>
      </w:pPr>
      <w:r w:rsidRPr="00F203BF">
        <w:rPr>
          <w:rFonts w:ascii="Times New Roman" w:hAnsi="Times New Roman" w:cs="Times New Roman"/>
          <w:sz w:val="24"/>
          <w:szCs w:val="28"/>
        </w:rPr>
        <w:t>Ahmad R, Bourgeois S, Postnov A, Schmidt ME, Bormans G, Van Laere K, et al. PET imaging shows loss of striatal PDE10A in patients with Huntington disease. Neurology 2014; 82: 279-81.</w:t>
      </w:r>
    </w:p>
    <w:p w14:paraId="2AB3FDFD" w14:textId="63EFF03C"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Ashburner J, Friston KJ. Nonlinear spatial normalization using basis functions. Hum Brain Mapp 1999; 7: 254</w:t>
      </w:r>
      <w:r w:rsidRPr="00B17759">
        <w:rPr>
          <w:rFonts w:ascii="Times New Roman" w:hAnsi="Times New Roman" w:cs="Times New Roman"/>
        </w:rPr>
        <w:t>−</w:t>
      </w:r>
      <w:r w:rsidRPr="00B17759">
        <w:rPr>
          <w:rFonts w:ascii="Times New Roman" w:hAnsi="Times New Roman" w:cs="Times New Roman"/>
          <w:sz w:val="24"/>
          <w:szCs w:val="28"/>
        </w:rPr>
        <w:t>66.</w:t>
      </w:r>
    </w:p>
    <w:p w14:paraId="56239034"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Barret O, Thomae D, Tavares A, Alagille D, Papin C, Waterhouse R, et al. In Vivo Assessment and Dosimetry of 2 Novel PDE10A PET Radiotracers in Humans: 18F-MNI-659 and 18F-MNI-654. J Nucl Med 2014; 55: 1297</w:t>
      </w:r>
      <w:r w:rsidRPr="00B17759">
        <w:rPr>
          <w:rFonts w:ascii="Times New Roman" w:hAnsi="Times New Roman" w:cs="Times New Roman"/>
        </w:rPr>
        <w:t>−</w:t>
      </w:r>
      <w:r w:rsidRPr="00B17759">
        <w:rPr>
          <w:rFonts w:ascii="Times New Roman" w:hAnsi="Times New Roman" w:cs="Times New Roman"/>
          <w:sz w:val="24"/>
          <w:szCs w:val="28"/>
        </w:rPr>
        <w:t>1304.</w:t>
      </w:r>
    </w:p>
    <w:p w14:paraId="2D5FF27C"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 xml:space="preserve">Benjamini Y and Hochberg Y. Controlling the false discovery rate: a practical and powerful approach to multiple testing. </w:t>
      </w:r>
      <w:r w:rsidRPr="00B17759">
        <w:rPr>
          <w:rFonts w:ascii="Times New Roman" w:hAnsi="Times New Roman" w:cs="Times New Roman"/>
          <w:sz w:val="24"/>
          <w:szCs w:val="28"/>
          <w:lang w:val="en-US"/>
        </w:rPr>
        <w:t>J R Stat Soc Series B Stat Methodol</w:t>
      </w:r>
      <w:r w:rsidRPr="00B17759">
        <w:rPr>
          <w:rFonts w:ascii="Times New Roman" w:hAnsi="Times New Roman" w:cs="Times New Roman"/>
          <w:sz w:val="24"/>
          <w:szCs w:val="28"/>
        </w:rPr>
        <w:t xml:space="preserve"> 1995; 57: 289–300.</w:t>
      </w:r>
    </w:p>
    <w:p w14:paraId="54E63F7C"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Berman BD, Starr PA, Marks WJ Jr, Ostrem JL. Induction of bradykinesia with pallidal deep brain stimulation in patients with cranial-cervical dystonia. Stereotact Funct Neurosurg 2009; 87: 37–44.</w:t>
      </w:r>
    </w:p>
    <w:p w14:paraId="201E59FB" w14:textId="1E1CBC3B"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Bohnen NI, Müller ML, Koeppe RA, Studenski SA</w:t>
      </w:r>
      <w:r w:rsidR="00017D02" w:rsidRPr="00B17759">
        <w:rPr>
          <w:rFonts w:ascii="Times New Roman" w:hAnsi="Times New Roman" w:cs="Times New Roman"/>
          <w:sz w:val="24"/>
          <w:szCs w:val="28"/>
        </w:rPr>
        <w:t xml:space="preserve">, Kilbourn MA, Frey KA, </w:t>
      </w:r>
      <w:r w:rsidRPr="00B17759">
        <w:rPr>
          <w:rFonts w:ascii="Times New Roman" w:hAnsi="Times New Roman" w:cs="Times New Roman"/>
          <w:sz w:val="24"/>
          <w:szCs w:val="28"/>
        </w:rPr>
        <w:t>et al. History of falls in Parkinson disease is associated with reduced cholinergic activity. Neurology 2009; 73: 1670−6.</w:t>
      </w:r>
    </w:p>
    <w:p w14:paraId="476EB52B"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Booij J, Tissingh G, Boer GJ, Speelman JD, Stoof JC, Janssen AG, et al. [123I]FP-CIT SPECT shows a pronounced decline of striatal dopamine transporter labelling in early and advanced Parkinson's disease. J Neurol Neurosurg Psychiatry. 1997; 62: 133–40.</w:t>
      </w:r>
    </w:p>
    <w:p w14:paraId="7D291B4B"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 xml:space="preserve">Broussolle E, Dentresangle C, Landais P, Garcia-Larrea L, Pollak P, Croisile B, et al. The relation of putamen and caudate nucleus </w:t>
      </w:r>
      <w:r w:rsidRPr="00B17759">
        <w:rPr>
          <w:rFonts w:ascii="Times New Roman" w:hAnsi="Times New Roman" w:cs="Times New Roman"/>
          <w:sz w:val="24"/>
          <w:szCs w:val="28"/>
          <w:vertAlign w:val="superscript"/>
        </w:rPr>
        <w:t>18</w:t>
      </w:r>
      <w:r w:rsidRPr="00B17759">
        <w:rPr>
          <w:rFonts w:ascii="Times New Roman" w:hAnsi="Times New Roman" w:cs="Times New Roman"/>
          <w:sz w:val="24"/>
          <w:szCs w:val="28"/>
        </w:rPr>
        <w:t>F-Dopa uptake to motor and cognitive performances in Parkinson's disease. J Neurol Sci. 1999; 166: 141–51.</w:t>
      </w:r>
    </w:p>
    <w:p w14:paraId="2D0902EF"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Buckner RL, Head D, Parker J, Fotenos AF, Marcus D, Morris JC, et al. A unified approach for morphometric and functional data analysis in young, old, and demented adults using automated atlas-based head size normalization: reliability and validation against manual measurement of total intracranial volume. Neuroimage 2004; 23: 724</w:t>
      </w:r>
      <w:r w:rsidRPr="00B17759">
        <w:rPr>
          <w:rFonts w:ascii="Times New Roman" w:hAnsi="Times New Roman" w:cs="Times New Roman"/>
          <w:b/>
          <w:bCs/>
          <w:sz w:val="24"/>
          <w:szCs w:val="28"/>
        </w:rPr>
        <w:t>–</w:t>
      </w:r>
      <w:r w:rsidRPr="00B17759">
        <w:rPr>
          <w:rFonts w:ascii="Times New Roman" w:hAnsi="Times New Roman" w:cs="Times New Roman"/>
          <w:sz w:val="24"/>
          <w:szCs w:val="28"/>
        </w:rPr>
        <w:t>738.</w:t>
      </w:r>
    </w:p>
    <w:p w14:paraId="4DC259E0"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Coskran TM, Morton D, Menniti FS, Adamowicz WO, Kleiman RJ, Ryan AM, et al. Immunohistochemical localization of phosphodiesterase 10A in multiple mammalian species. J Histochem Cytochem 2006; 54: 1205</w:t>
      </w:r>
      <w:r w:rsidRPr="00B17759">
        <w:rPr>
          <w:rFonts w:ascii="Times New Roman" w:hAnsi="Times New Roman" w:cs="Times New Roman"/>
          <w:b/>
          <w:bCs/>
          <w:sz w:val="24"/>
          <w:szCs w:val="28"/>
        </w:rPr>
        <w:t>–</w:t>
      </w:r>
      <w:r w:rsidRPr="00B17759">
        <w:rPr>
          <w:rFonts w:ascii="Times New Roman" w:hAnsi="Times New Roman" w:cs="Times New Roman"/>
          <w:sz w:val="24"/>
          <w:szCs w:val="28"/>
        </w:rPr>
        <w:t>13.</w:t>
      </w:r>
    </w:p>
    <w:p w14:paraId="33FEB20E" w14:textId="77777777" w:rsidR="003D70B1" w:rsidRPr="00B17759" w:rsidRDefault="003D70B1" w:rsidP="00B17759">
      <w:pPr>
        <w:spacing w:line="480" w:lineRule="auto"/>
        <w:ind w:left="360"/>
        <w:jc w:val="both"/>
        <w:rPr>
          <w:rFonts w:ascii="Times New Roman" w:hAnsi="Times New Roman" w:cs="Times New Roman"/>
          <w:sz w:val="24"/>
        </w:rPr>
      </w:pPr>
      <w:r w:rsidRPr="00B17759">
        <w:rPr>
          <w:rFonts w:ascii="Times New Roman" w:hAnsi="Times New Roman" w:cs="Times New Roman"/>
          <w:sz w:val="24"/>
        </w:rPr>
        <w:t>Cotzias GC, Papavasiliou PS, Gellene R. Modification of Parkinsonism: chronic treatment with L-dopa. N Engl J Med 1969; 280: 337</w:t>
      </w:r>
      <w:r w:rsidRPr="00B17759">
        <w:rPr>
          <w:rFonts w:ascii="Times New Roman" w:hAnsi="Times New Roman" w:cs="Times New Roman"/>
          <w:b/>
          <w:bCs/>
          <w:sz w:val="24"/>
          <w:szCs w:val="28"/>
        </w:rPr>
        <w:t>–</w:t>
      </w:r>
      <w:r w:rsidRPr="00B17759">
        <w:rPr>
          <w:rFonts w:ascii="Times New Roman" w:hAnsi="Times New Roman" w:cs="Times New Roman"/>
          <w:sz w:val="24"/>
        </w:rPr>
        <w:t>345.</w:t>
      </w:r>
    </w:p>
    <w:p w14:paraId="4D018818" w14:textId="77777777" w:rsidR="003D70B1" w:rsidRPr="00B17759" w:rsidRDefault="003D70B1" w:rsidP="00B17759">
      <w:pPr>
        <w:spacing w:line="480" w:lineRule="auto"/>
        <w:ind w:left="360"/>
        <w:jc w:val="both"/>
        <w:rPr>
          <w:rFonts w:ascii="Times New Roman" w:hAnsi="Times New Roman" w:cs="Times New Roman"/>
          <w:sz w:val="24"/>
        </w:rPr>
      </w:pPr>
      <w:r w:rsidRPr="00B17759">
        <w:rPr>
          <w:rFonts w:ascii="Times New Roman" w:hAnsi="Times New Roman" w:cs="Times New Roman"/>
          <w:sz w:val="24"/>
        </w:rPr>
        <w:t>Cotzias GC, Van Woert MH, Schiffer LM. Aromatic amino acids and modification of parkinsonism. N Engl J Med 1967; 276: 374</w:t>
      </w:r>
      <w:r w:rsidRPr="00B17759">
        <w:rPr>
          <w:rFonts w:ascii="Times New Roman" w:hAnsi="Times New Roman" w:cs="Times New Roman"/>
          <w:b/>
          <w:bCs/>
          <w:sz w:val="24"/>
          <w:szCs w:val="28"/>
        </w:rPr>
        <w:t>–</w:t>
      </w:r>
      <w:r w:rsidRPr="00B17759">
        <w:rPr>
          <w:rFonts w:ascii="Times New Roman" w:hAnsi="Times New Roman" w:cs="Times New Roman"/>
          <w:sz w:val="24"/>
        </w:rPr>
        <w:t>379.</w:t>
      </w:r>
    </w:p>
    <w:p w14:paraId="4ECEE5B9"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de la Fuente-Fernandez R, Lu JQ, Sossi V, Jivan S, Schulzer M, Holden JE, Lee CS, et al. Biochemical variations in the synaptic levels of dopamine precede motor fluctuations in Parkinson’s disease: PET evidence of increased dopamine turnover.  Ann Neurol 2001; 49: 298</w:t>
      </w:r>
      <w:r w:rsidRPr="00B17759">
        <w:rPr>
          <w:rFonts w:ascii="Times New Roman" w:hAnsi="Times New Roman" w:cs="Times New Roman"/>
          <w:b/>
          <w:bCs/>
          <w:sz w:val="24"/>
          <w:szCs w:val="28"/>
        </w:rPr>
        <w:t>–</w:t>
      </w:r>
      <w:r w:rsidRPr="00B17759">
        <w:rPr>
          <w:rFonts w:ascii="Times New Roman" w:hAnsi="Times New Roman" w:cs="Times New Roman"/>
          <w:sz w:val="24"/>
          <w:szCs w:val="28"/>
        </w:rPr>
        <w:t>303.</w:t>
      </w:r>
    </w:p>
    <w:p w14:paraId="724FBE59"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Fischl B, Salat DH, Busa E, Albert M, Dieterich M, Haselgrove C, et al. Whole Brain Segmentation: Automated Labeling of Neuroanatomical Structures in the Human Brain. Neuron 2002; 33: 341–355.</w:t>
      </w:r>
    </w:p>
    <w:p w14:paraId="78465BDB" w14:textId="34BBF132" w:rsidR="003D70B1"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Fredholm BB, Bättig K, Holmén J, Nehlig A,</w:t>
      </w:r>
      <w:r w:rsidR="00017D02" w:rsidRPr="00B17759">
        <w:rPr>
          <w:rFonts w:ascii="Times New Roman" w:hAnsi="Times New Roman" w:cs="Times New Roman"/>
          <w:sz w:val="24"/>
          <w:szCs w:val="28"/>
        </w:rPr>
        <w:t xml:space="preserve"> Zvartau EE.</w:t>
      </w:r>
      <w:r w:rsidRPr="00B17759">
        <w:rPr>
          <w:rFonts w:ascii="Times New Roman" w:hAnsi="Times New Roman" w:cs="Times New Roman"/>
          <w:sz w:val="24"/>
          <w:szCs w:val="28"/>
        </w:rPr>
        <w:t xml:space="preserve"> Actions of caffeine in the brain with special reference to factors that contribute to its widespread use. Pharmacol Rev 1999; 51: 83–133.</w:t>
      </w:r>
    </w:p>
    <w:p w14:paraId="70F7425A" w14:textId="6FCA6FF1" w:rsidR="002B1501" w:rsidRPr="00B17759" w:rsidRDefault="002B1501" w:rsidP="00B17759">
      <w:pPr>
        <w:spacing w:line="480" w:lineRule="auto"/>
        <w:ind w:left="360"/>
        <w:jc w:val="both"/>
        <w:rPr>
          <w:rFonts w:ascii="Times New Roman" w:hAnsi="Times New Roman" w:cs="Times New Roman"/>
          <w:sz w:val="24"/>
          <w:szCs w:val="28"/>
        </w:rPr>
      </w:pPr>
      <w:r w:rsidRPr="002B1501">
        <w:rPr>
          <w:rFonts w:ascii="Times New Roman" w:hAnsi="Times New Roman" w:cs="Times New Roman"/>
          <w:sz w:val="24"/>
          <w:szCs w:val="28"/>
        </w:rPr>
        <w:t>Friston KJ, Holmes AP, Worsley KJ, Poline JB, Frith CD, Frackowiak RS. Statistical parametric maps in functional imaging: a general linear approach. Hum. Brain Mapp. 1995; 2: 189–210.</w:t>
      </w:r>
    </w:p>
    <w:p w14:paraId="3E3EE6C1" w14:textId="31F2FF7E"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 xml:space="preserve">Fujishige K, Kotera J, Omori K. Striatum- and testis-specific phosphodiesterase </w:t>
      </w:r>
      <w:r w:rsidR="00DB5B8C">
        <w:rPr>
          <w:rFonts w:ascii="Times New Roman" w:hAnsi="Times New Roman" w:cs="Times New Roman"/>
          <w:sz w:val="24"/>
          <w:szCs w:val="28"/>
        </w:rPr>
        <w:t>PD</w:t>
      </w:r>
      <w:r w:rsidRPr="00B17759">
        <w:rPr>
          <w:rFonts w:ascii="Times New Roman" w:hAnsi="Times New Roman" w:cs="Times New Roman"/>
          <w:sz w:val="24"/>
          <w:szCs w:val="28"/>
        </w:rPr>
        <w:t>E10A isolation and characterization of a rat PDE10A. Eur J Biochem 1999; 266: 1118–27.</w:t>
      </w:r>
    </w:p>
    <w:p w14:paraId="07D87186"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Giorgi M, D'Angelo V, Esposito Z, Nuccetelli V, Sorge R, Martorana A, et al. Lowered cAMP and cGMP signalling in the brain during levodopa-induced dyskinesias in hemiparkinsonian rats: new aspects in the pathogenetic mechanisms. Eur J Neurosci 2008; 28: 941</w:t>
      </w:r>
      <w:r w:rsidRPr="00B17759">
        <w:rPr>
          <w:rFonts w:ascii="Times New Roman" w:hAnsi="Times New Roman" w:cs="Times New Roman"/>
          <w:b/>
          <w:bCs/>
          <w:sz w:val="24"/>
          <w:szCs w:val="28"/>
        </w:rPr>
        <w:t>–</w:t>
      </w:r>
      <w:r w:rsidRPr="00B17759">
        <w:rPr>
          <w:rFonts w:ascii="Times New Roman" w:hAnsi="Times New Roman" w:cs="Times New Roman"/>
          <w:sz w:val="24"/>
          <w:szCs w:val="28"/>
        </w:rPr>
        <w:t>50.</w:t>
      </w:r>
    </w:p>
    <w:p w14:paraId="1587E09F"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Giorgi M, Melchiorri G, Nuccetelli V, D'Angelo V, Martorana A, Sorge R, et al. PDE10A and PDE10A-dependent cAMP catabolism are dysregulated oppositely in striatum and nucleus accumbens after lesion of midbrain dopamine neurons in rat: a key step in parkinsonism physiopathology. Neurobiol Dis 2011; 43: 293</w:t>
      </w:r>
      <w:r w:rsidRPr="00B17759">
        <w:rPr>
          <w:rFonts w:ascii="Times New Roman" w:hAnsi="Times New Roman" w:cs="Times New Roman"/>
          <w:b/>
          <w:bCs/>
          <w:sz w:val="24"/>
          <w:szCs w:val="28"/>
        </w:rPr>
        <w:t>–</w:t>
      </w:r>
      <w:r w:rsidRPr="00B17759">
        <w:rPr>
          <w:rFonts w:ascii="Times New Roman" w:hAnsi="Times New Roman" w:cs="Times New Roman"/>
          <w:sz w:val="24"/>
          <w:szCs w:val="28"/>
        </w:rPr>
        <w:t>303.</w:t>
      </w:r>
    </w:p>
    <w:p w14:paraId="18C0FD6B"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Girault JA. Integrating neurotransmission in striatal medium spiny neurons. Adv Exp Med Biol 2012; 970: 407</w:t>
      </w:r>
      <w:r w:rsidRPr="00B17759">
        <w:rPr>
          <w:rFonts w:ascii="Times New Roman" w:hAnsi="Times New Roman" w:cs="Times New Roman"/>
          <w:b/>
          <w:bCs/>
          <w:sz w:val="24"/>
          <w:szCs w:val="28"/>
        </w:rPr>
        <w:t>–</w:t>
      </w:r>
      <w:r w:rsidRPr="00B17759">
        <w:rPr>
          <w:rFonts w:ascii="Times New Roman" w:hAnsi="Times New Roman" w:cs="Times New Roman"/>
          <w:sz w:val="24"/>
          <w:szCs w:val="28"/>
        </w:rPr>
        <w:t>29.</w:t>
      </w:r>
    </w:p>
    <w:p w14:paraId="3EC6BA8D"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Greengard P, Allen PB, Nairn AC. Beyond the dopamine receptor: the DARPP- 32/protein phosphatase-1 cascade. Neuron 1999; 23: 435–447.</w:t>
      </w:r>
    </w:p>
    <w:p w14:paraId="68EF9467"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Gunn RN, Lammertsma AA, Hume SP, Cunningham VJ. Parametric imaging of ligand-receptor binding in PET using a simplified reference region model. Neuroimage 1997; 6: 279–287.</w:t>
      </w:r>
    </w:p>
    <w:p w14:paraId="4A1D23CF"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Herve D, Le Moine C, Corvol JC, Belluscio L, Ledent C, Fienberg AA, et al. Galpha(olf) levels are regulated by receptor usage and control dopamine and adenosine action in the striatum. J Neurosci 2001; 21: 4390–99.</w:t>
      </w:r>
    </w:p>
    <w:p w14:paraId="5AF3A7B8" w14:textId="77777777" w:rsidR="003D70B1"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Hossain MA, Weiner N. Dopaminergic functional supersensitivity: effects of chronic L-dopa and carbidopa treatment in an animal model of Parkinson's disease. J Pharmacol Exp Ther 1993; 267: 1105</w:t>
      </w:r>
      <w:r w:rsidRPr="00B17759">
        <w:rPr>
          <w:rFonts w:ascii="Times New Roman" w:hAnsi="Times New Roman" w:cs="Times New Roman"/>
          <w:b/>
          <w:bCs/>
          <w:sz w:val="24"/>
          <w:szCs w:val="28"/>
        </w:rPr>
        <w:t>–</w:t>
      </w:r>
      <w:r w:rsidRPr="00B17759">
        <w:rPr>
          <w:rFonts w:ascii="Times New Roman" w:hAnsi="Times New Roman" w:cs="Times New Roman"/>
          <w:sz w:val="24"/>
          <w:szCs w:val="28"/>
        </w:rPr>
        <w:t>11.</w:t>
      </w:r>
    </w:p>
    <w:p w14:paraId="291AD70E" w14:textId="60B6EE45" w:rsidR="00B815F7" w:rsidRPr="00B17759" w:rsidRDefault="00B815F7" w:rsidP="00B815F7">
      <w:pPr>
        <w:spacing w:line="480" w:lineRule="auto"/>
        <w:ind w:left="360"/>
        <w:jc w:val="both"/>
        <w:rPr>
          <w:rFonts w:ascii="Times New Roman" w:hAnsi="Times New Roman" w:cs="Times New Roman"/>
          <w:sz w:val="24"/>
          <w:szCs w:val="28"/>
        </w:rPr>
      </w:pPr>
      <w:r w:rsidRPr="00B815F7">
        <w:rPr>
          <w:rFonts w:ascii="Times New Roman" w:hAnsi="Times New Roman" w:cs="Times New Roman"/>
          <w:sz w:val="24"/>
          <w:szCs w:val="28"/>
        </w:rPr>
        <w:t xml:space="preserve">Hsiao IT, Weng YH, Hsieh CJ, Lin WY, Wey SP, Kung MP, </w:t>
      </w:r>
      <w:r w:rsidR="000A77DD">
        <w:rPr>
          <w:rFonts w:ascii="Times New Roman" w:hAnsi="Times New Roman" w:cs="Times New Roman"/>
          <w:sz w:val="24"/>
          <w:szCs w:val="28"/>
        </w:rPr>
        <w:t xml:space="preserve">et al. </w:t>
      </w:r>
      <w:r w:rsidRPr="00B815F7">
        <w:rPr>
          <w:rFonts w:ascii="Times New Roman" w:hAnsi="Times New Roman" w:cs="Times New Roman"/>
          <w:sz w:val="24"/>
          <w:szCs w:val="28"/>
        </w:rPr>
        <w:t>Correlation of Parkinson disease severity and 18F-DTBZ positron emission tomography.</w:t>
      </w:r>
      <w:r>
        <w:rPr>
          <w:rFonts w:ascii="Times New Roman" w:hAnsi="Times New Roman" w:cs="Times New Roman"/>
          <w:sz w:val="24"/>
          <w:szCs w:val="28"/>
        </w:rPr>
        <w:t xml:space="preserve"> JAMA Neurol. 2014</w:t>
      </w:r>
      <w:r w:rsidRPr="00B815F7">
        <w:rPr>
          <w:rFonts w:ascii="Times New Roman" w:hAnsi="Times New Roman" w:cs="Times New Roman"/>
          <w:sz w:val="24"/>
          <w:szCs w:val="28"/>
        </w:rPr>
        <w:t>;</w:t>
      </w:r>
      <w:r>
        <w:rPr>
          <w:rFonts w:ascii="Times New Roman" w:hAnsi="Times New Roman" w:cs="Times New Roman"/>
          <w:sz w:val="24"/>
          <w:szCs w:val="28"/>
        </w:rPr>
        <w:t xml:space="preserve"> 71</w:t>
      </w:r>
      <w:r w:rsidRPr="00B815F7">
        <w:rPr>
          <w:rFonts w:ascii="Times New Roman" w:hAnsi="Times New Roman" w:cs="Times New Roman"/>
          <w:sz w:val="24"/>
          <w:szCs w:val="28"/>
        </w:rPr>
        <w:t>:</w:t>
      </w:r>
      <w:r>
        <w:rPr>
          <w:rFonts w:ascii="Times New Roman" w:hAnsi="Times New Roman" w:cs="Times New Roman"/>
          <w:sz w:val="24"/>
          <w:szCs w:val="28"/>
        </w:rPr>
        <w:t xml:space="preserve"> 758</w:t>
      </w:r>
      <w:r w:rsidRPr="00B17759">
        <w:rPr>
          <w:rFonts w:ascii="Times New Roman" w:hAnsi="Times New Roman" w:cs="Times New Roman"/>
          <w:b/>
          <w:bCs/>
          <w:sz w:val="24"/>
          <w:szCs w:val="28"/>
        </w:rPr>
        <w:t>–</w:t>
      </w:r>
      <w:r w:rsidRPr="00B815F7">
        <w:rPr>
          <w:rFonts w:ascii="Times New Roman" w:hAnsi="Times New Roman" w:cs="Times New Roman"/>
          <w:sz w:val="24"/>
          <w:szCs w:val="28"/>
        </w:rPr>
        <w:t>66.</w:t>
      </w:r>
    </w:p>
    <w:p w14:paraId="507630C8" w14:textId="77777777" w:rsidR="003D70B1"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Jellinger KA. Pathology of Parkinson’s disease. Molecular and Chemical Neuropathology 1991; 3: 153</w:t>
      </w:r>
      <w:r w:rsidRPr="00B17759">
        <w:rPr>
          <w:rFonts w:ascii="Times New Roman" w:hAnsi="Times New Roman" w:cs="Times New Roman"/>
          <w:b/>
          <w:bCs/>
          <w:sz w:val="24"/>
          <w:szCs w:val="28"/>
        </w:rPr>
        <w:t>–</w:t>
      </w:r>
      <w:r w:rsidRPr="00B17759">
        <w:rPr>
          <w:rFonts w:ascii="Times New Roman" w:hAnsi="Times New Roman" w:cs="Times New Roman"/>
          <w:sz w:val="24"/>
          <w:szCs w:val="28"/>
        </w:rPr>
        <w:t>197.</w:t>
      </w:r>
    </w:p>
    <w:p w14:paraId="50ED5B24" w14:textId="1528291C" w:rsidR="00FA7239" w:rsidRPr="00FA7239" w:rsidRDefault="00FA7239" w:rsidP="00FA7239">
      <w:pPr>
        <w:spacing w:line="480" w:lineRule="auto"/>
        <w:ind w:left="360"/>
        <w:jc w:val="both"/>
        <w:rPr>
          <w:rFonts w:ascii="Times New Roman" w:hAnsi="Times New Roman" w:cs="Times New Roman"/>
          <w:sz w:val="24"/>
          <w:szCs w:val="28"/>
        </w:rPr>
      </w:pPr>
      <w:r>
        <w:rPr>
          <w:rFonts w:ascii="Times New Roman" w:hAnsi="Times New Roman" w:cs="Times New Roman"/>
          <w:sz w:val="24"/>
          <w:szCs w:val="28"/>
        </w:rPr>
        <w:t>Kelly MP, Adamowicz W, Bove S, Hartman AJ, Mariga A</w:t>
      </w:r>
      <w:r w:rsidRPr="00FA7239">
        <w:rPr>
          <w:rFonts w:ascii="Times New Roman" w:hAnsi="Times New Roman" w:cs="Times New Roman"/>
          <w:sz w:val="24"/>
          <w:szCs w:val="28"/>
        </w:rPr>
        <w:t>, Patha</w:t>
      </w:r>
      <w:r>
        <w:rPr>
          <w:rFonts w:ascii="Times New Roman" w:hAnsi="Times New Roman" w:cs="Times New Roman"/>
          <w:sz w:val="24"/>
          <w:szCs w:val="28"/>
        </w:rPr>
        <w:t xml:space="preserve">k G, </w:t>
      </w:r>
      <w:r w:rsidR="000A77DD">
        <w:rPr>
          <w:rFonts w:ascii="Times New Roman" w:hAnsi="Times New Roman" w:cs="Times New Roman"/>
          <w:sz w:val="24"/>
          <w:szCs w:val="28"/>
        </w:rPr>
        <w:t>et al</w:t>
      </w:r>
      <w:r w:rsidRPr="00FA7239">
        <w:rPr>
          <w:rFonts w:ascii="Times New Roman" w:hAnsi="Times New Roman" w:cs="Times New Roman"/>
          <w:sz w:val="24"/>
          <w:szCs w:val="28"/>
        </w:rPr>
        <w:t>.</w:t>
      </w:r>
      <w:r>
        <w:rPr>
          <w:rFonts w:ascii="Times New Roman" w:hAnsi="Times New Roman" w:cs="Times New Roman"/>
          <w:sz w:val="24"/>
          <w:szCs w:val="28"/>
        </w:rPr>
        <w:t xml:space="preserve"> </w:t>
      </w:r>
      <w:r w:rsidRPr="00FA7239">
        <w:rPr>
          <w:rFonts w:ascii="Times New Roman" w:hAnsi="Times New Roman" w:cs="Times New Roman"/>
          <w:sz w:val="24"/>
          <w:szCs w:val="28"/>
        </w:rPr>
        <w:t>Select 3',5'-cyclic nucleotide phosphodiesterases exhibit altered expression in the aged rodent brain.</w:t>
      </w:r>
      <w:r>
        <w:rPr>
          <w:rFonts w:ascii="Times New Roman" w:hAnsi="Times New Roman" w:cs="Times New Roman"/>
          <w:sz w:val="24"/>
          <w:szCs w:val="28"/>
        </w:rPr>
        <w:t xml:space="preserve"> </w:t>
      </w:r>
      <w:r w:rsidRPr="00FA7239">
        <w:rPr>
          <w:rFonts w:ascii="Times New Roman" w:hAnsi="Times New Roman" w:cs="Times New Roman"/>
          <w:sz w:val="24"/>
          <w:szCs w:val="28"/>
        </w:rPr>
        <w:t>Cell Signal. 2014;</w:t>
      </w:r>
      <w:r>
        <w:rPr>
          <w:rFonts w:ascii="Times New Roman" w:hAnsi="Times New Roman" w:cs="Times New Roman"/>
          <w:sz w:val="24"/>
          <w:szCs w:val="28"/>
        </w:rPr>
        <w:t xml:space="preserve"> 26</w:t>
      </w:r>
      <w:r w:rsidRPr="00FA7239">
        <w:rPr>
          <w:rFonts w:ascii="Times New Roman" w:hAnsi="Times New Roman" w:cs="Times New Roman"/>
          <w:sz w:val="24"/>
          <w:szCs w:val="28"/>
        </w:rPr>
        <w:t>:</w:t>
      </w:r>
      <w:r>
        <w:rPr>
          <w:rFonts w:ascii="Times New Roman" w:hAnsi="Times New Roman" w:cs="Times New Roman"/>
          <w:sz w:val="24"/>
          <w:szCs w:val="28"/>
        </w:rPr>
        <w:t xml:space="preserve"> </w:t>
      </w:r>
      <w:r w:rsidRPr="00FA7239">
        <w:rPr>
          <w:rFonts w:ascii="Times New Roman" w:hAnsi="Times New Roman" w:cs="Times New Roman"/>
          <w:sz w:val="24"/>
          <w:szCs w:val="28"/>
        </w:rPr>
        <w:t>383</w:t>
      </w:r>
      <w:r w:rsidRPr="00B17759">
        <w:rPr>
          <w:rFonts w:ascii="Times New Roman" w:hAnsi="Times New Roman" w:cs="Times New Roman"/>
          <w:sz w:val="24"/>
          <w:szCs w:val="28"/>
        </w:rPr>
        <w:t>–</w:t>
      </w:r>
      <w:r w:rsidRPr="00FA7239">
        <w:rPr>
          <w:rFonts w:ascii="Times New Roman" w:hAnsi="Times New Roman" w:cs="Times New Roman"/>
          <w:sz w:val="24"/>
          <w:szCs w:val="28"/>
        </w:rPr>
        <w:t xml:space="preserve">97. </w:t>
      </w:r>
    </w:p>
    <w:p w14:paraId="613A5AEC"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Krack P, Pollak P, Limousin P, Hoffmann D, et al. J. Subthalamic nucleus or internal pallidal stimulation in young onset Parkinson's disease. Brain 1998; 121: 451–7.</w:t>
      </w:r>
    </w:p>
    <w:p w14:paraId="16BEE9A7" w14:textId="77777777" w:rsidR="003D70B1" w:rsidRPr="00B17759" w:rsidRDefault="003D70B1" w:rsidP="00B17759">
      <w:pPr>
        <w:spacing w:line="480" w:lineRule="auto"/>
        <w:ind w:left="360"/>
        <w:jc w:val="both"/>
        <w:rPr>
          <w:rFonts w:ascii="Times New Roman" w:hAnsi="Times New Roman" w:cs="Times New Roman"/>
          <w:sz w:val="24"/>
          <w:szCs w:val="28"/>
          <w:lang w:val="en-US"/>
        </w:rPr>
      </w:pPr>
      <w:r w:rsidRPr="00B17759">
        <w:rPr>
          <w:rFonts w:ascii="Times New Roman" w:hAnsi="Times New Roman" w:cs="Times New Roman"/>
          <w:sz w:val="24"/>
          <w:szCs w:val="28"/>
          <w:lang w:val="en-US"/>
        </w:rPr>
        <w:t>Lees AJ, Shaw KM, Stern GM. “Off period” dystonia and “on period” choreoathetosis in levodopatreated patients with Parkinson’s disease. Lancet 1977; 2: 1034.</w:t>
      </w:r>
    </w:p>
    <w:p w14:paraId="35165DF2"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Loane C, Wu K, Bain P, Brooks DJ, Piccini P, Politis M. Serotonergic loss in motor circuitries correlates with severity of action-postural tremor in PD. Neurology 2013; 80: 1850</w:t>
      </w:r>
      <w:r w:rsidRPr="00B17759">
        <w:rPr>
          <w:rFonts w:ascii="Times New Roman" w:hAnsi="Times New Roman" w:cs="Times New Roman"/>
          <w:b/>
          <w:bCs/>
          <w:sz w:val="24"/>
          <w:szCs w:val="28"/>
        </w:rPr>
        <w:t>–</w:t>
      </w:r>
      <w:r w:rsidRPr="00B17759">
        <w:rPr>
          <w:rFonts w:ascii="Times New Roman" w:hAnsi="Times New Roman" w:cs="Times New Roman"/>
          <w:sz w:val="24"/>
          <w:szCs w:val="28"/>
        </w:rPr>
        <w:t>5.</w:t>
      </w:r>
    </w:p>
    <w:p w14:paraId="361EE22F"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Marek K, Innis R, van Dyck C, Fussell B, Early M, Eberly S, et al. [</w:t>
      </w:r>
      <w:r w:rsidRPr="00B17759">
        <w:rPr>
          <w:rFonts w:ascii="Times New Roman" w:hAnsi="Times New Roman" w:cs="Times New Roman"/>
          <w:sz w:val="24"/>
          <w:szCs w:val="28"/>
          <w:vertAlign w:val="superscript"/>
        </w:rPr>
        <w:t>123</w:t>
      </w:r>
      <w:r w:rsidRPr="00B17759">
        <w:rPr>
          <w:rFonts w:ascii="Times New Roman" w:hAnsi="Times New Roman" w:cs="Times New Roman"/>
          <w:sz w:val="24"/>
          <w:szCs w:val="28"/>
        </w:rPr>
        <w:t>I]beta-CIT SPECT imaging assessment of the rate of Parkinson's disease progression. Neurology 2001; 57: 2089–94.</w:t>
      </w:r>
    </w:p>
    <w:p w14:paraId="59D7F3AC"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Montgomery AJ, Thielemans K, Mehta MA, Turkheimer F, Mustafovic S, Grasby PM. Correction of head movement on PET studies: comparison of methods. J Nucl Med 2006; 47: 1936–44.</w:t>
      </w:r>
    </w:p>
    <w:p w14:paraId="4CABFC14"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Nishi A, Kuroiwa M, Miller DB, O'Callaghan JP, Bateup HS, Shuto T, et al. Distinct roles of PDE4 and PDE10A in the regulation of cAMP/PKA signaling in the striatum. J Neurosci 2008 15; 28: 10460–71.</w:t>
      </w:r>
    </w:p>
    <w:p w14:paraId="7CF268FF"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 xml:space="preserve">Otsuka M, Ichiya Y, Kuwabara Y, Hosokawa S, Sasaki M, Yoshida T, et al. Differences in the reduced </w:t>
      </w:r>
      <w:r w:rsidRPr="00B17759">
        <w:rPr>
          <w:rFonts w:ascii="Times New Roman" w:hAnsi="Times New Roman" w:cs="Times New Roman"/>
          <w:sz w:val="24"/>
          <w:szCs w:val="28"/>
          <w:vertAlign w:val="superscript"/>
        </w:rPr>
        <w:t>18</w:t>
      </w:r>
      <w:r w:rsidRPr="00B17759">
        <w:rPr>
          <w:rFonts w:ascii="Times New Roman" w:hAnsi="Times New Roman" w:cs="Times New Roman"/>
          <w:sz w:val="24"/>
          <w:szCs w:val="28"/>
        </w:rPr>
        <w:t>F-Dopa uptakes of the caudate and the putamen in Parkinson's disease: correlations with the three main symptoms. J Neurol Sci. 1996; 136: 169–73.</w:t>
      </w:r>
    </w:p>
    <w:p w14:paraId="413D608A"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Peterson DS, Pickett KA, Duncan RP, Perlmutter JS, Earhart GM. Brain activity during complex imagined gait tasks in Parkinson disease. Clin Neurophysiol. 2014; 125: 995–1005.</w:t>
      </w:r>
    </w:p>
    <w:p w14:paraId="6AAD577C" w14:textId="3B89D289"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 xml:space="preserve">Picconi B, Bagetta V, Ghiglieri V, Paillè V, </w:t>
      </w:r>
      <w:r w:rsidR="00017D02" w:rsidRPr="00B17759">
        <w:rPr>
          <w:rFonts w:ascii="Times New Roman" w:hAnsi="Times New Roman" w:cs="Times New Roman"/>
          <w:sz w:val="24"/>
          <w:szCs w:val="28"/>
        </w:rPr>
        <w:t xml:space="preserve">Greengard P, Fisone G, </w:t>
      </w:r>
      <w:r w:rsidRPr="00B17759">
        <w:rPr>
          <w:rFonts w:ascii="Times New Roman" w:hAnsi="Times New Roman" w:cs="Times New Roman"/>
          <w:sz w:val="24"/>
          <w:szCs w:val="28"/>
        </w:rPr>
        <w:t>et al. Inhibition of phosphodiesterases rescues striatal long-term depression and reduces levodopa-induced dyskinesia. Brain 2011;134: 375–87.</w:t>
      </w:r>
    </w:p>
    <w:p w14:paraId="17022995" w14:textId="662CADBB"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Picconi B, Cento</w:t>
      </w:r>
      <w:r w:rsidR="002D2787" w:rsidRPr="00B17759">
        <w:rPr>
          <w:rFonts w:ascii="Times New Roman" w:hAnsi="Times New Roman" w:cs="Times New Roman"/>
          <w:sz w:val="24"/>
          <w:szCs w:val="28"/>
        </w:rPr>
        <w:t xml:space="preserve">nze D, Håkansson K, Bernardi G, Barone I, Lindgren HS, </w:t>
      </w:r>
      <w:r w:rsidRPr="00B17759">
        <w:rPr>
          <w:rFonts w:ascii="Times New Roman" w:hAnsi="Times New Roman" w:cs="Times New Roman"/>
          <w:sz w:val="24"/>
          <w:szCs w:val="28"/>
        </w:rPr>
        <w:t>et al. Loss of bidirectional striatal synaptic plasticity in L-DOPA-induced dyskinesia. Nat Neurosci 2003 6: 501–6.</w:t>
      </w:r>
    </w:p>
    <w:p w14:paraId="4902046E" w14:textId="249F4E5C"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 xml:space="preserve">Picconi B, Paillé V, Ghiglieri V, Bagetta V, </w:t>
      </w:r>
      <w:r w:rsidR="002D2787" w:rsidRPr="00B17759">
        <w:rPr>
          <w:rFonts w:ascii="Times New Roman" w:hAnsi="Times New Roman" w:cs="Times New Roman"/>
          <w:sz w:val="24"/>
          <w:szCs w:val="28"/>
        </w:rPr>
        <w:t xml:space="preserve">Di Filippo M, Pendolino V, </w:t>
      </w:r>
      <w:r w:rsidRPr="00B17759">
        <w:rPr>
          <w:rFonts w:ascii="Times New Roman" w:hAnsi="Times New Roman" w:cs="Times New Roman"/>
          <w:sz w:val="24"/>
          <w:szCs w:val="28"/>
        </w:rPr>
        <w:t>et al. l-DOPA dosage is critically involved in dyskinesia via loss of synaptic depotentiation. Neurobiol Dis 2008 229: 327–35.</w:t>
      </w:r>
    </w:p>
    <w:p w14:paraId="6D70DEDA"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Plisson C, Salinas C, Weinzimmer D, Labaree D, Lin SF, Ding YS, et al. Radiosynthesis and in vivo evaluation of [(11)C]MP-10 as a positron emission tomography radioligand for phosphodiesterase 10A. Nucl Med Biol 2011; 38: 875–84.</w:t>
      </w:r>
    </w:p>
    <w:p w14:paraId="1E224ACE"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Plisson C, Weinzimmer D, Jakobsen S, Natesan S, Salinas C, Lin SF, et al. Phosphodiesterase 10A PET radioligand development program: from pig to human. J Nucl Med 2014; 55: 595–601.</w:t>
      </w:r>
    </w:p>
    <w:p w14:paraId="47255343" w14:textId="1C68E313" w:rsidR="00017D02" w:rsidRPr="00B17759" w:rsidRDefault="00017D02"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Polit</w:t>
      </w:r>
      <w:r w:rsidR="004C085D" w:rsidRPr="00B17759">
        <w:rPr>
          <w:rFonts w:ascii="Times New Roman" w:hAnsi="Times New Roman" w:cs="Times New Roman"/>
          <w:sz w:val="24"/>
          <w:szCs w:val="28"/>
        </w:rPr>
        <w:t xml:space="preserve">is M, Wu K, Loane C, Kiferle L, Molloy S, Brooks DJ, </w:t>
      </w:r>
      <w:r w:rsidRPr="00B17759">
        <w:rPr>
          <w:rFonts w:ascii="Times New Roman" w:hAnsi="Times New Roman" w:cs="Times New Roman"/>
          <w:sz w:val="24"/>
          <w:szCs w:val="28"/>
        </w:rPr>
        <w:t>et al. P, Staging of serotonergic dysfunction in Parkinson's disease: an in vivo 11C-DASB PET study. Neurobiol Dis 2010; 40: 216–21.</w:t>
      </w:r>
    </w:p>
    <w:p w14:paraId="249C932F" w14:textId="2D9E4EBB"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 xml:space="preserve">Politis M, Wu K, Loane C, Brooks DJ, Kiferle L, Turkheimer FE, et al. Serotonergic mechanisms responsible for levodopa-induced dyskinesias in Parkinson's </w:t>
      </w:r>
      <w:r w:rsidR="00017D02" w:rsidRPr="00B17759">
        <w:rPr>
          <w:rFonts w:ascii="Times New Roman" w:hAnsi="Times New Roman" w:cs="Times New Roman"/>
          <w:sz w:val="24"/>
          <w:szCs w:val="28"/>
        </w:rPr>
        <w:t>disease patients. J Clin Invest</w:t>
      </w:r>
      <w:r w:rsidRPr="00B17759">
        <w:rPr>
          <w:rFonts w:ascii="Times New Roman" w:hAnsi="Times New Roman" w:cs="Times New Roman"/>
          <w:sz w:val="24"/>
          <w:szCs w:val="28"/>
        </w:rPr>
        <w:t xml:space="preserve"> 2014; 124: 1340–9. </w:t>
      </w:r>
    </w:p>
    <w:p w14:paraId="678D5AA3"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Pötter-Nerger M, Volkmann J. Deep brain stimulation for gait and postural symptoms in Parkinson's disease. Mov Disord. 2013; 28: 1609–15.</w:t>
      </w:r>
    </w:p>
    <w:p w14:paraId="34DB14B4"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Prodoehl J, Yu H, Little DM, Abraham I, Vaillancourt DE. Region of interest template for the human basal ganglia: comparing EPI and standardized space approaches. Neuroimage. 2008; 39: 956–65.</w:t>
      </w:r>
    </w:p>
    <w:p w14:paraId="53B61009"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Rasmussen H. Cell Communication, Calcium Ion, and Cyclic Adenosine Monophosphate. Science 1970; 170: 404–12.</w:t>
      </w:r>
    </w:p>
    <w:p w14:paraId="7C3D296E" w14:textId="7E98046B" w:rsidR="00F203BF" w:rsidRDefault="00F203BF" w:rsidP="00F203BF">
      <w:pPr>
        <w:spacing w:line="480" w:lineRule="auto"/>
        <w:ind w:left="360"/>
        <w:jc w:val="both"/>
        <w:rPr>
          <w:rFonts w:ascii="Times New Roman" w:hAnsi="Times New Roman" w:cs="Times New Roman"/>
          <w:sz w:val="24"/>
          <w:szCs w:val="28"/>
        </w:rPr>
      </w:pPr>
      <w:r w:rsidRPr="00F203BF">
        <w:rPr>
          <w:rFonts w:ascii="Times New Roman" w:hAnsi="Times New Roman" w:cs="Times New Roman"/>
          <w:sz w:val="24"/>
          <w:szCs w:val="28"/>
        </w:rPr>
        <w:t xml:space="preserve">Russell DS, Barret O, Jennings DL, Friedman JH, Tamagnan GD, Thomae D, </w:t>
      </w:r>
      <w:r w:rsidR="000A77DD">
        <w:rPr>
          <w:rFonts w:ascii="Times New Roman" w:hAnsi="Times New Roman" w:cs="Times New Roman"/>
          <w:sz w:val="24"/>
          <w:szCs w:val="28"/>
        </w:rPr>
        <w:t xml:space="preserve">et al. </w:t>
      </w:r>
      <w:r w:rsidRPr="00F203BF">
        <w:rPr>
          <w:rFonts w:ascii="Times New Roman" w:hAnsi="Times New Roman" w:cs="Times New Roman"/>
          <w:sz w:val="24"/>
          <w:szCs w:val="28"/>
        </w:rPr>
        <w:t>The Phosphodiesterase 10 Positron Emission Tomography Tracer, [18F]MNI-659, as a Novel Biomarker for Early Huntington Disease. JAMA Neurol. 2014; 71: 1520–8.</w:t>
      </w:r>
    </w:p>
    <w:p w14:paraId="0A921086" w14:textId="516B4BBC" w:rsidR="003D70B1" w:rsidRPr="00B17759" w:rsidRDefault="003D70B1" w:rsidP="00F203BF">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Sancesario G, Morrone LA, D'Angelo V, Castelli V, Ferrazzoli D, Sica F, et al. Levodopa-induced dyskinesias are associated with transient down-regulation of cAMP and cGMP in the caudate-putamen of hemiparkinsonian rats: Reduced synthesis or increased catabolism? Neurochem Int 2014; 79: 44–56.</w:t>
      </w:r>
    </w:p>
    <w:p w14:paraId="2090A3B2"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Seeger TF, Bartlett B, Coskran TM, Culp JS, James LC, Krull DL, et al. Immunohistochemical localization of PDE10A in the rat brain. Brain Res 2003; 985: 113–126.</w:t>
      </w:r>
    </w:p>
    <w:p w14:paraId="67E4B449"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 xml:space="preserve">Shine JM, Matar E, Ward PB, Bolitho SJ, Gilat M, Pearson M, et al. Exploring the cortical and subcortical functional magnetic resonance imaging changes associated with freezing in Parkinson's disease. Brain. 2013; 136: 1204–15. </w:t>
      </w:r>
    </w:p>
    <w:p w14:paraId="4BE53F71"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Stoof JC, Kebabian JW. Opposing roles for D-1 and D-2 dopamine receptors in efflux of cyclic AMP from rat neostriatum. Nature 1981; 294: 366–8.</w:t>
      </w:r>
    </w:p>
    <w:p w14:paraId="34BFB39C"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Studholme C, Hill DL, Hawkes DJ. Automated three-dimensional registration of magnetic resonance and positron emission tomography brain images by multiresolution optimization of voxel similarity measures. Med Phys 1997; 24: 25–35.</w:t>
      </w:r>
    </w:p>
    <w:p w14:paraId="395A2E2E"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Sudhyadhom A, Haq IU, Foote KD, Okun MS, Bova FJ. A high resolution and high contrast MRI for differentiation of subcortical structures for DBS targeting: The Fast Gray Matter Acquisition T1 Inversion Recovery (FGATIR), Neuroimage 2009; 47: T44–52.</w:t>
      </w:r>
    </w:p>
    <w:p w14:paraId="53AA71A0"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 xml:space="preserve">Tanner M, Gambarota G, Kober T, Krueger G, Erritzoe D, Marques JP, et al. Fluid and white matter suppression with the MP2RAGE sequence. J Magn Reson Imaging 2013; 35: 1063–70. </w:t>
      </w:r>
    </w:p>
    <w:p w14:paraId="4CD5FBF0"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Tenn CC, Niles LP. Sensitization of G protein-coupled benzodiazepine receptors in the striatum of 6-hydroxydopamine-lesioned rats. J Neurochem 1997; 69: 1920–6.</w:t>
      </w:r>
    </w:p>
    <w:p w14:paraId="482F06D8" w14:textId="77777777" w:rsidR="003D70B1" w:rsidRPr="00B17759" w:rsidRDefault="003D70B1" w:rsidP="00B17759">
      <w:pPr>
        <w:spacing w:line="480" w:lineRule="auto"/>
        <w:ind w:left="360"/>
        <w:jc w:val="both"/>
        <w:rPr>
          <w:rFonts w:ascii="Times New Roman" w:hAnsi="Times New Roman" w:cs="Times New Roman"/>
          <w:sz w:val="24"/>
          <w:szCs w:val="28"/>
        </w:rPr>
      </w:pPr>
      <w:r w:rsidRPr="00B17759">
        <w:rPr>
          <w:rFonts w:ascii="Times New Roman" w:hAnsi="Times New Roman" w:cs="Times New Roman"/>
          <w:sz w:val="24"/>
          <w:szCs w:val="28"/>
        </w:rPr>
        <w:t>Tziortzi AC, Searle GE, Tzimopoulou S, Salinas C, Beaver JD, Jenkinson M, et al. Imaging dopamine receptors in humans with [11C]-(+)-PHNO: dissection of D3 signal and anatomy. Neuroimage 2011; 54: 264–277.</w:t>
      </w:r>
    </w:p>
    <w:p w14:paraId="6CA33D0E" w14:textId="77777777" w:rsidR="0009715B" w:rsidRDefault="0009715B" w:rsidP="00B71471">
      <w:pPr>
        <w:spacing w:line="480" w:lineRule="auto"/>
        <w:jc w:val="both"/>
        <w:rPr>
          <w:rFonts w:ascii="Times New Roman" w:hAnsi="Times New Roman" w:cs="Times New Roman"/>
          <w:sz w:val="24"/>
          <w:szCs w:val="28"/>
        </w:rPr>
      </w:pPr>
    </w:p>
    <w:p w14:paraId="2F4DE81E" w14:textId="77777777" w:rsidR="009101A4" w:rsidRPr="001077B1" w:rsidRDefault="009101A4" w:rsidP="009101A4">
      <w:pPr>
        <w:spacing w:line="480" w:lineRule="auto"/>
        <w:jc w:val="both"/>
        <w:rPr>
          <w:rFonts w:ascii="Times New Roman" w:hAnsi="Times New Roman" w:cs="Times New Roman"/>
          <w:b/>
          <w:sz w:val="24"/>
          <w:szCs w:val="28"/>
        </w:rPr>
      </w:pPr>
      <w:r w:rsidRPr="0035381E">
        <w:rPr>
          <w:rFonts w:ascii="Times New Roman" w:hAnsi="Times New Roman" w:cs="Times New Roman"/>
          <w:b/>
          <w:sz w:val="24"/>
          <w:szCs w:val="28"/>
        </w:rPr>
        <w:t>FIGURE LEGENDS</w:t>
      </w:r>
    </w:p>
    <w:p w14:paraId="5ACE94D3" w14:textId="31420115" w:rsidR="009101A4" w:rsidRPr="00A91783" w:rsidRDefault="009101A4" w:rsidP="009101A4">
      <w:pPr>
        <w:spacing w:line="480" w:lineRule="auto"/>
        <w:jc w:val="both"/>
        <w:rPr>
          <w:rFonts w:ascii="Times New Roman" w:hAnsi="Times New Roman" w:cs="Times New Roman"/>
          <w:sz w:val="24"/>
          <w:szCs w:val="28"/>
        </w:rPr>
      </w:pPr>
      <w:r w:rsidRPr="00A91783">
        <w:rPr>
          <w:rFonts w:ascii="Times New Roman" w:hAnsi="Times New Roman" w:cs="Times New Roman"/>
          <w:b/>
          <w:sz w:val="24"/>
          <w:szCs w:val="28"/>
        </w:rPr>
        <w:t xml:space="preserve">Fig. 1 </w:t>
      </w:r>
      <w:r w:rsidRPr="00A91783">
        <w:rPr>
          <w:rFonts w:ascii="Times New Roman" w:hAnsi="Times New Roman" w:cs="Times New Roman"/>
          <w:sz w:val="24"/>
          <w:szCs w:val="28"/>
        </w:rPr>
        <w:t>Altered</w:t>
      </w:r>
      <w:r w:rsidRPr="00A91783">
        <w:rPr>
          <w:rFonts w:ascii="Times New Roman" w:hAnsi="Times New Roman" w:cs="Times New Roman"/>
          <w:b/>
          <w:sz w:val="24"/>
          <w:szCs w:val="28"/>
        </w:rPr>
        <w:t xml:space="preserve"> </w:t>
      </w:r>
      <w:r w:rsidRPr="00A91783">
        <w:rPr>
          <w:rFonts w:ascii="Times New Roman" w:hAnsi="Times New Roman" w:cs="Times New Roman"/>
          <w:sz w:val="24"/>
          <w:szCs w:val="28"/>
        </w:rPr>
        <w:t>PDE-10A expression in manually defined brain regions of Parkinson’s disease patients.</w:t>
      </w:r>
      <w:r w:rsidRPr="00A91783">
        <w:rPr>
          <w:rFonts w:ascii="Times New Roman" w:hAnsi="Times New Roman" w:cs="Times New Roman"/>
          <w:b/>
          <w:sz w:val="24"/>
          <w:szCs w:val="28"/>
        </w:rPr>
        <w:t xml:space="preserve"> (A)</w:t>
      </w:r>
      <w:r w:rsidRPr="00A91783">
        <w:rPr>
          <w:rFonts w:ascii="Times New Roman" w:hAnsi="Times New Roman" w:cs="Times New Roman"/>
          <w:sz w:val="24"/>
          <w:szCs w:val="28"/>
        </w:rPr>
        <w:t xml:space="preserve"> Mean [</w:t>
      </w:r>
      <w:r w:rsidRPr="00A91783">
        <w:rPr>
          <w:rFonts w:ascii="Times New Roman" w:hAnsi="Times New Roman" w:cs="Times New Roman"/>
          <w:sz w:val="24"/>
          <w:szCs w:val="28"/>
          <w:vertAlign w:val="superscript"/>
        </w:rPr>
        <w:t>11</w:t>
      </w:r>
      <w:r w:rsidRPr="00A91783">
        <w:rPr>
          <w:rFonts w:ascii="Times New Roman" w:hAnsi="Times New Roman" w:cs="Times New Roman"/>
          <w:sz w:val="24"/>
          <w:szCs w:val="28"/>
        </w:rPr>
        <w:t>C]IMA107 BP</w:t>
      </w:r>
      <w:r w:rsidRPr="00A91783">
        <w:rPr>
          <w:rFonts w:ascii="Times New Roman" w:hAnsi="Times New Roman" w:cs="Times New Roman"/>
          <w:sz w:val="24"/>
          <w:szCs w:val="28"/>
          <w:vertAlign w:val="subscript"/>
        </w:rPr>
        <w:t>ND</w:t>
      </w:r>
      <w:r w:rsidRPr="00A91783">
        <w:rPr>
          <w:rFonts w:ascii="Times New Roman" w:hAnsi="Times New Roman" w:cs="Times New Roman"/>
          <w:sz w:val="24"/>
          <w:szCs w:val="28"/>
        </w:rPr>
        <w:t xml:space="preserve"> parametric images derived from 12 healthy controls and 24 Parkinson’s disease patients in stereotaxic space overlaid onto the T1 weighted MNI template showing significant loss of striatal and pallidal PDE-10A signal in the Parkinson’s disease patients. </w:t>
      </w:r>
      <w:r w:rsidRPr="00A91783">
        <w:rPr>
          <w:rFonts w:ascii="Times New Roman" w:hAnsi="Times New Roman" w:cs="Times New Roman"/>
          <w:b/>
          <w:sz w:val="24"/>
          <w:szCs w:val="28"/>
        </w:rPr>
        <w:t>(B)</w:t>
      </w:r>
      <w:r w:rsidRPr="00A91783">
        <w:rPr>
          <w:rFonts w:ascii="Times New Roman" w:hAnsi="Times New Roman" w:cs="Times New Roman"/>
          <w:sz w:val="24"/>
          <w:szCs w:val="28"/>
        </w:rPr>
        <w:t xml:space="preserve"> Column bar graph showing mean [</w:t>
      </w:r>
      <w:r w:rsidRPr="00A91783">
        <w:rPr>
          <w:rFonts w:ascii="Times New Roman" w:hAnsi="Times New Roman" w:cs="Times New Roman"/>
          <w:sz w:val="24"/>
          <w:szCs w:val="28"/>
          <w:vertAlign w:val="superscript"/>
        </w:rPr>
        <w:t>11</w:t>
      </w:r>
      <w:r w:rsidRPr="00A91783">
        <w:rPr>
          <w:rFonts w:ascii="Times New Roman" w:hAnsi="Times New Roman" w:cs="Times New Roman"/>
          <w:sz w:val="24"/>
          <w:szCs w:val="28"/>
        </w:rPr>
        <w:t>C]IMA107 BP</w:t>
      </w:r>
      <w:r w:rsidRPr="00A91783">
        <w:rPr>
          <w:rFonts w:ascii="Times New Roman" w:hAnsi="Times New Roman" w:cs="Times New Roman"/>
          <w:sz w:val="24"/>
          <w:szCs w:val="28"/>
          <w:vertAlign w:val="subscript"/>
        </w:rPr>
        <w:t xml:space="preserve">ND </w:t>
      </w:r>
      <w:r w:rsidRPr="00A91783">
        <w:rPr>
          <w:rFonts w:ascii="Times New Roman" w:hAnsi="Times New Roman" w:cs="Times New Roman"/>
          <w:sz w:val="24"/>
          <w:szCs w:val="28"/>
        </w:rPr>
        <w:t xml:space="preserve">in anatomically defined brain regions between Parkinson’s disease patients and healthy controls. </w:t>
      </w:r>
      <w:r w:rsidR="000E78F1" w:rsidRPr="000E78F1">
        <w:rPr>
          <w:rFonts w:ascii="Times New Roman" w:hAnsi="Times New Roman" w:cs="Times New Roman"/>
          <w:sz w:val="24"/>
          <w:szCs w:val="28"/>
        </w:rPr>
        <w:t>Colour</w:t>
      </w:r>
      <w:r w:rsidRPr="00A91783">
        <w:rPr>
          <w:rFonts w:ascii="Times New Roman" w:hAnsi="Times New Roman" w:cs="Times New Roman"/>
          <w:sz w:val="24"/>
          <w:szCs w:val="28"/>
        </w:rPr>
        <w:t xml:space="preserve"> bar reflects range of [</w:t>
      </w:r>
      <w:r w:rsidRPr="00A91783">
        <w:rPr>
          <w:rFonts w:ascii="Times New Roman" w:hAnsi="Times New Roman" w:cs="Times New Roman"/>
          <w:sz w:val="24"/>
          <w:szCs w:val="28"/>
          <w:vertAlign w:val="superscript"/>
        </w:rPr>
        <w:t>11</w:t>
      </w:r>
      <w:r w:rsidRPr="00A91783">
        <w:rPr>
          <w:rFonts w:ascii="Times New Roman" w:hAnsi="Times New Roman" w:cs="Times New Roman"/>
          <w:sz w:val="24"/>
          <w:szCs w:val="28"/>
        </w:rPr>
        <w:t>C]IMA107 BP</w:t>
      </w:r>
      <w:r w:rsidRPr="00A91783">
        <w:rPr>
          <w:rFonts w:ascii="Times New Roman" w:hAnsi="Times New Roman" w:cs="Times New Roman"/>
          <w:sz w:val="24"/>
          <w:szCs w:val="28"/>
          <w:vertAlign w:val="subscript"/>
        </w:rPr>
        <w:t xml:space="preserve">ND </w:t>
      </w:r>
      <w:r w:rsidRPr="00A91783">
        <w:rPr>
          <w:rFonts w:ascii="Times New Roman" w:hAnsi="Times New Roman" w:cs="Times New Roman"/>
          <w:sz w:val="24"/>
          <w:szCs w:val="28"/>
        </w:rPr>
        <w:t>intensity. Error bars represent mean ± SD. *</w:t>
      </w:r>
      <w:r w:rsidRPr="00A91783">
        <w:rPr>
          <w:rFonts w:ascii="Times New Roman" w:hAnsi="Times New Roman" w:cs="Times New Roman"/>
          <w:i/>
          <w:sz w:val="24"/>
          <w:szCs w:val="28"/>
        </w:rPr>
        <w:t>P</w:t>
      </w:r>
      <w:r w:rsidRPr="00A91783">
        <w:rPr>
          <w:rFonts w:ascii="Times New Roman" w:hAnsi="Times New Roman" w:cs="Times New Roman"/>
          <w:sz w:val="24"/>
          <w:szCs w:val="28"/>
        </w:rPr>
        <w:t>&lt;0.05; **</w:t>
      </w:r>
      <w:r w:rsidRPr="00A91783">
        <w:rPr>
          <w:rFonts w:ascii="Times New Roman" w:hAnsi="Times New Roman" w:cs="Times New Roman"/>
          <w:i/>
          <w:sz w:val="24"/>
          <w:szCs w:val="28"/>
        </w:rPr>
        <w:t>P</w:t>
      </w:r>
      <w:r w:rsidRPr="00A91783">
        <w:rPr>
          <w:rFonts w:ascii="Times New Roman" w:hAnsi="Times New Roman" w:cs="Times New Roman"/>
          <w:sz w:val="24"/>
          <w:szCs w:val="28"/>
        </w:rPr>
        <w:t>&lt;0.01; ***</w:t>
      </w:r>
      <w:r w:rsidRPr="00A91783">
        <w:rPr>
          <w:rFonts w:ascii="Times New Roman" w:hAnsi="Times New Roman" w:cs="Times New Roman"/>
          <w:i/>
          <w:sz w:val="24"/>
          <w:szCs w:val="28"/>
        </w:rPr>
        <w:t>P</w:t>
      </w:r>
      <w:r w:rsidRPr="00A91783">
        <w:rPr>
          <w:rFonts w:ascii="Times New Roman" w:hAnsi="Times New Roman" w:cs="Times New Roman"/>
          <w:sz w:val="24"/>
          <w:szCs w:val="28"/>
        </w:rPr>
        <w:t>&lt;0.001.</w:t>
      </w:r>
    </w:p>
    <w:p w14:paraId="423038E5" w14:textId="77777777" w:rsidR="009101A4" w:rsidRPr="00A91783" w:rsidRDefault="009101A4" w:rsidP="009101A4">
      <w:pPr>
        <w:spacing w:line="480" w:lineRule="auto"/>
        <w:jc w:val="both"/>
        <w:rPr>
          <w:rFonts w:ascii="Times New Roman" w:hAnsi="Times New Roman" w:cs="Times New Roman"/>
          <w:b/>
          <w:sz w:val="24"/>
          <w:szCs w:val="28"/>
        </w:rPr>
      </w:pPr>
    </w:p>
    <w:p w14:paraId="4038CA60" w14:textId="15F3B3E8" w:rsidR="00115237" w:rsidRPr="00A91783" w:rsidRDefault="009101A4" w:rsidP="009101A4">
      <w:pPr>
        <w:spacing w:line="480" w:lineRule="auto"/>
        <w:jc w:val="both"/>
        <w:rPr>
          <w:rFonts w:ascii="Times New Roman" w:hAnsi="Times New Roman" w:cs="Times New Roman"/>
          <w:sz w:val="24"/>
          <w:szCs w:val="28"/>
        </w:rPr>
      </w:pPr>
      <w:r w:rsidRPr="00A91783">
        <w:rPr>
          <w:rFonts w:ascii="Times New Roman" w:hAnsi="Times New Roman" w:cs="Times New Roman"/>
          <w:b/>
          <w:sz w:val="24"/>
          <w:szCs w:val="28"/>
        </w:rPr>
        <w:t xml:space="preserve">Fig. 2 </w:t>
      </w:r>
      <w:r w:rsidRPr="00A91783">
        <w:rPr>
          <w:rFonts w:ascii="Times New Roman" w:hAnsi="Times New Roman" w:cs="Times New Roman"/>
          <w:sz w:val="24"/>
          <w:szCs w:val="28"/>
        </w:rPr>
        <w:t>Statistical parametric maps of [</w:t>
      </w:r>
      <w:r w:rsidRPr="00A91783">
        <w:rPr>
          <w:rFonts w:ascii="Times New Roman" w:hAnsi="Times New Roman" w:cs="Times New Roman"/>
          <w:sz w:val="24"/>
          <w:szCs w:val="28"/>
          <w:vertAlign w:val="superscript"/>
        </w:rPr>
        <w:t>11</w:t>
      </w:r>
      <w:r w:rsidRPr="00A91783">
        <w:rPr>
          <w:rFonts w:ascii="Times New Roman" w:hAnsi="Times New Roman" w:cs="Times New Roman"/>
          <w:sz w:val="24"/>
          <w:szCs w:val="28"/>
        </w:rPr>
        <w:t>C]IMA107 BP</w:t>
      </w:r>
      <w:r w:rsidRPr="00A91783">
        <w:rPr>
          <w:rFonts w:ascii="Times New Roman" w:hAnsi="Times New Roman" w:cs="Times New Roman"/>
          <w:sz w:val="24"/>
          <w:szCs w:val="28"/>
          <w:vertAlign w:val="subscript"/>
        </w:rPr>
        <w:t xml:space="preserve">ND </w:t>
      </w:r>
      <w:r w:rsidR="005A5F10">
        <w:rPr>
          <w:rFonts w:ascii="Times New Roman" w:hAnsi="Times New Roman" w:cs="Times New Roman"/>
          <w:sz w:val="24"/>
          <w:szCs w:val="28"/>
        </w:rPr>
        <w:t>(MNI co-ordinates x=17.99, y=3.59</w:t>
      </w:r>
      <w:r w:rsidRPr="00A91783">
        <w:rPr>
          <w:rFonts w:ascii="Times New Roman" w:hAnsi="Times New Roman" w:cs="Times New Roman"/>
          <w:sz w:val="24"/>
          <w:szCs w:val="28"/>
        </w:rPr>
        <w:t>, z=7.42).</w:t>
      </w:r>
      <w:r w:rsidRPr="00A91783">
        <w:rPr>
          <w:rFonts w:ascii="Times New Roman" w:hAnsi="Times New Roman" w:cs="Times New Roman"/>
          <w:sz w:val="24"/>
          <w:szCs w:val="28"/>
          <w:vertAlign w:val="subscript"/>
        </w:rPr>
        <w:t xml:space="preserve"> </w:t>
      </w:r>
      <w:r w:rsidRPr="00A91783">
        <w:rPr>
          <w:rFonts w:ascii="Times New Roman" w:hAnsi="Times New Roman" w:cs="Times New Roman"/>
          <w:sz w:val="24"/>
          <w:szCs w:val="28"/>
        </w:rPr>
        <w:t>Yellow-red areas represent voxel clusters with significant decreases in [</w:t>
      </w:r>
      <w:r w:rsidRPr="00A91783">
        <w:rPr>
          <w:rFonts w:ascii="Times New Roman" w:hAnsi="Times New Roman" w:cs="Times New Roman"/>
          <w:sz w:val="24"/>
          <w:szCs w:val="28"/>
          <w:vertAlign w:val="superscript"/>
        </w:rPr>
        <w:t>11</w:t>
      </w:r>
      <w:r w:rsidRPr="00A91783">
        <w:rPr>
          <w:rFonts w:ascii="Times New Roman" w:hAnsi="Times New Roman" w:cs="Times New Roman"/>
          <w:sz w:val="24"/>
          <w:szCs w:val="28"/>
        </w:rPr>
        <w:t>C]IMA107 BP</w:t>
      </w:r>
      <w:r w:rsidRPr="00A91783">
        <w:rPr>
          <w:rFonts w:ascii="Times New Roman" w:hAnsi="Times New Roman" w:cs="Times New Roman"/>
          <w:sz w:val="24"/>
          <w:szCs w:val="28"/>
          <w:vertAlign w:val="subscript"/>
        </w:rPr>
        <w:t>ND</w:t>
      </w:r>
      <w:r w:rsidRPr="00A91783">
        <w:rPr>
          <w:rFonts w:ascii="Times New Roman" w:hAnsi="Times New Roman" w:cs="Times New Roman"/>
          <w:sz w:val="24"/>
          <w:szCs w:val="28"/>
        </w:rPr>
        <w:t xml:space="preserve"> within the basal ganglia mask in Parkinson’s disease patients. The colour stripe indicates z-values. </w:t>
      </w:r>
    </w:p>
    <w:p w14:paraId="41497877" w14:textId="77777777" w:rsidR="00273285" w:rsidRDefault="00273285" w:rsidP="00E6062D">
      <w:pPr>
        <w:spacing w:line="480" w:lineRule="auto"/>
        <w:jc w:val="both"/>
        <w:rPr>
          <w:rFonts w:ascii="Times New Roman" w:hAnsi="Times New Roman" w:cs="Times New Roman"/>
          <w:b/>
          <w:sz w:val="24"/>
          <w:szCs w:val="28"/>
        </w:rPr>
      </w:pPr>
    </w:p>
    <w:p w14:paraId="1CA3B4DC" w14:textId="5A1B9662" w:rsidR="00E6062D" w:rsidRPr="00E6062D" w:rsidRDefault="00115237" w:rsidP="00E6062D">
      <w:pPr>
        <w:spacing w:line="480" w:lineRule="auto"/>
        <w:jc w:val="both"/>
        <w:rPr>
          <w:rFonts w:ascii="Times New Roman" w:hAnsi="Times New Roman" w:cs="Times New Roman"/>
          <w:iCs/>
          <w:sz w:val="24"/>
          <w:szCs w:val="28"/>
        </w:rPr>
      </w:pPr>
      <w:r w:rsidRPr="00A91783">
        <w:rPr>
          <w:rFonts w:ascii="Times New Roman" w:hAnsi="Times New Roman" w:cs="Times New Roman"/>
          <w:b/>
          <w:sz w:val="24"/>
          <w:szCs w:val="28"/>
        </w:rPr>
        <w:t>Fig. 3</w:t>
      </w:r>
      <w:r w:rsidR="00F60611" w:rsidRPr="00A91783">
        <w:rPr>
          <w:rFonts w:ascii="Times New Roman" w:hAnsi="Times New Roman" w:cs="Times New Roman"/>
          <w:b/>
          <w:sz w:val="24"/>
          <w:szCs w:val="28"/>
        </w:rPr>
        <w:t xml:space="preserve"> </w:t>
      </w:r>
      <w:r w:rsidR="00F60611" w:rsidRPr="00A91783">
        <w:rPr>
          <w:rFonts w:ascii="Times New Roman" w:hAnsi="Times New Roman" w:cs="Times New Roman"/>
          <w:iCs/>
          <w:sz w:val="24"/>
          <w:szCs w:val="28"/>
        </w:rPr>
        <w:t xml:space="preserve">Correlations between loss of PDE-10A and progression and severity of Parkinson’s disease. </w:t>
      </w:r>
      <w:r w:rsidR="00F60611" w:rsidRPr="00A91783">
        <w:rPr>
          <w:rFonts w:ascii="Times New Roman" w:hAnsi="Times New Roman" w:cs="Times New Roman"/>
          <w:b/>
          <w:iCs/>
          <w:sz w:val="24"/>
          <w:szCs w:val="28"/>
        </w:rPr>
        <w:t>(A)</w:t>
      </w:r>
      <w:r w:rsidR="00F60611" w:rsidRPr="00A91783">
        <w:rPr>
          <w:rFonts w:ascii="Times New Roman" w:hAnsi="Times New Roman" w:cs="Times New Roman"/>
          <w:iCs/>
          <w:sz w:val="24"/>
          <w:szCs w:val="28"/>
        </w:rPr>
        <w:t xml:space="preserve"> </w:t>
      </w:r>
      <w:r w:rsidR="004471B1" w:rsidRPr="00A91783">
        <w:rPr>
          <w:rFonts w:ascii="Times New Roman" w:hAnsi="Times New Roman" w:cs="Times New Roman"/>
          <w:iCs/>
          <w:sz w:val="24"/>
          <w:szCs w:val="28"/>
        </w:rPr>
        <w:t>Longer disease duration correlated with lower [</w:t>
      </w:r>
      <w:r w:rsidR="004471B1" w:rsidRPr="00A91783">
        <w:rPr>
          <w:rFonts w:ascii="Times New Roman" w:hAnsi="Times New Roman" w:cs="Times New Roman"/>
          <w:iCs/>
          <w:sz w:val="24"/>
          <w:szCs w:val="28"/>
          <w:vertAlign w:val="superscript"/>
        </w:rPr>
        <w:t>11</w:t>
      </w:r>
      <w:r w:rsidR="004471B1" w:rsidRPr="00A91783">
        <w:rPr>
          <w:rFonts w:ascii="Times New Roman" w:hAnsi="Times New Roman" w:cs="Times New Roman"/>
          <w:iCs/>
          <w:sz w:val="24"/>
          <w:szCs w:val="28"/>
        </w:rPr>
        <w:t>C]IMA107 BP</w:t>
      </w:r>
      <w:r w:rsidR="004471B1" w:rsidRPr="00A91783">
        <w:rPr>
          <w:rFonts w:ascii="Times New Roman" w:hAnsi="Times New Roman" w:cs="Times New Roman"/>
          <w:iCs/>
          <w:sz w:val="24"/>
          <w:szCs w:val="28"/>
          <w:vertAlign w:val="subscript"/>
        </w:rPr>
        <w:t>ND</w:t>
      </w:r>
      <w:r w:rsidR="004471B1" w:rsidRPr="00A91783">
        <w:rPr>
          <w:rFonts w:ascii="Times New Roman" w:hAnsi="Times New Roman" w:cs="Times New Roman"/>
          <w:iCs/>
          <w:sz w:val="24"/>
          <w:szCs w:val="28"/>
        </w:rPr>
        <w:t xml:space="preserve"> in caudate</w:t>
      </w:r>
      <w:r w:rsidR="004A7F88">
        <w:rPr>
          <w:rFonts w:ascii="Times New Roman" w:hAnsi="Times New Roman" w:cs="Times New Roman"/>
          <w:iCs/>
          <w:sz w:val="24"/>
          <w:szCs w:val="28"/>
        </w:rPr>
        <w:t xml:space="preserve"> </w:t>
      </w:r>
      <w:r w:rsidR="004A7F88" w:rsidRPr="004E4A1F">
        <w:rPr>
          <w:rFonts w:ascii="Times New Roman" w:hAnsi="Times New Roman" w:cs="Times New Roman"/>
          <w:sz w:val="24"/>
          <w:szCs w:val="28"/>
        </w:rPr>
        <w:t>(</w:t>
      </w:r>
      <w:r w:rsidR="004A7F88" w:rsidRPr="00324BA9">
        <w:rPr>
          <w:rFonts w:ascii="Times New Roman" w:hAnsi="Times New Roman" w:cs="Times New Roman"/>
          <w:i/>
          <w:sz w:val="24"/>
          <w:szCs w:val="28"/>
        </w:rPr>
        <w:t>r</w:t>
      </w:r>
      <w:r w:rsidR="004A7F88" w:rsidRPr="00CD00D8">
        <w:rPr>
          <w:rFonts w:ascii="Times New Roman" w:hAnsi="Times New Roman" w:cs="Times New Roman"/>
          <w:sz w:val="24"/>
          <w:szCs w:val="28"/>
        </w:rPr>
        <w:t>=</w:t>
      </w:r>
      <w:r w:rsidR="004A7F88" w:rsidRPr="00523257">
        <w:rPr>
          <w:rFonts w:ascii="Times New Roman" w:hAnsi="Times New Roman" w:cs="Times New Roman"/>
          <w:sz w:val="24"/>
          <w:szCs w:val="28"/>
        </w:rPr>
        <w:t>−</w:t>
      </w:r>
      <w:r w:rsidR="004A7F88" w:rsidRPr="00932158">
        <w:rPr>
          <w:rFonts w:ascii="Times New Roman" w:hAnsi="Times New Roman" w:cs="Times New Roman"/>
          <w:sz w:val="24"/>
          <w:szCs w:val="28"/>
        </w:rPr>
        <w:t>0.65</w:t>
      </w:r>
      <w:r w:rsidR="004A7F88" w:rsidRPr="001077B1">
        <w:rPr>
          <w:rFonts w:ascii="Times New Roman" w:hAnsi="Times New Roman" w:cs="Times New Roman"/>
          <w:sz w:val="24"/>
          <w:szCs w:val="28"/>
        </w:rPr>
        <w:t xml:space="preserve">; </w:t>
      </w:r>
      <w:r w:rsidR="004A7F88" w:rsidRPr="004E4A1F">
        <w:rPr>
          <w:rFonts w:ascii="Times New Roman" w:hAnsi="Times New Roman" w:cs="Times New Roman"/>
          <w:i/>
          <w:sz w:val="24"/>
          <w:szCs w:val="28"/>
        </w:rPr>
        <w:t>P</w:t>
      </w:r>
      <w:r w:rsidR="004A7F88" w:rsidRPr="00324BA9">
        <w:rPr>
          <w:rFonts w:ascii="Times New Roman" w:hAnsi="Times New Roman" w:cs="Times New Roman"/>
          <w:sz w:val="24"/>
          <w:szCs w:val="28"/>
        </w:rPr>
        <w:t>=0.005)</w:t>
      </w:r>
      <w:r w:rsidR="004471B1" w:rsidRPr="00A91783">
        <w:rPr>
          <w:rFonts w:ascii="Times New Roman" w:hAnsi="Times New Roman" w:cs="Times New Roman"/>
          <w:iCs/>
          <w:sz w:val="24"/>
          <w:szCs w:val="28"/>
        </w:rPr>
        <w:t xml:space="preserve">, putamen </w:t>
      </w:r>
      <w:r w:rsidR="004A7F88" w:rsidRPr="00E17963">
        <w:rPr>
          <w:rFonts w:ascii="Times New Roman" w:hAnsi="Times New Roman" w:cs="Times New Roman"/>
          <w:sz w:val="24"/>
          <w:szCs w:val="28"/>
        </w:rPr>
        <w:t>(</w:t>
      </w:r>
      <w:r w:rsidR="004A7F88" w:rsidRPr="00A45412">
        <w:rPr>
          <w:rFonts w:ascii="Times New Roman" w:hAnsi="Times New Roman" w:cs="Times New Roman"/>
          <w:i/>
          <w:sz w:val="24"/>
          <w:szCs w:val="28"/>
        </w:rPr>
        <w:t>r</w:t>
      </w:r>
      <w:r w:rsidR="004A7F88" w:rsidRPr="007F35D3">
        <w:rPr>
          <w:rFonts w:ascii="Times New Roman" w:hAnsi="Times New Roman" w:cs="Times New Roman"/>
          <w:sz w:val="24"/>
          <w:szCs w:val="28"/>
        </w:rPr>
        <w:t>=</w:t>
      </w:r>
      <w:r w:rsidR="004A7F88" w:rsidRPr="00523257">
        <w:rPr>
          <w:rFonts w:ascii="Times New Roman" w:hAnsi="Times New Roman" w:cs="Times New Roman"/>
          <w:sz w:val="24"/>
          <w:szCs w:val="28"/>
        </w:rPr>
        <w:t>−</w:t>
      </w:r>
      <w:r w:rsidR="004A7F88" w:rsidRPr="00932158">
        <w:rPr>
          <w:rFonts w:ascii="Times New Roman" w:hAnsi="Times New Roman" w:cs="Times New Roman"/>
          <w:sz w:val="24"/>
          <w:szCs w:val="28"/>
        </w:rPr>
        <w:t>0.51</w:t>
      </w:r>
      <w:r w:rsidR="004A7F88" w:rsidRPr="001077B1">
        <w:rPr>
          <w:rFonts w:ascii="Times New Roman" w:hAnsi="Times New Roman" w:cs="Times New Roman"/>
          <w:sz w:val="24"/>
          <w:szCs w:val="28"/>
        </w:rPr>
        <w:t xml:space="preserve">; </w:t>
      </w:r>
      <w:r w:rsidR="004A7F88" w:rsidRPr="004E4A1F">
        <w:rPr>
          <w:rFonts w:ascii="Times New Roman" w:hAnsi="Times New Roman" w:cs="Times New Roman"/>
          <w:i/>
          <w:sz w:val="24"/>
          <w:szCs w:val="28"/>
        </w:rPr>
        <w:t>P</w:t>
      </w:r>
      <w:r w:rsidR="004A7F88" w:rsidRPr="00324BA9">
        <w:rPr>
          <w:rFonts w:ascii="Times New Roman" w:hAnsi="Times New Roman" w:cs="Times New Roman"/>
          <w:sz w:val="24"/>
          <w:szCs w:val="28"/>
        </w:rPr>
        <w:t xml:space="preserve">=0.025) </w:t>
      </w:r>
      <w:r w:rsidR="004471B1" w:rsidRPr="00A91783">
        <w:rPr>
          <w:rFonts w:ascii="Times New Roman" w:hAnsi="Times New Roman" w:cs="Times New Roman"/>
          <w:iCs/>
          <w:sz w:val="24"/>
          <w:szCs w:val="28"/>
        </w:rPr>
        <w:t xml:space="preserve">and globus pallidus </w:t>
      </w:r>
      <w:r w:rsidR="004A7F88" w:rsidRPr="00E17963">
        <w:rPr>
          <w:rFonts w:ascii="Times New Roman" w:hAnsi="Times New Roman" w:cs="Times New Roman"/>
          <w:sz w:val="24"/>
          <w:szCs w:val="28"/>
        </w:rPr>
        <w:t>(r=</w:t>
      </w:r>
      <w:r w:rsidR="004A7F88" w:rsidRPr="00523257">
        <w:rPr>
          <w:rFonts w:ascii="Times New Roman" w:hAnsi="Times New Roman" w:cs="Times New Roman"/>
          <w:sz w:val="24"/>
          <w:szCs w:val="28"/>
        </w:rPr>
        <w:t>−</w:t>
      </w:r>
      <w:r w:rsidR="004A7F88" w:rsidRPr="00932158">
        <w:rPr>
          <w:rFonts w:ascii="Times New Roman" w:hAnsi="Times New Roman" w:cs="Times New Roman"/>
          <w:sz w:val="24"/>
          <w:szCs w:val="28"/>
        </w:rPr>
        <w:t>0.47</w:t>
      </w:r>
      <w:r w:rsidR="004A7F88" w:rsidRPr="001077B1">
        <w:rPr>
          <w:rFonts w:ascii="Times New Roman" w:hAnsi="Times New Roman" w:cs="Times New Roman"/>
          <w:sz w:val="24"/>
          <w:szCs w:val="28"/>
        </w:rPr>
        <w:t>;</w:t>
      </w:r>
      <w:r w:rsidR="004A7F88" w:rsidRPr="004E4A1F">
        <w:rPr>
          <w:rFonts w:ascii="Times New Roman" w:hAnsi="Times New Roman" w:cs="Times New Roman"/>
          <w:sz w:val="24"/>
          <w:szCs w:val="28"/>
        </w:rPr>
        <w:t xml:space="preserve"> </w:t>
      </w:r>
      <w:r w:rsidR="004A7F88" w:rsidRPr="00324BA9">
        <w:rPr>
          <w:rFonts w:ascii="Times New Roman" w:hAnsi="Times New Roman" w:cs="Times New Roman"/>
          <w:i/>
          <w:sz w:val="24"/>
          <w:szCs w:val="28"/>
        </w:rPr>
        <w:t>P</w:t>
      </w:r>
      <w:r w:rsidR="004A7F88" w:rsidRPr="00CD00D8">
        <w:rPr>
          <w:rFonts w:ascii="Times New Roman" w:hAnsi="Times New Roman" w:cs="Times New Roman"/>
          <w:sz w:val="24"/>
          <w:szCs w:val="28"/>
        </w:rPr>
        <w:t>=0.03</w:t>
      </w:r>
      <w:r w:rsidR="004A7F88">
        <w:rPr>
          <w:rFonts w:ascii="Times New Roman" w:hAnsi="Times New Roman" w:cs="Times New Roman"/>
          <w:sz w:val="24"/>
          <w:szCs w:val="28"/>
        </w:rPr>
        <w:t>)</w:t>
      </w:r>
      <w:r w:rsidR="004A7F88" w:rsidRPr="00A91783">
        <w:rPr>
          <w:rFonts w:ascii="Times New Roman" w:hAnsi="Times New Roman" w:cs="Times New Roman"/>
          <w:b/>
          <w:iCs/>
          <w:sz w:val="24"/>
          <w:szCs w:val="28"/>
        </w:rPr>
        <w:t xml:space="preserve"> </w:t>
      </w:r>
      <w:r w:rsidR="00F60611" w:rsidRPr="00A91783">
        <w:rPr>
          <w:rFonts w:ascii="Times New Roman" w:hAnsi="Times New Roman" w:cs="Times New Roman"/>
          <w:b/>
          <w:iCs/>
          <w:sz w:val="24"/>
          <w:szCs w:val="28"/>
        </w:rPr>
        <w:t>(B)</w:t>
      </w:r>
      <w:r w:rsidR="00F60611" w:rsidRPr="00A91783">
        <w:rPr>
          <w:rFonts w:ascii="Times New Roman" w:hAnsi="Times New Roman" w:cs="Times New Roman"/>
          <w:iCs/>
          <w:sz w:val="24"/>
          <w:szCs w:val="28"/>
        </w:rPr>
        <w:t xml:space="preserve"> </w:t>
      </w:r>
      <w:r w:rsidR="004471B1" w:rsidRPr="00A91783">
        <w:rPr>
          <w:rFonts w:ascii="Times New Roman" w:hAnsi="Times New Roman" w:cs="Times New Roman"/>
          <w:iCs/>
          <w:sz w:val="24"/>
          <w:szCs w:val="28"/>
        </w:rPr>
        <w:t xml:space="preserve">Higher UPDRS-III scores correlated with lower </w:t>
      </w:r>
      <w:r w:rsidR="00F60611" w:rsidRPr="00A91783">
        <w:rPr>
          <w:rFonts w:ascii="Times New Roman" w:hAnsi="Times New Roman" w:cs="Times New Roman"/>
          <w:iCs/>
          <w:sz w:val="24"/>
          <w:szCs w:val="28"/>
        </w:rPr>
        <w:t>[</w:t>
      </w:r>
      <w:r w:rsidR="00F60611" w:rsidRPr="00A91783">
        <w:rPr>
          <w:rFonts w:ascii="Times New Roman" w:hAnsi="Times New Roman" w:cs="Times New Roman"/>
          <w:iCs/>
          <w:sz w:val="24"/>
          <w:szCs w:val="28"/>
          <w:vertAlign w:val="superscript"/>
        </w:rPr>
        <w:t>11</w:t>
      </w:r>
      <w:r w:rsidR="00F60611" w:rsidRPr="00A91783">
        <w:rPr>
          <w:rFonts w:ascii="Times New Roman" w:hAnsi="Times New Roman" w:cs="Times New Roman"/>
          <w:iCs/>
          <w:sz w:val="24"/>
          <w:szCs w:val="28"/>
        </w:rPr>
        <w:t>C]IMA107 BP</w:t>
      </w:r>
      <w:r w:rsidR="00F60611" w:rsidRPr="00A91783">
        <w:rPr>
          <w:rFonts w:ascii="Times New Roman" w:hAnsi="Times New Roman" w:cs="Times New Roman"/>
          <w:iCs/>
          <w:sz w:val="24"/>
          <w:szCs w:val="28"/>
          <w:vertAlign w:val="subscript"/>
        </w:rPr>
        <w:t xml:space="preserve">ND </w:t>
      </w:r>
      <w:r w:rsidR="00F60611" w:rsidRPr="00A91783">
        <w:rPr>
          <w:rFonts w:ascii="Times New Roman" w:hAnsi="Times New Roman" w:cs="Times New Roman"/>
          <w:iCs/>
          <w:sz w:val="24"/>
          <w:szCs w:val="28"/>
        </w:rPr>
        <w:t xml:space="preserve">ratio </w:t>
      </w:r>
      <w:r w:rsidR="004471B1" w:rsidRPr="00A91783">
        <w:rPr>
          <w:rFonts w:ascii="Times New Roman" w:hAnsi="Times New Roman" w:cs="Times New Roman"/>
          <w:iCs/>
          <w:sz w:val="24"/>
          <w:szCs w:val="28"/>
        </w:rPr>
        <w:t>in caudate</w:t>
      </w:r>
      <w:r w:rsidR="004A7F88">
        <w:rPr>
          <w:rFonts w:ascii="Times New Roman" w:hAnsi="Times New Roman" w:cs="Times New Roman"/>
          <w:iCs/>
          <w:sz w:val="24"/>
          <w:szCs w:val="28"/>
        </w:rPr>
        <w:t xml:space="preserve"> </w:t>
      </w:r>
      <w:r w:rsidR="004A7F88" w:rsidRPr="00523257">
        <w:rPr>
          <w:rFonts w:ascii="Times New Roman" w:hAnsi="Times New Roman" w:cs="Times New Roman"/>
          <w:sz w:val="24"/>
          <w:szCs w:val="28"/>
        </w:rPr>
        <w:t>(</w:t>
      </w:r>
      <w:r w:rsidR="004A7F88" w:rsidRPr="00523257">
        <w:rPr>
          <w:rFonts w:ascii="Times New Roman" w:hAnsi="Times New Roman" w:cs="Times New Roman"/>
          <w:i/>
          <w:sz w:val="24"/>
          <w:szCs w:val="28"/>
        </w:rPr>
        <w:t>r</w:t>
      </w:r>
      <w:r w:rsidR="004A7F88" w:rsidRPr="00523257">
        <w:rPr>
          <w:rFonts w:ascii="Times New Roman" w:hAnsi="Times New Roman" w:cs="Times New Roman"/>
          <w:sz w:val="24"/>
          <w:szCs w:val="28"/>
        </w:rPr>
        <w:t xml:space="preserve">=−0.54; </w:t>
      </w:r>
      <w:r w:rsidR="004A7F88" w:rsidRPr="0035381E">
        <w:rPr>
          <w:rFonts w:ascii="Times New Roman" w:hAnsi="Times New Roman" w:cs="Times New Roman"/>
          <w:i/>
          <w:sz w:val="24"/>
          <w:szCs w:val="28"/>
        </w:rPr>
        <w:t>P</w:t>
      </w:r>
      <w:r w:rsidR="004A7F88" w:rsidRPr="00523257">
        <w:rPr>
          <w:rFonts w:ascii="Times New Roman" w:hAnsi="Times New Roman" w:cs="Times New Roman"/>
          <w:sz w:val="24"/>
          <w:szCs w:val="28"/>
        </w:rPr>
        <w:t>=0.011)</w:t>
      </w:r>
      <w:r w:rsidR="004471B1" w:rsidRPr="00A91783">
        <w:rPr>
          <w:rFonts w:ascii="Times New Roman" w:hAnsi="Times New Roman" w:cs="Times New Roman"/>
          <w:iCs/>
          <w:sz w:val="24"/>
          <w:szCs w:val="28"/>
        </w:rPr>
        <w:t xml:space="preserve">, putamen </w:t>
      </w:r>
      <w:r w:rsidR="004A7F88" w:rsidRPr="00523257">
        <w:rPr>
          <w:rFonts w:ascii="Times New Roman" w:hAnsi="Times New Roman" w:cs="Times New Roman"/>
          <w:sz w:val="24"/>
          <w:szCs w:val="28"/>
        </w:rPr>
        <w:t>(</w:t>
      </w:r>
      <w:r w:rsidR="004A7F88" w:rsidRPr="00523257">
        <w:rPr>
          <w:rFonts w:ascii="Times New Roman" w:hAnsi="Times New Roman" w:cs="Times New Roman"/>
          <w:i/>
          <w:sz w:val="24"/>
          <w:szCs w:val="28"/>
        </w:rPr>
        <w:t>r</w:t>
      </w:r>
      <w:r w:rsidR="004A7F88" w:rsidRPr="00523257">
        <w:rPr>
          <w:rFonts w:ascii="Times New Roman" w:hAnsi="Times New Roman" w:cs="Times New Roman"/>
          <w:sz w:val="24"/>
          <w:szCs w:val="28"/>
        </w:rPr>
        <w:t>=−0.48;</w:t>
      </w:r>
      <w:r w:rsidR="004A7F88" w:rsidRPr="0035381E">
        <w:rPr>
          <w:rFonts w:ascii="Times New Roman" w:hAnsi="Times New Roman" w:cs="Times New Roman"/>
          <w:i/>
          <w:sz w:val="24"/>
          <w:szCs w:val="28"/>
        </w:rPr>
        <w:t xml:space="preserve"> </w:t>
      </w:r>
      <w:r w:rsidR="004A7F88" w:rsidRPr="001077B1">
        <w:rPr>
          <w:rFonts w:ascii="Times New Roman" w:hAnsi="Times New Roman" w:cs="Times New Roman"/>
          <w:i/>
          <w:sz w:val="24"/>
          <w:szCs w:val="28"/>
        </w:rPr>
        <w:t>P</w:t>
      </w:r>
      <w:r w:rsidR="004A7F88" w:rsidRPr="00523257">
        <w:rPr>
          <w:rFonts w:ascii="Times New Roman" w:hAnsi="Times New Roman" w:cs="Times New Roman"/>
          <w:sz w:val="24"/>
          <w:szCs w:val="28"/>
        </w:rPr>
        <w:t xml:space="preserve">=0.022) </w:t>
      </w:r>
      <w:r w:rsidR="004471B1" w:rsidRPr="00A91783">
        <w:rPr>
          <w:rFonts w:ascii="Times New Roman" w:hAnsi="Times New Roman" w:cs="Times New Roman"/>
          <w:iCs/>
          <w:sz w:val="24"/>
          <w:szCs w:val="28"/>
        </w:rPr>
        <w:t>and globus pallidus</w:t>
      </w:r>
      <w:r w:rsidR="004A7F88">
        <w:rPr>
          <w:rFonts w:ascii="Times New Roman" w:hAnsi="Times New Roman" w:cs="Times New Roman"/>
          <w:iCs/>
          <w:sz w:val="24"/>
          <w:szCs w:val="28"/>
        </w:rPr>
        <w:t xml:space="preserve"> </w:t>
      </w:r>
      <w:r w:rsidR="004A7F88" w:rsidRPr="00523257">
        <w:rPr>
          <w:rFonts w:ascii="Times New Roman" w:hAnsi="Times New Roman" w:cs="Times New Roman"/>
          <w:sz w:val="24"/>
          <w:szCs w:val="28"/>
        </w:rPr>
        <w:t>(</w:t>
      </w:r>
      <w:r w:rsidR="004A7F88" w:rsidRPr="00523257">
        <w:rPr>
          <w:rFonts w:ascii="Times New Roman" w:hAnsi="Times New Roman" w:cs="Times New Roman"/>
          <w:i/>
          <w:sz w:val="24"/>
          <w:szCs w:val="28"/>
        </w:rPr>
        <w:t>r</w:t>
      </w:r>
      <w:r w:rsidR="004A7F88" w:rsidRPr="00523257">
        <w:rPr>
          <w:rFonts w:ascii="Times New Roman" w:hAnsi="Times New Roman" w:cs="Times New Roman"/>
          <w:sz w:val="24"/>
          <w:szCs w:val="28"/>
        </w:rPr>
        <w:t xml:space="preserve">=−0.70; </w:t>
      </w:r>
      <w:r w:rsidR="004A7F88" w:rsidRPr="0035381E">
        <w:rPr>
          <w:rFonts w:ascii="Times New Roman" w:hAnsi="Times New Roman" w:cs="Times New Roman"/>
          <w:i/>
          <w:sz w:val="24"/>
          <w:szCs w:val="28"/>
        </w:rPr>
        <w:t>P</w:t>
      </w:r>
      <w:r w:rsidR="004A7F88" w:rsidRPr="00523257">
        <w:rPr>
          <w:rFonts w:ascii="Times New Roman" w:hAnsi="Times New Roman" w:cs="Times New Roman"/>
          <w:sz w:val="24"/>
          <w:szCs w:val="28"/>
        </w:rPr>
        <w:t>&lt;0.001</w:t>
      </w:r>
      <w:r w:rsidR="004A7F88">
        <w:rPr>
          <w:rFonts w:ascii="Times New Roman" w:hAnsi="Times New Roman" w:cs="Times New Roman"/>
          <w:sz w:val="24"/>
          <w:szCs w:val="28"/>
        </w:rPr>
        <w:t>)</w:t>
      </w:r>
      <w:r w:rsidR="00B20E6D">
        <w:rPr>
          <w:rFonts w:ascii="Times New Roman" w:hAnsi="Times New Roman" w:cs="Times New Roman"/>
          <w:iCs/>
          <w:sz w:val="24"/>
          <w:szCs w:val="28"/>
        </w:rPr>
        <w:t xml:space="preserve"> </w:t>
      </w:r>
      <w:r w:rsidR="00B20E6D" w:rsidRPr="00B20E6D">
        <w:rPr>
          <w:rFonts w:ascii="Times New Roman" w:hAnsi="Times New Roman" w:cs="Times New Roman"/>
          <w:b/>
          <w:iCs/>
          <w:sz w:val="24"/>
          <w:szCs w:val="28"/>
        </w:rPr>
        <w:t>(C)</w:t>
      </w:r>
      <w:r w:rsidR="00E6062D" w:rsidRPr="00E6062D">
        <w:rPr>
          <w:rFonts w:ascii="Times New Roman" w:hAnsi="Times New Roman" w:cs="Times New Roman"/>
          <w:b/>
          <w:sz w:val="24"/>
          <w:szCs w:val="24"/>
          <w:lang w:eastAsia="en-US"/>
        </w:rPr>
        <w:t xml:space="preserve"> </w:t>
      </w:r>
      <w:r w:rsidR="00E6062D" w:rsidRPr="00E6062D">
        <w:rPr>
          <w:rFonts w:ascii="Times New Roman" w:hAnsi="Times New Roman" w:cs="Times New Roman"/>
          <w:iCs/>
          <w:sz w:val="24"/>
          <w:szCs w:val="28"/>
        </w:rPr>
        <w:t>Higher b</w:t>
      </w:r>
      <w:r w:rsidR="00E6062D">
        <w:rPr>
          <w:rFonts w:ascii="Times New Roman" w:hAnsi="Times New Roman" w:cs="Times New Roman"/>
          <w:iCs/>
          <w:sz w:val="24"/>
          <w:szCs w:val="28"/>
        </w:rPr>
        <w:t>radykinesia sub</w:t>
      </w:r>
      <w:r w:rsidR="00E6062D" w:rsidRPr="00E6062D">
        <w:rPr>
          <w:rFonts w:ascii="Times New Roman" w:hAnsi="Times New Roman" w:cs="Times New Roman"/>
          <w:iCs/>
          <w:sz w:val="24"/>
          <w:szCs w:val="28"/>
        </w:rPr>
        <w:t>score was correlated with lower [</w:t>
      </w:r>
      <w:r w:rsidR="00E6062D" w:rsidRPr="00E6062D">
        <w:rPr>
          <w:rFonts w:ascii="Times New Roman" w:hAnsi="Times New Roman" w:cs="Times New Roman"/>
          <w:iCs/>
          <w:sz w:val="24"/>
          <w:szCs w:val="28"/>
          <w:vertAlign w:val="superscript"/>
        </w:rPr>
        <w:t>11</w:t>
      </w:r>
      <w:r w:rsidR="00E6062D" w:rsidRPr="00E6062D">
        <w:rPr>
          <w:rFonts w:ascii="Times New Roman" w:hAnsi="Times New Roman" w:cs="Times New Roman"/>
          <w:iCs/>
          <w:sz w:val="24"/>
          <w:szCs w:val="28"/>
        </w:rPr>
        <w:t>C]IMA107 BP</w:t>
      </w:r>
      <w:r w:rsidR="00E6062D" w:rsidRPr="00E6062D">
        <w:rPr>
          <w:rFonts w:ascii="Times New Roman" w:hAnsi="Times New Roman" w:cs="Times New Roman"/>
          <w:iCs/>
          <w:sz w:val="24"/>
          <w:szCs w:val="28"/>
          <w:vertAlign w:val="subscript"/>
        </w:rPr>
        <w:t xml:space="preserve">ND  </w:t>
      </w:r>
      <w:r w:rsidR="00E6062D" w:rsidRPr="00E6062D">
        <w:rPr>
          <w:rFonts w:ascii="Times New Roman" w:hAnsi="Times New Roman" w:cs="Times New Roman"/>
          <w:iCs/>
          <w:sz w:val="24"/>
          <w:szCs w:val="28"/>
        </w:rPr>
        <w:t>in caudate (</w:t>
      </w:r>
      <w:r w:rsidR="00E6062D" w:rsidRPr="00E6062D">
        <w:rPr>
          <w:rFonts w:ascii="Times New Roman" w:hAnsi="Times New Roman" w:cs="Times New Roman"/>
          <w:i/>
          <w:iCs/>
          <w:sz w:val="24"/>
          <w:szCs w:val="28"/>
        </w:rPr>
        <w:t>r</w:t>
      </w:r>
      <w:r w:rsidR="00E6062D" w:rsidRPr="00E6062D">
        <w:rPr>
          <w:rFonts w:ascii="Times New Roman" w:hAnsi="Times New Roman" w:cs="Times New Roman"/>
          <w:iCs/>
          <w:sz w:val="24"/>
          <w:szCs w:val="28"/>
        </w:rPr>
        <w:t>=−0.58;</w:t>
      </w:r>
      <w:r w:rsidR="00E6062D" w:rsidRPr="00E6062D">
        <w:rPr>
          <w:rFonts w:ascii="Times New Roman" w:hAnsi="Times New Roman" w:cs="Times New Roman"/>
          <w:i/>
          <w:iCs/>
          <w:sz w:val="24"/>
          <w:szCs w:val="28"/>
        </w:rPr>
        <w:t xml:space="preserve"> P</w:t>
      </w:r>
      <w:r w:rsidR="00E6062D" w:rsidRPr="00E6062D">
        <w:rPr>
          <w:rFonts w:ascii="Times New Roman" w:hAnsi="Times New Roman" w:cs="Times New Roman"/>
          <w:iCs/>
          <w:sz w:val="24"/>
          <w:szCs w:val="28"/>
        </w:rPr>
        <w:t>=0.007), putamen (</w:t>
      </w:r>
      <w:r w:rsidR="00E6062D" w:rsidRPr="00E6062D">
        <w:rPr>
          <w:rFonts w:ascii="Times New Roman" w:hAnsi="Times New Roman" w:cs="Times New Roman"/>
          <w:i/>
          <w:iCs/>
          <w:sz w:val="24"/>
          <w:szCs w:val="28"/>
        </w:rPr>
        <w:t>r</w:t>
      </w:r>
      <w:r w:rsidR="00E6062D" w:rsidRPr="00E6062D">
        <w:rPr>
          <w:rFonts w:ascii="Times New Roman" w:hAnsi="Times New Roman" w:cs="Times New Roman"/>
          <w:iCs/>
          <w:sz w:val="24"/>
          <w:szCs w:val="28"/>
        </w:rPr>
        <w:t xml:space="preserve">=−0.53; </w:t>
      </w:r>
      <w:r w:rsidR="00E6062D" w:rsidRPr="00E6062D">
        <w:rPr>
          <w:rFonts w:ascii="Times New Roman" w:hAnsi="Times New Roman" w:cs="Times New Roman"/>
          <w:i/>
          <w:iCs/>
          <w:sz w:val="24"/>
          <w:szCs w:val="28"/>
        </w:rPr>
        <w:t>P</w:t>
      </w:r>
      <w:r w:rsidR="00E6062D" w:rsidRPr="00E6062D">
        <w:rPr>
          <w:rFonts w:ascii="Times New Roman" w:hAnsi="Times New Roman" w:cs="Times New Roman"/>
          <w:iCs/>
          <w:sz w:val="24"/>
          <w:szCs w:val="28"/>
        </w:rPr>
        <w:t>=0.010) and globus pallidus (</w:t>
      </w:r>
      <w:r w:rsidR="00E6062D" w:rsidRPr="00E6062D">
        <w:rPr>
          <w:rFonts w:ascii="Times New Roman" w:hAnsi="Times New Roman" w:cs="Times New Roman"/>
          <w:i/>
          <w:iCs/>
          <w:sz w:val="24"/>
          <w:szCs w:val="28"/>
        </w:rPr>
        <w:t>r</w:t>
      </w:r>
      <w:r w:rsidR="00E6062D" w:rsidRPr="00E6062D">
        <w:rPr>
          <w:rFonts w:ascii="Times New Roman" w:hAnsi="Times New Roman" w:cs="Times New Roman"/>
          <w:iCs/>
          <w:sz w:val="24"/>
          <w:szCs w:val="28"/>
        </w:rPr>
        <w:t xml:space="preserve">=−0.69; </w:t>
      </w:r>
      <w:r w:rsidR="00E6062D" w:rsidRPr="00E6062D">
        <w:rPr>
          <w:rFonts w:ascii="Times New Roman" w:hAnsi="Times New Roman" w:cs="Times New Roman"/>
          <w:i/>
          <w:iCs/>
          <w:sz w:val="24"/>
          <w:szCs w:val="28"/>
        </w:rPr>
        <w:t>P</w:t>
      </w:r>
      <w:r w:rsidR="00E6062D" w:rsidRPr="00E6062D">
        <w:rPr>
          <w:rFonts w:ascii="Times New Roman" w:hAnsi="Times New Roman" w:cs="Times New Roman"/>
          <w:iCs/>
          <w:sz w:val="24"/>
          <w:szCs w:val="28"/>
        </w:rPr>
        <w:t>&lt;0.001)</w:t>
      </w:r>
      <w:r w:rsidR="00E6062D">
        <w:rPr>
          <w:rFonts w:ascii="Times New Roman" w:hAnsi="Times New Roman" w:cs="Times New Roman"/>
          <w:iCs/>
          <w:sz w:val="24"/>
          <w:szCs w:val="28"/>
        </w:rPr>
        <w:t xml:space="preserve"> </w:t>
      </w:r>
      <w:r w:rsidR="00E6062D" w:rsidRPr="00E6062D">
        <w:rPr>
          <w:rFonts w:ascii="Times New Roman" w:hAnsi="Times New Roman" w:cs="Times New Roman"/>
          <w:b/>
          <w:iCs/>
          <w:sz w:val="24"/>
          <w:szCs w:val="28"/>
        </w:rPr>
        <w:t>(D)</w:t>
      </w:r>
      <w:r w:rsidR="00E6062D">
        <w:rPr>
          <w:rFonts w:ascii="Times New Roman" w:hAnsi="Times New Roman" w:cs="Times New Roman"/>
          <w:iCs/>
          <w:sz w:val="24"/>
          <w:szCs w:val="28"/>
        </w:rPr>
        <w:t xml:space="preserve"> </w:t>
      </w:r>
      <w:r w:rsidR="00E6062D" w:rsidRPr="00E6062D">
        <w:rPr>
          <w:rFonts w:ascii="Times New Roman" w:hAnsi="Times New Roman" w:cs="Times New Roman"/>
          <w:iCs/>
          <w:sz w:val="24"/>
          <w:szCs w:val="28"/>
        </w:rPr>
        <w:t>H</w:t>
      </w:r>
      <w:r w:rsidR="00E6062D">
        <w:rPr>
          <w:rFonts w:ascii="Times New Roman" w:hAnsi="Times New Roman" w:cs="Times New Roman"/>
          <w:iCs/>
          <w:sz w:val="24"/>
          <w:szCs w:val="28"/>
        </w:rPr>
        <w:t>igher rigidity sub</w:t>
      </w:r>
      <w:r w:rsidR="00E6062D" w:rsidRPr="00E6062D">
        <w:rPr>
          <w:rFonts w:ascii="Times New Roman" w:hAnsi="Times New Roman" w:cs="Times New Roman"/>
          <w:iCs/>
          <w:sz w:val="24"/>
          <w:szCs w:val="28"/>
        </w:rPr>
        <w:t>score was correlated with lower [</w:t>
      </w:r>
      <w:r w:rsidR="00E6062D" w:rsidRPr="00E6062D">
        <w:rPr>
          <w:rFonts w:ascii="Times New Roman" w:hAnsi="Times New Roman" w:cs="Times New Roman"/>
          <w:iCs/>
          <w:sz w:val="24"/>
          <w:szCs w:val="28"/>
          <w:vertAlign w:val="superscript"/>
        </w:rPr>
        <w:t>11</w:t>
      </w:r>
      <w:r w:rsidR="00E6062D" w:rsidRPr="00E6062D">
        <w:rPr>
          <w:rFonts w:ascii="Times New Roman" w:hAnsi="Times New Roman" w:cs="Times New Roman"/>
          <w:iCs/>
          <w:sz w:val="24"/>
          <w:szCs w:val="28"/>
        </w:rPr>
        <w:t>C]IMA107 BP</w:t>
      </w:r>
      <w:r w:rsidR="00E6062D" w:rsidRPr="00E6062D">
        <w:rPr>
          <w:rFonts w:ascii="Times New Roman" w:hAnsi="Times New Roman" w:cs="Times New Roman"/>
          <w:iCs/>
          <w:sz w:val="24"/>
          <w:szCs w:val="28"/>
          <w:vertAlign w:val="subscript"/>
        </w:rPr>
        <w:t xml:space="preserve">ND  </w:t>
      </w:r>
      <w:r w:rsidR="00E6062D" w:rsidRPr="00E6062D">
        <w:rPr>
          <w:rFonts w:ascii="Times New Roman" w:hAnsi="Times New Roman" w:cs="Times New Roman"/>
          <w:iCs/>
          <w:sz w:val="24"/>
          <w:szCs w:val="28"/>
        </w:rPr>
        <w:t>in caudate (</w:t>
      </w:r>
      <w:r w:rsidR="00E6062D" w:rsidRPr="00E6062D">
        <w:rPr>
          <w:rFonts w:ascii="Times New Roman" w:hAnsi="Times New Roman" w:cs="Times New Roman"/>
          <w:i/>
          <w:iCs/>
          <w:sz w:val="24"/>
          <w:szCs w:val="28"/>
        </w:rPr>
        <w:t>r</w:t>
      </w:r>
      <w:r w:rsidR="00E6062D" w:rsidRPr="00E6062D">
        <w:rPr>
          <w:rFonts w:ascii="Times New Roman" w:hAnsi="Times New Roman" w:cs="Times New Roman"/>
          <w:iCs/>
          <w:sz w:val="24"/>
          <w:szCs w:val="28"/>
        </w:rPr>
        <w:t xml:space="preserve">=−0.51; </w:t>
      </w:r>
      <w:r w:rsidR="00E6062D" w:rsidRPr="00E6062D">
        <w:rPr>
          <w:rFonts w:ascii="Times New Roman" w:hAnsi="Times New Roman" w:cs="Times New Roman"/>
          <w:i/>
          <w:iCs/>
          <w:sz w:val="24"/>
          <w:szCs w:val="28"/>
        </w:rPr>
        <w:t>P</w:t>
      </w:r>
      <w:r w:rsidR="00E6062D" w:rsidRPr="00E6062D">
        <w:rPr>
          <w:rFonts w:ascii="Times New Roman" w:hAnsi="Times New Roman" w:cs="Times New Roman"/>
          <w:iCs/>
          <w:sz w:val="24"/>
          <w:szCs w:val="28"/>
        </w:rPr>
        <w:t>=0.022), putamen (</w:t>
      </w:r>
      <w:r w:rsidR="00E6062D" w:rsidRPr="00E6062D">
        <w:rPr>
          <w:rFonts w:ascii="Times New Roman" w:hAnsi="Times New Roman" w:cs="Times New Roman"/>
          <w:i/>
          <w:iCs/>
          <w:sz w:val="24"/>
          <w:szCs w:val="28"/>
        </w:rPr>
        <w:t>r</w:t>
      </w:r>
      <w:r w:rsidR="00E6062D" w:rsidRPr="00E6062D">
        <w:rPr>
          <w:rFonts w:ascii="Times New Roman" w:hAnsi="Times New Roman" w:cs="Times New Roman"/>
          <w:iCs/>
          <w:sz w:val="24"/>
          <w:szCs w:val="28"/>
        </w:rPr>
        <w:t xml:space="preserve">=−0.48; </w:t>
      </w:r>
      <w:r w:rsidR="00E6062D" w:rsidRPr="00E6062D">
        <w:rPr>
          <w:rFonts w:ascii="Times New Roman" w:hAnsi="Times New Roman" w:cs="Times New Roman"/>
          <w:i/>
          <w:iCs/>
          <w:sz w:val="24"/>
          <w:szCs w:val="28"/>
        </w:rPr>
        <w:t>P</w:t>
      </w:r>
      <w:r w:rsidR="00E6062D" w:rsidRPr="00E6062D">
        <w:rPr>
          <w:rFonts w:ascii="Times New Roman" w:hAnsi="Times New Roman" w:cs="Times New Roman"/>
          <w:iCs/>
          <w:sz w:val="24"/>
          <w:szCs w:val="28"/>
        </w:rPr>
        <w:t>=0.022) and globus pallidus (</w:t>
      </w:r>
      <w:r w:rsidR="00E6062D" w:rsidRPr="00E6062D">
        <w:rPr>
          <w:rFonts w:ascii="Times New Roman" w:hAnsi="Times New Roman" w:cs="Times New Roman"/>
          <w:i/>
          <w:iCs/>
          <w:sz w:val="24"/>
          <w:szCs w:val="28"/>
        </w:rPr>
        <w:t>r</w:t>
      </w:r>
      <w:r w:rsidR="00E6062D" w:rsidRPr="00E6062D">
        <w:rPr>
          <w:rFonts w:ascii="Times New Roman" w:hAnsi="Times New Roman" w:cs="Times New Roman"/>
          <w:iCs/>
          <w:sz w:val="24"/>
          <w:szCs w:val="28"/>
        </w:rPr>
        <w:t xml:space="preserve">=−0.67; </w:t>
      </w:r>
      <w:r w:rsidR="00E6062D" w:rsidRPr="00E6062D">
        <w:rPr>
          <w:rFonts w:ascii="Times New Roman" w:hAnsi="Times New Roman" w:cs="Times New Roman"/>
          <w:i/>
          <w:iCs/>
          <w:sz w:val="24"/>
          <w:szCs w:val="28"/>
        </w:rPr>
        <w:t>P</w:t>
      </w:r>
      <w:r w:rsidR="00E6062D" w:rsidRPr="00E6062D">
        <w:rPr>
          <w:rFonts w:ascii="Times New Roman" w:hAnsi="Times New Roman" w:cs="Times New Roman"/>
          <w:iCs/>
          <w:sz w:val="24"/>
          <w:szCs w:val="28"/>
        </w:rPr>
        <w:t>&lt;0.001)</w:t>
      </w:r>
      <w:r w:rsidR="00E6062D">
        <w:rPr>
          <w:rFonts w:ascii="Times New Roman" w:hAnsi="Times New Roman" w:cs="Times New Roman"/>
          <w:iCs/>
          <w:sz w:val="24"/>
          <w:szCs w:val="28"/>
        </w:rPr>
        <w:t>.</w:t>
      </w:r>
    </w:p>
    <w:p w14:paraId="0FBFF047" w14:textId="77777777" w:rsidR="004A7F88" w:rsidRPr="00A91783" w:rsidRDefault="004A7F88" w:rsidP="009101A4">
      <w:pPr>
        <w:spacing w:line="480" w:lineRule="auto"/>
        <w:jc w:val="both"/>
        <w:rPr>
          <w:rFonts w:ascii="Times New Roman" w:hAnsi="Times New Roman" w:cs="Times New Roman"/>
          <w:iCs/>
          <w:sz w:val="24"/>
          <w:szCs w:val="28"/>
        </w:rPr>
      </w:pPr>
    </w:p>
    <w:p w14:paraId="7BBE9526" w14:textId="77777777" w:rsidR="003D70B1" w:rsidRPr="00B13060" w:rsidRDefault="004C3770" w:rsidP="003D70B1">
      <w:pPr>
        <w:spacing w:line="480" w:lineRule="auto"/>
        <w:jc w:val="both"/>
        <w:rPr>
          <w:rFonts w:ascii="Times New Roman" w:hAnsi="Times New Roman" w:cs="Times New Roman"/>
          <w:iCs/>
          <w:sz w:val="24"/>
          <w:szCs w:val="28"/>
        </w:rPr>
        <w:sectPr w:rsidR="003D70B1" w:rsidRPr="00B13060" w:rsidSect="00C765BF">
          <w:footerReference w:type="even" r:id="rId9"/>
          <w:footerReference w:type="default" r:id="rId10"/>
          <w:pgSz w:w="11900" w:h="16840"/>
          <w:pgMar w:top="1440" w:right="1800" w:bottom="1440" w:left="1800" w:header="708" w:footer="708" w:gutter="0"/>
          <w:cols w:space="708"/>
          <w:docGrid w:linePitch="360"/>
        </w:sectPr>
      </w:pPr>
      <w:r w:rsidRPr="00A91783">
        <w:rPr>
          <w:rFonts w:ascii="Times New Roman" w:hAnsi="Times New Roman" w:cs="Times New Roman"/>
          <w:b/>
          <w:iCs/>
          <w:sz w:val="24"/>
          <w:szCs w:val="28"/>
        </w:rPr>
        <w:t xml:space="preserve">Fig. 4 </w:t>
      </w:r>
      <w:r w:rsidR="003D70B1" w:rsidRPr="00A91783">
        <w:rPr>
          <w:rFonts w:ascii="Times New Roman" w:hAnsi="Times New Roman" w:cs="Times New Roman"/>
          <w:iCs/>
          <w:sz w:val="24"/>
          <w:szCs w:val="28"/>
        </w:rPr>
        <w:t xml:space="preserve">Correlations between loss of PDE-10A and </w:t>
      </w:r>
      <w:r w:rsidR="003D70B1">
        <w:rPr>
          <w:rFonts w:ascii="Times New Roman" w:hAnsi="Times New Roman" w:cs="Times New Roman"/>
          <w:iCs/>
          <w:sz w:val="24"/>
          <w:szCs w:val="28"/>
        </w:rPr>
        <w:t xml:space="preserve">severity of </w:t>
      </w:r>
      <w:r w:rsidR="003D70B1" w:rsidRPr="00A91783">
        <w:rPr>
          <w:rFonts w:ascii="Times New Roman" w:hAnsi="Times New Roman" w:cs="Times New Roman"/>
          <w:iCs/>
          <w:sz w:val="24"/>
          <w:szCs w:val="28"/>
        </w:rPr>
        <w:t xml:space="preserve">levodopa-induced dyskinesias in </w:t>
      </w:r>
      <w:r w:rsidR="003D70B1">
        <w:rPr>
          <w:rFonts w:ascii="Times New Roman" w:hAnsi="Times New Roman" w:cs="Times New Roman"/>
          <w:iCs/>
          <w:sz w:val="24"/>
          <w:szCs w:val="28"/>
        </w:rPr>
        <w:t>12</w:t>
      </w:r>
      <w:r w:rsidR="003D70B1" w:rsidRPr="00A91783">
        <w:rPr>
          <w:rFonts w:ascii="Times New Roman" w:hAnsi="Times New Roman" w:cs="Times New Roman"/>
          <w:iCs/>
          <w:sz w:val="24"/>
          <w:szCs w:val="28"/>
        </w:rPr>
        <w:t xml:space="preserve"> Parkinson’s </w:t>
      </w:r>
      <w:r w:rsidR="003D70B1">
        <w:rPr>
          <w:rFonts w:ascii="Times New Roman" w:hAnsi="Times New Roman" w:cs="Times New Roman"/>
          <w:iCs/>
          <w:sz w:val="24"/>
          <w:szCs w:val="28"/>
        </w:rPr>
        <w:t xml:space="preserve">disease </w:t>
      </w:r>
      <w:r w:rsidR="003D70B1" w:rsidRPr="00A91783">
        <w:rPr>
          <w:rFonts w:ascii="Times New Roman" w:hAnsi="Times New Roman" w:cs="Times New Roman"/>
          <w:iCs/>
          <w:sz w:val="24"/>
          <w:szCs w:val="28"/>
        </w:rPr>
        <w:t>patients with motor complications.</w:t>
      </w:r>
      <w:r w:rsidR="003D70B1">
        <w:rPr>
          <w:rFonts w:ascii="Times New Roman" w:hAnsi="Times New Roman" w:cs="Times New Roman"/>
          <w:iCs/>
          <w:sz w:val="24"/>
          <w:szCs w:val="28"/>
        </w:rPr>
        <w:t xml:space="preserve"> </w:t>
      </w:r>
      <w:r w:rsidR="003D70B1" w:rsidRPr="00975D9F">
        <w:rPr>
          <w:rFonts w:ascii="Times New Roman" w:hAnsi="Times New Roman" w:cs="Times New Roman"/>
          <w:iCs/>
          <w:sz w:val="24"/>
          <w:szCs w:val="28"/>
        </w:rPr>
        <w:t xml:space="preserve">Higher UDysRS scores </w:t>
      </w:r>
      <w:r w:rsidR="003D70B1">
        <w:rPr>
          <w:rFonts w:ascii="Times New Roman" w:hAnsi="Times New Roman" w:cs="Times New Roman"/>
          <w:iCs/>
          <w:sz w:val="24"/>
          <w:szCs w:val="28"/>
        </w:rPr>
        <w:t>correlated</w:t>
      </w:r>
      <w:r w:rsidR="003D70B1" w:rsidRPr="00975D9F">
        <w:rPr>
          <w:rFonts w:ascii="Times New Roman" w:hAnsi="Times New Roman" w:cs="Times New Roman"/>
          <w:iCs/>
          <w:sz w:val="24"/>
          <w:szCs w:val="28"/>
        </w:rPr>
        <w:t xml:space="preserve"> with</w:t>
      </w:r>
      <w:r w:rsidR="003D70B1">
        <w:rPr>
          <w:rFonts w:ascii="Times New Roman" w:hAnsi="Times New Roman" w:cs="Times New Roman"/>
          <w:iCs/>
          <w:sz w:val="24"/>
          <w:szCs w:val="28"/>
        </w:rPr>
        <w:t xml:space="preserve"> </w:t>
      </w:r>
      <w:r w:rsidR="003D70B1" w:rsidRPr="00975D9F">
        <w:rPr>
          <w:rFonts w:ascii="Times New Roman" w:hAnsi="Times New Roman" w:cs="Times New Roman"/>
          <w:iCs/>
          <w:sz w:val="24"/>
          <w:szCs w:val="28"/>
        </w:rPr>
        <w:t>lower [</w:t>
      </w:r>
      <w:r w:rsidR="003D70B1" w:rsidRPr="00975D9F">
        <w:rPr>
          <w:rFonts w:ascii="Times New Roman" w:hAnsi="Times New Roman" w:cs="Times New Roman"/>
          <w:iCs/>
          <w:sz w:val="24"/>
          <w:szCs w:val="28"/>
          <w:vertAlign w:val="superscript"/>
        </w:rPr>
        <w:t>11</w:t>
      </w:r>
      <w:r w:rsidR="003D70B1" w:rsidRPr="00975D9F">
        <w:rPr>
          <w:rFonts w:ascii="Times New Roman" w:hAnsi="Times New Roman" w:cs="Times New Roman"/>
          <w:iCs/>
          <w:sz w:val="24"/>
          <w:szCs w:val="28"/>
        </w:rPr>
        <w:t>C]IMA107 BP</w:t>
      </w:r>
      <w:r w:rsidR="003D70B1" w:rsidRPr="00975D9F">
        <w:rPr>
          <w:rFonts w:ascii="Times New Roman" w:hAnsi="Times New Roman" w:cs="Times New Roman"/>
          <w:iCs/>
          <w:sz w:val="24"/>
          <w:szCs w:val="28"/>
          <w:vertAlign w:val="subscript"/>
        </w:rPr>
        <w:t xml:space="preserve">ND </w:t>
      </w:r>
      <w:r w:rsidR="003D70B1" w:rsidRPr="00975D9F">
        <w:rPr>
          <w:rFonts w:ascii="Times New Roman" w:hAnsi="Times New Roman" w:cs="Times New Roman"/>
          <w:iCs/>
          <w:sz w:val="24"/>
          <w:szCs w:val="28"/>
        </w:rPr>
        <w:t xml:space="preserve">in </w:t>
      </w:r>
      <w:r w:rsidR="003D70B1" w:rsidRPr="00894F54">
        <w:rPr>
          <w:rFonts w:ascii="Times New Roman" w:hAnsi="Times New Roman" w:cs="Times New Roman"/>
          <w:b/>
          <w:iCs/>
          <w:sz w:val="24"/>
          <w:szCs w:val="28"/>
        </w:rPr>
        <w:t>(A)</w:t>
      </w:r>
      <w:r w:rsidR="003D70B1">
        <w:rPr>
          <w:rFonts w:ascii="Times New Roman" w:hAnsi="Times New Roman" w:cs="Times New Roman"/>
          <w:iCs/>
          <w:sz w:val="24"/>
          <w:szCs w:val="28"/>
        </w:rPr>
        <w:t xml:space="preserve"> </w:t>
      </w:r>
      <w:r w:rsidR="003D70B1" w:rsidRPr="00975D9F">
        <w:rPr>
          <w:rFonts w:ascii="Times New Roman" w:hAnsi="Times New Roman" w:cs="Times New Roman"/>
          <w:iCs/>
          <w:sz w:val="24"/>
          <w:szCs w:val="28"/>
        </w:rPr>
        <w:t>caudate (</w:t>
      </w:r>
      <w:r w:rsidR="003D70B1" w:rsidRPr="00975D9F">
        <w:rPr>
          <w:rFonts w:ascii="Times New Roman" w:hAnsi="Times New Roman" w:cs="Times New Roman"/>
          <w:i/>
          <w:iCs/>
          <w:sz w:val="24"/>
          <w:szCs w:val="28"/>
        </w:rPr>
        <w:t>r</w:t>
      </w:r>
      <w:r w:rsidR="003D70B1" w:rsidRPr="00975D9F">
        <w:rPr>
          <w:rFonts w:ascii="Times New Roman" w:hAnsi="Times New Roman" w:cs="Times New Roman"/>
          <w:iCs/>
          <w:sz w:val="24"/>
          <w:szCs w:val="28"/>
        </w:rPr>
        <w:t xml:space="preserve">=−0.73, </w:t>
      </w:r>
      <w:r w:rsidR="003D70B1" w:rsidRPr="00975D9F">
        <w:rPr>
          <w:rFonts w:ascii="Times New Roman" w:hAnsi="Times New Roman" w:cs="Times New Roman"/>
          <w:i/>
          <w:iCs/>
          <w:sz w:val="24"/>
          <w:szCs w:val="28"/>
        </w:rPr>
        <w:t>P</w:t>
      </w:r>
      <w:r w:rsidR="003D70B1" w:rsidRPr="00975D9F">
        <w:rPr>
          <w:rFonts w:ascii="Times New Roman" w:hAnsi="Times New Roman" w:cs="Times New Roman"/>
          <w:iCs/>
          <w:sz w:val="24"/>
          <w:szCs w:val="28"/>
        </w:rPr>
        <w:t xml:space="preserve">=0.031) and </w:t>
      </w:r>
      <w:r w:rsidR="003D70B1" w:rsidRPr="00894F54">
        <w:rPr>
          <w:rFonts w:ascii="Times New Roman" w:hAnsi="Times New Roman" w:cs="Times New Roman"/>
          <w:b/>
          <w:iCs/>
          <w:sz w:val="24"/>
          <w:szCs w:val="28"/>
        </w:rPr>
        <w:t>(B)</w:t>
      </w:r>
      <w:r w:rsidR="003D70B1">
        <w:rPr>
          <w:rFonts w:ascii="Times New Roman" w:hAnsi="Times New Roman" w:cs="Times New Roman"/>
          <w:iCs/>
          <w:sz w:val="24"/>
          <w:szCs w:val="28"/>
        </w:rPr>
        <w:t xml:space="preserve"> </w:t>
      </w:r>
      <w:r w:rsidR="003D70B1" w:rsidRPr="00975D9F">
        <w:rPr>
          <w:rFonts w:ascii="Times New Roman" w:hAnsi="Times New Roman" w:cs="Times New Roman"/>
          <w:iCs/>
          <w:sz w:val="24"/>
          <w:szCs w:val="28"/>
        </w:rPr>
        <w:t>putamen (</w:t>
      </w:r>
      <w:r w:rsidR="003D70B1" w:rsidRPr="00975D9F">
        <w:rPr>
          <w:rFonts w:ascii="Times New Roman" w:hAnsi="Times New Roman" w:cs="Times New Roman"/>
          <w:i/>
          <w:iCs/>
          <w:sz w:val="24"/>
          <w:szCs w:val="28"/>
        </w:rPr>
        <w:t>r</w:t>
      </w:r>
      <w:r w:rsidR="003D70B1" w:rsidRPr="00975D9F">
        <w:rPr>
          <w:rFonts w:ascii="Times New Roman" w:hAnsi="Times New Roman" w:cs="Times New Roman"/>
          <w:iCs/>
          <w:sz w:val="24"/>
          <w:szCs w:val="28"/>
        </w:rPr>
        <w:t xml:space="preserve">=−0.74, </w:t>
      </w:r>
      <w:r w:rsidR="003D70B1" w:rsidRPr="00975D9F">
        <w:rPr>
          <w:rFonts w:ascii="Times New Roman" w:hAnsi="Times New Roman" w:cs="Times New Roman"/>
          <w:i/>
          <w:iCs/>
          <w:sz w:val="24"/>
          <w:szCs w:val="28"/>
        </w:rPr>
        <w:t>P</w:t>
      </w:r>
      <w:r w:rsidR="003D70B1" w:rsidRPr="00975D9F">
        <w:rPr>
          <w:rFonts w:ascii="Times New Roman" w:hAnsi="Times New Roman" w:cs="Times New Roman"/>
          <w:iCs/>
          <w:sz w:val="24"/>
          <w:szCs w:val="28"/>
        </w:rPr>
        <w:t xml:space="preserve">=0.031). </w:t>
      </w:r>
    </w:p>
    <w:p w14:paraId="301C72BC" w14:textId="77777777" w:rsidR="003D70B1" w:rsidRDefault="003D70B1" w:rsidP="003D70B1">
      <w:pPr>
        <w:spacing w:line="480" w:lineRule="auto"/>
        <w:ind w:left="-1134"/>
        <w:jc w:val="both"/>
        <w:rPr>
          <w:rFonts w:ascii="Times New Roman" w:hAnsi="Times New Roman" w:cs="Times New Roman"/>
          <w:b/>
          <w:sz w:val="24"/>
          <w:szCs w:val="28"/>
        </w:rPr>
      </w:pPr>
      <w:r>
        <w:rPr>
          <w:rFonts w:ascii="Times New Roman" w:hAnsi="Times New Roman" w:cs="Times New Roman"/>
          <w:b/>
          <w:sz w:val="24"/>
          <w:szCs w:val="28"/>
        </w:rPr>
        <w:t>TABLES</w:t>
      </w:r>
    </w:p>
    <w:p w14:paraId="4E6A686B" w14:textId="77777777" w:rsidR="003D70B1" w:rsidRPr="00CE04B4" w:rsidRDefault="003D70B1" w:rsidP="003D70B1">
      <w:pPr>
        <w:ind w:left="-1134"/>
        <w:rPr>
          <w:rFonts w:ascii="Times New Roman" w:hAnsi="Times New Roman" w:cs="Times New Roman"/>
          <w:sz w:val="24"/>
          <w:szCs w:val="20"/>
        </w:rPr>
      </w:pPr>
      <w:r>
        <w:rPr>
          <w:rFonts w:ascii="Times New Roman" w:hAnsi="Times New Roman" w:cs="Times New Roman"/>
          <w:b/>
          <w:sz w:val="24"/>
          <w:szCs w:val="20"/>
        </w:rPr>
        <w:t>Table 1</w:t>
      </w:r>
      <w:r w:rsidRPr="00C738F9">
        <w:rPr>
          <w:rFonts w:ascii="Times New Roman" w:hAnsi="Times New Roman" w:cs="Times New Roman"/>
          <w:b/>
          <w:sz w:val="24"/>
          <w:szCs w:val="20"/>
        </w:rPr>
        <w:t xml:space="preserve"> </w:t>
      </w:r>
      <w:r w:rsidRPr="00C738F9">
        <w:rPr>
          <w:rFonts w:ascii="Times New Roman" w:hAnsi="Times New Roman" w:cs="Times New Roman"/>
          <w:sz w:val="24"/>
          <w:szCs w:val="20"/>
        </w:rPr>
        <w:t>Clinical characteristics of Parkinson’s disease patients.</w:t>
      </w:r>
    </w:p>
    <w:tbl>
      <w:tblPr>
        <w:tblStyle w:val="TableGrid"/>
        <w:tblW w:w="15026" w:type="dxa"/>
        <w:tblInd w:w="-1044" w:type="dxa"/>
        <w:tblLayout w:type="fixed"/>
        <w:tblLook w:val="0420" w:firstRow="1" w:lastRow="0" w:firstColumn="0" w:lastColumn="0" w:noHBand="0" w:noVBand="1"/>
      </w:tblPr>
      <w:tblGrid>
        <w:gridCol w:w="1154"/>
        <w:gridCol w:w="1156"/>
        <w:gridCol w:w="1156"/>
        <w:gridCol w:w="1156"/>
        <w:gridCol w:w="1156"/>
        <w:gridCol w:w="1156"/>
        <w:gridCol w:w="1156"/>
        <w:gridCol w:w="1156"/>
        <w:gridCol w:w="1156"/>
        <w:gridCol w:w="1156"/>
        <w:gridCol w:w="1156"/>
        <w:gridCol w:w="1156"/>
        <w:gridCol w:w="1156"/>
      </w:tblGrid>
      <w:tr w:rsidR="003D70B1" w:rsidRPr="00971872" w14:paraId="0A5F084D" w14:textId="77777777" w:rsidTr="003D70B1">
        <w:trPr>
          <w:trHeight w:val="924"/>
          <w:tblHeader/>
        </w:trPr>
        <w:tc>
          <w:tcPr>
            <w:tcW w:w="1154" w:type="dxa"/>
            <w:hideMark/>
          </w:tcPr>
          <w:p w14:paraId="6334ADB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Subject No</w:t>
            </w:r>
          </w:p>
        </w:tc>
        <w:tc>
          <w:tcPr>
            <w:tcW w:w="1156" w:type="dxa"/>
            <w:hideMark/>
          </w:tcPr>
          <w:p w14:paraId="76F8D49D"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Sex</w:t>
            </w:r>
          </w:p>
        </w:tc>
        <w:tc>
          <w:tcPr>
            <w:tcW w:w="1156" w:type="dxa"/>
            <w:hideMark/>
          </w:tcPr>
          <w:p w14:paraId="43017F6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Age</w:t>
            </w:r>
          </w:p>
        </w:tc>
        <w:tc>
          <w:tcPr>
            <w:tcW w:w="1156" w:type="dxa"/>
            <w:hideMark/>
          </w:tcPr>
          <w:p w14:paraId="2B814958"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Disease duration</w:t>
            </w:r>
            <w:r w:rsidRPr="00232D61">
              <w:rPr>
                <w:rFonts w:ascii="Times New Roman" w:hAnsi="Times New Roman" w:cs="Times New Roman"/>
                <w:b/>
                <w:bCs/>
                <w:sz w:val="18"/>
                <w:szCs w:val="18"/>
                <w:vertAlign w:val="superscript"/>
                <w:lang w:val="en-US"/>
              </w:rPr>
              <w:t>1</w:t>
            </w:r>
          </w:p>
        </w:tc>
        <w:tc>
          <w:tcPr>
            <w:tcW w:w="1156" w:type="dxa"/>
            <w:hideMark/>
          </w:tcPr>
          <w:p w14:paraId="19E76DEB"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PD medication duration (yrs)</w:t>
            </w:r>
            <w:r w:rsidRPr="00232D61">
              <w:rPr>
                <w:rFonts w:ascii="Times New Roman" w:hAnsi="Times New Roman" w:cs="Times New Roman"/>
                <w:b/>
                <w:bCs/>
                <w:sz w:val="18"/>
                <w:szCs w:val="18"/>
                <w:vertAlign w:val="superscript"/>
                <w:lang w:val="en-US"/>
              </w:rPr>
              <w:t>2</w:t>
            </w:r>
          </w:p>
        </w:tc>
        <w:tc>
          <w:tcPr>
            <w:tcW w:w="1156" w:type="dxa"/>
            <w:hideMark/>
          </w:tcPr>
          <w:p w14:paraId="5E7085A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Dail</w:t>
            </w:r>
            <w:r>
              <w:rPr>
                <w:rFonts w:ascii="Times New Roman" w:hAnsi="Times New Roman" w:cs="Times New Roman"/>
                <w:b/>
                <w:bCs/>
                <w:sz w:val="18"/>
                <w:szCs w:val="18"/>
                <w:lang w:val="en-US"/>
              </w:rPr>
              <w:t>y LED</w:t>
            </w:r>
            <w:r w:rsidRPr="00014522">
              <w:rPr>
                <w:rFonts w:ascii="Times New Roman" w:hAnsi="Times New Roman" w:cs="Times New Roman"/>
                <w:b/>
                <w:bCs/>
                <w:sz w:val="18"/>
                <w:szCs w:val="18"/>
                <w:lang w:val="en-US"/>
              </w:rPr>
              <w:t xml:space="preserve"> (mg)</w:t>
            </w:r>
            <w:r w:rsidRPr="00232D61">
              <w:rPr>
                <w:rFonts w:ascii="Times New Roman" w:hAnsi="Times New Roman" w:cs="Times New Roman"/>
                <w:b/>
                <w:bCs/>
                <w:sz w:val="18"/>
                <w:szCs w:val="18"/>
                <w:vertAlign w:val="superscript"/>
                <w:lang w:val="en-US"/>
              </w:rPr>
              <w:t>3</w:t>
            </w:r>
          </w:p>
        </w:tc>
        <w:tc>
          <w:tcPr>
            <w:tcW w:w="1156" w:type="dxa"/>
          </w:tcPr>
          <w:p w14:paraId="1DC3EA6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H&amp;Y OFF</w:t>
            </w:r>
            <w:r w:rsidRPr="00232D61">
              <w:rPr>
                <w:rFonts w:ascii="Times New Roman" w:hAnsi="Times New Roman"/>
                <w:b/>
                <w:bCs/>
                <w:kern w:val="24"/>
                <w:sz w:val="18"/>
                <w:szCs w:val="18"/>
                <w:vertAlign w:val="superscript"/>
                <w:lang w:val="en-US"/>
              </w:rPr>
              <w:t>4</w:t>
            </w:r>
          </w:p>
        </w:tc>
        <w:tc>
          <w:tcPr>
            <w:tcW w:w="1156" w:type="dxa"/>
          </w:tcPr>
          <w:p w14:paraId="000434A2"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H&amp;Y ON</w:t>
            </w:r>
          </w:p>
        </w:tc>
        <w:tc>
          <w:tcPr>
            <w:tcW w:w="1156" w:type="dxa"/>
          </w:tcPr>
          <w:p w14:paraId="3C63DBB5"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UPDRS-III OFF</w:t>
            </w:r>
            <w:r w:rsidRPr="00232D61">
              <w:rPr>
                <w:rFonts w:ascii="Times New Roman" w:hAnsi="Times New Roman"/>
                <w:b/>
                <w:bCs/>
                <w:kern w:val="24"/>
                <w:sz w:val="18"/>
                <w:szCs w:val="18"/>
                <w:vertAlign w:val="superscript"/>
                <w:lang w:val="en-US"/>
              </w:rPr>
              <w:t>5</w:t>
            </w:r>
          </w:p>
        </w:tc>
        <w:tc>
          <w:tcPr>
            <w:tcW w:w="1156" w:type="dxa"/>
          </w:tcPr>
          <w:p w14:paraId="5DF072B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UPDRS-III ON</w:t>
            </w:r>
          </w:p>
        </w:tc>
        <w:tc>
          <w:tcPr>
            <w:tcW w:w="1156" w:type="dxa"/>
          </w:tcPr>
          <w:p w14:paraId="6C6DB483"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UPDRS-IV</w:t>
            </w:r>
          </w:p>
        </w:tc>
        <w:tc>
          <w:tcPr>
            <w:tcW w:w="1156" w:type="dxa"/>
          </w:tcPr>
          <w:p w14:paraId="47B3043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UDysRS</w:t>
            </w:r>
            <w:r>
              <w:rPr>
                <w:rFonts w:ascii="Times New Roman" w:hAnsi="Times New Roman"/>
                <w:b/>
                <w:bCs/>
                <w:kern w:val="24"/>
                <w:sz w:val="18"/>
                <w:szCs w:val="18"/>
                <w:vertAlign w:val="superscript"/>
                <w:lang w:val="en-US"/>
              </w:rPr>
              <w:t>5</w:t>
            </w:r>
          </w:p>
        </w:tc>
        <w:tc>
          <w:tcPr>
            <w:tcW w:w="1156" w:type="dxa"/>
          </w:tcPr>
          <w:p w14:paraId="39B5B149" w14:textId="77777777" w:rsidR="003D70B1" w:rsidRPr="00014522" w:rsidRDefault="003D70B1" w:rsidP="003D70B1">
            <w:pPr>
              <w:pStyle w:val="NormalWeb"/>
              <w:spacing w:before="0" w:beforeAutospacing="0" w:after="0" w:afterAutospacing="0"/>
              <w:jc w:val="center"/>
              <w:textAlignment w:val="bottom"/>
              <w:rPr>
                <w:rFonts w:ascii="Times New Roman" w:hAnsi="Times New Roman"/>
                <w:b/>
                <w:bCs/>
                <w:kern w:val="24"/>
                <w:sz w:val="18"/>
                <w:szCs w:val="18"/>
                <w:lang w:val="en-US"/>
              </w:rPr>
            </w:pPr>
            <w:r w:rsidRPr="00014522">
              <w:rPr>
                <w:rFonts w:ascii="Times New Roman" w:hAnsi="Times New Roman"/>
                <w:b/>
                <w:bCs/>
                <w:kern w:val="24"/>
                <w:sz w:val="18"/>
                <w:szCs w:val="18"/>
                <w:lang w:val="en-US"/>
              </w:rPr>
              <w:t>PDQ-39</w:t>
            </w:r>
            <w:r>
              <w:rPr>
                <w:rFonts w:ascii="Times New Roman" w:hAnsi="Times New Roman"/>
                <w:b/>
                <w:bCs/>
                <w:kern w:val="24"/>
                <w:sz w:val="18"/>
                <w:szCs w:val="18"/>
                <w:vertAlign w:val="superscript"/>
                <w:lang w:val="en-US"/>
              </w:rPr>
              <w:t>6</w:t>
            </w:r>
          </w:p>
        </w:tc>
      </w:tr>
      <w:tr w:rsidR="003D70B1" w:rsidRPr="00971872" w14:paraId="6FF182FC" w14:textId="77777777" w:rsidTr="003D70B1">
        <w:trPr>
          <w:trHeight w:val="322"/>
        </w:trPr>
        <w:tc>
          <w:tcPr>
            <w:tcW w:w="1154" w:type="dxa"/>
            <w:hideMark/>
          </w:tcPr>
          <w:p w14:paraId="7ACE301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w:t>
            </w:r>
          </w:p>
        </w:tc>
        <w:tc>
          <w:tcPr>
            <w:tcW w:w="1156" w:type="dxa"/>
            <w:hideMark/>
          </w:tcPr>
          <w:p w14:paraId="5317AC1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4E3197A4"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69.6</w:t>
            </w:r>
          </w:p>
        </w:tc>
        <w:tc>
          <w:tcPr>
            <w:tcW w:w="1156" w:type="dxa"/>
            <w:hideMark/>
          </w:tcPr>
          <w:p w14:paraId="5F934BA3"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12</w:t>
            </w:r>
          </w:p>
        </w:tc>
        <w:tc>
          <w:tcPr>
            <w:tcW w:w="1156" w:type="dxa"/>
            <w:hideMark/>
          </w:tcPr>
          <w:p w14:paraId="30C99CFC"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11</w:t>
            </w:r>
          </w:p>
        </w:tc>
        <w:tc>
          <w:tcPr>
            <w:tcW w:w="1156" w:type="dxa"/>
            <w:hideMark/>
          </w:tcPr>
          <w:p w14:paraId="4198312F"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1377</w:t>
            </w:r>
          </w:p>
        </w:tc>
        <w:tc>
          <w:tcPr>
            <w:tcW w:w="1156" w:type="dxa"/>
          </w:tcPr>
          <w:p w14:paraId="06A3B66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4</w:t>
            </w:r>
          </w:p>
        </w:tc>
        <w:tc>
          <w:tcPr>
            <w:tcW w:w="1156" w:type="dxa"/>
          </w:tcPr>
          <w:p w14:paraId="5199A7E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4</w:t>
            </w:r>
          </w:p>
        </w:tc>
        <w:tc>
          <w:tcPr>
            <w:tcW w:w="1156" w:type="dxa"/>
          </w:tcPr>
          <w:p w14:paraId="0ECBD10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68</w:t>
            </w:r>
          </w:p>
        </w:tc>
        <w:tc>
          <w:tcPr>
            <w:tcW w:w="1156" w:type="dxa"/>
          </w:tcPr>
          <w:p w14:paraId="3C1F5156"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38</w:t>
            </w:r>
          </w:p>
        </w:tc>
        <w:tc>
          <w:tcPr>
            <w:tcW w:w="1156" w:type="dxa"/>
          </w:tcPr>
          <w:p w14:paraId="18802EE1"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11</w:t>
            </w:r>
          </w:p>
        </w:tc>
        <w:tc>
          <w:tcPr>
            <w:tcW w:w="1156" w:type="dxa"/>
          </w:tcPr>
          <w:p w14:paraId="0893310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81</w:t>
            </w:r>
          </w:p>
        </w:tc>
        <w:tc>
          <w:tcPr>
            <w:tcW w:w="1156" w:type="dxa"/>
          </w:tcPr>
          <w:p w14:paraId="11CC915E"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49</w:t>
            </w:r>
          </w:p>
        </w:tc>
      </w:tr>
      <w:tr w:rsidR="003D70B1" w:rsidRPr="00971872" w14:paraId="502A0A7C" w14:textId="77777777" w:rsidTr="003D70B1">
        <w:trPr>
          <w:trHeight w:val="322"/>
        </w:trPr>
        <w:tc>
          <w:tcPr>
            <w:tcW w:w="1154" w:type="dxa"/>
            <w:hideMark/>
          </w:tcPr>
          <w:p w14:paraId="1F3AF47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2</w:t>
            </w:r>
          </w:p>
        </w:tc>
        <w:tc>
          <w:tcPr>
            <w:tcW w:w="1156" w:type="dxa"/>
            <w:hideMark/>
          </w:tcPr>
          <w:p w14:paraId="33C11089"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F</w:t>
            </w:r>
          </w:p>
        </w:tc>
        <w:tc>
          <w:tcPr>
            <w:tcW w:w="1156" w:type="dxa"/>
            <w:hideMark/>
          </w:tcPr>
          <w:p w14:paraId="10A41E0E"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78.5</w:t>
            </w:r>
          </w:p>
        </w:tc>
        <w:tc>
          <w:tcPr>
            <w:tcW w:w="1156" w:type="dxa"/>
            <w:hideMark/>
          </w:tcPr>
          <w:p w14:paraId="0321C11A"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24</w:t>
            </w:r>
          </w:p>
        </w:tc>
        <w:tc>
          <w:tcPr>
            <w:tcW w:w="1156" w:type="dxa"/>
            <w:hideMark/>
          </w:tcPr>
          <w:p w14:paraId="40F9B6E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20</w:t>
            </w:r>
          </w:p>
        </w:tc>
        <w:tc>
          <w:tcPr>
            <w:tcW w:w="1156" w:type="dxa"/>
            <w:hideMark/>
          </w:tcPr>
          <w:p w14:paraId="46EA4EBA"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1329</w:t>
            </w:r>
          </w:p>
        </w:tc>
        <w:tc>
          <w:tcPr>
            <w:tcW w:w="1156" w:type="dxa"/>
          </w:tcPr>
          <w:p w14:paraId="25DB16C1"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4</w:t>
            </w:r>
          </w:p>
        </w:tc>
        <w:tc>
          <w:tcPr>
            <w:tcW w:w="1156" w:type="dxa"/>
          </w:tcPr>
          <w:p w14:paraId="6104B424"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4</w:t>
            </w:r>
          </w:p>
        </w:tc>
        <w:tc>
          <w:tcPr>
            <w:tcW w:w="1156" w:type="dxa"/>
          </w:tcPr>
          <w:p w14:paraId="0C7FB49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71</w:t>
            </w:r>
          </w:p>
        </w:tc>
        <w:tc>
          <w:tcPr>
            <w:tcW w:w="1156" w:type="dxa"/>
          </w:tcPr>
          <w:p w14:paraId="1A404486"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54</w:t>
            </w:r>
          </w:p>
        </w:tc>
        <w:tc>
          <w:tcPr>
            <w:tcW w:w="1156" w:type="dxa"/>
          </w:tcPr>
          <w:p w14:paraId="2E919495"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17</w:t>
            </w:r>
          </w:p>
        </w:tc>
        <w:tc>
          <w:tcPr>
            <w:tcW w:w="1156" w:type="dxa"/>
          </w:tcPr>
          <w:p w14:paraId="21FDF20C"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109</w:t>
            </w:r>
          </w:p>
        </w:tc>
        <w:tc>
          <w:tcPr>
            <w:tcW w:w="1156" w:type="dxa"/>
          </w:tcPr>
          <w:p w14:paraId="263B68A3"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30</w:t>
            </w:r>
          </w:p>
        </w:tc>
      </w:tr>
      <w:tr w:rsidR="003D70B1" w:rsidRPr="00971872" w14:paraId="27E116A3" w14:textId="77777777" w:rsidTr="003D70B1">
        <w:trPr>
          <w:trHeight w:val="322"/>
        </w:trPr>
        <w:tc>
          <w:tcPr>
            <w:tcW w:w="1154" w:type="dxa"/>
            <w:hideMark/>
          </w:tcPr>
          <w:p w14:paraId="77E105A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3</w:t>
            </w:r>
          </w:p>
        </w:tc>
        <w:tc>
          <w:tcPr>
            <w:tcW w:w="1156" w:type="dxa"/>
            <w:hideMark/>
          </w:tcPr>
          <w:p w14:paraId="0EA2798A"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0A1D5A8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66.1</w:t>
            </w:r>
          </w:p>
        </w:tc>
        <w:tc>
          <w:tcPr>
            <w:tcW w:w="1156" w:type="dxa"/>
            <w:hideMark/>
          </w:tcPr>
          <w:p w14:paraId="2325E99F"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14</w:t>
            </w:r>
          </w:p>
        </w:tc>
        <w:tc>
          <w:tcPr>
            <w:tcW w:w="1156" w:type="dxa"/>
            <w:hideMark/>
          </w:tcPr>
          <w:p w14:paraId="00803BAD"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13</w:t>
            </w:r>
          </w:p>
        </w:tc>
        <w:tc>
          <w:tcPr>
            <w:tcW w:w="1156" w:type="dxa"/>
            <w:hideMark/>
          </w:tcPr>
          <w:p w14:paraId="527E1731"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2662.5</w:t>
            </w:r>
          </w:p>
        </w:tc>
        <w:tc>
          <w:tcPr>
            <w:tcW w:w="1156" w:type="dxa"/>
          </w:tcPr>
          <w:p w14:paraId="4A4C873F"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4</w:t>
            </w:r>
          </w:p>
        </w:tc>
        <w:tc>
          <w:tcPr>
            <w:tcW w:w="1156" w:type="dxa"/>
          </w:tcPr>
          <w:p w14:paraId="74ED5606"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500A11B9"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54</w:t>
            </w:r>
          </w:p>
        </w:tc>
        <w:tc>
          <w:tcPr>
            <w:tcW w:w="1156" w:type="dxa"/>
          </w:tcPr>
          <w:p w14:paraId="2D56D5A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19</w:t>
            </w:r>
          </w:p>
        </w:tc>
        <w:tc>
          <w:tcPr>
            <w:tcW w:w="1156" w:type="dxa"/>
          </w:tcPr>
          <w:p w14:paraId="774E38C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17</w:t>
            </w:r>
          </w:p>
        </w:tc>
        <w:tc>
          <w:tcPr>
            <w:tcW w:w="1156" w:type="dxa"/>
          </w:tcPr>
          <w:p w14:paraId="0EE552CF"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94</w:t>
            </w:r>
          </w:p>
        </w:tc>
        <w:tc>
          <w:tcPr>
            <w:tcW w:w="1156" w:type="dxa"/>
          </w:tcPr>
          <w:p w14:paraId="0EA6964F"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49</w:t>
            </w:r>
          </w:p>
        </w:tc>
      </w:tr>
      <w:tr w:rsidR="003D70B1" w:rsidRPr="00971872" w14:paraId="0F8744A6" w14:textId="77777777" w:rsidTr="003D70B1">
        <w:trPr>
          <w:trHeight w:val="322"/>
        </w:trPr>
        <w:tc>
          <w:tcPr>
            <w:tcW w:w="1154" w:type="dxa"/>
            <w:hideMark/>
          </w:tcPr>
          <w:p w14:paraId="012E3F10"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4</w:t>
            </w:r>
          </w:p>
        </w:tc>
        <w:tc>
          <w:tcPr>
            <w:tcW w:w="1156" w:type="dxa"/>
            <w:hideMark/>
          </w:tcPr>
          <w:p w14:paraId="6636061A"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F</w:t>
            </w:r>
          </w:p>
        </w:tc>
        <w:tc>
          <w:tcPr>
            <w:tcW w:w="1156" w:type="dxa"/>
            <w:hideMark/>
          </w:tcPr>
          <w:p w14:paraId="4195039D"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56.2</w:t>
            </w:r>
          </w:p>
        </w:tc>
        <w:tc>
          <w:tcPr>
            <w:tcW w:w="1156" w:type="dxa"/>
            <w:hideMark/>
          </w:tcPr>
          <w:p w14:paraId="0CB8801F"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12</w:t>
            </w:r>
          </w:p>
        </w:tc>
        <w:tc>
          <w:tcPr>
            <w:tcW w:w="1156" w:type="dxa"/>
            <w:hideMark/>
          </w:tcPr>
          <w:p w14:paraId="1D17CFD3"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11</w:t>
            </w:r>
          </w:p>
        </w:tc>
        <w:tc>
          <w:tcPr>
            <w:tcW w:w="1156" w:type="dxa"/>
            <w:hideMark/>
          </w:tcPr>
          <w:p w14:paraId="358C8BB9"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1715</w:t>
            </w:r>
          </w:p>
        </w:tc>
        <w:tc>
          <w:tcPr>
            <w:tcW w:w="1156" w:type="dxa"/>
          </w:tcPr>
          <w:p w14:paraId="6BD9094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0045D72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125C2F2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46</w:t>
            </w:r>
          </w:p>
        </w:tc>
        <w:tc>
          <w:tcPr>
            <w:tcW w:w="1156" w:type="dxa"/>
          </w:tcPr>
          <w:p w14:paraId="758A2DF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16</w:t>
            </w:r>
          </w:p>
        </w:tc>
        <w:tc>
          <w:tcPr>
            <w:tcW w:w="1156" w:type="dxa"/>
          </w:tcPr>
          <w:p w14:paraId="5112E894"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5D71657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98</w:t>
            </w:r>
          </w:p>
        </w:tc>
        <w:tc>
          <w:tcPr>
            <w:tcW w:w="1156" w:type="dxa"/>
          </w:tcPr>
          <w:p w14:paraId="624F1937"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33</w:t>
            </w:r>
          </w:p>
        </w:tc>
      </w:tr>
      <w:tr w:rsidR="003D70B1" w:rsidRPr="00971872" w14:paraId="53052CD6" w14:textId="77777777" w:rsidTr="003D70B1">
        <w:trPr>
          <w:trHeight w:val="322"/>
        </w:trPr>
        <w:tc>
          <w:tcPr>
            <w:tcW w:w="1154" w:type="dxa"/>
            <w:hideMark/>
          </w:tcPr>
          <w:p w14:paraId="53615CD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w:t>
            </w:r>
          </w:p>
        </w:tc>
        <w:tc>
          <w:tcPr>
            <w:tcW w:w="1156" w:type="dxa"/>
            <w:hideMark/>
          </w:tcPr>
          <w:p w14:paraId="593350FC"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F</w:t>
            </w:r>
          </w:p>
        </w:tc>
        <w:tc>
          <w:tcPr>
            <w:tcW w:w="1156" w:type="dxa"/>
            <w:hideMark/>
          </w:tcPr>
          <w:p w14:paraId="20B6CC2F"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59.0</w:t>
            </w:r>
          </w:p>
        </w:tc>
        <w:tc>
          <w:tcPr>
            <w:tcW w:w="1156" w:type="dxa"/>
            <w:hideMark/>
          </w:tcPr>
          <w:p w14:paraId="1FC3EB7C"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13</w:t>
            </w:r>
          </w:p>
        </w:tc>
        <w:tc>
          <w:tcPr>
            <w:tcW w:w="1156" w:type="dxa"/>
            <w:hideMark/>
          </w:tcPr>
          <w:p w14:paraId="3A2DC7AB"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12</w:t>
            </w:r>
          </w:p>
        </w:tc>
        <w:tc>
          <w:tcPr>
            <w:tcW w:w="1156" w:type="dxa"/>
            <w:hideMark/>
          </w:tcPr>
          <w:p w14:paraId="0951B9E0"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973</w:t>
            </w:r>
          </w:p>
        </w:tc>
        <w:tc>
          <w:tcPr>
            <w:tcW w:w="1156" w:type="dxa"/>
          </w:tcPr>
          <w:p w14:paraId="1F54762E"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4</w:t>
            </w:r>
          </w:p>
        </w:tc>
        <w:tc>
          <w:tcPr>
            <w:tcW w:w="1156" w:type="dxa"/>
          </w:tcPr>
          <w:p w14:paraId="06469835"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w:t>
            </w:r>
          </w:p>
        </w:tc>
        <w:tc>
          <w:tcPr>
            <w:tcW w:w="1156" w:type="dxa"/>
          </w:tcPr>
          <w:p w14:paraId="5D49E665"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61</w:t>
            </w:r>
          </w:p>
        </w:tc>
        <w:tc>
          <w:tcPr>
            <w:tcW w:w="1156" w:type="dxa"/>
          </w:tcPr>
          <w:p w14:paraId="771892E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11</w:t>
            </w:r>
          </w:p>
        </w:tc>
        <w:tc>
          <w:tcPr>
            <w:tcW w:w="1156" w:type="dxa"/>
          </w:tcPr>
          <w:p w14:paraId="04C94699"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11</w:t>
            </w:r>
          </w:p>
        </w:tc>
        <w:tc>
          <w:tcPr>
            <w:tcW w:w="1156" w:type="dxa"/>
          </w:tcPr>
          <w:p w14:paraId="38A60D8F"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55</w:t>
            </w:r>
          </w:p>
        </w:tc>
        <w:tc>
          <w:tcPr>
            <w:tcW w:w="1156" w:type="dxa"/>
          </w:tcPr>
          <w:p w14:paraId="556306B5"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49</w:t>
            </w:r>
          </w:p>
        </w:tc>
      </w:tr>
      <w:tr w:rsidR="003D70B1" w:rsidRPr="00971872" w14:paraId="634D38C6" w14:textId="77777777" w:rsidTr="003D70B1">
        <w:trPr>
          <w:trHeight w:val="322"/>
        </w:trPr>
        <w:tc>
          <w:tcPr>
            <w:tcW w:w="1154" w:type="dxa"/>
            <w:hideMark/>
          </w:tcPr>
          <w:p w14:paraId="0895FAD7"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6</w:t>
            </w:r>
          </w:p>
        </w:tc>
        <w:tc>
          <w:tcPr>
            <w:tcW w:w="1156" w:type="dxa"/>
            <w:hideMark/>
          </w:tcPr>
          <w:p w14:paraId="7CC4CF90"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255BAFC4"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59.9</w:t>
            </w:r>
          </w:p>
        </w:tc>
        <w:tc>
          <w:tcPr>
            <w:tcW w:w="1156" w:type="dxa"/>
            <w:hideMark/>
          </w:tcPr>
          <w:p w14:paraId="4972ADC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9</w:t>
            </w:r>
          </w:p>
        </w:tc>
        <w:tc>
          <w:tcPr>
            <w:tcW w:w="1156" w:type="dxa"/>
            <w:hideMark/>
          </w:tcPr>
          <w:p w14:paraId="4F8147EA"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8</w:t>
            </w:r>
          </w:p>
        </w:tc>
        <w:tc>
          <w:tcPr>
            <w:tcW w:w="1156" w:type="dxa"/>
            <w:hideMark/>
          </w:tcPr>
          <w:p w14:paraId="2DB0C4AF"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520</w:t>
            </w:r>
          </w:p>
        </w:tc>
        <w:tc>
          <w:tcPr>
            <w:tcW w:w="1156" w:type="dxa"/>
          </w:tcPr>
          <w:p w14:paraId="71763DE5"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2.5</w:t>
            </w:r>
          </w:p>
        </w:tc>
        <w:tc>
          <w:tcPr>
            <w:tcW w:w="1156" w:type="dxa"/>
          </w:tcPr>
          <w:p w14:paraId="60316F9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6393590F"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29</w:t>
            </w:r>
          </w:p>
        </w:tc>
        <w:tc>
          <w:tcPr>
            <w:tcW w:w="1156" w:type="dxa"/>
          </w:tcPr>
          <w:p w14:paraId="26CC86C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9</w:t>
            </w:r>
          </w:p>
        </w:tc>
        <w:tc>
          <w:tcPr>
            <w:tcW w:w="1156" w:type="dxa"/>
          </w:tcPr>
          <w:p w14:paraId="0F5BD445"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5</w:t>
            </w:r>
          </w:p>
        </w:tc>
        <w:tc>
          <w:tcPr>
            <w:tcW w:w="1156" w:type="dxa"/>
          </w:tcPr>
          <w:p w14:paraId="50EB0939"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86</w:t>
            </w:r>
          </w:p>
        </w:tc>
        <w:tc>
          <w:tcPr>
            <w:tcW w:w="1156" w:type="dxa"/>
          </w:tcPr>
          <w:p w14:paraId="63CDA559"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16</w:t>
            </w:r>
          </w:p>
        </w:tc>
      </w:tr>
      <w:tr w:rsidR="003D70B1" w:rsidRPr="00971872" w14:paraId="0D39C85E" w14:textId="77777777" w:rsidTr="003D70B1">
        <w:trPr>
          <w:trHeight w:val="322"/>
        </w:trPr>
        <w:tc>
          <w:tcPr>
            <w:tcW w:w="1154" w:type="dxa"/>
            <w:hideMark/>
          </w:tcPr>
          <w:p w14:paraId="2487DDEC"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w:t>
            </w:r>
          </w:p>
        </w:tc>
        <w:tc>
          <w:tcPr>
            <w:tcW w:w="1156" w:type="dxa"/>
            <w:hideMark/>
          </w:tcPr>
          <w:p w14:paraId="0B595FFC"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7EC3F154"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56.8</w:t>
            </w:r>
          </w:p>
        </w:tc>
        <w:tc>
          <w:tcPr>
            <w:tcW w:w="1156" w:type="dxa"/>
            <w:hideMark/>
          </w:tcPr>
          <w:p w14:paraId="3E0E18DB"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12</w:t>
            </w:r>
          </w:p>
        </w:tc>
        <w:tc>
          <w:tcPr>
            <w:tcW w:w="1156" w:type="dxa"/>
            <w:hideMark/>
          </w:tcPr>
          <w:p w14:paraId="3DDC4E6B"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10</w:t>
            </w:r>
          </w:p>
        </w:tc>
        <w:tc>
          <w:tcPr>
            <w:tcW w:w="1156" w:type="dxa"/>
            <w:hideMark/>
          </w:tcPr>
          <w:p w14:paraId="47B935F0"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2937</w:t>
            </w:r>
          </w:p>
        </w:tc>
        <w:tc>
          <w:tcPr>
            <w:tcW w:w="1156" w:type="dxa"/>
          </w:tcPr>
          <w:p w14:paraId="27571493"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w:t>
            </w:r>
          </w:p>
        </w:tc>
        <w:tc>
          <w:tcPr>
            <w:tcW w:w="1156" w:type="dxa"/>
          </w:tcPr>
          <w:p w14:paraId="52BD23D1"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3D13EFA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33</w:t>
            </w:r>
          </w:p>
        </w:tc>
        <w:tc>
          <w:tcPr>
            <w:tcW w:w="1156" w:type="dxa"/>
          </w:tcPr>
          <w:p w14:paraId="40DDB4A2"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10</w:t>
            </w:r>
          </w:p>
        </w:tc>
        <w:tc>
          <w:tcPr>
            <w:tcW w:w="1156" w:type="dxa"/>
          </w:tcPr>
          <w:p w14:paraId="146771F6"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12</w:t>
            </w:r>
          </w:p>
        </w:tc>
        <w:tc>
          <w:tcPr>
            <w:tcW w:w="1156" w:type="dxa"/>
          </w:tcPr>
          <w:p w14:paraId="5F8BAC4D"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102</w:t>
            </w:r>
          </w:p>
        </w:tc>
        <w:tc>
          <w:tcPr>
            <w:tcW w:w="1156" w:type="dxa"/>
          </w:tcPr>
          <w:p w14:paraId="0C5E002F"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56</w:t>
            </w:r>
          </w:p>
        </w:tc>
      </w:tr>
      <w:tr w:rsidR="003D70B1" w:rsidRPr="00971872" w14:paraId="261737C1" w14:textId="77777777" w:rsidTr="003D70B1">
        <w:trPr>
          <w:trHeight w:val="322"/>
        </w:trPr>
        <w:tc>
          <w:tcPr>
            <w:tcW w:w="1154" w:type="dxa"/>
            <w:hideMark/>
          </w:tcPr>
          <w:p w14:paraId="7CC887F3"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8</w:t>
            </w:r>
          </w:p>
        </w:tc>
        <w:tc>
          <w:tcPr>
            <w:tcW w:w="1156" w:type="dxa"/>
            <w:hideMark/>
          </w:tcPr>
          <w:p w14:paraId="3414724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F</w:t>
            </w:r>
          </w:p>
        </w:tc>
        <w:tc>
          <w:tcPr>
            <w:tcW w:w="1156" w:type="dxa"/>
            <w:hideMark/>
          </w:tcPr>
          <w:p w14:paraId="0F7026EB"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70.1</w:t>
            </w:r>
          </w:p>
        </w:tc>
        <w:tc>
          <w:tcPr>
            <w:tcW w:w="1156" w:type="dxa"/>
            <w:hideMark/>
          </w:tcPr>
          <w:p w14:paraId="5C91D02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12</w:t>
            </w:r>
          </w:p>
        </w:tc>
        <w:tc>
          <w:tcPr>
            <w:tcW w:w="1156" w:type="dxa"/>
            <w:hideMark/>
          </w:tcPr>
          <w:p w14:paraId="60EB2648"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10</w:t>
            </w:r>
          </w:p>
        </w:tc>
        <w:tc>
          <w:tcPr>
            <w:tcW w:w="1156" w:type="dxa"/>
            <w:hideMark/>
          </w:tcPr>
          <w:p w14:paraId="38288840"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946</w:t>
            </w:r>
          </w:p>
        </w:tc>
        <w:tc>
          <w:tcPr>
            <w:tcW w:w="1156" w:type="dxa"/>
          </w:tcPr>
          <w:p w14:paraId="05FFCEE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w:t>
            </w:r>
          </w:p>
        </w:tc>
        <w:tc>
          <w:tcPr>
            <w:tcW w:w="1156" w:type="dxa"/>
          </w:tcPr>
          <w:p w14:paraId="41B12A9E"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1.5</w:t>
            </w:r>
          </w:p>
        </w:tc>
        <w:tc>
          <w:tcPr>
            <w:tcW w:w="1156" w:type="dxa"/>
          </w:tcPr>
          <w:p w14:paraId="44BCB9CD"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20</w:t>
            </w:r>
          </w:p>
        </w:tc>
        <w:tc>
          <w:tcPr>
            <w:tcW w:w="1156" w:type="dxa"/>
          </w:tcPr>
          <w:p w14:paraId="1730D57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11</w:t>
            </w:r>
          </w:p>
        </w:tc>
        <w:tc>
          <w:tcPr>
            <w:tcW w:w="1156" w:type="dxa"/>
          </w:tcPr>
          <w:p w14:paraId="477A614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13</w:t>
            </w:r>
          </w:p>
        </w:tc>
        <w:tc>
          <w:tcPr>
            <w:tcW w:w="1156" w:type="dxa"/>
          </w:tcPr>
          <w:p w14:paraId="3CF34806"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80</w:t>
            </w:r>
          </w:p>
        </w:tc>
        <w:tc>
          <w:tcPr>
            <w:tcW w:w="1156" w:type="dxa"/>
          </w:tcPr>
          <w:p w14:paraId="5C1ED67C"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45</w:t>
            </w:r>
          </w:p>
        </w:tc>
      </w:tr>
      <w:tr w:rsidR="003D70B1" w:rsidRPr="00971872" w14:paraId="188F997C" w14:textId="77777777" w:rsidTr="003D70B1">
        <w:trPr>
          <w:trHeight w:val="322"/>
        </w:trPr>
        <w:tc>
          <w:tcPr>
            <w:tcW w:w="1154" w:type="dxa"/>
            <w:hideMark/>
          </w:tcPr>
          <w:p w14:paraId="63C29F6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9</w:t>
            </w:r>
          </w:p>
        </w:tc>
        <w:tc>
          <w:tcPr>
            <w:tcW w:w="1156" w:type="dxa"/>
            <w:hideMark/>
          </w:tcPr>
          <w:p w14:paraId="3C695C40"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3104E170"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72.5</w:t>
            </w:r>
          </w:p>
        </w:tc>
        <w:tc>
          <w:tcPr>
            <w:tcW w:w="1156" w:type="dxa"/>
            <w:hideMark/>
          </w:tcPr>
          <w:p w14:paraId="23494587"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16</w:t>
            </w:r>
          </w:p>
        </w:tc>
        <w:tc>
          <w:tcPr>
            <w:tcW w:w="1156" w:type="dxa"/>
            <w:hideMark/>
          </w:tcPr>
          <w:p w14:paraId="4CFD1C97"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12</w:t>
            </w:r>
          </w:p>
        </w:tc>
        <w:tc>
          <w:tcPr>
            <w:tcW w:w="1156" w:type="dxa"/>
            <w:hideMark/>
          </w:tcPr>
          <w:p w14:paraId="253EB0D0"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2873.75</w:t>
            </w:r>
          </w:p>
        </w:tc>
        <w:tc>
          <w:tcPr>
            <w:tcW w:w="1156" w:type="dxa"/>
          </w:tcPr>
          <w:p w14:paraId="7111DAE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4</w:t>
            </w:r>
          </w:p>
        </w:tc>
        <w:tc>
          <w:tcPr>
            <w:tcW w:w="1156" w:type="dxa"/>
          </w:tcPr>
          <w:p w14:paraId="5506AFDF"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w:t>
            </w:r>
          </w:p>
        </w:tc>
        <w:tc>
          <w:tcPr>
            <w:tcW w:w="1156" w:type="dxa"/>
          </w:tcPr>
          <w:p w14:paraId="7C95D872"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64</w:t>
            </w:r>
          </w:p>
        </w:tc>
        <w:tc>
          <w:tcPr>
            <w:tcW w:w="1156" w:type="dxa"/>
          </w:tcPr>
          <w:p w14:paraId="1B9D96D6"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13</w:t>
            </w:r>
          </w:p>
        </w:tc>
        <w:tc>
          <w:tcPr>
            <w:tcW w:w="1156" w:type="dxa"/>
          </w:tcPr>
          <w:p w14:paraId="07B04851"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17</w:t>
            </w:r>
          </w:p>
        </w:tc>
        <w:tc>
          <w:tcPr>
            <w:tcW w:w="1156" w:type="dxa"/>
          </w:tcPr>
          <w:p w14:paraId="10D3043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114</w:t>
            </w:r>
          </w:p>
        </w:tc>
        <w:tc>
          <w:tcPr>
            <w:tcW w:w="1156" w:type="dxa"/>
          </w:tcPr>
          <w:p w14:paraId="0A55CC69"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35</w:t>
            </w:r>
          </w:p>
        </w:tc>
      </w:tr>
      <w:tr w:rsidR="003D70B1" w:rsidRPr="00971872" w14:paraId="4AF1DC6B" w14:textId="77777777" w:rsidTr="003D70B1">
        <w:trPr>
          <w:trHeight w:val="322"/>
        </w:trPr>
        <w:tc>
          <w:tcPr>
            <w:tcW w:w="1154" w:type="dxa"/>
            <w:hideMark/>
          </w:tcPr>
          <w:p w14:paraId="57FFEC8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10</w:t>
            </w:r>
          </w:p>
        </w:tc>
        <w:tc>
          <w:tcPr>
            <w:tcW w:w="1156" w:type="dxa"/>
            <w:hideMark/>
          </w:tcPr>
          <w:p w14:paraId="1021157D"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60422337"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69.4</w:t>
            </w:r>
          </w:p>
        </w:tc>
        <w:tc>
          <w:tcPr>
            <w:tcW w:w="1156" w:type="dxa"/>
            <w:hideMark/>
          </w:tcPr>
          <w:p w14:paraId="644DE7C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9</w:t>
            </w:r>
          </w:p>
        </w:tc>
        <w:tc>
          <w:tcPr>
            <w:tcW w:w="1156" w:type="dxa"/>
            <w:hideMark/>
          </w:tcPr>
          <w:p w14:paraId="1BC154E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8</w:t>
            </w:r>
          </w:p>
        </w:tc>
        <w:tc>
          <w:tcPr>
            <w:tcW w:w="1156" w:type="dxa"/>
            <w:hideMark/>
          </w:tcPr>
          <w:p w14:paraId="62E2B758"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1874.5</w:t>
            </w:r>
          </w:p>
        </w:tc>
        <w:tc>
          <w:tcPr>
            <w:tcW w:w="1156" w:type="dxa"/>
          </w:tcPr>
          <w:p w14:paraId="2EA0A939"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6488CC04"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6F07AD43"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35</w:t>
            </w:r>
          </w:p>
        </w:tc>
        <w:tc>
          <w:tcPr>
            <w:tcW w:w="1156" w:type="dxa"/>
          </w:tcPr>
          <w:p w14:paraId="148ECE31"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8</w:t>
            </w:r>
          </w:p>
        </w:tc>
        <w:tc>
          <w:tcPr>
            <w:tcW w:w="1156" w:type="dxa"/>
          </w:tcPr>
          <w:p w14:paraId="4588E22D"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9</w:t>
            </w:r>
          </w:p>
        </w:tc>
        <w:tc>
          <w:tcPr>
            <w:tcW w:w="1156" w:type="dxa"/>
          </w:tcPr>
          <w:p w14:paraId="2F59B0E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99</w:t>
            </w:r>
          </w:p>
        </w:tc>
        <w:tc>
          <w:tcPr>
            <w:tcW w:w="1156" w:type="dxa"/>
          </w:tcPr>
          <w:p w14:paraId="1EE4CF4F"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44</w:t>
            </w:r>
          </w:p>
        </w:tc>
      </w:tr>
      <w:tr w:rsidR="003D70B1" w:rsidRPr="00971872" w14:paraId="0F4D79A9" w14:textId="77777777" w:rsidTr="003D70B1">
        <w:trPr>
          <w:trHeight w:val="322"/>
        </w:trPr>
        <w:tc>
          <w:tcPr>
            <w:tcW w:w="1154" w:type="dxa"/>
            <w:hideMark/>
          </w:tcPr>
          <w:p w14:paraId="3BA1E317"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11</w:t>
            </w:r>
          </w:p>
        </w:tc>
        <w:tc>
          <w:tcPr>
            <w:tcW w:w="1156" w:type="dxa"/>
            <w:hideMark/>
          </w:tcPr>
          <w:p w14:paraId="4C91CA9D"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F</w:t>
            </w:r>
          </w:p>
        </w:tc>
        <w:tc>
          <w:tcPr>
            <w:tcW w:w="1156" w:type="dxa"/>
            <w:hideMark/>
          </w:tcPr>
          <w:p w14:paraId="1016BA09"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53.1</w:t>
            </w:r>
          </w:p>
        </w:tc>
        <w:tc>
          <w:tcPr>
            <w:tcW w:w="1156" w:type="dxa"/>
            <w:hideMark/>
          </w:tcPr>
          <w:p w14:paraId="52EBAC4E"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17</w:t>
            </w:r>
          </w:p>
        </w:tc>
        <w:tc>
          <w:tcPr>
            <w:tcW w:w="1156" w:type="dxa"/>
            <w:hideMark/>
          </w:tcPr>
          <w:p w14:paraId="363E1FA7"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14</w:t>
            </w:r>
          </w:p>
        </w:tc>
        <w:tc>
          <w:tcPr>
            <w:tcW w:w="1156" w:type="dxa"/>
            <w:hideMark/>
          </w:tcPr>
          <w:p w14:paraId="0851120D"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697</w:t>
            </w:r>
          </w:p>
        </w:tc>
        <w:tc>
          <w:tcPr>
            <w:tcW w:w="1156" w:type="dxa"/>
          </w:tcPr>
          <w:p w14:paraId="292E420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6EA8076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3F317DE5"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53</w:t>
            </w:r>
          </w:p>
        </w:tc>
        <w:tc>
          <w:tcPr>
            <w:tcW w:w="1156" w:type="dxa"/>
          </w:tcPr>
          <w:p w14:paraId="68B794ED"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4</w:t>
            </w:r>
          </w:p>
        </w:tc>
        <w:tc>
          <w:tcPr>
            <w:tcW w:w="1156" w:type="dxa"/>
          </w:tcPr>
          <w:p w14:paraId="65D94706"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10</w:t>
            </w:r>
          </w:p>
        </w:tc>
        <w:tc>
          <w:tcPr>
            <w:tcW w:w="1156" w:type="dxa"/>
          </w:tcPr>
          <w:p w14:paraId="5B86A5D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126</w:t>
            </w:r>
          </w:p>
        </w:tc>
        <w:tc>
          <w:tcPr>
            <w:tcW w:w="1156" w:type="dxa"/>
          </w:tcPr>
          <w:p w14:paraId="57952230"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43</w:t>
            </w:r>
          </w:p>
        </w:tc>
      </w:tr>
      <w:tr w:rsidR="003D70B1" w:rsidRPr="00971872" w14:paraId="59E05609" w14:textId="77777777" w:rsidTr="003D70B1">
        <w:trPr>
          <w:trHeight w:val="322"/>
        </w:trPr>
        <w:tc>
          <w:tcPr>
            <w:tcW w:w="1154" w:type="dxa"/>
            <w:hideMark/>
          </w:tcPr>
          <w:p w14:paraId="2A41034A"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12</w:t>
            </w:r>
          </w:p>
        </w:tc>
        <w:tc>
          <w:tcPr>
            <w:tcW w:w="1156" w:type="dxa"/>
            <w:hideMark/>
          </w:tcPr>
          <w:p w14:paraId="1B27FEE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6869E523"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72.4</w:t>
            </w:r>
          </w:p>
        </w:tc>
        <w:tc>
          <w:tcPr>
            <w:tcW w:w="1156" w:type="dxa"/>
            <w:hideMark/>
          </w:tcPr>
          <w:p w14:paraId="41886308"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8</w:t>
            </w:r>
          </w:p>
        </w:tc>
        <w:tc>
          <w:tcPr>
            <w:tcW w:w="1156" w:type="dxa"/>
            <w:hideMark/>
          </w:tcPr>
          <w:p w14:paraId="284BF24A"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6</w:t>
            </w:r>
          </w:p>
        </w:tc>
        <w:tc>
          <w:tcPr>
            <w:tcW w:w="1156" w:type="dxa"/>
            <w:hideMark/>
          </w:tcPr>
          <w:p w14:paraId="049AC63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452</w:t>
            </w:r>
          </w:p>
        </w:tc>
        <w:tc>
          <w:tcPr>
            <w:tcW w:w="1156" w:type="dxa"/>
          </w:tcPr>
          <w:p w14:paraId="40B2205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w:t>
            </w:r>
          </w:p>
        </w:tc>
        <w:tc>
          <w:tcPr>
            <w:tcW w:w="1156" w:type="dxa"/>
          </w:tcPr>
          <w:p w14:paraId="0C8E871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w:t>
            </w:r>
          </w:p>
        </w:tc>
        <w:tc>
          <w:tcPr>
            <w:tcW w:w="1156" w:type="dxa"/>
          </w:tcPr>
          <w:p w14:paraId="52E131A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32</w:t>
            </w:r>
          </w:p>
        </w:tc>
        <w:tc>
          <w:tcPr>
            <w:tcW w:w="1156" w:type="dxa"/>
          </w:tcPr>
          <w:p w14:paraId="243ACBA1"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15</w:t>
            </w:r>
          </w:p>
        </w:tc>
        <w:tc>
          <w:tcPr>
            <w:tcW w:w="1156" w:type="dxa"/>
          </w:tcPr>
          <w:p w14:paraId="7EA2B1E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12</w:t>
            </w:r>
          </w:p>
        </w:tc>
        <w:tc>
          <w:tcPr>
            <w:tcW w:w="1156" w:type="dxa"/>
          </w:tcPr>
          <w:p w14:paraId="429009FE"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82</w:t>
            </w:r>
          </w:p>
        </w:tc>
        <w:tc>
          <w:tcPr>
            <w:tcW w:w="1156" w:type="dxa"/>
          </w:tcPr>
          <w:p w14:paraId="2ADC20BA"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56</w:t>
            </w:r>
          </w:p>
        </w:tc>
      </w:tr>
      <w:tr w:rsidR="003D70B1" w:rsidRPr="00971872" w14:paraId="30E266AE" w14:textId="77777777" w:rsidTr="003D70B1">
        <w:trPr>
          <w:trHeight w:val="322"/>
        </w:trPr>
        <w:tc>
          <w:tcPr>
            <w:tcW w:w="1154" w:type="dxa"/>
            <w:hideMark/>
          </w:tcPr>
          <w:p w14:paraId="0E5188A4"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13</w:t>
            </w:r>
          </w:p>
        </w:tc>
        <w:tc>
          <w:tcPr>
            <w:tcW w:w="1156" w:type="dxa"/>
            <w:hideMark/>
          </w:tcPr>
          <w:p w14:paraId="68F3A83C"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6689E98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72.0</w:t>
            </w:r>
          </w:p>
        </w:tc>
        <w:tc>
          <w:tcPr>
            <w:tcW w:w="1156" w:type="dxa"/>
            <w:hideMark/>
          </w:tcPr>
          <w:p w14:paraId="53D0B0D1"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8</w:t>
            </w:r>
          </w:p>
        </w:tc>
        <w:tc>
          <w:tcPr>
            <w:tcW w:w="1156" w:type="dxa"/>
            <w:hideMark/>
          </w:tcPr>
          <w:p w14:paraId="081C146D"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8</w:t>
            </w:r>
          </w:p>
        </w:tc>
        <w:tc>
          <w:tcPr>
            <w:tcW w:w="1156" w:type="dxa"/>
            <w:hideMark/>
          </w:tcPr>
          <w:p w14:paraId="38484C8D"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640</w:t>
            </w:r>
          </w:p>
        </w:tc>
        <w:tc>
          <w:tcPr>
            <w:tcW w:w="1156" w:type="dxa"/>
          </w:tcPr>
          <w:p w14:paraId="48AD847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43C0328F"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3F60638D"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34</w:t>
            </w:r>
          </w:p>
        </w:tc>
        <w:tc>
          <w:tcPr>
            <w:tcW w:w="1156" w:type="dxa"/>
          </w:tcPr>
          <w:p w14:paraId="6FD7FCA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14</w:t>
            </w:r>
          </w:p>
        </w:tc>
        <w:tc>
          <w:tcPr>
            <w:tcW w:w="1156" w:type="dxa"/>
          </w:tcPr>
          <w:p w14:paraId="4C036F4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3ACFBE1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4EBC825F"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41</w:t>
            </w:r>
          </w:p>
        </w:tc>
      </w:tr>
      <w:tr w:rsidR="003D70B1" w:rsidRPr="00971872" w14:paraId="6BD62DD6" w14:textId="77777777" w:rsidTr="003D70B1">
        <w:trPr>
          <w:trHeight w:val="322"/>
        </w:trPr>
        <w:tc>
          <w:tcPr>
            <w:tcW w:w="1154" w:type="dxa"/>
            <w:hideMark/>
          </w:tcPr>
          <w:p w14:paraId="7889F7D3"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14</w:t>
            </w:r>
          </w:p>
        </w:tc>
        <w:tc>
          <w:tcPr>
            <w:tcW w:w="1156" w:type="dxa"/>
            <w:hideMark/>
          </w:tcPr>
          <w:p w14:paraId="5FF558F4"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626279DB"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71.8</w:t>
            </w:r>
          </w:p>
        </w:tc>
        <w:tc>
          <w:tcPr>
            <w:tcW w:w="1156" w:type="dxa"/>
            <w:hideMark/>
          </w:tcPr>
          <w:p w14:paraId="76E9B201"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8</w:t>
            </w:r>
          </w:p>
        </w:tc>
        <w:tc>
          <w:tcPr>
            <w:tcW w:w="1156" w:type="dxa"/>
            <w:hideMark/>
          </w:tcPr>
          <w:p w14:paraId="7E5EBC5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w:t>
            </w:r>
          </w:p>
        </w:tc>
        <w:tc>
          <w:tcPr>
            <w:tcW w:w="1156" w:type="dxa"/>
            <w:hideMark/>
          </w:tcPr>
          <w:p w14:paraId="136BFF58"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1515</w:t>
            </w:r>
          </w:p>
        </w:tc>
        <w:tc>
          <w:tcPr>
            <w:tcW w:w="1156" w:type="dxa"/>
          </w:tcPr>
          <w:p w14:paraId="312F8D3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08484973"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5836808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48</w:t>
            </w:r>
          </w:p>
        </w:tc>
        <w:tc>
          <w:tcPr>
            <w:tcW w:w="1156" w:type="dxa"/>
          </w:tcPr>
          <w:p w14:paraId="3DEE1E13"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36</w:t>
            </w:r>
          </w:p>
        </w:tc>
        <w:tc>
          <w:tcPr>
            <w:tcW w:w="1156" w:type="dxa"/>
          </w:tcPr>
          <w:p w14:paraId="7304A6F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1486AA2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0D395748"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36</w:t>
            </w:r>
          </w:p>
        </w:tc>
      </w:tr>
      <w:tr w:rsidR="003D70B1" w:rsidRPr="00971872" w14:paraId="08C02E43" w14:textId="77777777" w:rsidTr="003D70B1">
        <w:trPr>
          <w:trHeight w:val="322"/>
        </w:trPr>
        <w:tc>
          <w:tcPr>
            <w:tcW w:w="1154" w:type="dxa"/>
            <w:hideMark/>
          </w:tcPr>
          <w:p w14:paraId="12A94BED"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15</w:t>
            </w:r>
          </w:p>
        </w:tc>
        <w:tc>
          <w:tcPr>
            <w:tcW w:w="1156" w:type="dxa"/>
            <w:hideMark/>
          </w:tcPr>
          <w:p w14:paraId="03D28D3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F</w:t>
            </w:r>
          </w:p>
        </w:tc>
        <w:tc>
          <w:tcPr>
            <w:tcW w:w="1156" w:type="dxa"/>
            <w:hideMark/>
          </w:tcPr>
          <w:p w14:paraId="3F7FD00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67.4</w:t>
            </w:r>
          </w:p>
        </w:tc>
        <w:tc>
          <w:tcPr>
            <w:tcW w:w="1156" w:type="dxa"/>
            <w:hideMark/>
          </w:tcPr>
          <w:p w14:paraId="255C184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w:t>
            </w:r>
          </w:p>
        </w:tc>
        <w:tc>
          <w:tcPr>
            <w:tcW w:w="1156" w:type="dxa"/>
            <w:hideMark/>
          </w:tcPr>
          <w:p w14:paraId="591C01B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0.9</w:t>
            </w:r>
          </w:p>
        </w:tc>
        <w:tc>
          <w:tcPr>
            <w:tcW w:w="1156" w:type="dxa"/>
            <w:hideMark/>
          </w:tcPr>
          <w:p w14:paraId="227A532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400</w:t>
            </w:r>
          </w:p>
        </w:tc>
        <w:tc>
          <w:tcPr>
            <w:tcW w:w="1156" w:type="dxa"/>
          </w:tcPr>
          <w:p w14:paraId="49D49CD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7C91BB3E"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7DC9433D"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10</w:t>
            </w:r>
          </w:p>
        </w:tc>
        <w:tc>
          <w:tcPr>
            <w:tcW w:w="1156" w:type="dxa"/>
          </w:tcPr>
          <w:p w14:paraId="2D2575F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112B79D9"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4BEE29A3"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0AC027B6"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22</w:t>
            </w:r>
          </w:p>
        </w:tc>
      </w:tr>
      <w:tr w:rsidR="003D70B1" w:rsidRPr="00971872" w14:paraId="1D286BB6" w14:textId="77777777" w:rsidTr="003D70B1">
        <w:trPr>
          <w:trHeight w:val="322"/>
        </w:trPr>
        <w:tc>
          <w:tcPr>
            <w:tcW w:w="1154" w:type="dxa"/>
            <w:hideMark/>
          </w:tcPr>
          <w:p w14:paraId="4FBB7C3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16</w:t>
            </w:r>
          </w:p>
        </w:tc>
        <w:tc>
          <w:tcPr>
            <w:tcW w:w="1156" w:type="dxa"/>
            <w:hideMark/>
          </w:tcPr>
          <w:p w14:paraId="6698DC1C"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F</w:t>
            </w:r>
          </w:p>
        </w:tc>
        <w:tc>
          <w:tcPr>
            <w:tcW w:w="1156" w:type="dxa"/>
            <w:hideMark/>
          </w:tcPr>
          <w:p w14:paraId="11411CBB"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71.3</w:t>
            </w:r>
          </w:p>
        </w:tc>
        <w:tc>
          <w:tcPr>
            <w:tcW w:w="1156" w:type="dxa"/>
            <w:hideMark/>
          </w:tcPr>
          <w:p w14:paraId="09F7DD6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w:t>
            </w:r>
          </w:p>
        </w:tc>
        <w:tc>
          <w:tcPr>
            <w:tcW w:w="1156" w:type="dxa"/>
            <w:hideMark/>
          </w:tcPr>
          <w:p w14:paraId="04F52CA8"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3</w:t>
            </w:r>
          </w:p>
        </w:tc>
        <w:tc>
          <w:tcPr>
            <w:tcW w:w="1156" w:type="dxa"/>
            <w:hideMark/>
          </w:tcPr>
          <w:p w14:paraId="4CBEEF04"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850</w:t>
            </w:r>
          </w:p>
        </w:tc>
        <w:tc>
          <w:tcPr>
            <w:tcW w:w="1156" w:type="dxa"/>
          </w:tcPr>
          <w:p w14:paraId="53E438F4"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7569D3EF"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77F47C3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35</w:t>
            </w:r>
          </w:p>
        </w:tc>
        <w:tc>
          <w:tcPr>
            <w:tcW w:w="1156" w:type="dxa"/>
          </w:tcPr>
          <w:p w14:paraId="794E6F0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6</w:t>
            </w:r>
          </w:p>
        </w:tc>
        <w:tc>
          <w:tcPr>
            <w:tcW w:w="1156" w:type="dxa"/>
          </w:tcPr>
          <w:p w14:paraId="5106FF31"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1478E0EE"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7C59D40A"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45</w:t>
            </w:r>
          </w:p>
        </w:tc>
      </w:tr>
      <w:tr w:rsidR="003D70B1" w:rsidRPr="00971872" w14:paraId="0F05E5E2" w14:textId="77777777" w:rsidTr="003D70B1">
        <w:trPr>
          <w:trHeight w:val="322"/>
        </w:trPr>
        <w:tc>
          <w:tcPr>
            <w:tcW w:w="1154" w:type="dxa"/>
            <w:hideMark/>
          </w:tcPr>
          <w:p w14:paraId="32B8E42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17</w:t>
            </w:r>
          </w:p>
        </w:tc>
        <w:tc>
          <w:tcPr>
            <w:tcW w:w="1156" w:type="dxa"/>
            <w:hideMark/>
          </w:tcPr>
          <w:p w14:paraId="7A14BCF9"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08A2876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75.5</w:t>
            </w:r>
          </w:p>
        </w:tc>
        <w:tc>
          <w:tcPr>
            <w:tcW w:w="1156" w:type="dxa"/>
            <w:hideMark/>
          </w:tcPr>
          <w:p w14:paraId="5E3075DE"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4</w:t>
            </w:r>
          </w:p>
        </w:tc>
        <w:tc>
          <w:tcPr>
            <w:tcW w:w="1156" w:type="dxa"/>
            <w:hideMark/>
          </w:tcPr>
          <w:p w14:paraId="0426B97E"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3</w:t>
            </w:r>
          </w:p>
        </w:tc>
        <w:tc>
          <w:tcPr>
            <w:tcW w:w="1156" w:type="dxa"/>
            <w:hideMark/>
          </w:tcPr>
          <w:p w14:paraId="5CA6C334"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300</w:t>
            </w:r>
          </w:p>
        </w:tc>
        <w:tc>
          <w:tcPr>
            <w:tcW w:w="1156" w:type="dxa"/>
          </w:tcPr>
          <w:p w14:paraId="049B9715"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5FFFB766"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702BBBC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21</w:t>
            </w:r>
          </w:p>
        </w:tc>
        <w:tc>
          <w:tcPr>
            <w:tcW w:w="1156" w:type="dxa"/>
          </w:tcPr>
          <w:p w14:paraId="58D01843"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5</w:t>
            </w:r>
          </w:p>
        </w:tc>
        <w:tc>
          <w:tcPr>
            <w:tcW w:w="1156" w:type="dxa"/>
          </w:tcPr>
          <w:p w14:paraId="423FA12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1E1519D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2A8D6FC7"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7</w:t>
            </w:r>
          </w:p>
        </w:tc>
      </w:tr>
      <w:tr w:rsidR="003D70B1" w:rsidRPr="00971872" w14:paraId="107DCBF3" w14:textId="77777777" w:rsidTr="003D70B1">
        <w:trPr>
          <w:trHeight w:val="322"/>
        </w:trPr>
        <w:tc>
          <w:tcPr>
            <w:tcW w:w="1154" w:type="dxa"/>
            <w:hideMark/>
          </w:tcPr>
          <w:p w14:paraId="7050D89B"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18</w:t>
            </w:r>
          </w:p>
        </w:tc>
        <w:tc>
          <w:tcPr>
            <w:tcW w:w="1156" w:type="dxa"/>
            <w:hideMark/>
          </w:tcPr>
          <w:p w14:paraId="6892936A"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F</w:t>
            </w:r>
          </w:p>
        </w:tc>
        <w:tc>
          <w:tcPr>
            <w:tcW w:w="1156" w:type="dxa"/>
            <w:hideMark/>
          </w:tcPr>
          <w:p w14:paraId="5A2E32EE"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57.2</w:t>
            </w:r>
          </w:p>
        </w:tc>
        <w:tc>
          <w:tcPr>
            <w:tcW w:w="1156" w:type="dxa"/>
            <w:hideMark/>
          </w:tcPr>
          <w:p w14:paraId="3964C41B"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w:t>
            </w:r>
          </w:p>
        </w:tc>
        <w:tc>
          <w:tcPr>
            <w:tcW w:w="1156" w:type="dxa"/>
            <w:hideMark/>
          </w:tcPr>
          <w:p w14:paraId="69C40C0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10</w:t>
            </w:r>
          </w:p>
        </w:tc>
        <w:tc>
          <w:tcPr>
            <w:tcW w:w="1156" w:type="dxa"/>
            <w:hideMark/>
          </w:tcPr>
          <w:p w14:paraId="210D9E84"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150</w:t>
            </w:r>
          </w:p>
        </w:tc>
        <w:tc>
          <w:tcPr>
            <w:tcW w:w="1156" w:type="dxa"/>
          </w:tcPr>
          <w:p w14:paraId="2286F61C"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2E9C66F1"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4125EC1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6</w:t>
            </w:r>
          </w:p>
        </w:tc>
        <w:tc>
          <w:tcPr>
            <w:tcW w:w="1156" w:type="dxa"/>
          </w:tcPr>
          <w:p w14:paraId="66DE0AB6"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6F4DCD5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16CB9205"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1AAD96C5"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7</w:t>
            </w:r>
          </w:p>
        </w:tc>
      </w:tr>
      <w:tr w:rsidR="003D70B1" w:rsidRPr="00971872" w14:paraId="19196E8E" w14:textId="77777777" w:rsidTr="003D70B1">
        <w:trPr>
          <w:trHeight w:val="322"/>
        </w:trPr>
        <w:tc>
          <w:tcPr>
            <w:tcW w:w="1154" w:type="dxa"/>
            <w:hideMark/>
          </w:tcPr>
          <w:p w14:paraId="4505EE9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19</w:t>
            </w:r>
          </w:p>
        </w:tc>
        <w:tc>
          <w:tcPr>
            <w:tcW w:w="1156" w:type="dxa"/>
            <w:hideMark/>
          </w:tcPr>
          <w:p w14:paraId="0F9ECB0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59DECF63"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72.9</w:t>
            </w:r>
          </w:p>
        </w:tc>
        <w:tc>
          <w:tcPr>
            <w:tcW w:w="1156" w:type="dxa"/>
            <w:hideMark/>
          </w:tcPr>
          <w:p w14:paraId="53C6E3A1"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11</w:t>
            </w:r>
          </w:p>
        </w:tc>
        <w:tc>
          <w:tcPr>
            <w:tcW w:w="1156" w:type="dxa"/>
            <w:hideMark/>
          </w:tcPr>
          <w:p w14:paraId="10176917"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9</w:t>
            </w:r>
          </w:p>
        </w:tc>
        <w:tc>
          <w:tcPr>
            <w:tcW w:w="1156" w:type="dxa"/>
            <w:hideMark/>
          </w:tcPr>
          <w:p w14:paraId="6D274369"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960</w:t>
            </w:r>
          </w:p>
        </w:tc>
        <w:tc>
          <w:tcPr>
            <w:tcW w:w="1156" w:type="dxa"/>
          </w:tcPr>
          <w:p w14:paraId="16520BDB"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649D9C02"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0D76F58F"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39</w:t>
            </w:r>
          </w:p>
        </w:tc>
        <w:tc>
          <w:tcPr>
            <w:tcW w:w="1156" w:type="dxa"/>
          </w:tcPr>
          <w:p w14:paraId="27B739F4"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15</w:t>
            </w:r>
          </w:p>
        </w:tc>
        <w:tc>
          <w:tcPr>
            <w:tcW w:w="1156" w:type="dxa"/>
          </w:tcPr>
          <w:p w14:paraId="3B3718A9"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4BB9EF2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37176F66"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7</w:t>
            </w:r>
          </w:p>
        </w:tc>
      </w:tr>
      <w:tr w:rsidR="003D70B1" w:rsidRPr="00971872" w14:paraId="1A5EF55B" w14:textId="77777777" w:rsidTr="003D70B1">
        <w:trPr>
          <w:trHeight w:val="322"/>
        </w:trPr>
        <w:tc>
          <w:tcPr>
            <w:tcW w:w="1154" w:type="dxa"/>
            <w:hideMark/>
          </w:tcPr>
          <w:p w14:paraId="7FB2F089"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20</w:t>
            </w:r>
          </w:p>
        </w:tc>
        <w:tc>
          <w:tcPr>
            <w:tcW w:w="1156" w:type="dxa"/>
            <w:hideMark/>
          </w:tcPr>
          <w:p w14:paraId="0EC2A56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F</w:t>
            </w:r>
          </w:p>
        </w:tc>
        <w:tc>
          <w:tcPr>
            <w:tcW w:w="1156" w:type="dxa"/>
            <w:hideMark/>
          </w:tcPr>
          <w:p w14:paraId="5C4FBD46"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71.3</w:t>
            </w:r>
          </w:p>
        </w:tc>
        <w:tc>
          <w:tcPr>
            <w:tcW w:w="1156" w:type="dxa"/>
            <w:hideMark/>
          </w:tcPr>
          <w:p w14:paraId="7A1D1F5C"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w:t>
            </w:r>
          </w:p>
        </w:tc>
        <w:tc>
          <w:tcPr>
            <w:tcW w:w="1156" w:type="dxa"/>
            <w:hideMark/>
          </w:tcPr>
          <w:p w14:paraId="4A491311"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w:t>
            </w:r>
          </w:p>
        </w:tc>
        <w:tc>
          <w:tcPr>
            <w:tcW w:w="1156" w:type="dxa"/>
            <w:hideMark/>
          </w:tcPr>
          <w:p w14:paraId="706D5CBF"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510</w:t>
            </w:r>
          </w:p>
        </w:tc>
        <w:tc>
          <w:tcPr>
            <w:tcW w:w="1156" w:type="dxa"/>
          </w:tcPr>
          <w:p w14:paraId="2E8C08F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1.5</w:t>
            </w:r>
          </w:p>
        </w:tc>
        <w:tc>
          <w:tcPr>
            <w:tcW w:w="1156" w:type="dxa"/>
          </w:tcPr>
          <w:p w14:paraId="4D40D60E"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1.5</w:t>
            </w:r>
          </w:p>
        </w:tc>
        <w:tc>
          <w:tcPr>
            <w:tcW w:w="1156" w:type="dxa"/>
          </w:tcPr>
          <w:p w14:paraId="4B60A742"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11</w:t>
            </w:r>
          </w:p>
        </w:tc>
        <w:tc>
          <w:tcPr>
            <w:tcW w:w="1156" w:type="dxa"/>
          </w:tcPr>
          <w:p w14:paraId="55FD7674"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6</w:t>
            </w:r>
          </w:p>
        </w:tc>
        <w:tc>
          <w:tcPr>
            <w:tcW w:w="1156" w:type="dxa"/>
          </w:tcPr>
          <w:p w14:paraId="77B6140F"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1F2C6E13"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068794AA"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62</w:t>
            </w:r>
          </w:p>
        </w:tc>
      </w:tr>
      <w:tr w:rsidR="003D70B1" w:rsidRPr="00971872" w14:paraId="197CA8FA" w14:textId="77777777" w:rsidTr="003D70B1">
        <w:trPr>
          <w:trHeight w:val="322"/>
        </w:trPr>
        <w:tc>
          <w:tcPr>
            <w:tcW w:w="1154" w:type="dxa"/>
            <w:hideMark/>
          </w:tcPr>
          <w:p w14:paraId="47F7755B"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21</w:t>
            </w:r>
          </w:p>
        </w:tc>
        <w:tc>
          <w:tcPr>
            <w:tcW w:w="1156" w:type="dxa"/>
            <w:hideMark/>
          </w:tcPr>
          <w:p w14:paraId="7B5E00F7"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F</w:t>
            </w:r>
          </w:p>
        </w:tc>
        <w:tc>
          <w:tcPr>
            <w:tcW w:w="1156" w:type="dxa"/>
            <w:hideMark/>
          </w:tcPr>
          <w:p w14:paraId="60580CEC"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59.8</w:t>
            </w:r>
          </w:p>
        </w:tc>
        <w:tc>
          <w:tcPr>
            <w:tcW w:w="1156" w:type="dxa"/>
            <w:hideMark/>
          </w:tcPr>
          <w:p w14:paraId="2CF4AA0E"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w:t>
            </w:r>
          </w:p>
        </w:tc>
        <w:tc>
          <w:tcPr>
            <w:tcW w:w="1156" w:type="dxa"/>
            <w:hideMark/>
          </w:tcPr>
          <w:p w14:paraId="412C9947"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6</w:t>
            </w:r>
          </w:p>
        </w:tc>
        <w:tc>
          <w:tcPr>
            <w:tcW w:w="1156" w:type="dxa"/>
            <w:hideMark/>
          </w:tcPr>
          <w:p w14:paraId="6701097D"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480</w:t>
            </w:r>
          </w:p>
        </w:tc>
        <w:tc>
          <w:tcPr>
            <w:tcW w:w="1156" w:type="dxa"/>
          </w:tcPr>
          <w:p w14:paraId="2DD5F24D"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1.5</w:t>
            </w:r>
          </w:p>
        </w:tc>
        <w:tc>
          <w:tcPr>
            <w:tcW w:w="1156" w:type="dxa"/>
          </w:tcPr>
          <w:p w14:paraId="03BD516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10E8F00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27</w:t>
            </w:r>
          </w:p>
        </w:tc>
        <w:tc>
          <w:tcPr>
            <w:tcW w:w="1156" w:type="dxa"/>
          </w:tcPr>
          <w:p w14:paraId="534D0FF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6</w:t>
            </w:r>
          </w:p>
        </w:tc>
        <w:tc>
          <w:tcPr>
            <w:tcW w:w="1156" w:type="dxa"/>
          </w:tcPr>
          <w:p w14:paraId="4E694A65"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3857E739"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1F4E4A14"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10</w:t>
            </w:r>
          </w:p>
        </w:tc>
      </w:tr>
      <w:tr w:rsidR="003D70B1" w:rsidRPr="00971872" w14:paraId="0207DBB7" w14:textId="77777777" w:rsidTr="003D70B1">
        <w:trPr>
          <w:trHeight w:val="322"/>
        </w:trPr>
        <w:tc>
          <w:tcPr>
            <w:tcW w:w="1154" w:type="dxa"/>
            <w:hideMark/>
          </w:tcPr>
          <w:p w14:paraId="5E6B2BC7"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22</w:t>
            </w:r>
          </w:p>
        </w:tc>
        <w:tc>
          <w:tcPr>
            <w:tcW w:w="1156" w:type="dxa"/>
            <w:hideMark/>
          </w:tcPr>
          <w:p w14:paraId="507B4A88"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F</w:t>
            </w:r>
          </w:p>
        </w:tc>
        <w:tc>
          <w:tcPr>
            <w:tcW w:w="1156" w:type="dxa"/>
            <w:hideMark/>
          </w:tcPr>
          <w:p w14:paraId="24E72A0F"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62.2</w:t>
            </w:r>
          </w:p>
        </w:tc>
        <w:tc>
          <w:tcPr>
            <w:tcW w:w="1156" w:type="dxa"/>
            <w:hideMark/>
          </w:tcPr>
          <w:p w14:paraId="53455571"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4</w:t>
            </w:r>
          </w:p>
        </w:tc>
        <w:tc>
          <w:tcPr>
            <w:tcW w:w="1156" w:type="dxa"/>
            <w:hideMark/>
          </w:tcPr>
          <w:p w14:paraId="25EBC1A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3</w:t>
            </w:r>
          </w:p>
        </w:tc>
        <w:tc>
          <w:tcPr>
            <w:tcW w:w="1156" w:type="dxa"/>
            <w:hideMark/>
          </w:tcPr>
          <w:p w14:paraId="60709881"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920</w:t>
            </w:r>
          </w:p>
        </w:tc>
        <w:tc>
          <w:tcPr>
            <w:tcW w:w="1156" w:type="dxa"/>
          </w:tcPr>
          <w:p w14:paraId="5A97643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7CECFD54"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2ABF6DD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30</w:t>
            </w:r>
          </w:p>
        </w:tc>
        <w:tc>
          <w:tcPr>
            <w:tcW w:w="1156" w:type="dxa"/>
          </w:tcPr>
          <w:p w14:paraId="0CE4866E"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11</w:t>
            </w:r>
          </w:p>
        </w:tc>
        <w:tc>
          <w:tcPr>
            <w:tcW w:w="1156" w:type="dxa"/>
          </w:tcPr>
          <w:p w14:paraId="3605D07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181B99BC"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75E58AB9"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72</w:t>
            </w:r>
          </w:p>
        </w:tc>
      </w:tr>
      <w:tr w:rsidR="003D70B1" w:rsidRPr="00971872" w14:paraId="62549786" w14:textId="77777777" w:rsidTr="003D70B1">
        <w:trPr>
          <w:trHeight w:val="322"/>
        </w:trPr>
        <w:tc>
          <w:tcPr>
            <w:tcW w:w="1154" w:type="dxa"/>
            <w:hideMark/>
          </w:tcPr>
          <w:p w14:paraId="02849C61"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23</w:t>
            </w:r>
          </w:p>
        </w:tc>
        <w:tc>
          <w:tcPr>
            <w:tcW w:w="1156" w:type="dxa"/>
            <w:hideMark/>
          </w:tcPr>
          <w:p w14:paraId="346FDEC0"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42C14E5A"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70.5</w:t>
            </w:r>
          </w:p>
        </w:tc>
        <w:tc>
          <w:tcPr>
            <w:tcW w:w="1156" w:type="dxa"/>
            <w:hideMark/>
          </w:tcPr>
          <w:p w14:paraId="0CE7A66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8</w:t>
            </w:r>
          </w:p>
        </w:tc>
        <w:tc>
          <w:tcPr>
            <w:tcW w:w="1156" w:type="dxa"/>
            <w:hideMark/>
          </w:tcPr>
          <w:p w14:paraId="2DE7200C"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5</w:t>
            </w:r>
          </w:p>
        </w:tc>
        <w:tc>
          <w:tcPr>
            <w:tcW w:w="1156" w:type="dxa"/>
            <w:hideMark/>
          </w:tcPr>
          <w:p w14:paraId="16C53E69"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490</w:t>
            </w:r>
          </w:p>
        </w:tc>
        <w:tc>
          <w:tcPr>
            <w:tcW w:w="1156" w:type="dxa"/>
          </w:tcPr>
          <w:p w14:paraId="27F7F1A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6DFE4D49"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4FE7DD82"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19</w:t>
            </w:r>
          </w:p>
        </w:tc>
        <w:tc>
          <w:tcPr>
            <w:tcW w:w="1156" w:type="dxa"/>
          </w:tcPr>
          <w:p w14:paraId="0D29A4F6"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8</w:t>
            </w:r>
          </w:p>
        </w:tc>
        <w:tc>
          <w:tcPr>
            <w:tcW w:w="1156" w:type="dxa"/>
          </w:tcPr>
          <w:p w14:paraId="11AA37F4"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4A31432A"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5EEA6C96"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6</w:t>
            </w:r>
          </w:p>
        </w:tc>
      </w:tr>
      <w:tr w:rsidR="003D70B1" w:rsidRPr="00971872" w14:paraId="0A3690AD" w14:textId="77777777" w:rsidTr="003D70B1">
        <w:trPr>
          <w:trHeight w:val="322"/>
        </w:trPr>
        <w:tc>
          <w:tcPr>
            <w:tcW w:w="1154" w:type="dxa"/>
            <w:hideMark/>
          </w:tcPr>
          <w:p w14:paraId="6245D22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24</w:t>
            </w:r>
          </w:p>
        </w:tc>
        <w:tc>
          <w:tcPr>
            <w:tcW w:w="1156" w:type="dxa"/>
            <w:hideMark/>
          </w:tcPr>
          <w:p w14:paraId="2B9B561E"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M</w:t>
            </w:r>
          </w:p>
        </w:tc>
        <w:tc>
          <w:tcPr>
            <w:tcW w:w="1156" w:type="dxa"/>
            <w:hideMark/>
          </w:tcPr>
          <w:p w14:paraId="014388BB"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75.5</w:t>
            </w:r>
          </w:p>
        </w:tc>
        <w:tc>
          <w:tcPr>
            <w:tcW w:w="1156" w:type="dxa"/>
            <w:hideMark/>
          </w:tcPr>
          <w:p w14:paraId="16E11A8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8</w:t>
            </w:r>
          </w:p>
        </w:tc>
        <w:tc>
          <w:tcPr>
            <w:tcW w:w="1156" w:type="dxa"/>
            <w:hideMark/>
          </w:tcPr>
          <w:p w14:paraId="54C316B7"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6</w:t>
            </w:r>
          </w:p>
        </w:tc>
        <w:tc>
          <w:tcPr>
            <w:tcW w:w="1156" w:type="dxa"/>
            <w:hideMark/>
          </w:tcPr>
          <w:p w14:paraId="5B4B4AE0"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sz w:val="18"/>
                <w:szCs w:val="18"/>
                <w:lang w:val="en-US"/>
              </w:rPr>
              <w:t>1336.25</w:t>
            </w:r>
          </w:p>
        </w:tc>
        <w:tc>
          <w:tcPr>
            <w:tcW w:w="1156" w:type="dxa"/>
          </w:tcPr>
          <w:p w14:paraId="7284542E"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w:t>
            </w:r>
          </w:p>
        </w:tc>
        <w:tc>
          <w:tcPr>
            <w:tcW w:w="1156" w:type="dxa"/>
          </w:tcPr>
          <w:p w14:paraId="599E5CA0"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w:t>
            </w:r>
          </w:p>
        </w:tc>
        <w:tc>
          <w:tcPr>
            <w:tcW w:w="1156" w:type="dxa"/>
          </w:tcPr>
          <w:p w14:paraId="2B543FF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23</w:t>
            </w:r>
          </w:p>
        </w:tc>
        <w:tc>
          <w:tcPr>
            <w:tcW w:w="1156" w:type="dxa"/>
          </w:tcPr>
          <w:p w14:paraId="5A26B86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13</w:t>
            </w:r>
          </w:p>
        </w:tc>
        <w:tc>
          <w:tcPr>
            <w:tcW w:w="1156" w:type="dxa"/>
          </w:tcPr>
          <w:p w14:paraId="1A7D20CF"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4D60736D"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kern w:val="24"/>
                <w:sz w:val="18"/>
                <w:szCs w:val="18"/>
                <w:lang w:val="en-US"/>
              </w:rPr>
              <w:t>0</w:t>
            </w:r>
          </w:p>
        </w:tc>
        <w:tc>
          <w:tcPr>
            <w:tcW w:w="1156" w:type="dxa"/>
          </w:tcPr>
          <w:p w14:paraId="0838E85B" w14:textId="77777777" w:rsidR="003D70B1" w:rsidRPr="00014522" w:rsidRDefault="003D70B1" w:rsidP="003D70B1">
            <w:pPr>
              <w:jc w:val="center"/>
              <w:rPr>
                <w:rFonts w:ascii="Times New Roman" w:eastAsia="Times New Roman" w:hAnsi="Times New Roman" w:cs="Times New Roman"/>
                <w:color w:val="000000"/>
                <w:sz w:val="18"/>
                <w:szCs w:val="18"/>
              </w:rPr>
            </w:pPr>
            <w:r w:rsidRPr="00014522">
              <w:rPr>
                <w:rFonts w:ascii="Times New Roman" w:eastAsia="Times New Roman" w:hAnsi="Times New Roman" w:cs="Times New Roman"/>
                <w:color w:val="000000"/>
                <w:sz w:val="18"/>
                <w:szCs w:val="18"/>
              </w:rPr>
              <w:t>15</w:t>
            </w:r>
          </w:p>
        </w:tc>
      </w:tr>
      <w:tr w:rsidR="003D70B1" w:rsidRPr="00971872" w14:paraId="707C37BB" w14:textId="77777777" w:rsidTr="003D70B1">
        <w:trPr>
          <w:trHeight w:val="454"/>
        </w:trPr>
        <w:tc>
          <w:tcPr>
            <w:tcW w:w="1154" w:type="dxa"/>
            <w:hideMark/>
          </w:tcPr>
          <w:p w14:paraId="6A58F75D" w14:textId="77777777" w:rsidR="003D70B1" w:rsidRPr="00014522" w:rsidRDefault="003D70B1" w:rsidP="003D70B1">
            <w:pPr>
              <w:jc w:val="center"/>
              <w:rPr>
                <w:rFonts w:ascii="Times New Roman" w:hAnsi="Times New Roman" w:cs="Times New Roman"/>
                <w:b/>
                <w:bCs/>
                <w:sz w:val="18"/>
                <w:szCs w:val="18"/>
                <w:lang w:val="en-US"/>
              </w:rPr>
            </w:pPr>
            <w:r w:rsidRPr="00014522">
              <w:rPr>
                <w:rFonts w:ascii="Times New Roman" w:hAnsi="Times New Roman" w:cs="Times New Roman"/>
                <w:b/>
                <w:bCs/>
                <w:sz w:val="18"/>
                <w:szCs w:val="18"/>
                <w:lang w:val="en-US"/>
              </w:rPr>
              <w:t>AVG</w:t>
            </w:r>
          </w:p>
          <w:p w14:paraId="7216A5AA"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 SD)</w:t>
            </w:r>
          </w:p>
        </w:tc>
        <w:tc>
          <w:tcPr>
            <w:tcW w:w="1156" w:type="dxa"/>
            <w:hideMark/>
          </w:tcPr>
          <w:p w14:paraId="69DE66C3" w14:textId="77777777" w:rsidR="003D70B1" w:rsidRPr="00014522" w:rsidRDefault="003D70B1" w:rsidP="003D70B1">
            <w:pPr>
              <w:jc w:val="center"/>
              <w:rPr>
                <w:rFonts w:ascii="Times New Roman" w:hAnsi="Times New Roman" w:cs="Times New Roman"/>
                <w:b/>
                <w:bCs/>
                <w:sz w:val="18"/>
                <w:szCs w:val="18"/>
                <w:lang w:val="en-US"/>
              </w:rPr>
            </w:pPr>
            <w:r w:rsidRPr="00014522">
              <w:rPr>
                <w:rFonts w:ascii="Times New Roman" w:hAnsi="Times New Roman" w:cs="Times New Roman"/>
                <w:b/>
                <w:bCs/>
                <w:sz w:val="18"/>
                <w:szCs w:val="18"/>
                <w:lang w:val="en-US"/>
              </w:rPr>
              <w:t>13M/</w:t>
            </w:r>
          </w:p>
          <w:p w14:paraId="1419385C"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11F</w:t>
            </w:r>
          </w:p>
        </w:tc>
        <w:tc>
          <w:tcPr>
            <w:tcW w:w="1156" w:type="dxa"/>
            <w:hideMark/>
          </w:tcPr>
          <w:p w14:paraId="2693DC05"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67.13</w:t>
            </w:r>
            <w:r w:rsidRPr="00014522">
              <w:rPr>
                <w:rFonts w:ascii="Times New Roman" w:hAnsi="Times New Roman" w:cs="Times New Roman"/>
                <w:sz w:val="18"/>
                <w:szCs w:val="18"/>
                <w:lang w:val="en-US"/>
              </w:rPr>
              <w:t xml:space="preserve"> (±</w:t>
            </w:r>
            <w:r w:rsidRPr="00014522">
              <w:rPr>
                <w:rFonts w:ascii="Times New Roman" w:hAnsi="Times New Roman" w:cs="Times New Roman"/>
                <w:b/>
                <w:bCs/>
                <w:sz w:val="18"/>
                <w:szCs w:val="18"/>
                <w:lang w:val="en-US"/>
              </w:rPr>
              <w:t>7.2</w:t>
            </w:r>
            <w:r w:rsidRPr="00014522">
              <w:rPr>
                <w:rFonts w:ascii="Times New Roman" w:hAnsi="Times New Roman" w:cs="Times New Roman"/>
                <w:sz w:val="18"/>
                <w:szCs w:val="18"/>
                <w:lang w:val="en-US"/>
              </w:rPr>
              <w:t>)</w:t>
            </w:r>
          </w:p>
        </w:tc>
        <w:tc>
          <w:tcPr>
            <w:tcW w:w="1156" w:type="dxa"/>
            <w:hideMark/>
          </w:tcPr>
          <w:p w14:paraId="116C60F2"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9.67 (±5.0)</w:t>
            </w:r>
          </w:p>
        </w:tc>
        <w:tc>
          <w:tcPr>
            <w:tcW w:w="1156" w:type="dxa"/>
            <w:hideMark/>
          </w:tcPr>
          <w:p w14:paraId="05CFCF14" w14:textId="7777777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8.37 (±4.3)</w:t>
            </w:r>
          </w:p>
        </w:tc>
        <w:tc>
          <w:tcPr>
            <w:tcW w:w="1156" w:type="dxa"/>
            <w:hideMark/>
          </w:tcPr>
          <w:p w14:paraId="1047D75C" w14:textId="52F8FC37" w:rsidR="003D70B1" w:rsidRPr="00014522" w:rsidRDefault="003D70B1" w:rsidP="003D70B1">
            <w:pPr>
              <w:jc w:val="center"/>
              <w:rPr>
                <w:rFonts w:ascii="Times New Roman" w:hAnsi="Times New Roman" w:cs="Times New Roman"/>
                <w:sz w:val="18"/>
                <w:szCs w:val="18"/>
              </w:rPr>
            </w:pPr>
            <w:r w:rsidRPr="00014522">
              <w:rPr>
                <w:rFonts w:ascii="Times New Roman" w:hAnsi="Times New Roman" w:cs="Times New Roman"/>
                <w:b/>
                <w:bCs/>
                <w:sz w:val="18"/>
                <w:szCs w:val="18"/>
                <w:lang w:val="en-US"/>
              </w:rPr>
              <w:t>1121.17 (±799</w:t>
            </w:r>
            <w:r w:rsidR="00CD6FC9">
              <w:rPr>
                <w:rFonts w:ascii="Times New Roman" w:hAnsi="Times New Roman" w:cs="Times New Roman"/>
                <w:b/>
                <w:bCs/>
                <w:sz w:val="18"/>
                <w:szCs w:val="18"/>
                <w:lang w:val="en-US"/>
              </w:rPr>
              <w:t>.0</w:t>
            </w:r>
            <w:r w:rsidRPr="00014522">
              <w:rPr>
                <w:rFonts w:ascii="Times New Roman" w:hAnsi="Times New Roman" w:cs="Times New Roman"/>
                <w:b/>
                <w:bCs/>
                <w:sz w:val="18"/>
                <w:szCs w:val="18"/>
                <w:lang w:val="en-US"/>
              </w:rPr>
              <w:t>)</w:t>
            </w:r>
          </w:p>
        </w:tc>
        <w:tc>
          <w:tcPr>
            <w:tcW w:w="1156" w:type="dxa"/>
          </w:tcPr>
          <w:p w14:paraId="2F1D9487"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2.44 (±1.0)</w:t>
            </w:r>
          </w:p>
        </w:tc>
        <w:tc>
          <w:tcPr>
            <w:tcW w:w="1156" w:type="dxa"/>
          </w:tcPr>
          <w:p w14:paraId="1CD7CA0C"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1.79 (±1.0)</w:t>
            </w:r>
          </w:p>
        </w:tc>
        <w:tc>
          <w:tcPr>
            <w:tcW w:w="1156" w:type="dxa"/>
          </w:tcPr>
          <w:p w14:paraId="1D6F0162"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36.21 (±18.5)</w:t>
            </w:r>
          </w:p>
        </w:tc>
        <w:tc>
          <w:tcPr>
            <w:tcW w:w="1156" w:type="dxa"/>
          </w:tcPr>
          <w:p w14:paraId="4694C9F8"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13.75 (±12.4)</w:t>
            </w:r>
          </w:p>
        </w:tc>
        <w:tc>
          <w:tcPr>
            <w:tcW w:w="1156" w:type="dxa"/>
          </w:tcPr>
          <w:p w14:paraId="5514FFDE" w14:textId="77777777"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5.63 (±6.6)*</w:t>
            </w:r>
          </w:p>
        </w:tc>
        <w:tc>
          <w:tcPr>
            <w:tcW w:w="1156" w:type="dxa"/>
          </w:tcPr>
          <w:p w14:paraId="21A8BA26" w14:textId="3A9F3503" w:rsidR="003D70B1" w:rsidRPr="00014522" w:rsidRDefault="003D70B1" w:rsidP="003D70B1">
            <w:pPr>
              <w:pStyle w:val="NormalWeb"/>
              <w:spacing w:before="0" w:beforeAutospacing="0" w:after="0" w:afterAutospacing="0"/>
              <w:jc w:val="center"/>
              <w:textAlignment w:val="bottom"/>
              <w:rPr>
                <w:rFonts w:ascii="Times New Roman" w:hAnsi="Times New Roman"/>
                <w:sz w:val="18"/>
                <w:szCs w:val="18"/>
              </w:rPr>
            </w:pPr>
            <w:r w:rsidRPr="00014522">
              <w:rPr>
                <w:rFonts w:ascii="Times New Roman" w:hAnsi="Times New Roman"/>
                <w:b/>
                <w:bCs/>
                <w:kern w:val="24"/>
                <w:sz w:val="18"/>
                <w:szCs w:val="18"/>
                <w:lang w:val="en-US"/>
              </w:rPr>
              <w:t>46.92 (</w:t>
            </w:r>
            <w:r w:rsidR="00273285">
              <w:rPr>
                <w:rFonts w:ascii="Times New Roman" w:hAnsi="Times New Roman"/>
                <w:b/>
                <w:bCs/>
                <w:kern w:val="24"/>
                <w:sz w:val="18"/>
                <w:szCs w:val="18"/>
                <w:lang w:val="en-US"/>
              </w:rPr>
              <w:t>±</w:t>
            </w:r>
            <w:r w:rsidRPr="00014522">
              <w:rPr>
                <w:rFonts w:ascii="Times New Roman" w:hAnsi="Times New Roman"/>
                <w:b/>
                <w:bCs/>
                <w:kern w:val="24"/>
                <w:sz w:val="18"/>
                <w:szCs w:val="18"/>
                <w:lang w:val="en-US"/>
              </w:rPr>
              <w:t>49.6)*</w:t>
            </w:r>
          </w:p>
        </w:tc>
        <w:tc>
          <w:tcPr>
            <w:tcW w:w="1156" w:type="dxa"/>
          </w:tcPr>
          <w:p w14:paraId="60F9F6C1" w14:textId="77777777" w:rsidR="003D70B1" w:rsidRPr="00014522" w:rsidRDefault="003D70B1" w:rsidP="003D70B1">
            <w:pPr>
              <w:jc w:val="center"/>
              <w:rPr>
                <w:rFonts w:ascii="Times New Roman" w:eastAsia="Times New Roman" w:hAnsi="Times New Roman" w:cs="Times New Roman"/>
                <w:b/>
                <w:color w:val="000000"/>
                <w:sz w:val="18"/>
                <w:szCs w:val="18"/>
              </w:rPr>
            </w:pPr>
            <w:r w:rsidRPr="00014522">
              <w:rPr>
                <w:rFonts w:ascii="Times New Roman" w:eastAsia="Times New Roman" w:hAnsi="Times New Roman" w:cs="Times New Roman"/>
                <w:b/>
                <w:color w:val="000000"/>
                <w:sz w:val="18"/>
                <w:szCs w:val="18"/>
              </w:rPr>
              <w:t>34.79 (±19.5)</w:t>
            </w:r>
          </w:p>
        </w:tc>
      </w:tr>
    </w:tbl>
    <w:p w14:paraId="6872F72B" w14:textId="77777777" w:rsidR="003D70B1" w:rsidRPr="00E86BE9" w:rsidRDefault="003D70B1" w:rsidP="003D70B1">
      <w:pPr>
        <w:spacing w:before="120"/>
        <w:ind w:left="-1134"/>
        <w:jc w:val="both"/>
        <w:rPr>
          <w:rFonts w:ascii="Times New Roman" w:hAnsi="Times New Roman" w:cs="Times New Roman"/>
          <w:bCs/>
          <w:sz w:val="20"/>
          <w:szCs w:val="20"/>
          <w:lang w:val="en-US"/>
        </w:rPr>
      </w:pPr>
      <w:r w:rsidRPr="00E86BE9">
        <w:rPr>
          <w:rFonts w:ascii="Times New Roman" w:hAnsi="Times New Roman" w:cs="Times New Roman"/>
          <w:bCs/>
          <w:sz w:val="20"/>
          <w:szCs w:val="20"/>
          <w:vertAlign w:val="superscript"/>
          <w:lang w:val="en-US"/>
        </w:rPr>
        <w:t>1</w:t>
      </w:r>
      <w:r w:rsidRPr="00E86BE9">
        <w:rPr>
          <w:rFonts w:ascii="Times New Roman" w:hAnsi="Times New Roman" w:cs="Times New Roman"/>
          <w:bCs/>
          <w:sz w:val="20"/>
          <w:szCs w:val="20"/>
          <w:lang w:val="en-US"/>
        </w:rPr>
        <w:t>From time of first appearance of PD motor symptoms;</w:t>
      </w:r>
      <w:r w:rsidRPr="00E86BE9">
        <w:rPr>
          <w:rFonts w:ascii="Times New Roman" w:hAnsi="Times New Roman" w:cs="Times New Roman"/>
          <w:sz w:val="20"/>
          <w:szCs w:val="20"/>
          <w:lang w:val="en-US"/>
        </w:rPr>
        <w:t xml:space="preserve"> </w:t>
      </w:r>
      <w:r w:rsidRPr="00E86BE9">
        <w:rPr>
          <w:rFonts w:ascii="Times New Roman" w:hAnsi="Times New Roman" w:cs="Times New Roman"/>
          <w:bCs/>
          <w:sz w:val="20"/>
          <w:szCs w:val="20"/>
          <w:vertAlign w:val="superscript"/>
          <w:lang w:val="en-US"/>
        </w:rPr>
        <w:t>2</w:t>
      </w:r>
      <w:r w:rsidRPr="00E86BE9">
        <w:rPr>
          <w:rFonts w:ascii="Times New Roman" w:hAnsi="Times New Roman" w:cs="Times New Roman"/>
          <w:bCs/>
          <w:sz w:val="20"/>
          <w:szCs w:val="20"/>
          <w:lang w:val="en-US"/>
        </w:rPr>
        <w:t>LED: Levodopa Equivalent Dose;</w:t>
      </w:r>
      <w:r>
        <w:rPr>
          <w:rFonts w:ascii="Times New Roman" w:hAnsi="Times New Roman" w:cs="Times New Roman"/>
          <w:bCs/>
          <w:sz w:val="20"/>
          <w:szCs w:val="20"/>
          <w:lang w:val="en-US"/>
        </w:rPr>
        <w:t xml:space="preserve"> </w:t>
      </w:r>
      <w:r>
        <w:rPr>
          <w:rFonts w:ascii="Times New Roman" w:hAnsi="Times New Roman" w:cs="Times New Roman"/>
          <w:sz w:val="20"/>
          <w:szCs w:val="20"/>
          <w:vertAlign w:val="superscript"/>
          <w:lang w:val="en-US"/>
        </w:rPr>
        <w:t>3</w:t>
      </w:r>
      <w:r w:rsidRPr="00E86BE9">
        <w:rPr>
          <w:rFonts w:ascii="Times New Roman" w:hAnsi="Times New Roman" w:cs="Times New Roman"/>
          <w:bCs/>
          <w:sz w:val="20"/>
          <w:szCs w:val="20"/>
          <w:lang w:val="en-US"/>
        </w:rPr>
        <w:t xml:space="preserve">H&amp;Y: Hoehn and Yahr; </w:t>
      </w:r>
      <w:r>
        <w:rPr>
          <w:rFonts w:ascii="Times New Roman" w:hAnsi="Times New Roman" w:cs="Times New Roman"/>
          <w:bCs/>
          <w:sz w:val="20"/>
          <w:szCs w:val="20"/>
          <w:vertAlign w:val="superscript"/>
          <w:lang w:val="en-US"/>
        </w:rPr>
        <w:t>4</w:t>
      </w:r>
      <w:r w:rsidRPr="00E86BE9">
        <w:rPr>
          <w:rFonts w:ascii="Times New Roman" w:hAnsi="Times New Roman" w:cs="Times New Roman"/>
          <w:bCs/>
          <w:sz w:val="20"/>
          <w:szCs w:val="20"/>
          <w:lang w:val="en-US"/>
        </w:rPr>
        <w:t xml:space="preserve">UPDRS: Unified PD Rating Scale; </w:t>
      </w:r>
      <w:r>
        <w:rPr>
          <w:rFonts w:ascii="Times New Roman" w:hAnsi="Times New Roman" w:cs="Times New Roman"/>
          <w:bCs/>
          <w:sz w:val="20"/>
          <w:szCs w:val="20"/>
          <w:vertAlign w:val="superscript"/>
          <w:lang w:val="en-US"/>
        </w:rPr>
        <w:t>5</w:t>
      </w:r>
      <w:r w:rsidRPr="00E86BE9">
        <w:rPr>
          <w:rFonts w:ascii="Times New Roman" w:hAnsi="Times New Roman" w:cs="Times New Roman"/>
          <w:bCs/>
          <w:sz w:val="20"/>
          <w:szCs w:val="20"/>
          <w:lang w:val="en-US"/>
        </w:rPr>
        <w:t>UDysRS:</w:t>
      </w:r>
      <w:r w:rsidRPr="00E86BE9">
        <w:rPr>
          <w:rFonts w:ascii="Arial" w:hAnsi="Arial" w:cs="Arial"/>
          <w:color w:val="424242"/>
          <w:sz w:val="20"/>
          <w:szCs w:val="20"/>
          <w:lang w:val="en-US"/>
        </w:rPr>
        <w:t xml:space="preserve"> </w:t>
      </w:r>
      <w:r w:rsidRPr="00E86BE9">
        <w:rPr>
          <w:rFonts w:ascii="Times New Roman" w:hAnsi="Times New Roman" w:cs="Times New Roman"/>
          <w:bCs/>
          <w:sz w:val="20"/>
          <w:szCs w:val="20"/>
          <w:lang w:val="en-US"/>
        </w:rPr>
        <w:t xml:space="preserve">Unified Dyskinesia Rating Scale; </w:t>
      </w:r>
      <w:r>
        <w:rPr>
          <w:rFonts w:ascii="Times New Roman" w:hAnsi="Times New Roman" w:cs="Times New Roman"/>
          <w:bCs/>
          <w:sz w:val="20"/>
          <w:szCs w:val="20"/>
          <w:vertAlign w:val="superscript"/>
          <w:lang w:val="en-US"/>
        </w:rPr>
        <w:t>6</w:t>
      </w:r>
      <w:r w:rsidRPr="00E86BE9">
        <w:rPr>
          <w:rFonts w:ascii="Times New Roman" w:hAnsi="Times New Roman" w:cs="Times New Roman"/>
          <w:bCs/>
          <w:sz w:val="20"/>
          <w:szCs w:val="20"/>
          <w:lang w:val="en-US"/>
        </w:rPr>
        <w:t>PDQ-39:</w:t>
      </w:r>
      <w:r w:rsidRPr="00E86BE9">
        <w:rPr>
          <w:sz w:val="20"/>
          <w:szCs w:val="20"/>
        </w:rPr>
        <w:t xml:space="preserve"> </w:t>
      </w:r>
      <w:r w:rsidRPr="00E86BE9">
        <w:rPr>
          <w:rFonts w:ascii="Times New Roman" w:hAnsi="Times New Roman" w:cs="Times New Roman"/>
          <w:bCs/>
          <w:sz w:val="20"/>
          <w:szCs w:val="20"/>
          <w:lang w:val="en-US"/>
        </w:rPr>
        <w:t>39-item Parkinson's Disease Questionnaire. *AVG (±SD) of 12 PD patients with LIDs.</w:t>
      </w:r>
    </w:p>
    <w:p w14:paraId="1D811EBD" w14:textId="77777777" w:rsidR="003D70B1" w:rsidRDefault="003D70B1" w:rsidP="003D70B1">
      <w:pPr>
        <w:ind w:left="-1134"/>
      </w:pPr>
    </w:p>
    <w:p w14:paraId="7D8504A2" w14:textId="77777777" w:rsidR="003D70B1" w:rsidRDefault="003D70B1" w:rsidP="003D70B1">
      <w:pPr>
        <w:spacing w:line="480" w:lineRule="auto"/>
        <w:jc w:val="both"/>
        <w:rPr>
          <w:rFonts w:ascii="Times New Roman" w:hAnsi="Times New Roman" w:cs="Times New Roman"/>
          <w:sz w:val="24"/>
          <w:szCs w:val="28"/>
        </w:rPr>
        <w:sectPr w:rsidR="003D70B1" w:rsidSect="003D70B1">
          <w:pgSz w:w="16840" w:h="11900" w:orient="landscape"/>
          <w:pgMar w:top="1800" w:right="1440" w:bottom="1800" w:left="1440" w:header="708" w:footer="708" w:gutter="0"/>
          <w:cols w:space="708"/>
          <w:docGrid w:linePitch="360"/>
        </w:sectPr>
      </w:pPr>
    </w:p>
    <w:p w14:paraId="5D056729" w14:textId="77777777" w:rsidR="003D70B1" w:rsidRDefault="003D70B1" w:rsidP="00573365">
      <w:pPr>
        <w:pStyle w:val="Caption"/>
        <w:spacing w:after="120"/>
        <w:jc w:val="both"/>
      </w:pPr>
    </w:p>
    <w:p w14:paraId="335367F0" w14:textId="0C93139C" w:rsidR="003D70B1" w:rsidRPr="00D779F7" w:rsidRDefault="00573365" w:rsidP="003D70B1">
      <w:pPr>
        <w:pStyle w:val="Caption"/>
        <w:spacing w:after="120"/>
        <w:ind w:left="-142"/>
        <w:jc w:val="both"/>
        <w:rPr>
          <w:b w:val="0"/>
          <w:lang w:val="en-US"/>
        </w:rPr>
      </w:pPr>
      <w:r>
        <w:t>Table 2</w:t>
      </w:r>
      <w:r w:rsidR="003D70B1">
        <w:t xml:space="preserve"> </w:t>
      </w:r>
      <w:r w:rsidR="003D70B1" w:rsidRPr="00991CE7">
        <w:rPr>
          <w:b w:val="0"/>
          <w:lang w:val="en-US"/>
        </w:rPr>
        <w:t>[</w:t>
      </w:r>
      <w:r w:rsidR="003D70B1" w:rsidRPr="007605C5">
        <w:rPr>
          <w:b w:val="0"/>
          <w:vertAlign w:val="superscript"/>
          <w:lang w:val="en-US"/>
        </w:rPr>
        <w:t>11</w:t>
      </w:r>
      <w:r w:rsidR="003D70B1" w:rsidRPr="00EE0247">
        <w:rPr>
          <w:b w:val="0"/>
          <w:lang w:val="en-US"/>
        </w:rPr>
        <w:t>C]IMA107 BP</w:t>
      </w:r>
      <w:r w:rsidR="003D70B1" w:rsidRPr="00EE0247">
        <w:rPr>
          <w:b w:val="0"/>
          <w:vertAlign w:val="subscript"/>
          <w:lang w:val="en-US"/>
        </w:rPr>
        <w:t>ND</w:t>
      </w:r>
      <w:r w:rsidR="003D70B1" w:rsidRPr="00EE0247">
        <w:rPr>
          <w:b w:val="0"/>
          <w:lang w:val="en-US"/>
        </w:rPr>
        <w:t xml:space="preserve"> in the groups of </w:t>
      </w:r>
      <w:r w:rsidR="003D70B1">
        <w:rPr>
          <w:b w:val="0"/>
          <w:lang w:val="en-US"/>
        </w:rPr>
        <w:t xml:space="preserve">Parkinson’s disease patients </w:t>
      </w:r>
      <w:r w:rsidR="003D70B1" w:rsidRPr="00EE0247">
        <w:rPr>
          <w:b w:val="0"/>
          <w:lang w:val="en-US"/>
        </w:rPr>
        <w:t>and healthy controls.</w:t>
      </w:r>
    </w:p>
    <w:tbl>
      <w:tblPr>
        <w:tblStyle w:val="TableGrid"/>
        <w:tblW w:w="8385" w:type="dxa"/>
        <w:tblLayout w:type="fixed"/>
        <w:tblLook w:val="04A0" w:firstRow="1" w:lastRow="0" w:firstColumn="1" w:lastColumn="0" w:noHBand="0" w:noVBand="1"/>
      </w:tblPr>
      <w:tblGrid>
        <w:gridCol w:w="2520"/>
        <w:gridCol w:w="1785"/>
        <w:gridCol w:w="1528"/>
        <w:gridCol w:w="1276"/>
        <w:gridCol w:w="1276"/>
      </w:tblGrid>
      <w:tr w:rsidR="003D70B1" w:rsidRPr="00226EA7" w14:paraId="299B17E6" w14:textId="77777777" w:rsidTr="003D70B1">
        <w:trPr>
          <w:trHeight w:val="367"/>
        </w:trPr>
        <w:tc>
          <w:tcPr>
            <w:tcW w:w="2520" w:type="dxa"/>
            <w:noWrap/>
            <w:hideMark/>
          </w:tcPr>
          <w:p w14:paraId="21C72613" w14:textId="77777777" w:rsidR="003D70B1" w:rsidRPr="00F5500E" w:rsidRDefault="003D70B1" w:rsidP="003D70B1">
            <w:pPr>
              <w:rPr>
                <w:rFonts w:ascii="Times New Roman" w:hAnsi="Times New Roman" w:cs="Times New Roman"/>
                <w:b/>
              </w:rPr>
            </w:pPr>
            <w:r w:rsidRPr="00F5500E">
              <w:rPr>
                <w:rFonts w:ascii="Times New Roman" w:hAnsi="Times New Roman" w:cs="Times New Roman"/>
                <w:b/>
              </w:rPr>
              <w:t> ROIs</w:t>
            </w:r>
            <w:r w:rsidRPr="00F5500E">
              <w:rPr>
                <w:rFonts w:ascii="Times New Roman" w:hAnsi="Times New Roman" w:cs="Times New Roman"/>
                <w:b/>
                <w:vertAlign w:val="superscript"/>
              </w:rPr>
              <w:t>1</w:t>
            </w:r>
          </w:p>
        </w:tc>
        <w:tc>
          <w:tcPr>
            <w:tcW w:w="1785" w:type="dxa"/>
            <w:noWrap/>
            <w:hideMark/>
          </w:tcPr>
          <w:p w14:paraId="700C701B" w14:textId="77777777" w:rsidR="003D70B1" w:rsidRPr="00226EA7" w:rsidRDefault="003D70B1" w:rsidP="003D70B1">
            <w:pPr>
              <w:jc w:val="center"/>
              <w:rPr>
                <w:rFonts w:ascii="Times New Roman" w:hAnsi="Times New Roman" w:cs="Times New Roman"/>
                <w:b/>
                <w:bCs/>
              </w:rPr>
            </w:pPr>
            <w:r w:rsidRPr="00226EA7">
              <w:rPr>
                <w:rFonts w:ascii="Times New Roman" w:hAnsi="Times New Roman" w:cs="Times New Roman"/>
                <w:b/>
                <w:bCs/>
              </w:rPr>
              <w:t>Healthy Controls</w:t>
            </w:r>
          </w:p>
        </w:tc>
        <w:tc>
          <w:tcPr>
            <w:tcW w:w="1528" w:type="dxa"/>
            <w:noWrap/>
            <w:hideMark/>
          </w:tcPr>
          <w:p w14:paraId="2835A768" w14:textId="77777777" w:rsidR="003D70B1" w:rsidRPr="00226EA7" w:rsidRDefault="003D70B1" w:rsidP="003D70B1">
            <w:pPr>
              <w:jc w:val="center"/>
              <w:rPr>
                <w:rFonts w:ascii="Times New Roman" w:hAnsi="Times New Roman" w:cs="Times New Roman"/>
                <w:b/>
                <w:bCs/>
              </w:rPr>
            </w:pPr>
            <w:r w:rsidRPr="00226EA7">
              <w:rPr>
                <w:rFonts w:ascii="Times New Roman" w:hAnsi="Times New Roman" w:cs="Times New Roman"/>
                <w:b/>
                <w:bCs/>
              </w:rPr>
              <w:t>PD patients</w:t>
            </w:r>
          </w:p>
        </w:tc>
        <w:tc>
          <w:tcPr>
            <w:tcW w:w="1276" w:type="dxa"/>
            <w:noWrap/>
            <w:hideMark/>
          </w:tcPr>
          <w:p w14:paraId="2D641454" w14:textId="77777777" w:rsidR="003D70B1" w:rsidRPr="00226EA7" w:rsidRDefault="003D70B1" w:rsidP="003D70B1">
            <w:pPr>
              <w:jc w:val="center"/>
              <w:rPr>
                <w:rFonts w:ascii="Times New Roman" w:hAnsi="Times New Roman" w:cs="Times New Roman"/>
                <w:b/>
                <w:bCs/>
              </w:rPr>
            </w:pPr>
            <w:r w:rsidRPr="00226EA7">
              <w:rPr>
                <w:rFonts w:ascii="Times New Roman" w:hAnsi="Times New Roman" w:cs="Times New Roman"/>
                <w:b/>
                <w:bCs/>
                <w:i/>
                <w:iCs/>
              </w:rPr>
              <w:t xml:space="preserve">P </w:t>
            </w:r>
            <w:r w:rsidRPr="00226EA7">
              <w:rPr>
                <w:rFonts w:ascii="Times New Roman" w:hAnsi="Times New Roman" w:cs="Times New Roman"/>
                <w:b/>
                <w:bCs/>
              </w:rPr>
              <w:t>value</w:t>
            </w:r>
            <w:r>
              <w:rPr>
                <w:rFonts w:ascii="Times New Roman" w:hAnsi="Times New Roman" w:cs="Times New Roman"/>
                <w:b/>
                <w:bCs/>
              </w:rPr>
              <w:t>*</w:t>
            </w:r>
          </w:p>
        </w:tc>
        <w:tc>
          <w:tcPr>
            <w:tcW w:w="1276" w:type="dxa"/>
            <w:noWrap/>
            <w:hideMark/>
          </w:tcPr>
          <w:p w14:paraId="736CA24B" w14:textId="77777777" w:rsidR="003D70B1" w:rsidRPr="00226EA7" w:rsidRDefault="003D70B1" w:rsidP="003D70B1">
            <w:pPr>
              <w:jc w:val="center"/>
              <w:rPr>
                <w:rFonts w:ascii="Times New Roman" w:hAnsi="Times New Roman" w:cs="Times New Roman"/>
                <w:b/>
                <w:bCs/>
              </w:rPr>
            </w:pPr>
            <w:r w:rsidRPr="00226EA7">
              <w:rPr>
                <w:rFonts w:ascii="Times New Roman" w:hAnsi="Times New Roman" w:cs="Times New Roman"/>
                <w:b/>
                <w:bCs/>
              </w:rPr>
              <w:t>% change</w:t>
            </w:r>
            <w:r>
              <w:rPr>
                <w:rFonts w:ascii="Times New Roman" w:hAnsi="Times New Roman" w:cs="Times New Roman"/>
                <w:b/>
                <w:bCs/>
              </w:rPr>
              <w:t xml:space="preserve"> in PD</w:t>
            </w:r>
          </w:p>
        </w:tc>
      </w:tr>
      <w:tr w:rsidR="003D70B1" w:rsidRPr="00226EA7" w14:paraId="01D86489" w14:textId="77777777" w:rsidTr="003D70B1">
        <w:trPr>
          <w:trHeight w:val="367"/>
        </w:trPr>
        <w:tc>
          <w:tcPr>
            <w:tcW w:w="2520" w:type="dxa"/>
            <w:noWrap/>
            <w:hideMark/>
          </w:tcPr>
          <w:p w14:paraId="3DF0A7C0" w14:textId="77777777" w:rsidR="003D70B1" w:rsidRPr="00226EA7" w:rsidRDefault="003D70B1" w:rsidP="003D70B1">
            <w:pPr>
              <w:rPr>
                <w:rFonts w:ascii="Times New Roman" w:hAnsi="Times New Roman" w:cs="Times New Roman"/>
                <w:b/>
                <w:bCs/>
              </w:rPr>
            </w:pPr>
            <w:r w:rsidRPr="00226EA7">
              <w:rPr>
                <w:rFonts w:ascii="Times New Roman" w:hAnsi="Times New Roman" w:cs="Times New Roman"/>
                <w:bCs/>
              </w:rPr>
              <w:t>Striatum</w:t>
            </w:r>
            <w:r>
              <w:rPr>
                <w:rFonts w:ascii="Times New Roman" w:hAnsi="Times New Roman" w:cs="Times New Roman"/>
                <w:b/>
                <w:bCs/>
              </w:rPr>
              <w:t xml:space="preserve"> </w:t>
            </w:r>
            <w:r w:rsidRPr="00D13113">
              <w:rPr>
                <w:rFonts w:ascii="Times New Roman" w:hAnsi="Times New Roman" w:cs="Times New Roman"/>
                <w:lang w:val="en-US"/>
              </w:rPr>
              <w:t>(mean±SD)</w:t>
            </w:r>
          </w:p>
        </w:tc>
        <w:tc>
          <w:tcPr>
            <w:tcW w:w="1785" w:type="dxa"/>
            <w:noWrap/>
            <w:hideMark/>
          </w:tcPr>
          <w:p w14:paraId="54603861"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1.81 (±0.28)</w:t>
            </w:r>
          </w:p>
        </w:tc>
        <w:tc>
          <w:tcPr>
            <w:tcW w:w="1528" w:type="dxa"/>
            <w:noWrap/>
            <w:hideMark/>
          </w:tcPr>
          <w:p w14:paraId="0A5FD3F5"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1.40 (±0.23)</w:t>
            </w:r>
          </w:p>
        </w:tc>
        <w:tc>
          <w:tcPr>
            <w:tcW w:w="1276" w:type="dxa"/>
            <w:noWrap/>
            <w:hideMark/>
          </w:tcPr>
          <w:p w14:paraId="19531501" w14:textId="77777777" w:rsidR="003D70B1" w:rsidRPr="00226EA7" w:rsidRDefault="003D70B1" w:rsidP="003D70B1">
            <w:pPr>
              <w:jc w:val="center"/>
              <w:rPr>
                <w:rFonts w:ascii="Times New Roman" w:hAnsi="Times New Roman" w:cs="Times New Roman"/>
                <w:b/>
                <w:bCs/>
              </w:rPr>
            </w:pPr>
            <w:r>
              <w:rPr>
                <w:rFonts w:ascii="Times New Roman" w:hAnsi="Times New Roman" w:cs="Times New Roman"/>
                <w:b/>
                <w:bCs/>
              </w:rPr>
              <w:t>&lt; 0.001</w:t>
            </w:r>
          </w:p>
        </w:tc>
        <w:tc>
          <w:tcPr>
            <w:tcW w:w="1276" w:type="dxa"/>
            <w:noWrap/>
            <w:hideMark/>
          </w:tcPr>
          <w:p w14:paraId="23598747" w14:textId="77777777" w:rsidR="003D70B1" w:rsidRPr="003D0C9F" w:rsidRDefault="003D70B1" w:rsidP="003D70B1">
            <w:pPr>
              <w:jc w:val="center"/>
              <w:rPr>
                <w:rFonts w:ascii="Times New Roman" w:hAnsi="Times New Roman" w:cs="Times New Roman"/>
                <w:b/>
              </w:rPr>
            </w:pPr>
            <w:r w:rsidRPr="003D0C9F">
              <w:rPr>
                <w:rFonts w:ascii="Times New Roman" w:hAnsi="Times New Roman" w:cs="Times New Roman"/>
                <w:b/>
              </w:rPr>
              <w:t>−22.8%</w:t>
            </w:r>
          </w:p>
          <w:p w14:paraId="3CA7864F" w14:textId="77777777" w:rsidR="003D70B1" w:rsidRPr="00226EA7" w:rsidRDefault="003D70B1" w:rsidP="003D70B1">
            <w:pPr>
              <w:jc w:val="center"/>
              <w:rPr>
                <w:rFonts w:ascii="Times New Roman" w:hAnsi="Times New Roman" w:cs="Times New Roman"/>
              </w:rPr>
            </w:pPr>
          </w:p>
        </w:tc>
      </w:tr>
      <w:tr w:rsidR="003D70B1" w:rsidRPr="00226EA7" w14:paraId="27769E54" w14:textId="77777777" w:rsidTr="003D70B1">
        <w:trPr>
          <w:trHeight w:val="367"/>
        </w:trPr>
        <w:tc>
          <w:tcPr>
            <w:tcW w:w="2520" w:type="dxa"/>
            <w:noWrap/>
            <w:vAlign w:val="center"/>
            <w:hideMark/>
          </w:tcPr>
          <w:p w14:paraId="65959B75" w14:textId="77777777" w:rsidR="003D70B1" w:rsidRPr="00353CA7" w:rsidRDefault="003D70B1" w:rsidP="003D70B1">
            <w:pPr>
              <w:spacing w:line="480" w:lineRule="auto"/>
              <w:rPr>
                <w:rFonts w:ascii="Times New Roman" w:eastAsiaTheme="majorEastAsia" w:hAnsi="Times New Roman" w:cs="Times New Roman"/>
                <w:i/>
                <w:iCs/>
                <w:color w:val="404040" w:themeColor="text1" w:themeTint="BF"/>
                <w:lang w:val="en-US"/>
              </w:rPr>
            </w:pPr>
            <w:r w:rsidRPr="00D13113">
              <w:rPr>
                <w:rFonts w:ascii="Times New Roman" w:hAnsi="Times New Roman" w:cs="Times New Roman"/>
                <w:lang w:val="en-US"/>
              </w:rPr>
              <w:t>Caudate (mean±SD)</w:t>
            </w:r>
          </w:p>
        </w:tc>
        <w:tc>
          <w:tcPr>
            <w:tcW w:w="1785" w:type="dxa"/>
            <w:noWrap/>
            <w:hideMark/>
          </w:tcPr>
          <w:p w14:paraId="3779C07B"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1.37 (±0.25)</w:t>
            </w:r>
          </w:p>
        </w:tc>
        <w:tc>
          <w:tcPr>
            <w:tcW w:w="1528" w:type="dxa"/>
            <w:noWrap/>
            <w:hideMark/>
          </w:tcPr>
          <w:p w14:paraId="54DA0B85"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0.98 (±0.18)</w:t>
            </w:r>
          </w:p>
        </w:tc>
        <w:tc>
          <w:tcPr>
            <w:tcW w:w="1276" w:type="dxa"/>
            <w:noWrap/>
            <w:hideMark/>
          </w:tcPr>
          <w:p w14:paraId="4BF8C92E" w14:textId="77777777" w:rsidR="003D70B1" w:rsidRPr="00226EA7" w:rsidRDefault="003D70B1" w:rsidP="003D70B1">
            <w:pPr>
              <w:jc w:val="center"/>
              <w:rPr>
                <w:rFonts w:ascii="Times New Roman" w:hAnsi="Times New Roman" w:cs="Times New Roman"/>
                <w:b/>
                <w:bCs/>
              </w:rPr>
            </w:pPr>
            <w:r w:rsidRPr="00226EA7">
              <w:rPr>
                <w:rFonts w:ascii="Times New Roman" w:hAnsi="Times New Roman" w:cs="Times New Roman"/>
                <w:b/>
                <w:bCs/>
              </w:rPr>
              <w:t xml:space="preserve">&lt; </w:t>
            </w:r>
            <w:r>
              <w:rPr>
                <w:rFonts w:ascii="Times New Roman" w:hAnsi="Times New Roman" w:cs="Times New Roman"/>
                <w:b/>
                <w:bCs/>
              </w:rPr>
              <w:t>0.001</w:t>
            </w:r>
          </w:p>
        </w:tc>
        <w:tc>
          <w:tcPr>
            <w:tcW w:w="1276" w:type="dxa"/>
            <w:noWrap/>
            <w:hideMark/>
          </w:tcPr>
          <w:p w14:paraId="224AB7B7" w14:textId="77777777" w:rsidR="003D70B1" w:rsidRPr="003D0C9F" w:rsidRDefault="003D70B1" w:rsidP="003D70B1">
            <w:pPr>
              <w:jc w:val="center"/>
              <w:rPr>
                <w:rFonts w:ascii="Times New Roman" w:hAnsi="Times New Roman" w:cs="Times New Roman"/>
                <w:b/>
              </w:rPr>
            </w:pPr>
            <w:r w:rsidRPr="003D0C9F">
              <w:rPr>
                <w:rFonts w:ascii="Times New Roman" w:hAnsi="Times New Roman" w:cs="Times New Roman"/>
                <w:b/>
              </w:rPr>
              <w:t>−28.4%</w:t>
            </w:r>
          </w:p>
        </w:tc>
      </w:tr>
      <w:tr w:rsidR="003D70B1" w:rsidRPr="00226EA7" w14:paraId="443E011F" w14:textId="77777777" w:rsidTr="003D70B1">
        <w:trPr>
          <w:trHeight w:val="367"/>
        </w:trPr>
        <w:tc>
          <w:tcPr>
            <w:tcW w:w="2520" w:type="dxa"/>
            <w:noWrap/>
            <w:vAlign w:val="center"/>
            <w:hideMark/>
          </w:tcPr>
          <w:p w14:paraId="0CA4D4DC" w14:textId="77777777" w:rsidR="003D70B1" w:rsidRPr="00353CA7" w:rsidRDefault="003D70B1" w:rsidP="003D70B1">
            <w:pPr>
              <w:spacing w:line="480" w:lineRule="auto"/>
              <w:rPr>
                <w:rFonts w:ascii="Times New Roman" w:eastAsiaTheme="majorEastAsia" w:hAnsi="Times New Roman" w:cs="Times New Roman"/>
                <w:i/>
                <w:iCs/>
                <w:color w:val="404040" w:themeColor="text1" w:themeTint="BF"/>
                <w:lang w:val="en-US"/>
              </w:rPr>
            </w:pPr>
            <w:r w:rsidRPr="00D13113">
              <w:rPr>
                <w:rFonts w:ascii="Times New Roman" w:hAnsi="Times New Roman" w:cs="Times New Roman"/>
                <w:lang w:val="en-US"/>
              </w:rPr>
              <w:t>Putamen (mean±SD)</w:t>
            </w:r>
          </w:p>
        </w:tc>
        <w:tc>
          <w:tcPr>
            <w:tcW w:w="1785" w:type="dxa"/>
            <w:noWrap/>
            <w:hideMark/>
          </w:tcPr>
          <w:p w14:paraId="2A86B552"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2.21 (±0.31)</w:t>
            </w:r>
          </w:p>
        </w:tc>
        <w:tc>
          <w:tcPr>
            <w:tcW w:w="1528" w:type="dxa"/>
            <w:noWrap/>
            <w:hideMark/>
          </w:tcPr>
          <w:p w14:paraId="0CE6C383"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1.64 (±0.29)</w:t>
            </w:r>
          </w:p>
        </w:tc>
        <w:tc>
          <w:tcPr>
            <w:tcW w:w="1276" w:type="dxa"/>
            <w:noWrap/>
            <w:hideMark/>
          </w:tcPr>
          <w:p w14:paraId="0BE73F53" w14:textId="77777777" w:rsidR="003D70B1" w:rsidRPr="00226EA7" w:rsidRDefault="003D70B1" w:rsidP="003D70B1">
            <w:pPr>
              <w:jc w:val="center"/>
              <w:rPr>
                <w:rFonts w:ascii="Times New Roman" w:hAnsi="Times New Roman" w:cs="Times New Roman"/>
                <w:b/>
                <w:bCs/>
              </w:rPr>
            </w:pPr>
            <w:r w:rsidRPr="00226EA7">
              <w:rPr>
                <w:rFonts w:ascii="Times New Roman" w:hAnsi="Times New Roman" w:cs="Times New Roman"/>
                <w:b/>
                <w:bCs/>
              </w:rPr>
              <w:t>&lt; 0.00</w:t>
            </w:r>
            <w:r>
              <w:rPr>
                <w:rFonts w:ascii="Times New Roman" w:hAnsi="Times New Roman" w:cs="Times New Roman"/>
                <w:b/>
                <w:bCs/>
              </w:rPr>
              <w:t>1</w:t>
            </w:r>
          </w:p>
        </w:tc>
        <w:tc>
          <w:tcPr>
            <w:tcW w:w="1276" w:type="dxa"/>
            <w:noWrap/>
            <w:hideMark/>
          </w:tcPr>
          <w:p w14:paraId="4175189C" w14:textId="77777777" w:rsidR="003D70B1" w:rsidRPr="003D0C9F" w:rsidRDefault="003D70B1" w:rsidP="003D70B1">
            <w:pPr>
              <w:jc w:val="center"/>
              <w:rPr>
                <w:rFonts w:ascii="Times New Roman" w:hAnsi="Times New Roman" w:cs="Times New Roman"/>
                <w:b/>
              </w:rPr>
            </w:pPr>
            <w:r w:rsidRPr="003D0C9F">
              <w:rPr>
                <w:rFonts w:ascii="Times New Roman" w:hAnsi="Times New Roman" w:cs="Times New Roman"/>
                <w:b/>
              </w:rPr>
              <w:t>−25.5%</w:t>
            </w:r>
          </w:p>
        </w:tc>
      </w:tr>
      <w:tr w:rsidR="003D70B1" w:rsidRPr="00226EA7" w14:paraId="4DC78528" w14:textId="77777777" w:rsidTr="003D70B1">
        <w:trPr>
          <w:trHeight w:val="367"/>
        </w:trPr>
        <w:tc>
          <w:tcPr>
            <w:tcW w:w="2520" w:type="dxa"/>
            <w:noWrap/>
            <w:vAlign w:val="center"/>
            <w:hideMark/>
          </w:tcPr>
          <w:p w14:paraId="19BDE40C" w14:textId="77777777" w:rsidR="003D70B1" w:rsidRPr="00991CE7" w:rsidRDefault="003D70B1" w:rsidP="003D70B1">
            <w:pPr>
              <w:spacing w:line="480" w:lineRule="auto"/>
              <w:rPr>
                <w:rFonts w:ascii="Times New Roman" w:eastAsiaTheme="majorEastAsia" w:hAnsi="Times New Roman" w:cs="Times New Roman"/>
                <w:i/>
                <w:iCs/>
                <w:color w:val="404040" w:themeColor="text1" w:themeTint="BF"/>
                <w:lang w:val="en-US"/>
              </w:rPr>
            </w:pPr>
            <w:r w:rsidRPr="00D13113">
              <w:rPr>
                <w:rFonts w:ascii="Times New Roman" w:hAnsi="Times New Roman" w:cs="Times New Roman"/>
                <w:lang w:val="en-US"/>
              </w:rPr>
              <w:t>Ventral Striatum (mean±SD)</w:t>
            </w:r>
          </w:p>
        </w:tc>
        <w:tc>
          <w:tcPr>
            <w:tcW w:w="1785" w:type="dxa"/>
            <w:noWrap/>
            <w:hideMark/>
          </w:tcPr>
          <w:p w14:paraId="24E25569"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1.16 (±0.24)</w:t>
            </w:r>
          </w:p>
        </w:tc>
        <w:tc>
          <w:tcPr>
            <w:tcW w:w="1528" w:type="dxa"/>
            <w:noWrap/>
            <w:hideMark/>
          </w:tcPr>
          <w:p w14:paraId="19F367B3"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1.14 (</w:t>
            </w:r>
            <w:r>
              <w:rPr>
                <w:rFonts w:ascii="Times New Roman" w:hAnsi="Times New Roman" w:cs="Times New Roman"/>
              </w:rPr>
              <w:t>±</w:t>
            </w:r>
            <w:r w:rsidRPr="00226EA7">
              <w:rPr>
                <w:rFonts w:ascii="Times New Roman" w:hAnsi="Times New Roman" w:cs="Times New Roman"/>
              </w:rPr>
              <w:t>0.22)</w:t>
            </w:r>
          </w:p>
        </w:tc>
        <w:tc>
          <w:tcPr>
            <w:tcW w:w="1276" w:type="dxa"/>
            <w:noWrap/>
            <w:hideMark/>
          </w:tcPr>
          <w:p w14:paraId="29DE0D9A" w14:textId="77777777" w:rsidR="003D70B1" w:rsidRPr="00226EA7" w:rsidRDefault="003D70B1" w:rsidP="003D70B1">
            <w:pPr>
              <w:jc w:val="center"/>
              <w:rPr>
                <w:rFonts w:ascii="Times New Roman" w:hAnsi="Times New Roman" w:cs="Times New Roman"/>
              </w:rPr>
            </w:pPr>
            <w:r>
              <w:rPr>
                <w:rFonts w:ascii="Times New Roman" w:hAnsi="Times New Roman" w:cs="Times New Roman"/>
              </w:rPr>
              <w:t>&gt; 0.10</w:t>
            </w:r>
          </w:p>
        </w:tc>
        <w:tc>
          <w:tcPr>
            <w:tcW w:w="1276" w:type="dxa"/>
            <w:noWrap/>
            <w:hideMark/>
          </w:tcPr>
          <w:p w14:paraId="46BCA30A" w14:textId="77777777" w:rsidR="003D70B1" w:rsidRPr="00226EA7" w:rsidRDefault="003D70B1" w:rsidP="003D70B1">
            <w:pPr>
              <w:jc w:val="center"/>
              <w:rPr>
                <w:rFonts w:ascii="Times New Roman" w:hAnsi="Times New Roman" w:cs="Times New Roman"/>
              </w:rPr>
            </w:pPr>
            <w:r w:rsidRPr="006D6CBB">
              <w:rPr>
                <w:rFonts w:ascii="Times New Roman" w:hAnsi="Times New Roman" w:cs="Times New Roman"/>
              </w:rPr>
              <w:t>−</w:t>
            </w:r>
            <w:r w:rsidRPr="00B975FB">
              <w:rPr>
                <w:rFonts w:ascii="Times New Roman" w:hAnsi="Times New Roman" w:cs="Times New Roman"/>
              </w:rPr>
              <w:t>1</w:t>
            </w:r>
            <w:r>
              <w:rPr>
                <w:rFonts w:ascii="Times New Roman" w:hAnsi="Times New Roman" w:cs="Times New Roman"/>
              </w:rPr>
              <w:t>.6</w:t>
            </w:r>
            <w:r w:rsidRPr="00226EA7">
              <w:rPr>
                <w:rFonts w:ascii="Times New Roman" w:hAnsi="Times New Roman" w:cs="Times New Roman"/>
              </w:rPr>
              <w:t>%</w:t>
            </w:r>
          </w:p>
        </w:tc>
      </w:tr>
      <w:tr w:rsidR="003D70B1" w:rsidRPr="00226EA7" w14:paraId="51EABD25" w14:textId="77777777" w:rsidTr="003D70B1">
        <w:trPr>
          <w:trHeight w:val="367"/>
        </w:trPr>
        <w:tc>
          <w:tcPr>
            <w:tcW w:w="2520" w:type="dxa"/>
            <w:noWrap/>
            <w:vAlign w:val="center"/>
            <w:hideMark/>
          </w:tcPr>
          <w:p w14:paraId="7A4C3727" w14:textId="77777777" w:rsidR="003D70B1" w:rsidRPr="00991CE7" w:rsidRDefault="003D70B1" w:rsidP="003D70B1">
            <w:pPr>
              <w:spacing w:line="480" w:lineRule="auto"/>
              <w:rPr>
                <w:rFonts w:ascii="Times New Roman" w:eastAsiaTheme="majorEastAsia" w:hAnsi="Times New Roman" w:cs="Times New Roman"/>
                <w:i/>
                <w:iCs/>
                <w:color w:val="404040" w:themeColor="text1" w:themeTint="BF"/>
                <w:lang w:val="en-US"/>
              </w:rPr>
            </w:pPr>
            <w:r w:rsidRPr="00D13113">
              <w:rPr>
                <w:rFonts w:ascii="Times New Roman" w:hAnsi="Times New Roman" w:cs="Times New Roman"/>
                <w:lang w:val="en-US"/>
              </w:rPr>
              <w:t>Globus Pallidus (mean±SD)</w:t>
            </w:r>
          </w:p>
        </w:tc>
        <w:tc>
          <w:tcPr>
            <w:tcW w:w="1785" w:type="dxa"/>
            <w:noWrap/>
            <w:hideMark/>
          </w:tcPr>
          <w:p w14:paraId="58ECDB63"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1.75 (±0.33)</w:t>
            </w:r>
          </w:p>
        </w:tc>
        <w:tc>
          <w:tcPr>
            <w:tcW w:w="1528" w:type="dxa"/>
            <w:noWrap/>
            <w:hideMark/>
          </w:tcPr>
          <w:p w14:paraId="11A94780"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1.50 (±0.24)</w:t>
            </w:r>
          </w:p>
        </w:tc>
        <w:tc>
          <w:tcPr>
            <w:tcW w:w="1276" w:type="dxa"/>
            <w:noWrap/>
            <w:hideMark/>
          </w:tcPr>
          <w:p w14:paraId="2628A782" w14:textId="77777777" w:rsidR="003D70B1" w:rsidRPr="00226EA7" w:rsidRDefault="003D70B1" w:rsidP="003D70B1">
            <w:pPr>
              <w:jc w:val="center"/>
              <w:rPr>
                <w:rFonts w:ascii="Times New Roman" w:hAnsi="Times New Roman" w:cs="Times New Roman"/>
                <w:b/>
                <w:bCs/>
              </w:rPr>
            </w:pPr>
            <w:r>
              <w:rPr>
                <w:rFonts w:ascii="Times New Roman" w:hAnsi="Times New Roman" w:cs="Times New Roman"/>
                <w:b/>
                <w:bCs/>
              </w:rPr>
              <w:t>0.025</w:t>
            </w:r>
          </w:p>
        </w:tc>
        <w:tc>
          <w:tcPr>
            <w:tcW w:w="1276" w:type="dxa"/>
            <w:noWrap/>
            <w:hideMark/>
          </w:tcPr>
          <w:p w14:paraId="00AEEDF0" w14:textId="77777777" w:rsidR="003D70B1" w:rsidRPr="00C07F7D" w:rsidRDefault="003D70B1" w:rsidP="003D70B1">
            <w:pPr>
              <w:jc w:val="center"/>
              <w:rPr>
                <w:rFonts w:ascii="Times New Roman" w:hAnsi="Times New Roman" w:cs="Times New Roman"/>
                <w:b/>
              </w:rPr>
            </w:pPr>
            <w:r w:rsidRPr="00C07F7D">
              <w:rPr>
                <w:rFonts w:ascii="Times New Roman" w:hAnsi="Times New Roman" w:cs="Times New Roman"/>
                <w:b/>
              </w:rPr>
              <w:t>−14.3%</w:t>
            </w:r>
          </w:p>
        </w:tc>
      </w:tr>
      <w:tr w:rsidR="003D70B1" w:rsidRPr="00226EA7" w14:paraId="2C228DBD" w14:textId="77777777" w:rsidTr="003D70B1">
        <w:trPr>
          <w:trHeight w:val="367"/>
        </w:trPr>
        <w:tc>
          <w:tcPr>
            <w:tcW w:w="2520" w:type="dxa"/>
            <w:noWrap/>
            <w:vAlign w:val="center"/>
            <w:hideMark/>
          </w:tcPr>
          <w:p w14:paraId="35670DAF" w14:textId="77777777" w:rsidR="003D70B1" w:rsidRPr="00991CE7" w:rsidRDefault="003D70B1" w:rsidP="003D70B1">
            <w:pPr>
              <w:spacing w:line="480" w:lineRule="auto"/>
              <w:rPr>
                <w:rFonts w:ascii="Times New Roman" w:eastAsiaTheme="majorEastAsia" w:hAnsi="Times New Roman" w:cs="Times New Roman"/>
                <w:i/>
                <w:iCs/>
                <w:color w:val="404040" w:themeColor="text1" w:themeTint="BF"/>
                <w:lang w:val="en-US"/>
              </w:rPr>
            </w:pPr>
            <w:r w:rsidRPr="00D13113">
              <w:rPr>
                <w:rFonts w:ascii="Times New Roman" w:hAnsi="Times New Roman" w:cs="Times New Roman"/>
                <w:lang w:val="en-US"/>
              </w:rPr>
              <w:t xml:space="preserve">Globus Pallidus </w:t>
            </w:r>
            <w:r>
              <w:rPr>
                <w:rFonts w:ascii="Times New Roman" w:hAnsi="Times New Roman" w:cs="Times New Roman"/>
                <w:lang w:val="en-US"/>
              </w:rPr>
              <w:t xml:space="preserve">external </w:t>
            </w:r>
            <w:r w:rsidRPr="00D13113">
              <w:rPr>
                <w:rFonts w:ascii="Times New Roman" w:hAnsi="Times New Roman" w:cs="Times New Roman"/>
                <w:lang w:val="en-US"/>
              </w:rPr>
              <w:t>(mean±SD)</w:t>
            </w:r>
          </w:p>
        </w:tc>
        <w:tc>
          <w:tcPr>
            <w:tcW w:w="1785" w:type="dxa"/>
            <w:noWrap/>
            <w:hideMark/>
          </w:tcPr>
          <w:p w14:paraId="4D84BE54"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1.91 (±0.39)</w:t>
            </w:r>
          </w:p>
        </w:tc>
        <w:tc>
          <w:tcPr>
            <w:tcW w:w="1528" w:type="dxa"/>
            <w:noWrap/>
            <w:hideMark/>
          </w:tcPr>
          <w:p w14:paraId="7886687D"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1.72 (±0.25)</w:t>
            </w:r>
          </w:p>
        </w:tc>
        <w:tc>
          <w:tcPr>
            <w:tcW w:w="1276" w:type="dxa"/>
            <w:noWrap/>
            <w:hideMark/>
          </w:tcPr>
          <w:p w14:paraId="57638AA8" w14:textId="77777777" w:rsidR="003D70B1" w:rsidRPr="00226EA7" w:rsidRDefault="003D70B1" w:rsidP="003D70B1">
            <w:pPr>
              <w:jc w:val="center"/>
              <w:rPr>
                <w:rFonts w:ascii="Times New Roman" w:hAnsi="Times New Roman" w:cs="Times New Roman"/>
              </w:rPr>
            </w:pPr>
            <w:r>
              <w:rPr>
                <w:rFonts w:ascii="Times New Roman" w:hAnsi="Times New Roman" w:cs="Times New Roman"/>
              </w:rPr>
              <w:t>&gt; 0.10</w:t>
            </w:r>
          </w:p>
        </w:tc>
        <w:tc>
          <w:tcPr>
            <w:tcW w:w="1276" w:type="dxa"/>
            <w:noWrap/>
            <w:hideMark/>
          </w:tcPr>
          <w:p w14:paraId="20CB23A1" w14:textId="77777777" w:rsidR="003D70B1" w:rsidRPr="00226EA7" w:rsidRDefault="003D70B1" w:rsidP="003D70B1">
            <w:pPr>
              <w:jc w:val="center"/>
              <w:rPr>
                <w:rFonts w:ascii="Times New Roman" w:hAnsi="Times New Roman" w:cs="Times New Roman"/>
              </w:rPr>
            </w:pPr>
            <w:r w:rsidRPr="008801A6">
              <w:rPr>
                <w:rFonts w:ascii="Times New Roman" w:hAnsi="Times New Roman" w:cs="Times New Roman"/>
              </w:rPr>
              <w:t>−</w:t>
            </w:r>
            <w:r>
              <w:rPr>
                <w:rFonts w:ascii="Times New Roman" w:hAnsi="Times New Roman" w:cs="Times New Roman"/>
              </w:rPr>
              <w:t>9.6</w:t>
            </w:r>
            <w:r w:rsidRPr="00226EA7">
              <w:rPr>
                <w:rFonts w:ascii="Times New Roman" w:hAnsi="Times New Roman" w:cs="Times New Roman"/>
              </w:rPr>
              <w:t>%</w:t>
            </w:r>
          </w:p>
        </w:tc>
      </w:tr>
      <w:tr w:rsidR="003D70B1" w:rsidRPr="00226EA7" w14:paraId="4AB479F9" w14:textId="77777777" w:rsidTr="003D70B1">
        <w:trPr>
          <w:trHeight w:val="367"/>
        </w:trPr>
        <w:tc>
          <w:tcPr>
            <w:tcW w:w="2520" w:type="dxa"/>
            <w:noWrap/>
            <w:hideMark/>
          </w:tcPr>
          <w:p w14:paraId="44A4529E" w14:textId="77777777" w:rsidR="003D70B1" w:rsidRPr="00226EA7" w:rsidRDefault="003D70B1" w:rsidP="003D70B1">
            <w:pPr>
              <w:spacing w:line="480" w:lineRule="auto"/>
              <w:rPr>
                <w:rFonts w:ascii="Times New Roman" w:hAnsi="Times New Roman" w:cs="Times New Roman"/>
                <w:b/>
                <w:bCs/>
              </w:rPr>
            </w:pPr>
            <w:r w:rsidRPr="00D13113">
              <w:rPr>
                <w:rFonts w:ascii="Times New Roman" w:hAnsi="Times New Roman" w:cs="Times New Roman"/>
                <w:lang w:val="en-US"/>
              </w:rPr>
              <w:t xml:space="preserve">Globus Pallidus </w:t>
            </w:r>
            <w:r>
              <w:rPr>
                <w:rFonts w:ascii="Times New Roman" w:hAnsi="Times New Roman" w:cs="Times New Roman"/>
                <w:lang w:val="en-US"/>
              </w:rPr>
              <w:t xml:space="preserve">internal </w:t>
            </w:r>
            <w:r w:rsidRPr="00D13113">
              <w:rPr>
                <w:rFonts w:ascii="Times New Roman" w:hAnsi="Times New Roman" w:cs="Times New Roman"/>
                <w:lang w:val="en-US"/>
              </w:rPr>
              <w:t>(mean±SD)</w:t>
            </w:r>
          </w:p>
        </w:tc>
        <w:tc>
          <w:tcPr>
            <w:tcW w:w="1785" w:type="dxa"/>
            <w:noWrap/>
            <w:hideMark/>
          </w:tcPr>
          <w:p w14:paraId="6F0251C2"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1.54 (±0.27)</w:t>
            </w:r>
          </w:p>
        </w:tc>
        <w:tc>
          <w:tcPr>
            <w:tcW w:w="1528" w:type="dxa"/>
            <w:noWrap/>
            <w:hideMark/>
          </w:tcPr>
          <w:p w14:paraId="470781ED"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1.25 (±0.23)</w:t>
            </w:r>
          </w:p>
        </w:tc>
        <w:tc>
          <w:tcPr>
            <w:tcW w:w="1276" w:type="dxa"/>
            <w:noWrap/>
            <w:hideMark/>
          </w:tcPr>
          <w:p w14:paraId="06104415" w14:textId="77777777" w:rsidR="003D70B1" w:rsidRPr="003D0C9F" w:rsidRDefault="003D70B1" w:rsidP="003D70B1">
            <w:pPr>
              <w:jc w:val="center"/>
              <w:rPr>
                <w:rFonts w:ascii="Times New Roman" w:hAnsi="Times New Roman" w:cs="Times New Roman"/>
                <w:b/>
                <w:bCs/>
              </w:rPr>
            </w:pPr>
            <w:r w:rsidRPr="003D0C9F">
              <w:rPr>
                <w:rFonts w:ascii="Times New Roman" w:hAnsi="Times New Roman" w:cs="Times New Roman"/>
                <w:b/>
                <w:bCs/>
              </w:rPr>
              <w:t>0.018</w:t>
            </w:r>
          </w:p>
        </w:tc>
        <w:tc>
          <w:tcPr>
            <w:tcW w:w="1276" w:type="dxa"/>
            <w:noWrap/>
            <w:hideMark/>
          </w:tcPr>
          <w:p w14:paraId="39108B15" w14:textId="77777777" w:rsidR="003D70B1" w:rsidRPr="003D0C9F" w:rsidRDefault="003D70B1" w:rsidP="003D70B1">
            <w:pPr>
              <w:jc w:val="center"/>
              <w:rPr>
                <w:rFonts w:ascii="Times New Roman" w:hAnsi="Times New Roman" w:cs="Times New Roman"/>
                <w:b/>
              </w:rPr>
            </w:pPr>
            <w:r w:rsidRPr="003D0C9F">
              <w:rPr>
                <w:rFonts w:ascii="Times New Roman" w:hAnsi="Times New Roman" w:cs="Times New Roman"/>
                <w:b/>
              </w:rPr>
              <w:t>−18.8%</w:t>
            </w:r>
          </w:p>
        </w:tc>
      </w:tr>
      <w:tr w:rsidR="003D70B1" w:rsidRPr="00226EA7" w14:paraId="19AFD8D9" w14:textId="77777777" w:rsidTr="003D70B1">
        <w:trPr>
          <w:trHeight w:val="367"/>
        </w:trPr>
        <w:tc>
          <w:tcPr>
            <w:tcW w:w="2520" w:type="dxa"/>
            <w:noWrap/>
            <w:hideMark/>
          </w:tcPr>
          <w:p w14:paraId="08B81B07" w14:textId="77777777" w:rsidR="003D70B1" w:rsidRPr="00226EA7" w:rsidRDefault="003D70B1" w:rsidP="003D70B1">
            <w:pPr>
              <w:spacing w:line="480" w:lineRule="auto"/>
              <w:rPr>
                <w:rFonts w:ascii="Times New Roman" w:hAnsi="Times New Roman" w:cs="Times New Roman"/>
                <w:b/>
                <w:bCs/>
              </w:rPr>
            </w:pPr>
            <w:r w:rsidRPr="00D13113">
              <w:rPr>
                <w:rFonts w:ascii="Times New Roman" w:hAnsi="Times New Roman" w:cs="Times New Roman"/>
                <w:lang w:val="en-US"/>
              </w:rPr>
              <w:t>Substantia Nigra (mean±SD</w:t>
            </w:r>
            <w:r>
              <w:rPr>
                <w:rFonts w:ascii="Times New Roman" w:hAnsi="Times New Roman" w:cs="Times New Roman"/>
                <w:lang w:val="en-US"/>
              </w:rPr>
              <w:t>)</w:t>
            </w:r>
          </w:p>
        </w:tc>
        <w:tc>
          <w:tcPr>
            <w:tcW w:w="1785" w:type="dxa"/>
            <w:noWrap/>
            <w:hideMark/>
          </w:tcPr>
          <w:p w14:paraId="19F19FA8"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0.49 (±0.12)</w:t>
            </w:r>
          </w:p>
        </w:tc>
        <w:tc>
          <w:tcPr>
            <w:tcW w:w="1528" w:type="dxa"/>
            <w:noWrap/>
            <w:hideMark/>
          </w:tcPr>
          <w:p w14:paraId="6586A7C7"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0</w:t>
            </w:r>
            <w:r>
              <w:rPr>
                <w:rFonts w:ascii="Times New Roman" w:hAnsi="Times New Roman" w:cs="Times New Roman"/>
              </w:rPr>
              <w:t>.</w:t>
            </w:r>
            <w:r w:rsidRPr="00226EA7">
              <w:rPr>
                <w:rFonts w:ascii="Times New Roman" w:hAnsi="Times New Roman" w:cs="Times New Roman"/>
              </w:rPr>
              <w:t>55 (±0.17)</w:t>
            </w:r>
          </w:p>
        </w:tc>
        <w:tc>
          <w:tcPr>
            <w:tcW w:w="1276" w:type="dxa"/>
            <w:noWrap/>
            <w:hideMark/>
          </w:tcPr>
          <w:p w14:paraId="79DF5C86"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&gt; 0.</w:t>
            </w:r>
            <w:r>
              <w:rPr>
                <w:rFonts w:ascii="Times New Roman" w:hAnsi="Times New Roman" w:cs="Times New Roman"/>
              </w:rPr>
              <w:t>10</w:t>
            </w:r>
          </w:p>
        </w:tc>
        <w:tc>
          <w:tcPr>
            <w:tcW w:w="1276" w:type="dxa"/>
            <w:noWrap/>
            <w:hideMark/>
          </w:tcPr>
          <w:p w14:paraId="08ED7BB7" w14:textId="77777777" w:rsidR="003D70B1" w:rsidRPr="00226EA7" w:rsidRDefault="003D70B1" w:rsidP="003D70B1">
            <w:pPr>
              <w:jc w:val="center"/>
              <w:rPr>
                <w:rFonts w:ascii="Times New Roman" w:hAnsi="Times New Roman" w:cs="Times New Roman"/>
              </w:rPr>
            </w:pPr>
            <w:r>
              <w:rPr>
                <w:rFonts w:ascii="Times New Roman" w:hAnsi="Times New Roman" w:cs="Times New Roman"/>
              </w:rPr>
              <w:t>+12.4</w:t>
            </w:r>
            <w:r w:rsidRPr="00226EA7">
              <w:rPr>
                <w:rFonts w:ascii="Times New Roman" w:hAnsi="Times New Roman" w:cs="Times New Roman"/>
              </w:rPr>
              <w:t>%</w:t>
            </w:r>
          </w:p>
        </w:tc>
      </w:tr>
      <w:tr w:rsidR="003D70B1" w:rsidRPr="00226EA7" w14:paraId="3E24426E" w14:textId="77777777" w:rsidTr="003D70B1">
        <w:trPr>
          <w:trHeight w:val="251"/>
        </w:trPr>
        <w:tc>
          <w:tcPr>
            <w:tcW w:w="2520" w:type="dxa"/>
            <w:noWrap/>
            <w:hideMark/>
          </w:tcPr>
          <w:p w14:paraId="0A1ECD9C" w14:textId="77777777" w:rsidR="003D70B1" w:rsidRPr="00226EA7" w:rsidRDefault="003D70B1" w:rsidP="003D70B1">
            <w:pPr>
              <w:spacing w:line="480" w:lineRule="auto"/>
              <w:rPr>
                <w:rFonts w:ascii="Times New Roman" w:hAnsi="Times New Roman" w:cs="Times New Roman"/>
                <w:b/>
                <w:bCs/>
              </w:rPr>
            </w:pPr>
            <w:r w:rsidRPr="00D13113">
              <w:rPr>
                <w:rFonts w:ascii="Times New Roman" w:hAnsi="Times New Roman" w:cs="Times New Roman"/>
                <w:lang w:val="en-US"/>
              </w:rPr>
              <w:t>Motor thalamic nuclei (mean±SD)</w:t>
            </w:r>
          </w:p>
        </w:tc>
        <w:tc>
          <w:tcPr>
            <w:tcW w:w="1785" w:type="dxa"/>
            <w:noWrap/>
            <w:hideMark/>
          </w:tcPr>
          <w:p w14:paraId="5AC285CE"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0.45 (±0.07)</w:t>
            </w:r>
          </w:p>
        </w:tc>
        <w:tc>
          <w:tcPr>
            <w:tcW w:w="1528" w:type="dxa"/>
            <w:noWrap/>
            <w:hideMark/>
          </w:tcPr>
          <w:p w14:paraId="73940926"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0.39 (±0.11)</w:t>
            </w:r>
          </w:p>
        </w:tc>
        <w:tc>
          <w:tcPr>
            <w:tcW w:w="1276" w:type="dxa"/>
            <w:noWrap/>
            <w:hideMark/>
          </w:tcPr>
          <w:p w14:paraId="112FE46E" w14:textId="77777777" w:rsidR="003D70B1" w:rsidRPr="00226EA7" w:rsidRDefault="003D70B1" w:rsidP="003D70B1">
            <w:pPr>
              <w:jc w:val="center"/>
              <w:rPr>
                <w:rFonts w:ascii="Times New Roman" w:hAnsi="Times New Roman" w:cs="Times New Roman"/>
              </w:rPr>
            </w:pPr>
            <w:r w:rsidRPr="00226EA7">
              <w:rPr>
                <w:rFonts w:ascii="Times New Roman" w:hAnsi="Times New Roman" w:cs="Times New Roman"/>
              </w:rPr>
              <w:t>&gt; 0.</w:t>
            </w:r>
            <w:r>
              <w:rPr>
                <w:rFonts w:ascii="Times New Roman" w:hAnsi="Times New Roman" w:cs="Times New Roman"/>
              </w:rPr>
              <w:t>10</w:t>
            </w:r>
          </w:p>
        </w:tc>
        <w:tc>
          <w:tcPr>
            <w:tcW w:w="1276" w:type="dxa"/>
            <w:noWrap/>
            <w:hideMark/>
          </w:tcPr>
          <w:p w14:paraId="755AF98B" w14:textId="77777777" w:rsidR="003D70B1" w:rsidRPr="00226EA7" w:rsidRDefault="003D70B1" w:rsidP="003D70B1">
            <w:pPr>
              <w:jc w:val="center"/>
              <w:rPr>
                <w:rFonts w:ascii="Times New Roman" w:hAnsi="Times New Roman" w:cs="Times New Roman"/>
              </w:rPr>
            </w:pPr>
            <w:r w:rsidRPr="008801A6">
              <w:rPr>
                <w:rFonts w:ascii="Times New Roman" w:hAnsi="Times New Roman" w:cs="Times New Roman"/>
              </w:rPr>
              <w:t>−</w:t>
            </w:r>
            <w:r w:rsidRPr="00226EA7">
              <w:rPr>
                <w:rFonts w:ascii="Times New Roman" w:hAnsi="Times New Roman" w:cs="Times New Roman"/>
              </w:rPr>
              <w:t>12.3%</w:t>
            </w:r>
          </w:p>
        </w:tc>
      </w:tr>
    </w:tbl>
    <w:p w14:paraId="10155666" w14:textId="77777777" w:rsidR="003D70B1" w:rsidRDefault="003D70B1" w:rsidP="003D70B1">
      <w:pPr>
        <w:tabs>
          <w:tab w:val="left" w:pos="6804"/>
        </w:tabs>
        <w:rPr>
          <w:rFonts w:ascii="Times New Roman" w:hAnsi="Times New Roman" w:cs="Times New Roman"/>
          <w:lang w:val="en-US"/>
        </w:rPr>
      </w:pPr>
      <w:r w:rsidRPr="00D13113">
        <w:rPr>
          <w:rFonts w:ascii="Times New Roman" w:hAnsi="Times New Roman" w:cs="Times New Roman"/>
          <w:vertAlign w:val="superscript"/>
          <w:lang w:val="en-US"/>
        </w:rPr>
        <w:t>1</w:t>
      </w:r>
      <w:r w:rsidRPr="00353CA7">
        <w:rPr>
          <w:rFonts w:ascii="Times New Roman" w:hAnsi="Times New Roman" w:cs="Times New Roman"/>
          <w:lang w:val="en-US"/>
        </w:rPr>
        <w:t>A-ROIs: anatomical regions of interest</w:t>
      </w:r>
      <w:r>
        <w:rPr>
          <w:rFonts w:ascii="Times New Roman" w:hAnsi="Times New Roman" w:cs="Times New Roman"/>
          <w:lang w:val="en-US"/>
        </w:rPr>
        <w:t>.</w:t>
      </w:r>
      <w:r w:rsidRPr="007B68B5">
        <w:rPr>
          <w:rFonts w:ascii="Times New Roman" w:hAnsi="Times New Roman" w:cs="Times New Roman"/>
          <w:lang w:val="en-US"/>
        </w:rPr>
        <w:t xml:space="preserve"> </w:t>
      </w:r>
      <w:r w:rsidRPr="0030417E">
        <w:rPr>
          <w:rFonts w:ascii="Times New Roman" w:hAnsi="Times New Roman" w:cs="Times New Roman"/>
          <w:lang w:val="en-US"/>
        </w:rPr>
        <w:t>*</w:t>
      </w:r>
      <w:r w:rsidRPr="0030417E">
        <w:rPr>
          <w:rFonts w:ascii="Times New Roman" w:hAnsi="Times New Roman" w:cs="Times New Roman"/>
          <w:i/>
          <w:lang w:val="en-US"/>
        </w:rPr>
        <w:t>P</w:t>
      </w:r>
      <w:r>
        <w:rPr>
          <w:rFonts w:ascii="Times New Roman" w:hAnsi="Times New Roman" w:cs="Times New Roman"/>
          <w:lang w:val="en-US"/>
        </w:rPr>
        <w:t xml:space="preserve"> values are Bonferroni corrected.</w:t>
      </w:r>
    </w:p>
    <w:p w14:paraId="1DA031C4" w14:textId="77777777" w:rsidR="003D70B1" w:rsidRDefault="003D70B1" w:rsidP="003D70B1">
      <w:pPr>
        <w:rPr>
          <w:rFonts w:ascii="Times New Roman" w:hAnsi="Times New Roman" w:cs="Times New Roman"/>
        </w:rPr>
      </w:pPr>
    </w:p>
    <w:p w14:paraId="25A1F436" w14:textId="72E8FB02" w:rsidR="003D70B1" w:rsidRPr="007654F6" w:rsidRDefault="00573365" w:rsidP="00417EBC">
      <w:pPr>
        <w:pStyle w:val="Heading2"/>
        <w:spacing w:line="480" w:lineRule="auto"/>
        <w:ind w:left="-142" w:right="78"/>
        <w:rPr>
          <w:rFonts w:ascii="Times New Roman" w:hAnsi="Times New Roman" w:cs="Times New Roman"/>
          <w:color w:val="auto"/>
          <w:sz w:val="24"/>
          <w:szCs w:val="24"/>
          <w:lang w:val="en-US"/>
        </w:rPr>
      </w:pPr>
      <w:bookmarkStart w:id="1" w:name="_Toc280292255"/>
      <w:r>
        <w:rPr>
          <w:rFonts w:ascii="Times New Roman" w:hAnsi="Times New Roman" w:cs="Times New Roman"/>
          <w:color w:val="auto"/>
          <w:sz w:val="24"/>
          <w:szCs w:val="24"/>
          <w:lang w:val="en-US"/>
        </w:rPr>
        <w:t>Table 3</w:t>
      </w:r>
      <w:r w:rsidR="003D70B1" w:rsidRPr="007654F6">
        <w:rPr>
          <w:rFonts w:ascii="Times New Roman" w:hAnsi="Times New Roman" w:cs="Times New Roman"/>
          <w:color w:val="auto"/>
          <w:sz w:val="24"/>
          <w:szCs w:val="24"/>
          <w:lang w:val="en-US"/>
        </w:rPr>
        <w:t xml:space="preserve"> </w:t>
      </w:r>
      <w:r w:rsidR="003D70B1" w:rsidRPr="007654F6">
        <w:rPr>
          <w:rFonts w:ascii="Times New Roman" w:hAnsi="Times New Roman" w:cs="Times New Roman"/>
          <w:b w:val="0"/>
          <w:color w:val="auto"/>
          <w:sz w:val="24"/>
          <w:szCs w:val="24"/>
          <w:lang w:val="en-US"/>
        </w:rPr>
        <w:t>[</w:t>
      </w:r>
      <w:r w:rsidR="003D70B1" w:rsidRPr="007654F6">
        <w:rPr>
          <w:rFonts w:ascii="Times New Roman" w:hAnsi="Times New Roman" w:cs="Times New Roman"/>
          <w:b w:val="0"/>
          <w:color w:val="auto"/>
          <w:sz w:val="24"/>
          <w:szCs w:val="24"/>
          <w:vertAlign w:val="superscript"/>
          <w:lang w:val="en-US"/>
        </w:rPr>
        <w:t>11</w:t>
      </w:r>
      <w:r w:rsidR="003D70B1" w:rsidRPr="007654F6">
        <w:rPr>
          <w:rFonts w:ascii="Times New Roman" w:hAnsi="Times New Roman" w:cs="Times New Roman"/>
          <w:b w:val="0"/>
          <w:color w:val="auto"/>
          <w:sz w:val="24"/>
          <w:szCs w:val="24"/>
          <w:lang w:val="en-US"/>
        </w:rPr>
        <w:t>C]IMA107 BP</w:t>
      </w:r>
      <w:r w:rsidR="003D70B1" w:rsidRPr="007654F6">
        <w:rPr>
          <w:rFonts w:ascii="Times New Roman" w:hAnsi="Times New Roman" w:cs="Times New Roman"/>
          <w:b w:val="0"/>
          <w:color w:val="auto"/>
          <w:sz w:val="24"/>
          <w:szCs w:val="24"/>
          <w:vertAlign w:val="subscript"/>
          <w:lang w:val="en-US"/>
        </w:rPr>
        <w:t>ND</w:t>
      </w:r>
      <w:r w:rsidR="003D70B1" w:rsidRPr="007654F6">
        <w:rPr>
          <w:rFonts w:ascii="Times New Roman" w:hAnsi="Times New Roman" w:cs="Times New Roman"/>
          <w:b w:val="0"/>
          <w:color w:val="auto"/>
          <w:sz w:val="24"/>
          <w:szCs w:val="24"/>
          <w:lang w:val="en-US"/>
        </w:rPr>
        <w:t xml:space="preserve"> in the groups of Parkinson’s disease patients with levodopa-induced dyskinesias</w:t>
      </w:r>
      <w:r w:rsidR="003D70B1">
        <w:rPr>
          <w:rFonts w:ascii="Times New Roman" w:hAnsi="Times New Roman" w:cs="Times New Roman"/>
          <w:b w:val="0"/>
          <w:color w:val="auto"/>
          <w:sz w:val="24"/>
          <w:szCs w:val="24"/>
          <w:lang w:val="en-US"/>
        </w:rPr>
        <w:t xml:space="preserve"> </w:t>
      </w:r>
      <w:r w:rsidR="003D70B1" w:rsidRPr="007654F6">
        <w:rPr>
          <w:rFonts w:ascii="Times New Roman" w:hAnsi="Times New Roman" w:cs="Times New Roman"/>
          <w:b w:val="0"/>
          <w:color w:val="auto"/>
          <w:sz w:val="24"/>
          <w:szCs w:val="24"/>
          <w:lang w:val="en-US"/>
        </w:rPr>
        <w:t>and stable response to levodopa.</w:t>
      </w:r>
      <w:bookmarkEnd w:id="1"/>
    </w:p>
    <w:tbl>
      <w:tblPr>
        <w:tblStyle w:val="TableGrid"/>
        <w:tblW w:w="8383" w:type="dxa"/>
        <w:tblLayout w:type="fixed"/>
        <w:tblLook w:val="04A0" w:firstRow="1" w:lastRow="0" w:firstColumn="1" w:lastColumn="0" w:noHBand="0" w:noVBand="1"/>
      </w:tblPr>
      <w:tblGrid>
        <w:gridCol w:w="2949"/>
        <w:gridCol w:w="1421"/>
        <w:gridCol w:w="1555"/>
        <w:gridCol w:w="1037"/>
        <w:gridCol w:w="1421"/>
      </w:tblGrid>
      <w:tr w:rsidR="003D70B1" w:rsidRPr="00CF300D" w14:paraId="70054D9B" w14:textId="77777777" w:rsidTr="003D70B1">
        <w:trPr>
          <w:trHeight w:val="497"/>
        </w:trPr>
        <w:tc>
          <w:tcPr>
            <w:tcW w:w="2949" w:type="dxa"/>
          </w:tcPr>
          <w:p w14:paraId="51228472" w14:textId="77777777" w:rsidR="003D70B1" w:rsidRPr="002C3E8E" w:rsidRDefault="003D70B1" w:rsidP="003D70B1">
            <w:pPr>
              <w:tabs>
                <w:tab w:val="left" w:pos="6804"/>
              </w:tabs>
              <w:spacing w:line="480" w:lineRule="auto"/>
              <w:rPr>
                <w:rFonts w:ascii="Times New Roman" w:hAnsi="Times New Roman" w:cs="Times New Roman"/>
                <w:b/>
              </w:rPr>
            </w:pPr>
            <w:r w:rsidRPr="002C3E8E">
              <w:rPr>
                <w:rFonts w:ascii="Times New Roman" w:hAnsi="Times New Roman" w:cs="Times New Roman"/>
                <w:b/>
              </w:rPr>
              <w:t> ROIs</w:t>
            </w:r>
            <w:r w:rsidRPr="002C3E8E">
              <w:rPr>
                <w:rFonts w:ascii="Times New Roman" w:hAnsi="Times New Roman" w:cs="Times New Roman"/>
                <w:b/>
                <w:vertAlign w:val="superscript"/>
              </w:rPr>
              <w:t>1</w:t>
            </w:r>
          </w:p>
        </w:tc>
        <w:tc>
          <w:tcPr>
            <w:tcW w:w="1421" w:type="dxa"/>
            <w:noWrap/>
            <w:hideMark/>
          </w:tcPr>
          <w:p w14:paraId="343FF889" w14:textId="77777777" w:rsidR="003D70B1" w:rsidRPr="0099634A" w:rsidRDefault="003D70B1" w:rsidP="003D70B1">
            <w:pPr>
              <w:tabs>
                <w:tab w:val="left" w:pos="6804"/>
              </w:tabs>
              <w:spacing w:line="480" w:lineRule="auto"/>
              <w:jc w:val="center"/>
              <w:rPr>
                <w:rFonts w:ascii="Times New Roman" w:hAnsi="Times New Roman" w:cs="Times New Roman"/>
                <w:b/>
                <w:bCs/>
              </w:rPr>
            </w:pPr>
            <w:r w:rsidRPr="0099634A">
              <w:rPr>
                <w:rFonts w:ascii="Times New Roman" w:hAnsi="Times New Roman" w:cs="Times New Roman"/>
                <w:b/>
                <w:bCs/>
              </w:rPr>
              <w:t>PD stable</w:t>
            </w:r>
            <w:r>
              <w:rPr>
                <w:rFonts w:ascii="Times New Roman" w:hAnsi="Times New Roman" w:cs="Times New Roman"/>
                <w:b/>
                <w:bCs/>
              </w:rPr>
              <w:t xml:space="preserve"> (n=12)</w:t>
            </w:r>
          </w:p>
        </w:tc>
        <w:tc>
          <w:tcPr>
            <w:tcW w:w="1555" w:type="dxa"/>
            <w:noWrap/>
            <w:hideMark/>
          </w:tcPr>
          <w:p w14:paraId="152E618F" w14:textId="77777777" w:rsidR="003D70B1" w:rsidRPr="00F722E5" w:rsidRDefault="003D70B1" w:rsidP="003D70B1">
            <w:pPr>
              <w:tabs>
                <w:tab w:val="left" w:pos="6804"/>
              </w:tabs>
              <w:spacing w:line="480" w:lineRule="auto"/>
              <w:jc w:val="center"/>
              <w:rPr>
                <w:rFonts w:ascii="Times New Roman" w:hAnsi="Times New Roman" w:cs="Times New Roman"/>
                <w:b/>
                <w:bCs/>
              </w:rPr>
            </w:pPr>
            <w:r w:rsidRPr="00F722E5">
              <w:rPr>
                <w:rFonts w:ascii="Times New Roman" w:hAnsi="Times New Roman" w:cs="Times New Roman"/>
                <w:b/>
                <w:bCs/>
              </w:rPr>
              <w:t>PD LIDs</w:t>
            </w:r>
            <w:r>
              <w:rPr>
                <w:rFonts w:ascii="Times New Roman" w:hAnsi="Times New Roman" w:cs="Times New Roman"/>
                <w:b/>
                <w:bCs/>
              </w:rPr>
              <w:t xml:space="preserve"> (n=12)</w:t>
            </w:r>
          </w:p>
        </w:tc>
        <w:tc>
          <w:tcPr>
            <w:tcW w:w="1037" w:type="dxa"/>
            <w:noWrap/>
            <w:hideMark/>
          </w:tcPr>
          <w:p w14:paraId="2F6170DC" w14:textId="77777777" w:rsidR="003D70B1" w:rsidRPr="007A0100" w:rsidRDefault="003D70B1" w:rsidP="003D70B1">
            <w:pPr>
              <w:tabs>
                <w:tab w:val="left" w:pos="6804"/>
              </w:tabs>
              <w:spacing w:line="480" w:lineRule="auto"/>
              <w:jc w:val="center"/>
              <w:rPr>
                <w:rFonts w:ascii="Times New Roman" w:hAnsi="Times New Roman" w:cs="Times New Roman"/>
                <w:b/>
                <w:bCs/>
              </w:rPr>
            </w:pPr>
            <w:r w:rsidRPr="007A0100">
              <w:rPr>
                <w:rFonts w:ascii="Times New Roman" w:hAnsi="Times New Roman" w:cs="Times New Roman"/>
                <w:b/>
                <w:bCs/>
                <w:i/>
                <w:iCs/>
              </w:rPr>
              <w:t xml:space="preserve">P </w:t>
            </w:r>
            <w:r w:rsidRPr="007A0100">
              <w:rPr>
                <w:rFonts w:ascii="Times New Roman" w:hAnsi="Times New Roman" w:cs="Times New Roman"/>
                <w:b/>
                <w:bCs/>
              </w:rPr>
              <w:t>value*</w:t>
            </w:r>
          </w:p>
        </w:tc>
        <w:tc>
          <w:tcPr>
            <w:tcW w:w="1421" w:type="dxa"/>
            <w:noWrap/>
            <w:hideMark/>
          </w:tcPr>
          <w:p w14:paraId="48336D75" w14:textId="77777777" w:rsidR="003D70B1" w:rsidRDefault="003D70B1" w:rsidP="003D70B1">
            <w:pPr>
              <w:tabs>
                <w:tab w:val="left" w:pos="549"/>
                <w:tab w:val="left" w:pos="6804"/>
              </w:tabs>
              <w:spacing w:line="480" w:lineRule="auto"/>
              <w:ind w:right="-1733"/>
              <w:rPr>
                <w:rFonts w:ascii="Times New Roman" w:hAnsi="Times New Roman" w:cs="Times New Roman"/>
                <w:b/>
                <w:bCs/>
              </w:rPr>
            </w:pPr>
            <w:r w:rsidRPr="007A0100">
              <w:rPr>
                <w:rFonts w:ascii="Times New Roman" w:hAnsi="Times New Roman" w:cs="Times New Roman"/>
                <w:b/>
                <w:bCs/>
              </w:rPr>
              <w:t>% change</w:t>
            </w:r>
          </w:p>
          <w:p w14:paraId="77FAEA8E" w14:textId="77777777" w:rsidR="003D70B1" w:rsidRPr="007A0100" w:rsidRDefault="003D70B1" w:rsidP="003D70B1">
            <w:pPr>
              <w:tabs>
                <w:tab w:val="left" w:pos="549"/>
                <w:tab w:val="left" w:pos="6804"/>
              </w:tabs>
              <w:spacing w:line="480" w:lineRule="auto"/>
              <w:ind w:right="-1733"/>
              <w:rPr>
                <w:rFonts w:ascii="Times New Roman" w:hAnsi="Times New Roman" w:cs="Times New Roman"/>
                <w:b/>
                <w:bCs/>
              </w:rPr>
            </w:pPr>
            <w:r>
              <w:rPr>
                <w:rFonts w:ascii="Times New Roman" w:hAnsi="Times New Roman" w:cs="Times New Roman"/>
                <w:b/>
                <w:bCs/>
              </w:rPr>
              <w:t>in PD LIDs</w:t>
            </w:r>
          </w:p>
        </w:tc>
      </w:tr>
      <w:tr w:rsidR="003D70B1" w:rsidRPr="00CF300D" w14:paraId="52CFE1E7" w14:textId="77777777" w:rsidTr="003D70B1">
        <w:trPr>
          <w:trHeight w:val="497"/>
        </w:trPr>
        <w:tc>
          <w:tcPr>
            <w:tcW w:w="2949" w:type="dxa"/>
          </w:tcPr>
          <w:p w14:paraId="167F359D" w14:textId="77777777" w:rsidR="003D70B1" w:rsidRPr="007654F6" w:rsidRDefault="003D70B1" w:rsidP="003D70B1">
            <w:pPr>
              <w:tabs>
                <w:tab w:val="left" w:pos="6804"/>
              </w:tabs>
              <w:spacing w:line="480" w:lineRule="auto"/>
              <w:rPr>
                <w:rFonts w:ascii="Times New Roman" w:hAnsi="Times New Roman" w:cs="Times New Roman"/>
                <w:b/>
                <w:bCs/>
              </w:rPr>
            </w:pPr>
            <w:r w:rsidRPr="00CF300D">
              <w:rPr>
                <w:rFonts w:ascii="Times New Roman" w:hAnsi="Times New Roman" w:cs="Times New Roman"/>
              </w:rPr>
              <w:t xml:space="preserve">Striatum </w:t>
            </w:r>
            <w:r w:rsidRPr="00CF300D">
              <w:rPr>
                <w:rFonts w:ascii="Times New Roman" w:hAnsi="Times New Roman" w:cs="Times New Roman"/>
                <w:lang w:val="en-US"/>
              </w:rPr>
              <w:t>(mean±SD)</w:t>
            </w:r>
          </w:p>
        </w:tc>
        <w:tc>
          <w:tcPr>
            <w:tcW w:w="1421" w:type="dxa"/>
            <w:noWrap/>
            <w:hideMark/>
          </w:tcPr>
          <w:p w14:paraId="293876B8"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1.48 (±0.24)</w:t>
            </w:r>
          </w:p>
        </w:tc>
        <w:tc>
          <w:tcPr>
            <w:tcW w:w="1555" w:type="dxa"/>
            <w:noWrap/>
            <w:hideMark/>
          </w:tcPr>
          <w:p w14:paraId="762F2A89"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1.31 (±0.18)</w:t>
            </w:r>
          </w:p>
        </w:tc>
        <w:tc>
          <w:tcPr>
            <w:tcW w:w="1037" w:type="dxa"/>
            <w:noWrap/>
            <w:hideMark/>
          </w:tcPr>
          <w:p w14:paraId="0A7FC4BB"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&gt;0.10</w:t>
            </w:r>
          </w:p>
        </w:tc>
        <w:tc>
          <w:tcPr>
            <w:tcW w:w="1421" w:type="dxa"/>
            <w:noWrap/>
            <w:hideMark/>
          </w:tcPr>
          <w:p w14:paraId="62AAF041" w14:textId="77777777" w:rsidR="003D70B1" w:rsidRPr="001D5D1C" w:rsidRDefault="003D70B1" w:rsidP="003D70B1">
            <w:pPr>
              <w:tabs>
                <w:tab w:val="left" w:pos="6804"/>
              </w:tabs>
              <w:spacing w:line="480" w:lineRule="auto"/>
              <w:jc w:val="center"/>
              <w:rPr>
                <w:rFonts w:ascii="Times New Roman" w:hAnsi="Times New Roman" w:cs="Times New Roman"/>
              </w:rPr>
            </w:pPr>
            <w:r w:rsidRPr="001D5D1C">
              <w:rPr>
                <w:rFonts w:ascii="Times New Roman" w:hAnsi="Times New Roman" w:cs="Times New Roman"/>
              </w:rPr>
              <w:t>−11.7%</w:t>
            </w:r>
          </w:p>
        </w:tc>
      </w:tr>
      <w:tr w:rsidR="003D70B1" w:rsidRPr="00CF300D" w14:paraId="5B0CB919" w14:textId="77777777" w:rsidTr="003D70B1">
        <w:trPr>
          <w:trHeight w:val="497"/>
        </w:trPr>
        <w:tc>
          <w:tcPr>
            <w:tcW w:w="2949" w:type="dxa"/>
          </w:tcPr>
          <w:p w14:paraId="0C1A312A" w14:textId="77777777" w:rsidR="003D70B1" w:rsidRPr="007654F6" w:rsidRDefault="003D70B1" w:rsidP="003D70B1">
            <w:pPr>
              <w:tabs>
                <w:tab w:val="left" w:pos="6804"/>
              </w:tabs>
              <w:spacing w:line="480" w:lineRule="auto"/>
              <w:rPr>
                <w:rFonts w:ascii="Times New Roman" w:hAnsi="Times New Roman" w:cs="Times New Roman"/>
                <w:b/>
                <w:bCs/>
              </w:rPr>
            </w:pPr>
            <w:r w:rsidRPr="00CF300D">
              <w:rPr>
                <w:rFonts w:ascii="Times New Roman" w:hAnsi="Times New Roman" w:cs="Times New Roman"/>
                <w:lang w:val="en-US"/>
              </w:rPr>
              <w:t>Caudate (mean±SD)</w:t>
            </w:r>
          </w:p>
        </w:tc>
        <w:tc>
          <w:tcPr>
            <w:tcW w:w="1421" w:type="dxa"/>
            <w:noWrap/>
            <w:hideMark/>
          </w:tcPr>
          <w:p w14:paraId="63DCCE5B"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1.08 (±0.19)</w:t>
            </w:r>
          </w:p>
        </w:tc>
        <w:tc>
          <w:tcPr>
            <w:tcW w:w="1555" w:type="dxa"/>
            <w:noWrap/>
            <w:hideMark/>
          </w:tcPr>
          <w:p w14:paraId="28E55872"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0.88 (±0.10)</w:t>
            </w:r>
          </w:p>
        </w:tc>
        <w:tc>
          <w:tcPr>
            <w:tcW w:w="1037" w:type="dxa"/>
            <w:noWrap/>
            <w:hideMark/>
          </w:tcPr>
          <w:p w14:paraId="017EC9A9" w14:textId="77777777" w:rsidR="003D70B1" w:rsidRPr="007654F6" w:rsidRDefault="003D70B1" w:rsidP="003D70B1">
            <w:pPr>
              <w:tabs>
                <w:tab w:val="left" w:pos="6804"/>
              </w:tabs>
              <w:spacing w:line="480" w:lineRule="auto"/>
              <w:jc w:val="center"/>
              <w:rPr>
                <w:rFonts w:ascii="Times New Roman" w:hAnsi="Times New Roman" w:cs="Times New Roman"/>
                <w:b/>
              </w:rPr>
            </w:pPr>
            <w:r w:rsidRPr="00CF300D">
              <w:rPr>
                <w:rFonts w:ascii="Times New Roman" w:hAnsi="Times New Roman" w:cs="Times New Roman"/>
                <w:b/>
              </w:rPr>
              <w:t>0.045</w:t>
            </w:r>
          </w:p>
        </w:tc>
        <w:tc>
          <w:tcPr>
            <w:tcW w:w="1421" w:type="dxa"/>
            <w:noWrap/>
            <w:hideMark/>
          </w:tcPr>
          <w:p w14:paraId="780B0D5E" w14:textId="77777777" w:rsidR="003D70B1" w:rsidRPr="007654F6" w:rsidRDefault="003D70B1" w:rsidP="003D70B1">
            <w:pPr>
              <w:tabs>
                <w:tab w:val="left" w:pos="6804"/>
              </w:tabs>
              <w:spacing w:line="480" w:lineRule="auto"/>
              <w:jc w:val="center"/>
              <w:rPr>
                <w:rFonts w:ascii="Times New Roman" w:hAnsi="Times New Roman" w:cs="Times New Roman"/>
                <w:b/>
              </w:rPr>
            </w:pPr>
            <w:r w:rsidRPr="00CF300D">
              <w:rPr>
                <w:rFonts w:ascii="Times New Roman" w:hAnsi="Times New Roman" w:cs="Times New Roman"/>
              </w:rPr>
              <w:t>−</w:t>
            </w:r>
            <w:r w:rsidRPr="00CF300D">
              <w:rPr>
                <w:rFonts w:ascii="Times New Roman" w:hAnsi="Times New Roman" w:cs="Times New Roman"/>
                <w:b/>
              </w:rPr>
              <w:t>18.6%</w:t>
            </w:r>
          </w:p>
        </w:tc>
      </w:tr>
      <w:tr w:rsidR="003D70B1" w:rsidRPr="00CF300D" w14:paraId="2CBFB9D4" w14:textId="77777777" w:rsidTr="003D70B1">
        <w:trPr>
          <w:trHeight w:val="497"/>
        </w:trPr>
        <w:tc>
          <w:tcPr>
            <w:tcW w:w="2949" w:type="dxa"/>
          </w:tcPr>
          <w:p w14:paraId="1225D352" w14:textId="77777777" w:rsidR="003D70B1" w:rsidRPr="007654F6" w:rsidRDefault="003D70B1" w:rsidP="003D70B1">
            <w:pPr>
              <w:tabs>
                <w:tab w:val="left" w:pos="6804"/>
              </w:tabs>
              <w:spacing w:line="480" w:lineRule="auto"/>
              <w:rPr>
                <w:rFonts w:ascii="Times New Roman" w:hAnsi="Times New Roman" w:cs="Times New Roman"/>
                <w:b/>
                <w:bCs/>
              </w:rPr>
            </w:pPr>
            <w:r w:rsidRPr="00CF300D">
              <w:rPr>
                <w:rFonts w:ascii="Times New Roman" w:hAnsi="Times New Roman" w:cs="Times New Roman"/>
                <w:lang w:val="en-US"/>
              </w:rPr>
              <w:t>Putamen (mean±SD)</w:t>
            </w:r>
          </w:p>
        </w:tc>
        <w:tc>
          <w:tcPr>
            <w:tcW w:w="1421" w:type="dxa"/>
            <w:noWrap/>
            <w:hideMark/>
          </w:tcPr>
          <w:p w14:paraId="50289F18"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1.74 (±0.31)</w:t>
            </w:r>
          </w:p>
        </w:tc>
        <w:tc>
          <w:tcPr>
            <w:tcW w:w="1555" w:type="dxa"/>
            <w:noWrap/>
            <w:hideMark/>
          </w:tcPr>
          <w:p w14:paraId="416C3F4C"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1.55 (±0.23)</w:t>
            </w:r>
          </w:p>
        </w:tc>
        <w:tc>
          <w:tcPr>
            <w:tcW w:w="1037" w:type="dxa"/>
            <w:noWrap/>
            <w:hideMark/>
          </w:tcPr>
          <w:p w14:paraId="70C52FCE"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&gt;0.10</w:t>
            </w:r>
          </w:p>
        </w:tc>
        <w:tc>
          <w:tcPr>
            <w:tcW w:w="1421" w:type="dxa"/>
            <w:noWrap/>
            <w:hideMark/>
          </w:tcPr>
          <w:p w14:paraId="57C7F2F0" w14:textId="77777777" w:rsidR="003D70B1" w:rsidRPr="001D5D1C" w:rsidRDefault="003D70B1" w:rsidP="003D70B1">
            <w:pPr>
              <w:tabs>
                <w:tab w:val="left" w:pos="6804"/>
              </w:tabs>
              <w:spacing w:line="480" w:lineRule="auto"/>
              <w:jc w:val="center"/>
              <w:rPr>
                <w:rFonts w:ascii="Times New Roman" w:hAnsi="Times New Roman" w:cs="Times New Roman"/>
              </w:rPr>
            </w:pPr>
            <w:r w:rsidRPr="008801A6">
              <w:rPr>
                <w:rFonts w:ascii="Times New Roman" w:hAnsi="Times New Roman" w:cs="Times New Roman"/>
              </w:rPr>
              <w:t>−</w:t>
            </w:r>
            <w:r w:rsidRPr="001D5D1C">
              <w:rPr>
                <w:rFonts w:ascii="Times New Roman" w:hAnsi="Times New Roman" w:cs="Times New Roman"/>
              </w:rPr>
              <w:t>10.9%</w:t>
            </w:r>
          </w:p>
        </w:tc>
      </w:tr>
      <w:tr w:rsidR="003D70B1" w:rsidRPr="00CF300D" w14:paraId="5FD8F99B" w14:textId="77777777" w:rsidTr="003D70B1">
        <w:trPr>
          <w:trHeight w:val="497"/>
        </w:trPr>
        <w:tc>
          <w:tcPr>
            <w:tcW w:w="2949" w:type="dxa"/>
          </w:tcPr>
          <w:p w14:paraId="5248CF49" w14:textId="77777777" w:rsidR="003D70B1" w:rsidRPr="007654F6" w:rsidRDefault="003D70B1" w:rsidP="003D70B1">
            <w:pPr>
              <w:tabs>
                <w:tab w:val="left" w:pos="6804"/>
              </w:tabs>
              <w:spacing w:line="480" w:lineRule="auto"/>
              <w:rPr>
                <w:rFonts w:ascii="Times New Roman" w:hAnsi="Times New Roman" w:cs="Times New Roman"/>
                <w:b/>
                <w:bCs/>
              </w:rPr>
            </w:pPr>
            <w:r w:rsidRPr="00CF300D">
              <w:rPr>
                <w:rFonts w:ascii="Times New Roman" w:hAnsi="Times New Roman" w:cs="Times New Roman"/>
                <w:lang w:val="en-US"/>
              </w:rPr>
              <w:t>Ventral Striatum (mean±SD)</w:t>
            </w:r>
          </w:p>
        </w:tc>
        <w:tc>
          <w:tcPr>
            <w:tcW w:w="1421" w:type="dxa"/>
            <w:noWrap/>
            <w:hideMark/>
          </w:tcPr>
          <w:p w14:paraId="4E44F21E"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1.23 (±0.21)</w:t>
            </w:r>
          </w:p>
        </w:tc>
        <w:tc>
          <w:tcPr>
            <w:tcW w:w="1555" w:type="dxa"/>
            <w:noWrap/>
            <w:hideMark/>
          </w:tcPr>
          <w:p w14:paraId="4609577E"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1.04 (±0.19)</w:t>
            </w:r>
          </w:p>
        </w:tc>
        <w:tc>
          <w:tcPr>
            <w:tcW w:w="1037" w:type="dxa"/>
            <w:noWrap/>
            <w:hideMark/>
          </w:tcPr>
          <w:p w14:paraId="6F6E5A82"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&gt;0.10</w:t>
            </w:r>
          </w:p>
        </w:tc>
        <w:tc>
          <w:tcPr>
            <w:tcW w:w="1421" w:type="dxa"/>
            <w:noWrap/>
            <w:hideMark/>
          </w:tcPr>
          <w:p w14:paraId="77930FFB" w14:textId="77777777" w:rsidR="003D70B1" w:rsidRPr="001D5D1C" w:rsidRDefault="003D70B1" w:rsidP="003D70B1">
            <w:pPr>
              <w:tabs>
                <w:tab w:val="left" w:pos="6804"/>
              </w:tabs>
              <w:spacing w:line="480" w:lineRule="auto"/>
              <w:jc w:val="center"/>
              <w:rPr>
                <w:rFonts w:ascii="Times New Roman" w:hAnsi="Times New Roman" w:cs="Times New Roman"/>
              </w:rPr>
            </w:pPr>
            <w:r w:rsidRPr="008801A6">
              <w:rPr>
                <w:rFonts w:ascii="Times New Roman" w:hAnsi="Times New Roman" w:cs="Times New Roman"/>
              </w:rPr>
              <w:t>−</w:t>
            </w:r>
            <w:r w:rsidRPr="001D5D1C">
              <w:rPr>
                <w:rFonts w:ascii="Times New Roman" w:hAnsi="Times New Roman" w:cs="Times New Roman"/>
              </w:rPr>
              <w:t>15.4%</w:t>
            </w:r>
          </w:p>
        </w:tc>
      </w:tr>
      <w:tr w:rsidR="003D70B1" w:rsidRPr="00CF300D" w14:paraId="6C8725DD" w14:textId="77777777" w:rsidTr="003D70B1">
        <w:trPr>
          <w:trHeight w:val="497"/>
        </w:trPr>
        <w:tc>
          <w:tcPr>
            <w:tcW w:w="2949" w:type="dxa"/>
          </w:tcPr>
          <w:p w14:paraId="21EC9F07" w14:textId="77777777" w:rsidR="003D70B1" w:rsidRPr="007654F6" w:rsidRDefault="003D70B1" w:rsidP="003D70B1">
            <w:pPr>
              <w:tabs>
                <w:tab w:val="left" w:pos="6804"/>
              </w:tabs>
              <w:spacing w:line="480" w:lineRule="auto"/>
              <w:rPr>
                <w:rFonts w:ascii="Times New Roman" w:hAnsi="Times New Roman" w:cs="Times New Roman"/>
                <w:b/>
                <w:bCs/>
              </w:rPr>
            </w:pPr>
            <w:r w:rsidRPr="00CF300D">
              <w:rPr>
                <w:rFonts w:ascii="Times New Roman" w:hAnsi="Times New Roman" w:cs="Times New Roman"/>
                <w:lang w:val="en-US"/>
              </w:rPr>
              <w:t>Globus Pallidus (mean±SD)</w:t>
            </w:r>
          </w:p>
        </w:tc>
        <w:tc>
          <w:tcPr>
            <w:tcW w:w="1421" w:type="dxa"/>
            <w:noWrap/>
            <w:hideMark/>
          </w:tcPr>
          <w:p w14:paraId="0D9DA2B7"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1.60 (±0.24)</w:t>
            </w:r>
          </w:p>
        </w:tc>
        <w:tc>
          <w:tcPr>
            <w:tcW w:w="1555" w:type="dxa"/>
            <w:noWrap/>
            <w:hideMark/>
          </w:tcPr>
          <w:p w14:paraId="737811C8"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1.40 (±0.21)</w:t>
            </w:r>
          </w:p>
        </w:tc>
        <w:tc>
          <w:tcPr>
            <w:tcW w:w="1037" w:type="dxa"/>
            <w:noWrap/>
            <w:hideMark/>
          </w:tcPr>
          <w:p w14:paraId="604F148C"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&gt;0.10</w:t>
            </w:r>
          </w:p>
        </w:tc>
        <w:tc>
          <w:tcPr>
            <w:tcW w:w="1421" w:type="dxa"/>
            <w:noWrap/>
            <w:hideMark/>
          </w:tcPr>
          <w:p w14:paraId="54D43878" w14:textId="77777777" w:rsidR="003D70B1" w:rsidRPr="001D5D1C" w:rsidRDefault="003D70B1" w:rsidP="003D70B1">
            <w:pPr>
              <w:tabs>
                <w:tab w:val="left" w:pos="6804"/>
              </w:tabs>
              <w:spacing w:line="480" w:lineRule="auto"/>
              <w:jc w:val="center"/>
              <w:rPr>
                <w:rFonts w:ascii="Times New Roman" w:hAnsi="Times New Roman" w:cs="Times New Roman"/>
              </w:rPr>
            </w:pPr>
            <w:r w:rsidRPr="008801A6">
              <w:rPr>
                <w:rFonts w:ascii="Times New Roman" w:hAnsi="Times New Roman" w:cs="Times New Roman"/>
              </w:rPr>
              <w:t>−</w:t>
            </w:r>
            <w:r w:rsidRPr="001D5D1C">
              <w:rPr>
                <w:rFonts w:ascii="Times New Roman" w:hAnsi="Times New Roman" w:cs="Times New Roman"/>
              </w:rPr>
              <w:t>12.4%</w:t>
            </w:r>
          </w:p>
        </w:tc>
      </w:tr>
      <w:tr w:rsidR="003D70B1" w:rsidRPr="00CF300D" w14:paraId="200CAFDB" w14:textId="77777777" w:rsidTr="003D70B1">
        <w:trPr>
          <w:trHeight w:val="497"/>
        </w:trPr>
        <w:tc>
          <w:tcPr>
            <w:tcW w:w="2949" w:type="dxa"/>
          </w:tcPr>
          <w:p w14:paraId="17C47A10" w14:textId="77777777" w:rsidR="003D70B1" w:rsidRPr="007654F6" w:rsidRDefault="003D70B1" w:rsidP="003D70B1">
            <w:pPr>
              <w:tabs>
                <w:tab w:val="left" w:pos="6804"/>
              </w:tabs>
              <w:spacing w:line="480" w:lineRule="auto"/>
              <w:rPr>
                <w:rFonts w:ascii="Times New Roman" w:hAnsi="Times New Roman" w:cs="Times New Roman"/>
                <w:b/>
                <w:bCs/>
              </w:rPr>
            </w:pPr>
            <w:r w:rsidRPr="00CF300D">
              <w:rPr>
                <w:rFonts w:ascii="Times New Roman" w:hAnsi="Times New Roman" w:cs="Times New Roman"/>
                <w:lang w:val="en-US"/>
              </w:rPr>
              <w:t>Globus Pallidus external (mean±SD)</w:t>
            </w:r>
          </w:p>
        </w:tc>
        <w:tc>
          <w:tcPr>
            <w:tcW w:w="1421" w:type="dxa"/>
            <w:noWrap/>
            <w:hideMark/>
          </w:tcPr>
          <w:p w14:paraId="678B6524"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1.82 (±0.24)</w:t>
            </w:r>
          </w:p>
        </w:tc>
        <w:tc>
          <w:tcPr>
            <w:tcW w:w="1555" w:type="dxa"/>
            <w:noWrap/>
            <w:hideMark/>
          </w:tcPr>
          <w:p w14:paraId="69B41228"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1.63 (±0.23)</w:t>
            </w:r>
          </w:p>
        </w:tc>
        <w:tc>
          <w:tcPr>
            <w:tcW w:w="1037" w:type="dxa"/>
            <w:noWrap/>
            <w:hideMark/>
          </w:tcPr>
          <w:p w14:paraId="3C2980F1"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&gt;0.10</w:t>
            </w:r>
          </w:p>
        </w:tc>
        <w:tc>
          <w:tcPr>
            <w:tcW w:w="1421" w:type="dxa"/>
            <w:noWrap/>
            <w:hideMark/>
          </w:tcPr>
          <w:p w14:paraId="1F44736C" w14:textId="77777777" w:rsidR="003D70B1" w:rsidRPr="00F722E5" w:rsidRDefault="003D70B1" w:rsidP="003D70B1">
            <w:pPr>
              <w:tabs>
                <w:tab w:val="left" w:pos="6804"/>
              </w:tabs>
              <w:spacing w:line="480" w:lineRule="auto"/>
              <w:jc w:val="center"/>
              <w:rPr>
                <w:rFonts w:ascii="Times New Roman" w:hAnsi="Times New Roman" w:cs="Times New Roman"/>
              </w:rPr>
            </w:pPr>
            <w:r w:rsidRPr="008801A6">
              <w:rPr>
                <w:rFonts w:ascii="Times New Roman" w:hAnsi="Times New Roman" w:cs="Times New Roman"/>
              </w:rPr>
              <w:t>−</w:t>
            </w:r>
            <w:r w:rsidRPr="001D5D1C">
              <w:rPr>
                <w:rFonts w:ascii="Times New Roman" w:hAnsi="Times New Roman" w:cs="Times New Roman"/>
              </w:rPr>
              <w:t>10.8%</w:t>
            </w:r>
          </w:p>
        </w:tc>
      </w:tr>
      <w:tr w:rsidR="003D70B1" w:rsidRPr="00CF300D" w14:paraId="372707AF" w14:textId="77777777" w:rsidTr="003D70B1">
        <w:trPr>
          <w:trHeight w:val="497"/>
        </w:trPr>
        <w:tc>
          <w:tcPr>
            <w:tcW w:w="2949" w:type="dxa"/>
          </w:tcPr>
          <w:p w14:paraId="21C33230" w14:textId="77777777" w:rsidR="003D70B1" w:rsidRPr="007654F6" w:rsidRDefault="003D70B1" w:rsidP="003D70B1">
            <w:pPr>
              <w:tabs>
                <w:tab w:val="left" w:pos="6804"/>
              </w:tabs>
              <w:spacing w:line="480" w:lineRule="auto"/>
              <w:rPr>
                <w:rFonts w:ascii="Times New Roman" w:hAnsi="Times New Roman" w:cs="Times New Roman"/>
                <w:b/>
                <w:bCs/>
              </w:rPr>
            </w:pPr>
            <w:r w:rsidRPr="00CF300D">
              <w:rPr>
                <w:rFonts w:ascii="Times New Roman" w:hAnsi="Times New Roman" w:cs="Times New Roman"/>
                <w:lang w:val="en-US"/>
              </w:rPr>
              <w:t>Globus Pallidus internal (mean±SD)</w:t>
            </w:r>
          </w:p>
        </w:tc>
        <w:tc>
          <w:tcPr>
            <w:tcW w:w="1421" w:type="dxa"/>
            <w:noWrap/>
            <w:hideMark/>
          </w:tcPr>
          <w:p w14:paraId="586915CE"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1.35 (±0.24)</w:t>
            </w:r>
          </w:p>
        </w:tc>
        <w:tc>
          <w:tcPr>
            <w:tcW w:w="1555" w:type="dxa"/>
            <w:noWrap/>
            <w:hideMark/>
          </w:tcPr>
          <w:p w14:paraId="52766CC8"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1.15 (±0.17)</w:t>
            </w:r>
          </w:p>
        </w:tc>
        <w:tc>
          <w:tcPr>
            <w:tcW w:w="1037" w:type="dxa"/>
            <w:noWrap/>
            <w:hideMark/>
          </w:tcPr>
          <w:p w14:paraId="2438128B"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&gt;0.10</w:t>
            </w:r>
          </w:p>
        </w:tc>
        <w:tc>
          <w:tcPr>
            <w:tcW w:w="1421" w:type="dxa"/>
            <w:noWrap/>
            <w:hideMark/>
          </w:tcPr>
          <w:p w14:paraId="162C28D4" w14:textId="77777777" w:rsidR="003D70B1" w:rsidRPr="00F722E5" w:rsidRDefault="003D70B1" w:rsidP="003D70B1">
            <w:pPr>
              <w:tabs>
                <w:tab w:val="left" w:pos="6804"/>
              </w:tabs>
              <w:spacing w:line="480" w:lineRule="auto"/>
              <w:jc w:val="center"/>
              <w:rPr>
                <w:rFonts w:ascii="Times New Roman" w:hAnsi="Times New Roman" w:cs="Times New Roman"/>
              </w:rPr>
            </w:pPr>
            <w:r w:rsidRPr="008801A6">
              <w:rPr>
                <w:rFonts w:ascii="Times New Roman" w:hAnsi="Times New Roman" w:cs="Times New Roman"/>
              </w:rPr>
              <w:t>−</w:t>
            </w:r>
            <w:r w:rsidRPr="001D5D1C">
              <w:rPr>
                <w:rFonts w:ascii="Times New Roman" w:hAnsi="Times New Roman" w:cs="Times New Roman"/>
              </w:rPr>
              <w:t>15.0</w:t>
            </w:r>
            <w:r w:rsidRPr="00F722E5">
              <w:rPr>
                <w:rFonts w:ascii="Times New Roman" w:hAnsi="Times New Roman" w:cs="Times New Roman"/>
              </w:rPr>
              <w:t>%</w:t>
            </w:r>
          </w:p>
        </w:tc>
      </w:tr>
      <w:tr w:rsidR="003D70B1" w:rsidRPr="00CF300D" w14:paraId="1392D3A9" w14:textId="77777777" w:rsidTr="003D70B1">
        <w:trPr>
          <w:trHeight w:val="497"/>
        </w:trPr>
        <w:tc>
          <w:tcPr>
            <w:tcW w:w="2949" w:type="dxa"/>
          </w:tcPr>
          <w:p w14:paraId="6F5EA707" w14:textId="77777777" w:rsidR="003D70B1" w:rsidRPr="007654F6" w:rsidRDefault="003D70B1" w:rsidP="003D70B1">
            <w:pPr>
              <w:tabs>
                <w:tab w:val="left" w:pos="6804"/>
              </w:tabs>
              <w:spacing w:line="480" w:lineRule="auto"/>
              <w:rPr>
                <w:rFonts w:ascii="Times New Roman" w:hAnsi="Times New Roman" w:cs="Times New Roman"/>
                <w:b/>
                <w:bCs/>
              </w:rPr>
            </w:pPr>
            <w:r w:rsidRPr="00CF300D">
              <w:rPr>
                <w:rFonts w:ascii="Times New Roman" w:hAnsi="Times New Roman" w:cs="Times New Roman"/>
                <w:lang w:val="en-US"/>
              </w:rPr>
              <w:t>Substantia Nigra (mean±SD)</w:t>
            </w:r>
          </w:p>
        </w:tc>
        <w:tc>
          <w:tcPr>
            <w:tcW w:w="1421" w:type="dxa"/>
            <w:noWrap/>
            <w:hideMark/>
          </w:tcPr>
          <w:p w14:paraId="1D3AAB4F" w14:textId="77777777" w:rsidR="003D70B1" w:rsidRPr="007654F6" w:rsidRDefault="003D70B1" w:rsidP="003D70B1">
            <w:pPr>
              <w:tabs>
                <w:tab w:val="left" w:pos="6804"/>
              </w:tabs>
              <w:spacing w:line="480" w:lineRule="auto"/>
              <w:jc w:val="center"/>
              <w:rPr>
                <w:rFonts w:ascii="Times New Roman" w:hAnsi="Times New Roman" w:cs="Times New Roman"/>
                <w:bCs/>
              </w:rPr>
            </w:pPr>
            <w:r w:rsidRPr="00CF300D">
              <w:rPr>
                <w:rFonts w:ascii="Times New Roman" w:hAnsi="Times New Roman" w:cs="Times New Roman"/>
                <w:bCs/>
              </w:rPr>
              <w:t>0.67 (±0.15)</w:t>
            </w:r>
          </w:p>
        </w:tc>
        <w:tc>
          <w:tcPr>
            <w:tcW w:w="1555" w:type="dxa"/>
            <w:noWrap/>
            <w:hideMark/>
          </w:tcPr>
          <w:p w14:paraId="6ECAC199" w14:textId="77777777" w:rsidR="003D70B1" w:rsidRPr="007654F6" w:rsidRDefault="003D70B1" w:rsidP="003D70B1">
            <w:pPr>
              <w:tabs>
                <w:tab w:val="left" w:pos="6804"/>
              </w:tabs>
              <w:spacing w:line="480" w:lineRule="auto"/>
              <w:jc w:val="center"/>
              <w:rPr>
                <w:rFonts w:ascii="Times New Roman" w:hAnsi="Times New Roman" w:cs="Times New Roman"/>
                <w:bCs/>
              </w:rPr>
            </w:pPr>
            <w:r w:rsidRPr="00CF300D">
              <w:rPr>
                <w:rFonts w:ascii="Times New Roman" w:hAnsi="Times New Roman" w:cs="Times New Roman"/>
                <w:bCs/>
              </w:rPr>
              <w:t>0.44 (±0.11)</w:t>
            </w:r>
          </w:p>
        </w:tc>
        <w:tc>
          <w:tcPr>
            <w:tcW w:w="1037" w:type="dxa"/>
            <w:noWrap/>
            <w:hideMark/>
          </w:tcPr>
          <w:p w14:paraId="73720ADB" w14:textId="77777777" w:rsidR="003D70B1" w:rsidRPr="007654F6" w:rsidRDefault="003D70B1" w:rsidP="003D70B1">
            <w:pPr>
              <w:tabs>
                <w:tab w:val="left" w:pos="6804"/>
              </w:tabs>
              <w:spacing w:line="480" w:lineRule="auto"/>
              <w:jc w:val="center"/>
              <w:rPr>
                <w:rFonts w:ascii="Times New Roman" w:hAnsi="Times New Roman" w:cs="Times New Roman"/>
                <w:b/>
                <w:bCs/>
              </w:rPr>
            </w:pPr>
            <w:r w:rsidRPr="00CF300D">
              <w:rPr>
                <w:rFonts w:ascii="Times New Roman" w:hAnsi="Times New Roman" w:cs="Times New Roman"/>
                <w:b/>
                <w:bCs/>
              </w:rPr>
              <w:t>&lt;0.001</w:t>
            </w:r>
          </w:p>
        </w:tc>
        <w:tc>
          <w:tcPr>
            <w:tcW w:w="1421" w:type="dxa"/>
            <w:noWrap/>
            <w:hideMark/>
          </w:tcPr>
          <w:p w14:paraId="7917728F" w14:textId="77777777" w:rsidR="003D70B1" w:rsidRPr="007654F6" w:rsidRDefault="003D70B1" w:rsidP="003D70B1">
            <w:pPr>
              <w:tabs>
                <w:tab w:val="left" w:pos="6804"/>
              </w:tabs>
              <w:spacing w:line="480" w:lineRule="auto"/>
              <w:jc w:val="center"/>
              <w:rPr>
                <w:rFonts w:ascii="Times New Roman" w:hAnsi="Times New Roman" w:cs="Times New Roman"/>
                <w:b/>
                <w:bCs/>
              </w:rPr>
            </w:pPr>
            <w:r w:rsidRPr="00CF300D">
              <w:rPr>
                <w:rFonts w:ascii="Times New Roman" w:hAnsi="Times New Roman" w:cs="Times New Roman"/>
              </w:rPr>
              <w:t>−</w:t>
            </w:r>
            <w:r w:rsidRPr="00CF300D">
              <w:rPr>
                <w:rFonts w:ascii="Times New Roman" w:hAnsi="Times New Roman" w:cs="Times New Roman"/>
                <w:b/>
                <w:bCs/>
              </w:rPr>
              <w:t>33.5%</w:t>
            </w:r>
          </w:p>
        </w:tc>
      </w:tr>
      <w:tr w:rsidR="003D70B1" w:rsidRPr="00CF300D" w14:paraId="73070A20" w14:textId="77777777" w:rsidTr="003D70B1">
        <w:trPr>
          <w:trHeight w:val="497"/>
        </w:trPr>
        <w:tc>
          <w:tcPr>
            <w:tcW w:w="2949" w:type="dxa"/>
          </w:tcPr>
          <w:p w14:paraId="02CEA9AE" w14:textId="77777777" w:rsidR="003D70B1" w:rsidRPr="007654F6" w:rsidRDefault="003D70B1" w:rsidP="003D70B1">
            <w:pPr>
              <w:tabs>
                <w:tab w:val="left" w:pos="6804"/>
              </w:tabs>
              <w:spacing w:line="480" w:lineRule="auto"/>
              <w:rPr>
                <w:rFonts w:ascii="Times New Roman" w:hAnsi="Times New Roman" w:cs="Times New Roman"/>
                <w:b/>
                <w:bCs/>
              </w:rPr>
            </w:pPr>
            <w:r w:rsidRPr="00CF300D">
              <w:rPr>
                <w:rFonts w:ascii="Times New Roman" w:hAnsi="Times New Roman" w:cs="Times New Roman"/>
                <w:lang w:val="en-US"/>
              </w:rPr>
              <w:t>Motor thalamic nuclei (mean±SD)</w:t>
            </w:r>
          </w:p>
        </w:tc>
        <w:tc>
          <w:tcPr>
            <w:tcW w:w="1421" w:type="dxa"/>
            <w:noWrap/>
            <w:hideMark/>
          </w:tcPr>
          <w:p w14:paraId="4D501CED"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0.46 (±0.11)</w:t>
            </w:r>
          </w:p>
        </w:tc>
        <w:tc>
          <w:tcPr>
            <w:tcW w:w="1555" w:type="dxa"/>
            <w:noWrap/>
            <w:hideMark/>
          </w:tcPr>
          <w:p w14:paraId="15728A18" w14:textId="77777777" w:rsidR="003D70B1" w:rsidRPr="007654F6" w:rsidRDefault="003D70B1" w:rsidP="003D70B1">
            <w:pPr>
              <w:tabs>
                <w:tab w:val="left" w:pos="6804"/>
              </w:tabs>
              <w:spacing w:line="480" w:lineRule="auto"/>
              <w:jc w:val="center"/>
              <w:rPr>
                <w:rFonts w:ascii="Times New Roman" w:hAnsi="Times New Roman" w:cs="Times New Roman"/>
              </w:rPr>
            </w:pPr>
            <w:r w:rsidRPr="00CF300D">
              <w:rPr>
                <w:rFonts w:ascii="Times New Roman" w:hAnsi="Times New Roman" w:cs="Times New Roman"/>
              </w:rPr>
              <w:t>0.32 (±0.07)</w:t>
            </w:r>
          </w:p>
        </w:tc>
        <w:tc>
          <w:tcPr>
            <w:tcW w:w="1037" w:type="dxa"/>
            <w:noWrap/>
            <w:hideMark/>
          </w:tcPr>
          <w:p w14:paraId="6628649A" w14:textId="77777777" w:rsidR="003D70B1" w:rsidRPr="007654F6" w:rsidRDefault="003D70B1" w:rsidP="003D70B1">
            <w:pPr>
              <w:tabs>
                <w:tab w:val="left" w:pos="6804"/>
              </w:tabs>
              <w:spacing w:line="480" w:lineRule="auto"/>
              <w:jc w:val="center"/>
              <w:rPr>
                <w:rFonts w:ascii="Times New Roman" w:hAnsi="Times New Roman" w:cs="Times New Roman"/>
                <w:b/>
              </w:rPr>
            </w:pPr>
            <w:r w:rsidRPr="00CF300D">
              <w:rPr>
                <w:rFonts w:ascii="Times New Roman" w:hAnsi="Times New Roman" w:cs="Times New Roman"/>
                <w:b/>
              </w:rPr>
              <w:t>0.009</w:t>
            </w:r>
          </w:p>
        </w:tc>
        <w:tc>
          <w:tcPr>
            <w:tcW w:w="1421" w:type="dxa"/>
            <w:noWrap/>
            <w:hideMark/>
          </w:tcPr>
          <w:p w14:paraId="36A85664" w14:textId="77777777" w:rsidR="003D70B1" w:rsidRPr="007654F6" w:rsidRDefault="003D70B1" w:rsidP="003D70B1">
            <w:pPr>
              <w:tabs>
                <w:tab w:val="left" w:pos="6804"/>
              </w:tabs>
              <w:spacing w:line="480" w:lineRule="auto"/>
              <w:jc w:val="center"/>
              <w:rPr>
                <w:rFonts w:ascii="Times New Roman" w:hAnsi="Times New Roman" w:cs="Times New Roman"/>
                <w:b/>
              </w:rPr>
            </w:pPr>
            <w:r w:rsidRPr="00CF300D">
              <w:rPr>
                <w:rFonts w:ascii="Times New Roman" w:hAnsi="Times New Roman" w:cs="Times New Roman"/>
              </w:rPr>
              <w:t>−</w:t>
            </w:r>
            <w:r w:rsidRPr="00CF300D">
              <w:rPr>
                <w:rFonts w:ascii="Times New Roman" w:hAnsi="Times New Roman" w:cs="Times New Roman"/>
                <w:b/>
              </w:rPr>
              <w:t>29.3%</w:t>
            </w:r>
          </w:p>
        </w:tc>
      </w:tr>
    </w:tbl>
    <w:p w14:paraId="2375F4E8" w14:textId="77777777" w:rsidR="000A77DD" w:rsidRDefault="003D70B1" w:rsidP="000A77DD">
      <w:pPr>
        <w:tabs>
          <w:tab w:val="left" w:pos="6804"/>
        </w:tabs>
        <w:rPr>
          <w:rFonts w:ascii="Times New Roman" w:hAnsi="Times New Roman" w:cs="Times New Roman"/>
          <w:lang w:val="en-US"/>
        </w:rPr>
      </w:pPr>
      <w:r w:rsidRPr="007654F6">
        <w:rPr>
          <w:rFonts w:ascii="Times New Roman" w:hAnsi="Times New Roman" w:cs="Times New Roman"/>
          <w:vertAlign w:val="superscript"/>
          <w:lang w:val="en-US"/>
        </w:rPr>
        <w:t>1</w:t>
      </w:r>
      <w:r w:rsidRPr="007654F6">
        <w:rPr>
          <w:rFonts w:ascii="Times New Roman" w:hAnsi="Times New Roman" w:cs="Times New Roman"/>
          <w:lang w:val="en-US"/>
        </w:rPr>
        <w:t>A-ROIs: anatomical regions of interest. *</w:t>
      </w:r>
      <w:r w:rsidRPr="007654F6">
        <w:rPr>
          <w:rFonts w:ascii="Times New Roman" w:hAnsi="Times New Roman" w:cs="Times New Roman"/>
          <w:i/>
          <w:lang w:val="en-US"/>
        </w:rPr>
        <w:t>P</w:t>
      </w:r>
      <w:r w:rsidRPr="007654F6">
        <w:rPr>
          <w:rFonts w:ascii="Times New Roman" w:hAnsi="Times New Roman" w:cs="Times New Roman"/>
          <w:lang w:val="en-US"/>
        </w:rPr>
        <w:t xml:space="preserve"> values are Bonferroni corrected</w:t>
      </w:r>
      <w:r w:rsidR="00790DC8">
        <w:rPr>
          <w:rFonts w:ascii="Times New Roman" w:hAnsi="Times New Roman" w:cs="Times New Roman"/>
          <w:lang w:val="en-US"/>
        </w:rPr>
        <w:t xml:space="preserve"> </w:t>
      </w:r>
      <w:r w:rsidR="000A77DD">
        <w:rPr>
          <w:rFonts w:ascii="Times New Roman" w:hAnsi="Times New Roman" w:cs="Times New Roman"/>
          <w:lang w:val="en-US"/>
        </w:rPr>
        <w:t xml:space="preserve">but are not corrected for disease duration. Statistical significance was lost </w:t>
      </w:r>
      <w:r w:rsidR="000A77DD" w:rsidRPr="00FA2966">
        <w:rPr>
          <w:rFonts w:ascii="Times New Roman" w:hAnsi="Times New Roman" w:cs="Times New Roman"/>
          <w:lang w:val="en-US"/>
        </w:rPr>
        <w:t xml:space="preserve">after </w:t>
      </w:r>
      <w:r w:rsidR="000A77DD">
        <w:rPr>
          <w:rFonts w:ascii="Times New Roman" w:hAnsi="Times New Roman" w:cs="Times New Roman"/>
          <w:lang w:val="en-US"/>
        </w:rPr>
        <w:t>using</w:t>
      </w:r>
      <w:r w:rsidR="000A77DD" w:rsidRPr="00FA2966">
        <w:rPr>
          <w:rFonts w:ascii="Times New Roman" w:hAnsi="Times New Roman" w:cs="Times New Roman"/>
          <w:lang w:val="en-US"/>
        </w:rPr>
        <w:t xml:space="preserve"> disease duration</w:t>
      </w:r>
      <w:r w:rsidR="000A77DD">
        <w:rPr>
          <w:rFonts w:ascii="Times New Roman" w:hAnsi="Times New Roman" w:cs="Times New Roman"/>
          <w:lang w:val="en-US"/>
        </w:rPr>
        <w:t xml:space="preserve"> as a covariate in the analysis.</w:t>
      </w:r>
    </w:p>
    <w:p w14:paraId="701C589F" w14:textId="03538ACE" w:rsidR="003D70B1" w:rsidRDefault="003D70B1" w:rsidP="003D70B1">
      <w:pPr>
        <w:tabs>
          <w:tab w:val="left" w:pos="6804"/>
        </w:tabs>
        <w:rPr>
          <w:rFonts w:ascii="Times New Roman" w:hAnsi="Times New Roman" w:cs="Times New Roman"/>
          <w:lang w:val="en-US"/>
        </w:rPr>
      </w:pPr>
    </w:p>
    <w:p w14:paraId="0A80B44A" w14:textId="77777777" w:rsidR="003D70B1" w:rsidRPr="00992319" w:rsidRDefault="003D70B1" w:rsidP="003D70B1">
      <w:pPr>
        <w:tabs>
          <w:tab w:val="left" w:pos="6804"/>
        </w:tabs>
        <w:rPr>
          <w:rFonts w:ascii="Times New Roman" w:hAnsi="Times New Roman" w:cs="Times New Roman"/>
          <w:lang w:val="en-US"/>
        </w:rPr>
      </w:pPr>
    </w:p>
    <w:p w14:paraId="06913D59" w14:textId="67FC3192" w:rsidR="003D70B1" w:rsidRPr="0072429B" w:rsidRDefault="00573365" w:rsidP="003D70B1">
      <w:pPr>
        <w:spacing w:line="480" w:lineRule="auto"/>
        <w:ind w:left="-142" w:right="220"/>
        <w:rPr>
          <w:rFonts w:ascii="Times New Roman" w:hAnsi="Times New Roman" w:cs="Times New Roman"/>
          <w:sz w:val="24"/>
        </w:rPr>
      </w:pPr>
      <w:r>
        <w:rPr>
          <w:rFonts w:ascii="Times New Roman" w:hAnsi="Times New Roman" w:cs="Times New Roman"/>
          <w:b/>
          <w:sz w:val="24"/>
        </w:rPr>
        <w:t>Table 4</w:t>
      </w:r>
      <w:r w:rsidR="003D70B1" w:rsidRPr="0072429B">
        <w:rPr>
          <w:rFonts w:ascii="Times New Roman" w:hAnsi="Times New Roman" w:cs="Times New Roman"/>
          <w:b/>
          <w:sz w:val="24"/>
        </w:rPr>
        <w:t xml:space="preserve"> </w:t>
      </w:r>
      <w:r w:rsidR="003D70B1" w:rsidRPr="0072429B">
        <w:rPr>
          <w:rFonts w:ascii="Times New Roman" w:hAnsi="Times New Roman" w:cs="Times New Roman"/>
          <w:sz w:val="24"/>
        </w:rPr>
        <w:t>Voxel-based analysis: bilateral striatal significant decreases in [</w:t>
      </w:r>
      <w:r w:rsidR="003D70B1" w:rsidRPr="0072429B">
        <w:rPr>
          <w:rFonts w:ascii="Times New Roman" w:hAnsi="Times New Roman" w:cs="Times New Roman"/>
          <w:sz w:val="24"/>
          <w:vertAlign w:val="superscript"/>
        </w:rPr>
        <w:t>11</w:t>
      </w:r>
      <w:r w:rsidR="003D70B1" w:rsidRPr="0072429B">
        <w:rPr>
          <w:rFonts w:ascii="Times New Roman" w:hAnsi="Times New Roman" w:cs="Times New Roman"/>
          <w:sz w:val="24"/>
        </w:rPr>
        <w:t>C]IMA107 BP</w:t>
      </w:r>
      <w:r w:rsidR="003D70B1" w:rsidRPr="0072429B">
        <w:rPr>
          <w:rFonts w:ascii="Times New Roman" w:hAnsi="Times New Roman" w:cs="Times New Roman"/>
          <w:sz w:val="24"/>
          <w:vertAlign w:val="subscript"/>
        </w:rPr>
        <w:t xml:space="preserve">ND </w:t>
      </w:r>
      <w:r w:rsidR="003D70B1" w:rsidRPr="0072429B">
        <w:rPr>
          <w:rFonts w:ascii="Times New Roman" w:hAnsi="Times New Roman" w:cs="Times New Roman"/>
          <w:sz w:val="24"/>
        </w:rPr>
        <w:t xml:space="preserve">in Parkinson’s patients compared with the group of healthy controls. </w:t>
      </w:r>
    </w:p>
    <w:tbl>
      <w:tblPr>
        <w:tblStyle w:val="TableGrid"/>
        <w:tblW w:w="0" w:type="auto"/>
        <w:tblLook w:val="04A0" w:firstRow="1" w:lastRow="0" w:firstColumn="1" w:lastColumn="0" w:noHBand="0" w:noVBand="1"/>
      </w:tblPr>
      <w:tblGrid>
        <w:gridCol w:w="1004"/>
        <w:gridCol w:w="1002"/>
        <w:gridCol w:w="1025"/>
        <w:gridCol w:w="1833"/>
        <w:gridCol w:w="1137"/>
        <w:gridCol w:w="1244"/>
        <w:gridCol w:w="1271"/>
      </w:tblGrid>
      <w:tr w:rsidR="00B63482" w14:paraId="53B04DFE" w14:textId="77777777" w:rsidTr="00C666B1">
        <w:trPr>
          <w:cantSplit/>
          <w:trHeight w:val="979"/>
        </w:trPr>
        <w:tc>
          <w:tcPr>
            <w:tcW w:w="3031" w:type="dxa"/>
            <w:gridSpan w:val="3"/>
          </w:tcPr>
          <w:p w14:paraId="0CEB373B" w14:textId="77777777" w:rsidR="00B63482" w:rsidRPr="00B65579" w:rsidRDefault="00B63482" w:rsidP="003D70B1">
            <w:pPr>
              <w:jc w:val="center"/>
              <w:rPr>
                <w:rFonts w:ascii="Times New Roman" w:hAnsi="Times New Roman" w:cs="Times New Roman"/>
                <w:b/>
              </w:rPr>
            </w:pPr>
            <w:r w:rsidRPr="00B65579">
              <w:rPr>
                <w:rFonts w:ascii="Times New Roman" w:hAnsi="Times New Roman" w:cs="Times New Roman"/>
                <w:b/>
              </w:rPr>
              <w:t>MNI coordinates</w:t>
            </w:r>
          </w:p>
          <w:p w14:paraId="36B2993E" w14:textId="77777777" w:rsidR="00B63482" w:rsidRPr="00B65579" w:rsidRDefault="00B63482" w:rsidP="003D70B1">
            <w:pPr>
              <w:jc w:val="center"/>
              <w:rPr>
                <w:rFonts w:ascii="Times New Roman" w:hAnsi="Times New Roman" w:cs="Times New Roman"/>
                <w:b/>
              </w:rPr>
            </w:pPr>
          </w:p>
        </w:tc>
        <w:tc>
          <w:tcPr>
            <w:tcW w:w="1833" w:type="dxa"/>
          </w:tcPr>
          <w:p w14:paraId="7CADABF2" w14:textId="77777777" w:rsidR="00B63482" w:rsidRPr="00B65579" w:rsidRDefault="00B63482" w:rsidP="003D70B1">
            <w:pPr>
              <w:jc w:val="center"/>
              <w:rPr>
                <w:rFonts w:ascii="Times New Roman" w:hAnsi="Times New Roman" w:cs="Times New Roman"/>
                <w:b/>
              </w:rPr>
            </w:pPr>
            <w:r w:rsidRPr="00B65579">
              <w:rPr>
                <w:rFonts w:ascii="Times New Roman" w:hAnsi="Times New Roman" w:cs="Times New Roman"/>
                <w:b/>
              </w:rPr>
              <w:t>Area</w:t>
            </w:r>
          </w:p>
        </w:tc>
        <w:tc>
          <w:tcPr>
            <w:tcW w:w="1137" w:type="dxa"/>
          </w:tcPr>
          <w:p w14:paraId="69BBA803" w14:textId="62A17486" w:rsidR="00B63482" w:rsidRPr="00B271AB" w:rsidRDefault="00B271AB" w:rsidP="005133C0">
            <w:pPr>
              <w:jc w:val="center"/>
              <w:rPr>
                <w:rFonts w:ascii="Times New Roman" w:hAnsi="Times New Roman" w:cs="Times New Roman"/>
                <w:b/>
              </w:rPr>
            </w:pPr>
            <w:r>
              <w:rPr>
                <w:rFonts w:ascii="Times New Roman" w:hAnsi="Times New Roman" w:cs="Times New Roman"/>
                <w:b/>
              </w:rPr>
              <w:t xml:space="preserve">Cluster sizes </w:t>
            </w:r>
          </w:p>
        </w:tc>
        <w:tc>
          <w:tcPr>
            <w:tcW w:w="1244" w:type="dxa"/>
          </w:tcPr>
          <w:p w14:paraId="2DAA6D9C" w14:textId="021B3B39" w:rsidR="00B63482" w:rsidRPr="00B65579" w:rsidRDefault="00B63482" w:rsidP="003D70B1">
            <w:pPr>
              <w:jc w:val="center"/>
              <w:rPr>
                <w:rFonts w:ascii="Times New Roman" w:hAnsi="Times New Roman" w:cs="Times New Roman"/>
                <w:b/>
              </w:rPr>
            </w:pPr>
            <w:r w:rsidRPr="00B65579">
              <w:rPr>
                <w:rFonts w:ascii="Times New Roman" w:hAnsi="Times New Roman" w:cs="Times New Roman"/>
                <w:b/>
              </w:rPr>
              <w:t>Z score</w:t>
            </w:r>
          </w:p>
        </w:tc>
        <w:tc>
          <w:tcPr>
            <w:tcW w:w="1271" w:type="dxa"/>
          </w:tcPr>
          <w:p w14:paraId="7E3BB589" w14:textId="77777777" w:rsidR="00B63482" w:rsidRPr="00B65579" w:rsidRDefault="00B63482" w:rsidP="003D70B1">
            <w:pPr>
              <w:jc w:val="center"/>
              <w:rPr>
                <w:rFonts w:ascii="Times New Roman" w:hAnsi="Times New Roman" w:cs="Times New Roman"/>
                <w:b/>
              </w:rPr>
            </w:pPr>
            <w:r w:rsidRPr="00B65579">
              <w:rPr>
                <w:rFonts w:ascii="Times New Roman" w:hAnsi="Times New Roman" w:cs="Times New Roman"/>
                <w:b/>
                <w:i/>
              </w:rPr>
              <w:t>P</w:t>
            </w:r>
            <w:r w:rsidRPr="00B65579">
              <w:rPr>
                <w:rFonts w:ascii="Times New Roman" w:hAnsi="Times New Roman" w:cs="Times New Roman"/>
                <w:b/>
              </w:rPr>
              <w:t xml:space="preserve"> value*</w:t>
            </w:r>
          </w:p>
        </w:tc>
      </w:tr>
      <w:tr w:rsidR="00B63482" w14:paraId="497B3F53" w14:textId="77777777" w:rsidTr="00C666B1">
        <w:trPr>
          <w:cantSplit/>
          <w:trHeight w:val="992"/>
        </w:trPr>
        <w:tc>
          <w:tcPr>
            <w:tcW w:w="1004" w:type="dxa"/>
          </w:tcPr>
          <w:p w14:paraId="2DACE19E" w14:textId="77777777" w:rsidR="00B63482" w:rsidRPr="00B65579" w:rsidRDefault="00B63482" w:rsidP="003D70B1">
            <w:pPr>
              <w:jc w:val="center"/>
              <w:rPr>
                <w:rFonts w:ascii="Times New Roman" w:hAnsi="Times New Roman" w:cs="Times New Roman"/>
                <w:b/>
                <w:i/>
              </w:rPr>
            </w:pPr>
            <w:r w:rsidRPr="00B65579">
              <w:rPr>
                <w:rFonts w:ascii="Times New Roman" w:hAnsi="Times New Roman" w:cs="Times New Roman"/>
                <w:b/>
                <w:i/>
              </w:rPr>
              <w:t>x</w:t>
            </w:r>
          </w:p>
        </w:tc>
        <w:tc>
          <w:tcPr>
            <w:tcW w:w="1002" w:type="dxa"/>
          </w:tcPr>
          <w:p w14:paraId="5C5823CB" w14:textId="77777777" w:rsidR="00B63482" w:rsidRPr="00B65579" w:rsidRDefault="00B63482" w:rsidP="003D70B1">
            <w:pPr>
              <w:jc w:val="center"/>
              <w:rPr>
                <w:rFonts w:ascii="Times New Roman" w:hAnsi="Times New Roman" w:cs="Times New Roman"/>
                <w:b/>
                <w:i/>
              </w:rPr>
            </w:pPr>
            <w:r w:rsidRPr="00B65579">
              <w:rPr>
                <w:rFonts w:ascii="Times New Roman" w:hAnsi="Times New Roman" w:cs="Times New Roman"/>
                <w:b/>
                <w:i/>
              </w:rPr>
              <w:t>y</w:t>
            </w:r>
          </w:p>
        </w:tc>
        <w:tc>
          <w:tcPr>
            <w:tcW w:w="1025" w:type="dxa"/>
          </w:tcPr>
          <w:p w14:paraId="3C6201D5" w14:textId="77777777" w:rsidR="00B63482" w:rsidRPr="00B65579" w:rsidRDefault="00B63482" w:rsidP="003D70B1">
            <w:pPr>
              <w:jc w:val="center"/>
              <w:rPr>
                <w:rFonts w:ascii="Times New Roman" w:hAnsi="Times New Roman" w:cs="Times New Roman"/>
                <w:b/>
                <w:i/>
              </w:rPr>
            </w:pPr>
            <w:r w:rsidRPr="00B65579">
              <w:rPr>
                <w:rFonts w:ascii="Times New Roman" w:hAnsi="Times New Roman" w:cs="Times New Roman"/>
                <w:b/>
                <w:i/>
              </w:rPr>
              <w:t>z</w:t>
            </w:r>
          </w:p>
          <w:p w14:paraId="16ED0F1D" w14:textId="77777777" w:rsidR="00B63482" w:rsidRPr="00B65579" w:rsidRDefault="00B63482" w:rsidP="003D70B1">
            <w:pPr>
              <w:jc w:val="center"/>
              <w:rPr>
                <w:rFonts w:ascii="Times New Roman" w:hAnsi="Times New Roman" w:cs="Times New Roman"/>
                <w:b/>
                <w:i/>
              </w:rPr>
            </w:pPr>
          </w:p>
        </w:tc>
        <w:tc>
          <w:tcPr>
            <w:tcW w:w="1833" w:type="dxa"/>
          </w:tcPr>
          <w:p w14:paraId="1F6990FF" w14:textId="77777777" w:rsidR="00B63482" w:rsidRPr="00B65579" w:rsidRDefault="00B63482" w:rsidP="003D70B1">
            <w:pPr>
              <w:jc w:val="center"/>
              <w:rPr>
                <w:rFonts w:ascii="Times New Roman" w:hAnsi="Times New Roman" w:cs="Times New Roman"/>
              </w:rPr>
            </w:pPr>
          </w:p>
        </w:tc>
        <w:tc>
          <w:tcPr>
            <w:tcW w:w="1137" w:type="dxa"/>
          </w:tcPr>
          <w:p w14:paraId="5121C653" w14:textId="77777777" w:rsidR="00B63482" w:rsidRPr="00B65579" w:rsidRDefault="00B63482" w:rsidP="003D70B1">
            <w:pPr>
              <w:jc w:val="center"/>
              <w:rPr>
                <w:rFonts w:ascii="Times New Roman" w:hAnsi="Times New Roman" w:cs="Times New Roman"/>
              </w:rPr>
            </w:pPr>
          </w:p>
        </w:tc>
        <w:tc>
          <w:tcPr>
            <w:tcW w:w="1244" w:type="dxa"/>
          </w:tcPr>
          <w:p w14:paraId="2FEC48BA" w14:textId="5F295EAC" w:rsidR="00B63482" w:rsidRPr="00B65579" w:rsidRDefault="00B63482" w:rsidP="003D70B1">
            <w:pPr>
              <w:jc w:val="center"/>
              <w:rPr>
                <w:rFonts w:ascii="Times New Roman" w:hAnsi="Times New Roman" w:cs="Times New Roman"/>
              </w:rPr>
            </w:pPr>
          </w:p>
        </w:tc>
        <w:tc>
          <w:tcPr>
            <w:tcW w:w="1271" w:type="dxa"/>
          </w:tcPr>
          <w:p w14:paraId="16AEC2FE" w14:textId="77777777" w:rsidR="00B63482" w:rsidRPr="00B65579" w:rsidRDefault="00B63482" w:rsidP="003D70B1">
            <w:pPr>
              <w:jc w:val="center"/>
              <w:rPr>
                <w:rFonts w:ascii="Times New Roman" w:hAnsi="Times New Roman" w:cs="Times New Roman"/>
              </w:rPr>
            </w:pPr>
          </w:p>
        </w:tc>
      </w:tr>
      <w:tr w:rsidR="00B63482" w14:paraId="580573ED" w14:textId="77777777" w:rsidTr="00C666B1">
        <w:trPr>
          <w:cantSplit/>
          <w:trHeight w:val="979"/>
        </w:trPr>
        <w:tc>
          <w:tcPr>
            <w:tcW w:w="1004" w:type="dxa"/>
          </w:tcPr>
          <w:p w14:paraId="18391DB5"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-14</w:t>
            </w:r>
          </w:p>
        </w:tc>
        <w:tc>
          <w:tcPr>
            <w:tcW w:w="1002" w:type="dxa"/>
          </w:tcPr>
          <w:p w14:paraId="62357853"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-4</w:t>
            </w:r>
          </w:p>
        </w:tc>
        <w:tc>
          <w:tcPr>
            <w:tcW w:w="1025" w:type="dxa"/>
          </w:tcPr>
          <w:p w14:paraId="3856049C"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22</w:t>
            </w:r>
          </w:p>
        </w:tc>
        <w:tc>
          <w:tcPr>
            <w:tcW w:w="1833" w:type="dxa"/>
          </w:tcPr>
          <w:p w14:paraId="56FBA332" w14:textId="77777777" w:rsidR="00B63482" w:rsidRDefault="00B63482" w:rsidP="003D70B1">
            <w:pPr>
              <w:rPr>
                <w:rFonts w:ascii="Times New Roman" w:hAnsi="Times New Roman" w:cs="Times New Roman"/>
              </w:rPr>
            </w:pPr>
            <w:r>
              <w:rPr>
                <w:rFonts w:ascii="Times New Roman" w:hAnsi="Times New Roman" w:cs="Times New Roman"/>
              </w:rPr>
              <w:t>L Caudate</w:t>
            </w:r>
          </w:p>
          <w:p w14:paraId="0EB09CCB" w14:textId="77777777" w:rsidR="00B63482" w:rsidRPr="00B65579" w:rsidRDefault="00B63482" w:rsidP="003D70B1">
            <w:pPr>
              <w:rPr>
                <w:rFonts w:ascii="Times New Roman" w:hAnsi="Times New Roman" w:cs="Times New Roman"/>
              </w:rPr>
            </w:pPr>
          </w:p>
        </w:tc>
        <w:tc>
          <w:tcPr>
            <w:tcW w:w="1137" w:type="dxa"/>
          </w:tcPr>
          <w:p w14:paraId="0FB18B0C" w14:textId="0DE70B76" w:rsidR="00B63482" w:rsidRDefault="00A75401" w:rsidP="003D70B1">
            <w:pPr>
              <w:jc w:val="center"/>
              <w:rPr>
                <w:rFonts w:ascii="Times New Roman" w:hAnsi="Times New Roman" w:cs="Times New Roman"/>
              </w:rPr>
            </w:pPr>
            <w:r>
              <w:rPr>
                <w:rFonts w:ascii="Times New Roman" w:hAnsi="Times New Roman" w:cs="Times New Roman"/>
              </w:rPr>
              <w:t>139</w:t>
            </w:r>
          </w:p>
        </w:tc>
        <w:tc>
          <w:tcPr>
            <w:tcW w:w="1244" w:type="dxa"/>
          </w:tcPr>
          <w:p w14:paraId="287BD33E" w14:textId="17C22FD4" w:rsidR="00B63482" w:rsidRPr="00B65579" w:rsidRDefault="00B63482" w:rsidP="003D70B1">
            <w:pPr>
              <w:jc w:val="center"/>
              <w:rPr>
                <w:rFonts w:ascii="Times New Roman" w:hAnsi="Times New Roman" w:cs="Times New Roman"/>
              </w:rPr>
            </w:pPr>
            <w:r>
              <w:rPr>
                <w:rFonts w:ascii="Times New Roman" w:hAnsi="Times New Roman" w:cs="Times New Roman"/>
              </w:rPr>
              <w:t>4.53</w:t>
            </w:r>
          </w:p>
        </w:tc>
        <w:tc>
          <w:tcPr>
            <w:tcW w:w="1271" w:type="dxa"/>
          </w:tcPr>
          <w:p w14:paraId="3163AD8B"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0.002</w:t>
            </w:r>
          </w:p>
        </w:tc>
      </w:tr>
      <w:tr w:rsidR="00B63482" w14:paraId="44A4B39D" w14:textId="77777777" w:rsidTr="00C666B1">
        <w:trPr>
          <w:cantSplit/>
          <w:trHeight w:val="992"/>
        </w:trPr>
        <w:tc>
          <w:tcPr>
            <w:tcW w:w="1004" w:type="dxa"/>
          </w:tcPr>
          <w:p w14:paraId="643D4168"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14</w:t>
            </w:r>
          </w:p>
        </w:tc>
        <w:tc>
          <w:tcPr>
            <w:tcW w:w="1002" w:type="dxa"/>
          </w:tcPr>
          <w:p w14:paraId="1D032BB8"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-4</w:t>
            </w:r>
          </w:p>
        </w:tc>
        <w:tc>
          <w:tcPr>
            <w:tcW w:w="1025" w:type="dxa"/>
          </w:tcPr>
          <w:p w14:paraId="1DB0EBC4"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22</w:t>
            </w:r>
          </w:p>
        </w:tc>
        <w:tc>
          <w:tcPr>
            <w:tcW w:w="1833" w:type="dxa"/>
          </w:tcPr>
          <w:p w14:paraId="27518157" w14:textId="77777777" w:rsidR="00B63482" w:rsidRDefault="00B63482" w:rsidP="003D70B1">
            <w:pPr>
              <w:rPr>
                <w:rFonts w:ascii="Times New Roman" w:hAnsi="Times New Roman" w:cs="Times New Roman"/>
              </w:rPr>
            </w:pPr>
            <w:r>
              <w:rPr>
                <w:rFonts w:ascii="Times New Roman" w:hAnsi="Times New Roman" w:cs="Times New Roman"/>
              </w:rPr>
              <w:t>R Caudate</w:t>
            </w:r>
          </w:p>
          <w:p w14:paraId="7CDBB6DA" w14:textId="77777777" w:rsidR="00B63482" w:rsidRPr="00B65579" w:rsidRDefault="00B63482" w:rsidP="003D70B1">
            <w:pPr>
              <w:rPr>
                <w:rFonts w:ascii="Times New Roman" w:hAnsi="Times New Roman" w:cs="Times New Roman"/>
              </w:rPr>
            </w:pPr>
          </w:p>
        </w:tc>
        <w:tc>
          <w:tcPr>
            <w:tcW w:w="1137" w:type="dxa"/>
          </w:tcPr>
          <w:p w14:paraId="2F929D76" w14:textId="4A7A5E98" w:rsidR="00B63482" w:rsidRDefault="00A75401" w:rsidP="003D70B1">
            <w:pPr>
              <w:jc w:val="center"/>
              <w:rPr>
                <w:rFonts w:ascii="Times New Roman" w:hAnsi="Times New Roman" w:cs="Times New Roman"/>
              </w:rPr>
            </w:pPr>
            <w:r>
              <w:rPr>
                <w:rFonts w:ascii="Times New Roman" w:hAnsi="Times New Roman" w:cs="Times New Roman"/>
              </w:rPr>
              <w:t>130</w:t>
            </w:r>
          </w:p>
        </w:tc>
        <w:tc>
          <w:tcPr>
            <w:tcW w:w="1244" w:type="dxa"/>
          </w:tcPr>
          <w:p w14:paraId="1402B7A5" w14:textId="292FF339" w:rsidR="00B63482" w:rsidRPr="00B65579" w:rsidRDefault="00B63482" w:rsidP="003D70B1">
            <w:pPr>
              <w:jc w:val="center"/>
              <w:rPr>
                <w:rFonts w:ascii="Times New Roman" w:hAnsi="Times New Roman" w:cs="Times New Roman"/>
              </w:rPr>
            </w:pPr>
            <w:r>
              <w:rPr>
                <w:rFonts w:ascii="Times New Roman" w:hAnsi="Times New Roman" w:cs="Times New Roman"/>
              </w:rPr>
              <w:t>4.01</w:t>
            </w:r>
          </w:p>
        </w:tc>
        <w:tc>
          <w:tcPr>
            <w:tcW w:w="1271" w:type="dxa"/>
          </w:tcPr>
          <w:p w14:paraId="474BDE87"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0.004</w:t>
            </w:r>
          </w:p>
        </w:tc>
      </w:tr>
      <w:tr w:rsidR="00B63482" w14:paraId="20F85410" w14:textId="77777777" w:rsidTr="00C666B1">
        <w:trPr>
          <w:cantSplit/>
          <w:trHeight w:val="979"/>
        </w:trPr>
        <w:tc>
          <w:tcPr>
            <w:tcW w:w="1004" w:type="dxa"/>
          </w:tcPr>
          <w:p w14:paraId="7D8B6E51"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-28</w:t>
            </w:r>
          </w:p>
        </w:tc>
        <w:tc>
          <w:tcPr>
            <w:tcW w:w="1002" w:type="dxa"/>
          </w:tcPr>
          <w:p w14:paraId="691402EC"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-8</w:t>
            </w:r>
          </w:p>
        </w:tc>
        <w:tc>
          <w:tcPr>
            <w:tcW w:w="1025" w:type="dxa"/>
          </w:tcPr>
          <w:p w14:paraId="3FC10E59"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12</w:t>
            </w:r>
          </w:p>
        </w:tc>
        <w:tc>
          <w:tcPr>
            <w:tcW w:w="1833" w:type="dxa"/>
          </w:tcPr>
          <w:p w14:paraId="6C503469" w14:textId="77777777" w:rsidR="00B63482" w:rsidRDefault="00B63482" w:rsidP="003D70B1">
            <w:pPr>
              <w:rPr>
                <w:rFonts w:ascii="Times New Roman" w:hAnsi="Times New Roman" w:cs="Times New Roman"/>
              </w:rPr>
            </w:pPr>
            <w:r>
              <w:rPr>
                <w:rFonts w:ascii="Times New Roman" w:hAnsi="Times New Roman" w:cs="Times New Roman"/>
              </w:rPr>
              <w:t>L Putamen</w:t>
            </w:r>
          </w:p>
          <w:p w14:paraId="5BF7964E" w14:textId="77777777" w:rsidR="00B63482" w:rsidRPr="00B65579" w:rsidRDefault="00B63482" w:rsidP="003D70B1">
            <w:pPr>
              <w:rPr>
                <w:rFonts w:ascii="Times New Roman" w:hAnsi="Times New Roman" w:cs="Times New Roman"/>
              </w:rPr>
            </w:pPr>
          </w:p>
        </w:tc>
        <w:tc>
          <w:tcPr>
            <w:tcW w:w="1137" w:type="dxa"/>
          </w:tcPr>
          <w:p w14:paraId="3661D65A" w14:textId="392C82B1" w:rsidR="00B63482" w:rsidRDefault="00A75401" w:rsidP="003D70B1">
            <w:pPr>
              <w:jc w:val="center"/>
              <w:rPr>
                <w:rFonts w:ascii="Times New Roman" w:hAnsi="Times New Roman" w:cs="Times New Roman"/>
              </w:rPr>
            </w:pPr>
            <w:r>
              <w:rPr>
                <w:rFonts w:ascii="Times New Roman" w:hAnsi="Times New Roman" w:cs="Times New Roman"/>
              </w:rPr>
              <w:t>519</w:t>
            </w:r>
          </w:p>
        </w:tc>
        <w:tc>
          <w:tcPr>
            <w:tcW w:w="1244" w:type="dxa"/>
          </w:tcPr>
          <w:p w14:paraId="444E1969" w14:textId="26AF83D9" w:rsidR="00B63482" w:rsidRPr="00B65579" w:rsidRDefault="00B63482" w:rsidP="003D70B1">
            <w:pPr>
              <w:jc w:val="center"/>
              <w:rPr>
                <w:rFonts w:ascii="Times New Roman" w:hAnsi="Times New Roman" w:cs="Times New Roman"/>
              </w:rPr>
            </w:pPr>
            <w:r>
              <w:rPr>
                <w:rFonts w:ascii="Times New Roman" w:hAnsi="Times New Roman" w:cs="Times New Roman"/>
              </w:rPr>
              <w:t>4.28</w:t>
            </w:r>
          </w:p>
        </w:tc>
        <w:tc>
          <w:tcPr>
            <w:tcW w:w="1271" w:type="dxa"/>
          </w:tcPr>
          <w:p w14:paraId="03319A47"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0.006</w:t>
            </w:r>
          </w:p>
        </w:tc>
      </w:tr>
      <w:tr w:rsidR="00B63482" w14:paraId="50BC6388" w14:textId="77777777" w:rsidTr="00C666B1">
        <w:trPr>
          <w:cantSplit/>
          <w:trHeight w:val="992"/>
        </w:trPr>
        <w:tc>
          <w:tcPr>
            <w:tcW w:w="1004" w:type="dxa"/>
          </w:tcPr>
          <w:p w14:paraId="71BD9B1D"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28</w:t>
            </w:r>
          </w:p>
        </w:tc>
        <w:tc>
          <w:tcPr>
            <w:tcW w:w="1002" w:type="dxa"/>
          </w:tcPr>
          <w:p w14:paraId="11F4AC50"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-8</w:t>
            </w:r>
          </w:p>
        </w:tc>
        <w:tc>
          <w:tcPr>
            <w:tcW w:w="1025" w:type="dxa"/>
          </w:tcPr>
          <w:p w14:paraId="72832771"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12</w:t>
            </w:r>
          </w:p>
        </w:tc>
        <w:tc>
          <w:tcPr>
            <w:tcW w:w="1833" w:type="dxa"/>
          </w:tcPr>
          <w:p w14:paraId="2C8D049A" w14:textId="77777777" w:rsidR="00B63482" w:rsidRDefault="00B63482" w:rsidP="003D70B1">
            <w:pPr>
              <w:rPr>
                <w:rFonts w:ascii="Times New Roman" w:hAnsi="Times New Roman" w:cs="Times New Roman"/>
              </w:rPr>
            </w:pPr>
            <w:r>
              <w:rPr>
                <w:rFonts w:ascii="Times New Roman" w:hAnsi="Times New Roman" w:cs="Times New Roman"/>
              </w:rPr>
              <w:t>R Putamen</w:t>
            </w:r>
          </w:p>
          <w:p w14:paraId="38F646D0" w14:textId="77777777" w:rsidR="00B63482" w:rsidRPr="00B65579" w:rsidRDefault="00B63482" w:rsidP="003D70B1">
            <w:pPr>
              <w:rPr>
                <w:rFonts w:ascii="Times New Roman" w:hAnsi="Times New Roman" w:cs="Times New Roman"/>
              </w:rPr>
            </w:pPr>
          </w:p>
        </w:tc>
        <w:tc>
          <w:tcPr>
            <w:tcW w:w="1137" w:type="dxa"/>
          </w:tcPr>
          <w:p w14:paraId="7379869F" w14:textId="1A94C9C5" w:rsidR="00B63482" w:rsidRDefault="00A75401" w:rsidP="003D70B1">
            <w:pPr>
              <w:jc w:val="center"/>
              <w:rPr>
                <w:rFonts w:ascii="Times New Roman" w:hAnsi="Times New Roman" w:cs="Times New Roman"/>
              </w:rPr>
            </w:pPr>
            <w:r>
              <w:rPr>
                <w:rFonts w:ascii="Times New Roman" w:hAnsi="Times New Roman" w:cs="Times New Roman"/>
              </w:rPr>
              <w:t>420</w:t>
            </w:r>
          </w:p>
        </w:tc>
        <w:tc>
          <w:tcPr>
            <w:tcW w:w="1244" w:type="dxa"/>
          </w:tcPr>
          <w:p w14:paraId="5B075C3F" w14:textId="62690F36" w:rsidR="00B63482" w:rsidRPr="00B65579" w:rsidRDefault="00B63482" w:rsidP="003D70B1">
            <w:pPr>
              <w:jc w:val="center"/>
              <w:rPr>
                <w:rFonts w:ascii="Times New Roman" w:hAnsi="Times New Roman" w:cs="Times New Roman"/>
              </w:rPr>
            </w:pPr>
            <w:r>
              <w:rPr>
                <w:rFonts w:ascii="Times New Roman" w:hAnsi="Times New Roman" w:cs="Times New Roman"/>
              </w:rPr>
              <w:t>3.83</w:t>
            </w:r>
          </w:p>
        </w:tc>
        <w:tc>
          <w:tcPr>
            <w:tcW w:w="1271" w:type="dxa"/>
          </w:tcPr>
          <w:p w14:paraId="446AD00D" w14:textId="77777777" w:rsidR="00B63482" w:rsidRPr="00B65579" w:rsidRDefault="00B63482" w:rsidP="003D70B1">
            <w:pPr>
              <w:jc w:val="center"/>
              <w:rPr>
                <w:rFonts w:ascii="Times New Roman" w:hAnsi="Times New Roman" w:cs="Times New Roman"/>
              </w:rPr>
            </w:pPr>
            <w:r>
              <w:rPr>
                <w:rFonts w:ascii="Times New Roman" w:hAnsi="Times New Roman" w:cs="Times New Roman"/>
              </w:rPr>
              <w:t>0.028</w:t>
            </w:r>
          </w:p>
        </w:tc>
      </w:tr>
      <w:tr w:rsidR="00B63482" w14:paraId="36A60711" w14:textId="77777777" w:rsidTr="00C666B1">
        <w:trPr>
          <w:cantSplit/>
          <w:trHeight w:val="777"/>
        </w:trPr>
        <w:tc>
          <w:tcPr>
            <w:tcW w:w="1004" w:type="dxa"/>
          </w:tcPr>
          <w:p w14:paraId="664325F4" w14:textId="77777777" w:rsidR="00B63482" w:rsidRDefault="00B63482" w:rsidP="003D70B1">
            <w:pPr>
              <w:jc w:val="center"/>
              <w:rPr>
                <w:rFonts w:ascii="Times New Roman" w:hAnsi="Times New Roman" w:cs="Times New Roman"/>
              </w:rPr>
            </w:pPr>
            <w:r>
              <w:rPr>
                <w:rFonts w:ascii="Times New Roman" w:hAnsi="Times New Roman" w:cs="Times New Roman"/>
              </w:rPr>
              <w:t>22</w:t>
            </w:r>
          </w:p>
        </w:tc>
        <w:tc>
          <w:tcPr>
            <w:tcW w:w="1002" w:type="dxa"/>
          </w:tcPr>
          <w:p w14:paraId="391401C5" w14:textId="77777777" w:rsidR="00B63482" w:rsidRDefault="00B63482" w:rsidP="003D70B1">
            <w:pPr>
              <w:jc w:val="center"/>
              <w:rPr>
                <w:rFonts w:ascii="Times New Roman" w:hAnsi="Times New Roman" w:cs="Times New Roman"/>
              </w:rPr>
            </w:pPr>
            <w:r>
              <w:rPr>
                <w:rFonts w:ascii="Times New Roman" w:hAnsi="Times New Roman" w:cs="Times New Roman"/>
              </w:rPr>
              <w:t>-6</w:t>
            </w:r>
          </w:p>
        </w:tc>
        <w:tc>
          <w:tcPr>
            <w:tcW w:w="1025" w:type="dxa"/>
          </w:tcPr>
          <w:p w14:paraId="4F94AD45" w14:textId="77777777" w:rsidR="00B63482" w:rsidRDefault="00B63482" w:rsidP="003D70B1">
            <w:pPr>
              <w:jc w:val="center"/>
              <w:rPr>
                <w:rFonts w:ascii="Times New Roman" w:hAnsi="Times New Roman" w:cs="Times New Roman"/>
              </w:rPr>
            </w:pPr>
            <w:r>
              <w:rPr>
                <w:rFonts w:ascii="Times New Roman" w:hAnsi="Times New Roman" w:cs="Times New Roman"/>
              </w:rPr>
              <w:t>2</w:t>
            </w:r>
          </w:p>
        </w:tc>
        <w:tc>
          <w:tcPr>
            <w:tcW w:w="1833" w:type="dxa"/>
          </w:tcPr>
          <w:p w14:paraId="15C80D94" w14:textId="77777777" w:rsidR="00B63482" w:rsidRDefault="00B63482" w:rsidP="003D70B1">
            <w:pPr>
              <w:rPr>
                <w:rFonts w:ascii="Times New Roman" w:hAnsi="Times New Roman" w:cs="Times New Roman"/>
              </w:rPr>
            </w:pPr>
            <w:r>
              <w:rPr>
                <w:rFonts w:ascii="Times New Roman" w:hAnsi="Times New Roman" w:cs="Times New Roman"/>
              </w:rPr>
              <w:t>L Globus Pallidus</w:t>
            </w:r>
          </w:p>
        </w:tc>
        <w:tc>
          <w:tcPr>
            <w:tcW w:w="1137" w:type="dxa"/>
          </w:tcPr>
          <w:p w14:paraId="49066C07" w14:textId="0430E7F1" w:rsidR="00B63482" w:rsidRDefault="00A75401" w:rsidP="003D70B1">
            <w:pPr>
              <w:jc w:val="center"/>
              <w:rPr>
                <w:rFonts w:ascii="Times New Roman" w:hAnsi="Times New Roman" w:cs="Times New Roman"/>
              </w:rPr>
            </w:pPr>
            <w:r>
              <w:rPr>
                <w:rFonts w:ascii="Times New Roman" w:hAnsi="Times New Roman" w:cs="Times New Roman"/>
              </w:rPr>
              <w:t>74</w:t>
            </w:r>
          </w:p>
        </w:tc>
        <w:tc>
          <w:tcPr>
            <w:tcW w:w="1244" w:type="dxa"/>
          </w:tcPr>
          <w:p w14:paraId="36BDB49E" w14:textId="182E7335" w:rsidR="00B63482" w:rsidRDefault="00B63482" w:rsidP="003D70B1">
            <w:pPr>
              <w:jc w:val="center"/>
              <w:rPr>
                <w:rFonts w:ascii="Times New Roman" w:hAnsi="Times New Roman" w:cs="Times New Roman"/>
              </w:rPr>
            </w:pPr>
            <w:r>
              <w:rPr>
                <w:rFonts w:ascii="Times New Roman" w:hAnsi="Times New Roman" w:cs="Times New Roman"/>
              </w:rPr>
              <w:t>2.90</w:t>
            </w:r>
          </w:p>
        </w:tc>
        <w:tc>
          <w:tcPr>
            <w:tcW w:w="1271" w:type="dxa"/>
          </w:tcPr>
          <w:p w14:paraId="26C6E0AD" w14:textId="77777777" w:rsidR="00B63482" w:rsidRDefault="00B63482" w:rsidP="003D70B1">
            <w:pPr>
              <w:jc w:val="center"/>
              <w:rPr>
                <w:rFonts w:ascii="Times New Roman" w:hAnsi="Times New Roman" w:cs="Times New Roman"/>
              </w:rPr>
            </w:pPr>
            <w:r>
              <w:rPr>
                <w:rFonts w:ascii="Times New Roman" w:hAnsi="Times New Roman" w:cs="Times New Roman"/>
              </w:rPr>
              <w:t>0.031</w:t>
            </w:r>
          </w:p>
        </w:tc>
      </w:tr>
      <w:tr w:rsidR="00B63482" w14:paraId="6E433CB2" w14:textId="77777777" w:rsidTr="00C666B1">
        <w:trPr>
          <w:cantSplit/>
          <w:trHeight w:val="791"/>
        </w:trPr>
        <w:tc>
          <w:tcPr>
            <w:tcW w:w="1004" w:type="dxa"/>
          </w:tcPr>
          <w:p w14:paraId="1A69F630" w14:textId="77777777" w:rsidR="00B63482" w:rsidRDefault="00B63482" w:rsidP="003D70B1">
            <w:pPr>
              <w:jc w:val="center"/>
              <w:rPr>
                <w:rFonts w:ascii="Times New Roman" w:hAnsi="Times New Roman" w:cs="Times New Roman"/>
              </w:rPr>
            </w:pPr>
            <w:r>
              <w:rPr>
                <w:rFonts w:ascii="Times New Roman" w:hAnsi="Times New Roman" w:cs="Times New Roman"/>
              </w:rPr>
              <w:t>-22</w:t>
            </w:r>
          </w:p>
        </w:tc>
        <w:tc>
          <w:tcPr>
            <w:tcW w:w="1002" w:type="dxa"/>
          </w:tcPr>
          <w:p w14:paraId="6E164F33" w14:textId="77777777" w:rsidR="00B63482" w:rsidRDefault="00B63482" w:rsidP="003D70B1">
            <w:pPr>
              <w:jc w:val="center"/>
              <w:rPr>
                <w:rFonts w:ascii="Times New Roman" w:hAnsi="Times New Roman" w:cs="Times New Roman"/>
              </w:rPr>
            </w:pPr>
            <w:r>
              <w:rPr>
                <w:rFonts w:ascii="Times New Roman" w:hAnsi="Times New Roman" w:cs="Times New Roman"/>
              </w:rPr>
              <w:t>-6</w:t>
            </w:r>
          </w:p>
        </w:tc>
        <w:tc>
          <w:tcPr>
            <w:tcW w:w="1025" w:type="dxa"/>
          </w:tcPr>
          <w:p w14:paraId="68E94778" w14:textId="77777777" w:rsidR="00B63482" w:rsidRDefault="00B63482" w:rsidP="003D70B1">
            <w:pPr>
              <w:jc w:val="center"/>
              <w:rPr>
                <w:rFonts w:ascii="Times New Roman" w:hAnsi="Times New Roman" w:cs="Times New Roman"/>
              </w:rPr>
            </w:pPr>
            <w:r>
              <w:rPr>
                <w:rFonts w:ascii="Times New Roman" w:hAnsi="Times New Roman" w:cs="Times New Roman"/>
              </w:rPr>
              <w:t>2</w:t>
            </w:r>
          </w:p>
        </w:tc>
        <w:tc>
          <w:tcPr>
            <w:tcW w:w="1833" w:type="dxa"/>
          </w:tcPr>
          <w:p w14:paraId="5867AED1" w14:textId="77777777" w:rsidR="00B63482" w:rsidRDefault="00B63482" w:rsidP="003D70B1">
            <w:pPr>
              <w:rPr>
                <w:rFonts w:ascii="Times New Roman" w:hAnsi="Times New Roman" w:cs="Times New Roman"/>
              </w:rPr>
            </w:pPr>
            <w:r>
              <w:rPr>
                <w:rFonts w:ascii="Times New Roman" w:hAnsi="Times New Roman" w:cs="Times New Roman"/>
              </w:rPr>
              <w:t>R Globus Pallidus</w:t>
            </w:r>
          </w:p>
        </w:tc>
        <w:tc>
          <w:tcPr>
            <w:tcW w:w="1137" w:type="dxa"/>
          </w:tcPr>
          <w:p w14:paraId="2A06D943" w14:textId="46093326" w:rsidR="00B63482" w:rsidRDefault="00A75401" w:rsidP="003D70B1">
            <w:pPr>
              <w:jc w:val="center"/>
              <w:rPr>
                <w:rFonts w:ascii="Times New Roman" w:hAnsi="Times New Roman" w:cs="Times New Roman"/>
              </w:rPr>
            </w:pPr>
            <w:r>
              <w:rPr>
                <w:rFonts w:ascii="Times New Roman" w:hAnsi="Times New Roman" w:cs="Times New Roman"/>
              </w:rPr>
              <w:t>46</w:t>
            </w:r>
          </w:p>
        </w:tc>
        <w:tc>
          <w:tcPr>
            <w:tcW w:w="1244" w:type="dxa"/>
          </w:tcPr>
          <w:p w14:paraId="1CAA7B2B" w14:textId="166B3617" w:rsidR="00B63482" w:rsidRDefault="00B63482" w:rsidP="003D70B1">
            <w:pPr>
              <w:jc w:val="center"/>
              <w:rPr>
                <w:rFonts w:ascii="Times New Roman" w:hAnsi="Times New Roman" w:cs="Times New Roman"/>
              </w:rPr>
            </w:pPr>
            <w:r>
              <w:rPr>
                <w:rFonts w:ascii="Times New Roman" w:hAnsi="Times New Roman" w:cs="Times New Roman"/>
              </w:rPr>
              <w:t>2.71</w:t>
            </w:r>
          </w:p>
        </w:tc>
        <w:tc>
          <w:tcPr>
            <w:tcW w:w="1271" w:type="dxa"/>
          </w:tcPr>
          <w:p w14:paraId="5343E208" w14:textId="77777777" w:rsidR="00B63482" w:rsidRDefault="00B63482" w:rsidP="003D70B1">
            <w:pPr>
              <w:jc w:val="center"/>
              <w:rPr>
                <w:rFonts w:ascii="Times New Roman" w:hAnsi="Times New Roman" w:cs="Times New Roman"/>
              </w:rPr>
            </w:pPr>
            <w:r>
              <w:rPr>
                <w:rFonts w:ascii="Times New Roman" w:hAnsi="Times New Roman" w:cs="Times New Roman"/>
              </w:rPr>
              <w:t>0.038</w:t>
            </w:r>
          </w:p>
        </w:tc>
      </w:tr>
    </w:tbl>
    <w:p w14:paraId="247C792B" w14:textId="276FFD26" w:rsidR="003D70B1" w:rsidRPr="00B63482" w:rsidRDefault="003D70B1" w:rsidP="003D70B1">
      <w:pPr>
        <w:ind w:left="-142" w:right="-205"/>
        <w:rPr>
          <w:rFonts w:ascii="Times New Roman" w:hAnsi="Times New Roman" w:cs="Times New Roman"/>
        </w:rPr>
      </w:pPr>
      <w:r w:rsidRPr="00B65579">
        <w:rPr>
          <w:rFonts w:ascii="Times New Roman" w:hAnsi="Times New Roman" w:cs="Times New Roman"/>
        </w:rPr>
        <w:t>*</w:t>
      </w:r>
      <w:r w:rsidRPr="00B65579">
        <w:rPr>
          <w:rFonts w:ascii="Times New Roman" w:hAnsi="Times New Roman" w:cs="Times New Roman"/>
          <w:i/>
        </w:rPr>
        <w:t>P</w:t>
      </w:r>
      <w:r w:rsidRPr="00B65579">
        <w:rPr>
          <w:rFonts w:ascii="Times New Roman" w:hAnsi="Times New Roman" w:cs="Times New Roman"/>
        </w:rPr>
        <w:t xml:space="preserve"> values are FWE corrected</w:t>
      </w:r>
      <w:r>
        <w:rPr>
          <w:rFonts w:ascii="Times New Roman" w:hAnsi="Times New Roman" w:cs="Times New Roman"/>
        </w:rPr>
        <w:t xml:space="preserve"> except for globus pallidus where </w:t>
      </w:r>
      <w:r w:rsidRPr="00F70F94">
        <w:rPr>
          <w:rFonts w:ascii="Times New Roman" w:hAnsi="Times New Roman" w:cs="Times New Roman"/>
          <w:i/>
        </w:rPr>
        <w:t>P</w:t>
      </w:r>
      <w:r>
        <w:rPr>
          <w:rFonts w:ascii="Times New Roman" w:hAnsi="Times New Roman" w:cs="Times New Roman"/>
        </w:rPr>
        <w:t xml:space="preserve"> values are uncorrected.</w:t>
      </w:r>
      <w:r w:rsidR="00B63482">
        <w:rPr>
          <w:rFonts w:ascii="Times New Roman" w:hAnsi="Times New Roman" w:cs="Times New Roman"/>
        </w:rPr>
        <w:t xml:space="preserve"> </w:t>
      </w:r>
    </w:p>
    <w:p w14:paraId="56412DE0" w14:textId="77777777" w:rsidR="003D70B1" w:rsidRDefault="003D70B1" w:rsidP="003D70B1">
      <w:pPr>
        <w:ind w:left="-142" w:right="-205"/>
        <w:rPr>
          <w:rFonts w:ascii="Times New Roman" w:hAnsi="Times New Roman" w:cs="Times New Roman"/>
        </w:rPr>
      </w:pPr>
    </w:p>
    <w:p w14:paraId="1D89E09D" w14:textId="77777777" w:rsidR="003D70B1" w:rsidRDefault="003D70B1" w:rsidP="003D70B1">
      <w:pPr>
        <w:ind w:left="-142" w:right="-205"/>
        <w:rPr>
          <w:rFonts w:ascii="Times New Roman" w:hAnsi="Times New Roman" w:cs="Times New Roman"/>
        </w:rPr>
      </w:pPr>
    </w:p>
    <w:p w14:paraId="4D7AB2A3" w14:textId="77777777" w:rsidR="003D70B1" w:rsidRPr="0072429B" w:rsidRDefault="003D70B1" w:rsidP="003D70B1">
      <w:pPr>
        <w:ind w:left="-142" w:right="-205" w:firstLine="142"/>
        <w:rPr>
          <w:rFonts w:ascii="Times New Roman" w:hAnsi="Times New Roman" w:cs="Times New Roman"/>
        </w:rPr>
      </w:pPr>
    </w:p>
    <w:p w14:paraId="1E4121FF" w14:textId="17044DEB" w:rsidR="004C3770" w:rsidRPr="00A91783" w:rsidRDefault="004C3770" w:rsidP="009101A4">
      <w:pPr>
        <w:spacing w:line="480" w:lineRule="auto"/>
        <w:jc w:val="both"/>
        <w:rPr>
          <w:rFonts w:ascii="Times New Roman" w:hAnsi="Times New Roman" w:cs="Times New Roman"/>
          <w:b/>
          <w:sz w:val="24"/>
          <w:szCs w:val="28"/>
        </w:rPr>
      </w:pPr>
    </w:p>
    <w:p w14:paraId="4ABA6FBE" w14:textId="77777777" w:rsidR="003D339E" w:rsidRPr="00A91783" w:rsidRDefault="003D339E" w:rsidP="00BC7A1E">
      <w:pPr>
        <w:spacing w:line="480" w:lineRule="auto"/>
        <w:jc w:val="both"/>
        <w:rPr>
          <w:rFonts w:ascii="Times New Roman" w:hAnsi="Times New Roman" w:cs="Times New Roman"/>
          <w:sz w:val="24"/>
          <w:szCs w:val="28"/>
        </w:rPr>
      </w:pPr>
    </w:p>
    <w:sectPr w:rsidR="003D339E" w:rsidRPr="00A91783" w:rsidSect="00C765BF">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23392" w14:textId="77777777" w:rsidR="00BC0F87" w:rsidRDefault="00BC0F87" w:rsidP="00521DA9">
      <w:pPr>
        <w:spacing w:after="0" w:line="240" w:lineRule="auto"/>
      </w:pPr>
      <w:r>
        <w:separator/>
      </w:r>
    </w:p>
  </w:endnote>
  <w:endnote w:type="continuationSeparator" w:id="0">
    <w:p w14:paraId="1FB0C80F" w14:textId="77777777" w:rsidR="00BC0F87" w:rsidRDefault="00BC0F87" w:rsidP="0052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C3B8" w14:textId="77777777" w:rsidR="00BC0F87" w:rsidRDefault="00BC0F87" w:rsidP="00521D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D5FDB" w14:textId="77777777" w:rsidR="00BC0F87" w:rsidRDefault="00BC0F87" w:rsidP="00521D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36B2A" w14:textId="77777777" w:rsidR="00BC0F87" w:rsidRDefault="00BC0F87" w:rsidP="00521DA9">
    <w:pPr>
      <w:pStyle w:val="Footer"/>
      <w:framePr w:wrap="around" w:vAnchor="text" w:hAnchor="margin" w:xAlign="right" w:y="1"/>
      <w:rPr>
        <w:rStyle w:val="PageNumber"/>
      </w:rPr>
    </w:pPr>
    <w:r w:rsidRPr="00521DA9">
      <w:rPr>
        <w:rStyle w:val="PageNumber"/>
        <w:rFonts w:ascii="Times New Roman" w:hAnsi="Times New Roman" w:cs="Times New Roman"/>
      </w:rPr>
      <w:fldChar w:fldCharType="begin"/>
    </w:r>
    <w:r w:rsidRPr="00521DA9">
      <w:rPr>
        <w:rStyle w:val="PageNumber"/>
        <w:rFonts w:ascii="Times New Roman" w:hAnsi="Times New Roman" w:cs="Times New Roman"/>
      </w:rPr>
      <w:instrText xml:space="preserve">PAGE  </w:instrText>
    </w:r>
    <w:r w:rsidRPr="00521DA9">
      <w:rPr>
        <w:rStyle w:val="PageNumber"/>
        <w:rFonts w:ascii="Times New Roman" w:hAnsi="Times New Roman" w:cs="Times New Roman"/>
      </w:rPr>
      <w:fldChar w:fldCharType="separate"/>
    </w:r>
    <w:r w:rsidR="00DA633D">
      <w:rPr>
        <w:rStyle w:val="PageNumber"/>
        <w:rFonts w:ascii="Times New Roman" w:hAnsi="Times New Roman" w:cs="Times New Roman"/>
        <w:noProof/>
      </w:rPr>
      <w:t>1</w:t>
    </w:r>
    <w:r w:rsidRPr="00521DA9">
      <w:rPr>
        <w:rStyle w:val="PageNumber"/>
        <w:rFonts w:ascii="Times New Roman" w:hAnsi="Times New Roman" w:cs="Times New Roman"/>
      </w:rPr>
      <w:fldChar w:fldCharType="end"/>
    </w:r>
  </w:p>
  <w:p w14:paraId="37731256" w14:textId="77777777" w:rsidR="00BC0F87" w:rsidRDefault="00BC0F87" w:rsidP="00521DA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10DE2" w14:textId="77777777" w:rsidR="00BC0F87" w:rsidRDefault="00BC0F87" w:rsidP="00521D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49BFD" w14:textId="77777777" w:rsidR="00BC0F87" w:rsidRDefault="00BC0F87" w:rsidP="00521DA9">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83C2B" w14:textId="77777777" w:rsidR="00BC0F87" w:rsidRDefault="00BC0F87" w:rsidP="00521DA9">
    <w:pPr>
      <w:pStyle w:val="Footer"/>
      <w:framePr w:wrap="around" w:vAnchor="text" w:hAnchor="margin" w:xAlign="right" w:y="1"/>
      <w:rPr>
        <w:rStyle w:val="PageNumber"/>
      </w:rPr>
    </w:pPr>
    <w:r w:rsidRPr="00521DA9">
      <w:rPr>
        <w:rStyle w:val="PageNumber"/>
        <w:rFonts w:ascii="Times New Roman" w:hAnsi="Times New Roman" w:cs="Times New Roman"/>
      </w:rPr>
      <w:fldChar w:fldCharType="begin"/>
    </w:r>
    <w:r w:rsidRPr="00521DA9">
      <w:rPr>
        <w:rStyle w:val="PageNumber"/>
        <w:rFonts w:ascii="Times New Roman" w:hAnsi="Times New Roman" w:cs="Times New Roman"/>
      </w:rPr>
      <w:instrText xml:space="preserve">PAGE  </w:instrText>
    </w:r>
    <w:r w:rsidRPr="00521DA9">
      <w:rPr>
        <w:rStyle w:val="PageNumber"/>
        <w:rFonts w:ascii="Times New Roman" w:hAnsi="Times New Roman" w:cs="Times New Roman"/>
      </w:rPr>
      <w:fldChar w:fldCharType="separate"/>
    </w:r>
    <w:r w:rsidR="00DA633D">
      <w:rPr>
        <w:rStyle w:val="PageNumber"/>
        <w:rFonts w:ascii="Times New Roman" w:hAnsi="Times New Roman" w:cs="Times New Roman"/>
        <w:noProof/>
      </w:rPr>
      <w:t>38</w:t>
    </w:r>
    <w:r w:rsidRPr="00521DA9">
      <w:rPr>
        <w:rStyle w:val="PageNumber"/>
        <w:rFonts w:ascii="Times New Roman" w:hAnsi="Times New Roman" w:cs="Times New Roman"/>
      </w:rPr>
      <w:fldChar w:fldCharType="end"/>
    </w:r>
  </w:p>
  <w:p w14:paraId="68A322BB" w14:textId="77777777" w:rsidR="00BC0F87" w:rsidRDefault="00BC0F87" w:rsidP="00521DA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29C0B" w14:textId="77777777" w:rsidR="00BC0F87" w:rsidRDefault="00BC0F87" w:rsidP="00521DA9">
      <w:pPr>
        <w:spacing w:after="0" w:line="240" w:lineRule="auto"/>
      </w:pPr>
      <w:r>
        <w:separator/>
      </w:r>
    </w:p>
  </w:footnote>
  <w:footnote w:type="continuationSeparator" w:id="0">
    <w:p w14:paraId="7EF45218" w14:textId="77777777" w:rsidR="00BC0F87" w:rsidRDefault="00BC0F87" w:rsidP="00521DA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5B17"/>
    <w:multiLevelType w:val="hybridMultilevel"/>
    <w:tmpl w:val="76120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E6D42"/>
    <w:multiLevelType w:val="hybridMultilevel"/>
    <w:tmpl w:val="B4F80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F4123"/>
    <w:multiLevelType w:val="hybridMultilevel"/>
    <w:tmpl w:val="5D723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151F0"/>
    <w:multiLevelType w:val="hybridMultilevel"/>
    <w:tmpl w:val="40FC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854B5A"/>
    <w:multiLevelType w:val="hybridMultilevel"/>
    <w:tmpl w:val="E52E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A9"/>
    <w:rsid w:val="00002C55"/>
    <w:rsid w:val="00002F2E"/>
    <w:rsid w:val="000030E1"/>
    <w:rsid w:val="000042BC"/>
    <w:rsid w:val="0000477A"/>
    <w:rsid w:val="00005C80"/>
    <w:rsid w:val="00006BA5"/>
    <w:rsid w:val="00017D02"/>
    <w:rsid w:val="00027397"/>
    <w:rsid w:val="00030553"/>
    <w:rsid w:val="00031483"/>
    <w:rsid w:val="00031ACC"/>
    <w:rsid w:val="000320EC"/>
    <w:rsid w:val="00033ED0"/>
    <w:rsid w:val="0003545C"/>
    <w:rsid w:val="00035ADB"/>
    <w:rsid w:val="000360B8"/>
    <w:rsid w:val="00036CBD"/>
    <w:rsid w:val="000407D8"/>
    <w:rsid w:val="00041637"/>
    <w:rsid w:val="00041928"/>
    <w:rsid w:val="00041990"/>
    <w:rsid w:val="00041C4D"/>
    <w:rsid w:val="00044B40"/>
    <w:rsid w:val="0004545A"/>
    <w:rsid w:val="00046ACF"/>
    <w:rsid w:val="00047353"/>
    <w:rsid w:val="0005078F"/>
    <w:rsid w:val="000529A1"/>
    <w:rsid w:val="0005377C"/>
    <w:rsid w:val="00053B09"/>
    <w:rsid w:val="00055CB2"/>
    <w:rsid w:val="00056082"/>
    <w:rsid w:val="00057D2C"/>
    <w:rsid w:val="00060001"/>
    <w:rsid w:val="00061E53"/>
    <w:rsid w:val="00063BA9"/>
    <w:rsid w:val="00065784"/>
    <w:rsid w:val="00074677"/>
    <w:rsid w:val="000767DE"/>
    <w:rsid w:val="00082B73"/>
    <w:rsid w:val="00083895"/>
    <w:rsid w:val="000844C9"/>
    <w:rsid w:val="000846B7"/>
    <w:rsid w:val="000855E1"/>
    <w:rsid w:val="00087875"/>
    <w:rsid w:val="00092EBF"/>
    <w:rsid w:val="00094760"/>
    <w:rsid w:val="000965A3"/>
    <w:rsid w:val="0009715B"/>
    <w:rsid w:val="000A2A92"/>
    <w:rsid w:val="000A3E03"/>
    <w:rsid w:val="000A5160"/>
    <w:rsid w:val="000A60BF"/>
    <w:rsid w:val="000A6A14"/>
    <w:rsid w:val="000A77DD"/>
    <w:rsid w:val="000B158D"/>
    <w:rsid w:val="000B690D"/>
    <w:rsid w:val="000C00DE"/>
    <w:rsid w:val="000C0A8E"/>
    <w:rsid w:val="000C0D5C"/>
    <w:rsid w:val="000C2A54"/>
    <w:rsid w:val="000C4B12"/>
    <w:rsid w:val="000D182B"/>
    <w:rsid w:val="000D2A85"/>
    <w:rsid w:val="000D4CB3"/>
    <w:rsid w:val="000D5EAE"/>
    <w:rsid w:val="000D7269"/>
    <w:rsid w:val="000E218C"/>
    <w:rsid w:val="000E39E9"/>
    <w:rsid w:val="000E4029"/>
    <w:rsid w:val="000E45BA"/>
    <w:rsid w:val="000E60FE"/>
    <w:rsid w:val="000E6DB9"/>
    <w:rsid w:val="000E756C"/>
    <w:rsid w:val="000E78F1"/>
    <w:rsid w:val="000F03FB"/>
    <w:rsid w:val="000F21F2"/>
    <w:rsid w:val="000F303F"/>
    <w:rsid w:val="000F68A7"/>
    <w:rsid w:val="000F6BE3"/>
    <w:rsid w:val="000F74E3"/>
    <w:rsid w:val="000F7803"/>
    <w:rsid w:val="000F7B22"/>
    <w:rsid w:val="00100854"/>
    <w:rsid w:val="00103276"/>
    <w:rsid w:val="00107662"/>
    <w:rsid w:val="001077B1"/>
    <w:rsid w:val="00107AD1"/>
    <w:rsid w:val="001100C0"/>
    <w:rsid w:val="0011052B"/>
    <w:rsid w:val="0011133B"/>
    <w:rsid w:val="00115237"/>
    <w:rsid w:val="00116CAF"/>
    <w:rsid w:val="00116DF4"/>
    <w:rsid w:val="00122B2D"/>
    <w:rsid w:val="00124BD9"/>
    <w:rsid w:val="00125A6B"/>
    <w:rsid w:val="001261E8"/>
    <w:rsid w:val="001270C9"/>
    <w:rsid w:val="00127D01"/>
    <w:rsid w:val="0013242A"/>
    <w:rsid w:val="00134340"/>
    <w:rsid w:val="001346E9"/>
    <w:rsid w:val="00136626"/>
    <w:rsid w:val="00137DC2"/>
    <w:rsid w:val="00141289"/>
    <w:rsid w:val="00143689"/>
    <w:rsid w:val="00143887"/>
    <w:rsid w:val="00144571"/>
    <w:rsid w:val="001517E0"/>
    <w:rsid w:val="00151EBD"/>
    <w:rsid w:val="0015449E"/>
    <w:rsid w:val="00163F45"/>
    <w:rsid w:val="00164966"/>
    <w:rsid w:val="00172D7A"/>
    <w:rsid w:val="00173A71"/>
    <w:rsid w:val="00173DA4"/>
    <w:rsid w:val="00175232"/>
    <w:rsid w:val="001752CA"/>
    <w:rsid w:val="00176538"/>
    <w:rsid w:val="00176A01"/>
    <w:rsid w:val="0017701A"/>
    <w:rsid w:val="00180108"/>
    <w:rsid w:val="001814C5"/>
    <w:rsid w:val="0018256A"/>
    <w:rsid w:val="00183BCA"/>
    <w:rsid w:val="0018568B"/>
    <w:rsid w:val="00186F73"/>
    <w:rsid w:val="00187A2C"/>
    <w:rsid w:val="001911B8"/>
    <w:rsid w:val="00191532"/>
    <w:rsid w:val="00195AC5"/>
    <w:rsid w:val="00195CA2"/>
    <w:rsid w:val="001A1AF8"/>
    <w:rsid w:val="001A1B68"/>
    <w:rsid w:val="001A2BC5"/>
    <w:rsid w:val="001A677A"/>
    <w:rsid w:val="001A7327"/>
    <w:rsid w:val="001B0F99"/>
    <w:rsid w:val="001B14BC"/>
    <w:rsid w:val="001B18BA"/>
    <w:rsid w:val="001B58AC"/>
    <w:rsid w:val="001C163D"/>
    <w:rsid w:val="001C22FA"/>
    <w:rsid w:val="001C3767"/>
    <w:rsid w:val="001C3819"/>
    <w:rsid w:val="001D0729"/>
    <w:rsid w:val="001D1416"/>
    <w:rsid w:val="001E07BB"/>
    <w:rsid w:val="001E23F4"/>
    <w:rsid w:val="001E2916"/>
    <w:rsid w:val="001F074B"/>
    <w:rsid w:val="001F17EF"/>
    <w:rsid w:val="001F3936"/>
    <w:rsid w:val="001F5124"/>
    <w:rsid w:val="001F5242"/>
    <w:rsid w:val="001F5F1A"/>
    <w:rsid w:val="001F7802"/>
    <w:rsid w:val="001F7B1C"/>
    <w:rsid w:val="001F7E82"/>
    <w:rsid w:val="00200375"/>
    <w:rsid w:val="00206FB7"/>
    <w:rsid w:val="00210157"/>
    <w:rsid w:val="0021188F"/>
    <w:rsid w:val="0021214F"/>
    <w:rsid w:val="002171F3"/>
    <w:rsid w:val="0022133C"/>
    <w:rsid w:val="0022257C"/>
    <w:rsid w:val="0022401C"/>
    <w:rsid w:val="00226D11"/>
    <w:rsid w:val="00230CE5"/>
    <w:rsid w:val="002364CA"/>
    <w:rsid w:val="002401F4"/>
    <w:rsid w:val="0024284E"/>
    <w:rsid w:val="00245244"/>
    <w:rsid w:val="00246BA4"/>
    <w:rsid w:val="002507CE"/>
    <w:rsid w:val="00252C06"/>
    <w:rsid w:val="00253DD3"/>
    <w:rsid w:val="002559B7"/>
    <w:rsid w:val="0025620C"/>
    <w:rsid w:val="00257A8F"/>
    <w:rsid w:val="00261E55"/>
    <w:rsid w:val="002622A2"/>
    <w:rsid w:val="002632A5"/>
    <w:rsid w:val="002635BB"/>
    <w:rsid w:val="00267864"/>
    <w:rsid w:val="0027053B"/>
    <w:rsid w:val="00271B0D"/>
    <w:rsid w:val="00273285"/>
    <w:rsid w:val="00274AEA"/>
    <w:rsid w:val="00275DA4"/>
    <w:rsid w:val="00276D6E"/>
    <w:rsid w:val="002826D7"/>
    <w:rsid w:val="00283F40"/>
    <w:rsid w:val="00291233"/>
    <w:rsid w:val="002924C2"/>
    <w:rsid w:val="00292A6A"/>
    <w:rsid w:val="00292F26"/>
    <w:rsid w:val="002930D1"/>
    <w:rsid w:val="0029497B"/>
    <w:rsid w:val="00294EA8"/>
    <w:rsid w:val="00295414"/>
    <w:rsid w:val="002A131B"/>
    <w:rsid w:val="002B0BCE"/>
    <w:rsid w:val="002B1113"/>
    <w:rsid w:val="002B1501"/>
    <w:rsid w:val="002B2AFD"/>
    <w:rsid w:val="002B628E"/>
    <w:rsid w:val="002C1E8A"/>
    <w:rsid w:val="002D102F"/>
    <w:rsid w:val="002D2787"/>
    <w:rsid w:val="002D37CF"/>
    <w:rsid w:val="002D43E3"/>
    <w:rsid w:val="002E6BAD"/>
    <w:rsid w:val="002E7804"/>
    <w:rsid w:val="002F0A71"/>
    <w:rsid w:val="002F2265"/>
    <w:rsid w:val="002F2810"/>
    <w:rsid w:val="002F648D"/>
    <w:rsid w:val="003061F5"/>
    <w:rsid w:val="003062F0"/>
    <w:rsid w:val="00306F00"/>
    <w:rsid w:val="00313EAC"/>
    <w:rsid w:val="003175CD"/>
    <w:rsid w:val="003205F5"/>
    <w:rsid w:val="003208E8"/>
    <w:rsid w:val="00324BA9"/>
    <w:rsid w:val="00327ABF"/>
    <w:rsid w:val="00334EB8"/>
    <w:rsid w:val="00337550"/>
    <w:rsid w:val="00340300"/>
    <w:rsid w:val="003416ED"/>
    <w:rsid w:val="00344684"/>
    <w:rsid w:val="00345F61"/>
    <w:rsid w:val="00347858"/>
    <w:rsid w:val="00347D44"/>
    <w:rsid w:val="0035381E"/>
    <w:rsid w:val="00362DC2"/>
    <w:rsid w:val="00365829"/>
    <w:rsid w:val="0036636B"/>
    <w:rsid w:val="00366B84"/>
    <w:rsid w:val="00375142"/>
    <w:rsid w:val="00376273"/>
    <w:rsid w:val="00381357"/>
    <w:rsid w:val="00382025"/>
    <w:rsid w:val="003828A6"/>
    <w:rsid w:val="00387ED5"/>
    <w:rsid w:val="00394AEF"/>
    <w:rsid w:val="003A2E8C"/>
    <w:rsid w:val="003A6504"/>
    <w:rsid w:val="003A6D88"/>
    <w:rsid w:val="003B0A95"/>
    <w:rsid w:val="003B628E"/>
    <w:rsid w:val="003C26FA"/>
    <w:rsid w:val="003C7152"/>
    <w:rsid w:val="003C7DFA"/>
    <w:rsid w:val="003D0ED4"/>
    <w:rsid w:val="003D12CA"/>
    <w:rsid w:val="003D1CCA"/>
    <w:rsid w:val="003D339E"/>
    <w:rsid w:val="003D377F"/>
    <w:rsid w:val="003D4BC5"/>
    <w:rsid w:val="003D5A4D"/>
    <w:rsid w:val="003D70B1"/>
    <w:rsid w:val="003E06D7"/>
    <w:rsid w:val="003E1ECD"/>
    <w:rsid w:val="003E46C5"/>
    <w:rsid w:val="003E68AA"/>
    <w:rsid w:val="003F0D09"/>
    <w:rsid w:val="003F11E8"/>
    <w:rsid w:val="003F3179"/>
    <w:rsid w:val="003F3429"/>
    <w:rsid w:val="003F4F6D"/>
    <w:rsid w:val="003F5C30"/>
    <w:rsid w:val="003F5D8D"/>
    <w:rsid w:val="003F6759"/>
    <w:rsid w:val="003F71CC"/>
    <w:rsid w:val="00400646"/>
    <w:rsid w:val="00401282"/>
    <w:rsid w:val="004043DF"/>
    <w:rsid w:val="00411A46"/>
    <w:rsid w:val="00415512"/>
    <w:rsid w:val="00417EBC"/>
    <w:rsid w:val="0042137D"/>
    <w:rsid w:val="00423659"/>
    <w:rsid w:val="00425949"/>
    <w:rsid w:val="004259B1"/>
    <w:rsid w:val="00426058"/>
    <w:rsid w:val="00426868"/>
    <w:rsid w:val="00430361"/>
    <w:rsid w:val="00430508"/>
    <w:rsid w:val="0043157C"/>
    <w:rsid w:val="00431D40"/>
    <w:rsid w:val="00433F58"/>
    <w:rsid w:val="00437AFB"/>
    <w:rsid w:val="00442B2D"/>
    <w:rsid w:val="004471B1"/>
    <w:rsid w:val="0045000A"/>
    <w:rsid w:val="0045053D"/>
    <w:rsid w:val="00455C61"/>
    <w:rsid w:val="00457E6E"/>
    <w:rsid w:val="00461058"/>
    <w:rsid w:val="004611FB"/>
    <w:rsid w:val="00461C66"/>
    <w:rsid w:val="00463A56"/>
    <w:rsid w:val="00463A77"/>
    <w:rsid w:val="004654E0"/>
    <w:rsid w:val="00466126"/>
    <w:rsid w:val="004720A3"/>
    <w:rsid w:val="004730D3"/>
    <w:rsid w:val="00481BF8"/>
    <w:rsid w:val="00483EC7"/>
    <w:rsid w:val="004930CE"/>
    <w:rsid w:val="00494614"/>
    <w:rsid w:val="00494F77"/>
    <w:rsid w:val="004973E9"/>
    <w:rsid w:val="004A0026"/>
    <w:rsid w:val="004A003A"/>
    <w:rsid w:val="004A0B3C"/>
    <w:rsid w:val="004A27F6"/>
    <w:rsid w:val="004A3789"/>
    <w:rsid w:val="004A4784"/>
    <w:rsid w:val="004A58A3"/>
    <w:rsid w:val="004A5917"/>
    <w:rsid w:val="004A69AB"/>
    <w:rsid w:val="004A7F88"/>
    <w:rsid w:val="004B5B2D"/>
    <w:rsid w:val="004B7D57"/>
    <w:rsid w:val="004C085D"/>
    <w:rsid w:val="004C105D"/>
    <w:rsid w:val="004C1B55"/>
    <w:rsid w:val="004C3770"/>
    <w:rsid w:val="004C3F66"/>
    <w:rsid w:val="004C44FF"/>
    <w:rsid w:val="004C6E7C"/>
    <w:rsid w:val="004C7970"/>
    <w:rsid w:val="004D427A"/>
    <w:rsid w:val="004D476D"/>
    <w:rsid w:val="004D49EB"/>
    <w:rsid w:val="004D4B5F"/>
    <w:rsid w:val="004D4E2F"/>
    <w:rsid w:val="004E4A1F"/>
    <w:rsid w:val="004E69FB"/>
    <w:rsid w:val="004E6B28"/>
    <w:rsid w:val="004F1FE7"/>
    <w:rsid w:val="004F3F9A"/>
    <w:rsid w:val="004F4497"/>
    <w:rsid w:val="004F453C"/>
    <w:rsid w:val="004F7FF1"/>
    <w:rsid w:val="0050012F"/>
    <w:rsid w:val="00501778"/>
    <w:rsid w:val="00502995"/>
    <w:rsid w:val="005133C0"/>
    <w:rsid w:val="0051555E"/>
    <w:rsid w:val="005206DB"/>
    <w:rsid w:val="00521DA9"/>
    <w:rsid w:val="00523257"/>
    <w:rsid w:val="0052338B"/>
    <w:rsid w:val="00523B85"/>
    <w:rsid w:val="00524519"/>
    <w:rsid w:val="00525842"/>
    <w:rsid w:val="005272C2"/>
    <w:rsid w:val="0053030C"/>
    <w:rsid w:val="0053059A"/>
    <w:rsid w:val="00530BAD"/>
    <w:rsid w:val="0053353E"/>
    <w:rsid w:val="0054411C"/>
    <w:rsid w:val="00545837"/>
    <w:rsid w:val="005467B6"/>
    <w:rsid w:val="005468CA"/>
    <w:rsid w:val="00554ED5"/>
    <w:rsid w:val="00556302"/>
    <w:rsid w:val="00556857"/>
    <w:rsid w:val="00556DCA"/>
    <w:rsid w:val="00557E1F"/>
    <w:rsid w:val="00562FE9"/>
    <w:rsid w:val="00570758"/>
    <w:rsid w:val="00573365"/>
    <w:rsid w:val="005734A5"/>
    <w:rsid w:val="00575E9E"/>
    <w:rsid w:val="0057600C"/>
    <w:rsid w:val="00585879"/>
    <w:rsid w:val="00585D8B"/>
    <w:rsid w:val="00591266"/>
    <w:rsid w:val="00597AA1"/>
    <w:rsid w:val="005A2673"/>
    <w:rsid w:val="005A2720"/>
    <w:rsid w:val="005A2805"/>
    <w:rsid w:val="005A5BF9"/>
    <w:rsid w:val="005A5F10"/>
    <w:rsid w:val="005A771E"/>
    <w:rsid w:val="005B087A"/>
    <w:rsid w:val="005B4231"/>
    <w:rsid w:val="005B5001"/>
    <w:rsid w:val="005B59B4"/>
    <w:rsid w:val="005B689C"/>
    <w:rsid w:val="005B6D38"/>
    <w:rsid w:val="005B7AA2"/>
    <w:rsid w:val="005C1481"/>
    <w:rsid w:val="005C217C"/>
    <w:rsid w:val="005C33BA"/>
    <w:rsid w:val="005C37AD"/>
    <w:rsid w:val="005C4F30"/>
    <w:rsid w:val="005C787C"/>
    <w:rsid w:val="005D02C3"/>
    <w:rsid w:val="005D1450"/>
    <w:rsid w:val="005D3F19"/>
    <w:rsid w:val="005D495F"/>
    <w:rsid w:val="005D51CD"/>
    <w:rsid w:val="005D5811"/>
    <w:rsid w:val="005D6CB6"/>
    <w:rsid w:val="005D6E18"/>
    <w:rsid w:val="005E0363"/>
    <w:rsid w:val="005E57C8"/>
    <w:rsid w:val="005F06DF"/>
    <w:rsid w:val="005F1C2A"/>
    <w:rsid w:val="005F233B"/>
    <w:rsid w:val="005F40BA"/>
    <w:rsid w:val="0060110D"/>
    <w:rsid w:val="006023F4"/>
    <w:rsid w:val="00603819"/>
    <w:rsid w:val="00604B28"/>
    <w:rsid w:val="006068CD"/>
    <w:rsid w:val="0061212B"/>
    <w:rsid w:val="00612684"/>
    <w:rsid w:val="00613216"/>
    <w:rsid w:val="006207DB"/>
    <w:rsid w:val="006250A8"/>
    <w:rsid w:val="006256B7"/>
    <w:rsid w:val="006301D4"/>
    <w:rsid w:val="00630CBD"/>
    <w:rsid w:val="00632EC6"/>
    <w:rsid w:val="00633DB5"/>
    <w:rsid w:val="00634FC7"/>
    <w:rsid w:val="006374D4"/>
    <w:rsid w:val="006379CE"/>
    <w:rsid w:val="00641CD3"/>
    <w:rsid w:val="0064227B"/>
    <w:rsid w:val="0064571E"/>
    <w:rsid w:val="00645BEA"/>
    <w:rsid w:val="006476ED"/>
    <w:rsid w:val="0065494D"/>
    <w:rsid w:val="00656897"/>
    <w:rsid w:val="006607BD"/>
    <w:rsid w:val="006607CB"/>
    <w:rsid w:val="00660C9F"/>
    <w:rsid w:val="006639C9"/>
    <w:rsid w:val="006652D8"/>
    <w:rsid w:val="00666A03"/>
    <w:rsid w:val="00667394"/>
    <w:rsid w:val="0066779A"/>
    <w:rsid w:val="00671718"/>
    <w:rsid w:val="006776C0"/>
    <w:rsid w:val="006803DC"/>
    <w:rsid w:val="00681216"/>
    <w:rsid w:val="00687B11"/>
    <w:rsid w:val="00690B77"/>
    <w:rsid w:val="00693353"/>
    <w:rsid w:val="006945C0"/>
    <w:rsid w:val="006A0888"/>
    <w:rsid w:val="006A2FFC"/>
    <w:rsid w:val="006A75CC"/>
    <w:rsid w:val="006B318A"/>
    <w:rsid w:val="006B4297"/>
    <w:rsid w:val="006B499D"/>
    <w:rsid w:val="006B548E"/>
    <w:rsid w:val="006C028B"/>
    <w:rsid w:val="006C4B74"/>
    <w:rsid w:val="006C5C00"/>
    <w:rsid w:val="006C6661"/>
    <w:rsid w:val="006C6A72"/>
    <w:rsid w:val="006D16A8"/>
    <w:rsid w:val="006D1F35"/>
    <w:rsid w:val="006D3285"/>
    <w:rsid w:val="006D4E91"/>
    <w:rsid w:val="006D6273"/>
    <w:rsid w:val="006E25A1"/>
    <w:rsid w:val="006E43A9"/>
    <w:rsid w:val="006E7AE3"/>
    <w:rsid w:val="006F2405"/>
    <w:rsid w:val="006F5116"/>
    <w:rsid w:val="00701B4B"/>
    <w:rsid w:val="00703AA7"/>
    <w:rsid w:val="007107D0"/>
    <w:rsid w:val="00712D85"/>
    <w:rsid w:val="0071720F"/>
    <w:rsid w:val="0072452B"/>
    <w:rsid w:val="00725DA7"/>
    <w:rsid w:val="0072756C"/>
    <w:rsid w:val="007300B2"/>
    <w:rsid w:val="00731191"/>
    <w:rsid w:val="007311D4"/>
    <w:rsid w:val="007331C7"/>
    <w:rsid w:val="00733733"/>
    <w:rsid w:val="00733FFB"/>
    <w:rsid w:val="00740E93"/>
    <w:rsid w:val="00746F74"/>
    <w:rsid w:val="00750491"/>
    <w:rsid w:val="00752590"/>
    <w:rsid w:val="00755B7D"/>
    <w:rsid w:val="00760772"/>
    <w:rsid w:val="00761E78"/>
    <w:rsid w:val="0076237A"/>
    <w:rsid w:val="0076290F"/>
    <w:rsid w:val="00763DBB"/>
    <w:rsid w:val="0077062D"/>
    <w:rsid w:val="00775B2F"/>
    <w:rsid w:val="00777B9D"/>
    <w:rsid w:val="00780FFE"/>
    <w:rsid w:val="00781EA7"/>
    <w:rsid w:val="00783D21"/>
    <w:rsid w:val="00784A3E"/>
    <w:rsid w:val="0078586A"/>
    <w:rsid w:val="00785DAF"/>
    <w:rsid w:val="00787872"/>
    <w:rsid w:val="00790DC8"/>
    <w:rsid w:val="00793071"/>
    <w:rsid w:val="00794800"/>
    <w:rsid w:val="007A1828"/>
    <w:rsid w:val="007A694A"/>
    <w:rsid w:val="007B0242"/>
    <w:rsid w:val="007B5961"/>
    <w:rsid w:val="007B5972"/>
    <w:rsid w:val="007B5B03"/>
    <w:rsid w:val="007C2EF1"/>
    <w:rsid w:val="007C3A26"/>
    <w:rsid w:val="007C3BFB"/>
    <w:rsid w:val="007C5CBE"/>
    <w:rsid w:val="007C7AF3"/>
    <w:rsid w:val="007D1770"/>
    <w:rsid w:val="007D45D0"/>
    <w:rsid w:val="007D610B"/>
    <w:rsid w:val="007E0030"/>
    <w:rsid w:val="007E095C"/>
    <w:rsid w:val="007E6A66"/>
    <w:rsid w:val="007E6F43"/>
    <w:rsid w:val="007E7574"/>
    <w:rsid w:val="007F35D3"/>
    <w:rsid w:val="007F5A4F"/>
    <w:rsid w:val="007F6232"/>
    <w:rsid w:val="007F646A"/>
    <w:rsid w:val="007F6DED"/>
    <w:rsid w:val="007F7DB9"/>
    <w:rsid w:val="00802507"/>
    <w:rsid w:val="00806688"/>
    <w:rsid w:val="0080697F"/>
    <w:rsid w:val="00806D7E"/>
    <w:rsid w:val="008073BD"/>
    <w:rsid w:val="00811009"/>
    <w:rsid w:val="00816535"/>
    <w:rsid w:val="00825140"/>
    <w:rsid w:val="00825E46"/>
    <w:rsid w:val="0082612A"/>
    <w:rsid w:val="00826510"/>
    <w:rsid w:val="0082689B"/>
    <w:rsid w:val="00832748"/>
    <w:rsid w:val="00837625"/>
    <w:rsid w:val="0084182F"/>
    <w:rsid w:val="00850212"/>
    <w:rsid w:val="00850C54"/>
    <w:rsid w:val="008526AF"/>
    <w:rsid w:val="00860447"/>
    <w:rsid w:val="00861462"/>
    <w:rsid w:val="00861613"/>
    <w:rsid w:val="0086274C"/>
    <w:rsid w:val="00864805"/>
    <w:rsid w:val="00864F66"/>
    <w:rsid w:val="008657DA"/>
    <w:rsid w:val="00865880"/>
    <w:rsid w:val="00866304"/>
    <w:rsid w:val="00866BD7"/>
    <w:rsid w:val="00867367"/>
    <w:rsid w:val="00870E87"/>
    <w:rsid w:val="00872863"/>
    <w:rsid w:val="00873481"/>
    <w:rsid w:val="008739EB"/>
    <w:rsid w:val="0087579C"/>
    <w:rsid w:val="00876B1D"/>
    <w:rsid w:val="008770F0"/>
    <w:rsid w:val="00880DEA"/>
    <w:rsid w:val="00882FA0"/>
    <w:rsid w:val="00883F47"/>
    <w:rsid w:val="00885A22"/>
    <w:rsid w:val="00886FCF"/>
    <w:rsid w:val="00891D58"/>
    <w:rsid w:val="008973C9"/>
    <w:rsid w:val="0089768B"/>
    <w:rsid w:val="008A6A80"/>
    <w:rsid w:val="008A70AD"/>
    <w:rsid w:val="008B1B81"/>
    <w:rsid w:val="008B6399"/>
    <w:rsid w:val="008B6D0C"/>
    <w:rsid w:val="008B75B9"/>
    <w:rsid w:val="008C0A47"/>
    <w:rsid w:val="008C1303"/>
    <w:rsid w:val="008C3974"/>
    <w:rsid w:val="008C3CA6"/>
    <w:rsid w:val="008C46A9"/>
    <w:rsid w:val="008C4869"/>
    <w:rsid w:val="008C5C8C"/>
    <w:rsid w:val="008C6D00"/>
    <w:rsid w:val="008D0142"/>
    <w:rsid w:val="008D32A9"/>
    <w:rsid w:val="008D4831"/>
    <w:rsid w:val="008D53D2"/>
    <w:rsid w:val="008D64B9"/>
    <w:rsid w:val="008E01CD"/>
    <w:rsid w:val="008E1199"/>
    <w:rsid w:val="008E1A78"/>
    <w:rsid w:val="008E2C75"/>
    <w:rsid w:val="008E488C"/>
    <w:rsid w:val="008E56AB"/>
    <w:rsid w:val="008E5A6E"/>
    <w:rsid w:val="008E5C98"/>
    <w:rsid w:val="008F40B8"/>
    <w:rsid w:val="008F4EBE"/>
    <w:rsid w:val="0090516A"/>
    <w:rsid w:val="009101A4"/>
    <w:rsid w:val="0091062C"/>
    <w:rsid w:val="00914BCC"/>
    <w:rsid w:val="00914CE7"/>
    <w:rsid w:val="00920BF6"/>
    <w:rsid w:val="00921464"/>
    <w:rsid w:val="00922912"/>
    <w:rsid w:val="009233B3"/>
    <w:rsid w:val="00923EFB"/>
    <w:rsid w:val="0092573E"/>
    <w:rsid w:val="00932158"/>
    <w:rsid w:val="009337F8"/>
    <w:rsid w:val="009339E3"/>
    <w:rsid w:val="00933D6F"/>
    <w:rsid w:val="00935170"/>
    <w:rsid w:val="009352CD"/>
    <w:rsid w:val="00954D4F"/>
    <w:rsid w:val="00956E76"/>
    <w:rsid w:val="00956F98"/>
    <w:rsid w:val="00962CC9"/>
    <w:rsid w:val="00962F01"/>
    <w:rsid w:val="0096554F"/>
    <w:rsid w:val="009658B9"/>
    <w:rsid w:val="00965F0C"/>
    <w:rsid w:val="00974FD0"/>
    <w:rsid w:val="0097564C"/>
    <w:rsid w:val="00975D9F"/>
    <w:rsid w:val="00975F21"/>
    <w:rsid w:val="00977223"/>
    <w:rsid w:val="00980262"/>
    <w:rsid w:val="0098520B"/>
    <w:rsid w:val="00985A73"/>
    <w:rsid w:val="009867E8"/>
    <w:rsid w:val="00992BC3"/>
    <w:rsid w:val="00994CD8"/>
    <w:rsid w:val="009957E6"/>
    <w:rsid w:val="00995A75"/>
    <w:rsid w:val="00995DE2"/>
    <w:rsid w:val="00995F26"/>
    <w:rsid w:val="00997679"/>
    <w:rsid w:val="009A07B2"/>
    <w:rsid w:val="009A11AC"/>
    <w:rsid w:val="009A758C"/>
    <w:rsid w:val="009B07B4"/>
    <w:rsid w:val="009B3141"/>
    <w:rsid w:val="009B3C11"/>
    <w:rsid w:val="009B72AF"/>
    <w:rsid w:val="009B7A29"/>
    <w:rsid w:val="009C06BF"/>
    <w:rsid w:val="009C18CD"/>
    <w:rsid w:val="009C1F18"/>
    <w:rsid w:val="009C4E5E"/>
    <w:rsid w:val="009C62E9"/>
    <w:rsid w:val="009D03BD"/>
    <w:rsid w:val="009D35D6"/>
    <w:rsid w:val="009D44A9"/>
    <w:rsid w:val="009D4B25"/>
    <w:rsid w:val="009E3AC6"/>
    <w:rsid w:val="009E6251"/>
    <w:rsid w:val="009F46A8"/>
    <w:rsid w:val="00A0557B"/>
    <w:rsid w:val="00A05878"/>
    <w:rsid w:val="00A11664"/>
    <w:rsid w:val="00A118C3"/>
    <w:rsid w:val="00A149E5"/>
    <w:rsid w:val="00A174EA"/>
    <w:rsid w:val="00A23EBD"/>
    <w:rsid w:val="00A24D3C"/>
    <w:rsid w:val="00A30E54"/>
    <w:rsid w:val="00A3119C"/>
    <w:rsid w:val="00A31D38"/>
    <w:rsid w:val="00A3391D"/>
    <w:rsid w:val="00A33C9E"/>
    <w:rsid w:val="00A33D8F"/>
    <w:rsid w:val="00A35318"/>
    <w:rsid w:val="00A359D2"/>
    <w:rsid w:val="00A43BE0"/>
    <w:rsid w:val="00A4478A"/>
    <w:rsid w:val="00A448FF"/>
    <w:rsid w:val="00A45412"/>
    <w:rsid w:val="00A458B2"/>
    <w:rsid w:val="00A45905"/>
    <w:rsid w:val="00A50ACE"/>
    <w:rsid w:val="00A50FF9"/>
    <w:rsid w:val="00A516CB"/>
    <w:rsid w:val="00A533A9"/>
    <w:rsid w:val="00A542E7"/>
    <w:rsid w:val="00A54DB9"/>
    <w:rsid w:val="00A61713"/>
    <w:rsid w:val="00A67268"/>
    <w:rsid w:val="00A75401"/>
    <w:rsid w:val="00A76D36"/>
    <w:rsid w:val="00A814F7"/>
    <w:rsid w:val="00A81ED7"/>
    <w:rsid w:val="00A82744"/>
    <w:rsid w:val="00A82A7F"/>
    <w:rsid w:val="00A83998"/>
    <w:rsid w:val="00A8464E"/>
    <w:rsid w:val="00A8477E"/>
    <w:rsid w:val="00A90788"/>
    <w:rsid w:val="00A91783"/>
    <w:rsid w:val="00A91AD1"/>
    <w:rsid w:val="00A9261E"/>
    <w:rsid w:val="00A92B3C"/>
    <w:rsid w:val="00A95F17"/>
    <w:rsid w:val="00A96385"/>
    <w:rsid w:val="00A96DD6"/>
    <w:rsid w:val="00AA3FC8"/>
    <w:rsid w:val="00AA4B40"/>
    <w:rsid w:val="00AA62C4"/>
    <w:rsid w:val="00AA7687"/>
    <w:rsid w:val="00AB01B8"/>
    <w:rsid w:val="00AB01D0"/>
    <w:rsid w:val="00AB09B1"/>
    <w:rsid w:val="00AB1EBA"/>
    <w:rsid w:val="00AB3601"/>
    <w:rsid w:val="00AB7E27"/>
    <w:rsid w:val="00AC335B"/>
    <w:rsid w:val="00AC496B"/>
    <w:rsid w:val="00AC53E6"/>
    <w:rsid w:val="00AC55D7"/>
    <w:rsid w:val="00AD46F8"/>
    <w:rsid w:val="00AD79C5"/>
    <w:rsid w:val="00AE049E"/>
    <w:rsid w:val="00AE2F20"/>
    <w:rsid w:val="00AE546E"/>
    <w:rsid w:val="00AE7985"/>
    <w:rsid w:val="00AF06EA"/>
    <w:rsid w:val="00AF2363"/>
    <w:rsid w:val="00AF564E"/>
    <w:rsid w:val="00AF5A28"/>
    <w:rsid w:val="00AF7536"/>
    <w:rsid w:val="00B00CCE"/>
    <w:rsid w:val="00B03704"/>
    <w:rsid w:val="00B04E0C"/>
    <w:rsid w:val="00B1258A"/>
    <w:rsid w:val="00B12F12"/>
    <w:rsid w:val="00B13399"/>
    <w:rsid w:val="00B17759"/>
    <w:rsid w:val="00B20566"/>
    <w:rsid w:val="00B20E6D"/>
    <w:rsid w:val="00B21BAB"/>
    <w:rsid w:val="00B24D94"/>
    <w:rsid w:val="00B2593C"/>
    <w:rsid w:val="00B271AB"/>
    <w:rsid w:val="00B3082F"/>
    <w:rsid w:val="00B31DCB"/>
    <w:rsid w:val="00B32ED9"/>
    <w:rsid w:val="00B3543C"/>
    <w:rsid w:val="00B369E3"/>
    <w:rsid w:val="00B41A4F"/>
    <w:rsid w:val="00B4290D"/>
    <w:rsid w:val="00B50AB4"/>
    <w:rsid w:val="00B50D83"/>
    <w:rsid w:val="00B51965"/>
    <w:rsid w:val="00B627F3"/>
    <w:rsid w:val="00B63236"/>
    <w:rsid w:val="00B63482"/>
    <w:rsid w:val="00B67BD3"/>
    <w:rsid w:val="00B71471"/>
    <w:rsid w:val="00B73FCB"/>
    <w:rsid w:val="00B75640"/>
    <w:rsid w:val="00B77360"/>
    <w:rsid w:val="00B81426"/>
    <w:rsid w:val="00B815F7"/>
    <w:rsid w:val="00B82A4A"/>
    <w:rsid w:val="00B85E7D"/>
    <w:rsid w:val="00B872B5"/>
    <w:rsid w:val="00B87CEB"/>
    <w:rsid w:val="00B91978"/>
    <w:rsid w:val="00B950D5"/>
    <w:rsid w:val="00BA05B4"/>
    <w:rsid w:val="00BA1E8C"/>
    <w:rsid w:val="00BA2270"/>
    <w:rsid w:val="00BA2A9A"/>
    <w:rsid w:val="00BA3658"/>
    <w:rsid w:val="00BA5BC1"/>
    <w:rsid w:val="00BA7083"/>
    <w:rsid w:val="00BB13B3"/>
    <w:rsid w:val="00BB3838"/>
    <w:rsid w:val="00BB3EC7"/>
    <w:rsid w:val="00BB4E54"/>
    <w:rsid w:val="00BB5FF4"/>
    <w:rsid w:val="00BB754C"/>
    <w:rsid w:val="00BB79C2"/>
    <w:rsid w:val="00BC0E0C"/>
    <w:rsid w:val="00BC0F87"/>
    <w:rsid w:val="00BC2404"/>
    <w:rsid w:val="00BC32DE"/>
    <w:rsid w:val="00BC3519"/>
    <w:rsid w:val="00BC3B8C"/>
    <w:rsid w:val="00BC4EE9"/>
    <w:rsid w:val="00BC779F"/>
    <w:rsid w:val="00BC78BB"/>
    <w:rsid w:val="00BC7A1E"/>
    <w:rsid w:val="00BD23DF"/>
    <w:rsid w:val="00BE0BA3"/>
    <w:rsid w:val="00BE12F5"/>
    <w:rsid w:val="00BE1DF0"/>
    <w:rsid w:val="00BE1F44"/>
    <w:rsid w:val="00BE21A0"/>
    <w:rsid w:val="00BE3957"/>
    <w:rsid w:val="00BE504E"/>
    <w:rsid w:val="00BE796B"/>
    <w:rsid w:val="00BF18E2"/>
    <w:rsid w:val="00BF1E99"/>
    <w:rsid w:val="00BF36A6"/>
    <w:rsid w:val="00BF44BF"/>
    <w:rsid w:val="00BF7A96"/>
    <w:rsid w:val="00C10EE4"/>
    <w:rsid w:val="00C1139E"/>
    <w:rsid w:val="00C13CC9"/>
    <w:rsid w:val="00C15675"/>
    <w:rsid w:val="00C16F8E"/>
    <w:rsid w:val="00C20493"/>
    <w:rsid w:val="00C23691"/>
    <w:rsid w:val="00C2516F"/>
    <w:rsid w:val="00C251AB"/>
    <w:rsid w:val="00C3272E"/>
    <w:rsid w:val="00C367AC"/>
    <w:rsid w:val="00C40CCA"/>
    <w:rsid w:val="00C429FA"/>
    <w:rsid w:val="00C4566A"/>
    <w:rsid w:val="00C5035C"/>
    <w:rsid w:val="00C504E3"/>
    <w:rsid w:val="00C63673"/>
    <w:rsid w:val="00C64936"/>
    <w:rsid w:val="00C666B1"/>
    <w:rsid w:val="00C67F55"/>
    <w:rsid w:val="00C70E39"/>
    <w:rsid w:val="00C716F0"/>
    <w:rsid w:val="00C765BF"/>
    <w:rsid w:val="00C77035"/>
    <w:rsid w:val="00C7781A"/>
    <w:rsid w:val="00C8274E"/>
    <w:rsid w:val="00C82806"/>
    <w:rsid w:val="00C84140"/>
    <w:rsid w:val="00C85159"/>
    <w:rsid w:val="00C902D5"/>
    <w:rsid w:val="00C936CC"/>
    <w:rsid w:val="00C93979"/>
    <w:rsid w:val="00C950D7"/>
    <w:rsid w:val="00CA0198"/>
    <w:rsid w:val="00CA3B63"/>
    <w:rsid w:val="00CA57DD"/>
    <w:rsid w:val="00CA68DF"/>
    <w:rsid w:val="00CA7841"/>
    <w:rsid w:val="00CB15DD"/>
    <w:rsid w:val="00CB1EDD"/>
    <w:rsid w:val="00CB7BBC"/>
    <w:rsid w:val="00CC2187"/>
    <w:rsid w:val="00CC639D"/>
    <w:rsid w:val="00CC6511"/>
    <w:rsid w:val="00CD00D8"/>
    <w:rsid w:val="00CD23B1"/>
    <w:rsid w:val="00CD28C5"/>
    <w:rsid w:val="00CD3A81"/>
    <w:rsid w:val="00CD5C56"/>
    <w:rsid w:val="00CD5C60"/>
    <w:rsid w:val="00CD6FC9"/>
    <w:rsid w:val="00CD74BC"/>
    <w:rsid w:val="00CE3B3B"/>
    <w:rsid w:val="00CE46F5"/>
    <w:rsid w:val="00CE68E0"/>
    <w:rsid w:val="00CE6A03"/>
    <w:rsid w:val="00CE6E54"/>
    <w:rsid w:val="00CE77B3"/>
    <w:rsid w:val="00CE7819"/>
    <w:rsid w:val="00CF0B00"/>
    <w:rsid w:val="00D05BA2"/>
    <w:rsid w:val="00D16278"/>
    <w:rsid w:val="00D162D3"/>
    <w:rsid w:val="00D24D64"/>
    <w:rsid w:val="00D27433"/>
    <w:rsid w:val="00D30013"/>
    <w:rsid w:val="00D30EF4"/>
    <w:rsid w:val="00D34B7D"/>
    <w:rsid w:val="00D350F4"/>
    <w:rsid w:val="00D363AE"/>
    <w:rsid w:val="00D364AD"/>
    <w:rsid w:val="00D44981"/>
    <w:rsid w:val="00D47705"/>
    <w:rsid w:val="00D50A71"/>
    <w:rsid w:val="00D515A2"/>
    <w:rsid w:val="00D52004"/>
    <w:rsid w:val="00D55C4F"/>
    <w:rsid w:val="00D607DF"/>
    <w:rsid w:val="00D61CE8"/>
    <w:rsid w:val="00D62ADE"/>
    <w:rsid w:val="00D659B7"/>
    <w:rsid w:val="00D713E7"/>
    <w:rsid w:val="00D729D5"/>
    <w:rsid w:val="00D72B46"/>
    <w:rsid w:val="00D72FB7"/>
    <w:rsid w:val="00D730C3"/>
    <w:rsid w:val="00D73AD6"/>
    <w:rsid w:val="00D73CC8"/>
    <w:rsid w:val="00D742B7"/>
    <w:rsid w:val="00D814DC"/>
    <w:rsid w:val="00D819F9"/>
    <w:rsid w:val="00D91B7F"/>
    <w:rsid w:val="00D93FD7"/>
    <w:rsid w:val="00D97E99"/>
    <w:rsid w:val="00DA09CA"/>
    <w:rsid w:val="00DA1870"/>
    <w:rsid w:val="00DA19A0"/>
    <w:rsid w:val="00DA4646"/>
    <w:rsid w:val="00DA483C"/>
    <w:rsid w:val="00DA51ED"/>
    <w:rsid w:val="00DA633D"/>
    <w:rsid w:val="00DB144A"/>
    <w:rsid w:val="00DB1E69"/>
    <w:rsid w:val="00DB21EA"/>
    <w:rsid w:val="00DB5B8C"/>
    <w:rsid w:val="00DB5FA4"/>
    <w:rsid w:val="00DB6AB4"/>
    <w:rsid w:val="00DB6C45"/>
    <w:rsid w:val="00DB7112"/>
    <w:rsid w:val="00DB7722"/>
    <w:rsid w:val="00DC541F"/>
    <w:rsid w:val="00DD0AF8"/>
    <w:rsid w:val="00DD1A2E"/>
    <w:rsid w:val="00DD275F"/>
    <w:rsid w:val="00DD2E76"/>
    <w:rsid w:val="00DD3212"/>
    <w:rsid w:val="00DD5017"/>
    <w:rsid w:val="00DD7A60"/>
    <w:rsid w:val="00DD7F50"/>
    <w:rsid w:val="00DE2CAC"/>
    <w:rsid w:val="00DE2E9E"/>
    <w:rsid w:val="00DF13DC"/>
    <w:rsid w:val="00DF1BCE"/>
    <w:rsid w:val="00DF1D7A"/>
    <w:rsid w:val="00DF306E"/>
    <w:rsid w:val="00DF425F"/>
    <w:rsid w:val="00DF58A5"/>
    <w:rsid w:val="00DF77FA"/>
    <w:rsid w:val="00E04505"/>
    <w:rsid w:val="00E06BA0"/>
    <w:rsid w:val="00E108C1"/>
    <w:rsid w:val="00E13B34"/>
    <w:rsid w:val="00E14F8A"/>
    <w:rsid w:val="00E17963"/>
    <w:rsid w:val="00E202DD"/>
    <w:rsid w:val="00E26937"/>
    <w:rsid w:val="00E30C4B"/>
    <w:rsid w:val="00E31BEC"/>
    <w:rsid w:val="00E32EC8"/>
    <w:rsid w:val="00E33CEE"/>
    <w:rsid w:val="00E35279"/>
    <w:rsid w:val="00E35E51"/>
    <w:rsid w:val="00E35E92"/>
    <w:rsid w:val="00E37AB0"/>
    <w:rsid w:val="00E44439"/>
    <w:rsid w:val="00E444FF"/>
    <w:rsid w:val="00E44C15"/>
    <w:rsid w:val="00E45592"/>
    <w:rsid w:val="00E46A4F"/>
    <w:rsid w:val="00E478C9"/>
    <w:rsid w:val="00E47A66"/>
    <w:rsid w:val="00E51222"/>
    <w:rsid w:val="00E52A13"/>
    <w:rsid w:val="00E55C9F"/>
    <w:rsid w:val="00E57551"/>
    <w:rsid w:val="00E6062D"/>
    <w:rsid w:val="00E630F8"/>
    <w:rsid w:val="00E65A22"/>
    <w:rsid w:val="00E66436"/>
    <w:rsid w:val="00E70371"/>
    <w:rsid w:val="00E71202"/>
    <w:rsid w:val="00E71345"/>
    <w:rsid w:val="00E75026"/>
    <w:rsid w:val="00E80364"/>
    <w:rsid w:val="00E80EA2"/>
    <w:rsid w:val="00E87993"/>
    <w:rsid w:val="00E901BB"/>
    <w:rsid w:val="00E92184"/>
    <w:rsid w:val="00E95B7A"/>
    <w:rsid w:val="00EA0A90"/>
    <w:rsid w:val="00EA1C53"/>
    <w:rsid w:val="00EA1F84"/>
    <w:rsid w:val="00EA5CCE"/>
    <w:rsid w:val="00EA64F4"/>
    <w:rsid w:val="00EA7EFD"/>
    <w:rsid w:val="00EB1665"/>
    <w:rsid w:val="00EB6947"/>
    <w:rsid w:val="00EB75A0"/>
    <w:rsid w:val="00EC0550"/>
    <w:rsid w:val="00EC1CB0"/>
    <w:rsid w:val="00EC3661"/>
    <w:rsid w:val="00EC6858"/>
    <w:rsid w:val="00EC739B"/>
    <w:rsid w:val="00ED24F9"/>
    <w:rsid w:val="00ED4BBF"/>
    <w:rsid w:val="00ED5878"/>
    <w:rsid w:val="00ED5957"/>
    <w:rsid w:val="00ED5F43"/>
    <w:rsid w:val="00ED6301"/>
    <w:rsid w:val="00EE1410"/>
    <w:rsid w:val="00EE1EF3"/>
    <w:rsid w:val="00EE27AA"/>
    <w:rsid w:val="00EE3D83"/>
    <w:rsid w:val="00EE4010"/>
    <w:rsid w:val="00EE6CBB"/>
    <w:rsid w:val="00EF022D"/>
    <w:rsid w:val="00EF08A3"/>
    <w:rsid w:val="00EF0DC6"/>
    <w:rsid w:val="00EF1784"/>
    <w:rsid w:val="00EF7465"/>
    <w:rsid w:val="00EF748B"/>
    <w:rsid w:val="00F071F8"/>
    <w:rsid w:val="00F12028"/>
    <w:rsid w:val="00F134DB"/>
    <w:rsid w:val="00F14BF9"/>
    <w:rsid w:val="00F161CD"/>
    <w:rsid w:val="00F203BF"/>
    <w:rsid w:val="00F2283B"/>
    <w:rsid w:val="00F228EE"/>
    <w:rsid w:val="00F23411"/>
    <w:rsid w:val="00F26E10"/>
    <w:rsid w:val="00F278DB"/>
    <w:rsid w:val="00F27CDF"/>
    <w:rsid w:val="00F318AB"/>
    <w:rsid w:val="00F32257"/>
    <w:rsid w:val="00F44D9B"/>
    <w:rsid w:val="00F452C8"/>
    <w:rsid w:val="00F45C07"/>
    <w:rsid w:val="00F473A3"/>
    <w:rsid w:val="00F510B5"/>
    <w:rsid w:val="00F51995"/>
    <w:rsid w:val="00F60240"/>
    <w:rsid w:val="00F60611"/>
    <w:rsid w:val="00F608A6"/>
    <w:rsid w:val="00F62143"/>
    <w:rsid w:val="00F657B1"/>
    <w:rsid w:val="00F66A57"/>
    <w:rsid w:val="00F6707A"/>
    <w:rsid w:val="00F72E7A"/>
    <w:rsid w:val="00F74592"/>
    <w:rsid w:val="00F7590F"/>
    <w:rsid w:val="00F81A29"/>
    <w:rsid w:val="00F81A40"/>
    <w:rsid w:val="00F82FCE"/>
    <w:rsid w:val="00F903B6"/>
    <w:rsid w:val="00F94848"/>
    <w:rsid w:val="00F95324"/>
    <w:rsid w:val="00FA215B"/>
    <w:rsid w:val="00FA2966"/>
    <w:rsid w:val="00FA4508"/>
    <w:rsid w:val="00FA7239"/>
    <w:rsid w:val="00FB0DD8"/>
    <w:rsid w:val="00FB3141"/>
    <w:rsid w:val="00FB499B"/>
    <w:rsid w:val="00FB511B"/>
    <w:rsid w:val="00FB6AF3"/>
    <w:rsid w:val="00FB6B4C"/>
    <w:rsid w:val="00FB7EB2"/>
    <w:rsid w:val="00FC7D8F"/>
    <w:rsid w:val="00FD15F6"/>
    <w:rsid w:val="00FD2955"/>
    <w:rsid w:val="00FD40A6"/>
    <w:rsid w:val="00FD4980"/>
    <w:rsid w:val="00FD55CE"/>
    <w:rsid w:val="00FD597A"/>
    <w:rsid w:val="00FD5C80"/>
    <w:rsid w:val="00FD671C"/>
    <w:rsid w:val="00FD7823"/>
    <w:rsid w:val="00FE0540"/>
    <w:rsid w:val="00FE0EB5"/>
    <w:rsid w:val="00FE1506"/>
    <w:rsid w:val="00FE1B06"/>
    <w:rsid w:val="00FE1D08"/>
    <w:rsid w:val="00FE45C7"/>
    <w:rsid w:val="00FE57CD"/>
    <w:rsid w:val="00FE5B55"/>
    <w:rsid w:val="00FF09BB"/>
    <w:rsid w:val="00FF0B84"/>
    <w:rsid w:val="00FF1879"/>
    <w:rsid w:val="00FF1F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32C8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A9"/>
    <w:pPr>
      <w:spacing w:after="200" w:line="276" w:lineRule="auto"/>
    </w:pPr>
    <w:rPr>
      <w:sz w:val="22"/>
      <w:szCs w:val="22"/>
      <w:lang w:eastAsia="en-GB"/>
    </w:rPr>
  </w:style>
  <w:style w:type="paragraph" w:styleId="Heading1">
    <w:name w:val="heading 1"/>
    <w:basedOn w:val="Normal"/>
    <w:next w:val="Normal"/>
    <w:link w:val="Heading1Char"/>
    <w:uiPriority w:val="9"/>
    <w:qFormat/>
    <w:rsid w:val="00D97E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97A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78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7E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32A9"/>
    <w:rPr>
      <w:sz w:val="18"/>
      <w:szCs w:val="18"/>
    </w:rPr>
  </w:style>
  <w:style w:type="paragraph" w:styleId="CommentText">
    <w:name w:val="annotation text"/>
    <w:basedOn w:val="Normal"/>
    <w:link w:val="CommentTextChar"/>
    <w:uiPriority w:val="99"/>
    <w:unhideWhenUsed/>
    <w:rsid w:val="008D32A9"/>
    <w:pPr>
      <w:spacing w:line="240" w:lineRule="auto"/>
    </w:pPr>
    <w:rPr>
      <w:sz w:val="24"/>
      <w:szCs w:val="24"/>
    </w:rPr>
  </w:style>
  <w:style w:type="character" w:customStyle="1" w:styleId="CommentTextChar">
    <w:name w:val="Comment Text Char"/>
    <w:basedOn w:val="DefaultParagraphFont"/>
    <w:link w:val="CommentText"/>
    <w:uiPriority w:val="99"/>
    <w:rsid w:val="008D32A9"/>
    <w:rPr>
      <w:lang w:eastAsia="en-GB"/>
    </w:rPr>
  </w:style>
  <w:style w:type="paragraph" w:styleId="CommentSubject">
    <w:name w:val="annotation subject"/>
    <w:basedOn w:val="CommentText"/>
    <w:next w:val="CommentText"/>
    <w:link w:val="CommentSubjectChar"/>
    <w:uiPriority w:val="99"/>
    <w:semiHidden/>
    <w:unhideWhenUsed/>
    <w:rsid w:val="008D32A9"/>
    <w:rPr>
      <w:b/>
      <w:bCs/>
      <w:sz w:val="20"/>
      <w:szCs w:val="20"/>
    </w:rPr>
  </w:style>
  <w:style w:type="character" w:customStyle="1" w:styleId="CommentSubjectChar">
    <w:name w:val="Comment Subject Char"/>
    <w:basedOn w:val="CommentTextChar"/>
    <w:link w:val="CommentSubject"/>
    <w:uiPriority w:val="99"/>
    <w:semiHidden/>
    <w:rsid w:val="008D32A9"/>
    <w:rPr>
      <w:b/>
      <w:bCs/>
      <w:sz w:val="20"/>
      <w:szCs w:val="20"/>
      <w:lang w:eastAsia="en-GB"/>
    </w:rPr>
  </w:style>
  <w:style w:type="paragraph" w:styleId="BalloonText">
    <w:name w:val="Balloon Text"/>
    <w:basedOn w:val="Normal"/>
    <w:link w:val="BalloonTextChar"/>
    <w:uiPriority w:val="99"/>
    <w:semiHidden/>
    <w:unhideWhenUsed/>
    <w:rsid w:val="008D32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2A9"/>
    <w:rPr>
      <w:rFonts w:ascii="Lucida Grande" w:hAnsi="Lucida Grande" w:cs="Lucida Grande"/>
      <w:sz w:val="18"/>
      <w:szCs w:val="18"/>
      <w:lang w:eastAsia="en-GB"/>
    </w:rPr>
  </w:style>
  <w:style w:type="character" w:customStyle="1" w:styleId="Heading2Char">
    <w:name w:val="Heading 2 Char"/>
    <w:basedOn w:val="DefaultParagraphFont"/>
    <w:link w:val="Heading2"/>
    <w:uiPriority w:val="9"/>
    <w:rsid w:val="00597AA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5C787C"/>
    <w:rPr>
      <w:rFonts w:asciiTheme="majorHAnsi" w:eastAsiaTheme="majorEastAsia" w:hAnsiTheme="majorHAnsi" w:cstheme="majorBidi"/>
      <w:b/>
      <w:bCs/>
      <w:color w:val="4F81BD" w:themeColor="accent1"/>
      <w:sz w:val="22"/>
      <w:szCs w:val="22"/>
      <w:lang w:eastAsia="en-GB"/>
    </w:rPr>
  </w:style>
  <w:style w:type="paragraph" w:styleId="Footer">
    <w:name w:val="footer"/>
    <w:basedOn w:val="Normal"/>
    <w:link w:val="FooterChar"/>
    <w:uiPriority w:val="99"/>
    <w:unhideWhenUsed/>
    <w:rsid w:val="00521D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1DA9"/>
    <w:rPr>
      <w:sz w:val="22"/>
      <w:szCs w:val="22"/>
      <w:lang w:eastAsia="en-GB"/>
    </w:rPr>
  </w:style>
  <w:style w:type="character" w:styleId="PageNumber">
    <w:name w:val="page number"/>
    <w:basedOn w:val="DefaultParagraphFont"/>
    <w:uiPriority w:val="99"/>
    <w:semiHidden/>
    <w:unhideWhenUsed/>
    <w:rsid w:val="00521DA9"/>
  </w:style>
  <w:style w:type="paragraph" w:styleId="Header">
    <w:name w:val="header"/>
    <w:basedOn w:val="Normal"/>
    <w:link w:val="HeaderChar"/>
    <w:uiPriority w:val="99"/>
    <w:unhideWhenUsed/>
    <w:rsid w:val="00521D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1DA9"/>
    <w:rPr>
      <w:sz w:val="22"/>
      <w:szCs w:val="22"/>
      <w:lang w:eastAsia="en-GB"/>
    </w:rPr>
  </w:style>
  <w:style w:type="character" w:styleId="Hyperlink">
    <w:name w:val="Hyperlink"/>
    <w:basedOn w:val="DefaultParagraphFont"/>
    <w:uiPriority w:val="99"/>
    <w:unhideWhenUsed/>
    <w:rsid w:val="0052338B"/>
    <w:rPr>
      <w:color w:val="0000FF" w:themeColor="hyperlink"/>
      <w:u w:val="single"/>
    </w:rPr>
  </w:style>
  <w:style w:type="paragraph" w:styleId="ListParagraph">
    <w:name w:val="List Paragraph"/>
    <w:basedOn w:val="Normal"/>
    <w:uiPriority w:val="34"/>
    <w:qFormat/>
    <w:rsid w:val="00BC7A1E"/>
    <w:pPr>
      <w:ind w:left="720"/>
      <w:contextualSpacing/>
    </w:pPr>
  </w:style>
  <w:style w:type="character" w:customStyle="1" w:styleId="Heading1Char">
    <w:name w:val="Heading 1 Char"/>
    <w:basedOn w:val="DefaultParagraphFont"/>
    <w:link w:val="Heading1"/>
    <w:uiPriority w:val="9"/>
    <w:rsid w:val="00D97E99"/>
    <w:rPr>
      <w:rFonts w:asciiTheme="majorHAnsi" w:eastAsiaTheme="majorEastAsia" w:hAnsiTheme="majorHAnsi" w:cstheme="majorBidi"/>
      <w:b/>
      <w:bCs/>
      <w:color w:val="345A8A" w:themeColor="accent1" w:themeShade="B5"/>
      <w:sz w:val="32"/>
      <w:szCs w:val="32"/>
      <w:lang w:eastAsia="en-GB"/>
    </w:rPr>
  </w:style>
  <w:style w:type="character" w:customStyle="1" w:styleId="Heading4Char">
    <w:name w:val="Heading 4 Char"/>
    <w:basedOn w:val="DefaultParagraphFont"/>
    <w:link w:val="Heading4"/>
    <w:uiPriority w:val="9"/>
    <w:rsid w:val="00D97E99"/>
    <w:rPr>
      <w:rFonts w:asciiTheme="majorHAnsi" w:eastAsiaTheme="majorEastAsia" w:hAnsiTheme="majorHAnsi" w:cstheme="majorBidi"/>
      <w:b/>
      <w:bCs/>
      <w:i/>
      <w:iCs/>
      <w:color w:val="4F81BD" w:themeColor="accent1"/>
      <w:sz w:val="22"/>
      <w:szCs w:val="22"/>
      <w:lang w:eastAsia="en-GB"/>
    </w:rPr>
  </w:style>
  <w:style w:type="paragraph" w:styleId="Revision">
    <w:name w:val="Revision"/>
    <w:hidden/>
    <w:uiPriority w:val="99"/>
    <w:semiHidden/>
    <w:rsid w:val="00975F21"/>
    <w:rPr>
      <w:sz w:val="22"/>
      <w:szCs w:val="22"/>
      <w:lang w:eastAsia="en-GB"/>
    </w:rPr>
  </w:style>
  <w:style w:type="table" w:styleId="TableGrid">
    <w:name w:val="Table Grid"/>
    <w:basedOn w:val="TableNormal"/>
    <w:uiPriority w:val="59"/>
    <w:rsid w:val="003D7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70B1"/>
    <w:pPr>
      <w:spacing w:before="100" w:beforeAutospacing="1" w:after="100" w:afterAutospacing="1" w:line="240" w:lineRule="auto"/>
    </w:pPr>
    <w:rPr>
      <w:rFonts w:ascii="Times" w:hAnsi="Times" w:cs="Times New Roman"/>
      <w:sz w:val="20"/>
      <w:szCs w:val="20"/>
      <w:lang w:eastAsia="en-US"/>
    </w:rPr>
  </w:style>
  <w:style w:type="paragraph" w:styleId="Caption">
    <w:name w:val="caption"/>
    <w:basedOn w:val="Normal"/>
    <w:next w:val="Normal"/>
    <w:uiPriority w:val="35"/>
    <w:unhideWhenUsed/>
    <w:qFormat/>
    <w:rsid w:val="003D70B1"/>
    <w:pPr>
      <w:keepNext/>
      <w:spacing w:line="480" w:lineRule="auto"/>
    </w:pPr>
    <w:rPr>
      <w:rFonts w:ascii="Times New Roman" w:hAnsi="Times New Roman" w:cs="Times New Roman"/>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A9"/>
    <w:pPr>
      <w:spacing w:after="200" w:line="276" w:lineRule="auto"/>
    </w:pPr>
    <w:rPr>
      <w:sz w:val="22"/>
      <w:szCs w:val="22"/>
      <w:lang w:eastAsia="en-GB"/>
    </w:rPr>
  </w:style>
  <w:style w:type="paragraph" w:styleId="Heading1">
    <w:name w:val="heading 1"/>
    <w:basedOn w:val="Normal"/>
    <w:next w:val="Normal"/>
    <w:link w:val="Heading1Char"/>
    <w:uiPriority w:val="9"/>
    <w:qFormat/>
    <w:rsid w:val="00D97E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97A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78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7E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32A9"/>
    <w:rPr>
      <w:sz w:val="18"/>
      <w:szCs w:val="18"/>
    </w:rPr>
  </w:style>
  <w:style w:type="paragraph" w:styleId="CommentText">
    <w:name w:val="annotation text"/>
    <w:basedOn w:val="Normal"/>
    <w:link w:val="CommentTextChar"/>
    <w:uiPriority w:val="99"/>
    <w:unhideWhenUsed/>
    <w:rsid w:val="008D32A9"/>
    <w:pPr>
      <w:spacing w:line="240" w:lineRule="auto"/>
    </w:pPr>
    <w:rPr>
      <w:sz w:val="24"/>
      <w:szCs w:val="24"/>
    </w:rPr>
  </w:style>
  <w:style w:type="character" w:customStyle="1" w:styleId="CommentTextChar">
    <w:name w:val="Comment Text Char"/>
    <w:basedOn w:val="DefaultParagraphFont"/>
    <w:link w:val="CommentText"/>
    <w:uiPriority w:val="99"/>
    <w:rsid w:val="008D32A9"/>
    <w:rPr>
      <w:lang w:eastAsia="en-GB"/>
    </w:rPr>
  </w:style>
  <w:style w:type="paragraph" w:styleId="CommentSubject">
    <w:name w:val="annotation subject"/>
    <w:basedOn w:val="CommentText"/>
    <w:next w:val="CommentText"/>
    <w:link w:val="CommentSubjectChar"/>
    <w:uiPriority w:val="99"/>
    <w:semiHidden/>
    <w:unhideWhenUsed/>
    <w:rsid w:val="008D32A9"/>
    <w:rPr>
      <w:b/>
      <w:bCs/>
      <w:sz w:val="20"/>
      <w:szCs w:val="20"/>
    </w:rPr>
  </w:style>
  <w:style w:type="character" w:customStyle="1" w:styleId="CommentSubjectChar">
    <w:name w:val="Comment Subject Char"/>
    <w:basedOn w:val="CommentTextChar"/>
    <w:link w:val="CommentSubject"/>
    <w:uiPriority w:val="99"/>
    <w:semiHidden/>
    <w:rsid w:val="008D32A9"/>
    <w:rPr>
      <w:b/>
      <w:bCs/>
      <w:sz w:val="20"/>
      <w:szCs w:val="20"/>
      <w:lang w:eastAsia="en-GB"/>
    </w:rPr>
  </w:style>
  <w:style w:type="paragraph" w:styleId="BalloonText">
    <w:name w:val="Balloon Text"/>
    <w:basedOn w:val="Normal"/>
    <w:link w:val="BalloonTextChar"/>
    <w:uiPriority w:val="99"/>
    <w:semiHidden/>
    <w:unhideWhenUsed/>
    <w:rsid w:val="008D32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2A9"/>
    <w:rPr>
      <w:rFonts w:ascii="Lucida Grande" w:hAnsi="Lucida Grande" w:cs="Lucida Grande"/>
      <w:sz w:val="18"/>
      <w:szCs w:val="18"/>
      <w:lang w:eastAsia="en-GB"/>
    </w:rPr>
  </w:style>
  <w:style w:type="character" w:customStyle="1" w:styleId="Heading2Char">
    <w:name w:val="Heading 2 Char"/>
    <w:basedOn w:val="DefaultParagraphFont"/>
    <w:link w:val="Heading2"/>
    <w:uiPriority w:val="9"/>
    <w:rsid w:val="00597AA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5C787C"/>
    <w:rPr>
      <w:rFonts w:asciiTheme="majorHAnsi" w:eastAsiaTheme="majorEastAsia" w:hAnsiTheme="majorHAnsi" w:cstheme="majorBidi"/>
      <w:b/>
      <w:bCs/>
      <w:color w:val="4F81BD" w:themeColor="accent1"/>
      <w:sz w:val="22"/>
      <w:szCs w:val="22"/>
      <w:lang w:eastAsia="en-GB"/>
    </w:rPr>
  </w:style>
  <w:style w:type="paragraph" w:styleId="Footer">
    <w:name w:val="footer"/>
    <w:basedOn w:val="Normal"/>
    <w:link w:val="FooterChar"/>
    <w:uiPriority w:val="99"/>
    <w:unhideWhenUsed/>
    <w:rsid w:val="00521D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1DA9"/>
    <w:rPr>
      <w:sz w:val="22"/>
      <w:szCs w:val="22"/>
      <w:lang w:eastAsia="en-GB"/>
    </w:rPr>
  </w:style>
  <w:style w:type="character" w:styleId="PageNumber">
    <w:name w:val="page number"/>
    <w:basedOn w:val="DefaultParagraphFont"/>
    <w:uiPriority w:val="99"/>
    <w:semiHidden/>
    <w:unhideWhenUsed/>
    <w:rsid w:val="00521DA9"/>
  </w:style>
  <w:style w:type="paragraph" w:styleId="Header">
    <w:name w:val="header"/>
    <w:basedOn w:val="Normal"/>
    <w:link w:val="HeaderChar"/>
    <w:uiPriority w:val="99"/>
    <w:unhideWhenUsed/>
    <w:rsid w:val="00521D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1DA9"/>
    <w:rPr>
      <w:sz w:val="22"/>
      <w:szCs w:val="22"/>
      <w:lang w:eastAsia="en-GB"/>
    </w:rPr>
  </w:style>
  <w:style w:type="character" w:styleId="Hyperlink">
    <w:name w:val="Hyperlink"/>
    <w:basedOn w:val="DefaultParagraphFont"/>
    <w:uiPriority w:val="99"/>
    <w:unhideWhenUsed/>
    <w:rsid w:val="0052338B"/>
    <w:rPr>
      <w:color w:val="0000FF" w:themeColor="hyperlink"/>
      <w:u w:val="single"/>
    </w:rPr>
  </w:style>
  <w:style w:type="paragraph" w:styleId="ListParagraph">
    <w:name w:val="List Paragraph"/>
    <w:basedOn w:val="Normal"/>
    <w:uiPriority w:val="34"/>
    <w:qFormat/>
    <w:rsid w:val="00BC7A1E"/>
    <w:pPr>
      <w:ind w:left="720"/>
      <w:contextualSpacing/>
    </w:pPr>
  </w:style>
  <w:style w:type="character" w:customStyle="1" w:styleId="Heading1Char">
    <w:name w:val="Heading 1 Char"/>
    <w:basedOn w:val="DefaultParagraphFont"/>
    <w:link w:val="Heading1"/>
    <w:uiPriority w:val="9"/>
    <w:rsid w:val="00D97E99"/>
    <w:rPr>
      <w:rFonts w:asciiTheme="majorHAnsi" w:eastAsiaTheme="majorEastAsia" w:hAnsiTheme="majorHAnsi" w:cstheme="majorBidi"/>
      <w:b/>
      <w:bCs/>
      <w:color w:val="345A8A" w:themeColor="accent1" w:themeShade="B5"/>
      <w:sz w:val="32"/>
      <w:szCs w:val="32"/>
      <w:lang w:eastAsia="en-GB"/>
    </w:rPr>
  </w:style>
  <w:style w:type="character" w:customStyle="1" w:styleId="Heading4Char">
    <w:name w:val="Heading 4 Char"/>
    <w:basedOn w:val="DefaultParagraphFont"/>
    <w:link w:val="Heading4"/>
    <w:uiPriority w:val="9"/>
    <w:rsid w:val="00D97E99"/>
    <w:rPr>
      <w:rFonts w:asciiTheme="majorHAnsi" w:eastAsiaTheme="majorEastAsia" w:hAnsiTheme="majorHAnsi" w:cstheme="majorBidi"/>
      <w:b/>
      <w:bCs/>
      <w:i/>
      <w:iCs/>
      <w:color w:val="4F81BD" w:themeColor="accent1"/>
      <w:sz w:val="22"/>
      <w:szCs w:val="22"/>
      <w:lang w:eastAsia="en-GB"/>
    </w:rPr>
  </w:style>
  <w:style w:type="paragraph" w:styleId="Revision">
    <w:name w:val="Revision"/>
    <w:hidden/>
    <w:uiPriority w:val="99"/>
    <w:semiHidden/>
    <w:rsid w:val="00975F21"/>
    <w:rPr>
      <w:sz w:val="22"/>
      <w:szCs w:val="22"/>
      <w:lang w:eastAsia="en-GB"/>
    </w:rPr>
  </w:style>
  <w:style w:type="table" w:styleId="TableGrid">
    <w:name w:val="Table Grid"/>
    <w:basedOn w:val="TableNormal"/>
    <w:uiPriority w:val="59"/>
    <w:rsid w:val="003D7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70B1"/>
    <w:pPr>
      <w:spacing w:before="100" w:beforeAutospacing="1" w:after="100" w:afterAutospacing="1" w:line="240" w:lineRule="auto"/>
    </w:pPr>
    <w:rPr>
      <w:rFonts w:ascii="Times" w:hAnsi="Times" w:cs="Times New Roman"/>
      <w:sz w:val="20"/>
      <w:szCs w:val="20"/>
      <w:lang w:eastAsia="en-US"/>
    </w:rPr>
  </w:style>
  <w:style w:type="paragraph" w:styleId="Caption">
    <w:name w:val="caption"/>
    <w:basedOn w:val="Normal"/>
    <w:next w:val="Normal"/>
    <w:uiPriority w:val="35"/>
    <w:unhideWhenUsed/>
    <w:qFormat/>
    <w:rsid w:val="003D70B1"/>
    <w:pPr>
      <w:keepNext/>
      <w:spacing w:line="480" w:lineRule="auto"/>
    </w:pPr>
    <w:rPr>
      <w:rFonts w:ascii="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91754">
      <w:bodyDiv w:val="1"/>
      <w:marLeft w:val="0"/>
      <w:marRight w:val="0"/>
      <w:marTop w:val="0"/>
      <w:marBottom w:val="0"/>
      <w:divBdr>
        <w:top w:val="none" w:sz="0" w:space="0" w:color="auto"/>
        <w:left w:val="none" w:sz="0" w:space="0" w:color="auto"/>
        <w:bottom w:val="none" w:sz="0" w:space="0" w:color="auto"/>
        <w:right w:val="none" w:sz="0" w:space="0" w:color="auto"/>
      </w:divBdr>
      <w:divsChild>
        <w:div w:id="2023700385">
          <w:marLeft w:val="0"/>
          <w:marRight w:val="0"/>
          <w:marTop w:val="0"/>
          <w:marBottom w:val="0"/>
          <w:divBdr>
            <w:top w:val="none" w:sz="0" w:space="0" w:color="auto"/>
            <w:left w:val="none" w:sz="0" w:space="0" w:color="auto"/>
            <w:bottom w:val="none" w:sz="0" w:space="0" w:color="auto"/>
            <w:right w:val="none" w:sz="0" w:space="0" w:color="auto"/>
          </w:divBdr>
          <w:divsChild>
            <w:div w:id="1611090619">
              <w:marLeft w:val="0"/>
              <w:marRight w:val="0"/>
              <w:marTop w:val="0"/>
              <w:marBottom w:val="0"/>
              <w:divBdr>
                <w:top w:val="none" w:sz="0" w:space="0" w:color="auto"/>
                <w:left w:val="none" w:sz="0" w:space="0" w:color="auto"/>
                <w:bottom w:val="none" w:sz="0" w:space="0" w:color="auto"/>
                <w:right w:val="none" w:sz="0" w:space="0" w:color="auto"/>
              </w:divBdr>
              <w:divsChild>
                <w:div w:id="12552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7492">
      <w:bodyDiv w:val="1"/>
      <w:marLeft w:val="0"/>
      <w:marRight w:val="0"/>
      <w:marTop w:val="0"/>
      <w:marBottom w:val="0"/>
      <w:divBdr>
        <w:top w:val="none" w:sz="0" w:space="0" w:color="auto"/>
        <w:left w:val="none" w:sz="0" w:space="0" w:color="auto"/>
        <w:bottom w:val="none" w:sz="0" w:space="0" w:color="auto"/>
        <w:right w:val="none" w:sz="0" w:space="0" w:color="auto"/>
      </w:divBdr>
      <w:divsChild>
        <w:div w:id="24451516">
          <w:marLeft w:val="0"/>
          <w:marRight w:val="0"/>
          <w:marTop w:val="0"/>
          <w:marBottom w:val="0"/>
          <w:divBdr>
            <w:top w:val="none" w:sz="0" w:space="0" w:color="auto"/>
            <w:left w:val="none" w:sz="0" w:space="0" w:color="auto"/>
            <w:bottom w:val="none" w:sz="0" w:space="0" w:color="auto"/>
            <w:right w:val="none" w:sz="0" w:space="0" w:color="auto"/>
          </w:divBdr>
          <w:divsChild>
            <w:div w:id="1500464373">
              <w:marLeft w:val="0"/>
              <w:marRight w:val="0"/>
              <w:marTop w:val="0"/>
              <w:marBottom w:val="0"/>
              <w:divBdr>
                <w:top w:val="none" w:sz="0" w:space="0" w:color="auto"/>
                <w:left w:val="none" w:sz="0" w:space="0" w:color="auto"/>
                <w:bottom w:val="none" w:sz="0" w:space="0" w:color="auto"/>
                <w:right w:val="none" w:sz="0" w:space="0" w:color="auto"/>
              </w:divBdr>
              <w:divsChild>
                <w:div w:id="9995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85FD-C0C9-C449-9572-5E4FAC91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8339</Words>
  <Characters>47534</Characters>
  <Application>Microsoft Macintosh Word</Application>
  <DocSecurity>0</DocSecurity>
  <Lines>396</Lines>
  <Paragraphs>111</Paragraphs>
  <ScaleCrop>false</ScaleCrop>
  <Company/>
  <LinksUpToDate>false</LinksUpToDate>
  <CharactersWithSpaces>55762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Niccolini</dc:creator>
  <cp:keywords/>
  <dc:description/>
  <cp:lastModifiedBy>flavia</cp:lastModifiedBy>
  <cp:revision>3</cp:revision>
  <dcterms:created xsi:type="dcterms:W3CDTF">2016-03-04T08:39:00Z</dcterms:created>
  <dcterms:modified xsi:type="dcterms:W3CDTF">2016-03-04T08:39:00Z</dcterms:modified>
</cp:coreProperties>
</file>