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848" w:rsidRPr="00DD32E6" w:rsidRDefault="00AC6848" w:rsidP="006A4856">
      <w:pPr>
        <w:spacing w:line="360" w:lineRule="auto"/>
        <w:rPr>
          <w:rFonts w:cstheme="minorHAnsi"/>
          <w:b/>
          <w:bCs/>
          <w:sz w:val="24"/>
          <w:szCs w:val="24"/>
        </w:rPr>
      </w:pPr>
      <w:bookmarkStart w:id="0" w:name="_GoBack"/>
      <w:bookmarkEnd w:id="0"/>
      <w:r w:rsidRPr="00DD32E6">
        <w:rPr>
          <w:rFonts w:cstheme="minorHAnsi"/>
          <w:b/>
          <w:bCs/>
          <w:sz w:val="24"/>
          <w:szCs w:val="24"/>
        </w:rPr>
        <w:t>Title: The occupations associated with COPD risk in the large population-based UK Biobank cohort study</w:t>
      </w:r>
    </w:p>
    <w:p w:rsidR="00AC6848" w:rsidRPr="00DD32E6" w:rsidRDefault="00AC6848" w:rsidP="006A4856">
      <w:pPr>
        <w:pStyle w:val="Default"/>
        <w:spacing w:line="360" w:lineRule="auto"/>
        <w:rPr>
          <w:rFonts w:asciiTheme="minorHAnsi" w:hAnsiTheme="minorHAnsi" w:cstheme="minorHAnsi"/>
          <w:b/>
          <w:bCs/>
          <w:color w:val="auto"/>
        </w:rPr>
      </w:pPr>
      <w:r w:rsidRPr="00DD32E6">
        <w:rPr>
          <w:rFonts w:asciiTheme="minorHAnsi" w:hAnsiTheme="minorHAnsi" w:cstheme="minorHAnsi"/>
          <w:b/>
          <w:bCs/>
          <w:color w:val="auto"/>
        </w:rPr>
        <w:t xml:space="preserve">Authors </w:t>
      </w:r>
    </w:p>
    <w:p w:rsidR="00AC6848" w:rsidRPr="00DD32E6" w:rsidRDefault="00AC6848" w:rsidP="006A4856">
      <w:pPr>
        <w:spacing w:after="0" w:line="360" w:lineRule="auto"/>
        <w:rPr>
          <w:rFonts w:cstheme="minorHAnsi"/>
          <w:sz w:val="24"/>
          <w:szCs w:val="24"/>
        </w:rPr>
      </w:pPr>
      <w:r w:rsidRPr="00DD32E6">
        <w:rPr>
          <w:rFonts w:cstheme="minorHAnsi"/>
          <w:sz w:val="24"/>
          <w:szCs w:val="24"/>
        </w:rPr>
        <w:t>*Sara De Matteis,</w:t>
      </w:r>
      <w:r w:rsidRPr="00DD32E6">
        <w:rPr>
          <w:rFonts w:cstheme="minorHAnsi"/>
          <w:sz w:val="24"/>
          <w:szCs w:val="24"/>
          <w:vertAlign w:val="superscript"/>
        </w:rPr>
        <w:t>1</w:t>
      </w:r>
      <w:r w:rsidRPr="00DD32E6">
        <w:rPr>
          <w:rFonts w:cstheme="minorHAnsi"/>
          <w:sz w:val="24"/>
          <w:szCs w:val="24"/>
        </w:rPr>
        <w:t xml:space="preserve"> Deborah Jarvis,</w:t>
      </w:r>
      <w:r w:rsidRPr="00DD32E6">
        <w:rPr>
          <w:rFonts w:cstheme="minorHAnsi"/>
          <w:sz w:val="24"/>
          <w:szCs w:val="24"/>
          <w:vertAlign w:val="superscript"/>
        </w:rPr>
        <w:t>1</w:t>
      </w:r>
      <w:r w:rsidRPr="00DD32E6">
        <w:rPr>
          <w:rFonts w:cstheme="minorHAnsi"/>
          <w:sz w:val="24"/>
          <w:szCs w:val="24"/>
        </w:rPr>
        <w:t xml:space="preserve"> Sally Hutchings,</w:t>
      </w:r>
      <w:r w:rsidRPr="00DD32E6">
        <w:rPr>
          <w:rFonts w:cstheme="minorHAnsi"/>
          <w:sz w:val="24"/>
          <w:szCs w:val="24"/>
          <w:vertAlign w:val="superscript"/>
        </w:rPr>
        <w:t>2</w:t>
      </w:r>
      <w:r w:rsidRPr="00DD32E6">
        <w:rPr>
          <w:rFonts w:cstheme="minorHAnsi"/>
          <w:sz w:val="24"/>
          <w:szCs w:val="24"/>
        </w:rPr>
        <w:t xml:space="preserve"> Andy Darnton,</w:t>
      </w:r>
      <w:r w:rsidRPr="00DD32E6">
        <w:rPr>
          <w:rFonts w:cstheme="minorHAnsi"/>
          <w:sz w:val="24"/>
          <w:szCs w:val="24"/>
          <w:vertAlign w:val="superscript"/>
        </w:rPr>
        <w:t xml:space="preserve">3 </w:t>
      </w:r>
      <w:r w:rsidRPr="00DD32E6">
        <w:rPr>
          <w:rFonts w:cstheme="minorHAnsi"/>
          <w:sz w:val="24"/>
          <w:szCs w:val="24"/>
        </w:rPr>
        <w:t>David Fishwick,</w:t>
      </w:r>
      <w:r w:rsidRPr="00DD32E6">
        <w:rPr>
          <w:rFonts w:cstheme="minorHAnsi"/>
          <w:sz w:val="24"/>
          <w:szCs w:val="24"/>
          <w:vertAlign w:val="superscript"/>
        </w:rPr>
        <w:t>4</w:t>
      </w:r>
      <w:r w:rsidRPr="00DD32E6">
        <w:rPr>
          <w:rFonts w:cstheme="minorHAnsi"/>
          <w:sz w:val="24"/>
          <w:szCs w:val="24"/>
        </w:rPr>
        <w:t xml:space="preserve"> Steven Sadhra,</w:t>
      </w:r>
      <w:r w:rsidRPr="00DD32E6">
        <w:rPr>
          <w:rFonts w:cstheme="minorHAnsi"/>
          <w:sz w:val="24"/>
          <w:szCs w:val="24"/>
          <w:vertAlign w:val="superscript"/>
        </w:rPr>
        <w:t>5</w:t>
      </w:r>
      <w:r w:rsidRPr="00DD32E6">
        <w:rPr>
          <w:rFonts w:cstheme="minorHAnsi"/>
          <w:sz w:val="24"/>
          <w:szCs w:val="24"/>
        </w:rPr>
        <w:t xml:space="preserve"> Lesley Rushton,</w:t>
      </w:r>
      <w:r w:rsidRPr="00DD32E6">
        <w:rPr>
          <w:rFonts w:cstheme="minorHAnsi"/>
          <w:sz w:val="24"/>
          <w:szCs w:val="24"/>
          <w:vertAlign w:val="superscript"/>
        </w:rPr>
        <w:t>2</w:t>
      </w:r>
      <w:r w:rsidRPr="00DD32E6">
        <w:rPr>
          <w:rFonts w:cstheme="minorHAnsi"/>
          <w:sz w:val="24"/>
          <w:szCs w:val="24"/>
        </w:rPr>
        <w:t xml:space="preserve"> Paul Cullinan</w:t>
      </w:r>
      <w:r w:rsidRPr="00DD32E6">
        <w:rPr>
          <w:rFonts w:cstheme="minorHAnsi"/>
          <w:sz w:val="24"/>
          <w:szCs w:val="24"/>
          <w:vertAlign w:val="superscript"/>
        </w:rPr>
        <w:t>1</w:t>
      </w:r>
    </w:p>
    <w:p w:rsidR="00AC6848" w:rsidRPr="00DD32E6" w:rsidRDefault="00AC6848" w:rsidP="006A4856">
      <w:pPr>
        <w:spacing w:after="0" w:line="360" w:lineRule="auto"/>
        <w:rPr>
          <w:rFonts w:cstheme="minorHAnsi"/>
          <w:b/>
          <w:sz w:val="24"/>
          <w:szCs w:val="24"/>
        </w:rPr>
      </w:pPr>
      <w:r w:rsidRPr="00DD32E6">
        <w:rPr>
          <w:rFonts w:cstheme="minorHAnsi"/>
          <w:b/>
          <w:sz w:val="24"/>
          <w:szCs w:val="24"/>
        </w:rPr>
        <w:t>Affiliations</w:t>
      </w:r>
    </w:p>
    <w:p w:rsidR="00AC6848" w:rsidRPr="00DD32E6" w:rsidRDefault="00AC6848" w:rsidP="006A4856">
      <w:pPr>
        <w:spacing w:after="0" w:line="360" w:lineRule="auto"/>
        <w:rPr>
          <w:rFonts w:cstheme="minorHAnsi"/>
          <w:sz w:val="20"/>
          <w:szCs w:val="20"/>
        </w:rPr>
      </w:pPr>
      <w:r w:rsidRPr="00DD32E6">
        <w:rPr>
          <w:rFonts w:cstheme="minorHAnsi"/>
          <w:sz w:val="20"/>
          <w:szCs w:val="20"/>
          <w:vertAlign w:val="superscript"/>
        </w:rPr>
        <w:t>1</w:t>
      </w:r>
      <w:r w:rsidRPr="00DD32E6">
        <w:rPr>
          <w:rFonts w:cstheme="minorHAnsi"/>
          <w:sz w:val="20"/>
          <w:szCs w:val="20"/>
        </w:rPr>
        <w:t xml:space="preserve"> Department of Respiratory Epidemiology, Occupational Medicine and Public Health, National Heart and Lung Institute, Imperial College London, London, UK </w:t>
      </w:r>
      <w:r w:rsidRPr="00DD32E6">
        <w:rPr>
          <w:rFonts w:cstheme="minorHAnsi"/>
          <w:sz w:val="20"/>
          <w:szCs w:val="20"/>
          <w:vertAlign w:val="superscript"/>
        </w:rPr>
        <w:t xml:space="preserve">2 </w:t>
      </w:r>
      <w:r w:rsidRPr="00DD32E6">
        <w:rPr>
          <w:rFonts w:cstheme="minorHAnsi"/>
          <w:sz w:val="20"/>
          <w:szCs w:val="20"/>
        </w:rPr>
        <w:t xml:space="preserve">Department of Epidemiology and Biostatistics, School of Public Health, Imperial College London, London, UK </w:t>
      </w:r>
      <w:r w:rsidRPr="00DD32E6">
        <w:rPr>
          <w:rFonts w:cstheme="minorHAnsi"/>
          <w:sz w:val="20"/>
          <w:szCs w:val="20"/>
          <w:vertAlign w:val="superscript"/>
        </w:rPr>
        <w:t>3</w:t>
      </w:r>
      <w:r w:rsidRPr="00DD32E6">
        <w:rPr>
          <w:rFonts w:cstheme="minorHAnsi"/>
          <w:sz w:val="20"/>
          <w:szCs w:val="20"/>
        </w:rPr>
        <w:t xml:space="preserve"> </w:t>
      </w:r>
      <w:r w:rsidRPr="00DD32E6">
        <w:rPr>
          <w:sz w:val="20"/>
          <w:szCs w:val="20"/>
        </w:rPr>
        <w:t xml:space="preserve">Health and Safety Executive, Bootle, Merseyside, UK </w:t>
      </w:r>
      <w:r w:rsidRPr="00DD32E6">
        <w:rPr>
          <w:sz w:val="20"/>
          <w:szCs w:val="20"/>
          <w:vertAlign w:val="superscript"/>
        </w:rPr>
        <w:t xml:space="preserve">4 </w:t>
      </w:r>
      <w:r w:rsidRPr="00DD32E6">
        <w:rPr>
          <w:rFonts w:cstheme="minorHAnsi"/>
          <w:sz w:val="20"/>
          <w:szCs w:val="20"/>
        </w:rPr>
        <w:t>Health and Safety Laboratory, Centre for Workplace Health, Buxton, Derbyshire, UK</w:t>
      </w:r>
      <w:r w:rsidRPr="00DD32E6">
        <w:rPr>
          <w:sz w:val="20"/>
          <w:szCs w:val="20"/>
          <w:vertAlign w:val="superscript"/>
        </w:rPr>
        <w:t>,</w:t>
      </w:r>
      <w:r w:rsidRPr="00DD32E6">
        <w:rPr>
          <w:sz w:val="20"/>
          <w:szCs w:val="20"/>
        </w:rPr>
        <w:t xml:space="preserve"> </w:t>
      </w:r>
      <w:r w:rsidRPr="00DD32E6">
        <w:rPr>
          <w:sz w:val="20"/>
          <w:szCs w:val="20"/>
          <w:vertAlign w:val="superscript"/>
        </w:rPr>
        <w:t xml:space="preserve">5 </w:t>
      </w:r>
      <w:r w:rsidRPr="00DD32E6">
        <w:rPr>
          <w:rFonts w:cstheme="minorHAnsi"/>
          <w:sz w:val="20"/>
          <w:szCs w:val="20"/>
        </w:rPr>
        <w:t>Institute of Occupational and Environmental Medicine, University of Birmingham, Birmingham, UK</w:t>
      </w:r>
    </w:p>
    <w:p w:rsidR="00AC6848" w:rsidRPr="00DD32E6" w:rsidRDefault="00AC6848" w:rsidP="006A4856">
      <w:pPr>
        <w:spacing w:after="0" w:line="360" w:lineRule="auto"/>
        <w:rPr>
          <w:rFonts w:cstheme="minorHAnsi"/>
          <w:sz w:val="24"/>
          <w:szCs w:val="24"/>
        </w:rPr>
      </w:pPr>
    </w:p>
    <w:p w:rsidR="00AC6848" w:rsidRPr="00DD32E6" w:rsidRDefault="00AC6848" w:rsidP="006A4856">
      <w:pPr>
        <w:spacing w:after="0" w:line="360" w:lineRule="auto"/>
        <w:rPr>
          <w:rFonts w:cstheme="minorHAnsi"/>
          <w:b/>
          <w:sz w:val="24"/>
          <w:szCs w:val="24"/>
        </w:rPr>
      </w:pPr>
      <w:r w:rsidRPr="00DD32E6">
        <w:rPr>
          <w:rFonts w:cstheme="minorHAnsi"/>
          <w:b/>
          <w:sz w:val="24"/>
          <w:szCs w:val="24"/>
        </w:rPr>
        <w:t>*Corresponding author</w:t>
      </w:r>
    </w:p>
    <w:p w:rsidR="00AC6848" w:rsidRPr="00DD32E6" w:rsidRDefault="00AC6848" w:rsidP="006A4856">
      <w:pPr>
        <w:spacing w:after="0" w:line="240" w:lineRule="auto"/>
        <w:rPr>
          <w:rFonts w:cstheme="minorHAnsi"/>
          <w:sz w:val="24"/>
          <w:szCs w:val="24"/>
          <w:lang w:val="en-US"/>
        </w:rPr>
      </w:pPr>
      <w:r w:rsidRPr="00DD32E6">
        <w:rPr>
          <w:rFonts w:cstheme="minorHAnsi"/>
          <w:sz w:val="24"/>
          <w:szCs w:val="24"/>
          <w:lang w:val="en-US"/>
        </w:rPr>
        <w:t xml:space="preserve">Sara De Matteis, MD, MPH, PhD </w:t>
      </w:r>
    </w:p>
    <w:p w:rsidR="00AC6848" w:rsidRPr="00DD32E6" w:rsidRDefault="00AC6848" w:rsidP="006A4856">
      <w:pPr>
        <w:spacing w:after="0" w:line="240" w:lineRule="auto"/>
        <w:rPr>
          <w:rFonts w:cstheme="minorHAnsi"/>
          <w:sz w:val="24"/>
          <w:szCs w:val="24"/>
          <w:lang w:val="en-US"/>
        </w:rPr>
      </w:pPr>
      <w:r w:rsidRPr="00DD32E6">
        <w:rPr>
          <w:rFonts w:cstheme="minorHAnsi"/>
          <w:sz w:val="24"/>
          <w:szCs w:val="24"/>
          <w:lang w:val="en-US"/>
        </w:rPr>
        <w:t>Imperial College London</w:t>
      </w:r>
    </w:p>
    <w:p w:rsidR="00AC6848" w:rsidRPr="00DD32E6" w:rsidRDefault="00AC6848" w:rsidP="006A4856">
      <w:pPr>
        <w:spacing w:after="0" w:line="240" w:lineRule="auto"/>
        <w:rPr>
          <w:rFonts w:cstheme="minorHAnsi"/>
          <w:sz w:val="24"/>
          <w:szCs w:val="24"/>
        </w:rPr>
      </w:pPr>
      <w:r w:rsidRPr="00DD32E6">
        <w:rPr>
          <w:rFonts w:cstheme="minorHAnsi"/>
          <w:sz w:val="24"/>
          <w:szCs w:val="24"/>
        </w:rPr>
        <w:t xml:space="preserve">National Heart &amp; Lung Institute </w:t>
      </w:r>
    </w:p>
    <w:p w:rsidR="00AC6848" w:rsidRPr="00DD32E6" w:rsidRDefault="00AC6848" w:rsidP="006A4856">
      <w:pPr>
        <w:spacing w:after="0" w:line="240" w:lineRule="auto"/>
        <w:rPr>
          <w:rFonts w:cstheme="minorHAnsi"/>
          <w:sz w:val="24"/>
          <w:szCs w:val="24"/>
        </w:rPr>
      </w:pPr>
      <w:r w:rsidRPr="00DD32E6">
        <w:rPr>
          <w:rFonts w:cstheme="minorHAnsi"/>
          <w:sz w:val="24"/>
          <w:szCs w:val="24"/>
        </w:rPr>
        <w:t xml:space="preserve">Respiratory Epidemiology, Occupational Medicine and Public Health </w:t>
      </w:r>
    </w:p>
    <w:p w:rsidR="00AC6848" w:rsidRPr="00DD32E6" w:rsidRDefault="00AC6848" w:rsidP="006A4856">
      <w:pPr>
        <w:spacing w:after="0" w:line="240" w:lineRule="auto"/>
        <w:rPr>
          <w:rFonts w:cstheme="minorHAnsi"/>
          <w:sz w:val="24"/>
          <w:szCs w:val="24"/>
        </w:rPr>
      </w:pPr>
      <w:r w:rsidRPr="00DD32E6">
        <w:rPr>
          <w:rFonts w:cstheme="minorHAnsi"/>
          <w:sz w:val="24"/>
          <w:szCs w:val="24"/>
        </w:rPr>
        <w:t>Emmanuel Kaye Building</w:t>
      </w:r>
    </w:p>
    <w:p w:rsidR="00AC6848" w:rsidRPr="00DD32E6" w:rsidRDefault="00AC6848" w:rsidP="006A4856">
      <w:pPr>
        <w:spacing w:after="0" w:line="240" w:lineRule="auto"/>
        <w:rPr>
          <w:rFonts w:cstheme="minorHAnsi"/>
          <w:sz w:val="24"/>
          <w:szCs w:val="24"/>
        </w:rPr>
      </w:pPr>
      <w:r w:rsidRPr="00DD32E6">
        <w:rPr>
          <w:rFonts w:cstheme="minorHAnsi"/>
          <w:sz w:val="24"/>
          <w:szCs w:val="24"/>
        </w:rPr>
        <w:t xml:space="preserve">1b Manresa Road </w:t>
      </w:r>
    </w:p>
    <w:p w:rsidR="00AC6848" w:rsidRPr="00DD32E6" w:rsidRDefault="00AC6848" w:rsidP="006A4856">
      <w:pPr>
        <w:spacing w:after="0" w:line="240" w:lineRule="auto"/>
        <w:rPr>
          <w:rFonts w:cstheme="minorHAnsi"/>
          <w:sz w:val="24"/>
          <w:szCs w:val="24"/>
        </w:rPr>
      </w:pPr>
      <w:proofErr w:type="gramStart"/>
      <w:r w:rsidRPr="00DD32E6">
        <w:rPr>
          <w:rFonts w:cstheme="minorHAnsi"/>
          <w:sz w:val="24"/>
          <w:szCs w:val="24"/>
        </w:rPr>
        <w:t>London  SW3</w:t>
      </w:r>
      <w:proofErr w:type="gramEnd"/>
      <w:r w:rsidRPr="00DD32E6">
        <w:rPr>
          <w:rFonts w:cstheme="minorHAnsi"/>
          <w:sz w:val="24"/>
          <w:szCs w:val="24"/>
        </w:rPr>
        <w:t xml:space="preserve"> 6LR</w:t>
      </w:r>
    </w:p>
    <w:p w:rsidR="00AC6848" w:rsidRPr="00DD32E6" w:rsidRDefault="00AC6848" w:rsidP="006A4856">
      <w:pPr>
        <w:spacing w:after="0" w:line="240" w:lineRule="auto"/>
        <w:rPr>
          <w:rFonts w:cstheme="minorHAnsi"/>
          <w:sz w:val="24"/>
          <w:szCs w:val="24"/>
        </w:rPr>
      </w:pPr>
      <w:r w:rsidRPr="00DD32E6">
        <w:rPr>
          <w:rFonts w:cstheme="minorHAnsi"/>
          <w:sz w:val="24"/>
          <w:szCs w:val="24"/>
        </w:rPr>
        <w:t xml:space="preserve">UK  </w:t>
      </w:r>
    </w:p>
    <w:p w:rsidR="00AC6848" w:rsidRPr="00DD32E6" w:rsidRDefault="00AC6848" w:rsidP="006A4856">
      <w:pPr>
        <w:spacing w:after="0" w:line="240" w:lineRule="auto"/>
        <w:rPr>
          <w:rFonts w:cstheme="minorHAnsi"/>
          <w:sz w:val="24"/>
          <w:szCs w:val="24"/>
        </w:rPr>
      </w:pPr>
      <w:r w:rsidRPr="00DD32E6">
        <w:rPr>
          <w:rFonts w:cstheme="minorHAnsi"/>
          <w:sz w:val="24"/>
          <w:szCs w:val="24"/>
        </w:rPr>
        <w:t>Tel:    +44 (0)20 759 43177</w:t>
      </w:r>
    </w:p>
    <w:p w:rsidR="00AC6848" w:rsidRPr="00DD32E6" w:rsidRDefault="00AC6848" w:rsidP="006A4856">
      <w:pPr>
        <w:spacing w:after="0" w:line="240" w:lineRule="auto"/>
        <w:rPr>
          <w:rFonts w:cstheme="minorHAnsi"/>
          <w:sz w:val="24"/>
          <w:szCs w:val="24"/>
          <w:lang w:val="it-IT"/>
        </w:rPr>
      </w:pPr>
      <w:r w:rsidRPr="00DD32E6">
        <w:rPr>
          <w:rFonts w:cstheme="minorHAnsi"/>
          <w:sz w:val="24"/>
          <w:szCs w:val="24"/>
          <w:lang w:val="it-IT"/>
        </w:rPr>
        <w:t>Fax:   +44 (0)20 7351 8336</w:t>
      </w:r>
    </w:p>
    <w:p w:rsidR="00AC6848" w:rsidRPr="00DD32E6" w:rsidRDefault="00AC6848" w:rsidP="006A4856">
      <w:pPr>
        <w:spacing w:after="0" w:line="240" w:lineRule="auto"/>
        <w:rPr>
          <w:rFonts w:cstheme="minorHAnsi"/>
          <w:sz w:val="24"/>
          <w:szCs w:val="24"/>
          <w:lang w:val="it-IT"/>
        </w:rPr>
      </w:pPr>
      <w:r w:rsidRPr="00DD32E6">
        <w:rPr>
          <w:rFonts w:cstheme="minorHAnsi"/>
          <w:sz w:val="24"/>
          <w:szCs w:val="24"/>
          <w:lang w:val="it-IT"/>
        </w:rPr>
        <w:t xml:space="preserve">E-mail: </w:t>
      </w:r>
      <w:hyperlink r:id="rId8" w:history="1">
        <w:r w:rsidRPr="00DD32E6">
          <w:rPr>
            <w:rStyle w:val="Hyperlink"/>
            <w:rFonts w:cstheme="minorHAnsi"/>
            <w:color w:val="auto"/>
            <w:sz w:val="24"/>
            <w:szCs w:val="24"/>
            <w:lang w:val="it-IT"/>
          </w:rPr>
          <w:t>s.de-matteis@imperial.ac.uk</w:t>
        </w:r>
      </w:hyperlink>
    </w:p>
    <w:p w:rsidR="00AC6848" w:rsidRPr="00DD32E6" w:rsidRDefault="00AC6848" w:rsidP="006A4856">
      <w:pPr>
        <w:spacing w:after="0" w:line="360" w:lineRule="auto"/>
        <w:rPr>
          <w:rFonts w:cstheme="minorHAnsi"/>
          <w:b/>
          <w:sz w:val="24"/>
          <w:szCs w:val="24"/>
          <w:lang w:val="it-IT"/>
        </w:rPr>
      </w:pPr>
    </w:p>
    <w:p w:rsidR="00391E7F" w:rsidRPr="00DD32E6" w:rsidRDefault="00391E7F">
      <w:pPr>
        <w:rPr>
          <w:rFonts w:cstheme="minorHAnsi"/>
          <w:b/>
          <w:i/>
          <w:sz w:val="24"/>
          <w:szCs w:val="24"/>
          <w:lang w:val="it-IT"/>
        </w:rPr>
      </w:pPr>
    </w:p>
    <w:p w:rsidR="00391E7F" w:rsidRPr="00DD32E6" w:rsidRDefault="008A1298">
      <w:pPr>
        <w:rPr>
          <w:rFonts w:cstheme="minorHAnsi"/>
          <w:b/>
          <w:i/>
          <w:sz w:val="24"/>
          <w:szCs w:val="24"/>
          <w:lang w:val="it-IT"/>
        </w:rPr>
      </w:pPr>
      <w:r w:rsidRPr="00DD32E6">
        <w:rPr>
          <w:rFonts w:cstheme="minorHAnsi"/>
          <w:b/>
          <w:i/>
          <w:sz w:val="24"/>
          <w:szCs w:val="24"/>
          <w:lang w:val="it-IT"/>
        </w:rPr>
        <w:t>Keywords: Occupations, chronic obstructive pulmonary disease, public health.</w:t>
      </w:r>
    </w:p>
    <w:p w:rsidR="008A1298" w:rsidRPr="00DD32E6" w:rsidRDefault="008A1298">
      <w:pPr>
        <w:rPr>
          <w:rFonts w:cstheme="minorHAnsi"/>
          <w:b/>
          <w:i/>
          <w:sz w:val="24"/>
          <w:szCs w:val="24"/>
          <w:lang w:val="it-IT"/>
        </w:rPr>
      </w:pPr>
    </w:p>
    <w:p w:rsidR="00AC6848" w:rsidRPr="00DD32E6" w:rsidRDefault="00AC6848">
      <w:pPr>
        <w:rPr>
          <w:rFonts w:cstheme="minorHAnsi"/>
          <w:b/>
          <w:i/>
          <w:sz w:val="24"/>
          <w:szCs w:val="24"/>
          <w:lang w:val="it-IT"/>
        </w:rPr>
      </w:pPr>
      <w:r w:rsidRPr="00DD32E6">
        <w:rPr>
          <w:rFonts w:cstheme="minorHAnsi"/>
          <w:b/>
          <w:i/>
          <w:sz w:val="24"/>
          <w:szCs w:val="24"/>
          <w:lang w:val="it-IT"/>
        </w:rPr>
        <w:t>Word count:</w:t>
      </w:r>
    </w:p>
    <w:p w:rsidR="00AC6848" w:rsidRPr="00DD32E6" w:rsidRDefault="002A202F">
      <w:pPr>
        <w:rPr>
          <w:rFonts w:cstheme="minorHAnsi"/>
          <w:b/>
          <w:i/>
          <w:sz w:val="24"/>
          <w:szCs w:val="24"/>
          <w:lang w:val="it-IT"/>
        </w:rPr>
      </w:pPr>
      <w:r w:rsidRPr="00DD32E6">
        <w:rPr>
          <w:rFonts w:cstheme="minorHAnsi"/>
          <w:b/>
          <w:i/>
          <w:sz w:val="24"/>
          <w:szCs w:val="24"/>
          <w:lang w:val="it-IT"/>
        </w:rPr>
        <w:t xml:space="preserve"> -</w:t>
      </w:r>
      <w:r w:rsidR="00AC6848" w:rsidRPr="00DD32E6">
        <w:rPr>
          <w:rFonts w:cstheme="minorHAnsi"/>
          <w:b/>
          <w:i/>
          <w:sz w:val="24"/>
          <w:szCs w:val="24"/>
          <w:lang w:val="it-IT"/>
        </w:rPr>
        <w:t>Abstract: 250</w:t>
      </w:r>
    </w:p>
    <w:p w:rsidR="00AC6848" w:rsidRPr="00DD32E6" w:rsidRDefault="002A202F">
      <w:pPr>
        <w:rPr>
          <w:rFonts w:cstheme="minorHAnsi"/>
          <w:b/>
          <w:i/>
          <w:sz w:val="24"/>
          <w:szCs w:val="24"/>
          <w:lang w:val="it-IT"/>
        </w:rPr>
      </w:pPr>
      <w:r w:rsidRPr="00DD32E6">
        <w:rPr>
          <w:rFonts w:cstheme="minorHAnsi"/>
          <w:b/>
          <w:i/>
          <w:sz w:val="24"/>
          <w:szCs w:val="24"/>
          <w:lang w:val="it-IT"/>
        </w:rPr>
        <w:t xml:space="preserve">- </w:t>
      </w:r>
      <w:r w:rsidR="00AC6848" w:rsidRPr="00255F0D">
        <w:rPr>
          <w:rFonts w:cstheme="minorHAnsi"/>
          <w:b/>
          <w:i/>
          <w:sz w:val="24"/>
          <w:szCs w:val="24"/>
          <w:lang w:val="it-IT"/>
        </w:rPr>
        <w:t xml:space="preserve">Manuscript: </w:t>
      </w:r>
      <w:r w:rsidR="00E41ABE" w:rsidRPr="00255F0D">
        <w:t xml:space="preserve"> </w:t>
      </w:r>
      <w:r w:rsidR="00E41ABE" w:rsidRPr="00255F0D">
        <w:rPr>
          <w:rFonts w:cstheme="minorHAnsi"/>
          <w:b/>
          <w:i/>
          <w:sz w:val="24"/>
          <w:szCs w:val="24"/>
          <w:lang w:val="it-IT"/>
        </w:rPr>
        <w:t>3,146</w:t>
      </w:r>
    </w:p>
    <w:p w:rsidR="00AC6848" w:rsidRPr="00DD32E6" w:rsidRDefault="002A202F">
      <w:pPr>
        <w:rPr>
          <w:rFonts w:cstheme="minorHAnsi"/>
          <w:b/>
          <w:i/>
          <w:sz w:val="24"/>
          <w:szCs w:val="24"/>
          <w:lang w:val="it-IT"/>
        </w:rPr>
      </w:pPr>
      <w:r w:rsidRPr="00DD32E6">
        <w:rPr>
          <w:rFonts w:cstheme="minorHAnsi"/>
          <w:b/>
          <w:i/>
          <w:sz w:val="24"/>
          <w:szCs w:val="24"/>
          <w:lang w:val="it-IT"/>
        </w:rPr>
        <w:t>4 Tables</w:t>
      </w:r>
    </w:p>
    <w:p w:rsidR="00D83BBA" w:rsidRPr="00DD32E6" w:rsidRDefault="00D83BBA">
      <w:pPr>
        <w:rPr>
          <w:rFonts w:cstheme="minorHAnsi"/>
          <w:b/>
          <w:i/>
          <w:sz w:val="24"/>
          <w:szCs w:val="24"/>
          <w:lang w:val="it-IT"/>
        </w:rPr>
      </w:pPr>
      <w:r w:rsidRPr="00DD32E6">
        <w:rPr>
          <w:rFonts w:cstheme="minorHAnsi"/>
          <w:b/>
          <w:i/>
          <w:sz w:val="24"/>
          <w:szCs w:val="24"/>
          <w:lang w:val="it-IT"/>
        </w:rPr>
        <w:t>1 Figure</w:t>
      </w:r>
    </w:p>
    <w:p w:rsidR="00AC6848" w:rsidRPr="00DD32E6" w:rsidRDefault="002A202F">
      <w:pPr>
        <w:rPr>
          <w:rFonts w:cstheme="minorHAnsi"/>
          <w:b/>
          <w:sz w:val="24"/>
          <w:szCs w:val="24"/>
          <w:lang w:val="it-IT"/>
        </w:rPr>
      </w:pPr>
      <w:r w:rsidRPr="00DD32E6">
        <w:rPr>
          <w:rFonts w:cstheme="minorHAnsi"/>
          <w:b/>
          <w:i/>
          <w:sz w:val="24"/>
          <w:szCs w:val="24"/>
          <w:lang w:val="it-IT"/>
        </w:rPr>
        <w:t xml:space="preserve">5 </w:t>
      </w:r>
      <w:r w:rsidR="00D83BBA" w:rsidRPr="00DD32E6">
        <w:rPr>
          <w:rFonts w:cstheme="minorHAnsi"/>
          <w:b/>
          <w:i/>
          <w:sz w:val="24"/>
          <w:szCs w:val="24"/>
          <w:lang w:val="it-IT"/>
        </w:rPr>
        <w:t xml:space="preserve">Online </w:t>
      </w:r>
      <w:r w:rsidRPr="00DD32E6">
        <w:rPr>
          <w:rFonts w:cstheme="minorHAnsi"/>
          <w:b/>
          <w:i/>
          <w:sz w:val="24"/>
          <w:szCs w:val="24"/>
          <w:lang w:val="it-IT"/>
        </w:rPr>
        <w:t>Su</w:t>
      </w:r>
      <w:r w:rsidR="00C13973" w:rsidRPr="00DD32E6">
        <w:rPr>
          <w:rFonts w:cstheme="minorHAnsi"/>
          <w:b/>
          <w:i/>
          <w:sz w:val="24"/>
          <w:szCs w:val="24"/>
          <w:lang w:val="it-IT"/>
        </w:rPr>
        <w:t>pplementary Tables</w:t>
      </w:r>
      <w:r w:rsidR="00AC6848" w:rsidRPr="00DD32E6">
        <w:rPr>
          <w:rFonts w:cstheme="minorHAnsi"/>
          <w:b/>
          <w:sz w:val="24"/>
          <w:szCs w:val="24"/>
          <w:lang w:val="it-IT"/>
        </w:rPr>
        <w:br w:type="page"/>
      </w:r>
    </w:p>
    <w:p w:rsidR="000D6262" w:rsidRPr="00DD32E6" w:rsidRDefault="000D6262" w:rsidP="000D6262">
      <w:pPr>
        <w:rPr>
          <w:rFonts w:cstheme="minorHAnsi"/>
          <w:b/>
          <w:sz w:val="24"/>
          <w:szCs w:val="24"/>
          <w:lang w:val="it-IT"/>
        </w:rPr>
      </w:pPr>
      <w:r w:rsidRPr="00DD32E6">
        <w:rPr>
          <w:rFonts w:cstheme="minorHAnsi"/>
          <w:b/>
          <w:sz w:val="24"/>
          <w:szCs w:val="24"/>
          <w:lang w:val="it-IT"/>
        </w:rPr>
        <w:lastRenderedPageBreak/>
        <w:t>What this paper adds:</w:t>
      </w:r>
    </w:p>
    <w:p w:rsidR="000D6262" w:rsidRPr="00DD32E6" w:rsidRDefault="000D6262" w:rsidP="000D6262">
      <w:pPr>
        <w:ind w:left="709" w:hanging="709"/>
        <w:rPr>
          <w:rFonts w:cstheme="minorHAnsi"/>
          <w:b/>
          <w:sz w:val="24"/>
          <w:szCs w:val="24"/>
          <w:lang w:val="it-IT"/>
        </w:rPr>
      </w:pPr>
      <w:r w:rsidRPr="00DD32E6">
        <w:rPr>
          <w:rFonts w:cstheme="minorHAnsi"/>
          <w:b/>
          <w:sz w:val="24"/>
          <w:szCs w:val="24"/>
          <w:lang w:val="it-IT"/>
        </w:rPr>
        <w:t>•</w:t>
      </w:r>
      <w:r w:rsidRPr="00DD32E6">
        <w:rPr>
          <w:rFonts w:cstheme="minorHAnsi"/>
          <w:b/>
          <w:sz w:val="24"/>
          <w:szCs w:val="24"/>
          <w:lang w:val="it-IT"/>
        </w:rPr>
        <w:tab/>
        <w:t xml:space="preserve">Occupational hazards are important and preventable risk factors for COPD. However, the specific occupations at higher risk in the general population are still unclear. </w:t>
      </w:r>
    </w:p>
    <w:p w:rsidR="000D6262" w:rsidRPr="00DD32E6" w:rsidRDefault="000D6262" w:rsidP="000D6262">
      <w:pPr>
        <w:ind w:left="709" w:hanging="709"/>
        <w:rPr>
          <w:rFonts w:cstheme="minorHAnsi"/>
          <w:b/>
          <w:sz w:val="24"/>
          <w:szCs w:val="24"/>
          <w:lang w:val="it-IT"/>
        </w:rPr>
      </w:pPr>
      <w:r w:rsidRPr="00DD32E6">
        <w:rPr>
          <w:rFonts w:cstheme="minorHAnsi"/>
          <w:b/>
          <w:sz w:val="24"/>
          <w:szCs w:val="24"/>
          <w:lang w:val="it-IT"/>
        </w:rPr>
        <w:t>•</w:t>
      </w:r>
      <w:r w:rsidRPr="00DD32E6">
        <w:rPr>
          <w:rFonts w:cstheme="minorHAnsi"/>
          <w:b/>
          <w:sz w:val="24"/>
          <w:szCs w:val="24"/>
          <w:lang w:val="it-IT"/>
        </w:rPr>
        <w:tab/>
        <w:t>We found in a large population-based study in the UK that several occupations are at higher risk for COPD, including some never reported before such as cleaners. The validity of our findings was confirmed in analyses restricted to never smokers and non-asthmatics.</w:t>
      </w:r>
    </w:p>
    <w:p w:rsidR="000D6262" w:rsidRPr="00DD32E6" w:rsidRDefault="000D6262" w:rsidP="000D6262">
      <w:pPr>
        <w:ind w:left="709" w:hanging="709"/>
        <w:rPr>
          <w:rFonts w:cstheme="minorHAnsi"/>
          <w:b/>
          <w:sz w:val="24"/>
          <w:szCs w:val="24"/>
          <w:lang w:val="it-IT"/>
        </w:rPr>
      </w:pPr>
      <w:r w:rsidRPr="00DD32E6">
        <w:rPr>
          <w:rFonts w:cstheme="minorHAnsi"/>
          <w:b/>
          <w:sz w:val="24"/>
          <w:szCs w:val="24"/>
          <w:lang w:val="it-IT"/>
        </w:rPr>
        <w:t>•</w:t>
      </w:r>
      <w:r w:rsidRPr="00DD32E6">
        <w:rPr>
          <w:rFonts w:cstheme="minorHAnsi"/>
          <w:b/>
          <w:sz w:val="24"/>
          <w:szCs w:val="24"/>
          <w:lang w:val="it-IT"/>
        </w:rPr>
        <w:tab/>
      </w:r>
      <w:r w:rsidR="002A0897" w:rsidRPr="00DD32E6">
        <w:rPr>
          <w:rFonts w:cstheme="minorHAnsi"/>
          <w:b/>
          <w:bCs/>
          <w:sz w:val="24"/>
          <w:szCs w:val="24"/>
        </w:rPr>
        <w:t>We will next investigate the underlying potential occupational causal agents to confirm the extent to which these associations reflect exposures still of concern</w:t>
      </w:r>
      <w:r w:rsidR="00A67493" w:rsidRPr="00DD32E6">
        <w:rPr>
          <w:rFonts w:cstheme="minorHAnsi"/>
          <w:b/>
          <w:bCs/>
          <w:sz w:val="24"/>
          <w:szCs w:val="24"/>
        </w:rPr>
        <w:t xml:space="preserve"> and where strengthened prevent</w:t>
      </w:r>
      <w:r w:rsidR="002A0897" w:rsidRPr="00DD32E6">
        <w:rPr>
          <w:rFonts w:cstheme="minorHAnsi"/>
          <w:b/>
          <w:bCs/>
          <w:sz w:val="24"/>
          <w:szCs w:val="24"/>
        </w:rPr>
        <w:t>ive action may be needed.</w:t>
      </w:r>
      <w:r w:rsidR="002A0897" w:rsidRPr="00DD32E6" w:rsidDel="002A0897">
        <w:rPr>
          <w:rFonts w:cstheme="minorHAnsi"/>
          <w:b/>
          <w:sz w:val="24"/>
          <w:szCs w:val="24"/>
          <w:lang w:val="it-IT"/>
        </w:rPr>
        <w:t xml:space="preserve"> </w:t>
      </w:r>
    </w:p>
    <w:p w:rsidR="000D6262" w:rsidRPr="00DD32E6" w:rsidRDefault="000D6262" w:rsidP="000D6262">
      <w:pPr>
        <w:rPr>
          <w:rFonts w:cstheme="minorHAnsi"/>
          <w:b/>
          <w:sz w:val="24"/>
          <w:szCs w:val="24"/>
          <w:lang w:val="it-IT"/>
        </w:rPr>
      </w:pPr>
    </w:p>
    <w:p w:rsidR="00AC6848" w:rsidRPr="00DD32E6" w:rsidRDefault="00AC6848" w:rsidP="006A4856">
      <w:pPr>
        <w:spacing w:line="360" w:lineRule="auto"/>
        <w:rPr>
          <w:rFonts w:cstheme="minorHAnsi"/>
          <w:b/>
          <w:sz w:val="24"/>
          <w:szCs w:val="24"/>
        </w:rPr>
      </w:pPr>
      <w:r w:rsidRPr="00DD32E6">
        <w:rPr>
          <w:rFonts w:cstheme="minorHAnsi"/>
          <w:b/>
          <w:bCs/>
          <w:sz w:val="24"/>
          <w:szCs w:val="24"/>
        </w:rPr>
        <w:t xml:space="preserve">ABSTRACT </w:t>
      </w:r>
    </w:p>
    <w:p w:rsidR="00AC6848" w:rsidRPr="00DD32E6" w:rsidRDefault="00AC6848" w:rsidP="006A4856">
      <w:pPr>
        <w:spacing w:after="0" w:line="360" w:lineRule="auto"/>
        <w:rPr>
          <w:rFonts w:cstheme="minorHAnsi"/>
          <w:bCs/>
          <w:sz w:val="24"/>
          <w:szCs w:val="24"/>
        </w:rPr>
      </w:pPr>
      <w:r w:rsidRPr="00DD32E6">
        <w:rPr>
          <w:rFonts w:cstheme="minorHAnsi"/>
          <w:b/>
          <w:bCs/>
          <w:sz w:val="24"/>
          <w:szCs w:val="24"/>
        </w:rPr>
        <w:t xml:space="preserve">Objectives </w:t>
      </w:r>
      <w:r w:rsidRPr="00DD32E6">
        <w:rPr>
          <w:rFonts w:cstheme="minorHAnsi"/>
          <w:sz w:val="24"/>
          <w:szCs w:val="24"/>
        </w:rPr>
        <w:t>COPD is a leading cause of morbidity and mortality worldwide. Exposure to occupational hazards is an important preventable risk factor but the contribution of specific occupations to COPD risk in a general population is uncertain. Our aim was t</w:t>
      </w:r>
      <w:r w:rsidRPr="00DD32E6">
        <w:rPr>
          <w:rFonts w:cstheme="minorHAnsi"/>
          <w:bCs/>
          <w:sz w:val="24"/>
          <w:szCs w:val="24"/>
        </w:rPr>
        <w:t xml:space="preserve">o investigate the association of COPD with occupation in the UK population. </w:t>
      </w:r>
    </w:p>
    <w:p w:rsidR="00AC6848" w:rsidRPr="00DD32E6" w:rsidRDefault="00AC6848" w:rsidP="006A4856">
      <w:pPr>
        <w:pStyle w:val="Default"/>
        <w:spacing w:line="360" w:lineRule="auto"/>
        <w:rPr>
          <w:rFonts w:asciiTheme="minorHAnsi" w:hAnsiTheme="minorHAnsi" w:cstheme="minorHAnsi"/>
          <w:bCs/>
          <w:color w:val="auto"/>
        </w:rPr>
      </w:pPr>
      <w:r w:rsidRPr="00DD32E6">
        <w:rPr>
          <w:rFonts w:asciiTheme="minorHAnsi" w:hAnsiTheme="minorHAnsi" w:cstheme="minorHAnsi"/>
          <w:b/>
          <w:bCs/>
          <w:color w:val="auto"/>
        </w:rPr>
        <w:t xml:space="preserve">Methods </w:t>
      </w:r>
      <w:r w:rsidRPr="00DD32E6">
        <w:rPr>
          <w:rFonts w:asciiTheme="minorHAnsi" w:hAnsiTheme="minorHAnsi" w:cstheme="minorHAnsi"/>
          <w:bCs/>
          <w:color w:val="auto"/>
        </w:rPr>
        <w:t>In 2006-2010 the UK Biobank cohort recruited 502,649</w:t>
      </w:r>
      <w:r w:rsidRPr="00DD32E6">
        <w:rPr>
          <w:rFonts w:asciiTheme="minorHAnsi" w:eastAsiaTheme="minorEastAsia" w:hAnsiTheme="minorHAnsi" w:cstheme="minorHAnsi"/>
          <w:color w:val="auto"/>
        </w:rPr>
        <w:t xml:space="preserve"> </w:t>
      </w:r>
      <w:r w:rsidRPr="00DD32E6">
        <w:rPr>
          <w:rFonts w:asciiTheme="minorHAnsi" w:hAnsiTheme="minorHAnsi" w:cstheme="minorHAnsi"/>
          <w:bCs/>
          <w:color w:val="auto"/>
        </w:rPr>
        <w:t xml:space="preserve">adults aged 40-69 years. COPD cases were identified by pre-bronchodilator FEV1/FVC&lt;lower limit of normal (LLN) according to ATS/ERS guidelines. Current occupations were coded using the Standard Occupational Classification (SOC) 2000. Prevalence ratios (PRs) and 95% confidence intervals (CIs) of COPD for each SOC-coded job were estimated using a robust Poisson model adjusted for sex, age, recruitment centre and lifetime tobacco smoking.  Analyses restricted to never smokers and non-asthmatics were also performed. </w:t>
      </w:r>
    </w:p>
    <w:p w:rsidR="00AC6848" w:rsidRPr="00DD32E6" w:rsidRDefault="00AC6848" w:rsidP="006A4856">
      <w:pPr>
        <w:pStyle w:val="Default"/>
        <w:spacing w:line="360" w:lineRule="auto"/>
        <w:rPr>
          <w:rFonts w:asciiTheme="minorHAnsi" w:hAnsiTheme="minorHAnsi" w:cstheme="minorHAnsi"/>
          <w:color w:val="auto"/>
        </w:rPr>
      </w:pPr>
      <w:r w:rsidRPr="00DD32E6">
        <w:rPr>
          <w:rFonts w:asciiTheme="minorHAnsi" w:hAnsiTheme="minorHAnsi" w:cstheme="minorHAnsi"/>
          <w:b/>
          <w:bCs/>
          <w:color w:val="auto"/>
        </w:rPr>
        <w:t xml:space="preserve">Results </w:t>
      </w:r>
      <w:proofErr w:type="gramStart"/>
      <w:r w:rsidRPr="00DD32E6">
        <w:rPr>
          <w:rFonts w:asciiTheme="minorHAnsi" w:hAnsiTheme="minorHAnsi" w:cstheme="minorHAnsi"/>
          <w:color w:val="auto"/>
        </w:rPr>
        <w:t>Of</w:t>
      </w:r>
      <w:proofErr w:type="gramEnd"/>
      <w:r w:rsidRPr="00DD32E6">
        <w:rPr>
          <w:rFonts w:asciiTheme="minorHAnsi" w:hAnsiTheme="minorHAnsi" w:cstheme="minorHAnsi"/>
          <w:color w:val="auto"/>
        </w:rPr>
        <w:t xml:space="preserve"> the 353 </w:t>
      </w:r>
      <w:r w:rsidR="00255F0D">
        <w:rPr>
          <w:rFonts w:asciiTheme="minorHAnsi" w:hAnsiTheme="minorHAnsi" w:cstheme="minorHAnsi"/>
          <w:color w:val="auto"/>
        </w:rPr>
        <w:t>occupations</w:t>
      </w:r>
      <w:r w:rsidR="00255F0D" w:rsidRPr="00DD32E6">
        <w:rPr>
          <w:rFonts w:asciiTheme="minorHAnsi" w:hAnsiTheme="minorHAnsi" w:cstheme="minorHAnsi"/>
          <w:color w:val="auto"/>
        </w:rPr>
        <w:t xml:space="preserve"> </w:t>
      </w:r>
      <w:r w:rsidRPr="00DD32E6">
        <w:rPr>
          <w:rFonts w:asciiTheme="minorHAnsi" w:hAnsiTheme="minorHAnsi" w:cstheme="minorHAnsi"/>
          <w:color w:val="auto"/>
        </w:rPr>
        <w:t>reported by 228,614 current working participants, several showed significantly increased COPD risk. Th</w:t>
      </w:r>
      <w:r w:rsidR="00E41ABE">
        <w:rPr>
          <w:rFonts w:asciiTheme="minorHAnsi" w:hAnsiTheme="minorHAnsi" w:cstheme="minorHAnsi"/>
          <w:color w:val="auto"/>
        </w:rPr>
        <w:t>ose</w:t>
      </w:r>
      <w:r w:rsidRPr="00DD32E6">
        <w:rPr>
          <w:rFonts w:asciiTheme="minorHAnsi" w:hAnsiTheme="minorHAnsi" w:cstheme="minorHAnsi"/>
          <w:color w:val="auto"/>
        </w:rPr>
        <w:t xml:space="preserve"> at highest COPD risk were seafarers (PR=2.64;95%CI:1.59-4.38), coal mine operatives (PR=2.30;95%CI:1.00-5.31), cleaners (industrial: PR=1.96;95%CI:1.16-3.31 and domestic: PR=1.43;95%CI:1.28-1.59), roofers/</w:t>
      </w:r>
      <w:proofErr w:type="spellStart"/>
      <w:r w:rsidRPr="00DD32E6">
        <w:rPr>
          <w:rFonts w:asciiTheme="minorHAnsi" w:hAnsiTheme="minorHAnsi" w:cstheme="minorHAnsi"/>
          <w:color w:val="auto"/>
        </w:rPr>
        <w:t>tilers</w:t>
      </w:r>
      <w:proofErr w:type="spellEnd"/>
      <w:r w:rsidRPr="00DD32E6">
        <w:rPr>
          <w:rFonts w:asciiTheme="minorHAnsi" w:hAnsiTheme="minorHAnsi" w:cstheme="minorHAnsi"/>
          <w:color w:val="auto"/>
        </w:rPr>
        <w:t xml:space="preserve"> (PR=1.86;95%CI:1.29-2.67), packers/bottlers/canners/fillers (PR=1.60;95%CI:1.15-2.22), horticultural trades (PR=1.55;95%CI:0.97-2.50), food/drink/tobacco process operatives (PR=1.46;95%CI:1.11-1.93), floorers/wall </w:t>
      </w:r>
      <w:proofErr w:type="spellStart"/>
      <w:r w:rsidRPr="00DD32E6">
        <w:rPr>
          <w:rFonts w:asciiTheme="minorHAnsi" w:hAnsiTheme="minorHAnsi" w:cstheme="minorHAnsi"/>
          <w:color w:val="auto"/>
        </w:rPr>
        <w:t>tilers</w:t>
      </w:r>
      <w:proofErr w:type="spellEnd"/>
      <w:r w:rsidRPr="00DD32E6">
        <w:rPr>
          <w:rFonts w:asciiTheme="minorHAnsi" w:hAnsiTheme="minorHAnsi" w:cstheme="minorHAnsi"/>
          <w:color w:val="auto"/>
        </w:rPr>
        <w:t xml:space="preserve"> (PR=1.41;95%CI:1.00-2.00), chemical/related process operatives (PR=1.39;95%CI:0.98-1.97), postal workers/couriers </w:t>
      </w:r>
      <w:r w:rsidRPr="00DD32E6">
        <w:rPr>
          <w:rFonts w:asciiTheme="minorHAnsi" w:hAnsiTheme="minorHAnsi" w:cstheme="minorHAnsi"/>
          <w:color w:val="auto"/>
        </w:rPr>
        <w:lastRenderedPageBreak/>
        <w:t>(PR=1.35;95%CI:1.15-1.59), labourers in building/woodworking trades (PR=1.32;95%CI:1.04-1.68), school mid-day assistants (PR=1.32;95%CI:1.01-1.74), and kitchen/catering assistants (PR=1.30;95%CI:1.10-1.53). Associations were similar in analyses restricted to never smokers and non-asthmatics.</w:t>
      </w:r>
    </w:p>
    <w:p w:rsidR="00AC6848" w:rsidRPr="00DD32E6" w:rsidRDefault="00AC6848" w:rsidP="006A4856">
      <w:pPr>
        <w:pStyle w:val="Default"/>
        <w:spacing w:line="360" w:lineRule="auto"/>
        <w:rPr>
          <w:rFonts w:asciiTheme="minorHAnsi" w:hAnsiTheme="minorHAnsi" w:cstheme="minorHAnsi"/>
          <w:bCs/>
          <w:color w:val="auto"/>
        </w:rPr>
      </w:pPr>
      <w:r w:rsidRPr="00DD32E6">
        <w:rPr>
          <w:rFonts w:asciiTheme="minorHAnsi" w:hAnsiTheme="minorHAnsi" w:cstheme="minorHAnsi"/>
          <w:b/>
          <w:bCs/>
          <w:color w:val="auto"/>
        </w:rPr>
        <w:t xml:space="preserve">Conclusions </w:t>
      </w:r>
      <w:r w:rsidRPr="00DD32E6">
        <w:rPr>
          <w:rFonts w:asciiTheme="minorHAnsi" w:hAnsiTheme="minorHAnsi" w:cstheme="minorHAnsi"/>
          <w:bCs/>
          <w:color w:val="auto"/>
        </w:rPr>
        <w:t xml:space="preserve">Selected occupations are associated with increased COPD risk in a large cross-sectional population-based UK study. Further analyses </w:t>
      </w:r>
      <w:r w:rsidR="002A0897" w:rsidRPr="00DD32E6">
        <w:rPr>
          <w:rFonts w:asciiTheme="minorHAnsi" w:hAnsiTheme="minorHAnsi" w:cstheme="minorHAnsi"/>
          <w:bCs/>
          <w:color w:val="auto"/>
        </w:rPr>
        <w:t>should confirm the extent to which these associations reflect exposures still of concern and where strengthened preventive action may be needed.</w:t>
      </w:r>
    </w:p>
    <w:p w:rsidR="00AC6848" w:rsidRPr="00DD32E6" w:rsidRDefault="00AC6848" w:rsidP="006A4856">
      <w:pPr>
        <w:pStyle w:val="Default"/>
        <w:spacing w:line="360" w:lineRule="auto"/>
        <w:rPr>
          <w:rFonts w:cstheme="minorHAnsi"/>
          <w:color w:val="auto"/>
        </w:rPr>
      </w:pPr>
      <w:r w:rsidRPr="00DD32E6">
        <w:rPr>
          <w:rFonts w:cstheme="minorHAnsi"/>
          <w:color w:val="auto"/>
        </w:rPr>
        <w:br w:type="page"/>
      </w:r>
    </w:p>
    <w:p w:rsidR="00AC6848" w:rsidRPr="00DD32E6" w:rsidRDefault="00AC6848" w:rsidP="006A4856">
      <w:pPr>
        <w:pStyle w:val="Default"/>
        <w:spacing w:line="360" w:lineRule="auto"/>
        <w:rPr>
          <w:rFonts w:asciiTheme="minorHAnsi" w:hAnsiTheme="minorHAnsi" w:cstheme="minorHAnsi"/>
          <w:b/>
          <w:bCs/>
          <w:color w:val="auto"/>
        </w:rPr>
      </w:pPr>
      <w:r w:rsidRPr="00DD32E6">
        <w:rPr>
          <w:rFonts w:asciiTheme="minorHAnsi" w:hAnsiTheme="minorHAnsi" w:cstheme="minorHAnsi"/>
          <w:b/>
          <w:bCs/>
          <w:color w:val="auto"/>
        </w:rPr>
        <w:lastRenderedPageBreak/>
        <w:t>BACKGROUND</w:t>
      </w:r>
    </w:p>
    <w:p w:rsidR="00AC6848" w:rsidRPr="00DD32E6" w:rsidRDefault="00AC6848" w:rsidP="006A4856">
      <w:pPr>
        <w:pStyle w:val="Default"/>
        <w:spacing w:line="360" w:lineRule="auto"/>
        <w:rPr>
          <w:rFonts w:asciiTheme="minorHAnsi" w:eastAsiaTheme="minorEastAsia" w:hAnsiTheme="minorHAnsi" w:cstheme="minorHAnsi"/>
          <w:color w:val="auto"/>
        </w:rPr>
      </w:pPr>
      <w:r w:rsidRPr="00DD32E6">
        <w:rPr>
          <w:rFonts w:asciiTheme="minorHAnsi" w:eastAsiaTheme="minorEastAsia" w:hAnsiTheme="minorHAnsi" w:cstheme="minorHAnsi"/>
          <w:color w:val="auto"/>
        </w:rPr>
        <w:t>COPD is a leading cause of mortality, morbidity and disability worldwide.</w:t>
      </w:r>
      <w:r w:rsidRPr="00DD32E6">
        <w:rPr>
          <w:rFonts w:asciiTheme="minorHAnsi" w:eastAsiaTheme="minorEastAsia" w:hAnsiTheme="minorHAnsi" w:cstheme="minorHAnsi"/>
          <w:noProof/>
          <w:color w:val="auto"/>
          <w:vertAlign w:val="superscript"/>
        </w:rPr>
        <w:t>1</w:t>
      </w:r>
      <w:r w:rsidRPr="00DD32E6">
        <w:rPr>
          <w:rFonts w:asciiTheme="minorHAnsi" w:eastAsiaTheme="minorEastAsia" w:hAnsiTheme="minorHAnsi" w:cstheme="minorHAnsi"/>
          <w:color w:val="auto"/>
        </w:rPr>
        <w:t xml:space="preserve"> Although tobacco smoking is a major risk factor, it has been estimated that about 15-20% of COPD cases is attributable to occupational exposures (i.e. dusts, gas, vapours, fumes, fibres).</w:t>
      </w:r>
      <w:r w:rsidRPr="00DD32E6">
        <w:rPr>
          <w:rFonts w:asciiTheme="minorHAnsi" w:eastAsiaTheme="minorEastAsia" w:hAnsiTheme="minorHAnsi" w:cstheme="minorHAnsi"/>
          <w:noProof/>
          <w:color w:val="auto"/>
          <w:vertAlign w:val="superscript"/>
        </w:rPr>
        <w:t>2 3</w:t>
      </w:r>
      <w:r w:rsidRPr="00DD32E6">
        <w:rPr>
          <w:rFonts w:asciiTheme="minorHAnsi" w:eastAsiaTheme="minorEastAsia" w:hAnsiTheme="minorHAnsi" w:cstheme="minorHAnsi"/>
          <w:color w:val="auto"/>
        </w:rPr>
        <w:t xml:space="preserve"> This percentage may be as high as 50% among never smokers.</w:t>
      </w:r>
      <w:r w:rsidRPr="00DD32E6">
        <w:rPr>
          <w:rFonts w:asciiTheme="minorHAnsi" w:eastAsiaTheme="minorEastAsia" w:hAnsiTheme="minorHAnsi" w:cstheme="minorHAnsi"/>
          <w:noProof/>
          <w:color w:val="auto"/>
          <w:vertAlign w:val="superscript"/>
        </w:rPr>
        <w:t>4-7</w:t>
      </w:r>
    </w:p>
    <w:p w:rsidR="00AC6848" w:rsidRPr="00DD32E6" w:rsidRDefault="00AC6848" w:rsidP="006A4856">
      <w:pPr>
        <w:pStyle w:val="Default"/>
        <w:spacing w:after="200" w:line="360" w:lineRule="auto"/>
        <w:rPr>
          <w:rFonts w:asciiTheme="minorHAnsi" w:eastAsiaTheme="minorEastAsia" w:hAnsiTheme="minorHAnsi" w:cstheme="minorHAnsi"/>
          <w:color w:val="auto"/>
        </w:rPr>
      </w:pPr>
      <w:r w:rsidRPr="00DD32E6">
        <w:rPr>
          <w:rFonts w:asciiTheme="minorHAnsi" w:eastAsiaTheme="minorEastAsia" w:hAnsiTheme="minorHAnsi" w:cstheme="minorHAnsi"/>
          <w:color w:val="auto"/>
        </w:rPr>
        <w:t xml:space="preserve">Exposure to occupational hazards is both avoidable and involuntary; therefore it is essential for public health impact and ethical reasons to identify the occupations at higher risk of COPD in order to apply preventive interventions to eliminate or at least reduce the burden of work-related disease. </w:t>
      </w:r>
    </w:p>
    <w:p w:rsidR="00AC6848" w:rsidRPr="00DD32E6" w:rsidRDefault="00AC6848" w:rsidP="006A4856">
      <w:pPr>
        <w:pStyle w:val="Default"/>
        <w:spacing w:after="200" w:line="360" w:lineRule="auto"/>
        <w:rPr>
          <w:rFonts w:asciiTheme="minorHAnsi" w:eastAsiaTheme="minorEastAsia" w:hAnsiTheme="minorHAnsi" w:cstheme="minorHAnsi"/>
          <w:color w:val="auto"/>
        </w:rPr>
      </w:pPr>
      <w:r w:rsidRPr="00DD32E6">
        <w:rPr>
          <w:rFonts w:asciiTheme="minorHAnsi" w:eastAsiaTheme="minorEastAsia" w:hAnsiTheme="minorHAnsi" w:cstheme="minorHAnsi"/>
          <w:color w:val="auto"/>
        </w:rPr>
        <w:t xml:space="preserve">Several occupations have been associated with increased COPD risk in previous epidemiological studies, but </w:t>
      </w:r>
      <w:r w:rsidRPr="00DD32E6">
        <w:rPr>
          <w:rFonts w:asciiTheme="minorHAnsi" w:hAnsiTheme="minorHAnsi" w:cstheme="minorHAnsi"/>
          <w:bCs/>
          <w:color w:val="auto"/>
        </w:rPr>
        <w:t xml:space="preserve">few are established </w:t>
      </w:r>
      <w:r w:rsidRPr="00DD32E6">
        <w:rPr>
          <w:rFonts w:asciiTheme="minorHAnsi" w:hAnsiTheme="minorHAnsi" w:cstheme="minorHAnsi"/>
          <w:bCs/>
          <w:i/>
          <w:color w:val="auto"/>
        </w:rPr>
        <w:t>a priori</w:t>
      </w:r>
      <w:r w:rsidRPr="00DD32E6">
        <w:rPr>
          <w:rFonts w:asciiTheme="minorHAnsi" w:hAnsiTheme="minorHAnsi" w:cstheme="minorHAnsi"/>
          <w:bCs/>
          <w:color w:val="auto"/>
        </w:rPr>
        <w:t xml:space="preserve"> high-risk occupations, </w:t>
      </w:r>
      <w:r w:rsidRPr="00DD32E6">
        <w:rPr>
          <w:rFonts w:asciiTheme="minorHAnsi" w:eastAsiaTheme="minorEastAsia" w:hAnsiTheme="minorHAnsi" w:cstheme="minorHAnsi"/>
          <w:color w:val="auto"/>
        </w:rPr>
        <w:t>in particular, coal mining, farming, and work that entails exposure to silica (such as quarry workers or ceramic or construction workers), cotton dust or cadmium fume.</w:t>
      </w:r>
      <w:r w:rsidRPr="00DD32E6">
        <w:rPr>
          <w:rFonts w:asciiTheme="minorHAnsi" w:eastAsiaTheme="minorEastAsia" w:hAnsiTheme="minorHAnsi" w:cstheme="minorHAnsi"/>
          <w:noProof/>
          <w:color w:val="auto"/>
          <w:vertAlign w:val="superscript"/>
        </w:rPr>
        <w:t>8</w:t>
      </w:r>
    </w:p>
    <w:p w:rsidR="00AC6848" w:rsidRPr="00DD32E6" w:rsidRDefault="00AC6848" w:rsidP="006A4856">
      <w:pPr>
        <w:pStyle w:val="Default"/>
        <w:spacing w:after="200" w:line="360" w:lineRule="auto"/>
        <w:rPr>
          <w:rFonts w:asciiTheme="minorHAnsi" w:eastAsiaTheme="minorEastAsia" w:hAnsiTheme="minorHAnsi" w:cstheme="minorHAnsi"/>
          <w:color w:val="auto"/>
        </w:rPr>
      </w:pPr>
      <w:r w:rsidRPr="00DD32E6">
        <w:rPr>
          <w:rFonts w:asciiTheme="minorHAnsi" w:eastAsiaTheme="minorEastAsia" w:hAnsiTheme="minorHAnsi" w:cstheme="minorHAnsi"/>
          <w:color w:val="auto"/>
        </w:rPr>
        <w:t>Most work-related causes of COPD were identified through the study of selected, highly exposed occupational cohorts with available workplace exposure measurements, but often limited information on potential confounding factors, in particular smoking. In contrast, the population-based studies that were able to adjust for potential confounders lacked quantitative occupational exposure data and had limited power to detect significant risk effects for the large variety of low-exposed occupations that may occur in a general population.</w:t>
      </w:r>
      <w:r w:rsidRPr="00DD32E6">
        <w:rPr>
          <w:rFonts w:asciiTheme="minorHAnsi" w:eastAsiaTheme="minorEastAsia" w:hAnsiTheme="minorHAnsi" w:cstheme="minorHAnsi"/>
          <w:noProof/>
          <w:color w:val="auto"/>
          <w:vertAlign w:val="superscript"/>
        </w:rPr>
        <w:t>2 3 8</w:t>
      </w:r>
    </w:p>
    <w:p w:rsidR="00AC6848" w:rsidRPr="00DD32E6" w:rsidRDefault="00AC6848" w:rsidP="006A4856">
      <w:pPr>
        <w:pStyle w:val="Default"/>
        <w:spacing w:after="200" w:line="360" w:lineRule="auto"/>
        <w:rPr>
          <w:rFonts w:asciiTheme="minorHAnsi" w:eastAsiaTheme="minorEastAsia" w:hAnsiTheme="minorHAnsi" w:cstheme="minorHAnsi"/>
          <w:color w:val="auto"/>
        </w:rPr>
      </w:pPr>
      <w:r w:rsidRPr="00DD32E6">
        <w:rPr>
          <w:rFonts w:asciiTheme="minorHAnsi" w:eastAsiaTheme="minorEastAsia" w:hAnsiTheme="minorHAnsi" w:cstheme="minorHAnsi"/>
          <w:color w:val="auto"/>
        </w:rPr>
        <w:t xml:space="preserve">To address these limitations we conducted a cross-sectional analysis to identify the occupations associated with higher risk of COPD nested in the large population-based UK Biobank cohort. The UK Biobank study gave us a unique opportunity to achieve our goal because of the large sample size (over half a million participants), a wide variety of occupations and exposure levels in different industry sectors, availability of </w:t>
      </w:r>
      <w:proofErr w:type="spellStart"/>
      <w:r w:rsidRPr="00DD32E6">
        <w:rPr>
          <w:rFonts w:asciiTheme="minorHAnsi" w:eastAsiaTheme="minorEastAsia" w:hAnsiTheme="minorHAnsi" w:cstheme="minorHAnsi"/>
          <w:color w:val="auto"/>
        </w:rPr>
        <w:t>spirometry</w:t>
      </w:r>
      <w:proofErr w:type="spellEnd"/>
      <w:r w:rsidRPr="00DD32E6">
        <w:rPr>
          <w:rFonts w:asciiTheme="minorHAnsi" w:eastAsiaTheme="minorEastAsia" w:hAnsiTheme="minorHAnsi" w:cstheme="minorHAnsi"/>
          <w:color w:val="auto"/>
        </w:rPr>
        <w:t xml:space="preserve"> data, and detailed information on potential confounders, in particular tobacco smoking. </w:t>
      </w:r>
    </w:p>
    <w:p w:rsidR="00AC6848" w:rsidRPr="00DD32E6" w:rsidRDefault="00AC6848" w:rsidP="006A4856">
      <w:pPr>
        <w:pStyle w:val="Default"/>
        <w:spacing w:line="360" w:lineRule="auto"/>
        <w:rPr>
          <w:rFonts w:asciiTheme="minorHAnsi" w:hAnsiTheme="minorHAnsi" w:cstheme="minorHAnsi"/>
          <w:b/>
          <w:bCs/>
          <w:color w:val="auto"/>
        </w:rPr>
      </w:pPr>
    </w:p>
    <w:p w:rsidR="00AC6848" w:rsidRPr="00DD32E6" w:rsidRDefault="00AC6848" w:rsidP="006A4856">
      <w:pPr>
        <w:pStyle w:val="Default"/>
        <w:spacing w:line="360" w:lineRule="auto"/>
        <w:rPr>
          <w:rFonts w:asciiTheme="minorHAnsi" w:hAnsiTheme="minorHAnsi" w:cstheme="minorHAnsi"/>
          <w:b/>
          <w:bCs/>
          <w:color w:val="auto"/>
        </w:rPr>
      </w:pPr>
    </w:p>
    <w:p w:rsidR="006A4856" w:rsidRPr="00DD32E6" w:rsidRDefault="006A4856" w:rsidP="006A4856">
      <w:pPr>
        <w:pStyle w:val="Default"/>
        <w:spacing w:line="360" w:lineRule="auto"/>
        <w:rPr>
          <w:rFonts w:asciiTheme="minorHAnsi" w:hAnsiTheme="minorHAnsi" w:cstheme="minorHAnsi"/>
          <w:b/>
          <w:bCs/>
          <w:color w:val="auto"/>
        </w:rPr>
      </w:pPr>
    </w:p>
    <w:p w:rsidR="006A4856" w:rsidRPr="00DD32E6" w:rsidRDefault="006A4856" w:rsidP="006A4856">
      <w:pPr>
        <w:pStyle w:val="Default"/>
        <w:spacing w:line="360" w:lineRule="auto"/>
        <w:rPr>
          <w:rFonts w:asciiTheme="minorHAnsi" w:hAnsiTheme="minorHAnsi" w:cstheme="minorHAnsi"/>
          <w:b/>
          <w:bCs/>
          <w:color w:val="auto"/>
        </w:rPr>
      </w:pPr>
    </w:p>
    <w:p w:rsidR="00AC6848" w:rsidRPr="00DD32E6" w:rsidRDefault="00AC6848" w:rsidP="006A4856">
      <w:pPr>
        <w:pStyle w:val="Default"/>
        <w:spacing w:line="360" w:lineRule="auto"/>
        <w:rPr>
          <w:rFonts w:asciiTheme="minorHAnsi" w:hAnsiTheme="minorHAnsi" w:cstheme="minorHAnsi"/>
          <w:b/>
          <w:bCs/>
          <w:color w:val="auto"/>
        </w:rPr>
      </w:pPr>
      <w:r w:rsidRPr="00DD32E6">
        <w:rPr>
          <w:rFonts w:asciiTheme="minorHAnsi" w:hAnsiTheme="minorHAnsi" w:cstheme="minorHAnsi"/>
          <w:b/>
          <w:bCs/>
          <w:color w:val="auto"/>
        </w:rPr>
        <w:lastRenderedPageBreak/>
        <w:t>MATERIALS AND METHODS</w:t>
      </w:r>
    </w:p>
    <w:p w:rsidR="00AC6848" w:rsidRPr="00DD32E6" w:rsidRDefault="00AC6848" w:rsidP="006A4856">
      <w:pPr>
        <w:spacing w:line="360" w:lineRule="auto"/>
        <w:contextualSpacing/>
        <w:rPr>
          <w:rFonts w:eastAsiaTheme="minorEastAsia" w:cstheme="minorHAnsi"/>
          <w:sz w:val="24"/>
          <w:szCs w:val="24"/>
        </w:rPr>
      </w:pPr>
      <w:r w:rsidRPr="00DD32E6">
        <w:rPr>
          <w:rFonts w:eastAsiaTheme="minorEastAsia" w:cstheme="minorHAnsi"/>
          <w:sz w:val="24"/>
          <w:szCs w:val="24"/>
        </w:rPr>
        <w:t>The UK Biobank study is a large population-based prospective cohort of over half a million men and women recruited between 2006 and 2010 throughout the UK.</w:t>
      </w:r>
      <w:r w:rsidRPr="00DD32E6">
        <w:rPr>
          <w:rFonts w:eastAsiaTheme="minorEastAsia" w:cstheme="minorHAnsi"/>
          <w:noProof/>
          <w:sz w:val="24"/>
          <w:szCs w:val="24"/>
          <w:vertAlign w:val="superscript"/>
        </w:rPr>
        <w:t>9 10</w:t>
      </w:r>
      <w:r w:rsidRPr="00DD32E6">
        <w:rPr>
          <w:rFonts w:eastAsiaTheme="minorEastAsia" w:cstheme="minorHAnsi"/>
          <w:sz w:val="24"/>
          <w:szCs w:val="24"/>
        </w:rPr>
        <w:t xml:space="preserve"> A random sample of adults aged 40 to 69 were identified from lists of those registered with the National Health Service in Britain, and who lived within specified distances from 22 health assessment centres. </w:t>
      </w:r>
      <w:r w:rsidR="00704561" w:rsidRPr="00DD32E6">
        <w:rPr>
          <w:rFonts w:eastAsiaTheme="minorEastAsia" w:cstheme="minorHAnsi"/>
          <w:sz w:val="24"/>
          <w:szCs w:val="24"/>
        </w:rPr>
        <w:t xml:space="preserve">The </w:t>
      </w:r>
      <w:r w:rsidR="00704561" w:rsidRPr="00DD32E6">
        <w:rPr>
          <w:rFonts w:cstheme="minorHAnsi"/>
          <w:bCs/>
          <w:sz w:val="24"/>
          <w:szCs w:val="24"/>
        </w:rPr>
        <w:t xml:space="preserve">reported response rate to the baseline UK </w:t>
      </w:r>
      <w:r w:rsidR="00523D3D" w:rsidRPr="00DD32E6">
        <w:rPr>
          <w:rFonts w:cstheme="minorHAnsi"/>
          <w:bCs/>
          <w:sz w:val="24"/>
          <w:szCs w:val="24"/>
        </w:rPr>
        <w:t>Biobank survey w</w:t>
      </w:r>
      <w:r w:rsidR="009C6D27" w:rsidRPr="00DD32E6">
        <w:rPr>
          <w:rFonts w:cstheme="minorHAnsi"/>
          <w:bCs/>
          <w:sz w:val="24"/>
          <w:szCs w:val="24"/>
        </w:rPr>
        <w:t>as</w:t>
      </w:r>
      <w:r w:rsidR="00523D3D" w:rsidRPr="00DD32E6">
        <w:rPr>
          <w:rFonts w:cstheme="minorHAnsi"/>
          <w:bCs/>
          <w:sz w:val="24"/>
          <w:szCs w:val="24"/>
        </w:rPr>
        <w:t xml:space="preserve"> low (</w:t>
      </w:r>
      <w:r w:rsidR="00704561" w:rsidRPr="00DD32E6">
        <w:rPr>
          <w:rFonts w:cstheme="minorHAnsi"/>
          <w:bCs/>
          <w:sz w:val="24"/>
          <w:szCs w:val="24"/>
        </w:rPr>
        <w:t>503,325/9.2 million invited= 5.47%).</w:t>
      </w:r>
      <w:r w:rsidR="00704561" w:rsidRPr="00DD32E6">
        <w:rPr>
          <w:rFonts w:cstheme="minorHAnsi"/>
          <w:bCs/>
          <w:noProof/>
          <w:sz w:val="24"/>
          <w:szCs w:val="24"/>
          <w:vertAlign w:val="superscript"/>
        </w:rPr>
        <w:t>9</w:t>
      </w:r>
      <w:r w:rsidR="00704561" w:rsidRPr="00DD32E6">
        <w:rPr>
          <w:rFonts w:cstheme="minorHAnsi"/>
          <w:bCs/>
        </w:rPr>
        <w:t xml:space="preserve"> </w:t>
      </w:r>
      <w:r w:rsidRPr="00DD32E6">
        <w:rPr>
          <w:rFonts w:eastAsiaTheme="minorEastAsia" w:cstheme="minorHAnsi"/>
          <w:sz w:val="24"/>
          <w:szCs w:val="24"/>
        </w:rPr>
        <w:t xml:space="preserve">Baseline assessment included collection of extensive epidemiological data through computer-assisted self-administered questionnaire and face-to-face interview (including age, sex, lifetime smoking history, current employment, and doctor-diagnosed asthma), and physical health measurements (including height, weight, and </w:t>
      </w:r>
      <w:proofErr w:type="spellStart"/>
      <w:r w:rsidRPr="00DD32E6">
        <w:rPr>
          <w:rFonts w:eastAsiaTheme="minorEastAsia" w:cstheme="minorHAnsi"/>
          <w:sz w:val="24"/>
          <w:szCs w:val="24"/>
        </w:rPr>
        <w:t>spirometry</w:t>
      </w:r>
      <w:proofErr w:type="spellEnd"/>
      <w:r w:rsidRPr="00DD32E6">
        <w:rPr>
          <w:rFonts w:eastAsiaTheme="minorEastAsia" w:cstheme="minorHAnsi"/>
          <w:sz w:val="24"/>
          <w:szCs w:val="24"/>
        </w:rPr>
        <w:t>).</w:t>
      </w:r>
    </w:p>
    <w:p w:rsidR="00AC6848" w:rsidRPr="00DD32E6" w:rsidRDefault="00AC6848" w:rsidP="006A4856">
      <w:pPr>
        <w:spacing w:line="360" w:lineRule="auto"/>
        <w:contextualSpacing/>
        <w:rPr>
          <w:rFonts w:eastAsiaTheme="minorEastAsia" w:cstheme="minorHAnsi"/>
          <w:sz w:val="24"/>
          <w:szCs w:val="24"/>
        </w:rPr>
      </w:pPr>
    </w:p>
    <w:p w:rsidR="00AC6848" w:rsidRPr="00DD32E6" w:rsidRDefault="00AC6848" w:rsidP="006A4856">
      <w:pPr>
        <w:spacing w:line="360" w:lineRule="auto"/>
        <w:contextualSpacing/>
        <w:rPr>
          <w:rFonts w:eastAsiaTheme="minorEastAsia" w:cstheme="minorHAnsi"/>
          <w:b/>
          <w:sz w:val="24"/>
          <w:szCs w:val="24"/>
        </w:rPr>
      </w:pPr>
      <w:proofErr w:type="spellStart"/>
      <w:r w:rsidRPr="00DD32E6">
        <w:rPr>
          <w:rFonts w:eastAsiaTheme="minorEastAsia" w:cstheme="minorHAnsi"/>
          <w:b/>
          <w:sz w:val="24"/>
          <w:szCs w:val="24"/>
        </w:rPr>
        <w:t>Spirometry</w:t>
      </w:r>
      <w:proofErr w:type="spellEnd"/>
      <w:r w:rsidRPr="00DD32E6">
        <w:rPr>
          <w:rFonts w:eastAsiaTheme="minorEastAsia" w:cstheme="minorHAnsi"/>
          <w:b/>
          <w:sz w:val="24"/>
          <w:szCs w:val="24"/>
        </w:rPr>
        <w:t xml:space="preserve"> data and COPD definition  </w:t>
      </w:r>
    </w:p>
    <w:p w:rsidR="00AC6848" w:rsidRPr="00DD32E6" w:rsidRDefault="00AC6848" w:rsidP="006A4856">
      <w:pPr>
        <w:spacing w:line="360" w:lineRule="auto"/>
        <w:contextualSpacing/>
        <w:rPr>
          <w:sz w:val="24"/>
          <w:szCs w:val="24"/>
        </w:rPr>
      </w:pPr>
      <w:r w:rsidRPr="00DD32E6">
        <w:rPr>
          <w:rFonts w:eastAsiaTheme="minorEastAsia" w:cstheme="minorHAnsi"/>
          <w:sz w:val="24"/>
          <w:szCs w:val="24"/>
        </w:rPr>
        <w:t xml:space="preserve">Among the 502,649 participants who completed the baseline questionnaire, 457,282 subjects (91%) had lung function testing. All </w:t>
      </w:r>
      <w:proofErr w:type="spellStart"/>
      <w:r w:rsidRPr="00DD32E6">
        <w:rPr>
          <w:rFonts w:eastAsiaTheme="minorEastAsia" w:cstheme="minorHAnsi"/>
          <w:sz w:val="24"/>
          <w:szCs w:val="24"/>
        </w:rPr>
        <w:t>spirometric</w:t>
      </w:r>
      <w:proofErr w:type="spellEnd"/>
      <w:r w:rsidRPr="00DD32E6">
        <w:rPr>
          <w:rFonts w:eastAsiaTheme="minorEastAsia" w:cstheme="minorHAnsi"/>
          <w:sz w:val="24"/>
          <w:szCs w:val="24"/>
        </w:rPr>
        <w:t xml:space="preserve"> measures were performed in accordance with </w:t>
      </w:r>
      <w:r w:rsidR="00933E4E" w:rsidRPr="00DD32E6">
        <w:rPr>
          <w:rFonts w:eastAsiaTheme="minorEastAsia" w:cstheme="minorHAnsi"/>
          <w:sz w:val="24"/>
          <w:szCs w:val="24"/>
        </w:rPr>
        <w:t xml:space="preserve">most of </w:t>
      </w:r>
      <w:r w:rsidRPr="00DD32E6">
        <w:rPr>
          <w:rFonts w:eastAsiaTheme="minorEastAsia" w:cstheme="minorHAnsi"/>
          <w:sz w:val="24"/>
          <w:szCs w:val="24"/>
        </w:rPr>
        <w:t>the ATS/ERS guidelines</w:t>
      </w:r>
      <w:r w:rsidRPr="00DD32E6">
        <w:rPr>
          <w:rFonts w:eastAsiaTheme="minorEastAsia" w:cstheme="minorHAnsi"/>
          <w:noProof/>
          <w:sz w:val="24"/>
          <w:szCs w:val="24"/>
          <w:vertAlign w:val="superscript"/>
        </w:rPr>
        <w:t>11</w:t>
      </w:r>
      <w:r w:rsidRPr="00DD32E6">
        <w:rPr>
          <w:rFonts w:eastAsiaTheme="minorEastAsia" w:cstheme="minorHAnsi"/>
          <w:sz w:val="24"/>
          <w:szCs w:val="24"/>
        </w:rPr>
        <w:t xml:space="preserve"> using a </w:t>
      </w:r>
      <w:proofErr w:type="spellStart"/>
      <w:r w:rsidRPr="00DD32E6">
        <w:rPr>
          <w:rFonts w:eastAsiaTheme="minorEastAsia" w:cstheme="minorHAnsi"/>
          <w:sz w:val="24"/>
          <w:szCs w:val="24"/>
        </w:rPr>
        <w:t>Vitalograph</w:t>
      </w:r>
      <w:proofErr w:type="spellEnd"/>
      <w:r w:rsidRPr="00DD32E6">
        <w:rPr>
          <w:rFonts w:eastAsiaTheme="minorEastAsia" w:cstheme="minorHAnsi"/>
          <w:sz w:val="24"/>
          <w:szCs w:val="24"/>
        </w:rPr>
        <w:t xml:space="preserve"> </w:t>
      </w:r>
      <w:proofErr w:type="spellStart"/>
      <w:r w:rsidRPr="00DD32E6">
        <w:rPr>
          <w:rFonts w:eastAsiaTheme="minorEastAsia" w:cstheme="minorHAnsi"/>
          <w:sz w:val="24"/>
          <w:szCs w:val="24"/>
        </w:rPr>
        <w:t>Pneumotrac</w:t>
      </w:r>
      <w:proofErr w:type="spellEnd"/>
      <w:r w:rsidRPr="00DD32E6">
        <w:rPr>
          <w:rFonts w:eastAsiaTheme="minorEastAsia" w:cstheme="minorHAnsi"/>
          <w:sz w:val="24"/>
          <w:szCs w:val="24"/>
        </w:rPr>
        <w:t xml:space="preserve"> 6800. </w:t>
      </w:r>
      <w:r w:rsidR="00B8627B" w:rsidRPr="00DD32E6">
        <w:rPr>
          <w:rFonts w:eastAsiaTheme="minorEastAsia" w:cstheme="minorHAnsi"/>
          <w:sz w:val="24"/>
          <w:szCs w:val="24"/>
        </w:rPr>
        <w:t>T</w:t>
      </w:r>
      <w:r w:rsidR="00B8627B" w:rsidRPr="00DD32E6">
        <w:rPr>
          <w:sz w:val="24"/>
          <w:szCs w:val="24"/>
        </w:rPr>
        <w:t xml:space="preserve">he spirometer was calibrated at the start of each day using the </w:t>
      </w:r>
      <w:proofErr w:type="spellStart"/>
      <w:r w:rsidR="00B8627B" w:rsidRPr="00DD32E6">
        <w:rPr>
          <w:sz w:val="24"/>
          <w:szCs w:val="24"/>
        </w:rPr>
        <w:t>Spirotrac</w:t>
      </w:r>
      <w:proofErr w:type="spellEnd"/>
      <w:r w:rsidR="00B8627B" w:rsidRPr="00DD32E6">
        <w:rPr>
          <w:sz w:val="24"/>
          <w:szCs w:val="24"/>
        </w:rPr>
        <w:t xml:space="preserve"> software supplied with the</w:t>
      </w:r>
      <w:r w:rsidR="00B93914" w:rsidRPr="00DD32E6">
        <w:rPr>
          <w:sz w:val="24"/>
          <w:szCs w:val="24"/>
        </w:rPr>
        <w:t xml:space="preserve"> spirometer</w:t>
      </w:r>
      <w:r w:rsidR="00B8627B" w:rsidRPr="00DD32E6">
        <w:rPr>
          <w:sz w:val="24"/>
          <w:szCs w:val="24"/>
        </w:rPr>
        <w:t>. A 3L calibration syringe was attached to the spirometer flow head and “</w:t>
      </w:r>
      <w:proofErr w:type="spellStart"/>
      <w:r w:rsidR="00B8627B" w:rsidRPr="00DD32E6">
        <w:rPr>
          <w:sz w:val="24"/>
          <w:szCs w:val="24"/>
        </w:rPr>
        <w:t>spirometry</w:t>
      </w:r>
      <w:proofErr w:type="spellEnd"/>
      <w:r w:rsidR="00B8627B" w:rsidRPr="00DD32E6">
        <w:rPr>
          <w:sz w:val="24"/>
          <w:szCs w:val="24"/>
        </w:rPr>
        <w:t xml:space="preserve">‟ in </w:t>
      </w:r>
      <w:proofErr w:type="spellStart"/>
      <w:r w:rsidR="00B8627B" w:rsidRPr="00DD32E6">
        <w:rPr>
          <w:sz w:val="24"/>
          <w:szCs w:val="24"/>
        </w:rPr>
        <w:t>Vox</w:t>
      </w:r>
      <w:proofErr w:type="spellEnd"/>
      <w:r w:rsidR="00B8627B" w:rsidRPr="00DD32E6">
        <w:rPr>
          <w:sz w:val="24"/>
          <w:szCs w:val="24"/>
        </w:rPr>
        <w:t xml:space="preserve"> was selected. The serial number of the calibration syringe was entered in a pop-up window and on-screen instructions were then followed. A calibration record was maintained. The </w:t>
      </w:r>
      <w:proofErr w:type="spellStart"/>
      <w:r w:rsidR="00B8627B" w:rsidRPr="00DD32E6">
        <w:rPr>
          <w:sz w:val="24"/>
          <w:szCs w:val="24"/>
        </w:rPr>
        <w:t>spirometry</w:t>
      </w:r>
      <w:proofErr w:type="spellEnd"/>
      <w:r w:rsidR="00B8627B" w:rsidRPr="00DD32E6">
        <w:rPr>
          <w:sz w:val="24"/>
          <w:szCs w:val="24"/>
        </w:rPr>
        <w:t xml:space="preserve"> testers were healthcare technicians or nurses certified to conduct the assessments. The Assessment Centre Manager oversaw that all Assessment Centre staff work</w:t>
      </w:r>
      <w:r w:rsidR="00B93914" w:rsidRPr="00DD32E6">
        <w:rPr>
          <w:sz w:val="24"/>
          <w:szCs w:val="24"/>
        </w:rPr>
        <w:t>ed</w:t>
      </w:r>
      <w:r w:rsidR="00B8627B" w:rsidRPr="00DD32E6">
        <w:rPr>
          <w:sz w:val="24"/>
          <w:szCs w:val="24"/>
        </w:rPr>
        <w:t xml:space="preserve"> in accordance with the </w:t>
      </w:r>
      <w:r w:rsidR="00952796" w:rsidRPr="00DD32E6">
        <w:rPr>
          <w:sz w:val="24"/>
          <w:szCs w:val="24"/>
        </w:rPr>
        <w:t xml:space="preserve">Biobank </w:t>
      </w:r>
      <w:proofErr w:type="spellStart"/>
      <w:r w:rsidR="00952796" w:rsidRPr="00DD32E6">
        <w:rPr>
          <w:sz w:val="24"/>
          <w:szCs w:val="24"/>
        </w:rPr>
        <w:t>spirometry</w:t>
      </w:r>
      <w:proofErr w:type="spellEnd"/>
      <w:r w:rsidR="00952796" w:rsidRPr="00DD32E6">
        <w:rPr>
          <w:sz w:val="24"/>
          <w:szCs w:val="24"/>
        </w:rPr>
        <w:t xml:space="preserve"> protocol </w:t>
      </w:r>
      <w:r w:rsidR="00B93914" w:rsidRPr="00DD32E6">
        <w:rPr>
          <w:sz w:val="24"/>
          <w:szCs w:val="24"/>
        </w:rPr>
        <w:t xml:space="preserve">(available at </w:t>
      </w:r>
      <w:r w:rsidR="00C767E5" w:rsidRPr="00C767E5">
        <w:rPr>
          <w:sz w:val="24"/>
          <w:szCs w:val="24"/>
        </w:rPr>
        <w:t>https://biobank.ctsu.ox.ac.uk/crystal/docs/Spirometry.pdf</w:t>
      </w:r>
      <w:r w:rsidR="00B93914" w:rsidRPr="00C767E5">
        <w:rPr>
          <w:sz w:val="24"/>
          <w:szCs w:val="24"/>
        </w:rPr>
        <w:t>).</w:t>
      </w:r>
      <w:r w:rsidR="00B93914" w:rsidRPr="00DD32E6">
        <w:rPr>
          <w:sz w:val="24"/>
          <w:szCs w:val="24"/>
        </w:rPr>
        <w:t xml:space="preserve"> </w:t>
      </w:r>
      <w:r w:rsidRPr="00DD32E6">
        <w:rPr>
          <w:rFonts w:eastAsiaTheme="minorEastAsia" w:cstheme="minorHAnsi"/>
          <w:sz w:val="24"/>
          <w:szCs w:val="24"/>
        </w:rPr>
        <w:t>Participants were allowed up to three attempts to provide two reproducible manoeuvres. Spirometer</w:t>
      </w:r>
      <w:r w:rsidRPr="00DD32E6">
        <w:rPr>
          <w:sz w:val="24"/>
          <w:szCs w:val="24"/>
        </w:rPr>
        <w:t xml:space="preserve"> software compared the reproducibility of the first two blows and, if acceptable (defined as a ≤5% difference in both FVC and FEV1)</w:t>
      </w:r>
      <w:proofErr w:type="gramStart"/>
      <w:r w:rsidRPr="00DD32E6">
        <w:rPr>
          <w:sz w:val="24"/>
          <w:szCs w:val="24"/>
        </w:rPr>
        <w:t>,</w:t>
      </w:r>
      <w:proofErr w:type="gramEnd"/>
      <w:r w:rsidRPr="00DD32E6">
        <w:rPr>
          <w:sz w:val="24"/>
          <w:szCs w:val="24"/>
        </w:rPr>
        <w:t xml:space="preserve"> </w:t>
      </w:r>
      <w:r w:rsidR="00413BDB" w:rsidRPr="00DD32E6">
        <w:rPr>
          <w:sz w:val="24"/>
          <w:szCs w:val="24"/>
        </w:rPr>
        <w:t xml:space="preserve">the Biobank </w:t>
      </w:r>
      <w:proofErr w:type="spellStart"/>
      <w:r w:rsidR="00413BDB" w:rsidRPr="00DD32E6">
        <w:rPr>
          <w:sz w:val="24"/>
          <w:szCs w:val="24"/>
        </w:rPr>
        <w:t>spirometry</w:t>
      </w:r>
      <w:proofErr w:type="spellEnd"/>
      <w:r w:rsidR="00413BDB" w:rsidRPr="00DD32E6">
        <w:rPr>
          <w:sz w:val="24"/>
          <w:szCs w:val="24"/>
        </w:rPr>
        <w:t xml:space="preserve"> protocol specified that </w:t>
      </w:r>
      <w:r w:rsidRPr="00DD32E6">
        <w:rPr>
          <w:sz w:val="24"/>
          <w:szCs w:val="24"/>
        </w:rPr>
        <w:t xml:space="preserve">a third blow was not required. </w:t>
      </w:r>
      <w:r w:rsidRPr="00DD32E6">
        <w:rPr>
          <w:rFonts w:eastAsiaTheme="minorEastAsia" w:cstheme="minorHAnsi"/>
          <w:sz w:val="24"/>
          <w:szCs w:val="24"/>
        </w:rPr>
        <w:t xml:space="preserve">No post-bronchodilator measures were performed. </w:t>
      </w:r>
      <w:r w:rsidR="00823600" w:rsidRPr="00DD32E6">
        <w:rPr>
          <w:rFonts w:eastAsiaTheme="minorEastAsia" w:cstheme="minorHAnsi"/>
          <w:sz w:val="24"/>
          <w:szCs w:val="24"/>
        </w:rPr>
        <w:t>This deviation from the ATS/</w:t>
      </w:r>
      <w:r w:rsidR="00933E4E" w:rsidRPr="00DD32E6">
        <w:rPr>
          <w:rFonts w:eastAsiaTheme="minorEastAsia" w:cstheme="minorHAnsi"/>
          <w:sz w:val="24"/>
          <w:szCs w:val="24"/>
        </w:rPr>
        <w:t>ERS guidelines was</w:t>
      </w:r>
      <w:r w:rsidR="005616E4" w:rsidRPr="00DD32E6">
        <w:rPr>
          <w:rFonts w:eastAsiaTheme="minorEastAsia" w:cstheme="minorHAnsi"/>
          <w:sz w:val="24"/>
          <w:szCs w:val="24"/>
        </w:rPr>
        <w:t xml:space="preserve"> a pragmatic compromise between </w:t>
      </w:r>
      <w:r w:rsidR="00B90110" w:rsidRPr="00DD32E6">
        <w:rPr>
          <w:rFonts w:eastAsiaTheme="minorEastAsia" w:cstheme="minorHAnsi"/>
          <w:sz w:val="24"/>
          <w:szCs w:val="24"/>
        </w:rPr>
        <w:t xml:space="preserve">‘depth’ and </w:t>
      </w:r>
      <w:r w:rsidR="00007A12" w:rsidRPr="00DD32E6">
        <w:rPr>
          <w:rFonts w:eastAsiaTheme="minorEastAsia" w:cstheme="minorHAnsi"/>
          <w:sz w:val="24"/>
          <w:szCs w:val="24"/>
        </w:rPr>
        <w:t>‘brea</w:t>
      </w:r>
      <w:r w:rsidR="00B93914" w:rsidRPr="00DD32E6">
        <w:rPr>
          <w:rFonts w:eastAsiaTheme="minorEastAsia" w:cstheme="minorHAnsi"/>
          <w:sz w:val="24"/>
          <w:szCs w:val="24"/>
        </w:rPr>
        <w:t>d</w:t>
      </w:r>
      <w:r w:rsidR="00007A12" w:rsidRPr="00DD32E6">
        <w:rPr>
          <w:rFonts w:eastAsiaTheme="minorEastAsia" w:cstheme="minorHAnsi"/>
          <w:sz w:val="24"/>
          <w:szCs w:val="24"/>
        </w:rPr>
        <w:t xml:space="preserve">th’ </w:t>
      </w:r>
      <w:r w:rsidR="005616E4" w:rsidRPr="00DD32E6">
        <w:rPr>
          <w:rFonts w:eastAsiaTheme="minorEastAsia" w:cstheme="minorHAnsi"/>
          <w:sz w:val="24"/>
          <w:szCs w:val="24"/>
        </w:rPr>
        <w:t xml:space="preserve">due to </w:t>
      </w:r>
      <w:r w:rsidR="00B90110" w:rsidRPr="00DD32E6">
        <w:rPr>
          <w:rFonts w:eastAsiaTheme="minorEastAsia" w:cstheme="minorHAnsi"/>
          <w:sz w:val="24"/>
          <w:szCs w:val="24"/>
        </w:rPr>
        <w:t xml:space="preserve">both </w:t>
      </w:r>
      <w:r w:rsidR="005616E4" w:rsidRPr="00DD32E6">
        <w:rPr>
          <w:rFonts w:eastAsiaTheme="minorEastAsia" w:cstheme="minorHAnsi"/>
          <w:sz w:val="24"/>
          <w:szCs w:val="24"/>
        </w:rPr>
        <w:t xml:space="preserve">the </w:t>
      </w:r>
      <w:r w:rsidR="00B90110" w:rsidRPr="00DD32E6">
        <w:rPr>
          <w:iCs/>
          <w:sz w:val="24"/>
          <w:szCs w:val="24"/>
        </w:rPr>
        <w:t xml:space="preserve">high number of quantitative measurements performed in each participant of the </w:t>
      </w:r>
      <w:r w:rsidR="003A60A5" w:rsidRPr="00DD32E6">
        <w:rPr>
          <w:iCs/>
          <w:sz w:val="24"/>
          <w:szCs w:val="24"/>
        </w:rPr>
        <w:t xml:space="preserve">UK </w:t>
      </w:r>
      <w:r w:rsidR="00B90110" w:rsidRPr="00DD32E6">
        <w:rPr>
          <w:iCs/>
          <w:sz w:val="24"/>
          <w:szCs w:val="24"/>
        </w:rPr>
        <w:t>Biobank study</w:t>
      </w:r>
      <w:r w:rsidR="00B90110" w:rsidRPr="00DD32E6">
        <w:rPr>
          <w:rFonts w:eastAsiaTheme="minorEastAsia" w:cstheme="minorHAnsi"/>
          <w:sz w:val="24"/>
          <w:szCs w:val="24"/>
        </w:rPr>
        <w:t xml:space="preserve"> and the very large </w:t>
      </w:r>
      <w:r w:rsidR="00007A12" w:rsidRPr="00DD32E6">
        <w:rPr>
          <w:rFonts w:eastAsiaTheme="minorEastAsia" w:cstheme="minorHAnsi"/>
          <w:sz w:val="24"/>
          <w:szCs w:val="24"/>
        </w:rPr>
        <w:t>study sample size</w:t>
      </w:r>
      <w:r w:rsidR="00823600" w:rsidRPr="00DD32E6">
        <w:rPr>
          <w:rFonts w:eastAsiaTheme="minorEastAsia" w:cstheme="minorHAnsi"/>
          <w:sz w:val="24"/>
          <w:szCs w:val="24"/>
        </w:rPr>
        <w:t>.</w:t>
      </w:r>
      <w:r w:rsidR="00933E4E" w:rsidRPr="00DD32E6">
        <w:rPr>
          <w:rFonts w:eastAsiaTheme="minorEastAsia" w:cstheme="minorHAnsi"/>
          <w:sz w:val="24"/>
          <w:szCs w:val="24"/>
        </w:rPr>
        <w:t xml:space="preserve"> </w:t>
      </w:r>
      <w:proofErr w:type="spellStart"/>
      <w:r w:rsidRPr="00DD32E6">
        <w:rPr>
          <w:rFonts w:eastAsiaTheme="minorEastAsia" w:cstheme="minorHAnsi"/>
          <w:sz w:val="24"/>
          <w:szCs w:val="24"/>
        </w:rPr>
        <w:t>Spirometry</w:t>
      </w:r>
      <w:proofErr w:type="spellEnd"/>
      <w:r w:rsidRPr="00DD32E6">
        <w:rPr>
          <w:rFonts w:eastAsiaTheme="minorEastAsia" w:cstheme="minorHAnsi"/>
          <w:sz w:val="24"/>
          <w:szCs w:val="24"/>
        </w:rPr>
        <w:t xml:space="preserve"> flow curves from a random representative sample of these manoeuvres were examined alongside their stored </w:t>
      </w:r>
      <w:proofErr w:type="spellStart"/>
      <w:r w:rsidRPr="00DD32E6">
        <w:rPr>
          <w:rFonts w:eastAsiaTheme="minorEastAsia" w:cstheme="minorHAnsi"/>
          <w:sz w:val="24"/>
          <w:szCs w:val="24"/>
        </w:rPr>
        <w:lastRenderedPageBreak/>
        <w:t>Vitalograph</w:t>
      </w:r>
      <w:proofErr w:type="spellEnd"/>
      <w:r w:rsidRPr="00DD32E6">
        <w:rPr>
          <w:rFonts w:eastAsiaTheme="minorEastAsia" w:cstheme="minorHAnsi"/>
          <w:sz w:val="24"/>
          <w:szCs w:val="24"/>
        </w:rPr>
        <w:t xml:space="preserve"> ‘error’ messages, and from this review, error messages that indicated acceptable expiratory manoeuvres were identified. These were: ’Blank’ (i.e. no error message), ‘Accept’, ‘Accept Below6sec’ (acceptable blow, with plateau, even though expiration time less than six seconds), and ‘Below6sec’ (expiration below six seconds, but no other error message in the manoeuvre). </w:t>
      </w:r>
      <w:r w:rsidR="00B93914" w:rsidRPr="00DD32E6">
        <w:rPr>
          <w:rFonts w:eastAsiaTheme="minorEastAsia" w:cstheme="minorHAnsi"/>
          <w:sz w:val="24"/>
          <w:szCs w:val="24"/>
        </w:rPr>
        <w:t xml:space="preserve">Although this deviates from </w:t>
      </w:r>
      <w:r w:rsidR="000F2EB0" w:rsidRPr="00DD32E6">
        <w:rPr>
          <w:rFonts w:eastAsiaTheme="minorEastAsia" w:cstheme="minorHAnsi"/>
          <w:sz w:val="24"/>
          <w:szCs w:val="24"/>
        </w:rPr>
        <w:t>the ATS/</w:t>
      </w:r>
      <w:r w:rsidR="00B93914" w:rsidRPr="00DD32E6">
        <w:rPr>
          <w:rFonts w:eastAsiaTheme="minorEastAsia" w:cstheme="minorHAnsi"/>
          <w:sz w:val="24"/>
          <w:szCs w:val="24"/>
        </w:rPr>
        <w:t xml:space="preserve">ERS guidelines, a </w:t>
      </w:r>
      <w:r w:rsidR="006F11C7" w:rsidRPr="00DD32E6">
        <w:rPr>
          <w:rFonts w:eastAsiaTheme="minorEastAsia" w:cstheme="minorHAnsi"/>
          <w:sz w:val="24"/>
          <w:szCs w:val="24"/>
        </w:rPr>
        <w:t xml:space="preserve">recent </w:t>
      </w:r>
      <w:r w:rsidR="00952796" w:rsidRPr="00DD32E6">
        <w:rPr>
          <w:rFonts w:eastAsiaTheme="minorEastAsia" w:cstheme="minorHAnsi"/>
          <w:sz w:val="24"/>
          <w:szCs w:val="24"/>
        </w:rPr>
        <w:t>publication</w:t>
      </w:r>
      <w:r w:rsidR="006F11C7" w:rsidRPr="00DD32E6">
        <w:rPr>
          <w:rFonts w:eastAsiaTheme="minorEastAsia" w:cstheme="minorHAnsi"/>
          <w:sz w:val="24"/>
          <w:szCs w:val="24"/>
        </w:rPr>
        <w:t xml:space="preserve"> has suggested that </w:t>
      </w:r>
      <w:r w:rsidR="00B93914" w:rsidRPr="00DD32E6">
        <w:rPr>
          <w:rFonts w:eastAsiaTheme="minorEastAsia" w:cstheme="minorHAnsi"/>
          <w:sz w:val="24"/>
          <w:szCs w:val="24"/>
        </w:rPr>
        <w:t xml:space="preserve">strict </w:t>
      </w:r>
      <w:r w:rsidR="00606A5A" w:rsidRPr="00DD32E6">
        <w:rPr>
          <w:rFonts w:eastAsiaTheme="minorEastAsia" w:cstheme="minorHAnsi"/>
          <w:sz w:val="24"/>
          <w:szCs w:val="24"/>
        </w:rPr>
        <w:t>end-of-test</w:t>
      </w:r>
      <w:r w:rsidR="006F11C7" w:rsidRPr="00DD32E6">
        <w:rPr>
          <w:rFonts w:eastAsiaTheme="minorEastAsia" w:cstheme="minorHAnsi"/>
          <w:sz w:val="24"/>
          <w:szCs w:val="24"/>
        </w:rPr>
        <w:t xml:space="preserve"> criteria are the ones most likely to lead to rejection of satisfactory manoeuvres</w:t>
      </w:r>
      <w:r w:rsidR="006F11C7" w:rsidRPr="00DD32E6">
        <w:t>.</w:t>
      </w:r>
      <w:r w:rsidR="00B5083B" w:rsidRPr="00DD32E6">
        <w:rPr>
          <w:vertAlign w:val="superscript"/>
        </w:rPr>
        <w:t xml:space="preserve">12 </w:t>
      </w:r>
      <w:proofErr w:type="gramStart"/>
      <w:r w:rsidRPr="00DD32E6">
        <w:rPr>
          <w:rFonts w:eastAsiaTheme="minorEastAsia" w:cstheme="minorHAnsi"/>
          <w:sz w:val="24"/>
          <w:szCs w:val="24"/>
        </w:rPr>
        <w:t>The</w:t>
      </w:r>
      <w:proofErr w:type="gramEnd"/>
      <w:r w:rsidRPr="00DD32E6">
        <w:rPr>
          <w:rFonts w:eastAsiaTheme="minorEastAsia" w:cstheme="minorHAnsi"/>
          <w:sz w:val="24"/>
          <w:szCs w:val="24"/>
        </w:rPr>
        <w:t xml:space="preserve"> highest value of both FEV1 and FVC from acceptable curves was identified. Subjects who had smoked tobacco or used inhalers one hour prior to testing were excluded from our analysis.</w:t>
      </w:r>
    </w:p>
    <w:p w:rsidR="00AC6848" w:rsidRPr="00DD32E6" w:rsidRDefault="00AC6848" w:rsidP="006A4856">
      <w:pPr>
        <w:spacing w:line="360" w:lineRule="auto"/>
        <w:contextualSpacing/>
        <w:rPr>
          <w:rFonts w:eastAsiaTheme="minorEastAsia" w:cstheme="minorHAnsi"/>
          <w:sz w:val="24"/>
          <w:szCs w:val="24"/>
        </w:rPr>
      </w:pPr>
      <w:r w:rsidRPr="00DD32E6">
        <w:rPr>
          <w:rFonts w:eastAsiaTheme="minorEastAsia" w:cstheme="minorHAnsi"/>
          <w:sz w:val="24"/>
          <w:szCs w:val="24"/>
        </w:rPr>
        <w:t>COPD was defined as FEV1/FVC&lt;LLN (i.e. the 5% lower tail of the normal distribution of average predicted FEV1/FVC in a reference healthy population). We used the Hankinson equation to calculate the predicted values for FEV1/FVC.</w:t>
      </w:r>
      <w:r w:rsidRPr="00DD32E6">
        <w:rPr>
          <w:rFonts w:eastAsiaTheme="minorEastAsia" w:cstheme="minorHAnsi"/>
          <w:noProof/>
          <w:sz w:val="24"/>
          <w:szCs w:val="24"/>
          <w:vertAlign w:val="superscript"/>
        </w:rPr>
        <w:t>1</w:t>
      </w:r>
      <w:r w:rsidR="00B5083B" w:rsidRPr="00DD32E6">
        <w:rPr>
          <w:rFonts w:eastAsiaTheme="minorEastAsia" w:cstheme="minorHAnsi"/>
          <w:noProof/>
          <w:sz w:val="24"/>
          <w:szCs w:val="24"/>
          <w:vertAlign w:val="superscript"/>
        </w:rPr>
        <w:t>3</w:t>
      </w:r>
    </w:p>
    <w:p w:rsidR="00AC6848" w:rsidRPr="00DD32E6" w:rsidRDefault="00AC6848" w:rsidP="006A4856">
      <w:pPr>
        <w:spacing w:line="360" w:lineRule="auto"/>
        <w:contextualSpacing/>
        <w:rPr>
          <w:rFonts w:eastAsiaTheme="minorEastAsia" w:cstheme="minorHAnsi"/>
          <w:sz w:val="24"/>
          <w:szCs w:val="24"/>
        </w:rPr>
      </w:pPr>
    </w:p>
    <w:p w:rsidR="00AC6848" w:rsidRPr="00DD32E6" w:rsidRDefault="00AC6848" w:rsidP="006A4856">
      <w:pPr>
        <w:spacing w:line="360" w:lineRule="auto"/>
        <w:contextualSpacing/>
        <w:rPr>
          <w:rFonts w:eastAsiaTheme="minorEastAsia" w:cstheme="minorHAnsi"/>
          <w:sz w:val="24"/>
          <w:szCs w:val="24"/>
        </w:rPr>
      </w:pPr>
    </w:p>
    <w:p w:rsidR="006A4856" w:rsidRPr="00DD32E6" w:rsidRDefault="006A4856" w:rsidP="006A4856">
      <w:pPr>
        <w:spacing w:line="360" w:lineRule="auto"/>
        <w:contextualSpacing/>
        <w:rPr>
          <w:rFonts w:eastAsiaTheme="minorEastAsia" w:cstheme="minorHAnsi"/>
          <w:sz w:val="24"/>
          <w:szCs w:val="24"/>
        </w:rPr>
      </w:pPr>
    </w:p>
    <w:p w:rsidR="00AC6848" w:rsidRPr="00DD32E6" w:rsidRDefault="00AC6848" w:rsidP="006A4856">
      <w:pPr>
        <w:spacing w:line="360" w:lineRule="auto"/>
        <w:contextualSpacing/>
        <w:rPr>
          <w:rFonts w:eastAsiaTheme="minorEastAsia" w:cstheme="minorHAnsi"/>
          <w:b/>
          <w:sz w:val="24"/>
          <w:szCs w:val="24"/>
        </w:rPr>
      </w:pPr>
      <w:r w:rsidRPr="00DD32E6">
        <w:rPr>
          <w:rFonts w:eastAsiaTheme="minorEastAsia" w:cstheme="minorHAnsi"/>
          <w:b/>
          <w:sz w:val="24"/>
          <w:szCs w:val="24"/>
        </w:rPr>
        <w:t xml:space="preserve">Employment status and job coding </w:t>
      </w:r>
    </w:p>
    <w:p w:rsidR="00AC6848" w:rsidRPr="00DD32E6" w:rsidRDefault="00AC6848" w:rsidP="006A4856">
      <w:pPr>
        <w:spacing w:line="360" w:lineRule="auto"/>
        <w:contextualSpacing/>
      </w:pPr>
      <w:r w:rsidRPr="00DD32E6">
        <w:rPr>
          <w:rFonts w:eastAsiaTheme="minorEastAsia" w:cstheme="minorHAnsi"/>
          <w:sz w:val="24"/>
          <w:szCs w:val="24"/>
        </w:rPr>
        <w:t>Employment status was recorded at recruitment for 496,894 of the 502,649 subjects (99%). Those currently employed (n=281,247) were interviewed by trained operators and asked to provide additional information (e.g. industry type, specific job tasks) that allowed the spot coding of their job. The interviewers manually codified the collected job descriptions using the 4-digit Standard Occupational Classification (SOC), version 2000</w:t>
      </w:r>
      <w:proofErr w:type="gramStart"/>
      <w:r w:rsidRPr="00DD32E6">
        <w:rPr>
          <w:rFonts w:eastAsiaTheme="minorEastAsia" w:cstheme="minorHAnsi"/>
          <w:sz w:val="24"/>
          <w:szCs w:val="24"/>
        </w:rPr>
        <w:t>,</w:t>
      </w:r>
      <w:r w:rsidRPr="00DD32E6">
        <w:rPr>
          <w:rFonts w:eastAsiaTheme="minorEastAsia" w:cstheme="minorHAnsi"/>
          <w:noProof/>
          <w:sz w:val="24"/>
          <w:szCs w:val="24"/>
          <w:vertAlign w:val="superscript"/>
        </w:rPr>
        <w:t>1</w:t>
      </w:r>
      <w:r w:rsidR="00B5083B" w:rsidRPr="00DD32E6">
        <w:rPr>
          <w:rFonts w:eastAsiaTheme="minorEastAsia" w:cstheme="minorHAnsi"/>
          <w:noProof/>
          <w:sz w:val="24"/>
          <w:szCs w:val="24"/>
          <w:vertAlign w:val="superscript"/>
        </w:rPr>
        <w:t>4</w:t>
      </w:r>
      <w:proofErr w:type="gramEnd"/>
      <w:r w:rsidRPr="00DD32E6">
        <w:rPr>
          <w:rFonts w:eastAsiaTheme="minorEastAsia" w:cstheme="minorHAnsi"/>
          <w:sz w:val="24"/>
          <w:szCs w:val="24"/>
        </w:rPr>
        <w:t xml:space="preserve"> including 353 occupations occurring in the general population</w:t>
      </w:r>
      <w:r w:rsidRPr="00DD32E6">
        <w:rPr>
          <w:rFonts w:eastAsiaTheme="minorEastAsia" w:cstheme="minorHAnsi"/>
          <w:i/>
          <w:sz w:val="18"/>
          <w:szCs w:val="18"/>
        </w:rPr>
        <w:t xml:space="preserve">. </w:t>
      </w:r>
      <w:r w:rsidRPr="00DD32E6">
        <w:rPr>
          <w:rFonts w:eastAsiaTheme="minorEastAsia" w:cstheme="minorHAnsi"/>
          <w:sz w:val="24"/>
          <w:szCs w:val="24"/>
        </w:rPr>
        <w:t xml:space="preserve">To classify more detailed job titles within each 4-digit SOC code, </w:t>
      </w:r>
      <w:r w:rsidR="003A60A5" w:rsidRPr="00DD32E6">
        <w:rPr>
          <w:rFonts w:eastAsiaTheme="minorEastAsia" w:cstheme="minorHAnsi"/>
          <w:sz w:val="24"/>
          <w:szCs w:val="24"/>
        </w:rPr>
        <w:t>ad-</w:t>
      </w:r>
      <w:r w:rsidR="00C767E5">
        <w:rPr>
          <w:rFonts w:eastAsiaTheme="minorEastAsia" w:cstheme="minorHAnsi"/>
          <w:sz w:val="24"/>
          <w:szCs w:val="24"/>
        </w:rPr>
        <w:t>hoc</w:t>
      </w:r>
      <w:r w:rsidRPr="00DD32E6">
        <w:rPr>
          <w:rFonts w:eastAsiaTheme="minorEastAsia" w:cstheme="minorHAnsi"/>
          <w:sz w:val="24"/>
          <w:szCs w:val="24"/>
        </w:rPr>
        <w:t xml:space="preserve"> 7-digit SOC code</w:t>
      </w:r>
      <w:r w:rsidR="00976D84" w:rsidRPr="00DD32E6">
        <w:rPr>
          <w:rFonts w:eastAsiaTheme="minorEastAsia" w:cstheme="minorHAnsi"/>
          <w:sz w:val="24"/>
          <w:szCs w:val="24"/>
        </w:rPr>
        <w:t>s</w:t>
      </w:r>
      <w:r w:rsidR="009C245F" w:rsidRPr="00DD32E6">
        <w:rPr>
          <w:rFonts w:eastAsiaTheme="minorEastAsia" w:cstheme="minorHAnsi"/>
          <w:sz w:val="24"/>
          <w:szCs w:val="24"/>
        </w:rPr>
        <w:t xml:space="preserve"> w</w:t>
      </w:r>
      <w:r w:rsidR="00976D84" w:rsidRPr="00DD32E6">
        <w:rPr>
          <w:rFonts w:eastAsiaTheme="minorEastAsia" w:cstheme="minorHAnsi"/>
          <w:sz w:val="24"/>
          <w:szCs w:val="24"/>
        </w:rPr>
        <w:t>ere created</w:t>
      </w:r>
      <w:r w:rsidR="003A60A5" w:rsidRPr="00DD32E6">
        <w:rPr>
          <w:rFonts w:eastAsiaTheme="minorEastAsia" w:cstheme="minorHAnsi"/>
          <w:sz w:val="24"/>
          <w:szCs w:val="24"/>
        </w:rPr>
        <w:t>.</w:t>
      </w:r>
      <w:r w:rsidRPr="00DD32E6">
        <w:rPr>
          <w:rFonts w:eastAsiaTheme="minorEastAsia" w:cstheme="minorHAnsi"/>
          <w:sz w:val="24"/>
          <w:szCs w:val="24"/>
        </w:rPr>
        <w:t xml:space="preserve"> </w:t>
      </w:r>
      <w:r w:rsidR="003C7A38" w:rsidRPr="00DD32E6">
        <w:rPr>
          <w:sz w:val="24"/>
          <w:szCs w:val="24"/>
        </w:rPr>
        <w:t xml:space="preserve">In detail, in the SOC classification within each 4-digit SOC code more </w:t>
      </w:r>
      <w:r w:rsidR="001D5A3D" w:rsidRPr="00DD32E6">
        <w:rPr>
          <w:sz w:val="24"/>
          <w:szCs w:val="24"/>
        </w:rPr>
        <w:t xml:space="preserve">specific </w:t>
      </w:r>
      <w:r w:rsidR="003C7A38" w:rsidRPr="00DD32E6">
        <w:rPr>
          <w:sz w:val="24"/>
          <w:szCs w:val="24"/>
        </w:rPr>
        <w:t>jobs are included and listed</w:t>
      </w:r>
      <w:r w:rsidR="003A60A5" w:rsidRPr="00DD32E6">
        <w:rPr>
          <w:sz w:val="24"/>
          <w:szCs w:val="24"/>
        </w:rPr>
        <w:t xml:space="preserve"> in the coding index (26,160 entries)</w:t>
      </w:r>
      <w:r w:rsidR="003C7A38" w:rsidRPr="00DD32E6">
        <w:rPr>
          <w:sz w:val="24"/>
          <w:szCs w:val="24"/>
        </w:rPr>
        <w:t xml:space="preserve">. </w:t>
      </w:r>
      <w:r w:rsidR="00976D84" w:rsidRPr="00DD32E6">
        <w:rPr>
          <w:sz w:val="24"/>
          <w:szCs w:val="24"/>
        </w:rPr>
        <w:t xml:space="preserve">As no specific SOC codes are assigned to them, ad-hoc </w:t>
      </w:r>
      <w:r w:rsidR="003C7A38" w:rsidRPr="00DD32E6">
        <w:rPr>
          <w:sz w:val="24"/>
          <w:szCs w:val="24"/>
        </w:rPr>
        <w:t>7-digit code</w:t>
      </w:r>
      <w:r w:rsidR="003A60A5" w:rsidRPr="00DD32E6">
        <w:rPr>
          <w:sz w:val="24"/>
          <w:szCs w:val="24"/>
        </w:rPr>
        <w:t>s</w:t>
      </w:r>
      <w:r w:rsidR="003C7A38" w:rsidRPr="00DD32E6">
        <w:rPr>
          <w:sz w:val="24"/>
          <w:szCs w:val="24"/>
        </w:rPr>
        <w:t xml:space="preserve"> </w:t>
      </w:r>
      <w:r w:rsidR="00976D84" w:rsidRPr="00DD32E6">
        <w:rPr>
          <w:sz w:val="24"/>
          <w:szCs w:val="24"/>
        </w:rPr>
        <w:t xml:space="preserve">were created by </w:t>
      </w:r>
      <w:r w:rsidR="003A60A5" w:rsidRPr="00DD32E6">
        <w:rPr>
          <w:sz w:val="24"/>
          <w:szCs w:val="24"/>
        </w:rPr>
        <w:t>combining</w:t>
      </w:r>
      <w:r w:rsidR="003C7A38" w:rsidRPr="00DD32E6">
        <w:rPr>
          <w:sz w:val="24"/>
          <w:szCs w:val="24"/>
        </w:rPr>
        <w:t xml:space="preserve"> the corresponding 4-digit SOC code and an arbitrary ordinal number </w:t>
      </w:r>
      <w:r w:rsidR="003A60A5" w:rsidRPr="00DD32E6">
        <w:rPr>
          <w:sz w:val="24"/>
          <w:szCs w:val="24"/>
        </w:rPr>
        <w:t xml:space="preserve">(from 001 to 999) </w:t>
      </w:r>
      <w:r w:rsidR="003C7A38" w:rsidRPr="00DD32E6">
        <w:rPr>
          <w:sz w:val="24"/>
          <w:szCs w:val="24"/>
        </w:rPr>
        <w:t xml:space="preserve">generated after ordering the detailed job titles alphabetically within each </w:t>
      </w:r>
      <w:r w:rsidR="00976D84" w:rsidRPr="00DD32E6">
        <w:rPr>
          <w:sz w:val="24"/>
          <w:szCs w:val="24"/>
        </w:rPr>
        <w:t xml:space="preserve">4-digit </w:t>
      </w:r>
      <w:r w:rsidR="003C7A38" w:rsidRPr="00DD32E6">
        <w:rPr>
          <w:sz w:val="24"/>
          <w:szCs w:val="24"/>
        </w:rPr>
        <w:t>major job category.</w:t>
      </w:r>
    </w:p>
    <w:p w:rsidR="00AC6848" w:rsidRPr="00DD32E6" w:rsidRDefault="00AC6848" w:rsidP="006A4856">
      <w:pPr>
        <w:spacing w:line="360" w:lineRule="auto"/>
        <w:contextualSpacing/>
        <w:rPr>
          <w:rFonts w:eastAsiaTheme="minorEastAsia" w:cstheme="minorHAnsi"/>
          <w:sz w:val="24"/>
          <w:szCs w:val="24"/>
        </w:rPr>
      </w:pPr>
      <w:r w:rsidRPr="00DD32E6">
        <w:rPr>
          <w:rFonts w:eastAsiaTheme="minorEastAsia" w:cstheme="minorHAnsi"/>
          <w:sz w:val="24"/>
          <w:szCs w:val="24"/>
        </w:rPr>
        <w:t xml:space="preserve">18,322 free text descriptions of current occupations could not be coded at the time of the interview, and one of the Authors (S.DM), after a manual quality control review (e.g. spelling error check), automatically coded them into 4-digit SOC codes using the Computer Assisted Structure </w:t>
      </w:r>
      <w:proofErr w:type="spellStart"/>
      <w:r w:rsidRPr="00DD32E6">
        <w:rPr>
          <w:rFonts w:eastAsiaTheme="minorEastAsia" w:cstheme="minorHAnsi"/>
          <w:sz w:val="24"/>
          <w:szCs w:val="24"/>
        </w:rPr>
        <w:t>COding</w:t>
      </w:r>
      <w:proofErr w:type="spellEnd"/>
      <w:r w:rsidRPr="00DD32E6">
        <w:rPr>
          <w:rFonts w:eastAsiaTheme="minorEastAsia" w:cstheme="minorHAnsi"/>
          <w:sz w:val="24"/>
          <w:szCs w:val="24"/>
        </w:rPr>
        <w:t xml:space="preserve"> Tool (CASCOT).</w:t>
      </w:r>
      <w:r w:rsidRPr="00DD32E6">
        <w:rPr>
          <w:rFonts w:eastAsiaTheme="minorEastAsia" w:cstheme="minorHAnsi"/>
          <w:noProof/>
          <w:sz w:val="24"/>
          <w:szCs w:val="24"/>
          <w:vertAlign w:val="superscript"/>
        </w:rPr>
        <w:t>1</w:t>
      </w:r>
      <w:r w:rsidR="003C5B02" w:rsidRPr="00DD32E6">
        <w:rPr>
          <w:rFonts w:eastAsiaTheme="minorEastAsia" w:cstheme="minorHAnsi"/>
          <w:noProof/>
          <w:sz w:val="24"/>
          <w:szCs w:val="24"/>
          <w:vertAlign w:val="superscript"/>
        </w:rPr>
        <w:t>5</w:t>
      </w:r>
      <w:r w:rsidRPr="00DD32E6">
        <w:rPr>
          <w:rFonts w:eastAsiaTheme="minorEastAsia" w:cstheme="minorHAnsi"/>
          <w:sz w:val="24"/>
          <w:szCs w:val="24"/>
        </w:rPr>
        <w:t xml:space="preserve"> 11,751 4-digit SOC codes attained a CASCOT-generated </w:t>
      </w:r>
      <w:r w:rsidRPr="00DD32E6">
        <w:rPr>
          <w:rFonts w:eastAsiaTheme="minorEastAsia" w:cstheme="minorHAnsi"/>
          <w:sz w:val="24"/>
          <w:szCs w:val="24"/>
        </w:rPr>
        <w:lastRenderedPageBreak/>
        <w:t>coding quality score (certainty score) of ≥50% and so were retained for analyses as previously suggested.</w:t>
      </w:r>
      <w:r w:rsidRPr="00DD32E6">
        <w:rPr>
          <w:rFonts w:eastAsiaTheme="minorEastAsia" w:cstheme="minorHAnsi"/>
          <w:noProof/>
          <w:sz w:val="24"/>
          <w:szCs w:val="24"/>
          <w:vertAlign w:val="superscript"/>
        </w:rPr>
        <w:t>1</w:t>
      </w:r>
      <w:r w:rsidR="003C5B02" w:rsidRPr="00DD32E6">
        <w:rPr>
          <w:rFonts w:eastAsiaTheme="minorEastAsia" w:cstheme="minorHAnsi"/>
          <w:noProof/>
          <w:sz w:val="24"/>
          <w:szCs w:val="24"/>
          <w:vertAlign w:val="superscript"/>
        </w:rPr>
        <w:t>6</w:t>
      </w:r>
    </w:p>
    <w:p w:rsidR="00AC6848" w:rsidRPr="00DD32E6" w:rsidRDefault="00AC6848" w:rsidP="006A4856">
      <w:pPr>
        <w:spacing w:line="360" w:lineRule="auto"/>
        <w:contextualSpacing/>
        <w:rPr>
          <w:rFonts w:eastAsiaTheme="minorEastAsia" w:cstheme="minorHAnsi"/>
          <w:b/>
          <w:sz w:val="24"/>
          <w:szCs w:val="24"/>
        </w:rPr>
      </w:pPr>
      <w:r w:rsidRPr="00DD32E6">
        <w:rPr>
          <w:rFonts w:eastAsiaTheme="minorEastAsia" w:cstheme="minorHAnsi"/>
          <w:sz w:val="24"/>
          <w:szCs w:val="24"/>
        </w:rPr>
        <w:t xml:space="preserve">Our final study sample included the </w:t>
      </w:r>
      <w:r w:rsidRPr="00DD32E6">
        <w:rPr>
          <w:rFonts w:eastAsiaTheme="minorEastAsia" w:cstheme="minorHAnsi"/>
          <w:bCs/>
          <w:sz w:val="24"/>
          <w:szCs w:val="24"/>
        </w:rPr>
        <w:t xml:space="preserve">228,614 </w:t>
      </w:r>
      <w:r w:rsidRPr="00DD32E6">
        <w:rPr>
          <w:rFonts w:eastAsiaTheme="minorEastAsia" w:cstheme="minorHAnsi"/>
          <w:sz w:val="24"/>
          <w:szCs w:val="24"/>
        </w:rPr>
        <w:t xml:space="preserve">subjects with at least one acceptable </w:t>
      </w:r>
      <w:proofErr w:type="spellStart"/>
      <w:r w:rsidRPr="00DD32E6">
        <w:rPr>
          <w:rFonts w:eastAsiaTheme="minorEastAsia" w:cstheme="minorHAnsi"/>
          <w:sz w:val="24"/>
          <w:szCs w:val="24"/>
        </w:rPr>
        <w:t>spirometry</w:t>
      </w:r>
      <w:proofErr w:type="spellEnd"/>
      <w:r w:rsidRPr="00DD32E6">
        <w:rPr>
          <w:rFonts w:eastAsiaTheme="minorEastAsia" w:cstheme="minorHAnsi"/>
          <w:sz w:val="24"/>
          <w:szCs w:val="24"/>
        </w:rPr>
        <w:t xml:space="preserve"> </w:t>
      </w:r>
      <w:r w:rsidR="00EB57F7" w:rsidRPr="00DD32E6">
        <w:rPr>
          <w:rFonts w:eastAsiaTheme="minorEastAsia" w:cstheme="minorHAnsi"/>
          <w:sz w:val="24"/>
          <w:szCs w:val="24"/>
        </w:rPr>
        <w:t xml:space="preserve">from at least two attempts </w:t>
      </w:r>
      <w:r w:rsidRPr="00DD32E6">
        <w:rPr>
          <w:rFonts w:eastAsiaTheme="minorEastAsia" w:cstheme="minorHAnsi"/>
          <w:sz w:val="24"/>
          <w:szCs w:val="24"/>
        </w:rPr>
        <w:t xml:space="preserve">and a SOC coded current job as shown in the </w:t>
      </w:r>
      <w:r w:rsidRPr="00DD32E6">
        <w:rPr>
          <w:rFonts w:eastAsiaTheme="minorEastAsia" w:cstheme="minorHAnsi"/>
          <w:bCs/>
          <w:sz w:val="24"/>
          <w:szCs w:val="24"/>
        </w:rPr>
        <w:t xml:space="preserve">study flow-diagram (figure 1). </w:t>
      </w:r>
      <w:r w:rsidR="00976D84" w:rsidRPr="00DD32E6">
        <w:rPr>
          <w:rFonts w:eastAsiaTheme="minorEastAsia" w:cstheme="minorHAnsi"/>
          <w:bCs/>
          <w:sz w:val="24"/>
          <w:szCs w:val="24"/>
        </w:rPr>
        <w:t>O</w:t>
      </w:r>
      <w:r w:rsidR="000F293C" w:rsidRPr="00DD32E6">
        <w:rPr>
          <w:sz w:val="24"/>
          <w:szCs w:val="24"/>
        </w:rPr>
        <w:t xml:space="preserve">nly 32 subjects had </w:t>
      </w:r>
      <w:r w:rsidR="00976D84" w:rsidRPr="00DD32E6">
        <w:rPr>
          <w:sz w:val="24"/>
          <w:szCs w:val="24"/>
        </w:rPr>
        <w:t xml:space="preserve">just </w:t>
      </w:r>
      <w:r w:rsidR="000F293C" w:rsidRPr="00DD32E6">
        <w:rPr>
          <w:sz w:val="24"/>
          <w:szCs w:val="24"/>
        </w:rPr>
        <w:t xml:space="preserve">one acceptable </w:t>
      </w:r>
      <w:proofErr w:type="spellStart"/>
      <w:r w:rsidR="000F293C" w:rsidRPr="00DD32E6">
        <w:rPr>
          <w:sz w:val="24"/>
          <w:szCs w:val="24"/>
        </w:rPr>
        <w:t>spirometry</w:t>
      </w:r>
      <w:proofErr w:type="spellEnd"/>
      <w:r w:rsidR="00976D84" w:rsidRPr="00DD32E6">
        <w:rPr>
          <w:sz w:val="24"/>
          <w:szCs w:val="24"/>
        </w:rPr>
        <w:t xml:space="preserve"> manoeuvre</w:t>
      </w:r>
      <w:r w:rsidR="000F293C" w:rsidRPr="00DD32E6">
        <w:rPr>
          <w:sz w:val="24"/>
          <w:szCs w:val="24"/>
        </w:rPr>
        <w:t xml:space="preserve"> (0%) and sensitivity analyses showed that removal of this group did not alter </w:t>
      </w:r>
      <w:r w:rsidR="00976D84" w:rsidRPr="00DD32E6">
        <w:rPr>
          <w:sz w:val="24"/>
          <w:szCs w:val="24"/>
        </w:rPr>
        <w:t xml:space="preserve">our </w:t>
      </w:r>
      <w:r w:rsidR="000F293C" w:rsidRPr="00DD32E6">
        <w:rPr>
          <w:sz w:val="24"/>
          <w:szCs w:val="24"/>
        </w:rPr>
        <w:t xml:space="preserve">findings (data not shown), so </w:t>
      </w:r>
      <w:r w:rsidR="00976D84" w:rsidRPr="00DD32E6">
        <w:rPr>
          <w:sz w:val="24"/>
          <w:szCs w:val="24"/>
        </w:rPr>
        <w:t>they were included</w:t>
      </w:r>
      <w:r w:rsidR="000F293C" w:rsidRPr="00DD32E6">
        <w:rPr>
          <w:sz w:val="24"/>
          <w:szCs w:val="24"/>
        </w:rPr>
        <w:t xml:space="preserve">. 68,449 (30%) </w:t>
      </w:r>
      <w:r w:rsidR="00952796" w:rsidRPr="00DD32E6">
        <w:rPr>
          <w:sz w:val="24"/>
          <w:szCs w:val="24"/>
        </w:rPr>
        <w:t xml:space="preserve">participants </w:t>
      </w:r>
      <w:r w:rsidR="000F293C" w:rsidRPr="00DD32E6">
        <w:rPr>
          <w:sz w:val="24"/>
          <w:szCs w:val="24"/>
        </w:rPr>
        <w:t xml:space="preserve">had two acceptable </w:t>
      </w:r>
      <w:r w:rsidR="00976D84" w:rsidRPr="00DD32E6">
        <w:rPr>
          <w:sz w:val="24"/>
          <w:szCs w:val="24"/>
        </w:rPr>
        <w:t>manoeuvres, and 160,133 (70%) three or more.</w:t>
      </w:r>
    </w:p>
    <w:p w:rsidR="00AC6848" w:rsidRPr="00DD32E6" w:rsidRDefault="00AC6848">
      <w:pPr>
        <w:rPr>
          <w:rFonts w:eastAsiaTheme="minorEastAsia" w:cstheme="minorHAnsi"/>
          <w:kern w:val="24"/>
          <w:sz w:val="24"/>
          <w:szCs w:val="24"/>
        </w:rPr>
      </w:pPr>
      <w:r w:rsidRPr="00DD32E6">
        <w:rPr>
          <w:rFonts w:eastAsiaTheme="minorEastAsia" w:cstheme="minorHAnsi"/>
          <w:kern w:val="24"/>
          <w:sz w:val="24"/>
          <w:szCs w:val="24"/>
        </w:rPr>
        <w:br w:type="page"/>
      </w:r>
    </w:p>
    <w:p w:rsidR="00AC6848" w:rsidRPr="00DD32E6" w:rsidRDefault="00AC6848" w:rsidP="006A4856">
      <w:pPr>
        <w:spacing w:line="360" w:lineRule="auto"/>
        <w:rPr>
          <w:rFonts w:eastAsiaTheme="minorEastAsia" w:cstheme="minorHAnsi"/>
          <w:b/>
          <w:sz w:val="24"/>
          <w:szCs w:val="24"/>
        </w:rPr>
      </w:pPr>
      <w:r w:rsidRPr="00DD32E6">
        <w:rPr>
          <w:rFonts w:eastAsiaTheme="minorEastAsia" w:cstheme="minorHAnsi"/>
          <w:b/>
          <w:sz w:val="24"/>
          <w:szCs w:val="24"/>
        </w:rPr>
        <w:lastRenderedPageBreak/>
        <w:t xml:space="preserve">Statistical analysis </w:t>
      </w:r>
    </w:p>
    <w:p w:rsidR="00AC6848" w:rsidRPr="00DD32E6" w:rsidRDefault="00AC6848" w:rsidP="006A4856">
      <w:pPr>
        <w:spacing w:line="360" w:lineRule="auto"/>
        <w:rPr>
          <w:rFonts w:eastAsiaTheme="minorEastAsia" w:cstheme="minorHAnsi"/>
          <w:sz w:val="24"/>
          <w:szCs w:val="24"/>
        </w:rPr>
      </w:pPr>
      <w:r w:rsidRPr="00DD32E6">
        <w:rPr>
          <w:rFonts w:eastAsiaTheme="minorEastAsia" w:cstheme="minorHAnsi"/>
          <w:sz w:val="24"/>
          <w:szCs w:val="24"/>
        </w:rPr>
        <w:t>We performed a cross-sectional analysis to examine the association of COPD with current occupation (4-digit SOC-coded job) using all subjects not working in each specific job as the reference group. A Poisson regression model with a robust error variance was used to estimate prevalence ratios (PRs) and 95% confidence intervals (CIs). Poisson regression is preferable in this context to a standard binomial model that may present convergence problems when the prevalence of the outcome is high or if one or more of the covariates are continuous.</w:t>
      </w:r>
      <w:r w:rsidRPr="00DD32E6">
        <w:rPr>
          <w:rFonts w:eastAsiaTheme="minorEastAsia" w:cstheme="minorHAnsi"/>
          <w:noProof/>
          <w:sz w:val="24"/>
          <w:szCs w:val="24"/>
          <w:vertAlign w:val="superscript"/>
        </w:rPr>
        <w:t>1</w:t>
      </w:r>
      <w:r w:rsidR="003C5B02" w:rsidRPr="00DD32E6">
        <w:rPr>
          <w:rFonts w:eastAsiaTheme="minorEastAsia" w:cstheme="minorHAnsi"/>
          <w:noProof/>
          <w:sz w:val="24"/>
          <w:szCs w:val="24"/>
          <w:vertAlign w:val="superscript"/>
        </w:rPr>
        <w:t>7</w:t>
      </w:r>
      <w:r w:rsidRPr="00DD32E6">
        <w:rPr>
          <w:rFonts w:eastAsiaTheme="minorEastAsia" w:cstheme="minorHAnsi"/>
          <w:noProof/>
          <w:sz w:val="24"/>
          <w:szCs w:val="24"/>
          <w:vertAlign w:val="superscript"/>
        </w:rPr>
        <w:t>-1</w:t>
      </w:r>
      <w:r w:rsidR="003C5B02" w:rsidRPr="00DD32E6">
        <w:rPr>
          <w:rFonts w:eastAsiaTheme="minorEastAsia" w:cstheme="minorHAnsi"/>
          <w:noProof/>
          <w:sz w:val="24"/>
          <w:szCs w:val="24"/>
          <w:vertAlign w:val="superscript"/>
        </w:rPr>
        <w:t>9</w:t>
      </w:r>
      <w:r w:rsidRPr="00DD32E6">
        <w:rPr>
          <w:rFonts w:eastAsiaTheme="minorEastAsia" w:cstheme="minorHAnsi"/>
          <w:sz w:val="24"/>
          <w:szCs w:val="24"/>
        </w:rPr>
        <w:t xml:space="preserve"> We included in the models as covariates a set of </w:t>
      </w:r>
      <w:r w:rsidRPr="00DD32E6">
        <w:rPr>
          <w:rFonts w:eastAsiaTheme="minorEastAsia" w:cstheme="minorHAnsi"/>
          <w:i/>
          <w:sz w:val="24"/>
          <w:szCs w:val="24"/>
        </w:rPr>
        <w:t>a priori</w:t>
      </w:r>
      <w:r w:rsidRPr="00DD32E6">
        <w:rPr>
          <w:rFonts w:eastAsiaTheme="minorEastAsia" w:cstheme="minorHAnsi"/>
          <w:sz w:val="24"/>
          <w:szCs w:val="24"/>
        </w:rPr>
        <w:t xml:space="preserve"> potential confounders (sex, age, recruitment centre, tobacco smoking) and then tested, one by one, other potential covariates (such as type of tobacco smoking, and BMI) using a threshold of 10% to estimate their potential bias impact on risk estimates. The final model included, as adjustment covariates, age (5-year categories), sex, recruitment centre (22 categories), and lifetime tobacco smoking (ever/never, pack</w:t>
      </w:r>
      <w:r w:rsidR="00012F06" w:rsidRPr="00DD32E6">
        <w:rPr>
          <w:rFonts w:eastAsiaTheme="minorEastAsia" w:cstheme="minorHAnsi"/>
          <w:sz w:val="24"/>
          <w:szCs w:val="24"/>
        </w:rPr>
        <w:t>-</w:t>
      </w:r>
      <w:r w:rsidRPr="00DD32E6">
        <w:rPr>
          <w:rFonts w:eastAsiaTheme="minorEastAsia" w:cstheme="minorHAnsi"/>
          <w:sz w:val="24"/>
          <w:szCs w:val="24"/>
        </w:rPr>
        <w:t xml:space="preserve">years and years since quitting). For jobs found associated with increased COPD risk we performed further analyses by sex to identify gender-specific occupational risks and by duration of employment (10-year categories) in each job as </w:t>
      </w:r>
      <w:r w:rsidRPr="00DD32E6">
        <w:rPr>
          <w:rFonts w:eastAsiaTheme="minorEastAsia" w:cstheme="minorHAnsi"/>
          <w:i/>
          <w:sz w:val="24"/>
          <w:szCs w:val="24"/>
        </w:rPr>
        <w:t>proxy</w:t>
      </w:r>
      <w:r w:rsidRPr="00DD32E6">
        <w:rPr>
          <w:rFonts w:eastAsiaTheme="minorEastAsia" w:cstheme="minorHAnsi"/>
          <w:sz w:val="24"/>
          <w:szCs w:val="24"/>
        </w:rPr>
        <w:t xml:space="preserve"> for exposure-response test for trend.</w:t>
      </w:r>
    </w:p>
    <w:p w:rsidR="00AC6848" w:rsidRPr="00DD32E6" w:rsidRDefault="00AC6848" w:rsidP="006A4856">
      <w:pPr>
        <w:spacing w:line="360" w:lineRule="auto"/>
        <w:rPr>
          <w:rFonts w:eastAsiaTheme="minorEastAsia" w:cstheme="minorHAnsi"/>
          <w:sz w:val="24"/>
          <w:szCs w:val="24"/>
        </w:rPr>
      </w:pPr>
      <w:r w:rsidRPr="00DD32E6">
        <w:rPr>
          <w:rFonts w:eastAsiaTheme="minorEastAsia" w:cstheme="minorHAnsi"/>
          <w:sz w:val="24"/>
          <w:szCs w:val="24"/>
        </w:rPr>
        <w:t xml:space="preserve">Taking advantage of the large sample size, the associations identified in the main analyses were then tested in sensitivity analyses among 1) lifetime non-smokers (to rule out residual confounding by tobacco smoking) and 2) those who did not report a doctor’s diagnosis of asthma (to decrease the chance of disease misclassification given that only pre-bronchodilator </w:t>
      </w:r>
      <w:proofErr w:type="spellStart"/>
      <w:r w:rsidRPr="00DD32E6">
        <w:rPr>
          <w:rFonts w:eastAsiaTheme="minorEastAsia" w:cstheme="minorHAnsi"/>
          <w:sz w:val="24"/>
          <w:szCs w:val="24"/>
        </w:rPr>
        <w:t>spirometry</w:t>
      </w:r>
      <w:proofErr w:type="spellEnd"/>
      <w:r w:rsidRPr="00DD32E6">
        <w:rPr>
          <w:rFonts w:eastAsiaTheme="minorEastAsia" w:cstheme="minorHAnsi"/>
          <w:sz w:val="24"/>
          <w:szCs w:val="24"/>
        </w:rPr>
        <w:t xml:space="preserve"> measures were available). Finally, within each occupation associated with COPD risk, we tried to identify specific job titles at increased risk using a more detailed 7-digit SOC code. </w:t>
      </w:r>
    </w:p>
    <w:p w:rsidR="00AC6848" w:rsidRPr="00DD32E6" w:rsidRDefault="00AC6848" w:rsidP="006A4856">
      <w:pPr>
        <w:spacing w:line="360" w:lineRule="auto"/>
        <w:rPr>
          <w:sz w:val="24"/>
          <w:szCs w:val="24"/>
        </w:rPr>
      </w:pPr>
      <w:r w:rsidRPr="00DD32E6">
        <w:rPr>
          <w:rFonts w:eastAsiaTheme="minorEastAsia" w:cstheme="minorHAnsi"/>
          <w:sz w:val="24"/>
          <w:szCs w:val="24"/>
        </w:rPr>
        <w:t>All analyses were performed using Stata version 13 (</w:t>
      </w:r>
      <w:proofErr w:type="spellStart"/>
      <w:r w:rsidRPr="00DD32E6">
        <w:rPr>
          <w:sz w:val="24"/>
          <w:szCs w:val="24"/>
        </w:rPr>
        <w:t>StataCorp</w:t>
      </w:r>
      <w:proofErr w:type="spellEnd"/>
      <w:r w:rsidRPr="00DD32E6">
        <w:rPr>
          <w:sz w:val="24"/>
          <w:szCs w:val="24"/>
        </w:rPr>
        <w:t xml:space="preserve">. 2013. </w:t>
      </w:r>
      <w:r w:rsidRPr="00DD32E6">
        <w:rPr>
          <w:i/>
          <w:iCs/>
          <w:sz w:val="24"/>
          <w:szCs w:val="24"/>
        </w:rPr>
        <w:t>Stata Statistical Software: Release 13</w:t>
      </w:r>
      <w:r w:rsidRPr="00DD32E6">
        <w:rPr>
          <w:sz w:val="24"/>
          <w:szCs w:val="24"/>
        </w:rPr>
        <w:t xml:space="preserve">. College Station, TX: </w:t>
      </w:r>
      <w:proofErr w:type="spellStart"/>
      <w:r w:rsidRPr="00DD32E6">
        <w:rPr>
          <w:sz w:val="24"/>
          <w:szCs w:val="24"/>
        </w:rPr>
        <w:t>StataCorp</w:t>
      </w:r>
      <w:proofErr w:type="spellEnd"/>
      <w:r w:rsidRPr="00DD32E6">
        <w:rPr>
          <w:sz w:val="24"/>
          <w:szCs w:val="24"/>
        </w:rPr>
        <w:t xml:space="preserve"> LP).</w:t>
      </w:r>
    </w:p>
    <w:p w:rsidR="00AC6848" w:rsidRPr="00DD32E6" w:rsidRDefault="00AC6848">
      <w:pPr>
        <w:rPr>
          <w:sz w:val="24"/>
          <w:szCs w:val="24"/>
        </w:rPr>
      </w:pPr>
      <w:r w:rsidRPr="00DD32E6">
        <w:rPr>
          <w:sz w:val="24"/>
          <w:szCs w:val="24"/>
        </w:rPr>
        <w:br w:type="page"/>
      </w:r>
    </w:p>
    <w:p w:rsidR="00AC6848" w:rsidRPr="00DD32E6" w:rsidRDefault="00AC6848" w:rsidP="006A4856">
      <w:pPr>
        <w:pStyle w:val="Default"/>
        <w:spacing w:line="360" w:lineRule="auto"/>
        <w:rPr>
          <w:rFonts w:asciiTheme="minorHAnsi" w:hAnsiTheme="minorHAnsi" w:cstheme="minorHAnsi"/>
          <w:b/>
          <w:bCs/>
          <w:color w:val="auto"/>
        </w:rPr>
      </w:pPr>
      <w:r w:rsidRPr="00DD32E6">
        <w:rPr>
          <w:rFonts w:asciiTheme="minorHAnsi" w:hAnsiTheme="minorHAnsi" w:cstheme="minorHAnsi"/>
          <w:b/>
          <w:bCs/>
          <w:color w:val="auto"/>
        </w:rPr>
        <w:lastRenderedPageBreak/>
        <w:t>RESULTS</w:t>
      </w:r>
    </w:p>
    <w:p w:rsidR="00AC6848" w:rsidRPr="00DD32E6" w:rsidRDefault="00AC6848" w:rsidP="006A4856">
      <w:pPr>
        <w:pStyle w:val="Default"/>
        <w:spacing w:line="360" w:lineRule="auto"/>
        <w:rPr>
          <w:rFonts w:asciiTheme="minorHAnsi" w:hAnsiTheme="minorHAnsi" w:cstheme="minorHAnsi"/>
          <w:bCs/>
          <w:color w:val="auto"/>
        </w:rPr>
      </w:pPr>
      <w:r w:rsidRPr="00DD32E6">
        <w:rPr>
          <w:rFonts w:asciiTheme="minorHAnsi" w:hAnsiTheme="minorHAnsi" w:cstheme="minorHAnsi"/>
          <w:bCs/>
          <w:color w:val="auto"/>
        </w:rPr>
        <w:t>Of the 228,614 study participants included in the analysis, about 52% were women; in both sexes the average age at recruitment was 52 years. The majority were lifetime non-smokers (n= 129,858; 57%), both in men (n= 57,805; 53%) and women (n= 72,053; 61%), and among ever-smokers a minority were current smokers (n= 20,968; 9%), both in men (n= 11,335; 10%) and women (n= 9,633; 8%). About 11% of participants reported that a diagnosis of asthma had been made at some point during their life (table 1). When compared to all Biobank participants  not-included in this analysis, no significant differences in these factors were detected, except for age which is explained by exclusion of retired subjects (mean: 59.8, SD: 7.4) (data not shown). The overall prevalence of COPD in our sample was 8.9% corresponding to 20,289 cases (9,566 in men; 8.7%, and 10,723 in women, 9.0%).</w:t>
      </w: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hAnsiTheme="minorHAnsi" w:cstheme="minorHAnsi"/>
          <w:bCs/>
          <w:color w:val="auto"/>
        </w:rPr>
        <w:sectPr w:rsidR="00AC6848" w:rsidRPr="00DD32E6" w:rsidSect="006A4856">
          <w:footerReference w:type="default" r:id="rId9"/>
          <w:pgSz w:w="11906" w:h="16838"/>
          <w:pgMar w:top="1440" w:right="1440" w:bottom="1440" w:left="1440" w:header="708" w:footer="708" w:gutter="0"/>
          <w:cols w:space="708"/>
          <w:docGrid w:linePitch="360"/>
        </w:sectPr>
      </w:pPr>
    </w:p>
    <w:p w:rsidR="00AC6848" w:rsidRPr="00DD32E6" w:rsidRDefault="00AC6848" w:rsidP="006A4856">
      <w:pPr>
        <w:spacing w:line="240" w:lineRule="auto"/>
        <w:ind w:right="-25"/>
        <w:rPr>
          <w:sz w:val="24"/>
          <w:szCs w:val="24"/>
          <w:vertAlign w:val="superscript"/>
          <w:lang w:eastAsia="it-IT"/>
        </w:rPr>
      </w:pPr>
      <w:r w:rsidRPr="00DD32E6">
        <w:rPr>
          <w:b/>
          <w:sz w:val="24"/>
          <w:szCs w:val="24"/>
        </w:rPr>
        <w:lastRenderedPageBreak/>
        <w:t xml:space="preserve">Table </w:t>
      </w:r>
      <w:proofErr w:type="gramStart"/>
      <w:r w:rsidRPr="00DD32E6">
        <w:rPr>
          <w:b/>
          <w:sz w:val="24"/>
          <w:szCs w:val="24"/>
        </w:rPr>
        <w:t xml:space="preserve">1  </w:t>
      </w:r>
      <w:r w:rsidRPr="00DD32E6">
        <w:rPr>
          <w:sz w:val="24"/>
          <w:szCs w:val="24"/>
          <w:lang w:eastAsia="it-IT"/>
        </w:rPr>
        <w:t>Selected</w:t>
      </w:r>
      <w:proofErr w:type="gramEnd"/>
      <w:r w:rsidRPr="00DD32E6">
        <w:rPr>
          <w:sz w:val="24"/>
          <w:szCs w:val="24"/>
          <w:lang w:eastAsia="it-IT"/>
        </w:rPr>
        <w:t xml:space="preserve"> characteristics of the study participants (n= </w:t>
      </w:r>
      <w:r w:rsidRPr="00DD32E6">
        <w:rPr>
          <w:rFonts w:eastAsiaTheme="minorEastAsia" w:cstheme="minorHAnsi"/>
          <w:sz w:val="24"/>
          <w:szCs w:val="24"/>
        </w:rPr>
        <w:t xml:space="preserve">228,614), overall and by sex, in the </w:t>
      </w:r>
      <w:r w:rsidRPr="00DD32E6">
        <w:rPr>
          <w:sz w:val="24"/>
          <w:szCs w:val="24"/>
          <w:lang w:eastAsia="it-IT"/>
        </w:rPr>
        <w:t>UK Biobank study, 2006-2010, UK</w:t>
      </w:r>
      <w:r w:rsidRPr="00DD32E6">
        <w:rPr>
          <w:rFonts w:eastAsiaTheme="minorEastAsia" w:cstheme="minorHAnsi"/>
          <w:sz w:val="24"/>
          <w:szCs w:val="24"/>
        </w:rPr>
        <w:t xml:space="preserve">. </w:t>
      </w:r>
    </w:p>
    <w:tbl>
      <w:tblPr>
        <w:tblW w:w="5000" w:type="pct"/>
        <w:tblLayout w:type="fixed"/>
        <w:tblLook w:val="0000" w:firstRow="0" w:lastRow="0" w:firstColumn="0" w:lastColumn="0" w:noHBand="0" w:noVBand="0"/>
      </w:tblPr>
      <w:tblGrid>
        <w:gridCol w:w="5004"/>
        <w:gridCol w:w="1641"/>
        <w:gridCol w:w="1488"/>
        <w:gridCol w:w="1358"/>
        <w:gridCol w:w="1556"/>
        <w:gridCol w:w="1639"/>
        <w:gridCol w:w="1488"/>
      </w:tblGrid>
      <w:tr w:rsidR="00DD32E6" w:rsidRPr="00DD32E6" w:rsidTr="00966FA5">
        <w:trPr>
          <w:trHeight w:val="340"/>
        </w:trPr>
        <w:tc>
          <w:tcPr>
            <w:tcW w:w="1765" w:type="pct"/>
            <w:tcBorders>
              <w:top w:val="single" w:sz="4" w:space="0" w:color="auto"/>
              <w:bottom w:val="single" w:sz="4" w:space="0" w:color="auto"/>
            </w:tcBorders>
            <w:vAlign w:val="center"/>
          </w:tcPr>
          <w:p w:rsidR="00AC6848" w:rsidRPr="00DD32E6" w:rsidRDefault="00AC6848" w:rsidP="006A4856">
            <w:pPr>
              <w:pStyle w:val="Footer"/>
              <w:jc w:val="left"/>
              <w:rPr>
                <w:b/>
                <w:bCs/>
                <w:sz w:val="24"/>
                <w:szCs w:val="24"/>
              </w:rPr>
            </w:pPr>
            <w:r w:rsidRPr="00DD32E6">
              <w:rPr>
                <w:b/>
                <w:bCs/>
                <w:sz w:val="24"/>
                <w:szCs w:val="24"/>
              </w:rPr>
              <w:t>Characteristics</w:t>
            </w:r>
          </w:p>
        </w:tc>
        <w:tc>
          <w:tcPr>
            <w:tcW w:w="1104" w:type="pct"/>
            <w:gridSpan w:val="2"/>
            <w:tcBorders>
              <w:top w:val="single" w:sz="4" w:space="0" w:color="auto"/>
              <w:bottom w:val="single" w:sz="4" w:space="0" w:color="auto"/>
            </w:tcBorders>
            <w:vAlign w:val="center"/>
          </w:tcPr>
          <w:p w:rsidR="00AC6848" w:rsidRPr="00DD32E6" w:rsidRDefault="00AC6848" w:rsidP="006A4856">
            <w:pPr>
              <w:spacing w:after="0" w:line="240" w:lineRule="auto"/>
              <w:jc w:val="right"/>
              <w:rPr>
                <w:b/>
                <w:bCs/>
                <w:sz w:val="24"/>
                <w:szCs w:val="24"/>
              </w:rPr>
            </w:pPr>
            <w:r w:rsidRPr="00DD32E6">
              <w:rPr>
                <w:b/>
                <w:bCs/>
                <w:sz w:val="24"/>
                <w:szCs w:val="24"/>
              </w:rPr>
              <w:t>Women</w:t>
            </w:r>
          </w:p>
        </w:tc>
        <w:tc>
          <w:tcPr>
            <w:tcW w:w="1028" w:type="pct"/>
            <w:gridSpan w:val="2"/>
            <w:tcBorders>
              <w:top w:val="single" w:sz="4" w:space="0" w:color="auto"/>
              <w:bottom w:val="single" w:sz="4" w:space="0" w:color="auto"/>
            </w:tcBorders>
            <w:vAlign w:val="center"/>
          </w:tcPr>
          <w:p w:rsidR="00AC6848" w:rsidRPr="00DD32E6" w:rsidRDefault="00AC6848" w:rsidP="006A4856">
            <w:pPr>
              <w:spacing w:after="0" w:line="240" w:lineRule="auto"/>
              <w:jc w:val="right"/>
              <w:rPr>
                <w:b/>
                <w:bCs/>
                <w:sz w:val="24"/>
                <w:szCs w:val="24"/>
              </w:rPr>
            </w:pPr>
            <w:r w:rsidRPr="00DD32E6">
              <w:rPr>
                <w:b/>
                <w:bCs/>
                <w:sz w:val="24"/>
                <w:szCs w:val="24"/>
              </w:rPr>
              <w:t>Men</w:t>
            </w:r>
          </w:p>
        </w:tc>
        <w:tc>
          <w:tcPr>
            <w:tcW w:w="1103" w:type="pct"/>
            <w:gridSpan w:val="2"/>
            <w:tcBorders>
              <w:top w:val="single" w:sz="4" w:space="0" w:color="auto"/>
              <w:bottom w:val="single" w:sz="4" w:space="0" w:color="auto"/>
            </w:tcBorders>
            <w:vAlign w:val="center"/>
          </w:tcPr>
          <w:p w:rsidR="00AC6848" w:rsidRPr="00DD32E6" w:rsidRDefault="00AC6848" w:rsidP="006A4856">
            <w:pPr>
              <w:tabs>
                <w:tab w:val="decimal" w:pos="567"/>
              </w:tabs>
              <w:spacing w:after="0" w:line="240" w:lineRule="auto"/>
              <w:jc w:val="right"/>
              <w:rPr>
                <w:b/>
                <w:bCs/>
                <w:sz w:val="24"/>
                <w:szCs w:val="24"/>
              </w:rPr>
            </w:pPr>
            <w:r w:rsidRPr="00DD32E6">
              <w:rPr>
                <w:b/>
                <w:bCs/>
                <w:sz w:val="24"/>
                <w:szCs w:val="24"/>
              </w:rPr>
              <w:t>Total</w:t>
            </w:r>
          </w:p>
        </w:tc>
      </w:tr>
      <w:tr w:rsidR="00DD32E6" w:rsidRPr="00DD32E6" w:rsidTr="00966FA5">
        <w:trPr>
          <w:trHeight w:val="340"/>
        </w:trPr>
        <w:tc>
          <w:tcPr>
            <w:tcW w:w="1765" w:type="pct"/>
            <w:tcBorders>
              <w:top w:val="single" w:sz="4" w:space="0" w:color="auto"/>
              <w:bottom w:val="single" w:sz="4" w:space="0" w:color="auto"/>
            </w:tcBorders>
            <w:vAlign w:val="center"/>
          </w:tcPr>
          <w:p w:rsidR="00AC6848" w:rsidRPr="00DD32E6" w:rsidRDefault="00AC6848" w:rsidP="006A4856">
            <w:pPr>
              <w:pStyle w:val="Footer"/>
              <w:jc w:val="left"/>
              <w:rPr>
                <w:b/>
                <w:bCs/>
                <w:sz w:val="24"/>
                <w:szCs w:val="24"/>
              </w:rPr>
            </w:pPr>
          </w:p>
        </w:tc>
        <w:tc>
          <w:tcPr>
            <w:tcW w:w="579" w:type="pct"/>
            <w:tcBorders>
              <w:top w:val="single" w:sz="4" w:space="0" w:color="auto"/>
              <w:bottom w:val="single" w:sz="4" w:space="0" w:color="auto"/>
            </w:tcBorders>
            <w:vAlign w:val="center"/>
          </w:tcPr>
          <w:p w:rsidR="00AC6848" w:rsidRPr="00DD32E6" w:rsidRDefault="00AC6848" w:rsidP="006A4856">
            <w:pPr>
              <w:spacing w:after="0" w:line="240" w:lineRule="auto"/>
              <w:jc w:val="right"/>
              <w:rPr>
                <w:b/>
                <w:bCs/>
                <w:sz w:val="24"/>
                <w:szCs w:val="24"/>
              </w:rPr>
            </w:pPr>
            <w:r w:rsidRPr="00DD32E6">
              <w:rPr>
                <w:b/>
                <w:bCs/>
                <w:sz w:val="24"/>
                <w:szCs w:val="24"/>
              </w:rPr>
              <w:t>n</w:t>
            </w:r>
          </w:p>
        </w:tc>
        <w:tc>
          <w:tcPr>
            <w:tcW w:w="525" w:type="pct"/>
            <w:tcBorders>
              <w:top w:val="single" w:sz="4" w:space="0" w:color="auto"/>
              <w:bottom w:val="single" w:sz="4" w:space="0" w:color="auto"/>
            </w:tcBorders>
            <w:vAlign w:val="center"/>
          </w:tcPr>
          <w:p w:rsidR="00AC6848" w:rsidRPr="00DD32E6" w:rsidRDefault="00AC6848" w:rsidP="006A4856">
            <w:pPr>
              <w:spacing w:after="0" w:line="240" w:lineRule="auto"/>
              <w:jc w:val="right"/>
              <w:rPr>
                <w:b/>
                <w:bCs/>
                <w:sz w:val="24"/>
                <w:szCs w:val="24"/>
              </w:rPr>
            </w:pPr>
            <w:r w:rsidRPr="00DD32E6">
              <w:rPr>
                <w:b/>
                <w:bCs/>
                <w:sz w:val="24"/>
                <w:szCs w:val="24"/>
              </w:rPr>
              <w:t>%</w:t>
            </w:r>
          </w:p>
        </w:tc>
        <w:tc>
          <w:tcPr>
            <w:tcW w:w="479" w:type="pct"/>
            <w:tcBorders>
              <w:top w:val="single" w:sz="4" w:space="0" w:color="auto"/>
              <w:bottom w:val="single" w:sz="4" w:space="0" w:color="auto"/>
            </w:tcBorders>
            <w:vAlign w:val="center"/>
          </w:tcPr>
          <w:p w:rsidR="00AC6848" w:rsidRPr="00DD32E6" w:rsidRDefault="00AC6848" w:rsidP="006A4856">
            <w:pPr>
              <w:spacing w:after="0" w:line="240" w:lineRule="auto"/>
              <w:jc w:val="right"/>
              <w:rPr>
                <w:b/>
                <w:bCs/>
                <w:sz w:val="24"/>
                <w:szCs w:val="24"/>
              </w:rPr>
            </w:pPr>
            <w:r w:rsidRPr="00DD32E6">
              <w:rPr>
                <w:b/>
                <w:bCs/>
                <w:sz w:val="24"/>
                <w:szCs w:val="24"/>
              </w:rPr>
              <w:t>n</w:t>
            </w:r>
          </w:p>
        </w:tc>
        <w:tc>
          <w:tcPr>
            <w:tcW w:w="549" w:type="pct"/>
            <w:tcBorders>
              <w:top w:val="single" w:sz="4" w:space="0" w:color="auto"/>
              <w:bottom w:val="single" w:sz="4" w:space="0" w:color="auto"/>
            </w:tcBorders>
            <w:vAlign w:val="center"/>
          </w:tcPr>
          <w:p w:rsidR="00AC6848" w:rsidRPr="00DD32E6" w:rsidRDefault="00AC6848" w:rsidP="006A4856">
            <w:pPr>
              <w:spacing w:after="0" w:line="240" w:lineRule="auto"/>
              <w:jc w:val="right"/>
              <w:rPr>
                <w:b/>
                <w:bCs/>
                <w:sz w:val="24"/>
                <w:szCs w:val="24"/>
              </w:rPr>
            </w:pPr>
            <w:r w:rsidRPr="00DD32E6">
              <w:rPr>
                <w:b/>
                <w:bCs/>
                <w:sz w:val="24"/>
                <w:szCs w:val="24"/>
              </w:rPr>
              <w:t>%</w:t>
            </w:r>
          </w:p>
        </w:tc>
        <w:tc>
          <w:tcPr>
            <w:tcW w:w="578" w:type="pct"/>
            <w:tcBorders>
              <w:top w:val="single" w:sz="4" w:space="0" w:color="auto"/>
              <w:bottom w:val="single" w:sz="4" w:space="0" w:color="auto"/>
            </w:tcBorders>
            <w:vAlign w:val="center"/>
          </w:tcPr>
          <w:p w:rsidR="00AC6848" w:rsidRPr="00DD32E6" w:rsidRDefault="00AC6848" w:rsidP="006A4856">
            <w:pPr>
              <w:spacing w:after="0" w:line="240" w:lineRule="auto"/>
              <w:jc w:val="right"/>
              <w:rPr>
                <w:b/>
                <w:bCs/>
                <w:sz w:val="24"/>
                <w:szCs w:val="24"/>
              </w:rPr>
            </w:pPr>
            <w:r w:rsidRPr="00DD32E6">
              <w:rPr>
                <w:b/>
                <w:bCs/>
                <w:sz w:val="24"/>
                <w:szCs w:val="24"/>
              </w:rPr>
              <w:t>n</w:t>
            </w:r>
          </w:p>
        </w:tc>
        <w:tc>
          <w:tcPr>
            <w:tcW w:w="525" w:type="pct"/>
            <w:tcBorders>
              <w:top w:val="single" w:sz="4" w:space="0" w:color="auto"/>
              <w:bottom w:val="single" w:sz="4" w:space="0" w:color="auto"/>
            </w:tcBorders>
            <w:vAlign w:val="center"/>
          </w:tcPr>
          <w:p w:rsidR="00AC6848" w:rsidRPr="00DD32E6" w:rsidRDefault="00AC6848" w:rsidP="006A4856">
            <w:pPr>
              <w:spacing w:after="0" w:line="240" w:lineRule="auto"/>
              <w:jc w:val="right"/>
              <w:rPr>
                <w:b/>
                <w:bCs/>
                <w:sz w:val="24"/>
                <w:szCs w:val="24"/>
              </w:rPr>
            </w:pPr>
            <w:r w:rsidRPr="00DD32E6">
              <w:rPr>
                <w:b/>
                <w:bCs/>
                <w:sz w:val="24"/>
                <w:szCs w:val="24"/>
              </w:rPr>
              <w:t>%</w:t>
            </w:r>
          </w:p>
        </w:tc>
      </w:tr>
      <w:tr w:rsidR="00DD32E6" w:rsidRPr="00DD32E6" w:rsidTr="00966FA5">
        <w:trPr>
          <w:trHeight w:val="340"/>
        </w:trPr>
        <w:tc>
          <w:tcPr>
            <w:tcW w:w="1765" w:type="pct"/>
            <w:tcBorders>
              <w:top w:val="single" w:sz="4" w:space="0" w:color="auto"/>
            </w:tcBorders>
            <w:vAlign w:val="center"/>
          </w:tcPr>
          <w:p w:rsidR="00AC6848" w:rsidRPr="00DD32E6" w:rsidRDefault="00AC6848" w:rsidP="006A4856">
            <w:pPr>
              <w:spacing w:after="0" w:line="240" w:lineRule="auto"/>
              <w:jc w:val="left"/>
              <w:rPr>
                <w:b/>
                <w:sz w:val="24"/>
                <w:szCs w:val="24"/>
              </w:rPr>
            </w:pPr>
            <w:r w:rsidRPr="00DD32E6">
              <w:rPr>
                <w:b/>
                <w:sz w:val="24"/>
                <w:szCs w:val="24"/>
              </w:rPr>
              <w:t>Total, n (%)</w:t>
            </w:r>
          </w:p>
        </w:tc>
        <w:tc>
          <w:tcPr>
            <w:tcW w:w="579" w:type="pct"/>
            <w:tcBorders>
              <w:top w:val="single" w:sz="4" w:space="0" w:color="auto"/>
            </w:tcBorders>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118,518</w:t>
            </w:r>
          </w:p>
        </w:tc>
        <w:tc>
          <w:tcPr>
            <w:tcW w:w="525" w:type="pct"/>
            <w:tcBorders>
              <w:top w:val="single" w:sz="4" w:space="0" w:color="auto"/>
            </w:tcBorders>
            <w:vAlign w:val="center"/>
          </w:tcPr>
          <w:p w:rsidR="00AC6848" w:rsidRPr="00DD32E6" w:rsidRDefault="00AC6848" w:rsidP="006A4856">
            <w:pPr>
              <w:tabs>
                <w:tab w:val="decimal" w:pos="482"/>
                <w:tab w:val="decimal" w:pos="650"/>
              </w:tabs>
              <w:spacing w:after="0" w:line="240" w:lineRule="auto"/>
              <w:jc w:val="right"/>
              <w:rPr>
                <w:sz w:val="24"/>
                <w:szCs w:val="24"/>
              </w:rPr>
            </w:pPr>
            <w:r w:rsidRPr="00DD32E6">
              <w:rPr>
                <w:sz w:val="24"/>
                <w:szCs w:val="24"/>
              </w:rPr>
              <w:t>51.8</w:t>
            </w:r>
          </w:p>
        </w:tc>
        <w:tc>
          <w:tcPr>
            <w:tcW w:w="479" w:type="pct"/>
            <w:tcBorders>
              <w:top w:val="single" w:sz="4" w:space="0" w:color="auto"/>
            </w:tcBorders>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110,096</w:t>
            </w:r>
          </w:p>
        </w:tc>
        <w:tc>
          <w:tcPr>
            <w:tcW w:w="549" w:type="pct"/>
            <w:tcBorders>
              <w:top w:val="single" w:sz="4" w:space="0" w:color="auto"/>
            </w:tcBorders>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48.2</w:t>
            </w:r>
          </w:p>
        </w:tc>
        <w:tc>
          <w:tcPr>
            <w:tcW w:w="578" w:type="pct"/>
            <w:tcBorders>
              <w:top w:val="single" w:sz="4" w:space="0" w:color="auto"/>
            </w:tcBorders>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228,614</w:t>
            </w:r>
          </w:p>
        </w:tc>
        <w:tc>
          <w:tcPr>
            <w:tcW w:w="525" w:type="pct"/>
            <w:tcBorders>
              <w:top w:val="single" w:sz="4" w:space="0" w:color="auto"/>
            </w:tcBorders>
            <w:vAlign w:val="center"/>
          </w:tcPr>
          <w:p w:rsidR="00AC6848" w:rsidRPr="00DD32E6" w:rsidRDefault="00AC6848" w:rsidP="006A4856">
            <w:pPr>
              <w:tabs>
                <w:tab w:val="decimal" w:pos="428"/>
              </w:tabs>
              <w:spacing w:after="0" w:line="240" w:lineRule="auto"/>
              <w:jc w:val="right"/>
              <w:rPr>
                <w:sz w:val="24"/>
                <w:szCs w:val="24"/>
              </w:rPr>
            </w:pPr>
            <w:r w:rsidRPr="00DD32E6">
              <w:rPr>
                <w:sz w:val="24"/>
                <w:szCs w:val="24"/>
              </w:rPr>
              <w:t>100</w:t>
            </w:r>
          </w:p>
        </w:tc>
      </w:tr>
      <w:tr w:rsidR="00DD32E6" w:rsidRPr="00DD32E6" w:rsidTr="00966FA5">
        <w:trPr>
          <w:trHeight w:val="340"/>
        </w:trPr>
        <w:tc>
          <w:tcPr>
            <w:tcW w:w="1765" w:type="pct"/>
            <w:vAlign w:val="center"/>
          </w:tcPr>
          <w:p w:rsidR="00AC6848" w:rsidRPr="00DD32E6" w:rsidRDefault="00AC6848" w:rsidP="006A4856">
            <w:pPr>
              <w:spacing w:after="0" w:line="240" w:lineRule="auto"/>
              <w:jc w:val="left"/>
              <w:rPr>
                <w:b/>
                <w:sz w:val="24"/>
                <w:szCs w:val="24"/>
              </w:rPr>
            </w:pPr>
            <w:r w:rsidRPr="00DD32E6">
              <w:rPr>
                <w:b/>
                <w:sz w:val="24"/>
                <w:szCs w:val="24"/>
              </w:rPr>
              <w:t>Age category (years), n (%)</w:t>
            </w:r>
          </w:p>
        </w:tc>
        <w:tc>
          <w:tcPr>
            <w:tcW w:w="579" w:type="pct"/>
            <w:vAlign w:val="center"/>
          </w:tcPr>
          <w:p w:rsidR="00AC6848" w:rsidRPr="00DD32E6" w:rsidRDefault="00AC6848" w:rsidP="006A4856">
            <w:pPr>
              <w:tabs>
                <w:tab w:val="decimal" w:pos="650"/>
              </w:tabs>
              <w:spacing w:after="0" w:line="240" w:lineRule="auto"/>
              <w:jc w:val="right"/>
              <w:rPr>
                <w:sz w:val="24"/>
                <w:szCs w:val="24"/>
              </w:rPr>
            </w:pPr>
          </w:p>
        </w:tc>
        <w:tc>
          <w:tcPr>
            <w:tcW w:w="525" w:type="pct"/>
            <w:vAlign w:val="center"/>
          </w:tcPr>
          <w:p w:rsidR="00AC6848" w:rsidRPr="00DD32E6" w:rsidRDefault="00AC6848" w:rsidP="006A4856">
            <w:pPr>
              <w:tabs>
                <w:tab w:val="decimal" w:pos="482"/>
                <w:tab w:val="decimal" w:pos="650"/>
              </w:tabs>
              <w:spacing w:after="0" w:line="240" w:lineRule="auto"/>
              <w:jc w:val="right"/>
              <w:rPr>
                <w:sz w:val="24"/>
                <w:szCs w:val="24"/>
              </w:rPr>
            </w:pPr>
          </w:p>
        </w:tc>
        <w:tc>
          <w:tcPr>
            <w:tcW w:w="479" w:type="pct"/>
            <w:vAlign w:val="center"/>
          </w:tcPr>
          <w:p w:rsidR="00AC6848" w:rsidRPr="00DD32E6" w:rsidRDefault="00AC6848" w:rsidP="006A4856">
            <w:pPr>
              <w:tabs>
                <w:tab w:val="decimal" w:pos="493"/>
                <w:tab w:val="decimal" w:pos="650"/>
              </w:tabs>
              <w:spacing w:after="0" w:line="240" w:lineRule="auto"/>
              <w:jc w:val="center"/>
              <w:rPr>
                <w:sz w:val="24"/>
                <w:szCs w:val="24"/>
              </w:rPr>
            </w:pPr>
          </w:p>
        </w:tc>
        <w:tc>
          <w:tcPr>
            <w:tcW w:w="549" w:type="pct"/>
            <w:vAlign w:val="center"/>
          </w:tcPr>
          <w:p w:rsidR="00AC6848" w:rsidRPr="00DD32E6" w:rsidRDefault="00AC6848" w:rsidP="006A4856">
            <w:pPr>
              <w:tabs>
                <w:tab w:val="decimal" w:pos="416"/>
                <w:tab w:val="decimal" w:pos="650"/>
              </w:tabs>
              <w:spacing w:after="0" w:line="240" w:lineRule="auto"/>
              <w:jc w:val="center"/>
              <w:rPr>
                <w:sz w:val="24"/>
                <w:szCs w:val="24"/>
              </w:rPr>
            </w:pPr>
          </w:p>
        </w:tc>
        <w:tc>
          <w:tcPr>
            <w:tcW w:w="578" w:type="pct"/>
            <w:vAlign w:val="center"/>
          </w:tcPr>
          <w:p w:rsidR="00AC6848" w:rsidRPr="00DD32E6" w:rsidRDefault="00AC6848" w:rsidP="006A4856">
            <w:pPr>
              <w:tabs>
                <w:tab w:val="decimal" w:pos="650"/>
              </w:tabs>
              <w:spacing w:after="0" w:line="240" w:lineRule="auto"/>
              <w:jc w:val="center"/>
              <w:rPr>
                <w:sz w:val="24"/>
                <w:szCs w:val="24"/>
              </w:rPr>
            </w:pPr>
          </w:p>
        </w:tc>
        <w:tc>
          <w:tcPr>
            <w:tcW w:w="525" w:type="pct"/>
            <w:vAlign w:val="center"/>
          </w:tcPr>
          <w:p w:rsidR="00AC6848" w:rsidRPr="00DD32E6" w:rsidRDefault="00AC6848" w:rsidP="006A4856">
            <w:pPr>
              <w:tabs>
                <w:tab w:val="decimal" w:pos="428"/>
              </w:tabs>
              <w:spacing w:after="0" w:line="240" w:lineRule="auto"/>
              <w:jc w:val="center"/>
              <w:rPr>
                <w:sz w:val="24"/>
                <w:szCs w:val="24"/>
              </w:rPr>
            </w:pPr>
          </w:p>
        </w:tc>
      </w:tr>
      <w:tr w:rsidR="00DD32E6" w:rsidRPr="00DD32E6" w:rsidTr="00966FA5">
        <w:trPr>
          <w:trHeight w:val="340"/>
        </w:trPr>
        <w:tc>
          <w:tcPr>
            <w:tcW w:w="1765" w:type="pct"/>
            <w:vAlign w:val="center"/>
          </w:tcPr>
          <w:p w:rsidR="00AC6848" w:rsidRPr="00DD32E6" w:rsidRDefault="00AC6848" w:rsidP="006A4856">
            <w:pPr>
              <w:spacing w:after="0" w:line="240" w:lineRule="auto"/>
              <w:ind w:firstLine="142"/>
              <w:jc w:val="left"/>
              <w:rPr>
                <w:bCs/>
                <w:sz w:val="24"/>
                <w:szCs w:val="24"/>
              </w:rPr>
            </w:pPr>
            <w:r w:rsidRPr="00DD32E6">
              <w:rPr>
                <w:bCs/>
                <w:sz w:val="24"/>
                <w:szCs w:val="24"/>
              </w:rPr>
              <w:t>35-39</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0</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0.0</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2</w:t>
            </w:r>
          </w:p>
        </w:tc>
        <w:tc>
          <w:tcPr>
            <w:tcW w:w="54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0.0</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0.0</w:t>
            </w:r>
          </w:p>
        </w:tc>
      </w:tr>
      <w:tr w:rsidR="00DD32E6" w:rsidRPr="00DD32E6" w:rsidTr="00966FA5">
        <w:trPr>
          <w:trHeight w:val="340"/>
        </w:trPr>
        <w:tc>
          <w:tcPr>
            <w:tcW w:w="1765" w:type="pct"/>
            <w:vAlign w:val="center"/>
          </w:tcPr>
          <w:p w:rsidR="00AC6848" w:rsidRPr="00DD32E6" w:rsidRDefault="00AC6848" w:rsidP="006A4856">
            <w:pPr>
              <w:spacing w:after="0" w:line="240" w:lineRule="auto"/>
              <w:ind w:firstLine="142"/>
              <w:jc w:val="left"/>
              <w:rPr>
                <w:bCs/>
                <w:sz w:val="24"/>
                <w:szCs w:val="24"/>
              </w:rPr>
            </w:pPr>
            <w:r w:rsidRPr="00DD32E6">
              <w:rPr>
                <w:bCs/>
                <w:sz w:val="24"/>
                <w:szCs w:val="24"/>
              </w:rPr>
              <w:t>40-44</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18,708</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15.8</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17,667</w:t>
            </w:r>
          </w:p>
        </w:tc>
        <w:tc>
          <w:tcPr>
            <w:tcW w:w="54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16.1</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36,375</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15.9</w:t>
            </w:r>
          </w:p>
        </w:tc>
      </w:tr>
      <w:tr w:rsidR="00DD32E6" w:rsidRPr="00DD32E6" w:rsidTr="00966FA5">
        <w:trPr>
          <w:trHeight w:val="340"/>
        </w:trPr>
        <w:tc>
          <w:tcPr>
            <w:tcW w:w="1765" w:type="pct"/>
            <w:vAlign w:val="center"/>
          </w:tcPr>
          <w:p w:rsidR="00AC6848" w:rsidRPr="00DD32E6" w:rsidRDefault="00AC6848" w:rsidP="006A4856">
            <w:pPr>
              <w:spacing w:after="0" w:line="240" w:lineRule="auto"/>
              <w:ind w:firstLine="142"/>
              <w:jc w:val="left"/>
              <w:rPr>
                <w:bCs/>
                <w:sz w:val="24"/>
                <w:szCs w:val="24"/>
              </w:rPr>
            </w:pPr>
            <w:r w:rsidRPr="00DD32E6">
              <w:rPr>
                <w:bCs/>
                <w:sz w:val="24"/>
                <w:szCs w:val="24"/>
              </w:rPr>
              <w:t>45-49</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25,374</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21.4</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21, 255</w:t>
            </w:r>
          </w:p>
        </w:tc>
        <w:tc>
          <w:tcPr>
            <w:tcW w:w="54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19.3</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46,629</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20.4</w:t>
            </w:r>
          </w:p>
        </w:tc>
      </w:tr>
      <w:tr w:rsidR="00DD32E6" w:rsidRPr="00DD32E6" w:rsidTr="00966FA5">
        <w:trPr>
          <w:trHeight w:val="340"/>
        </w:trPr>
        <w:tc>
          <w:tcPr>
            <w:tcW w:w="1765" w:type="pct"/>
            <w:vAlign w:val="center"/>
          </w:tcPr>
          <w:p w:rsidR="00AC6848" w:rsidRPr="00DD32E6" w:rsidRDefault="00AC6848" w:rsidP="006A4856">
            <w:pPr>
              <w:spacing w:after="0" w:line="240" w:lineRule="auto"/>
              <w:ind w:firstLine="142"/>
              <w:jc w:val="left"/>
              <w:rPr>
                <w:bCs/>
                <w:sz w:val="24"/>
                <w:szCs w:val="24"/>
              </w:rPr>
            </w:pPr>
            <w:r w:rsidRPr="00DD32E6">
              <w:rPr>
                <w:bCs/>
                <w:sz w:val="24"/>
                <w:szCs w:val="24"/>
              </w:rPr>
              <w:t>50-54</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28,561</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24.1</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22,813</w:t>
            </w:r>
          </w:p>
        </w:tc>
        <w:tc>
          <w:tcPr>
            <w:tcW w:w="54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20.7</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51, 374</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22.5</w:t>
            </w:r>
          </w:p>
        </w:tc>
      </w:tr>
      <w:tr w:rsidR="00DD32E6" w:rsidRPr="00DD32E6" w:rsidTr="00966FA5">
        <w:trPr>
          <w:trHeight w:val="340"/>
        </w:trPr>
        <w:tc>
          <w:tcPr>
            <w:tcW w:w="1765" w:type="pct"/>
            <w:vAlign w:val="center"/>
          </w:tcPr>
          <w:p w:rsidR="00AC6848" w:rsidRPr="00DD32E6" w:rsidRDefault="00AC6848" w:rsidP="006A4856">
            <w:pPr>
              <w:spacing w:after="0" w:line="240" w:lineRule="auto"/>
              <w:ind w:firstLine="142"/>
              <w:jc w:val="left"/>
              <w:rPr>
                <w:bCs/>
                <w:sz w:val="24"/>
                <w:szCs w:val="24"/>
              </w:rPr>
            </w:pPr>
            <w:r w:rsidRPr="00DD32E6">
              <w:rPr>
                <w:bCs/>
                <w:sz w:val="24"/>
                <w:szCs w:val="24"/>
              </w:rPr>
              <w:t>55-59</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27,099</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22.9</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23,135</w:t>
            </w:r>
          </w:p>
        </w:tc>
        <w:tc>
          <w:tcPr>
            <w:tcW w:w="54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21.0</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50,234</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22.0</w:t>
            </w:r>
          </w:p>
        </w:tc>
      </w:tr>
      <w:tr w:rsidR="00DD32E6" w:rsidRPr="00DD32E6" w:rsidTr="00966FA5">
        <w:trPr>
          <w:trHeight w:val="340"/>
        </w:trPr>
        <w:tc>
          <w:tcPr>
            <w:tcW w:w="1765" w:type="pct"/>
            <w:vAlign w:val="center"/>
          </w:tcPr>
          <w:p w:rsidR="00AC6848" w:rsidRPr="00DD32E6" w:rsidRDefault="00AC6848" w:rsidP="006A4856">
            <w:pPr>
              <w:spacing w:after="0" w:line="240" w:lineRule="auto"/>
              <w:ind w:firstLine="142"/>
              <w:jc w:val="left"/>
              <w:rPr>
                <w:bCs/>
                <w:sz w:val="24"/>
                <w:szCs w:val="24"/>
              </w:rPr>
            </w:pPr>
            <w:r w:rsidRPr="00DD32E6">
              <w:rPr>
                <w:bCs/>
                <w:sz w:val="24"/>
                <w:szCs w:val="24"/>
              </w:rPr>
              <w:t>60-64</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15,104</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12.7</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19, 890</w:t>
            </w:r>
          </w:p>
        </w:tc>
        <w:tc>
          <w:tcPr>
            <w:tcW w:w="54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18.1</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34,994</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15.3</w:t>
            </w:r>
          </w:p>
        </w:tc>
      </w:tr>
      <w:tr w:rsidR="00DD32E6" w:rsidRPr="00DD32E6" w:rsidTr="00966FA5">
        <w:trPr>
          <w:trHeight w:val="340"/>
        </w:trPr>
        <w:tc>
          <w:tcPr>
            <w:tcW w:w="1765" w:type="pct"/>
            <w:vAlign w:val="center"/>
          </w:tcPr>
          <w:p w:rsidR="00AC6848" w:rsidRPr="00DD32E6" w:rsidRDefault="00AC6848" w:rsidP="006A4856">
            <w:pPr>
              <w:spacing w:after="0" w:line="240" w:lineRule="auto"/>
              <w:ind w:firstLine="142"/>
              <w:jc w:val="left"/>
              <w:rPr>
                <w:bCs/>
                <w:sz w:val="24"/>
                <w:szCs w:val="24"/>
              </w:rPr>
            </w:pPr>
            <w:r w:rsidRPr="00DD32E6">
              <w:rPr>
                <w:bCs/>
                <w:sz w:val="24"/>
                <w:szCs w:val="24"/>
              </w:rPr>
              <w:t>65-69</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3,618</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3.1</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5,237</w:t>
            </w:r>
          </w:p>
        </w:tc>
        <w:tc>
          <w:tcPr>
            <w:tcW w:w="54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4.8</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8,855</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3.9</w:t>
            </w:r>
          </w:p>
        </w:tc>
      </w:tr>
      <w:tr w:rsidR="00DD32E6" w:rsidRPr="00DD32E6" w:rsidTr="00966FA5">
        <w:trPr>
          <w:trHeight w:val="340"/>
        </w:trPr>
        <w:tc>
          <w:tcPr>
            <w:tcW w:w="1765" w:type="pct"/>
            <w:vAlign w:val="center"/>
          </w:tcPr>
          <w:p w:rsidR="00AC6848" w:rsidRPr="00DD32E6" w:rsidRDefault="00AC6848" w:rsidP="006A4856">
            <w:pPr>
              <w:spacing w:after="0" w:line="240" w:lineRule="auto"/>
              <w:ind w:firstLine="142"/>
              <w:jc w:val="left"/>
              <w:rPr>
                <w:bCs/>
                <w:sz w:val="24"/>
                <w:szCs w:val="24"/>
              </w:rPr>
            </w:pPr>
            <w:r w:rsidRPr="00DD32E6">
              <w:rPr>
                <w:bCs/>
                <w:sz w:val="24"/>
                <w:szCs w:val="24"/>
              </w:rPr>
              <w:t>70-74</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54</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0.1</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97</w:t>
            </w:r>
          </w:p>
        </w:tc>
        <w:tc>
          <w:tcPr>
            <w:tcW w:w="54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0.1</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151</w:t>
            </w:r>
          </w:p>
        </w:tc>
        <w:tc>
          <w:tcPr>
            <w:tcW w:w="525"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0.1</w:t>
            </w:r>
          </w:p>
        </w:tc>
      </w:tr>
      <w:tr w:rsidR="00DD32E6" w:rsidRPr="00DD32E6" w:rsidTr="00966FA5">
        <w:trPr>
          <w:trHeight w:val="340"/>
        </w:trPr>
        <w:tc>
          <w:tcPr>
            <w:tcW w:w="1765" w:type="pct"/>
            <w:vAlign w:val="center"/>
          </w:tcPr>
          <w:p w:rsidR="00AC6848" w:rsidRPr="00DD32E6" w:rsidRDefault="00AC6848" w:rsidP="006A4856">
            <w:pPr>
              <w:spacing w:after="0" w:line="240" w:lineRule="auto"/>
              <w:jc w:val="left"/>
              <w:rPr>
                <w:b/>
                <w:bCs/>
                <w:sz w:val="24"/>
                <w:szCs w:val="24"/>
              </w:rPr>
            </w:pPr>
            <w:r w:rsidRPr="00DD32E6">
              <w:rPr>
                <w:b/>
                <w:bCs/>
                <w:sz w:val="24"/>
                <w:szCs w:val="24"/>
              </w:rPr>
              <w:t>Age (years)</w:t>
            </w:r>
          </w:p>
        </w:tc>
        <w:tc>
          <w:tcPr>
            <w:tcW w:w="579" w:type="pct"/>
            <w:vAlign w:val="center"/>
          </w:tcPr>
          <w:p w:rsidR="00AC6848" w:rsidRPr="00DD32E6" w:rsidRDefault="00AC6848" w:rsidP="006A4856">
            <w:pPr>
              <w:tabs>
                <w:tab w:val="decimal" w:pos="650"/>
              </w:tabs>
              <w:spacing w:after="0" w:line="240" w:lineRule="auto"/>
              <w:jc w:val="right"/>
              <w:rPr>
                <w:sz w:val="24"/>
                <w:szCs w:val="24"/>
              </w:rPr>
            </w:pPr>
          </w:p>
        </w:tc>
        <w:tc>
          <w:tcPr>
            <w:tcW w:w="525" w:type="pct"/>
            <w:vAlign w:val="center"/>
          </w:tcPr>
          <w:p w:rsidR="00AC6848" w:rsidRPr="00DD32E6" w:rsidRDefault="00AC6848" w:rsidP="006A4856">
            <w:pPr>
              <w:tabs>
                <w:tab w:val="decimal" w:pos="482"/>
                <w:tab w:val="decimal" w:pos="650"/>
              </w:tabs>
              <w:spacing w:after="0" w:line="240" w:lineRule="auto"/>
              <w:jc w:val="right"/>
              <w:rPr>
                <w:sz w:val="24"/>
                <w:szCs w:val="24"/>
              </w:rPr>
            </w:pP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p>
        </w:tc>
        <w:tc>
          <w:tcPr>
            <w:tcW w:w="549" w:type="pct"/>
            <w:vAlign w:val="center"/>
          </w:tcPr>
          <w:p w:rsidR="00AC6848" w:rsidRPr="00DD32E6" w:rsidRDefault="00AC6848" w:rsidP="006A4856">
            <w:pPr>
              <w:tabs>
                <w:tab w:val="decimal" w:pos="416"/>
                <w:tab w:val="decimal" w:pos="650"/>
              </w:tabs>
              <w:spacing w:after="0" w:line="240" w:lineRule="auto"/>
              <w:jc w:val="right"/>
              <w:rPr>
                <w:sz w:val="24"/>
                <w:szCs w:val="24"/>
              </w:rPr>
            </w:pPr>
          </w:p>
        </w:tc>
        <w:tc>
          <w:tcPr>
            <w:tcW w:w="578" w:type="pct"/>
            <w:vAlign w:val="center"/>
          </w:tcPr>
          <w:p w:rsidR="00AC6848" w:rsidRPr="00DD32E6" w:rsidRDefault="00AC6848" w:rsidP="006A4856">
            <w:pPr>
              <w:tabs>
                <w:tab w:val="decimal" w:pos="650"/>
              </w:tabs>
              <w:spacing w:after="0" w:line="240" w:lineRule="auto"/>
              <w:jc w:val="right"/>
              <w:rPr>
                <w:sz w:val="24"/>
                <w:szCs w:val="24"/>
              </w:rPr>
            </w:pPr>
          </w:p>
        </w:tc>
        <w:tc>
          <w:tcPr>
            <w:tcW w:w="525" w:type="pct"/>
            <w:vAlign w:val="center"/>
          </w:tcPr>
          <w:p w:rsidR="00AC6848" w:rsidRPr="00DD32E6" w:rsidRDefault="00AC6848" w:rsidP="006A4856">
            <w:pPr>
              <w:tabs>
                <w:tab w:val="decimal" w:pos="428"/>
              </w:tabs>
              <w:spacing w:after="0" w:line="240" w:lineRule="auto"/>
              <w:jc w:val="right"/>
              <w:rPr>
                <w:sz w:val="24"/>
                <w:szCs w:val="24"/>
              </w:rPr>
            </w:pPr>
          </w:p>
        </w:tc>
      </w:tr>
      <w:tr w:rsidR="00DD32E6" w:rsidRPr="00DD32E6" w:rsidTr="00966FA5">
        <w:trPr>
          <w:trHeight w:val="340"/>
        </w:trPr>
        <w:tc>
          <w:tcPr>
            <w:tcW w:w="1765" w:type="pct"/>
            <w:vAlign w:val="center"/>
          </w:tcPr>
          <w:p w:rsidR="00AC6848" w:rsidRPr="00DD32E6" w:rsidRDefault="00AC6848" w:rsidP="006A4856">
            <w:pPr>
              <w:spacing w:after="0" w:line="240" w:lineRule="auto"/>
              <w:jc w:val="left"/>
              <w:rPr>
                <w:bCs/>
                <w:sz w:val="24"/>
                <w:szCs w:val="24"/>
              </w:rPr>
            </w:pPr>
            <w:r w:rsidRPr="00DD32E6">
              <w:rPr>
                <w:bCs/>
                <w:sz w:val="24"/>
                <w:szCs w:val="24"/>
              </w:rPr>
              <w:t>Mean (SD)</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52.22</w:t>
            </w:r>
          </w:p>
        </w:tc>
        <w:tc>
          <w:tcPr>
            <w:tcW w:w="525" w:type="pct"/>
            <w:vAlign w:val="center"/>
          </w:tcPr>
          <w:p w:rsidR="00AC6848" w:rsidRPr="00DD32E6" w:rsidRDefault="00AC6848" w:rsidP="006A4856">
            <w:pPr>
              <w:tabs>
                <w:tab w:val="decimal" w:pos="482"/>
                <w:tab w:val="decimal" w:pos="650"/>
              </w:tabs>
              <w:spacing w:after="0" w:line="240" w:lineRule="auto"/>
              <w:jc w:val="right"/>
              <w:rPr>
                <w:sz w:val="24"/>
                <w:szCs w:val="24"/>
              </w:rPr>
            </w:pPr>
            <w:r w:rsidRPr="00DD32E6">
              <w:rPr>
                <w:sz w:val="24"/>
                <w:szCs w:val="24"/>
              </w:rPr>
              <w:t>(6.76)</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52.99</w:t>
            </w:r>
          </w:p>
        </w:tc>
        <w:tc>
          <w:tcPr>
            <w:tcW w:w="549"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(7.32)</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52.59</w:t>
            </w:r>
          </w:p>
        </w:tc>
        <w:tc>
          <w:tcPr>
            <w:tcW w:w="525" w:type="pct"/>
            <w:vAlign w:val="center"/>
          </w:tcPr>
          <w:p w:rsidR="00AC6848" w:rsidRPr="00DD32E6" w:rsidRDefault="00AC6848" w:rsidP="006A4856">
            <w:pPr>
              <w:tabs>
                <w:tab w:val="decimal" w:pos="428"/>
              </w:tabs>
              <w:spacing w:after="0" w:line="240" w:lineRule="auto"/>
              <w:jc w:val="right"/>
              <w:rPr>
                <w:sz w:val="24"/>
                <w:szCs w:val="24"/>
              </w:rPr>
            </w:pPr>
            <w:r w:rsidRPr="00DD32E6">
              <w:rPr>
                <w:sz w:val="24"/>
                <w:szCs w:val="24"/>
              </w:rPr>
              <w:t>(7.04)</w:t>
            </w:r>
          </w:p>
        </w:tc>
      </w:tr>
      <w:tr w:rsidR="00DD32E6" w:rsidRPr="00DD32E6" w:rsidTr="00966FA5">
        <w:trPr>
          <w:trHeight w:val="340"/>
        </w:trPr>
        <w:tc>
          <w:tcPr>
            <w:tcW w:w="1765" w:type="pct"/>
            <w:vAlign w:val="center"/>
          </w:tcPr>
          <w:p w:rsidR="00AC6848" w:rsidRPr="00DD32E6" w:rsidRDefault="00AC6848" w:rsidP="006A4856">
            <w:pPr>
              <w:spacing w:after="0" w:line="240" w:lineRule="auto"/>
              <w:jc w:val="left"/>
              <w:rPr>
                <w:b/>
                <w:sz w:val="24"/>
                <w:szCs w:val="24"/>
              </w:rPr>
            </w:pPr>
            <w:r w:rsidRPr="00DD32E6">
              <w:rPr>
                <w:b/>
                <w:sz w:val="24"/>
                <w:szCs w:val="24"/>
              </w:rPr>
              <w:t>Smoking status, n (%)</w:t>
            </w:r>
          </w:p>
        </w:tc>
        <w:tc>
          <w:tcPr>
            <w:tcW w:w="579" w:type="pct"/>
            <w:vAlign w:val="center"/>
          </w:tcPr>
          <w:p w:rsidR="00AC6848" w:rsidRPr="00DD32E6" w:rsidRDefault="00AC6848" w:rsidP="006A4856">
            <w:pPr>
              <w:tabs>
                <w:tab w:val="decimal" w:pos="650"/>
              </w:tabs>
              <w:spacing w:after="0" w:line="240" w:lineRule="auto"/>
              <w:jc w:val="right"/>
              <w:rPr>
                <w:sz w:val="24"/>
                <w:szCs w:val="24"/>
              </w:rPr>
            </w:pPr>
          </w:p>
        </w:tc>
        <w:tc>
          <w:tcPr>
            <w:tcW w:w="525" w:type="pct"/>
            <w:vAlign w:val="center"/>
          </w:tcPr>
          <w:p w:rsidR="00AC6848" w:rsidRPr="00DD32E6" w:rsidRDefault="00AC6848" w:rsidP="006A4856">
            <w:pPr>
              <w:tabs>
                <w:tab w:val="decimal" w:pos="482"/>
                <w:tab w:val="decimal" w:pos="650"/>
              </w:tabs>
              <w:spacing w:after="0" w:line="240" w:lineRule="auto"/>
              <w:jc w:val="right"/>
              <w:rPr>
                <w:sz w:val="24"/>
                <w:szCs w:val="24"/>
              </w:rPr>
            </w:pP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p>
        </w:tc>
        <w:tc>
          <w:tcPr>
            <w:tcW w:w="549" w:type="pct"/>
            <w:vAlign w:val="center"/>
          </w:tcPr>
          <w:p w:rsidR="00AC6848" w:rsidRPr="00DD32E6" w:rsidRDefault="00AC6848" w:rsidP="006A4856">
            <w:pPr>
              <w:tabs>
                <w:tab w:val="decimal" w:pos="416"/>
                <w:tab w:val="decimal" w:pos="650"/>
              </w:tabs>
              <w:spacing w:after="0" w:line="240" w:lineRule="auto"/>
              <w:jc w:val="right"/>
              <w:rPr>
                <w:sz w:val="24"/>
                <w:szCs w:val="24"/>
              </w:rPr>
            </w:pPr>
          </w:p>
        </w:tc>
        <w:tc>
          <w:tcPr>
            <w:tcW w:w="578" w:type="pct"/>
            <w:vAlign w:val="center"/>
          </w:tcPr>
          <w:p w:rsidR="00AC6848" w:rsidRPr="00DD32E6" w:rsidRDefault="00AC6848" w:rsidP="006A4856">
            <w:pPr>
              <w:tabs>
                <w:tab w:val="decimal" w:pos="650"/>
              </w:tabs>
              <w:spacing w:after="0" w:line="240" w:lineRule="auto"/>
              <w:jc w:val="right"/>
              <w:rPr>
                <w:sz w:val="24"/>
                <w:szCs w:val="24"/>
              </w:rPr>
            </w:pPr>
          </w:p>
        </w:tc>
        <w:tc>
          <w:tcPr>
            <w:tcW w:w="525" w:type="pct"/>
            <w:vAlign w:val="center"/>
          </w:tcPr>
          <w:p w:rsidR="00AC6848" w:rsidRPr="00DD32E6" w:rsidRDefault="00AC6848" w:rsidP="006A4856">
            <w:pPr>
              <w:tabs>
                <w:tab w:val="decimal" w:pos="406"/>
              </w:tabs>
              <w:spacing w:after="0" w:line="240" w:lineRule="auto"/>
              <w:jc w:val="right"/>
              <w:rPr>
                <w:sz w:val="24"/>
                <w:szCs w:val="24"/>
              </w:rPr>
            </w:pPr>
          </w:p>
        </w:tc>
      </w:tr>
      <w:tr w:rsidR="00DD32E6" w:rsidRPr="00DD32E6" w:rsidTr="00966FA5">
        <w:trPr>
          <w:trHeight w:val="340"/>
        </w:trPr>
        <w:tc>
          <w:tcPr>
            <w:tcW w:w="1765" w:type="pct"/>
            <w:vAlign w:val="center"/>
          </w:tcPr>
          <w:p w:rsidR="00AC6848" w:rsidRPr="00DD32E6" w:rsidRDefault="00AC6848" w:rsidP="006A4856">
            <w:pPr>
              <w:spacing w:after="0" w:line="240" w:lineRule="auto"/>
              <w:jc w:val="left"/>
              <w:rPr>
                <w:bCs/>
                <w:sz w:val="24"/>
                <w:szCs w:val="24"/>
              </w:rPr>
            </w:pPr>
            <w:r w:rsidRPr="00DD32E6">
              <w:rPr>
                <w:bCs/>
                <w:sz w:val="24"/>
                <w:szCs w:val="24"/>
              </w:rPr>
              <w:t>Never</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72,053</w:t>
            </w:r>
          </w:p>
        </w:tc>
        <w:tc>
          <w:tcPr>
            <w:tcW w:w="525"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60.8</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57,805</w:t>
            </w:r>
          </w:p>
        </w:tc>
        <w:tc>
          <w:tcPr>
            <w:tcW w:w="549"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52.5</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129, 858</w:t>
            </w:r>
          </w:p>
        </w:tc>
        <w:tc>
          <w:tcPr>
            <w:tcW w:w="525"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56.8</w:t>
            </w:r>
          </w:p>
        </w:tc>
      </w:tr>
      <w:tr w:rsidR="00DD32E6" w:rsidRPr="00DD32E6" w:rsidTr="00966FA5">
        <w:trPr>
          <w:trHeight w:val="340"/>
        </w:trPr>
        <w:tc>
          <w:tcPr>
            <w:tcW w:w="1765" w:type="pct"/>
            <w:vAlign w:val="center"/>
          </w:tcPr>
          <w:p w:rsidR="00AC6848" w:rsidRPr="00DD32E6" w:rsidRDefault="00AC6848" w:rsidP="006A4856">
            <w:pPr>
              <w:spacing w:after="0" w:line="240" w:lineRule="auto"/>
              <w:jc w:val="left"/>
              <w:rPr>
                <w:bCs/>
                <w:sz w:val="24"/>
                <w:szCs w:val="24"/>
              </w:rPr>
            </w:pPr>
            <w:r w:rsidRPr="00DD32E6">
              <w:rPr>
                <w:bCs/>
                <w:sz w:val="24"/>
                <w:szCs w:val="24"/>
              </w:rPr>
              <w:t>Former (quit &gt;6 months ago)</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34,838</w:t>
            </w:r>
          </w:p>
        </w:tc>
        <w:tc>
          <w:tcPr>
            <w:tcW w:w="525"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29.4</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39,647</w:t>
            </w:r>
          </w:p>
        </w:tc>
        <w:tc>
          <w:tcPr>
            <w:tcW w:w="549"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36.0</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74, 485</w:t>
            </w:r>
          </w:p>
        </w:tc>
        <w:tc>
          <w:tcPr>
            <w:tcW w:w="525"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32.6</w:t>
            </w:r>
          </w:p>
        </w:tc>
      </w:tr>
      <w:tr w:rsidR="00DD32E6" w:rsidRPr="00DD32E6" w:rsidTr="00966FA5">
        <w:trPr>
          <w:trHeight w:val="340"/>
        </w:trPr>
        <w:tc>
          <w:tcPr>
            <w:tcW w:w="1765" w:type="pct"/>
            <w:vAlign w:val="center"/>
          </w:tcPr>
          <w:p w:rsidR="00AC6848" w:rsidRPr="00DD32E6" w:rsidRDefault="00AC6848" w:rsidP="006A4856">
            <w:pPr>
              <w:spacing w:after="0" w:line="240" w:lineRule="auto"/>
              <w:jc w:val="left"/>
              <w:rPr>
                <w:bCs/>
                <w:sz w:val="24"/>
                <w:szCs w:val="24"/>
              </w:rPr>
            </w:pPr>
            <w:r w:rsidRPr="00DD32E6">
              <w:rPr>
                <w:bCs/>
                <w:sz w:val="24"/>
                <w:szCs w:val="24"/>
              </w:rPr>
              <w:t>Current</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9,633</w:t>
            </w:r>
          </w:p>
        </w:tc>
        <w:tc>
          <w:tcPr>
            <w:tcW w:w="525"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8.1</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11,335</w:t>
            </w:r>
          </w:p>
        </w:tc>
        <w:tc>
          <w:tcPr>
            <w:tcW w:w="549"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10.3</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20,968</w:t>
            </w:r>
          </w:p>
        </w:tc>
        <w:tc>
          <w:tcPr>
            <w:tcW w:w="525"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9.2</w:t>
            </w:r>
          </w:p>
        </w:tc>
      </w:tr>
      <w:tr w:rsidR="00DD32E6" w:rsidRPr="00DD32E6" w:rsidTr="00966FA5">
        <w:trPr>
          <w:trHeight w:val="340"/>
        </w:trPr>
        <w:tc>
          <w:tcPr>
            <w:tcW w:w="1765" w:type="pct"/>
            <w:vAlign w:val="center"/>
          </w:tcPr>
          <w:p w:rsidR="00AC6848" w:rsidRPr="00DD32E6" w:rsidRDefault="00AC6848" w:rsidP="006A4856">
            <w:pPr>
              <w:spacing w:after="0" w:line="240" w:lineRule="auto"/>
              <w:jc w:val="left"/>
              <w:rPr>
                <w:bCs/>
                <w:sz w:val="24"/>
                <w:szCs w:val="24"/>
              </w:rPr>
            </w:pPr>
            <w:r w:rsidRPr="00DD32E6">
              <w:rPr>
                <w:bCs/>
                <w:sz w:val="24"/>
                <w:szCs w:val="24"/>
              </w:rPr>
              <w:t>Unknown</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1,994</w:t>
            </w:r>
          </w:p>
        </w:tc>
        <w:tc>
          <w:tcPr>
            <w:tcW w:w="525"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1.7</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1,309</w:t>
            </w:r>
          </w:p>
        </w:tc>
        <w:tc>
          <w:tcPr>
            <w:tcW w:w="549"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1.2</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3,303</w:t>
            </w:r>
          </w:p>
        </w:tc>
        <w:tc>
          <w:tcPr>
            <w:tcW w:w="525"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1.4</w:t>
            </w:r>
          </w:p>
        </w:tc>
      </w:tr>
      <w:tr w:rsidR="00DD32E6" w:rsidRPr="00DD32E6" w:rsidTr="00966FA5">
        <w:trPr>
          <w:trHeight w:val="340"/>
        </w:trPr>
        <w:tc>
          <w:tcPr>
            <w:tcW w:w="1765" w:type="pct"/>
            <w:vAlign w:val="center"/>
          </w:tcPr>
          <w:p w:rsidR="00AC6848" w:rsidRPr="00DD32E6" w:rsidRDefault="00AC6848" w:rsidP="006A4856">
            <w:pPr>
              <w:spacing w:after="0" w:line="240" w:lineRule="auto"/>
              <w:jc w:val="left"/>
              <w:rPr>
                <w:b/>
                <w:sz w:val="24"/>
                <w:szCs w:val="24"/>
              </w:rPr>
            </w:pPr>
            <w:r w:rsidRPr="00DD32E6">
              <w:rPr>
                <w:b/>
                <w:sz w:val="24"/>
                <w:szCs w:val="24"/>
              </w:rPr>
              <w:t>Smoking pack-years</w:t>
            </w:r>
            <w:r w:rsidR="00966FA5" w:rsidRPr="00DD32E6">
              <w:rPr>
                <w:b/>
                <w:sz w:val="24"/>
                <w:szCs w:val="24"/>
              </w:rPr>
              <w:t>*</w:t>
            </w:r>
          </w:p>
        </w:tc>
        <w:tc>
          <w:tcPr>
            <w:tcW w:w="579" w:type="pct"/>
            <w:vAlign w:val="center"/>
          </w:tcPr>
          <w:p w:rsidR="00AC6848" w:rsidRPr="00DD32E6" w:rsidRDefault="00AC6848" w:rsidP="006A4856">
            <w:pPr>
              <w:tabs>
                <w:tab w:val="decimal" w:pos="650"/>
              </w:tabs>
              <w:spacing w:after="0" w:line="240" w:lineRule="auto"/>
              <w:jc w:val="right"/>
              <w:rPr>
                <w:sz w:val="24"/>
                <w:szCs w:val="24"/>
              </w:rPr>
            </w:pPr>
          </w:p>
        </w:tc>
        <w:tc>
          <w:tcPr>
            <w:tcW w:w="525" w:type="pct"/>
            <w:vAlign w:val="center"/>
          </w:tcPr>
          <w:p w:rsidR="00AC6848" w:rsidRPr="00DD32E6" w:rsidRDefault="00AC6848" w:rsidP="006A4856">
            <w:pPr>
              <w:tabs>
                <w:tab w:val="decimal" w:pos="482"/>
                <w:tab w:val="decimal" w:pos="650"/>
              </w:tabs>
              <w:spacing w:after="0" w:line="240" w:lineRule="auto"/>
              <w:jc w:val="right"/>
              <w:rPr>
                <w:sz w:val="24"/>
                <w:szCs w:val="24"/>
              </w:rPr>
            </w:pP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p>
        </w:tc>
        <w:tc>
          <w:tcPr>
            <w:tcW w:w="549" w:type="pct"/>
            <w:vAlign w:val="center"/>
          </w:tcPr>
          <w:p w:rsidR="00AC6848" w:rsidRPr="00DD32E6" w:rsidRDefault="00AC6848" w:rsidP="006A4856">
            <w:pPr>
              <w:tabs>
                <w:tab w:val="decimal" w:pos="416"/>
                <w:tab w:val="decimal" w:pos="650"/>
              </w:tabs>
              <w:spacing w:after="0" w:line="240" w:lineRule="auto"/>
              <w:jc w:val="right"/>
              <w:rPr>
                <w:sz w:val="24"/>
                <w:szCs w:val="24"/>
              </w:rPr>
            </w:pPr>
          </w:p>
        </w:tc>
        <w:tc>
          <w:tcPr>
            <w:tcW w:w="578" w:type="pct"/>
            <w:vAlign w:val="center"/>
          </w:tcPr>
          <w:p w:rsidR="00AC6848" w:rsidRPr="00DD32E6" w:rsidRDefault="00AC6848" w:rsidP="006A4856">
            <w:pPr>
              <w:tabs>
                <w:tab w:val="decimal" w:pos="650"/>
              </w:tabs>
              <w:spacing w:after="0" w:line="240" w:lineRule="auto"/>
              <w:jc w:val="right"/>
              <w:rPr>
                <w:sz w:val="24"/>
                <w:szCs w:val="24"/>
              </w:rPr>
            </w:pPr>
          </w:p>
        </w:tc>
        <w:tc>
          <w:tcPr>
            <w:tcW w:w="525" w:type="pct"/>
            <w:vAlign w:val="center"/>
          </w:tcPr>
          <w:p w:rsidR="00AC6848" w:rsidRPr="00DD32E6" w:rsidRDefault="00AC6848" w:rsidP="006A4856">
            <w:pPr>
              <w:tabs>
                <w:tab w:val="decimal" w:pos="428"/>
              </w:tabs>
              <w:spacing w:after="0" w:line="240" w:lineRule="auto"/>
              <w:jc w:val="right"/>
              <w:rPr>
                <w:sz w:val="24"/>
                <w:szCs w:val="24"/>
              </w:rPr>
            </w:pPr>
          </w:p>
        </w:tc>
      </w:tr>
      <w:tr w:rsidR="00DD32E6" w:rsidRPr="00DD32E6" w:rsidTr="00966FA5">
        <w:trPr>
          <w:trHeight w:val="340"/>
        </w:trPr>
        <w:tc>
          <w:tcPr>
            <w:tcW w:w="1765" w:type="pct"/>
            <w:vAlign w:val="center"/>
          </w:tcPr>
          <w:p w:rsidR="00AC6848" w:rsidRPr="00DD32E6" w:rsidRDefault="00AC6848" w:rsidP="006A4856">
            <w:pPr>
              <w:spacing w:after="0" w:line="240" w:lineRule="auto"/>
              <w:ind w:firstLine="142"/>
              <w:jc w:val="left"/>
              <w:rPr>
                <w:sz w:val="24"/>
                <w:szCs w:val="24"/>
              </w:rPr>
            </w:pPr>
            <w:r w:rsidRPr="00DD32E6">
              <w:rPr>
                <w:sz w:val="24"/>
                <w:szCs w:val="24"/>
              </w:rPr>
              <w:t>Mean (SD)</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17.86</w:t>
            </w:r>
          </w:p>
        </w:tc>
        <w:tc>
          <w:tcPr>
            <w:tcW w:w="525" w:type="pct"/>
            <w:vAlign w:val="center"/>
          </w:tcPr>
          <w:p w:rsidR="00AC6848" w:rsidRPr="00DD32E6" w:rsidRDefault="00AC6848" w:rsidP="006A4856">
            <w:pPr>
              <w:tabs>
                <w:tab w:val="decimal" w:pos="482"/>
                <w:tab w:val="decimal" w:pos="650"/>
              </w:tabs>
              <w:spacing w:after="0" w:line="240" w:lineRule="auto"/>
              <w:jc w:val="right"/>
              <w:rPr>
                <w:sz w:val="24"/>
                <w:szCs w:val="24"/>
              </w:rPr>
            </w:pPr>
            <w:r w:rsidRPr="00DD32E6">
              <w:rPr>
                <w:sz w:val="24"/>
                <w:szCs w:val="24"/>
              </w:rPr>
              <w:t>(13.25)</w:t>
            </w:r>
          </w:p>
        </w:tc>
        <w:tc>
          <w:tcPr>
            <w:tcW w:w="479" w:type="pct"/>
            <w:vAlign w:val="center"/>
          </w:tcPr>
          <w:p w:rsidR="00AC6848" w:rsidRPr="00DD32E6" w:rsidRDefault="00AC6848" w:rsidP="006A4856">
            <w:pPr>
              <w:tabs>
                <w:tab w:val="decimal" w:pos="304"/>
                <w:tab w:val="decimal" w:pos="650"/>
              </w:tabs>
              <w:spacing w:after="0" w:line="240" w:lineRule="auto"/>
              <w:jc w:val="right"/>
              <w:rPr>
                <w:sz w:val="24"/>
                <w:szCs w:val="24"/>
              </w:rPr>
            </w:pPr>
            <w:r w:rsidRPr="00DD32E6">
              <w:rPr>
                <w:sz w:val="24"/>
                <w:szCs w:val="24"/>
              </w:rPr>
              <w:t>22.97</w:t>
            </w:r>
          </w:p>
        </w:tc>
        <w:tc>
          <w:tcPr>
            <w:tcW w:w="54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(17.68)</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20.54</w:t>
            </w:r>
          </w:p>
        </w:tc>
        <w:tc>
          <w:tcPr>
            <w:tcW w:w="525" w:type="pct"/>
            <w:vAlign w:val="center"/>
          </w:tcPr>
          <w:p w:rsidR="00AC6848" w:rsidRPr="00DD32E6" w:rsidRDefault="00AC6848" w:rsidP="006A4856">
            <w:pPr>
              <w:tabs>
                <w:tab w:val="decimal" w:pos="406"/>
                <w:tab w:val="decimal" w:pos="650"/>
              </w:tabs>
              <w:spacing w:after="0" w:line="240" w:lineRule="auto"/>
              <w:jc w:val="right"/>
              <w:rPr>
                <w:sz w:val="24"/>
                <w:szCs w:val="24"/>
              </w:rPr>
            </w:pPr>
            <w:r w:rsidRPr="00DD32E6">
              <w:rPr>
                <w:sz w:val="24"/>
                <w:szCs w:val="24"/>
              </w:rPr>
              <w:t>(15.94)</w:t>
            </w:r>
          </w:p>
        </w:tc>
      </w:tr>
      <w:tr w:rsidR="00DD32E6" w:rsidRPr="00DD32E6" w:rsidTr="00966FA5">
        <w:trPr>
          <w:trHeight w:val="340"/>
        </w:trPr>
        <w:tc>
          <w:tcPr>
            <w:tcW w:w="1765" w:type="pct"/>
            <w:vAlign w:val="center"/>
          </w:tcPr>
          <w:p w:rsidR="00AC6848" w:rsidRPr="00DD32E6" w:rsidRDefault="00AC6848" w:rsidP="00966FA5">
            <w:pPr>
              <w:spacing w:after="0" w:line="240" w:lineRule="auto"/>
              <w:jc w:val="left"/>
              <w:rPr>
                <w:b/>
                <w:sz w:val="24"/>
                <w:szCs w:val="24"/>
              </w:rPr>
            </w:pPr>
            <w:r w:rsidRPr="00DD32E6">
              <w:rPr>
                <w:b/>
                <w:sz w:val="24"/>
                <w:szCs w:val="24"/>
              </w:rPr>
              <w:t>Time since quitting smoking (years)</w:t>
            </w:r>
            <w:r w:rsidR="00966FA5" w:rsidRPr="00DD32E6">
              <w:rPr>
                <w:b/>
                <w:sz w:val="24"/>
                <w:szCs w:val="24"/>
              </w:rPr>
              <w:t>†</w:t>
            </w:r>
          </w:p>
        </w:tc>
        <w:tc>
          <w:tcPr>
            <w:tcW w:w="579" w:type="pct"/>
            <w:vAlign w:val="center"/>
          </w:tcPr>
          <w:p w:rsidR="00AC6848" w:rsidRPr="00DD32E6" w:rsidRDefault="00AC6848" w:rsidP="006A4856">
            <w:pPr>
              <w:tabs>
                <w:tab w:val="decimal" w:pos="650"/>
              </w:tabs>
              <w:spacing w:after="0" w:line="240" w:lineRule="auto"/>
              <w:jc w:val="right"/>
              <w:rPr>
                <w:sz w:val="24"/>
                <w:szCs w:val="24"/>
              </w:rPr>
            </w:pPr>
          </w:p>
        </w:tc>
        <w:tc>
          <w:tcPr>
            <w:tcW w:w="525" w:type="pct"/>
            <w:vAlign w:val="center"/>
          </w:tcPr>
          <w:p w:rsidR="00AC6848" w:rsidRPr="00DD32E6" w:rsidRDefault="00AC6848" w:rsidP="006A4856">
            <w:pPr>
              <w:tabs>
                <w:tab w:val="decimal" w:pos="482"/>
                <w:tab w:val="decimal" w:pos="650"/>
              </w:tabs>
              <w:spacing w:after="0" w:line="240" w:lineRule="auto"/>
              <w:jc w:val="right"/>
              <w:rPr>
                <w:sz w:val="24"/>
                <w:szCs w:val="24"/>
              </w:rPr>
            </w:pP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p>
        </w:tc>
        <w:tc>
          <w:tcPr>
            <w:tcW w:w="549" w:type="pct"/>
            <w:vAlign w:val="center"/>
          </w:tcPr>
          <w:p w:rsidR="00AC6848" w:rsidRPr="00DD32E6" w:rsidRDefault="00AC6848" w:rsidP="006A4856">
            <w:pPr>
              <w:tabs>
                <w:tab w:val="decimal" w:pos="416"/>
                <w:tab w:val="decimal" w:pos="650"/>
              </w:tabs>
              <w:spacing w:after="0" w:line="240" w:lineRule="auto"/>
              <w:jc w:val="right"/>
              <w:rPr>
                <w:sz w:val="24"/>
                <w:szCs w:val="24"/>
              </w:rPr>
            </w:pPr>
          </w:p>
        </w:tc>
        <w:tc>
          <w:tcPr>
            <w:tcW w:w="578" w:type="pct"/>
            <w:vAlign w:val="center"/>
          </w:tcPr>
          <w:p w:rsidR="00AC6848" w:rsidRPr="00DD32E6" w:rsidRDefault="00AC6848" w:rsidP="006A4856">
            <w:pPr>
              <w:tabs>
                <w:tab w:val="decimal" w:pos="650"/>
              </w:tabs>
              <w:spacing w:after="0" w:line="240" w:lineRule="auto"/>
              <w:jc w:val="right"/>
              <w:rPr>
                <w:sz w:val="24"/>
                <w:szCs w:val="24"/>
              </w:rPr>
            </w:pPr>
          </w:p>
        </w:tc>
        <w:tc>
          <w:tcPr>
            <w:tcW w:w="525" w:type="pct"/>
            <w:vAlign w:val="center"/>
          </w:tcPr>
          <w:p w:rsidR="00AC6848" w:rsidRPr="00DD32E6" w:rsidRDefault="00AC6848" w:rsidP="006A4856">
            <w:pPr>
              <w:tabs>
                <w:tab w:val="decimal" w:pos="428"/>
              </w:tabs>
              <w:spacing w:after="0" w:line="240" w:lineRule="auto"/>
              <w:jc w:val="right"/>
              <w:rPr>
                <w:sz w:val="24"/>
                <w:szCs w:val="24"/>
              </w:rPr>
            </w:pPr>
          </w:p>
        </w:tc>
      </w:tr>
      <w:tr w:rsidR="00DD32E6" w:rsidRPr="00DD32E6" w:rsidTr="00966FA5">
        <w:trPr>
          <w:trHeight w:val="340"/>
        </w:trPr>
        <w:tc>
          <w:tcPr>
            <w:tcW w:w="1765" w:type="pct"/>
            <w:vAlign w:val="center"/>
          </w:tcPr>
          <w:p w:rsidR="00AC6848" w:rsidRPr="00DD32E6" w:rsidRDefault="00AC6848" w:rsidP="006A4856">
            <w:pPr>
              <w:spacing w:after="0" w:line="240" w:lineRule="auto"/>
              <w:ind w:firstLine="142"/>
              <w:jc w:val="left"/>
              <w:rPr>
                <w:sz w:val="24"/>
                <w:szCs w:val="24"/>
              </w:rPr>
            </w:pPr>
            <w:r w:rsidRPr="00DD32E6">
              <w:rPr>
                <w:sz w:val="24"/>
                <w:szCs w:val="24"/>
              </w:rPr>
              <w:t>Mean (SD)</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16.59</w:t>
            </w:r>
          </w:p>
        </w:tc>
        <w:tc>
          <w:tcPr>
            <w:tcW w:w="525" w:type="pct"/>
            <w:vAlign w:val="center"/>
          </w:tcPr>
          <w:p w:rsidR="00AC6848" w:rsidRPr="00DD32E6" w:rsidRDefault="00AC6848" w:rsidP="006A4856">
            <w:pPr>
              <w:tabs>
                <w:tab w:val="decimal" w:pos="482"/>
                <w:tab w:val="decimal" w:pos="650"/>
              </w:tabs>
              <w:spacing w:after="0" w:line="240" w:lineRule="auto"/>
              <w:jc w:val="right"/>
              <w:rPr>
                <w:sz w:val="24"/>
                <w:szCs w:val="24"/>
              </w:rPr>
            </w:pPr>
            <w:r w:rsidRPr="00DD32E6">
              <w:rPr>
                <w:sz w:val="24"/>
                <w:szCs w:val="24"/>
              </w:rPr>
              <w:t>(10.85)</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17.28</w:t>
            </w:r>
          </w:p>
        </w:tc>
        <w:tc>
          <w:tcPr>
            <w:tcW w:w="549"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(11.29)</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16.96</w:t>
            </w:r>
          </w:p>
        </w:tc>
        <w:tc>
          <w:tcPr>
            <w:tcW w:w="525" w:type="pct"/>
            <w:vAlign w:val="center"/>
          </w:tcPr>
          <w:p w:rsidR="00AC6848" w:rsidRPr="00DD32E6" w:rsidRDefault="00AC6848" w:rsidP="006A4856">
            <w:pPr>
              <w:tabs>
                <w:tab w:val="decimal" w:pos="428"/>
              </w:tabs>
              <w:spacing w:after="0" w:line="240" w:lineRule="auto"/>
              <w:jc w:val="right"/>
              <w:rPr>
                <w:sz w:val="24"/>
                <w:szCs w:val="24"/>
              </w:rPr>
            </w:pPr>
            <w:r w:rsidRPr="00DD32E6">
              <w:rPr>
                <w:sz w:val="24"/>
                <w:szCs w:val="24"/>
              </w:rPr>
              <w:t>(11.09)</w:t>
            </w:r>
          </w:p>
        </w:tc>
      </w:tr>
      <w:tr w:rsidR="00DD32E6" w:rsidRPr="00DD32E6" w:rsidTr="00966FA5">
        <w:trPr>
          <w:trHeight w:val="340"/>
        </w:trPr>
        <w:tc>
          <w:tcPr>
            <w:tcW w:w="1765" w:type="pct"/>
            <w:vAlign w:val="center"/>
          </w:tcPr>
          <w:p w:rsidR="00AC6848" w:rsidRPr="00DD32E6" w:rsidRDefault="00AC6848" w:rsidP="006A4856">
            <w:pPr>
              <w:spacing w:after="0" w:line="240" w:lineRule="auto"/>
              <w:jc w:val="left"/>
              <w:rPr>
                <w:b/>
                <w:sz w:val="24"/>
                <w:szCs w:val="24"/>
              </w:rPr>
            </w:pPr>
            <w:r w:rsidRPr="00DD32E6">
              <w:rPr>
                <w:b/>
                <w:sz w:val="24"/>
                <w:szCs w:val="24"/>
              </w:rPr>
              <w:t>Doctor’s diagnosis of asthma, n (%)</w:t>
            </w:r>
          </w:p>
        </w:tc>
        <w:tc>
          <w:tcPr>
            <w:tcW w:w="579" w:type="pct"/>
            <w:vAlign w:val="center"/>
          </w:tcPr>
          <w:p w:rsidR="00AC6848" w:rsidRPr="00DD32E6" w:rsidRDefault="00AC6848" w:rsidP="006A4856">
            <w:pPr>
              <w:tabs>
                <w:tab w:val="decimal" w:pos="650"/>
              </w:tabs>
              <w:spacing w:after="0" w:line="240" w:lineRule="auto"/>
              <w:jc w:val="right"/>
              <w:rPr>
                <w:sz w:val="24"/>
                <w:szCs w:val="24"/>
              </w:rPr>
            </w:pPr>
          </w:p>
        </w:tc>
        <w:tc>
          <w:tcPr>
            <w:tcW w:w="525" w:type="pct"/>
            <w:vAlign w:val="center"/>
          </w:tcPr>
          <w:p w:rsidR="00AC6848" w:rsidRPr="00DD32E6" w:rsidRDefault="00AC6848" w:rsidP="006A4856">
            <w:pPr>
              <w:tabs>
                <w:tab w:val="decimal" w:pos="482"/>
                <w:tab w:val="decimal" w:pos="650"/>
              </w:tabs>
              <w:spacing w:after="0" w:line="240" w:lineRule="auto"/>
              <w:jc w:val="right"/>
              <w:rPr>
                <w:sz w:val="24"/>
                <w:szCs w:val="24"/>
              </w:rPr>
            </w:pP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p>
        </w:tc>
        <w:tc>
          <w:tcPr>
            <w:tcW w:w="549" w:type="pct"/>
            <w:vAlign w:val="center"/>
          </w:tcPr>
          <w:p w:rsidR="00AC6848" w:rsidRPr="00DD32E6" w:rsidRDefault="00AC6848" w:rsidP="006A4856">
            <w:pPr>
              <w:tabs>
                <w:tab w:val="decimal" w:pos="416"/>
                <w:tab w:val="decimal" w:pos="650"/>
              </w:tabs>
              <w:spacing w:after="0" w:line="240" w:lineRule="auto"/>
              <w:jc w:val="right"/>
              <w:rPr>
                <w:sz w:val="24"/>
                <w:szCs w:val="24"/>
              </w:rPr>
            </w:pPr>
          </w:p>
        </w:tc>
        <w:tc>
          <w:tcPr>
            <w:tcW w:w="578" w:type="pct"/>
            <w:vAlign w:val="center"/>
          </w:tcPr>
          <w:p w:rsidR="00AC6848" w:rsidRPr="00DD32E6" w:rsidRDefault="00AC6848" w:rsidP="006A4856">
            <w:pPr>
              <w:tabs>
                <w:tab w:val="decimal" w:pos="650"/>
              </w:tabs>
              <w:spacing w:after="0" w:line="240" w:lineRule="auto"/>
              <w:jc w:val="right"/>
              <w:rPr>
                <w:sz w:val="24"/>
                <w:szCs w:val="24"/>
              </w:rPr>
            </w:pPr>
          </w:p>
        </w:tc>
        <w:tc>
          <w:tcPr>
            <w:tcW w:w="525" w:type="pct"/>
            <w:vAlign w:val="center"/>
          </w:tcPr>
          <w:p w:rsidR="00AC6848" w:rsidRPr="00DD32E6" w:rsidRDefault="00AC6848" w:rsidP="006A4856">
            <w:pPr>
              <w:tabs>
                <w:tab w:val="decimal" w:pos="428"/>
              </w:tabs>
              <w:spacing w:after="0" w:line="240" w:lineRule="auto"/>
              <w:jc w:val="right"/>
              <w:rPr>
                <w:sz w:val="24"/>
                <w:szCs w:val="24"/>
              </w:rPr>
            </w:pPr>
          </w:p>
        </w:tc>
      </w:tr>
      <w:tr w:rsidR="00DD32E6" w:rsidRPr="00DD32E6" w:rsidTr="00966FA5">
        <w:trPr>
          <w:trHeight w:val="340"/>
        </w:trPr>
        <w:tc>
          <w:tcPr>
            <w:tcW w:w="1765" w:type="pct"/>
            <w:vAlign w:val="center"/>
          </w:tcPr>
          <w:p w:rsidR="00AC6848" w:rsidRPr="00DD32E6" w:rsidRDefault="00AC6848" w:rsidP="006A4856">
            <w:pPr>
              <w:spacing w:after="0" w:line="240" w:lineRule="auto"/>
              <w:ind w:firstLine="142"/>
              <w:jc w:val="left"/>
              <w:rPr>
                <w:sz w:val="24"/>
                <w:szCs w:val="24"/>
              </w:rPr>
            </w:pPr>
            <w:r w:rsidRPr="00DD32E6">
              <w:rPr>
                <w:sz w:val="24"/>
                <w:szCs w:val="24"/>
              </w:rPr>
              <w:t>Never</w:t>
            </w:r>
          </w:p>
        </w:tc>
        <w:tc>
          <w:tcPr>
            <w:tcW w:w="579"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104,444</w:t>
            </w:r>
          </w:p>
        </w:tc>
        <w:tc>
          <w:tcPr>
            <w:tcW w:w="525"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88.1</w:t>
            </w:r>
          </w:p>
        </w:tc>
        <w:tc>
          <w:tcPr>
            <w:tcW w:w="479" w:type="pct"/>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98,642</w:t>
            </w:r>
          </w:p>
        </w:tc>
        <w:tc>
          <w:tcPr>
            <w:tcW w:w="549"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89.6</w:t>
            </w:r>
          </w:p>
        </w:tc>
        <w:tc>
          <w:tcPr>
            <w:tcW w:w="578" w:type="pct"/>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203,086</w:t>
            </w:r>
          </w:p>
        </w:tc>
        <w:tc>
          <w:tcPr>
            <w:tcW w:w="525" w:type="pct"/>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88.8</w:t>
            </w:r>
          </w:p>
        </w:tc>
      </w:tr>
      <w:tr w:rsidR="00DD32E6" w:rsidRPr="00DD32E6" w:rsidTr="00966FA5">
        <w:trPr>
          <w:trHeight w:val="340"/>
        </w:trPr>
        <w:tc>
          <w:tcPr>
            <w:tcW w:w="1765" w:type="pct"/>
            <w:tcBorders>
              <w:bottom w:val="single" w:sz="4" w:space="0" w:color="auto"/>
            </w:tcBorders>
            <w:vAlign w:val="center"/>
          </w:tcPr>
          <w:p w:rsidR="00AC6848" w:rsidRPr="00DD32E6" w:rsidRDefault="00AC6848" w:rsidP="006A4856">
            <w:pPr>
              <w:spacing w:after="0" w:line="240" w:lineRule="auto"/>
              <w:ind w:firstLine="142"/>
              <w:jc w:val="left"/>
              <w:rPr>
                <w:sz w:val="24"/>
                <w:szCs w:val="24"/>
              </w:rPr>
            </w:pPr>
            <w:r w:rsidRPr="00DD32E6">
              <w:rPr>
                <w:sz w:val="24"/>
                <w:szCs w:val="24"/>
              </w:rPr>
              <w:t>Ever</w:t>
            </w:r>
          </w:p>
        </w:tc>
        <w:tc>
          <w:tcPr>
            <w:tcW w:w="579" w:type="pct"/>
            <w:tcBorders>
              <w:bottom w:val="single" w:sz="4" w:space="0" w:color="auto"/>
            </w:tcBorders>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14,074</w:t>
            </w:r>
          </w:p>
        </w:tc>
        <w:tc>
          <w:tcPr>
            <w:tcW w:w="525" w:type="pct"/>
            <w:tcBorders>
              <w:bottom w:val="single" w:sz="4" w:space="0" w:color="auto"/>
            </w:tcBorders>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11.9</w:t>
            </w:r>
          </w:p>
        </w:tc>
        <w:tc>
          <w:tcPr>
            <w:tcW w:w="479" w:type="pct"/>
            <w:tcBorders>
              <w:bottom w:val="single" w:sz="4" w:space="0" w:color="auto"/>
            </w:tcBorders>
            <w:vAlign w:val="center"/>
          </w:tcPr>
          <w:p w:rsidR="00AC6848" w:rsidRPr="00DD32E6" w:rsidRDefault="00AC6848" w:rsidP="006A4856">
            <w:pPr>
              <w:tabs>
                <w:tab w:val="decimal" w:pos="493"/>
                <w:tab w:val="decimal" w:pos="650"/>
              </w:tabs>
              <w:spacing w:after="0" w:line="240" w:lineRule="auto"/>
              <w:jc w:val="right"/>
              <w:rPr>
                <w:sz w:val="24"/>
                <w:szCs w:val="24"/>
              </w:rPr>
            </w:pPr>
            <w:r w:rsidRPr="00DD32E6">
              <w:rPr>
                <w:sz w:val="24"/>
                <w:szCs w:val="24"/>
              </w:rPr>
              <w:t>11,454</w:t>
            </w:r>
          </w:p>
        </w:tc>
        <w:tc>
          <w:tcPr>
            <w:tcW w:w="549" w:type="pct"/>
            <w:tcBorders>
              <w:bottom w:val="single" w:sz="4" w:space="0" w:color="auto"/>
            </w:tcBorders>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10.4</w:t>
            </w:r>
          </w:p>
        </w:tc>
        <w:tc>
          <w:tcPr>
            <w:tcW w:w="578" w:type="pct"/>
            <w:tcBorders>
              <w:bottom w:val="single" w:sz="4" w:space="0" w:color="auto"/>
            </w:tcBorders>
            <w:vAlign w:val="center"/>
          </w:tcPr>
          <w:p w:rsidR="00AC6848" w:rsidRPr="00DD32E6" w:rsidRDefault="00AC6848" w:rsidP="006A4856">
            <w:pPr>
              <w:tabs>
                <w:tab w:val="decimal" w:pos="650"/>
              </w:tabs>
              <w:spacing w:after="0" w:line="240" w:lineRule="auto"/>
              <w:jc w:val="right"/>
              <w:rPr>
                <w:sz w:val="24"/>
                <w:szCs w:val="24"/>
              </w:rPr>
            </w:pPr>
            <w:r w:rsidRPr="00DD32E6">
              <w:rPr>
                <w:sz w:val="24"/>
                <w:szCs w:val="24"/>
              </w:rPr>
              <w:t>25, 528</w:t>
            </w:r>
          </w:p>
        </w:tc>
        <w:tc>
          <w:tcPr>
            <w:tcW w:w="525" w:type="pct"/>
            <w:tcBorders>
              <w:bottom w:val="single" w:sz="4" w:space="0" w:color="auto"/>
            </w:tcBorders>
            <w:vAlign w:val="center"/>
          </w:tcPr>
          <w:p w:rsidR="00AC6848" w:rsidRPr="00DD32E6" w:rsidRDefault="00AC6848" w:rsidP="006A4856">
            <w:pPr>
              <w:tabs>
                <w:tab w:val="decimal" w:pos="416"/>
                <w:tab w:val="decimal" w:pos="650"/>
              </w:tabs>
              <w:spacing w:after="0" w:line="240" w:lineRule="auto"/>
              <w:jc w:val="right"/>
              <w:rPr>
                <w:sz w:val="24"/>
                <w:szCs w:val="24"/>
              </w:rPr>
            </w:pPr>
            <w:r w:rsidRPr="00DD32E6">
              <w:rPr>
                <w:sz w:val="24"/>
                <w:szCs w:val="24"/>
              </w:rPr>
              <w:t>11.2</w:t>
            </w:r>
          </w:p>
        </w:tc>
      </w:tr>
    </w:tbl>
    <w:p w:rsidR="004507E6" w:rsidRPr="00DD32E6" w:rsidRDefault="00966FA5" w:rsidP="006A4856">
      <w:pPr>
        <w:spacing w:line="240" w:lineRule="auto"/>
        <w:rPr>
          <w:rStyle w:val="st"/>
          <w:sz w:val="20"/>
          <w:szCs w:val="20"/>
        </w:rPr>
      </w:pPr>
      <w:r w:rsidRPr="00DD32E6">
        <w:rPr>
          <w:sz w:val="20"/>
          <w:szCs w:val="20"/>
          <w:lang w:eastAsia="it-IT"/>
        </w:rPr>
        <w:t>*</w:t>
      </w:r>
      <w:r w:rsidR="00AC6848" w:rsidRPr="00DD32E6">
        <w:rPr>
          <w:sz w:val="20"/>
          <w:szCs w:val="20"/>
          <w:lang w:eastAsia="it-IT"/>
        </w:rPr>
        <w:t xml:space="preserve">Smoking pack-years = </w:t>
      </w:r>
      <w:r w:rsidR="00AC6848" w:rsidRPr="00DD32E6">
        <w:rPr>
          <w:rStyle w:val="st"/>
          <w:sz w:val="20"/>
          <w:szCs w:val="20"/>
        </w:rPr>
        <w:t xml:space="preserve">(n cigarettes/day ÷ 20 cigarettes/pack) X n years; amongst ever smokers. </w:t>
      </w:r>
    </w:p>
    <w:p w:rsidR="00AC6848" w:rsidRPr="00DD32E6" w:rsidRDefault="00966FA5" w:rsidP="006A4856">
      <w:pPr>
        <w:spacing w:line="240" w:lineRule="auto"/>
        <w:rPr>
          <w:sz w:val="24"/>
          <w:szCs w:val="24"/>
          <w:lang w:eastAsia="it-IT"/>
        </w:rPr>
      </w:pPr>
      <w:r w:rsidRPr="00DD32E6">
        <w:rPr>
          <w:rStyle w:val="st"/>
          <w:sz w:val="20"/>
          <w:szCs w:val="20"/>
        </w:rPr>
        <w:lastRenderedPageBreak/>
        <w:t>†</w:t>
      </w:r>
      <w:r w:rsidR="00AC6848" w:rsidRPr="00DD32E6">
        <w:rPr>
          <w:rStyle w:val="st"/>
          <w:sz w:val="20"/>
          <w:szCs w:val="20"/>
        </w:rPr>
        <w:t>Time since quitting smoking = years since last smoked cigarette to time of interview; amongst former smokers.</w:t>
      </w:r>
    </w:p>
    <w:p w:rsidR="00AC6848" w:rsidRPr="00DD32E6" w:rsidRDefault="00AC6848" w:rsidP="006A4856">
      <w:pPr>
        <w:spacing w:line="240" w:lineRule="auto"/>
        <w:ind w:left="-630"/>
        <w:rPr>
          <w:sz w:val="24"/>
          <w:szCs w:val="24"/>
          <w:lang w:eastAsia="it-IT"/>
        </w:rPr>
        <w:sectPr w:rsidR="00AC6848" w:rsidRPr="00DD32E6" w:rsidSect="006A4856">
          <w:pgSz w:w="16838" w:h="11906" w:orient="landscape"/>
          <w:pgMar w:top="709" w:right="1440" w:bottom="851" w:left="1440" w:header="708" w:footer="708" w:gutter="0"/>
          <w:cols w:space="708"/>
          <w:docGrid w:linePitch="360"/>
        </w:sectPr>
      </w:pPr>
    </w:p>
    <w:p w:rsidR="00AC6848" w:rsidRPr="00DD32E6" w:rsidRDefault="00AC6848" w:rsidP="006A4856">
      <w:pPr>
        <w:spacing w:line="240" w:lineRule="auto"/>
        <w:ind w:left="-630" w:firstLine="630"/>
        <w:rPr>
          <w:rFonts w:cstheme="minorHAnsi"/>
          <w:b/>
          <w:bCs/>
          <w:sz w:val="24"/>
          <w:szCs w:val="24"/>
        </w:rPr>
      </w:pPr>
      <w:r w:rsidRPr="00DD32E6">
        <w:rPr>
          <w:rFonts w:cstheme="minorHAnsi"/>
          <w:b/>
          <w:bCs/>
          <w:sz w:val="24"/>
          <w:szCs w:val="24"/>
        </w:rPr>
        <w:lastRenderedPageBreak/>
        <w:t>Main analysis</w:t>
      </w:r>
    </w:p>
    <w:p w:rsidR="00AC6848" w:rsidRPr="00DD32E6" w:rsidRDefault="00AC6848" w:rsidP="006A4856">
      <w:pPr>
        <w:pStyle w:val="Default"/>
        <w:spacing w:line="360" w:lineRule="auto"/>
        <w:rPr>
          <w:rFonts w:asciiTheme="minorHAnsi" w:hAnsiTheme="minorHAnsi" w:cstheme="minorHAnsi"/>
          <w:bCs/>
          <w:color w:val="auto"/>
        </w:rPr>
      </w:pPr>
      <w:r w:rsidRPr="00DD32E6">
        <w:rPr>
          <w:rFonts w:asciiTheme="minorHAnsi" w:hAnsiTheme="minorHAnsi" w:cstheme="minorHAnsi"/>
          <w:bCs/>
          <w:color w:val="auto"/>
        </w:rPr>
        <w:t xml:space="preserve">Among the evaluated 353 SOC-coded occupations, 25 showed a statistically significant increased risk of COPD and 10 occupations, mostly managerial, showed a statistically significant decreased risk (see online supplementary table S1). We focused the following analyses on the 14 jobs with a moderate COPD increased risk (PR≥1.30), and with at least five exposed persons in both cases and non-COPD participants. These occupations are listed in decreasing order of risk strength in table 2. </w:t>
      </w: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hAnsiTheme="minorHAnsi" w:cstheme="minorHAnsi"/>
          <w:bCs/>
          <w:color w:val="auto"/>
        </w:rPr>
        <w:sectPr w:rsidR="00AC6848" w:rsidRPr="00DD32E6" w:rsidSect="006A4856">
          <w:pgSz w:w="11906" w:h="16838"/>
          <w:pgMar w:top="1440" w:right="1440" w:bottom="1440" w:left="993" w:header="708" w:footer="708" w:gutter="0"/>
          <w:cols w:space="708"/>
          <w:docGrid w:linePitch="360"/>
        </w:sectPr>
      </w:pPr>
    </w:p>
    <w:p w:rsidR="00AC6848" w:rsidRPr="00DD32E6" w:rsidRDefault="00AC6848" w:rsidP="006A4856">
      <w:pPr>
        <w:ind w:right="-25"/>
        <w:rPr>
          <w:sz w:val="24"/>
          <w:szCs w:val="24"/>
          <w:lang w:eastAsia="it-IT"/>
        </w:rPr>
      </w:pPr>
      <w:r w:rsidRPr="00DD32E6">
        <w:rPr>
          <w:b/>
          <w:sz w:val="24"/>
          <w:szCs w:val="24"/>
        </w:rPr>
        <w:lastRenderedPageBreak/>
        <w:t xml:space="preserve">Table 2  </w:t>
      </w:r>
      <w:r w:rsidRPr="00DD32E6">
        <w:rPr>
          <w:sz w:val="24"/>
          <w:szCs w:val="24"/>
          <w:lang w:eastAsia="it-IT"/>
        </w:rPr>
        <w:t xml:space="preserve">Prevalence ratios (PRs) and 95% confidence intervals (CIs) of COPD risk </w:t>
      </w:r>
      <w:proofErr w:type="spellStart"/>
      <w:r w:rsidRPr="00DD32E6">
        <w:rPr>
          <w:sz w:val="24"/>
          <w:szCs w:val="24"/>
          <w:lang w:eastAsia="it-IT"/>
        </w:rPr>
        <w:t>spirometry</w:t>
      </w:r>
      <w:proofErr w:type="spellEnd"/>
      <w:r w:rsidRPr="00DD32E6">
        <w:rPr>
          <w:sz w:val="24"/>
          <w:szCs w:val="24"/>
          <w:lang w:eastAsia="it-IT"/>
        </w:rPr>
        <w:t xml:space="preserve">-defined as FEV1/FVC&lt;LLN for exposure to current job codified as 4-digit SOC code 2000 in the UK Biobank study (n= 228,614). </w:t>
      </w:r>
    </w:p>
    <w:tbl>
      <w:tblPr>
        <w:tblW w:w="5000" w:type="pct"/>
        <w:tblLook w:val="04A0" w:firstRow="1" w:lastRow="0" w:firstColumn="1" w:lastColumn="0" w:noHBand="0" w:noVBand="1"/>
      </w:tblPr>
      <w:tblGrid>
        <w:gridCol w:w="1605"/>
        <w:gridCol w:w="6889"/>
        <w:gridCol w:w="1463"/>
        <w:gridCol w:w="1463"/>
        <w:gridCol w:w="918"/>
        <w:gridCol w:w="918"/>
        <w:gridCol w:w="918"/>
      </w:tblGrid>
      <w:tr w:rsidR="00DD32E6" w:rsidRPr="00DD32E6" w:rsidTr="006A4856">
        <w:trPr>
          <w:trHeight w:val="113"/>
        </w:trPr>
        <w:tc>
          <w:tcPr>
            <w:tcW w:w="566" w:type="pct"/>
            <w:tcBorders>
              <w:top w:val="single" w:sz="4" w:space="0" w:color="auto"/>
              <w:left w:val="nil"/>
              <w:bottom w:val="single" w:sz="4" w:space="0" w:color="auto"/>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SOC code</w:t>
            </w:r>
          </w:p>
          <w:p w:rsidR="00AC6848" w:rsidRPr="00DD32E6" w:rsidRDefault="00AC6848" w:rsidP="006A4856">
            <w:pPr>
              <w:spacing w:after="0" w:line="240" w:lineRule="auto"/>
              <w:jc w:val="left"/>
              <w:rPr>
                <w:rFonts w:eastAsia="Times New Roman" w:cs="Arial"/>
                <w:b/>
                <w:bCs/>
                <w:sz w:val="24"/>
                <w:szCs w:val="24"/>
                <w:lang w:eastAsia="en-GB"/>
              </w:rPr>
            </w:pPr>
          </w:p>
        </w:tc>
        <w:tc>
          <w:tcPr>
            <w:tcW w:w="2430" w:type="pct"/>
            <w:tcBorders>
              <w:top w:val="single" w:sz="4" w:space="0" w:color="auto"/>
              <w:left w:val="nil"/>
              <w:bottom w:val="single" w:sz="4" w:space="0" w:color="auto"/>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Occupations</w:t>
            </w:r>
          </w:p>
          <w:p w:rsidR="00AC6848" w:rsidRPr="00DD32E6" w:rsidRDefault="00AC6848" w:rsidP="006A4856">
            <w:pPr>
              <w:spacing w:after="0" w:line="240" w:lineRule="auto"/>
              <w:jc w:val="left"/>
              <w:rPr>
                <w:rFonts w:eastAsia="Times New Roman" w:cs="Arial"/>
                <w:b/>
                <w:bCs/>
                <w:sz w:val="24"/>
                <w:szCs w:val="24"/>
                <w:lang w:eastAsia="en-GB"/>
              </w:rPr>
            </w:pPr>
          </w:p>
        </w:tc>
        <w:tc>
          <w:tcPr>
            <w:tcW w:w="516" w:type="pct"/>
            <w:tcBorders>
              <w:top w:val="single" w:sz="4" w:space="0" w:color="auto"/>
              <w:left w:val="nil"/>
              <w:bottom w:val="single" w:sz="4" w:space="0" w:color="auto"/>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
                <w:bCs/>
                <w:sz w:val="24"/>
                <w:szCs w:val="24"/>
                <w:lang w:eastAsia="en-GB"/>
              </w:rPr>
            </w:pPr>
            <w:r w:rsidRPr="00DD32E6">
              <w:rPr>
                <w:rFonts w:eastAsia="Times New Roman" w:cs="Arial"/>
                <w:b/>
                <w:bCs/>
                <w:sz w:val="24"/>
                <w:szCs w:val="24"/>
                <w:lang w:eastAsia="en-GB"/>
              </w:rPr>
              <w:t>Healthy</w:t>
            </w:r>
          </w:p>
          <w:p w:rsidR="00AC6848" w:rsidRPr="00DD32E6" w:rsidRDefault="00AC6848" w:rsidP="006A4856">
            <w:pPr>
              <w:spacing w:after="0" w:line="240" w:lineRule="auto"/>
              <w:jc w:val="center"/>
              <w:rPr>
                <w:rFonts w:eastAsia="Times New Roman" w:cs="Arial"/>
                <w:b/>
                <w:bCs/>
                <w:sz w:val="24"/>
                <w:szCs w:val="24"/>
                <w:lang w:eastAsia="en-GB"/>
              </w:rPr>
            </w:pPr>
            <w:r w:rsidRPr="00DD32E6">
              <w:rPr>
                <w:rFonts w:eastAsia="Times New Roman" w:cs="Arial"/>
                <w:b/>
                <w:bCs/>
                <w:sz w:val="24"/>
                <w:szCs w:val="24"/>
                <w:lang w:eastAsia="en-GB"/>
              </w:rPr>
              <w:t>Exposed</w:t>
            </w:r>
          </w:p>
        </w:tc>
        <w:tc>
          <w:tcPr>
            <w:tcW w:w="516" w:type="pct"/>
            <w:tcBorders>
              <w:top w:val="single" w:sz="4" w:space="0" w:color="auto"/>
              <w:left w:val="nil"/>
              <w:bottom w:val="single" w:sz="4" w:space="0" w:color="auto"/>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
                <w:bCs/>
                <w:sz w:val="24"/>
                <w:szCs w:val="24"/>
                <w:lang w:eastAsia="en-GB"/>
              </w:rPr>
            </w:pPr>
            <w:r w:rsidRPr="00DD32E6">
              <w:rPr>
                <w:rFonts w:eastAsia="Times New Roman" w:cs="Arial"/>
                <w:b/>
                <w:bCs/>
                <w:sz w:val="24"/>
                <w:szCs w:val="24"/>
                <w:lang w:eastAsia="en-GB"/>
              </w:rPr>
              <w:t>Cases</w:t>
            </w:r>
          </w:p>
          <w:p w:rsidR="00AC6848" w:rsidRPr="00DD32E6" w:rsidRDefault="00AC6848" w:rsidP="006A4856">
            <w:pPr>
              <w:spacing w:after="0" w:line="240" w:lineRule="auto"/>
              <w:jc w:val="center"/>
              <w:rPr>
                <w:rFonts w:eastAsia="Times New Roman" w:cs="Arial"/>
                <w:b/>
                <w:bCs/>
                <w:sz w:val="24"/>
                <w:szCs w:val="24"/>
                <w:lang w:eastAsia="en-GB"/>
              </w:rPr>
            </w:pPr>
            <w:r w:rsidRPr="00DD32E6">
              <w:rPr>
                <w:rFonts w:eastAsia="Times New Roman" w:cs="Arial"/>
                <w:b/>
                <w:bCs/>
                <w:sz w:val="24"/>
                <w:szCs w:val="24"/>
                <w:lang w:eastAsia="en-GB"/>
              </w:rPr>
              <w:t>Exposed</w:t>
            </w:r>
          </w:p>
        </w:tc>
        <w:tc>
          <w:tcPr>
            <w:tcW w:w="324" w:type="pct"/>
            <w:tcBorders>
              <w:top w:val="single" w:sz="4" w:space="0" w:color="auto"/>
              <w:left w:val="nil"/>
              <w:bottom w:val="single" w:sz="4" w:space="0" w:color="auto"/>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PR</w:t>
            </w:r>
          </w:p>
          <w:p w:rsidR="00AC6848" w:rsidRPr="00DD32E6" w:rsidRDefault="00AC6848" w:rsidP="006A4856">
            <w:pPr>
              <w:spacing w:after="0" w:line="240" w:lineRule="auto"/>
              <w:jc w:val="left"/>
              <w:rPr>
                <w:rFonts w:eastAsia="Times New Roman" w:cs="Arial"/>
                <w:b/>
                <w:bCs/>
                <w:sz w:val="24"/>
                <w:szCs w:val="24"/>
                <w:lang w:eastAsia="en-GB"/>
              </w:rPr>
            </w:pPr>
          </w:p>
        </w:tc>
        <w:tc>
          <w:tcPr>
            <w:tcW w:w="648" w:type="pct"/>
            <w:gridSpan w:val="2"/>
            <w:tcBorders>
              <w:top w:val="single" w:sz="4" w:space="0" w:color="auto"/>
              <w:left w:val="nil"/>
              <w:bottom w:val="single" w:sz="4" w:space="0" w:color="auto"/>
              <w:right w:val="nil"/>
            </w:tcBorders>
            <w:shd w:val="clear" w:color="auto" w:fill="auto"/>
            <w:noWrap/>
            <w:vAlign w:val="center"/>
            <w:hideMark/>
          </w:tcPr>
          <w:p w:rsidR="00AC6848" w:rsidRPr="00DD32E6" w:rsidRDefault="00AC6848" w:rsidP="006A4856">
            <w:pPr>
              <w:spacing w:after="0" w:line="240" w:lineRule="auto"/>
              <w:jc w:val="center"/>
              <w:rPr>
                <w:rFonts w:eastAsia="Times New Roman" w:cs="Arial"/>
                <w:b/>
                <w:bCs/>
                <w:sz w:val="24"/>
                <w:szCs w:val="24"/>
                <w:lang w:eastAsia="en-GB"/>
              </w:rPr>
            </w:pPr>
          </w:p>
          <w:p w:rsidR="00AC6848" w:rsidRPr="00DD32E6" w:rsidRDefault="00AC6848" w:rsidP="006A4856">
            <w:pPr>
              <w:spacing w:after="0" w:line="240" w:lineRule="auto"/>
              <w:jc w:val="center"/>
              <w:rPr>
                <w:rFonts w:eastAsia="Times New Roman" w:cs="Arial"/>
                <w:b/>
                <w:bCs/>
                <w:sz w:val="24"/>
                <w:szCs w:val="24"/>
                <w:lang w:eastAsia="en-GB"/>
              </w:rPr>
            </w:pPr>
            <w:r w:rsidRPr="00DD32E6">
              <w:rPr>
                <w:rFonts w:eastAsia="Times New Roman" w:cs="Arial"/>
                <w:b/>
                <w:bCs/>
                <w:sz w:val="24"/>
                <w:szCs w:val="24"/>
                <w:lang w:eastAsia="en-GB"/>
              </w:rPr>
              <w:t>95%CI</w:t>
            </w:r>
          </w:p>
          <w:p w:rsidR="00AC6848" w:rsidRPr="00DD32E6" w:rsidRDefault="00AC6848" w:rsidP="006A4856">
            <w:pPr>
              <w:spacing w:after="0" w:line="240" w:lineRule="auto"/>
              <w:jc w:val="center"/>
              <w:rPr>
                <w:rFonts w:eastAsia="Times New Roman" w:cs="Arial"/>
                <w:b/>
                <w:bCs/>
                <w:sz w:val="24"/>
                <w:szCs w:val="24"/>
                <w:lang w:eastAsia="en-GB"/>
              </w:rPr>
            </w:pPr>
          </w:p>
        </w:tc>
      </w:tr>
      <w:tr w:rsidR="00DD32E6" w:rsidRPr="00DD32E6" w:rsidTr="006A4856">
        <w:trPr>
          <w:trHeight w:val="255"/>
        </w:trPr>
        <w:tc>
          <w:tcPr>
            <w:tcW w:w="56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8217</w:t>
            </w:r>
          </w:p>
        </w:tc>
        <w:tc>
          <w:tcPr>
            <w:tcW w:w="2430"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Seafarers; barge, lighter and boat operatives</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32</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10</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2.64</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1.59</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4.38</w:t>
            </w:r>
          </w:p>
        </w:tc>
      </w:tr>
      <w:tr w:rsidR="00DD32E6" w:rsidRPr="00DD32E6" w:rsidTr="006A4856">
        <w:trPr>
          <w:trHeight w:val="255"/>
        </w:trPr>
        <w:tc>
          <w:tcPr>
            <w:tcW w:w="56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8122</w:t>
            </w:r>
          </w:p>
        </w:tc>
        <w:tc>
          <w:tcPr>
            <w:tcW w:w="2430"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Coal mine operatives</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13</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5</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2.30</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1.00</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5.31</w:t>
            </w:r>
          </w:p>
        </w:tc>
      </w:tr>
      <w:tr w:rsidR="00DD32E6" w:rsidRPr="00DD32E6" w:rsidTr="006A4856">
        <w:trPr>
          <w:trHeight w:val="255"/>
        </w:trPr>
        <w:tc>
          <w:tcPr>
            <w:tcW w:w="56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9132</w:t>
            </w:r>
          </w:p>
        </w:tc>
        <w:tc>
          <w:tcPr>
            <w:tcW w:w="2430"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Industrial cleaning process occupations</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34</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10</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1.96</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1.16</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3.31</w:t>
            </w:r>
          </w:p>
        </w:tc>
      </w:tr>
      <w:tr w:rsidR="00DD32E6" w:rsidRPr="00DD32E6" w:rsidTr="006A4856">
        <w:trPr>
          <w:trHeight w:val="255"/>
        </w:trPr>
        <w:tc>
          <w:tcPr>
            <w:tcW w:w="56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5313</w:t>
            </w:r>
          </w:p>
        </w:tc>
        <w:tc>
          <w:tcPr>
            <w:tcW w:w="2430"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 xml:space="preserve">Roofers, roof </w:t>
            </w:r>
            <w:proofErr w:type="spellStart"/>
            <w:r w:rsidRPr="00DD32E6">
              <w:rPr>
                <w:rFonts w:eastAsia="Times New Roman" w:cs="Arial"/>
                <w:bCs/>
                <w:sz w:val="24"/>
                <w:szCs w:val="24"/>
                <w:lang w:eastAsia="en-GB"/>
              </w:rPr>
              <w:t>tilers</w:t>
            </w:r>
            <w:proofErr w:type="spellEnd"/>
            <w:r w:rsidRPr="00DD32E6">
              <w:rPr>
                <w:rFonts w:eastAsia="Times New Roman" w:cs="Arial"/>
                <w:bCs/>
                <w:sz w:val="24"/>
                <w:szCs w:val="24"/>
                <w:lang w:eastAsia="en-GB"/>
              </w:rPr>
              <w:t xml:space="preserve"> and </w:t>
            </w:r>
            <w:proofErr w:type="spellStart"/>
            <w:r w:rsidRPr="00DD32E6">
              <w:rPr>
                <w:rFonts w:eastAsia="Times New Roman" w:cs="Arial"/>
                <w:bCs/>
                <w:sz w:val="24"/>
                <w:szCs w:val="24"/>
                <w:lang w:eastAsia="en-GB"/>
              </w:rPr>
              <w:t>slaters</w:t>
            </w:r>
            <w:proofErr w:type="spellEnd"/>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102</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22</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1.86</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1.29</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2.67</w:t>
            </w:r>
          </w:p>
        </w:tc>
      </w:tr>
      <w:tr w:rsidR="00DD32E6" w:rsidRPr="00DD32E6" w:rsidTr="006A4856">
        <w:trPr>
          <w:trHeight w:val="255"/>
        </w:trPr>
        <w:tc>
          <w:tcPr>
            <w:tcW w:w="56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9134</w:t>
            </w:r>
          </w:p>
        </w:tc>
        <w:tc>
          <w:tcPr>
            <w:tcW w:w="2430"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Packers, bottlers, canners, fillers</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153</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30</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1.60</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1.15</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2.22</w:t>
            </w:r>
          </w:p>
        </w:tc>
      </w:tr>
      <w:tr w:rsidR="00DD32E6" w:rsidRPr="00DD32E6" w:rsidTr="006A4856">
        <w:trPr>
          <w:trHeight w:val="255"/>
        </w:trPr>
        <w:tc>
          <w:tcPr>
            <w:tcW w:w="566" w:type="pct"/>
            <w:tcBorders>
              <w:top w:val="nil"/>
              <w:left w:val="nil"/>
              <w:bottom w:val="nil"/>
              <w:right w:val="nil"/>
            </w:tcBorders>
            <w:shd w:val="clear" w:color="auto" w:fill="auto"/>
            <w:noWrap/>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5112</w:t>
            </w:r>
          </w:p>
        </w:tc>
        <w:tc>
          <w:tcPr>
            <w:tcW w:w="2430" w:type="pct"/>
            <w:tcBorders>
              <w:top w:val="nil"/>
              <w:left w:val="nil"/>
              <w:bottom w:val="nil"/>
              <w:right w:val="nil"/>
            </w:tcBorders>
            <w:shd w:val="clear" w:color="auto" w:fill="auto"/>
            <w:noWrap/>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Horticultural trades</w:t>
            </w:r>
          </w:p>
        </w:tc>
        <w:tc>
          <w:tcPr>
            <w:tcW w:w="516" w:type="pct"/>
            <w:tcBorders>
              <w:top w:val="nil"/>
              <w:left w:val="nil"/>
              <w:bottom w:val="nil"/>
              <w:right w:val="nil"/>
            </w:tcBorders>
            <w:shd w:val="clear" w:color="auto" w:fill="auto"/>
            <w:noWrap/>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84</w:t>
            </w:r>
          </w:p>
        </w:tc>
        <w:tc>
          <w:tcPr>
            <w:tcW w:w="516" w:type="pct"/>
            <w:tcBorders>
              <w:top w:val="nil"/>
              <w:left w:val="nil"/>
              <w:bottom w:val="nil"/>
              <w:right w:val="nil"/>
            </w:tcBorders>
            <w:shd w:val="clear" w:color="auto" w:fill="auto"/>
            <w:noWrap/>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14</w:t>
            </w:r>
          </w:p>
        </w:tc>
        <w:tc>
          <w:tcPr>
            <w:tcW w:w="324" w:type="pct"/>
            <w:tcBorders>
              <w:top w:val="nil"/>
              <w:left w:val="nil"/>
              <w:bottom w:val="nil"/>
              <w:right w:val="nil"/>
            </w:tcBorders>
            <w:shd w:val="clear" w:color="auto" w:fill="auto"/>
            <w:noWrap/>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1.55</w:t>
            </w:r>
          </w:p>
        </w:tc>
        <w:tc>
          <w:tcPr>
            <w:tcW w:w="324" w:type="pct"/>
            <w:tcBorders>
              <w:top w:val="nil"/>
              <w:left w:val="nil"/>
              <w:bottom w:val="nil"/>
              <w:right w:val="nil"/>
            </w:tcBorders>
            <w:shd w:val="clear" w:color="auto" w:fill="auto"/>
            <w:noWrap/>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0.97</w:t>
            </w:r>
          </w:p>
        </w:tc>
        <w:tc>
          <w:tcPr>
            <w:tcW w:w="324" w:type="pct"/>
            <w:tcBorders>
              <w:top w:val="nil"/>
              <w:left w:val="nil"/>
              <w:bottom w:val="nil"/>
              <w:right w:val="nil"/>
            </w:tcBorders>
            <w:shd w:val="clear" w:color="auto" w:fill="auto"/>
            <w:noWrap/>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2.50</w:t>
            </w:r>
          </w:p>
        </w:tc>
      </w:tr>
      <w:tr w:rsidR="00DD32E6" w:rsidRPr="00DD32E6" w:rsidTr="006A4856">
        <w:trPr>
          <w:trHeight w:val="255"/>
        </w:trPr>
        <w:tc>
          <w:tcPr>
            <w:tcW w:w="56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8111</w:t>
            </w:r>
          </w:p>
        </w:tc>
        <w:tc>
          <w:tcPr>
            <w:tcW w:w="2430"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Food, drink and tobacco process operatives</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296</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45</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1.46</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1.11</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1.93</w:t>
            </w:r>
          </w:p>
        </w:tc>
      </w:tr>
      <w:tr w:rsidR="00DD32E6" w:rsidRPr="00DD32E6" w:rsidTr="006A4856">
        <w:trPr>
          <w:trHeight w:val="255"/>
        </w:trPr>
        <w:tc>
          <w:tcPr>
            <w:tcW w:w="56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9233</w:t>
            </w:r>
          </w:p>
        </w:tc>
        <w:tc>
          <w:tcPr>
            <w:tcW w:w="2430"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Cleaners, domestics</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1715</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302</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1.43</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1.28</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1.59</w:t>
            </w:r>
          </w:p>
        </w:tc>
      </w:tr>
      <w:tr w:rsidR="00DD32E6" w:rsidRPr="00DD32E6" w:rsidTr="006A4856">
        <w:trPr>
          <w:trHeight w:val="255"/>
        </w:trPr>
        <w:tc>
          <w:tcPr>
            <w:tcW w:w="56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5322</w:t>
            </w:r>
          </w:p>
        </w:tc>
        <w:tc>
          <w:tcPr>
            <w:tcW w:w="2430"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 xml:space="preserve">Floorers and wall </w:t>
            </w:r>
            <w:proofErr w:type="spellStart"/>
            <w:r w:rsidRPr="00DD32E6">
              <w:rPr>
                <w:rFonts w:eastAsia="Times New Roman" w:cs="Arial"/>
                <w:bCs/>
                <w:sz w:val="24"/>
                <w:szCs w:val="24"/>
                <w:lang w:eastAsia="en-GB"/>
              </w:rPr>
              <w:t>tilers</w:t>
            </w:r>
            <w:proofErr w:type="spellEnd"/>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160</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27</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1.41</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1.00</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2.00</w:t>
            </w:r>
          </w:p>
        </w:tc>
      </w:tr>
      <w:tr w:rsidR="00DD32E6" w:rsidRPr="00DD32E6" w:rsidTr="006A4856">
        <w:trPr>
          <w:trHeight w:val="255"/>
        </w:trPr>
        <w:tc>
          <w:tcPr>
            <w:tcW w:w="56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8114</w:t>
            </w:r>
          </w:p>
        </w:tc>
        <w:tc>
          <w:tcPr>
            <w:tcW w:w="2430"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Chemical and related process operatives</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218</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29</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1.39</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0.98</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1.97</w:t>
            </w:r>
          </w:p>
        </w:tc>
      </w:tr>
      <w:tr w:rsidR="00DD32E6" w:rsidRPr="00DD32E6" w:rsidTr="006A4856">
        <w:trPr>
          <w:trHeight w:val="255"/>
        </w:trPr>
        <w:tc>
          <w:tcPr>
            <w:tcW w:w="56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9211</w:t>
            </w:r>
          </w:p>
        </w:tc>
        <w:tc>
          <w:tcPr>
            <w:tcW w:w="2430"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Postal workers, mail sorters, messengers, couriers</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962</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137</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1.35</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1.15</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1.59</w:t>
            </w:r>
          </w:p>
        </w:tc>
      </w:tr>
      <w:tr w:rsidR="00DD32E6" w:rsidRPr="00DD32E6" w:rsidTr="006A4856">
        <w:trPr>
          <w:trHeight w:val="255"/>
        </w:trPr>
        <w:tc>
          <w:tcPr>
            <w:tcW w:w="56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9121</w:t>
            </w:r>
          </w:p>
        </w:tc>
        <w:tc>
          <w:tcPr>
            <w:tcW w:w="2430"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Labourers in building and woodworking trades</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376</w:t>
            </w:r>
          </w:p>
        </w:tc>
        <w:tc>
          <w:tcPr>
            <w:tcW w:w="516"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59</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1.32</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1.04</w:t>
            </w:r>
          </w:p>
        </w:tc>
        <w:tc>
          <w:tcPr>
            <w:tcW w:w="324" w:type="pct"/>
            <w:tcBorders>
              <w:top w:val="nil"/>
              <w:left w:val="nil"/>
              <w:bottom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1.68</w:t>
            </w:r>
          </w:p>
        </w:tc>
      </w:tr>
      <w:tr w:rsidR="00DD32E6" w:rsidRPr="00DD32E6" w:rsidTr="006A4856">
        <w:trPr>
          <w:trHeight w:val="255"/>
        </w:trPr>
        <w:tc>
          <w:tcPr>
            <w:tcW w:w="566" w:type="pct"/>
            <w:tcBorders>
              <w:top w:val="nil"/>
              <w:left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9244</w:t>
            </w:r>
          </w:p>
        </w:tc>
        <w:tc>
          <w:tcPr>
            <w:tcW w:w="2430" w:type="pct"/>
            <w:tcBorders>
              <w:top w:val="nil"/>
              <w:left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School mid-day assistants</w:t>
            </w:r>
          </w:p>
        </w:tc>
        <w:tc>
          <w:tcPr>
            <w:tcW w:w="516" w:type="pct"/>
            <w:tcBorders>
              <w:top w:val="nil"/>
              <w:left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363</w:t>
            </w:r>
          </w:p>
        </w:tc>
        <w:tc>
          <w:tcPr>
            <w:tcW w:w="516" w:type="pct"/>
            <w:tcBorders>
              <w:top w:val="nil"/>
              <w:left w:val="nil"/>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52</w:t>
            </w:r>
          </w:p>
        </w:tc>
        <w:tc>
          <w:tcPr>
            <w:tcW w:w="324" w:type="pct"/>
            <w:tcBorders>
              <w:top w:val="nil"/>
              <w:left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1.32</w:t>
            </w:r>
          </w:p>
        </w:tc>
        <w:tc>
          <w:tcPr>
            <w:tcW w:w="324" w:type="pct"/>
            <w:tcBorders>
              <w:top w:val="nil"/>
              <w:left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1.01</w:t>
            </w:r>
          </w:p>
        </w:tc>
        <w:tc>
          <w:tcPr>
            <w:tcW w:w="324" w:type="pct"/>
            <w:tcBorders>
              <w:top w:val="nil"/>
              <w:left w:val="nil"/>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1.74</w:t>
            </w:r>
          </w:p>
        </w:tc>
      </w:tr>
      <w:tr w:rsidR="00DD32E6" w:rsidRPr="00DD32E6" w:rsidTr="006A4856">
        <w:trPr>
          <w:trHeight w:val="255"/>
        </w:trPr>
        <w:tc>
          <w:tcPr>
            <w:tcW w:w="566" w:type="pct"/>
            <w:tcBorders>
              <w:top w:val="nil"/>
              <w:left w:val="nil"/>
              <w:bottom w:val="single" w:sz="4" w:space="0" w:color="auto"/>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9223</w:t>
            </w:r>
          </w:p>
        </w:tc>
        <w:tc>
          <w:tcPr>
            <w:tcW w:w="2430" w:type="pct"/>
            <w:tcBorders>
              <w:top w:val="nil"/>
              <w:left w:val="nil"/>
              <w:bottom w:val="single" w:sz="4" w:space="0" w:color="auto"/>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Kitchen and catering assistants</w:t>
            </w:r>
          </w:p>
        </w:tc>
        <w:tc>
          <w:tcPr>
            <w:tcW w:w="516" w:type="pct"/>
            <w:tcBorders>
              <w:top w:val="nil"/>
              <w:left w:val="nil"/>
              <w:bottom w:val="single" w:sz="4" w:space="0" w:color="auto"/>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865</w:t>
            </w:r>
          </w:p>
        </w:tc>
        <w:tc>
          <w:tcPr>
            <w:tcW w:w="516" w:type="pct"/>
            <w:tcBorders>
              <w:top w:val="nil"/>
              <w:left w:val="nil"/>
              <w:bottom w:val="single" w:sz="4" w:space="0" w:color="auto"/>
              <w:right w:val="nil"/>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127</w:t>
            </w:r>
          </w:p>
        </w:tc>
        <w:tc>
          <w:tcPr>
            <w:tcW w:w="324" w:type="pct"/>
            <w:tcBorders>
              <w:top w:val="nil"/>
              <w:left w:val="nil"/>
              <w:bottom w:val="single" w:sz="4" w:space="0" w:color="auto"/>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1.30</w:t>
            </w:r>
          </w:p>
        </w:tc>
        <w:tc>
          <w:tcPr>
            <w:tcW w:w="324" w:type="pct"/>
            <w:tcBorders>
              <w:top w:val="nil"/>
              <w:left w:val="nil"/>
              <w:bottom w:val="single" w:sz="4" w:space="0" w:color="auto"/>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1.10</w:t>
            </w:r>
          </w:p>
        </w:tc>
        <w:tc>
          <w:tcPr>
            <w:tcW w:w="324" w:type="pct"/>
            <w:tcBorders>
              <w:top w:val="nil"/>
              <w:left w:val="nil"/>
              <w:bottom w:val="single" w:sz="4" w:space="0" w:color="auto"/>
              <w:right w:val="nil"/>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1.53</w:t>
            </w:r>
          </w:p>
        </w:tc>
      </w:tr>
    </w:tbl>
    <w:p w:rsidR="00AC6848" w:rsidRPr="00DD32E6" w:rsidRDefault="00AC6848" w:rsidP="006A4856">
      <w:pPr>
        <w:pStyle w:val="Default"/>
        <w:rPr>
          <w:rFonts w:asciiTheme="minorHAnsi" w:hAnsiTheme="minorHAnsi" w:cstheme="minorBidi"/>
          <w:color w:val="auto"/>
          <w:sz w:val="20"/>
          <w:szCs w:val="20"/>
          <w:lang w:eastAsia="it-IT"/>
        </w:rPr>
      </w:pPr>
      <w:r w:rsidRPr="00DD32E6">
        <w:rPr>
          <w:rFonts w:asciiTheme="minorHAnsi" w:hAnsiTheme="minorHAnsi" w:cstheme="minorBidi"/>
          <w:color w:val="auto"/>
          <w:sz w:val="20"/>
          <w:szCs w:val="20"/>
          <w:lang w:eastAsia="it-IT"/>
        </w:rPr>
        <w:t xml:space="preserve">Prevalence Ratios (PRs) and 95% confidence intervals (95%CIs) for exposure to each 4-digit SOC code and COPD risk (defined as FEV1/FVC&lt;LLN) were calculated by using a Poisson model with robust variance adjusted for sex, study centre (22 categories), age (5-years categories), and lifetime smoking exposure (ever, pack-years, and years since quitting). Reference category: current workers not employed in the specific 4-digit SOC coded job tested. Healthy= non COPD cases. </w:t>
      </w:r>
    </w:p>
    <w:p w:rsidR="00AC6848" w:rsidRPr="00DD32E6" w:rsidRDefault="00AC6848" w:rsidP="006A4856">
      <w:pPr>
        <w:pStyle w:val="Default"/>
        <w:rPr>
          <w:rFonts w:asciiTheme="minorHAnsi" w:hAnsiTheme="minorHAnsi" w:cstheme="minorBidi"/>
          <w:color w:val="auto"/>
          <w:lang w:eastAsia="it-IT"/>
        </w:rPr>
        <w:sectPr w:rsidR="00AC6848" w:rsidRPr="00DD32E6" w:rsidSect="006A4856">
          <w:pgSz w:w="16838" w:h="11906" w:orient="landscape"/>
          <w:pgMar w:top="993" w:right="1440" w:bottom="1440" w:left="1440" w:header="708" w:footer="708" w:gutter="0"/>
          <w:cols w:space="708"/>
          <w:docGrid w:linePitch="360"/>
        </w:sectPr>
      </w:pPr>
    </w:p>
    <w:p w:rsidR="00AC6848" w:rsidRPr="00DD32E6" w:rsidRDefault="00AC6848" w:rsidP="006A4856">
      <w:pPr>
        <w:pStyle w:val="Default"/>
        <w:spacing w:line="360" w:lineRule="auto"/>
        <w:rPr>
          <w:rFonts w:asciiTheme="minorHAnsi" w:hAnsiTheme="minorHAnsi" w:cstheme="minorHAnsi"/>
          <w:bCs/>
          <w:color w:val="auto"/>
        </w:rPr>
      </w:pPr>
      <w:r w:rsidRPr="00DD32E6">
        <w:rPr>
          <w:rFonts w:asciiTheme="minorHAnsi" w:hAnsiTheme="minorHAnsi" w:cstheme="minorHAnsi"/>
          <w:bCs/>
          <w:color w:val="auto"/>
        </w:rPr>
        <w:lastRenderedPageBreak/>
        <w:t xml:space="preserve">For these 14 occupations, analyses stratified by sex were performed (see online supplementary table S2). In some male-dominated jobs (e.g. seafarers, and coal miners) there were too few women to calculate reliable risk estimates. In women, packers, bottlers, canners, fillers (PR: 1.77; 95%CI: 1.16-2.69); cleaners, domestics (PR: 1.45; 95%CI: 1.28-1.64); school mid-day assistants (PR: 1.37; 95%CI: 1.04-1.80); and kitchen and catering assistants (PR: 1.27; 95%CI: 1.06-1.53) remained at significantly increased COPD risk. In men all associations were confirmed except for school mid-day assistants, where too few exposed cases prevented </w:t>
      </w:r>
      <w:r w:rsidR="00B8627B" w:rsidRPr="00DD32E6">
        <w:rPr>
          <w:rFonts w:asciiTheme="minorHAnsi" w:hAnsiTheme="minorHAnsi" w:cstheme="minorHAnsi"/>
          <w:bCs/>
          <w:color w:val="auto"/>
        </w:rPr>
        <w:t xml:space="preserve">calculation </w:t>
      </w:r>
      <w:r w:rsidRPr="00DD32E6">
        <w:rPr>
          <w:rFonts w:asciiTheme="minorHAnsi" w:hAnsiTheme="minorHAnsi" w:cstheme="minorHAnsi"/>
          <w:bCs/>
          <w:color w:val="auto"/>
        </w:rPr>
        <w:t>of risk estimates.</w:t>
      </w:r>
    </w:p>
    <w:p w:rsidR="00AC6848" w:rsidRPr="00DD32E6" w:rsidRDefault="00AC6848" w:rsidP="006A4856">
      <w:pPr>
        <w:spacing w:after="0" w:line="360" w:lineRule="auto"/>
        <w:ind w:right="-23"/>
        <w:rPr>
          <w:rFonts w:cstheme="minorHAnsi"/>
          <w:bCs/>
          <w:sz w:val="24"/>
          <w:szCs w:val="24"/>
        </w:rPr>
      </w:pPr>
      <w:r w:rsidRPr="00DD32E6">
        <w:rPr>
          <w:rFonts w:cstheme="minorHAnsi"/>
          <w:bCs/>
          <w:sz w:val="24"/>
          <w:szCs w:val="24"/>
        </w:rPr>
        <w:t xml:space="preserve">In addition, we examined these occupations by </w:t>
      </w:r>
      <w:r w:rsidRPr="00DD32E6">
        <w:rPr>
          <w:rFonts w:eastAsiaTheme="minorEastAsia" w:cstheme="minorHAnsi"/>
          <w:sz w:val="24"/>
          <w:szCs w:val="24"/>
        </w:rPr>
        <w:t>employment duration</w:t>
      </w:r>
      <w:r w:rsidRPr="00DD32E6">
        <w:rPr>
          <w:rFonts w:cstheme="minorHAnsi"/>
          <w:bCs/>
          <w:sz w:val="24"/>
          <w:szCs w:val="24"/>
        </w:rPr>
        <w:t xml:space="preserve"> (see online supplementary table S3); the majority of the 14 occupations showed a significant positive trend except for coal mine operatives, horticultural trades, chemical and related process operatives, and school mid-day assistants. For some occupations, the few subjects among exposed cases, in particular for the longest duration category, rendered the PRs estimates in each job duration category unstable.</w:t>
      </w:r>
    </w:p>
    <w:p w:rsidR="00AC6848" w:rsidRPr="00DD32E6" w:rsidRDefault="00AC6848" w:rsidP="006A4856">
      <w:pPr>
        <w:spacing w:after="0" w:line="360" w:lineRule="auto"/>
        <w:ind w:right="-23"/>
        <w:rPr>
          <w:rFonts w:cstheme="minorHAnsi"/>
          <w:bCs/>
          <w:sz w:val="24"/>
          <w:szCs w:val="24"/>
        </w:rPr>
      </w:pPr>
    </w:p>
    <w:p w:rsidR="00AC6848" w:rsidRPr="00DD32E6" w:rsidRDefault="00AC6848" w:rsidP="006A4856">
      <w:pPr>
        <w:spacing w:after="0" w:line="360" w:lineRule="auto"/>
        <w:ind w:right="-23"/>
        <w:rPr>
          <w:rFonts w:cstheme="minorHAnsi"/>
          <w:bCs/>
          <w:sz w:val="24"/>
          <w:szCs w:val="24"/>
        </w:rPr>
      </w:pPr>
    </w:p>
    <w:p w:rsidR="00AC6848" w:rsidRPr="00DD32E6" w:rsidRDefault="00AC6848" w:rsidP="006A4856">
      <w:pPr>
        <w:ind w:right="-25"/>
        <w:rPr>
          <w:b/>
          <w:sz w:val="24"/>
          <w:szCs w:val="24"/>
        </w:rPr>
      </w:pPr>
    </w:p>
    <w:p w:rsidR="00AC6848" w:rsidRPr="00DD32E6" w:rsidRDefault="00AC6848" w:rsidP="006A4856">
      <w:pPr>
        <w:ind w:right="-25"/>
        <w:rPr>
          <w:b/>
          <w:sz w:val="24"/>
          <w:szCs w:val="24"/>
        </w:rPr>
      </w:pPr>
    </w:p>
    <w:p w:rsidR="00AC6848" w:rsidRPr="00DD32E6" w:rsidRDefault="00AC6848" w:rsidP="006A4856">
      <w:pPr>
        <w:rPr>
          <w:sz w:val="24"/>
          <w:szCs w:val="24"/>
          <w:lang w:eastAsia="it-IT"/>
        </w:rPr>
      </w:pPr>
      <w:r w:rsidRPr="00DD32E6">
        <w:rPr>
          <w:sz w:val="24"/>
          <w:szCs w:val="24"/>
          <w:lang w:eastAsia="it-IT"/>
        </w:rPr>
        <w:br w:type="page"/>
      </w:r>
    </w:p>
    <w:p w:rsidR="00AC6848" w:rsidRPr="00DD32E6" w:rsidRDefault="00AC6848" w:rsidP="006A4856">
      <w:pPr>
        <w:rPr>
          <w:sz w:val="24"/>
          <w:szCs w:val="24"/>
          <w:lang w:eastAsia="it-IT"/>
        </w:rPr>
        <w:sectPr w:rsidR="00AC6848" w:rsidRPr="00DD32E6" w:rsidSect="006A4856">
          <w:pgSz w:w="11906" w:h="16838"/>
          <w:pgMar w:top="1440" w:right="1440" w:bottom="1440" w:left="993" w:header="708" w:footer="708" w:gutter="0"/>
          <w:cols w:space="708"/>
          <w:docGrid w:linePitch="360"/>
        </w:sectPr>
      </w:pPr>
    </w:p>
    <w:p w:rsidR="00AC6848" w:rsidRPr="00DD32E6" w:rsidRDefault="00AC6848" w:rsidP="006A4856">
      <w:pPr>
        <w:pStyle w:val="Default"/>
        <w:spacing w:line="360" w:lineRule="auto"/>
        <w:rPr>
          <w:rFonts w:asciiTheme="minorHAnsi" w:hAnsiTheme="minorHAnsi" w:cstheme="minorHAnsi"/>
          <w:b/>
          <w:bCs/>
          <w:color w:val="auto"/>
        </w:rPr>
      </w:pPr>
      <w:r w:rsidRPr="00DD32E6">
        <w:rPr>
          <w:rFonts w:asciiTheme="minorHAnsi" w:hAnsiTheme="minorHAnsi" w:cstheme="minorHAnsi"/>
          <w:b/>
          <w:bCs/>
          <w:color w:val="auto"/>
        </w:rPr>
        <w:lastRenderedPageBreak/>
        <w:t>Sensitivity analyses</w:t>
      </w:r>
    </w:p>
    <w:p w:rsidR="00AC6848" w:rsidRPr="00DD32E6" w:rsidRDefault="00AC6848" w:rsidP="006A4856">
      <w:pPr>
        <w:pStyle w:val="Default"/>
        <w:spacing w:line="360" w:lineRule="auto"/>
        <w:rPr>
          <w:rFonts w:asciiTheme="minorHAnsi" w:hAnsiTheme="minorHAnsi" w:cstheme="minorHAnsi"/>
          <w:bCs/>
          <w:color w:val="auto"/>
        </w:rPr>
      </w:pPr>
      <w:r w:rsidRPr="00DD32E6">
        <w:rPr>
          <w:rFonts w:asciiTheme="minorHAnsi" w:hAnsiTheme="minorHAnsi" w:cstheme="minorHAnsi"/>
          <w:bCs/>
          <w:color w:val="auto"/>
        </w:rPr>
        <w:t xml:space="preserve">Risks for eight of these 14 occupations remained significantly increased with similar effect estimates when analyses were restricted to those reporting that they were lifetime non-smokers (n= 129,858). Of note, there were too few non-smokers amongst coal mine operatives to conduct analyses and very few non-smokers amongst industrial cleaners and those in horticultural trades (with no effect observed and wide confidence intervals). Restriction to lifetime non-smokers appeared to eliminate associations of COPD with labourers and those in woodworking trades.  Restriction of analyses to those who reported never having a doctor’s diagnosis of asthma (n= 203,086) made little change to effect estimates although in some cases (roofer, packers, horticultural trades, chemical, school mid-day assistants) associations became non-significant due to reduced sample sizes (table 3). </w:t>
      </w:r>
    </w:p>
    <w:p w:rsidR="00AC6848" w:rsidRPr="00DD32E6" w:rsidRDefault="00AC6848" w:rsidP="006A4856">
      <w:pPr>
        <w:pStyle w:val="Default"/>
        <w:spacing w:line="360" w:lineRule="auto"/>
        <w:rPr>
          <w:rFonts w:asciiTheme="minorHAnsi" w:hAnsiTheme="minorHAnsi" w:cstheme="minorHAnsi"/>
          <w:bCs/>
          <w:color w:val="auto"/>
        </w:rPr>
      </w:pPr>
      <w:r w:rsidRPr="00DD32E6">
        <w:rPr>
          <w:rFonts w:asciiTheme="minorHAnsi" w:hAnsiTheme="minorHAnsi" w:cstheme="minorHAnsi"/>
          <w:bCs/>
          <w:color w:val="auto"/>
        </w:rPr>
        <w:t>The results of these sensitivity analyses for all the 353 SOC cod</w:t>
      </w:r>
      <w:r w:rsidR="00B8627B" w:rsidRPr="00DD32E6">
        <w:rPr>
          <w:rFonts w:asciiTheme="minorHAnsi" w:hAnsiTheme="minorHAnsi" w:cstheme="minorHAnsi"/>
          <w:bCs/>
          <w:color w:val="auto"/>
        </w:rPr>
        <w:t>e</w:t>
      </w:r>
      <w:r w:rsidRPr="00DD32E6">
        <w:rPr>
          <w:rFonts w:asciiTheme="minorHAnsi" w:hAnsiTheme="minorHAnsi" w:cstheme="minorHAnsi"/>
          <w:bCs/>
          <w:color w:val="auto"/>
        </w:rPr>
        <w:t>s are available in the Supplementary material (see online supplementary table S4 and S5). Of note, in the analysis restricted to never smokers significant associations with COPD were seen for glaziers, window fabricators and fitters (SOC code 5316) (PR: 2.04; 95%CI: 1.11-3.76). Although rubber process operatives (SOC code 8115) and tyre, exhaust and windscreen fitters (SOC code 8135) showed significantly high risks (PR: 7.71; 95%CI: 2.74-21.67, and PR: 6.27; 95%CI: 2.15-18.28, respectively) estimates are based on only two exposed cases. Among non-asthmatics, those in welding trades (SOC code 5215) showed a significantly increased risk (PR: 1.47; 95%CI: 1.04-2.08).</w:t>
      </w: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rPr>
          <w:rFonts w:asciiTheme="minorHAnsi" w:hAnsiTheme="minorHAnsi" w:cstheme="minorBidi"/>
          <w:color w:val="auto"/>
          <w:lang w:eastAsia="it-IT"/>
        </w:rPr>
      </w:pP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hAnsiTheme="minorHAnsi" w:cstheme="minorHAnsi"/>
          <w:bCs/>
          <w:color w:val="auto"/>
        </w:rPr>
        <w:sectPr w:rsidR="00AC6848" w:rsidRPr="00DD32E6" w:rsidSect="006A4856">
          <w:pgSz w:w="11906" w:h="16838"/>
          <w:pgMar w:top="1440" w:right="1440" w:bottom="1440" w:left="993" w:header="708" w:footer="708" w:gutter="0"/>
          <w:cols w:space="708"/>
          <w:docGrid w:linePitch="360"/>
        </w:sectPr>
      </w:pPr>
    </w:p>
    <w:p w:rsidR="00AC6848" w:rsidRPr="00DD32E6" w:rsidRDefault="00AC6848" w:rsidP="006A4856">
      <w:pPr>
        <w:ind w:left="-142" w:right="66"/>
        <w:rPr>
          <w:rFonts w:cstheme="minorHAnsi"/>
          <w:bCs/>
          <w:sz w:val="24"/>
          <w:szCs w:val="24"/>
        </w:rPr>
      </w:pPr>
      <w:r w:rsidRPr="00DD32E6">
        <w:rPr>
          <w:b/>
          <w:sz w:val="24"/>
          <w:szCs w:val="24"/>
        </w:rPr>
        <w:lastRenderedPageBreak/>
        <w:t xml:space="preserve">Table 3  </w:t>
      </w:r>
      <w:r w:rsidRPr="00DD32E6">
        <w:rPr>
          <w:sz w:val="24"/>
          <w:szCs w:val="24"/>
          <w:lang w:eastAsia="it-IT"/>
        </w:rPr>
        <w:t xml:space="preserve">Prevalence ratios (PRs) and 95% confidence intervals (CIs) of COPD risk </w:t>
      </w:r>
      <w:proofErr w:type="spellStart"/>
      <w:r w:rsidRPr="00DD32E6">
        <w:rPr>
          <w:sz w:val="24"/>
          <w:szCs w:val="24"/>
          <w:lang w:eastAsia="it-IT"/>
        </w:rPr>
        <w:t>spirometry</w:t>
      </w:r>
      <w:proofErr w:type="spellEnd"/>
      <w:r w:rsidRPr="00DD32E6">
        <w:rPr>
          <w:sz w:val="24"/>
          <w:szCs w:val="24"/>
          <w:lang w:eastAsia="it-IT"/>
        </w:rPr>
        <w:t xml:space="preserve">-defined as FEV1/FVC&lt;LLN for exposure to current job codified as 4-digit SOC code 2000 in the UK Biobank cohort overall (n= 228,614), </w:t>
      </w:r>
      <w:r w:rsidRPr="00DD32E6">
        <w:rPr>
          <w:rFonts w:cstheme="minorHAnsi"/>
          <w:bCs/>
          <w:sz w:val="24"/>
          <w:szCs w:val="24"/>
        </w:rPr>
        <w:t xml:space="preserve">never smokers (n= 129,858), and non-asthmatics (n= 203,086). </w:t>
      </w:r>
    </w:p>
    <w:tbl>
      <w:tblPr>
        <w:tblW w:w="5154" w:type="pct"/>
        <w:tblInd w:w="-176" w:type="dxa"/>
        <w:tblLayout w:type="fixed"/>
        <w:tblLook w:val="04A0" w:firstRow="1" w:lastRow="0" w:firstColumn="1" w:lastColumn="0" w:noHBand="0" w:noVBand="1"/>
      </w:tblPr>
      <w:tblGrid>
        <w:gridCol w:w="711"/>
        <w:gridCol w:w="4366"/>
        <w:gridCol w:w="1005"/>
        <w:gridCol w:w="967"/>
        <w:gridCol w:w="935"/>
        <w:gridCol w:w="918"/>
        <w:gridCol w:w="675"/>
        <w:gridCol w:w="757"/>
        <w:gridCol w:w="1075"/>
        <w:gridCol w:w="865"/>
        <w:gridCol w:w="143"/>
        <w:gridCol w:w="868"/>
        <w:gridCol w:w="669"/>
        <w:gridCol w:w="657"/>
      </w:tblGrid>
      <w:tr w:rsidR="00DD32E6" w:rsidRPr="00DD32E6" w:rsidTr="006A4856">
        <w:trPr>
          <w:trHeight w:val="255"/>
        </w:trPr>
        <w:tc>
          <w:tcPr>
            <w:tcW w:w="243" w:type="pct"/>
            <w:tcBorders>
              <w:top w:val="single" w:sz="4" w:space="0" w:color="auto"/>
              <w:bottom w:val="single" w:sz="4" w:space="0" w:color="auto"/>
            </w:tcBorders>
            <w:shd w:val="clear" w:color="auto" w:fill="auto"/>
            <w:noWrap/>
          </w:tcPr>
          <w:p w:rsidR="00AC6848" w:rsidRPr="00DD32E6" w:rsidRDefault="00AC6848" w:rsidP="006A4856">
            <w:pPr>
              <w:spacing w:after="0" w:line="240" w:lineRule="auto"/>
              <w:ind w:right="-276"/>
              <w:jc w:val="left"/>
              <w:rPr>
                <w:rFonts w:eastAsia="Times New Roman" w:cs="Arial"/>
                <w:b/>
                <w:sz w:val="20"/>
                <w:szCs w:val="20"/>
                <w:lang w:eastAsia="en-GB"/>
              </w:rPr>
            </w:pPr>
          </w:p>
        </w:tc>
        <w:tc>
          <w:tcPr>
            <w:tcW w:w="1494"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ind w:left="34" w:firstLine="1"/>
              <w:jc w:val="left"/>
              <w:rPr>
                <w:rFonts w:eastAsia="Times New Roman" w:cs="Arial"/>
                <w:b/>
                <w:sz w:val="20"/>
                <w:szCs w:val="20"/>
                <w:lang w:eastAsia="en-GB"/>
              </w:rPr>
            </w:pPr>
          </w:p>
        </w:tc>
        <w:tc>
          <w:tcPr>
            <w:tcW w:w="344"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sz w:val="20"/>
                <w:szCs w:val="20"/>
                <w:lang w:eastAsia="en-GB"/>
              </w:rPr>
            </w:pPr>
            <w:r w:rsidRPr="00DD32E6">
              <w:rPr>
                <w:rFonts w:eastAsia="Times New Roman" w:cs="Arial"/>
                <w:b/>
                <w:sz w:val="20"/>
                <w:szCs w:val="20"/>
                <w:lang w:eastAsia="en-GB"/>
              </w:rPr>
              <w:t>All</w:t>
            </w:r>
          </w:p>
          <w:p w:rsidR="00AC6848" w:rsidRPr="00DD32E6" w:rsidRDefault="00AC6848" w:rsidP="006A4856">
            <w:pPr>
              <w:spacing w:after="0" w:line="240" w:lineRule="auto"/>
              <w:jc w:val="center"/>
              <w:rPr>
                <w:rFonts w:eastAsia="Times New Roman" w:cs="Arial"/>
                <w:b/>
                <w:sz w:val="20"/>
                <w:szCs w:val="20"/>
                <w:lang w:eastAsia="en-GB"/>
              </w:rPr>
            </w:pPr>
            <w:r w:rsidRPr="00DD32E6">
              <w:rPr>
                <w:rFonts w:eastAsia="Times New Roman" w:cs="Arial"/>
                <w:b/>
                <w:sz w:val="20"/>
                <w:szCs w:val="20"/>
                <w:lang w:eastAsia="en-GB"/>
              </w:rPr>
              <w:t>subjects</w:t>
            </w:r>
          </w:p>
        </w:tc>
        <w:tc>
          <w:tcPr>
            <w:tcW w:w="651" w:type="pct"/>
            <w:gridSpan w:val="2"/>
            <w:tcBorders>
              <w:top w:val="single" w:sz="4" w:space="0" w:color="auto"/>
              <w:bottom w:val="single" w:sz="4" w:space="0" w:color="auto"/>
            </w:tcBorders>
            <w:vAlign w:val="bottom"/>
          </w:tcPr>
          <w:p w:rsidR="00AC6848" w:rsidRPr="00DD32E6" w:rsidRDefault="00AC6848" w:rsidP="006A4856">
            <w:pPr>
              <w:spacing w:after="0" w:line="240" w:lineRule="auto"/>
              <w:jc w:val="center"/>
              <w:rPr>
                <w:rFonts w:eastAsia="Times New Roman" w:cs="Arial"/>
                <w:b/>
                <w:sz w:val="20"/>
                <w:szCs w:val="20"/>
                <w:lang w:eastAsia="en-GB"/>
              </w:rPr>
            </w:pPr>
            <w:r w:rsidRPr="00DD32E6">
              <w:rPr>
                <w:rFonts w:eastAsia="Times New Roman" w:cs="Arial"/>
                <w:b/>
                <w:sz w:val="20"/>
                <w:szCs w:val="20"/>
                <w:lang w:eastAsia="en-GB"/>
              </w:rPr>
              <w:t>Never</w:t>
            </w:r>
          </w:p>
          <w:p w:rsidR="00AC6848" w:rsidRPr="00DD32E6" w:rsidRDefault="00AC6848" w:rsidP="006A4856">
            <w:pPr>
              <w:spacing w:after="0" w:line="240" w:lineRule="auto"/>
              <w:jc w:val="center"/>
              <w:rPr>
                <w:rFonts w:eastAsia="Times New Roman" w:cs="Arial"/>
                <w:b/>
                <w:bCs/>
                <w:sz w:val="20"/>
                <w:szCs w:val="20"/>
                <w:lang w:eastAsia="en-GB"/>
              </w:rPr>
            </w:pPr>
            <w:r w:rsidRPr="00DD32E6">
              <w:rPr>
                <w:rFonts w:eastAsia="Times New Roman" w:cs="Arial"/>
                <w:b/>
                <w:sz w:val="20"/>
                <w:szCs w:val="20"/>
                <w:lang w:eastAsia="en-GB"/>
              </w:rPr>
              <w:t>smokers</w:t>
            </w:r>
          </w:p>
        </w:tc>
        <w:tc>
          <w:tcPr>
            <w:tcW w:w="314"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sz w:val="20"/>
                <w:szCs w:val="20"/>
                <w:lang w:eastAsia="en-GB"/>
              </w:rPr>
            </w:pPr>
          </w:p>
        </w:tc>
        <w:tc>
          <w:tcPr>
            <w:tcW w:w="231"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sz w:val="20"/>
                <w:szCs w:val="20"/>
                <w:lang w:eastAsia="en-GB"/>
              </w:rPr>
            </w:pPr>
          </w:p>
        </w:tc>
        <w:tc>
          <w:tcPr>
            <w:tcW w:w="259"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sz w:val="20"/>
                <w:szCs w:val="20"/>
                <w:lang w:eastAsia="en-GB"/>
              </w:rPr>
            </w:pPr>
          </w:p>
        </w:tc>
        <w:tc>
          <w:tcPr>
            <w:tcW w:w="664" w:type="pct"/>
            <w:gridSpan w:val="2"/>
            <w:tcBorders>
              <w:top w:val="single" w:sz="4" w:space="0" w:color="auto"/>
              <w:bottom w:val="single" w:sz="4" w:space="0" w:color="auto"/>
            </w:tcBorders>
            <w:vAlign w:val="bottom"/>
          </w:tcPr>
          <w:p w:rsidR="00AC6848" w:rsidRPr="00DD32E6" w:rsidRDefault="00AC6848" w:rsidP="006A4856">
            <w:pPr>
              <w:spacing w:after="0" w:line="240" w:lineRule="auto"/>
              <w:jc w:val="center"/>
              <w:rPr>
                <w:rFonts w:eastAsia="Times New Roman" w:cs="Arial"/>
                <w:b/>
                <w:sz w:val="20"/>
                <w:szCs w:val="20"/>
                <w:lang w:eastAsia="en-GB"/>
              </w:rPr>
            </w:pPr>
            <w:r w:rsidRPr="00DD32E6">
              <w:rPr>
                <w:rFonts w:eastAsia="Times New Roman" w:cs="Arial"/>
                <w:b/>
                <w:sz w:val="20"/>
                <w:szCs w:val="20"/>
                <w:lang w:eastAsia="en-GB"/>
              </w:rPr>
              <w:t>Non-</w:t>
            </w:r>
          </w:p>
          <w:p w:rsidR="00AC6848" w:rsidRPr="00DD32E6" w:rsidRDefault="00AC6848" w:rsidP="006A4856">
            <w:pPr>
              <w:spacing w:after="0" w:line="240" w:lineRule="auto"/>
              <w:jc w:val="center"/>
              <w:rPr>
                <w:rFonts w:eastAsia="Times New Roman" w:cs="Arial"/>
                <w:b/>
                <w:sz w:val="20"/>
                <w:szCs w:val="20"/>
                <w:lang w:eastAsia="en-GB"/>
              </w:rPr>
            </w:pPr>
            <w:r w:rsidRPr="00DD32E6">
              <w:rPr>
                <w:rFonts w:eastAsia="Times New Roman" w:cs="Arial"/>
                <w:b/>
                <w:sz w:val="20"/>
                <w:szCs w:val="20"/>
                <w:lang w:eastAsia="en-GB"/>
              </w:rPr>
              <w:t>asthmatics</w:t>
            </w:r>
          </w:p>
        </w:tc>
        <w:tc>
          <w:tcPr>
            <w:tcW w:w="346" w:type="pct"/>
            <w:gridSpan w:val="2"/>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sz w:val="20"/>
                <w:szCs w:val="20"/>
                <w:lang w:eastAsia="en-GB"/>
              </w:rPr>
            </w:pPr>
            <w:r w:rsidRPr="00DD32E6">
              <w:rPr>
                <w:rFonts w:eastAsia="Times New Roman" w:cs="Arial"/>
                <w:b/>
                <w:sz w:val="20"/>
                <w:szCs w:val="20"/>
                <w:lang w:eastAsia="en-GB"/>
              </w:rPr>
              <w:t xml:space="preserve"> </w:t>
            </w:r>
          </w:p>
        </w:tc>
        <w:tc>
          <w:tcPr>
            <w:tcW w:w="229"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sz w:val="20"/>
                <w:szCs w:val="20"/>
                <w:lang w:eastAsia="en-GB"/>
              </w:rPr>
            </w:pPr>
          </w:p>
        </w:tc>
        <w:tc>
          <w:tcPr>
            <w:tcW w:w="225"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sz w:val="20"/>
                <w:szCs w:val="20"/>
                <w:lang w:eastAsia="en-GB"/>
              </w:rPr>
            </w:pPr>
          </w:p>
        </w:tc>
      </w:tr>
      <w:tr w:rsidR="00DD32E6" w:rsidRPr="00DD32E6" w:rsidTr="006A4856">
        <w:trPr>
          <w:trHeight w:val="255"/>
        </w:trPr>
        <w:tc>
          <w:tcPr>
            <w:tcW w:w="243" w:type="pct"/>
            <w:tcBorders>
              <w:top w:val="single" w:sz="4" w:space="0" w:color="auto"/>
              <w:bottom w:val="single" w:sz="4" w:space="0" w:color="auto"/>
            </w:tcBorders>
            <w:shd w:val="clear" w:color="auto" w:fill="auto"/>
            <w:noWrap/>
          </w:tcPr>
          <w:p w:rsidR="00AC6848" w:rsidRPr="00DD32E6" w:rsidRDefault="00AC6848" w:rsidP="006A4856">
            <w:pPr>
              <w:spacing w:after="0" w:line="240" w:lineRule="auto"/>
              <w:ind w:right="-276"/>
              <w:jc w:val="left"/>
              <w:rPr>
                <w:rFonts w:eastAsia="Times New Roman" w:cs="Arial"/>
                <w:b/>
                <w:sz w:val="20"/>
                <w:szCs w:val="20"/>
                <w:lang w:eastAsia="en-GB"/>
              </w:rPr>
            </w:pPr>
            <w:r w:rsidRPr="00DD32E6">
              <w:rPr>
                <w:rFonts w:eastAsia="Times New Roman" w:cs="Arial"/>
                <w:b/>
                <w:sz w:val="20"/>
                <w:szCs w:val="20"/>
                <w:lang w:eastAsia="en-GB"/>
              </w:rPr>
              <w:t xml:space="preserve">SOC </w:t>
            </w:r>
          </w:p>
          <w:p w:rsidR="00AC6848" w:rsidRPr="00DD32E6" w:rsidRDefault="00AC6848" w:rsidP="006A4856">
            <w:pPr>
              <w:spacing w:after="0" w:line="240" w:lineRule="auto"/>
              <w:ind w:right="-276"/>
              <w:jc w:val="left"/>
              <w:rPr>
                <w:rFonts w:eastAsia="Times New Roman" w:cs="Arial"/>
                <w:b/>
                <w:sz w:val="20"/>
                <w:szCs w:val="20"/>
                <w:lang w:eastAsia="en-GB"/>
              </w:rPr>
            </w:pPr>
            <w:r w:rsidRPr="00DD32E6">
              <w:rPr>
                <w:rFonts w:eastAsia="Times New Roman" w:cs="Arial"/>
                <w:b/>
                <w:sz w:val="20"/>
                <w:szCs w:val="20"/>
                <w:lang w:eastAsia="en-GB"/>
              </w:rPr>
              <w:t>code</w:t>
            </w:r>
          </w:p>
        </w:tc>
        <w:tc>
          <w:tcPr>
            <w:tcW w:w="1494"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ind w:left="34" w:firstLine="1"/>
              <w:jc w:val="left"/>
              <w:rPr>
                <w:rFonts w:eastAsia="Times New Roman" w:cs="Arial"/>
                <w:b/>
                <w:sz w:val="20"/>
                <w:szCs w:val="20"/>
                <w:lang w:eastAsia="en-GB"/>
              </w:rPr>
            </w:pPr>
            <w:r w:rsidRPr="00DD32E6">
              <w:rPr>
                <w:rFonts w:eastAsia="Times New Roman" w:cs="Arial"/>
                <w:b/>
                <w:sz w:val="20"/>
                <w:szCs w:val="20"/>
                <w:lang w:eastAsia="en-GB"/>
              </w:rPr>
              <w:t>Occupations</w:t>
            </w:r>
          </w:p>
        </w:tc>
        <w:tc>
          <w:tcPr>
            <w:tcW w:w="344"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sz w:val="20"/>
                <w:szCs w:val="20"/>
                <w:lang w:eastAsia="en-GB"/>
              </w:rPr>
            </w:pPr>
            <w:r w:rsidRPr="00DD32E6">
              <w:rPr>
                <w:rFonts w:eastAsia="Times New Roman" w:cs="Arial"/>
                <w:b/>
                <w:sz w:val="20"/>
                <w:szCs w:val="20"/>
                <w:lang w:eastAsia="en-GB"/>
              </w:rPr>
              <w:t>PR</w:t>
            </w:r>
          </w:p>
        </w:tc>
        <w:tc>
          <w:tcPr>
            <w:tcW w:w="331" w:type="pct"/>
            <w:tcBorders>
              <w:top w:val="single" w:sz="4" w:space="0" w:color="auto"/>
              <w:bottom w:val="single" w:sz="4" w:space="0" w:color="auto"/>
            </w:tcBorders>
            <w:vAlign w:val="bottom"/>
          </w:tcPr>
          <w:p w:rsidR="00AC6848" w:rsidRPr="00DD32E6" w:rsidRDefault="00AC6848" w:rsidP="006A4856">
            <w:pPr>
              <w:spacing w:after="0" w:line="240" w:lineRule="auto"/>
              <w:jc w:val="left"/>
              <w:rPr>
                <w:rFonts w:eastAsia="Times New Roman" w:cs="Arial"/>
                <w:b/>
                <w:bCs/>
                <w:sz w:val="20"/>
                <w:szCs w:val="20"/>
                <w:lang w:eastAsia="en-GB"/>
              </w:rPr>
            </w:pPr>
            <w:r w:rsidRPr="00DD32E6">
              <w:rPr>
                <w:rFonts w:eastAsia="Times New Roman" w:cs="Arial"/>
                <w:b/>
                <w:bCs/>
                <w:sz w:val="20"/>
                <w:szCs w:val="20"/>
                <w:lang w:eastAsia="en-GB"/>
              </w:rPr>
              <w:t xml:space="preserve">Healthy </w:t>
            </w:r>
          </w:p>
          <w:p w:rsidR="00AC6848" w:rsidRPr="00DD32E6" w:rsidRDefault="00AC6848" w:rsidP="006A4856">
            <w:pPr>
              <w:spacing w:after="0" w:line="240" w:lineRule="auto"/>
              <w:jc w:val="left"/>
              <w:rPr>
                <w:rFonts w:eastAsia="Times New Roman" w:cs="Arial"/>
                <w:b/>
                <w:bCs/>
                <w:sz w:val="20"/>
                <w:szCs w:val="20"/>
                <w:lang w:eastAsia="en-GB"/>
              </w:rPr>
            </w:pPr>
            <w:r w:rsidRPr="00DD32E6">
              <w:rPr>
                <w:rFonts w:eastAsia="Times New Roman" w:cs="Arial"/>
                <w:b/>
                <w:bCs/>
                <w:sz w:val="20"/>
                <w:szCs w:val="20"/>
                <w:lang w:eastAsia="en-GB"/>
              </w:rPr>
              <w:t>Exposed</w:t>
            </w:r>
          </w:p>
        </w:tc>
        <w:tc>
          <w:tcPr>
            <w:tcW w:w="320" w:type="pct"/>
            <w:tcBorders>
              <w:top w:val="single" w:sz="4" w:space="0" w:color="auto"/>
              <w:bottom w:val="single" w:sz="4" w:space="0" w:color="auto"/>
            </w:tcBorders>
            <w:vAlign w:val="bottom"/>
          </w:tcPr>
          <w:p w:rsidR="00AC6848" w:rsidRPr="00DD32E6" w:rsidRDefault="00AC6848" w:rsidP="006A4856">
            <w:pPr>
              <w:spacing w:after="0" w:line="240" w:lineRule="auto"/>
              <w:jc w:val="left"/>
              <w:rPr>
                <w:rFonts w:eastAsia="Times New Roman" w:cs="Arial"/>
                <w:b/>
                <w:bCs/>
                <w:sz w:val="20"/>
                <w:szCs w:val="20"/>
                <w:lang w:eastAsia="en-GB"/>
              </w:rPr>
            </w:pPr>
            <w:r w:rsidRPr="00DD32E6">
              <w:rPr>
                <w:rFonts w:eastAsia="Times New Roman" w:cs="Arial"/>
                <w:b/>
                <w:bCs/>
                <w:sz w:val="20"/>
                <w:szCs w:val="20"/>
                <w:lang w:eastAsia="en-GB"/>
              </w:rPr>
              <w:t>Cases</w:t>
            </w:r>
          </w:p>
          <w:p w:rsidR="00AC6848" w:rsidRPr="00DD32E6" w:rsidRDefault="00AC6848" w:rsidP="006A4856">
            <w:pPr>
              <w:spacing w:after="0" w:line="240" w:lineRule="auto"/>
              <w:jc w:val="left"/>
              <w:rPr>
                <w:rFonts w:eastAsia="Times New Roman" w:cs="Arial"/>
                <w:b/>
                <w:bCs/>
                <w:sz w:val="20"/>
                <w:szCs w:val="20"/>
                <w:lang w:eastAsia="en-GB"/>
              </w:rPr>
            </w:pPr>
            <w:r w:rsidRPr="00DD32E6">
              <w:rPr>
                <w:rFonts w:eastAsia="Times New Roman" w:cs="Arial"/>
                <w:b/>
                <w:bCs/>
                <w:sz w:val="20"/>
                <w:szCs w:val="20"/>
                <w:lang w:eastAsia="en-GB"/>
              </w:rPr>
              <w:t>Exposed</w:t>
            </w:r>
          </w:p>
        </w:tc>
        <w:tc>
          <w:tcPr>
            <w:tcW w:w="314"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sz w:val="20"/>
                <w:szCs w:val="20"/>
                <w:lang w:eastAsia="en-GB"/>
              </w:rPr>
            </w:pPr>
            <w:r w:rsidRPr="00DD32E6">
              <w:rPr>
                <w:rFonts w:eastAsia="Times New Roman" w:cs="Arial"/>
                <w:b/>
                <w:sz w:val="20"/>
                <w:szCs w:val="20"/>
                <w:lang w:eastAsia="en-GB"/>
              </w:rPr>
              <w:t>PR</w:t>
            </w:r>
          </w:p>
        </w:tc>
        <w:tc>
          <w:tcPr>
            <w:tcW w:w="490" w:type="pct"/>
            <w:gridSpan w:val="2"/>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sz w:val="20"/>
                <w:szCs w:val="20"/>
                <w:lang w:eastAsia="en-GB"/>
              </w:rPr>
            </w:pPr>
            <w:r w:rsidRPr="00DD32E6">
              <w:rPr>
                <w:rFonts w:eastAsia="Times New Roman" w:cs="Arial"/>
                <w:b/>
                <w:sz w:val="20"/>
                <w:szCs w:val="20"/>
                <w:lang w:eastAsia="en-GB"/>
              </w:rPr>
              <w:t>95%CI</w:t>
            </w:r>
          </w:p>
        </w:tc>
        <w:tc>
          <w:tcPr>
            <w:tcW w:w="368" w:type="pct"/>
            <w:tcBorders>
              <w:top w:val="single" w:sz="4" w:space="0" w:color="auto"/>
              <w:bottom w:val="single" w:sz="4" w:space="0" w:color="auto"/>
            </w:tcBorders>
            <w:vAlign w:val="bottom"/>
          </w:tcPr>
          <w:p w:rsidR="00AC6848" w:rsidRPr="00DD32E6" w:rsidRDefault="00AC6848" w:rsidP="006A4856">
            <w:pPr>
              <w:spacing w:after="0" w:line="240" w:lineRule="auto"/>
              <w:jc w:val="left"/>
              <w:rPr>
                <w:rFonts w:eastAsia="Times New Roman" w:cs="Arial"/>
                <w:b/>
                <w:bCs/>
                <w:sz w:val="20"/>
                <w:szCs w:val="20"/>
                <w:lang w:eastAsia="en-GB"/>
              </w:rPr>
            </w:pPr>
            <w:r w:rsidRPr="00DD32E6">
              <w:rPr>
                <w:rFonts w:eastAsia="Times New Roman" w:cs="Arial"/>
                <w:b/>
                <w:bCs/>
                <w:sz w:val="20"/>
                <w:szCs w:val="20"/>
                <w:lang w:eastAsia="en-GB"/>
              </w:rPr>
              <w:t xml:space="preserve">Healthy </w:t>
            </w:r>
          </w:p>
          <w:p w:rsidR="00AC6848" w:rsidRPr="00DD32E6" w:rsidRDefault="00AC6848" w:rsidP="006A4856">
            <w:pPr>
              <w:spacing w:after="0" w:line="240" w:lineRule="auto"/>
              <w:jc w:val="left"/>
              <w:rPr>
                <w:rFonts w:eastAsia="Times New Roman" w:cs="Arial"/>
                <w:b/>
                <w:bCs/>
                <w:sz w:val="20"/>
                <w:szCs w:val="20"/>
                <w:lang w:eastAsia="en-GB"/>
              </w:rPr>
            </w:pPr>
            <w:r w:rsidRPr="00DD32E6">
              <w:rPr>
                <w:rFonts w:eastAsia="Times New Roman" w:cs="Arial"/>
                <w:b/>
                <w:bCs/>
                <w:sz w:val="20"/>
                <w:szCs w:val="20"/>
                <w:lang w:eastAsia="en-GB"/>
              </w:rPr>
              <w:t>Exposed</w:t>
            </w:r>
          </w:p>
        </w:tc>
        <w:tc>
          <w:tcPr>
            <w:tcW w:w="345" w:type="pct"/>
            <w:gridSpan w:val="2"/>
            <w:tcBorders>
              <w:top w:val="single" w:sz="4" w:space="0" w:color="auto"/>
              <w:bottom w:val="single" w:sz="4" w:space="0" w:color="auto"/>
            </w:tcBorders>
            <w:vAlign w:val="bottom"/>
          </w:tcPr>
          <w:p w:rsidR="00AC6848" w:rsidRPr="00DD32E6" w:rsidRDefault="00AC6848" w:rsidP="006A4856">
            <w:pPr>
              <w:spacing w:after="0" w:line="240" w:lineRule="auto"/>
              <w:jc w:val="left"/>
              <w:rPr>
                <w:rFonts w:eastAsia="Times New Roman" w:cs="Arial"/>
                <w:b/>
                <w:bCs/>
                <w:sz w:val="20"/>
                <w:szCs w:val="20"/>
                <w:lang w:eastAsia="en-GB"/>
              </w:rPr>
            </w:pPr>
            <w:r w:rsidRPr="00DD32E6">
              <w:rPr>
                <w:rFonts w:eastAsia="Times New Roman" w:cs="Arial"/>
                <w:b/>
                <w:bCs/>
                <w:sz w:val="20"/>
                <w:szCs w:val="20"/>
                <w:lang w:eastAsia="en-GB"/>
              </w:rPr>
              <w:t>Cases</w:t>
            </w:r>
          </w:p>
          <w:p w:rsidR="00AC6848" w:rsidRPr="00DD32E6" w:rsidRDefault="00AC6848" w:rsidP="006A4856">
            <w:pPr>
              <w:spacing w:after="0" w:line="240" w:lineRule="auto"/>
              <w:jc w:val="left"/>
              <w:rPr>
                <w:rFonts w:eastAsia="Times New Roman" w:cs="Arial"/>
                <w:b/>
                <w:bCs/>
                <w:sz w:val="20"/>
                <w:szCs w:val="20"/>
                <w:lang w:eastAsia="en-GB"/>
              </w:rPr>
            </w:pPr>
            <w:r w:rsidRPr="00DD32E6">
              <w:rPr>
                <w:rFonts w:eastAsia="Times New Roman" w:cs="Arial"/>
                <w:b/>
                <w:bCs/>
                <w:sz w:val="20"/>
                <w:szCs w:val="20"/>
                <w:lang w:eastAsia="en-GB"/>
              </w:rPr>
              <w:t>Exposed</w:t>
            </w:r>
          </w:p>
        </w:tc>
        <w:tc>
          <w:tcPr>
            <w:tcW w:w="297"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sz w:val="20"/>
                <w:szCs w:val="20"/>
                <w:lang w:eastAsia="en-GB"/>
              </w:rPr>
            </w:pPr>
            <w:r w:rsidRPr="00DD32E6">
              <w:rPr>
                <w:rFonts w:eastAsia="Times New Roman" w:cs="Arial"/>
                <w:b/>
                <w:sz w:val="20"/>
                <w:szCs w:val="20"/>
                <w:lang w:eastAsia="en-GB"/>
              </w:rPr>
              <w:t>PR</w:t>
            </w:r>
          </w:p>
        </w:tc>
        <w:tc>
          <w:tcPr>
            <w:tcW w:w="454" w:type="pct"/>
            <w:gridSpan w:val="2"/>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sz w:val="20"/>
                <w:szCs w:val="20"/>
                <w:lang w:eastAsia="en-GB"/>
              </w:rPr>
            </w:pPr>
            <w:r w:rsidRPr="00DD32E6">
              <w:rPr>
                <w:rFonts w:eastAsia="Times New Roman" w:cs="Arial"/>
                <w:b/>
                <w:sz w:val="20"/>
                <w:szCs w:val="20"/>
                <w:lang w:eastAsia="en-GB"/>
              </w:rPr>
              <w:t>95%CI</w:t>
            </w:r>
          </w:p>
        </w:tc>
      </w:tr>
      <w:tr w:rsidR="00DD32E6" w:rsidRPr="00DD32E6" w:rsidTr="006A4856">
        <w:trPr>
          <w:trHeight w:val="255"/>
        </w:trPr>
        <w:tc>
          <w:tcPr>
            <w:tcW w:w="243" w:type="pct"/>
            <w:tcBorders>
              <w:top w:val="single" w:sz="4" w:space="0" w:color="auto"/>
            </w:tcBorders>
            <w:shd w:val="clear" w:color="auto" w:fill="auto"/>
            <w:noWrap/>
            <w:hideMark/>
          </w:tcPr>
          <w:p w:rsidR="00AC6848" w:rsidRPr="00DD32E6" w:rsidRDefault="00AC6848" w:rsidP="006A4856">
            <w:pPr>
              <w:spacing w:after="0" w:line="240" w:lineRule="auto"/>
              <w:ind w:right="-276"/>
              <w:jc w:val="left"/>
              <w:rPr>
                <w:rFonts w:eastAsia="Times New Roman" w:cs="Arial"/>
                <w:sz w:val="20"/>
                <w:szCs w:val="20"/>
                <w:lang w:eastAsia="en-GB"/>
              </w:rPr>
            </w:pPr>
            <w:r w:rsidRPr="00DD32E6">
              <w:rPr>
                <w:rFonts w:eastAsia="Times New Roman" w:cs="Arial"/>
                <w:sz w:val="20"/>
                <w:szCs w:val="20"/>
                <w:lang w:eastAsia="en-GB"/>
              </w:rPr>
              <w:t>8217</w:t>
            </w:r>
          </w:p>
        </w:tc>
        <w:tc>
          <w:tcPr>
            <w:tcW w:w="1494"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Seafarers; barge, lighter and  boat operatives</w:t>
            </w:r>
          </w:p>
        </w:tc>
        <w:tc>
          <w:tcPr>
            <w:tcW w:w="344" w:type="pct"/>
            <w:tcBorders>
              <w:top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2.64</w:t>
            </w:r>
          </w:p>
        </w:tc>
        <w:tc>
          <w:tcPr>
            <w:tcW w:w="331" w:type="pct"/>
            <w:tcBorders>
              <w:top w:val="single" w:sz="4" w:space="0" w:color="auto"/>
            </w:tcBorders>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7</w:t>
            </w:r>
          </w:p>
        </w:tc>
        <w:tc>
          <w:tcPr>
            <w:tcW w:w="320" w:type="pct"/>
            <w:tcBorders>
              <w:top w:val="single" w:sz="4" w:space="0" w:color="auto"/>
            </w:tcBorders>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3</w:t>
            </w:r>
          </w:p>
        </w:tc>
        <w:tc>
          <w:tcPr>
            <w:tcW w:w="314" w:type="pct"/>
            <w:tcBorders>
              <w:top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3.90</w:t>
            </w:r>
          </w:p>
        </w:tc>
        <w:tc>
          <w:tcPr>
            <w:tcW w:w="231" w:type="pct"/>
            <w:tcBorders>
              <w:top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1.43</w:t>
            </w:r>
          </w:p>
        </w:tc>
        <w:tc>
          <w:tcPr>
            <w:tcW w:w="259" w:type="pct"/>
            <w:tcBorders>
              <w:top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10.65</w:t>
            </w:r>
          </w:p>
        </w:tc>
        <w:tc>
          <w:tcPr>
            <w:tcW w:w="368" w:type="pct"/>
            <w:tcBorders>
              <w:top w:val="single" w:sz="4" w:space="0" w:color="auto"/>
            </w:tcBorders>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30</w:t>
            </w:r>
          </w:p>
        </w:tc>
        <w:tc>
          <w:tcPr>
            <w:tcW w:w="296" w:type="pct"/>
            <w:tcBorders>
              <w:top w:val="single" w:sz="4" w:space="0" w:color="auto"/>
            </w:tcBorders>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9</w:t>
            </w:r>
          </w:p>
        </w:tc>
        <w:tc>
          <w:tcPr>
            <w:tcW w:w="346" w:type="pct"/>
            <w:gridSpan w:val="2"/>
            <w:tcBorders>
              <w:top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3.10</w:t>
            </w:r>
          </w:p>
        </w:tc>
        <w:tc>
          <w:tcPr>
            <w:tcW w:w="229" w:type="pct"/>
            <w:tcBorders>
              <w:top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1.79</w:t>
            </w:r>
          </w:p>
        </w:tc>
        <w:tc>
          <w:tcPr>
            <w:tcW w:w="225" w:type="pct"/>
            <w:tcBorders>
              <w:top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5.36</w:t>
            </w:r>
          </w:p>
        </w:tc>
      </w:tr>
      <w:tr w:rsidR="00DD32E6" w:rsidRPr="00DD32E6" w:rsidTr="006A4856">
        <w:trPr>
          <w:trHeight w:val="255"/>
        </w:trPr>
        <w:tc>
          <w:tcPr>
            <w:tcW w:w="243"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8122</w:t>
            </w:r>
          </w:p>
        </w:tc>
        <w:tc>
          <w:tcPr>
            <w:tcW w:w="1494"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Coal mine operatives</w:t>
            </w:r>
          </w:p>
        </w:tc>
        <w:tc>
          <w:tcPr>
            <w:tcW w:w="34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2.30</w:t>
            </w:r>
          </w:p>
        </w:tc>
        <w:tc>
          <w:tcPr>
            <w:tcW w:w="331"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8</w:t>
            </w:r>
          </w:p>
        </w:tc>
        <w:tc>
          <w:tcPr>
            <w:tcW w:w="320"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0</w:t>
            </w:r>
          </w:p>
        </w:tc>
        <w:tc>
          <w:tcPr>
            <w:tcW w:w="31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NA</w:t>
            </w:r>
          </w:p>
        </w:tc>
        <w:tc>
          <w:tcPr>
            <w:tcW w:w="231"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NA</w:t>
            </w:r>
          </w:p>
        </w:tc>
        <w:tc>
          <w:tcPr>
            <w:tcW w:w="25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NA</w:t>
            </w:r>
          </w:p>
        </w:tc>
        <w:tc>
          <w:tcPr>
            <w:tcW w:w="368"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w:t>
            </w:r>
          </w:p>
        </w:tc>
        <w:tc>
          <w:tcPr>
            <w:tcW w:w="296"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5</w:t>
            </w:r>
          </w:p>
        </w:tc>
        <w:tc>
          <w:tcPr>
            <w:tcW w:w="346" w:type="pct"/>
            <w:gridSpan w:val="2"/>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3.17</w:t>
            </w:r>
          </w:p>
        </w:tc>
        <w:tc>
          <w:tcPr>
            <w:tcW w:w="22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1.37</w:t>
            </w:r>
          </w:p>
        </w:tc>
        <w:tc>
          <w:tcPr>
            <w:tcW w:w="225"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7.34</w:t>
            </w:r>
          </w:p>
        </w:tc>
      </w:tr>
      <w:tr w:rsidR="00DD32E6" w:rsidRPr="00DD32E6" w:rsidTr="006A4856">
        <w:trPr>
          <w:trHeight w:val="255"/>
        </w:trPr>
        <w:tc>
          <w:tcPr>
            <w:tcW w:w="243"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9132</w:t>
            </w:r>
          </w:p>
        </w:tc>
        <w:tc>
          <w:tcPr>
            <w:tcW w:w="1494"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Industrial cleaning process occupations</w:t>
            </w:r>
          </w:p>
        </w:tc>
        <w:tc>
          <w:tcPr>
            <w:tcW w:w="34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1.96</w:t>
            </w:r>
          </w:p>
        </w:tc>
        <w:tc>
          <w:tcPr>
            <w:tcW w:w="331"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w:t>
            </w:r>
          </w:p>
        </w:tc>
        <w:tc>
          <w:tcPr>
            <w:tcW w:w="320"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w:t>
            </w:r>
          </w:p>
        </w:tc>
        <w:tc>
          <w:tcPr>
            <w:tcW w:w="31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1.00</w:t>
            </w:r>
          </w:p>
        </w:tc>
        <w:tc>
          <w:tcPr>
            <w:tcW w:w="231"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0.13</w:t>
            </w:r>
          </w:p>
        </w:tc>
        <w:tc>
          <w:tcPr>
            <w:tcW w:w="25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6.09</w:t>
            </w:r>
          </w:p>
        </w:tc>
        <w:tc>
          <w:tcPr>
            <w:tcW w:w="368"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33</w:t>
            </w:r>
          </w:p>
        </w:tc>
        <w:tc>
          <w:tcPr>
            <w:tcW w:w="296"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8</w:t>
            </w:r>
          </w:p>
        </w:tc>
        <w:tc>
          <w:tcPr>
            <w:tcW w:w="346" w:type="pct"/>
            <w:gridSpan w:val="2"/>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1.96</w:t>
            </w:r>
          </w:p>
        </w:tc>
        <w:tc>
          <w:tcPr>
            <w:tcW w:w="22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1.06</w:t>
            </w:r>
          </w:p>
        </w:tc>
        <w:tc>
          <w:tcPr>
            <w:tcW w:w="225"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3.62</w:t>
            </w:r>
          </w:p>
        </w:tc>
      </w:tr>
      <w:tr w:rsidR="00DD32E6" w:rsidRPr="00DD32E6" w:rsidTr="006A4856">
        <w:trPr>
          <w:trHeight w:val="255"/>
        </w:trPr>
        <w:tc>
          <w:tcPr>
            <w:tcW w:w="243"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5313</w:t>
            </w:r>
          </w:p>
        </w:tc>
        <w:tc>
          <w:tcPr>
            <w:tcW w:w="1494"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 xml:space="preserve">Roofers, roof </w:t>
            </w:r>
            <w:proofErr w:type="spellStart"/>
            <w:r w:rsidRPr="00DD32E6">
              <w:rPr>
                <w:rFonts w:eastAsia="Times New Roman" w:cs="Arial"/>
                <w:sz w:val="20"/>
                <w:szCs w:val="20"/>
                <w:lang w:eastAsia="en-GB"/>
              </w:rPr>
              <w:t>tilers</w:t>
            </w:r>
            <w:proofErr w:type="spellEnd"/>
            <w:r w:rsidRPr="00DD32E6">
              <w:rPr>
                <w:rFonts w:eastAsia="Times New Roman" w:cs="Arial"/>
                <w:sz w:val="20"/>
                <w:szCs w:val="20"/>
                <w:lang w:eastAsia="en-GB"/>
              </w:rPr>
              <w:t xml:space="preserve"> and </w:t>
            </w:r>
            <w:proofErr w:type="spellStart"/>
            <w:r w:rsidRPr="00DD32E6">
              <w:rPr>
                <w:rFonts w:eastAsia="Times New Roman" w:cs="Arial"/>
                <w:sz w:val="20"/>
                <w:szCs w:val="20"/>
                <w:lang w:eastAsia="en-GB"/>
              </w:rPr>
              <w:t>slaters</w:t>
            </w:r>
            <w:proofErr w:type="spellEnd"/>
          </w:p>
        </w:tc>
        <w:tc>
          <w:tcPr>
            <w:tcW w:w="34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1.86</w:t>
            </w:r>
          </w:p>
        </w:tc>
        <w:tc>
          <w:tcPr>
            <w:tcW w:w="331"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40</w:t>
            </w:r>
          </w:p>
        </w:tc>
        <w:tc>
          <w:tcPr>
            <w:tcW w:w="320"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7</w:t>
            </w:r>
          </w:p>
        </w:tc>
        <w:tc>
          <w:tcPr>
            <w:tcW w:w="31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1.99</w:t>
            </w:r>
          </w:p>
        </w:tc>
        <w:tc>
          <w:tcPr>
            <w:tcW w:w="231"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1.00</w:t>
            </w:r>
          </w:p>
        </w:tc>
        <w:tc>
          <w:tcPr>
            <w:tcW w:w="25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3.66</w:t>
            </w:r>
          </w:p>
        </w:tc>
        <w:tc>
          <w:tcPr>
            <w:tcW w:w="368"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95</w:t>
            </w:r>
          </w:p>
        </w:tc>
        <w:tc>
          <w:tcPr>
            <w:tcW w:w="296"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w:t>
            </w:r>
          </w:p>
        </w:tc>
        <w:tc>
          <w:tcPr>
            <w:tcW w:w="346" w:type="pct"/>
            <w:gridSpan w:val="2"/>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1.53</w:t>
            </w:r>
          </w:p>
        </w:tc>
        <w:tc>
          <w:tcPr>
            <w:tcW w:w="22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0.91</w:t>
            </w:r>
          </w:p>
        </w:tc>
        <w:tc>
          <w:tcPr>
            <w:tcW w:w="225"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2.55</w:t>
            </w:r>
          </w:p>
        </w:tc>
      </w:tr>
      <w:tr w:rsidR="00DD32E6" w:rsidRPr="00DD32E6" w:rsidTr="006A4856">
        <w:trPr>
          <w:trHeight w:val="255"/>
        </w:trPr>
        <w:tc>
          <w:tcPr>
            <w:tcW w:w="243"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9134</w:t>
            </w:r>
          </w:p>
        </w:tc>
        <w:tc>
          <w:tcPr>
            <w:tcW w:w="1494"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Packers, bottlers, canners, fillers</w:t>
            </w:r>
          </w:p>
        </w:tc>
        <w:tc>
          <w:tcPr>
            <w:tcW w:w="34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1.60</w:t>
            </w:r>
          </w:p>
        </w:tc>
        <w:tc>
          <w:tcPr>
            <w:tcW w:w="331"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81</w:t>
            </w:r>
          </w:p>
        </w:tc>
        <w:tc>
          <w:tcPr>
            <w:tcW w:w="320"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12</w:t>
            </w:r>
          </w:p>
        </w:tc>
        <w:tc>
          <w:tcPr>
            <w:tcW w:w="31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1.67</w:t>
            </w:r>
          </w:p>
        </w:tc>
        <w:tc>
          <w:tcPr>
            <w:tcW w:w="231"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0.98</w:t>
            </w:r>
          </w:p>
        </w:tc>
        <w:tc>
          <w:tcPr>
            <w:tcW w:w="25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2.84</w:t>
            </w:r>
          </w:p>
        </w:tc>
        <w:tc>
          <w:tcPr>
            <w:tcW w:w="368"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143</w:t>
            </w:r>
          </w:p>
        </w:tc>
        <w:tc>
          <w:tcPr>
            <w:tcW w:w="296"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21</w:t>
            </w:r>
          </w:p>
        </w:tc>
        <w:tc>
          <w:tcPr>
            <w:tcW w:w="346" w:type="pct"/>
            <w:gridSpan w:val="2"/>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1.42</w:t>
            </w:r>
          </w:p>
        </w:tc>
        <w:tc>
          <w:tcPr>
            <w:tcW w:w="22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0.95</w:t>
            </w:r>
          </w:p>
        </w:tc>
        <w:tc>
          <w:tcPr>
            <w:tcW w:w="225"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2.13</w:t>
            </w:r>
          </w:p>
        </w:tc>
      </w:tr>
      <w:tr w:rsidR="00DD32E6" w:rsidRPr="00DD32E6" w:rsidTr="006A4856">
        <w:trPr>
          <w:trHeight w:val="255"/>
        </w:trPr>
        <w:tc>
          <w:tcPr>
            <w:tcW w:w="243" w:type="pct"/>
            <w:shd w:val="clear" w:color="auto" w:fill="auto"/>
            <w:noWrap/>
          </w:tcPr>
          <w:p w:rsidR="00AC6848" w:rsidRPr="00DD32E6" w:rsidRDefault="00AC6848" w:rsidP="006A4856">
            <w:pPr>
              <w:spacing w:after="0" w:line="240" w:lineRule="auto"/>
              <w:jc w:val="left"/>
              <w:rPr>
                <w:rFonts w:eastAsia="Times New Roman" w:cs="Arial"/>
                <w:bCs/>
                <w:sz w:val="20"/>
                <w:szCs w:val="20"/>
                <w:lang w:eastAsia="en-GB"/>
              </w:rPr>
            </w:pPr>
            <w:r w:rsidRPr="00DD32E6">
              <w:rPr>
                <w:rFonts w:eastAsia="Times New Roman" w:cs="Arial"/>
                <w:bCs/>
                <w:sz w:val="20"/>
                <w:szCs w:val="20"/>
                <w:lang w:eastAsia="en-GB"/>
              </w:rPr>
              <w:t>5112</w:t>
            </w:r>
          </w:p>
        </w:tc>
        <w:tc>
          <w:tcPr>
            <w:tcW w:w="1494" w:type="pct"/>
            <w:shd w:val="clear" w:color="auto" w:fill="auto"/>
            <w:noWrap/>
          </w:tcPr>
          <w:p w:rsidR="00AC6848" w:rsidRPr="00DD32E6" w:rsidRDefault="00AC6848" w:rsidP="006A4856">
            <w:pPr>
              <w:spacing w:after="0" w:line="240" w:lineRule="auto"/>
              <w:jc w:val="left"/>
              <w:rPr>
                <w:rFonts w:eastAsia="Times New Roman" w:cs="Arial"/>
                <w:bCs/>
                <w:sz w:val="20"/>
                <w:szCs w:val="20"/>
                <w:lang w:eastAsia="en-GB"/>
              </w:rPr>
            </w:pPr>
            <w:r w:rsidRPr="00DD32E6">
              <w:rPr>
                <w:rFonts w:eastAsia="Times New Roman" w:cs="Arial"/>
                <w:bCs/>
                <w:sz w:val="20"/>
                <w:szCs w:val="20"/>
                <w:lang w:eastAsia="en-GB"/>
              </w:rPr>
              <w:t>Horticultural trades</w:t>
            </w:r>
          </w:p>
        </w:tc>
        <w:tc>
          <w:tcPr>
            <w:tcW w:w="344" w:type="pct"/>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1.55</w:t>
            </w:r>
          </w:p>
        </w:tc>
        <w:tc>
          <w:tcPr>
            <w:tcW w:w="331"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47</w:t>
            </w:r>
          </w:p>
        </w:tc>
        <w:tc>
          <w:tcPr>
            <w:tcW w:w="320"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4</w:t>
            </w:r>
          </w:p>
        </w:tc>
        <w:tc>
          <w:tcPr>
            <w:tcW w:w="314" w:type="pct"/>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1.07</w:t>
            </w:r>
          </w:p>
        </w:tc>
        <w:tc>
          <w:tcPr>
            <w:tcW w:w="231" w:type="pct"/>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0.42</w:t>
            </w:r>
          </w:p>
        </w:tc>
        <w:tc>
          <w:tcPr>
            <w:tcW w:w="259" w:type="pct"/>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2.76</w:t>
            </w:r>
          </w:p>
        </w:tc>
        <w:tc>
          <w:tcPr>
            <w:tcW w:w="368"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81</w:t>
            </w:r>
          </w:p>
        </w:tc>
        <w:tc>
          <w:tcPr>
            <w:tcW w:w="296"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12</w:t>
            </w:r>
          </w:p>
        </w:tc>
        <w:tc>
          <w:tcPr>
            <w:tcW w:w="346" w:type="pct"/>
            <w:gridSpan w:val="2"/>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1.51</w:t>
            </w:r>
          </w:p>
        </w:tc>
        <w:tc>
          <w:tcPr>
            <w:tcW w:w="229" w:type="pct"/>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0.89</w:t>
            </w:r>
          </w:p>
        </w:tc>
        <w:tc>
          <w:tcPr>
            <w:tcW w:w="225" w:type="pct"/>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2.59</w:t>
            </w:r>
          </w:p>
        </w:tc>
      </w:tr>
      <w:tr w:rsidR="00DD32E6" w:rsidRPr="00DD32E6" w:rsidTr="006A4856">
        <w:trPr>
          <w:trHeight w:val="255"/>
        </w:trPr>
        <w:tc>
          <w:tcPr>
            <w:tcW w:w="243"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8111</w:t>
            </w:r>
          </w:p>
        </w:tc>
        <w:tc>
          <w:tcPr>
            <w:tcW w:w="1494"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Food, drink and tobacco process operatives</w:t>
            </w:r>
          </w:p>
        </w:tc>
        <w:tc>
          <w:tcPr>
            <w:tcW w:w="34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1.46</w:t>
            </w:r>
          </w:p>
        </w:tc>
        <w:tc>
          <w:tcPr>
            <w:tcW w:w="331"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135</w:t>
            </w:r>
          </w:p>
        </w:tc>
        <w:tc>
          <w:tcPr>
            <w:tcW w:w="320"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18</w:t>
            </w:r>
          </w:p>
        </w:tc>
        <w:tc>
          <w:tcPr>
            <w:tcW w:w="31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1.57</w:t>
            </w:r>
          </w:p>
        </w:tc>
        <w:tc>
          <w:tcPr>
            <w:tcW w:w="231"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1.02</w:t>
            </w:r>
          </w:p>
        </w:tc>
        <w:tc>
          <w:tcPr>
            <w:tcW w:w="25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2.42</w:t>
            </w:r>
          </w:p>
        </w:tc>
        <w:tc>
          <w:tcPr>
            <w:tcW w:w="368"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274</w:t>
            </w:r>
          </w:p>
        </w:tc>
        <w:tc>
          <w:tcPr>
            <w:tcW w:w="296"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33</w:t>
            </w:r>
          </w:p>
        </w:tc>
        <w:tc>
          <w:tcPr>
            <w:tcW w:w="346" w:type="pct"/>
            <w:gridSpan w:val="2"/>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1.45</w:t>
            </w:r>
          </w:p>
        </w:tc>
        <w:tc>
          <w:tcPr>
            <w:tcW w:w="22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1.06</w:t>
            </w:r>
          </w:p>
        </w:tc>
        <w:tc>
          <w:tcPr>
            <w:tcW w:w="225"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2.00</w:t>
            </w:r>
          </w:p>
        </w:tc>
      </w:tr>
      <w:tr w:rsidR="00DD32E6" w:rsidRPr="00DD32E6" w:rsidTr="006A4856">
        <w:trPr>
          <w:trHeight w:val="255"/>
        </w:trPr>
        <w:tc>
          <w:tcPr>
            <w:tcW w:w="243"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9233</w:t>
            </w:r>
          </w:p>
        </w:tc>
        <w:tc>
          <w:tcPr>
            <w:tcW w:w="1494"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Cleaners, domestics</w:t>
            </w:r>
          </w:p>
        </w:tc>
        <w:tc>
          <w:tcPr>
            <w:tcW w:w="34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1.43</w:t>
            </w:r>
          </w:p>
        </w:tc>
        <w:tc>
          <w:tcPr>
            <w:tcW w:w="331"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905</w:t>
            </w:r>
          </w:p>
        </w:tc>
        <w:tc>
          <w:tcPr>
            <w:tcW w:w="320"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101</w:t>
            </w:r>
          </w:p>
        </w:tc>
        <w:tc>
          <w:tcPr>
            <w:tcW w:w="31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1.38</w:t>
            </w:r>
          </w:p>
        </w:tc>
        <w:tc>
          <w:tcPr>
            <w:tcW w:w="231"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1.15</w:t>
            </w:r>
          </w:p>
        </w:tc>
        <w:tc>
          <w:tcPr>
            <w:tcW w:w="25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1.66</w:t>
            </w:r>
          </w:p>
        </w:tc>
        <w:tc>
          <w:tcPr>
            <w:tcW w:w="368"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1549</w:t>
            </w:r>
          </w:p>
        </w:tc>
        <w:tc>
          <w:tcPr>
            <w:tcW w:w="296"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234</w:t>
            </w:r>
          </w:p>
        </w:tc>
        <w:tc>
          <w:tcPr>
            <w:tcW w:w="346" w:type="pct"/>
            <w:gridSpan w:val="2"/>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1.46</w:t>
            </w:r>
          </w:p>
        </w:tc>
        <w:tc>
          <w:tcPr>
            <w:tcW w:w="22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1.29</w:t>
            </w:r>
          </w:p>
        </w:tc>
        <w:tc>
          <w:tcPr>
            <w:tcW w:w="225"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1.65</w:t>
            </w:r>
          </w:p>
        </w:tc>
      </w:tr>
      <w:tr w:rsidR="00DD32E6" w:rsidRPr="00DD32E6" w:rsidTr="006A4856">
        <w:trPr>
          <w:trHeight w:val="255"/>
        </w:trPr>
        <w:tc>
          <w:tcPr>
            <w:tcW w:w="243"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5322</w:t>
            </w:r>
          </w:p>
        </w:tc>
        <w:tc>
          <w:tcPr>
            <w:tcW w:w="1494"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 xml:space="preserve">Floorers and wall </w:t>
            </w:r>
            <w:proofErr w:type="spellStart"/>
            <w:r w:rsidRPr="00DD32E6">
              <w:rPr>
                <w:rFonts w:eastAsia="Times New Roman" w:cs="Arial"/>
                <w:sz w:val="20"/>
                <w:szCs w:val="20"/>
                <w:lang w:eastAsia="en-GB"/>
              </w:rPr>
              <w:t>tilers</w:t>
            </w:r>
            <w:proofErr w:type="spellEnd"/>
          </w:p>
        </w:tc>
        <w:tc>
          <w:tcPr>
            <w:tcW w:w="34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1.41</w:t>
            </w:r>
          </w:p>
        </w:tc>
        <w:tc>
          <w:tcPr>
            <w:tcW w:w="331"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95</w:t>
            </w:r>
          </w:p>
        </w:tc>
        <w:tc>
          <w:tcPr>
            <w:tcW w:w="320"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11</w:t>
            </w:r>
          </w:p>
        </w:tc>
        <w:tc>
          <w:tcPr>
            <w:tcW w:w="31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1.46</w:t>
            </w:r>
          </w:p>
        </w:tc>
        <w:tc>
          <w:tcPr>
            <w:tcW w:w="231"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0.79</w:t>
            </w:r>
          </w:p>
        </w:tc>
        <w:tc>
          <w:tcPr>
            <w:tcW w:w="25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2.72</w:t>
            </w:r>
          </w:p>
        </w:tc>
        <w:tc>
          <w:tcPr>
            <w:tcW w:w="368"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149</w:t>
            </w:r>
          </w:p>
        </w:tc>
        <w:tc>
          <w:tcPr>
            <w:tcW w:w="296"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22</w:t>
            </w:r>
          </w:p>
        </w:tc>
        <w:tc>
          <w:tcPr>
            <w:tcW w:w="346" w:type="pct"/>
            <w:gridSpan w:val="2"/>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1.56</w:t>
            </w:r>
          </w:p>
        </w:tc>
        <w:tc>
          <w:tcPr>
            <w:tcW w:w="22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1.06</w:t>
            </w:r>
          </w:p>
        </w:tc>
        <w:tc>
          <w:tcPr>
            <w:tcW w:w="225"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2.30</w:t>
            </w:r>
          </w:p>
        </w:tc>
      </w:tr>
      <w:tr w:rsidR="00DD32E6" w:rsidRPr="00DD32E6" w:rsidTr="006A4856">
        <w:trPr>
          <w:trHeight w:val="255"/>
        </w:trPr>
        <w:tc>
          <w:tcPr>
            <w:tcW w:w="243" w:type="pct"/>
            <w:shd w:val="clear" w:color="auto" w:fill="auto"/>
            <w:noWrap/>
            <w:vAlign w:val="bottom"/>
          </w:tcPr>
          <w:p w:rsidR="00AC6848" w:rsidRPr="00DD32E6" w:rsidRDefault="00AC6848" w:rsidP="006A4856">
            <w:pPr>
              <w:spacing w:after="0" w:line="240" w:lineRule="auto"/>
              <w:jc w:val="left"/>
              <w:rPr>
                <w:rFonts w:eastAsia="Times New Roman" w:cs="Arial"/>
                <w:bCs/>
                <w:sz w:val="20"/>
                <w:szCs w:val="20"/>
                <w:lang w:eastAsia="en-GB"/>
              </w:rPr>
            </w:pPr>
            <w:r w:rsidRPr="00DD32E6">
              <w:rPr>
                <w:rFonts w:eastAsia="Times New Roman" w:cs="Arial"/>
                <w:bCs/>
                <w:sz w:val="20"/>
                <w:szCs w:val="20"/>
                <w:lang w:eastAsia="en-GB"/>
              </w:rPr>
              <w:t>8114</w:t>
            </w:r>
          </w:p>
        </w:tc>
        <w:tc>
          <w:tcPr>
            <w:tcW w:w="1494" w:type="pct"/>
            <w:shd w:val="clear" w:color="auto" w:fill="auto"/>
            <w:noWrap/>
            <w:vAlign w:val="bottom"/>
          </w:tcPr>
          <w:p w:rsidR="00AC6848" w:rsidRPr="00DD32E6" w:rsidRDefault="00AC6848" w:rsidP="006A4856">
            <w:pPr>
              <w:spacing w:after="0" w:line="240" w:lineRule="auto"/>
              <w:jc w:val="left"/>
              <w:rPr>
                <w:rFonts w:eastAsia="Times New Roman" w:cs="Arial"/>
                <w:bCs/>
                <w:sz w:val="20"/>
                <w:szCs w:val="20"/>
                <w:lang w:eastAsia="en-GB"/>
              </w:rPr>
            </w:pPr>
            <w:r w:rsidRPr="00DD32E6">
              <w:rPr>
                <w:rFonts w:eastAsia="Times New Roman" w:cs="Arial"/>
                <w:bCs/>
                <w:sz w:val="20"/>
                <w:szCs w:val="20"/>
                <w:lang w:eastAsia="en-GB"/>
              </w:rPr>
              <w:t>Chemical and related process operatives</w:t>
            </w:r>
          </w:p>
        </w:tc>
        <w:tc>
          <w:tcPr>
            <w:tcW w:w="344" w:type="pct"/>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1.39</w:t>
            </w:r>
          </w:p>
        </w:tc>
        <w:tc>
          <w:tcPr>
            <w:tcW w:w="331"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104</w:t>
            </w:r>
          </w:p>
        </w:tc>
        <w:tc>
          <w:tcPr>
            <w:tcW w:w="320"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w:t>
            </w:r>
          </w:p>
        </w:tc>
        <w:tc>
          <w:tcPr>
            <w:tcW w:w="314" w:type="pct"/>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1.51</w:t>
            </w:r>
          </w:p>
        </w:tc>
        <w:tc>
          <w:tcPr>
            <w:tcW w:w="231" w:type="pct"/>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0.90</w:t>
            </w:r>
          </w:p>
        </w:tc>
        <w:tc>
          <w:tcPr>
            <w:tcW w:w="259" w:type="pct"/>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2.52</w:t>
            </w:r>
          </w:p>
        </w:tc>
        <w:tc>
          <w:tcPr>
            <w:tcW w:w="368"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200</w:t>
            </w:r>
          </w:p>
        </w:tc>
        <w:tc>
          <w:tcPr>
            <w:tcW w:w="296"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20</w:t>
            </w:r>
          </w:p>
        </w:tc>
        <w:tc>
          <w:tcPr>
            <w:tcW w:w="346" w:type="pct"/>
            <w:gridSpan w:val="2"/>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1.32</w:t>
            </w:r>
          </w:p>
        </w:tc>
        <w:tc>
          <w:tcPr>
            <w:tcW w:w="229" w:type="pct"/>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0.85</w:t>
            </w:r>
          </w:p>
        </w:tc>
        <w:tc>
          <w:tcPr>
            <w:tcW w:w="225" w:type="pct"/>
            <w:shd w:val="clear" w:color="auto" w:fill="auto"/>
            <w:noWrap/>
            <w:vAlign w:val="bottom"/>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2.04</w:t>
            </w:r>
          </w:p>
        </w:tc>
      </w:tr>
      <w:tr w:rsidR="00DD32E6" w:rsidRPr="00DD32E6" w:rsidTr="006A4856">
        <w:trPr>
          <w:trHeight w:val="255"/>
        </w:trPr>
        <w:tc>
          <w:tcPr>
            <w:tcW w:w="243"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9211</w:t>
            </w:r>
          </w:p>
        </w:tc>
        <w:tc>
          <w:tcPr>
            <w:tcW w:w="1494"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Postal workers, mail sorters, messengers, couriers</w:t>
            </w:r>
          </w:p>
        </w:tc>
        <w:tc>
          <w:tcPr>
            <w:tcW w:w="34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1.35</w:t>
            </w:r>
          </w:p>
        </w:tc>
        <w:tc>
          <w:tcPr>
            <w:tcW w:w="331"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524</w:t>
            </w:r>
          </w:p>
        </w:tc>
        <w:tc>
          <w:tcPr>
            <w:tcW w:w="320"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58</w:t>
            </w:r>
          </w:p>
        </w:tc>
        <w:tc>
          <w:tcPr>
            <w:tcW w:w="31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1.37</w:t>
            </w:r>
          </w:p>
        </w:tc>
        <w:tc>
          <w:tcPr>
            <w:tcW w:w="231"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1.07</w:t>
            </w:r>
          </w:p>
        </w:tc>
        <w:tc>
          <w:tcPr>
            <w:tcW w:w="25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1.75</w:t>
            </w:r>
          </w:p>
        </w:tc>
        <w:tc>
          <w:tcPr>
            <w:tcW w:w="368"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888</w:t>
            </w:r>
          </w:p>
        </w:tc>
        <w:tc>
          <w:tcPr>
            <w:tcW w:w="296"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107</w:t>
            </w:r>
          </w:p>
        </w:tc>
        <w:tc>
          <w:tcPr>
            <w:tcW w:w="346" w:type="pct"/>
            <w:gridSpan w:val="2"/>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1.44</w:t>
            </w:r>
          </w:p>
        </w:tc>
        <w:tc>
          <w:tcPr>
            <w:tcW w:w="22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1.19</w:t>
            </w:r>
          </w:p>
        </w:tc>
        <w:tc>
          <w:tcPr>
            <w:tcW w:w="225"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1.73</w:t>
            </w:r>
          </w:p>
        </w:tc>
      </w:tr>
      <w:tr w:rsidR="00DD32E6" w:rsidRPr="00DD32E6" w:rsidTr="006A4856">
        <w:trPr>
          <w:trHeight w:val="255"/>
        </w:trPr>
        <w:tc>
          <w:tcPr>
            <w:tcW w:w="243"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9121</w:t>
            </w:r>
          </w:p>
        </w:tc>
        <w:tc>
          <w:tcPr>
            <w:tcW w:w="1494"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Labourers in building and woodworking trades</w:t>
            </w:r>
          </w:p>
        </w:tc>
        <w:tc>
          <w:tcPr>
            <w:tcW w:w="34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1.32</w:t>
            </w:r>
          </w:p>
        </w:tc>
        <w:tc>
          <w:tcPr>
            <w:tcW w:w="331"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159</w:t>
            </w:r>
          </w:p>
        </w:tc>
        <w:tc>
          <w:tcPr>
            <w:tcW w:w="320"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12</w:t>
            </w:r>
          </w:p>
        </w:tc>
        <w:tc>
          <w:tcPr>
            <w:tcW w:w="31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1.01</w:t>
            </w:r>
          </w:p>
        </w:tc>
        <w:tc>
          <w:tcPr>
            <w:tcW w:w="231"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0.59</w:t>
            </w:r>
          </w:p>
        </w:tc>
        <w:tc>
          <w:tcPr>
            <w:tcW w:w="25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1.75</w:t>
            </w:r>
          </w:p>
        </w:tc>
        <w:tc>
          <w:tcPr>
            <w:tcW w:w="368"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342</w:t>
            </w:r>
          </w:p>
        </w:tc>
        <w:tc>
          <w:tcPr>
            <w:tcW w:w="296"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47</w:t>
            </w:r>
          </w:p>
        </w:tc>
        <w:tc>
          <w:tcPr>
            <w:tcW w:w="346" w:type="pct"/>
            <w:gridSpan w:val="2"/>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1.45</w:t>
            </w:r>
          </w:p>
        </w:tc>
        <w:tc>
          <w:tcPr>
            <w:tcW w:w="22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1.11</w:t>
            </w:r>
          </w:p>
        </w:tc>
        <w:tc>
          <w:tcPr>
            <w:tcW w:w="225"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1.89</w:t>
            </w:r>
          </w:p>
        </w:tc>
      </w:tr>
      <w:tr w:rsidR="00DD32E6" w:rsidRPr="00DD32E6" w:rsidTr="006A4856">
        <w:trPr>
          <w:trHeight w:val="255"/>
        </w:trPr>
        <w:tc>
          <w:tcPr>
            <w:tcW w:w="243"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9244</w:t>
            </w:r>
          </w:p>
        </w:tc>
        <w:tc>
          <w:tcPr>
            <w:tcW w:w="1494" w:type="pct"/>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School mid-day assistants</w:t>
            </w:r>
          </w:p>
        </w:tc>
        <w:tc>
          <w:tcPr>
            <w:tcW w:w="34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1.32</w:t>
            </w:r>
          </w:p>
        </w:tc>
        <w:tc>
          <w:tcPr>
            <w:tcW w:w="331"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244</w:t>
            </w:r>
          </w:p>
        </w:tc>
        <w:tc>
          <w:tcPr>
            <w:tcW w:w="320"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29</w:t>
            </w:r>
          </w:p>
        </w:tc>
        <w:tc>
          <w:tcPr>
            <w:tcW w:w="314"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1.42</w:t>
            </w:r>
          </w:p>
        </w:tc>
        <w:tc>
          <w:tcPr>
            <w:tcW w:w="231"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1.01</w:t>
            </w:r>
          </w:p>
        </w:tc>
        <w:tc>
          <w:tcPr>
            <w:tcW w:w="25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2.01</w:t>
            </w:r>
          </w:p>
        </w:tc>
        <w:tc>
          <w:tcPr>
            <w:tcW w:w="368"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322</w:t>
            </w:r>
          </w:p>
        </w:tc>
        <w:tc>
          <w:tcPr>
            <w:tcW w:w="296" w:type="pct"/>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37</w:t>
            </w:r>
          </w:p>
        </w:tc>
        <w:tc>
          <w:tcPr>
            <w:tcW w:w="346" w:type="pct"/>
            <w:gridSpan w:val="2"/>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1.34</w:t>
            </w:r>
          </w:p>
        </w:tc>
        <w:tc>
          <w:tcPr>
            <w:tcW w:w="229"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0.97</w:t>
            </w:r>
          </w:p>
        </w:tc>
        <w:tc>
          <w:tcPr>
            <w:tcW w:w="225" w:type="pct"/>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1.85</w:t>
            </w:r>
          </w:p>
        </w:tc>
      </w:tr>
      <w:tr w:rsidR="00DD32E6" w:rsidRPr="00DD32E6" w:rsidTr="006A4856">
        <w:trPr>
          <w:trHeight w:val="255"/>
        </w:trPr>
        <w:tc>
          <w:tcPr>
            <w:tcW w:w="243" w:type="pct"/>
            <w:tcBorders>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9223</w:t>
            </w:r>
          </w:p>
        </w:tc>
        <w:tc>
          <w:tcPr>
            <w:tcW w:w="1494" w:type="pct"/>
            <w:tcBorders>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sz w:val="20"/>
                <w:szCs w:val="20"/>
                <w:lang w:eastAsia="en-GB"/>
              </w:rPr>
            </w:pPr>
            <w:r w:rsidRPr="00DD32E6">
              <w:rPr>
                <w:rFonts w:eastAsia="Times New Roman" w:cs="Arial"/>
                <w:sz w:val="20"/>
                <w:szCs w:val="20"/>
                <w:lang w:eastAsia="en-GB"/>
              </w:rPr>
              <w:t>Kitchen and catering assistants</w:t>
            </w:r>
          </w:p>
        </w:tc>
        <w:tc>
          <w:tcPr>
            <w:tcW w:w="344" w:type="pct"/>
            <w:tcBorders>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1.30</w:t>
            </w:r>
          </w:p>
        </w:tc>
        <w:tc>
          <w:tcPr>
            <w:tcW w:w="331" w:type="pct"/>
            <w:tcBorders>
              <w:bottom w:val="single" w:sz="4" w:space="0" w:color="auto"/>
            </w:tcBorders>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487</w:t>
            </w:r>
          </w:p>
        </w:tc>
        <w:tc>
          <w:tcPr>
            <w:tcW w:w="320" w:type="pct"/>
            <w:tcBorders>
              <w:bottom w:val="single" w:sz="4" w:space="0" w:color="auto"/>
            </w:tcBorders>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54</w:t>
            </w:r>
          </w:p>
        </w:tc>
        <w:tc>
          <w:tcPr>
            <w:tcW w:w="314" w:type="pct"/>
            <w:tcBorders>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1.34</w:t>
            </w:r>
          </w:p>
        </w:tc>
        <w:tc>
          <w:tcPr>
            <w:tcW w:w="231" w:type="pct"/>
            <w:tcBorders>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1.04</w:t>
            </w:r>
          </w:p>
        </w:tc>
        <w:tc>
          <w:tcPr>
            <w:tcW w:w="259" w:type="pct"/>
            <w:tcBorders>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1.73</w:t>
            </w:r>
          </w:p>
        </w:tc>
        <w:tc>
          <w:tcPr>
            <w:tcW w:w="368" w:type="pct"/>
            <w:tcBorders>
              <w:bottom w:val="single" w:sz="4" w:space="0" w:color="auto"/>
            </w:tcBorders>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775</w:t>
            </w:r>
          </w:p>
        </w:tc>
        <w:tc>
          <w:tcPr>
            <w:tcW w:w="296" w:type="pct"/>
            <w:tcBorders>
              <w:bottom w:val="single" w:sz="4" w:space="0" w:color="auto"/>
            </w:tcBorders>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98</w:t>
            </w:r>
          </w:p>
        </w:tc>
        <w:tc>
          <w:tcPr>
            <w:tcW w:w="346" w:type="pct"/>
            <w:gridSpan w:val="2"/>
            <w:tcBorders>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1.37</w:t>
            </w:r>
          </w:p>
        </w:tc>
        <w:tc>
          <w:tcPr>
            <w:tcW w:w="229" w:type="pct"/>
            <w:tcBorders>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1.13</w:t>
            </w:r>
          </w:p>
        </w:tc>
        <w:tc>
          <w:tcPr>
            <w:tcW w:w="225" w:type="pct"/>
            <w:tcBorders>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sz w:val="20"/>
                <w:szCs w:val="20"/>
                <w:lang w:eastAsia="en-GB"/>
              </w:rPr>
            </w:pPr>
            <w:r w:rsidRPr="00DD32E6">
              <w:rPr>
                <w:rFonts w:eastAsia="Times New Roman" w:cs="Arial"/>
                <w:sz w:val="20"/>
                <w:szCs w:val="20"/>
                <w:lang w:eastAsia="en-GB"/>
              </w:rPr>
              <w:t>1.66</w:t>
            </w:r>
          </w:p>
        </w:tc>
      </w:tr>
    </w:tbl>
    <w:p w:rsidR="00AC6848" w:rsidRPr="00DD32E6" w:rsidRDefault="00AC6848" w:rsidP="006A4856">
      <w:pPr>
        <w:spacing w:line="240" w:lineRule="auto"/>
        <w:ind w:left="-142" w:right="-217"/>
        <w:rPr>
          <w:sz w:val="20"/>
          <w:szCs w:val="20"/>
          <w:lang w:eastAsia="it-IT"/>
        </w:rPr>
      </w:pPr>
      <w:r w:rsidRPr="00DD32E6">
        <w:rPr>
          <w:sz w:val="20"/>
          <w:szCs w:val="20"/>
          <w:lang w:eastAsia="it-IT"/>
        </w:rPr>
        <w:t>Prevalence Ratios (PRs) and 95% confidence intervals (95%CIs) for exposure to each 4-digit SOC code and COPD risk (defined as FEV1/FVC&lt;LLN) were calculated by using a Poisson model with robust variance adjusted for sex, study centre (22 categories), age (5-years categories), and lifetime smoking exposure (ever, pack-years, and years since quitting). In the analyses among never smokers no adjustment for smoking exposure was performed. Reference category: current workers not employed in the specific 4-digit SOC coded job tested. NA: Not available. Healthy= non COPD cases.</w:t>
      </w:r>
    </w:p>
    <w:p w:rsidR="00AC6848" w:rsidRPr="00DD32E6" w:rsidRDefault="00AC6848" w:rsidP="006A4856">
      <w:pPr>
        <w:spacing w:line="240" w:lineRule="auto"/>
        <w:rPr>
          <w:sz w:val="24"/>
          <w:szCs w:val="24"/>
          <w:lang w:eastAsia="it-IT"/>
        </w:rPr>
      </w:pPr>
    </w:p>
    <w:p w:rsidR="00AC6848" w:rsidRPr="00DD32E6" w:rsidRDefault="00AC6848" w:rsidP="006A4856">
      <w:pPr>
        <w:spacing w:line="240" w:lineRule="auto"/>
        <w:rPr>
          <w:sz w:val="24"/>
          <w:szCs w:val="24"/>
          <w:lang w:eastAsia="it-IT"/>
        </w:rPr>
        <w:sectPr w:rsidR="00AC6848" w:rsidRPr="00DD32E6" w:rsidSect="006A4856">
          <w:pgSz w:w="16838" w:h="11906" w:orient="landscape"/>
          <w:pgMar w:top="993" w:right="1440" w:bottom="1440" w:left="1440" w:header="708" w:footer="708" w:gutter="0"/>
          <w:cols w:space="708"/>
          <w:docGrid w:linePitch="360"/>
        </w:sectPr>
      </w:pPr>
    </w:p>
    <w:p w:rsidR="00AC6848" w:rsidRPr="00DD32E6" w:rsidRDefault="00AC6848" w:rsidP="006A4856">
      <w:pPr>
        <w:pStyle w:val="Default"/>
        <w:spacing w:line="360" w:lineRule="auto"/>
        <w:rPr>
          <w:rFonts w:asciiTheme="minorHAnsi" w:hAnsiTheme="minorHAnsi" w:cstheme="minorHAnsi"/>
          <w:b/>
          <w:bCs/>
          <w:color w:val="auto"/>
        </w:rPr>
      </w:pPr>
      <w:r w:rsidRPr="00DD32E6">
        <w:rPr>
          <w:rFonts w:asciiTheme="minorHAnsi" w:hAnsiTheme="minorHAnsi" w:cstheme="minorHAnsi"/>
          <w:b/>
          <w:bCs/>
          <w:color w:val="auto"/>
        </w:rPr>
        <w:lastRenderedPageBreak/>
        <w:t>More detailed analysis</w:t>
      </w:r>
    </w:p>
    <w:p w:rsidR="00AC6848" w:rsidRPr="00DD32E6" w:rsidRDefault="00AC6848" w:rsidP="006A4856">
      <w:pPr>
        <w:pStyle w:val="Default"/>
        <w:spacing w:line="360" w:lineRule="auto"/>
        <w:rPr>
          <w:rFonts w:asciiTheme="minorHAnsi" w:hAnsiTheme="minorHAnsi" w:cstheme="minorHAnsi"/>
          <w:bCs/>
          <w:color w:val="auto"/>
        </w:rPr>
      </w:pPr>
      <w:r w:rsidRPr="00DD32E6">
        <w:rPr>
          <w:rFonts w:asciiTheme="minorHAnsi" w:hAnsiTheme="minorHAnsi" w:cstheme="minorHAnsi"/>
          <w:bCs/>
          <w:color w:val="auto"/>
        </w:rPr>
        <w:t>In table 4 the risk of COPD for a more detailed job code (the 7-digit SOC code) within each of the 14 occupations is shown. Only significant/borderline risk estimates with at least five exposed individuals among both cases and healthy subjects are listed in decreasing order of risk strength. In most of the occupations, there were too few subjects in each 7-digit coded job title to allow estimation of risk. Although there was some variation in the risk estimates there was no clear evidence that risk was different between the 7-digit coded job titles within a single broad job category (i.e. the 4-digit coded job title)</w:t>
      </w: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hAnsiTheme="minorHAnsi" w:cstheme="minorHAnsi"/>
          <w:bCs/>
          <w:color w:val="auto"/>
        </w:rPr>
        <w:sectPr w:rsidR="00AC6848" w:rsidRPr="00DD32E6" w:rsidSect="006A4856">
          <w:pgSz w:w="11906" w:h="16838"/>
          <w:pgMar w:top="1440" w:right="1440" w:bottom="1440" w:left="993" w:header="708" w:footer="708" w:gutter="0"/>
          <w:cols w:space="708"/>
          <w:docGrid w:linePitch="360"/>
        </w:sectPr>
      </w:pPr>
      <w:r w:rsidRPr="00DD32E6">
        <w:rPr>
          <w:rFonts w:asciiTheme="minorHAnsi" w:hAnsiTheme="minorHAnsi" w:cstheme="minorHAnsi"/>
          <w:bCs/>
          <w:color w:val="auto"/>
        </w:rPr>
        <w:t xml:space="preserve"> </w:t>
      </w:r>
    </w:p>
    <w:p w:rsidR="00AC6848" w:rsidRPr="00DD32E6" w:rsidRDefault="00AC6848" w:rsidP="006A4856">
      <w:pPr>
        <w:ind w:right="-25"/>
        <w:rPr>
          <w:sz w:val="24"/>
          <w:szCs w:val="24"/>
          <w:lang w:eastAsia="it-IT"/>
        </w:rPr>
      </w:pPr>
      <w:r w:rsidRPr="00DD32E6">
        <w:rPr>
          <w:b/>
          <w:sz w:val="24"/>
          <w:szCs w:val="24"/>
        </w:rPr>
        <w:lastRenderedPageBreak/>
        <w:t xml:space="preserve">Table 4  </w:t>
      </w:r>
      <w:r w:rsidRPr="00DD32E6">
        <w:rPr>
          <w:sz w:val="24"/>
          <w:szCs w:val="24"/>
          <w:lang w:eastAsia="it-IT"/>
        </w:rPr>
        <w:t xml:space="preserve">Prevalence ratios (PRs) and 95% confidence intervals (CIs) of COPD risk </w:t>
      </w:r>
      <w:proofErr w:type="spellStart"/>
      <w:r w:rsidRPr="00DD32E6">
        <w:rPr>
          <w:sz w:val="24"/>
          <w:szCs w:val="24"/>
          <w:lang w:eastAsia="it-IT"/>
        </w:rPr>
        <w:t>spirometry</w:t>
      </w:r>
      <w:proofErr w:type="spellEnd"/>
      <w:r w:rsidRPr="00DD32E6">
        <w:rPr>
          <w:sz w:val="24"/>
          <w:szCs w:val="24"/>
          <w:lang w:eastAsia="it-IT"/>
        </w:rPr>
        <w:t xml:space="preserve">-defined as FEV1/FVC&lt;LLN for exposure to current job codified as 7-digit SOC code 2000 </w:t>
      </w:r>
      <w:r w:rsidRPr="00DD32E6">
        <w:rPr>
          <w:rFonts w:cstheme="minorHAnsi"/>
          <w:bCs/>
          <w:sz w:val="24"/>
          <w:szCs w:val="24"/>
        </w:rPr>
        <w:t xml:space="preserve">within each of the 4-digit SOC-codes for 14 occupations associated with a significant increased COPD risk, </w:t>
      </w:r>
      <w:r w:rsidRPr="00DD32E6">
        <w:rPr>
          <w:sz w:val="24"/>
          <w:szCs w:val="24"/>
          <w:lang w:eastAsia="it-IT"/>
        </w:rPr>
        <w:t xml:space="preserve">in the UK Biobank study (n= 228,614). </w:t>
      </w:r>
    </w:p>
    <w:tbl>
      <w:tblPr>
        <w:tblW w:w="5000" w:type="pct"/>
        <w:tblLook w:val="04A0" w:firstRow="1" w:lastRow="0" w:firstColumn="1" w:lastColumn="0" w:noHBand="0" w:noVBand="1"/>
      </w:tblPr>
      <w:tblGrid>
        <w:gridCol w:w="1810"/>
        <w:gridCol w:w="6684"/>
        <w:gridCol w:w="1463"/>
        <w:gridCol w:w="1463"/>
        <w:gridCol w:w="918"/>
        <w:gridCol w:w="918"/>
        <w:gridCol w:w="918"/>
      </w:tblGrid>
      <w:tr w:rsidR="00DD32E6" w:rsidRPr="00DD32E6" w:rsidTr="006A4856">
        <w:trPr>
          <w:trHeight w:val="544"/>
        </w:trPr>
        <w:tc>
          <w:tcPr>
            <w:tcW w:w="63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 xml:space="preserve">    SOC code </w:t>
            </w:r>
          </w:p>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4-digit   7-digit</w:t>
            </w:r>
          </w:p>
        </w:tc>
        <w:tc>
          <w:tcPr>
            <w:tcW w:w="235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Occupations and Job titles</w:t>
            </w:r>
          </w:p>
          <w:p w:rsidR="00AC6848" w:rsidRPr="00DD32E6" w:rsidRDefault="00AC6848" w:rsidP="006A4856">
            <w:pPr>
              <w:spacing w:after="0" w:line="240" w:lineRule="auto"/>
              <w:jc w:val="left"/>
              <w:rPr>
                <w:rFonts w:eastAsia="Times New Roman" w:cs="Arial"/>
                <w:b/>
                <w:bCs/>
                <w:sz w:val="24"/>
                <w:szCs w:val="24"/>
                <w:lang w:eastAsia="en-GB"/>
              </w:rPr>
            </w:pPr>
          </w:p>
        </w:tc>
        <w:tc>
          <w:tcPr>
            <w:tcW w:w="516"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b/>
                <w:bCs/>
                <w:sz w:val="24"/>
                <w:szCs w:val="24"/>
                <w:lang w:eastAsia="en-GB"/>
              </w:rPr>
            </w:pPr>
            <w:r w:rsidRPr="00DD32E6">
              <w:rPr>
                <w:rFonts w:eastAsia="Times New Roman" w:cs="Arial"/>
                <w:b/>
                <w:bCs/>
                <w:sz w:val="24"/>
                <w:szCs w:val="24"/>
                <w:lang w:eastAsia="en-GB"/>
              </w:rPr>
              <w:t>Healthy</w:t>
            </w:r>
          </w:p>
          <w:p w:rsidR="00AC6848" w:rsidRPr="00DD32E6" w:rsidRDefault="00AC6848" w:rsidP="006A4856">
            <w:pPr>
              <w:spacing w:after="0" w:line="240" w:lineRule="auto"/>
              <w:jc w:val="center"/>
              <w:rPr>
                <w:rFonts w:eastAsia="Times New Roman" w:cs="Arial"/>
                <w:b/>
                <w:bCs/>
                <w:sz w:val="24"/>
                <w:szCs w:val="24"/>
                <w:lang w:eastAsia="en-GB"/>
              </w:rPr>
            </w:pPr>
            <w:r w:rsidRPr="00DD32E6">
              <w:rPr>
                <w:rFonts w:eastAsia="Times New Roman" w:cs="Arial"/>
                <w:b/>
                <w:bCs/>
                <w:sz w:val="24"/>
                <w:szCs w:val="24"/>
                <w:lang w:eastAsia="en-GB"/>
              </w:rPr>
              <w:t>Exposed</w:t>
            </w:r>
          </w:p>
        </w:tc>
        <w:tc>
          <w:tcPr>
            <w:tcW w:w="516"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b/>
                <w:bCs/>
                <w:sz w:val="24"/>
                <w:szCs w:val="24"/>
                <w:lang w:eastAsia="en-GB"/>
              </w:rPr>
            </w:pPr>
            <w:r w:rsidRPr="00DD32E6">
              <w:rPr>
                <w:rFonts w:eastAsia="Times New Roman" w:cs="Arial"/>
                <w:b/>
                <w:bCs/>
                <w:sz w:val="24"/>
                <w:szCs w:val="24"/>
                <w:lang w:eastAsia="en-GB"/>
              </w:rPr>
              <w:t>Cases</w:t>
            </w:r>
          </w:p>
          <w:p w:rsidR="00AC6848" w:rsidRPr="00DD32E6" w:rsidRDefault="00AC6848" w:rsidP="006A4856">
            <w:pPr>
              <w:spacing w:after="0" w:line="240" w:lineRule="auto"/>
              <w:jc w:val="center"/>
              <w:rPr>
                <w:rFonts w:eastAsia="Times New Roman" w:cs="Arial"/>
                <w:b/>
                <w:bCs/>
                <w:sz w:val="24"/>
                <w:szCs w:val="24"/>
                <w:lang w:eastAsia="en-GB"/>
              </w:rPr>
            </w:pPr>
            <w:r w:rsidRPr="00DD32E6">
              <w:rPr>
                <w:rFonts w:eastAsia="Times New Roman" w:cs="Arial"/>
                <w:b/>
                <w:bCs/>
                <w:sz w:val="24"/>
                <w:szCs w:val="24"/>
                <w:lang w:eastAsia="en-GB"/>
              </w:rPr>
              <w:t>Exposed</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
                <w:bCs/>
                <w:sz w:val="24"/>
                <w:szCs w:val="24"/>
                <w:lang w:eastAsia="en-GB"/>
              </w:rPr>
            </w:pPr>
            <w:r w:rsidRPr="00DD32E6">
              <w:rPr>
                <w:rFonts w:eastAsia="Times New Roman" w:cs="Arial"/>
                <w:b/>
                <w:bCs/>
                <w:sz w:val="24"/>
                <w:szCs w:val="24"/>
                <w:lang w:eastAsia="en-GB"/>
              </w:rPr>
              <w:t>PR</w:t>
            </w:r>
          </w:p>
          <w:p w:rsidR="00AC6848" w:rsidRPr="00DD32E6" w:rsidRDefault="00AC6848" w:rsidP="006A4856">
            <w:pPr>
              <w:spacing w:after="0" w:line="240" w:lineRule="auto"/>
              <w:jc w:val="center"/>
              <w:rPr>
                <w:rFonts w:eastAsia="Times New Roman" w:cs="Arial"/>
                <w:b/>
                <w:bCs/>
                <w:sz w:val="24"/>
                <w:szCs w:val="24"/>
                <w:lang w:eastAsia="en-GB"/>
              </w:rPr>
            </w:pPr>
          </w:p>
        </w:tc>
        <w:tc>
          <w:tcPr>
            <w:tcW w:w="648" w:type="pct"/>
            <w:gridSpan w:val="2"/>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
                <w:bCs/>
                <w:sz w:val="24"/>
                <w:szCs w:val="24"/>
                <w:lang w:eastAsia="en-GB"/>
              </w:rPr>
            </w:pPr>
            <w:r w:rsidRPr="00DD32E6">
              <w:rPr>
                <w:rFonts w:eastAsia="Times New Roman" w:cs="Arial"/>
                <w:b/>
                <w:bCs/>
                <w:sz w:val="24"/>
                <w:szCs w:val="24"/>
                <w:lang w:eastAsia="en-GB"/>
              </w:rPr>
              <w:t>95%CI</w:t>
            </w:r>
          </w:p>
          <w:p w:rsidR="00AC6848" w:rsidRPr="00DD32E6" w:rsidRDefault="00AC6848" w:rsidP="006A4856">
            <w:pPr>
              <w:spacing w:after="0" w:line="240" w:lineRule="auto"/>
              <w:jc w:val="center"/>
              <w:rPr>
                <w:rFonts w:eastAsia="Times New Roman" w:cs="Arial"/>
                <w:b/>
                <w:bCs/>
                <w:sz w:val="24"/>
                <w:szCs w:val="24"/>
                <w:lang w:eastAsia="en-GB"/>
              </w:rPr>
            </w:pPr>
          </w:p>
        </w:tc>
      </w:tr>
      <w:tr w:rsidR="00DD32E6" w:rsidRPr="00DD32E6" w:rsidTr="006A4856">
        <w:trPr>
          <w:trHeight w:val="255"/>
        </w:trPr>
        <w:tc>
          <w:tcPr>
            <w:tcW w:w="63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8217</w:t>
            </w:r>
          </w:p>
        </w:tc>
        <w:tc>
          <w:tcPr>
            <w:tcW w:w="235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Seafarers; barge, lighter and boat operatives</w:t>
            </w:r>
          </w:p>
        </w:tc>
        <w:tc>
          <w:tcPr>
            <w:tcW w:w="516"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Cs/>
                <w:sz w:val="24"/>
                <w:szCs w:val="24"/>
                <w:lang w:eastAsia="en-GB"/>
              </w:rPr>
            </w:pPr>
          </w:p>
        </w:tc>
        <w:tc>
          <w:tcPr>
            <w:tcW w:w="516"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Cs/>
                <w:sz w:val="24"/>
                <w:szCs w:val="24"/>
                <w:lang w:eastAsia="en-GB"/>
              </w:rPr>
            </w:pPr>
          </w:p>
        </w:tc>
        <w:tc>
          <w:tcPr>
            <w:tcW w:w="324" w:type="pct"/>
            <w:tcBorders>
              <w:top w:val="single" w:sz="4" w:space="0" w:color="auto"/>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p>
        </w:tc>
        <w:tc>
          <w:tcPr>
            <w:tcW w:w="324" w:type="pct"/>
            <w:tcBorders>
              <w:top w:val="single" w:sz="4" w:space="0" w:color="auto"/>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p>
        </w:tc>
        <w:tc>
          <w:tcPr>
            <w:tcW w:w="324" w:type="pct"/>
            <w:tcBorders>
              <w:top w:val="single" w:sz="4" w:space="0" w:color="auto"/>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p>
        </w:tc>
      </w:tr>
      <w:tr w:rsidR="00DD32E6" w:rsidRPr="00DD32E6" w:rsidTr="006A4856">
        <w:trPr>
          <w:trHeight w:val="255"/>
        </w:trPr>
        <w:tc>
          <w:tcPr>
            <w:tcW w:w="63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8122</w:t>
            </w:r>
          </w:p>
        </w:tc>
        <w:tc>
          <w:tcPr>
            <w:tcW w:w="235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Coal mine operatives</w:t>
            </w:r>
          </w:p>
        </w:tc>
        <w:tc>
          <w:tcPr>
            <w:tcW w:w="516"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13</w:t>
            </w:r>
          </w:p>
        </w:tc>
        <w:tc>
          <w:tcPr>
            <w:tcW w:w="516"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5</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2.30</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1.00</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5.31</w:t>
            </w:r>
          </w:p>
        </w:tc>
      </w:tr>
      <w:tr w:rsidR="00DD32E6" w:rsidRPr="00DD32E6" w:rsidTr="006A4856">
        <w:trPr>
          <w:trHeight w:val="255"/>
        </w:trPr>
        <w:tc>
          <w:tcPr>
            <w:tcW w:w="63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9132</w:t>
            </w:r>
          </w:p>
        </w:tc>
        <w:tc>
          <w:tcPr>
            <w:tcW w:w="235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Industrial cleaning process occupations</w:t>
            </w:r>
          </w:p>
        </w:tc>
        <w:tc>
          <w:tcPr>
            <w:tcW w:w="516"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34</w:t>
            </w:r>
          </w:p>
        </w:tc>
        <w:tc>
          <w:tcPr>
            <w:tcW w:w="516"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10</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1.96</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1.16</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3.31</w:t>
            </w:r>
          </w:p>
        </w:tc>
      </w:tr>
      <w:tr w:rsidR="00DD32E6" w:rsidRPr="00DD32E6" w:rsidTr="006A4856">
        <w:trPr>
          <w:trHeight w:val="255"/>
        </w:trPr>
        <w:tc>
          <w:tcPr>
            <w:tcW w:w="63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5313</w:t>
            </w:r>
          </w:p>
        </w:tc>
        <w:tc>
          <w:tcPr>
            <w:tcW w:w="235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 xml:space="preserve">Roofers, roof </w:t>
            </w:r>
            <w:proofErr w:type="spellStart"/>
            <w:r w:rsidRPr="00DD32E6">
              <w:rPr>
                <w:rFonts w:eastAsia="Times New Roman" w:cs="Arial"/>
                <w:b/>
                <w:bCs/>
                <w:sz w:val="24"/>
                <w:szCs w:val="24"/>
                <w:lang w:eastAsia="en-GB"/>
              </w:rPr>
              <w:t>tilers</w:t>
            </w:r>
            <w:proofErr w:type="spellEnd"/>
            <w:r w:rsidRPr="00DD32E6">
              <w:rPr>
                <w:rFonts w:eastAsia="Times New Roman" w:cs="Arial"/>
                <w:b/>
                <w:bCs/>
                <w:sz w:val="24"/>
                <w:szCs w:val="24"/>
                <w:lang w:eastAsia="en-GB"/>
              </w:rPr>
              <w:t xml:space="preserve"> and </w:t>
            </w:r>
            <w:proofErr w:type="spellStart"/>
            <w:r w:rsidRPr="00DD32E6">
              <w:rPr>
                <w:rFonts w:eastAsia="Times New Roman" w:cs="Arial"/>
                <w:b/>
                <w:bCs/>
                <w:sz w:val="24"/>
                <w:szCs w:val="24"/>
                <w:lang w:eastAsia="en-GB"/>
              </w:rPr>
              <w:t>slaters</w:t>
            </w:r>
            <w:proofErr w:type="spellEnd"/>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r>
      <w:tr w:rsidR="00DD32E6" w:rsidRPr="00DD32E6" w:rsidTr="006A4856">
        <w:trPr>
          <w:trHeight w:val="255"/>
        </w:trPr>
        <w:tc>
          <w:tcPr>
            <w:tcW w:w="638" w:type="pct"/>
            <w:shd w:val="clear" w:color="auto" w:fill="auto"/>
            <w:noWrap/>
            <w:vAlign w:val="bottom"/>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5313004</w:t>
            </w:r>
          </w:p>
        </w:tc>
        <w:tc>
          <w:tcPr>
            <w:tcW w:w="2358" w:type="pct"/>
            <w:shd w:val="clear" w:color="auto" w:fill="auto"/>
            <w:noWrap/>
            <w:vAlign w:val="bottom"/>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Contractor, roofing</w:t>
            </w:r>
          </w:p>
        </w:tc>
        <w:tc>
          <w:tcPr>
            <w:tcW w:w="516" w:type="pct"/>
            <w:shd w:val="clear" w:color="auto" w:fill="auto"/>
            <w:noWrap/>
            <w:vAlign w:val="bottom"/>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23</w:t>
            </w:r>
          </w:p>
        </w:tc>
        <w:tc>
          <w:tcPr>
            <w:tcW w:w="516" w:type="pct"/>
            <w:shd w:val="clear" w:color="auto" w:fill="auto"/>
            <w:noWrap/>
            <w:vAlign w:val="bottom"/>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6</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2.70</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1.41</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5.13</w:t>
            </w:r>
          </w:p>
        </w:tc>
      </w:tr>
      <w:tr w:rsidR="00DD32E6" w:rsidRPr="00DD32E6" w:rsidTr="006A4856">
        <w:trPr>
          <w:trHeight w:val="255"/>
        </w:trPr>
        <w:tc>
          <w:tcPr>
            <w:tcW w:w="638" w:type="pct"/>
            <w:tcBorders>
              <w:bottom w:val="single" w:sz="4" w:space="0" w:color="auto"/>
            </w:tcBorders>
            <w:shd w:val="clear" w:color="auto" w:fill="auto"/>
            <w:noWrap/>
            <w:vAlign w:val="bottom"/>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5313018</w:t>
            </w:r>
          </w:p>
        </w:tc>
        <w:tc>
          <w:tcPr>
            <w:tcW w:w="2358" w:type="pct"/>
            <w:tcBorders>
              <w:bottom w:val="single" w:sz="4" w:space="0" w:color="auto"/>
            </w:tcBorders>
            <w:shd w:val="clear" w:color="auto" w:fill="auto"/>
            <w:noWrap/>
            <w:vAlign w:val="bottom"/>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Roofer</w:t>
            </w:r>
          </w:p>
        </w:tc>
        <w:tc>
          <w:tcPr>
            <w:tcW w:w="516" w:type="pct"/>
            <w:tcBorders>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33</w:t>
            </w:r>
          </w:p>
        </w:tc>
        <w:tc>
          <w:tcPr>
            <w:tcW w:w="516" w:type="pct"/>
            <w:tcBorders>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9</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1.95</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1.05</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3.60</w:t>
            </w:r>
          </w:p>
        </w:tc>
      </w:tr>
      <w:tr w:rsidR="00DD32E6" w:rsidRPr="00DD32E6" w:rsidTr="006A4856">
        <w:trPr>
          <w:trHeight w:val="255"/>
        </w:trPr>
        <w:tc>
          <w:tcPr>
            <w:tcW w:w="63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9134</w:t>
            </w:r>
          </w:p>
        </w:tc>
        <w:tc>
          <w:tcPr>
            <w:tcW w:w="235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Packers, bottlers, canners, fillers</w:t>
            </w:r>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r>
      <w:tr w:rsidR="00DD32E6" w:rsidRPr="00DD32E6" w:rsidTr="006A4856">
        <w:trPr>
          <w:trHeight w:val="255"/>
        </w:trPr>
        <w:tc>
          <w:tcPr>
            <w:tcW w:w="638" w:type="pct"/>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9134127</w:t>
            </w:r>
          </w:p>
        </w:tc>
        <w:tc>
          <w:tcPr>
            <w:tcW w:w="2358" w:type="pct"/>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Packer</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50</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10</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1.84</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1.05</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3.22</w:t>
            </w:r>
          </w:p>
        </w:tc>
      </w:tr>
      <w:tr w:rsidR="00DD32E6" w:rsidRPr="00DD32E6" w:rsidTr="006A4856">
        <w:trPr>
          <w:trHeight w:val="255"/>
        </w:trPr>
        <w:tc>
          <w:tcPr>
            <w:tcW w:w="638" w:type="pct"/>
            <w:tcBorders>
              <w:bottom w:val="single" w:sz="4" w:space="0" w:color="auto"/>
            </w:tcBorders>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 xml:space="preserve">9134174 </w:t>
            </w:r>
          </w:p>
        </w:tc>
        <w:tc>
          <w:tcPr>
            <w:tcW w:w="2358" w:type="pct"/>
            <w:tcBorders>
              <w:bottom w:val="single" w:sz="4" w:space="0" w:color="auto"/>
            </w:tcBorders>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Packer factory </w:t>
            </w:r>
          </w:p>
        </w:tc>
        <w:tc>
          <w:tcPr>
            <w:tcW w:w="516" w:type="pct"/>
            <w:tcBorders>
              <w:bottom w:val="single" w:sz="4" w:space="0" w:color="auto"/>
            </w:tcBorders>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23</w:t>
            </w:r>
          </w:p>
        </w:tc>
        <w:tc>
          <w:tcPr>
            <w:tcW w:w="516" w:type="pct"/>
            <w:tcBorders>
              <w:bottom w:val="single" w:sz="4" w:space="0" w:color="auto"/>
            </w:tcBorders>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5</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1.73</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0.80</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3.74</w:t>
            </w:r>
          </w:p>
        </w:tc>
      </w:tr>
      <w:tr w:rsidR="00DD32E6" w:rsidRPr="00DD32E6" w:rsidTr="006A4856">
        <w:trPr>
          <w:trHeight w:val="255"/>
        </w:trPr>
        <w:tc>
          <w:tcPr>
            <w:tcW w:w="638" w:type="pct"/>
            <w:tcBorders>
              <w:top w:val="single" w:sz="4" w:space="0" w:color="auto"/>
              <w:bottom w:val="single" w:sz="4" w:space="0" w:color="auto"/>
            </w:tcBorders>
            <w:shd w:val="clear" w:color="auto" w:fill="auto"/>
            <w:noWrap/>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5112</w:t>
            </w:r>
          </w:p>
        </w:tc>
        <w:tc>
          <w:tcPr>
            <w:tcW w:w="2358" w:type="pct"/>
            <w:tcBorders>
              <w:top w:val="single" w:sz="4" w:space="0" w:color="auto"/>
              <w:bottom w:val="single" w:sz="4" w:space="0" w:color="auto"/>
            </w:tcBorders>
            <w:shd w:val="clear" w:color="auto" w:fill="auto"/>
            <w:noWrap/>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Horticultural trades</w:t>
            </w:r>
          </w:p>
        </w:tc>
        <w:tc>
          <w:tcPr>
            <w:tcW w:w="516" w:type="pct"/>
            <w:tcBorders>
              <w:top w:val="single" w:sz="4" w:space="0" w:color="auto"/>
              <w:bottom w:val="single" w:sz="4" w:space="0" w:color="auto"/>
            </w:tcBorders>
            <w:shd w:val="clear" w:color="auto" w:fill="auto"/>
            <w:noWrap/>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84</w:t>
            </w:r>
          </w:p>
        </w:tc>
        <w:tc>
          <w:tcPr>
            <w:tcW w:w="516" w:type="pct"/>
            <w:tcBorders>
              <w:top w:val="single" w:sz="4" w:space="0" w:color="auto"/>
              <w:bottom w:val="single" w:sz="4" w:space="0" w:color="auto"/>
            </w:tcBorders>
            <w:shd w:val="clear" w:color="auto" w:fill="auto"/>
            <w:noWrap/>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14</w:t>
            </w:r>
          </w:p>
        </w:tc>
        <w:tc>
          <w:tcPr>
            <w:tcW w:w="324" w:type="pct"/>
            <w:tcBorders>
              <w:top w:val="single" w:sz="4" w:space="0" w:color="auto"/>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1.55</w:t>
            </w:r>
          </w:p>
        </w:tc>
        <w:tc>
          <w:tcPr>
            <w:tcW w:w="324" w:type="pct"/>
            <w:tcBorders>
              <w:top w:val="single" w:sz="4" w:space="0" w:color="auto"/>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0.97</w:t>
            </w:r>
          </w:p>
        </w:tc>
        <w:tc>
          <w:tcPr>
            <w:tcW w:w="324" w:type="pct"/>
            <w:tcBorders>
              <w:top w:val="single" w:sz="4" w:space="0" w:color="auto"/>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2.50</w:t>
            </w:r>
          </w:p>
        </w:tc>
      </w:tr>
      <w:tr w:rsidR="00DD32E6" w:rsidRPr="00DD32E6" w:rsidTr="006A4856">
        <w:trPr>
          <w:trHeight w:val="255"/>
        </w:trPr>
        <w:tc>
          <w:tcPr>
            <w:tcW w:w="63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8111</w:t>
            </w:r>
          </w:p>
        </w:tc>
        <w:tc>
          <w:tcPr>
            <w:tcW w:w="235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Food, drink and tobacco process operatives</w:t>
            </w:r>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r>
      <w:tr w:rsidR="00DD32E6" w:rsidRPr="00DD32E6" w:rsidTr="006A4856">
        <w:trPr>
          <w:trHeight w:val="255"/>
        </w:trPr>
        <w:tc>
          <w:tcPr>
            <w:tcW w:w="638" w:type="pct"/>
            <w:tcBorders>
              <w:bottom w:val="single" w:sz="4" w:space="0" w:color="auto"/>
            </w:tcBorders>
            <w:shd w:val="clear" w:color="auto" w:fill="auto"/>
            <w:noWrap/>
          </w:tcPr>
          <w:p w:rsidR="00AC6848" w:rsidRPr="00DD32E6" w:rsidRDefault="00AC6848" w:rsidP="006A4856">
            <w:pPr>
              <w:spacing w:after="0" w:line="240" w:lineRule="auto"/>
              <w:jc w:val="right"/>
              <w:rPr>
                <w:rFonts w:eastAsia="Times New Roman" w:cs="Arial"/>
                <w:bCs/>
                <w:sz w:val="24"/>
                <w:szCs w:val="24"/>
                <w:lang w:eastAsia="en-GB"/>
              </w:rPr>
            </w:pPr>
            <w:r w:rsidRPr="00DD32E6">
              <w:rPr>
                <w:rFonts w:eastAsia="Times New Roman" w:cs="Times New Roman"/>
                <w:bCs/>
                <w:sz w:val="24"/>
                <w:szCs w:val="24"/>
                <w:lang w:eastAsia="en-GB"/>
              </w:rPr>
              <w:t>8111002</w:t>
            </w:r>
          </w:p>
        </w:tc>
        <w:tc>
          <w:tcPr>
            <w:tcW w:w="2358" w:type="pct"/>
            <w:tcBorders>
              <w:bottom w:val="single" w:sz="4" w:space="0" w:color="auto"/>
            </w:tcBorders>
            <w:shd w:val="clear" w:color="auto" w:fill="auto"/>
            <w:noWrap/>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 xml:space="preserve">   Bakery, assistant</w:t>
            </w:r>
          </w:p>
        </w:tc>
        <w:tc>
          <w:tcPr>
            <w:tcW w:w="516" w:type="pct"/>
            <w:tcBorders>
              <w:bottom w:val="single" w:sz="4" w:space="0" w:color="auto"/>
            </w:tcBorders>
            <w:shd w:val="clear" w:color="auto" w:fill="auto"/>
            <w:noWrap/>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35</w:t>
            </w:r>
          </w:p>
        </w:tc>
        <w:tc>
          <w:tcPr>
            <w:tcW w:w="516" w:type="pct"/>
            <w:tcBorders>
              <w:bottom w:val="single" w:sz="4" w:space="0" w:color="auto"/>
            </w:tcBorders>
            <w:shd w:val="clear" w:color="auto" w:fill="auto"/>
            <w:noWrap/>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10</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2.61</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1.46</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4.68</w:t>
            </w:r>
          </w:p>
        </w:tc>
      </w:tr>
      <w:tr w:rsidR="00DD32E6" w:rsidRPr="00DD32E6" w:rsidTr="006A4856">
        <w:trPr>
          <w:trHeight w:val="255"/>
        </w:trPr>
        <w:tc>
          <w:tcPr>
            <w:tcW w:w="63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9233</w:t>
            </w:r>
          </w:p>
        </w:tc>
        <w:tc>
          <w:tcPr>
            <w:tcW w:w="235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Cleaners, domestics</w:t>
            </w:r>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r>
      <w:tr w:rsidR="00DD32E6" w:rsidRPr="00DD32E6" w:rsidTr="006A4856">
        <w:trPr>
          <w:trHeight w:val="255"/>
        </w:trPr>
        <w:tc>
          <w:tcPr>
            <w:tcW w:w="638" w:type="pct"/>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9233037</w:t>
            </w:r>
          </w:p>
        </w:tc>
        <w:tc>
          <w:tcPr>
            <w:tcW w:w="2358" w:type="pct"/>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Cleaner, canteen</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10</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5</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3.72</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1.93</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7.18</w:t>
            </w:r>
          </w:p>
        </w:tc>
      </w:tr>
      <w:tr w:rsidR="00DD32E6" w:rsidRPr="00DD32E6" w:rsidTr="006A4856">
        <w:trPr>
          <w:trHeight w:val="255"/>
        </w:trPr>
        <w:tc>
          <w:tcPr>
            <w:tcW w:w="638" w:type="pct"/>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9233120</w:t>
            </w:r>
          </w:p>
        </w:tc>
        <w:tc>
          <w:tcPr>
            <w:tcW w:w="2358" w:type="pct"/>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Supervisor, cleaning</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39</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10</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2.10</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1.18</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3.58</w:t>
            </w:r>
          </w:p>
        </w:tc>
      </w:tr>
      <w:tr w:rsidR="00DD32E6" w:rsidRPr="00DD32E6" w:rsidTr="006A4856">
        <w:trPr>
          <w:trHeight w:val="255"/>
        </w:trPr>
        <w:tc>
          <w:tcPr>
            <w:tcW w:w="638" w:type="pct"/>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9233072</w:t>
            </w:r>
          </w:p>
        </w:tc>
        <w:tc>
          <w:tcPr>
            <w:tcW w:w="2358" w:type="pct"/>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Domestic, hospital</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48</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10</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1.61</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0.96</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2.70</w:t>
            </w:r>
          </w:p>
        </w:tc>
      </w:tr>
      <w:tr w:rsidR="00DD32E6" w:rsidRPr="00DD32E6" w:rsidTr="006A4856">
        <w:trPr>
          <w:trHeight w:val="255"/>
        </w:trPr>
        <w:tc>
          <w:tcPr>
            <w:tcW w:w="638" w:type="pct"/>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9233073</w:t>
            </w:r>
          </w:p>
        </w:tc>
        <w:tc>
          <w:tcPr>
            <w:tcW w:w="2358" w:type="pct"/>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Domestic</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100</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20</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1.60</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1.08</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2.38</w:t>
            </w:r>
          </w:p>
        </w:tc>
      </w:tr>
      <w:tr w:rsidR="00DD32E6" w:rsidRPr="00DD32E6" w:rsidTr="006A4856">
        <w:trPr>
          <w:trHeight w:val="255"/>
        </w:trPr>
        <w:tc>
          <w:tcPr>
            <w:tcW w:w="638" w:type="pct"/>
            <w:tcBorders>
              <w:bottom w:val="single" w:sz="4" w:space="0" w:color="auto"/>
            </w:tcBorders>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9233020</w:t>
            </w:r>
          </w:p>
        </w:tc>
        <w:tc>
          <w:tcPr>
            <w:tcW w:w="2358" w:type="pct"/>
            <w:tcBorders>
              <w:bottom w:val="single" w:sz="4" w:space="0" w:color="auto"/>
            </w:tcBorders>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Cleaner</w:t>
            </w:r>
          </w:p>
        </w:tc>
        <w:tc>
          <w:tcPr>
            <w:tcW w:w="516" w:type="pct"/>
            <w:tcBorders>
              <w:bottom w:val="single" w:sz="4" w:space="0" w:color="auto"/>
            </w:tcBorders>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790</w:t>
            </w:r>
          </w:p>
        </w:tc>
        <w:tc>
          <w:tcPr>
            <w:tcW w:w="516" w:type="pct"/>
            <w:tcBorders>
              <w:bottom w:val="single" w:sz="4" w:space="0" w:color="auto"/>
            </w:tcBorders>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147</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1.52</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1.30</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1.78</w:t>
            </w:r>
          </w:p>
        </w:tc>
      </w:tr>
      <w:tr w:rsidR="00DD32E6" w:rsidRPr="00DD32E6" w:rsidTr="006A4856">
        <w:trPr>
          <w:trHeight w:val="255"/>
        </w:trPr>
        <w:tc>
          <w:tcPr>
            <w:tcW w:w="63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5322</w:t>
            </w:r>
          </w:p>
        </w:tc>
        <w:tc>
          <w:tcPr>
            <w:tcW w:w="235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 xml:space="preserve">Floorers and wall </w:t>
            </w:r>
            <w:proofErr w:type="spellStart"/>
            <w:r w:rsidRPr="00DD32E6">
              <w:rPr>
                <w:rFonts w:eastAsia="Times New Roman" w:cs="Arial"/>
                <w:b/>
                <w:bCs/>
                <w:sz w:val="24"/>
                <w:szCs w:val="24"/>
                <w:lang w:eastAsia="en-GB"/>
              </w:rPr>
              <w:t>tilers</w:t>
            </w:r>
            <w:proofErr w:type="spellEnd"/>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r>
      <w:tr w:rsidR="00DD32E6" w:rsidRPr="00DD32E6" w:rsidTr="006A4856">
        <w:trPr>
          <w:trHeight w:val="255"/>
        </w:trPr>
        <w:tc>
          <w:tcPr>
            <w:tcW w:w="638" w:type="pct"/>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5322008</w:t>
            </w:r>
          </w:p>
        </w:tc>
        <w:tc>
          <w:tcPr>
            <w:tcW w:w="2358" w:type="pct"/>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Fitter, carpet</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33</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10</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2.04</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1.19</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3.50</w:t>
            </w:r>
          </w:p>
        </w:tc>
      </w:tr>
      <w:tr w:rsidR="00DD32E6" w:rsidRPr="00DD32E6" w:rsidTr="006A4856">
        <w:trPr>
          <w:trHeight w:val="255"/>
        </w:trPr>
        <w:tc>
          <w:tcPr>
            <w:tcW w:w="638" w:type="pct"/>
            <w:tcBorders>
              <w:bottom w:val="single" w:sz="4" w:space="0" w:color="auto"/>
            </w:tcBorders>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5322068</w:t>
            </w:r>
          </w:p>
        </w:tc>
        <w:tc>
          <w:tcPr>
            <w:tcW w:w="2358" w:type="pct"/>
            <w:tcBorders>
              <w:bottom w:val="single" w:sz="4" w:space="0" w:color="auto"/>
            </w:tcBorders>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w:t>
            </w:r>
            <w:proofErr w:type="spellStart"/>
            <w:r w:rsidRPr="00DD32E6">
              <w:rPr>
                <w:rFonts w:eastAsia="Times New Roman" w:cs="Times New Roman"/>
                <w:bCs/>
                <w:sz w:val="24"/>
                <w:szCs w:val="24"/>
                <w:lang w:eastAsia="en-GB"/>
              </w:rPr>
              <w:t>Tiler</w:t>
            </w:r>
            <w:proofErr w:type="spellEnd"/>
            <w:r w:rsidRPr="00DD32E6">
              <w:rPr>
                <w:rFonts w:eastAsia="Times New Roman" w:cs="Times New Roman"/>
                <w:bCs/>
                <w:sz w:val="24"/>
                <w:szCs w:val="24"/>
                <w:lang w:eastAsia="en-GB"/>
              </w:rPr>
              <w:t>, ceramic</w:t>
            </w:r>
          </w:p>
        </w:tc>
        <w:tc>
          <w:tcPr>
            <w:tcW w:w="516" w:type="pct"/>
            <w:tcBorders>
              <w:bottom w:val="single" w:sz="4" w:space="0" w:color="auto"/>
            </w:tcBorders>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27</w:t>
            </w:r>
          </w:p>
        </w:tc>
        <w:tc>
          <w:tcPr>
            <w:tcW w:w="516" w:type="pct"/>
            <w:tcBorders>
              <w:bottom w:val="single" w:sz="4" w:space="0" w:color="auto"/>
            </w:tcBorders>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5</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1.66</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0.73</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3.75</w:t>
            </w:r>
          </w:p>
        </w:tc>
      </w:tr>
      <w:tr w:rsidR="00DD32E6" w:rsidRPr="00DD32E6" w:rsidTr="006A4856">
        <w:trPr>
          <w:trHeight w:val="255"/>
        </w:trPr>
        <w:tc>
          <w:tcPr>
            <w:tcW w:w="63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8114</w:t>
            </w:r>
          </w:p>
        </w:tc>
        <w:tc>
          <w:tcPr>
            <w:tcW w:w="235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Chemical and related process operatives</w:t>
            </w:r>
          </w:p>
        </w:tc>
        <w:tc>
          <w:tcPr>
            <w:tcW w:w="516"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218</w:t>
            </w:r>
          </w:p>
        </w:tc>
        <w:tc>
          <w:tcPr>
            <w:tcW w:w="516"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29</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1.39</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0.98</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1.97</w:t>
            </w:r>
          </w:p>
        </w:tc>
      </w:tr>
      <w:tr w:rsidR="00DD32E6" w:rsidRPr="00DD32E6" w:rsidTr="006A4856">
        <w:trPr>
          <w:trHeight w:val="255"/>
        </w:trPr>
        <w:tc>
          <w:tcPr>
            <w:tcW w:w="63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9211</w:t>
            </w:r>
          </w:p>
        </w:tc>
        <w:tc>
          <w:tcPr>
            <w:tcW w:w="235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Postal workers, mail sorters, messengers, couriers</w:t>
            </w:r>
          </w:p>
        </w:tc>
        <w:tc>
          <w:tcPr>
            <w:tcW w:w="516"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Cs/>
                <w:sz w:val="24"/>
                <w:szCs w:val="24"/>
                <w:lang w:eastAsia="en-GB"/>
              </w:rPr>
            </w:pPr>
          </w:p>
        </w:tc>
        <w:tc>
          <w:tcPr>
            <w:tcW w:w="516" w:type="pct"/>
            <w:tcBorders>
              <w:top w:val="single" w:sz="4" w:space="0" w:color="auto"/>
              <w:bottom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Cs/>
                <w:sz w:val="24"/>
                <w:szCs w:val="24"/>
                <w:lang w:eastAsia="en-GB"/>
              </w:rPr>
            </w:pPr>
          </w:p>
        </w:tc>
        <w:tc>
          <w:tcPr>
            <w:tcW w:w="324" w:type="pct"/>
            <w:tcBorders>
              <w:top w:val="single" w:sz="4" w:space="0" w:color="auto"/>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p>
        </w:tc>
        <w:tc>
          <w:tcPr>
            <w:tcW w:w="324" w:type="pct"/>
            <w:tcBorders>
              <w:top w:val="single" w:sz="4" w:space="0" w:color="auto"/>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p>
        </w:tc>
        <w:tc>
          <w:tcPr>
            <w:tcW w:w="324" w:type="pct"/>
            <w:tcBorders>
              <w:top w:val="single" w:sz="4" w:space="0" w:color="auto"/>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Cs/>
                <w:sz w:val="24"/>
                <w:szCs w:val="24"/>
                <w:lang w:eastAsia="en-GB"/>
              </w:rPr>
            </w:pPr>
          </w:p>
        </w:tc>
      </w:tr>
      <w:tr w:rsidR="00DD32E6" w:rsidRPr="00DD32E6" w:rsidTr="006A4856">
        <w:trPr>
          <w:trHeight w:val="255"/>
        </w:trPr>
        <w:tc>
          <w:tcPr>
            <w:tcW w:w="638" w:type="pct"/>
            <w:tcBorders>
              <w:top w:val="single" w:sz="4" w:space="0" w:color="auto"/>
              <w:bottom w:val="single" w:sz="4" w:space="0" w:color="auto"/>
            </w:tcBorders>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9211056</w:t>
            </w:r>
          </w:p>
        </w:tc>
        <w:tc>
          <w:tcPr>
            <w:tcW w:w="2358" w:type="pct"/>
            <w:tcBorders>
              <w:top w:val="single" w:sz="4" w:space="0" w:color="auto"/>
              <w:bottom w:val="single" w:sz="4" w:space="0" w:color="auto"/>
            </w:tcBorders>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Postman</w:t>
            </w:r>
          </w:p>
        </w:tc>
        <w:tc>
          <w:tcPr>
            <w:tcW w:w="516" w:type="pct"/>
            <w:tcBorders>
              <w:top w:val="single" w:sz="4" w:space="0" w:color="auto"/>
              <w:bottom w:val="single" w:sz="4" w:space="0" w:color="auto"/>
            </w:tcBorders>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408</w:t>
            </w:r>
          </w:p>
        </w:tc>
        <w:tc>
          <w:tcPr>
            <w:tcW w:w="516" w:type="pct"/>
            <w:tcBorders>
              <w:top w:val="single" w:sz="4" w:space="0" w:color="auto"/>
              <w:bottom w:val="single" w:sz="4" w:space="0" w:color="auto"/>
            </w:tcBorders>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61</w:t>
            </w:r>
          </w:p>
        </w:tc>
        <w:tc>
          <w:tcPr>
            <w:tcW w:w="324" w:type="pct"/>
            <w:tcBorders>
              <w:top w:val="single" w:sz="4" w:space="0" w:color="auto"/>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1.51</w:t>
            </w:r>
          </w:p>
        </w:tc>
        <w:tc>
          <w:tcPr>
            <w:tcW w:w="324" w:type="pct"/>
            <w:tcBorders>
              <w:top w:val="single" w:sz="4" w:space="0" w:color="auto"/>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1.18</w:t>
            </w:r>
          </w:p>
        </w:tc>
        <w:tc>
          <w:tcPr>
            <w:tcW w:w="324" w:type="pct"/>
            <w:tcBorders>
              <w:top w:val="single" w:sz="4" w:space="0" w:color="auto"/>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1.93</w:t>
            </w:r>
          </w:p>
        </w:tc>
      </w:tr>
      <w:tr w:rsidR="00DD32E6" w:rsidRPr="00DD32E6" w:rsidTr="006A4856">
        <w:trPr>
          <w:trHeight w:val="255"/>
        </w:trPr>
        <w:tc>
          <w:tcPr>
            <w:tcW w:w="63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9121</w:t>
            </w:r>
          </w:p>
        </w:tc>
        <w:tc>
          <w:tcPr>
            <w:tcW w:w="235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Labourers in building and woodworking trades</w:t>
            </w:r>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r>
      <w:tr w:rsidR="00DD32E6" w:rsidRPr="00DD32E6" w:rsidTr="006A4856">
        <w:trPr>
          <w:trHeight w:val="255"/>
        </w:trPr>
        <w:tc>
          <w:tcPr>
            <w:tcW w:w="638" w:type="pct"/>
            <w:shd w:val="clear" w:color="auto" w:fill="auto"/>
            <w:noWrap/>
            <w:vAlign w:val="bottom"/>
            <w:hideMark/>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lastRenderedPageBreak/>
              <w:t>9121024</w:t>
            </w:r>
          </w:p>
        </w:tc>
        <w:tc>
          <w:tcPr>
            <w:tcW w:w="2358" w:type="pct"/>
            <w:shd w:val="clear" w:color="auto" w:fill="auto"/>
            <w:noWrap/>
            <w:vAlign w:val="bottom"/>
            <w:hideMark/>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Handyman, </w:t>
            </w:r>
            <w:r w:rsidRPr="00DD32E6">
              <w:rPr>
                <w:sz w:val="24"/>
                <w:szCs w:val="24"/>
              </w:rPr>
              <w:t>not elsewhere classified</w:t>
            </w:r>
          </w:p>
        </w:tc>
        <w:tc>
          <w:tcPr>
            <w:tcW w:w="516" w:type="pct"/>
            <w:shd w:val="clear" w:color="auto" w:fill="auto"/>
            <w:noWrap/>
            <w:vAlign w:val="bottom"/>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24</w:t>
            </w:r>
          </w:p>
        </w:tc>
        <w:tc>
          <w:tcPr>
            <w:tcW w:w="516" w:type="pct"/>
            <w:shd w:val="clear" w:color="auto" w:fill="auto"/>
            <w:noWrap/>
            <w:vAlign w:val="bottom"/>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7</w:t>
            </w:r>
          </w:p>
        </w:tc>
        <w:tc>
          <w:tcPr>
            <w:tcW w:w="324" w:type="pct"/>
            <w:shd w:val="clear" w:color="auto" w:fill="auto"/>
            <w:noWrap/>
            <w:vAlign w:val="center"/>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3.04</w:t>
            </w:r>
          </w:p>
        </w:tc>
        <w:tc>
          <w:tcPr>
            <w:tcW w:w="324" w:type="pct"/>
            <w:shd w:val="clear" w:color="auto" w:fill="auto"/>
            <w:noWrap/>
            <w:vAlign w:val="center"/>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1.65</w:t>
            </w:r>
          </w:p>
        </w:tc>
        <w:tc>
          <w:tcPr>
            <w:tcW w:w="324" w:type="pct"/>
            <w:shd w:val="clear" w:color="auto" w:fill="auto"/>
            <w:noWrap/>
            <w:vAlign w:val="center"/>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5.62</w:t>
            </w:r>
          </w:p>
        </w:tc>
      </w:tr>
      <w:tr w:rsidR="00DD32E6" w:rsidRPr="00DD32E6" w:rsidTr="006A4856">
        <w:trPr>
          <w:trHeight w:val="255"/>
        </w:trPr>
        <w:tc>
          <w:tcPr>
            <w:tcW w:w="638" w:type="pct"/>
            <w:shd w:val="clear" w:color="auto" w:fill="auto"/>
            <w:noWrap/>
            <w:vAlign w:val="bottom"/>
            <w:hideMark/>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9121100</w:t>
            </w:r>
          </w:p>
        </w:tc>
        <w:tc>
          <w:tcPr>
            <w:tcW w:w="2358" w:type="pct"/>
            <w:shd w:val="clear" w:color="auto" w:fill="auto"/>
            <w:noWrap/>
            <w:vAlign w:val="bottom"/>
            <w:hideMark/>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Worker, ground (building and contracting)</w:t>
            </w:r>
          </w:p>
        </w:tc>
        <w:tc>
          <w:tcPr>
            <w:tcW w:w="516" w:type="pct"/>
            <w:shd w:val="clear" w:color="auto" w:fill="auto"/>
            <w:noWrap/>
            <w:vAlign w:val="bottom"/>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20</w:t>
            </w:r>
          </w:p>
        </w:tc>
        <w:tc>
          <w:tcPr>
            <w:tcW w:w="516" w:type="pct"/>
            <w:shd w:val="clear" w:color="auto" w:fill="auto"/>
            <w:noWrap/>
            <w:vAlign w:val="bottom"/>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6</w:t>
            </w:r>
          </w:p>
        </w:tc>
        <w:tc>
          <w:tcPr>
            <w:tcW w:w="324" w:type="pct"/>
            <w:shd w:val="clear" w:color="auto" w:fill="auto"/>
            <w:noWrap/>
            <w:vAlign w:val="center"/>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2.20</w:t>
            </w:r>
          </w:p>
        </w:tc>
        <w:tc>
          <w:tcPr>
            <w:tcW w:w="324" w:type="pct"/>
            <w:shd w:val="clear" w:color="auto" w:fill="auto"/>
            <w:noWrap/>
            <w:vAlign w:val="center"/>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1.21</w:t>
            </w:r>
          </w:p>
        </w:tc>
        <w:tc>
          <w:tcPr>
            <w:tcW w:w="324" w:type="pct"/>
            <w:shd w:val="clear" w:color="auto" w:fill="auto"/>
            <w:noWrap/>
            <w:vAlign w:val="center"/>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4.02</w:t>
            </w:r>
          </w:p>
        </w:tc>
      </w:tr>
      <w:tr w:rsidR="00DD32E6" w:rsidRPr="00DD32E6" w:rsidTr="006A4856">
        <w:trPr>
          <w:trHeight w:val="255"/>
        </w:trPr>
        <w:tc>
          <w:tcPr>
            <w:tcW w:w="638" w:type="pct"/>
            <w:shd w:val="clear" w:color="auto" w:fill="auto"/>
            <w:noWrap/>
            <w:vAlign w:val="bottom"/>
            <w:hideMark/>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9121029</w:t>
            </w:r>
          </w:p>
        </w:tc>
        <w:tc>
          <w:tcPr>
            <w:tcW w:w="2358" w:type="pct"/>
            <w:shd w:val="clear" w:color="auto" w:fill="auto"/>
            <w:noWrap/>
            <w:vAlign w:val="bottom"/>
            <w:hideMark/>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Labourer (building and contracting)</w:t>
            </w:r>
          </w:p>
        </w:tc>
        <w:tc>
          <w:tcPr>
            <w:tcW w:w="516" w:type="pct"/>
            <w:shd w:val="clear" w:color="auto" w:fill="auto"/>
            <w:noWrap/>
            <w:vAlign w:val="bottom"/>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26</w:t>
            </w:r>
          </w:p>
        </w:tc>
        <w:tc>
          <w:tcPr>
            <w:tcW w:w="516" w:type="pct"/>
            <w:shd w:val="clear" w:color="auto" w:fill="auto"/>
            <w:noWrap/>
            <w:vAlign w:val="bottom"/>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5</w:t>
            </w:r>
          </w:p>
        </w:tc>
        <w:tc>
          <w:tcPr>
            <w:tcW w:w="324" w:type="pct"/>
            <w:shd w:val="clear" w:color="auto" w:fill="auto"/>
            <w:noWrap/>
            <w:vAlign w:val="center"/>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1.86</w:t>
            </w:r>
          </w:p>
        </w:tc>
        <w:tc>
          <w:tcPr>
            <w:tcW w:w="324" w:type="pct"/>
            <w:shd w:val="clear" w:color="auto" w:fill="auto"/>
            <w:noWrap/>
            <w:vAlign w:val="center"/>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0.85</w:t>
            </w:r>
          </w:p>
        </w:tc>
        <w:tc>
          <w:tcPr>
            <w:tcW w:w="324" w:type="pct"/>
            <w:shd w:val="clear" w:color="auto" w:fill="auto"/>
            <w:noWrap/>
            <w:vAlign w:val="center"/>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4.05</w:t>
            </w:r>
          </w:p>
        </w:tc>
      </w:tr>
      <w:tr w:rsidR="00DD32E6" w:rsidRPr="00DD32E6" w:rsidTr="006A4856">
        <w:trPr>
          <w:trHeight w:val="255"/>
        </w:trPr>
        <w:tc>
          <w:tcPr>
            <w:tcW w:w="638" w:type="pct"/>
            <w:tcBorders>
              <w:bottom w:val="single" w:sz="4" w:space="0" w:color="auto"/>
            </w:tcBorders>
            <w:shd w:val="clear" w:color="auto" w:fill="auto"/>
            <w:noWrap/>
            <w:vAlign w:val="bottom"/>
            <w:hideMark/>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9121061</w:t>
            </w:r>
          </w:p>
        </w:tc>
        <w:tc>
          <w:tcPr>
            <w:tcW w:w="2358" w:type="pct"/>
            <w:tcBorders>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Man, maintenance</w:t>
            </w:r>
          </w:p>
        </w:tc>
        <w:tc>
          <w:tcPr>
            <w:tcW w:w="516" w:type="pct"/>
            <w:tcBorders>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14</w:t>
            </w:r>
          </w:p>
        </w:tc>
        <w:tc>
          <w:tcPr>
            <w:tcW w:w="516" w:type="pct"/>
            <w:tcBorders>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5</w:t>
            </w:r>
          </w:p>
        </w:tc>
        <w:tc>
          <w:tcPr>
            <w:tcW w:w="324" w:type="pct"/>
            <w:tcBorders>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1.66</w:t>
            </w:r>
          </w:p>
        </w:tc>
        <w:tc>
          <w:tcPr>
            <w:tcW w:w="324" w:type="pct"/>
            <w:tcBorders>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0.75</w:t>
            </w:r>
          </w:p>
        </w:tc>
        <w:tc>
          <w:tcPr>
            <w:tcW w:w="324" w:type="pct"/>
            <w:tcBorders>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3.66</w:t>
            </w:r>
          </w:p>
        </w:tc>
      </w:tr>
      <w:tr w:rsidR="00DD32E6" w:rsidRPr="00DD32E6" w:rsidTr="006A4856">
        <w:trPr>
          <w:trHeight w:val="255"/>
        </w:trPr>
        <w:tc>
          <w:tcPr>
            <w:tcW w:w="63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9244</w:t>
            </w:r>
          </w:p>
        </w:tc>
        <w:tc>
          <w:tcPr>
            <w:tcW w:w="2358"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Cs/>
                <w:sz w:val="24"/>
                <w:szCs w:val="24"/>
                <w:lang w:eastAsia="en-GB"/>
              </w:rPr>
            </w:pPr>
            <w:r w:rsidRPr="00DD32E6">
              <w:rPr>
                <w:rFonts w:eastAsia="Times New Roman" w:cs="Arial"/>
                <w:bCs/>
                <w:sz w:val="24"/>
                <w:szCs w:val="24"/>
                <w:lang w:eastAsia="en-GB"/>
              </w:rPr>
              <w:t>School mid-day assistants</w:t>
            </w:r>
          </w:p>
        </w:tc>
        <w:tc>
          <w:tcPr>
            <w:tcW w:w="516"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363</w:t>
            </w:r>
          </w:p>
        </w:tc>
        <w:tc>
          <w:tcPr>
            <w:tcW w:w="516" w:type="pct"/>
            <w:tcBorders>
              <w:top w:val="single" w:sz="4" w:space="0" w:color="auto"/>
              <w:bottom w:val="single" w:sz="4" w:space="0" w:color="auto"/>
            </w:tcBorders>
            <w:shd w:val="clear" w:color="auto" w:fill="auto"/>
            <w:noWrap/>
            <w:vAlign w:val="bottom"/>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52</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1.32</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1.01</w:t>
            </w:r>
          </w:p>
        </w:tc>
        <w:tc>
          <w:tcPr>
            <w:tcW w:w="324" w:type="pct"/>
            <w:tcBorders>
              <w:top w:val="single" w:sz="4" w:space="0" w:color="auto"/>
              <w:bottom w:val="single" w:sz="4" w:space="0" w:color="auto"/>
            </w:tcBorders>
            <w:shd w:val="clear" w:color="auto" w:fill="auto"/>
            <w:noWrap/>
            <w:vAlign w:val="center"/>
            <w:hideMark/>
          </w:tcPr>
          <w:p w:rsidR="00AC6848" w:rsidRPr="00DD32E6" w:rsidRDefault="00AC6848" w:rsidP="006A4856">
            <w:pPr>
              <w:spacing w:after="0" w:line="240" w:lineRule="auto"/>
              <w:jc w:val="center"/>
              <w:rPr>
                <w:rFonts w:eastAsia="Times New Roman" w:cs="Arial"/>
                <w:bCs/>
                <w:sz w:val="24"/>
                <w:szCs w:val="24"/>
                <w:lang w:eastAsia="en-GB"/>
              </w:rPr>
            </w:pPr>
            <w:r w:rsidRPr="00DD32E6">
              <w:rPr>
                <w:rFonts w:eastAsia="Times New Roman" w:cs="Arial"/>
                <w:bCs/>
                <w:sz w:val="24"/>
                <w:szCs w:val="24"/>
                <w:lang w:eastAsia="en-GB"/>
              </w:rPr>
              <w:t>1.74</w:t>
            </w:r>
          </w:p>
        </w:tc>
      </w:tr>
      <w:tr w:rsidR="00DD32E6" w:rsidRPr="00DD32E6" w:rsidTr="006A4856">
        <w:trPr>
          <w:trHeight w:val="255"/>
        </w:trPr>
        <w:tc>
          <w:tcPr>
            <w:tcW w:w="63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9223</w:t>
            </w:r>
          </w:p>
        </w:tc>
        <w:tc>
          <w:tcPr>
            <w:tcW w:w="2358" w:type="pct"/>
            <w:tcBorders>
              <w:top w:val="single" w:sz="4" w:space="0" w:color="auto"/>
            </w:tcBorders>
            <w:shd w:val="clear" w:color="auto" w:fill="auto"/>
            <w:noWrap/>
            <w:vAlign w:val="bottom"/>
            <w:hideMark/>
          </w:tcPr>
          <w:p w:rsidR="00AC6848" w:rsidRPr="00DD32E6" w:rsidRDefault="00AC6848" w:rsidP="006A4856">
            <w:pPr>
              <w:spacing w:after="0" w:line="240" w:lineRule="auto"/>
              <w:jc w:val="left"/>
              <w:rPr>
                <w:rFonts w:eastAsia="Times New Roman" w:cs="Arial"/>
                <w:b/>
                <w:bCs/>
                <w:sz w:val="24"/>
                <w:szCs w:val="24"/>
                <w:lang w:eastAsia="en-GB"/>
              </w:rPr>
            </w:pPr>
            <w:r w:rsidRPr="00DD32E6">
              <w:rPr>
                <w:rFonts w:eastAsia="Times New Roman" w:cs="Arial"/>
                <w:b/>
                <w:bCs/>
                <w:sz w:val="24"/>
                <w:szCs w:val="24"/>
                <w:lang w:eastAsia="en-GB"/>
              </w:rPr>
              <w:t>Kitchen and catering assistants</w:t>
            </w:r>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516" w:type="pct"/>
            <w:tcBorders>
              <w:top w:val="single" w:sz="4" w:space="0" w:color="auto"/>
            </w:tcBorders>
            <w:shd w:val="clear" w:color="auto" w:fill="auto"/>
            <w:noWrap/>
            <w:vAlign w:val="bottom"/>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c>
          <w:tcPr>
            <w:tcW w:w="324" w:type="pct"/>
            <w:tcBorders>
              <w:top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Arial"/>
                <w:b/>
                <w:bCs/>
                <w:sz w:val="24"/>
                <w:szCs w:val="24"/>
                <w:lang w:eastAsia="en-GB"/>
              </w:rPr>
            </w:pPr>
          </w:p>
        </w:tc>
      </w:tr>
      <w:tr w:rsidR="00DD32E6" w:rsidRPr="00DD32E6" w:rsidTr="006A4856">
        <w:trPr>
          <w:trHeight w:val="255"/>
        </w:trPr>
        <w:tc>
          <w:tcPr>
            <w:tcW w:w="638" w:type="pct"/>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9223123</w:t>
            </w:r>
          </w:p>
        </w:tc>
        <w:tc>
          <w:tcPr>
            <w:tcW w:w="2358" w:type="pct"/>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Porter, kitchen</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17</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6</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2.73</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1.31</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5.66</w:t>
            </w:r>
          </w:p>
        </w:tc>
      </w:tr>
      <w:tr w:rsidR="00DD32E6" w:rsidRPr="00DD32E6" w:rsidTr="006A4856">
        <w:trPr>
          <w:trHeight w:val="255"/>
        </w:trPr>
        <w:tc>
          <w:tcPr>
            <w:tcW w:w="638" w:type="pct"/>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9223001</w:t>
            </w:r>
          </w:p>
        </w:tc>
        <w:tc>
          <w:tcPr>
            <w:tcW w:w="2358" w:type="pct"/>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Assistant, catering</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58</w:t>
            </w:r>
          </w:p>
        </w:tc>
        <w:tc>
          <w:tcPr>
            <w:tcW w:w="516" w:type="pct"/>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15</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1.94</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1.18</w:t>
            </w:r>
          </w:p>
        </w:tc>
        <w:tc>
          <w:tcPr>
            <w:tcW w:w="324" w:type="pct"/>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3.21</w:t>
            </w:r>
          </w:p>
        </w:tc>
      </w:tr>
      <w:tr w:rsidR="00DD32E6" w:rsidRPr="00DD32E6" w:rsidTr="006A4856">
        <w:trPr>
          <w:trHeight w:val="255"/>
        </w:trPr>
        <w:tc>
          <w:tcPr>
            <w:tcW w:w="638" w:type="pct"/>
            <w:tcBorders>
              <w:bottom w:val="single" w:sz="4" w:space="0" w:color="auto"/>
            </w:tcBorders>
            <w:shd w:val="clear" w:color="auto" w:fill="auto"/>
            <w:noWrap/>
          </w:tcPr>
          <w:p w:rsidR="00AC6848" w:rsidRPr="00DD32E6" w:rsidRDefault="00AC6848" w:rsidP="006A4856">
            <w:pPr>
              <w:spacing w:after="0" w:line="240" w:lineRule="auto"/>
              <w:jc w:val="right"/>
              <w:rPr>
                <w:rFonts w:eastAsia="Times New Roman" w:cs="Times New Roman"/>
                <w:bCs/>
                <w:sz w:val="24"/>
                <w:szCs w:val="24"/>
                <w:lang w:eastAsia="en-GB"/>
              </w:rPr>
            </w:pPr>
            <w:r w:rsidRPr="00DD32E6">
              <w:rPr>
                <w:rFonts w:eastAsia="Times New Roman" w:cs="Times New Roman"/>
                <w:bCs/>
                <w:sz w:val="24"/>
                <w:szCs w:val="24"/>
                <w:lang w:eastAsia="en-GB"/>
              </w:rPr>
              <w:t>9223019</w:t>
            </w:r>
          </w:p>
        </w:tc>
        <w:tc>
          <w:tcPr>
            <w:tcW w:w="2358" w:type="pct"/>
            <w:tcBorders>
              <w:bottom w:val="single" w:sz="4" w:space="0" w:color="auto"/>
            </w:tcBorders>
            <w:shd w:val="clear" w:color="auto" w:fill="auto"/>
            <w:noWrap/>
          </w:tcPr>
          <w:p w:rsidR="00AC6848" w:rsidRPr="00DD32E6" w:rsidRDefault="00AC6848" w:rsidP="006A4856">
            <w:pPr>
              <w:spacing w:after="0" w:line="240" w:lineRule="auto"/>
              <w:jc w:val="left"/>
              <w:rPr>
                <w:rFonts w:eastAsia="Times New Roman" w:cs="Times New Roman"/>
                <w:bCs/>
                <w:sz w:val="24"/>
                <w:szCs w:val="24"/>
                <w:lang w:eastAsia="en-GB"/>
              </w:rPr>
            </w:pPr>
            <w:r w:rsidRPr="00DD32E6">
              <w:rPr>
                <w:rFonts w:eastAsia="Times New Roman" w:cs="Times New Roman"/>
                <w:bCs/>
                <w:sz w:val="24"/>
                <w:szCs w:val="24"/>
                <w:lang w:eastAsia="en-GB"/>
              </w:rPr>
              <w:t xml:space="preserve">   Assistant, kitchen</w:t>
            </w:r>
          </w:p>
        </w:tc>
        <w:tc>
          <w:tcPr>
            <w:tcW w:w="516" w:type="pct"/>
            <w:tcBorders>
              <w:bottom w:val="single" w:sz="4" w:space="0" w:color="auto"/>
            </w:tcBorders>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161</w:t>
            </w:r>
          </w:p>
        </w:tc>
        <w:tc>
          <w:tcPr>
            <w:tcW w:w="516" w:type="pct"/>
            <w:tcBorders>
              <w:bottom w:val="single" w:sz="4" w:space="0" w:color="auto"/>
            </w:tcBorders>
            <w:shd w:val="clear" w:color="auto" w:fill="auto"/>
            <w:noWrap/>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28</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1.62</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1.17</w:t>
            </w:r>
          </w:p>
        </w:tc>
        <w:tc>
          <w:tcPr>
            <w:tcW w:w="324" w:type="pct"/>
            <w:tcBorders>
              <w:bottom w:val="single" w:sz="4" w:space="0" w:color="auto"/>
            </w:tcBorders>
            <w:shd w:val="clear" w:color="auto" w:fill="auto"/>
            <w:noWrap/>
            <w:vAlign w:val="center"/>
          </w:tcPr>
          <w:p w:rsidR="00AC6848" w:rsidRPr="00DD32E6" w:rsidRDefault="00AC6848" w:rsidP="006A4856">
            <w:pPr>
              <w:spacing w:after="0" w:line="240" w:lineRule="auto"/>
              <w:jc w:val="center"/>
              <w:rPr>
                <w:rFonts w:eastAsia="Times New Roman" w:cs="Times New Roman"/>
                <w:bCs/>
                <w:sz w:val="24"/>
                <w:szCs w:val="24"/>
                <w:lang w:eastAsia="en-GB"/>
              </w:rPr>
            </w:pPr>
            <w:r w:rsidRPr="00DD32E6">
              <w:rPr>
                <w:rFonts w:eastAsia="Times New Roman" w:cs="Times New Roman"/>
                <w:bCs/>
                <w:sz w:val="24"/>
                <w:szCs w:val="24"/>
                <w:lang w:eastAsia="en-GB"/>
              </w:rPr>
              <w:t>2.24</w:t>
            </w:r>
          </w:p>
        </w:tc>
      </w:tr>
    </w:tbl>
    <w:p w:rsidR="00AC6848" w:rsidRPr="00DD32E6" w:rsidRDefault="00AC6848" w:rsidP="006A4856">
      <w:pPr>
        <w:pStyle w:val="Default"/>
        <w:rPr>
          <w:rFonts w:asciiTheme="minorHAnsi" w:hAnsiTheme="minorHAnsi" w:cstheme="minorBidi"/>
          <w:color w:val="auto"/>
          <w:sz w:val="20"/>
          <w:szCs w:val="20"/>
          <w:lang w:eastAsia="it-IT"/>
        </w:rPr>
      </w:pPr>
      <w:r w:rsidRPr="00DD32E6">
        <w:rPr>
          <w:rFonts w:asciiTheme="minorHAnsi" w:hAnsiTheme="minorHAnsi" w:cstheme="minorBidi"/>
          <w:color w:val="auto"/>
          <w:sz w:val="20"/>
          <w:szCs w:val="20"/>
          <w:lang w:eastAsia="it-IT"/>
        </w:rPr>
        <w:t>Prevalence Ratios (PRs) and 95% confidence intervals (95%CIs) for exposure to each 7-digit SOC code and COPD risk (defined as FEV1/FVC&lt;LLN) were calculated by using a Poisson model with robust variance adjusted for sex, study centre (22 categories), age (5-years categories), and lifetime smoking exposure (ever, pack-years, and years since quitting). Reference category: current workers not employed in the specific 7-digit SOC coded job tested. In bold: occupations including detailed job titles significantly associated with COPD risk. Healthy= non COPD cases.</w:t>
      </w:r>
    </w:p>
    <w:p w:rsidR="00AC6848" w:rsidRPr="00324590" w:rsidRDefault="00AC6848" w:rsidP="006A4856">
      <w:pPr>
        <w:pStyle w:val="Default"/>
        <w:rPr>
          <w:rFonts w:asciiTheme="minorHAnsi" w:hAnsiTheme="minorHAnsi" w:cstheme="minorHAnsi"/>
          <w:b/>
          <w:bCs/>
          <w:color w:val="auto"/>
          <w:sz w:val="20"/>
          <w:szCs w:val="20"/>
        </w:rPr>
        <w:sectPr w:rsidR="00AC6848" w:rsidRPr="00324590" w:rsidSect="006A4856">
          <w:pgSz w:w="16838" w:h="11906" w:orient="landscape"/>
          <w:pgMar w:top="993" w:right="1440" w:bottom="1440" w:left="1440" w:header="708" w:footer="708" w:gutter="0"/>
          <w:cols w:space="708"/>
          <w:docGrid w:linePitch="360"/>
        </w:sectPr>
      </w:pPr>
    </w:p>
    <w:p w:rsidR="00AC6848" w:rsidRPr="00324590" w:rsidRDefault="00AC6848" w:rsidP="006A4856">
      <w:pPr>
        <w:pStyle w:val="Default"/>
        <w:spacing w:line="360" w:lineRule="auto"/>
        <w:rPr>
          <w:rFonts w:asciiTheme="minorHAnsi" w:hAnsiTheme="minorHAnsi" w:cstheme="minorHAnsi"/>
          <w:b/>
          <w:bCs/>
          <w:color w:val="auto"/>
        </w:rPr>
      </w:pPr>
      <w:r w:rsidRPr="00324590">
        <w:rPr>
          <w:rFonts w:asciiTheme="minorHAnsi" w:hAnsiTheme="minorHAnsi" w:cstheme="minorHAnsi"/>
          <w:b/>
          <w:bCs/>
          <w:color w:val="auto"/>
        </w:rPr>
        <w:lastRenderedPageBreak/>
        <w:t xml:space="preserve">Discussion </w:t>
      </w:r>
    </w:p>
    <w:p w:rsidR="00AC6848" w:rsidRPr="00324590" w:rsidRDefault="00AC6848" w:rsidP="006A4856">
      <w:pPr>
        <w:pStyle w:val="Default"/>
        <w:spacing w:line="360" w:lineRule="auto"/>
        <w:rPr>
          <w:rFonts w:asciiTheme="minorHAnsi" w:hAnsiTheme="minorHAnsi" w:cstheme="minorHAnsi"/>
          <w:bCs/>
          <w:color w:val="auto"/>
        </w:rPr>
      </w:pPr>
      <w:r w:rsidRPr="00324590">
        <w:rPr>
          <w:rFonts w:asciiTheme="minorHAnsi" w:hAnsiTheme="minorHAnsi" w:cstheme="minorHAnsi"/>
          <w:bCs/>
          <w:color w:val="auto"/>
        </w:rPr>
        <w:t>In a large population-based study of over 220,000 current workers in the UK we found that several occupations were associated with an increased risk of COPD, not only after adjusting for tobacco smoking, but also restricting the analyses to never smokers. In particular, we confirmed the known higher risks among coal miners, construction workers (roofers, floorers, and labourers, but not bricklayers, masons), and industrial process operatives (food, drink, tobacco, and chemicals).</w:t>
      </w:r>
      <w:r w:rsidRPr="00324590">
        <w:rPr>
          <w:rFonts w:asciiTheme="minorHAnsi" w:hAnsiTheme="minorHAnsi" w:cstheme="minorHAnsi"/>
          <w:bCs/>
          <w:noProof/>
          <w:color w:val="auto"/>
          <w:vertAlign w:val="superscript"/>
        </w:rPr>
        <w:t>2 3 8</w:t>
      </w:r>
      <w:r w:rsidRPr="00324590">
        <w:rPr>
          <w:rFonts w:asciiTheme="minorHAnsi" w:hAnsiTheme="minorHAnsi" w:cstheme="minorHAnsi"/>
          <w:bCs/>
          <w:color w:val="auto"/>
        </w:rPr>
        <w:t xml:space="preserve"> New findings, in order of strength, are seafarers, cleaners, postal workers, school assistants, and kitchen assistants. In relation to the potential underlying causal occupational agents, diesel motor exhausts for seafarers and postal workers, irritant chemicals for cleaners, and cooking gas for kitchen workers can be hypothesised. We did not detect an increased risk in textile workers (three exposed cases), quarry workers and related operatives (two exposed cases), welders (except in non-asthmatics), or farmers (except possibly for farm managers) as previously reported.</w:t>
      </w:r>
      <w:r w:rsidRPr="00324590">
        <w:rPr>
          <w:rFonts w:asciiTheme="minorHAnsi" w:hAnsiTheme="minorHAnsi" w:cstheme="minorHAnsi"/>
          <w:bCs/>
          <w:noProof/>
          <w:color w:val="auto"/>
          <w:vertAlign w:val="superscript"/>
        </w:rPr>
        <w:t>2 3 8</w:t>
      </w:r>
      <w:r w:rsidRPr="00324590">
        <w:rPr>
          <w:rFonts w:asciiTheme="minorHAnsi" w:hAnsiTheme="minorHAnsi" w:cstheme="minorHAnsi"/>
          <w:bCs/>
          <w:color w:val="auto"/>
        </w:rPr>
        <w:t xml:space="preserve"> Our few missing associations are likely to be due to the scarce representation in our sample of these high risk ‘dirty’ jobs as expected in a general population sample.</w:t>
      </w:r>
      <w:r w:rsidR="00966FA5" w:rsidRPr="00324590">
        <w:rPr>
          <w:rFonts w:asciiTheme="minorHAnsi" w:hAnsiTheme="minorHAnsi" w:cstheme="minorHAnsi"/>
          <w:bCs/>
          <w:noProof/>
          <w:color w:val="auto"/>
          <w:vertAlign w:val="superscript"/>
        </w:rPr>
        <w:t>20</w:t>
      </w:r>
    </w:p>
    <w:p w:rsidR="00AC6848" w:rsidRPr="00324590" w:rsidRDefault="00AC6848" w:rsidP="006A4856">
      <w:pPr>
        <w:pStyle w:val="Default"/>
        <w:spacing w:line="360" w:lineRule="auto"/>
        <w:rPr>
          <w:rFonts w:asciiTheme="minorHAnsi" w:hAnsiTheme="minorHAnsi" w:cstheme="minorHAnsi"/>
          <w:bCs/>
          <w:color w:val="auto"/>
        </w:rPr>
      </w:pPr>
      <w:r w:rsidRPr="00324590">
        <w:rPr>
          <w:rFonts w:asciiTheme="minorHAnsi" w:hAnsiTheme="minorHAnsi" w:cstheme="minorHAnsi"/>
          <w:bCs/>
          <w:color w:val="auto"/>
        </w:rPr>
        <w:t>Our study has several strengths. First, it is not restricted to an industrial sector but covers a broad variety of occupations and industry sectors in the general working population, giving a general picture of COPD risk and impact in relation to occupation in the whole country. Second, the large sample size which, to the best of our knowledge, is greater than any previous study conducted on occupations and COPD risk (as measured by lung function) in a general population. The large sample allowed sensitivity analyses among never smokers and non-asthmatics strengthening the reliability of our findings by showing consistency of the results in subgroups free from potential residual confounding effect of tobacco smoking and disease misclassification with asthma, respectively. Also, we were able to perform analyses by sex, to evaluate potential gender-specific risks.</w:t>
      </w:r>
    </w:p>
    <w:p w:rsidR="00AC6848" w:rsidRPr="00324590" w:rsidRDefault="00AC6848" w:rsidP="006A4856">
      <w:pPr>
        <w:pStyle w:val="Default"/>
        <w:spacing w:line="360" w:lineRule="auto"/>
        <w:rPr>
          <w:rFonts w:asciiTheme="minorHAnsi" w:hAnsiTheme="minorHAnsi" w:cstheme="minorHAnsi"/>
          <w:bCs/>
          <w:color w:val="auto"/>
        </w:rPr>
      </w:pPr>
      <w:r w:rsidRPr="00324590">
        <w:rPr>
          <w:rFonts w:asciiTheme="minorHAnsi" w:hAnsiTheme="minorHAnsi" w:cstheme="minorHAnsi"/>
          <w:bCs/>
          <w:color w:val="auto"/>
        </w:rPr>
        <w:t xml:space="preserve">Third, the occupational exposure assessment was based on job descriptions collected through personal interview by trained operators who coded each job title using standard occupational codes blind to COPD status, ruling out any differential misclassification. Fourth, we used a </w:t>
      </w:r>
      <w:proofErr w:type="spellStart"/>
      <w:r w:rsidRPr="00324590">
        <w:rPr>
          <w:rFonts w:asciiTheme="minorHAnsi" w:hAnsiTheme="minorHAnsi" w:cstheme="minorHAnsi"/>
          <w:bCs/>
          <w:color w:val="auto"/>
        </w:rPr>
        <w:t>spirometry</w:t>
      </w:r>
      <w:proofErr w:type="spellEnd"/>
      <w:r w:rsidRPr="00324590">
        <w:rPr>
          <w:rFonts w:asciiTheme="minorHAnsi" w:hAnsiTheme="minorHAnsi" w:cstheme="minorHAnsi"/>
          <w:bCs/>
          <w:color w:val="auto"/>
        </w:rPr>
        <w:t>-based COPD definition using the LLN as the diagnostic cut-off because, in comparison to the fixed ratio (FEV1/FVC &lt;70%) it is less likely to be biased in older ages as it is the case in our study base</w:t>
      </w:r>
      <w:r w:rsidRPr="00324590">
        <w:rPr>
          <w:rFonts w:asciiTheme="minorHAnsi" w:hAnsiTheme="minorHAnsi" w:cstheme="minorHAnsi"/>
          <w:bCs/>
          <w:noProof/>
          <w:color w:val="auto"/>
          <w:vertAlign w:val="superscript"/>
        </w:rPr>
        <w:t>2</w:t>
      </w:r>
      <w:r w:rsidR="00966FA5" w:rsidRPr="00324590">
        <w:rPr>
          <w:rFonts w:asciiTheme="minorHAnsi" w:hAnsiTheme="minorHAnsi" w:cstheme="minorHAnsi"/>
          <w:bCs/>
          <w:noProof/>
          <w:color w:val="auto"/>
          <w:vertAlign w:val="superscript"/>
        </w:rPr>
        <w:t>1</w:t>
      </w:r>
      <w:r w:rsidRPr="00324590">
        <w:rPr>
          <w:rFonts w:asciiTheme="minorHAnsi" w:hAnsiTheme="minorHAnsi" w:cstheme="minorHAnsi"/>
          <w:bCs/>
          <w:color w:val="auto"/>
        </w:rPr>
        <w:t xml:space="preserve"> </w:t>
      </w:r>
      <w:r w:rsidR="008536F5" w:rsidRPr="00324590">
        <w:rPr>
          <w:rFonts w:asciiTheme="minorHAnsi" w:hAnsiTheme="minorHAnsi" w:cstheme="minorHAnsi"/>
          <w:bCs/>
          <w:color w:val="auto"/>
        </w:rPr>
        <w:t xml:space="preserve"> In addition, we tested an alternative COPD definition </w:t>
      </w:r>
      <w:r w:rsidR="00523D3D" w:rsidRPr="00324590">
        <w:rPr>
          <w:rFonts w:asciiTheme="minorHAnsi" w:hAnsiTheme="minorHAnsi" w:cstheme="minorHAnsi"/>
          <w:bCs/>
          <w:color w:val="auto"/>
        </w:rPr>
        <w:t>that comprised</w:t>
      </w:r>
      <w:r w:rsidR="008536F5" w:rsidRPr="00324590">
        <w:rPr>
          <w:rFonts w:asciiTheme="minorHAnsi" w:hAnsiTheme="minorHAnsi" w:cstheme="minorHAnsi"/>
          <w:bCs/>
          <w:color w:val="auto"/>
        </w:rPr>
        <w:t xml:space="preserve"> either </w:t>
      </w:r>
      <w:r w:rsidR="00523D3D" w:rsidRPr="00324590">
        <w:rPr>
          <w:rFonts w:asciiTheme="minorHAnsi" w:hAnsiTheme="minorHAnsi" w:cstheme="minorHAnsi"/>
          <w:bCs/>
          <w:color w:val="auto"/>
        </w:rPr>
        <w:t>‘</w:t>
      </w:r>
      <w:r w:rsidR="008536F5" w:rsidRPr="00324590">
        <w:rPr>
          <w:rFonts w:asciiTheme="minorHAnsi" w:hAnsiTheme="minorHAnsi" w:cstheme="minorHAnsi"/>
          <w:bCs/>
          <w:color w:val="auto"/>
        </w:rPr>
        <w:t>FEV1&lt;LLN or FEV1/FVC&lt;LLN</w:t>
      </w:r>
      <w:r w:rsidR="00523D3D" w:rsidRPr="00324590">
        <w:rPr>
          <w:rFonts w:asciiTheme="minorHAnsi" w:hAnsiTheme="minorHAnsi" w:cstheme="minorHAnsi"/>
          <w:bCs/>
          <w:color w:val="auto"/>
        </w:rPr>
        <w:t>’</w:t>
      </w:r>
      <w:r w:rsidR="008536F5" w:rsidRPr="00324590">
        <w:rPr>
          <w:rFonts w:asciiTheme="minorHAnsi" w:hAnsiTheme="minorHAnsi" w:cstheme="minorHAnsi"/>
          <w:bCs/>
          <w:color w:val="auto"/>
        </w:rPr>
        <w:t xml:space="preserve"> to rule out any </w:t>
      </w:r>
      <w:r w:rsidR="006F33C9" w:rsidRPr="00324590">
        <w:rPr>
          <w:rFonts w:asciiTheme="minorHAnsi" w:hAnsiTheme="minorHAnsi" w:cstheme="minorHAnsi"/>
          <w:bCs/>
          <w:color w:val="auto"/>
        </w:rPr>
        <w:lastRenderedPageBreak/>
        <w:t>misclassification</w:t>
      </w:r>
      <w:r w:rsidR="008536F5" w:rsidRPr="00324590">
        <w:rPr>
          <w:rFonts w:asciiTheme="minorHAnsi" w:hAnsiTheme="minorHAnsi" w:cstheme="minorHAnsi"/>
          <w:bCs/>
          <w:color w:val="auto"/>
        </w:rPr>
        <w:t xml:space="preserve"> due to a potential dust-related FVC decline; the results remained substantially unchanged (data not shown). </w:t>
      </w:r>
      <w:r w:rsidRPr="00324590">
        <w:rPr>
          <w:rFonts w:asciiTheme="minorHAnsi" w:hAnsiTheme="minorHAnsi" w:cstheme="minorHAnsi"/>
          <w:bCs/>
          <w:color w:val="auto"/>
        </w:rPr>
        <w:t>Finally, the available information on duration of employment within each job, allowed us to evaluate exposure-response relationships, again to support the reliability of our findings.</w:t>
      </w:r>
    </w:p>
    <w:p w:rsidR="00AC6848" w:rsidRPr="00324590" w:rsidRDefault="00AC6848" w:rsidP="006A4856">
      <w:pPr>
        <w:pStyle w:val="Default"/>
        <w:spacing w:line="360" w:lineRule="auto"/>
        <w:rPr>
          <w:rFonts w:asciiTheme="minorHAnsi" w:hAnsiTheme="minorHAnsi" w:cstheme="minorHAnsi"/>
          <w:bCs/>
          <w:color w:val="auto"/>
        </w:rPr>
      </w:pPr>
      <w:r w:rsidRPr="00324590">
        <w:rPr>
          <w:rFonts w:asciiTheme="minorHAnsi" w:hAnsiTheme="minorHAnsi" w:cstheme="minorHAnsi"/>
          <w:bCs/>
          <w:color w:val="auto"/>
        </w:rPr>
        <w:t xml:space="preserve">Nevertheless, we should acknowledge some study limitations: the cross-sectional design is susceptible to potential </w:t>
      </w:r>
      <w:proofErr w:type="spellStart"/>
      <w:r w:rsidRPr="00324590">
        <w:rPr>
          <w:rFonts w:asciiTheme="minorHAnsi" w:hAnsiTheme="minorHAnsi" w:cstheme="minorHAnsi"/>
          <w:bCs/>
          <w:color w:val="auto"/>
        </w:rPr>
        <w:t>healthy</w:t>
      </w:r>
      <w:proofErr w:type="spellEnd"/>
      <w:r w:rsidRPr="00324590">
        <w:rPr>
          <w:rFonts w:asciiTheme="minorHAnsi" w:hAnsiTheme="minorHAnsi" w:cstheme="minorHAnsi"/>
          <w:bCs/>
          <w:color w:val="auto"/>
        </w:rPr>
        <w:t xml:space="preserve"> worker effect (HWE), although this is likely to bias the risk estimate towards the null with a resulting underestimation of the true work-related COPD risk. In particular, given the older age of our study sample, the healthy worker survivor effect component of the HWE bias could have played a major role, because with aging only the fittest tend to remain in high risk jobs.</w:t>
      </w:r>
      <w:r w:rsidRPr="00324590">
        <w:rPr>
          <w:rFonts w:asciiTheme="minorHAnsi" w:hAnsiTheme="minorHAnsi" w:cstheme="minorHAnsi"/>
          <w:bCs/>
          <w:noProof/>
          <w:color w:val="auto"/>
          <w:vertAlign w:val="superscript"/>
        </w:rPr>
        <w:t>2</w:t>
      </w:r>
      <w:r w:rsidR="00966FA5" w:rsidRPr="00324590">
        <w:rPr>
          <w:rFonts w:asciiTheme="minorHAnsi" w:hAnsiTheme="minorHAnsi" w:cstheme="minorHAnsi"/>
          <w:bCs/>
          <w:noProof/>
          <w:color w:val="auto"/>
          <w:vertAlign w:val="superscript"/>
        </w:rPr>
        <w:t>2</w:t>
      </w:r>
      <w:r w:rsidRPr="00324590">
        <w:rPr>
          <w:rFonts w:asciiTheme="minorHAnsi" w:hAnsiTheme="minorHAnsi" w:cstheme="minorHAnsi"/>
          <w:bCs/>
          <w:color w:val="auto"/>
        </w:rPr>
        <w:t xml:space="preserve"> To minimize this potential bias, we used as reference category all the workers not exposed to the specific job title under analysis instead of a fixed category of ‘white-collar’ workers who may be different in many (non-occupational) aspects from ‘blue-collar’ workers. Our study is large, but a large sample is not necessarily equivalent to representativeness. In fact reported response rates to the baseline UK Biobank survey were low </w:t>
      </w:r>
      <w:r w:rsidRPr="00324590">
        <w:rPr>
          <w:rFonts w:asciiTheme="minorHAnsi" w:hAnsiTheme="minorHAnsi" w:cstheme="minorHAnsi"/>
          <w:bCs/>
          <w:noProof/>
          <w:color w:val="auto"/>
          <w:vertAlign w:val="superscript"/>
        </w:rPr>
        <w:t>9</w:t>
      </w:r>
      <w:r w:rsidRPr="00324590">
        <w:rPr>
          <w:rFonts w:asciiTheme="minorHAnsi" w:hAnsiTheme="minorHAnsi" w:cstheme="minorHAnsi"/>
          <w:bCs/>
          <w:color w:val="auto"/>
        </w:rPr>
        <w:t xml:space="preserve"> </w:t>
      </w:r>
      <w:r w:rsidR="009C6D27" w:rsidRPr="00324590">
        <w:rPr>
          <w:rFonts w:asciiTheme="minorHAnsi" w:hAnsiTheme="minorHAnsi" w:cstheme="minorHAnsi"/>
          <w:bCs/>
          <w:color w:val="auto"/>
        </w:rPr>
        <w:t xml:space="preserve">making unlikely that the UK Biobank cohort is representative of the UK working population in all aspects. </w:t>
      </w:r>
      <w:r w:rsidRPr="00324590">
        <w:rPr>
          <w:rFonts w:asciiTheme="minorHAnsi" w:hAnsiTheme="minorHAnsi" w:cstheme="minorHAnsi"/>
          <w:bCs/>
          <w:color w:val="auto"/>
        </w:rPr>
        <w:t>Nevertheless, in epidemiology it is recognised that internal more than external validity is required in order to assess causal associations.</w:t>
      </w:r>
      <w:r w:rsidRPr="00324590">
        <w:rPr>
          <w:rFonts w:asciiTheme="minorHAnsi" w:hAnsiTheme="minorHAnsi" w:cstheme="minorHAnsi"/>
          <w:bCs/>
          <w:noProof/>
          <w:color w:val="auto"/>
          <w:vertAlign w:val="superscript"/>
        </w:rPr>
        <w:t>2</w:t>
      </w:r>
      <w:r w:rsidR="00966FA5" w:rsidRPr="00324590">
        <w:rPr>
          <w:rFonts w:asciiTheme="minorHAnsi" w:hAnsiTheme="minorHAnsi" w:cstheme="minorHAnsi"/>
          <w:bCs/>
          <w:noProof/>
          <w:color w:val="auto"/>
          <w:vertAlign w:val="superscript"/>
        </w:rPr>
        <w:t>3</w:t>
      </w:r>
    </w:p>
    <w:p w:rsidR="00AC6848" w:rsidRPr="00324590" w:rsidRDefault="00AC6848" w:rsidP="006A4856">
      <w:pPr>
        <w:pStyle w:val="Default"/>
        <w:spacing w:line="360" w:lineRule="auto"/>
        <w:rPr>
          <w:rFonts w:asciiTheme="minorHAnsi" w:hAnsiTheme="minorHAnsi" w:cstheme="minorHAnsi"/>
          <w:bCs/>
          <w:color w:val="auto"/>
        </w:rPr>
      </w:pPr>
      <w:r w:rsidRPr="00324590">
        <w:rPr>
          <w:rFonts w:asciiTheme="minorHAnsi" w:hAnsiTheme="minorHAnsi" w:cstheme="minorHAnsi"/>
          <w:bCs/>
          <w:color w:val="auto"/>
        </w:rPr>
        <w:t xml:space="preserve">We have conducted a large number of tests (n=353) and cannot rule out that some reported associations may have arisen by chance. However, to apply a formal statistical correction method (e.g. </w:t>
      </w:r>
      <w:proofErr w:type="spellStart"/>
      <w:r w:rsidRPr="00324590">
        <w:rPr>
          <w:rFonts w:asciiTheme="minorHAnsi" w:hAnsiTheme="minorHAnsi" w:cstheme="minorHAnsi"/>
          <w:bCs/>
          <w:color w:val="auto"/>
        </w:rPr>
        <w:t>Bonferroni</w:t>
      </w:r>
      <w:proofErr w:type="spellEnd"/>
      <w:r w:rsidRPr="00324590">
        <w:rPr>
          <w:rFonts w:asciiTheme="minorHAnsi" w:hAnsiTheme="minorHAnsi" w:cstheme="minorHAnsi"/>
          <w:bCs/>
          <w:color w:val="auto"/>
        </w:rPr>
        <w:t xml:space="preserve">) to address the multiple testing issues might be too penalising. In fact our approach was not completely agnostic, given the presence of some occupations suspected or </w:t>
      </w:r>
      <w:r w:rsidRPr="00324590">
        <w:rPr>
          <w:rFonts w:asciiTheme="minorHAnsi" w:hAnsiTheme="minorHAnsi" w:cstheme="minorHAnsi"/>
          <w:bCs/>
          <w:i/>
          <w:color w:val="auto"/>
        </w:rPr>
        <w:t>a priori</w:t>
      </w:r>
      <w:r w:rsidRPr="00324590">
        <w:rPr>
          <w:rFonts w:asciiTheme="minorHAnsi" w:hAnsiTheme="minorHAnsi" w:cstheme="minorHAnsi"/>
          <w:bCs/>
          <w:color w:val="auto"/>
        </w:rPr>
        <w:t xml:space="preserve"> known to be associated with an increased COPD risk. Also, to reduce the number of false positive associations, we have limited our sensitivity analyses to the 14 occupations showing not only formal statistical significance, but also moderate strength of association, and with sufficient numbers of exposed persons among both cases and healthy subjects. </w:t>
      </w:r>
    </w:p>
    <w:p w:rsidR="00AC6848" w:rsidRPr="00324590" w:rsidRDefault="00AC6848" w:rsidP="006A4856">
      <w:pPr>
        <w:pStyle w:val="Default"/>
        <w:spacing w:line="360" w:lineRule="auto"/>
        <w:rPr>
          <w:rFonts w:asciiTheme="minorHAnsi" w:hAnsiTheme="minorHAnsi" w:cstheme="minorHAnsi"/>
          <w:bCs/>
          <w:color w:val="auto"/>
        </w:rPr>
      </w:pPr>
      <w:r w:rsidRPr="00324590">
        <w:rPr>
          <w:rFonts w:asciiTheme="minorHAnsi" w:hAnsiTheme="minorHAnsi" w:cstheme="minorHAnsi"/>
          <w:bCs/>
          <w:color w:val="auto"/>
        </w:rPr>
        <w:t xml:space="preserve">In relation to potential additional adjustments, we did not include education level as a covariate in the final model because occupation is a </w:t>
      </w:r>
      <w:r w:rsidRPr="00324590">
        <w:rPr>
          <w:rFonts w:asciiTheme="minorHAnsi" w:hAnsiTheme="minorHAnsi" w:cstheme="minorHAnsi"/>
          <w:bCs/>
          <w:i/>
          <w:color w:val="auto"/>
        </w:rPr>
        <w:t>proxy</w:t>
      </w:r>
      <w:r w:rsidRPr="00324590">
        <w:rPr>
          <w:rFonts w:asciiTheme="minorHAnsi" w:hAnsiTheme="minorHAnsi" w:cstheme="minorHAnsi"/>
          <w:bCs/>
          <w:color w:val="auto"/>
        </w:rPr>
        <w:t xml:space="preserve"> for socio-economic status (SES). It has been argued that to adjust for SES might result in over-adjustment of risk estimates with unpredictable direction of the resulting bias.</w:t>
      </w:r>
      <w:r w:rsidRPr="00324590">
        <w:rPr>
          <w:rFonts w:asciiTheme="minorHAnsi" w:hAnsiTheme="minorHAnsi" w:cstheme="minorHAnsi"/>
          <w:bCs/>
          <w:noProof/>
          <w:color w:val="auto"/>
          <w:vertAlign w:val="superscript"/>
        </w:rPr>
        <w:t>2</w:t>
      </w:r>
      <w:r w:rsidR="00966FA5" w:rsidRPr="00324590">
        <w:rPr>
          <w:rFonts w:asciiTheme="minorHAnsi" w:hAnsiTheme="minorHAnsi" w:cstheme="minorHAnsi"/>
          <w:bCs/>
          <w:noProof/>
          <w:color w:val="auto"/>
          <w:vertAlign w:val="superscript"/>
        </w:rPr>
        <w:t>4</w:t>
      </w:r>
      <w:r w:rsidRPr="00324590">
        <w:rPr>
          <w:rFonts w:asciiTheme="minorHAnsi" w:hAnsiTheme="minorHAnsi" w:cstheme="minorHAnsi"/>
          <w:bCs/>
          <w:color w:val="auto"/>
        </w:rPr>
        <w:t xml:space="preserve"> In addition we did not include ethnicity in our final models. There has been some debate about whether adjustment for ethnicity is appropriate in studies with </w:t>
      </w:r>
      <w:proofErr w:type="spellStart"/>
      <w:r w:rsidRPr="00324590">
        <w:rPr>
          <w:rFonts w:asciiTheme="minorHAnsi" w:hAnsiTheme="minorHAnsi" w:cstheme="minorHAnsi"/>
          <w:bCs/>
          <w:color w:val="auto"/>
        </w:rPr>
        <w:t>spirometry</w:t>
      </w:r>
      <w:proofErr w:type="spellEnd"/>
      <w:r w:rsidRPr="00324590">
        <w:rPr>
          <w:rFonts w:asciiTheme="minorHAnsi" w:hAnsiTheme="minorHAnsi" w:cstheme="minorHAnsi"/>
          <w:bCs/>
          <w:color w:val="auto"/>
        </w:rPr>
        <w:t xml:space="preserve">-defined COPD as the heath outcome as it may be a </w:t>
      </w:r>
      <w:r w:rsidRPr="00324590">
        <w:rPr>
          <w:rFonts w:asciiTheme="minorHAnsi" w:hAnsiTheme="minorHAnsi" w:cstheme="minorHAnsi"/>
          <w:bCs/>
          <w:color w:val="auto"/>
        </w:rPr>
        <w:lastRenderedPageBreak/>
        <w:t>surrogate for other socio-economic differences, such as income and access to healthcare, that are likely to be more important in determining individual lung function measurements.</w:t>
      </w:r>
      <w:r w:rsidRPr="00324590">
        <w:rPr>
          <w:rFonts w:asciiTheme="minorHAnsi" w:hAnsiTheme="minorHAnsi" w:cstheme="minorHAnsi"/>
          <w:bCs/>
          <w:noProof/>
          <w:color w:val="auto"/>
          <w:vertAlign w:val="superscript"/>
        </w:rPr>
        <w:t>2</w:t>
      </w:r>
      <w:r w:rsidR="00966FA5" w:rsidRPr="00324590">
        <w:rPr>
          <w:rFonts w:asciiTheme="minorHAnsi" w:hAnsiTheme="minorHAnsi" w:cstheme="minorHAnsi"/>
          <w:bCs/>
          <w:noProof/>
          <w:color w:val="auto"/>
          <w:vertAlign w:val="superscript"/>
        </w:rPr>
        <w:t>5</w:t>
      </w:r>
      <w:r w:rsidRPr="00324590">
        <w:rPr>
          <w:rFonts w:asciiTheme="minorHAnsi" w:hAnsiTheme="minorHAnsi" w:cstheme="minorHAnsi"/>
          <w:bCs/>
          <w:color w:val="auto"/>
        </w:rPr>
        <w:t xml:space="preserve"> Almost all Biobank participants described themselves as ‘white’ (215,314; 94%). Adjusting for ethnicity made no material difference to our reported associations, and similarly restriction to ‘white’ subjects did not change the results (data not shown).</w:t>
      </w:r>
    </w:p>
    <w:p w:rsidR="00902F8E" w:rsidRPr="00C767E5" w:rsidRDefault="00AC6848" w:rsidP="006A4856">
      <w:pPr>
        <w:pStyle w:val="Default"/>
        <w:spacing w:line="360" w:lineRule="auto"/>
        <w:rPr>
          <w:rFonts w:asciiTheme="minorHAnsi" w:hAnsiTheme="minorHAnsi" w:cstheme="minorHAnsi"/>
          <w:bCs/>
          <w:color w:val="auto"/>
        </w:rPr>
      </w:pPr>
      <w:r w:rsidRPr="00C767E5">
        <w:rPr>
          <w:rFonts w:asciiTheme="minorHAnsi" w:hAnsiTheme="minorHAnsi" w:cstheme="minorHAnsi"/>
          <w:bCs/>
          <w:color w:val="auto"/>
        </w:rPr>
        <w:t>In conclusion, we found that work in specific occupations may increase COPD risk in the general population. Given the large sample, and the consistency of our findings in sensitivity analyses, in particular in never-smokers, we are confident of the validity of these findings and that they deserve further investigation. We will next investigate the underlying potential occupational causal agents by applying a job exposure matrix approach, and collect information on lifetime job histories in further studies of the cohort.</w:t>
      </w:r>
      <w:r w:rsidRPr="00C767E5">
        <w:rPr>
          <w:rFonts w:cstheme="minorHAnsi"/>
          <w:bCs/>
          <w:color w:val="auto"/>
        </w:rPr>
        <w:t xml:space="preserve"> </w:t>
      </w:r>
      <w:r w:rsidR="00EB57F7" w:rsidRPr="00C767E5">
        <w:rPr>
          <w:rFonts w:asciiTheme="minorHAnsi" w:hAnsiTheme="minorHAnsi" w:cstheme="minorHAnsi"/>
          <w:bCs/>
          <w:color w:val="auto"/>
        </w:rPr>
        <w:t>These planned</w:t>
      </w:r>
      <w:r w:rsidR="00B37BE8" w:rsidRPr="00C767E5">
        <w:rPr>
          <w:rFonts w:asciiTheme="minorHAnsi" w:hAnsiTheme="minorHAnsi" w:cstheme="minorHAnsi"/>
          <w:bCs/>
          <w:color w:val="auto"/>
        </w:rPr>
        <w:t xml:space="preserve"> analyses will provide important insight into the extent to which the associations we have detected reflect occupational exposures which are still of concern</w:t>
      </w:r>
      <w:r w:rsidR="00EB57F7" w:rsidRPr="00C767E5">
        <w:rPr>
          <w:rFonts w:asciiTheme="minorHAnsi" w:hAnsiTheme="minorHAnsi" w:cstheme="minorHAnsi"/>
          <w:bCs/>
          <w:color w:val="auto"/>
        </w:rPr>
        <w:t>,</w:t>
      </w:r>
      <w:r w:rsidR="00A67493" w:rsidRPr="00C767E5">
        <w:rPr>
          <w:rFonts w:asciiTheme="minorHAnsi" w:hAnsiTheme="minorHAnsi" w:cstheme="minorHAnsi"/>
          <w:bCs/>
          <w:color w:val="auto"/>
        </w:rPr>
        <w:t xml:space="preserve"> and thus where prevent</w:t>
      </w:r>
      <w:r w:rsidR="00B37BE8" w:rsidRPr="00C767E5">
        <w:rPr>
          <w:rFonts w:asciiTheme="minorHAnsi" w:hAnsiTheme="minorHAnsi" w:cstheme="minorHAnsi"/>
          <w:bCs/>
          <w:color w:val="auto"/>
        </w:rPr>
        <w:t>ive actions may need to be strengthened.</w:t>
      </w:r>
    </w:p>
    <w:p w:rsidR="00AC6848" w:rsidRPr="00C767E5" w:rsidRDefault="00AC6848" w:rsidP="006A4856">
      <w:pPr>
        <w:pStyle w:val="Default"/>
        <w:spacing w:line="360" w:lineRule="auto"/>
        <w:rPr>
          <w:rFonts w:asciiTheme="minorHAnsi" w:hAnsiTheme="minorHAnsi" w:cstheme="minorHAnsi"/>
          <w:b/>
          <w:bCs/>
          <w:color w:val="auto"/>
        </w:rPr>
      </w:pPr>
    </w:p>
    <w:p w:rsidR="00AC6848" w:rsidRPr="00C767E5" w:rsidRDefault="00AC6848" w:rsidP="006A4856">
      <w:pPr>
        <w:pStyle w:val="Default"/>
        <w:spacing w:line="360" w:lineRule="auto"/>
        <w:rPr>
          <w:rFonts w:asciiTheme="minorHAnsi" w:hAnsiTheme="minorHAnsi" w:cstheme="minorHAnsi"/>
          <w:bCs/>
          <w:color w:val="auto"/>
        </w:rPr>
      </w:pPr>
      <w:proofErr w:type="gramStart"/>
      <w:r w:rsidRPr="00C767E5">
        <w:rPr>
          <w:rFonts w:asciiTheme="minorHAnsi" w:hAnsiTheme="minorHAnsi" w:cstheme="minorHAnsi"/>
          <w:b/>
          <w:bCs/>
          <w:color w:val="auto"/>
        </w:rPr>
        <w:t>Funding</w:t>
      </w:r>
      <w:r w:rsidRPr="00C767E5">
        <w:rPr>
          <w:rFonts w:asciiTheme="minorHAnsi" w:hAnsiTheme="minorHAnsi" w:cstheme="minorHAnsi"/>
          <w:bCs/>
          <w:color w:val="auto"/>
        </w:rPr>
        <w:t xml:space="preserve">  This</w:t>
      </w:r>
      <w:proofErr w:type="gramEnd"/>
      <w:r w:rsidRPr="00C767E5">
        <w:rPr>
          <w:rFonts w:asciiTheme="minorHAnsi" w:hAnsiTheme="minorHAnsi" w:cstheme="minorHAnsi"/>
          <w:bCs/>
          <w:color w:val="auto"/>
        </w:rPr>
        <w:t xml:space="preserve"> research was supported by contract OH1511 from the Health and Safety Executive</w:t>
      </w:r>
      <w:r w:rsidR="00606A5A" w:rsidRPr="00C767E5">
        <w:rPr>
          <w:rFonts w:asciiTheme="minorHAnsi" w:hAnsiTheme="minorHAnsi" w:cstheme="minorHAnsi"/>
          <w:bCs/>
          <w:color w:val="auto"/>
        </w:rPr>
        <w:t xml:space="preserve"> (HSE)</w:t>
      </w:r>
      <w:r w:rsidRPr="00C767E5">
        <w:rPr>
          <w:rFonts w:asciiTheme="minorHAnsi" w:hAnsiTheme="minorHAnsi" w:cstheme="minorHAnsi"/>
          <w:bCs/>
          <w:color w:val="auto"/>
        </w:rPr>
        <w:t>.</w:t>
      </w:r>
      <w:r w:rsidR="00011D36" w:rsidRPr="00C767E5">
        <w:rPr>
          <w:rFonts w:asciiTheme="minorHAnsi" w:hAnsiTheme="minorHAnsi" w:cstheme="minorHAnsi"/>
          <w:bCs/>
          <w:color w:val="auto"/>
        </w:rPr>
        <w:t xml:space="preserve"> </w:t>
      </w:r>
      <w:r w:rsidR="00B37BE8" w:rsidRPr="00C767E5">
        <w:rPr>
          <w:rFonts w:asciiTheme="minorHAnsi" w:hAnsiTheme="minorHAnsi"/>
          <w:color w:val="auto"/>
          <w:szCs w:val="22"/>
        </w:rPr>
        <w:t>The content of this paper contains the views of the authors, and not necessarily those of HSE.</w:t>
      </w:r>
    </w:p>
    <w:p w:rsidR="00AC6848" w:rsidRPr="00C767E5" w:rsidRDefault="00AC6848" w:rsidP="006A4856">
      <w:pPr>
        <w:pStyle w:val="Default"/>
        <w:spacing w:line="360" w:lineRule="auto"/>
        <w:rPr>
          <w:rFonts w:asciiTheme="minorHAnsi" w:hAnsiTheme="minorHAnsi" w:cstheme="minorHAnsi"/>
          <w:bCs/>
          <w:color w:val="auto"/>
        </w:rPr>
      </w:pPr>
    </w:p>
    <w:p w:rsidR="00AC6848" w:rsidRPr="00C767E5" w:rsidRDefault="00AC6848" w:rsidP="006A4856">
      <w:pPr>
        <w:pStyle w:val="Default"/>
        <w:spacing w:line="360" w:lineRule="auto"/>
        <w:rPr>
          <w:rFonts w:asciiTheme="minorHAnsi" w:hAnsiTheme="minorHAnsi" w:cstheme="minorHAnsi"/>
          <w:bCs/>
          <w:color w:val="auto"/>
        </w:rPr>
      </w:pPr>
      <w:r w:rsidRPr="00C767E5">
        <w:rPr>
          <w:rFonts w:asciiTheme="minorHAnsi" w:hAnsiTheme="minorHAnsi" w:cstheme="minorHAnsi"/>
          <w:b/>
          <w:bCs/>
          <w:color w:val="auto"/>
        </w:rPr>
        <w:t xml:space="preserve">Ethics </w:t>
      </w:r>
      <w:proofErr w:type="gramStart"/>
      <w:r w:rsidRPr="00C767E5">
        <w:rPr>
          <w:rFonts w:asciiTheme="minorHAnsi" w:hAnsiTheme="minorHAnsi" w:cstheme="minorHAnsi"/>
          <w:b/>
          <w:bCs/>
          <w:color w:val="auto"/>
        </w:rPr>
        <w:t>approval</w:t>
      </w:r>
      <w:r w:rsidRPr="00C767E5">
        <w:rPr>
          <w:rFonts w:asciiTheme="minorHAnsi" w:hAnsiTheme="minorHAnsi" w:cstheme="minorHAnsi"/>
          <w:bCs/>
          <w:color w:val="auto"/>
        </w:rPr>
        <w:t xml:space="preserve">  UK</w:t>
      </w:r>
      <w:proofErr w:type="gramEnd"/>
      <w:r w:rsidRPr="00C767E5">
        <w:rPr>
          <w:rFonts w:asciiTheme="minorHAnsi" w:hAnsiTheme="minorHAnsi" w:cstheme="minorHAnsi"/>
          <w:bCs/>
          <w:color w:val="auto"/>
        </w:rPr>
        <w:t xml:space="preserve"> Biobank has received ethics approval from the National Health Service National Research Ethics Service (Ref 11/NW/0382).</w:t>
      </w:r>
    </w:p>
    <w:p w:rsidR="009F5BBF" w:rsidRPr="00C767E5" w:rsidRDefault="009F5BBF" w:rsidP="006A4856">
      <w:pPr>
        <w:pStyle w:val="Default"/>
        <w:spacing w:line="360" w:lineRule="auto"/>
        <w:rPr>
          <w:rFonts w:asciiTheme="minorHAnsi" w:hAnsiTheme="minorHAnsi" w:cstheme="minorHAnsi"/>
          <w:bCs/>
          <w:color w:val="auto"/>
        </w:rPr>
      </w:pPr>
    </w:p>
    <w:p w:rsidR="009F5BBF" w:rsidRPr="00C767E5" w:rsidRDefault="009F5BBF" w:rsidP="009F5BBF">
      <w:pPr>
        <w:pStyle w:val="Default"/>
        <w:spacing w:line="360" w:lineRule="auto"/>
        <w:rPr>
          <w:rFonts w:asciiTheme="minorHAnsi" w:hAnsiTheme="minorHAnsi" w:cstheme="minorHAnsi"/>
          <w:bCs/>
          <w:color w:val="auto"/>
        </w:rPr>
      </w:pPr>
      <w:r w:rsidRPr="00C767E5">
        <w:rPr>
          <w:rFonts w:asciiTheme="minorHAnsi" w:hAnsiTheme="minorHAnsi" w:cstheme="minorHAnsi"/>
          <w:b/>
          <w:bCs/>
          <w:color w:val="auto"/>
        </w:rPr>
        <w:t xml:space="preserve">Competing </w:t>
      </w:r>
      <w:proofErr w:type="gramStart"/>
      <w:r w:rsidRPr="00C767E5">
        <w:rPr>
          <w:rFonts w:asciiTheme="minorHAnsi" w:hAnsiTheme="minorHAnsi" w:cstheme="minorHAnsi"/>
          <w:b/>
          <w:bCs/>
          <w:color w:val="auto"/>
        </w:rPr>
        <w:t>interests</w:t>
      </w:r>
      <w:r w:rsidRPr="00C767E5">
        <w:rPr>
          <w:rFonts w:asciiTheme="minorHAnsi" w:hAnsiTheme="minorHAnsi" w:cstheme="minorHAnsi"/>
          <w:bCs/>
          <w:color w:val="auto"/>
        </w:rPr>
        <w:t xml:space="preserve">  None</w:t>
      </w:r>
      <w:proofErr w:type="gramEnd"/>
      <w:r w:rsidRPr="00C767E5">
        <w:rPr>
          <w:rFonts w:asciiTheme="minorHAnsi" w:hAnsiTheme="minorHAnsi" w:cstheme="minorHAnsi"/>
          <w:bCs/>
          <w:color w:val="auto"/>
        </w:rPr>
        <w:t xml:space="preserve"> declared.</w:t>
      </w:r>
    </w:p>
    <w:p w:rsidR="009F5BBF" w:rsidRPr="00C767E5" w:rsidRDefault="009F5BBF" w:rsidP="006A4856">
      <w:pPr>
        <w:pStyle w:val="Default"/>
        <w:spacing w:line="360" w:lineRule="auto"/>
        <w:rPr>
          <w:rFonts w:asciiTheme="minorHAnsi" w:hAnsiTheme="minorHAnsi" w:cstheme="minorHAnsi"/>
          <w:bCs/>
          <w:color w:val="auto"/>
        </w:rPr>
      </w:pPr>
    </w:p>
    <w:p w:rsidR="00AC6848" w:rsidRPr="00C767E5" w:rsidRDefault="00AC6848" w:rsidP="006A4856">
      <w:pPr>
        <w:pStyle w:val="Default"/>
        <w:spacing w:line="360" w:lineRule="auto"/>
        <w:rPr>
          <w:rFonts w:asciiTheme="minorHAnsi" w:hAnsiTheme="minorHAnsi" w:cstheme="minorHAnsi"/>
          <w:bCs/>
          <w:color w:val="auto"/>
        </w:rPr>
      </w:pPr>
    </w:p>
    <w:p w:rsidR="00AC6848" w:rsidRPr="00DD32E6" w:rsidRDefault="00AC6848" w:rsidP="006A4856">
      <w:pPr>
        <w:pStyle w:val="Default"/>
        <w:spacing w:line="360" w:lineRule="auto"/>
        <w:rPr>
          <w:rFonts w:asciiTheme="minorHAnsi" w:eastAsiaTheme="minorEastAsia" w:hAnsiTheme="minorHAnsi" w:cstheme="minorHAnsi"/>
          <w:color w:val="auto"/>
        </w:rPr>
        <w:sectPr w:rsidR="00AC6848" w:rsidRPr="00DD32E6" w:rsidSect="006A4856">
          <w:pgSz w:w="11906" w:h="16838"/>
          <w:pgMar w:top="1440" w:right="1440" w:bottom="1440" w:left="1440" w:header="708" w:footer="708" w:gutter="0"/>
          <w:cols w:space="708"/>
          <w:docGrid w:linePitch="360"/>
        </w:sectPr>
      </w:pPr>
    </w:p>
    <w:p w:rsidR="00AC6848" w:rsidRPr="00DD32E6" w:rsidRDefault="00AC6848" w:rsidP="006A4856">
      <w:pPr>
        <w:pStyle w:val="ListParagraph"/>
        <w:spacing w:line="360" w:lineRule="auto"/>
        <w:ind w:left="0"/>
        <w:rPr>
          <w:rFonts w:cstheme="minorHAnsi"/>
          <w:b/>
          <w:sz w:val="24"/>
          <w:szCs w:val="24"/>
        </w:rPr>
      </w:pPr>
      <w:r w:rsidRPr="00DD32E6">
        <w:rPr>
          <w:rFonts w:cstheme="minorHAnsi"/>
          <w:b/>
          <w:sz w:val="24"/>
          <w:szCs w:val="24"/>
        </w:rPr>
        <w:lastRenderedPageBreak/>
        <w:t xml:space="preserve">References </w:t>
      </w:r>
    </w:p>
    <w:p w:rsidR="00AC6848" w:rsidRPr="00DD32E6" w:rsidRDefault="00AC6848" w:rsidP="006A4856">
      <w:pPr>
        <w:pStyle w:val="EndNoteBibliography"/>
        <w:spacing w:after="0"/>
        <w:ind w:left="720" w:hanging="720"/>
        <w:rPr>
          <w:color w:val="auto"/>
        </w:rPr>
      </w:pPr>
      <w:bookmarkStart w:id="1" w:name="_ENREF_1"/>
      <w:r w:rsidRPr="00DD32E6">
        <w:rPr>
          <w:color w:val="auto"/>
        </w:rPr>
        <w:t>1</w:t>
      </w:r>
      <w:r w:rsidRPr="00DD32E6">
        <w:rPr>
          <w:color w:val="auto"/>
        </w:rPr>
        <w:tab/>
        <w:t>Lozano R, Naghavi M, Foreman K</w:t>
      </w:r>
      <w:r w:rsidR="009F6915" w:rsidRPr="00DD32E6">
        <w:rPr>
          <w:color w:val="auto"/>
        </w:rPr>
        <w:t>,</w:t>
      </w:r>
      <w:r w:rsidRPr="00DD32E6">
        <w:rPr>
          <w:color w:val="auto"/>
        </w:rPr>
        <w:t xml:space="preserve"> </w:t>
      </w:r>
      <w:r w:rsidR="009F6915" w:rsidRPr="00DD32E6">
        <w:rPr>
          <w:i/>
          <w:color w:val="auto"/>
        </w:rPr>
        <w:t>et al.</w:t>
      </w:r>
      <w:r w:rsidRPr="00DD32E6">
        <w:rPr>
          <w:color w:val="auto"/>
        </w:rPr>
        <w:t xml:space="preserve"> Global and regional mortality from 235 causes of death for 20 age groups in 1990 and 2010: a systematic analysis for the Global Burden of Disease Study 2010. </w:t>
      </w:r>
      <w:r w:rsidRPr="00DD32E6">
        <w:rPr>
          <w:i/>
          <w:color w:val="auto"/>
        </w:rPr>
        <w:t>Lancet</w:t>
      </w:r>
      <w:r w:rsidRPr="00DD32E6">
        <w:rPr>
          <w:color w:val="auto"/>
        </w:rPr>
        <w:t xml:space="preserve"> 2012;380:2095-128.</w:t>
      </w:r>
      <w:bookmarkEnd w:id="1"/>
    </w:p>
    <w:p w:rsidR="00AC6848" w:rsidRPr="00DD32E6" w:rsidRDefault="00AC6848" w:rsidP="006A4856">
      <w:pPr>
        <w:pStyle w:val="EndNoteBibliography"/>
        <w:spacing w:after="0"/>
        <w:ind w:left="720" w:hanging="720"/>
        <w:rPr>
          <w:color w:val="auto"/>
        </w:rPr>
      </w:pPr>
      <w:bookmarkStart w:id="2" w:name="_ENREF_2"/>
      <w:r w:rsidRPr="00DD32E6">
        <w:rPr>
          <w:color w:val="auto"/>
        </w:rPr>
        <w:t>2</w:t>
      </w:r>
      <w:r w:rsidRPr="00DD32E6">
        <w:rPr>
          <w:color w:val="auto"/>
        </w:rPr>
        <w:tab/>
        <w:t>Balmes J, Becklake M, Blanc P</w:t>
      </w:r>
      <w:r w:rsidR="009F6915" w:rsidRPr="00DD32E6">
        <w:rPr>
          <w:color w:val="auto"/>
        </w:rPr>
        <w:t>,</w:t>
      </w:r>
      <w:r w:rsidRPr="00DD32E6">
        <w:rPr>
          <w:color w:val="auto"/>
        </w:rPr>
        <w:t xml:space="preserve"> </w:t>
      </w:r>
      <w:r w:rsidRPr="00DD32E6">
        <w:rPr>
          <w:i/>
          <w:color w:val="auto"/>
        </w:rPr>
        <w:t>et al.</w:t>
      </w:r>
      <w:r w:rsidRPr="00DD32E6">
        <w:rPr>
          <w:color w:val="auto"/>
        </w:rPr>
        <w:t xml:space="preserve"> American Thoracic Society Statement: Occupational contribution to the burden of airway disease. </w:t>
      </w:r>
      <w:r w:rsidRPr="00DD32E6">
        <w:rPr>
          <w:i/>
          <w:color w:val="auto"/>
        </w:rPr>
        <w:t>Am J Respir Crit Care Med</w:t>
      </w:r>
      <w:r w:rsidRPr="00DD32E6">
        <w:rPr>
          <w:color w:val="auto"/>
        </w:rPr>
        <w:t xml:space="preserve"> 2003;167:787-97.</w:t>
      </w:r>
      <w:bookmarkEnd w:id="2"/>
    </w:p>
    <w:p w:rsidR="00AC6848" w:rsidRPr="00DD32E6" w:rsidRDefault="00AC6848" w:rsidP="006A4856">
      <w:pPr>
        <w:pStyle w:val="EndNoteBibliography"/>
        <w:spacing w:after="0"/>
        <w:ind w:left="720" w:hanging="720"/>
        <w:rPr>
          <w:color w:val="auto"/>
        </w:rPr>
      </w:pPr>
      <w:bookmarkStart w:id="3" w:name="_ENREF_3"/>
      <w:r w:rsidRPr="00DD32E6">
        <w:rPr>
          <w:color w:val="auto"/>
        </w:rPr>
        <w:t>3</w:t>
      </w:r>
      <w:r w:rsidRPr="00DD32E6">
        <w:rPr>
          <w:color w:val="auto"/>
        </w:rPr>
        <w:tab/>
        <w:t>Omland O, Wurtz ET, Aasen TB</w:t>
      </w:r>
      <w:r w:rsidR="009F6915" w:rsidRPr="00DD32E6">
        <w:rPr>
          <w:color w:val="auto"/>
        </w:rPr>
        <w:t>,</w:t>
      </w:r>
      <w:r w:rsidRPr="00DD32E6">
        <w:rPr>
          <w:color w:val="auto"/>
        </w:rPr>
        <w:t xml:space="preserve"> </w:t>
      </w:r>
      <w:r w:rsidRPr="00DD32E6">
        <w:rPr>
          <w:i/>
          <w:color w:val="auto"/>
        </w:rPr>
        <w:t>et al.</w:t>
      </w:r>
      <w:r w:rsidRPr="00DD32E6">
        <w:rPr>
          <w:color w:val="auto"/>
        </w:rPr>
        <w:t xml:space="preserve"> Occupational chronic obstructive pulmonary disease: a systematic literature review. </w:t>
      </w:r>
      <w:r w:rsidRPr="00DD32E6">
        <w:rPr>
          <w:i/>
          <w:color w:val="auto"/>
        </w:rPr>
        <w:t>Scand J Work Environ Health</w:t>
      </w:r>
      <w:r w:rsidRPr="00DD32E6">
        <w:rPr>
          <w:color w:val="auto"/>
        </w:rPr>
        <w:t xml:space="preserve"> 2014;40:19-35.</w:t>
      </w:r>
      <w:bookmarkEnd w:id="3"/>
    </w:p>
    <w:p w:rsidR="00AC6848" w:rsidRPr="00DD32E6" w:rsidRDefault="00AC6848" w:rsidP="006A4856">
      <w:pPr>
        <w:pStyle w:val="EndNoteBibliography"/>
        <w:spacing w:after="0"/>
        <w:ind w:left="720" w:hanging="720"/>
        <w:rPr>
          <w:color w:val="auto"/>
        </w:rPr>
      </w:pPr>
      <w:bookmarkStart w:id="4" w:name="_ENREF_4"/>
      <w:r w:rsidRPr="00DD32E6">
        <w:rPr>
          <w:color w:val="auto"/>
        </w:rPr>
        <w:t>4</w:t>
      </w:r>
      <w:r w:rsidRPr="00DD32E6">
        <w:rPr>
          <w:color w:val="auto"/>
        </w:rPr>
        <w:tab/>
        <w:t xml:space="preserve">Bang KM. Chronic obstructive pulmonary disease in nonsmokers by occupation and exposure: a brief review. </w:t>
      </w:r>
      <w:r w:rsidRPr="00DD32E6">
        <w:rPr>
          <w:i/>
          <w:color w:val="auto"/>
        </w:rPr>
        <w:t>Curr Opin Pulm Med</w:t>
      </w:r>
      <w:r w:rsidRPr="00DD32E6">
        <w:rPr>
          <w:color w:val="auto"/>
        </w:rPr>
        <w:t xml:space="preserve"> 2015;21:149-54.</w:t>
      </w:r>
      <w:bookmarkEnd w:id="4"/>
    </w:p>
    <w:p w:rsidR="00AC6848" w:rsidRPr="00DD32E6" w:rsidRDefault="00AC6848" w:rsidP="006A4856">
      <w:pPr>
        <w:pStyle w:val="EndNoteBibliography"/>
        <w:spacing w:after="0"/>
        <w:ind w:left="720" w:hanging="720"/>
        <w:rPr>
          <w:color w:val="auto"/>
        </w:rPr>
      </w:pPr>
      <w:bookmarkStart w:id="5" w:name="_ENREF_5"/>
      <w:r w:rsidRPr="00DD32E6">
        <w:rPr>
          <w:color w:val="auto"/>
        </w:rPr>
        <w:t>5</w:t>
      </w:r>
      <w:r w:rsidRPr="00DD32E6">
        <w:rPr>
          <w:color w:val="auto"/>
        </w:rPr>
        <w:tab/>
        <w:t xml:space="preserve">Wurtz ET, Schlunssen V, Malling TH, Hansen JG, Omland O. Occupational COPD among Danish never-smokers: a population-based study. </w:t>
      </w:r>
      <w:r w:rsidRPr="00DD32E6">
        <w:rPr>
          <w:i/>
          <w:color w:val="auto"/>
        </w:rPr>
        <w:t>Occup Environ Med</w:t>
      </w:r>
      <w:r w:rsidRPr="00DD32E6">
        <w:rPr>
          <w:color w:val="auto"/>
        </w:rPr>
        <w:t xml:space="preserve"> 2015.</w:t>
      </w:r>
      <w:bookmarkEnd w:id="5"/>
    </w:p>
    <w:p w:rsidR="00AC6848" w:rsidRPr="00DD32E6" w:rsidRDefault="00AC6848" w:rsidP="006A4856">
      <w:pPr>
        <w:pStyle w:val="EndNoteBibliography"/>
        <w:spacing w:after="0"/>
        <w:ind w:left="720" w:hanging="720"/>
        <w:rPr>
          <w:color w:val="auto"/>
        </w:rPr>
      </w:pPr>
      <w:bookmarkStart w:id="6" w:name="_ENREF_6"/>
      <w:r w:rsidRPr="00DD32E6">
        <w:rPr>
          <w:color w:val="auto"/>
        </w:rPr>
        <w:t>6</w:t>
      </w:r>
      <w:r w:rsidRPr="00DD32E6">
        <w:rPr>
          <w:color w:val="auto"/>
        </w:rPr>
        <w:tab/>
        <w:t xml:space="preserve">Salvi SS, Barnes PJ. Chronic obstructive pulmonary disease in non-smokers. </w:t>
      </w:r>
      <w:r w:rsidRPr="00DD32E6">
        <w:rPr>
          <w:i/>
          <w:color w:val="auto"/>
        </w:rPr>
        <w:t>Lancet</w:t>
      </w:r>
      <w:r w:rsidRPr="00DD32E6">
        <w:rPr>
          <w:color w:val="auto"/>
        </w:rPr>
        <w:t xml:space="preserve"> 2009;374:733-43.</w:t>
      </w:r>
      <w:bookmarkEnd w:id="6"/>
    </w:p>
    <w:p w:rsidR="00AC6848" w:rsidRPr="00DD32E6" w:rsidRDefault="00AC6848" w:rsidP="006A4856">
      <w:pPr>
        <w:pStyle w:val="EndNoteBibliography"/>
        <w:spacing w:after="0"/>
        <w:ind w:left="720" w:hanging="720"/>
        <w:rPr>
          <w:color w:val="auto"/>
        </w:rPr>
      </w:pPr>
      <w:bookmarkStart w:id="7" w:name="_ENREF_7"/>
      <w:r w:rsidRPr="00DD32E6">
        <w:rPr>
          <w:color w:val="auto"/>
        </w:rPr>
        <w:t>7</w:t>
      </w:r>
      <w:r w:rsidRPr="00DD32E6">
        <w:rPr>
          <w:color w:val="auto"/>
        </w:rPr>
        <w:tab/>
        <w:t xml:space="preserve">Celli BR, Halbert RJ, Nordyke RJ, Schau B. Airway obstruction in never smokers: results from the Third National Health and Nutrition Examination Survey. </w:t>
      </w:r>
      <w:r w:rsidRPr="00DD32E6">
        <w:rPr>
          <w:i/>
          <w:color w:val="auto"/>
        </w:rPr>
        <w:t>Am J Med</w:t>
      </w:r>
      <w:r w:rsidRPr="00DD32E6">
        <w:rPr>
          <w:color w:val="auto"/>
        </w:rPr>
        <w:t xml:space="preserve"> 2005;118:1364-72.</w:t>
      </w:r>
      <w:bookmarkEnd w:id="7"/>
    </w:p>
    <w:p w:rsidR="00AC6848" w:rsidRPr="00DD32E6" w:rsidRDefault="00AC6848" w:rsidP="006A4856">
      <w:pPr>
        <w:pStyle w:val="EndNoteBibliography"/>
        <w:spacing w:after="0"/>
        <w:ind w:left="720" w:hanging="720"/>
        <w:rPr>
          <w:color w:val="auto"/>
        </w:rPr>
      </w:pPr>
      <w:bookmarkStart w:id="8" w:name="_ENREF_8"/>
      <w:r w:rsidRPr="00DD32E6">
        <w:rPr>
          <w:color w:val="auto"/>
        </w:rPr>
        <w:t>8</w:t>
      </w:r>
      <w:r w:rsidRPr="00DD32E6">
        <w:rPr>
          <w:color w:val="auto"/>
        </w:rPr>
        <w:tab/>
        <w:t xml:space="preserve">Cullinan P. Occupation and chronic obstructive pulmonary disease (COPD). </w:t>
      </w:r>
      <w:r w:rsidRPr="00DD32E6">
        <w:rPr>
          <w:i/>
          <w:color w:val="auto"/>
        </w:rPr>
        <w:t>Br Med Bull</w:t>
      </w:r>
      <w:r w:rsidRPr="00DD32E6">
        <w:rPr>
          <w:color w:val="auto"/>
        </w:rPr>
        <w:t xml:space="preserve"> 2012;104:143-61.</w:t>
      </w:r>
      <w:bookmarkEnd w:id="8"/>
    </w:p>
    <w:p w:rsidR="00AC6848" w:rsidRPr="00DD32E6" w:rsidRDefault="00AC6848" w:rsidP="006A4856">
      <w:pPr>
        <w:pStyle w:val="EndNoteBibliography"/>
        <w:spacing w:after="0"/>
        <w:ind w:left="720" w:hanging="720"/>
        <w:rPr>
          <w:color w:val="auto"/>
        </w:rPr>
      </w:pPr>
      <w:bookmarkStart w:id="9" w:name="_ENREF_9"/>
      <w:r w:rsidRPr="00DD32E6">
        <w:rPr>
          <w:color w:val="auto"/>
        </w:rPr>
        <w:t>9</w:t>
      </w:r>
      <w:r w:rsidRPr="00DD32E6">
        <w:rPr>
          <w:color w:val="auto"/>
        </w:rPr>
        <w:tab/>
        <w:t>Allen N, Sudlow C, Downey P</w:t>
      </w:r>
      <w:r w:rsidR="009F6915" w:rsidRPr="00DD32E6">
        <w:rPr>
          <w:color w:val="auto"/>
        </w:rPr>
        <w:t>,</w:t>
      </w:r>
      <w:r w:rsidRPr="00DD32E6">
        <w:rPr>
          <w:color w:val="auto"/>
        </w:rPr>
        <w:t xml:space="preserve"> </w:t>
      </w:r>
      <w:r w:rsidRPr="00DD32E6">
        <w:rPr>
          <w:i/>
          <w:color w:val="auto"/>
        </w:rPr>
        <w:t>et al.</w:t>
      </w:r>
      <w:r w:rsidRPr="00DD32E6">
        <w:rPr>
          <w:color w:val="auto"/>
        </w:rPr>
        <w:t xml:space="preserve"> UK Biobank: Current status and what it means for epidemiology. </w:t>
      </w:r>
      <w:r w:rsidRPr="00DD32E6">
        <w:rPr>
          <w:i/>
          <w:color w:val="auto"/>
        </w:rPr>
        <w:t>Health Policy and Technology</w:t>
      </w:r>
      <w:r w:rsidRPr="00DD32E6">
        <w:rPr>
          <w:color w:val="auto"/>
        </w:rPr>
        <w:t xml:space="preserve"> 2012;1:123-126.</w:t>
      </w:r>
      <w:bookmarkEnd w:id="9"/>
    </w:p>
    <w:p w:rsidR="00AC6848" w:rsidRPr="00DD32E6" w:rsidRDefault="00AC6848" w:rsidP="006A4856">
      <w:pPr>
        <w:pStyle w:val="EndNoteBibliography"/>
        <w:spacing w:after="0"/>
        <w:ind w:left="720" w:hanging="720"/>
        <w:rPr>
          <w:color w:val="auto"/>
        </w:rPr>
      </w:pPr>
      <w:bookmarkStart w:id="10" w:name="_ENREF_10"/>
      <w:r w:rsidRPr="00DD32E6">
        <w:rPr>
          <w:color w:val="auto"/>
        </w:rPr>
        <w:t>10</w:t>
      </w:r>
      <w:r w:rsidRPr="00DD32E6">
        <w:rPr>
          <w:color w:val="auto"/>
        </w:rPr>
        <w:tab/>
        <w:t>Sudlow C, Gallacher J, Allen N</w:t>
      </w:r>
      <w:r w:rsidR="009F6915" w:rsidRPr="00DD32E6">
        <w:rPr>
          <w:color w:val="auto"/>
        </w:rPr>
        <w:t>,</w:t>
      </w:r>
      <w:r w:rsidRPr="00DD32E6">
        <w:rPr>
          <w:color w:val="auto"/>
        </w:rPr>
        <w:t xml:space="preserve"> </w:t>
      </w:r>
      <w:r w:rsidRPr="00DD32E6">
        <w:rPr>
          <w:i/>
          <w:color w:val="auto"/>
        </w:rPr>
        <w:t>et al.</w:t>
      </w:r>
      <w:r w:rsidRPr="00DD32E6">
        <w:rPr>
          <w:color w:val="auto"/>
        </w:rPr>
        <w:t xml:space="preserve"> UK biobank: an open access resource for identifying the causes of a wide range of complex diseases of middle and old age. </w:t>
      </w:r>
      <w:r w:rsidRPr="00DD32E6">
        <w:rPr>
          <w:i/>
          <w:color w:val="auto"/>
        </w:rPr>
        <w:t>PLoS Med</w:t>
      </w:r>
      <w:r w:rsidRPr="00DD32E6">
        <w:rPr>
          <w:color w:val="auto"/>
        </w:rPr>
        <w:t xml:space="preserve"> 2015;12:e1001779.</w:t>
      </w:r>
      <w:bookmarkEnd w:id="10"/>
    </w:p>
    <w:p w:rsidR="00AC6848" w:rsidRPr="00DD32E6" w:rsidRDefault="00AC6848" w:rsidP="006A4856">
      <w:pPr>
        <w:pStyle w:val="EndNoteBibliography"/>
        <w:spacing w:after="0"/>
        <w:ind w:left="720" w:hanging="720"/>
        <w:rPr>
          <w:color w:val="auto"/>
        </w:rPr>
      </w:pPr>
      <w:bookmarkStart w:id="11" w:name="_ENREF_11"/>
      <w:r w:rsidRPr="00DD32E6">
        <w:rPr>
          <w:color w:val="auto"/>
        </w:rPr>
        <w:t>11</w:t>
      </w:r>
      <w:r w:rsidRPr="00DD32E6">
        <w:rPr>
          <w:color w:val="auto"/>
        </w:rPr>
        <w:tab/>
        <w:t>Miller MR, Hankinson J, Brusasco V</w:t>
      </w:r>
      <w:r w:rsidR="009F6915" w:rsidRPr="00DD32E6">
        <w:rPr>
          <w:color w:val="auto"/>
        </w:rPr>
        <w:t>,</w:t>
      </w:r>
      <w:r w:rsidRPr="00DD32E6">
        <w:rPr>
          <w:color w:val="auto"/>
        </w:rPr>
        <w:t xml:space="preserve"> </w:t>
      </w:r>
      <w:r w:rsidRPr="00DD32E6">
        <w:rPr>
          <w:i/>
          <w:color w:val="auto"/>
        </w:rPr>
        <w:t>et al.</w:t>
      </w:r>
      <w:r w:rsidRPr="00DD32E6">
        <w:rPr>
          <w:color w:val="auto"/>
        </w:rPr>
        <w:t xml:space="preserve"> Standardisation of spirometry. </w:t>
      </w:r>
      <w:r w:rsidRPr="00DD32E6">
        <w:rPr>
          <w:i/>
          <w:color w:val="auto"/>
        </w:rPr>
        <w:t>Eur Respir J</w:t>
      </w:r>
      <w:r w:rsidRPr="00DD32E6">
        <w:rPr>
          <w:color w:val="auto"/>
        </w:rPr>
        <w:t xml:space="preserve"> 2005;26:319-38.</w:t>
      </w:r>
      <w:bookmarkEnd w:id="11"/>
    </w:p>
    <w:p w:rsidR="00B5083B" w:rsidRPr="00DD32E6" w:rsidRDefault="00AC6848" w:rsidP="006A4856">
      <w:pPr>
        <w:pStyle w:val="EndNoteBibliography"/>
        <w:spacing w:after="0"/>
        <w:ind w:left="720" w:hanging="720"/>
        <w:rPr>
          <w:color w:val="auto"/>
        </w:rPr>
      </w:pPr>
      <w:bookmarkStart w:id="12" w:name="_ENREF_12"/>
      <w:r w:rsidRPr="00DD32E6">
        <w:rPr>
          <w:color w:val="auto"/>
        </w:rPr>
        <w:t>12</w:t>
      </w:r>
      <w:r w:rsidRPr="00DD32E6">
        <w:rPr>
          <w:color w:val="auto"/>
        </w:rPr>
        <w:tab/>
      </w:r>
      <w:r w:rsidR="00B5083B" w:rsidRPr="00DD32E6">
        <w:rPr>
          <w:color w:val="auto"/>
        </w:rPr>
        <w:t xml:space="preserve">Hankinson JL, Odencrantz JR, Fedan KB. Spirometric reference values from a sample of the general U.S. population. </w:t>
      </w:r>
      <w:r w:rsidR="00B5083B" w:rsidRPr="00DD32E6">
        <w:rPr>
          <w:i/>
          <w:color w:val="auto"/>
        </w:rPr>
        <w:t>Am J Respir Crit Care Med</w:t>
      </w:r>
      <w:r w:rsidR="00B5083B" w:rsidRPr="00DD32E6">
        <w:rPr>
          <w:color w:val="auto"/>
        </w:rPr>
        <w:t xml:space="preserve"> 1999;159:179-87.</w:t>
      </w:r>
    </w:p>
    <w:p w:rsidR="00AC6848" w:rsidRPr="00DD32E6" w:rsidRDefault="00B5083B" w:rsidP="00324590">
      <w:pPr>
        <w:pStyle w:val="EndNoteBibliography"/>
        <w:tabs>
          <w:tab w:val="left" w:pos="848"/>
        </w:tabs>
        <w:spacing w:after="0"/>
        <w:ind w:left="720" w:hanging="720"/>
        <w:rPr>
          <w:color w:val="auto"/>
        </w:rPr>
      </w:pPr>
      <w:r w:rsidRPr="00DD32E6">
        <w:rPr>
          <w:color w:val="auto"/>
        </w:rPr>
        <w:t>13</w:t>
      </w:r>
      <w:r w:rsidRPr="00DD32E6">
        <w:rPr>
          <w:color w:val="auto"/>
        </w:rPr>
        <w:tab/>
      </w:r>
      <w:r w:rsidR="00AC6848" w:rsidRPr="00DD32E6">
        <w:rPr>
          <w:color w:val="auto"/>
        </w:rPr>
        <w:t xml:space="preserve">Hankinson JL, Odencrantz JR, Fedan KB. Spirometric reference values from a sample of the general U.S. population. </w:t>
      </w:r>
      <w:r w:rsidR="00AC6848" w:rsidRPr="00DD32E6">
        <w:rPr>
          <w:i/>
          <w:color w:val="auto"/>
        </w:rPr>
        <w:t>Am J Respir Crit Care Med</w:t>
      </w:r>
      <w:r w:rsidR="00AC6848" w:rsidRPr="00DD32E6">
        <w:rPr>
          <w:color w:val="auto"/>
        </w:rPr>
        <w:t xml:space="preserve"> 1999;159:179-87.</w:t>
      </w:r>
      <w:bookmarkEnd w:id="12"/>
    </w:p>
    <w:p w:rsidR="00AC6848" w:rsidRPr="00DD32E6" w:rsidRDefault="00AC6848" w:rsidP="006A4856">
      <w:pPr>
        <w:pStyle w:val="EndNoteBibliography"/>
        <w:spacing w:after="0"/>
        <w:ind w:left="720" w:hanging="720"/>
        <w:rPr>
          <w:color w:val="auto"/>
        </w:rPr>
      </w:pPr>
      <w:bookmarkStart w:id="13" w:name="_ENREF_13"/>
      <w:r w:rsidRPr="00DD32E6">
        <w:rPr>
          <w:color w:val="auto"/>
        </w:rPr>
        <w:t>1</w:t>
      </w:r>
      <w:r w:rsidR="00B5083B" w:rsidRPr="00DD32E6">
        <w:rPr>
          <w:color w:val="auto"/>
        </w:rPr>
        <w:t>4</w:t>
      </w:r>
      <w:r w:rsidRPr="00DD32E6">
        <w:rPr>
          <w:color w:val="auto"/>
        </w:rPr>
        <w:tab/>
      </w:r>
      <w:bookmarkEnd w:id="13"/>
      <w:r w:rsidR="006A4856" w:rsidRPr="00DD32E6">
        <w:rPr>
          <w:color w:val="auto"/>
        </w:rPr>
        <w:t>Office for National Statistics. Standard Occupational Classification 2000. http://www.ons.gov.uk/aboutstatistics/classifications/archived/SOC2000/index.html [Accessed in Oct 2015].</w:t>
      </w:r>
    </w:p>
    <w:p w:rsidR="00AC6848" w:rsidRPr="00DD32E6" w:rsidRDefault="00AC6848" w:rsidP="009326E3">
      <w:pPr>
        <w:pStyle w:val="EndNoteBibliography"/>
        <w:spacing w:after="0"/>
        <w:ind w:left="709" w:hanging="709"/>
        <w:rPr>
          <w:color w:val="auto"/>
        </w:rPr>
      </w:pPr>
      <w:bookmarkStart w:id="14" w:name="_ENREF_14"/>
      <w:r w:rsidRPr="00DD32E6">
        <w:rPr>
          <w:color w:val="auto"/>
        </w:rPr>
        <w:t>1</w:t>
      </w:r>
      <w:r w:rsidR="00B5083B" w:rsidRPr="00DD32E6">
        <w:rPr>
          <w:color w:val="auto"/>
        </w:rPr>
        <w:t>5</w:t>
      </w:r>
      <w:r w:rsidRPr="00DD32E6">
        <w:rPr>
          <w:color w:val="auto"/>
        </w:rPr>
        <w:tab/>
      </w:r>
      <w:bookmarkEnd w:id="14"/>
      <w:r w:rsidR="006A4856" w:rsidRPr="00DD32E6">
        <w:rPr>
          <w:color w:val="auto"/>
        </w:rPr>
        <w:t>Warwick Institute for Employment Research. CASCOT: Computer-Assisted Structured Coding Tool. http://www2.warwick.ac.uk/fac/soc/ier/software/cascot/.  [Accessed in Oct 2015].</w:t>
      </w:r>
    </w:p>
    <w:p w:rsidR="00AC6848" w:rsidRPr="00DD32E6" w:rsidRDefault="00AC6848" w:rsidP="009326E3">
      <w:pPr>
        <w:pStyle w:val="EndNoteBibliography"/>
        <w:spacing w:after="0"/>
        <w:ind w:left="709" w:hanging="709"/>
        <w:rPr>
          <w:color w:val="auto"/>
        </w:rPr>
      </w:pPr>
      <w:bookmarkStart w:id="15" w:name="_ENREF_15"/>
      <w:r w:rsidRPr="00DD32E6">
        <w:rPr>
          <w:color w:val="auto"/>
        </w:rPr>
        <w:t>1</w:t>
      </w:r>
      <w:r w:rsidR="00B5083B" w:rsidRPr="00DD32E6">
        <w:rPr>
          <w:color w:val="auto"/>
        </w:rPr>
        <w:t>6</w:t>
      </w:r>
      <w:r w:rsidRPr="00DD32E6">
        <w:rPr>
          <w:color w:val="auto"/>
        </w:rPr>
        <w:tab/>
        <w:t>Tagiyeva N, Semple S, Devereux G</w:t>
      </w:r>
      <w:r w:rsidR="009F6915" w:rsidRPr="00DD32E6">
        <w:rPr>
          <w:color w:val="auto"/>
        </w:rPr>
        <w:t>,</w:t>
      </w:r>
      <w:r w:rsidRPr="00DD32E6">
        <w:rPr>
          <w:color w:val="auto"/>
        </w:rPr>
        <w:t xml:space="preserve"> </w:t>
      </w:r>
      <w:r w:rsidRPr="00DD32E6">
        <w:rPr>
          <w:i/>
          <w:color w:val="auto"/>
        </w:rPr>
        <w:t>et al.</w:t>
      </w:r>
      <w:r w:rsidRPr="00DD32E6">
        <w:rPr>
          <w:color w:val="auto"/>
        </w:rPr>
        <w:t xml:space="preserve"> Reconstructing past occupational exposures: how reliable are women's reports of their partner's occupation? </w:t>
      </w:r>
      <w:r w:rsidRPr="00DD32E6">
        <w:rPr>
          <w:i/>
          <w:color w:val="auto"/>
        </w:rPr>
        <w:t>Occup Environ Med</w:t>
      </w:r>
      <w:r w:rsidRPr="00DD32E6">
        <w:rPr>
          <w:color w:val="auto"/>
        </w:rPr>
        <w:t xml:space="preserve"> 2011;68:452-6.</w:t>
      </w:r>
      <w:bookmarkEnd w:id="15"/>
    </w:p>
    <w:p w:rsidR="00AC6848" w:rsidRPr="00DD32E6" w:rsidRDefault="00AC6848" w:rsidP="006A4856">
      <w:pPr>
        <w:pStyle w:val="EndNoteBibliography"/>
        <w:spacing w:after="0"/>
        <w:ind w:left="720" w:hanging="720"/>
        <w:rPr>
          <w:color w:val="auto"/>
        </w:rPr>
      </w:pPr>
      <w:bookmarkStart w:id="16" w:name="_ENREF_16"/>
      <w:r w:rsidRPr="00DD32E6">
        <w:rPr>
          <w:color w:val="auto"/>
        </w:rPr>
        <w:t>1</w:t>
      </w:r>
      <w:r w:rsidR="00B5083B" w:rsidRPr="00DD32E6">
        <w:rPr>
          <w:color w:val="auto"/>
        </w:rPr>
        <w:t>7</w:t>
      </w:r>
      <w:r w:rsidRPr="00DD32E6">
        <w:rPr>
          <w:color w:val="auto"/>
        </w:rPr>
        <w:tab/>
        <w:t xml:space="preserve">Coutinho LM, Scazufca M, Menezes PR. Methods for estimating prevalence ratios in cross-sectional studies. </w:t>
      </w:r>
      <w:r w:rsidRPr="00DD32E6">
        <w:rPr>
          <w:i/>
          <w:color w:val="auto"/>
        </w:rPr>
        <w:t>Rev Saude Publica</w:t>
      </w:r>
      <w:r w:rsidRPr="00DD32E6">
        <w:rPr>
          <w:color w:val="auto"/>
        </w:rPr>
        <w:t xml:space="preserve"> 2008;42:992-8.</w:t>
      </w:r>
      <w:bookmarkEnd w:id="16"/>
    </w:p>
    <w:p w:rsidR="00AC6848" w:rsidRPr="00DD32E6" w:rsidRDefault="00AC6848" w:rsidP="006A4856">
      <w:pPr>
        <w:pStyle w:val="EndNoteBibliography"/>
        <w:spacing w:after="0"/>
        <w:ind w:left="720" w:hanging="720"/>
        <w:rPr>
          <w:color w:val="auto"/>
        </w:rPr>
      </w:pPr>
      <w:bookmarkStart w:id="17" w:name="_ENREF_17"/>
      <w:r w:rsidRPr="00DD32E6">
        <w:rPr>
          <w:color w:val="auto"/>
        </w:rPr>
        <w:t>1</w:t>
      </w:r>
      <w:r w:rsidR="00B5083B" w:rsidRPr="00DD32E6">
        <w:rPr>
          <w:color w:val="auto"/>
        </w:rPr>
        <w:t>8</w:t>
      </w:r>
      <w:r w:rsidRPr="00DD32E6">
        <w:rPr>
          <w:color w:val="auto"/>
        </w:rPr>
        <w:tab/>
        <w:t xml:space="preserve">Thompson ML, Myers JE, Kriebel D. Prevalence odds ratio or prevalence ratio in the analysis of cross sectional data: what is to be done? </w:t>
      </w:r>
      <w:r w:rsidRPr="00DD32E6">
        <w:rPr>
          <w:i/>
          <w:color w:val="auto"/>
        </w:rPr>
        <w:t>Occup Environ Med</w:t>
      </w:r>
      <w:r w:rsidRPr="00DD32E6">
        <w:rPr>
          <w:color w:val="auto"/>
        </w:rPr>
        <w:t xml:space="preserve"> 1998;55:272-7.</w:t>
      </w:r>
      <w:bookmarkEnd w:id="17"/>
    </w:p>
    <w:p w:rsidR="00AC6848" w:rsidRPr="00DD32E6" w:rsidRDefault="00AC6848" w:rsidP="006A4856">
      <w:pPr>
        <w:pStyle w:val="EndNoteBibliography"/>
        <w:spacing w:after="0"/>
        <w:ind w:left="720" w:hanging="720"/>
        <w:rPr>
          <w:color w:val="auto"/>
        </w:rPr>
      </w:pPr>
      <w:bookmarkStart w:id="18" w:name="_ENREF_18"/>
      <w:r w:rsidRPr="00DD32E6">
        <w:rPr>
          <w:color w:val="auto"/>
        </w:rPr>
        <w:lastRenderedPageBreak/>
        <w:t>1</w:t>
      </w:r>
      <w:r w:rsidR="00B5083B" w:rsidRPr="00DD32E6">
        <w:rPr>
          <w:color w:val="auto"/>
        </w:rPr>
        <w:t>9</w:t>
      </w:r>
      <w:r w:rsidRPr="00DD32E6">
        <w:rPr>
          <w:color w:val="auto"/>
        </w:rPr>
        <w:tab/>
        <w:t xml:space="preserve">Zou G. A modified poisson regression approach to prospective studies with binary data. </w:t>
      </w:r>
      <w:r w:rsidRPr="00DD32E6">
        <w:rPr>
          <w:i/>
          <w:color w:val="auto"/>
        </w:rPr>
        <w:t>Am J Epidemiol</w:t>
      </w:r>
      <w:r w:rsidRPr="00DD32E6">
        <w:rPr>
          <w:color w:val="auto"/>
        </w:rPr>
        <w:t xml:space="preserve"> 2004;159:702-6.</w:t>
      </w:r>
      <w:bookmarkEnd w:id="18"/>
    </w:p>
    <w:p w:rsidR="00AC6848" w:rsidRPr="00DD32E6" w:rsidRDefault="00B5083B" w:rsidP="006A4856">
      <w:pPr>
        <w:pStyle w:val="EndNoteBibliography"/>
        <w:spacing w:after="0"/>
        <w:ind w:left="720" w:hanging="720"/>
        <w:rPr>
          <w:color w:val="auto"/>
        </w:rPr>
      </w:pPr>
      <w:bookmarkStart w:id="19" w:name="_ENREF_19"/>
      <w:r w:rsidRPr="00DD32E6">
        <w:rPr>
          <w:color w:val="auto"/>
        </w:rPr>
        <w:t>20</w:t>
      </w:r>
      <w:r w:rsidR="00AC6848" w:rsidRPr="00DD32E6">
        <w:rPr>
          <w:color w:val="auto"/>
        </w:rPr>
        <w:tab/>
        <w:t xml:space="preserve">Pearce N, Checkoway H, Kriebel D. Bias in occupational epidemiology studies. </w:t>
      </w:r>
      <w:r w:rsidR="00AC6848" w:rsidRPr="00DD32E6">
        <w:rPr>
          <w:i/>
          <w:color w:val="auto"/>
        </w:rPr>
        <w:t>Occup Environ Med</w:t>
      </w:r>
      <w:r w:rsidR="00AC6848" w:rsidRPr="00DD32E6">
        <w:rPr>
          <w:color w:val="auto"/>
        </w:rPr>
        <w:t xml:space="preserve"> 2007;64:562-8.</w:t>
      </w:r>
      <w:bookmarkEnd w:id="19"/>
    </w:p>
    <w:p w:rsidR="00AC6848" w:rsidRPr="00DD32E6" w:rsidRDefault="00AC6848" w:rsidP="006A4856">
      <w:pPr>
        <w:pStyle w:val="EndNoteBibliography"/>
        <w:spacing w:after="0"/>
        <w:ind w:left="720" w:hanging="720"/>
        <w:rPr>
          <w:color w:val="auto"/>
        </w:rPr>
      </w:pPr>
      <w:bookmarkStart w:id="20" w:name="_ENREF_20"/>
      <w:r w:rsidRPr="00DD32E6">
        <w:rPr>
          <w:color w:val="auto"/>
        </w:rPr>
        <w:t>2</w:t>
      </w:r>
      <w:r w:rsidR="00B5083B" w:rsidRPr="00DD32E6">
        <w:rPr>
          <w:color w:val="auto"/>
        </w:rPr>
        <w:t>1</w:t>
      </w:r>
      <w:r w:rsidRPr="00DD32E6">
        <w:rPr>
          <w:color w:val="auto"/>
        </w:rPr>
        <w:tab/>
        <w:t>Swanney MP, Ruppel G, Enright PL</w:t>
      </w:r>
      <w:r w:rsidR="009F6915" w:rsidRPr="00DD32E6">
        <w:rPr>
          <w:color w:val="auto"/>
        </w:rPr>
        <w:t>,</w:t>
      </w:r>
      <w:r w:rsidRPr="00DD32E6">
        <w:rPr>
          <w:color w:val="auto"/>
        </w:rPr>
        <w:t xml:space="preserve"> </w:t>
      </w:r>
      <w:r w:rsidR="009F6915" w:rsidRPr="00DD32E6">
        <w:rPr>
          <w:i/>
          <w:color w:val="auto"/>
        </w:rPr>
        <w:t>et al.</w:t>
      </w:r>
      <w:r w:rsidRPr="00DD32E6">
        <w:rPr>
          <w:color w:val="auto"/>
        </w:rPr>
        <w:t xml:space="preserve"> Using the lower limit of normal for the FEV1/FVC ratio reduces the misclassification of airway obstruction. </w:t>
      </w:r>
      <w:r w:rsidRPr="00DD32E6">
        <w:rPr>
          <w:i/>
          <w:color w:val="auto"/>
        </w:rPr>
        <w:t>Thorax</w:t>
      </w:r>
      <w:r w:rsidRPr="00DD32E6">
        <w:rPr>
          <w:color w:val="auto"/>
        </w:rPr>
        <w:t xml:space="preserve"> 2008;63:1046-51.</w:t>
      </w:r>
      <w:bookmarkEnd w:id="20"/>
    </w:p>
    <w:p w:rsidR="00AC6848" w:rsidRPr="00DD32E6" w:rsidRDefault="00AC6848" w:rsidP="006A4856">
      <w:pPr>
        <w:pStyle w:val="EndNoteBibliography"/>
        <w:spacing w:after="0"/>
        <w:ind w:left="720" w:hanging="720"/>
        <w:rPr>
          <w:color w:val="auto"/>
        </w:rPr>
      </w:pPr>
      <w:bookmarkStart w:id="21" w:name="_ENREF_21"/>
      <w:r w:rsidRPr="00DD32E6">
        <w:rPr>
          <w:color w:val="auto"/>
        </w:rPr>
        <w:t>2</w:t>
      </w:r>
      <w:r w:rsidR="00B5083B" w:rsidRPr="00DD32E6">
        <w:rPr>
          <w:color w:val="auto"/>
        </w:rPr>
        <w:t>2</w:t>
      </w:r>
      <w:r w:rsidRPr="00DD32E6">
        <w:rPr>
          <w:color w:val="auto"/>
        </w:rPr>
        <w:tab/>
        <w:t xml:space="preserve">Checkoway H, Pearce N, Kriebel D. </w:t>
      </w:r>
      <w:r w:rsidRPr="00DD32E6">
        <w:rPr>
          <w:i/>
          <w:color w:val="auto"/>
        </w:rPr>
        <w:t>Research methods in occupational epidemiology</w:t>
      </w:r>
      <w:r w:rsidRPr="00DD32E6">
        <w:rPr>
          <w:color w:val="auto"/>
        </w:rPr>
        <w:t>. Oxford: Oxford University Press, 2004.</w:t>
      </w:r>
      <w:bookmarkEnd w:id="21"/>
    </w:p>
    <w:p w:rsidR="00AC6848" w:rsidRPr="00DD32E6" w:rsidRDefault="00AC6848" w:rsidP="006A4856">
      <w:pPr>
        <w:pStyle w:val="EndNoteBibliography"/>
        <w:spacing w:after="0"/>
        <w:ind w:left="720" w:hanging="720"/>
        <w:rPr>
          <w:color w:val="auto"/>
        </w:rPr>
      </w:pPr>
      <w:bookmarkStart w:id="22" w:name="_ENREF_22"/>
      <w:r w:rsidRPr="00DD32E6">
        <w:rPr>
          <w:color w:val="auto"/>
        </w:rPr>
        <w:t>2</w:t>
      </w:r>
      <w:r w:rsidR="00B5083B" w:rsidRPr="00DD32E6">
        <w:rPr>
          <w:color w:val="auto"/>
        </w:rPr>
        <w:t>3</w:t>
      </w:r>
      <w:r w:rsidRPr="00DD32E6">
        <w:rPr>
          <w:color w:val="auto"/>
        </w:rPr>
        <w:tab/>
        <w:t xml:space="preserve">Rothman KJ, Gallacher JE, Hatch EE. Why representativeness should be avoided. </w:t>
      </w:r>
      <w:r w:rsidRPr="00DD32E6">
        <w:rPr>
          <w:i/>
          <w:color w:val="auto"/>
        </w:rPr>
        <w:t>Int J Epidemiol</w:t>
      </w:r>
      <w:r w:rsidRPr="00DD32E6">
        <w:rPr>
          <w:color w:val="auto"/>
        </w:rPr>
        <w:t xml:space="preserve"> 2013;42:1012-4.</w:t>
      </w:r>
      <w:bookmarkEnd w:id="22"/>
    </w:p>
    <w:p w:rsidR="00AC6848" w:rsidRPr="00DD32E6" w:rsidRDefault="00AC6848" w:rsidP="006A4856">
      <w:pPr>
        <w:pStyle w:val="EndNoteBibliography"/>
        <w:spacing w:after="0"/>
        <w:ind w:left="720" w:hanging="720"/>
        <w:rPr>
          <w:color w:val="auto"/>
        </w:rPr>
      </w:pPr>
      <w:bookmarkStart w:id="23" w:name="_ENREF_23"/>
      <w:r w:rsidRPr="00DD32E6">
        <w:rPr>
          <w:color w:val="auto"/>
        </w:rPr>
        <w:t>2</w:t>
      </w:r>
      <w:r w:rsidR="00B5083B" w:rsidRPr="00DD32E6">
        <w:rPr>
          <w:color w:val="auto"/>
        </w:rPr>
        <w:t>4</w:t>
      </w:r>
      <w:r w:rsidRPr="00DD32E6">
        <w:rPr>
          <w:color w:val="auto"/>
        </w:rPr>
        <w:tab/>
        <w:t xml:space="preserve">Richiardi L, Barone-Adesi F, Merletti F, Pearce N. Using directed acyclic graphs to consider adjustment for socioeconomic status in occupational cancer studies. </w:t>
      </w:r>
      <w:r w:rsidRPr="00DD32E6">
        <w:rPr>
          <w:i/>
          <w:color w:val="auto"/>
        </w:rPr>
        <w:t>J Epidemiol Community Health</w:t>
      </w:r>
      <w:r w:rsidRPr="00DD32E6">
        <w:rPr>
          <w:color w:val="auto"/>
        </w:rPr>
        <w:t xml:space="preserve"> 2008;62:e14.</w:t>
      </w:r>
      <w:bookmarkEnd w:id="23"/>
    </w:p>
    <w:p w:rsidR="00AC6848" w:rsidRPr="00DD32E6" w:rsidRDefault="00AC6848" w:rsidP="006A4856">
      <w:pPr>
        <w:pStyle w:val="EndNoteBibliography"/>
        <w:ind w:left="720" w:hanging="720"/>
        <w:rPr>
          <w:color w:val="auto"/>
        </w:rPr>
      </w:pPr>
      <w:bookmarkStart w:id="24" w:name="_ENREF_24"/>
      <w:r w:rsidRPr="00DD32E6">
        <w:rPr>
          <w:color w:val="auto"/>
        </w:rPr>
        <w:t>2</w:t>
      </w:r>
      <w:r w:rsidR="00B5083B" w:rsidRPr="00DD32E6">
        <w:rPr>
          <w:color w:val="auto"/>
        </w:rPr>
        <w:t>5</w:t>
      </w:r>
      <w:r w:rsidRPr="00DD32E6">
        <w:rPr>
          <w:color w:val="auto"/>
        </w:rPr>
        <w:tab/>
        <w:t xml:space="preserve">Burney PG, Hooper RL. The use of ethnically specific norms for ventilatory function in African-American and white populations. </w:t>
      </w:r>
      <w:r w:rsidRPr="00DD32E6">
        <w:rPr>
          <w:i/>
          <w:color w:val="auto"/>
        </w:rPr>
        <w:t>Int J Epidemiol</w:t>
      </w:r>
      <w:r w:rsidRPr="00DD32E6">
        <w:rPr>
          <w:color w:val="auto"/>
        </w:rPr>
        <w:t xml:space="preserve"> 2012;41:782-90.</w:t>
      </w:r>
      <w:bookmarkEnd w:id="24"/>
    </w:p>
    <w:p w:rsidR="000E16B7" w:rsidRPr="00DD32E6" w:rsidRDefault="000E16B7" w:rsidP="006A4856">
      <w:pPr>
        <w:pStyle w:val="EndNoteBibliography"/>
        <w:ind w:left="720" w:hanging="720"/>
        <w:rPr>
          <w:color w:val="auto"/>
        </w:rPr>
        <w:sectPr w:rsidR="000E16B7" w:rsidRPr="00DD32E6" w:rsidSect="006A4856">
          <w:pgSz w:w="11906" w:h="16838"/>
          <w:pgMar w:top="1440" w:right="1440" w:bottom="1440" w:left="1440" w:header="708" w:footer="708" w:gutter="0"/>
          <w:cols w:space="708"/>
          <w:docGrid w:linePitch="360"/>
        </w:sectPr>
      </w:pPr>
    </w:p>
    <w:p w:rsidR="00D83BBA" w:rsidRPr="00DD32E6" w:rsidRDefault="00D83BBA">
      <w:pPr>
        <w:rPr>
          <w:i/>
        </w:rPr>
      </w:pPr>
      <w:r w:rsidRPr="00DD32E6">
        <w:rPr>
          <w:i/>
        </w:rPr>
        <w:lastRenderedPageBreak/>
        <w:t>[Title and footnotes for the attached figure]</w:t>
      </w:r>
    </w:p>
    <w:p w:rsidR="00D83BBA" w:rsidRPr="00DD32E6" w:rsidRDefault="00D83BBA" w:rsidP="00D83BBA">
      <w:pPr>
        <w:spacing w:line="360" w:lineRule="auto"/>
        <w:contextualSpacing/>
        <w:rPr>
          <w:rFonts w:eastAsiaTheme="minorEastAsia" w:cstheme="minorHAnsi"/>
          <w:bCs/>
          <w:sz w:val="24"/>
          <w:szCs w:val="24"/>
        </w:rPr>
      </w:pPr>
      <w:r w:rsidRPr="00DD32E6">
        <w:rPr>
          <w:rFonts w:eastAsiaTheme="minorEastAsia" w:cstheme="minorHAnsi"/>
          <w:b/>
          <w:sz w:val="24"/>
          <w:szCs w:val="24"/>
        </w:rPr>
        <w:t xml:space="preserve">Figure </w:t>
      </w:r>
      <w:proofErr w:type="gramStart"/>
      <w:r w:rsidRPr="00DD32E6">
        <w:rPr>
          <w:rFonts w:eastAsiaTheme="minorEastAsia" w:cstheme="minorHAnsi"/>
          <w:b/>
          <w:sz w:val="24"/>
          <w:szCs w:val="24"/>
        </w:rPr>
        <w:t>1</w:t>
      </w:r>
      <w:r w:rsidRPr="00DD32E6">
        <w:rPr>
          <w:rFonts w:eastAsiaTheme="minorEastAsia" w:cstheme="minorHAnsi"/>
          <w:sz w:val="24"/>
          <w:szCs w:val="24"/>
        </w:rPr>
        <w:t xml:space="preserve">  </w:t>
      </w:r>
      <w:r w:rsidRPr="00DD32E6">
        <w:rPr>
          <w:rFonts w:eastAsiaTheme="minorEastAsia" w:cstheme="minorHAnsi"/>
          <w:bCs/>
          <w:sz w:val="24"/>
          <w:szCs w:val="24"/>
        </w:rPr>
        <w:t>Study</w:t>
      </w:r>
      <w:proofErr w:type="gramEnd"/>
      <w:r w:rsidRPr="00DD32E6">
        <w:rPr>
          <w:rFonts w:eastAsiaTheme="minorEastAsia" w:cstheme="minorHAnsi"/>
          <w:bCs/>
          <w:sz w:val="24"/>
          <w:szCs w:val="24"/>
        </w:rPr>
        <w:t xml:space="preserve"> flow-diagram in the UK Biobank cohort.</w:t>
      </w:r>
    </w:p>
    <w:p w:rsidR="00D83BBA" w:rsidRPr="00DD32E6" w:rsidRDefault="00D83BBA" w:rsidP="00D83BBA">
      <w:pPr>
        <w:spacing w:line="360" w:lineRule="auto"/>
        <w:contextualSpacing/>
        <w:rPr>
          <w:rFonts w:eastAsiaTheme="minorEastAsia" w:cstheme="minorHAnsi"/>
          <w:bCs/>
          <w:sz w:val="24"/>
          <w:szCs w:val="24"/>
        </w:rPr>
      </w:pPr>
    </w:p>
    <w:p w:rsidR="00D83BBA" w:rsidRPr="00DD32E6" w:rsidRDefault="00D83BBA" w:rsidP="00D83BBA">
      <w:pPr>
        <w:spacing w:line="360" w:lineRule="auto"/>
        <w:rPr>
          <w:rFonts w:eastAsiaTheme="minorEastAsia" w:cstheme="minorHAnsi"/>
          <w:kern w:val="24"/>
          <w:sz w:val="20"/>
          <w:szCs w:val="20"/>
        </w:rPr>
      </w:pPr>
      <w:r w:rsidRPr="00DD32E6">
        <w:rPr>
          <w:rFonts w:eastAsiaTheme="minorEastAsia" w:cstheme="minorHAnsi"/>
          <w:sz w:val="20"/>
          <w:szCs w:val="20"/>
        </w:rPr>
        <w:t xml:space="preserve">*Absolute contraindications to </w:t>
      </w:r>
      <w:proofErr w:type="spellStart"/>
      <w:r w:rsidRPr="00DD32E6">
        <w:rPr>
          <w:rFonts w:eastAsiaTheme="minorEastAsia" w:cstheme="minorHAnsi"/>
          <w:sz w:val="20"/>
          <w:szCs w:val="20"/>
        </w:rPr>
        <w:t>spirometry</w:t>
      </w:r>
      <w:proofErr w:type="spellEnd"/>
      <w:r w:rsidRPr="00DD32E6">
        <w:rPr>
          <w:rFonts w:eastAsiaTheme="minorEastAsia" w:cstheme="minorHAnsi"/>
          <w:sz w:val="20"/>
          <w:szCs w:val="20"/>
        </w:rPr>
        <w:t xml:space="preserve"> included </w:t>
      </w:r>
      <w:r w:rsidRPr="00DD32E6">
        <w:rPr>
          <w:rFonts w:eastAsiaTheme="minorEastAsia" w:cstheme="minorHAnsi"/>
          <w:kern w:val="24"/>
          <w:sz w:val="20"/>
          <w:szCs w:val="20"/>
        </w:rPr>
        <w:t>chest infection in the last month (i.e., influenza, bronchitis, severe cold, pneumonia); history of detached retina; heart attack or surgery to eyes, chest or abdomen in last 3 months; history of a collapsed lung; pregnancy (1st or 3rd trimester); and currently on medication for tuberculosis.</w:t>
      </w:r>
    </w:p>
    <w:p w:rsidR="00D83BBA" w:rsidRPr="00DD32E6" w:rsidRDefault="00D83BBA"/>
    <w:sectPr w:rsidR="00D83BBA" w:rsidRPr="00DD32E6" w:rsidSect="006A48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FE" w:rsidRDefault="001658FE">
      <w:pPr>
        <w:spacing w:after="0" w:line="240" w:lineRule="auto"/>
      </w:pPr>
      <w:r>
        <w:separator/>
      </w:r>
    </w:p>
  </w:endnote>
  <w:endnote w:type="continuationSeparator" w:id="0">
    <w:p w:rsidR="001658FE" w:rsidRDefault="00165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68204"/>
      <w:docPartObj>
        <w:docPartGallery w:val="Page Numbers (Bottom of Page)"/>
        <w:docPartUnique/>
      </w:docPartObj>
    </w:sdtPr>
    <w:sdtEndPr>
      <w:rPr>
        <w:noProof/>
      </w:rPr>
    </w:sdtEndPr>
    <w:sdtContent>
      <w:p w:rsidR="003C5B02" w:rsidRDefault="003C5B02">
        <w:pPr>
          <w:pStyle w:val="Footer"/>
          <w:jc w:val="right"/>
        </w:pPr>
        <w:r>
          <w:fldChar w:fldCharType="begin"/>
        </w:r>
        <w:r>
          <w:instrText xml:space="preserve"> PAGE   \* MERGEFORMAT </w:instrText>
        </w:r>
        <w:r>
          <w:fldChar w:fldCharType="separate"/>
        </w:r>
        <w:r w:rsidR="00324590">
          <w:rPr>
            <w:noProof/>
          </w:rPr>
          <w:t>1</w:t>
        </w:r>
        <w:r>
          <w:rPr>
            <w:noProof/>
          </w:rPr>
          <w:fldChar w:fldCharType="end"/>
        </w:r>
      </w:p>
    </w:sdtContent>
  </w:sdt>
  <w:p w:rsidR="003C5B02" w:rsidRDefault="003C5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FE" w:rsidRDefault="001658FE">
      <w:pPr>
        <w:spacing w:after="0" w:line="240" w:lineRule="auto"/>
      </w:pPr>
      <w:r>
        <w:separator/>
      </w:r>
    </w:p>
  </w:footnote>
  <w:footnote w:type="continuationSeparator" w:id="0">
    <w:p w:rsidR="001658FE" w:rsidRDefault="001658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6FA"/>
    <w:multiLevelType w:val="hybridMultilevel"/>
    <w:tmpl w:val="6FD01144"/>
    <w:lvl w:ilvl="0" w:tplc="BA9ED6B6">
      <w:start w:val="1"/>
      <w:numFmt w:val="bullet"/>
      <w:lvlText w:val="•"/>
      <w:lvlJc w:val="left"/>
      <w:pPr>
        <w:tabs>
          <w:tab w:val="num" w:pos="360"/>
        </w:tabs>
        <w:ind w:left="360" w:hanging="360"/>
      </w:pPr>
      <w:rPr>
        <w:rFonts w:ascii="Times New Roman" w:hAnsi="Times New Roman" w:hint="default"/>
      </w:rPr>
    </w:lvl>
    <w:lvl w:ilvl="1" w:tplc="8B40845E" w:tentative="1">
      <w:start w:val="1"/>
      <w:numFmt w:val="bullet"/>
      <w:lvlText w:val="•"/>
      <w:lvlJc w:val="left"/>
      <w:pPr>
        <w:tabs>
          <w:tab w:val="num" w:pos="1080"/>
        </w:tabs>
        <w:ind w:left="1080" w:hanging="360"/>
      </w:pPr>
      <w:rPr>
        <w:rFonts w:ascii="Times New Roman" w:hAnsi="Times New Roman" w:hint="default"/>
      </w:rPr>
    </w:lvl>
    <w:lvl w:ilvl="2" w:tplc="AFD03ED4" w:tentative="1">
      <w:start w:val="1"/>
      <w:numFmt w:val="bullet"/>
      <w:lvlText w:val="•"/>
      <w:lvlJc w:val="left"/>
      <w:pPr>
        <w:tabs>
          <w:tab w:val="num" w:pos="1800"/>
        </w:tabs>
        <w:ind w:left="1800" w:hanging="360"/>
      </w:pPr>
      <w:rPr>
        <w:rFonts w:ascii="Times New Roman" w:hAnsi="Times New Roman" w:hint="default"/>
      </w:rPr>
    </w:lvl>
    <w:lvl w:ilvl="3" w:tplc="AFA2451C" w:tentative="1">
      <w:start w:val="1"/>
      <w:numFmt w:val="bullet"/>
      <w:lvlText w:val="•"/>
      <w:lvlJc w:val="left"/>
      <w:pPr>
        <w:tabs>
          <w:tab w:val="num" w:pos="2520"/>
        </w:tabs>
        <w:ind w:left="2520" w:hanging="360"/>
      </w:pPr>
      <w:rPr>
        <w:rFonts w:ascii="Times New Roman" w:hAnsi="Times New Roman" w:hint="default"/>
      </w:rPr>
    </w:lvl>
    <w:lvl w:ilvl="4" w:tplc="9D041C92" w:tentative="1">
      <w:start w:val="1"/>
      <w:numFmt w:val="bullet"/>
      <w:lvlText w:val="•"/>
      <w:lvlJc w:val="left"/>
      <w:pPr>
        <w:tabs>
          <w:tab w:val="num" w:pos="3240"/>
        </w:tabs>
        <w:ind w:left="3240" w:hanging="360"/>
      </w:pPr>
      <w:rPr>
        <w:rFonts w:ascii="Times New Roman" w:hAnsi="Times New Roman" w:hint="default"/>
      </w:rPr>
    </w:lvl>
    <w:lvl w:ilvl="5" w:tplc="921817D8" w:tentative="1">
      <w:start w:val="1"/>
      <w:numFmt w:val="bullet"/>
      <w:lvlText w:val="•"/>
      <w:lvlJc w:val="left"/>
      <w:pPr>
        <w:tabs>
          <w:tab w:val="num" w:pos="3960"/>
        </w:tabs>
        <w:ind w:left="3960" w:hanging="360"/>
      </w:pPr>
      <w:rPr>
        <w:rFonts w:ascii="Times New Roman" w:hAnsi="Times New Roman" w:hint="default"/>
      </w:rPr>
    </w:lvl>
    <w:lvl w:ilvl="6" w:tplc="0F22EB88" w:tentative="1">
      <w:start w:val="1"/>
      <w:numFmt w:val="bullet"/>
      <w:lvlText w:val="•"/>
      <w:lvlJc w:val="left"/>
      <w:pPr>
        <w:tabs>
          <w:tab w:val="num" w:pos="4680"/>
        </w:tabs>
        <w:ind w:left="4680" w:hanging="360"/>
      </w:pPr>
      <w:rPr>
        <w:rFonts w:ascii="Times New Roman" w:hAnsi="Times New Roman" w:hint="default"/>
      </w:rPr>
    </w:lvl>
    <w:lvl w:ilvl="7" w:tplc="6B201C76" w:tentative="1">
      <w:start w:val="1"/>
      <w:numFmt w:val="bullet"/>
      <w:lvlText w:val="•"/>
      <w:lvlJc w:val="left"/>
      <w:pPr>
        <w:tabs>
          <w:tab w:val="num" w:pos="5400"/>
        </w:tabs>
        <w:ind w:left="5400" w:hanging="360"/>
      </w:pPr>
      <w:rPr>
        <w:rFonts w:ascii="Times New Roman" w:hAnsi="Times New Roman" w:hint="default"/>
      </w:rPr>
    </w:lvl>
    <w:lvl w:ilvl="8" w:tplc="5AC48044" w:tentative="1">
      <w:start w:val="1"/>
      <w:numFmt w:val="bullet"/>
      <w:lvlText w:val="•"/>
      <w:lvlJc w:val="left"/>
      <w:pPr>
        <w:tabs>
          <w:tab w:val="num" w:pos="6120"/>
        </w:tabs>
        <w:ind w:left="6120" w:hanging="360"/>
      </w:pPr>
      <w:rPr>
        <w:rFonts w:ascii="Times New Roman" w:hAnsi="Times New Roman" w:hint="default"/>
      </w:rPr>
    </w:lvl>
  </w:abstractNum>
  <w:abstractNum w:abstractNumId="1">
    <w:nsid w:val="0C5371EE"/>
    <w:multiLevelType w:val="hybridMultilevel"/>
    <w:tmpl w:val="EFA4FABC"/>
    <w:lvl w:ilvl="0" w:tplc="A8B249D8">
      <w:start w:val="1"/>
      <w:numFmt w:val="bullet"/>
      <w:lvlText w:val="•"/>
      <w:lvlJc w:val="left"/>
      <w:pPr>
        <w:tabs>
          <w:tab w:val="num" w:pos="720"/>
        </w:tabs>
        <w:ind w:left="720" w:hanging="360"/>
      </w:pPr>
      <w:rPr>
        <w:rFonts w:ascii="Times New Roman" w:hAnsi="Times New Roman" w:hint="default"/>
      </w:rPr>
    </w:lvl>
    <w:lvl w:ilvl="1" w:tplc="3134DEBA" w:tentative="1">
      <w:start w:val="1"/>
      <w:numFmt w:val="bullet"/>
      <w:lvlText w:val="•"/>
      <w:lvlJc w:val="left"/>
      <w:pPr>
        <w:tabs>
          <w:tab w:val="num" w:pos="1440"/>
        </w:tabs>
        <w:ind w:left="1440" w:hanging="360"/>
      </w:pPr>
      <w:rPr>
        <w:rFonts w:ascii="Times New Roman" w:hAnsi="Times New Roman" w:hint="default"/>
      </w:rPr>
    </w:lvl>
    <w:lvl w:ilvl="2" w:tplc="19B0DE1E" w:tentative="1">
      <w:start w:val="1"/>
      <w:numFmt w:val="bullet"/>
      <w:lvlText w:val="•"/>
      <w:lvlJc w:val="left"/>
      <w:pPr>
        <w:tabs>
          <w:tab w:val="num" w:pos="2160"/>
        </w:tabs>
        <w:ind w:left="2160" w:hanging="360"/>
      </w:pPr>
      <w:rPr>
        <w:rFonts w:ascii="Times New Roman" w:hAnsi="Times New Roman" w:hint="default"/>
      </w:rPr>
    </w:lvl>
    <w:lvl w:ilvl="3" w:tplc="DE446162" w:tentative="1">
      <w:start w:val="1"/>
      <w:numFmt w:val="bullet"/>
      <w:lvlText w:val="•"/>
      <w:lvlJc w:val="left"/>
      <w:pPr>
        <w:tabs>
          <w:tab w:val="num" w:pos="2880"/>
        </w:tabs>
        <w:ind w:left="2880" w:hanging="360"/>
      </w:pPr>
      <w:rPr>
        <w:rFonts w:ascii="Times New Roman" w:hAnsi="Times New Roman" w:hint="default"/>
      </w:rPr>
    </w:lvl>
    <w:lvl w:ilvl="4" w:tplc="7BD62F0E" w:tentative="1">
      <w:start w:val="1"/>
      <w:numFmt w:val="bullet"/>
      <w:lvlText w:val="•"/>
      <w:lvlJc w:val="left"/>
      <w:pPr>
        <w:tabs>
          <w:tab w:val="num" w:pos="3600"/>
        </w:tabs>
        <w:ind w:left="3600" w:hanging="360"/>
      </w:pPr>
      <w:rPr>
        <w:rFonts w:ascii="Times New Roman" w:hAnsi="Times New Roman" w:hint="default"/>
      </w:rPr>
    </w:lvl>
    <w:lvl w:ilvl="5" w:tplc="99409908" w:tentative="1">
      <w:start w:val="1"/>
      <w:numFmt w:val="bullet"/>
      <w:lvlText w:val="•"/>
      <w:lvlJc w:val="left"/>
      <w:pPr>
        <w:tabs>
          <w:tab w:val="num" w:pos="4320"/>
        </w:tabs>
        <w:ind w:left="4320" w:hanging="360"/>
      </w:pPr>
      <w:rPr>
        <w:rFonts w:ascii="Times New Roman" w:hAnsi="Times New Roman" w:hint="default"/>
      </w:rPr>
    </w:lvl>
    <w:lvl w:ilvl="6" w:tplc="7646F494" w:tentative="1">
      <w:start w:val="1"/>
      <w:numFmt w:val="bullet"/>
      <w:lvlText w:val="•"/>
      <w:lvlJc w:val="left"/>
      <w:pPr>
        <w:tabs>
          <w:tab w:val="num" w:pos="5040"/>
        </w:tabs>
        <w:ind w:left="5040" w:hanging="360"/>
      </w:pPr>
      <w:rPr>
        <w:rFonts w:ascii="Times New Roman" w:hAnsi="Times New Roman" w:hint="default"/>
      </w:rPr>
    </w:lvl>
    <w:lvl w:ilvl="7" w:tplc="611263F8" w:tentative="1">
      <w:start w:val="1"/>
      <w:numFmt w:val="bullet"/>
      <w:lvlText w:val="•"/>
      <w:lvlJc w:val="left"/>
      <w:pPr>
        <w:tabs>
          <w:tab w:val="num" w:pos="5760"/>
        </w:tabs>
        <w:ind w:left="5760" w:hanging="360"/>
      </w:pPr>
      <w:rPr>
        <w:rFonts w:ascii="Times New Roman" w:hAnsi="Times New Roman" w:hint="default"/>
      </w:rPr>
    </w:lvl>
    <w:lvl w:ilvl="8" w:tplc="BAA612A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310389"/>
    <w:multiLevelType w:val="hybridMultilevel"/>
    <w:tmpl w:val="8436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EB1EA3"/>
    <w:multiLevelType w:val="hybridMultilevel"/>
    <w:tmpl w:val="020E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DA574E"/>
    <w:multiLevelType w:val="hybridMultilevel"/>
    <w:tmpl w:val="A9A80B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0B54FE"/>
    <w:multiLevelType w:val="hybridMultilevel"/>
    <w:tmpl w:val="DB062C9C"/>
    <w:lvl w:ilvl="0" w:tplc="C16CC0A0">
      <w:start w:val="1"/>
      <w:numFmt w:val="bullet"/>
      <w:lvlText w:val="•"/>
      <w:lvlJc w:val="left"/>
      <w:pPr>
        <w:tabs>
          <w:tab w:val="num" w:pos="720"/>
        </w:tabs>
        <w:ind w:left="720" w:hanging="360"/>
      </w:pPr>
      <w:rPr>
        <w:rFonts w:ascii="Times New Roman" w:hAnsi="Times New Roman" w:hint="default"/>
      </w:rPr>
    </w:lvl>
    <w:lvl w:ilvl="1" w:tplc="2D1AC1DA" w:tentative="1">
      <w:start w:val="1"/>
      <w:numFmt w:val="bullet"/>
      <w:lvlText w:val="•"/>
      <w:lvlJc w:val="left"/>
      <w:pPr>
        <w:tabs>
          <w:tab w:val="num" w:pos="1440"/>
        </w:tabs>
        <w:ind w:left="1440" w:hanging="360"/>
      </w:pPr>
      <w:rPr>
        <w:rFonts w:ascii="Times New Roman" w:hAnsi="Times New Roman" w:hint="default"/>
      </w:rPr>
    </w:lvl>
    <w:lvl w:ilvl="2" w:tplc="57EC6838" w:tentative="1">
      <w:start w:val="1"/>
      <w:numFmt w:val="bullet"/>
      <w:lvlText w:val="•"/>
      <w:lvlJc w:val="left"/>
      <w:pPr>
        <w:tabs>
          <w:tab w:val="num" w:pos="2160"/>
        </w:tabs>
        <w:ind w:left="2160" w:hanging="360"/>
      </w:pPr>
      <w:rPr>
        <w:rFonts w:ascii="Times New Roman" w:hAnsi="Times New Roman" w:hint="default"/>
      </w:rPr>
    </w:lvl>
    <w:lvl w:ilvl="3" w:tplc="986C1728" w:tentative="1">
      <w:start w:val="1"/>
      <w:numFmt w:val="bullet"/>
      <w:lvlText w:val="•"/>
      <w:lvlJc w:val="left"/>
      <w:pPr>
        <w:tabs>
          <w:tab w:val="num" w:pos="2880"/>
        </w:tabs>
        <w:ind w:left="2880" w:hanging="360"/>
      </w:pPr>
      <w:rPr>
        <w:rFonts w:ascii="Times New Roman" w:hAnsi="Times New Roman" w:hint="default"/>
      </w:rPr>
    </w:lvl>
    <w:lvl w:ilvl="4" w:tplc="C6ECE57E" w:tentative="1">
      <w:start w:val="1"/>
      <w:numFmt w:val="bullet"/>
      <w:lvlText w:val="•"/>
      <w:lvlJc w:val="left"/>
      <w:pPr>
        <w:tabs>
          <w:tab w:val="num" w:pos="3600"/>
        </w:tabs>
        <w:ind w:left="3600" w:hanging="360"/>
      </w:pPr>
      <w:rPr>
        <w:rFonts w:ascii="Times New Roman" w:hAnsi="Times New Roman" w:hint="default"/>
      </w:rPr>
    </w:lvl>
    <w:lvl w:ilvl="5" w:tplc="95C079D8" w:tentative="1">
      <w:start w:val="1"/>
      <w:numFmt w:val="bullet"/>
      <w:lvlText w:val="•"/>
      <w:lvlJc w:val="left"/>
      <w:pPr>
        <w:tabs>
          <w:tab w:val="num" w:pos="4320"/>
        </w:tabs>
        <w:ind w:left="4320" w:hanging="360"/>
      </w:pPr>
      <w:rPr>
        <w:rFonts w:ascii="Times New Roman" w:hAnsi="Times New Roman" w:hint="default"/>
      </w:rPr>
    </w:lvl>
    <w:lvl w:ilvl="6" w:tplc="D48A40C6" w:tentative="1">
      <w:start w:val="1"/>
      <w:numFmt w:val="bullet"/>
      <w:lvlText w:val="•"/>
      <w:lvlJc w:val="left"/>
      <w:pPr>
        <w:tabs>
          <w:tab w:val="num" w:pos="5040"/>
        </w:tabs>
        <w:ind w:left="5040" w:hanging="360"/>
      </w:pPr>
      <w:rPr>
        <w:rFonts w:ascii="Times New Roman" w:hAnsi="Times New Roman" w:hint="default"/>
      </w:rPr>
    </w:lvl>
    <w:lvl w:ilvl="7" w:tplc="3C806EEE" w:tentative="1">
      <w:start w:val="1"/>
      <w:numFmt w:val="bullet"/>
      <w:lvlText w:val="•"/>
      <w:lvlJc w:val="left"/>
      <w:pPr>
        <w:tabs>
          <w:tab w:val="num" w:pos="5760"/>
        </w:tabs>
        <w:ind w:left="5760" w:hanging="360"/>
      </w:pPr>
      <w:rPr>
        <w:rFonts w:ascii="Times New Roman" w:hAnsi="Times New Roman" w:hint="default"/>
      </w:rPr>
    </w:lvl>
    <w:lvl w:ilvl="8" w:tplc="0978AE76" w:tentative="1">
      <w:start w:val="1"/>
      <w:numFmt w:val="bullet"/>
      <w:lvlText w:val="•"/>
      <w:lvlJc w:val="left"/>
      <w:pPr>
        <w:tabs>
          <w:tab w:val="num" w:pos="6480"/>
        </w:tabs>
        <w:ind w:left="6480" w:hanging="360"/>
      </w:pPr>
      <w:rPr>
        <w:rFonts w:ascii="Times New Roman" w:hAnsi="Times New Roman" w:hint="default"/>
      </w:rPr>
    </w:lvl>
  </w:abstractNum>
  <w:abstractNum w:abstractNumId="6">
    <w:nsid w:val="278F4CA7"/>
    <w:multiLevelType w:val="hybridMultilevel"/>
    <w:tmpl w:val="F2044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6D0CF4"/>
    <w:multiLevelType w:val="hybridMultilevel"/>
    <w:tmpl w:val="35B025DC"/>
    <w:lvl w:ilvl="0" w:tplc="E4CE4704">
      <w:start w:val="1"/>
      <w:numFmt w:val="bullet"/>
      <w:lvlText w:val="•"/>
      <w:lvlJc w:val="left"/>
      <w:pPr>
        <w:tabs>
          <w:tab w:val="num" w:pos="720"/>
        </w:tabs>
        <w:ind w:left="720" w:hanging="360"/>
      </w:pPr>
      <w:rPr>
        <w:rFonts w:ascii="Times New Roman" w:hAnsi="Times New Roman" w:hint="default"/>
      </w:rPr>
    </w:lvl>
    <w:lvl w:ilvl="1" w:tplc="B02299E6" w:tentative="1">
      <w:start w:val="1"/>
      <w:numFmt w:val="bullet"/>
      <w:lvlText w:val="•"/>
      <w:lvlJc w:val="left"/>
      <w:pPr>
        <w:tabs>
          <w:tab w:val="num" w:pos="1440"/>
        </w:tabs>
        <w:ind w:left="1440" w:hanging="360"/>
      </w:pPr>
      <w:rPr>
        <w:rFonts w:ascii="Times New Roman" w:hAnsi="Times New Roman" w:hint="default"/>
      </w:rPr>
    </w:lvl>
    <w:lvl w:ilvl="2" w:tplc="AABA2DB6" w:tentative="1">
      <w:start w:val="1"/>
      <w:numFmt w:val="bullet"/>
      <w:lvlText w:val="•"/>
      <w:lvlJc w:val="left"/>
      <w:pPr>
        <w:tabs>
          <w:tab w:val="num" w:pos="2160"/>
        </w:tabs>
        <w:ind w:left="2160" w:hanging="360"/>
      </w:pPr>
      <w:rPr>
        <w:rFonts w:ascii="Times New Roman" w:hAnsi="Times New Roman" w:hint="default"/>
      </w:rPr>
    </w:lvl>
    <w:lvl w:ilvl="3" w:tplc="F7401530" w:tentative="1">
      <w:start w:val="1"/>
      <w:numFmt w:val="bullet"/>
      <w:lvlText w:val="•"/>
      <w:lvlJc w:val="left"/>
      <w:pPr>
        <w:tabs>
          <w:tab w:val="num" w:pos="2880"/>
        </w:tabs>
        <w:ind w:left="2880" w:hanging="360"/>
      </w:pPr>
      <w:rPr>
        <w:rFonts w:ascii="Times New Roman" w:hAnsi="Times New Roman" w:hint="default"/>
      </w:rPr>
    </w:lvl>
    <w:lvl w:ilvl="4" w:tplc="2F982A88" w:tentative="1">
      <w:start w:val="1"/>
      <w:numFmt w:val="bullet"/>
      <w:lvlText w:val="•"/>
      <w:lvlJc w:val="left"/>
      <w:pPr>
        <w:tabs>
          <w:tab w:val="num" w:pos="3600"/>
        </w:tabs>
        <w:ind w:left="3600" w:hanging="360"/>
      </w:pPr>
      <w:rPr>
        <w:rFonts w:ascii="Times New Roman" w:hAnsi="Times New Roman" w:hint="default"/>
      </w:rPr>
    </w:lvl>
    <w:lvl w:ilvl="5" w:tplc="27F43F22" w:tentative="1">
      <w:start w:val="1"/>
      <w:numFmt w:val="bullet"/>
      <w:lvlText w:val="•"/>
      <w:lvlJc w:val="left"/>
      <w:pPr>
        <w:tabs>
          <w:tab w:val="num" w:pos="4320"/>
        </w:tabs>
        <w:ind w:left="4320" w:hanging="360"/>
      </w:pPr>
      <w:rPr>
        <w:rFonts w:ascii="Times New Roman" w:hAnsi="Times New Roman" w:hint="default"/>
      </w:rPr>
    </w:lvl>
    <w:lvl w:ilvl="6" w:tplc="89E49BF8" w:tentative="1">
      <w:start w:val="1"/>
      <w:numFmt w:val="bullet"/>
      <w:lvlText w:val="•"/>
      <w:lvlJc w:val="left"/>
      <w:pPr>
        <w:tabs>
          <w:tab w:val="num" w:pos="5040"/>
        </w:tabs>
        <w:ind w:left="5040" w:hanging="360"/>
      </w:pPr>
      <w:rPr>
        <w:rFonts w:ascii="Times New Roman" w:hAnsi="Times New Roman" w:hint="default"/>
      </w:rPr>
    </w:lvl>
    <w:lvl w:ilvl="7" w:tplc="1DB4DA24" w:tentative="1">
      <w:start w:val="1"/>
      <w:numFmt w:val="bullet"/>
      <w:lvlText w:val="•"/>
      <w:lvlJc w:val="left"/>
      <w:pPr>
        <w:tabs>
          <w:tab w:val="num" w:pos="5760"/>
        </w:tabs>
        <w:ind w:left="5760" w:hanging="360"/>
      </w:pPr>
      <w:rPr>
        <w:rFonts w:ascii="Times New Roman" w:hAnsi="Times New Roman" w:hint="default"/>
      </w:rPr>
    </w:lvl>
    <w:lvl w:ilvl="8" w:tplc="25907F8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9AB3938"/>
    <w:multiLevelType w:val="hybridMultilevel"/>
    <w:tmpl w:val="D43C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E12256"/>
    <w:multiLevelType w:val="hybridMultilevel"/>
    <w:tmpl w:val="8D0CA9FA"/>
    <w:lvl w:ilvl="0" w:tplc="6B46E2E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7F1185"/>
    <w:multiLevelType w:val="multilevel"/>
    <w:tmpl w:val="9E20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6D618D"/>
    <w:multiLevelType w:val="hybridMultilevel"/>
    <w:tmpl w:val="71F8C58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9FD679A"/>
    <w:multiLevelType w:val="hybridMultilevel"/>
    <w:tmpl w:val="82DA7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FD6569"/>
    <w:multiLevelType w:val="hybridMultilevel"/>
    <w:tmpl w:val="961427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3E0868"/>
    <w:multiLevelType w:val="hybridMultilevel"/>
    <w:tmpl w:val="41721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430320"/>
    <w:multiLevelType w:val="hybridMultilevel"/>
    <w:tmpl w:val="122C6FB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524E4873"/>
    <w:multiLevelType w:val="hybridMultilevel"/>
    <w:tmpl w:val="34262624"/>
    <w:lvl w:ilvl="0" w:tplc="872414E0">
      <w:start w:val="1"/>
      <w:numFmt w:val="bullet"/>
      <w:lvlText w:val="•"/>
      <w:lvlJc w:val="left"/>
      <w:pPr>
        <w:tabs>
          <w:tab w:val="num" w:pos="720"/>
        </w:tabs>
        <w:ind w:left="720" w:hanging="360"/>
      </w:pPr>
      <w:rPr>
        <w:rFonts w:ascii="Times New Roman" w:hAnsi="Times New Roman" w:hint="default"/>
      </w:rPr>
    </w:lvl>
    <w:lvl w:ilvl="1" w:tplc="22EC3750" w:tentative="1">
      <w:start w:val="1"/>
      <w:numFmt w:val="bullet"/>
      <w:lvlText w:val="•"/>
      <w:lvlJc w:val="left"/>
      <w:pPr>
        <w:tabs>
          <w:tab w:val="num" w:pos="1440"/>
        </w:tabs>
        <w:ind w:left="1440" w:hanging="360"/>
      </w:pPr>
      <w:rPr>
        <w:rFonts w:ascii="Times New Roman" w:hAnsi="Times New Roman" w:hint="default"/>
      </w:rPr>
    </w:lvl>
    <w:lvl w:ilvl="2" w:tplc="4AC622A4" w:tentative="1">
      <w:start w:val="1"/>
      <w:numFmt w:val="bullet"/>
      <w:lvlText w:val="•"/>
      <w:lvlJc w:val="left"/>
      <w:pPr>
        <w:tabs>
          <w:tab w:val="num" w:pos="2160"/>
        </w:tabs>
        <w:ind w:left="2160" w:hanging="360"/>
      </w:pPr>
      <w:rPr>
        <w:rFonts w:ascii="Times New Roman" w:hAnsi="Times New Roman" w:hint="default"/>
      </w:rPr>
    </w:lvl>
    <w:lvl w:ilvl="3" w:tplc="5E58B1A6" w:tentative="1">
      <w:start w:val="1"/>
      <w:numFmt w:val="bullet"/>
      <w:lvlText w:val="•"/>
      <w:lvlJc w:val="left"/>
      <w:pPr>
        <w:tabs>
          <w:tab w:val="num" w:pos="2880"/>
        </w:tabs>
        <w:ind w:left="2880" w:hanging="360"/>
      </w:pPr>
      <w:rPr>
        <w:rFonts w:ascii="Times New Roman" w:hAnsi="Times New Roman" w:hint="default"/>
      </w:rPr>
    </w:lvl>
    <w:lvl w:ilvl="4" w:tplc="A7F6FA8C" w:tentative="1">
      <w:start w:val="1"/>
      <w:numFmt w:val="bullet"/>
      <w:lvlText w:val="•"/>
      <w:lvlJc w:val="left"/>
      <w:pPr>
        <w:tabs>
          <w:tab w:val="num" w:pos="3600"/>
        </w:tabs>
        <w:ind w:left="3600" w:hanging="360"/>
      </w:pPr>
      <w:rPr>
        <w:rFonts w:ascii="Times New Roman" w:hAnsi="Times New Roman" w:hint="default"/>
      </w:rPr>
    </w:lvl>
    <w:lvl w:ilvl="5" w:tplc="51C8BD2E" w:tentative="1">
      <w:start w:val="1"/>
      <w:numFmt w:val="bullet"/>
      <w:lvlText w:val="•"/>
      <w:lvlJc w:val="left"/>
      <w:pPr>
        <w:tabs>
          <w:tab w:val="num" w:pos="4320"/>
        </w:tabs>
        <w:ind w:left="4320" w:hanging="360"/>
      </w:pPr>
      <w:rPr>
        <w:rFonts w:ascii="Times New Roman" w:hAnsi="Times New Roman" w:hint="default"/>
      </w:rPr>
    </w:lvl>
    <w:lvl w:ilvl="6" w:tplc="30B03480" w:tentative="1">
      <w:start w:val="1"/>
      <w:numFmt w:val="bullet"/>
      <w:lvlText w:val="•"/>
      <w:lvlJc w:val="left"/>
      <w:pPr>
        <w:tabs>
          <w:tab w:val="num" w:pos="5040"/>
        </w:tabs>
        <w:ind w:left="5040" w:hanging="360"/>
      </w:pPr>
      <w:rPr>
        <w:rFonts w:ascii="Times New Roman" w:hAnsi="Times New Roman" w:hint="default"/>
      </w:rPr>
    </w:lvl>
    <w:lvl w:ilvl="7" w:tplc="93280A38" w:tentative="1">
      <w:start w:val="1"/>
      <w:numFmt w:val="bullet"/>
      <w:lvlText w:val="•"/>
      <w:lvlJc w:val="left"/>
      <w:pPr>
        <w:tabs>
          <w:tab w:val="num" w:pos="5760"/>
        </w:tabs>
        <w:ind w:left="5760" w:hanging="360"/>
      </w:pPr>
      <w:rPr>
        <w:rFonts w:ascii="Times New Roman" w:hAnsi="Times New Roman" w:hint="default"/>
      </w:rPr>
    </w:lvl>
    <w:lvl w:ilvl="8" w:tplc="68B2F01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8062F73"/>
    <w:multiLevelType w:val="hybridMultilevel"/>
    <w:tmpl w:val="39609B6C"/>
    <w:lvl w:ilvl="0" w:tplc="2A38FC9E">
      <w:start w:val="1"/>
      <w:numFmt w:val="bullet"/>
      <w:lvlText w:val="•"/>
      <w:lvlJc w:val="left"/>
      <w:pPr>
        <w:tabs>
          <w:tab w:val="num" w:pos="720"/>
        </w:tabs>
        <w:ind w:left="720" w:hanging="360"/>
      </w:pPr>
      <w:rPr>
        <w:rFonts w:ascii="Arial" w:hAnsi="Arial" w:hint="default"/>
      </w:rPr>
    </w:lvl>
    <w:lvl w:ilvl="1" w:tplc="CD26A2AE" w:tentative="1">
      <w:start w:val="1"/>
      <w:numFmt w:val="bullet"/>
      <w:lvlText w:val="•"/>
      <w:lvlJc w:val="left"/>
      <w:pPr>
        <w:tabs>
          <w:tab w:val="num" w:pos="1440"/>
        </w:tabs>
        <w:ind w:left="1440" w:hanging="360"/>
      </w:pPr>
      <w:rPr>
        <w:rFonts w:ascii="Arial" w:hAnsi="Arial" w:hint="default"/>
      </w:rPr>
    </w:lvl>
    <w:lvl w:ilvl="2" w:tplc="836E8620" w:tentative="1">
      <w:start w:val="1"/>
      <w:numFmt w:val="bullet"/>
      <w:lvlText w:val="•"/>
      <w:lvlJc w:val="left"/>
      <w:pPr>
        <w:tabs>
          <w:tab w:val="num" w:pos="2160"/>
        </w:tabs>
        <w:ind w:left="2160" w:hanging="360"/>
      </w:pPr>
      <w:rPr>
        <w:rFonts w:ascii="Arial" w:hAnsi="Arial" w:hint="default"/>
      </w:rPr>
    </w:lvl>
    <w:lvl w:ilvl="3" w:tplc="1E7CFD3C" w:tentative="1">
      <w:start w:val="1"/>
      <w:numFmt w:val="bullet"/>
      <w:lvlText w:val="•"/>
      <w:lvlJc w:val="left"/>
      <w:pPr>
        <w:tabs>
          <w:tab w:val="num" w:pos="2880"/>
        </w:tabs>
        <w:ind w:left="2880" w:hanging="360"/>
      </w:pPr>
      <w:rPr>
        <w:rFonts w:ascii="Arial" w:hAnsi="Arial" w:hint="default"/>
      </w:rPr>
    </w:lvl>
    <w:lvl w:ilvl="4" w:tplc="83BE85DE" w:tentative="1">
      <w:start w:val="1"/>
      <w:numFmt w:val="bullet"/>
      <w:lvlText w:val="•"/>
      <w:lvlJc w:val="left"/>
      <w:pPr>
        <w:tabs>
          <w:tab w:val="num" w:pos="3600"/>
        </w:tabs>
        <w:ind w:left="3600" w:hanging="360"/>
      </w:pPr>
      <w:rPr>
        <w:rFonts w:ascii="Arial" w:hAnsi="Arial" w:hint="default"/>
      </w:rPr>
    </w:lvl>
    <w:lvl w:ilvl="5" w:tplc="094AAB80" w:tentative="1">
      <w:start w:val="1"/>
      <w:numFmt w:val="bullet"/>
      <w:lvlText w:val="•"/>
      <w:lvlJc w:val="left"/>
      <w:pPr>
        <w:tabs>
          <w:tab w:val="num" w:pos="4320"/>
        </w:tabs>
        <w:ind w:left="4320" w:hanging="360"/>
      </w:pPr>
      <w:rPr>
        <w:rFonts w:ascii="Arial" w:hAnsi="Arial" w:hint="default"/>
      </w:rPr>
    </w:lvl>
    <w:lvl w:ilvl="6" w:tplc="F692CF56" w:tentative="1">
      <w:start w:val="1"/>
      <w:numFmt w:val="bullet"/>
      <w:lvlText w:val="•"/>
      <w:lvlJc w:val="left"/>
      <w:pPr>
        <w:tabs>
          <w:tab w:val="num" w:pos="5040"/>
        </w:tabs>
        <w:ind w:left="5040" w:hanging="360"/>
      </w:pPr>
      <w:rPr>
        <w:rFonts w:ascii="Arial" w:hAnsi="Arial" w:hint="default"/>
      </w:rPr>
    </w:lvl>
    <w:lvl w:ilvl="7" w:tplc="CFA8E628" w:tentative="1">
      <w:start w:val="1"/>
      <w:numFmt w:val="bullet"/>
      <w:lvlText w:val="•"/>
      <w:lvlJc w:val="left"/>
      <w:pPr>
        <w:tabs>
          <w:tab w:val="num" w:pos="5760"/>
        </w:tabs>
        <w:ind w:left="5760" w:hanging="360"/>
      </w:pPr>
      <w:rPr>
        <w:rFonts w:ascii="Arial" w:hAnsi="Arial" w:hint="default"/>
      </w:rPr>
    </w:lvl>
    <w:lvl w:ilvl="8" w:tplc="4B70A0C6" w:tentative="1">
      <w:start w:val="1"/>
      <w:numFmt w:val="bullet"/>
      <w:lvlText w:val="•"/>
      <w:lvlJc w:val="left"/>
      <w:pPr>
        <w:tabs>
          <w:tab w:val="num" w:pos="6480"/>
        </w:tabs>
        <w:ind w:left="6480" w:hanging="360"/>
      </w:pPr>
      <w:rPr>
        <w:rFonts w:ascii="Arial" w:hAnsi="Arial" w:hint="default"/>
      </w:rPr>
    </w:lvl>
  </w:abstractNum>
  <w:abstractNum w:abstractNumId="18">
    <w:nsid w:val="5C057055"/>
    <w:multiLevelType w:val="hybridMultilevel"/>
    <w:tmpl w:val="91BEA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4A42C2"/>
    <w:multiLevelType w:val="hybridMultilevel"/>
    <w:tmpl w:val="7EE813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D957A0A"/>
    <w:multiLevelType w:val="multilevel"/>
    <w:tmpl w:val="2388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096034"/>
    <w:multiLevelType w:val="hybridMultilevel"/>
    <w:tmpl w:val="1124E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9952FB"/>
    <w:multiLevelType w:val="hybridMultilevel"/>
    <w:tmpl w:val="CA56C66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603588"/>
    <w:multiLevelType w:val="multilevel"/>
    <w:tmpl w:val="B87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780BE9"/>
    <w:multiLevelType w:val="hybridMultilevel"/>
    <w:tmpl w:val="3B26AAF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8"/>
  </w:num>
  <w:num w:numId="3">
    <w:abstractNumId w:val="21"/>
  </w:num>
  <w:num w:numId="4">
    <w:abstractNumId w:val="15"/>
  </w:num>
  <w:num w:numId="5">
    <w:abstractNumId w:val="16"/>
  </w:num>
  <w:num w:numId="6">
    <w:abstractNumId w:val="12"/>
  </w:num>
  <w:num w:numId="7">
    <w:abstractNumId w:val="9"/>
  </w:num>
  <w:num w:numId="8">
    <w:abstractNumId w:val="14"/>
  </w:num>
  <w:num w:numId="9">
    <w:abstractNumId w:val="19"/>
  </w:num>
  <w:num w:numId="10">
    <w:abstractNumId w:val="11"/>
  </w:num>
  <w:num w:numId="11">
    <w:abstractNumId w:val="6"/>
  </w:num>
  <w:num w:numId="12">
    <w:abstractNumId w:val="13"/>
  </w:num>
  <w:num w:numId="13">
    <w:abstractNumId w:val="1"/>
  </w:num>
  <w:num w:numId="14">
    <w:abstractNumId w:val="0"/>
  </w:num>
  <w:num w:numId="15">
    <w:abstractNumId w:val="3"/>
  </w:num>
  <w:num w:numId="16">
    <w:abstractNumId w:val="17"/>
  </w:num>
  <w:num w:numId="17">
    <w:abstractNumId w:val="8"/>
  </w:num>
  <w:num w:numId="18">
    <w:abstractNumId w:val="2"/>
  </w:num>
  <w:num w:numId="19">
    <w:abstractNumId w:val="4"/>
  </w:num>
  <w:num w:numId="20">
    <w:abstractNumId w:val="5"/>
  </w:num>
  <w:num w:numId="21">
    <w:abstractNumId w:val="22"/>
  </w:num>
  <w:num w:numId="22">
    <w:abstractNumId w:val="7"/>
  </w:num>
  <w:num w:numId="23">
    <w:abstractNumId w:val="23"/>
  </w:num>
  <w:num w:numId="24">
    <w:abstractNumId w:val="10"/>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Matteis, Sara">
    <w15:presenceInfo w15:providerId="AD" w15:userId="S-1-5-21-243037206-41955558-561332275-67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C6848"/>
    <w:rsid w:val="00007A12"/>
    <w:rsid w:val="00011D36"/>
    <w:rsid w:val="00012F06"/>
    <w:rsid w:val="000D6262"/>
    <w:rsid w:val="000E16B7"/>
    <w:rsid w:val="000F293C"/>
    <w:rsid w:val="000F2EB0"/>
    <w:rsid w:val="00106360"/>
    <w:rsid w:val="001658FE"/>
    <w:rsid w:val="001A05E4"/>
    <w:rsid w:val="001B27D6"/>
    <w:rsid w:val="001D5A3D"/>
    <w:rsid w:val="00255F0D"/>
    <w:rsid w:val="002A0897"/>
    <w:rsid w:val="002A202F"/>
    <w:rsid w:val="002A760F"/>
    <w:rsid w:val="00303545"/>
    <w:rsid w:val="00324590"/>
    <w:rsid w:val="00370A1D"/>
    <w:rsid w:val="00391E7F"/>
    <w:rsid w:val="003A60A5"/>
    <w:rsid w:val="003C5B02"/>
    <w:rsid w:val="003C7A38"/>
    <w:rsid w:val="004117AF"/>
    <w:rsid w:val="00413BDB"/>
    <w:rsid w:val="004507E6"/>
    <w:rsid w:val="00477ADF"/>
    <w:rsid w:val="004A2798"/>
    <w:rsid w:val="00501EC3"/>
    <w:rsid w:val="00523D3D"/>
    <w:rsid w:val="00555D92"/>
    <w:rsid w:val="005616E4"/>
    <w:rsid w:val="00581327"/>
    <w:rsid w:val="00606A5A"/>
    <w:rsid w:val="006253D4"/>
    <w:rsid w:val="006A4856"/>
    <w:rsid w:val="006F11C7"/>
    <w:rsid w:val="006F33C9"/>
    <w:rsid w:val="00704561"/>
    <w:rsid w:val="0071049F"/>
    <w:rsid w:val="00774C64"/>
    <w:rsid w:val="007874A5"/>
    <w:rsid w:val="00821126"/>
    <w:rsid w:val="00823600"/>
    <w:rsid w:val="008536F5"/>
    <w:rsid w:val="00870D1D"/>
    <w:rsid w:val="008A1298"/>
    <w:rsid w:val="008B15FC"/>
    <w:rsid w:val="008C77D4"/>
    <w:rsid w:val="00902F8E"/>
    <w:rsid w:val="009326E3"/>
    <w:rsid w:val="00933E4E"/>
    <w:rsid w:val="00952796"/>
    <w:rsid w:val="009569C9"/>
    <w:rsid w:val="00966FA5"/>
    <w:rsid w:val="00976D84"/>
    <w:rsid w:val="009C245F"/>
    <w:rsid w:val="009C6D27"/>
    <w:rsid w:val="009F5BBF"/>
    <w:rsid w:val="009F6915"/>
    <w:rsid w:val="00A442EF"/>
    <w:rsid w:val="00A67493"/>
    <w:rsid w:val="00AC6848"/>
    <w:rsid w:val="00B37BE8"/>
    <w:rsid w:val="00B463ED"/>
    <w:rsid w:val="00B5083B"/>
    <w:rsid w:val="00B8627B"/>
    <w:rsid w:val="00B90110"/>
    <w:rsid w:val="00B93914"/>
    <w:rsid w:val="00BB6F00"/>
    <w:rsid w:val="00BD325E"/>
    <w:rsid w:val="00BE53A2"/>
    <w:rsid w:val="00C13973"/>
    <w:rsid w:val="00C51152"/>
    <w:rsid w:val="00C64A4E"/>
    <w:rsid w:val="00C767E5"/>
    <w:rsid w:val="00CB68C4"/>
    <w:rsid w:val="00D37125"/>
    <w:rsid w:val="00D43B70"/>
    <w:rsid w:val="00D630D1"/>
    <w:rsid w:val="00D83BBA"/>
    <w:rsid w:val="00DC69D8"/>
    <w:rsid w:val="00DD32E6"/>
    <w:rsid w:val="00E32771"/>
    <w:rsid w:val="00E41ABE"/>
    <w:rsid w:val="00EA75A7"/>
    <w:rsid w:val="00EB57F7"/>
    <w:rsid w:val="00EF1DFB"/>
    <w:rsid w:val="00EF283B"/>
    <w:rsid w:val="00FF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48"/>
    <w:pPr>
      <w:jc w:val="both"/>
    </w:pPr>
  </w:style>
  <w:style w:type="paragraph" w:styleId="Heading1">
    <w:name w:val="heading 1"/>
    <w:basedOn w:val="Normal"/>
    <w:next w:val="Normal"/>
    <w:link w:val="Heading1Char"/>
    <w:uiPriority w:val="9"/>
    <w:qFormat/>
    <w:rsid w:val="00AC68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C68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68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8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C68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6848"/>
    <w:rPr>
      <w:rFonts w:asciiTheme="majorHAnsi" w:eastAsiaTheme="majorEastAsia" w:hAnsiTheme="majorHAnsi" w:cstheme="majorBidi"/>
      <w:color w:val="243F60" w:themeColor="accent1" w:themeShade="7F"/>
      <w:sz w:val="24"/>
      <w:szCs w:val="24"/>
    </w:rPr>
  </w:style>
  <w:style w:type="paragraph" w:customStyle="1" w:styleId="Default">
    <w:name w:val="Default"/>
    <w:link w:val="DefaultChar"/>
    <w:rsid w:val="00AC6848"/>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uiPriority w:val="34"/>
    <w:qFormat/>
    <w:rsid w:val="00AC6848"/>
    <w:pPr>
      <w:ind w:left="720"/>
      <w:contextualSpacing/>
    </w:pPr>
  </w:style>
  <w:style w:type="paragraph" w:styleId="NormalWeb">
    <w:name w:val="Normal (Web)"/>
    <w:basedOn w:val="Normal"/>
    <w:uiPriority w:val="99"/>
    <w:unhideWhenUsed/>
    <w:rsid w:val="00AC68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AC6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C6848"/>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AC6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848"/>
    <w:rPr>
      <w:rFonts w:ascii="Tahoma" w:hAnsi="Tahoma" w:cs="Tahoma"/>
      <w:sz w:val="16"/>
      <w:szCs w:val="16"/>
    </w:rPr>
  </w:style>
  <w:style w:type="character" w:styleId="Hyperlink">
    <w:name w:val="Hyperlink"/>
    <w:basedOn w:val="DefaultParagraphFont"/>
    <w:uiPriority w:val="99"/>
    <w:unhideWhenUsed/>
    <w:rsid w:val="00AC6848"/>
    <w:rPr>
      <w:color w:val="0000FF" w:themeColor="hyperlink"/>
      <w:u w:val="single"/>
    </w:rPr>
  </w:style>
  <w:style w:type="paragraph" w:styleId="Header">
    <w:name w:val="header"/>
    <w:basedOn w:val="Normal"/>
    <w:link w:val="HeaderChar"/>
    <w:uiPriority w:val="99"/>
    <w:unhideWhenUsed/>
    <w:rsid w:val="00AC6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848"/>
  </w:style>
  <w:style w:type="paragraph" w:styleId="Footer">
    <w:name w:val="footer"/>
    <w:basedOn w:val="Normal"/>
    <w:link w:val="FooterChar"/>
    <w:unhideWhenUsed/>
    <w:rsid w:val="00AC6848"/>
    <w:pPr>
      <w:tabs>
        <w:tab w:val="center" w:pos="4513"/>
        <w:tab w:val="right" w:pos="9026"/>
      </w:tabs>
      <w:spacing w:after="0" w:line="240" w:lineRule="auto"/>
    </w:pPr>
  </w:style>
  <w:style w:type="character" w:customStyle="1" w:styleId="FooterChar">
    <w:name w:val="Footer Char"/>
    <w:basedOn w:val="DefaultParagraphFont"/>
    <w:link w:val="Footer"/>
    <w:rsid w:val="00AC6848"/>
  </w:style>
  <w:style w:type="table" w:styleId="TableGrid">
    <w:name w:val="Table Grid"/>
    <w:basedOn w:val="TableNormal"/>
    <w:uiPriority w:val="59"/>
    <w:rsid w:val="00AC684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C6848"/>
    <w:rPr>
      <w:i/>
      <w:iCs/>
    </w:rPr>
  </w:style>
  <w:style w:type="character" w:styleId="CommentReference">
    <w:name w:val="annotation reference"/>
    <w:basedOn w:val="DefaultParagraphFont"/>
    <w:uiPriority w:val="99"/>
    <w:semiHidden/>
    <w:unhideWhenUsed/>
    <w:rsid w:val="00AC6848"/>
    <w:rPr>
      <w:sz w:val="16"/>
      <w:szCs w:val="16"/>
    </w:rPr>
  </w:style>
  <w:style w:type="paragraph" w:styleId="CommentText">
    <w:name w:val="annotation text"/>
    <w:basedOn w:val="Normal"/>
    <w:link w:val="CommentTextChar"/>
    <w:uiPriority w:val="99"/>
    <w:semiHidden/>
    <w:unhideWhenUsed/>
    <w:rsid w:val="00AC6848"/>
    <w:pPr>
      <w:spacing w:line="240" w:lineRule="auto"/>
    </w:pPr>
    <w:rPr>
      <w:sz w:val="20"/>
      <w:szCs w:val="20"/>
    </w:rPr>
  </w:style>
  <w:style w:type="character" w:customStyle="1" w:styleId="CommentTextChar">
    <w:name w:val="Comment Text Char"/>
    <w:basedOn w:val="DefaultParagraphFont"/>
    <w:link w:val="CommentText"/>
    <w:uiPriority w:val="99"/>
    <w:semiHidden/>
    <w:rsid w:val="00AC6848"/>
    <w:rPr>
      <w:sz w:val="20"/>
      <w:szCs w:val="20"/>
    </w:rPr>
  </w:style>
  <w:style w:type="paragraph" w:styleId="CommentSubject">
    <w:name w:val="annotation subject"/>
    <w:basedOn w:val="CommentText"/>
    <w:next w:val="CommentText"/>
    <w:link w:val="CommentSubjectChar"/>
    <w:uiPriority w:val="99"/>
    <w:semiHidden/>
    <w:unhideWhenUsed/>
    <w:rsid w:val="00AC6848"/>
    <w:rPr>
      <w:b/>
      <w:bCs/>
    </w:rPr>
  </w:style>
  <w:style w:type="character" w:customStyle="1" w:styleId="CommentSubjectChar">
    <w:name w:val="Comment Subject Char"/>
    <w:basedOn w:val="CommentTextChar"/>
    <w:link w:val="CommentSubject"/>
    <w:uiPriority w:val="99"/>
    <w:semiHidden/>
    <w:rsid w:val="00AC6848"/>
    <w:rPr>
      <w:b/>
      <w:bCs/>
      <w:sz w:val="20"/>
      <w:szCs w:val="20"/>
    </w:rPr>
  </w:style>
  <w:style w:type="paragraph" w:customStyle="1" w:styleId="EndNoteBibliographyTitle">
    <w:name w:val="EndNote Bibliography Title"/>
    <w:basedOn w:val="Normal"/>
    <w:link w:val="EndNoteBibliographyTitleChar"/>
    <w:rsid w:val="00AC6848"/>
    <w:pPr>
      <w:spacing w:after="0"/>
      <w:jc w:val="center"/>
    </w:pPr>
    <w:rPr>
      <w:rFonts w:ascii="Calibri" w:hAnsi="Calibri" w:cs="Times New Roman"/>
      <w:noProof/>
      <w:color w:val="000000"/>
      <w:sz w:val="24"/>
      <w:szCs w:val="24"/>
      <w:lang w:val="en-US"/>
    </w:rPr>
  </w:style>
  <w:style w:type="character" w:customStyle="1" w:styleId="DefaultChar">
    <w:name w:val="Default Char"/>
    <w:basedOn w:val="DefaultParagraphFont"/>
    <w:link w:val="Default"/>
    <w:rsid w:val="00AC6848"/>
    <w:rPr>
      <w:rFonts w:ascii="Times New Roman" w:hAnsi="Times New Roman" w:cs="Times New Roman"/>
      <w:color w:val="000000"/>
      <w:sz w:val="24"/>
      <w:szCs w:val="24"/>
    </w:rPr>
  </w:style>
  <w:style w:type="character" w:customStyle="1" w:styleId="EndNoteBibliographyTitleChar">
    <w:name w:val="EndNote Bibliography Title Char"/>
    <w:basedOn w:val="DefaultChar"/>
    <w:link w:val="EndNoteBibliographyTitle"/>
    <w:rsid w:val="00AC6848"/>
    <w:rPr>
      <w:rFonts w:ascii="Calibri" w:hAnsi="Calibri" w:cs="Times New Roman"/>
      <w:noProof/>
      <w:color w:val="000000"/>
      <w:sz w:val="24"/>
      <w:szCs w:val="24"/>
      <w:lang w:val="en-US"/>
    </w:rPr>
  </w:style>
  <w:style w:type="paragraph" w:customStyle="1" w:styleId="EndNoteBibliography">
    <w:name w:val="EndNote Bibliography"/>
    <w:basedOn w:val="Normal"/>
    <w:link w:val="EndNoteBibliographyChar"/>
    <w:rsid w:val="00AC6848"/>
    <w:pPr>
      <w:spacing w:line="240" w:lineRule="auto"/>
    </w:pPr>
    <w:rPr>
      <w:rFonts w:ascii="Calibri" w:hAnsi="Calibri" w:cs="Times New Roman"/>
      <w:noProof/>
      <w:color w:val="000000"/>
      <w:sz w:val="24"/>
      <w:szCs w:val="24"/>
      <w:lang w:val="en-US"/>
    </w:rPr>
  </w:style>
  <w:style w:type="character" w:customStyle="1" w:styleId="EndNoteBibliographyChar">
    <w:name w:val="EndNote Bibliography Char"/>
    <w:basedOn w:val="DefaultChar"/>
    <w:link w:val="EndNoteBibliography"/>
    <w:rsid w:val="00AC6848"/>
    <w:rPr>
      <w:rFonts w:ascii="Calibri" w:hAnsi="Calibri" w:cs="Times New Roman"/>
      <w:noProof/>
      <w:color w:val="000000"/>
      <w:sz w:val="24"/>
      <w:szCs w:val="24"/>
      <w:lang w:val="en-US"/>
    </w:rPr>
  </w:style>
  <w:style w:type="paragraph" w:styleId="BodyTextIndent">
    <w:name w:val="Body Text Indent"/>
    <w:basedOn w:val="Normal"/>
    <w:link w:val="BodyTextIndentChar1"/>
    <w:semiHidden/>
    <w:rsid w:val="00AC6848"/>
    <w:pPr>
      <w:suppressAutoHyphens/>
      <w:spacing w:after="120" w:line="480" w:lineRule="auto"/>
      <w:jc w:val="left"/>
    </w:pPr>
    <w:rPr>
      <w:rFonts w:ascii="Times New Roman" w:eastAsia="Calibri" w:hAnsi="Times New Roman" w:cs="Times New Roman"/>
      <w:sz w:val="20"/>
      <w:szCs w:val="20"/>
      <w:lang w:val="it-IT" w:eastAsia="ar-SA"/>
    </w:rPr>
  </w:style>
  <w:style w:type="character" w:customStyle="1" w:styleId="BodyTextIndentChar">
    <w:name w:val="Body Text Indent Char"/>
    <w:basedOn w:val="DefaultParagraphFont"/>
    <w:uiPriority w:val="99"/>
    <w:semiHidden/>
    <w:rsid w:val="00AC6848"/>
  </w:style>
  <w:style w:type="character" w:customStyle="1" w:styleId="BodyTextIndentChar1">
    <w:name w:val="Body Text Indent Char1"/>
    <w:link w:val="BodyTextIndent"/>
    <w:semiHidden/>
    <w:locked/>
    <w:rsid w:val="00AC6848"/>
    <w:rPr>
      <w:rFonts w:ascii="Times New Roman" w:eastAsia="Calibri" w:hAnsi="Times New Roman" w:cs="Times New Roman"/>
      <w:sz w:val="20"/>
      <w:szCs w:val="20"/>
      <w:lang w:val="it-IT" w:eastAsia="ar-SA"/>
    </w:rPr>
  </w:style>
  <w:style w:type="character" w:styleId="HTMLAcronym">
    <w:name w:val="HTML Acronym"/>
    <w:basedOn w:val="DefaultParagraphFont"/>
    <w:uiPriority w:val="99"/>
    <w:semiHidden/>
    <w:unhideWhenUsed/>
    <w:rsid w:val="00AC6848"/>
  </w:style>
  <w:style w:type="character" w:styleId="FollowedHyperlink">
    <w:name w:val="FollowedHyperlink"/>
    <w:basedOn w:val="DefaultParagraphFont"/>
    <w:uiPriority w:val="99"/>
    <w:semiHidden/>
    <w:unhideWhenUsed/>
    <w:rsid w:val="00AC6848"/>
    <w:rPr>
      <w:color w:val="800080" w:themeColor="followedHyperlink"/>
      <w:u w:val="single"/>
    </w:rPr>
  </w:style>
  <w:style w:type="character" w:customStyle="1" w:styleId="mixed-citation">
    <w:name w:val="mixed-citation"/>
    <w:basedOn w:val="DefaultParagraphFont"/>
    <w:rsid w:val="00AC6848"/>
  </w:style>
  <w:style w:type="character" w:customStyle="1" w:styleId="ref-journal">
    <w:name w:val="ref-journal"/>
    <w:basedOn w:val="DefaultParagraphFont"/>
    <w:rsid w:val="00AC6848"/>
  </w:style>
  <w:style w:type="character" w:customStyle="1" w:styleId="st">
    <w:name w:val="st"/>
    <w:basedOn w:val="DefaultParagraphFont"/>
    <w:rsid w:val="00AC6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48"/>
    <w:pPr>
      <w:jc w:val="both"/>
    </w:pPr>
  </w:style>
  <w:style w:type="paragraph" w:styleId="Heading1">
    <w:name w:val="heading 1"/>
    <w:basedOn w:val="Normal"/>
    <w:next w:val="Normal"/>
    <w:link w:val="Heading1Char"/>
    <w:uiPriority w:val="9"/>
    <w:qFormat/>
    <w:rsid w:val="00AC68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C68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68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8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C68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6848"/>
    <w:rPr>
      <w:rFonts w:asciiTheme="majorHAnsi" w:eastAsiaTheme="majorEastAsia" w:hAnsiTheme="majorHAnsi" w:cstheme="majorBidi"/>
      <w:color w:val="243F60" w:themeColor="accent1" w:themeShade="7F"/>
      <w:sz w:val="24"/>
      <w:szCs w:val="24"/>
    </w:rPr>
  </w:style>
  <w:style w:type="paragraph" w:customStyle="1" w:styleId="Default">
    <w:name w:val="Default"/>
    <w:link w:val="DefaultChar"/>
    <w:rsid w:val="00AC6848"/>
    <w:pPr>
      <w:autoSpaceDE w:val="0"/>
      <w:autoSpaceDN w:val="0"/>
      <w:adjustRightInd w:val="0"/>
      <w:spacing w:after="0" w:line="240" w:lineRule="auto"/>
      <w:jc w:val="both"/>
    </w:pPr>
    <w:rPr>
      <w:rFonts w:ascii="Times New Roman" w:hAnsi="Times New Roman" w:cs="Times New Roman"/>
      <w:color w:val="000000"/>
      <w:sz w:val="24"/>
      <w:szCs w:val="24"/>
    </w:rPr>
  </w:style>
  <w:style w:type="paragraph" w:styleId="ListParagraph">
    <w:name w:val="List Paragraph"/>
    <w:basedOn w:val="Normal"/>
    <w:uiPriority w:val="34"/>
    <w:qFormat/>
    <w:rsid w:val="00AC6848"/>
    <w:pPr>
      <w:ind w:left="720"/>
      <w:contextualSpacing/>
    </w:pPr>
  </w:style>
  <w:style w:type="paragraph" w:styleId="NormalWeb">
    <w:name w:val="Normal (Web)"/>
    <w:basedOn w:val="Normal"/>
    <w:uiPriority w:val="99"/>
    <w:unhideWhenUsed/>
    <w:rsid w:val="00AC68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AC6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C6848"/>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AC6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848"/>
    <w:rPr>
      <w:rFonts w:ascii="Tahoma" w:hAnsi="Tahoma" w:cs="Tahoma"/>
      <w:sz w:val="16"/>
      <w:szCs w:val="16"/>
    </w:rPr>
  </w:style>
  <w:style w:type="character" w:styleId="Hyperlink">
    <w:name w:val="Hyperlink"/>
    <w:basedOn w:val="DefaultParagraphFont"/>
    <w:uiPriority w:val="99"/>
    <w:unhideWhenUsed/>
    <w:rsid w:val="00AC6848"/>
    <w:rPr>
      <w:color w:val="0000FF" w:themeColor="hyperlink"/>
      <w:u w:val="single"/>
    </w:rPr>
  </w:style>
  <w:style w:type="paragraph" w:styleId="Header">
    <w:name w:val="header"/>
    <w:basedOn w:val="Normal"/>
    <w:link w:val="HeaderChar"/>
    <w:uiPriority w:val="99"/>
    <w:unhideWhenUsed/>
    <w:rsid w:val="00AC6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848"/>
  </w:style>
  <w:style w:type="paragraph" w:styleId="Footer">
    <w:name w:val="footer"/>
    <w:basedOn w:val="Normal"/>
    <w:link w:val="FooterChar"/>
    <w:unhideWhenUsed/>
    <w:rsid w:val="00AC6848"/>
    <w:pPr>
      <w:tabs>
        <w:tab w:val="center" w:pos="4513"/>
        <w:tab w:val="right" w:pos="9026"/>
      </w:tabs>
      <w:spacing w:after="0" w:line="240" w:lineRule="auto"/>
    </w:pPr>
  </w:style>
  <w:style w:type="character" w:customStyle="1" w:styleId="FooterChar">
    <w:name w:val="Footer Char"/>
    <w:basedOn w:val="DefaultParagraphFont"/>
    <w:link w:val="Footer"/>
    <w:rsid w:val="00AC6848"/>
  </w:style>
  <w:style w:type="table" w:styleId="TableGrid">
    <w:name w:val="Table Grid"/>
    <w:basedOn w:val="TableNormal"/>
    <w:uiPriority w:val="59"/>
    <w:rsid w:val="00AC684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C6848"/>
    <w:rPr>
      <w:i/>
      <w:iCs/>
    </w:rPr>
  </w:style>
  <w:style w:type="character" w:styleId="CommentReference">
    <w:name w:val="annotation reference"/>
    <w:basedOn w:val="DefaultParagraphFont"/>
    <w:uiPriority w:val="99"/>
    <w:semiHidden/>
    <w:unhideWhenUsed/>
    <w:rsid w:val="00AC6848"/>
    <w:rPr>
      <w:sz w:val="16"/>
      <w:szCs w:val="16"/>
    </w:rPr>
  </w:style>
  <w:style w:type="paragraph" w:styleId="CommentText">
    <w:name w:val="annotation text"/>
    <w:basedOn w:val="Normal"/>
    <w:link w:val="CommentTextChar"/>
    <w:uiPriority w:val="99"/>
    <w:semiHidden/>
    <w:unhideWhenUsed/>
    <w:rsid w:val="00AC6848"/>
    <w:pPr>
      <w:spacing w:line="240" w:lineRule="auto"/>
    </w:pPr>
    <w:rPr>
      <w:sz w:val="20"/>
      <w:szCs w:val="20"/>
    </w:rPr>
  </w:style>
  <w:style w:type="character" w:customStyle="1" w:styleId="CommentTextChar">
    <w:name w:val="Comment Text Char"/>
    <w:basedOn w:val="DefaultParagraphFont"/>
    <w:link w:val="CommentText"/>
    <w:uiPriority w:val="99"/>
    <w:semiHidden/>
    <w:rsid w:val="00AC6848"/>
    <w:rPr>
      <w:sz w:val="20"/>
      <w:szCs w:val="20"/>
    </w:rPr>
  </w:style>
  <w:style w:type="paragraph" w:styleId="CommentSubject">
    <w:name w:val="annotation subject"/>
    <w:basedOn w:val="CommentText"/>
    <w:next w:val="CommentText"/>
    <w:link w:val="CommentSubjectChar"/>
    <w:uiPriority w:val="99"/>
    <w:semiHidden/>
    <w:unhideWhenUsed/>
    <w:rsid w:val="00AC6848"/>
    <w:rPr>
      <w:b/>
      <w:bCs/>
    </w:rPr>
  </w:style>
  <w:style w:type="character" w:customStyle="1" w:styleId="CommentSubjectChar">
    <w:name w:val="Comment Subject Char"/>
    <w:basedOn w:val="CommentTextChar"/>
    <w:link w:val="CommentSubject"/>
    <w:uiPriority w:val="99"/>
    <w:semiHidden/>
    <w:rsid w:val="00AC6848"/>
    <w:rPr>
      <w:b/>
      <w:bCs/>
      <w:sz w:val="20"/>
      <w:szCs w:val="20"/>
    </w:rPr>
  </w:style>
  <w:style w:type="paragraph" w:customStyle="1" w:styleId="EndNoteBibliographyTitle">
    <w:name w:val="EndNote Bibliography Title"/>
    <w:basedOn w:val="Normal"/>
    <w:link w:val="EndNoteBibliographyTitleChar"/>
    <w:rsid w:val="00AC6848"/>
    <w:pPr>
      <w:spacing w:after="0"/>
      <w:jc w:val="center"/>
    </w:pPr>
    <w:rPr>
      <w:rFonts w:ascii="Calibri" w:hAnsi="Calibri" w:cs="Times New Roman"/>
      <w:noProof/>
      <w:color w:val="000000"/>
      <w:sz w:val="24"/>
      <w:szCs w:val="24"/>
      <w:lang w:val="en-US"/>
    </w:rPr>
  </w:style>
  <w:style w:type="character" w:customStyle="1" w:styleId="DefaultChar">
    <w:name w:val="Default Char"/>
    <w:basedOn w:val="DefaultParagraphFont"/>
    <w:link w:val="Default"/>
    <w:rsid w:val="00AC6848"/>
    <w:rPr>
      <w:rFonts w:ascii="Times New Roman" w:hAnsi="Times New Roman" w:cs="Times New Roman"/>
      <w:color w:val="000000"/>
      <w:sz w:val="24"/>
      <w:szCs w:val="24"/>
    </w:rPr>
  </w:style>
  <w:style w:type="character" w:customStyle="1" w:styleId="EndNoteBibliographyTitleChar">
    <w:name w:val="EndNote Bibliography Title Char"/>
    <w:basedOn w:val="DefaultChar"/>
    <w:link w:val="EndNoteBibliographyTitle"/>
    <w:rsid w:val="00AC6848"/>
    <w:rPr>
      <w:rFonts w:ascii="Calibri" w:hAnsi="Calibri" w:cs="Times New Roman"/>
      <w:noProof/>
      <w:color w:val="000000"/>
      <w:sz w:val="24"/>
      <w:szCs w:val="24"/>
      <w:lang w:val="en-US"/>
    </w:rPr>
  </w:style>
  <w:style w:type="paragraph" w:customStyle="1" w:styleId="EndNoteBibliography">
    <w:name w:val="EndNote Bibliography"/>
    <w:basedOn w:val="Normal"/>
    <w:link w:val="EndNoteBibliographyChar"/>
    <w:rsid w:val="00AC6848"/>
    <w:pPr>
      <w:spacing w:line="240" w:lineRule="auto"/>
    </w:pPr>
    <w:rPr>
      <w:rFonts w:ascii="Calibri" w:hAnsi="Calibri" w:cs="Times New Roman"/>
      <w:noProof/>
      <w:color w:val="000000"/>
      <w:sz w:val="24"/>
      <w:szCs w:val="24"/>
      <w:lang w:val="en-US"/>
    </w:rPr>
  </w:style>
  <w:style w:type="character" w:customStyle="1" w:styleId="EndNoteBibliographyChar">
    <w:name w:val="EndNote Bibliography Char"/>
    <w:basedOn w:val="DefaultChar"/>
    <w:link w:val="EndNoteBibliography"/>
    <w:rsid w:val="00AC6848"/>
    <w:rPr>
      <w:rFonts w:ascii="Calibri" w:hAnsi="Calibri" w:cs="Times New Roman"/>
      <w:noProof/>
      <w:color w:val="000000"/>
      <w:sz w:val="24"/>
      <w:szCs w:val="24"/>
      <w:lang w:val="en-US"/>
    </w:rPr>
  </w:style>
  <w:style w:type="paragraph" w:styleId="BodyTextIndent">
    <w:name w:val="Body Text Indent"/>
    <w:basedOn w:val="Normal"/>
    <w:link w:val="BodyTextIndentChar1"/>
    <w:semiHidden/>
    <w:rsid w:val="00AC6848"/>
    <w:pPr>
      <w:suppressAutoHyphens/>
      <w:spacing w:after="120" w:line="480" w:lineRule="auto"/>
      <w:jc w:val="left"/>
    </w:pPr>
    <w:rPr>
      <w:rFonts w:ascii="Times New Roman" w:eastAsia="Calibri" w:hAnsi="Times New Roman" w:cs="Times New Roman"/>
      <w:sz w:val="20"/>
      <w:szCs w:val="20"/>
      <w:lang w:val="it-IT" w:eastAsia="ar-SA"/>
    </w:rPr>
  </w:style>
  <w:style w:type="character" w:customStyle="1" w:styleId="BodyTextIndentChar">
    <w:name w:val="Body Text Indent Char"/>
    <w:basedOn w:val="DefaultParagraphFont"/>
    <w:uiPriority w:val="99"/>
    <w:semiHidden/>
    <w:rsid w:val="00AC6848"/>
  </w:style>
  <w:style w:type="character" w:customStyle="1" w:styleId="BodyTextIndentChar1">
    <w:name w:val="Body Text Indent Char1"/>
    <w:link w:val="BodyTextIndent"/>
    <w:semiHidden/>
    <w:locked/>
    <w:rsid w:val="00AC6848"/>
    <w:rPr>
      <w:rFonts w:ascii="Times New Roman" w:eastAsia="Calibri" w:hAnsi="Times New Roman" w:cs="Times New Roman"/>
      <w:sz w:val="20"/>
      <w:szCs w:val="20"/>
      <w:lang w:val="it-IT" w:eastAsia="ar-SA"/>
    </w:rPr>
  </w:style>
  <w:style w:type="character" w:styleId="HTMLAcronym">
    <w:name w:val="HTML Acronym"/>
    <w:basedOn w:val="DefaultParagraphFont"/>
    <w:uiPriority w:val="99"/>
    <w:semiHidden/>
    <w:unhideWhenUsed/>
    <w:rsid w:val="00AC6848"/>
  </w:style>
  <w:style w:type="character" w:styleId="FollowedHyperlink">
    <w:name w:val="FollowedHyperlink"/>
    <w:basedOn w:val="DefaultParagraphFont"/>
    <w:uiPriority w:val="99"/>
    <w:semiHidden/>
    <w:unhideWhenUsed/>
    <w:rsid w:val="00AC6848"/>
    <w:rPr>
      <w:color w:val="800080" w:themeColor="followedHyperlink"/>
      <w:u w:val="single"/>
    </w:rPr>
  </w:style>
  <w:style w:type="character" w:customStyle="1" w:styleId="mixed-citation">
    <w:name w:val="mixed-citation"/>
    <w:basedOn w:val="DefaultParagraphFont"/>
    <w:rsid w:val="00AC6848"/>
  </w:style>
  <w:style w:type="character" w:customStyle="1" w:styleId="ref-journal">
    <w:name w:val="ref-journal"/>
    <w:basedOn w:val="DefaultParagraphFont"/>
    <w:rsid w:val="00AC6848"/>
  </w:style>
  <w:style w:type="character" w:customStyle="1" w:styleId="st">
    <w:name w:val="st"/>
    <w:basedOn w:val="DefaultParagraphFont"/>
    <w:rsid w:val="00AC6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e-matteis@imperial.ac.uk"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25</Pages>
  <Words>5685</Words>
  <Characters>32411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Matteis, Sara</dc:creator>
  <cp:lastModifiedBy>De Matteis, Sara</cp:lastModifiedBy>
  <cp:revision>23</cp:revision>
  <cp:lastPrinted>2015-10-23T15:47:00Z</cp:lastPrinted>
  <dcterms:created xsi:type="dcterms:W3CDTF">2016-01-14T16:57:00Z</dcterms:created>
  <dcterms:modified xsi:type="dcterms:W3CDTF">2016-02-04T09:54:00Z</dcterms:modified>
</cp:coreProperties>
</file>