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62F2" w14:textId="77777777" w:rsidR="004F6E16" w:rsidRPr="009C24BC" w:rsidRDefault="006478A3" w:rsidP="006478A3">
      <w:pPr>
        <w:tabs>
          <w:tab w:val="left" w:pos="7088"/>
        </w:tabs>
        <w:spacing w:after="100" w:line="360" w:lineRule="auto"/>
        <w:jc w:val="both"/>
        <w:rPr>
          <w:rFonts w:ascii="Times New Roman" w:hAnsi="Times New Roman" w:cs="Times New Roman"/>
          <w:b/>
          <w:i/>
        </w:rPr>
      </w:pPr>
      <w:r w:rsidRPr="009C24BC">
        <w:rPr>
          <w:rFonts w:ascii="Times New Roman" w:hAnsi="Times New Roman" w:cs="Times New Roman"/>
          <w:b/>
          <w:i/>
        </w:rPr>
        <w:t xml:space="preserve">Supplementary Information- </w:t>
      </w:r>
    </w:p>
    <w:p w14:paraId="4EABD6B3" w14:textId="694FF4E3" w:rsidR="004F6E16" w:rsidRPr="009C24BC" w:rsidRDefault="004F6E16" w:rsidP="004F3994">
      <w:pPr>
        <w:pStyle w:val="NormalWeb"/>
        <w:spacing w:before="0" w:beforeAutospacing="0" w:after="0" w:afterAutospacing="0"/>
        <w:rPr>
          <w:b/>
          <w:i/>
          <w:sz w:val="22"/>
          <w:szCs w:val="22"/>
        </w:rPr>
      </w:pPr>
      <w:r w:rsidRPr="009C24BC">
        <w:rPr>
          <w:b/>
          <w:i/>
          <w:sz w:val="22"/>
          <w:szCs w:val="22"/>
        </w:rPr>
        <w:t>SI1</w:t>
      </w:r>
      <w:r w:rsidR="004F3994" w:rsidRPr="009C24BC">
        <w:rPr>
          <w:b/>
          <w:i/>
          <w:sz w:val="22"/>
          <w:szCs w:val="22"/>
        </w:rPr>
        <w:t xml:space="preserve"> </w:t>
      </w:r>
      <w:r w:rsidR="004F3994" w:rsidRPr="009C24BC">
        <w:rPr>
          <w:rFonts w:eastAsiaTheme="minorHAnsi"/>
          <w:b/>
          <w:i/>
          <w:sz w:val="22"/>
          <w:szCs w:val="22"/>
          <w:lang w:eastAsia="en-US"/>
        </w:rPr>
        <w:t>An overview of ecosystem services categories</w:t>
      </w:r>
      <w:r w:rsidR="004F3994" w:rsidRPr="009C24BC">
        <w:rPr>
          <w:b/>
          <w:i/>
          <w:sz w:val="22"/>
          <w:szCs w:val="22"/>
        </w:rPr>
        <w:t xml:space="preserve"> </w:t>
      </w:r>
    </w:p>
    <w:p w14:paraId="31586360" w14:textId="77777777" w:rsidR="00B41BA0" w:rsidRPr="009C24BC" w:rsidRDefault="00B41BA0" w:rsidP="009C24BC">
      <w:pPr>
        <w:pStyle w:val="NormalWeb"/>
        <w:spacing w:before="0" w:beforeAutospacing="0" w:after="0" w:afterAutospacing="0" w:line="360" w:lineRule="auto"/>
        <w:jc w:val="both"/>
        <w:rPr>
          <w:b/>
          <w:i/>
          <w:sz w:val="22"/>
          <w:szCs w:val="22"/>
        </w:rPr>
      </w:pPr>
    </w:p>
    <w:p w14:paraId="50F8BEB8" w14:textId="77777777" w:rsidR="009C24BC" w:rsidRDefault="00B41BA0" w:rsidP="009C24BC">
      <w:pPr>
        <w:spacing w:after="0" w:line="360" w:lineRule="auto"/>
        <w:jc w:val="both"/>
        <w:rPr>
          <w:rFonts w:ascii="Times New Roman" w:hAnsi="Times New Roman" w:cs="Times New Roman"/>
        </w:rPr>
      </w:pPr>
      <w:r w:rsidRPr="009C24BC">
        <w:rPr>
          <w:rFonts w:ascii="Times New Roman" w:hAnsi="Times New Roman" w:cs="Times New Roman"/>
        </w:rPr>
        <w:t>Ecosystem services are often classified into four groups namely supporting, regulating, provisioning and cultural services as used by the Millennium Ecosystem Assessment (MA)</w:t>
      </w:r>
      <w:r w:rsidR="008F5A64" w:rsidRPr="009C24BC">
        <w:rPr>
          <w:rFonts w:ascii="Times New Roman" w:hAnsi="Times New Roman" w:cs="Times New Roman"/>
        </w:rPr>
        <w:t xml:space="preserve"> </w:t>
      </w:r>
      <w:r w:rsidR="008F5A64"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&lt;EndNote&gt;&lt;Cite&gt;&lt;Author&gt;MillenniumEcosystemAssessment&lt;/Author&gt;&lt;Year&gt;2005&lt;/Year&gt;&lt;RecNum&gt;111&lt;/RecNum&gt;&lt;DisplayText&gt;(MillenniumEcosystemAssessment, 2005)&lt;/DisplayText&gt;&lt;record&gt;&lt;rec-number&gt;111&lt;/rec-number&gt;&lt;foreign-keys&gt;&lt;key app="EN" db-id="5d95a2xfmawp9jevtd0x0r5qapwwdf5f5dda" timestamp="1443360850"&gt;111&lt;/key&gt;&lt;/foreign-keys&gt;&lt;ref-type name="Report"&gt;27&lt;/ref-type&gt;&lt;contributors&gt;&lt;authors&gt;&lt;author&gt;MillenniumEcosystemAssessment&lt;/author&gt;&lt;/authors&gt;&lt;/contributors&gt;&lt;titles&gt;&lt;title&gt;Ecosystems and Human Well-being: Synthesis&lt;/title&gt;&lt;/titles&gt;&lt;dates&gt;&lt;year&gt;2005&lt;/year&gt;&lt;/dates&gt;&lt;pub-location&gt;Island Press, Washington, DC.&lt;/pub-location&gt;&lt;urls&gt;&lt;/urls&gt;&lt;/record&gt;&lt;/Cite&gt;&lt;/EndNote&gt;</w:instrText>
      </w:r>
      <w:r w:rsidR="008F5A64" w:rsidRPr="009C24BC">
        <w:rPr>
          <w:rFonts w:ascii="Times New Roman" w:hAnsi="Times New Roman" w:cs="Times New Roman"/>
        </w:rPr>
        <w:fldChar w:fldCharType="separate"/>
      </w:r>
      <w:r w:rsidR="008F5A64" w:rsidRPr="009C24BC">
        <w:rPr>
          <w:rFonts w:ascii="Times New Roman" w:hAnsi="Times New Roman" w:cs="Times New Roman"/>
          <w:noProof/>
        </w:rPr>
        <w:t>(MillenniumEcosystemAssessment, 2005)</w:t>
      </w:r>
      <w:r w:rsidR="008F5A64" w:rsidRPr="009C24BC">
        <w:rPr>
          <w:rFonts w:ascii="Times New Roman" w:hAnsi="Times New Roman" w:cs="Times New Roman"/>
        </w:rPr>
        <w:fldChar w:fldCharType="end"/>
      </w:r>
      <w:r w:rsidR="008F5A64" w:rsidRPr="009C24BC">
        <w:rPr>
          <w:rFonts w:ascii="Times New Roman" w:hAnsi="Times New Roman" w:cs="Times New Roman"/>
        </w:rPr>
        <w:t xml:space="preserve">. </w:t>
      </w:r>
      <w:r w:rsidRPr="009C24BC">
        <w:rPr>
          <w:rFonts w:ascii="Times New Roman" w:hAnsi="Times New Roman" w:cs="Times New Roman"/>
        </w:rPr>
        <w:t>Recently the Common International Classification of Ecosystem Services (CICES)</w:t>
      </w:r>
      <w:r w:rsidR="008F5A64" w:rsidRPr="009C24BC">
        <w:rPr>
          <w:rFonts w:ascii="Times New Roman" w:hAnsi="Times New Roman" w:cs="Times New Roman"/>
        </w:rPr>
        <w:t xml:space="preserve"> </w:t>
      </w:r>
      <w:r w:rsidR="008F5A64"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&lt;EndNote&gt;&lt;Cite&gt;&lt;Author&gt;Haines-Young&lt;/Author&gt;&lt;Year&gt;2012&lt;/Year&gt;&lt;RecNum&gt;128&lt;/RecNum&gt;&lt;DisplayText&gt;(Haines-Young &amp;amp; Potschin, 2012)&lt;/DisplayText&gt;&lt;record&gt;&lt;rec-number&gt;128&lt;/rec-number&gt;&lt;foreign-keys&gt;&lt;key app="EN" db-id="5d95a2xfmawp9jevtd0x0r5qapwwdf5f5dda" timestamp="1443542369"&gt;128&lt;/key&gt;&lt;/foreign-keys&gt;&lt;ref-type name="Report"&gt;27&lt;/ref-type&gt;&lt;contributors&gt;&lt;authors&gt;&lt;author&gt;Haines-Young, R.,&lt;/author&gt;&lt;author&gt;Potschin, M. &lt;/author&gt;&lt;/authors&gt;&lt;/contributors&gt;&lt;titles&gt;&lt;title&gt;CICES Version 4: Response to Consultation&lt;/title&gt;&lt;/titles&gt;&lt;dates&gt;&lt;year&gt;2012&lt;/year&gt;&lt;/dates&gt;&lt;pub-location&gt;Centre for Environmental Management, University of Nottingham&lt;/pub-location&gt;&lt;urls&gt;&lt;related-urls&gt;&lt;url&gt;http://unstats.un.org/unsd/envaccounting/seearev/GCComments/CICES_Report.pdf&lt;/url&gt;&lt;/related-urls&gt;&lt;/urls&gt;&lt;/record&gt;&lt;/Cite&gt;&lt;/EndNote&gt;</w:instrText>
      </w:r>
      <w:r w:rsidR="008F5A64" w:rsidRPr="009C24BC">
        <w:rPr>
          <w:rFonts w:ascii="Times New Roman" w:hAnsi="Times New Roman" w:cs="Times New Roman"/>
        </w:rPr>
        <w:fldChar w:fldCharType="separate"/>
      </w:r>
      <w:r w:rsidR="008F5A64" w:rsidRPr="009C24BC">
        <w:rPr>
          <w:rFonts w:ascii="Times New Roman" w:hAnsi="Times New Roman" w:cs="Times New Roman"/>
          <w:noProof/>
        </w:rPr>
        <w:t>(Haines-Young &amp; Potschin, 2012)</w:t>
      </w:r>
      <w:r w:rsidR="008F5A64" w:rsidRPr="009C24BC">
        <w:rPr>
          <w:rFonts w:ascii="Times New Roman" w:hAnsi="Times New Roman" w:cs="Times New Roman"/>
        </w:rPr>
        <w:fldChar w:fldCharType="end"/>
      </w:r>
      <w:r w:rsidR="008F5A64" w:rsidRPr="009C24BC">
        <w:rPr>
          <w:rFonts w:ascii="Times New Roman" w:hAnsi="Times New Roman" w:cs="Times New Roman"/>
        </w:rPr>
        <w:t xml:space="preserve"> </w:t>
      </w:r>
      <w:r w:rsidRPr="009C24BC">
        <w:rPr>
          <w:rFonts w:ascii="Times New Roman" w:hAnsi="Times New Roman" w:cs="Times New Roman"/>
        </w:rPr>
        <w:t xml:space="preserve">has been developed to support work on environmental accounting within the European Union and the United Nations Statistical Division </w:t>
      </w:r>
      <w:r w:rsidR="008F5A64"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&lt;EndNote&gt;&lt;Cite&gt;&lt;Author&gt;European Commission.&lt;/Author&gt;&lt;Year&gt;2014&lt;/Year&gt;&lt;RecNum&gt;129&lt;/RecNum&gt;&lt;DisplayText&gt;(European Commission. et al., 2014; European Commission. et al., 2013)&lt;/DisplayText&gt;&lt;record&gt;&lt;rec-number&gt;129&lt;/rec-number&gt;&lt;foreign-keys&gt;&lt;key app="EN" db-id="5d95a2xfmawp9jevtd0x0r5qapwwdf5f5dda" timestamp="1443542528"&gt;129&lt;/key&gt;&lt;/foreign-keys&gt;&lt;ref-type name="Report"&gt;27&lt;/ref-type&gt;&lt;contributors&gt;&lt;authors&gt;&lt;author&gt;European Commission., &lt;/author&gt;&lt;author&gt;Eurostat., &lt;/author&gt;&lt;author&gt;United Nations., &lt;/author&gt;&lt;author&gt;Food and Agriculture Organization of the United Nations.,&lt;/author&gt;&lt;author&gt;International Monetary Fund., &lt;/author&gt;&lt;author&gt;Organisation for Economic Co-operation and Development., &lt;/author&gt;&lt;author&gt;World Bank&lt;/author&gt;&lt;/authors&gt;&lt;/contributors&gt;&lt;titles&gt;&lt;title&gt;System of Environmental-Economic Accounting 2012 Central Framework&lt;/title&gt;&lt;/titles&gt;&lt;dates&gt;&lt;year&gt;2014&lt;/year&gt;&lt;/dates&gt;&lt;pub-location&gt;New York; [Luxembourg]: UNO ; [Publications Office]&lt;/pub-location&gt;&lt;urls&gt;&lt;related-urls&gt;&lt;url&gt;http://unstats.un.org/unsd/envaccounting/eea_white_cover.pdf&lt;/url&gt;&lt;/related-urls&gt;&lt;/urls&gt;&lt;/record&gt;&lt;/Cite&gt;&lt;Cite&gt;&lt;Author&gt;European Commission.&lt;/Author&gt;&lt;Year&gt;2013&lt;/Year&gt;&lt;RecNum&gt;130&lt;/RecNum&gt;&lt;record&gt;&lt;rec-number&gt;130&lt;/rec-number&gt;&lt;foreign-keys&gt;&lt;key app="EN" db-id="5d95a2xfmawp9jevtd0x0r5qapwwdf5f5dda" timestamp="1443542664"&gt;130&lt;/key&gt;&lt;/foreign-keys&gt;&lt;ref-type name="Report"&gt;27&lt;/ref-type&gt;&lt;contributors&gt;&lt;authors&gt;&lt;author&gt;European Commission., &lt;/author&gt;&lt;author&gt;Organisation for Economic Co-operation and Development., &lt;/author&gt;&lt;author&gt;United Nations., &lt;/author&gt;&lt;author&gt;World Bank. &lt;/author&gt;&lt;/authors&gt;&lt;/contributors&gt;&lt;titles&gt;&lt;title&gt;System of Environmental-Economic Accounting 2012. Experimental-Economic Accounting.&lt;/title&gt;&lt;/titles&gt;&lt;dates&gt;&lt;year&gt;2013&lt;/year&gt;&lt;/dates&gt;&lt;pub-location&gt;White cover publication&lt;/pub-location&gt;&lt;urls&gt;&lt;related-urls&gt;&lt;url&gt;http://unstats.un.org/unsd/envaccounting/eea_white_cover.pdf&lt;/url&gt;&lt;/related-urls&gt;&lt;/urls&gt;&lt;/record&gt;&lt;/Cite&gt;&lt;/EndNote&gt;</w:instrText>
      </w:r>
      <w:r w:rsidR="008F5A64" w:rsidRPr="009C24BC">
        <w:rPr>
          <w:rFonts w:ascii="Times New Roman" w:hAnsi="Times New Roman" w:cs="Times New Roman"/>
        </w:rPr>
        <w:fldChar w:fldCharType="separate"/>
      </w:r>
      <w:r w:rsidR="008F5A64" w:rsidRPr="009C24BC">
        <w:rPr>
          <w:rFonts w:ascii="Times New Roman" w:hAnsi="Times New Roman" w:cs="Times New Roman"/>
          <w:noProof/>
        </w:rPr>
        <w:t>(European Commission. et al., 2014; European Commission. et al., 2013)</w:t>
      </w:r>
      <w:r w:rsidR="008F5A64" w:rsidRPr="009C24BC">
        <w:rPr>
          <w:rFonts w:ascii="Times New Roman" w:hAnsi="Times New Roman" w:cs="Times New Roman"/>
        </w:rPr>
        <w:fldChar w:fldCharType="end"/>
      </w:r>
      <w:r w:rsidRPr="009C24BC">
        <w:rPr>
          <w:rFonts w:ascii="Times New Roman" w:hAnsi="Times New Roman" w:cs="Times New Roman"/>
        </w:rPr>
        <w:t xml:space="preserve">. A major difference between the MA and CICES classification is that the latter omits supporting services (e.g. nutrient cycling) that are taken as intermediate steps in the delivery of final services </w:t>
      </w:r>
      <w:r w:rsidR="008F5A64"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&lt;EndNote&gt;&lt;Cite&gt;&lt;Author&gt;Haines-Young&lt;/Author&gt;&lt;Year&gt;2012&lt;/Year&gt;&lt;RecNum&gt;128&lt;/RecNum&gt;&lt;DisplayText&gt;(Haines-Young &amp;amp; Potschin, 2012)&lt;/DisplayText&gt;&lt;record&gt;&lt;rec-number&gt;128&lt;/rec-number&gt;&lt;foreign-keys&gt;&lt;key app="EN" db-id="5d95a2xfmawp9jevtd0x0r5qapwwdf5f5dda" timestamp="1443542369"&gt;128&lt;/key&gt;&lt;/foreign-keys&gt;&lt;ref-type name="Report"&gt;27&lt;/ref-type&gt;&lt;contributors&gt;&lt;authors&gt;&lt;author&gt;Haines-Young, R.,&lt;/author&gt;&lt;author&gt;Potschin, M. &lt;/author&gt;&lt;/authors&gt;&lt;/contributors&gt;&lt;titles&gt;&lt;title&gt;CICES Version 4: Response to Consultation&lt;/title&gt;&lt;/titles&gt;&lt;dates&gt;&lt;year&gt;2012&lt;/year&gt;&lt;/dates&gt;&lt;pub-location&gt;Centre for Environmental Management, University of Nottingham&lt;/pub-location&gt;&lt;urls&gt;&lt;related-urls&gt;&lt;url&gt;http://unstats.un.org/unsd/envaccounting/seearev/GCComments/CICES_Report.pdf&lt;/url&gt;&lt;/related-urls&gt;&lt;/urls&gt;&lt;/record&gt;&lt;/Cite&gt;&lt;/EndNote&gt;</w:instrText>
      </w:r>
      <w:r w:rsidR="008F5A64" w:rsidRPr="009C24BC">
        <w:rPr>
          <w:rFonts w:ascii="Times New Roman" w:hAnsi="Times New Roman" w:cs="Times New Roman"/>
        </w:rPr>
        <w:fldChar w:fldCharType="separate"/>
      </w:r>
      <w:r w:rsidR="008F5A64" w:rsidRPr="009C24BC">
        <w:rPr>
          <w:rFonts w:ascii="Times New Roman" w:hAnsi="Times New Roman" w:cs="Times New Roman"/>
          <w:noProof/>
        </w:rPr>
        <w:t>(Haines-Young &amp; Potschin, 2012)</w:t>
      </w:r>
      <w:r w:rsidR="008F5A64" w:rsidRPr="009C24BC">
        <w:rPr>
          <w:rFonts w:ascii="Times New Roman" w:hAnsi="Times New Roman" w:cs="Times New Roman"/>
        </w:rPr>
        <w:fldChar w:fldCharType="end"/>
      </w:r>
      <w:r w:rsidR="008F5A64" w:rsidRPr="009C24BC">
        <w:rPr>
          <w:rFonts w:ascii="Times New Roman" w:hAnsi="Times New Roman" w:cs="Times New Roman"/>
        </w:rPr>
        <w:t xml:space="preserve">. </w:t>
      </w:r>
      <w:r w:rsidR="006A02F4" w:rsidRPr="009C24BC">
        <w:rPr>
          <w:rFonts w:ascii="Times New Roman" w:hAnsi="Times New Roman" w:cs="Times New Roman"/>
        </w:rPr>
        <w:t xml:space="preserve">Examples of key ecosystem services and the classes that they fall within are provided in Table S1. </w:t>
      </w:r>
    </w:p>
    <w:p w14:paraId="5946FE1C" w14:textId="71B97C15" w:rsidR="00B41BA0" w:rsidRDefault="00B41BA0" w:rsidP="009C24BC">
      <w:pPr>
        <w:spacing w:after="0" w:line="360" w:lineRule="auto"/>
        <w:jc w:val="both"/>
        <w:rPr>
          <w:rFonts w:ascii="Times New Roman" w:hAnsi="Times New Roman" w:cs="Times New Roman"/>
        </w:rPr>
      </w:pPr>
      <w:r w:rsidRPr="009C24BC">
        <w:rPr>
          <w:rFonts w:ascii="Times New Roman" w:hAnsi="Times New Roman" w:cs="Times New Roman"/>
        </w:rPr>
        <w:t xml:space="preserve">Within the main text </w:t>
      </w:r>
      <w:r w:rsidR="006A02F4" w:rsidRPr="009C24BC">
        <w:rPr>
          <w:rFonts w:ascii="Times New Roman" w:hAnsi="Times New Roman" w:cs="Times New Roman"/>
        </w:rPr>
        <w:t>we consider synthetic measures of two ecosystem services indicators which underpin the provision of a range of services. In the first case study soil quality (used as a term that captures features such as carbon, soil structure, microbial community etc.) is considered due to the strong link between this and services such as climate and hazard regulation (see</w:t>
      </w:r>
      <w:r w:rsidR="001A1B31" w:rsidRPr="009C24BC">
        <w:rPr>
          <w:rFonts w:ascii="Times New Roman" w:hAnsi="Times New Roman" w:cs="Times New Roman"/>
        </w:rPr>
        <w:t xml:space="preserve"> </w:t>
      </w:r>
      <w:r w:rsidR="001A1B31" w:rsidRPr="009C24BC">
        <w:rPr>
          <w:rFonts w:ascii="Times New Roman" w:hAnsi="Times New Roman" w:cs="Times New Roman"/>
        </w:rPr>
        <w:fldChar w:fldCharType="begin"/>
      </w:r>
      <w:r w:rsidR="001A1B31" w:rsidRPr="009C24BC">
        <w:rPr>
          <w:rFonts w:ascii="Times New Roman" w:hAnsi="Times New Roman" w:cs="Times New Roman"/>
        </w:rPr>
        <w:instrText xml:space="preserve"> ADDIN EN.CITE &lt;EndNote&gt;&lt;Cite&gt;&lt;Author&gt;Holland&lt;/Author&gt;&lt;Year&gt;2015&lt;/Year&gt;&lt;RecNum&gt;92&lt;/RecNum&gt;&lt;DisplayText&gt;(Holland et al., 2015)&lt;/DisplayText&gt;&lt;record&gt;&lt;rec-number&gt;92&lt;/rec-number&gt;&lt;foreign-keys&gt;&lt;key app="EN" db-id="5d95a2xfmawp9jevtd0x0r5qapwwdf5f5dda" timestamp="1436983659"&gt;92&lt;/key&gt;&lt;/foreign-keys&gt;&lt;ref-type name="Journal Article"&gt;17&lt;/ref-type&gt;&lt;contributors&gt;&lt;authors&gt;&lt;author&gt;Holland, R. A.&lt;/author&gt;&lt;author&gt;Eigenbrod, F.&lt;/author&gt;&lt;author&gt;Muggeridge, A.&lt;/author&gt;&lt;author&gt;Brown, G.&lt;/author&gt;&lt;author&gt;Clarke, D.&lt;/author&gt;&lt;author&gt;Taylor, G.&lt;/author&gt;&lt;/authors&gt;&lt;/contributors&gt;&lt;titles&gt;&lt;title&gt;A synthesis of the ecosystem services impact of second generation bioenergy crop production&lt;/title&gt;&lt;secondary-title&gt;Renewable and Sustainable Energy Reviews&lt;/secondary-title&gt;&lt;/titles&gt;&lt;periodical&gt;&lt;full-title&gt;Renewable and Sustainable Energy Reviews&lt;/full-title&gt;&lt;/periodical&gt;&lt;pages&gt;30-40&lt;/pages&gt;&lt;volume&gt;46&lt;/volume&gt;&lt;number&gt;0&lt;/number&gt;&lt;keywords&gt;&lt;keyword&gt;Biofuel&lt;/keyword&gt;&lt;keyword&gt;Ecosystem services&lt;/keyword&gt;&lt;keyword&gt;Miscanthus&lt;/keyword&gt;&lt;keyword&gt;Short rotation coppice&lt;/keyword&gt;&lt;keyword&gt;Short rotation forestry&lt;/keyword&gt;&lt;keyword&gt;Land use&lt;/keyword&gt;&lt;/keywords&gt;&lt;dates&gt;&lt;year&gt;2015&lt;/year&gt;&lt;pub-dates&gt;&lt;date&gt;6//&lt;/date&gt;&lt;/pub-dates&gt;&lt;/dates&gt;&lt;isbn&gt;1364-0321&lt;/isbn&gt;&lt;urls&gt;&lt;related-urls&gt;&lt;url&gt;http://www.sciencedirect.com/science/article/pii/S136403211500091X&lt;/url&gt;&lt;/related-urls&gt;&lt;/urls&gt;&lt;electronic-resource-num&gt;http://dx.doi.org/10.1016/j.rser.2015.02.003&lt;/electronic-resource-num&gt;&lt;/record&gt;&lt;/Cite&gt;&lt;/EndNote&gt;</w:instrText>
      </w:r>
      <w:r w:rsidR="001A1B31" w:rsidRPr="009C24BC">
        <w:rPr>
          <w:rFonts w:ascii="Times New Roman" w:hAnsi="Times New Roman" w:cs="Times New Roman"/>
        </w:rPr>
        <w:fldChar w:fldCharType="separate"/>
      </w:r>
      <w:r w:rsidR="001A1B31" w:rsidRPr="009C24BC">
        <w:rPr>
          <w:rFonts w:ascii="Times New Roman" w:hAnsi="Times New Roman" w:cs="Times New Roman"/>
          <w:noProof/>
        </w:rPr>
        <w:t>(Holland et al., 2015)</w:t>
      </w:r>
      <w:r w:rsidR="001A1B31" w:rsidRPr="009C24BC">
        <w:rPr>
          <w:rFonts w:ascii="Times New Roman" w:hAnsi="Times New Roman" w:cs="Times New Roman"/>
        </w:rPr>
        <w:fldChar w:fldCharType="end"/>
      </w:r>
      <w:r w:rsidR="006A02F4" w:rsidRPr="009C24BC">
        <w:rPr>
          <w:rFonts w:ascii="Times New Roman" w:hAnsi="Times New Roman" w:cs="Times New Roman"/>
        </w:rPr>
        <w:t>). In the second case study biodiversity is considered given its central role in underpinning other ecosystem services</w:t>
      </w:r>
      <w:r w:rsidR="001A1B31" w:rsidRPr="009C24BC">
        <w:rPr>
          <w:rFonts w:ascii="Times New Roman" w:hAnsi="Times New Roman" w:cs="Times New Roman"/>
        </w:rPr>
        <w:t xml:space="preserve"> </w:t>
      </w:r>
      <w:r w:rsidR="001A1B31" w:rsidRPr="009C24BC">
        <w:rPr>
          <w:rFonts w:ascii="Times New Roman" w:hAnsi="Times New Roman" w:cs="Times New Roman"/>
        </w:rPr>
        <w:fldChar w:fldCharType="begin"/>
      </w:r>
      <w:r w:rsidR="001A1B31" w:rsidRPr="009C24BC">
        <w:rPr>
          <w:rFonts w:ascii="Times New Roman" w:hAnsi="Times New Roman" w:cs="Times New Roman"/>
        </w:rPr>
        <w:instrText xml:space="preserve"> ADDIN EN.CITE &lt;EndNote&gt;&lt;Cite&gt;&lt;Author&gt;Mace&lt;/Author&gt;&lt;Year&gt;2012&lt;/Year&gt;&lt;RecNum&gt;131&lt;/RecNum&gt;&lt;DisplayText&gt;(Mace et al., 2012)&lt;/DisplayText&gt;&lt;record&gt;&lt;rec-number&gt;131&lt;/rec-number&gt;&lt;foreign-keys&gt;&lt;key app="EN" db-id="5d95a2xfmawp9jevtd0x0r5qapwwdf5f5dda" timestamp="1443542939"&gt;131&lt;/key&gt;&lt;/foreign-keys&gt;&lt;ref-type name="Journal Article"&gt;17&lt;/ref-type&gt;&lt;contributors&gt;&lt;authors&gt;&lt;author&gt;Mace, Georgina M.&lt;/author&gt;&lt;author&gt;Norris, Ken&lt;/author&gt;&lt;author&gt;Fitter, Alastair H.&lt;/author&gt;&lt;/authors&gt;&lt;/contributors&gt;&lt;titles&gt;&lt;title&gt;Biodiversity and ecosystem services: a multilayered relationship&lt;/title&gt;&lt;secondary-title&gt;Trends in Ecology &amp;amp; Evolution&lt;/secondary-title&gt;&lt;/titles&gt;&lt;periodical&gt;&lt;full-title&gt;Trends in Ecology &amp;amp; Evolution&lt;/full-title&gt;&lt;/periodical&gt;&lt;pages&gt;19-26&lt;/pages&gt;&lt;volume&gt;27&lt;/volume&gt;&lt;number&gt;1&lt;/number&gt;&lt;dates&gt;&lt;year&gt;2012&lt;/year&gt;&lt;pub-dates&gt;&lt;date&gt;1//&lt;/date&gt;&lt;/pub-dates&gt;&lt;/dates&gt;&lt;isbn&gt;0169-5347&lt;/isbn&gt;&lt;urls&gt;&lt;related-urls&gt;&lt;url&gt;http://www.sciencedirect.com/science/article/pii/S0169534711002424&lt;/url&gt;&lt;/related-urls&gt;&lt;/urls&gt;&lt;electronic-resource-num&gt;http://dx.doi.org/10.1016/j.tree.2011.08.006&lt;/electronic-resource-num&gt;&lt;/record&gt;&lt;/Cite&gt;&lt;/EndNote&gt;</w:instrText>
      </w:r>
      <w:r w:rsidR="001A1B31" w:rsidRPr="009C24BC">
        <w:rPr>
          <w:rFonts w:ascii="Times New Roman" w:hAnsi="Times New Roman" w:cs="Times New Roman"/>
        </w:rPr>
        <w:fldChar w:fldCharType="separate"/>
      </w:r>
      <w:r w:rsidR="001A1B31" w:rsidRPr="009C24BC">
        <w:rPr>
          <w:rFonts w:ascii="Times New Roman" w:hAnsi="Times New Roman" w:cs="Times New Roman"/>
          <w:noProof/>
        </w:rPr>
        <w:t>(Mace et al., 2012)</w:t>
      </w:r>
      <w:r w:rsidR="001A1B31" w:rsidRPr="009C24BC">
        <w:rPr>
          <w:rFonts w:ascii="Times New Roman" w:hAnsi="Times New Roman" w:cs="Times New Roman"/>
        </w:rPr>
        <w:fldChar w:fldCharType="end"/>
      </w:r>
      <w:r w:rsidR="00712F48" w:rsidRPr="009C24BC">
        <w:rPr>
          <w:rFonts w:ascii="Times New Roman" w:hAnsi="Times New Roman" w:cs="Times New Roman"/>
        </w:rPr>
        <w:t xml:space="preserve">. </w:t>
      </w:r>
      <w:r w:rsidR="006A02F4" w:rsidRPr="009C24BC">
        <w:rPr>
          <w:rFonts w:ascii="Times New Roman" w:hAnsi="Times New Roman" w:cs="Times New Roman"/>
        </w:rPr>
        <w:t xml:space="preserve">   </w:t>
      </w:r>
    </w:p>
    <w:p w14:paraId="4C37D5F5" w14:textId="77777777" w:rsidR="00264319" w:rsidRPr="009C24BC" w:rsidRDefault="00264319" w:rsidP="009C24BC">
      <w:pPr>
        <w:spacing w:after="0" w:line="360" w:lineRule="auto"/>
        <w:jc w:val="both"/>
        <w:rPr>
          <w:rFonts w:ascii="Times New Roman" w:hAnsi="Times New Roman" w:cs="Times New Roman"/>
        </w:rPr>
      </w:pPr>
    </w:p>
    <w:p w14:paraId="175C9C57" w14:textId="387DBCE6" w:rsidR="00B41BA0" w:rsidRPr="009C24BC" w:rsidRDefault="00712F48" w:rsidP="009C24BC">
      <w:pPr>
        <w:pStyle w:val="NormalWeb"/>
        <w:spacing w:before="0" w:beforeAutospacing="0" w:after="0" w:afterAutospacing="0" w:line="360" w:lineRule="auto"/>
        <w:jc w:val="both"/>
        <w:rPr>
          <w:b/>
          <w:i/>
          <w:sz w:val="22"/>
          <w:szCs w:val="22"/>
        </w:rPr>
      </w:pPr>
      <w:r w:rsidRPr="00264319">
        <w:rPr>
          <w:b/>
          <w:sz w:val="22"/>
          <w:szCs w:val="22"/>
        </w:rPr>
        <w:t xml:space="preserve">Table S1: Example of ecosystem services </w:t>
      </w:r>
      <w:r w:rsidR="005557A1" w:rsidRPr="00264319">
        <w:rPr>
          <w:b/>
          <w:sz w:val="22"/>
          <w:szCs w:val="22"/>
        </w:rPr>
        <w:t>and broad categorisation based on the UK National Ecosystem Assessment</w:t>
      </w:r>
      <w:r w:rsidR="001A1B31" w:rsidRPr="00264319">
        <w:rPr>
          <w:b/>
          <w:sz w:val="22"/>
          <w:szCs w:val="22"/>
        </w:rPr>
        <w:t xml:space="preserve"> </w:t>
      </w:r>
      <w:r w:rsidR="001A1B31" w:rsidRPr="00264319">
        <w:rPr>
          <w:b/>
          <w:sz w:val="22"/>
          <w:szCs w:val="22"/>
        </w:rPr>
        <w:fldChar w:fldCharType="begin"/>
      </w:r>
      <w:r w:rsidR="00C007FF" w:rsidRPr="00264319">
        <w:rPr>
          <w:b/>
          <w:sz w:val="22"/>
          <w:szCs w:val="22"/>
        </w:rPr>
        <w:instrText xml:space="preserve"> ADDIN EN.CITE &lt;EndNote&gt;&lt;Cite&gt;&lt;Author&gt;NEA&lt;/Author&gt;&lt;Year&gt;2011&lt;/Year&gt;&lt;RecNum&gt;132&lt;/RecNum&gt;&lt;DisplayText&gt;(UKNEA, 2011)&lt;/DisplayText&gt;&lt;record&gt;&lt;rec-number&gt;132&lt;/rec-number&gt;&lt;foreign-keys&gt;&lt;key app="EN" db-id="5d95a2xfmawp9jevtd0x0r5qapwwdf5f5dda" timestamp="1443543515"&gt;132&lt;/key&gt;&lt;/foreign-keys&gt;&lt;ref-type name="Report"&gt;27&lt;/ref-type&gt;&lt;contributors&gt;&lt;authors&gt;&lt;author&gt;UKNEA&lt;/author&gt;&lt;/authors&gt;&lt;/contributors&gt;&lt;titles&gt;&lt;title&gt;UK National Ecosystem Assessment&lt;/title&gt;&lt;/titles&gt;&lt;dates&gt;&lt;year&gt;2011&lt;/year&gt;&lt;/dates&gt;&lt;pub-location&gt;UK National Ecosystem Assessment&lt;/pub-location&gt;&lt;urls&gt;&lt;related-urls&gt;&lt;url&gt;http://uknea.unep-wcmc.org/Resources/tabid/82/Default.aspx&lt;/url&gt;&lt;/related-urls&gt;&lt;/urls&gt;&lt;/record&gt;&lt;/Cite&gt;&lt;/EndNote&gt;</w:instrText>
      </w:r>
      <w:r w:rsidR="001A1B31" w:rsidRPr="00264319">
        <w:rPr>
          <w:b/>
          <w:sz w:val="22"/>
          <w:szCs w:val="22"/>
        </w:rPr>
        <w:fldChar w:fldCharType="separate"/>
      </w:r>
      <w:r w:rsidR="00C007FF" w:rsidRPr="00264319">
        <w:rPr>
          <w:b/>
          <w:noProof/>
          <w:sz w:val="22"/>
          <w:szCs w:val="22"/>
        </w:rPr>
        <w:t>(UKNEA, 2011)</w:t>
      </w:r>
      <w:r w:rsidR="001A1B31" w:rsidRPr="00264319">
        <w:rPr>
          <w:b/>
          <w:sz w:val="22"/>
          <w:szCs w:val="22"/>
        </w:rPr>
        <w:fldChar w:fldCharType="end"/>
      </w:r>
      <w:r w:rsidR="005557A1" w:rsidRPr="00264319">
        <w:rPr>
          <w:b/>
          <w:sz w:val="22"/>
          <w:szCs w:val="22"/>
        </w:rPr>
        <w:t>.</w:t>
      </w:r>
      <w:r w:rsidR="005557A1" w:rsidRPr="009C24BC">
        <w:rPr>
          <w:sz w:val="22"/>
          <w:szCs w:val="22"/>
        </w:rPr>
        <w:t xml:space="preserve"> Supporting services can be considered as underpinning the other three categories and so may not be considered in separately in assessments. </w:t>
      </w:r>
      <w:bookmarkStart w:id="0" w:name="_GoBack"/>
      <w:bookmarkEnd w:id="0"/>
    </w:p>
    <w:p w14:paraId="56E673CB" w14:textId="77777777" w:rsidR="005052DF" w:rsidRPr="009C24BC" w:rsidRDefault="005052DF" w:rsidP="009C24BC">
      <w:pPr>
        <w:pStyle w:val="NormalWeb"/>
        <w:spacing w:before="0" w:beforeAutospacing="0" w:after="0" w:afterAutospacing="0" w:line="360" w:lineRule="auto"/>
        <w:rPr>
          <w:rFonts w:eastAsiaTheme="minorHAnsi"/>
          <w:i/>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04766" w:rsidRPr="009C24BC" w14:paraId="383C0938" w14:textId="77777777" w:rsidTr="00712F48">
        <w:trPr>
          <w:trHeight w:val="506"/>
        </w:trPr>
        <w:tc>
          <w:tcPr>
            <w:tcW w:w="2310" w:type="dxa"/>
            <w:tcBorders>
              <w:top w:val="single" w:sz="4" w:space="0" w:color="auto"/>
              <w:bottom w:val="single" w:sz="4" w:space="0" w:color="auto"/>
            </w:tcBorders>
            <w:vAlign w:val="center"/>
          </w:tcPr>
          <w:p w14:paraId="61F529CE" w14:textId="77777777" w:rsidR="00704766" w:rsidRPr="009C24BC" w:rsidRDefault="004F3994" w:rsidP="009C24BC">
            <w:pPr>
              <w:pStyle w:val="NormalWeb"/>
              <w:spacing w:before="0" w:beforeAutospacing="0" w:after="0" w:afterAutospacing="0" w:line="360" w:lineRule="auto"/>
              <w:jc w:val="center"/>
              <w:rPr>
                <w:rFonts w:eastAsiaTheme="minorHAnsi"/>
                <w:b/>
                <w:sz w:val="22"/>
                <w:szCs w:val="22"/>
                <w:lang w:eastAsia="en-US"/>
              </w:rPr>
            </w:pPr>
            <w:r w:rsidRPr="009C24BC">
              <w:rPr>
                <w:rFonts w:eastAsiaTheme="minorHAnsi"/>
                <w:b/>
                <w:sz w:val="22"/>
                <w:szCs w:val="22"/>
                <w:lang w:eastAsia="en-US"/>
              </w:rPr>
              <w:t>Provisioning ES</w:t>
            </w:r>
          </w:p>
        </w:tc>
        <w:tc>
          <w:tcPr>
            <w:tcW w:w="2310" w:type="dxa"/>
            <w:tcBorders>
              <w:top w:val="single" w:sz="4" w:space="0" w:color="auto"/>
              <w:bottom w:val="single" w:sz="4" w:space="0" w:color="auto"/>
            </w:tcBorders>
            <w:vAlign w:val="center"/>
          </w:tcPr>
          <w:p w14:paraId="1551B5BB" w14:textId="77777777" w:rsidR="00704766" w:rsidRPr="009C24BC" w:rsidRDefault="004F3994" w:rsidP="009C24BC">
            <w:pPr>
              <w:pStyle w:val="NormalWeb"/>
              <w:spacing w:before="0" w:beforeAutospacing="0" w:after="0" w:afterAutospacing="0" w:line="360" w:lineRule="auto"/>
              <w:jc w:val="center"/>
              <w:rPr>
                <w:rFonts w:eastAsiaTheme="minorHAnsi"/>
                <w:b/>
                <w:sz w:val="22"/>
                <w:szCs w:val="22"/>
                <w:lang w:eastAsia="en-US"/>
              </w:rPr>
            </w:pPr>
            <w:r w:rsidRPr="009C24BC">
              <w:rPr>
                <w:rFonts w:eastAsiaTheme="minorHAnsi"/>
                <w:b/>
                <w:sz w:val="22"/>
                <w:szCs w:val="22"/>
                <w:lang w:eastAsia="en-US"/>
              </w:rPr>
              <w:t>Regulating ES</w:t>
            </w:r>
          </w:p>
        </w:tc>
        <w:tc>
          <w:tcPr>
            <w:tcW w:w="2311" w:type="dxa"/>
            <w:tcBorders>
              <w:top w:val="single" w:sz="4" w:space="0" w:color="auto"/>
              <w:bottom w:val="single" w:sz="4" w:space="0" w:color="auto"/>
            </w:tcBorders>
            <w:shd w:val="clear" w:color="auto" w:fill="D9D9D9" w:themeFill="background1" w:themeFillShade="D9"/>
            <w:vAlign w:val="center"/>
          </w:tcPr>
          <w:p w14:paraId="7AB57E01" w14:textId="77777777" w:rsidR="00704766" w:rsidRPr="009C24BC" w:rsidRDefault="004F3994" w:rsidP="009C24BC">
            <w:pPr>
              <w:pStyle w:val="NormalWeb"/>
              <w:spacing w:before="0" w:beforeAutospacing="0" w:after="0" w:afterAutospacing="0" w:line="360" w:lineRule="auto"/>
              <w:jc w:val="center"/>
              <w:rPr>
                <w:rFonts w:eastAsiaTheme="minorHAnsi"/>
                <w:b/>
                <w:sz w:val="22"/>
                <w:szCs w:val="22"/>
                <w:lang w:eastAsia="en-US"/>
              </w:rPr>
            </w:pPr>
            <w:r w:rsidRPr="009C24BC">
              <w:rPr>
                <w:rFonts w:eastAsiaTheme="minorHAnsi"/>
                <w:b/>
                <w:sz w:val="22"/>
                <w:szCs w:val="22"/>
                <w:lang w:eastAsia="en-US"/>
              </w:rPr>
              <w:t>Supporting ES</w:t>
            </w:r>
          </w:p>
        </w:tc>
        <w:tc>
          <w:tcPr>
            <w:tcW w:w="2311" w:type="dxa"/>
            <w:tcBorders>
              <w:top w:val="single" w:sz="4" w:space="0" w:color="auto"/>
              <w:bottom w:val="single" w:sz="4" w:space="0" w:color="auto"/>
            </w:tcBorders>
            <w:vAlign w:val="center"/>
          </w:tcPr>
          <w:p w14:paraId="1FAFD99C" w14:textId="77777777" w:rsidR="00704766" w:rsidRPr="009C24BC" w:rsidRDefault="004F3994" w:rsidP="009C24BC">
            <w:pPr>
              <w:pStyle w:val="NormalWeb"/>
              <w:spacing w:before="0" w:beforeAutospacing="0" w:after="0" w:afterAutospacing="0" w:line="360" w:lineRule="auto"/>
              <w:jc w:val="center"/>
              <w:rPr>
                <w:rFonts w:eastAsiaTheme="minorHAnsi"/>
                <w:b/>
                <w:sz w:val="22"/>
                <w:szCs w:val="22"/>
                <w:lang w:eastAsia="en-US"/>
              </w:rPr>
            </w:pPr>
            <w:r w:rsidRPr="009C24BC">
              <w:rPr>
                <w:rFonts w:eastAsiaTheme="minorHAnsi"/>
                <w:b/>
                <w:sz w:val="22"/>
                <w:szCs w:val="22"/>
                <w:lang w:eastAsia="en-US"/>
              </w:rPr>
              <w:t>Cultural ES</w:t>
            </w:r>
          </w:p>
        </w:tc>
      </w:tr>
      <w:tr w:rsidR="004F3994" w:rsidRPr="009C24BC" w14:paraId="031CFB09" w14:textId="77777777" w:rsidTr="00712F48">
        <w:trPr>
          <w:trHeight w:val="506"/>
        </w:trPr>
        <w:tc>
          <w:tcPr>
            <w:tcW w:w="2310" w:type="dxa"/>
            <w:tcBorders>
              <w:top w:val="single" w:sz="4" w:space="0" w:color="auto"/>
            </w:tcBorders>
            <w:vAlign w:val="center"/>
          </w:tcPr>
          <w:p w14:paraId="723A711F"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Crops</w:t>
            </w:r>
          </w:p>
        </w:tc>
        <w:tc>
          <w:tcPr>
            <w:tcW w:w="2310" w:type="dxa"/>
            <w:tcBorders>
              <w:top w:val="single" w:sz="4" w:space="0" w:color="auto"/>
            </w:tcBorders>
            <w:vAlign w:val="center"/>
          </w:tcPr>
          <w:p w14:paraId="4712B2EA"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Climate</w:t>
            </w:r>
          </w:p>
        </w:tc>
        <w:tc>
          <w:tcPr>
            <w:tcW w:w="2311" w:type="dxa"/>
            <w:tcBorders>
              <w:top w:val="single" w:sz="4" w:space="0" w:color="auto"/>
            </w:tcBorders>
            <w:shd w:val="clear" w:color="auto" w:fill="D9D9D9" w:themeFill="background1" w:themeFillShade="D9"/>
            <w:vAlign w:val="center"/>
          </w:tcPr>
          <w:p w14:paraId="33669034"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Primary production</w:t>
            </w:r>
          </w:p>
        </w:tc>
        <w:tc>
          <w:tcPr>
            <w:tcW w:w="2311" w:type="dxa"/>
            <w:tcBorders>
              <w:top w:val="single" w:sz="4" w:space="0" w:color="auto"/>
            </w:tcBorders>
            <w:vAlign w:val="center"/>
          </w:tcPr>
          <w:p w14:paraId="00B6E287"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Environmental Settings</w:t>
            </w:r>
          </w:p>
        </w:tc>
      </w:tr>
      <w:tr w:rsidR="004F3994" w:rsidRPr="009C24BC" w14:paraId="429704EB" w14:textId="77777777" w:rsidTr="00712F48">
        <w:trPr>
          <w:trHeight w:val="506"/>
        </w:trPr>
        <w:tc>
          <w:tcPr>
            <w:tcW w:w="2310" w:type="dxa"/>
            <w:vAlign w:val="center"/>
          </w:tcPr>
          <w:p w14:paraId="09D73F46"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Livestock</w:t>
            </w:r>
          </w:p>
        </w:tc>
        <w:tc>
          <w:tcPr>
            <w:tcW w:w="2310" w:type="dxa"/>
            <w:vAlign w:val="center"/>
          </w:tcPr>
          <w:p w14:paraId="21A3057B"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Disease and pest</w:t>
            </w:r>
          </w:p>
        </w:tc>
        <w:tc>
          <w:tcPr>
            <w:tcW w:w="2311" w:type="dxa"/>
            <w:shd w:val="clear" w:color="auto" w:fill="D9D9D9" w:themeFill="background1" w:themeFillShade="D9"/>
            <w:vAlign w:val="center"/>
          </w:tcPr>
          <w:p w14:paraId="06160EDC"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Water cycling</w:t>
            </w:r>
          </w:p>
        </w:tc>
        <w:tc>
          <w:tcPr>
            <w:tcW w:w="2311" w:type="dxa"/>
            <w:vAlign w:val="center"/>
          </w:tcPr>
          <w:p w14:paraId="1744B9C2" w14:textId="77777777" w:rsidR="004F3994" w:rsidRPr="009C24BC" w:rsidRDefault="00712F48" w:rsidP="009C24BC">
            <w:pPr>
              <w:tabs>
                <w:tab w:val="left" w:pos="7088"/>
              </w:tabs>
              <w:spacing w:line="360" w:lineRule="auto"/>
              <w:jc w:val="center"/>
              <w:rPr>
                <w:sz w:val="22"/>
                <w:szCs w:val="22"/>
              </w:rPr>
            </w:pPr>
            <w:r w:rsidRPr="009C24BC">
              <w:rPr>
                <w:sz w:val="22"/>
                <w:szCs w:val="22"/>
              </w:rPr>
              <w:t>Wild species diversity</w:t>
            </w:r>
          </w:p>
        </w:tc>
      </w:tr>
      <w:tr w:rsidR="004F3994" w:rsidRPr="009C24BC" w14:paraId="06663B75" w14:textId="77777777" w:rsidTr="00712F48">
        <w:trPr>
          <w:trHeight w:val="506"/>
        </w:trPr>
        <w:tc>
          <w:tcPr>
            <w:tcW w:w="2310" w:type="dxa"/>
            <w:vAlign w:val="center"/>
          </w:tcPr>
          <w:p w14:paraId="36A4831D"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Fish</w:t>
            </w:r>
          </w:p>
        </w:tc>
        <w:tc>
          <w:tcPr>
            <w:tcW w:w="2310" w:type="dxa"/>
            <w:vAlign w:val="center"/>
          </w:tcPr>
          <w:p w14:paraId="6046BDE9"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Water purification</w:t>
            </w:r>
          </w:p>
        </w:tc>
        <w:tc>
          <w:tcPr>
            <w:tcW w:w="2311" w:type="dxa"/>
            <w:shd w:val="clear" w:color="auto" w:fill="D9D9D9" w:themeFill="background1" w:themeFillShade="D9"/>
            <w:vAlign w:val="center"/>
          </w:tcPr>
          <w:p w14:paraId="14F06D56"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Soil formation</w:t>
            </w:r>
          </w:p>
        </w:tc>
        <w:tc>
          <w:tcPr>
            <w:tcW w:w="2311" w:type="dxa"/>
            <w:vAlign w:val="center"/>
          </w:tcPr>
          <w:p w14:paraId="669F3FFA" w14:textId="77777777" w:rsidR="004F3994" w:rsidRPr="009C24BC" w:rsidRDefault="004F3994" w:rsidP="009C24BC">
            <w:pPr>
              <w:tabs>
                <w:tab w:val="left" w:pos="7088"/>
              </w:tabs>
              <w:spacing w:line="360" w:lineRule="auto"/>
              <w:jc w:val="center"/>
              <w:rPr>
                <w:sz w:val="22"/>
                <w:szCs w:val="22"/>
              </w:rPr>
            </w:pPr>
          </w:p>
        </w:tc>
      </w:tr>
      <w:tr w:rsidR="004F3994" w:rsidRPr="009C24BC" w14:paraId="475312BB" w14:textId="77777777" w:rsidTr="00712F48">
        <w:trPr>
          <w:trHeight w:val="506"/>
        </w:trPr>
        <w:tc>
          <w:tcPr>
            <w:tcW w:w="2310" w:type="dxa"/>
            <w:vAlign w:val="center"/>
          </w:tcPr>
          <w:p w14:paraId="1B039E9E"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Trees and standing vegetation</w:t>
            </w:r>
          </w:p>
        </w:tc>
        <w:tc>
          <w:tcPr>
            <w:tcW w:w="2310" w:type="dxa"/>
            <w:vAlign w:val="center"/>
          </w:tcPr>
          <w:p w14:paraId="74E8E631"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Air purification</w:t>
            </w:r>
          </w:p>
        </w:tc>
        <w:tc>
          <w:tcPr>
            <w:tcW w:w="2311" w:type="dxa"/>
            <w:shd w:val="clear" w:color="auto" w:fill="D9D9D9" w:themeFill="background1" w:themeFillShade="D9"/>
            <w:vAlign w:val="center"/>
          </w:tcPr>
          <w:p w14:paraId="25D3DAFE"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Nutrient cycling</w:t>
            </w:r>
          </w:p>
        </w:tc>
        <w:tc>
          <w:tcPr>
            <w:tcW w:w="2311" w:type="dxa"/>
            <w:vAlign w:val="center"/>
          </w:tcPr>
          <w:p w14:paraId="4B84F90C" w14:textId="77777777" w:rsidR="004F3994" w:rsidRPr="009C24BC" w:rsidRDefault="004F3994" w:rsidP="009C24BC">
            <w:pPr>
              <w:tabs>
                <w:tab w:val="left" w:pos="7088"/>
              </w:tabs>
              <w:spacing w:line="360" w:lineRule="auto"/>
              <w:jc w:val="center"/>
              <w:rPr>
                <w:sz w:val="22"/>
                <w:szCs w:val="22"/>
              </w:rPr>
            </w:pPr>
          </w:p>
        </w:tc>
      </w:tr>
      <w:tr w:rsidR="004F3994" w:rsidRPr="009C24BC" w14:paraId="67CC0ECB" w14:textId="77777777" w:rsidTr="00712F48">
        <w:trPr>
          <w:trHeight w:val="506"/>
        </w:trPr>
        <w:tc>
          <w:tcPr>
            <w:tcW w:w="2310" w:type="dxa"/>
            <w:vAlign w:val="center"/>
          </w:tcPr>
          <w:p w14:paraId="590273D0"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Peat</w:t>
            </w:r>
          </w:p>
        </w:tc>
        <w:tc>
          <w:tcPr>
            <w:tcW w:w="2310" w:type="dxa"/>
            <w:vAlign w:val="center"/>
          </w:tcPr>
          <w:p w14:paraId="4E21D145"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Soil purification</w:t>
            </w:r>
          </w:p>
        </w:tc>
        <w:tc>
          <w:tcPr>
            <w:tcW w:w="2311" w:type="dxa"/>
            <w:shd w:val="clear" w:color="auto" w:fill="D9D9D9" w:themeFill="background1" w:themeFillShade="D9"/>
            <w:vAlign w:val="center"/>
          </w:tcPr>
          <w:p w14:paraId="026634B0" w14:textId="77777777" w:rsidR="004F3994" w:rsidRPr="009C24BC" w:rsidRDefault="004F3994" w:rsidP="009C24BC">
            <w:pPr>
              <w:pStyle w:val="NormalWeb"/>
              <w:spacing w:before="0" w:beforeAutospacing="0" w:after="0" w:afterAutospacing="0" w:line="360" w:lineRule="auto"/>
              <w:jc w:val="center"/>
              <w:rPr>
                <w:rFonts w:eastAsiaTheme="minorHAnsi"/>
                <w:sz w:val="22"/>
                <w:szCs w:val="22"/>
                <w:lang w:eastAsia="en-US"/>
              </w:rPr>
            </w:pPr>
          </w:p>
        </w:tc>
        <w:tc>
          <w:tcPr>
            <w:tcW w:w="2311" w:type="dxa"/>
            <w:vAlign w:val="center"/>
          </w:tcPr>
          <w:p w14:paraId="25FFF7A4" w14:textId="77777777" w:rsidR="004F3994" w:rsidRPr="009C24BC" w:rsidRDefault="004F3994" w:rsidP="009C24BC">
            <w:pPr>
              <w:tabs>
                <w:tab w:val="left" w:pos="7088"/>
              </w:tabs>
              <w:spacing w:line="360" w:lineRule="auto"/>
              <w:jc w:val="center"/>
              <w:rPr>
                <w:sz w:val="22"/>
                <w:szCs w:val="22"/>
              </w:rPr>
            </w:pPr>
          </w:p>
        </w:tc>
      </w:tr>
      <w:tr w:rsidR="004F3994" w:rsidRPr="009C24BC" w14:paraId="410DB837" w14:textId="77777777" w:rsidTr="00712F48">
        <w:trPr>
          <w:trHeight w:val="506"/>
        </w:trPr>
        <w:tc>
          <w:tcPr>
            <w:tcW w:w="2310" w:type="dxa"/>
            <w:vAlign w:val="center"/>
          </w:tcPr>
          <w:p w14:paraId="1A6065C7"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Water Supply</w:t>
            </w:r>
          </w:p>
        </w:tc>
        <w:tc>
          <w:tcPr>
            <w:tcW w:w="2310" w:type="dxa"/>
            <w:vAlign w:val="center"/>
          </w:tcPr>
          <w:p w14:paraId="7F2D4992"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Pollination</w:t>
            </w:r>
          </w:p>
        </w:tc>
        <w:tc>
          <w:tcPr>
            <w:tcW w:w="2311" w:type="dxa"/>
            <w:shd w:val="clear" w:color="auto" w:fill="D9D9D9" w:themeFill="background1" w:themeFillShade="D9"/>
            <w:vAlign w:val="center"/>
          </w:tcPr>
          <w:p w14:paraId="076C74C8" w14:textId="77777777" w:rsidR="004F3994" w:rsidRPr="009C24BC" w:rsidRDefault="004F3994" w:rsidP="009C24BC">
            <w:pPr>
              <w:pStyle w:val="NormalWeb"/>
              <w:spacing w:before="0" w:beforeAutospacing="0" w:after="0" w:afterAutospacing="0" w:line="360" w:lineRule="auto"/>
              <w:jc w:val="center"/>
              <w:rPr>
                <w:rFonts w:eastAsiaTheme="minorHAnsi"/>
                <w:sz w:val="22"/>
                <w:szCs w:val="22"/>
                <w:lang w:eastAsia="en-US"/>
              </w:rPr>
            </w:pPr>
          </w:p>
        </w:tc>
        <w:tc>
          <w:tcPr>
            <w:tcW w:w="2311" w:type="dxa"/>
            <w:vAlign w:val="center"/>
          </w:tcPr>
          <w:p w14:paraId="66C8D12E" w14:textId="77777777" w:rsidR="004F3994" w:rsidRPr="009C24BC" w:rsidRDefault="004F3994" w:rsidP="009C24BC">
            <w:pPr>
              <w:spacing w:line="360" w:lineRule="auto"/>
              <w:jc w:val="center"/>
              <w:rPr>
                <w:sz w:val="22"/>
                <w:szCs w:val="22"/>
              </w:rPr>
            </w:pPr>
          </w:p>
        </w:tc>
      </w:tr>
      <w:tr w:rsidR="004F3994" w:rsidRPr="009C24BC" w14:paraId="53577DBA" w14:textId="77777777" w:rsidTr="00712F48">
        <w:trPr>
          <w:trHeight w:val="506"/>
        </w:trPr>
        <w:tc>
          <w:tcPr>
            <w:tcW w:w="2310" w:type="dxa"/>
            <w:vAlign w:val="center"/>
          </w:tcPr>
          <w:p w14:paraId="4660DC0A"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Wild species diversity</w:t>
            </w:r>
          </w:p>
        </w:tc>
        <w:tc>
          <w:tcPr>
            <w:tcW w:w="2310" w:type="dxa"/>
            <w:vAlign w:val="center"/>
          </w:tcPr>
          <w:p w14:paraId="0CE63F1B"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Hazard regulation</w:t>
            </w:r>
          </w:p>
        </w:tc>
        <w:tc>
          <w:tcPr>
            <w:tcW w:w="2311" w:type="dxa"/>
            <w:shd w:val="clear" w:color="auto" w:fill="D9D9D9" w:themeFill="background1" w:themeFillShade="D9"/>
            <w:vAlign w:val="center"/>
          </w:tcPr>
          <w:p w14:paraId="780FAF9E" w14:textId="77777777" w:rsidR="004F3994" w:rsidRPr="009C24BC" w:rsidRDefault="004F3994" w:rsidP="009C24BC">
            <w:pPr>
              <w:spacing w:line="360" w:lineRule="auto"/>
              <w:jc w:val="center"/>
              <w:rPr>
                <w:sz w:val="22"/>
                <w:szCs w:val="22"/>
              </w:rPr>
            </w:pPr>
          </w:p>
        </w:tc>
        <w:tc>
          <w:tcPr>
            <w:tcW w:w="2311" w:type="dxa"/>
            <w:vAlign w:val="center"/>
          </w:tcPr>
          <w:p w14:paraId="0CD1452D" w14:textId="77777777" w:rsidR="004F3994" w:rsidRPr="009C24BC" w:rsidRDefault="004F3994" w:rsidP="009C24BC">
            <w:pPr>
              <w:spacing w:line="360" w:lineRule="auto"/>
              <w:jc w:val="center"/>
              <w:rPr>
                <w:sz w:val="22"/>
                <w:szCs w:val="22"/>
              </w:rPr>
            </w:pPr>
          </w:p>
        </w:tc>
      </w:tr>
      <w:tr w:rsidR="004F3994" w:rsidRPr="009C24BC" w14:paraId="0CB340B6" w14:textId="77777777" w:rsidTr="00712F48">
        <w:trPr>
          <w:trHeight w:val="506"/>
        </w:trPr>
        <w:tc>
          <w:tcPr>
            <w:tcW w:w="2310" w:type="dxa"/>
            <w:tcBorders>
              <w:bottom w:val="single" w:sz="4" w:space="0" w:color="auto"/>
            </w:tcBorders>
            <w:vAlign w:val="center"/>
          </w:tcPr>
          <w:p w14:paraId="5E7F331E" w14:textId="77777777" w:rsidR="004F3994" w:rsidRPr="009C24BC" w:rsidRDefault="004F3994" w:rsidP="009C24BC">
            <w:pPr>
              <w:pStyle w:val="NormalWeb"/>
              <w:spacing w:before="0" w:beforeAutospacing="0" w:after="0" w:afterAutospacing="0" w:line="360" w:lineRule="auto"/>
              <w:jc w:val="center"/>
              <w:rPr>
                <w:rFonts w:eastAsiaTheme="minorHAnsi"/>
                <w:sz w:val="22"/>
                <w:szCs w:val="22"/>
                <w:lang w:eastAsia="en-US"/>
              </w:rPr>
            </w:pPr>
          </w:p>
        </w:tc>
        <w:tc>
          <w:tcPr>
            <w:tcW w:w="2310" w:type="dxa"/>
            <w:tcBorders>
              <w:bottom w:val="single" w:sz="4" w:space="0" w:color="auto"/>
            </w:tcBorders>
            <w:vAlign w:val="center"/>
          </w:tcPr>
          <w:p w14:paraId="50D8EAFA" w14:textId="77777777" w:rsidR="004F3994" w:rsidRPr="009C24BC" w:rsidRDefault="00712F48" w:rsidP="009C24BC">
            <w:pPr>
              <w:pStyle w:val="NormalWeb"/>
              <w:spacing w:before="0" w:beforeAutospacing="0" w:after="0" w:afterAutospacing="0" w:line="360" w:lineRule="auto"/>
              <w:jc w:val="center"/>
              <w:rPr>
                <w:rFonts w:eastAsiaTheme="minorHAnsi"/>
                <w:sz w:val="22"/>
                <w:szCs w:val="22"/>
                <w:lang w:eastAsia="en-US"/>
              </w:rPr>
            </w:pPr>
            <w:r w:rsidRPr="009C24BC">
              <w:rPr>
                <w:rFonts w:eastAsiaTheme="minorHAnsi"/>
                <w:sz w:val="22"/>
                <w:szCs w:val="22"/>
                <w:lang w:eastAsia="en-US"/>
              </w:rPr>
              <w:t>Noise regulation</w:t>
            </w:r>
          </w:p>
        </w:tc>
        <w:tc>
          <w:tcPr>
            <w:tcW w:w="2311" w:type="dxa"/>
            <w:tcBorders>
              <w:bottom w:val="single" w:sz="4" w:space="0" w:color="auto"/>
            </w:tcBorders>
            <w:shd w:val="clear" w:color="auto" w:fill="D9D9D9" w:themeFill="background1" w:themeFillShade="D9"/>
            <w:vAlign w:val="center"/>
          </w:tcPr>
          <w:p w14:paraId="2CBB53EF" w14:textId="77777777" w:rsidR="004F3994" w:rsidRPr="009C24BC" w:rsidRDefault="004F3994" w:rsidP="009C24BC">
            <w:pPr>
              <w:spacing w:line="360" w:lineRule="auto"/>
              <w:jc w:val="center"/>
              <w:rPr>
                <w:sz w:val="22"/>
                <w:szCs w:val="22"/>
              </w:rPr>
            </w:pPr>
          </w:p>
        </w:tc>
        <w:tc>
          <w:tcPr>
            <w:tcW w:w="2311" w:type="dxa"/>
            <w:tcBorders>
              <w:bottom w:val="single" w:sz="4" w:space="0" w:color="auto"/>
            </w:tcBorders>
            <w:vAlign w:val="center"/>
          </w:tcPr>
          <w:p w14:paraId="298FCCDF" w14:textId="77777777" w:rsidR="004F3994" w:rsidRPr="009C24BC" w:rsidRDefault="004F3994" w:rsidP="009C24BC">
            <w:pPr>
              <w:spacing w:line="360" w:lineRule="auto"/>
              <w:jc w:val="center"/>
              <w:rPr>
                <w:sz w:val="22"/>
                <w:szCs w:val="22"/>
              </w:rPr>
            </w:pPr>
          </w:p>
        </w:tc>
      </w:tr>
    </w:tbl>
    <w:p w14:paraId="75D316F1" w14:textId="77777777" w:rsidR="006478A3" w:rsidRPr="009C24BC" w:rsidRDefault="004F6E16" w:rsidP="009C24BC">
      <w:pPr>
        <w:tabs>
          <w:tab w:val="left" w:pos="7088"/>
        </w:tabs>
        <w:spacing w:after="0" w:line="360" w:lineRule="auto"/>
        <w:jc w:val="both"/>
        <w:rPr>
          <w:rFonts w:ascii="Times New Roman" w:hAnsi="Times New Roman" w:cs="Times New Roman"/>
          <w:b/>
          <w:i/>
        </w:rPr>
      </w:pPr>
      <w:r w:rsidRPr="009C24BC">
        <w:rPr>
          <w:rFonts w:ascii="Times New Roman" w:hAnsi="Times New Roman" w:cs="Times New Roman"/>
          <w:b/>
          <w:i/>
        </w:rPr>
        <w:lastRenderedPageBreak/>
        <w:t xml:space="preserve">SI2 </w:t>
      </w:r>
      <w:r w:rsidR="006478A3" w:rsidRPr="009C24BC">
        <w:rPr>
          <w:rFonts w:ascii="Times New Roman" w:hAnsi="Times New Roman" w:cs="Times New Roman"/>
          <w:b/>
          <w:i/>
        </w:rPr>
        <w:t xml:space="preserve">UK livestock overview and case study assumptions </w:t>
      </w:r>
    </w:p>
    <w:p w14:paraId="3E2408DF" w14:textId="35CA0FBC" w:rsidR="006478A3" w:rsidRPr="009C24BC" w:rsidRDefault="006478A3" w:rsidP="009C24BC">
      <w:pPr>
        <w:tabs>
          <w:tab w:val="left" w:pos="7088"/>
        </w:tabs>
        <w:spacing w:after="0" w:line="360" w:lineRule="auto"/>
        <w:jc w:val="both"/>
        <w:rPr>
          <w:rFonts w:ascii="Times New Roman" w:hAnsi="Times New Roman" w:cs="Times New Roman"/>
        </w:rPr>
      </w:pPr>
      <w:r w:rsidRPr="009C24BC">
        <w:rPr>
          <w:rFonts w:ascii="Times New Roman" w:hAnsi="Times New Roman" w:cs="Times New Roman"/>
        </w:rPr>
        <w:t xml:space="preserve">The livestock sector is a complex system. The total population </w:t>
      </w:r>
      <w:r w:rsidR="006C33A8" w:rsidRPr="009C24BC">
        <w:rPr>
          <w:rFonts w:ascii="Times New Roman" w:hAnsi="Times New Roman" w:cs="Times New Roman"/>
        </w:rPr>
        <w:t xml:space="preserve">is </w:t>
      </w:r>
      <w:r w:rsidRPr="009C24BC">
        <w:rPr>
          <w:rFonts w:ascii="Times New Roman" w:hAnsi="Times New Roman" w:cs="Times New Roman"/>
        </w:rPr>
        <w:t>dominated by cattle, sheep, lamb, pig and poultry in the UK</w:t>
      </w:r>
      <w:r w:rsidR="006C33A8" w:rsidRPr="009C24BC">
        <w:rPr>
          <w:rFonts w:ascii="Times New Roman" w:hAnsi="Times New Roman" w:cs="Times New Roman"/>
        </w:rPr>
        <w:t xml:space="preserve">; share of </w:t>
      </w:r>
      <w:r w:rsidRPr="009C24BC">
        <w:rPr>
          <w:rFonts w:ascii="Times New Roman" w:hAnsi="Times New Roman" w:cs="Times New Roman"/>
        </w:rPr>
        <w:t xml:space="preserve">goats, farmed deer and horses are negligible. According to the statistics (1985-2014), overall more than 70% of UK domestic supply of animal products is met by home-fed production. The UK cattle populations varied between 9.84 and 13.03 million heads between 1985 to 2014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&lt;EndNote&gt;&lt;Cite&gt;&lt;Author&gt;DEFRA&lt;/Author&gt;&lt;Year&gt;2015&lt;/Year&gt;&lt;RecNum&gt;89&lt;/RecNum&gt;&lt;DisplayText&gt;(DEFRA, 2015a)&lt;/DisplayText&gt;&lt;record&gt;&lt;rec-number&gt;89&lt;/rec-number&gt;&lt;foreign-keys&gt;&lt;key app="EN" db-id="5d95a2xfmawp9jevtd0x0r5qapwwdf5f5dda" timestamp="1429715013"&gt;89&lt;/key&gt;&lt;/foreign-keys&gt;&lt;ref-type name="Online Database"&gt;45&lt;/ref-type&gt;&lt;contributors&gt;&lt;authors&gt;&lt;author&gt;DEFRA&lt;/author&gt;&lt;/authors&gt;&lt;/contributors&gt;&lt;titles&gt;&lt;title&gt;Agriculture in the United Kingdom data sets&lt;/title&gt;&lt;/titles&gt;&lt;dates&gt;&lt;year&gt;2015&lt;/year&gt;&lt;pub-dates&gt;&lt;date&gt;April 2015&lt;/date&gt;&lt;/pub-dates&gt;&lt;/dates&gt;&lt;publisher&gt;Department for Environment, Food &amp;amp; Rural Affairs&lt;/publisher&gt;&lt;urls&gt;&lt;related-urls&gt;&lt;url&gt;https://www.gov.uk/government/statistical-data-sets/agriculture-in-the-united-kingdom&lt;/url&gt;&lt;/related-urls&gt;&lt;/urls&gt;&lt;/record&gt;&lt;/Cite&gt;&lt;/EndNote&gt;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(DEFRA, 2015a)</w:t>
      </w:r>
      <w:r w:rsidRPr="009C24BC">
        <w:rPr>
          <w:rFonts w:ascii="Times New Roman" w:hAnsi="Times New Roman" w:cs="Times New Roman"/>
        </w:rPr>
        <w:fldChar w:fldCharType="end"/>
      </w:r>
      <w:r w:rsidRPr="009C24BC">
        <w:rPr>
          <w:rFonts w:ascii="Times New Roman" w:hAnsi="Times New Roman" w:cs="Times New Roman"/>
        </w:rPr>
        <w:t>. This equates to 3.39-3.75 million beef and dairy breeding herds plus 0.77-0.92 million other above 2-year old female cattle (not breeding) and  2.87-3.09 million younger female herds (&lt;2 years)</w:t>
      </w:r>
      <w:r w:rsidRPr="009C24BC">
        <w:rPr>
          <w:rFonts w:ascii="Times New Roman" w:eastAsiaTheme="minorEastAsia" w:hAnsi="Times New Roman" w:cs="Times New Roman"/>
          <w:bCs/>
          <w:iCs/>
        </w:rPr>
        <w:t xml:space="preserve">  as well as 2.74-3.03 million male cattle (Fig </w:t>
      </w:r>
      <w:r w:rsidR="006C33A8" w:rsidRPr="009C24BC">
        <w:rPr>
          <w:rFonts w:ascii="Times New Roman" w:eastAsiaTheme="minorEastAsia" w:hAnsi="Times New Roman" w:cs="Times New Roman"/>
          <w:bCs/>
          <w:iCs/>
        </w:rPr>
        <w:t>S1</w:t>
      </w:r>
      <w:r w:rsidRPr="009C24BC">
        <w:rPr>
          <w:rFonts w:ascii="Times New Roman" w:eastAsiaTheme="minorEastAsia" w:hAnsi="Times New Roman" w:cs="Times New Roman"/>
          <w:bCs/>
          <w:iCs/>
        </w:rPr>
        <w:t xml:space="preserve">). For sheep about 31.1-44.6 million head partition into almost equally into breeding and non-breeding flocks (based on statistics from 1985-2014)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&lt;EndNote&gt;&lt;Cite&gt;&lt;Author&gt;DEFRA&lt;/Author&gt;&lt;Year&gt;2015&lt;/Year&gt;&lt;RecNum&gt;95&lt;/RecNum&gt;&lt;DisplayText&gt;(DEFRA, 2015d)&lt;/DisplayText&gt;&lt;record&gt;&lt;rec-number&gt;95&lt;/rec-number&gt;&lt;foreign-keys&gt;&lt;key app="EN" db-id="5d95a2xfmawp9jevtd0x0r5qapwwdf5f5dda" timestamp="1438283964"&gt;95&lt;/key&gt;&lt;/foreign-keys&gt;&lt;ref-type name="Online Database"&gt;45&lt;/ref-type&gt;&lt;contributors&gt;&lt;authors&gt;&lt;author&gt;DEFRA&lt;/author&gt;&lt;/authors&gt;&lt;/contributors&gt;&lt;titles&gt;&lt;title&gt;Structure of the agricultural industry&lt;/title&gt;&lt;/titles&gt;&lt;dates&gt;&lt;year&gt;2015&lt;/year&gt;&lt;pub-dates&gt;&lt;date&gt;July 30 2015&lt;/date&gt;&lt;/pub-dates&gt;&lt;/dates&gt;&lt;pub-location&gt;Department for Environment, Food &amp;amp; Rural Affairs UK&lt;/pub-location&gt;&lt;urls&gt;&lt;related-urls&gt;&lt;url&gt;https://www.gov.uk/government/collections/structure-of-the-agricultural-industry#history&lt;/url&gt;&lt;/related-urls&gt;&lt;/urls&gt;&lt;/record&gt;&lt;/Cite&gt;&lt;/EndNote&gt;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(DEFRA, 2015d)</w:t>
      </w:r>
      <w:r w:rsidRPr="009C24BC">
        <w:rPr>
          <w:rFonts w:ascii="Times New Roman" w:hAnsi="Times New Roman" w:cs="Times New Roman"/>
        </w:rPr>
        <w:fldChar w:fldCharType="end"/>
      </w:r>
      <w:r w:rsidRPr="009C24BC">
        <w:rPr>
          <w:rFonts w:ascii="Times New Roman" w:hAnsi="Times New Roman" w:cs="Times New Roman"/>
        </w:rPr>
        <w:t xml:space="preserve">. Whereas pig population ranging between 4.4-8.1 million during 1985-2014 is dominated by fattening pig, accounting for 87.7%-89.6% of total population. During the period of 1985-2014, out of 121.9-181.8 million poultry population, table chicken i.e. broilers accounts for 51%-65%; remaining population include a small fraction of other poultry (1.9-18.5 million, e.g. ducks, geese, turkey) and 42.7-58.4 million fowls for laying and breeding where 76%-89% is hens and pullets raised for egg production purposes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&lt;EndNote&gt;&lt;Cite&gt;&lt;Author&gt;DEFRA&lt;/Author&gt;&lt;Year&gt;2015&lt;/Year&gt;&lt;RecNum&gt;95&lt;/RecNum&gt;&lt;DisplayText&gt;(DEFRA, 2015d)&lt;/DisplayText&gt;&lt;record&gt;&lt;rec-number&gt;95&lt;/rec-number&gt;&lt;foreign-keys&gt;&lt;key app="EN" db-id="5d95a2xfmawp9jevtd0x0r5qapwwdf5f5dda" timestamp="1438283964"&gt;95&lt;/key&gt;&lt;/foreign-keys&gt;&lt;ref-type name="Online Database"&gt;45&lt;/ref-type&gt;&lt;contributors&gt;&lt;authors&gt;&lt;author&gt;DEFRA&lt;/author&gt;&lt;/authors&gt;&lt;/contributors&gt;&lt;titles&gt;&lt;title&gt;Structure of the agricultural industry&lt;/title&gt;&lt;/titles&gt;&lt;dates&gt;&lt;year&gt;2015&lt;/year&gt;&lt;pub-dates&gt;&lt;date&gt;July 30 2015&lt;/date&gt;&lt;/pub-dates&gt;&lt;/dates&gt;&lt;pub-location&gt;Department for Environment, Food &amp;amp; Rural Affairs UK&lt;/pub-location&gt;&lt;urls&gt;&lt;related-urls&gt;&lt;url&gt;https://www.gov.uk/government/collections/structure-of-the-agricultural-industry#history&lt;/url&gt;&lt;/related-urls&gt;&lt;/urls&gt;&lt;/record&gt;&lt;/Cite&gt;&lt;/EndNote&gt;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(DEFRA, 2015d)</w:t>
      </w:r>
      <w:r w:rsidRPr="009C24BC">
        <w:rPr>
          <w:rFonts w:ascii="Times New Roman" w:hAnsi="Times New Roman" w:cs="Times New Roman"/>
        </w:rPr>
        <w:fldChar w:fldCharType="end"/>
      </w:r>
      <w:r w:rsidRPr="009C24BC">
        <w:rPr>
          <w:rFonts w:ascii="Times New Roman" w:hAnsi="Times New Roman" w:cs="Times New Roman"/>
        </w:rPr>
        <w:t xml:space="preserve">, </w:t>
      </w:r>
    </w:p>
    <w:p w14:paraId="07752D74" w14:textId="3C4D5DF5" w:rsidR="006478A3" w:rsidRPr="009C24BC" w:rsidRDefault="006478A3" w:rsidP="009C24BC">
      <w:pPr>
        <w:autoSpaceDE w:val="0"/>
        <w:autoSpaceDN w:val="0"/>
        <w:adjustRightInd w:val="0"/>
        <w:spacing w:after="0" w:line="360" w:lineRule="auto"/>
        <w:jc w:val="both"/>
        <w:rPr>
          <w:rFonts w:ascii="Times New Roman" w:hAnsi="Times New Roman" w:cs="Times New Roman"/>
        </w:rPr>
      </w:pPr>
      <w:r w:rsidRPr="009C24BC">
        <w:rPr>
          <w:rFonts w:ascii="Times New Roman" w:hAnsi="Times New Roman" w:cs="Times New Roman"/>
        </w:rPr>
        <w:t xml:space="preserve">The majority of ruminant livestock utilise grassland for much of the year. Typically, dairy and breeding cattle are housed for approximately 24 weeks over the winter period while sheep are housed on average for six weeks over the lambing period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&lt;EndNote&gt;&lt;Cite&gt;&lt;Author&gt;Jerram&lt;/Author&gt;&lt;Year&gt;2001&lt;/Year&gt;&lt;RecNum&gt;93&lt;/RecNum&gt;&lt;DisplayText&gt;(Jerram et al., 2001)&lt;/DisplayText&gt;&lt;record&gt;&lt;rec-number&gt;93&lt;/rec-number&gt;&lt;foreign-keys&gt;&lt;key app="EN" db-id="5d95a2xfmawp9jevtd0x0r5qapwwdf5f5dda" timestamp="1437501415"&gt;93&lt;/key&gt;&lt;/foreign-keys&gt;&lt;ref-type name="Book Section"&gt;5&lt;/ref-type&gt;&lt;contributors&gt;&lt;authors&gt;&lt;author&gt;Jerram, R., &lt;/author&gt;&lt;author&gt;Jefferson, R., &lt;/author&gt;&lt;author&gt;Backshall, J.&lt;/author&gt;&lt;/authors&gt;&lt;/contributors&gt;&lt;titles&gt;&lt;title&gt;Chapter 7 Meadows And Enclosed Pasture &lt;/title&gt;&lt;secondary-title&gt;The upland management handbook&lt;/secondary-title&gt;&lt;/titles&gt;&lt;dates&gt;&lt;year&gt;2001&lt;/year&gt;&lt;/dates&gt;&lt;pub-location&gt;Natural England &lt;/pub-location&gt;&lt;urls&gt;&lt;related-urls&gt;&lt;url&gt;http://adlib.everysite.co.uk/adlib/defra/content.aspx?id=2RRVTHNXTS.8PP4TVRHDDGBU&lt;/url&gt;&lt;/related-urls&gt;&lt;/urls&gt;&lt;/record&gt;&lt;/Cite&gt;&lt;/EndNote&gt;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(Jerram et al., 2001)</w:t>
      </w:r>
      <w:r w:rsidRPr="009C24BC">
        <w:rPr>
          <w:rFonts w:ascii="Times New Roman" w:hAnsi="Times New Roman" w:cs="Times New Roman"/>
        </w:rPr>
        <w:fldChar w:fldCharType="end"/>
      </w:r>
      <w:r w:rsidRPr="009C24BC">
        <w:rPr>
          <w:rFonts w:ascii="Times New Roman" w:hAnsi="Times New Roman" w:cs="Times New Roman"/>
        </w:rPr>
        <w:t xml:space="preserve">. Whereas the demand for fodder fed i.e. composite animal feed in the UK is dominated by cattle (especially dairy cows), and poultry (Fig </w:t>
      </w:r>
      <w:r w:rsidR="006C33A8" w:rsidRPr="009C24BC">
        <w:rPr>
          <w:rFonts w:ascii="Times New Roman" w:hAnsi="Times New Roman" w:cs="Times New Roman"/>
        </w:rPr>
        <w:t>S2</w:t>
      </w:r>
      <w:r w:rsidRPr="009C24BC">
        <w:rPr>
          <w:rFonts w:ascii="Times New Roman" w:hAnsi="Times New Roman" w:cs="Times New Roman"/>
        </w:rPr>
        <w:t xml:space="preserve">). Cereal and their by-products together with soya/oilseed rape cake and meal dominate the raw material supply for UK compound feed; cereal (especially wheat) accounts for approximately 40% of total animal compound feed and 60% of integrated poultry feed. </w:t>
      </w:r>
    </w:p>
    <w:p w14:paraId="355D77D5" w14:textId="77777777" w:rsidR="006478A3" w:rsidRPr="009C24BC" w:rsidRDefault="006478A3" w:rsidP="006478A3">
      <w:pPr>
        <w:autoSpaceDE w:val="0"/>
        <w:autoSpaceDN w:val="0"/>
        <w:adjustRightInd w:val="0"/>
        <w:spacing w:after="0" w:line="240" w:lineRule="auto"/>
        <w:jc w:val="both"/>
        <w:rPr>
          <w:rFonts w:ascii="Times New Roman" w:hAnsi="Times New Roman" w:cs="Times New Roman"/>
        </w:rPr>
      </w:pPr>
    </w:p>
    <w:p w14:paraId="5DCB0529" w14:textId="77777777" w:rsidR="006478A3" w:rsidRPr="009C24BC" w:rsidRDefault="006478A3" w:rsidP="006478A3">
      <w:pPr>
        <w:tabs>
          <w:tab w:val="left" w:pos="7088"/>
        </w:tabs>
        <w:spacing w:after="120" w:line="360" w:lineRule="auto"/>
        <w:jc w:val="both"/>
        <w:rPr>
          <w:rFonts w:ascii="Times New Roman" w:hAnsi="Times New Roman" w:cs="Times New Roman"/>
        </w:rPr>
      </w:pPr>
      <w:r w:rsidRPr="009C24BC">
        <w:rPr>
          <w:rFonts w:ascii="Times New Roman" w:hAnsi="Times New Roman" w:cs="Times New Roman"/>
          <w:noProof/>
          <w:lang w:eastAsia="zh-CN"/>
        </w:rPr>
        <w:drawing>
          <wp:inline distT="0" distB="0" distL="0" distR="0" wp14:anchorId="400FAF8C" wp14:editId="34CE5B30">
            <wp:extent cx="5374257" cy="188571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9736" cy="1887636"/>
                    </a:xfrm>
                    <a:prstGeom prst="rect">
                      <a:avLst/>
                    </a:prstGeom>
                    <a:noFill/>
                  </pic:spPr>
                </pic:pic>
              </a:graphicData>
            </a:graphic>
          </wp:inline>
        </w:drawing>
      </w:r>
    </w:p>
    <w:p w14:paraId="5091ED7B" w14:textId="52A4C158" w:rsidR="006478A3" w:rsidRPr="009C24BC" w:rsidRDefault="006478A3" w:rsidP="006478A3">
      <w:pPr>
        <w:tabs>
          <w:tab w:val="left" w:pos="7088"/>
        </w:tabs>
        <w:spacing w:after="120" w:line="360" w:lineRule="auto"/>
        <w:jc w:val="both"/>
        <w:rPr>
          <w:rFonts w:ascii="Times New Roman" w:hAnsi="Times New Roman" w:cs="Times New Roman"/>
          <w:b/>
        </w:rPr>
      </w:pPr>
      <w:r w:rsidRPr="009C24BC">
        <w:rPr>
          <w:rFonts w:ascii="Times New Roman" w:hAnsi="Times New Roman" w:cs="Times New Roman"/>
          <w:b/>
        </w:rPr>
        <w:t xml:space="preserve">Figure </w:t>
      </w:r>
      <w:r w:rsidR="006C33A8" w:rsidRPr="009C24BC">
        <w:rPr>
          <w:rFonts w:ascii="Times New Roman" w:hAnsi="Times New Roman" w:cs="Times New Roman"/>
          <w:b/>
        </w:rPr>
        <w:t>S1</w:t>
      </w:r>
      <w:r w:rsidRPr="009C24BC">
        <w:rPr>
          <w:rFonts w:ascii="Times New Roman" w:hAnsi="Times New Roman" w:cs="Times New Roman"/>
          <w:b/>
        </w:rPr>
        <w:t xml:space="preserve"> Cattle population in the UK </w:t>
      </w:r>
      <w:r w:rsidRPr="009C24BC">
        <w:rPr>
          <w:rFonts w:ascii="Times New Roman" w:hAnsi="Times New Roman" w:cs="Times New Roman"/>
          <w:b/>
        </w:rPr>
        <w:fldChar w:fldCharType="begin"/>
      </w:r>
      <w:r w:rsidR="008F5A64" w:rsidRPr="009C24BC">
        <w:rPr>
          <w:rFonts w:ascii="Times New Roman" w:hAnsi="Times New Roman" w:cs="Times New Roman"/>
          <w:b/>
        </w:rPr>
        <w:instrText xml:space="preserve"> ADDIN EN.CITE &lt;EndNote&gt;&lt;Cite&gt;&lt;Author&gt;DEFRA&lt;/Author&gt;&lt;Year&gt;2015&lt;/Year&gt;&lt;RecNum&gt;95&lt;/RecNum&gt;&lt;DisplayText&gt;(DEFRA, 2015d)&lt;/DisplayText&gt;&lt;record&gt;&lt;rec-number&gt;95&lt;/rec-number&gt;&lt;foreign-keys&gt;&lt;key app="EN" db-id="5d95a2xfmawp9jevtd0x0r5qapwwdf5f5dda" timestamp="1438283964"&gt;95&lt;/key&gt;&lt;/foreign-keys&gt;&lt;ref-type name="Online Database"&gt;45&lt;/ref-type&gt;&lt;contributors&gt;&lt;authors&gt;&lt;author&gt;DEFRA&lt;/author&gt;&lt;/authors&gt;&lt;/contributors&gt;&lt;titles&gt;&lt;title&gt;Structure of the agricultural industry&lt;/title&gt;&lt;/titles&gt;&lt;dates&gt;&lt;year&gt;2015&lt;/year&gt;&lt;pub-dates&gt;&lt;date&gt;July 30 2015&lt;/date&gt;&lt;/pub-dates&gt;&lt;/dates&gt;&lt;pub-location&gt;Department for Environment, Food &amp;amp; Rural Affairs UK&lt;/pub-location&gt;&lt;urls&gt;&lt;related-urls&gt;&lt;url&gt;https://www.gov.uk/government/collections/structure-of-the-agricultural-industry#history&lt;/url&gt;&lt;/related-urls&gt;&lt;/urls&gt;&lt;/record&gt;&lt;/Cite&gt;&lt;/EndNote&gt;</w:instrText>
      </w:r>
      <w:r w:rsidRPr="009C24BC">
        <w:rPr>
          <w:rFonts w:ascii="Times New Roman" w:hAnsi="Times New Roman" w:cs="Times New Roman"/>
          <w:b/>
        </w:rPr>
        <w:fldChar w:fldCharType="separate"/>
      </w:r>
      <w:r w:rsidR="001E24E1" w:rsidRPr="009C24BC">
        <w:rPr>
          <w:rFonts w:ascii="Times New Roman" w:hAnsi="Times New Roman" w:cs="Times New Roman"/>
          <w:b/>
          <w:noProof/>
        </w:rPr>
        <w:t>(DEFRA, 2015d)</w:t>
      </w:r>
      <w:r w:rsidRPr="009C24BC">
        <w:rPr>
          <w:rFonts w:ascii="Times New Roman" w:hAnsi="Times New Roman" w:cs="Times New Roman"/>
          <w:b/>
        </w:rPr>
        <w:fldChar w:fldCharType="end"/>
      </w:r>
    </w:p>
    <w:p w14:paraId="09505DA1" w14:textId="77777777" w:rsidR="006478A3" w:rsidRPr="009C24BC" w:rsidRDefault="006478A3" w:rsidP="006478A3">
      <w:pPr>
        <w:tabs>
          <w:tab w:val="left" w:pos="7088"/>
        </w:tabs>
        <w:spacing w:after="120" w:line="360" w:lineRule="auto"/>
        <w:jc w:val="both"/>
        <w:rPr>
          <w:rFonts w:ascii="Times New Roman" w:hAnsi="Times New Roman" w:cs="Times New Roman"/>
        </w:rPr>
      </w:pPr>
      <w:r w:rsidRPr="009C24BC">
        <w:rPr>
          <w:rFonts w:ascii="Times New Roman" w:hAnsi="Times New Roman" w:cs="Times New Roman"/>
          <w:noProof/>
          <w:lang w:eastAsia="zh-CN"/>
        </w:rPr>
        <w:lastRenderedPageBreak/>
        <mc:AlternateContent>
          <mc:Choice Requires="wps">
            <w:drawing>
              <wp:anchor distT="0" distB="0" distL="114300" distR="114300" simplePos="0" relativeHeight="251659264" behindDoc="0" locked="0" layoutInCell="1" allowOverlap="1" wp14:anchorId="6B8D054B" wp14:editId="1C110BAE">
                <wp:simplePos x="0" y="0"/>
                <wp:positionH relativeFrom="column">
                  <wp:posOffset>414068</wp:posOffset>
                </wp:positionH>
                <wp:positionV relativeFrom="paragraph">
                  <wp:posOffset>67777</wp:posOffset>
                </wp:positionV>
                <wp:extent cx="388189" cy="21566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8189" cy="2156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660E2" w14:textId="77777777" w:rsidR="006478A3" w:rsidRPr="00A00AF3" w:rsidRDefault="006478A3" w:rsidP="006478A3">
                            <w:pPr>
                              <w:rPr>
                                <w:rFonts w:ascii="Times New Roman" w:hAnsi="Times New Roman" w:cs="Times New Roman"/>
                                <w:b/>
                                <w:sz w:val="20"/>
                                <w:szCs w:val="20"/>
                              </w:rPr>
                            </w:pPr>
                            <w:r w:rsidRPr="00A00AF3">
                              <w:rPr>
                                <w:rFonts w:ascii="Times New Roman" w:hAnsi="Times New Roman" w:cs="Times New Roman"/>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2.6pt;margin-top:5.35pt;width:30.5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PYigIAAIsFAAAOAAAAZHJzL2Uyb0RvYy54bWysVMFuGyEQvVfqPyDuzdpO4jqW15GbKFWl&#10;KImaVDljFmxUYChg77pfn4Hdtd00l1S97ALzZoZ5vJnZZWM02QofFNiSDk8GlAjLoVJ2VdIfTzef&#10;JpSEyGzFNFhR0p0I9HL+8cOsdlMxgjXoSniCQWyY1q6k6xjdtCgCXwvDwgk4YdEowRsWcetXReVZ&#10;jdGNLkaDwbiowVfOAxch4Ol1a6TzHF9KweO9lEFEokuKd4v56/N3mb7FfMamK8/cWvHuGuwfbmGY&#10;sph0H+qaRUY2Xv0VyijuIYCMJxxMAVIqLnINWM1w8KqaxzVzIteC5AS3pyn8v7D8bvvgiapKOkJ6&#10;LDP4Rk+iieQLNASPkJ/ahSnCHh0CY4Pn+M79ecDDVHYjvUl/LIigHUPt9uymaBwPTyeT4eSCEo6m&#10;0fB8PM5RioOz8yF+FWBIWpTU4+NlTtn2NkS8CEJ7SMoVQKvqRmmdN0kw4kp7smX41Dr2wf9AaUvq&#10;ko5Pzwc5sIXk3kbWNoURWTJdulR4W2BexZ0WCaPtdyGRslznG7kZ58Lu82d0QklM9R7HDn+41Xuc&#10;2zrQI2cGG/fORlnwufrcYwfKqp89ZbLFI+FHdadlbJZNJ4glVDvUg4e2o4LjNwpf7ZaF+MA8thBK&#10;AMdCvMeP1ICsQ7eiZA3+91vnCY/KRislNbZkScOvDfOCEv3NouYvhmdnqYfz5uz8c1KsP7Ysjy12&#10;Y64ApTDEAeR4XiZ81P1SejDPOD0WKSuamOWYu6SxX17FdlDg9OFiscgg7FrH4q19dDyFTvQmTT41&#10;z8y7TrgRFX8HffOy6Sv9ttjkaWGxiSBVFnciuGW1Ix47Pmu+m05ppBzvM+owQ+cvAAAA//8DAFBL&#10;AwQUAAYACAAAACEAOcxMbN8AAAAIAQAADwAAAGRycy9kb3ducmV2LnhtbEyPS0+EQBCE7yb+h0mb&#10;eDHuIOyCQZqNMT4Sby4+4m2WaYHI9BBmFvDfO3vSY3VVqr4utovpxUSj6ywjXK0iEMS11R03CK/V&#10;w+U1COcVa9VbJoQfcrAtT08KlWs78wtNO9+IUMIuVwit90MupatbMsqt7EAcvC87GuWDHBupRzWH&#10;ctPLOIpSaVTHYaFVA921VH/vDgbh86L5eHbL49ucbJLh/mmqsnddIZ6fLbc3IDwt/i8MR/yADmVg&#10;2tsDayd6hHQTh2S4RxmIox+nCYg9wnqdgSwL+f+B8hcAAP//AwBQSwECLQAUAAYACAAAACEAtoM4&#10;kv4AAADhAQAAEwAAAAAAAAAAAAAAAAAAAAAAW0NvbnRlbnRfVHlwZXNdLnhtbFBLAQItABQABgAI&#10;AAAAIQA4/SH/1gAAAJQBAAALAAAAAAAAAAAAAAAAAC8BAABfcmVscy8ucmVsc1BLAQItABQABgAI&#10;AAAAIQBuiSPYigIAAIsFAAAOAAAAAAAAAAAAAAAAAC4CAABkcnMvZTJvRG9jLnhtbFBLAQItABQA&#10;BgAIAAAAIQA5zExs3wAAAAgBAAAPAAAAAAAAAAAAAAAAAOQEAABkcnMvZG93bnJldi54bWxQSwUG&#10;AAAAAAQABADzAAAA8AUAAAAA&#10;" fillcolor="white [3201]" stroked="f" strokeweight=".5pt">
                <v:textbox>
                  <w:txbxContent>
                    <w:p w14:paraId="74F660E2" w14:textId="77777777" w:rsidR="006478A3" w:rsidRPr="00A00AF3" w:rsidRDefault="006478A3" w:rsidP="006478A3">
                      <w:pPr>
                        <w:rPr>
                          <w:rFonts w:ascii="Times New Roman" w:hAnsi="Times New Roman" w:cs="Times New Roman"/>
                          <w:b/>
                          <w:sz w:val="20"/>
                          <w:szCs w:val="20"/>
                        </w:rPr>
                      </w:pPr>
                      <w:r w:rsidRPr="00A00AF3">
                        <w:rPr>
                          <w:rFonts w:ascii="Times New Roman" w:hAnsi="Times New Roman" w:cs="Times New Roman"/>
                          <w:b/>
                          <w:sz w:val="20"/>
                          <w:szCs w:val="20"/>
                        </w:rPr>
                        <w:t>A</w:t>
                      </w:r>
                    </w:p>
                  </w:txbxContent>
                </v:textbox>
              </v:shape>
            </w:pict>
          </mc:Fallback>
        </mc:AlternateContent>
      </w:r>
      <w:r w:rsidRPr="009C24BC">
        <w:rPr>
          <w:rFonts w:ascii="Times New Roman" w:hAnsi="Times New Roman" w:cs="Times New Roman"/>
          <w:noProof/>
          <w:lang w:eastAsia="zh-CN"/>
        </w:rPr>
        <w:drawing>
          <wp:inline distT="0" distB="0" distL="0" distR="0" wp14:anchorId="54F9C862" wp14:editId="0D893DF5">
            <wp:extent cx="4999573" cy="23636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0684" cy="2364163"/>
                    </a:xfrm>
                    <a:prstGeom prst="rect">
                      <a:avLst/>
                    </a:prstGeom>
                    <a:noFill/>
                  </pic:spPr>
                </pic:pic>
              </a:graphicData>
            </a:graphic>
          </wp:inline>
        </w:drawing>
      </w:r>
    </w:p>
    <w:p w14:paraId="6B24AA13" w14:textId="77777777" w:rsidR="006478A3" w:rsidRPr="009C24BC" w:rsidRDefault="006478A3" w:rsidP="006478A3">
      <w:pPr>
        <w:tabs>
          <w:tab w:val="left" w:pos="7088"/>
        </w:tabs>
        <w:spacing w:after="120" w:line="360" w:lineRule="auto"/>
        <w:jc w:val="both"/>
        <w:rPr>
          <w:rFonts w:ascii="Times New Roman" w:hAnsi="Times New Roman" w:cs="Times New Roman"/>
        </w:rPr>
      </w:pPr>
      <w:r w:rsidRPr="009C24BC">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651A9820" wp14:editId="484ADF56">
                <wp:simplePos x="0" y="0"/>
                <wp:positionH relativeFrom="column">
                  <wp:posOffset>410845</wp:posOffset>
                </wp:positionH>
                <wp:positionV relativeFrom="paragraph">
                  <wp:posOffset>100330</wp:posOffset>
                </wp:positionV>
                <wp:extent cx="387985" cy="2152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7985" cy="215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5F8F8" w14:textId="77777777" w:rsidR="006478A3" w:rsidRPr="00A00AF3" w:rsidRDefault="006478A3" w:rsidP="006478A3">
                            <w:pPr>
                              <w:rPr>
                                <w:rFonts w:ascii="Times New Roman" w:hAnsi="Times New Roman" w:cs="Times New Roman"/>
                                <w:b/>
                                <w:sz w:val="20"/>
                                <w:szCs w:val="20"/>
                              </w:rPr>
                            </w:pPr>
                            <w:r>
                              <w:rPr>
                                <w:rFonts w:ascii="Times New Roman" w:hAnsi="Times New Roman" w:cs="Times New Roman"/>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27" type="#_x0000_t202" style="position:absolute;left:0;text-align:left;margin-left:32.35pt;margin-top:7.9pt;width:30.55pt;height:1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gIAAJIFAAAOAAAAZHJzL2Uyb0RvYy54bWysVEtvGyEQvlfqf0Dcm7Wd2HGsrCM3UapK&#10;VhLVrnLGLMSowFDA3nV/fQd2/WiaS6pedmHmmxnmm8f1TWM02QofFNiS9s96lAjLoVL2paTfl/ef&#10;xpSEyGzFNFhR0p0I9Gb68cN17SZiAGvQlfAEndgwqV1J1zG6SVEEvhaGhTNwwqJSgjcs4tW/FJVn&#10;NXo3uhj0eqOiBl85D1yEgNK7Vkmn2b+UgsdHKYOIRJcU3xbz1+fvKn2L6TWbvHjm1op3z2D/8ArD&#10;lMWgB1d3LDKy8eovV0ZxDwFkPONgCpBScZFzwGz6vVfZLNbMiZwLkhPcgabw/9zyh+2TJ6oq6aBP&#10;iWUGa7QUTSSfoSEoQn5qFyYIWzgExgblWOe9PKAwpd1Ib9IfEyKoR6Z3B3aTN47C8/Hl1XhICUfV&#10;oD8cjIbJS3E0dj7ELwIMSYeSeixe5pRt5yG20D0kxQqgVXWvtM6X1DDiVnuyZVhqHfMT0fkfKG1J&#10;XdLR+bCXHVtI5q1nbZMbkVumC5cSbxPMp7jTImG0/SYkUpbzfCM241zYQ/yMTiiJod5j2OGPr3qP&#10;cZsHWuTIYOPB2CgLPmefZ+xIWfVjT5ls8Vibk7zTMTarJvfKof4rqHbYFh7awQqO3yss3pyF+MQ8&#10;ThJ2Am6H+IgfqQHJh+5EyRr8r7fkCY8NjlpKapzMkoafG+YFJfqrxda/6l9cpFHOl4vh5QAv/lSz&#10;OtXYjbkF7AjsbnxdPiZ81Puj9GCecYnMUlRUMcsxdknj/ngb232BS4iL2SyDcHgdi3O7cDy5Tiyn&#10;1lw2z8y7rn8jNv4D7GeYTV61cYtNlhZmmwhS5R5PPLesdvzj4Ocp6ZZU2iyn94w6rtLpbwAAAP//&#10;AwBQSwMEFAAGAAgAAAAhALsUeErfAAAACAEAAA8AAABkcnMvZG93bnJldi54bWxMj81OwzAQhO9I&#10;vIO1SFwQdehfIMSpEAIqcaNpQdzceEki4nUUu0l4ezYnuO3ujGa/STejbUSPna8dKbiZRSCQCmdq&#10;KhXs8+frWxA+aDK6cYQKftDDJjs/S3Vi3EBv2O9CKTiEfKIVVCG0iZS+qNBqP3MtEmtfrrM68NqV&#10;0nR64HDbyHkUraXVNfGHSrf4WGHxvTtZBZ9X5cerH18Ow2K1aJ+2fR6/m1ypy4vx4R5EwDH8mWHC&#10;Z3TImOnoTmS8aBSslzE7+b7iBpM+n4ajguVdDDJL5f8C2S8AAAD//wMAUEsBAi0AFAAGAAgAAAAh&#10;ALaDOJL+AAAA4QEAABMAAAAAAAAAAAAAAAAAAAAAAFtDb250ZW50X1R5cGVzXS54bWxQSwECLQAU&#10;AAYACAAAACEAOP0h/9YAAACUAQAACwAAAAAAAAAAAAAAAAAvAQAAX3JlbHMvLnJlbHNQSwECLQAU&#10;AAYACAAAACEAHvv5P44CAACSBQAADgAAAAAAAAAAAAAAAAAuAgAAZHJzL2Uyb0RvYy54bWxQSwEC&#10;LQAUAAYACAAAACEAuxR4St8AAAAIAQAADwAAAAAAAAAAAAAAAADoBAAAZHJzL2Rvd25yZXYueG1s&#10;UEsFBgAAAAAEAAQA8wAAAPQFAAAAAA==&#10;" fillcolor="white [3201]" stroked="f" strokeweight=".5pt">
                <v:textbox>
                  <w:txbxContent>
                    <w:p w14:paraId="4625F8F8" w14:textId="77777777" w:rsidR="006478A3" w:rsidRPr="00A00AF3" w:rsidRDefault="006478A3" w:rsidP="006478A3">
                      <w:pPr>
                        <w:rPr>
                          <w:rFonts w:ascii="Times New Roman" w:hAnsi="Times New Roman" w:cs="Times New Roman"/>
                          <w:b/>
                          <w:sz w:val="20"/>
                          <w:szCs w:val="20"/>
                        </w:rPr>
                      </w:pPr>
                      <w:r>
                        <w:rPr>
                          <w:rFonts w:ascii="Times New Roman" w:hAnsi="Times New Roman" w:cs="Times New Roman"/>
                          <w:b/>
                          <w:sz w:val="20"/>
                          <w:szCs w:val="20"/>
                        </w:rPr>
                        <w:t>B</w:t>
                      </w:r>
                    </w:p>
                  </w:txbxContent>
                </v:textbox>
              </v:shape>
            </w:pict>
          </mc:Fallback>
        </mc:AlternateContent>
      </w:r>
      <w:r w:rsidRPr="009C24BC">
        <w:rPr>
          <w:rFonts w:ascii="Times New Roman" w:hAnsi="Times New Roman" w:cs="Times New Roman"/>
          <w:noProof/>
          <w:lang w:eastAsia="zh-CN"/>
        </w:rPr>
        <w:drawing>
          <wp:inline distT="0" distB="0" distL="0" distR="0" wp14:anchorId="7B66CCAA" wp14:editId="31C6A193">
            <wp:extent cx="5607170" cy="26137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807" cy="2614085"/>
                    </a:xfrm>
                    <a:prstGeom prst="rect">
                      <a:avLst/>
                    </a:prstGeom>
                    <a:noFill/>
                  </pic:spPr>
                </pic:pic>
              </a:graphicData>
            </a:graphic>
          </wp:inline>
        </w:drawing>
      </w:r>
    </w:p>
    <w:p w14:paraId="789D8AC4" w14:textId="08DFEBEC" w:rsidR="006478A3" w:rsidRPr="009C24BC" w:rsidRDefault="006478A3" w:rsidP="006478A3">
      <w:pPr>
        <w:rPr>
          <w:rFonts w:ascii="Times New Roman" w:hAnsi="Times New Roman" w:cs="Times New Roman"/>
          <w:b/>
        </w:rPr>
      </w:pPr>
      <w:r w:rsidRPr="009C24BC">
        <w:rPr>
          <w:rFonts w:ascii="Times New Roman" w:hAnsi="Times New Roman" w:cs="Times New Roman"/>
          <w:b/>
        </w:rPr>
        <w:t xml:space="preserve">Figure </w:t>
      </w:r>
      <w:r w:rsidR="006C33A8" w:rsidRPr="009C24BC">
        <w:rPr>
          <w:rFonts w:ascii="Times New Roman" w:hAnsi="Times New Roman" w:cs="Times New Roman"/>
          <w:b/>
        </w:rPr>
        <w:t>S2</w:t>
      </w:r>
      <w:r w:rsidRPr="009C24BC">
        <w:rPr>
          <w:rFonts w:ascii="Times New Roman" w:hAnsi="Times New Roman" w:cs="Times New Roman"/>
          <w:b/>
        </w:rPr>
        <w:t xml:space="preserve"> Production of compound animal feed by livestock categories (A) and by cattle population (B) </w:t>
      </w:r>
      <w:r w:rsidRPr="009C24BC">
        <w:rPr>
          <w:rFonts w:ascii="Times New Roman" w:hAnsi="Times New Roman" w:cs="Times New Roman"/>
          <w:b/>
        </w:rPr>
        <w:fldChar w:fldCharType="begin"/>
      </w:r>
      <w:r w:rsidR="008F5A64" w:rsidRPr="009C24BC">
        <w:rPr>
          <w:rFonts w:ascii="Times New Roman" w:hAnsi="Times New Roman" w:cs="Times New Roman"/>
          <w:b/>
        </w:rPr>
        <w:instrText xml:space="preserve"> ADDIN EN.CITE &lt;EndNote&gt;&lt;Cite&gt;&lt;Author&gt;Defra&lt;/Author&gt;&lt;Year&gt;2015&lt;/Year&gt;&lt;RecNum&gt;85&lt;/RecNum&gt;&lt;DisplayText&gt;(Defra, 2015c)&lt;/DisplayText&gt;&lt;record&gt;&lt;rec-number&gt;85&lt;/rec-number&gt;&lt;foreign-keys&gt;&lt;key app="EN" db-id="5d95a2xfmawp9jevtd0x0r5qapwwdf5f5dda" timestamp="1429709407"&gt;85&lt;/key&gt;&lt;/foreign-keys&gt;&lt;ref-type name="Online Database"&gt;45&lt;/ref-type&gt;&lt;contributors&gt;&lt;authors&gt;&lt;author&gt;Defra&lt;/author&gt;&lt;/authors&gt;&lt;/contributors&gt;&lt;titles&gt;&lt;title&gt;Latest animal feed production statistics&lt;/title&gt;&lt;/titles&gt;&lt;dates&gt;&lt;year&gt;2015&lt;/year&gt;&lt;pub-dates&gt;&lt;date&gt;April 2015&lt;/date&gt;&lt;/pub-dates&gt;&lt;/dates&gt;&lt;publisher&gt;Department for Environment, Food &amp;amp; Rural Affairs&lt;/publisher&gt;&lt;urls&gt;&lt;related-urls&gt;&lt;url&gt;https://www.gov.uk/government/statistics/animal-feed-production&lt;/url&gt;&lt;/related-urls&gt;&lt;/urls&gt;&lt;/record&gt;&lt;/Cite&gt;&lt;/EndNote&gt;</w:instrText>
      </w:r>
      <w:r w:rsidRPr="009C24BC">
        <w:rPr>
          <w:rFonts w:ascii="Times New Roman" w:hAnsi="Times New Roman" w:cs="Times New Roman"/>
          <w:b/>
        </w:rPr>
        <w:fldChar w:fldCharType="separate"/>
      </w:r>
      <w:r w:rsidR="001E24E1" w:rsidRPr="009C24BC">
        <w:rPr>
          <w:rFonts w:ascii="Times New Roman" w:hAnsi="Times New Roman" w:cs="Times New Roman"/>
          <w:b/>
          <w:noProof/>
        </w:rPr>
        <w:t>(Defra, 2015c)</w:t>
      </w:r>
      <w:r w:rsidRPr="009C24BC">
        <w:rPr>
          <w:rFonts w:ascii="Times New Roman" w:hAnsi="Times New Roman" w:cs="Times New Roman"/>
          <w:b/>
        </w:rPr>
        <w:fldChar w:fldCharType="end"/>
      </w:r>
    </w:p>
    <w:p w14:paraId="4EE188BF" w14:textId="77777777" w:rsidR="006478A3" w:rsidRPr="009C24BC" w:rsidRDefault="006478A3" w:rsidP="006478A3">
      <w:pPr>
        <w:autoSpaceDE w:val="0"/>
        <w:autoSpaceDN w:val="0"/>
        <w:adjustRightInd w:val="0"/>
        <w:spacing w:after="0" w:line="240" w:lineRule="auto"/>
        <w:jc w:val="both"/>
        <w:rPr>
          <w:rFonts w:ascii="Times New Roman" w:hAnsi="Times New Roman" w:cs="Times New Roman"/>
        </w:rPr>
      </w:pPr>
    </w:p>
    <w:p w14:paraId="3D47F7DB" w14:textId="4DFCC16C" w:rsidR="006478A3" w:rsidRPr="009C24BC" w:rsidRDefault="006478A3" w:rsidP="009C24BC">
      <w:pPr>
        <w:autoSpaceDE w:val="0"/>
        <w:autoSpaceDN w:val="0"/>
        <w:adjustRightInd w:val="0"/>
        <w:spacing w:after="100" w:line="360" w:lineRule="auto"/>
        <w:jc w:val="both"/>
        <w:rPr>
          <w:rFonts w:ascii="Times New Roman" w:hAnsi="Times New Roman" w:cs="Times New Roman"/>
        </w:rPr>
      </w:pPr>
      <w:r w:rsidRPr="009C24BC">
        <w:rPr>
          <w:rFonts w:ascii="Times New Roman" w:hAnsi="Times New Roman" w:cs="Times New Roman"/>
        </w:rPr>
        <w:t>In the UK 100% of milk supply was met by domestic production. Total dairy population can be classified into three types - 1) cows at grass 2) composite category</w:t>
      </w:r>
      <w:r w:rsidR="006C33A8" w:rsidRPr="009C24BC">
        <w:rPr>
          <w:rFonts w:ascii="Times New Roman" w:hAnsi="Times New Roman" w:cs="Times New Roman"/>
        </w:rPr>
        <w:t xml:space="preserve"> </w:t>
      </w:r>
      <w:r w:rsidRPr="009C24BC">
        <w:rPr>
          <w:rFonts w:ascii="Times New Roman" w:hAnsi="Times New Roman" w:cs="Times New Roman"/>
        </w:rPr>
        <w:t xml:space="preserve">and 3) high-output cows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&lt;EndNote&gt;&lt;Cite&gt;&lt;Author&gt;AHDB&lt;/Author&gt;&lt;Year&gt;2014&lt;/Year&gt;&lt;RecNum&gt;97&lt;/RecNum&gt;&lt;DisplayText&gt;(AHDB, 2014)&lt;/DisplayText&gt;&lt;record&gt;&lt;rec-number&gt;97&lt;/rec-number&gt;&lt;foreign-keys&gt;&lt;key app="EN" db-id="5d95a2xfmawp9jevtd0x0r5qapwwdf5f5dda" timestamp="1438289250"&gt;97&lt;/key&gt;&lt;/foreign-keys&gt;&lt;ref-type name="Report"&gt;27&lt;/ref-type&gt;&lt;contributors&gt;&lt;authors&gt;&lt;author&gt;AHDB&lt;/author&gt;&lt;/authors&gt;&lt;/contributors&gt;&lt;titles&gt;&lt;title&gt;Dairy Statistics An Insider Guide 2014&lt;/title&gt;&lt;/titles&gt;&lt;dates&gt;&lt;year&gt;2014&lt;/year&gt;&lt;/dates&gt;&lt;pub-location&gt; Agriculture and Horticulture Development Board Diary&lt;/pub-location&gt;&lt;urls&gt;&lt;related-urls&gt;&lt;url&gt;http://dairy.ahdb.org.uk/resources-library/market-information/dairy-statistics/dairy-statistics-an-insiders-guide-2014/#.VbqNVSih0aV&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(AHDB, 2014)</w:t>
      </w:r>
      <w:r w:rsidRPr="009C24BC">
        <w:rPr>
          <w:rFonts w:ascii="Times New Roman" w:hAnsi="Times New Roman" w:cs="Times New Roman"/>
        </w:rPr>
        <w:fldChar w:fldCharType="end"/>
      </w:r>
      <w:r w:rsidRPr="009C24BC">
        <w:rPr>
          <w:rFonts w:ascii="Times New Roman" w:hAnsi="Times New Roman" w:cs="Times New Roman"/>
        </w:rPr>
        <w:t xml:space="preserve">. </w:t>
      </w:r>
      <w:r w:rsidRPr="009C24BC">
        <w:rPr>
          <w:rFonts w:ascii="Times New Roman" w:eastAsiaTheme="minorEastAsia" w:hAnsi="Times New Roman" w:cs="Times New Roman"/>
          <w:lang w:eastAsia="zh-CN"/>
        </w:rPr>
        <w:t xml:space="preserve">Based on the average milk yield and dairy cattle population for each classification investigated in the </w:t>
      </w:r>
      <w:proofErr w:type="spellStart"/>
      <w:r w:rsidRPr="009C24BC">
        <w:rPr>
          <w:rFonts w:ascii="Times New Roman" w:hAnsi="Times New Roman" w:cs="Times New Roman"/>
        </w:rPr>
        <w:t>DairyCo’s</w:t>
      </w:r>
      <w:proofErr w:type="spellEnd"/>
      <w:r w:rsidRPr="009C24BC">
        <w:rPr>
          <w:rFonts w:ascii="Times New Roman" w:hAnsi="Times New Roman" w:cs="Times New Roman"/>
        </w:rPr>
        <w:t xml:space="preserve"> </w:t>
      </w:r>
      <w:r w:rsidRPr="009C24BC">
        <w:rPr>
          <w:rFonts w:ascii="Times New Roman" w:eastAsiaTheme="minorEastAsia" w:hAnsi="Times New Roman" w:cs="Times New Roman"/>
          <w:lang w:eastAsia="zh-CN"/>
        </w:rPr>
        <w:t>survey, the weighted average milk yield for the entire UK dairy system is estimated as 7472 L/LU/y, (close to the data reported in 2012 statistics 7477L/LU/y)</w:t>
      </w:r>
      <w:r w:rsidRPr="009C24BC">
        <w:rPr>
          <w:rFonts w:ascii="Times New Roman" w:eastAsiaTheme="minorEastAsia" w:hAnsi="Times New Roman" w:cs="Times New Roman"/>
          <w:lang w:eastAsia="zh-CN"/>
        </w:rPr>
        <w:fldChar w:fldCharType="begin"/>
      </w:r>
      <w:r w:rsidR="008F5A64" w:rsidRPr="009C24BC">
        <w:rPr>
          <w:rFonts w:ascii="Times New Roman" w:eastAsiaTheme="minorEastAsia" w:hAnsi="Times New Roman" w:cs="Times New Roman"/>
          <w:lang w:eastAsia="zh-CN"/>
        </w:rPr>
        <w:instrText xml:space="preserve"> ADDIN EN.CITE &lt;EndNote&gt;&lt;Cite&gt;&lt;Author&gt;DEFRA&lt;/Author&gt;&lt;Year&gt;2015&lt;/Year&gt;&lt;RecNum&gt;89&lt;/RecNum&gt;&lt;DisplayText&gt;(DEFRA, 2015a)&lt;/DisplayText&gt;&lt;record&gt;&lt;rec-number&gt;89&lt;/rec-number&gt;&lt;foreign-keys&gt;&lt;key app="EN" db-id="5d95a2xfmawp9jevtd0x0r5qapwwdf5f5dda" timestamp="1429715013"&gt;89&lt;/key&gt;&lt;/foreign-keys&gt;&lt;ref-type name="Online Database"&gt;45&lt;/ref-type&gt;&lt;contributors&gt;&lt;authors&gt;&lt;author&gt;DEFRA&lt;/author&gt;&lt;/authors&gt;&lt;/contributors&gt;&lt;titles&gt;&lt;title&gt;Agriculture in the United Kingdom data sets&lt;/title&gt;&lt;/titles&gt;&lt;dates&gt;&lt;year&gt;2015&lt;/year&gt;&lt;pub-dates&gt;&lt;date&gt;April 2015&lt;/date&gt;&lt;/pub-dates&gt;&lt;/dates&gt;&lt;publisher&gt;Department for Environment, Food &amp;amp; Rural Affairs&lt;/publisher&gt;&lt;urls&gt;&lt;related-urls&gt;&lt;url&gt;https://www.gov.uk/government/statistical-data-sets/agriculture-in-the-united-kingdom&lt;/url&gt;&lt;/related-urls&gt;&lt;/urls&gt;&lt;/record&gt;&lt;/Cite&gt;&lt;/EndNote&gt;</w:instrText>
      </w:r>
      <w:r w:rsidRPr="009C24BC">
        <w:rPr>
          <w:rFonts w:ascii="Times New Roman" w:eastAsiaTheme="minorEastAsia" w:hAnsi="Times New Roman" w:cs="Times New Roman"/>
          <w:lang w:eastAsia="zh-CN"/>
        </w:rPr>
        <w:fldChar w:fldCharType="separate"/>
      </w:r>
      <w:r w:rsidR="001E24E1" w:rsidRPr="009C24BC">
        <w:rPr>
          <w:rFonts w:ascii="Times New Roman" w:eastAsiaTheme="minorEastAsia" w:hAnsi="Times New Roman" w:cs="Times New Roman"/>
          <w:noProof/>
          <w:lang w:eastAsia="zh-CN"/>
        </w:rPr>
        <w:t>(DEFRA, 2015a)</w:t>
      </w:r>
      <w:r w:rsidRPr="009C24BC">
        <w:rPr>
          <w:rFonts w:ascii="Times New Roman" w:eastAsiaTheme="minorEastAsia" w:hAnsi="Times New Roman" w:cs="Times New Roman"/>
          <w:lang w:eastAsia="zh-CN"/>
        </w:rPr>
        <w:fldChar w:fldCharType="end"/>
      </w:r>
      <w:r w:rsidRPr="009C24BC">
        <w:rPr>
          <w:rFonts w:ascii="Times New Roman" w:eastAsiaTheme="minorEastAsia" w:hAnsi="Times New Roman" w:cs="Times New Roman"/>
          <w:lang w:eastAsia="zh-CN"/>
        </w:rPr>
        <w:t>. Thus i</w:t>
      </w:r>
      <w:r w:rsidRPr="009C24BC">
        <w:rPr>
          <w:rFonts w:ascii="Times New Roman" w:hAnsi="Times New Roman" w:cs="Times New Roman"/>
        </w:rPr>
        <w:t xml:space="preserve">t is assumed that the proportion of three dairy farm classification in </w:t>
      </w:r>
      <w:proofErr w:type="spellStart"/>
      <w:r w:rsidRPr="009C24BC">
        <w:rPr>
          <w:rFonts w:ascii="Times New Roman" w:hAnsi="Times New Roman" w:cs="Times New Roman"/>
        </w:rPr>
        <w:t>DairyCo’s</w:t>
      </w:r>
      <w:proofErr w:type="spellEnd"/>
      <w:r w:rsidRPr="009C24BC">
        <w:rPr>
          <w:rFonts w:ascii="Times New Roman" w:hAnsi="Times New Roman" w:cs="Times New Roman"/>
        </w:rPr>
        <w:t xml:space="preserve"> </w:t>
      </w:r>
      <w:proofErr w:type="spellStart"/>
      <w:r w:rsidRPr="009C24BC">
        <w:rPr>
          <w:rFonts w:ascii="Times New Roman" w:hAnsi="Times New Roman" w:cs="Times New Roman"/>
        </w:rPr>
        <w:t>Milkbench</w:t>
      </w:r>
      <w:proofErr w:type="spellEnd"/>
      <w:r w:rsidRPr="009C24BC">
        <w:rPr>
          <w:rFonts w:ascii="Times New Roman" w:hAnsi="Times New Roman" w:cs="Times New Roman"/>
        </w:rPr>
        <w:t xml:space="preserve">+ Evidence Report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&lt;EndNote&gt;&lt;Cite&gt;&lt;Author&gt;AHDB&lt;/Author&gt;&lt;Year&gt;2014&lt;/Year&gt;&lt;RecNum&gt;97&lt;/RecNum&gt;&lt;DisplayText&gt;(AHDB, 2014)&lt;/DisplayText&gt;&lt;record&gt;&lt;rec-number&gt;97&lt;/rec-number&gt;&lt;foreign-keys&gt;&lt;key app="EN" db-id="5d95a2xfmawp9jevtd0x0r5qapwwdf5f5dda" timestamp="1438289250"&gt;97&lt;/key&gt;&lt;/foreign-keys&gt;&lt;ref-type name="Report"&gt;27&lt;/ref-type&gt;&lt;contributors&gt;&lt;authors&gt;&lt;author&gt;AHDB&lt;/author&gt;&lt;/authors&gt;&lt;/contributors&gt;&lt;titles&gt;&lt;title&gt;Dairy Statistics An Insider Guide 2014&lt;/title&gt;&lt;/titles&gt;&lt;dates&gt;&lt;year&gt;2014&lt;/year&gt;&lt;/dates&gt;&lt;pub-location&gt; Agriculture and Horticulture Development Board Diary&lt;/pub-location&gt;&lt;urls&gt;&lt;related-urls&gt;&lt;url&gt;http://dairy.ahdb.org.uk/resources-library/market-information/dairy-statistics/dairy-statistics-an-insiders-guide-2014/#.VbqNVSih0aV&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(AHDB, 2014)</w:t>
      </w:r>
      <w:r w:rsidRPr="009C24BC">
        <w:rPr>
          <w:rFonts w:ascii="Times New Roman" w:hAnsi="Times New Roman" w:cs="Times New Roman"/>
        </w:rPr>
        <w:fldChar w:fldCharType="end"/>
      </w:r>
      <w:r w:rsidRPr="009C24BC">
        <w:rPr>
          <w:rFonts w:ascii="Times New Roman" w:eastAsiaTheme="minorEastAsia" w:hAnsi="Times New Roman" w:cs="Times New Roman"/>
          <w:lang w:eastAsia="zh-CN"/>
        </w:rPr>
        <w:t xml:space="preserve"> is representative of the UK dairy industry structure. The </w:t>
      </w:r>
      <w:r w:rsidRPr="009C24BC">
        <w:rPr>
          <w:rFonts w:ascii="Times New Roman" w:hAnsi="Times New Roman" w:cs="Times New Roman"/>
        </w:rPr>
        <w:t xml:space="preserve">average housing period </w:t>
      </w:r>
      <w:r w:rsidRPr="009C24BC">
        <w:rPr>
          <w:rFonts w:ascii="Times New Roman" w:eastAsiaTheme="minorEastAsia" w:hAnsi="Times New Roman" w:cs="Times New Roman"/>
          <w:lang w:eastAsia="zh-CN"/>
        </w:rPr>
        <w:t xml:space="preserve">for UK </w:t>
      </w:r>
      <w:r w:rsidRPr="009C24BC">
        <w:rPr>
          <w:rFonts w:ascii="Times New Roman" w:hAnsi="Times New Roman" w:cs="Times New Roman"/>
        </w:rPr>
        <w:t xml:space="preserve">dairy cattle population accounts for 50% of a year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&lt;EndNote&gt;&lt;Cite&gt;&lt;Author&gt;AHDB&lt;/Author&gt;&lt;Year&gt;2015&lt;/Year&gt;&lt;RecNum&gt;96&lt;/RecNum&gt;&lt;DisplayText&gt;(AHDB, 2014, 2015; NaturalEngland, 2009)&lt;/DisplayText&gt;&lt;record&gt;&lt;rec-number&gt;96&lt;/rec-number&gt;&lt;foreign-keys&gt;&lt;key app="EN" db-id="5d95a2xfmawp9jevtd0x0r5qapwwdf5f5dda" timestamp="1438288864"&gt;96&lt;/key&gt;&lt;/foreign-keys&gt;&lt;ref-type name="Report"&gt;27&lt;/ref-type&gt;&lt;contributors&gt;&lt;authors&gt;&lt;author&gt;AHDB &lt;/author&gt;&lt;/authors&gt;&lt;/contributors&gt;&lt;titles&gt;&lt;title&gt;UK Yearbook 2015 Cattle&lt;/title&gt;&lt;/titles&gt;&lt;dates&gt;&lt;year&gt;2015&lt;/year&gt;&lt;/dates&gt;&lt;pub-location&gt;Agriculture and Horticulture Development Board Beef and Lamb&lt;/pub-location&gt;&lt;urls&gt;&lt;/urls&gt;&lt;/record&gt;&lt;/Cite&gt;&lt;Cite&gt;&lt;Author&gt;AHDB&lt;/Author&gt;&lt;Year&gt;2014&lt;/Year&gt;&lt;RecNum&gt;97&lt;/RecNum&gt;&lt;record&gt;&lt;rec-number&gt;97&lt;/rec-number&gt;&lt;foreign-keys&gt;&lt;key app="EN" db-id="5d95a2xfmawp9jevtd0x0r5qapwwdf5f5dda" timestamp="1438289250"&gt;97&lt;/key&gt;&lt;/foreign-keys&gt;&lt;ref-type name="Report"&gt;27&lt;/ref-type&gt;&lt;contributors&gt;&lt;authors&gt;&lt;author&gt;AHDB&lt;/author&gt;&lt;/authors&gt;&lt;/contributors&gt;&lt;titles&gt;&lt;title&gt;Dairy Statistics An Insider Guide 2014&lt;/title&gt;&lt;/titles&gt;&lt;dates&gt;&lt;year&gt;2014&lt;/year&gt;&lt;/dates&gt;&lt;pub-location&gt; Agriculture and Horticulture Development Board Diary&lt;/pub-location&gt;&lt;urls&gt;&lt;related-urls&gt;&lt;url&gt;http://dairy.ahdb.org.uk/resources-library/market-information/dairy-statistics/dairy-statistics-an-insiders-guide-2014/#.VbqNVSih0aV&lt;/url&gt;&lt;/related-urls&gt;&lt;/urls&gt;&lt;/record&gt;&lt;/Cite&gt;&lt;Cite&gt;&lt;Author&gt;NaturalEngland&lt;/Author&gt;&lt;Year&gt;2009&lt;/Year&gt;&lt;RecNum&gt;84&lt;/RecNum&gt;&lt;record&gt;&lt;rec-number&gt;84&lt;/rec-number&gt;&lt;foreign-keys&gt;&lt;key app="EN" db-id="5d95a2xfmawp9jevtd0x0r5qapwwdf5f5dda" timestamp="1429556496"&gt;84&lt;/key&gt;&lt;/foreign-keys&gt;&lt;ref-type name="Report"&gt;27&lt;/ref-type&gt;&lt;contributors&gt;&lt;authors&gt;&lt;author&gt;NaturalEngland&lt;/author&gt;&lt;/authors&gt;&lt;/contributors&gt;&lt;titles&gt;&lt;title&gt;Environmental impacts of land management&lt;/title&gt;&lt;secondary-title&gt;Natural England Research Report NERR030&lt;/secondary-title&gt;&lt;/titles&gt;&lt;dates&gt;&lt;year&gt;2009&lt;/year&gt;&lt;/dates&gt;&lt;pub-location&gt;Natural England&lt;/pub-location&gt;&lt;urls&gt;&lt;related-urls&gt;&lt;url&gt;http://publications.naturalengland.org.uk/publication/30026&lt;/url&gt;&lt;/related-urls&gt;&lt;/urls&gt;&lt;/record&gt;&lt;/Cite&gt;&lt;/EndNote&gt;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(AHDB, 2014, 2015; NaturalEngland, 2009)</w:t>
      </w:r>
      <w:r w:rsidRPr="009C24BC">
        <w:rPr>
          <w:rFonts w:ascii="Times New Roman" w:hAnsi="Times New Roman" w:cs="Times New Roman"/>
        </w:rPr>
        <w:fldChar w:fldCharType="end"/>
      </w:r>
      <w:r w:rsidRPr="009C24BC">
        <w:rPr>
          <w:rFonts w:ascii="Times New Roman" w:hAnsi="Times New Roman" w:cs="Times New Roman"/>
        </w:rPr>
        <w:t xml:space="preserve">; on average, the dairy consumption of compound &amp; blends feed accounts for 27% of total UK processed feeding (8.8-10.7 million ton from 1997-2014) </w:t>
      </w:r>
      <w:r w:rsidRPr="009C24BC">
        <w:rPr>
          <w:rFonts w:ascii="Times New Roman" w:hAnsi="Times New Roman" w:cs="Times New Roman"/>
        </w:rPr>
        <w:fldChar w:fldCharType="begin"/>
      </w:r>
      <w:r w:rsidR="008F5A64" w:rsidRPr="009C24BC">
        <w:rPr>
          <w:rFonts w:ascii="Times New Roman" w:hAnsi="Times New Roman" w:cs="Times New Roman"/>
        </w:rPr>
        <w:instrText xml:space="preserve"> ADDIN EN.CITE &lt;EndNote&gt;&lt;Cite&gt;&lt;Author&gt;Defra&lt;/Author&gt;&lt;Year&gt;2015&lt;/Year&gt;&lt;RecNum&gt;88&lt;/RecNum&gt;&lt;DisplayText&gt;(Defra, 2015b)&lt;/DisplayText&gt;&lt;record&gt;&lt;rec-number&gt;88&lt;/rec-number&gt;&lt;foreign-keys&gt;&lt;key app="EN" db-id="5d95a2xfmawp9jevtd0x0r5qapwwdf5f5dda" timestamp="1429714061"&gt;88&lt;/key&gt;&lt;/foreign-keys&gt;&lt;ref-type name="Online Database"&gt;45&lt;/ref-type&gt;&lt;contributors&gt;&lt;authors&gt;&lt;author&gt;Defra&lt;/author&gt;&lt;/authors&gt;&lt;/contributors&gt;&lt;titles&gt;&lt;title&gt;Animal Feed Production Statistics&lt;/title&gt;&lt;/titles&gt;&lt;dates&gt;&lt;year&gt;2015&lt;/year&gt;&lt;pub-dates&gt;&lt;date&gt;April 2015&lt;/date&gt;&lt;/pub-dates&gt;&lt;/dates&gt;&lt;pub-location&gt;Department for Environment, Food &amp;amp; Rural Affairs&lt;/pub-location&gt;&lt;urls&gt;&lt;related-urls&gt;&lt;url&gt;https://www.gov.uk/government/statistics/animal-feed-production&lt;/url&gt;&lt;/related-urls&gt;&lt;/urls&gt;&lt;/record&gt;&lt;/Cite&gt;&lt;/EndNote&gt;</w:instrText>
      </w:r>
      <w:r w:rsidRPr="009C24BC">
        <w:rPr>
          <w:rFonts w:ascii="Times New Roman" w:hAnsi="Times New Roman" w:cs="Times New Roman"/>
        </w:rPr>
        <w:fldChar w:fldCharType="separate"/>
      </w:r>
      <w:r w:rsidR="001E24E1" w:rsidRPr="009C24BC">
        <w:rPr>
          <w:rFonts w:ascii="Times New Roman" w:hAnsi="Times New Roman" w:cs="Times New Roman"/>
          <w:noProof/>
        </w:rPr>
        <w:t>(Defra, 2015b)</w:t>
      </w:r>
      <w:r w:rsidRPr="009C24BC">
        <w:rPr>
          <w:rFonts w:ascii="Times New Roman" w:hAnsi="Times New Roman" w:cs="Times New Roman"/>
        </w:rPr>
        <w:fldChar w:fldCharType="end"/>
      </w:r>
      <w:r w:rsidRPr="009C24BC">
        <w:rPr>
          <w:rFonts w:ascii="Times New Roman" w:hAnsi="Times New Roman" w:cs="Times New Roman"/>
        </w:rPr>
        <w:t xml:space="preserve">. </w:t>
      </w:r>
    </w:p>
    <w:p w14:paraId="0CFC58B0" w14:textId="1AFDCC1D" w:rsidR="006478A3" w:rsidRPr="009C24BC" w:rsidRDefault="00927B92" w:rsidP="009C24BC">
      <w:pPr>
        <w:pStyle w:val="ListParagraph"/>
        <w:spacing w:after="100" w:line="360" w:lineRule="auto"/>
        <w:ind w:left="0"/>
        <w:jc w:val="both"/>
        <w:rPr>
          <w:rFonts w:ascii="Times New Roman" w:eastAsiaTheme="minorEastAsia" w:hAnsi="Times New Roman" w:cs="Times New Roman"/>
          <w:bCs/>
          <w:iCs/>
        </w:rPr>
      </w:pPr>
      <w:r w:rsidRPr="009C24BC">
        <w:rPr>
          <w:rFonts w:ascii="Times New Roman" w:eastAsiaTheme="minorEastAsia" w:hAnsi="Times New Roman" w:cs="Times New Roman"/>
          <w:bCs/>
          <w:iCs/>
        </w:rPr>
        <w:t>A</w:t>
      </w:r>
      <w:r w:rsidR="006478A3" w:rsidRPr="009C24BC">
        <w:rPr>
          <w:rFonts w:ascii="Times New Roman" w:eastAsiaTheme="minorEastAsia" w:hAnsi="Times New Roman" w:cs="Times New Roman"/>
          <w:bCs/>
          <w:iCs/>
        </w:rPr>
        <w:t xml:space="preserve">ll forage-fed livestock groups with different species and ages are converted to a consistent reference unit LU </w:t>
      </w:r>
      <w:r w:rsidRPr="009C24BC">
        <w:rPr>
          <w:rFonts w:ascii="Times New Roman" w:eastAsiaTheme="minorEastAsia" w:hAnsi="Times New Roman" w:cs="Times New Roman"/>
          <w:bCs/>
          <w:iCs/>
        </w:rPr>
        <w:t>to estimate stocking rate</w:t>
      </w:r>
      <w:r w:rsidR="006478A3" w:rsidRPr="009C24BC">
        <w:rPr>
          <w:rFonts w:ascii="Times New Roman" w:eastAsiaTheme="minorEastAsia" w:hAnsi="Times New Roman" w:cs="Times New Roman"/>
          <w:bCs/>
          <w:iCs/>
        </w:rPr>
        <w:t xml:space="preserve">.  The derived stocking rates vary significantly with type of land </w:t>
      </w:r>
      <w:r w:rsidR="006478A3" w:rsidRPr="009C24BC">
        <w:rPr>
          <w:rFonts w:ascii="Times New Roman" w:eastAsiaTheme="minorEastAsia" w:hAnsi="Times New Roman" w:cs="Times New Roman"/>
          <w:bCs/>
          <w:iCs/>
        </w:rPr>
        <w:lastRenderedPageBreak/>
        <w:t>quality, livestock type, temporal and spatial pattern of grazing regimes. For instance, in Wales regardless of age classes, stocking rate vary for beef (&lt;0.1 to &gt; 0.3 LU), dairy (&lt;0.1 to &gt;0.8 LU) and sheep (&lt;0.2 to &gt;0.8 LU/ha)</w:t>
      </w:r>
      <w:r w:rsidR="006478A3" w:rsidRPr="009C24BC">
        <w:rPr>
          <w:rFonts w:ascii="Times New Roman" w:eastAsiaTheme="minorEastAsia" w:hAnsi="Times New Roman" w:cs="Times New Roman"/>
          <w:bCs/>
          <w:iCs/>
        </w:rPr>
        <w:fldChar w:fldCharType="begin"/>
      </w:r>
      <w:r w:rsidR="008F5A64" w:rsidRPr="009C24BC">
        <w:rPr>
          <w:rFonts w:ascii="Times New Roman" w:eastAsiaTheme="minorEastAsia" w:hAnsi="Times New Roman" w:cs="Times New Roman"/>
          <w:bCs/>
          <w:iCs/>
        </w:rPr>
        <w:instrText xml:space="preserve"> ADDIN EN.CITE &lt;EndNote&gt;&lt;Cite&gt;&lt;Author&gt;HCC&lt;/Author&gt;&lt;Year&gt;2014&lt;/Year&gt;&lt;RecNum&gt;126&lt;/RecNum&gt;&lt;DisplayText&gt;(HCC, 2014)&lt;/DisplayText&gt;&lt;record&gt;&lt;rec-number&gt;126&lt;/rec-number&gt;&lt;foreign-keys&gt;&lt;key app="EN" db-id="5d95a2xfmawp9jevtd0x0r5qapwwdf5f5dda" timestamp="1443541806"&gt;126&lt;/key&gt;&lt;/foreign-keys&gt;&lt;ref-type name="Report"&gt;27&lt;/ref-type&gt;&lt;contributors&gt;&lt;authors&gt;&lt;author&gt;HCC&lt;/author&gt;&lt;/authors&gt;&lt;/contributors&gt;&lt;titles&gt;&lt;title&gt;Little Book of Meat Facts 2014&lt;/title&gt;&lt;/titles&gt;&lt;dates&gt;&lt;year&gt;2014&lt;/year&gt;&lt;/dates&gt;&lt;pub-location&gt;Hybu Cig Cymru&lt;/pub-location&gt;&lt;urls&gt;&lt;related-urls&gt;&lt;url&gt;http://hccmpw.org.uk/publications/farming_and_industry_development/statistics/&lt;/url&gt;&lt;/related-urls&gt;&lt;/urls&gt;&lt;/record&gt;&lt;/Cite&gt;&lt;/EndNote&gt;</w:instrText>
      </w:r>
      <w:r w:rsidR="006478A3" w:rsidRPr="009C24BC">
        <w:rPr>
          <w:rFonts w:ascii="Times New Roman" w:eastAsiaTheme="minorEastAsia" w:hAnsi="Times New Roman" w:cs="Times New Roman"/>
          <w:bCs/>
          <w:iCs/>
        </w:rPr>
        <w:fldChar w:fldCharType="separate"/>
      </w:r>
      <w:r w:rsidR="001E24E1" w:rsidRPr="009C24BC">
        <w:rPr>
          <w:rFonts w:ascii="Times New Roman" w:eastAsiaTheme="minorEastAsia" w:hAnsi="Times New Roman" w:cs="Times New Roman"/>
          <w:bCs/>
          <w:iCs/>
          <w:noProof/>
        </w:rPr>
        <w:t>(HCC, 2014)</w:t>
      </w:r>
      <w:r w:rsidR="006478A3" w:rsidRPr="009C24BC">
        <w:rPr>
          <w:rFonts w:ascii="Times New Roman" w:eastAsiaTheme="minorEastAsia" w:hAnsi="Times New Roman" w:cs="Times New Roman"/>
          <w:bCs/>
          <w:iCs/>
        </w:rPr>
        <w:fldChar w:fldCharType="end"/>
      </w:r>
      <w:r w:rsidR="006478A3" w:rsidRPr="009C24BC">
        <w:rPr>
          <w:rFonts w:ascii="Times New Roman" w:eastAsiaTheme="minorEastAsia" w:hAnsi="Times New Roman" w:cs="Times New Roman"/>
          <w:bCs/>
          <w:iCs/>
        </w:rPr>
        <w:t>. An overview of the average stocking rate linked to each land category is given below –</w:t>
      </w:r>
    </w:p>
    <w:p w14:paraId="47E32065" w14:textId="0717F808" w:rsidR="006478A3" w:rsidRPr="009C24BC" w:rsidRDefault="006478A3" w:rsidP="009C24BC">
      <w:pPr>
        <w:pStyle w:val="ListParagraph"/>
        <w:numPr>
          <w:ilvl w:val="0"/>
          <w:numId w:val="2"/>
        </w:numPr>
        <w:spacing w:after="100" w:line="360" w:lineRule="auto"/>
        <w:jc w:val="both"/>
        <w:rPr>
          <w:rFonts w:ascii="Times New Roman" w:eastAsiaTheme="minorEastAsia" w:hAnsi="Times New Roman" w:cs="Times New Roman"/>
          <w:bCs/>
          <w:iCs/>
        </w:rPr>
      </w:pPr>
      <w:r w:rsidRPr="009C24BC">
        <w:rPr>
          <w:rFonts w:ascii="Times New Roman" w:eastAsiaTheme="minorEastAsia" w:hAnsi="Times New Roman" w:cs="Times New Roman"/>
          <w:bCs/>
          <w:iCs/>
        </w:rPr>
        <w:t>Rotational grassland category -</w:t>
      </w:r>
      <w:r w:rsidRPr="009C24BC">
        <w:rPr>
          <w:rFonts w:ascii="Times New Roman" w:hAnsi="Times New Roman" w:cs="Times New Roman"/>
        </w:rPr>
        <w:t xml:space="preserve"> c</w:t>
      </w:r>
      <w:r w:rsidRPr="009C24BC">
        <w:rPr>
          <w:rFonts w:ascii="Times New Roman" w:eastAsiaTheme="minorEastAsia" w:hAnsi="Times New Roman" w:cs="Times New Roman"/>
          <w:bCs/>
          <w:iCs/>
        </w:rPr>
        <w:t>urrently about 1.357 million hectare (~ 5% of the UK land area) are covered with such highly productive grass leys which can sustain the current herds in full lactation of beef fattening with stocking rate of 2.5 LU per hectare</w:t>
      </w:r>
      <w:r w:rsidRPr="009C24BC">
        <w:rPr>
          <w:rFonts w:ascii="Times New Roman" w:eastAsiaTheme="minorEastAsia" w:hAnsi="Times New Roman" w:cs="Times New Roman"/>
          <w:bCs/>
          <w:iCs/>
        </w:rPr>
        <w:fldChar w:fldCharType="begin"/>
      </w:r>
      <w:r w:rsidR="008F5A64" w:rsidRPr="009C24BC">
        <w:rPr>
          <w:rFonts w:ascii="Times New Roman" w:eastAsiaTheme="minorEastAsia" w:hAnsi="Times New Roman" w:cs="Times New Roman"/>
          <w:bCs/>
          <w:iCs/>
        </w:rPr>
        <w:instrText xml:space="preserve"> ADDIN EN.CITE &lt;EndNote&gt;&lt;Cite&gt;&lt;Author&gt;NaturalEngland&lt;/Author&gt;&lt;Year&gt;2009&lt;/Year&gt;&lt;RecNum&gt;84&lt;/RecNum&gt;&lt;DisplayText&gt;(NaturalEngland, 2009)&lt;/DisplayText&gt;&lt;record&gt;&lt;rec-number&gt;84&lt;/rec-number&gt;&lt;foreign-keys&gt;&lt;key app="EN" db-id="5d95a2xfmawp9jevtd0x0r5qapwwdf5f5dda" timestamp="1429556496"&gt;84&lt;/key&gt;&lt;/foreign-keys&gt;&lt;ref-type name="Report"&gt;27&lt;/ref-type&gt;&lt;contributors&gt;&lt;authors&gt;&lt;author&gt;NaturalEngland&lt;/author&gt;&lt;/authors&gt;&lt;/contributors&gt;&lt;titles&gt;&lt;title&gt;Environmental impacts of land management&lt;/title&gt;&lt;secondary-title&gt;Natural England Research Report NERR030&lt;/secondary-title&gt;&lt;/titles&gt;&lt;dates&gt;&lt;year&gt;2009&lt;/year&gt;&lt;/dates&gt;&lt;pub-location&gt;Natural England&lt;/pub-location&gt;&lt;urls&gt;&lt;related-urls&gt;&lt;url&gt;http://publications.naturalengland.org.uk/publication/30026&lt;/url&gt;&lt;/related-urls&gt;&lt;/urls&gt;&lt;/record&gt;&lt;/Cite&gt;&lt;/EndNote&gt;</w:instrText>
      </w:r>
      <w:r w:rsidRPr="009C24BC">
        <w:rPr>
          <w:rFonts w:ascii="Times New Roman" w:eastAsiaTheme="minorEastAsia" w:hAnsi="Times New Roman" w:cs="Times New Roman"/>
          <w:bCs/>
          <w:iCs/>
        </w:rPr>
        <w:fldChar w:fldCharType="separate"/>
      </w:r>
      <w:r w:rsidR="001E24E1" w:rsidRPr="009C24BC">
        <w:rPr>
          <w:rFonts w:ascii="Times New Roman" w:eastAsiaTheme="minorEastAsia" w:hAnsi="Times New Roman" w:cs="Times New Roman"/>
          <w:bCs/>
          <w:iCs/>
          <w:noProof/>
        </w:rPr>
        <w:t>(NaturalEngland, 2009)</w:t>
      </w:r>
      <w:r w:rsidRPr="009C24BC">
        <w:rPr>
          <w:rFonts w:ascii="Times New Roman" w:eastAsiaTheme="minorEastAsia" w:hAnsi="Times New Roman" w:cs="Times New Roman"/>
          <w:bCs/>
          <w:iCs/>
        </w:rPr>
        <w:fldChar w:fldCharType="end"/>
      </w:r>
      <w:r w:rsidRPr="009C24BC">
        <w:rPr>
          <w:rFonts w:ascii="Times New Roman" w:eastAsiaTheme="minorEastAsia" w:hAnsi="Times New Roman" w:cs="Times New Roman"/>
          <w:bCs/>
          <w:iCs/>
        </w:rPr>
        <w:t>.</w:t>
      </w:r>
      <w:r w:rsidRPr="009C24BC">
        <w:rPr>
          <w:rFonts w:ascii="Times New Roman" w:hAnsi="Times New Roman" w:cs="Times New Roman"/>
        </w:rPr>
        <w:t xml:space="preserve"> </w:t>
      </w:r>
    </w:p>
    <w:p w14:paraId="6F5E8EF7" w14:textId="0EC844C6" w:rsidR="006478A3" w:rsidRPr="009C24BC" w:rsidRDefault="006478A3" w:rsidP="009C24BC">
      <w:pPr>
        <w:pStyle w:val="ListParagraph"/>
        <w:numPr>
          <w:ilvl w:val="0"/>
          <w:numId w:val="1"/>
        </w:numPr>
        <w:spacing w:after="100" w:line="360" w:lineRule="auto"/>
        <w:jc w:val="both"/>
        <w:rPr>
          <w:rFonts w:ascii="Times New Roman" w:eastAsiaTheme="minorEastAsia" w:hAnsi="Times New Roman" w:cs="Times New Roman"/>
          <w:bCs/>
          <w:iCs/>
        </w:rPr>
      </w:pPr>
      <w:r w:rsidRPr="009C24BC">
        <w:rPr>
          <w:rFonts w:ascii="Times New Roman" w:eastAsiaTheme="minorEastAsia" w:hAnsi="Times New Roman" w:cs="Times New Roman"/>
          <w:bCs/>
          <w:iCs/>
        </w:rPr>
        <w:t xml:space="preserve">Permanent grassland category - this comprises about 5.8 million hectares in the UK and is mainly allocated to younger cattle and high productivity sheep. The average stocking rate for this land category is assumed as 2 LU/ha </w:t>
      </w:r>
      <w:r w:rsidRPr="009C24BC">
        <w:rPr>
          <w:rFonts w:ascii="Times New Roman" w:eastAsiaTheme="minorEastAsia" w:hAnsi="Times New Roman" w:cs="Times New Roman"/>
          <w:bCs/>
          <w:iCs/>
        </w:rPr>
        <w:fldChar w:fldCharType="begin"/>
      </w:r>
      <w:r w:rsidR="008F5A64" w:rsidRPr="009C24BC">
        <w:rPr>
          <w:rFonts w:ascii="Times New Roman" w:eastAsiaTheme="minorEastAsia" w:hAnsi="Times New Roman" w:cs="Times New Roman"/>
          <w:bCs/>
          <w:iCs/>
        </w:rPr>
        <w:instrText xml:space="preserve"> ADDIN EN.CITE &lt;EndNote&gt;&lt;Cite&gt;&lt;Author&gt;NaturalEngland&lt;/Author&gt;&lt;Year&gt;2009&lt;/Year&gt;&lt;RecNum&gt;84&lt;/RecNum&gt;&lt;DisplayText&gt;(NaturalEngland, 2009)&lt;/DisplayText&gt;&lt;record&gt;&lt;rec-number&gt;84&lt;/rec-number&gt;&lt;foreign-keys&gt;&lt;key app="EN" db-id="5d95a2xfmawp9jevtd0x0r5qapwwdf5f5dda" timestamp="1429556496"&gt;84&lt;/key&gt;&lt;/foreign-keys&gt;&lt;ref-type name="Report"&gt;27&lt;/ref-type&gt;&lt;contributors&gt;&lt;authors&gt;&lt;author&gt;NaturalEngland&lt;/author&gt;&lt;/authors&gt;&lt;/contributors&gt;&lt;titles&gt;&lt;title&gt;Environmental impacts of land management&lt;/title&gt;&lt;secondary-title&gt;Natural England Research Report NERR030&lt;/secondary-title&gt;&lt;/titles&gt;&lt;dates&gt;&lt;year&gt;2009&lt;/year&gt;&lt;/dates&gt;&lt;pub-location&gt;Natural England&lt;/pub-location&gt;&lt;urls&gt;&lt;related-urls&gt;&lt;url&gt;http://publications.naturalengland.org.uk/publication/30026&lt;/url&gt;&lt;/related-urls&gt;&lt;/urls&gt;&lt;/record&gt;&lt;/Cite&gt;&lt;/EndNote&gt;</w:instrText>
      </w:r>
      <w:r w:rsidRPr="009C24BC">
        <w:rPr>
          <w:rFonts w:ascii="Times New Roman" w:eastAsiaTheme="minorEastAsia" w:hAnsi="Times New Roman" w:cs="Times New Roman"/>
          <w:bCs/>
          <w:iCs/>
        </w:rPr>
        <w:fldChar w:fldCharType="separate"/>
      </w:r>
      <w:r w:rsidR="001E24E1" w:rsidRPr="009C24BC">
        <w:rPr>
          <w:rFonts w:ascii="Times New Roman" w:eastAsiaTheme="minorEastAsia" w:hAnsi="Times New Roman" w:cs="Times New Roman"/>
          <w:bCs/>
          <w:iCs/>
          <w:noProof/>
        </w:rPr>
        <w:t>(NaturalEngland, 2009)</w:t>
      </w:r>
      <w:r w:rsidRPr="009C24BC">
        <w:rPr>
          <w:rFonts w:ascii="Times New Roman" w:eastAsiaTheme="minorEastAsia" w:hAnsi="Times New Roman" w:cs="Times New Roman"/>
          <w:bCs/>
          <w:iCs/>
        </w:rPr>
        <w:fldChar w:fldCharType="end"/>
      </w:r>
      <w:r w:rsidRPr="009C24BC">
        <w:rPr>
          <w:rFonts w:ascii="Times New Roman" w:eastAsiaTheme="minorEastAsia" w:hAnsi="Times New Roman" w:cs="Times New Roman"/>
          <w:bCs/>
          <w:iCs/>
        </w:rPr>
        <w:t>.</w:t>
      </w:r>
    </w:p>
    <w:p w14:paraId="199F967D" w14:textId="7318CB8C" w:rsidR="006478A3" w:rsidRPr="009C24BC" w:rsidRDefault="006478A3" w:rsidP="009C24BC">
      <w:pPr>
        <w:pStyle w:val="ListParagraph"/>
        <w:numPr>
          <w:ilvl w:val="0"/>
          <w:numId w:val="1"/>
        </w:numPr>
        <w:spacing w:after="100" w:line="360" w:lineRule="auto"/>
        <w:jc w:val="both"/>
        <w:rPr>
          <w:rFonts w:ascii="Times New Roman" w:eastAsiaTheme="minorEastAsia" w:hAnsi="Times New Roman" w:cs="Times New Roman"/>
          <w:bCs/>
          <w:iCs/>
        </w:rPr>
      </w:pPr>
      <w:r w:rsidRPr="009C24BC">
        <w:rPr>
          <w:rFonts w:ascii="Times New Roman" w:eastAsiaTheme="minorEastAsia" w:hAnsi="Times New Roman" w:cs="Times New Roman"/>
          <w:bCs/>
          <w:iCs/>
        </w:rPr>
        <w:t xml:space="preserve">Rough grazing grassland areas fall into two groups of land, i.e. 1.2 million ha of “common rough grazing” and 3.9 million ha “sole right rough grazing” which are hills, heathland and moorlands </w:t>
      </w:r>
      <w:r w:rsidRPr="009C24BC">
        <w:rPr>
          <w:rFonts w:ascii="Times New Roman" w:eastAsiaTheme="minorEastAsia" w:hAnsi="Times New Roman" w:cs="Times New Roman"/>
          <w:bCs/>
          <w:iCs/>
        </w:rPr>
        <w:fldChar w:fldCharType="begin"/>
      </w:r>
      <w:r w:rsidR="008F5A64" w:rsidRPr="009C24BC">
        <w:rPr>
          <w:rFonts w:ascii="Times New Roman" w:eastAsiaTheme="minorEastAsia" w:hAnsi="Times New Roman" w:cs="Times New Roman"/>
          <w:bCs/>
          <w:iCs/>
        </w:rPr>
        <w:instrText xml:space="preserve"> ADDIN EN.CITE &lt;EndNote&gt;&lt;Cite&gt;&lt;Author&gt;Statista&lt;/Author&gt;&lt;Year&gt;2014&lt;/Year&gt;&lt;RecNum&gt;127&lt;/RecNum&gt;&lt;DisplayText&gt;(Statista, 2014)&lt;/DisplayText&gt;&lt;record&gt;&lt;rec-number&gt;127&lt;/rec-number&gt;&lt;foreign-keys&gt;&lt;key app="EN" db-id="5d95a2xfmawp9jevtd0x0r5qapwwdf5f5dda" timestamp="1443541806"&gt;127&lt;/key&gt;&lt;/foreign-keys&gt;&lt;ref-type name="Online Database"&gt;45&lt;/ref-type&gt;&lt;contributors&gt;&lt;authors&gt;&lt;author&gt;Statista&lt;/author&gt;&lt;/authors&gt;&lt;/contributors&gt;&lt;titles&gt;&lt;title&gt;Common rough grazing land area in the United Kingdom &lt;/title&gt;&lt;/titles&gt;&lt;dates&gt;&lt;year&gt;2014&lt;/year&gt;&lt;/dates&gt;&lt;urls&gt;&lt;related-urls&gt;&lt;url&gt;http://www.statista.com/statistics/315939/common-rough-grazing-land-area-in-the-united-kingdom-uk/&lt;/url&gt;&lt;/related-urls&gt;&lt;/urls&gt;&lt;/record&gt;&lt;/Cite&gt;&lt;/EndNote&gt;</w:instrText>
      </w:r>
      <w:r w:rsidRPr="009C24BC">
        <w:rPr>
          <w:rFonts w:ascii="Times New Roman" w:eastAsiaTheme="minorEastAsia" w:hAnsi="Times New Roman" w:cs="Times New Roman"/>
          <w:bCs/>
          <w:iCs/>
        </w:rPr>
        <w:fldChar w:fldCharType="separate"/>
      </w:r>
      <w:r w:rsidR="001E24E1" w:rsidRPr="009C24BC">
        <w:rPr>
          <w:rFonts w:ascii="Times New Roman" w:eastAsiaTheme="minorEastAsia" w:hAnsi="Times New Roman" w:cs="Times New Roman"/>
          <w:bCs/>
          <w:iCs/>
          <w:noProof/>
        </w:rPr>
        <w:t>(Statista, 2014)</w:t>
      </w:r>
      <w:r w:rsidRPr="009C24BC">
        <w:rPr>
          <w:rFonts w:ascii="Times New Roman" w:eastAsiaTheme="minorEastAsia" w:hAnsi="Times New Roman" w:cs="Times New Roman"/>
          <w:bCs/>
          <w:iCs/>
        </w:rPr>
        <w:fldChar w:fldCharType="end"/>
      </w:r>
      <w:r w:rsidRPr="009C24BC">
        <w:rPr>
          <w:rFonts w:ascii="Times New Roman" w:eastAsiaTheme="minorEastAsia" w:hAnsi="Times New Roman" w:cs="Times New Roman"/>
          <w:bCs/>
          <w:iCs/>
        </w:rPr>
        <w:t xml:space="preserve">. The stocking rates of these areas vary greatly between and within grassland categories, lowland (0.2 – 0.5 LU/ha) and upland (0.05 to 0.75 LU/ha). An average stocking rate of 0.25 LU/ha is assumed for this land category  </w:t>
      </w:r>
      <w:r w:rsidRPr="009C24BC">
        <w:rPr>
          <w:rFonts w:ascii="Times New Roman" w:eastAsiaTheme="minorEastAsia" w:hAnsi="Times New Roman" w:cs="Times New Roman"/>
          <w:bCs/>
          <w:iCs/>
        </w:rPr>
        <w:fldChar w:fldCharType="begin"/>
      </w:r>
      <w:r w:rsidR="008F5A64" w:rsidRPr="009C24BC">
        <w:rPr>
          <w:rFonts w:ascii="Times New Roman" w:eastAsiaTheme="minorEastAsia" w:hAnsi="Times New Roman" w:cs="Times New Roman"/>
          <w:bCs/>
          <w:iCs/>
        </w:rPr>
        <w:instrText xml:space="preserve"> ADDIN EN.CITE &lt;EndNote&gt;&lt;Cite&gt;&lt;Author&gt;Jerram&lt;/Author&gt;&lt;Year&gt;2001&lt;/Year&gt;&lt;RecNum&gt;93&lt;/RecNum&gt;&lt;DisplayText&gt;(Jerram et al., 2001)&lt;/DisplayText&gt;&lt;record&gt;&lt;rec-number&gt;93&lt;/rec-number&gt;&lt;foreign-keys&gt;&lt;key app="EN" db-id="5d95a2xfmawp9jevtd0x0r5qapwwdf5f5dda" timestamp="1437501415"&gt;93&lt;/key&gt;&lt;/foreign-keys&gt;&lt;ref-type name="Book Section"&gt;5&lt;/ref-type&gt;&lt;contributors&gt;&lt;authors&gt;&lt;author&gt;Jerram, R., &lt;/author&gt;&lt;author&gt;Jefferson, R., &lt;/author&gt;&lt;author&gt;Backshall, J.&lt;/author&gt;&lt;/authors&gt;&lt;/contributors&gt;&lt;titles&gt;&lt;title&gt;Chapter 7 Meadows And Enclosed Pasture &lt;/title&gt;&lt;secondary-title&gt;The upland management handbook&lt;/secondary-title&gt;&lt;/titles&gt;&lt;dates&gt;&lt;year&gt;2001&lt;/year&gt;&lt;/dates&gt;&lt;pub-location&gt;Natural England &lt;/pub-location&gt;&lt;urls&gt;&lt;related-urls&gt;&lt;url&gt;http://adlib.everysite.co.uk/adlib/defra/content.aspx?id=2RRVTHNXTS.8PP4TVRHDDGBU&lt;/url&gt;&lt;/related-urls&gt;&lt;/urls&gt;&lt;/record&gt;&lt;/Cite&gt;&lt;/EndNote&gt;</w:instrText>
      </w:r>
      <w:r w:rsidRPr="009C24BC">
        <w:rPr>
          <w:rFonts w:ascii="Times New Roman" w:eastAsiaTheme="minorEastAsia" w:hAnsi="Times New Roman" w:cs="Times New Roman"/>
          <w:bCs/>
          <w:iCs/>
        </w:rPr>
        <w:fldChar w:fldCharType="separate"/>
      </w:r>
      <w:r w:rsidR="001E24E1" w:rsidRPr="009C24BC">
        <w:rPr>
          <w:rFonts w:ascii="Times New Roman" w:eastAsiaTheme="minorEastAsia" w:hAnsi="Times New Roman" w:cs="Times New Roman"/>
          <w:bCs/>
          <w:iCs/>
          <w:noProof/>
        </w:rPr>
        <w:t>(Jerram et al., 2001)</w:t>
      </w:r>
      <w:r w:rsidRPr="009C24BC">
        <w:rPr>
          <w:rFonts w:ascii="Times New Roman" w:eastAsiaTheme="minorEastAsia" w:hAnsi="Times New Roman" w:cs="Times New Roman"/>
          <w:bCs/>
          <w:iCs/>
        </w:rPr>
        <w:fldChar w:fldCharType="end"/>
      </w:r>
      <w:r w:rsidRPr="009C24BC">
        <w:rPr>
          <w:rFonts w:ascii="Times New Roman" w:eastAsiaTheme="minorEastAsia" w:hAnsi="Times New Roman" w:cs="Times New Roman"/>
          <w:bCs/>
          <w:iCs/>
        </w:rPr>
        <w:t>.</w:t>
      </w:r>
    </w:p>
    <w:p w14:paraId="1A5CFD86" w14:textId="4338C534" w:rsidR="00927B92" w:rsidRPr="009C24BC" w:rsidRDefault="006478A3" w:rsidP="009C24BC">
      <w:pPr>
        <w:pStyle w:val="ListParagraph"/>
        <w:numPr>
          <w:ilvl w:val="0"/>
          <w:numId w:val="1"/>
        </w:numPr>
        <w:spacing w:after="100" w:line="360" w:lineRule="auto"/>
        <w:jc w:val="both"/>
        <w:rPr>
          <w:rFonts w:ascii="Times New Roman" w:eastAsiaTheme="minorEastAsia" w:hAnsi="Times New Roman" w:cs="Times New Roman"/>
          <w:bCs/>
          <w:iCs/>
        </w:rPr>
      </w:pPr>
      <w:r w:rsidRPr="009C24BC">
        <w:rPr>
          <w:rFonts w:ascii="Times New Roman" w:eastAsiaTheme="minorEastAsia" w:hAnsi="Times New Roman" w:cs="Times New Roman"/>
          <w:bCs/>
          <w:iCs/>
        </w:rPr>
        <w:t xml:space="preserve">Woodland category - the primary aims of England and Scotland woodlands differ, the former prioritise nature conservation whereas the latter emphasize more on production. The average stocking rate (0.1 LU/ha) recommended for biodiversity grazing by cattle to meet nature conservation objective is adopted in this study </w:t>
      </w:r>
      <w:r w:rsidRPr="009C24BC">
        <w:rPr>
          <w:rFonts w:ascii="Times New Roman" w:eastAsiaTheme="minorEastAsia" w:hAnsi="Times New Roman" w:cs="Times New Roman"/>
          <w:bCs/>
          <w:iCs/>
        </w:rPr>
        <w:fldChar w:fldCharType="begin"/>
      </w:r>
      <w:r w:rsidR="008F5A64" w:rsidRPr="009C24BC">
        <w:rPr>
          <w:rFonts w:ascii="Times New Roman" w:eastAsiaTheme="minorEastAsia" w:hAnsi="Times New Roman" w:cs="Times New Roman"/>
          <w:bCs/>
          <w:iCs/>
        </w:rPr>
        <w:instrText xml:space="preserve"> ADDIN EN.CITE &lt;EndNote&gt;&lt;Cite&gt;&lt;Author&gt;Armstrong&lt;/Author&gt;&lt;Year&gt;2003&lt;/Year&gt;&lt;RecNum&gt;83&lt;/RecNum&gt;&lt;DisplayText&gt;(Armstrong et al., 2003)&lt;/DisplayText&gt;&lt;record&gt;&lt;rec-number&gt;83&lt;/rec-number&gt;&lt;foreign-keys&gt;&lt;key app="EN" db-id="5d95a2xfmawp9jevtd0x0r5qapwwdf5f5dda" timestamp="1429555276"&gt;83&lt;/key&gt;&lt;/foreign-keys&gt;&lt;ref-type name="Report"&gt;27&lt;/ref-type&gt;&lt;contributors&gt;&lt;authors&gt;&lt;author&gt; Armstrong, H.M.&lt;/author&gt;&lt;author&gt;Poulsom, L.&lt;/author&gt;&lt;author&gt;Connolly, T.&lt;/author&gt;&lt;author&gt;Peace, A.&lt;/author&gt;&lt;/authors&gt;&lt;/contributors&gt;&lt;titles&gt;&lt;title&gt;A survey of cattle-grazed woodlands in Britain&lt;/title&gt;&lt;/titles&gt;&lt;dates&gt;&lt;year&gt;2003&lt;/year&gt;&lt;/dates&gt;&lt;publisher&gt;UK Forest Research&lt;/publisher&gt;&lt;urls&gt;&lt;related-urls&gt;&lt;url&gt;http://www.forestry.gov.uk/pdf/cattle_report.pdf/$FILE/cattle_report.pdf&lt;/url&gt;&lt;/related-urls&gt;&lt;/urls&gt;&lt;/record&gt;&lt;/Cite&gt;&lt;/EndNote&gt;</w:instrText>
      </w:r>
      <w:r w:rsidRPr="009C24BC">
        <w:rPr>
          <w:rFonts w:ascii="Times New Roman" w:eastAsiaTheme="minorEastAsia" w:hAnsi="Times New Roman" w:cs="Times New Roman"/>
          <w:bCs/>
          <w:iCs/>
        </w:rPr>
        <w:fldChar w:fldCharType="separate"/>
      </w:r>
      <w:r w:rsidR="001E24E1" w:rsidRPr="009C24BC">
        <w:rPr>
          <w:rFonts w:ascii="Times New Roman" w:eastAsiaTheme="minorEastAsia" w:hAnsi="Times New Roman" w:cs="Times New Roman"/>
          <w:bCs/>
          <w:iCs/>
          <w:noProof/>
        </w:rPr>
        <w:t>(Armstrong et al., 2003)</w:t>
      </w:r>
      <w:r w:rsidRPr="009C24BC">
        <w:rPr>
          <w:rFonts w:ascii="Times New Roman" w:eastAsiaTheme="minorEastAsia" w:hAnsi="Times New Roman" w:cs="Times New Roman"/>
          <w:bCs/>
          <w:iCs/>
        </w:rPr>
        <w:fldChar w:fldCharType="end"/>
      </w:r>
      <w:r w:rsidRPr="009C24BC">
        <w:rPr>
          <w:rFonts w:ascii="Times New Roman" w:eastAsiaTheme="minorEastAsia" w:hAnsi="Times New Roman" w:cs="Times New Roman"/>
          <w:bCs/>
          <w:iCs/>
        </w:rPr>
        <w:t>.</w:t>
      </w:r>
    </w:p>
    <w:p w14:paraId="7C76B56C" w14:textId="77777777" w:rsidR="00927B92" w:rsidRPr="009C24BC" w:rsidRDefault="00927B92" w:rsidP="00927B92">
      <w:pPr>
        <w:spacing w:after="100" w:line="360" w:lineRule="auto"/>
        <w:jc w:val="both"/>
        <w:rPr>
          <w:rFonts w:ascii="Times New Roman" w:eastAsiaTheme="minorEastAsia" w:hAnsi="Times New Roman" w:cs="Times New Roman"/>
          <w:b/>
          <w:bCs/>
          <w:i/>
          <w:iCs/>
        </w:rPr>
      </w:pPr>
      <w:r w:rsidRPr="009C24BC">
        <w:rPr>
          <w:rFonts w:ascii="Times New Roman" w:eastAsiaTheme="minorEastAsia" w:hAnsi="Times New Roman" w:cs="Times New Roman"/>
          <w:b/>
          <w:bCs/>
          <w:i/>
          <w:iCs/>
        </w:rPr>
        <w:t>References</w:t>
      </w:r>
    </w:p>
    <w:p w14:paraId="4842A532" w14:textId="77777777" w:rsidR="00027244" w:rsidRPr="009C24BC" w:rsidRDefault="00927B92" w:rsidP="00027244">
      <w:pPr>
        <w:pStyle w:val="EndNoteBibliography"/>
        <w:spacing w:after="0"/>
        <w:ind w:left="720" w:hanging="720"/>
        <w:rPr>
          <w:rFonts w:ascii="Times New Roman" w:hAnsi="Times New Roman" w:cs="Times New Roman"/>
        </w:rPr>
      </w:pPr>
      <w:r w:rsidRPr="009C24BC">
        <w:rPr>
          <w:rFonts w:ascii="Times New Roman" w:eastAsiaTheme="minorEastAsia" w:hAnsi="Times New Roman" w:cs="Times New Roman"/>
          <w:bCs/>
          <w:iCs/>
        </w:rPr>
        <w:fldChar w:fldCharType="begin"/>
      </w:r>
      <w:r w:rsidRPr="009C24BC">
        <w:rPr>
          <w:rFonts w:ascii="Times New Roman" w:eastAsiaTheme="minorEastAsia" w:hAnsi="Times New Roman" w:cs="Times New Roman"/>
          <w:bCs/>
          <w:iCs/>
        </w:rPr>
        <w:instrText xml:space="preserve"> ADDIN EN.REFLIST </w:instrText>
      </w:r>
      <w:r w:rsidRPr="009C24BC">
        <w:rPr>
          <w:rFonts w:ascii="Times New Roman" w:eastAsiaTheme="minorEastAsia" w:hAnsi="Times New Roman" w:cs="Times New Roman"/>
          <w:bCs/>
          <w:iCs/>
        </w:rPr>
        <w:fldChar w:fldCharType="separate"/>
      </w:r>
      <w:r w:rsidR="00027244" w:rsidRPr="009C24BC">
        <w:rPr>
          <w:rFonts w:ascii="Times New Roman" w:hAnsi="Times New Roman" w:cs="Times New Roman"/>
        </w:rPr>
        <w:t>AHDB. (2014). Dairy Statistics An Insider Guide 2014. In. Agriculture and Horticulture Development Board Diary.</w:t>
      </w:r>
    </w:p>
    <w:p w14:paraId="041540FA"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AHDB. (2015). UK Yearbook 2015 Cattle. In. Agriculture and Horticulture Development Board Beef and Lamb.</w:t>
      </w:r>
    </w:p>
    <w:p w14:paraId="1F2DDE97"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Armstrong, H. M., Poulsom, L., Connolly, T., &amp; Peace, A. (2003). A survey of cattle-grazed woodlands in Britain. In: UK Forest Research.</w:t>
      </w:r>
    </w:p>
    <w:p w14:paraId="2FCEDADD"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DEFRA. (2015a). Agriculture in the United Kingdom data sets. In: Department for Environment, Food &amp; Rural Affairs.</w:t>
      </w:r>
    </w:p>
    <w:p w14:paraId="405DE554"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Defra. (2015b). Animal Feed Production Statistics. In. Department for Environment, Food &amp; Rural Affairs.</w:t>
      </w:r>
    </w:p>
    <w:p w14:paraId="70CA9157"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Defra. (2015c). Latest animal feed production statistics. In: Department for Environment, Food &amp; Rural Affairs.</w:t>
      </w:r>
    </w:p>
    <w:p w14:paraId="707276DB"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DEFRA. (2015d). Structure of the agricultural industry. In. Department for Environment, Food &amp; Rural Affairs UK.</w:t>
      </w:r>
    </w:p>
    <w:p w14:paraId="2EB07FDD"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European Commission., Eurostat., United Nations., Food and Agriculture Organization of the United Nations., International Monetary Fund., Organisation for Economic Co-operation and Development., &amp; Bank, W. (2014). System of Environmental-Economic Accounting 2012 Central Framework. In. New York; [Luxembourg]: UNO ; [Publications Office].</w:t>
      </w:r>
    </w:p>
    <w:p w14:paraId="66F59F78"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European Commission., Organisation for Economic Co-operation and Development., United Nations., &amp; Bank., W. (2013). System of Environmental-Economic Accounting 2012. Experimental-Economic Accounting. In. White cover publication.</w:t>
      </w:r>
    </w:p>
    <w:p w14:paraId="5BC082B2"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Haines-Young, R., &amp; Potschin, M. (2012). CICES Version 4: Response to Consultation. In. Centre for Environmental Management, University of Nottingham.</w:t>
      </w:r>
    </w:p>
    <w:p w14:paraId="352201C9"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HCC. (2014). Little Book of Meat Facts 2014. In. Hybu Cig Cymru.</w:t>
      </w:r>
    </w:p>
    <w:p w14:paraId="42850C91"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lastRenderedPageBreak/>
        <w:t>Holland, R. A., Eigenbrod, F., Muggeridge, A., Brown, G., Clarke, D., &amp; Taylor, G. (2015). A synthesis of the ecosystem services impact of second generation bioenergy crop production. Renewable and Sustainable Energy Reviews</w:t>
      </w:r>
      <w:r w:rsidRPr="009C24BC">
        <w:rPr>
          <w:rFonts w:ascii="Times New Roman" w:hAnsi="Times New Roman" w:cs="Times New Roman"/>
          <w:i/>
        </w:rPr>
        <w:t xml:space="preserve">, </w:t>
      </w:r>
      <w:r w:rsidRPr="009C24BC">
        <w:rPr>
          <w:rFonts w:ascii="Times New Roman" w:hAnsi="Times New Roman" w:cs="Times New Roman"/>
        </w:rPr>
        <w:t>46, 30-40.</w:t>
      </w:r>
    </w:p>
    <w:p w14:paraId="011A6835"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 xml:space="preserve">Jerram, R., Jefferson, R., &amp; Backshall, J. (2001). Chapter 7 Meadows And Enclosed Pasture In  The upland management handbook. Natural England </w:t>
      </w:r>
    </w:p>
    <w:p w14:paraId="1EB612FD"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Mace, G. M., Norris, K., &amp; Fitter, A. H. (2012). Biodiversity and ecosystem services: a multilayered relationship. Trends in Ecology &amp; Evolution</w:t>
      </w:r>
      <w:r w:rsidRPr="009C24BC">
        <w:rPr>
          <w:rFonts w:ascii="Times New Roman" w:hAnsi="Times New Roman" w:cs="Times New Roman"/>
          <w:i/>
        </w:rPr>
        <w:t xml:space="preserve">, </w:t>
      </w:r>
      <w:r w:rsidRPr="009C24BC">
        <w:rPr>
          <w:rFonts w:ascii="Times New Roman" w:hAnsi="Times New Roman" w:cs="Times New Roman"/>
        </w:rPr>
        <w:t>27, 19-26.</w:t>
      </w:r>
    </w:p>
    <w:p w14:paraId="790D2FF9"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MillenniumEcosystemAssessment. (2005). Ecosystems and Human Well-being: Synthesis. In. Island Press, Washington, DC.</w:t>
      </w:r>
    </w:p>
    <w:p w14:paraId="2804A249"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NaturalEngland. (2009). Environmental impacts of land management. In  Natural England Research Report NERR030. Natural England.</w:t>
      </w:r>
    </w:p>
    <w:p w14:paraId="2D96CA83" w14:textId="77777777" w:rsidR="00027244" w:rsidRPr="009C24BC" w:rsidRDefault="00027244" w:rsidP="00027244">
      <w:pPr>
        <w:pStyle w:val="EndNoteBibliography"/>
        <w:spacing w:after="0"/>
        <w:ind w:left="720" w:hanging="720"/>
        <w:rPr>
          <w:rFonts w:ascii="Times New Roman" w:hAnsi="Times New Roman" w:cs="Times New Roman"/>
        </w:rPr>
      </w:pPr>
      <w:r w:rsidRPr="009C24BC">
        <w:rPr>
          <w:rFonts w:ascii="Times New Roman" w:hAnsi="Times New Roman" w:cs="Times New Roman"/>
        </w:rPr>
        <w:t>Statista. (2014). Common rough grazing land area in the United Kingdom In.</w:t>
      </w:r>
    </w:p>
    <w:p w14:paraId="1B53E66A" w14:textId="77777777" w:rsidR="00027244" w:rsidRPr="009C24BC" w:rsidRDefault="00027244" w:rsidP="00027244">
      <w:pPr>
        <w:pStyle w:val="EndNoteBibliography"/>
        <w:ind w:left="720" w:hanging="720"/>
        <w:rPr>
          <w:rFonts w:ascii="Times New Roman" w:hAnsi="Times New Roman" w:cs="Times New Roman"/>
        </w:rPr>
      </w:pPr>
      <w:r w:rsidRPr="009C24BC">
        <w:rPr>
          <w:rFonts w:ascii="Times New Roman" w:hAnsi="Times New Roman" w:cs="Times New Roman"/>
        </w:rPr>
        <w:t>UKNEA. (2011). UK National Ecosystem Assessment. In. UK National Ecosystem Assessment.</w:t>
      </w:r>
    </w:p>
    <w:p w14:paraId="69C83114" w14:textId="6470C828" w:rsidR="006478A3" w:rsidRPr="00397B6D" w:rsidRDefault="00927B92" w:rsidP="00927B92">
      <w:pPr>
        <w:pStyle w:val="ListParagraph"/>
        <w:spacing w:after="100" w:line="360" w:lineRule="auto"/>
        <w:ind w:left="360"/>
        <w:jc w:val="both"/>
        <w:rPr>
          <w:rFonts w:ascii="Times New Roman" w:eastAsiaTheme="minorEastAsia" w:hAnsi="Times New Roman" w:cs="Times New Roman"/>
          <w:bCs/>
          <w:iCs/>
          <w:sz w:val="20"/>
          <w:szCs w:val="20"/>
        </w:rPr>
      </w:pPr>
      <w:r w:rsidRPr="009C24BC">
        <w:rPr>
          <w:rFonts w:ascii="Times New Roman" w:eastAsiaTheme="minorEastAsia" w:hAnsi="Times New Roman" w:cs="Times New Roman"/>
          <w:bCs/>
          <w:iCs/>
        </w:rPr>
        <w:fldChar w:fldCharType="end"/>
      </w:r>
    </w:p>
    <w:sectPr w:rsidR="006478A3" w:rsidRPr="00397B6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5BF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B86"/>
    <w:multiLevelType w:val="hybridMultilevel"/>
    <w:tmpl w:val="BFE65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10577A"/>
    <w:multiLevelType w:val="hybridMultilevel"/>
    <w:tmpl w:val="B772409C"/>
    <w:lvl w:ilvl="0" w:tplc="14F0B3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and R.A.">
    <w15:presenceInfo w15:providerId="AD" w15:userId="S-1-5-21-2015846570-11164191-355810188-260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mputers Chemical Engine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95a2xfmawp9jevtd0x0r5qapwwdf5f5dda&quot;&gt;Bioenergy Value Chain&lt;record-ids&gt;&lt;item&gt;83&lt;/item&gt;&lt;item&gt;84&lt;/item&gt;&lt;item&gt;85&lt;/item&gt;&lt;item&gt;88&lt;/item&gt;&lt;item&gt;89&lt;/item&gt;&lt;item&gt;92&lt;/item&gt;&lt;item&gt;93&lt;/item&gt;&lt;item&gt;95&lt;/item&gt;&lt;item&gt;96&lt;/item&gt;&lt;item&gt;97&lt;/item&gt;&lt;item&gt;111&lt;/item&gt;&lt;item&gt;126&lt;/item&gt;&lt;item&gt;127&lt;/item&gt;&lt;item&gt;128&lt;/item&gt;&lt;item&gt;129&lt;/item&gt;&lt;item&gt;130&lt;/item&gt;&lt;item&gt;131&lt;/item&gt;&lt;item&gt;132&lt;/item&gt;&lt;/record-ids&gt;&lt;/item&gt;&lt;/Libraries&gt;"/>
  </w:docVars>
  <w:rsids>
    <w:rsidRoot w:val="006478A3"/>
    <w:rsid w:val="00027244"/>
    <w:rsid w:val="00050F32"/>
    <w:rsid w:val="001A1B31"/>
    <w:rsid w:val="001D287F"/>
    <w:rsid w:val="001E24E1"/>
    <w:rsid w:val="00264319"/>
    <w:rsid w:val="00356792"/>
    <w:rsid w:val="00411EF0"/>
    <w:rsid w:val="004F3994"/>
    <w:rsid w:val="004F6E16"/>
    <w:rsid w:val="005052DF"/>
    <w:rsid w:val="005557A1"/>
    <w:rsid w:val="006478A3"/>
    <w:rsid w:val="0067574A"/>
    <w:rsid w:val="006A02F4"/>
    <w:rsid w:val="006C33A8"/>
    <w:rsid w:val="00704766"/>
    <w:rsid w:val="00712F48"/>
    <w:rsid w:val="008A245F"/>
    <w:rsid w:val="008F5A64"/>
    <w:rsid w:val="00927B92"/>
    <w:rsid w:val="009C24BC"/>
    <w:rsid w:val="00B41BA0"/>
    <w:rsid w:val="00B621A1"/>
    <w:rsid w:val="00C007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A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8A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A3"/>
    <w:pPr>
      <w:ind w:left="720"/>
      <w:contextualSpacing/>
    </w:pPr>
  </w:style>
  <w:style w:type="paragraph" w:styleId="BalloonText">
    <w:name w:val="Balloon Text"/>
    <w:basedOn w:val="Normal"/>
    <w:link w:val="BalloonTextChar"/>
    <w:uiPriority w:val="99"/>
    <w:semiHidden/>
    <w:unhideWhenUsed/>
    <w:rsid w:val="0064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A3"/>
    <w:rPr>
      <w:rFonts w:ascii="Tahoma" w:eastAsiaTheme="minorHAnsi" w:hAnsi="Tahoma" w:cs="Tahoma"/>
      <w:sz w:val="16"/>
      <w:szCs w:val="16"/>
      <w:lang w:eastAsia="en-US"/>
    </w:rPr>
  </w:style>
  <w:style w:type="paragraph" w:customStyle="1" w:styleId="EndNoteBibliographyTitle">
    <w:name w:val="EndNote Bibliography Title"/>
    <w:basedOn w:val="Normal"/>
    <w:link w:val="EndNoteBibliographyTitleChar"/>
    <w:rsid w:val="00927B92"/>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927B92"/>
    <w:rPr>
      <w:rFonts w:eastAsiaTheme="minorHAnsi"/>
      <w:lang w:eastAsia="en-US"/>
    </w:rPr>
  </w:style>
  <w:style w:type="character" w:customStyle="1" w:styleId="EndNoteBibliographyTitleChar">
    <w:name w:val="EndNote Bibliography Title Char"/>
    <w:basedOn w:val="ListParagraphChar"/>
    <w:link w:val="EndNoteBibliographyTitle"/>
    <w:rsid w:val="00927B92"/>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927B92"/>
    <w:p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927B92"/>
    <w:rPr>
      <w:rFonts w:ascii="Calibri" w:eastAsiaTheme="minorHAnsi" w:hAnsi="Calibri" w:cs="Calibri"/>
      <w:noProof/>
      <w:lang w:val="en-US" w:eastAsia="en-US"/>
    </w:rPr>
  </w:style>
  <w:style w:type="character" w:styleId="Hyperlink">
    <w:name w:val="Hyperlink"/>
    <w:basedOn w:val="DefaultParagraphFont"/>
    <w:uiPriority w:val="99"/>
    <w:unhideWhenUsed/>
    <w:rsid w:val="001E24E1"/>
    <w:rPr>
      <w:color w:val="0000FF" w:themeColor="hyperlink"/>
      <w:u w:val="single"/>
    </w:rPr>
  </w:style>
  <w:style w:type="paragraph" w:styleId="NormalWeb">
    <w:name w:val="Normal (Web)"/>
    <w:basedOn w:val="Normal"/>
    <w:uiPriority w:val="99"/>
    <w:unhideWhenUsed/>
    <w:rsid w:val="0070476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ibliography">
    <w:name w:val="Bibliography"/>
    <w:basedOn w:val="Normal"/>
    <w:next w:val="Normal"/>
    <w:uiPriority w:val="37"/>
    <w:unhideWhenUsed/>
    <w:rsid w:val="00B41BA0"/>
  </w:style>
  <w:style w:type="paragraph" w:styleId="Caption">
    <w:name w:val="caption"/>
    <w:basedOn w:val="Normal"/>
    <w:next w:val="Normal"/>
    <w:uiPriority w:val="35"/>
    <w:semiHidden/>
    <w:unhideWhenUsed/>
    <w:qFormat/>
    <w:rsid w:val="00B41BA0"/>
    <w:pPr>
      <w:spacing w:after="160" w:line="240" w:lineRule="auto"/>
    </w:pPr>
    <w:rPr>
      <w:rFonts w:eastAsiaTheme="minorEastAsia"/>
      <w:b/>
      <w:bCs/>
      <w:smallCaps/>
      <w:color w:val="1F497D" w:themeColor="text2"/>
      <w:lang w:eastAsia="zh-CN"/>
    </w:rPr>
  </w:style>
  <w:style w:type="character" w:styleId="CommentReference">
    <w:name w:val="annotation reference"/>
    <w:basedOn w:val="DefaultParagraphFont"/>
    <w:uiPriority w:val="99"/>
    <w:semiHidden/>
    <w:unhideWhenUsed/>
    <w:rsid w:val="005557A1"/>
    <w:rPr>
      <w:sz w:val="16"/>
      <w:szCs w:val="16"/>
    </w:rPr>
  </w:style>
  <w:style w:type="paragraph" w:styleId="CommentText">
    <w:name w:val="annotation text"/>
    <w:basedOn w:val="Normal"/>
    <w:link w:val="CommentTextChar"/>
    <w:uiPriority w:val="99"/>
    <w:semiHidden/>
    <w:unhideWhenUsed/>
    <w:rsid w:val="005557A1"/>
    <w:pPr>
      <w:spacing w:line="240" w:lineRule="auto"/>
    </w:pPr>
    <w:rPr>
      <w:sz w:val="20"/>
      <w:szCs w:val="20"/>
    </w:rPr>
  </w:style>
  <w:style w:type="character" w:customStyle="1" w:styleId="CommentTextChar">
    <w:name w:val="Comment Text Char"/>
    <w:basedOn w:val="DefaultParagraphFont"/>
    <w:link w:val="CommentText"/>
    <w:uiPriority w:val="99"/>
    <w:semiHidden/>
    <w:rsid w:val="005557A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557A1"/>
    <w:rPr>
      <w:b/>
      <w:bCs/>
    </w:rPr>
  </w:style>
  <w:style w:type="character" w:customStyle="1" w:styleId="CommentSubjectChar">
    <w:name w:val="Comment Subject Char"/>
    <w:basedOn w:val="CommentTextChar"/>
    <w:link w:val="CommentSubject"/>
    <w:uiPriority w:val="99"/>
    <w:semiHidden/>
    <w:rsid w:val="005557A1"/>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A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8A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A3"/>
    <w:pPr>
      <w:ind w:left="720"/>
      <w:contextualSpacing/>
    </w:pPr>
  </w:style>
  <w:style w:type="paragraph" w:styleId="BalloonText">
    <w:name w:val="Balloon Text"/>
    <w:basedOn w:val="Normal"/>
    <w:link w:val="BalloonTextChar"/>
    <w:uiPriority w:val="99"/>
    <w:semiHidden/>
    <w:unhideWhenUsed/>
    <w:rsid w:val="0064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A3"/>
    <w:rPr>
      <w:rFonts w:ascii="Tahoma" w:eastAsiaTheme="minorHAnsi" w:hAnsi="Tahoma" w:cs="Tahoma"/>
      <w:sz w:val="16"/>
      <w:szCs w:val="16"/>
      <w:lang w:eastAsia="en-US"/>
    </w:rPr>
  </w:style>
  <w:style w:type="paragraph" w:customStyle="1" w:styleId="EndNoteBibliographyTitle">
    <w:name w:val="EndNote Bibliography Title"/>
    <w:basedOn w:val="Normal"/>
    <w:link w:val="EndNoteBibliographyTitleChar"/>
    <w:rsid w:val="00927B92"/>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927B92"/>
    <w:rPr>
      <w:rFonts w:eastAsiaTheme="minorHAnsi"/>
      <w:lang w:eastAsia="en-US"/>
    </w:rPr>
  </w:style>
  <w:style w:type="character" w:customStyle="1" w:styleId="EndNoteBibliographyTitleChar">
    <w:name w:val="EndNote Bibliography Title Char"/>
    <w:basedOn w:val="ListParagraphChar"/>
    <w:link w:val="EndNoteBibliographyTitle"/>
    <w:rsid w:val="00927B92"/>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927B92"/>
    <w:p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927B92"/>
    <w:rPr>
      <w:rFonts w:ascii="Calibri" w:eastAsiaTheme="minorHAnsi" w:hAnsi="Calibri" w:cs="Calibri"/>
      <w:noProof/>
      <w:lang w:val="en-US" w:eastAsia="en-US"/>
    </w:rPr>
  </w:style>
  <w:style w:type="character" w:styleId="Hyperlink">
    <w:name w:val="Hyperlink"/>
    <w:basedOn w:val="DefaultParagraphFont"/>
    <w:uiPriority w:val="99"/>
    <w:unhideWhenUsed/>
    <w:rsid w:val="001E24E1"/>
    <w:rPr>
      <w:color w:val="0000FF" w:themeColor="hyperlink"/>
      <w:u w:val="single"/>
    </w:rPr>
  </w:style>
  <w:style w:type="paragraph" w:styleId="NormalWeb">
    <w:name w:val="Normal (Web)"/>
    <w:basedOn w:val="Normal"/>
    <w:uiPriority w:val="99"/>
    <w:unhideWhenUsed/>
    <w:rsid w:val="0070476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ibliography">
    <w:name w:val="Bibliography"/>
    <w:basedOn w:val="Normal"/>
    <w:next w:val="Normal"/>
    <w:uiPriority w:val="37"/>
    <w:unhideWhenUsed/>
    <w:rsid w:val="00B41BA0"/>
  </w:style>
  <w:style w:type="paragraph" w:styleId="Caption">
    <w:name w:val="caption"/>
    <w:basedOn w:val="Normal"/>
    <w:next w:val="Normal"/>
    <w:uiPriority w:val="35"/>
    <w:semiHidden/>
    <w:unhideWhenUsed/>
    <w:qFormat/>
    <w:rsid w:val="00B41BA0"/>
    <w:pPr>
      <w:spacing w:after="160" w:line="240" w:lineRule="auto"/>
    </w:pPr>
    <w:rPr>
      <w:rFonts w:eastAsiaTheme="minorEastAsia"/>
      <w:b/>
      <w:bCs/>
      <w:smallCaps/>
      <w:color w:val="1F497D" w:themeColor="text2"/>
      <w:lang w:eastAsia="zh-CN"/>
    </w:rPr>
  </w:style>
  <w:style w:type="character" w:styleId="CommentReference">
    <w:name w:val="annotation reference"/>
    <w:basedOn w:val="DefaultParagraphFont"/>
    <w:uiPriority w:val="99"/>
    <w:semiHidden/>
    <w:unhideWhenUsed/>
    <w:rsid w:val="005557A1"/>
    <w:rPr>
      <w:sz w:val="16"/>
      <w:szCs w:val="16"/>
    </w:rPr>
  </w:style>
  <w:style w:type="paragraph" w:styleId="CommentText">
    <w:name w:val="annotation text"/>
    <w:basedOn w:val="Normal"/>
    <w:link w:val="CommentTextChar"/>
    <w:uiPriority w:val="99"/>
    <w:semiHidden/>
    <w:unhideWhenUsed/>
    <w:rsid w:val="005557A1"/>
    <w:pPr>
      <w:spacing w:line="240" w:lineRule="auto"/>
    </w:pPr>
    <w:rPr>
      <w:sz w:val="20"/>
      <w:szCs w:val="20"/>
    </w:rPr>
  </w:style>
  <w:style w:type="character" w:customStyle="1" w:styleId="CommentTextChar">
    <w:name w:val="Comment Text Char"/>
    <w:basedOn w:val="DefaultParagraphFont"/>
    <w:link w:val="CommentText"/>
    <w:uiPriority w:val="99"/>
    <w:semiHidden/>
    <w:rsid w:val="005557A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557A1"/>
    <w:rPr>
      <w:b/>
      <w:bCs/>
    </w:rPr>
  </w:style>
  <w:style w:type="character" w:customStyle="1" w:styleId="CommentSubjectChar">
    <w:name w:val="Comment Subject Char"/>
    <w:basedOn w:val="CommentTextChar"/>
    <w:link w:val="CommentSubject"/>
    <w:uiPriority w:val="99"/>
    <w:semiHidden/>
    <w:rsid w:val="005557A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3370">
      <w:bodyDiv w:val="1"/>
      <w:marLeft w:val="0"/>
      <w:marRight w:val="0"/>
      <w:marTop w:val="0"/>
      <w:marBottom w:val="0"/>
      <w:divBdr>
        <w:top w:val="none" w:sz="0" w:space="0" w:color="auto"/>
        <w:left w:val="none" w:sz="0" w:space="0" w:color="auto"/>
        <w:bottom w:val="none" w:sz="0" w:space="0" w:color="auto"/>
        <w:right w:val="none" w:sz="0" w:space="0" w:color="auto"/>
      </w:divBdr>
      <w:divsChild>
        <w:div w:id="1909992131">
          <w:marLeft w:val="0"/>
          <w:marRight w:val="0"/>
          <w:marTop w:val="0"/>
          <w:marBottom w:val="0"/>
          <w:divBdr>
            <w:top w:val="none" w:sz="0" w:space="0" w:color="auto"/>
            <w:left w:val="none" w:sz="0" w:space="0" w:color="auto"/>
            <w:bottom w:val="none" w:sz="0" w:space="0" w:color="auto"/>
            <w:right w:val="none" w:sz="0" w:space="0" w:color="auto"/>
          </w:divBdr>
          <w:divsChild>
            <w:div w:id="157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4375">
      <w:bodyDiv w:val="1"/>
      <w:marLeft w:val="0"/>
      <w:marRight w:val="0"/>
      <w:marTop w:val="0"/>
      <w:marBottom w:val="0"/>
      <w:divBdr>
        <w:top w:val="none" w:sz="0" w:space="0" w:color="auto"/>
        <w:left w:val="none" w:sz="0" w:space="0" w:color="auto"/>
        <w:bottom w:val="none" w:sz="0" w:space="0" w:color="auto"/>
        <w:right w:val="none" w:sz="0" w:space="0" w:color="auto"/>
      </w:divBdr>
    </w:div>
    <w:div w:id="15867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Miao</dc:creator>
  <cp:lastModifiedBy>Guo, Miao</cp:lastModifiedBy>
  <cp:revision>6</cp:revision>
  <dcterms:created xsi:type="dcterms:W3CDTF">2015-09-29T16:07:00Z</dcterms:created>
  <dcterms:modified xsi:type="dcterms:W3CDTF">2015-09-30T20:05:00Z</dcterms:modified>
</cp:coreProperties>
</file>