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966D6" w14:textId="04906595" w:rsidR="00AC13E9" w:rsidRPr="00675A42" w:rsidRDefault="00AC13E9" w:rsidP="00646D06">
      <w:pPr>
        <w:pStyle w:val="Title"/>
      </w:pPr>
      <w:r w:rsidRPr="00675A42">
        <w:t xml:space="preserve">A novel </w:t>
      </w:r>
      <w:r w:rsidR="00D96DDF" w:rsidRPr="00675A42">
        <w:t xml:space="preserve">specimen-specific </w:t>
      </w:r>
      <w:r w:rsidRPr="00675A42">
        <w:t>methodology to optimise the alignment of long bones for experimental testing</w:t>
      </w:r>
    </w:p>
    <w:p w14:paraId="7EBAF2FC" w14:textId="77777777" w:rsidR="00AC13E9" w:rsidRPr="00675A42" w:rsidRDefault="00AC13E9" w:rsidP="00646D06">
      <w:r w:rsidRPr="00675A42">
        <w:t>Original article</w:t>
      </w:r>
      <w:bookmarkStart w:id="0" w:name="_GoBack"/>
      <w:bookmarkEnd w:id="0"/>
    </w:p>
    <w:p w14:paraId="6508A62E" w14:textId="77777777" w:rsidR="00AC13E9" w:rsidRPr="00675A42" w:rsidRDefault="00AC13E9" w:rsidP="005F5E9C">
      <w:pPr>
        <w:spacing w:line="240" w:lineRule="auto"/>
        <w:rPr>
          <w:b/>
        </w:rPr>
      </w:pPr>
      <w:r w:rsidRPr="00675A42">
        <w:rPr>
          <w:b/>
        </w:rPr>
        <w:t>Authors: Vee San Cheong, Anthony M. J. Bull</w:t>
      </w:r>
      <w:r w:rsidR="0074169A" w:rsidRPr="00675A42">
        <w:rPr>
          <w:b/>
        </w:rPr>
        <w:t>*</w:t>
      </w:r>
    </w:p>
    <w:p w14:paraId="17DC1DA3" w14:textId="77777777" w:rsidR="00AC13E9" w:rsidRPr="00675A42" w:rsidRDefault="00AC13E9" w:rsidP="005F5E9C">
      <w:pPr>
        <w:spacing w:line="240" w:lineRule="auto"/>
        <w:rPr>
          <w:b/>
        </w:rPr>
      </w:pPr>
      <w:r w:rsidRPr="00675A42">
        <w:rPr>
          <w:b/>
        </w:rPr>
        <w:t>Affiliation: Department of Bioengineering, Imperial College London</w:t>
      </w:r>
    </w:p>
    <w:p w14:paraId="7269B168" w14:textId="77777777" w:rsidR="00AC13E9" w:rsidRPr="00675A42" w:rsidRDefault="00AC13E9" w:rsidP="005F5E9C">
      <w:pPr>
        <w:spacing w:line="240" w:lineRule="auto"/>
        <w:rPr>
          <w:b/>
        </w:rPr>
      </w:pPr>
    </w:p>
    <w:p w14:paraId="5BC7CFA7" w14:textId="77777777" w:rsidR="0074169A" w:rsidRPr="00675A42" w:rsidRDefault="0074169A" w:rsidP="0074169A">
      <w:pPr>
        <w:spacing w:line="240" w:lineRule="auto"/>
        <w:jc w:val="left"/>
        <w:rPr>
          <w:b/>
        </w:rPr>
      </w:pPr>
      <w:r w:rsidRPr="00675A42">
        <w:rPr>
          <w:b/>
        </w:rPr>
        <w:t>*Department of Bioengineering</w:t>
      </w:r>
      <w:r w:rsidRPr="00675A42">
        <w:rPr>
          <w:b/>
        </w:rPr>
        <w:br/>
      </w:r>
      <w:r w:rsidR="00AC13E9" w:rsidRPr="00675A42">
        <w:rPr>
          <w:b/>
        </w:rPr>
        <w:t xml:space="preserve">Imperial </w:t>
      </w:r>
      <w:r w:rsidRPr="00675A42">
        <w:rPr>
          <w:b/>
        </w:rPr>
        <w:t>College London</w:t>
      </w:r>
      <w:r w:rsidRPr="00675A42">
        <w:rPr>
          <w:b/>
        </w:rPr>
        <w:br/>
      </w:r>
      <w:r w:rsidR="00AC13E9" w:rsidRPr="00675A42">
        <w:rPr>
          <w:b/>
        </w:rPr>
        <w:t>London SW7 2AZ</w:t>
      </w:r>
      <w:r w:rsidRPr="00675A42">
        <w:rPr>
          <w:b/>
        </w:rPr>
        <w:br/>
        <w:t>United Kingdom</w:t>
      </w:r>
    </w:p>
    <w:p w14:paraId="1B7610AA" w14:textId="77777777" w:rsidR="00AC13E9" w:rsidRPr="00675A42" w:rsidRDefault="00AC13E9" w:rsidP="0074169A">
      <w:pPr>
        <w:spacing w:line="240" w:lineRule="auto"/>
        <w:jc w:val="left"/>
        <w:rPr>
          <w:b/>
        </w:rPr>
      </w:pPr>
      <w:r w:rsidRPr="00675A42">
        <w:rPr>
          <w:b/>
        </w:rPr>
        <w:t xml:space="preserve">Tel: </w:t>
      </w:r>
      <w:r w:rsidR="0074169A" w:rsidRPr="00675A42">
        <w:rPr>
          <w:b/>
        </w:rPr>
        <w:tab/>
      </w:r>
      <w:r w:rsidRPr="00675A42">
        <w:rPr>
          <w:b/>
        </w:rPr>
        <w:t xml:space="preserve">+44 </w:t>
      </w:r>
      <w:r w:rsidR="0074169A" w:rsidRPr="00675A42">
        <w:rPr>
          <w:b/>
        </w:rPr>
        <w:t>20 7594 2765</w:t>
      </w:r>
      <w:r w:rsidR="0074169A" w:rsidRPr="00675A42">
        <w:rPr>
          <w:b/>
        </w:rPr>
        <w:br/>
        <w:t>Email:</w:t>
      </w:r>
      <w:r w:rsidR="0074169A" w:rsidRPr="00675A42">
        <w:rPr>
          <w:b/>
        </w:rPr>
        <w:tab/>
        <w:t>a.bull@imperial.ac.uk</w:t>
      </w:r>
    </w:p>
    <w:p w14:paraId="1B69F8D1" w14:textId="77777777" w:rsidR="00AC13E9" w:rsidRPr="00675A42" w:rsidRDefault="00AC13E9" w:rsidP="005F5E9C">
      <w:pPr>
        <w:spacing w:line="240" w:lineRule="auto"/>
        <w:rPr>
          <w:b/>
        </w:rPr>
      </w:pPr>
    </w:p>
    <w:p w14:paraId="4B7B2019" w14:textId="77777777" w:rsidR="00AC13E9" w:rsidRPr="00675A42" w:rsidRDefault="00AC13E9" w:rsidP="005F5E9C">
      <w:pPr>
        <w:spacing w:line="240" w:lineRule="auto"/>
        <w:rPr>
          <w:b/>
        </w:rPr>
      </w:pPr>
      <w:r w:rsidRPr="00675A42">
        <w:rPr>
          <w:b/>
        </w:rPr>
        <w:t>Keywords: bone, geometrical properties, mechanical testing, alignment, anatomical reference frame</w:t>
      </w:r>
    </w:p>
    <w:p w14:paraId="4D8B456F" w14:textId="77777777" w:rsidR="00AC13E9" w:rsidRPr="00675A42" w:rsidRDefault="00AC13E9" w:rsidP="005F5E9C">
      <w:pPr>
        <w:rPr>
          <w:b/>
        </w:rPr>
      </w:pPr>
    </w:p>
    <w:p w14:paraId="72F391CE" w14:textId="0E6AC0CB" w:rsidR="00AC13E9" w:rsidRPr="00675A42" w:rsidRDefault="00AC13E9" w:rsidP="005F5E9C">
      <w:pPr>
        <w:rPr>
          <w:b/>
        </w:rPr>
      </w:pPr>
      <w:r w:rsidRPr="00675A42">
        <w:rPr>
          <w:b/>
        </w:rPr>
        <w:t>Word count</w:t>
      </w:r>
      <w:r w:rsidR="00AE3B2A" w:rsidRPr="00675A42">
        <w:rPr>
          <w:b/>
        </w:rPr>
        <w:t xml:space="preserve"> (introduction through discussion)</w:t>
      </w:r>
      <w:r w:rsidRPr="00675A42">
        <w:rPr>
          <w:b/>
        </w:rPr>
        <w:t xml:space="preserve">: </w:t>
      </w:r>
      <w:r w:rsidR="000C6178" w:rsidRPr="00675A42">
        <w:rPr>
          <w:b/>
        </w:rPr>
        <w:t>1999</w:t>
      </w:r>
      <w:r w:rsidRPr="00675A42">
        <w:rPr>
          <w:b/>
        </w:rPr>
        <w:br w:type="page"/>
      </w:r>
    </w:p>
    <w:p w14:paraId="052D8DEA" w14:textId="77777777" w:rsidR="00AC13E9" w:rsidRPr="00675A42" w:rsidRDefault="00AC13E9" w:rsidP="00DA42CA">
      <w:pPr>
        <w:pStyle w:val="Heading1"/>
      </w:pPr>
      <w:r w:rsidRPr="00675A42">
        <w:lastRenderedPageBreak/>
        <w:t>Abstract</w:t>
      </w:r>
    </w:p>
    <w:p w14:paraId="3FAA0A12" w14:textId="45A9E407" w:rsidR="00AC13E9" w:rsidRPr="00675A42" w:rsidRDefault="00AC13E9" w:rsidP="00BF150E">
      <w:r w:rsidRPr="00675A42">
        <w:t xml:space="preserve">The choice of coordinate system and alignment of bone will affect the quantification of mechanical properties obtained during in-vitro biomechanical testing. Where these are used in predictive models, such as finite element analysis, the fidelic description of these properties is paramount. Currently in bending and torsional tests, bones are aligned on a pre-defined fixed span based on the reference system marked out. However, large inter-specimen differences have been reported. This suggests a need for the development of a specimen-specific alignment system for use in experimental work. Eleven ovine tibia were used in this study and three-dimensional surface meshes were constructed from micro-Computed Tomography scan images. A novel, semi-automated algorithm was developed and applied to the surface meshes to align the whole bone based on its calculated principal directions. Thereafter, the code isolates the optimised location and length of each bone for experimental testing. This resulted in a lowering of the second moment of area about the chosen bending axis in the central region. More importantly, the optimisation method decreases the irregularity of the shape of the cross-sectional slices as the </w:t>
      </w:r>
      <w:r w:rsidR="001059BB" w:rsidRPr="00675A42">
        <w:t xml:space="preserve">unbiased estimate of the population </w:t>
      </w:r>
      <w:r w:rsidRPr="00675A42">
        <w:t>coefficient of variation of the second moment of area decreased from a range of (0.2</w:t>
      </w:r>
      <w:r w:rsidR="001059BB" w:rsidRPr="00675A42">
        <w:t>10</w:t>
      </w:r>
      <w:r w:rsidRPr="00675A42">
        <w:t>-0.43</w:t>
      </w:r>
      <w:r w:rsidR="001059BB" w:rsidRPr="00675A42">
        <w:t>5</w:t>
      </w:r>
      <w:r w:rsidRPr="00675A42">
        <w:t>) to (0.14</w:t>
      </w:r>
      <w:r w:rsidR="001059BB" w:rsidRPr="00675A42">
        <w:t>5</w:t>
      </w:r>
      <w:r w:rsidRPr="00675A42">
        <w:t>-0.31</w:t>
      </w:r>
      <w:r w:rsidR="001059BB" w:rsidRPr="00675A42">
        <w:t>7</w:t>
      </w:r>
      <w:r w:rsidRPr="00675A42">
        <w:t xml:space="preserve">) in the longitudinal direction, indicating a minimisation of the product moment, which causes eccentric loading. Thus, this methodology serves as an important pre-step to align the bone for mechanical tests or simulation work, is optimised for each specimen, ensures repeatability, and is general enough to be applied to any long bone. </w:t>
      </w:r>
    </w:p>
    <w:p w14:paraId="795139FD" w14:textId="77777777" w:rsidR="00AC13E9" w:rsidRPr="00675A42" w:rsidRDefault="00AC13E9" w:rsidP="005F5E9C">
      <w:pPr>
        <w:rPr>
          <w:b/>
        </w:rPr>
      </w:pPr>
      <w:r w:rsidRPr="00675A42">
        <w:rPr>
          <w:b/>
        </w:rPr>
        <w:br w:type="page"/>
      </w:r>
    </w:p>
    <w:p w14:paraId="3C2A9CDD" w14:textId="77777777" w:rsidR="00AC13E9" w:rsidRPr="00675A42" w:rsidRDefault="00AC13E9" w:rsidP="00A872C9">
      <w:pPr>
        <w:pStyle w:val="Heading1"/>
      </w:pPr>
      <w:r w:rsidRPr="00675A42">
        <w:lastRenderedPageBreak/>
        <w:t>Introduction</w:t>
      </w:r>
    </w:p>
    <w:p w14:paraId="49D0B129" w14:textId="06A0BEE5" w:rsidR="00AC13E9" w:rsidRPr="00675A42" w:rsidRDefault="00C144CA" w:rsidP="00E83FD5">
      <w:r w:rsidRPr="00675A42">
        <w:t>When characterising</w:t>
      </w:r>
      <w:r w:rsidR="00AC13E9" w:rsidRPr="00675A42">
        <w:t xml:space="preserve"> material properties of bone at the tissue level, samples are machined into regular specimens to enable the application of Euler-Bernoulli equations to study the effects of appl</w:t>
      </w:r>
      <w:r w:rsidRPr="00675A42">
        <w:t>ying</w:t>
      </w:r>
      <w:r w:rsidR="00AC13E9" w:rsidRPr="00675A42">
        <w:t xml:space="preserve"> loads, </w:t>
      </w:r>
      <w:r w:rsidRPr="00675A42">
        <w:t>producing</w:t>
      </w:r>
      <w:r w:rsidR="00026D03" w:rsidRPr="00675A42">
        <w:t xml:space="preserve"> </w:t>
      </w:r>
      <w:r w:rsidR="00AC13E9" w:rsidRPr="00675A42">
        <w:t>shear stress in torsion and direct stress in bending.</w:t>
      </w:r>
      <w:r w:rsidR="00F82B7C" w:rsidRPr="00675A42">
        <w:t xml:space="preserve"> </w:t>
      </w:r>
      <w:r w:rsidR="003E6CB2" w:rsidRPr="00675A42">
        <w:t xml:space="preserve">Bending and torsion tests are used to characterise the mechanical behaviour of whole bones. In bending, a load is applied laterally while the bone is supported between two external rollers. In torsion, the epiphyses are mounted to enable a torque to be applied along the diaphysis. </w:t>
      </w:r>
      <w:r w:rsidR="00393110" w:rsidRPr="00675A42">
        <w:t xml:space="preserve">To study </w:t>
      </w:r>
      <w:r w:rsidR="00F82B7C" w:rsidRPr="00675A42">
        <w:t xml:space="preserve">the mechanical behaviour of bone at the structural level, </w:t>
      </w:r>
      <w:r w:rsidR="00DE34DA" w:rsidRPr="00675A42">
        <w:t xml:space="preserve">its complex </w:t>
      </w:r>
      <w:r w:rsidR="00AC13E9" w:rsidRPr="00675A42">
        <w:t xml:space="preserve">geometry needs to be taken into </w:t>
      </w:r>
      <w:r w:rsidR="00DE34DA" w:rsidRPr="00675A42">
        <w:t>account</w:t>
      </w:r>
      <w:r w:rsidR="00AC13E9" w:rsidRPr="00675A42">
        <w:t>.</w:t>
      </w:r>
    </w:p>
    <w:p w14:paraId="5B8D02F9" w14:textId="20216633" w:rsidR="00AC13E9" w:rsidRPr="00675A42" w:rsidRDefault="00AC13E9" w:rsidP="00E83FD5">
      <w:r w:rsidRPr="00675A42">
        <w:t>Currently, anatomical reference frame</w:t>
      </w:r>
      <w:r w:rsidR="00DE34DA" w:rsidRPr="00675A42">
        <w:t>s</w:t>
      </w:r>
      <w:r w:rsidRPr="00675A42">
        <w:t xml:space="preserve"> </w:t>
      </w:r>
      <w:r w:rsidR="00DE34DA" w:rsidRPr="00675A42">
        <w:t>are used</w:t>
      </w:r>
      <w:r w:rsidRPr="00675A42">
        <w:t xml:space="preserve"> to </w:t>
      </w:r>
      <w:r w:rsidR="00DE34DA" w:rsidRPr="00675A42">
        <w:t>mount</w:t>
      </w:r>
      <w:r w:rsidRPr="00675A42">
        <w:t xml:space="preserve"> bone</w:t>
      </w:r>
      <w:r w:rsidR="00AF5953" w:rsidRPr="00675A42">
        <w:t>s</w:t>
      </w:r>
      <w:r w:rsidRPr="00675A42">
        <w:t xml:space="preserve"> for experimental testing</w:t>
      </w:r>
      <w:r w:rsidR="00AF5953" w:rsidRPr="00675A42">
        <w:t xml:space="preserve"> in four-point bending and torsion</w:t>
      </w:r>
      <w:r w:rsidRPr="00675A42">
        <w:t xml:space="preserve"> (Cristofolini</w:t>
      </w:r>
      <w:r w:rsidR="00026D03" w:rsidRPr="00675A42">
        <w:t xml:space="preserve"> </w:t>
      </w:r>
      <w:r w:rsidR="005C381D" w:rsidRPr="00675A42">
        <w:t>et al.</w:t>
      </w:r>
      <w:r w:rsidR="00026D03" w:rsidRPr="00675A42">
        <w:t xml:space="preserve">, </w:t>
      </w:r>
      <w:r w:rsidRPr="00675A42">
        <w:t>199</w:t>
      </w:r>
      <w:r w:rsidR="000E0E0B" w:rsidRPr="00675A42">
        <w:t>6</w:t>
      </w:r>
      <w:r w:rsidR="00026D03" w:rsidRPr="00675A42">
        <w:t>,</w:t>
      </w:r>
      <w:r w:rsidR="00AF5953" w:rsidRPr="00675A42">
        <w:rPr>
          <w:noProof/>
        </w:rPr>
        <w:t xml:space="preserve"> 199</w:t>
      </w:r>
      <w:r w:rsidR="000E0E0B" w:rsidRPr="00675A42">
        <w:rPr>
          <w:noProof/>
        </w:rPr>
        <w:t>7</w:t>
      </w:r>
      <w:r w:rsidRPr="00675A42">
        <w:rPr>
          <w:noProof/>
        </w:rPr>
        <w:t>, 2000)</w:t>
      </w:r>
      <w:r w:rsidRPr="00675A42">
        <w:t>.</w:t>
      </w:r>
      <w:r w:rsidR="00DE34DA" w:rsidRPr="00675A42">
        <w:t xml:space="preserve"> </w:t>
      </w:r>
      <w:r w:rsidR="001F1387" w:rsidRPr="00675A42">
        <w:t xml:space="preserve">These experiments have </w:t>
      </w:r>
      <w:r w:rsidRPr="00675A42">
        <w:t>large standard deviation</w:t>
      </w:r>
      <w:r w:rsidR="0053565D" w:rsidRPr="00675A42">
        <w:t>s</w:t>
      </w:r>
      <w:r w:rsidRPr="00675A42">
        <w:t xml:space="preserve"> in the results </w:t>
      </w:r>
      <w:r w:rsidRPr="00675A42">
        <w:rPr>
          <w:noProof/>
        </w:rPr>
        <w:t>(Cristofolini and Viceconti, 2000)</w:t>
      </w:r>
      <w:r w:rsidRPr="00675A42">
        <w:t xml:space="preserve">. </w:t>
      </w:r>
      <w:r w:rsidR="0053565D" w:rsidRPr="00675A42">
        <w:t>T</w:t>
      </w:r>
      <w:r w:rsidRPr="00675A42">
        <w:t>he Ruff and Hayes method (1983) is the most repeatable method</w:t>
      </w:r>
      <w:r w:rsidR="0053565D" w:rsidRPr="00675A42">
        <w:t xml:space="preserve"> </w:t>
      </w:r>
      <w:r w:rsidR="003F05AC" w:rsidRPr="00675A42">
        <w:t xml:space="preserve">known </w:t>
      </w:r>
      <w:r w:rsidR="0053565D" w:rsidRPr="00675A42">
        <w:t>to assign a standard coordinate system</w:t>
      </w:r>
      <w:r w:rsidRPr="00675A42">
        <w:t xml:space="preserve"> for in-vitro testing </w:t>
      </w:r>
      <w:r w:rsidRPr="00675A42">
        <w:rPr>
          <w:noProof/>
        </w:rPr>
        <w:t>(Conti et al., 2008)</w:t>
      </w:r>
      <w:r w:rsidR="0053565D" w:rsidRPr="00675A42">
        <w:rPr>
          <w:noProof/>
        </w:rPr>
        <w:t xml:space="preserve"> and has been used </w:t>
      </w:r>
      <w:r w:rsidRPr="00675A42">
        <w:t xml:space="preserve">in </w:t>
      </w:r>
      <w:r w:rsidR="008E54A2" w:rsidRPr="00675A42">
        <w:t xml:space="preserve">structural testing of bones </w:t>
      </w:r>
      <w:r w:rsidRPr="00675A42">
        <w:rPr>
          <w:noProof/>
        </w:rPr>
        <w:t>(Finlay et al., 1995</w:t>
      </w:r>
      <w:r w:rsidR="008E54A2" w:rsidRPr="00675A42">
        <w:rPr>
          <w:noProof/>
        </w:rPr>
        <w:t>; Ebacher et al., 2007; Varghese et al., 2011</w:t>
      </w:r>
      <w:r w:rsidRPr="00675A42">
        <w:rPr>
          <w:noProof/>
        </w:rPr>
        <w:t>)</w:t>
      </w:r>
      <w:r w:rsidRPr="00675A42">
        <w:t xml:space="preserve">. </w:t>
      </w:r>
      <w:r w:rsidR="0053565D" w:rsidRPr="00675A42">
        <w:t>T</w:t>
      </w:r>
      <w:r w:rsidRPr="00675A42">
        <w:t xml:space="preserve">he ability of this system to align bones </w:t>
      </w:r>
      <w:r w:rsidR="004F3ED5" w:rsidRPr="00675A42">
        <w:t xml:space="preserve">to </w:t>
      </w:r>
      <w:r w:rsidRPr="00675A42">
        <w:t xml:space="preserve">optimally resist bending and torsion has never been compared to analytical results calculated from solid mechanics. </w:t>
      </w:r>
      <w:r w:rsidR="0053565D" w:rsidRPr="00675A42">
        <w:t>T</w:t>
      </w:r>
      <w:r w:rsidRPr="00675A42">
        <w:t>he aims of this study are to:</w:t>
      </w:r>
    </w:p>
    <w:p w14:paraId="4BB7F382" w14:textId="78969222" w:rsidR="00AC13E9" w:rsidRPr="00675A42" w:rsidRDefault="00AC13E9" w:rsidP="0097401F">
      <w:pPr>
        <w:pStyle w:val="ListParagraph"/>
        <w:numPr>
          <w:ilvl w:val="0"/>
          <w:numId w:val="2"/>
        </w:numPr>
      </w:pPr>
      <w:r w:rsidRPr="00675A42">
        <w:t xml:space="preserve">develop a method that calculates the principal directions of bone </w:t>
      </w:r>
      <w:r w:rsidR="00EE60CD" w:rsidRPr="00675A42">
        <w:t>using imaging data</w:t>
      </w:r>
      <w:r w:rsidRPr="00675A42">
        <w:t>,</w:t>
      </w:r>
    </w:p>
    <w:p w14:paraId="6B058F07" w14:textId="4FD27E5A" w:rsidR="00AC13E9" w:rsidRPr="00675A42" w:rsidRDefault="00AC13E9" w:rsidP="0097401F">
      <w:pPr>
        <w:pStyle w:val="ListParagraph"/>
        <w:numPr>
          <w:ilvl w:val="0"/>
          <w:numId w:val="2"/>
        </w:numPr>
      </w:pPr>
      <w:r w:rsidRPr="00675A42">
        <w:t xml:space="preserve">compare the second moment of area and its coefficient of variation across the cross-section using the anatomical reference frame and the </w:t>
      </w:r>
      <w:r w:rsidR="003D2B2C" w:rsidRPr="00675A42">
        <w:t>new</w:t>
      </w:r>
      <w:r w:rsidRPr="00675A42">
        <w:t xml:space="preserve"> method in the principal and anatomical directions, and</w:t>
      </w:r>
    </w:p>
    <w:p w14:paraId="4F4CE05A" w14:textId="34CC6A0D" w:rsidR="00AC13E9" w:rsidRPr="00675A42" w:rsidRDefault="00AC13E9" w:rsidP="0097401F">
      <w:pPr>
        <w:pStyle w:val="ListParagraph"/>
        <w:numPr>
          <w:ilvl w:val="0"/>
          <w:numId w:val="2"/>
        </w:numPr>
      </w:pPr>
      <w:r w:rsidRPr="00675A42">
        <w:t xml:space="preserve">obtain landmarks to define </w:t>
      </w:r>
      <w:r w:rsidR="00D96DDF" w:rsidRPr="00675A42">
        <w:t xml:space="preserve">bone </w:t>
      </w:r>
      <w:r w:rsidRPr="00675A42">
        <w:t>alignment for in-vitro testing in four-point bending and torsion.</w:t>
      </w:r>
    </w:p>
    <w:p w14:paraId="5347AA3F" w14:textId="77777777" w:rsidR="00AC13E9" w:rsidRPr="00675A42" w:rsidRDefault="00AC13E9" w:rsidP="00A872C9">
      <w:pPr>
        <w:pStyle w:val="Heading1"/>
      </w:pPr>
      <w:r w:rsidRPr="00675A42">
        <w:lastRenderedPageBreak/>
        <w:t>Materials and Methods</w:t>
      </w:r>
    </w:p>
    <w:p w14:paraId="26EA5AE7" w14:textId="2C55768B" w:rsidR="00AC13E9" w:rsidRPr="00675A42" w:rsidRDefault="00AC13E9" w:rsidP="00B33306">
      <w:r w:rsidRPr="00675A42">
        <w:t>11 ovine tibiae from 5 months old British Texel lambs</w:t>
      </w:r>
      <w:r w:rsidR="00E10878" w:rsidRPr="00675A42">
        <w:t xml:space="preserve"> weighing approximately 20kg</w:t>
      </w:r>
      <w:r w:rsidRPr="00675A42">
        <w:t xml:space="preserve"> were harvested </w:t>
      </w:r>
      <w:r w:rsidR="00E10878" w:rsidRPr="00675A42">
        <w:t xml:space="preserve">immediately </w:t>
      </w:r>
      <w:r w:rsidRPr="00675A42">
        <w:t>after slaughter. The bones were cleaned of soft tissues, wrapped in cloth soaked in 1% Phosphate Buffer solution</w:t>
      </w:r>
      <w:r w:rsidR="00211E52" w:rsidRPr="00675A42">
        <w:t xml:space="preserve"> and </w:t>
      </w:r>
      <w:r w:rsidRPr="00675A42">
        <w:t xml:space="preserve">frozen at -20°C </w:t>
      </w:r>
      <w:r w:rsidR="00211E52" w:rsidRPr="00675A42">
        <w:t>in sealed bags</w:t>
      </w:r>
      <w:r w:rsidRPr="00675A42">
        <w:t xml:space="preserve">. </w:t>
      </w:r>
      <w:r w:rsidR="0013540E" w:rsidRPr="00675A42">
        <w:t>B</w:t>
      </w:r>
      <w:r w:rsidR="008C6249" w:rsidRPr="00675A42">
        <w:t xml:space="preserve">ones were thawed and </w:t>
      </w:r>
      <w:r w:rsidRPr="00675A42">
        <w:t xml:space="preserve">scanned </w:t>
      </w:r>
      <w:r w:rsidR="00026D03" w:rsidRPr="00675A42">
        <w:t xml:space="preserve">at a resolution of 115 microns </w:t>
      </w:r>
      <w:r w:rsidRPr="00675A42">
        <w:t>in a Metris X-Tek 225 CT System (Nikon Metrology, Tring, UK).</w:t>
      </w:r>
      <w:r w:rsidR="00777CC3" w:rsidRPr="00675A42">
        <w:t xml:space="preserve"> </w:t>
      </w:r>
      <w:r w:rsidR="00764646" w:rsidRPr="00675A42">
        <w:t>Manual segmentation was conducted in</w:t>
      </w:r>
      <w:r w:rsidR="006E3655" w:rsidRPr="00675A42">
        <w:t xml:space="preserve"> </w:t>
      </w:r>
      <w:r w:rsidRPr="00675A42">
        <w:t xml:space="preserve">Mimics </w:t>
      </w:r>
      <w:r w:rsidR="00764646" w:rsidRPr="00675A42">
        <w:t xml:space="preserve">15.0 </w:t>
      </w:r>
      <w:r w:rsidRPr="00675A42">
        <w:t>(Materialse NV, Leuven, Belgium)</w:t>
      </w:r>
      <w:r w:rsidR="00B80EC8" w:rsidRPr="00675A42">
        <w:t xml:space="preserve">, </w:t>
      </w:r>
      <w:r w:rsidRPr="00675A42">
        <w:t>to create cortical and endocortical masks.</w:t>
      </w:r>
      <w:r w:rsidR="00211E52" w:rsidRPr="00675A42">
        <w:t xml:space="preserve"> </w:t>
      </w:r>
      <w:r w:rsidRPr="00675A42">
        <w:t>Geomagic Studio 12.0 (3D Systems, North Carolina, USA)</w:t>
      </w:r>
      <w:r w:rsidR="004F3ED5" w:rsidRPr="00675A42">
        <w:t xml:space="preserve"> was used for </w:t>
      </w:r>
      <w:r w:rsidRPr="00675A42">
        <w:t>repair and smooth</w:t>
      </w:r>
      <w:r w:rsidR="00B80EC8" w:rsidRPr="00675A42">
        <w:t>ing</w:t>
      </w:r>
      <w:r w:rsidR="00B82F6F" w:rsidRPr="00675A42">
        <w:t xml:space="preserve"> to produce </w:t>
      </w:r>
      <w:r w:rsidR="0007624A" w:rsidRPr="00675A42">
        <w:t>approximately</w:t>
      </w:r>
      <w:r w:rsidR="0018200F" w:rsidRPr="00675A42">
        <w:t xml:space="preserve"> 10</w:t>
      </w:r>
      <w:r w:rsidR="006E3655" w:rsidRPr="00675A42">
        <w:t>,</w:t>
      </w:r>
      <w:r w:rsidR="006B12CD" w:rsidRPr="00675A42">
        <w:t xml:space="preserve">000 </w:t>
      </w:r>
      <w:r w:rsidR="0018200F" w:rsidRPr="00675A42">
        <w:t>triangles</w:t>
      </w:r>
      <w:r w:rsidR="00B80EC8" w:rsidRPr="00675A42">
        <w:t xml:space="preserve"> for export </w:t>
      </w:r>
      <w:r w:rsidRPr="00675A42">
        <w:t>in STL format.</w:t>
      </w:r>
    </w:p>
    <w:p w14:paraId="3D51627F" w14:textId="2F9648E2" w:rsidR="00AC13E9" w:rsidRPr="00675A42" w:rsidRDefault="00AC13E9" w:rsidP="00E83FD5">
      <w:r w:rsidRPr="00675A42">
        <w:t>Euler-Bernoulli object</w:t>
      </w:r>
      <w:r w:rsidR="004F3ED5" w:rsidRPr="00675A42">
        <w:t>s</w:t>
      </w:r>
      <w:r w:rsidRPr="00675A42">
        <w:t xml:space="preserve"> </w:t>
      </w:r>
      <w:r w:rsidR="004F3ED5" w:rsidRPr="00675A42">
        <w:t>have</w:t>
      </w:r>
      <w:r w:rsidRPr="00675A42">
        <w:t xml:space="preserve"> a set of principal moments</w:t>
      </w:r>
      <w:r w:rsidR="006D6CCF" w:rsidRPr="00675A42">
        <w:t xml:space="preserve"> (</w:t>
      </w:r>
      <w:r w:rsidRPr="00675A42">
        <w:rPr>
          <w:rFonts w:ascii="Times New Roman" w:hAnsi="Times New Roman"/>
          <w:i/>
        </w:rPr>
        <w:t>I</w:t>
      </w:r>
      <w:r w:rsidRPr="00675A42">
        <w:rPr>
          <w:rFonts w:ascii="Times New Roman" w:hAnsi="Times New Roman"/>
          <w:i/>
          <w:vertAlign w:val="subscript"/>
        </w:rPr>
        <w:t>1</w:t>
      </w:r>
      <w:r w:rsidRPr="00675A42">
        <w:rPr>
          <w:rFonts w:ascii="Times New Roman" w:hAnsi="Times New Roman"/>
        </w:rPr>
        <w:t xml:space="preserve">, </w:t>
      </w:r>
      <w:r w:rsidRPr="00675A42">
        <w:rPr>
          <w:rFonts w:ascii="Times New Roman" w:hAnsi="Times New Roman"/>
          <w:i/>
        </w:rPr>
        <w:t>I</w:t>
      </w:r>
      <w:r w:rsidRPr="00675A42">
        <w:rPr>
          <w:rFonts w:ascii="Times New Roman" w:hAnsi="Times New Roman"/>
          <w:i/>
          <w:vertAlign w:val="subscript"/>
        </w:rPr>
        <w:t>2</w:t>
      </w:r>
      <w:r w:rsidRPr="00675A42">
        <w:t xml:space="preserve"> and </w:t>
      </w:r>
      <w:r w:rsidRPr="00675A42">
        <w:rPr>
          <w:rFonts w:ascii="Times New Roman" w:hAnsi="Times New Roman"/>
          <w:i/>
        </w:rPr>
        <w:t>I</w:t>
      </w:r>
      <w:r w:rsidRPr="00675A42">
        <w:rPr>
          <w:rFonts w:ascii="Times New Roman" w:hAnsi="Times New Roman"/>
          <w:i/>
          <w:vertAlign w:val="subscript"/>
        </w:rPr>
        <w:t>3</w:t>
      </w:r>
      <w:r w:rsidRPr="00675A42">
        <w:t>, in descending order</w:t>
      </w:r>
      <w:r w:rsidR="006D6CCF" w:rsidRPr="00675A42">
        <w:t>)</w:t>
      </w:r>
      <w:r w:rsidRPr="00675A42">
        <w:t>, and their corresponding principal axes, where the</w:t>
      </w:r>
      <w:r w:rsidR="004F3ED5" w:rsidRPr="00675A42">
        <w:t>y</w:t>
      </w:r>
      <w:r w:rsidRPr="00675A42">
        <w:t xml:space="preserve"> would experience maximum and minimum stresses in the absence of eccentric loading </w:t>
      </w:r>
      <w:r w:rsidRPr="00675A42">
        <w:rPr>
          <w:noProof/>
        </w:rPr>
        <w:t>(Ruff and Hayes, 1983)</w:t>
      </w:r>
      <w:r w:rsidRPr="00675A42">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57"/>
        <w:gridCol w:w="749"/>
      </w:tblGrid>
      <w:tr w:rsidR="003B1EEC" w:rsidRPr="00675A42" w14:paraId="5B1E551B" w14:textId="77777777" w:rsidTr="00336FA4">
        <w:tc>
          <w:tcPr>
            <w:tcW w:w="7763" w:type="dxa"/>
          </w:tcPr>
          <w:p w14:paraId="4BC8990C" w14:textId="018D77E9" w:rsidR="003B1EEC" w:rsidRPr="00675A42" w:rsidRDefault="003B1EEC" w:rsidP="003B1EEC">
            <w:pPr>
              <w:spacing w:line="240" w:lineRule="auto"/>
              <w:jc w:val="center"/>
            </w:pPr>
            <m:oMath>
              <m:r>
                <w:rPr>
                  <w:rFonts w:ascii="Cambria Math" w:hAnsi="Cambria Math"/>
                </w:rPr>
                <m:t>I=</m:t>
              </m:r>
              <m:d>
                <m:dPr>
                  <m:begChr m:val="["/>
                  <m:endChr m:val="]"/>
                  <m:ctrlPr>
                    <w:rPr>
                      <w:rFonts w:ascii="Cambria Math" w:hAnsi="Cambria Math"/>
                      <w:i/>
                    </w:rPr>
                  </m:ctrlPr>
                </m:dPr>
                <m:e>
                  <m:m>
                    <m:mPr>
                      <m:mcs>
                        <m:mc>
                          <m:mcPr>
                            <m:count m:val="3"/>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I</m:t>
                            </m:r>
                          </m:e>
                          <m:sub>
                            <m:r>
                              <w:rPr>
                                <w:rFonts w:ascii="Cambria Math" w:hAnsi="Cambria Math"/>
                              </w:rPr>
                              <m:t>1</m:t>
                            </m:r>
                          </m:sub>
                        </m:sSub>
                      </m:e>
                      <m:e>
                        <m:r>
                          <w:rPr>
                            <w:rFonts w:ascii="Cambria Math" w:hAnsi="Cambria Math"/>
                          </w:rPr>
                          <m:t>0</m:t>
                        </m:r>
                      </m:e>
                      <m:e>
                        <m:r>
                          <w:rPr>
                            <w:rFonts w:ascii="Cambria Math" w:hAnsi="Cambria Math"/>
                          </w:rPr>
                          <m:t>0</m:t>
                        </m:r>
                      </m:e>
                    </m:mr>
                    <m:mr>
                      <m:e>
                        <m:r>
                          <w:rPr>
                            <w:rFonts w:ascii="Cambria Math" w:hAnsi="Cambria Math"/>
                          </w:rPr>
                          <m:t>0</m:t>
                        </m:r>
                      </m:e>
                      <m:e>
                        <m:sSub>
                          <m:sSubPr>
                            <m:ctrlPr>
                              <w:rPr>
                                <w:rFonts w:ascii="Cambria Math" w:hAnsi="Cambria Math"/>
                                <w:i/>
                              </w:rPr>
                            </m:ctrlPr>
                          </m:sSubPr>
                          <m:e>
                            <m:r>
                              <w:rPr>
                                <w:rFonts w:ascii="Cambria Math" w:hAnsi="Cambria Math"/>
                              </w:rPr>
                              <m:t>I</m:t>
                            </m:r>
                          </m:e>
                          <m:sub>
                            <m:r>
                              <w:rPr>
                                <w:rFonts w:ascii="Cambria Math" w:hAnsi="Cambria Math"/>
                              </w:rPr>
                              <m:t>2</m:t>
                            </m:r>
                          </m:sub>
                        </m:sSub>
                      </m:e>
                      <m:e>
                        <m:r>
                          <w:rPr>
                            <w:rFonts w:ascii="Cambria Math" w:hAnsi="Cambria Math"/>
                          </w:rPr>
                          <m:t>0</m:t>
                        </m:r>
                      </m:e>
                    </m:mr>
                    <m:mr>
                      <m:e>
                        <m:r>
                          <w:rPr>
                            <w:rFonts w:ascii="Cambria Math" w:hAnsi="Cambria Math"/>
                          </w:rPr>
                          <m:t>0</m:t>
                        </m:r>
                      </m:e>
                      <m:e>
                        <m:r>
                          <w:rPr>
                            <w:rFonts w:ascii="Cambria Math" w:hAnsi="Cambria Math"/>
                          </w:rPr>
                          <m:t>0</m:t>
                        </m:r>
                      </m:e>
                      <m:e>
                        <m:sSub>
                          <m:sSubPr>
                            <m:ctrlPr>
                              <w:rPr>
                                <w:rFonts w:ascii="Cambria Math" w:hAnsi="Cambria Math"/>
                                <w:i/>
                              </w:rPr>
                            </m:ctrlPr>
                          </m:sSubPr>
                          <m:e>
                            <m:r>
                              <w:rPr>
                                <w:rFonts w:ascii="Cambria Math" w:hAnsi="Cambria Math"/>
                              </w:rPr>
                              <m:t>I</m:t>
                            </m:r>
                          </m:e>
                          <m:sub>
                            <m:r>
                              <w:rPr>
                                <w:rFonts w:ascii="Cambria Math" w:hAnsi="Cambria Math"/>
                              </w:rPr>
                              <m:t>3</m:t>
                            </m:r>
                          </m:sub>
                        </m:sSub>
                      </m:e>
                    </m:mr>
                  </m:m>
                </m:e>
              </m:d>
            </m:oMath>
            <w:r w:rsidRPr="00675A42">
              <w:t xml:space="preserve"> </w:t>
            </w:r>
          </w:p>
        </w:tc>
        <w:tc>
          <w:tcPr>
            <w:tcW w:w="759" w:type="dxa"/>
            <w:vAlign w:val="bottom"/>
          </w:tcPr>
          <w:p w14:paraId="69A431FB" w14:textId="1B60270D" w:rsidR="003B1EEC" w:rsidRPr="00675A42" w:rsidRDefault="003B1EEC" w:rsidP="00336FA4">
            <w:pPr>
              <w:spacing w:line="240" w:lineRule="auto"/>
              <w:jc w:val="right"/>
              <w:rPr>
                <w:rFonts w:ascii="Calibri" w:hAnsi="Calibri"/>
              </w:rPr>
            </w:pPr>
            <w:r w:rsidRPr="00675A42">
              <w:t>— (1)</w:t>
            </w:r>
          </w:p>
        </w:tc>
      </w:tr>
    </w:tbl>
    <w:p w14:paraId="09AC34A7" w14:textId="5A396729" w:rsidR="00AC13E9" w:rsidRPr="00675A42" w:rsidRDefault="008C6249" w:rsidP="00E83FD5">
      <w:r w:rsidRPr="00675A42">
        <w:t>T</w:t>
      </w:r>
      <w:r w:rsidR="00AC13E9" w:rsidRPr="00675A42">
        <w:t>he volume second moment,</w:t>
      </w:r>
      <w:r w:rsidRPr="00675A42">
        <w:rPr>
          <w:rFonts w:ascii="Times New Roman" w:hAnsi="Times New Roman"/>
          <w:i/>
        </w:rPr>
        <w:t xml:space="preserve"> I</w:t>
      </w:r>
      <w:r w:rsidRPr="00675A42">
        <w:t xml:space="preserve">, </w:t>
      </w:r>
      <w:r w:rsidR="00AC13E9" w:rsidRPr="00675A42">
        <w:t xml:space="preserve">is a measure of the distribution of the material points with respect to the axis. </w:t>
      </w:r>
      <w:r w:rsidR="005E7D90" w:rsidRPr="00675A42">
        <w:t>When</w:t>
      </w:r>
      <w:r w:rsidR="00AC13E9" w:rsidRPr="00675A42">
        <w:t xml:space="preserve"> defined about </w:t>
      </w:r>
      <w:r w:rsidR="00F43DFF" w:rsidRPr="00675A42">
        <w:t xml:space="preserve">cartesian </w:t>
      </w:r>
      <w:r w:rsidR="00AC13E9" w:rsidRPr="00675A42">
        <w:t>ax</w:t>
      </w:r>
      <w:r w:rsidR="00F43DFF" w:rsidRPr="00675A42">
        <w:t>e</w:t>
      </w:r>
      <w:r w:rsidR="00AC13E9" w:rsidRPr="00675A42">
        <w:t>s</w:t>
      </w:r>
      <w:r w:rsidR="005E7D90" w:rsidRPr="00675A42">
        <w:t>, they</w:t>
      </w:r>
      <w:r w:rsidR="00AC13E9" w:rsidRPr="00675A42">
        <w:t xml:space="preserve"> are: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56"/>
        <w:gridCol w:w="750"/>
      </w:tblGrid>
      <w:tr w:rsidR="003B1EEC" w:rsidRPr="00675A42" w14:paraId="000A3457" w14:textId="77777777" w:rsidTr="003B1EEC">
        <w:tc>
          <w:tcPr>
            <w:tcW w:w="7763" w:type="dxa"/>
          </w:tcPr>
          <w:p w14:paraId="1F039D9A" w14:textId="77777777" w:rsidR="003B1EEC" w:rsidRPr="00675A42" w:rsidRDefault="008766D5" w:rsidP="003B1EEC">
            <w:pPr>
              <w:spacing w:line="240" w:lineRule="auto"/>
              <w:jc w:val="center"/>
            </w:pPr>
            <m:oMathPara>
              <m:oMath>
                <m:sSub>
                  <m:sSubPr>
                    <m:ctrlPr>
                      <w:rPr>
                        <w:rFonts w:ascii="Cambria Math" w:hAnsi="Cambria Math"/>
                        <w:i/>
                      </w:rPr>
                    </m:ctrlPr>
                  </m:sSubPr>
                  <m:e>
                    <m:r>
                      <w:rPr>
                        <w:rFonts w:ascii="Cambria Math" w:hAnsi="Cambria Math"/>
                      </w:rPr>
                      <m:t>I</m:t>
                    </m:r>
                  </m:e>
                  <m:sub>
                    <m:r>
                      <w:rPr>
                        <w:rFonts w:ascii="Cambria Math" w:hAnsi="Cambria Math"/>
                      </w:rPr>
                      <m:t>xx</m:t>
                    </m:r>
                  </m:sub>
                </m:sSub>
                <m:r>
                  <w:rPr>
                    <w:rFonts w:ascii="Cambria Math" w:hAnsi="Cambria Math"/>
                  </w:rPr>
                  <m:t>=</m:t>
                </m:r>
                <m:nary>
                  <m:naryPr>
                    <m:limLoc m:val="subSup"/>
                    <m:ctrlPr>
                      <w:rPr>
                        <w:rFonts w:ascii="Cambria Math" w:hAnsi="Cambria Math"/>
                        <w:i/>
                      </w:rPr>
                    </m:ctrlPr>
                  </m:naryPr>
                  <m:sub>
                    <m:r>
                      <w:rPr>
                        <w:rFonts w:ascii="Cambria Math" w:hAnsi="Cambria Math"/>
                      </w:rPr>
                      <m:t>A</m:t>
                    </m:r>
                  </m:sub>
                  <m:sup/>
                  <m:e>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dV</m:t>
                    </m:r>
                  </m:e>
                </m:nary>
              </m:oMath>
            </m:oMathPara>
          </w:p>
          <w:p w14:paraId="68C1F1B0" w14:textId="77777777" w:rsidR="003B1EEC" w:rsidRPr="00675A42" w:rsidRDefault="008766D5" w:rsidP="003B1EEC">
            <w:pPr>
              <w:spacing w:line="240" w:lineRule="auto"/>
              <w:jc w:val="center"/>
            </w:pPr>
            <m:oMath>
              <m:sSub>
                <m:sSubPr>
                  <m:ctrlPr>
                    <w:rPr>
                      <w:rFonts w:ascii="Cambria Math" w:hAnsi="Cambria Math"/>
                      <w:i/>
                    </w:rPr>
                  </m:ctrlPr>
                </m:sSubPr>
                <m:e>
                  <m:r>
                    <w:rPr>
                      <w:rFonts w:ascii="Cambria Math" w:hAnsi="Cambria Math"/>
                    </w:rPr>
                    <m:t>I</m:t>
                  </m:r>
                </m:e>
                <m:sub>
                  <m:r>
                    <w:rPr>
                      <w:rFonts w:ascii="Cambria Math" w:hAnsi="Cambria Math"/>
                    </w:rPr>
                    <m:t>yy</m:t>
                  </m:r>
                </m:sub>
              </m:sSub>
              <m:r>
                <w:rPr>
                  <w:rFonts w:ascii="Cambria Math" w:hAnsi="Cambria Math"/>
                </w:rPr>
                <m:t>=</m:t>
              </m:r>
              <m:nary>
                <m:naryPr>
                  <m:limLoc m:val="subSup"/>
                  <m:ctrlPr>
                    <w:rPr>
                      <w:rFonts w:ascii="Cambria Math" w:hAnsi="Cambria Math"/>
                      <w:i/>
                    </w:rPr>
                  </m:ctrlPr>
                </m:naryPr>
                <m:sub>
                  <m:r>
                    <w:rPr>
                      <w:rFonts w:ascii="Cambria Math" w:hAnsi="Cambria Math"/>
                    </w:rPr>
                    <m:t>A</m:t>
                  </m:r>
                </m:sub>
                <m:sup/>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z</m:t>
                      </m:r>
                    </m:e>
                    <m:sup>
                      <m:r>
                        <w:rPr>
                          <w:rFonts w:ascii="Cambria Math" w:hAnsi="Cambria Math"/>
                        </w:rPr>
                        <m:t>2</m:t>
                      </m:r>
                    </m:sup>
                  </m:sSup>
                  <m:r>
                    <w:rPr>
                      <w:rFonts w:ascii="Cambria Math" w:hAnsi="Cambria Math"/>
                    </w:rPr>
                    <m:t>dV</m:t>
                  </m:r>
                </m:e>
              </m:nary>
            </m:oMath>
            <w:r w:rsidR="003B1EEC" w:rsidRPr="00675A42">
              <w:t xml:space="preserve"> </w:t>
            </w:r>
          </w:p>
          <w:p w14:paraId="0138E7EF" w14:textId="7361D77C" w:rsidR="003B1EEC" w:rsidRPr="00675A42" w:rsidRDefault="008766D5" w:rsidP="003B1EEC">
            <w:pPr>
              <w:spacing w:line="240" w:lineRule="auto"/>
              <w:jc w:val="center"/>
              <w:rPr>
                <w:rFonts w:ascii="Calibri" w:hAnsi="Calibri"/>
              </w:rPr>
            </w:pPr>
            <m:oMathPara>
              <m:oMath>
                <m:sSub>
                  <m:sSubPr>
                    <m:ctrlPr>
                      <w:rPr>
                        <w:rFonts w:ascii="Cambria Math" w:hAnsi="Cambria Math"/>
                        <w:i/>
                      </w:rPr>
                    </m:ctrlPr>
                  </m:sSubPr>
                  <m:e>
                    <m:r>
                      <w:rPr>
                        <w:rFonts w:ascii="Cambria Math" w:hAnsi="Cambria Math"/>
                      </w:rPr>
                      <m:t>I</m:t>
                    </m:r>
                  </m:e>
                  <m:sub>
                    <m:r>
                      <w:rPr>
                        <w:rFonts w:ascii="Cambria Math" w:hAnsi="Cambria Math"/>
                      </w:rPr>
                      <m:t>zz</m:t>
                    </m:r>
                  </m:sub>
                </m:sSub>
                <m:r>
                  <w:rPr>
                    <w:rFonts w:ascii="Cambria Math" w:hAnsi="Cambria Math"/>
                  </w:rPr>
                  <m:t>=</m:t>
                </m:r>
                <m:nary>
                  <m:naryPr>
                    <m:limLoc m:val="subSup"/>
                    <m:ctrlPr>
                      <w:rPr>
                        <w:rFonts w:ascii="Cambria Math" w:hAnsi="Cambria Math"/>
                        <w:i/>
                      </w:rPr>
                    </m:ctrlPr>
                  </m:naryPr>
                  <m:sub>
                    <m:r>
                      <w:rPr>
                        <w:rFonts w:ascii="Cambria Math" w:hAnsi="Cambria Math"/>
                      </w:rPr>
                      <m:t>A</m:t>
                    </m:r>
                  </m:sub>
                  <m:sup/>
                  <m:e>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dV</m:t>
                    </m:r>
                  </m:e>
                </m:nary>
              </m:oMath>
            </m:oMathPara>
          </w:p>
        </w:tc>
        <w:tc>
          <w:tcPr>
            <w:tcW w:w="759" w:type="dxa"/>
            <w:vAlign w:val="bottom"/>
          </w:tcPr>
          <w:p w14:paraId="7F266C00" w14:textId="22AB7A64" w:rsidR="003B1EEC" w:rsidRPr="00675A42" w:rsidRDefault="003B1EEC" w:rsidP="003B1EEC">
            <w:pPr>
              <w:spacing w:line="240" w:lineRule="auto"/>
              <w:jc w:val="right"/>
            </w:pPr>
            <w:r w:rsidRPr="00675A42">
              <w:t>— (2)</w:t>
            </w:r>
          </w:p>
        </w:tc>
      </w:tr>
    </w:tbl>
    <w:p w14:paraId="351C1365" w14:textId="18E5B596" w:rsidR="00AC13E9" w:rsidRPr="00675A42" w:rsidRDefault="00AC13E9" w:rsidP="00E83FD5">
      <w:r w:rsidRPr="00675A42">
        <w:t xml:space="preserve">When the load to an object is not applied about the principal axis, or if the object is asymmetrical, a product moment of area </w:t>
      </w:r>
      <w:r w:rsidR="00C144CA" w:rsidRPr="00675A42">
        <w:t>is</w:t>
      </w:r>
      <w:r w:rsidRPr="00675A42">
        <w:t xml:space="preserve"> experienced:</w:t>
      </w:r>
    </w:p>
    <w:p w14:paraId="2017AF1D" w14:textId="21185D04" w:rsidR="003B1EEC" w:rsidRPr="00675A42" w:rsidRDefault="003B1EEC" w:rsidP="00211E52">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57"/>
        <w:gridCol w:w="749"/>
      </w:tblGrid>
      <w:tr w:rsidR="003B1EEC" w:rsidRPr="00675A42" w14:paraId="3F0F758E" w14:textId="77777777" w:rsidTr="003B1EEC">
        <w:tc>
          <w:tcPr>
            <w:tcW w:w="7763" w:type="dxa"/>
          </w:tcPr>
          <w:p w14:paraId="4CE653E8" w14:textId="77777777" w:rsidR="003B1EEC" w:rsidRPr="00675A42" w:rsidRDefault="008766D5" w:rsidP="003B1EEC">
            <w:pPr>
              <w:jc w:val="center"/>
            </w:pPr>
            <m:oMath>
              <m:sSub>
                <m:sSubPr>
                  <m:ctrlPr>
                    <w:rPr>
                      <w:rFonts w:ascii="Cambria Math" w:hAnsi="Cambria Math"/>
                      <w:i/>
                    </w:rPr>
                  </m:ctrlPr>
                </m:sSubPr>
                <m:e>
                  <m:r>
                    <w:rPr>
                      <w:rFonts w:ascii="Cambria Math" w:hAnsi="Cambria Math"/>
                    </w:rPr>
                    <m:t>I</m:t>
                  </m:r>
                </m:e>
                <m:sub>
                  <m:r>
                    <w:rPr>
                      <w:rFonts w:ascii="Cambria Math" w:hAnsi="Cambria Math"/>
                    </w:rPr>
                    <m:t>xy</m:t>
                  </m:r>
                </m:sub>
              </m:sSub>
              <m:r>
                <w:rPr>
                  <w:rFonts w:ascii="Cambria Math" w:hAnsi="Cambria Math"/>
                </w:rPr>
                <m:t>=</m:t>
              </m:r>
              <m:nary>
                <m:naryPr>
                  <m:limLoc m:val="subSup"/>
                  <m:ctrlPr>
                    <w:rPr>
                      <w:rFonts w:ascii="Cambria Math" w:hAnsi="Cambria Math"/>
                      <w:i/>
                    </w:rPr>
                  </m:ctrlPr>
                </m:naryPr>
                <m:sub>
                  <m:r>
                    <w:rPr>
                      <w:rFonts w:ascii="Cambria Math" w:hAnsi="Cambria Math"/>
                    </w:rPr>
                    <m:t>A</m:t>
                  </m:r>
                </m:sub>
                <m:sup/>
                <m:e>
                  <m:r>
                    <w:rPr>
                      <w:rFonts w:ascii="Cambria Math" w:hAnsi="Cambria Math"/>
                    </w:rPr>
                    <m:t>xy dV</m:t>
                  </m:r>
                </m:e>
              </m:nary>
            </m:oMath>
            <w:r w:rsidR="003B1EEC" w:rsidRPr="00675A42">
              <w:t xml:space="preserve"> </w:t>
            </w:r>
          </w:p>
          <w:p w14:paraId="3B2DCCD7" w14:textId="77777777" w:rsidR="003B1EEC" w:rsidRPr="00675A42" w:rsidRDefault="008766D5" w:rsidP="003B1EEC">
            <w:pPr>
              <w:jc w:val="center"/>
            </w:pPr>
            <m:oMath>
              <m:sSub>
                <m:sSubPr>
                  <m:ctrlPr>
                    <w:rPr>
                      <w:rFonts w:ascii="Cambria Math" w:hAnsi="Cambria Math"/>
                      <w:i/>
                    </w:rPr>
                  </m:ctrlPr>
                </m:sSubPr>
                <m:e>
                  <m:r>
                    <w:rPr>
                      <w:rFonts w:ascii="Cambria Math" w:hAnsi="Cambria Math"/>
                    </w:rPr>
                    <m:t>I</m:t>
                  </m:r>
                </m:e>
                <m:sub>
                  <m:r>
                    <w:rPr>
                      <w:rFonts w:ascii="Cambria Math" w:hAnsi="Cambria Math"/>
                    </w:rPr>
                    <m:t>yz</m:t>
                  </m:r>
                </m:sub>
              </m:sSub>
              <m:r>
                <w:rPr>
                  <w:rFonts w:ascii="Cambria Math" w:hAnsi="Cambria Math"/>
                </w:rPr>
                <m:t>=</m:t>
              </m:r>
              <m:nary>
                <m:naryPr>
                  <m:limLoc m:val="subSup"/>
                  <m:ctrlPr>
                    <w:rPr>
                      <w:rFonts w:ascii="Cambria Math" w:hAnsi="Cambria Math"/>
                      <w:i/>
                    </w:rPr>
                  </m:ctrlPr>
                </m:naryPr>
                <m:sub>
                  <m:r>
                    <w:rPr>
                      <w:rFonts w:ascii="Cambria Math" w:hAnsi="Cambria Math"/>
                    </w:rPr>
                    <m:t>A</m:t>
                  </m:r>
                </m:sub>
                <m:sup/>
                <m:e>
                  <m:r>
                    <w:rPr>
                      <w:rFonts w:ascii="Cambria Math" w:hAnsi="Cambria Math"/>
                    </w:rPr>
                    <m:t>yz dV</m:t>
                  </m:r>
                </m:e>
              </m:nary>
            </m:oMath>
            <w:r w:rsidR="003B1EEC" w:rsidRPr="00675A42">
              <w:t xml:space="preserve"> </w:t>
            </w:r>
          </w:p>
          <w:p w14:paraId="5C59DC12" w14:textId="67181A9C" w:rsidR="003B1EEC" w:rsidRPr="00675A42" w:rsidRDefault="008766D5" w:rsidP="003B1EEC">
            <w:pPr>
              <w:jc w:val="center"/>
            </w:pPr>
            <m:oMathPara>
              <m:oMath>
                <m:sSub>
                  <m:sSubPr>
                    <m:ctrlPr>
                      <w:rPr>
                        <w:rFonts w:ascii="Cambria Math" w:hAnsi="Cambria Math"/>
                        <w:i/>
                      </w:rPr>
                    </m:ctrlPr>
                  </m:sSubPr>
                  <m:e>
                    <m:r>
                      <w:rPr>
                        <w:rFonts w:ascii="Cambria Math" w:hAnsi="Cambria Math"/>
                      </w:rPr>
                      <m:t>I</m:t>
                    </m:r>
                  </m:e>
                  <m:sub>
                    <m:r>
                      <w:rPr>
                        <w:rFonts w:ascii="Cambria Math" w:hAnsi="Cambria Math"/>
                      </w:rPr>
                      <m:t>zx</m:t>
                    </m:r>
                  </m:sub>
                </m:sSub>
                <m:r>
                  <w:rPr>
                    <w:rFonts w:ascii="Cambria Math" w:hAnsi="Cambria Math"/>
                  </w:rPr>
                  <m:t>=</m:t>
                </m:r>
                <m:nary>
                  <m:naryPr>
                    <m:limLoc m:val="subSup"/>
                    <m:ctrlPr>
                      <w:rPr>
                        <w:rFonts w:ascii="Cambria Math" w:hAnsi="Cambria Math"/>
                        <w:i/>
                      </w:rPr>
                    </m:ctrlPr>
                  </m:naryPr>
                  <m:sub>
                    <m:r>
                      <w:rPr>
                        <w:rFonts w:ascii="Cambria Math" w:hAnsi="Cambria Math"/>
                      </w:rPr>
                      <m:t>A</m:t>
                    </m:r>
                  </m:sub>
                  <m:sup/>
                  <m:e>
                    <m:r>
                      <w:rPr>
                        <w:rFonts w:ascii="Cambria Math" w:hAnsi="Cambria Math"/>
                      </w:rPr>
                      <m:t>zx dV</m:t>
                    </m:r>
                  </m:e>
                </m:nary>
              </m:oMath>
            </m:oMathPara>
          </w:p>
        </w:tc>
        <w:tc>
          <w:tcPr>
            <w:tcW w:w="759" w:type="dxa"/>
            <w:vAlign w:val="bottom"/>
          </w:tcPr>
          <w:p w14:paraId="7E5C8962" w14:textId="3EB52212" w:rsidR="003B1EEC" w:rsidRPr="00675A42" w:rsidRDefault="003B1EEC" w:rsidP="003B1EEC">
            <w:pPr>
              <w:jc w:val="right"/>
            </w:pPr>
            <w:r w:rsidRPr="00675A42">
              <w:t>— (3)</w:t>
            </w:r>
          </w:p>
        </w:tc>
      </w:tr>
    </w:tbl>
    <w:p w14:paraId="6164E034" w14:textId="19C4B8DC" w:rsidR="00AC13E9" w:rsidRPr="00675A42" w:rsidRDefault="00AC13E9" w:rsidP="00E83FD5">
      <w:r w:rsidRPr="00675A42">
        <w:t xml:space="preserve">The product and area moments can be assembled to solve for the principal moments </w:t>
      </w:r>
      <w:r w:rsidRPr="00675A42">
        <w:rPr>
          <w:rFonts w:ascii="Times New Roman" w:hAnsi="Times New Roman"/>
          <w:i/>
        </w:rPr>
        <w:t>I</w:t>
      </w:r>
      <w:r w:rsidRPr="00675A42">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59"/>
        <w:gridCol w:w="747"/>
      </w:tblGrid>
      <w:tr w:rsidR="003B1EEC" w:rsidRPr="00675A42" w14:paraId="3CB8E6F1" w14:textId="77777777" w:rsidTr="003B1EEC">
        <w:tc>
          <w:tcPr>
            <w:tcW w:w="7763" w:type="dxa"/>
          </w:tcPr>
          <w:p w14:paraId="6D4C71AA" w14:textId="6488CD77" w:rsidR="003B1EEC" w:rsidRPr="00675A42" w:rsidRDefault="008766D5" w:rsidP="003B1EEC">
            <w:pPr>
              <w:spacing w:line="240" w:lineRule="auto"/>
              <w:jc w:val="center"/>
            </w:pPr>
            <m:oMath>
              <m:d>
                <m:dPr>
                  <m:begChr m:val="|"/>
                  <m:endChr m:val="|"/>
                  <m:ctrlPr>
                    <w:rPr>
                      <w:rFonts w:ascii="Cambria Math" w:hAnsi="Cambria Math"/>
                      <w:i/>
                    </w:rPr>
                  </m:ctrlPr>
                </m:dPr>
                <m:e>
                  <m:m>
                    <m:mPr>
                      <m:mcs>
                        <m:mc>
                          <m:mcPr>
                            <m:count m:val="3"/>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I</m:t>
                            </m:r>
                          </m:e>
                          <m:sub>
                            <m:r>
                              <w:rPr>
                                <w:rFonts w:ascii="Cambria Math" w:hAnsi="Cambria Math"/>
                              </w:rPr>
                              <m:t>xx</m:t>
                            </m:r>
                          </m:sub>
                        </m:sSub>
                        <m:r>
                          <w:rPr>
                            <w:rFonts w:ascii="Cambria Math" w:hAnsi="Cambria Math"/>
                          </w:rPr>
                          <m:t>-I</m:t>
                        </m:r>
                      </m:e>
                      <m:e>
                        <m:sSub>
                          <m:sSubPr>
                            <m:ctrlPr>
                              <w:rPr>
                                <w:rFonts w:ascii="Cambria Math" w:hAnsi="Cambria Math"/>
                                <w:i/>
                              </w:rPr>
                            </m:ctrlPr>
                          </m:sSubPr>
                          <m:e>
                            <m:r>
                              <w:rPr>
                                <w:rFonts w:ascii="Cambria Math" w:hAnsi="Cambria Math"/>
                              </w:rPr>
                              <m:t>-I</m:t>
                            </m:r>
                          </m:e>
                          <m:sub>
                            <m:r>
                              <w:rPr>
                                <w:rFonts w:ascii="Cambria Math" w:hAnsi="Cambria Math"/>
                              </w:rPr>
                              <m:t>xy</m:t>
                            </m:r>
                          </m:sub>
                        </m:sSub>
                      </m:e>
                      <m:e>
                        <m:sSub>
                          <m:sSubPr>
                            <m:ctrlPr>
                              <w:rPr>
                                <w:rFonts w:ascii="Cambria Math" w:hAnsi="Cambria Math"/>
                                <w:i/>
                              </w:rPr>
                            </m:ctrlPr>
                          </m:sSubPr>
                          <m:e>
                            <m:r>
                              <w:rPr>
                                <w:rFonts w:ascii="Cambria Math" w:hAnsi="Cambria Math"/>
                              </w:rPr>
                              <m:t>-I</m:t>
                            </m:r>
                          </m:e>
                          <m:sub>
                            <m:r>
                              <w:rPr>
                                <w:rFonts w:ascii="Cambria Math" w:hAnsi="Cambria Math"/>
                              </w:rPr>
                              <m:t>xz</m:t>
                            </m:r>
                          </m:sub>
                        </m:sSub>
                      </m:e>
                    </m:mr>
                    <m:mr>
                      <m:e>
                        <m:sSub>
                          <m:sSubPr>
                            <m:ctrlPr>
                              <w:rPr>
                                <w:rFonts w:ascii="Cambria Math" w:hAnsi="Cambria Math"/>
                                <w:i/>
                              </w:rPr>
                            </m:ctrlPr>
                          </m:sSubPr>
                          <m:e>
                            <m:r>
                              <w:rPr>
                                <w:rFonts w:ascii="Cambria Math" w:hAnsi="Cambria Math"/>
                              </w:rPr>
                              <m:t>-I</m:t>
                            </m:r>
                          </m:e>
                          <m:sub>
                            <m:r>
                              <w:rPr>
                                <w:rFonts w:ascii="Cambria Math" w:hAnsi="Cambria Math"/>
                              </w:rPr>
                              <m:t>yx</m:t>
                            </m:r>
                          </m:sub>
                        </m:sSub>
                      </m:e>
                      <m:e>
                        <m:sSub>
                          <m:sSubPr>
                            <m:ctrlPr>
                              <w:rPr>
                                <w:rFonts w:ascii="Cambria Math" w:hAnsi="Cambria Math"/>
                                <w:i/>
                              </w:rPr>
                            </m:ctrlPr>
                          </m:sSubPr>
                          <m:e>
                            <m:r>
                              <w:rPr>
                                <w:rFonts w:ascii="Cambria Math" w:hAnsi="Cambria Math"/>
                              </w:rPr>
                              <m:t>I</m:t>
                            </m:r>
                          </m:e>
                          <m:sub>
                            <m:r>
                              <w:rPr>
                                <w:rFonts w:ascii="Cambria Math" w:hAnsi="Cambria Math"/>
                              </w:rPr>
                              <m:t>yy</m:t>
                            </m:r>
                          </m:sub>
                        </m:sSub>
                        <m:r>
                          <w:rPr>
                            <w:rFonts w:ascii="Cambria Math" w:hAnsi="Cambria Math"/>
                          </w:rPr>
                          <m:t>-I</m:t>
                        </m:r>
                      </m:e>
                      <m:e>
                        <m:sSub>
                          <m:sSubPr>
                            <m:ctrlPr>
                              <w:rPr>
                                <w:rFonts w:ascii="Cambria Math" w:hAnsi="Cambria Math"/>
                                <w:i/>
                              </w:rPr>
                            </m:ctrlPr>
                          </m:sSubPr>
                          <m:e>
                            <m:r>
                              <w:rPr>
                                <w:rFonts w:ascii="Cambria Math" w:hAnsi="Cambria Math"/>
                              </w:rPr>
                              <m:t>-I</m:t>
                            </m:r>
                          </m:e>
                          <m:sub>
                            <m:r>
                              <w:rPr>
                                <w:rFonts w:ascii="Cambria Math" w:hAnsi="Cambria Math"/>
                              </w:rPr>
                              <m:t>yz</m:t>
                            </m:r>
                          </m:sub>
                        </m:sSub>
                      </m:e>
                    </m:mr>
                    <m:mr>
                      <m:e>
                        <m:sSub>
                          <m:sSubPr>
                            <m:ctrlPr>
                              <w:rPr>
                                <w:rFonts w:ascii="Cambria Math" w:hAnsi="Cambria Math"/>
                                <w:i/>
                              </w:rPr>
                            </m:ctrlPr>
                          </m:sSubPr>
                          <m:e>
                            <m:r>
                              <w:rPr>
                                <w:rFonts w:ascii="Cambria Math" w:hAnsi="Cambria Math"/>
                              </w:rPr>
                              <m:t>-I</m:t>
                            </m:r>
                          </m:e>
                          <m:sub>
                            <m:r>
                              <w:rPr>
                                <w:rFonts w:ascii="Cambria Math" w:hAnsi="Cambria Math"/>
                              </w:rPr>
                              <m:t>zx</m:t>
                            </m:r>
                          </m:sub>
                        </m:sSub>
                      </m:e>
                      <m:e>
                        <m:sSub>
                          <m:sSubPr>
                            <m:ctrlPr>
                              <w:rPr>
                                <w:rFonts w:ascii="Cambria Math" w:hAnsi="Cambria Math"/>
                                <w:i/>
                              </w:rPr>
                            </m:ctrlPr>
                          </m:sSubPr>
                          <m:e>
                            <m:r>
                              <w:rPr>
                                <w:rFonts w:ascii="Cambria Math" w:hAnsi="Cambria Math"/>
                              </w:rPr>
                              <m:t>-I</m:t>
                            </m:r>
                          </m:e>
                          <m:sub>
                            <m:r>
                              <w:rPr>
                                <w:rFonts w:ascii="Cambria Math" w:hAnsi="Cambria Math"/>
                              </w:rPr>
                              <m:t>zy</m:t>
                            </m:r>
                          </m:sub>
                        </m:sSub>
                      </m:e>
                      <m:e>
                        <m:sSub>
                          <m:sSubPr>
                            <m:ctrlPr>
                              <w:rPr>
                                <w:rFonts w:ascii="Cambria Math" w:hAnsi="Cambria Math"/>
                                <w:i/>
                              </w:rPr>
                            </m:ctrlPr>
                          </m:sSubPr>
                          <m:e>
                            <m:r>
                              <w:rPr>
                                <w:rFonts w:ascii="Cambria Math" w:hAnsi="Cambria Math"/>
                              </w:rPr>
                              <m:t>I</m:t>
                            </m:r>
                          </m:e>
                          <m:sub>
                            <m:r>
                              <w:rPr>
                                <w:rFonts w:ascii="Cambria Math" w:hAnsi="Cambria Math"/>
                              </w:rPr>
                              <m:t>zz</m:t>
                            </m:r>
                          </m:sub>
                        </m:sSub>
                        <m:r>
                          <w:rPr>
                            <w:rFonts w:ascii="Cambria Math" w:hAnsi="Cambria Math"/>
                          </w:rPr>
                          <m:t>-I</m:t>
                        </m:r>
                      </m:e>
                    </m:mr>
                  </m:m>
                </m:e>
              </m:d>
              <m:r>
                <w:rPr>
                  <w:rFonts w:ascii="Cambria Math" w:hAnsi="Cambria Math"/>
                </w:rPr>
                <m:t>=0</m:t>
              </m:r>
            </m:oMath>
            <w:r w:rsidR="003B1EEC" w:rsidRPr="00675A42">
              <w:t xml:space="preserve"> </w:t>
            </w:r>
          </w:p>
        </w:tc>
        <w:tc>
          <w:tcPr>
            <w:tcW w:w="759" w:type="dxa"/>
          </w:tcPr>
          <w:p w14:paraId="28B18144" w14:textId="18D37F54" w:rsidR="003B1EEC" w:rsidRPr="00675A42" w:rsidRDefault="003B1EEC" w:rsidP="00176D6B">
            <w:pPr>
              <w:spacing w:line="240" w:lineRule="auto"/>
              <w:jc w:val="center"/>
              <w:rPr>
                <w:rFonts w:ascii="Calibri" w:hAnsi="Calibri"/>
              </w:rPr>
            </w:pPr>
            <w:r w:rsidRPr="00675A42">
              <w:t>— (4)</w:t>
            </w:r>
          </w:p>
        </w:tc>
      </w:tr>
    </w:tbl>
    <w:p w14:paraId="168B2977" w14:textId="146F8250" w:rsidR="00AC13E9" w:rsidRPr="00675A42" w:rsidRDefault="008C6249" w:rsidP="00E83FD5">
      <w:r w:rsidRPr="00675A42">
        <w:t>A</w:t>
      </w:r>
      <w:r w:rsidR="00C144CA" w:rsidRPr="00675A42">
        <w:t>n</w:t>
      </w:r>
      <w:r w:rsidR="00AC13E9" w:rsidRPr="00675A42">
        <w:t xml:space="preserve"> </w:t>
      </w:r>
      <w:r w:rsidR="00C144CA" w:rsidRPr="00675A42">
        <w:t>area</w:t>
      </w:r>
      <w:r w:rsidR="00AC13E9" w:rsidRPr="00675A42">
        <w:t xml:space="preserve"> moment is maximised when its product moment is minimised</w:t>
      </w:r>
      <w:r w:rsidR="00AC2BC4" w:rsidRPr="00675A42">
        <w:t xml:space="preserve">. </w:t>
      </w:r>
      <w:r w:rsidR="00F50D56" w:rsidRPr="00675A42">
        <w:t>As bone geometry is irregular</w:t>
      </w:r>
      <w:r w:rsidRPr="00675A42">
        <w:t>,</w:t>
      </w:r>
      <w:r w:rsidR="00475E01" w:rsidRPr="00675A42">
        <w:t xml:space="preserve"> </w:t>
      </w:r>
      <w:r w:rsidR="00AC13E9" w:rsidRPr="00675A42">
        <w:t xml:space="preserve">the </w:t>
      </w:r>
      <w:r w:rsidR="00F50D56" w:rsidRPr="00675A42">
        <w:t>object</w:t>
      </w:r>
      <w:r w:rsidR="00AC13E9" w:rsidRPr="00675A42">
        <w:t xml:space="preserve"> will be optimised to experience </w:t>
      </w:r>
      <w:r w:rsidR="00AC13E9" w:rsidRPr="00675A42">
        <w:rPr>
          <w:i/>
        </w:rPr>
        <w:t>near</w:t>
      </w:r>
      <w:r w:rsidR="00AC13E9" w:rsidRPr="00675A42">
        <w:t xml:space="preserve"> pure shear</w:t>
      </w:r>
      <w:r w:rsidR="006D6CCF" w:rsidRPr="00675A42">
        <w:t xml:space="preserve"> in torsion</w:t>
      </w:r>
      <w:r w:rsidR="00AC13E9" w:rsidRPr="00675A42">
        <w:t xml:space="preserve">, and </w:t>
      </w:r>
      <w:r w:rsidR="00AC13E9" w:rsidRPr="00675A42">
        <w:rPr>
          <w:i/>
        </w:rPr>
        <w:t>near</w:t>
      </w:r>
      <w:r w:rsidR="00AC13E9" w:rsidRPr="00675A42">
        <w:t xml:space="preserve"> pure direct stress in bending</w:t>
      </w:r>
      <w:r w:rsidR="00475E01" w:rsidRPr="00675A42">
        <w:t>.</w:t>
      </w:r>
      <w:r w:rsidR="00F50D56" w:rsidRPr="00675A42">
        <w:t xml:space="preserve"> H</w:t>
      </w:r>
      <w:r w:rsidR="0007624A" w:rsidRPr="00675A42">
        <w:t xml:space="preserve">ere </w:t>
      </w:r>
      <w:r w:rsidR="00475E01" w:rsidRPr="00675A42">
        <w:t>the principal directions will be referred to</w:t>
      </w:r>
      <w:r w:rsidR="00176D6B" w:rsidRPr="00675A42">
        <w:t xml:space="preserve"> as</w:t>
      </w:r>
      <w:r w:rsidR="00475E01" w:rsidRPr="00675A42">
        <w:t xml:space="preserve"> </w:t>
      </w:r>
      <w:r w:rsidR="00475E01" w:rsidRPr="00675A42">
        <w:rPr>
          <w:rFonts w:ascii="Times New Roman" w:hAnsi="Times New Roman"/>
          <w:i/>
        </w:rPr>
        <w:t>D</w:t>
      </w:r>
      <w:r w:rsidR="00DD4039" w:rsidRPr="00675A42">
        <w:rPr>
          <w:rFonts w:ascii="Times New Roman" w:hAnsi="Times New Roman"/>
          <w:i/>
          <w:vertAlign w:val="subscript"/>
        </w:rPr>
        <w:t>1</w:t>
      </w:r>
      <w:r w:rsidR="00475E01" w:rsidRPr="00675A42">
        <w:t xml:space="preserve">, </w:t>
      </w:r>
      <w:r w:rsidR="00DD4039" w:rsidRPr="00675A42">
        <w:rPr>
          <w:rFonts w:ascii="Times New Roman" w:hAnsi="Times New Roman"/>
          <w:i/>
        </w:rPr>
        <w:t>D</w:t>
      </w:r>
      <w:r w:rsidR="00DD4039" w:rsidRPr="00675A42">
        <w:rPr>
          <w:rFonts w:ascii="Times New Roman" w:hAnsi="Times New Roman"/>
          <w:i/>
          <w:vertAlign w:val="subscript"/>
        </w:rPr>
        <w:t>2</w:t>
      </w:r>
      <w:r w:rsidR="00DD4039" w:rsidRPr="00675A42">
        <w:t xml:space="preserve"> and </w:t>
      </w:r>
      <w:r w:rsidR="00DD4039" w:rsidRPr="00675A42">
        <w:rPr>
          <w:rFonts w:ascii="Times New Roman" w:hAnsi="Times New Roman"/>
          <w:i/>
        </w:rPr>
        <w:t>D</w:t>
      </w:r>
      <w:r w:rsidR="00DD4039" w:rsidRPr="00675A42">
        <w:rPr>
          <w:rFonts w:ascii="Times New Roman" w:hAnsi="Times New Roman"/>
          <w:i/>
          <w:vertAlign w:val="subscript"/>
        </w:rPr>
        <w:t>3</w:t>
      </w:r>
      <w:r w:rsidR="00DD4039" w:rsidRPr="00675A42">
        <w:t xml:space="preserve">, </w:t>
      </w:r>
      <w:r w:rsidR="00475E01" w:rsidRPr="00675A42">
        <w:t>representing the initial coordinate system used in aligning the bone</w:t>
      </w:r>
      <w:r w:rsidR="00DD4039" w:rsidRPr="00675A42">
        <w:t xml:space="preserve">, and corresponding to </w:t>
      </w:r>
      <w:r w:rsidR="00DD4039" w:rsidRPr="00675A42">
        <w:rPr>
          <w:rFonts w:ascii="Times New Roman" w:hAnsi="Times New Roman"/>
          <w:i/>
        </w:rPr>
        <w:t>I</w:t>
      </w:r>
      <w:r w:rsidR="00DD4039" w:rsidRPr="00675A42">
        <w:rPr>
          <w:rFonts w:ascii="Times New Roman" w:hAnsi="Times New Roman"/>
          <w:i/>
          <w:vertAlign w:val="subscript"/>
        </w:rPr>
        <w:t>1</w:t>
      </w:r>
      <w:r w:rsidR="00DD4039" w:rsidRPr="00675A42">
        <w:t xml:space="preserve">, </w:t>
      </w:r>
      <w:r w:rsidR="00DD4039" w:rsidRPr="00675A42">
        <w:rPr>
          <w:rFonts w:ascii="Times New Roman" w:hAnsi="Times New Roman"/>
          <w:i/>
        </w:rPr>
        <w:t>I</w:t>
      </w:r>
      <w:r w:rsidR="00DD4039" w:rsidRPr="00675A42">
        <w:rPr>
          <w:rFonts w:ascii="Times New Roman" w:hAnsi="Times New Roman"/>
          <w:i/>
          <w:vertAlign w:val="subscript"/>
        </w:rPr>
        <w:t>2</w:t>
      </w:r>
      <w:r w:rsidR="00DD4039" w:rsidRPr="00675A42">
        <w:rPr>
          <w:rFonts w:ascii="Times New Roman" w:hAnsi="Times New Roman"/>
        </w:rPr>
        <w:t xml:space="preserve"> </w:t>
      </w:r>
      <w:r w:rsidR="00DD4039" w:rsidRPr="00675A42">
        <w:t xml:space="preserve">and </w:t>
      </w:r>
      <w:r w:rsidR="00DD4039" w:rsidRPr="00675A42">
        <w:rPr>
          <w:rFonts w:ascii="Times New Roman" w:hAnsi="Times New Roman"/>
          <w:i/>
        </w:rPr>
        <w:t>I</w:t>
      </w:r>
      <w:r w:rsidR="00DD4039" w:rsidRPr="00675A42">
        <w:rPr>
          <w:rFonts w:ascii="Times New Roman" w:hAnsi="Times New Roman"/>
          <w:i/>
          <w:vertAlign w:val="subscript"/>
        </w:rPr>
        <w:t>3</w:t>
      </w:r>
      <w:r w:rsidR="00DD4039" w:rsidRPr="00675A42">
        <w:t>.</w:t>
      </w:r>
    </w:p>
    <w:p w14:paraId="13790993" w14:textId="2F392297" w:rsidR="00AC13E9" w:rsidRPr="00675A42" w:rsidRDefault="00AC13E9" w:rsidP="00E83FD5">
      <w:pPr>
        <w:rPr>
          <w:b/>
          <w:bCs/>
          <w:i/>
        </w:rPr>
      </w:pPr>
      <w:r w:rsidRPr="00675A42">
        <w:t xml:space="preserve">The algorithm </w:t>
      </w:r>
      <w:r w:rsidR="0007624A" w:rsidRPr="00675A42">
        <w:t xml:space="preserve">(Figure 1) </w:t>
      </w:r>
      <w:r w:rsidRPr="00675A42">
        <w:t xml:space="preserve">to align </w:t>
      </w:r>
      <w:r w:rsidR="004F3ED5" w:rsidRPr="00675A42">
        <w:t>a</w:t>
      </w:r>
      <w:r w:rsidRPr="00675A42">
        <w:t xml:space="preserve"> bone along its principal axes was developed in RhinoScript</w:t>
      </w:r>
      <w:r w:rsidR="0007624A" w:rsidRPr="00675A42">
        <w:t xml:space="preserve"> </w:t>
      </w:r>
      <w:r w:rsidRPr="00675A42">
        <w:t xml:space="preserve">and carried out in Rhinoceros (Robert McNeel &amp; Associates, Seattle, USA). </w:t>
      </w:r>
      <w:r w:rsidR="001C246E" w:rsidRPr="00675A42">
        <w:t>Firstly, t</w:t>
      </w:r>
      <w:r w:rsidR="009D532F" w:rsidRPr="00675A42">
        <w:t>he two masks were converted to a single solid body, using stand</w:t>
      </w:r>
      <w:r w:rsidR="00830041" w:rsidRPr="00675A42">
        <w:t xml:space="preserve">ard CAD procedures. </w:t>
      </w:r>
      <w:r w:rsidR="00F82B7C" w:rsidRPr="00675A42">
        <w:t>T</w:t>
      </w:r>
      <w:r w:rsidRPr="00675A42">
        <w:t>he</w:t>
      </w:r>
      <w:r w:rsidR="003B1EEC" w:rsidRPr="00675A42">
        <w:t>n, the</w:t>
      </w:r>
      <w:r w:rsidRPr="00675A42">
        <w:t xml:space="preserve"> volume centroid of the </w:t>
      </w:r>
      <w:r w:rsidR="003B1EEC" w:rsidRPr="00675A42">
        <w:t>body</w:t>
      </w:r>
      <w:r w:rsidRPr="00675A42">
        <w:t xml:space="preserve"> was calculated to act as the origin for the principal axes. </w:t>
      </w:r>
      <w:r w:rsidR="001C246E" w:rsidRPr="00675A42">
        <w:t>The principal moments and their corresponding axes</w:t>
      </w:r>
      <w:r w:rsidRPr="00675A42">
        <w:t xml:space="preserve"> were computed and sorted in descending order.</w:t>
      </w:r>
      <w:r w:rsidR="00B10392" w:rsidRPr="00675A42">
        <w:t xml:space="preserve"> </w:t>
      </w:r>
      <w:r w:rsidRPr="00675A42">
        <w:t xml:space="preserve">The bones were then rotated so that their first principal directions coincide with the global axes, using the dot and cross product. </w:t>
      </w:r>
      <w:r w:rsidR="00C144CA" w:rsidRPr="00675A42">
        <w:t>This was</w:t>
      </w:r>
      <w:r w:rsidRPr="00675A42">
        <w:t xml:space="preserve"> repeated until the error between the current and target axis</w:t>
      </w:r>
      <w:r w:rsidR="00E56A79" w:rsidRPr="00675A42">
        <w:t xml:space="preserve"> </w:t>
      </w:r>
      <w:r w:rsidRPr="00675A42">
        <w:t>equals zero (</w:t>
      </w:r>
      <w:r w:rsidR="008C6249" w:rsidRPr="00675A42">
        <w:t xml:space="preserve">Figure 1, </w:t>
      </w:r>
      <w:r w:rsidRPr="00675A42">
        <w:t xml:space="preserve">loop A) </w:t>
      </w:r>
      <w:r w:rsidR="00E56A79" w:rsidRPr="00675A42">
        <w:t>and</w:t>
      </w:r>
      <w:r w:rsidR="008C6249" w:rsidRPr="00675A42">
        <w:t xml:space="preserve"> </w:t>
      </w:r>
      <w:r w:rsidRPr="00675A42">
        <w:t xml:space="preserve">repeated for the second principal axis </w:t>
      </w:r>
      <w:r w:rsidR="001C246E" w:rsidRPr="00675A42">
        <w:rPr>
          <w:rFonts w:ascii="Times New Roman" w:hAnsi="Times New Roman"/>
          <w:i/>
        </w:rPr>
        <w:t>D</w:t>
      </w:r>
      <w:r w:rsidR="001C246E" w:rsidRPr="00675A42">
        <w:rPr>
          <w:rFonts w:ascii="Times New Roman" w:hAnsi="Times New Roman"/>
          <w:i/>
          <w:vertAlign w:val="subscript"/>
        </w:rPr>
        <w:t>2</w:t>
      </w:r>
      <w:r w:rsidR="001C246E" w:rsidRPr="00675A42">
        <w:t xml:space="preserve"> </w:t>
      </w:r>
      <w:r w:rsidR="00B10392" w:rsidRPr="00675A42">
        <w:t>(Figure 1</w:t>
      </w:r>
      <w:r w:rsidR="008C6249" w:rsidRPr="00675A42">
        <w:t>, loop B</w:t>
      </w:r>
      <w:r w:rsidR="00B10392" w:rsidRPr="00675A42">
        <w:t>)</w:t>
      </w:r>
      <w:r w:rsidRPr="00675A42">
        <w:t xml:space="preserve">. </w:t>
      </w:r>
    </w:p>
    <w:p w14:paraId="7EF7BFA9" w14:textId="2AACCF72" w:rsidR="00AC13E9" w:rsidRPr="00675A42" w:rsidRDefault="00AC13E9" w:rsidP="0008768D">
      <w:r w:rsidRPr="00675A42">
        <w:t xml:space="preserve">In bending, </w:t>
      </w:r>
      <w:r w:rsidR="00B10392" w:rsidRPr="00675A42">
        <w:t xml:space="preserve">only </w:t>
      </w:r>
      <w:r w:rsidRPr="00675A42">
        <w:t xml:space="preserve">the span of the bone between the external two rollers </w:t>
      </w:r>
      <w:r w:rsidR="00B10392" w:rsidRPr="00675A42">
        <w:t xml:space="preserve">and </w:t>
      </w:r>
      <w:r w:rsidRPr="00675A42">
        <w:t xml:space="preserve">in torsional loading </w:t>
      </w:r>
      <w:r w:rsidR="00B10392" w:rsidRPr="00675A42">
        <w:t xml:space="preserve">only </w:t>
      </w:r>
      <w:r w:rsidRPr="00675A42">
        <w:t xml:space="preserve">the free region that is not embedded </w:t>
      </w:r>
      <w:r w:rsidR="00B10392" w:rsidRPr="00675A42">
        <w:t>contribute to the strength of the bone</w:t>
      </w:r>
      <w:r w:rsidRPr="00675A42">
        <w:rPr>
          <w:iCs/>
        </w:rPr>
        <w:t xml:space="preserve"> in testing </w:t>
      </w:r>
      <w:r w:rsidRPr="00675A42">
        <w:rPr>
          <w:iCs/>
        </w:rPr>
        <w:lastRenderedPageBreak/>
        <w:t>(Ebacher et al., 2007).</w:t>
      </w:r>
      <w:r w:rsidR="00336FA4" w:rsidRPr="00675A42">
        <w:rPr>
          <w:iCs/>
        </w:rPr>
        <w:t xml:space="preserve"> </w:t>
      </w:r>
      <w:r w:rsidR="00336FA4" w:rsidRPr="00675A42">
        <w:t>The location of this</w:t>
      </w:r>
      <w:r w:rsidR="0008768D" w:rsidRPr="00675A42">
        <w:t xml:space="preserve"> </w:t>
      </w:r>
      <w:r w:rsidR="00D879D0" w:rsidRPr="00675A42">
        <w:t xml:space="preserve">free region (and span) </w:t>
      </w:r>
      <w:r w:rsidR="0008768D" w:rsidRPr="00675A42">
        <w:t xml:space="preserve">for experimental testing was found </w:t>
      </w:r>
      <w:r w:rsidR="006D6CCF" w:rsidRPr="00675A42">
        <w:t xml:space="preserve">by </w:t>
      </w:r>
      <w:r w:rsidR="0008768D" w:rsidRPr="00675A42">
        <w:t>minimis</w:t>
      </w:r>
      <w:r w:rsidR="006D6CCF" w:rsidRPr="00675A42">
        <w:t>ing</w:t>
      </w:r>
      <w:r w:rsidR="0008768D" w:rsidRPr="00675A42">
        <w:t xml:space="preserve"> the variation in the second moment of area </w:t>
      </w:r>
      <w:r w:rsidR="00F82B7C" w:rsidRPr="00675A42">
        <w:t>along</w:t>
      </w:r>
      <w:r w:rsidR="0008768D" w:rsidRPr="00675A42">
        <w:t xml:space="preserve"> the segment. Firstly, the first cut, which defines the proximal </w:t>
      </w:r>
      <w:r w:rsidR="00E502BA" w:rsidRPr="00675A42">
        <w:t>diaphysis</w:t>
      </w:r>
      <w:r w:rsidR="0008768D" w:rsidRPr="00675A42">
        <w:t xml:space="preserve">, is allowed to be located between 20-50% of the </w:t>
      </w:r>
      <w:r w:rsidR="003066E8" w:rsidRPr="00675A42">
        <w:t xml:space="preserve">bone </w:t>
      </w:r>
      <w:r w:rsidR="0008768D" w:rsidRPr="00675A42">
        <w:t xml:space="preserve">length. </w:t>
      </w:r>
      <w:r w:rsidR="00430A77" w:rsidRPr="00675A42">
        <w:t>The width at this cross-section was used to locate the distal diaphysis at five time</w:t>
      </w:r>
      <w:r w:rsidR="003066E8" w:rsidRPr="00675A42">
        <w:t>s</w:t>
      </w:r>
      <w:r w:rsidR="00430A77" w:rsidRPr="00675A42">
        <w:t xml:space="preserve"> the distance of the initial width. </w:t>
      </w:r>
      <w:r w:rsidR="00002533" w:rsidRPr="00675A42">
        <w:t>(Figure 2A)</w:t>
      </w:r>
      <w:r w:rsidR="0008768D" w:rsidRPr="00675A42">
        <w:t xml:space="preserve">. The widest width </w:t>
      </w:r>
      <w:r w:rsidR="00D43BC2" w:rsidRPr="00675A42">
        <w:t>throughout</w:t>
      </w:r>
      <w:r w:rsidR="0008768D" w:rsidRPr="00675A42">
        <w:t xml:space="preserve"> </w:t>
      </w:r>
      <w:r w:rsidR="005972A1" w:rsidRPr="00675A42">
        <w:t xml:space="preserve">the </w:t>
      </w:r>
      <w:r w:rsidR="0008768D" w:rsidRPr="00675A42">
        <w:t xml:space="preserve">produced segment is then calculated to ensure that the </w:t>
      </w:r>
      <w:r w:rsidR="00002533" w:rsidRPr="00675A42">
        <w:t>segment</w:t>
      </w:r>
      <w:r w:rsidR="0008768D" w:rsidRPr="00675A42">
        <w:t xml:space="preserve"> fulfils the minimum span-to-width ratio of 4:1</w:t>
      </w:r>
      <w:r w:rsidRPr="00675A42">
        <w:t xml:space="preserve">, shown by </w:t>
      </w:r>
      <w:r w:rsidRPr="00675A42">
        <w:rPr>
          <w:noProof/>
        </w:rPr>
        <w:t>Hardy and Pipelzadeh (1991)</w:t>
      </w:r>
      <w:r w:rsidRPr="00675A42">
        <w:t xml:space="preserve"> to be the minimum required to </w:t>
      </w:r>
      <w:r w:rsidR="00430A77" w:rsidRPr="00675A42">
        <w:t>minimise shear</w:t>
      </w:r>
      <w:r w:rsidRPr="00675A42">
        <w:t xml:space="preserve">. </w:t>
      </w:r>
      <w:r w:rsidR="00002533" w:rsidRPr="00675A42">
        <w:t>The segment is then</w:t>
      </w:r>
      <w:r w:rsidRPr="00675A42">
        <w:t xml:space="preserve"> passed through </w:t>
      </w:r>
      <w:r w:rsidR="008C6249" w:rsidRPr="00675A42">
        <w:t xml:space="preserve">the </w:t>
      </w:r>
      <w:r w:rsidRPr="00675A42">
        <w:t xml:space="preserve">algorithm </w:t>
      </w:r>
      <w:r w:rsidR="002A43AF" w:rsidRPr="00675A42">
        <w:t xml:space="preserve">again </w:t>
      </w:r>
      <w:r w:rsidRPr="00675A42">
        <w:t>for alignment</w:t>
      </w:r>
      <w:r w:rsidR="002A43AF" w:rsidRPr="00675A42">
        <w:t xml:space="preserve"> (Figure 1)</w:t>
      </w:r>
      <w:r w:rsidRPr="00675A42">
        <w:t xml:space="preserve">. </w:t>
      </w:r>
    </w:p>
    <w:p w14:paraId="40E1693A" w14:textId="25B941E8" w:rsidR="00AC13E9" w:rsidRPr="00675A42" w:rsidRDefault="00AC13E9" w:rsidP="00E83FD5">
      <w:r w:rsidRPr="00675A42">
        <w:t xml:space="preserve">In both the second and third sections of the algorithm, cutting planes </w:t>
      </w:r>
      <w:r w:rsidR="003066E8" w:rsidRPr="00675A42">
        <w:t>are</w:t>
      </w:r>
      <w:r w:rsidRPr="00675A42">
        <w:t xml:space="preserve"> used to section the bones and bone segments at 5% interval along the long axis</w:t>
      </w:r>
      <w:r w:rsidR="0007624A" w:rsidRPr="00675A42">
        <w:t xml:space="preserve"> (</w:t>
      </w:r>
      <w:r w:rsidR="004366A5" w:rsidRPr="00675A42">
        <w:t>Figure 2</w:t>
      </w:r>
      <w:r w:rsidRPr="00675A42">
        <w:t>B</w:t>
      </w:r>
      <w:r w:rsidR="0007624A" w:rsidRPr="00675A42">
        <w:t>)</w:t>
      </w:r>
      <w:r w:rsidRPr="00675A42">
        <w:t xml:space="preserve">. The intersection between the neutral axis and each slice </w:t>
      </w:r>
      <w:r w:rsidR="003066E8" w:rsidRPr="00675A42">
        <w:t>is</w:t>
      </w:r>
      <w:r w:rsidRPr="00675A42">
        <w:t xml:space="preserve"> calculated (b</w:t>
      </w:r>
      <w:r w:rsidR="0007624A" w:rsidRPr="00675A42">
        <w:t>l</w:t>
      </w:r>
      <w:r w:rsidRPr="00675A42">
        <w:t xml:space="preserve">ack dots). These </w:t>
      </w:r>
      <w:r w:rsidR="003066E8" w:rsidRPr="00675A42">
        <w:t>are</w:t>
      </w:r>
      <w:r w:rsidRPr="00675A42">
        <w:t xml:space="preserve"> used as the reference points for the calculation of the second moment of area. </w:t>
      </w:r>
    </w:p>
    <w:p w14:paraId="228EB1F0" w14:textId="197DE300" w:rsidR="00AC13E9" w:rsidRPr="00675A42" w:rsidRDefault="00AC13E9" w:rsidP="00E83FD5">
      <w:r w:rsidRPr="00675A42">
        <w:t>Code w</w:t>
      </w:r>
      <w:r w:rsidR="00901B67" w:rsidRPr="00675A42">
        <w:t>as</w:t>
      </w:r>
      <w:r w:rsidRPr="00675A42">
        <w:t xml:space="preserve"> written to </w:t>
      </w:r>
      <w:r w:rsidR="00B9380F" w:rsidRPr="00675A42">
        <w:t xml:space="preserve">locate the mesh vertices that were furthest away in the first principal axes, to yield </w:t>
      </w:r>
      <w:r w:rsidRPr="00675A42">
        <w:t xml:space="preserve">the location of </w:t>
      </w:r>
      <w:r w:rsidR="0040069C" w:rsidRPr="00675A42">
        <w:t>six</w:t>
      </w:r>
      <w:r w:rsidRPr="00675A42">
        <w:t xml:space="preserve"> </w:t>
      </w:r>
      <w:r w:rsidR="00430A77" w:rsidRPr="00675A42">
        <w:t xml:space="preserve">reference </w:t>
      </w:r>
      <w:r w:rsidRPr="00675A42">
        <w:t xml:space="preserve">landmarks </w:t>
      </w:r>
      <w:r w:rsidR="00430A77" w:rsidRPr="00675A42">
        <w:t>for</w:t>
      </w:r>
      <w:r w:rsidRPr="00675A42">
        <w:t xml:space="preserve"> aligning the bone during experimental testing, with </w:t>
      </w:r>
      <w:r w:rsidR="0040069C" w:rsidRPr="00675A42">
        <w:t>three</w:t>
      </w:r>
      <w:r w:rsidRPr="00675A42">
        <w:t xml:space="preserve"> on each end of the bone</w:t>
      </w:r>
      <w:r w:rsidR="00D43BC2" w:rsidRPr="00675A42">
        <w:t xml:space="preserve"> (Figure 3)</w:t>
      </w:r>
      <w:r w:rsidR="00B9380F" w:rsidRPr="00675A42">
        <w:t xml:space="preserve">. </w:t>
      </w:r>
      <w:r w:rsidR="004F3ED5" w:rsidRPr="00675A42">
        <w:t>Physically</w:t>
      </w:r>
      <w:r w:rsidR="00430A77" w:rsidRPr="00675A42">
        <w:t>,</w:t>
      </w:r>
      <w:r w:rsidR="004F3ED5" w:rsidRPr="00675A42">
        <w:t xml:space="preserve"> t</w:t>
      </w:r>
      <w:r w:rsidR="00B9380F" w:rsidRPr="00675A42">
        <w:t>he landmarks are located with the aid of an optical tracker</w:t>
      </w:r>
      <w:r w:rsidR="00430A77" w:rsidRPr="00675A42">
        <w:t>, to avoid misalignment</w:t>
      </w:r>
      <w:r w:rsidR="00B9380F" w:rsidRPr="00675A42">
        <w:t xml:space="preserve"> </w:t>
      </w:r>
    </w:p>
    <w:p w14:paraId="574CF74A" w14:textId="574F1926" w:rsidR="00AC13E9" w:rsidRPr="00675A42" w:rsidRDefault="00D879D0" w:rsidP="00E83FD5">
      <w:r w:rsidRPr="00675A42">
        <w:t xml:space="preserve">Data were not normally distributed and </w:t>
      </w:r>
      <w:r w:rsidR="00901B67" w:rsidRPr="00675A42">
        <w:t>so</w:t>
      </w:r>
      <w:r w:rsidR="0002442F" w:rsidRPr="00675A42">
        <w:t xml:space="preserve"> an unbiased estimate of the population coefficient of variation (</w:t>
      </w:r>
      <w:r w:rsidR="0002442F" w:rsidRPr="00675A42">
        <w:rPr>
          <w:rFonts w:ascii="Symbol" w:hAnsi="Symbol"/>
          <w:i/>
        </w:rPr>
        <w:t></w:t>
      </w:r>
      <w:r w:rsidR="0002442F" w:rsidRPr="00675A42">
        <w:rPr>
          <w:i/>
          <w:vertAlign w:val="subscript"/>
        </w:rPr>
        <w:t>v</w:t>
      </w:r>
      <w:r w:rsidR="0002442F" w:rsidRPr="00675A42">
        <w:t xml:space="preserve">) of the second moment of area for each alignment method for each bone was determined. </w:t>
      </w:r>
      <w:r w:rsidR="00B74EED" w:rsidRPr="00675A42">
        <w:t>T</w:t>
      </w:r>
      <w:r w:rsidR="0002442F" w:rsidRPr="00675A42">
        <w:t>he ratio between the standard deviation and the mean value of the second moment of area of the cross section</w:t>
      </w:r>
      <w:r w:rsidR="00B74EED" w:rsidRPr="00675A42">
        <w:t xml:space="preserve"> was calculated, </w:t>
      </w:r>
      <w:r w:rsidR="0002442F" w:rsidRPr="00675A42">
        <w:t>correcting for sample size.</w:t>
      </w:r>
      <w:r w:rsidR="00901B67" w:rsidRPr="00675A42">
        <w:t xml:space="preserve"> </w:t>
      </w:r>
      <w:r w:rsidR="00AC13E9" w:rsidRPr="00675A42">
        <w:t xml:space="preserve">Friedman </w:t>
      </w:r>
      <w:r w:rsidR="00EB01E9" w:rsidRPr="00675A42">
        <w:t>ANOVA</w:t>
      </w:r>
      <w:r w:rsidR="00AC13E9" w:rsidRPr="00675A42">
        <w:t xml:space="preserve"> w</w:t>
      </w:r>
      <w:r w:rsidR="00EC7ADE" w:rsidRPr="00675A42">
        <w:t>as</w:t>
      </w:r>
      <w:r w:rsidR="00AC13E9" w:rsidRPr="00675A42">
        <w:t xml:space="preserve"> used to test the hypothesis that there is no difference in the </w:t>
      </w:r>
      <w:r w:rsidR="0002442F" w:rsidRPr="00675A42">
        <w:rPr>
          <w:rFonts w:ascii="Symbol" w:hAnsi="Symbol"/>
          <w:i/>
        </w:rPr>
        <w:t></w:t>
      </w:r>
      <w:r w:rsidR="0002442F" w:rsidRPr="00675A42">
        <w:rPr>
          <w:i/>
          <w:vertAlign w:val="subscript"/>
        </w:rPr>
        <w:t>v</w:t>
      </w:r>
      <w:r w:rsidR="00AC13E9" w:rsidRPr="00675A42">
        <w:t xml:space="preserve"> of the second moment of area of the bone among the three alignment methods. When the null hypothesis was rejected, the one-tailed paired sample Wilcoxon signed</w:t>
      </w:r>
      <w:r w:rsidR="00EB01E9" w:rsidRPr="00675A42">
        <w:t>-</w:t>
      </w:r>
      <w:r w:rsidR="00AC13E9" w:rsidRPr="00675A42">
        <w:t>rank test</w:t>
      </w:r>
      <w:r w:rsidRPr="00675A42">
        <w:t xml:space="preserve"> with Bonferroni </w:t>
      </w:r>
      <w:r w:rsidRPr="00675A42">
        <w:lastRenderedPageBreak/>
        <w:t>correction</w:t>
      </w:r>
      <w:r w:rsidR="00AC13E9" w:rsidRPr="00675A42">
        <w:t xml:space="preserve"> was used to test the hypothesis that the </w:t>
      </w:r>
      <w:r w:rsidR="00E36942" w:rsidRPr="00675A42">
        <w:t xml:space="preserve">new </w:t>
      </w:r>
      <w:r w:rsidR="00AC13E9" w:rsidRPr="00675A42">
        <w:t xml:space="preserve">alignment method decreased the median </w:t>
      </w:r>
      <w:r w:rsidR="0002442F" w:rsidRPr="00675A42">
        <w:rPr>
          <w:rFonts w:ascii="Symbol" w:hAnsi="Symbol"/>
          <w:i/>
        </w:rPr>
        <w:t></w:t>
      </w:r>
      <w:r w:rsidR="0002442F" w:rsidRPr="00675A42">
        <w:rPr>
          <w:i/>
          <w:vertAlign w:val="subscript"/>
        </w:rPr>
        <w:t>v</w:t>
      </w:r>
      <w:r w:rsidR="001C694F" w:rsidRPr="00675A42">
        <w:t xml:space="preserve">, compared </w:t>
      </w:r>
      <w:r w:rsidR="00E36942" w:rsidRPr="00675A42">
        <w:t>to</w:t>
      </w:r>
      <w:r w:rsidR="001C694F" w:rsidRPr="00675A42">
        <w:t xml:space="preserve"> the anatomical alignment</w:t>
      </w:r>
      <w:r w:rsidR="00AC13E9" w:rsidRPr="00675A42">
        <w:t>.</w:t>
      </w:r>
      <w:r w:rsidR="003C3B54" w:rsidRPr="00675A42">
        <w:t xml:space="preserve"> </w:t>
      </w:r>
    </w:p>
    <w:p w14:paraId="3EB7A714" w14:textId="77777777" w:rsidR="00AC13E9" w:rsidRPr="00675A42" w:rsidRDefault="00AC13E9" w:rsidP="00DC3205">
      <w:pPr>
        <w:pStyle w:val="Heading1"/>
      </w:pPr>
      <w:bookmarkStart w:id="1" w:name="_Toc402514141"/>
      <w:r w:rsidRPr="00675A42">
        <w:t>Results</w:t>
      </w:r>
      <w:bookmarkEnd w:id="1"/>
    </w:p>
    <w:p w14:paraId="269171E6" w14:textId="5179352D" w:rsidR="00AC13E9" w:rsidRPr="00675A42" w:rsidRDefault="00F07319" w:rsidP="00E83FD5">
      <w:r w:rsidRPr="00675A42">
        <w:t>T</w:t>
      </w:r>
      <w:r w:rsidR="00AC13E9" w:rsidRPr="00675A42">
        <w:t xml:space="preserve">he methodology optimises the alignment of long bones by ensuring that </w:t>
      </w:r>
      <w:r w:rsidR="00AC13E9" w:rsidRPr="00675A42">
        <w:rPr>
          <w:rFonts w:ascii="Times New Roman" w:hAnsi="Times New Roman"/>
          <w:i/>
        </w:rPr>
        <w:t>I</w:t>
      </w:r>
      <w:r w:rsidR="00AC13E9" w:rsidRPr="00675A42">
        <w:rPr>
          <w:rFonts w:ascii="Times New Roman" w:hAnsi="Times New Roman"/>
          <w:i/>
          <w:vertAlign w:val="subscript"/>
        </w:rPr>
        <w:t>1</w:t>
      </w:r>
      <w:r w:rsidR="00AC13E9" w:rsidRPr="00675A42">
        <w:rPr>
          <w:rFonts w:ascii="Times New Roman" w:hAnsi="Times New Roman"/>
        </w:rPr>
        <w:t>&gt;</w:t>
      </w:r>
      <w:r w:rsidR="00AC13E9" w:rsidRPr="00675A42">
        <w:rPr>
          <w:rFonts w:ascii="Times New Roman" w:hAnsi="Times New Roman"/>
          <w:i/>
        </w:rPr>
        <w:t>I</w:t>
      </w:r>
      <w:r w:rsidR="00AC13E9" w:rsidRPr="00675A42">
        <w:rPr>
          <w:rFonts w:ascii="Times New Roman" w:hAnsi="Times New Roman"/>
          <w:i/>
          <w:vertAlign w:val="subscript"/>
        </w:rPr>
        <w:t>2</w:t>
      </w:r>
      <w:r w:rsidR="00AC13E9" w:rsidRPr="00675A42">
        <w:rPr>
          <w:rFonts w:ascii="Times New Roman" w:hAnsi="Times New Roman"/>
        </w:rPr>
        <w:t>&gt;</w:t>
      </w:r>
      <w:r w:rsidR="00AC13E9" w:rsidRPr="00675A42">
        <w:rPr>
          <w:rFonts w:ascii="Times New Roman" w:hAnsi="Times New Roman"/>
          <w:i/>
        </w:rPr>
        <w:t>I</w:t>
      </w:r>
      <w:r w:rsidR="00AC13E9" w:rsidRPr="00675A42">
        <w:rPr>
          <w:rFonts w:ascii="Times New Roman" w:hAnsi="Times New Roman"/>
          <w:i/>
          <w:vertAlign w:val="subscript"/>
        </w:rPr>
        <w:t>3</w:t>
      </w:r>
      <w:r w:rsidR="00AC13E9" w:rsidRPr="00675A42">
        <w:rPr>
          <w:rFonts w:ascii="Times New Roman" w:hAnsi="Times New Roman"/>
        </w:rPr>
        <w:t xml:space="preserve"> </w:t>
      </w:r>
      <w:r w:rsidR="00AC13E9" w:rsidRPr="00675A42">
        <w:t>in the midshaft</w:t>
      </w:r>
      <w:r w:rsidRPr="00675A42">
        <w:t xml:space="preserve"> (Figure 4)</w:t>
      </w:r>
      <w:r w:rsidR="00AC13E9" w:rsidRPr="00675A42">
        <w:t xml:space="preserve">. By focussing on the diaphyseal section and optimising the bone segment to be used in the analysis, the spread of values decreased </w:t>
      </w:r>
      <w:r w:rsidR="007D4CB5" w:rsidRPr="00675A42">
        <w:t>(Figure 4)</w:t>
      </w:r>
      <w:r w:rsidR="00AC13E9" w:rsidRPr="00675A42">
        <w:t>.</w:t>
      </w:r>
      <w:r w:rsidR="00044671" w:rsidRPr="00675A42">
        <w:t xml:space="preserve"> </w:t>
      </w:r>
    </w:p>
    <w:p w14:paraId="34CB50E8" w14:textId="3D8A5E04" w:rsidR="00AC13E9" w:rsidRPr="00675A42" w:rsidRDefault="00906E84" w:rsidP="00E83FD5">
      <w:r w:rsidRPr="00675A42">
        <w:t xml:space="preserve">The three different alignment methods are compared </w:t>
      </w:r>
      <w:r w:rsidR="00AC13E9" w:rsidRPr="00675A42">
        <w:t xml:space="preserve">in </w:t>
      </w:r>
      <w:r w:rsidR="004366A5" w:rsidRPr="00675A42">
        <w:t>Figure 5</w:t>
      </w:r>
      <w:r w:rsidR="00AC13E9" w:rsidRPr="00675A42">
        <w:t xml:space="preserve"> and </w:t>
      </w:r>
      <w:r w:rsidR="004366A5" w:rsidRPr="00675A42">
        <w:t>Table</w:t>
      </w:r>
      <w:r w:rsidR="00E14B08" w:rsidRPr="00675A42">
        <w:t xml:space="preserve"> 1</w:t>
      </w:r>
      <w:r w:rsidR="00AC13E9" w:rsidRPr="00675A42">
        <w:t xml:space="preserve">. </w:t>
      </w:r>
      <w:r w:rsidR="00D879D0" w:rsidRPr="00675A42">
        <w:t xml:space="preserve">The second moment of area in the </w:t>
      </w:r>
      <w:r w:rsidR="00D879D0" w:rsidRPr="00675A42">
        <w:rPr>
          <w:rFonts w:ascii="Times New Roman" w:hAnsi="Times New Roman"/>
          <w:i/>
        </w:rPr>
        <w:t>D</w:t>
      </w:r>
      <w:r w:rsidR="00D879D0" w:rsidRPr="00675A42">
        <w:rPr>
          <w:rFonts w:ascii="Times New Roman" w:hAnsi="Times New Roman"/>
          <w:i/>
          <w:vertAlign w:val="subscript"/>
        </w:rPr>
        <w:t>1</w:t>
      </w:r>
      <w:r w:rsidR="00D879D0" w:rsidRPr="00675A42">
        <w:rPr>
          <w:rFonts w:ascii="Times New Roman" w:hAnsi="Times New Roman"/>
        </w:rPr>
        <w:t xml:space="preserve">, </w:t>
      </w:r>
      <w:r w:rsidR="00D879D0" w:rsidRPr="00675A42">
        <w:rPr>
          <w:rFonts w:ascii="Times New Roman" w:hAnsi="Times New Roman"/>
          <w:i/>
        </w:rPr>
        <w:t>D</w:t>
      </w:r>
      <w:r w:rsidR="00D879D0" w:rsidRPr="00675A42">
        <w:rPr>
          <w:rFonts w:ascii="Times New Roman" w:hAnsi="Times New Roman"/>
          <w:i/>
          <w:vertAlign w:val="subscript"/>
        </w:rPr>
        <w:t>2</w:t>
      </w:r>
      <w:r w:rsidR="00D879D0" w:rsidRPr="00675A42">
        <w:rPr>
          <w:rFonts w:ascii="Times New Roman" w:hAnsi="Times New Roman"/>
        </w:rPr>
        <w:t xml:space="preserve"> </w:t>
      </w:r>
      <w:r w:rsidR="00D879D0" w:rsidRPr="00675A42">
        <w:t xml:space="preserve">and </w:t>
      </w:r>
      <w:r w:rsidR="00D879D0" w:rsidRPr="00675A42">
        <w:rPr>
          <w:rFonts w:ascii="Times New Roman" w:hAnsi="Times New Roman"/>
          <w:i/>
        </w:rPr>
        <w:t>D</w:t>
      </w:r>
      <w:r w:rsidR="00D879D0" w:rsidRPr="00675A42">
        <w:rPr>
          <w:rFonts w:ascii="Times New Roman" w:hAnsi="Times New Roman"/>
          <w:i/>
          <w:vertAlign w:val="subscript"/>
        </w:rPr>
        <w:t>3</w:t>
      </w:r>
      <w:r w:rsidR="00D879D0" w:rsidRPr="00675A42">
        <w:rPr>
          <w:rFonts w:ascii="Times New Roman" w:hAnsi="Times New Roman"/>
        </w:rPr>
        <w:t xml:space="preserve"> </w:t>
      </w:r>
      <w:r w:rsidR="00D879D0" w:rsidRPr="00675A42">
        <w:t xml:space="preserve">directions were different between </w:t>
      </w:r>
      <w:r w:rsidR="00AC13E9" w:rsidRPr="00675A42">
        <w:t>the three alignment methods (Friedman ANOVA, χ</w:t>
      </w:r>
      <w:r w:rsidR="00AC13E9" w:rsidRPr="00675A42">
        <w:rPr>
          <w:vertAlign w:val="superscript"/>
        </w:rPr>
        <w:t>2</w:t>
      </w:r>
      <w:r w:rsidR="00AC13E9" w:rsidRPr="00675A42">
        <w:t xml:space="preserve">(2)=20.182, </w:t>
      </w:r>
      <w:r w:rsidR="00AC13E9" w:rsidRPr="00675A42">
        <w:rPr>
          <w:i/>
          <w:iCs/>
        </w:rPr>
        <w:t>p</w:t>
      </w:r>
      <w:r w:rsidR="00737FD5" w:rsidRPr="00675A42">
        <w:t>&lt;0.001</w:t>
      </w:r>
      <w:r w:rsidR="00D879D0" w:rsidRPr="00675A42">
        <w:t>;</w:t>
      </w:r>
      <w:r w:rsidR="00AC13E9" w:rsidRPr="00675A42">
        <w:t xml:space="preserve"> χ</w:t>
      </w:r>
      <w:r w:rsidR="00AC13E9" w:rsidRPr="00675A42">
        <w:rPr>
          <w:vertAlign w:val="superscript"/>
        </w:rPr>
        <w:t>2</w:t>
      </w:r>
      <w:r w:rsidR="00AC13E9" w:rsidRPr="00675A42">
        <w:t xml:space="preserve">(2)=9.455, </w:t>
      </w:r>
      <w:r w:rsidR="00AC13E9" w:rsidRPr="00675A42">
        <w:rPr>
          <w:i/>
          <w:iCs/>
        </w:rPr>
        <w:t>p</w:t>
      </w:r>
      <w:r w:rsidR="00AC13E9" w:rsidRPr="00675A42">
        <w:t>=0.009</w:t>
      </w:r>
      <w:r w:rsidR="00D879D0" w:rsidRPr="00675A42">
        <w:t>;</w:t>
      </w:r>
      <w:r w:rsidR="00AC13E9" w:rsidRPr="00675A42">
        <w:t xml:space="preserve"> and χ</w:t>
      </w:r>
      <w:r w:rsidR="00AC13E9" w:rsidRPr="00675A42">
        <w:rPr>
          <w:vertAlign w:val="superscript"/>
        </w:rPr>
        <w:t>2</w:t>
      </w:r>
      <w:r w:rsidR="00AC13E9" w:rsidRPr="00675A42">
        <w:t xml:space="preserve">(2)=16.545, </w:t>
      </w:r>
      <w:r w:rsidR="00AC13E9" w:rsidRPr="00675A42">
        <w:rPr>
          <w:i/>
          <w:iCs/>
        </w:rPr>
        <w:t>p</w:t>
      </w:r>
      <w:r w:rsidR="00737FD5" w:rsidRPr="00675A42">
        <w:t>&lt;0.001</w:t>
      </w:r>
      <w:r w:rsidR="00AC13E9" w:rsidRPr="00675A42">
        <w:t xml:space="preserve"> respectively</w:t>
      </w:r>
      <w:r w:rsidR="00D879D0" w:rsidRPr="00675A42">
        <w:t>; Table 2</w:t>
      </w:r>
      <w:r w:rsidR="00AC13E9" w:rsidRPr="00675A42">
        <w:t>).</w:t>
      </w:r>
    </w:p>
    <w:p w14:paraId="76EBB1A4" w14:textId="66FBF3F3" w:rsidR="00AC13E9" w:rsidRPr="00675A42" w:rsidRDefault="00AC13E9" w:rsidP="00E83FD5">
      <w:r w:rsidRPr="00675A42">
        <w:t xml:space="preserve">The new methodology resulted in a decrease in </w:t>
      </w:r>
      <w:r w:rsidR="009A0F2B" w:rsidRPr="00675A42">
        <w:rPr>
          <w:rFonts w:ascii="Symbol" w:hAnsi="Symbol"/>
          <w:i/>
        </w:rPr>
        <w:t></w:t>
      </w:r>
      <w:r w:rsidR="009A0F2B" w:rsidRPr="00675A42">
        <w:rPr>
          <w:i/>
          <w:vertAlign w:val="subscript"/>
        </w:rPr>
        <w:t>v</w:t>
      </w:r>
      <w:r w:rsidRPr="00675A42">
        <w:t xml:space="preserve">. </w:t>
      </w:r>
      <w:r w:rsidR="00D879D0" w:rsidRPr="00675A42">
        <w:t xml:space="preserve">for </w:t>
      </w:r>
      <w:r w:rsidRPr="00675A42">
        <w:t xml:space="preserve">the anatomical vs. optimised whole group in the </w:t>
      </w:r>
      <w:r w:rsidR="00B363AC" w:rsidRPr="00675A42">
        <w:rPr>
          <w:rFonts w:ascii="Times New Roman" w:hAnsi="Times New Roman"/>
          <w:i/>
        </w:rPr>
        <w:t>D</w:t>
      </w:r>
      <w:r w:rsidR="00B363AC" w:rsidRPr="00675A42">
        <w:rPr>
          <w:rFonts w:ascii="Times New Roman" w:hAnsi="Times New Roman"/>
          <w:i/>
          <w:vertAlign w:val="subscript"/>
        </w:rPr>
        <w:t>1</w:t>
      </w:r>
      <w:r w:rsidR="00B363AC" w:rsidRPr="00675A42">
        <w:rPr>
          <w:rFonts w:ascii="Times New Roman" w:hAnsi="Times New Roman"/>
        </w:rPr>
        <w:t xml:space="preserve"> </w:t>
      </w:r>
      <w:r w:rsidR="00026D03" w:rsidRPr="00675A42">
        <w:t>(</w:t>
      </w:r>
      <w:r w:rsidR="00026D03" w:rsidRPr="00675A42">
        <w:rPr>
          <w:i/>
        </w:rPr>
        <w:t>p</w:t>
      </w:r>
      <w:r w:rsidR="00D43BC2" w:rsidRPr="00675A42">
        <w:t>=</w:t>
      </w:r>
      <w:r w:rsidR="00026D03" w:rsidRPr="00675A42">
        <w:t>0.003)</w:t>
      </w:r>
      <w:r w:rsidR="00026D03" w:rsidRPr="00675A42">
        <w:rPr>
          <w:rFonts w:ascii="Times New Roman" w:hAnsi="Times New Roman"/>
        </w:rPr>
        <w:t xml:space="preserve"> </w:t>
      </w:r>
      <w:r w:rsidRPr="00675A42">
        <w:t xml:space="preserve">and </w:t>
      </w:r>
      <w:r w:rsidR="00B363AC" w:rsidRPr="00675A42">
        <w:rPr>
          <w:rFonts w:ascii="Times New Roman" w:hAnsi="Times New Roman"/>
          <w:i/>
        </w:rPr>
        <w:t>D</w:t>
      </w:r>
      <w:r w:rsidR="00B363AC" w:rsidRPr="00675A42">
        <w:rPr>
          <w:rFonts w:ascii="Times New Roman" w:hAnsi="Times New Roman"/>
          <w:i/>
          <w:vertAlign w:val="subscript"/>
        </w:rPr>
        <w:t>2</w:t>
      </w:r>
      <w:r w:rsidR="00B363AC" w:rsidRPr="00675A42">
        <w:rPr>
          <w:rFonts w:ascii="Times New Roman" w:hAnsi="Times New Roman"/>
        </w:rPr>
        <w:t xml:space="preserve"> </w:t>
      </w:r>
      <w:r w:rsidR="00026D03" w:rsidRPr="00675A42">
        <w:t>(</w:t>
      </w:r>
      <w:r w:rsidR="00026D03" w:rsidRPr="00675A42">
        <w:rPr>
          <w:i/>
        </w:rPr>
        <w:t>p</w:t>
      </w:r>
      <w:r w:rsidR="00026D03" w:rsidRPr="00675A42">
        <w:t xml:space="preserve">=0.006) </w:t>
      </w:r>
      <w:r w:rsidRPr="00675A42">
        <w:t>directions (</w:t>
      </w:r>
      <w:r w:rsidR="004366A5" w:rsidRPr="00675A42">
        <w:t>Table 2</w:t>
      </w:r>
      <w:r w:rsidRPr="00675A42">
        <w:t>). The decrease was significant in the anatomical vs. optimised segment group (</w:t>
      </w:r>
      <w:r w:rsidRPr="00675A42">
        <w:rPr>
          <w:i/>
        </w:rPr>
        <w:t>p</w:t>
      </w:r>
      <w:r w:rsidRPr="00675A42">
        <w:t xml:space="preserve">=0.012 and </w:t>
      </w:r>
      <w:r w:rsidRPr="00675A42">
        <w:rPr>
          <w:i/>
        </w:rPr>
        <w:t>p</w:t>
      </w:r>
      <w:r w:rsidRPr="00675A42">
        <w:t>=0.002)</w:t>
      </w:r>
      <w:r w:rsidR="00687DA5" w:rsidRPr="00675A42">
        <w:t xml:space="preserve">. Optimising the segment </w:t>
      </w:r>
      <w:r w:rsidR="00C01C39" w:rsidRPr="00675A42">
        <w:t>brought</w:t>
      </w:r>
      <w:r w:rsidRPr="00675A42">
        <w:t xml:space="preserve"> significant improvement</w:t>
      </w:r>
      <w:r w:rsidR="00C01C39" w:rsidRPr="00675A42">
        <w:t xml:space="preserve"> only in </w:t>
      </w:r>
      <w:r w:rsidR="00C01C39" w:rsidRPr="00675A42">
        <w:rPr>
          <w:i/>
        </w:rPr>
        <w:t>D</w:t>
      </w:r>
      <w:r w:rsidR="00C01C39" w:rsidRPr="00675A42">
        <w:rPr>
          <w:i/>
          <w:vertAlign w:val="subscript"/>
        </w:rPr>
        <w:t>2</w:t>
      </w:r>
      <w:r w:rsidR="00C01C39" w:rsidRPr="00675A42">
        <w:t xml:space="preserve"> (</w:t>
      </w:r>
      <w:r w:rsidR="00C01C39" w:rsidRPr="00675A42">
        <w:rPr>
          <w:i/>
        </w:rPr>
        <w:t>p</w:t>
      </w:r>
      <w:r w:rsidR="00C01C39" w:rsidRPr="00675A42">
        <w:t>=0.0015) direction, and</w:t>
      </w:r>
      <w:r w:rsidRPr="00675A42">
        <w:t xml:space="preserve">  resulted in </w:t>
      </w:r>
      <w:r w:rsidR="00C01C39" w:rsidRPr="00675A42">
        <w:t xml:space="preserve">a </w:t>
      </w:r>
      <w:r w:rsidR="00504A65" w:rsidRPr="00675A42">
        <w:t>curve that is flatter</w:t>
      </w:r>
      <w:r w:rsidR="00667792" w:rsidRPr="00675A42">
        <w:t xml:space="preserve"> and more symmetrical</w:t>
      </w:r>
      <w:r w:rsidR="00504A65" w:rsidRPr="00675A42">
        <w:t xml:space="preserve">, with </w:t>
      </w:r>
      <w:r w:rsidRPr="00675A42">
        <w:t xml:space="preserve">a higher value recorded at the ends </w:t>
      </w:r>
      <w:r w:rsidR="002A7849" w:rsidRPr="00675A42">
        <w:t>when</w:t>
      </w:r>
      <w:r w:rsidRPr="00675A42">
        <w:t xml:space="preserve"> compared to the results obtained using the ‘optimised whole’ algorithm</w:t>
      </w:r>
      <w:r w:rsidR="00D43BC2" w:rsidRPr="00675A42">
        <w:t xml:space="preserve"> (Figure 5)</w:t>
      </w:r>
      <w:r w:rsidRPr="00675A42">
        <w:t xml:space="preserve">. </w:t>
      </w:r>
    </w:p>
    <w:p w14:paraId="4B0AC6DB" w14:textId="6198DDF6" w:rsidR="00AC13E9" w:rsidRPr="00675A42" w:rsidRDefault="00AC13E9" w:rsidP="00E83FD5">
      <w:r w:rsidRPr="00675A42">
        <w:t xml:space="preserve">The intersection between the principal axis and the cortical bone in each alignment method </w:t>
      </w:r>
      <w:r w:rsidR="00426CEF" w:rsidRPr="00675A42">
        <w:t>is shown</w:t>
      </w:r>
      <w:r w:rsidRPr="00675A42">
        <w:t xml:space="preserve"> in </w:t>
      </w:r>
      <w:r w:rsidR="004366A5" w:rsidRPr="00675A42">
        <w:t>Figure 6</w:t>
      </w:r>
      <w:r w:rsidRPr="00675A42">
        <w:t xml:space="preserve">. </w:t>
      </w:r>
      <w:r w:rsidR="00D43BC2" w:rsidRPr="00675A42">
        <w:t>Filled</w:t>
      </w:r>
      <w:r w:rsidRPr="00675A42">
        <w:t xml:space="preserve"> dots show the anatomical landmarks that were used</w:t>
      </w:r>
      <w:r w:rsidR="00F76479" w:rsidRPr="00675A42">
        <w:t xml:space="preserve"> (from</w:t>
      </w:r>
      <w:r w:rsidRPr="00675A42">
        <w:t xml:space="preserve"> Finlay et al.</w:t>
      </w:r>
      <w:r w:rsidR="00F76479" w:rsidRPr="00675A42">
        <w:t>,</w:t>
      </w:r>
      <w:r w:rsidRPr="00675A42">
        <w:t xml:space="preserve"> 1995)</w:t>
      </w:r>
      <w:r w:rsidR="004366A5" w:rsidRPr="00675A42">
        <w:t>.</w:t>
      </w:r>
      <w:r w:rsidRPr="00675A42">
        <w:t xml:space="preserve"> </w:t>
      </w:r>
      <w:r w:rsidR="00426CEF" w:rsidRPr="00675A42">
        <w:t>T</w:t>
      </w:r>
      <w:r w:rsidRPr="00675A42">
        <w:t>he</w:t>
      </w:r>
      <w:r w:rsidR="008462D3" w:rsidRPr="00675A42">
        <w:t>se</w:t>
      </w:r>
      <w:r w:rsidRPr="00675A42">
        <w:t xml:space="preserve"> landmarks are located more anteriorly on the proximal end when the whole bone is aligned based on its geometrical properties</w:t>
      </w:r>
      <w:r w:rsidR="008462D3" w:rsidRPr="00675A42">
        <w:t xml:space="preserve"> and are more </w:t>
      </w:r>
      <w:r w:rsidRPr="00675A42">
        <w:t>medial to the intercondylar eminence when the bone is aligned based on its optimised segment. On the distal end of the tibia, the landmarks shift posteriorly with each alignment method.</w:t>
      </w:r>
    </w:p>
    <w:p w14:paraId="777B9726" w14:textId="007C3F01" w:rsidR="00AC13E9" w:rsidRPr="00675A42" w:rsidRDefault="00AC13E9" w:rsidP="00C04823">
      <w:pPr>
        <w:pStyle w:val="Heading1"/>
      </w:pPr>
      <w:bookmarkStart w:id="2" w:name="_Toc402514144"/>
      <w:r w:rsidRPr="00675A42">
        <w:lastRenderedPageBreak/>
        <w:t>Discussion</w:t>
      </w:r>
      <w:bookmarkEnd w:id="2"/>
    </w:p>
    <w:p w14:paraId="5B62739B" w14:textId="624FE32D" w:rsidR="00AC13E9" w:rsidRPr="00675A42" w:rsidRDefault="00AC13E9" w:rsidP="00E83FD5">
      <w:r w:rsidRPr="00675A42">
        <w:t xml:space="preserve">A methodology that calculates </w:t>
      </w:r>
      <w:r w:rsidR="00C30B9C" w:rsidRPr="00675A42">
        <w:t xml:space="preserve">and uses </w:t>
      </w:r>
      <w:r w:rsidRPr="00675A42">
        <w:t xml:space="preserve">the </w:t>
      </w:r>
      <w:r w:rsidR="00C30B9C" w:rsidRPr="00675A42">
        <w:t xml:space="preserve">initial </w:t>
      </w:r>
      <w:r w:rsidRPr="00675A42">
        <w:t>principal directions of bone</w:t>
      </w:r>
      <w:r w:rsidR="00C30B9C" w:rsidRPr="00675A42">
        <w:t xml:space="preserve"> as </w:t>
      </w:r>
      <w:r w:rsidR="000D70A3" w:rsidRPr="00675A42">
        <w:t xml:space="preserve">a </w:t>
      </w:r>
      <w:r w:rsidR="0061400B" w:rsidRPr="00675A42">
        <w:t>subject-specific</w:t>
      </w:r>
      <w:r w:rsidR="00C30B9C" w:rsidRPr="00675A42">
        <w:t xml:space="preserve"> coordinate system, to enable </w:t>
      </w:r>
      <w:r w:rsidRPr="00675A42">
        <w:t xml:space="preserve">a state of </w:t>
      </w:r>
      <w:r w:rsidRPr="00675A42">
        <w:rPr>
          <w:i/>
        </w:rPr>
        <w:t>near</w:t>
      </w:r>
      <w:r w:rsidRPr="00675A42">
        <w:t xml:space="preserve"> pure bending and torsion </w:t>
      </w:r>
      <w:r w:rsidR="00C30B9C" w:rsidRPr="00675A42">
        <w:t xml:space="preserve">during mechanical testing, </w:t>
      </w:r>
      <w:r w:rsidRPr="00675A42">
        <w:t xml:space="preserve">has been developed. </w:t>
      </w:r>
      <w:r w:rsidR="001B20E9" w:rsidRPr="00675A42">
        <w:t xml:space="preserve">This </w:t>
      </w:r>
      <w:r w:rsidR="000D70A3" w:rsidRPr="00675A42">
        <w:t>result</w:t>
      </w:r>
      <w:r w:rsidR="001B20E9" w:rsidRPr="00675A42">
        <w:t>s</w:t>
      </w:r>
      <w:r w:rsidR="000D70A3" w:rsidRPr="00675A42">
        <w:t xml:space="preserve"> in a more even distribution of the second moment of area that is accompanied by a lowering of its coefficient of variation in the </w:t>
      </w:r>
      <w:r w:rsidR="000D70A3" w:rsidRPr="00675A42">
        <w:rPr>
          <w:rFonts w:ascii="Times New Roman" w:hAnsi="Times New Roman"/>
          <w:i/>
        </w:rPr>
        <w:t>D</w:t>
      </w:r>
      <w:r w:rsidR="000D70A3" w:rsidRPr="00675A42">
        <w:rPr>
          <w:rFonts w:ascii="Times New Roman" w:hAnsi="Times New Roman"/>
          <w:i/>
          <w:vertAlign w:val="subscript"/>
        </w:rPr>
        <w:t>1</w:t>
      </w:r>
      <w:r w:rsidR="000D70A3" w:rsidRPr="00675A42">
        <w:rPr>
          <w:rFonts w:ascii="Times New Roman" w:hAnsi="Times New Roman"/>
        </w:rPr>
        <w:t xml:space="preserve"> </w:t>
      </w:r>
      <w:r w:rsidR="000D70A3" w:rsidRPr="00675A42">
        <w:t xml:space="preserve">and </w:t>
      </w:r>
      <w:r w:rsidR="000D70A3" w:rsidRPr="00675A42">
        <w:rPr>
          <w:rFonts w:ascii="Times New Roman" w:hAnsi="Times New Roman"/>
          <w:i/>
        </w:rPr>
        <w:t>D</w:t>
      </w:r>
      <w:r w:rsidR="000D70A3" w:rsidRPr="00675A42">
        <w:rPr>
          <w:rFonts w:ascii="Times New Roman" w:hAnsi="Times New Roman"/>
          <w:i/>
          <w:vertAlign w:val="subscript"/>
        </w:rPr>
        <w:t>2</w:t>
      </w:r>
      <w:r w:rsidR="000D70A3" w:rsidRPr="00675A42">
        <w:rPr>
          <w:rFonts w:ascii="Times New Roman" w:hAnsi="Times New Roman"/>
        </w:rPr>
        <w:t xml:space="preserve"> </w:t>
      </w:r>
      <w:r w:rsidR="000D70A3" w:rsidRPr="00675A42">
        <w:t xml:space="preserve">directions. </w:t>
      </w:r>
      <w:r w:rsidR="00F44CA7" w:rsidRPr="00675A42">
        <w:t>Its performance</w:t>
      </w:r>
      <w:r w:rsidR="000D70A3" w:rsidRPr="00675A42">
        <w:t xml:space="preserve"> is an improvement on the </w:t>
      </w:r>
      <w:r w:rsidR="00AF5953" w:rsidRPr="00675A42">
        <w:t>literature</w:t>
      </w:r>
      <w:r w:rsidR="00F07319" w:rsidRPr="00675A42">
        <w:t xml:space="preserve">. </w:t>
      </w:r>
    </w:p>
    <w:p w14:paraId="6AF9E33D" w14:textId="2DCB2A76" w:rsidR="00AC13E9" w:rsidRPr="00675A42" w:rsidRDefault="000D70A3" w:rsidP="00E83FD5">
      <w:r w:rsidRPr="00675A42">
        <w:t>The</w:t>
      </w:r>
      <w:r w:rsidR="00AC13E9" w:rsidRPr="00675A42">
        <w:t xml:space="preserve"> alignment of the whole bone using geometrical properties corresponded well with the results obtained by using an anatomical-by-eye reference system in the middle section (Finlay et al., 1995). The location of the lowest second moment of area was </w:t>
      </w:r>
      <w:r w:rsidR="001740BC" w:rsidRPr="00675A42">
        <w:t xml:space="preserve">in the diaphysis </w:t>
      </w:r>
      <w:r w:rsidR="00AC13E9" w:rsidRPr="00675A42">
        <w:t xml:space="preserve">in both studies </w:t>
      </w:r>
      <w:r w:rsidR="001740BC" w:rsidRPr="00675A42">
        <w:t>(</w:t>
      </w:r>
      <w:r w:rsidR="004366A5" w:rsidRPr="00675A42">
        <w:t>Figure 7</w:t>
      </w:r>
      <w:r w:rsidR="001740BC" w:rsidRPr="00675A42">
        <w:t>)</w:t>
      </w:r>
      <w:r w:rsidR="00AC13E9" w:rsidRPr="00675A42">
        <w:t xml:space="preserve">. </w:t>
      </w:r>
    </w:p>
    <w:p w14:paraId="0F8F8483" w14:textId="456879C3" w:rsidR="00AC13E9" w:rsidRPr="00675A42" w:rsidRDefault="00AC13E9" w:rsidP="00E83FD5">
      <w:r w:rsidRPr="00675A42">
        <w:t>In all three directions, the second moment of area rises more gradually at the epiphyseal regions in the study here</w:t>
      </w:r>
      <w:r w:rsidR="007F40EE" w:rsidRPr="00675A42">
        <w:t xml:space="preserve"> than </w:t>
      </w:r>
      <w:r w:rsidR="008462D3" w:rsidRPr="00675A42">
        <w:t>in Finlay et al. (1995)</w:t>
      </w:r>
      <w:r w:rsidRPr="00675A42">
        <w:t xml:space="preserve">. </w:t>
      </w:r>
      <w:r w:rsidR="00E71EE5" w:rsidRPr="00675A42">
        <w:t>We</w:t>
      </w:r>
      <w:r w:rsidR="008462D3" w:rsidRPr="00675A42">
        <w:t xml:space="preserve"> found that </w:t>
      </w:r>
      <w:r w:rsidRPr="00675A42">
        <w:t xml:space="preserve">the second moment of area for </w:t>
      </w:r>
      <w:r w:rsidR="00E8121C" w:rsidRPr="00675A42">
        <w:t>our</w:t>
      </w:r>
      <w:r w:rsidRPr="00675A42">
        <w:t xml:space="preserve"> </w:t>
      </w:r>
      <w:r w:rsidR="008462D3" w:rsidRPr="00675A42">
        <w:t>whole ovine</w:t>
      </w:r>
      <w:r w:rsidRPr="00675A42">
        <w:t xml:space="preserve"> tibiae ranged (4</w:t>
      </w:r>
      <w:r w:rsidR="00026D03" w:rsidRPr="00675A42">
        <w:t>,</w:t>
      </w:r>
      <w:r w:rsidRPr="00675A42">
        <w:t>293</w:t>
      </w:r>
      <w:r w:rsidR="00026D03" w:rsidRPr="00675A42">
        <w:t>-</w:t>
      </w:r>
      <w:r w:rsidRPr="00675A42">
        <w:t>37</w:t>
      </w:r>
      <w:r w:rsidR="00026D03" w:rsidRPr="00675A42">
        <w:t>,</w:t>
      </w:r>
      <w:r w:rsidRPr="00675A42">
        <w:t>874mm</w:t>
      </w:r>
      <w:r w:rsidRPr="00675A42">
        <w:rPr>
          <w:vertAlign w:val="superscript"/>
        </w:rPr>
        <w:t>4</w:t>
      </w:r>
      <w:r w:rsidRPr="00675A42">
        <w:t xml:space="preserve">) in the </w:t>
      </w:r>
      <w:r w:rsidR="00AE3BFC" w:rsidRPr="00675A42">
        <w:rPr>
          <w:rFonts w:ascii="Times New Roman" w:hAnsi="Times New Roman"/>
          <w:i/>
        </w:rPr>
        <w:t>D</w:t>
      </w:r>
      <w:r w:rsidR="00AE3BFC" w:rsidRPr="00675A42">
        <w:rPr>
          <w:rFonts w:ascii="Times New Roman" w:hAnsi="Times New Roman"/>
          <w:i/>
          <w:vertAlign w:val="subscript"/>
        </w:rPr>
        <w:t>2</w:t>
      </w:r>
      <w:r w:rsidR="00AE3BFC" w:rsidRPr="00675A42">
        <w:rPr>
          <w:rFonts w:ascii="Times New Roman" w:hAnsi="Times New Roman"/>
        </w:rPr>
        <w:t xml:space="preserve"> </w:t>
      </w:r>
      <w:r w:rsidRPr="00675A42">
        <w:t>and (3</w:t>
      </w:r>
      <w:r w:rsidR="00026D03" w:rsidRPr="00675A42">
        <w:t>,</w:t>
      </w:r>
      <w:r w:rsidRPr="00675A42">
        <w:t>153</w:t>
      </w:r>
      <w:r w:rsidR="00026D03" w:rsidRPr="00675A42">
        <w:t>-</w:t>
      </w:r>
      <w:r w:rsidRPr="00675A42">
        <w:t>42</w:t>
      </w:r>
      <w:r w:rsidR="00026D03" w:rsidRPr="00675A42">
        <w:t>,</w:t>
      </w:r>
      <w:r w:rsidRPr="00675A42">
        <w:t>461mm</w:t>
      </w:r>
      <w:r w:rsidRPr="00675A42">
        <w:rPr>
          <w:vertAlign w:val="superscript"/>
        </w:rPr>
        <w:t>4</w:t>
      </w:r>
      <w:r w:rsidRPr="00675A42">
        <w:t xml:space="preserve">) in the </w:t>
      </w:r>
      <w:r w:rsidR="00AE3BFC" w:rsidRPr="00675A42">
        <w:rPr>
          <w:rFonts w:ascii="Times New Roman" w:hAnsi="Times New Roman"/>
          <w:i/>
        </w:rPr>
        <w:t>D</w:t>
      </w:r>
      <w:r w:rsidR="00AE3BFC" w:rsidRPr="00675A42">
        <w:rPr>
          <w:rFonts w:ascii="Times New Roman" w:hAnsi="Times New Roman"/>
          <w:i/>
          <w:vertAlign w:val="subscript"/>
        </w:rPr>
        <w:t>3</w:t>
      </w:r>
      <w:r w:rsidR="00AE3BFC" w:rsidRPr="00675A42">
        <w:rPr>
          <w:rFonts w:ascii="Times New Roman" w:hAnsi="Times New Roman"/>
        </w:rPr>
        <w:t xml:space="preserve"> </w:t>
      </w:r>
      <w:r w:rsidRPr="00675A42">
        <w:t>direction</w:t>
      </w:r>
      <w:r w:rsidR="00E71EE5" w:rsidRPr="00675A42">
        <w:t>s</w:t>
      </w:r>
      <w:r w:rsidRPr="00675A42">
        <w:t xml:space="preserve">. </w:t>
      </w:r>
      <w:r w:rsidR="007F40EE" w:rsidRPr="00675A42">
        <w:t>In contrast, they</w:t>
      </w:r>
      <w:r w:rsidR="000D70A3" w:rsidRPr="00675A42">
        <w:t xml:space="preserve"> </w:t>
      </w:r>
      <w:r w:rsidR="007F40EE" w:rsidRPr="00675A42">
        <w:t>obtained values of (7</w:t>
      </w:r>
      <w:r w:rsidR="00026D03" w:rsidRPr="00675A42">
        <w:t>,</w:t>
      </w:r>
      <w:r w:rsidR="007F40EE" w:rsidRPr="00675A42">
        <w:t>000</w:t>
      </w:r>
      <w:r w:rsidR="00026D03" w:rsidRPr="00675A42">
        <w:t>-</w:t>
      </w:r>
      <w:r w:rsidR="007F40EE" w:rsidRPr="00675A42">
        <w:t>70</w:t>
      </w:r>
      <w:r w:rsidR="00026D03" w:rsidRPr="00675A42">
        <w:t>,</w:t>
      </w:r>
      <w:r w:rsidR="007F40EE" w:rsidRPr="00675A42">
        <w:t>000mm</w:t>
      </w:r>
      <w:r w:rsidR="007F40EE" w:rsidRPr="00675A42">
        <w:rPr>
          <w:vertAlign w:val="superscript"/>
        </w:rPr>
        <w:t>4</w:t>
      </w:r>
      <w:r w:rsidR="007F40EE" w:rsidRPr="00675A42">
        <w:t>) and (4</w:t>
      </w:r>
      <w:r w:rsidR="00026D03" w:rsidRPr="00675A42">
        <w:t>,</w:t>
      </w:r>
      <w:r w:rsidR="007F40EE" w:rsidRPr="00675A42">
        <w:t>500</w:t>
      </w:r>
      <w:r w:rsidR="00026D03" w:rsidRPr="00675A42">
        <w:t>-</w:t>
      </w:r>
      <w:r w:rsidR="007F40EE" w:rsidRPr="00675A42">
        <w:t>68</w:t>
      </w:r>
      <w:r w:rsidR="00026D03" w:rsidRPr="00675A42">
        <w:t>,</w:t>
      </w:r>
      <w:r w:rsidR="007F40EE" w:rsidRPr="00675A42">
        <w:t>000mm</w:t>
      </w:r>
      <w:r w:rsidR="007F40EE" w:rsidRPr="00675A42">
        <w:rPr>
          <w:vertAlign w:val="superscript"/>
        </w:rPr>
        <w:t>4</w:t>
      </w:r>
      <w:r w:rsidR="007F40EE" w:rsidRPr="00675A42">
        <w:t xml:space="preserve">) in the </w:t>
      </w:r>
      <w:r w:rsidR="007F40EE" w:rsidRPr="00675A42">
        <w:rPr>
          <w:rFonts w:ascii="Times New Roman" w:hAnsi="Times New Roman"/>
          <w:i/>
        </w:rPr>
        <w:t>D</w:t>
      </w:r>
      <w:r w:rsidR="007F40EE" w:rsidRPr="00675A42">
        <w:rPr>
          <w:rFonts w:ascii="Times New Roman" w:hAnsi="Times New Roman"/>
          <w:i/>
          <w:vertAlign w:val="subscript"/>
        </w:rPr>
        <w:t>2</w:t>
      </w:r>
      <w:r w:rsidR="007F40EE" w:rsidRPr="00675A42">
        <w:rPr>
          <w:rFonts w:ascii="Times New Roman" w:hAnsi="Times New Roman"/>
        </w:rPr>
        <w:t xml:space="preserve"> </w:t>
      </w:r>
      <w:r w:rsidR="007F40EE" w:rsidRPr="00675A42">
        <w:t xml:space="preserve">and </w:t>
      </w:r>
      <w:r w:rsidR="007F40EE" w:rsidRPr="00675A42">
        <w:rPr>
          <w:rFonts w:ascii="Times New Roman" w:hAnsi="Times New Roman"/>
          <w:i/>
        </w:rPr>
        <w:t>D</w:t>
      </w:r>
      <w:r w:rsidR="007F40EE" w:rsidRPr="00675A42">
        <w:rPr>
          <w:rFonts w:ascii="Times New Roman" w:hAnsi="Times New Roman"/>
          <w:i/>
          <w:vertAlign w:val="subscript"/>
        </w:rPr>
        <w:t>3</w:t>
      </w:r>
      <w:r w:rsidR="007F40EE" w:rsidRPr="00675A42">
        <w:rPr>
          <w:rFonts w:ascii="Times New Roman" w:hAnsi="Times New Roman"/>
        </w:rPr>
        <w:t xml:space="preserve"> </w:t>
      </w:r>
      <w:r w:rsidR="007F40EE" w:rsidRPr="00675A42">
        <w:t>directions</w:t>
      </w:r>
      <w:r w:rsidR="00AB6F00" w:rsidRPr="00675A42">
        <w:t>,</w:t>
      </w:r>
      <w:r w:rsidR="007F40EE" w:rsidRPr="00675A42">
        <w:t xml:space="preserve"> respectively</w:t>
      </w:r>
      <w:r w:rsidR="00927BD5" w:rsidRPr="00675A42">
        <w:t>.</w:t>
      </w:r>
    </w:p>
    <w:p w14:paraId="0F5B0D86" w14:textId="5919336D" w:rsidR="001B5B33" w:rsidRPr="00675A42" w:rsidRDefault="001B5B33" w:rsidP="00E83FD5">
      <w:r w:rsidRPr="00675A42">
        <w:t xml:space="preserve">In this study </w:t>
      </w:r>
      <w:r w:rsidR="00AC13E9" w:rsidRPr="00675A42">
        <w:t xml:space="preserve">the </w:t>
      </w:r>
      <w:r w:rsidR="00737FD5" w:rsidRPr="00675A42">
        <w:t>coordinate systems</w:t>
      </w:r>
      <w:r w:rsidR="00AC13E9" w:rsidRPr="00675A42">
        <w:t xml:space="preserve"> were determined from the volume second moment of the cortex, which is based on its morphology in three-dimensions. However, in all the</w:t>
      </w:r>
      <w:r w:rsidR="001B20E9" w:rsidRPr="00675A42">
        <w:t xml:space="preserve"> previous </w:t>
      </w:r>
      <w:r w:rsidR="00AC13E9" w:rsidRPr="00675A42">
        <w:t xml:space="preserve">work, the geometrical properties were evaluated on a slice-by-slice basis, a two-dimensional property. Therefore, existing techniques for studying the geometrical properties of bones is more an analysis of how the </w:t>
      </w:r>
      <w:r w:rsidR="00AC13E9" w:rsidRPr="00675A42">
        <w:rPr>
          <w:rFonts w:ascii="Times New Roman" w:hAnsi="Times New Roman"/>
          <w:i/>
        </w:rPr>
        <w:t>I</w:t>
      </w:r>
      <w:r w:rsidR="00AC13E9" w:rsidRPr="00675A42">
        <w:rPr>
          <w:rFonts w:ascii="Times New Roman" w:hAnsi="Times New Roman"/>
          <w:i/>
          <w:vertAlign w:val="subscript"/>
        </w:rPr>
        <w:t>max</w:t>
      </w:r>
      <w:r w:rsidR="00AC13E9" w:rsidRPr="00675A42">
        <w:t xml:space="preserve"> or </w:t>
      </w:r>
      <w:r w:rsidR="00AC13E9" w:rsidRPr="00675A42">
        <w:rPr>
          <w:rFonts w:ascii="Times New Roman" w:hAnsi="Times New Roman"/>
          <w:i/>
        </w:rPr>
        <w:t>I</w:t>
      </w:r>
      <w:r w:rsidR="00AC13E9" w:rsidRPr="00675A42">
        <w:rPr>
          <w:rFonts w:ascii="Times New Roman" w:hAnsi="Times New Roman"/>
          <w:i/>
          <w:vertAlign w:val="subscript"/>
        </w:rPr>
        <w:t>min</w:t>
      </w:r>
      <w:r w:rsidR="00AC13E9" w:rsidRPr="00675A42">
        <w:rPr>
          <w:rFonts w:ascii="Times New Roman" w:hAnsi="Times New Roman"/>
        </w:rPr>
        <w:t xml:space="preserve"> </w:t>
      </w:r>
      <w:r w:rsidR="00AC13E9" w:rsidRPr="00675A42">
        <w:t xml:space="preserve">axes vary across the cross-section of the bone, which does not yield further information on how the bone behaves as a structural entity. Indeed Finlay et al. (1995) reported a range of 1.76 to 86.1° of the angle between </w:t>
      </w:r>
      <w:r w:rsidR="00AC13E9" w:rsidRPr="00675A42">
        <w:rPr>
          <w:rFonts w:ascii="Times New Roman" w:hAnsi="Times New Roman"/>
          <w:i/>
        </w:rPr>
        <w:t>I</w:t>
      </w:r>
      <w:r w:rsidR="00AC13E9" w:rsidRPr="00675A42">
        <w:rPr>
          <w:rFonts w:ascii="Times New Roman" w:hAnsi="Times New Roman"/>
          <w:i/>
          <w:vertAlign w:val="subscript"/>
        </w:rPr>
        <w:t>max</w:t>
      </w:r>
      <w:r w:rsidR="00AC13E9" w:rsidRPr="00675A42">
        <w:rPr>
          <w:rFonts w:ascii="Times New Roman" w:hAnsi="Times New Roman"/>
        </w:rPr>
        <w:t xml:space="preserve"> </w:t>
      </w:r>
      <w:r w:rsidR="00AC13E9" w:rsidRPr="00675A42">
        <w:t>and the anterior-posterior axis</w:t>
      </w:r>
      <w:r w:rsidR="00737FD5" w:rsidRPr="00675A42">
        <w:t xml:space="preserve"> in mature Arcott sheep</w:t>
      </w:r>
      <w:r w:rsidR="00AC13E9" w:rsidRPr="00675A42">
        <w:t xml:space="preserve">, with the smallest angle at the midshaft and the largest angle at the proximal and distal ends. Therefore, the second moment of area and standard </w:t>
      </w:r>
      <w:r w:rsidR="00AC13E9" w:rsidRPr="00675A42">
        <w:lastRenderedPageBreak/>
        <w:t>deviations measured in the midshaft are similar</w:t>
      </w:r>
      <w:r w:rsidR="001B20E9" w:rsidRPr="00675A42">
        <w:t xml:space="preserve"> between this study and theirs</w:t>
      </w:r>
      <w:r w:rsidR="00AC13E9" w:rsidRPr="00675A42">
        <w:t xml:space="preserve">, whereas </w:t>
      </w:r>
      <w:r w:rsidR="00E8121C" w:rsidRPr="00675A42">
        <w:t xml:space="preserve">these values divert greatly </w:t>
      </w:r>
      <w:r w:rsidR="00AC13E9" w:rsidRPr="00675A42">
        <w:t xml:space="preserve">at the ends of the bone as the angle between the reference axes used </w:t>
      </w:r>
      <w:r w:rsidR="00D8396B" w:rsidRPr="00675A42">
        <w:t>increases</w:t>
      </w:r>
      <w:r w:rsidR="00AC13E9" w:rsidRPr="00675A42">
        <w:t>.</w:t>
      </w:r>
    </w:p>
    <w:p w14:paraId="6CCDC8FB" w14:textId="7AF41262" w:rsidR="001B20E9" w:rsidRPr="00675A42" w:rsidRDefault="001B20E9" w:rsidP="00E83FD5">
      <w:r w:rsidRPr="00675A42">
        <w:t>Other studies use</w:t>
      </w:r>
      <w:r w:rsidR="00D53064" w:rsidRPr="00675A42">
        <w:t>d</w:t>
      </w:r>
      <w:r w:rsidRPr="00675A42">
        <w:t xml:space="preserve"> </w:t>
      </w:r>
      <w:r w:rsidR="00AC13E9" w:rsidRPr="00675A42">
        <w:t xml:space="preserve">the centroid as the origin for </w:t>
      </w:r>
      <w:r w:rsidRPr="00675A42">
        <w:t xml:space="preserve">the principle directions </w:t>
      </w:r>
      <w:r w:rsidR="00AC13E9" w:rsidRPr="00675A42">
        <w:t xml:space="preserve">(Finlay et al., 1995; Forman et al., 2012; Perz et al., 2014) whereas the neutral axis point was used in this study. The neutral axis refers to the line about which an object experiences no compressive or tensile stress when it is subjected to pure bending, and can be assumed to coincide with the first principal axis. The neutral axis point is obtained by intersecting </w:t>
      </w:r>
      <w:r w:rsidR="00E35922" w:rsidRPr="00675A42">
        <w:rPr>
          <w:rFonts w:ascii="Times New Roman" w:hAnsi="Times New Roman"/>
          <w:i/>
        </w:rPr>
        <w:t>D</w:t>
      </w:r>
      <w:r w:rsidR="00E35922" w:rsidRPr="00675A42">
        <w:rPr>
          <w:rFonts w:ascii="Times New Roman" w:hAnsi="Times New Roman"/>
          <w:i/>
          <w:vertAlign w:val="subscript"/>
        </w:rPr>
        <w:t>1</w:t>
      </w:r>
      <w:r w:rsidR="00E35922" w:rsidRPr="00675A42">
        <w:rPr>
          <w:rFonts w:ascii="Times New Roman" w:hAnsi="Times New Roman"/>
        </w:rPr>
        <w:t xml:space="preserve"> </w:t>
      </w:r>
      <w:r w:rsidR="00AC13E9" w:rsidRPr="00675A42">
        <w:t xml:space="preserve">with each slice. </w:t>
      </w:r>
      <w:r w:rsidRPr="00675A42">
        <w:t>T</w:t>
      </w:r>
      <w:r w:rsidR="00AC13E9" w:rsidRPr="00675A42">
        <w:t xml:space="preserve">hese two points do not always coincide, and thus </w:t>
      </w:r>
      <w:r w:rsidR="00AC13E9" w:rsidRPr="00675A42">
        <w:rPr>
          <w:rFonts w:ascii="Times New Roman" w:hAnsi="Times New Roman"/>
          <w:i/>
        </w:rPr>
        <w:t>I</w:t>
      </w:r>
      <w:r w:rsidR="00AC13E9" w:rsidRPr="00675A42">
        <w:rPr>
          <w:rFonts w:ascii="Times New Roman" w:hAnsi="Times New Roman"/>
          <w:i/>
          <w:vertAlign w:val="subscript"/>
        </w:rPr>
        <w:t>max</w:t>
      </w:r>
      <w:r w:rsidR="00AC13E9" w:rsidRPr="00675A42">
        <w:rPr>
          <w:rFonts w:ascii="Times New Roman" w:hAnsi="Times New Roman"/>
        </w:rPr>
        <w:t xml:space="preserve"> </w:t>
      </w:r>
      <w:r w:rsidR="00AC13E9" w:rsidRPr="00675A42">
        <w:t xml:space="preserve">that is calculated based solely on the slice would deviate from the </w:t>
      </w:r>
      <w:r w:rsidR="00AC13E9" w:rsidRPr="00675A42">
        <w:rPr>
          <w:rFonts w:ascii="Times New Roman" w:hAnsi="Times New Roman"/>
          <w:i/>
        </w:rPr>
        <w:t>I</w:t>
      </w:r>
      <w:r w:rsidR="00AC13E9" w:rsidRPr="00675A42">
        <w:rPr>
          <w:rFonts w:ascii="Times New Roman" w:hAnsi="Times New Roman"/>
          <w:i/>
          <w:vertAlign w:val="subscript"/>
        </w:rPr>
        <w:t>2</w:t>
      </w:r>
      <w:r w:rsidR="00AC13E9" w:rsidRPr="00675A42">
        <w:rPr>
          <w:rFonts w:ascii="Times New Roman" w:hAnsi="Times New Roman"/>
        </w:rPr>
        <w:t xml:space="preserve"> </w:t>
      </w:r>
      <w:r w:rsidR="00AC13E9" w:rsidRPr="00675A42">
        <w:t xml:space="preserve">that is calculated based on the </w:t>
      </w:r>
      <w:r w:rsidR="00AB6F00" w:rsidRPr="00675A42">
        <w:t xml:space="preserve">bone </w:t>
      </w:r>
      <w:r w:rsidR="00AC13E9" w:rsidRPr="00675A42">
        <w:t>cortex.</w:t>
      </w:r>
    </w:p>
    <w:p w14:paraId="2DA4325B" w14:textId="1A2BC600" w:rsidR="00D75AD6" w:rsidRPr="00675A42" w:rsidRDefault="002335D2" w:rsidP="00E83FD5">
      <w:r w:rsidRPr="00675A42">
        <w:t>P</w:t>
      </w:r>
      <w:r w:rsidR="004241A2" w:rsidRPr="00675A42">
        <w:t>rincipal moments can be calculated precisely, but perfect alignment is di</w:t>
      </w:r>
      <w:r w:rsidR="00AB6F00" w:rsidRPr="00675A42">
        <w:t>fficult to achieve experimentally</w:t>
      </w:r>
      <w:r w:rsidR="00B03283" w:rsidRPr="00675A42">
        <w:t>. Although a method that uses reverse digitisation has been suggested to increase repeatability, misalignment might still occur, which would result in shifts in the neutral axis. M</w:t>
      </w:r>
      <w:r w:rsidR="00801F5A" w:rsidRPr="00675A42">
        <w:t xml:space="preserve">oreover, the methodology assumes that the samples </w:t>
      </w:r>
      <w:r w:rsidR="00424F00" w:rsidRPr="00675A42">
        <w:t>have fairly</w:t>
      </w:r>
      <w:r w:rsidR="00801F5A" w:rsidRPr="00675A42">
        <w:t xml:space="preserve"> homogenous bone density</w:t>
      </w:r>
      <w:r w:rsidR="00FB62B4" w:rsidRPr="00675A42">
        <w:t xml:space="preserve"> and so </w:t>
      </w:r>
      <w:r w:rsidR="0061400B" w:rsidRPr="00675A42">
        <w:t xml:space="preserve">care must be taken in interpreting results obtained from samples </w:t>
      </w:r>
      <w:r w:rsidR="00FB62B4" w:rsidRPr="00675A42">
        <w:t xml:space="preserve">with </w:t>
      </w:r>
      <w:r w:rsidR="0061400B" w:rsidRPr="00675A42">
        <w:t>inhomogeneous</w:t>
      </w:r>
      <w:r w:rsidR="00A1139E" w:rsidRPr="00675A42">
        <w:t xml:space="preserve"> material properties</w:t>
      </w:r>
      <w:r w:rsidR="0061400B" w:rsidRPr="00675A42">
        <w:t xml:space="preserve"> (e.g. osteoporotic) or </w:t>
      </w:r>
      <w:r w:rsidR="00A1139E" w:rsidRPr="00675A42">
        <w:t>geometrical properties (e.g. gene knockout in murine long bones may result in different bone geometries). In general, the testing regions, from the calculated optimised segment, should be fairly similar (e.g. in the diaphysis of the bone)</w:t>
      </w:r>
      <w:r w:rsidR="00801F5A" w:rsidRPr="00675A42">
        <w:t xml:space="preserve"> </w:t>
      </w:r>
      <w:r w:rsidR="00A1139E" w:rsidRPr="00675A42">
        <w:t>for any comparison to be valid in the first instance.</w:t>
      </w:r>
      <w:r w:rsidR="00B03283" w:rsidRPr="00675A42">
        <w:t xml:space="preserve"> </w:t>
      </w:r>
    </w:p>
    <w:p w14:paraId="3D0BEE3F" w14:textId="77777777" w:rsidR="00AC13E9" w:rsidRPr="00675A42" w:rsidRDefault="00AC13E9" w:rsidP="00E83FD5">
      <w:r w:rsidRPr="00675A42">
        <w:t xml:space="preserve">In summary, a new methodology that calculates the alignment of bone based on its principal axes, so that it approximates a state of pure bending and torsion may be achieved in experimental testing, has been developed. This methodology differs from </w:t>
      </w:r>
      <w:r w:rsidR="00B7559F" w:rsidRPr="00675A42">
        <w:t xml:space="preserve">previous </w:t>
      </w:r>
      <w:r w:rsidRPr="00675A42">
        <w:t>work as it accounts for the three-dimensional geometry of the bone and isolates the segment of the bone that is most optimised for experimental testing.</w:t>
      </w:r>
    </w:p>
    <w:p w14:paraId="0DBFC4ED" w14:textId="77777777" w:rsidR="00AC13E9" w:rsidRPr="00675A42" w:rsidRDefault="00AC13E9" w:rsidP="00E83FD5">
      <w:pPr>
        <w:pStyle w:val="Heading1"/>
      </w:pPr>
      <w:r w:rsidRPr="00675A42">
        <w:lastRenderedPageBreak/>
        <w:t>Conflict of interest statement</w:t>
      </w:r>
    </w:p>
    <w:p w14:paraId="10F26A01" w14:textId="77777777" w:rsidR="00AC13E9" w:rsidRPr="00675A42" w:rsidRDefault="00AC13E9" w:rsidP="00E83FD5">
      <w:r w:rsidRPr="00675A42">
        <w:t>Th</w:t>
      </w:r>
      <w:r w:rsidR="0074169A" w:rsidRPr="00675A42">
        <w:t xml:space="preserve">e authors declare that </w:t>
      </w:r>
      <w:r w:rsidRPr="00675A42">
        <w:t>no conflict of interest exist in carrying out this study.</w:t>
      </w:r>
    </w:p>
    <w:p w14:paraId="3ED95ACA" w14:textId="77777777" w:rsidR="00AC13E9" w:rsidRPr="00675A42" w:rsidRDefault="00AC13E9" w:rsidP="00E83FD5">
      <w:pPr>
        <w:pStyle w:val="Heading1"/>
      </w:pPr>
      <w:r w:rsidRPr="00675A42">
        <w:t>Acknowledgements</w:t>
      </w:r>
    </w:p>
    <w:p w14:paraId="337CDA97" w14:textId="77777777" w:rsidR="00AC13E9" w:rsidRPr="00675A42" w:rsidRDefault="00AC13E9">
      <w:r w:rsidRPr="00675A42">
        <w:t>Vee San Cheong held the SIM-You Poh Seng Scholarship and the Department of Bioengineering studentship at Imperial College.</w:t>
      </w:r>
    </w:p>
    <w:p w14:paraId="57DA9936" w14:textId="77777777" w:rsidR="00AC13E9" w:rsidRPr="00675A42" w:rsidRDefault="00AC13E9" w:rsidP="00DA42CA">
      <w:pPr>
        <w:pStyle w:val="Heading1"/>
      </w:pPr>
      <w:r w:rsidRPr="00675A42">
        <w:t>References</w:t>
      </w:r>
    </w:p>
    <w:p w14:paraId="78349BF5" w14:textId="77777777" w:rsidR="00AC13E9" w:rsidRPr="00675A42" w:rsidRDefault="00AC13E9" w:rsidP="00720896">
      <w:pPr>
        <w:pStyle w:val="EndNoteBibliography"/>
        <w:spacing w:after="0"/>
        <w:ind w:left="720" w:hanging="720"/>
      </w:pPr>
      <w:r w:rsidRPr="00675A42">
        <w:t xml:space="preserve">Conti, G., Cristofolini, L., Juszczyk, M., Leardini, A., &amp; Viceconti, M. (2008). Comparison of three standard anatomical reference frames for the tibia–fibula complex. </w:t>
      </w:r>
      <w:r w:rsidRPr="00675A42">
        <w:rPr>
          <w:i/>
        </w:rPr>
        <w:t>Journal of Biomechanics, 41</w:t>
      </w:r>
      <w:r w:rsidRPr="00675A42">
        <w:t>(16), 3384-3389.</w:t>
      </w:r>
    </w:p>
    <w:p w14:paraId="15500310" w14:textId="77777777" w:rsidR="00AC13E9" w:rsidRPr="00675A42" w:rsidRDefault="00AC13E9" w:rsidP="00720896">
      <w:pPr>
        <w:pStyle w:val="EndNoteBibliography"/>
        <w:spacing w:after="0"/>
        <w:ind w:left="720" w:hanging="720"/>
      </w:pPr>
      <w:r w:rsidRPr="00675A42">
        <w:t xml:space="preserve">Cristofolini, L. (1997). A critical analysis of stress shielding evaluation of hip prostheses. </w:t>
      </w:r>
      <w:r w:rsidRPr="00675A42">
        <w:rPr>
          <w:i/>
        </w:rPr>
        <w:t>Critical Reviews™ in Biomedical Engineering, 25</w:t>
      </w:r>
      <w:r w:rsidRPr="00675A42">
        <w:t>(4-5).</w:t>
      </w:r>
    </w:p>
    <w:p w14:paraId="3992366F" w14:textId="77777777" w:rsidR="00AC13E9" w:rsidRPr="00675A42" w:rsidRDefault="00AC13E9" w:rsidP="00720896">
      <w:pPr>
        <w:pStyle w:val="EndNoteBibliography"/>
        <w:spacing w:after="0"/>
        <w:ind w:left="720" w:hanging="720"/>
      </w:pPr>
      <w:r w:rsidRPr="00675A42">
        <w:t xml:space="preserve">Cristofolini, L., &amp; Viceconti, M. (2000). Mechanical validation of whole bone composite tibia models. </w:t>
      </w:r>
      <w:r w:rsidRPr="00675A42">
        <w:rPr>
          <w:i/>
        </w:rPr>
        <w:t>Journal of Biomechanics, 33</w:t>
      </w:r>
      <w:r w:rsidRPr="00675A42">
        <w:t>, 279-288.</w:t>
      </w:r>
    </w:p>
    <w:p w14:paraId="393F0DF3" w14:textId="77777777" w:rsidR="00AC13E9" w:rsidRPr="00675A42" w:rsidRDefault="00AC13E9" w:rsidP="00720896">
      <w:pPr>
        <w:pStyle w:val="EndNoteBibliography"/>
        <w:spacing w:after="0"/>
        <w:ind w:left="720" w:hanging="720"/>
      </w:pPr>
      <w:r w:rsidRPr="00675A42">
        <w:t xml:space="preserve">Cristofolini, L., Viceconti, M., Cappello, A., &amp; Toni, A. (1996). Mechanical validation of whole bone composite femur models. </w:t>
      </w:r>
      <w:r w:rsidRPr="00675A42">
        <w:rPr>
          <w:i/>
        </w:rPr>
        <w:t>Journal of Biomechanics, 29</w:t>
      </w:r>
      <w:r w:rsidRPr="00675A42">
        <w:t>(4), 525-535.</w:t>
      </w:r>
    </w:p>
    <w:p w14:paraId="43070403" w14:textId="77777777" w:rsidR="00AC13E9" w:rsidRPr="00675A42" w:rsidRDefault="00AC13E9" w:rsidP="00720896">
      <w:pPr>
        <w:pStyle w:val="EndNoteBibliography"/>
        <w:spacing w:after="0"/>
        <w:ind w:left="720" w:hanging="720"/>
      </w:pPr>
      <w:r w:rsidRPr="00675A42">
        <w:t xml:space="preserve">Ebacher, V., Tang, C., McKay, H., Oxland, T. R., Guy, P., &amp; Wang, R. (2007). Strain redistribution and cracking behavior of human bone during bending. </w:t>
      </w:r>
      <w:r w:rsidRPr="00675A42">
        <w:rPr>
          <w:i/>
        </w:rPr>
        <w:t>Bone, 40</w:t>
      </w:r>
      <w:r w:rsidRPr="00675A42">
        <w:t>(5), 1265-1275.</w:t>
      </w:r>
    </w:p>
    <w:p w14:paraId="7F31ADAB" w14:textId="77777777" w:rsidR="00AC13E9" w:rsidRPr="00675A42" w:rsidRDefault="00AC13E9" w:rsidP="00720896">
      <w:pPr>
        <w:pStyle w:val="EndNoteBibliography"/>
        <w:spacing w:after="0"/>
        <w:ind w:left="720" w:hanging="720"/>
      </w:pPr>
      <w:r w:rsidRPr="00675A42">
        <w:t xml:space="preserve">Finlay, J., Hurtig, M., Hardie, W., Liggins, A., &amp; Batte, S. (1995). Geometrical properties of the ovine tibia: a suitable animal model to study the pin-bone interface in fracture fixation? </w:t>
      </w:r>
      <w:r w:rsidRPr="00675A42">
        <w:rPr>
          <w:i/>
        </w:rPr>
        <w:t>Proceedings of the Institution of Mechanical Engineers, Part H: Journal of Engineering in Medicine, 209</w:t>
      </w:r>
      <w:r w:rsidRPr="00675A42">
        <w:t>(1), 37-50.</w:t>
      </w:r>
    </w:p>
    <w:p w14:paraId="2FE07D5F" w14:textId="77777777" w:rsidR="00AC13E9" w:rsidRPr="00675A42" w:rsidRDefault="00AC13E9" w:rsidP="00720896">
      <w:pPr>
        <w:pStyle w:val="EndNoteBibliography"/>
        <w:spacing w:after="0"/>
        <w:ind w:left="720" w:hanging="720"/>
      </w:pPr>
      <w:r w:rsidRPr="00675A42">
        <w:t xml:space="preserve">Forman, J. L., de Dios, E., Symeonidis, I., Duart, J., Kerrigan, J. R., Salzar, R. S., Balasubramanian, S., Segui-Gomez, M., &amp; Kent, R. W. (2012). </w:t>
      </w:r>
      <w:r w:rsidRPr="00675A42">
        <w:rPr>
          <w:i/>
        </w:rPr>
        <w:t>Fracture tolerance related to skeletal development and aging throughout life: 3-point bending of human femurs.</w:t>
      </w:r>
      <w:r w:rsidRPr="00675A42">
        <w:t xml:space="preserve"> Paper presented at the IRCOBI Conference Proceedings, Dublin, Ireland.</w:t>
      </w:r>
    </w:p>
    <w:p w14:paraId="52366FEA" w14:textId="77777777" w:rsidR="00AC13E9" w:rsidRPr="00675A42" w:rsidRDefault="00AC13E9" w:rsidP="00720896">
      <w:pPr>
        <w:pStyle w:val="EndNoteBibliography"/>
        <w:spacing w:after="0"/>
        <w:ind w:left="720" w:hanging="720"/>
      </w:pPr>
      <w:r w:rsidRPr="00675A42">
        <w:t xml:space="preserve">Hardy, S., &amp; Pipelzadeh, M. (1991). Static analysis of short beams. </w:t>
      </w:r>
      <w:r w:rsidRPr="00675A42">
        <w:rPr>
          <w:i/>
        </w:rPr>
        <w:t>The Journal of Strain Analysis for Engineering Design, 26</w:t>
      </w:r>
      <w:r w:rsidRPr="00675A42">
        <w:t>(1), 15-29.</w:t>
      </w:r>
    </w:p>
    <w:p w14:paraId="0C817E97" w14:textId="77777777" w:rsidR="00AC13E9" w:rsidRPr="00675A42" w:rsidRDefault="00AC13E9" w:rsidP="00720896">
      <w:pPr>
        <w:pStyle w:val="EndNoteBibliography"/>
        <w:spacing w:after="0"/>
        <w:ind w:left="720" w:hanging="720"/>
      </w:pPr>
      <w:r w:rsidRPr="00675A42">
        <w:t xml:space="preserve">Perz, R., Toczyski, J., &amp; Subit, D. (2014). Variation in the human ribs geometrical properties and mechanical response based on X-ray computed tomography images resolution. </w:t>
      </w:r>
      <w:r w:rsidRPr="00675A42">
        <w:rPr>
          <w:i/>
        </w:rPr>
        <w:t>Journal of the mechanical behavior of biomedical materials</w:t>
      </w:r>
      <w:r w:rsidRPr="00675A42">
        <w:t>.</w:t>
      </w:r>
    </w:p>
    <w:p w14:paraId="5EE22F29" w14:textId="77777777" w:rsidR="00AC13E9" w:rsidRPr="00675A42" w:rsidRDefault="00AC13E9" w:rsidP="00720896">
      <w:pPr>
        <w:pStyle w:val="EndNoteBibliography"/>
        <w:spacing w:after="0"/>
        <w:ind w:left="720" w:hanging="720"/>
      </w:pPr>
      <w:r w:rsidRPr="00675A42">
        <w:rPr>
          <w:rFonts w:hint="eastAsia"/>
        </w:rPr>
        <w:t>Ruff, C. B., &amp; Hayes, W. C. (1983). Cross</w:t>
      </w:r>
      <w:r w:rsidRPr="00675A42">
        <w:rPr>
          <w:rFonts w:hint="eastAsia"/>
        </w:rPr>
        <w:t>‐</w:t>
      </w:r>
      <w:r w:rsidRPr="00675A42">
        <w:rPr>
          <w:rFonts w:hint="eastAsia"/>
        </w:rPr>
        <w:t>sectional geometry of Pecos Pueblo femora and tibiae</w:t>
      </w:r>
      <w:r w:rsidRPr="00675A42">
        <w:rPr>
          <w:rFonts w:hint="eastAsia"/>
        </w:rPr>
        <w:t>—</w:t>
      </w:r>
      <w:r w:rsidRPr="00675A42">
        <w:rPr>
          <w:rFonts w:hint="eastAsia"/>
        </w:rPr>
        <w:t>A biomechanical investigation: I. Method and</w:t>
      </w:r>
      <w:r w:rsidRPr="00675A42">
        <w:t xml:space="preserve"> general patterns of variation. </w:t>
      </w:r>
      <w:r w:rsidRPr="00675A42">
        <w:rPr>
          <w:i/>
        </w:rPr>
        <w:t>American Journal of Physical Anthropology, 60</w:t>
      </w:r>
      <w:r w:rsidRPr="00675A42">
        <w:t>(3), 359-381.</w:t>
      </w:r>
    </w:p>
    <w:p w14:paraId="26381C9A" w14:textId="77777777" w:rsidR="00AC13E9" w:rsidRPr="00720896" w:rsidRDefault="00AC13E9" w:rsidP="00720896">
      <w:pPr>
        <w:pStyle w:val="EndNoteBibliography"/>
        <w:ind w:left="720" w:hanging="720"/>
      </w:pPr>
      <w:r w:rsidRPr="00675A42">
        <w:t xml:space="preserve">Varghese, B., Short, D., Penmetsa, R., Goswami, T., &amp; Hangartner, T. (2011). Computed-tomography-based finite-element models of long bones can accurately capture strain response to bending and torsion. </w:t>
      </w:r>
      <w:r w:rsidRPr="00675A42">
        <w:rPr>
          <w:i/>
        </w:rPr>
        <w:t>Journal of Biomechanics, 44</w:t>
      </w:r>
      <w:r w:rsidRPr="00675A42">
        <w:t>(7), 1374-1379.</w:t>
      </w:r>
    </w:p>
    <w:sectPr w:rsidR="00AC13E9" w:rsidRPr="00720896" w:rsidSect="00153ADB">
      <w:footerReference w:type="default" r:id="rId8"/>
      <w:pgSz w:w="11906" w:h="16838"/>
      <w:pgMar w:top="1440" w:right="1800" w:bottom="1440" w:left="1800"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187EAC" w14:textId="77777777" w:rsidR="008766D5" w:rsidRDefault="008766D5">
      <w:pPr>
        <w:spacing w:after="0" w:line="240" w:lineRule="auto"/>
      </w:pPr>
      <w:r>
        <w:separator/>
      </w:r>
    </w:p>
  </w:endnote>
  <w:endnote w:type="continuationSeparator" w:id="0">
    <w:p w14:paraId="79535922" w14:textId="77777777" w:rsidR="008766D5" w:rsidRDefault="00876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7392610"/>
      <w:docPartObj>
        <w:docPartGallery w:val="Page Numbers (Bottom of Page)"/>
        <w:docPartUnique/>
      </w:docPartObj>
    </w:sdtPr>
    <w:sdtEndPr>
      <w:rPr>
        <w:noProof/>
      </w:rPr>
    </w:sdtEndPr>
    <w:sdtContent>
      <w:p w14:paraId="5F75C839" w14:textId="77777777" w:rsidR="00720896" w:rsidRDefault="00AC13E9">
        <w:pPr>
          <w:pStyle w:val="Footer"/>
          <w:jc w:val="right"/>
        </w:pPr>
        <w:r>
          <w:fldChar w:fldCharType="begin"/>
        </w:r>
        <w:r>
          <w:instrText xml:space="preserve"> PAGE   \* MERGEFORMAT </w:instrText>
        </w:r>
        <w:r>
          <w:fldChar w:fldCharType="separate"/>
        </w:r>
        <w:r w:rsidR="00675A42">
          <w:rPr>
            <w:noProof/>
          </w:rPr>
          <w:t>1</w:t>
        </w:r>
        <w:r>
          <w:rPr>
            <w:noProof/>
          </w:rPr>
          <w:fldChar w:fldCharType="end"/>
        </w:r>
      </w:p>
    </w:sdtContent>
  </w:sdt>
  <w:p w14:paraId="448F2173" w14:textId="77777777" w:rsidR="00720896" w:rsidRDefault="008766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5F3314" w14:textId="77777777" w:rsidR="008766D5" w:rsidRDefault="008766D5">
      <w:pPr>
        <w:spacing w:after="0" w:line="240" w:lineRule="auto"/>
      </w:pPr>
      <w:r>
        <w:separator/>
      </w:r>
    </w:p>
  </w:footnote>
  <w:footnote w:type="continuationSeparator" w:id="0">
    <w:p w14:paraId="040436C2" w14:textId="77777777" w:rsidR="008766D5" w:rsidRDefault="008766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0358B"/>
    <w:multiLevelType w:val="hybridMultilevel"/>
    <w:tmpl w:val="B120BC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1814382"/>
    <w:multiLevelType w:val="hybridMultilevel"/>
    <w:tmpl w:val="2C4EF8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AC13E9"/>
    <w:rsid w:val="00002533"/>
    <w:rsid w:val="00011E7A"/>
    <w:rsid w:val="0002442F"/>
    <w:rsid w:val="00026D03"/>
    <w:rsid w:val="00036198"/>
    <w:rsid w:val="00044671"/>
    <w:rsid w:val="0007624A"/>
    <w:rsid w:val="00083AB8"/>
    <w:rsid w:val="0008768D"/>
    <w:rsid w:val="000C6178"/>
    <w:rsid w:val="000D70A3"/>
    <w:rsid w:val="000E0E0B"/>
    <w:rsid w:val="001046CC"/>
    <w:rsid w:val="001059BB"/>
    <w:rsid w:val="00115C30"/>
    <w:rsid w:val="0013540E"/>
    <w:rsid w:val="00147927"/>
    <w:rsid w:val="00153ADB"/>
    <w:rsid w:val="001740BC"/>
    <w:rsid w:val="00176D6B"/>
    <w:rsid w:val="0018200F"/>
    <w:rsid w:val="001B20E9"/>
    <w:rsid w:val="001B5B33"/>
    <w:rsid w:val="001C246E"/>
    <w:rsid w:val="001C3278"/>
    <w:rsid w:val="001C694F"/>
    <w:rsid w:val="001F1387"/>
    <w:rsid w:val="00206ED4"/>
    <w:rsid w:val="00211E52"/>
    <w:rsid w:val="00225F5D"/>
    <w:rsid w:val="00226220"/>
    <w:rsid w:val="002335D2"/>
    <w:rsid w:val="002704A4"/>
    <w:rsid w:val="002840EF"/>
    <w:rsid w:val="002950C9"/>
    <w:rsid w:val="002A43AF"/>
    <w:rsid w:val="002A7849"/>
    <w:rsid w:val="002D762A"/>
    <w:rsid w:val="0030372C"/>
    <w:rsid w:val="003066E8"/>
    <w:rsid w:val="00323F5D"/>
    <w:rsid w:val="00336FA4"/>
    <w:rsid w:val="003459F8"/>
    <w:rsid w:val="00360B96"/>
    <w:rsid w:val="00361C34"/>
    <w:rsid w:val="00393110"/>
    <w:rsid w:val="003B1EEC"/>
    <w:rsid w:val="003B3054"/>
    <w:rsid w:val="003C3B54"/>
    <w:rsid w:val="003C596A"/>
    <w:rsid w:val="003D2B2C"/>
    <w:rsid w:val="003E6CB2"/>
    <w:rsid w:val="003F05AC"/>
    <w:rsid w:val="0040069C"/>
    <w:rsid w:val="004230B8"/>
    <w:rsid w:val="004241A2"/>
    <w:rsid w:val="00424F00"/>
    <w:rsid w:val="00426CEF"/>
    <w:rsid w:val="00430A77"/>
    <w:rsid w:val="00433BED"/>
    <w:rsid w:val="004366A5"/>
    <w:rsid w:val="00461826"/>
    <w:rsid w:val="00467BA5"/>
    <w:rsid w:val="00475E01"/>
    <w:rsid w:val="00493F3E"/>
    <w:rsid w:val="004E1665"/>
    <w:rsid w:val="004E5D2E"/>
    <w:rsid w:val="004F3ED5"/>
    <w:rsid w:val="00504A65"/>
    <w:rsid w:val="0053565D"/>
    <w:rsid w:val="005710E1"/>
    <w:rsid w:val="005972A1"/>
    <w:rsid w:val="005C02C0"/>
    <w:rsid w:val="005C381D"/>
    <w:rsid w:val="005E7D90"/>
    <w:rsid w:val="0061400B"/>
    <w:rsid w:val="00667792"/>
    <w:rsid w:val="00673B0C"/>
    <w:rsid w:val="00675A42"/>
    <w:rsid w:val="00687DA5"/>
    <w:rsid w:val="006B12CD"/>
    <w:rsid w:val="006D6CCF"/>
    <w:rsid w:val="006D7AF9"/>
    <w:rsid w:val="006E3655"/>
    <w:rsid w:val="006F4983"/>
    <w:rsid w:val="0071384A"/>
    <w:rsid w:val="00737FD5"/>
    <w:rsid w:val="0074169A"/>
    <w:rsid w:val="00764646"/>
    <w:rsid w:val="00777CC3"/>
    <w:rsid w:val="007C431D"/>
    <w:rsid w:val="007D4CB5"/>
    <w:rsid w:val="007F40EE"/>
    <w:rsid w:val="00801F5A"/>
    <w:rsid w:val="00830041"/>
    <w:rsid w:val="008462D3"/>
    <w:rsid w:val="008766D5"/>
    <w:rsid w:val="008C6249"/>
    <w:rsid w:val="008C691D"/>
    <w:rsid w:val="008E54A2"/>
    <w:rsid w:val="00901B67"/>
    <w:rsid w:val="009055E1"/>
    <w:rsid w:val="00906E84"/>
    <w:rsid w:val="0091485A"/>
    <w:rsid w:val="00915D12"/>
    <w:rsid w:val="00927BD5"/>
    <w:rsid w:val="0093282D"/>
    <w:rsid w:val="0094341E"/>
    <w:rsid w:val="00950039"/>
    <w:rsid w:val="0097401F"/>
    <w:rsid w:val="009A0F2B"/>
    <w:rsid w:val="009D532F"/>
    <w:rsid w:val="009F521C"/>
    <w:rsid w:val="00A1139E"/>
    <w:rsid w:val="00AB6F00"/>
    <w:rsid w:val="00AC13E9"/>
    <w:rsid w:val="00AC2BC4"/>
    <w:rsid w:val="00AD057D"/>
    <w:rsid w:val="00AE3B2A"/>
    <w:rsid w:val="00AE3BFC"/>
    <w:rsid w:val="00AF019B"/>
    <w:rsid w:val="00AF5953"/>
    <w:rsid w:val="00B03283"/>
    <w:rsid w:val="00B10392"/>
    <w:rsid w:val="00B363AC"/>
    <w:rsid w:val="00B533DF"/>
    <w:rsid w:val="00B61276"/>
    <w:rsid w:val="00B74EED"/>
    <w:rsid w:val="00B7559F"/>
    <w:rsid w:val="00B77743"/>
    <w:rsid w:val="00B80EC8"/>
    <w:rsid w:val="00B82F6F"/>
    <w:rsid w:val="00B9380F"/>
    <w:rsid w:val="00BB5F50"/>
    <w:rsid w:val="00BB6594"/>
    <w:rsid w:val="00C01C39"/>
    <w:rsid w:val="00C07ACD"/>
    <w:rsid w:val="00C144CA"/>
    <w:rsid w:val="00C30B9C"/>
    <w:rsid w:val="00CA1ACE"/>
    <w:rsid w:val="00D25337"/>
    <w:rsid w:val="00D419F7"/>
    <w:rsid w:val="00D43BC2"/>
    <w:rsid w:val="00D53064"/>
    <w:rsid w:val="00D57B09"/>
    <w:rsid w:val="00D64118"/>
    <w:rsid w:val="00D75AD6"/>
    <w:rsid w:val="00D8396B"/>
    <w:rsid w:val="00D879D0"/>
    <w:rsid w:val="00D96DDF"/>
    <w:rsid w:val="00DA6408"/>
    <w:rsid w:val="00DB748C"/>
    <w:rsid w:val="00DB791C"/>
    <w:rsid w:val="00DC5157"/>
    <w:rsid w:val="00DD4039"/>
    <w:rsid w:val="00DE34DA"/>
    <w:rsid w:val="00DF5834"/>
    <w:rsid w:val="00E10878"/>
    <w:rsid w:val="00E14B08"/>
    <w:rsid w:val="00E35922"/>
    <w:rsid w:val="00E36942"/>
    <w:rsid w:val="00E502BA"/>
    <w:rsid w:val="00E56A79"/>
    <w:rsid w:val="00E71EE5"/>
    <w:rsid w:val="00E8121C"/>
    <w:rsid w:val="00EB01E9"/>
    <w:rsid w:val="00EC7ADE"/>
    <w:rsid w:val="00EE60CD"/>
    <w:rsid w:val="00EF1666"/>
    <w:rsid w:val="00F016CF"/>
    <w:rsid w:val="00F07319"/>
    <w:rsid w:val="00F2091E"/>
    <w:rsid w:val="00F43DFF"/>
    <w:rsid w:val="00F4425B"/>
    <w:rsid w:val="00F44CA7"/>
    <w:rsid w:val="00F50D56"/>
    <w:rsid w:val="00F76479"/>
    <w:rsid w:val="00F82B7C"/>
    <w:rsid w:val="00F96D8A"/>
    <w:rsid w:val="00FB62B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5C2CC0"/>
  <w15:docId w15:val="{0F9FA2EC-782E-4BDD-8F15-26674203C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3E9"/>
    <w:pPr>
      <w:spacing w:after="240" w:line="480" w:lineRule="auto"/>
      <w:jc w:val="both"/>
    </w:pPr>
    <w:rPr>
      <w:rFonts w:asciiTheme="minorHAnsi" w:hAnsiTheme="minorHAnsi"/>
      <w:sz w:val="22"/>
      <w:szCs w:val="24"/>
    </w:rPr>
  </w:style>
  <w:style w:type="paragraph" w:styleId="Heading1">
    <w:name w:val="heading 1"/>
    <w:basedOn w:val="Normal"/>
    <w:next w:val="Normal"/>
    <w:link w:val="Heading1Char"/>
    <w:qFormat/>
    <w:rsid w:val="00AC13E9"/>
    <w:pPr>
      <w:keepNext/>
      <w:keepLines/>
      <w:spacing w:before="240" w:after="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AC13E9"/>
    <w:pPr>
      <w:keepNext/>
      <w:keepLines/>
      <w:spacing w:before="40" w:after="0"/>
      <w:outlineLvl w:val="1"/>
    </w:pPr>
    <w:rPr>
      <w:rFonts w:asciiTheme="majorHAnsi" w:eastAsiaTheme="majorEastAsia" w:hAnsiTheme="majorHAnsi"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13E9"/>
    <w:rPr>
      <w:rFonts w:asciiTheme="majorHAnsi" w:eastAsiaTheme="majorEastAsia" w:hAnsiTheme="majorHAnsi" w:cstheme="majorBidi"/>
      <w:b/>
      <w:sz w:val="32"/>
      <w:szCs w:val="32"/>
    </w:rPr>
  </w:style>
  <w:style w:type="character" w:customStyle="1" w:styleId="Heading2Char">
    <w:name w:val="Heading 2 Char"/>
    <w:basedOn w:val="DefaultParagraphFont"/>
    <w:link w:val="Heading2"/>
    <w:rsid w:val="00AC13E9"/>
    <w:rPr>
      <w:rFonts w:asciiTheme="majorHAnsi" w:eastAsiaTheme="majorEastAsia" w:hAnsiTheme="majorHAnsi" w:cstheme="majorBidi"/>
      <w:b/>
      <w:sz w:val="24"/>
      <w:szCs w:val="26"/>
    </w:rPr>
  </w:style>
  <w:style w:type="table" w:styleId="TableGrid">
    <w:name w:val="Table Grid"/>
    <w:basedOn w:val="TableNormal"/>
    <w:rsid w:val="00AC1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AC13E9"/>
    <w:rPr>
      <w:sz w:val="16"/>
      <w:szCs w:val="16"/>
    </w:rPr>
  </w:style>
  <w:style w:type="paragraph" w:styleId="CommentText">
    <w:name w:val="annotation text"/>
    <w:basedOn w:val="Normal"/>
    <w:link w:val="CommentTextChar"/>
    <w:rsid w:val="00AC13E9"/>
    <w:rPr>
      <w:sz w:val="20"/>
      <w:szCs w:val="20"/>
    </w:rPr>
  </w:style>
  <w:style w:type="character" w:customStyle="1" w:styleId="CommentTextChar">
    <w:name w:val="Comment Text Char"/>
    <w:basedOn w:val="DefaultParagraphFont"/>
    <w:link w:val="CommentText"/>
    <w:rsid w:val="00AC13E9"/>
    <w:rPr>
      <w:rFonts w:asciiTheme="minorHAnsi" w:hAnsiTheme="minorHAnsi"/>
    </w:rPr>
  </w:style>
  <w:style w:type="paragraph" w:styleId="BalloonText">
    <w:name w:val="Balloon Text"/>
    <w:basedOn w:val="Normal"/>
    <w:link w:val="BalloonTextChar"/>
    <w:rsid w:val="00AC13E9"/>
    <w:rPr>
      <w:rFonts w:ascii="Segoe UI" w:hAnsi="Segoe UI" w:cs="Segoe UI"/>
      <w:sz w:val="18"/>
      <w:szCs w:val="18"/>
    </w:rPr>
  </w:style>
  <w:style w:type="character" w:customStyle="1" w:styleId="BalloonTextChar">
    <w:name w:val="Balloon Text Char"/>
    <w:basedOn w:val="DefaultParagraphFont"/>
    <w:link w:val="BalloonText"/>
    <w:rsid w:val="00AC13E9"/>
    <w:rPr>
      <w:rFonts w:ascii="Segoe UI" w:hAnsi="Segoe UI" w:cs="Segoe UI"/>
      <w:sz w:val="18"/>
      <w:szCs w:val="18"/>
    </w:rPr>
  </w:style>
  <w:style w:type="paragraph" w:styleId="CommentSubject">
    <w:name w:val="annotation subject"/>
    <w:basedOn w:val="CommentText"/>
    <w:next w:val="CommentText"/>
    <w:link w:val="CommentSubjectChar"/>
    <w:rsid w:val="00AC13E9"/>
    <w:pPr>
      <w:spacing w:line="240" w:lineRule="auto"/>
    </w:pPr>
    <w:rPr>
      <w:b/>
      <w:bCs/>
    </w:rPr>
  </w:style>
  <w:style w:type="character" w:customStyle="1" w:styleId="CommentSubjectChar">
    <w:name w:val="Comment Subject Char"/>
    <w:basedOn w:val="CommentTextChar"/>
    <w:link w:val="CommentSubject"/>
    <w:rsid w:val="00AC13E9"/>
    <w:rPr>
      <w:rFonts w:asciiTheme="minorHAnsi" w:hAnsiTheme="minorHAnsi"/>
      <w:b/>
      <w:bCs/>
    </w:rPr>
  </w:style>
  <w:style w:type="paragraph" w:styleId="ListParagraph">
    <w:name w:val="List Paragraph"/>
    <w:basedOn w:val="Normal"/>
    <w:uiPriority w:val="34"/>
    <w:qFormat/>
    <w:rsid w:val="00AC13E9"/>
    <w:pPr>
      <w:ind w:left="720"/>
      <w:contextualSpacing/>
    </w:pPr>
  </w:style>
  <w:style w:type="paragraph" w:customStyle="1" w:styleId="EndNoteBibliographyTitle">
    <w:name w:val="EndNote Bibliography Title"/>
    <w:basedOn w:val="Normal"/>
    <w:link w:val="EndNoteBibliographyTitleChar"/>
    <w:rsid w:val="00AC13E9"/>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AC13E9"/>
    <w:rPr>
      <w:rFonts w:ascii="Calibri" w:hAnsi="Calibri"/>
      <w:noProof/>
      <w:sz w:val="22"/>
      <w:szCs w:val="24"/>
    </w:rPr>
  </w:style>
  <w:style w:type="paragraph" w:customStyle="1" w:styleId="EndNoteBibliography">
    <w:name w:val="EndNote Bibliography"/>
    <w:basedOn w:val="Normal"/>
    <w:link w:val="EndNoteBibliographyChar"/>
    <w:rsid w:val="00AC13E9"/>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AC13E9"/>
    <w:rPr>
      <w:rFonts w:ascii="Calibri" w:hAnsi="Calibri"/>
      <w:noProof/>
      <w:sz w:val="22"/>
      <w:szCs w:val="24"/>
    </w:rPr>
  </w:style>
  <w:style w:type="paragraph" w:styleId="Title">
    <w:name w:val="Title"/>
    <w:basedOn w:val="Normal"/>
    <w:next w:val="Normal"/>
    <w:link w:val="TitleChar"/>
    <w:qFormat/>
    <w:rsid w:val="00AC13E9"/>
    <w:pPr>
      <w:spacing w:after="0" w:line="240" w:lineRule="auto"/>
      <w:contextualSpacing/>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rsid w:val="00AC13E9"/>
    <w:rPr>
      <w:rFonts w:asciiTheme="majorHAnsi" w:eastAsiaTheme="majorEastAsia" w:hAnsiTheme="majorHAnsi" w:cstheme="majorBidi"/>
      <w:b/>
      <w:spacing w:val="-10"/>
      <w:kern w:val="28"/>
      <w:sz w:val="36"/>
      <w:szCs w:val="56"/>
    </w:rPr>
  </w:style>
  <w:style w:type="paragraph" w:styleId="Header">
    <w:name w:val="header"/>
    <w:basedOn w:val="Normal"/>
    <w:link w:val="HeaderChar"/>
    <w:unhideWhenUsed/>
    <w:rsid w:val="00AC13E9"/>
    <w:pPr>
      <w:tabs>
        <w:tab w:val="center" w:pos="4513"/>
        <w:tab w:val="right" w:pos="9026"/>
      </w:tabs>
      <w:spacing w:after="0" w:line="240" w:lineRule="auto"/>
    </w:pPr>
  </w:style>
  <w:style w:type="character" w:customStyle="1" w:styleId="HeaderChar">
    <w:name w:val="Header Char"/>
    <w:basedOn w:val="DefaultParagraphFont"/>
    <w:link w:val="Header"/>
    <w:rsid w:val="00AC13E9"/>
    <w:rPr>
      <w:rFonts w:asciiTheme="minorHAnsi" w:hAnsiTheme="minorHAnsi"/>
      <w:sz w:val="22"/>
      <w:szCs w:val="24"/>
    </w:rPr>
  </w:style>
  <w:style w:type="paragraph" w:styleId="Footer">
    <w:name w:val="footer"/>
    <w:basedOn w:val="Normal"/>
    <w:link w:val="FooterChar"/>
    <w:uiPriority w:val="99"/>
    <w:unhideWhenUsed/>
    <w:rsid w:val="00AC13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13E9"/>
    <w:rPr>
      <w:rFonts w:asciiTheme="minorHAnsi" w:hAnsiTheme="minorHAnsi"/>
      <w:sz w:val="22"/>
      <w:szCs w:val="24"/>
    </w:rPr>
  </w:style>
  <w:style w:type="character" w:styleId="LineNumber">
    <w:name w:val="line number"/>
    <w:basedOn w:val="DefaultParagraphFont"/>
    <w:semiHidden/>
    <w:unhideWhenUsed/>
    <w:rsid w:val="000E0E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27212-858A-4069-B309-B009FA5D3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2606</Words>
  <Characters>14855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Vee San</dc:creator>
  <cp:keywords/>
  <dc:description/>
  <cp:lastModifiedBy>Bull, Anthony M J</cp:lastModifiedBy>
  <cp:revision>3</cp:revision>
  <cp:lastPrinted>2015-03-14T21:00:00Z</cp:lastPrinted>
  <dcterms:created xsi:type="dcterms:W3CDTF">2015-09-02T11:54:00Z</dcterms:created>
  <dcterms:modified xsi:type="dcterms:W3CDTF">2015-09-02T11:54:00Z</dcterms:modified>
</cp:coreProperties>
</file>