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75" w:rsidRPr="0098246B" w:rsidRDefault="00675475" w:rsidP="0098246B">
      <w:pPr>
        <w:spacing w:line="480" w:lineRule="auto"/>
        <w:jc w:val="center"/>
        <w:rPr>
          <w:sz w:val="28"/>
          <w:szCs w:val="28"/>
        </w:rPr>
      </w:pPr>
      <w:r>
        <w:rPr>
          <w:sz w:val="28"/>
          <w:szCs w:val="28"/>
        </w:rPr>
        <w:t xml:space="preserve">Application of Combined Neutron Diffraction </w:t>
      </w:r>
      <w:r w:rsidRPr="00514AAB">
        <w:rPr>
          <w:sz w:val="28"/>
          <w:szCs w:val="28"/>
        </w:rPr>
        <w:t xml:space="preserve">and </w:t>
      </w:r>
      <w:r>
        <w:rPr>
          <w:sz w:val="28"/>
          <w:szCs w:val="28"/>
        </w:rPr>
        <w:t>Impedance Spectroscopy</w:t>
      </w:r>
      <w:r w:rsidRPr="00514AAB">
        <w:rPr>
          <w:sz w:val="28"/>
          <w:szCs w:val="28"/>
        </w:rPr>
        <w:t xml:space="preserve"> </w:t>
      </w:r>
      <w:r>
        <w:rPr>
          <w:sz w:val="28"/>
          <w:szCs w:val="28"/>
        </w:rPr>
        <w:t xml:space="preserve">for </w:t>
      </w:r>
      <w:r w:rsidRPr="00586DD8">
        <w:rPr>
          <w:i/>
          <w:sz w:val="28"/>
          <w:szCs w:val="28"/>
        </w:rPr>
        <w:t>In-situ</w:t>
      </w:r>
      <w:r>
        <w:rPr>
          <w:sz w:val="28"/>
          <w:szCs w:val="28"/>
        </w:rPr>
        <w:t xml:space="preserve"> Structure and </w:t>
      </w:r>
      <w:r w:rsidRPr="00514AAB">
        <w:rPr>
          <w:sz w:val="28"/>
          <w:szCs w:val="28"/>
        </w:rPr>
        <w:t xml:space="preserve">Conductivity Studies </w:t>
      </w:r>
      <w:r>
        <w:rPr>
          <w:sz w:val="28"/>
          <w:szCs w:val="28"/>
        </w:rPr>
        <w:t xml:space="preserve">of </w:t>
      </w:r>
      <w:r w:rsidRPr="00514AAB">
        <w:rPr>
          <w:sz w:val="28"/>
          <w:szCs w:val="28"/>
        </w:rPr>
        <w:t>La</w:t>
      </w:r>
      <w:r w:rsidRPr="00514AAB">
        <w:rPr>
          <w:sz w:val="28"/>
          <w:szCs w:val="28"/>
          <w:vertAlign w:val="subscript"/>
        </w:rPr>
        <w:t>2</w:t>
      </w:r>
      <w:r w:rsidRPr="00514AAB">
        <w:rPr>
          <w:sz w:val="28"/>
          <w:szCs w:val="28"/>
        </w:rPr>
        <w:t>Mo</w:t>
      </w:r>
      <w:r w:rsidRPr="00514AAB">
        <w:rPr>
          <w:sz w:val="28"/>
          <w:szCs w:val="28"/>
          <w:vertAlign w:val="subscript"/>
        </w:rPr>
        <w:t>2</w:t>
      </w:r>
      <w:r w:rsidRPr="00514AAB">
        <w:rPr>
          <w:sz w:val="28"/>
          <w:szCs w:val="28"/>
        </w:rPr>
        <w:t>O</w:t>
      </w:r>
      <w:r w:rsidRPr="00514AAB">
        <w:rPr>
          <w:sz w:val="28"/>
          <w:szCs w:val="28"/>
          <w:vertAlign w:val="subscript"/>
        </w:rPr>
        <w:t>9</w:t>
      </w:r>
    </w:p>
    <w:p w:rsidR="00675475" w:rsidRPr="00514AAB" w:rsidRDefault="00675475" w:rsidP="00CE7149">
      <w:pPr>
        <w:spacing w:line="480" w:lineRule="auto"/>
        <w:jc w:val="center"/>
      </w:pPr>
      <w:r w:rsidRPr="00514AAB">
        <w:t>J</w:t>
      </w:r>
      <w:r>
        <w:t>ingjing</w:t>
      </w:r>
      <w:r w:rsidRPr="00514AAB">
        <w:t xml:space="preserve"> Liu </w:t>
      </w:r>
      <w:r w:rsidRPr="00514AAB">
        <w:rPr>
          <w:vertAlign w:val="superscript"/>
        </w:rPr>
        <w:t>a</w:t>
      </w:r>
      <w:r w:rsidRPr="00514AAB">
        <w:t>,</w:t>
      </w:r>
      <w:r>
        <w:t xml:space="preserve"> Stephen. </w:t>
      </w:r>
      <w:smartTag w:uri="urn:schemas-microsoft-com:office:smarttags" w:element="City">
        <w:smartTag w:uri="urn:schemas-microsoft-com:office:smarttags" w:element="place">
          <w:r>
            <w:t>Hull</w:t>
          </w:r>
        </w:smartTag>
      </w:smartTag>
      <w:r>
        <w:t xml:space="preserve"> </w:t>
      </w:r>
      <w:r w:rsidRPr="00514AAB">
        <w:rPr>
          <w:vertAlign w:val="superscript"/>
        </w:rPr>
        <w:t>b</w:t>
      </w:r>
      <w:r>
        <w:t>, Istaq Ahmed</w:t>
      </w:r>
      <w:r w:rsidRPr="005B5BBF">
        <w:rPr>
          <w:vertAlign w:val="superscript"/>
        </w:rPr>
        <w:t xml:space="preserve"> </w:t>
      </w:r>
      <w:r>
        <w:rPr>
          <w:vertAlign w:val="superscript"/>
        </w:rPr>
        <w:t>b, c</w:t>
      </w:r>
      <w:r>
        <w:t>, Stephen</w:t>
      </w:r>
      <w:r w:rsidRPr="00514AAB">
        <w:t xml:space="preserve"> J. Skinner </w:t>
      </w:r>
      <w:r w:rsidRPr="00514AAB">
        <w:rPr>
          <w:vertAlign w:val="superscript"/>
        </w:rPr>
        <w:t>a, *</w:t>
      </w:r>
    </w:p>
    <w:p w:rsidR="00675475" w:rsidRPr="00514AAB" w:rsidRDefault="00675475" w:rsidP="00CE7149">
      <w:pPr>
        <w:spacing w:line="480" w:lineRule="auto"/>
        <w:jc w:val="center"/>
        <w:rPr>
          <w:i/>
          <w:sz w:val="20"/>
          <w:szCs w:val="20"/>
        </w:rPr>
      </w:pPr>
      <w:r w:rsidRPr="00514AAB">
        <w:rPr>
          <w:i/>
          <w:sz w:val="20"/>
          <w:szCs w:val="20"/>
          <w:vertAlign w:val="superscript"/>
        </w:rPr>
        <w:t>a</w:t>
      </w:r>
      <w:r w:rsidRPr="00514AAB">
        <w:rPr>
          <w:i/>
          <w:sz w:val="20"/>
          <w:szCs w:val="20"/>
        </w:rPr>
        <w:t xml:space="preserve"> Department of Materials, </w:t>
      </w:r>
      <w:smartTag w:uri="urn:schemas-microsoft-com:office:smarttags" w:element="PlaceName">
        <w:r w:rsidRPr="00514AAB">
          <w:rPr>
            <w:i/>
            <w:sz w:val="20"/>
            <w:szCs w:val="20"/>
          </w:rPr>
          <w:t>Imperial</w:t>
        </w:r>
      </w:smartTag>
      <w:r w:rsidRPr="00514AAB">
        <w:rPr>
          <w:i/>
          <w:sz w:val="20"/>
          <w:szCs w:val="20"/>
        </w:rPr>
        <w:t xml:space="preserve"> </w:t>
      </w:r>
      <w:smartTag w:uri="urn:schemas-microsoft-com:office:smarttags" w:element="PlaceType">
        <w:r w:rsidRPr="00514AAB">
          <w:rPr>
            <w:i/>
            <w:sz w:val="20"/>
            <w:szCs w:val="20"/>
          </w:rPr>
          <w:t>College</w:t>
        </w:r>
      </w:smartTag>
      <w:r w:rsidRPr="00514AAB">
        <w:rPr>
          <w:i/>
          <w:sz w:val="20"/>
          <w:szCs w:val="20"/>
        </w:rPr>
        <w:t xml:space="preserve"> </w:t>
      </w:r>
      <w:smartTag w:uri="urn:schemas-microsoft-com:office:smarttags" w:element="City">
        <w:r w:rsidRPr="00514AAB">
          <w:rPr>
            <w:i/>
            <w:sz w:val="20"/>
            <w:szCs w:val="20"/>
          </w:rPr>
          <w:t>London</w:t>
        </w:r>
      </w:smartTag>
      <w:r w:rsidRPr="00514AAB">
        <w:rPr>
          <w:i/>
          <w:sz w:val="20"/>
          <w:szCs w:val="20"/>
        </w:rPr>
        <w:t xml:space="preserve">, </w:t>
      </w:r>
      <w:smartTag w:uri="urn:schemas-microsoft-com:office:smarttags" w:element="place">
        <w:r w:rsidRPr="00514AAB">
          <w:rPr>
            <w:i/>
            <w:sz w:val="20"/>
            <w:szCs w:val="20"/>
          </w:rPr>
          <w:t xml:space="preserve">Prince Consort Road, </w:t>
        </w:r>
        <w:smartTag w:uri="urn:schemas-microsoft-com:office:smarttags" w:element="City">
          <w:r w:rsidRPr="00514AAB">
            <w:rPr>
              <w:i/>
              <w:sz w:val="20"/>
              <w:szCs w:val="20"/>
            </w:rPr>
            <w:t>London</w:t>
          </w:r>
        </w:smartTag>
        <w:r w:rsidRPr="00514AAB">
          <w:rPr>
            <w:i/>
            <w:sz w:val="20"/>
            <w:szCs w:val="20"/>
          </w:rPr>
          <w:t xml:space="preserve"> </w:t>
        </w:r>
        <w:smartTag w:uri="urn:schemas-microsoft-com:office:smarttags" w:element="PostalCode">
          <w:r w:rsidRPr="00514AAB">
            <w:rPr>
              <w:i/>
              <w:sz w:val="20"/>
              <w:szCs w:val="20"/>
            </w:rPr>
            <w:t>SW7 2BP</w:t>
          </w:r>
        </w:smartTag>
        <w:r w:rsidRPr="00514AAB">
          <w:rPr>
            <w:i/>
            <w:sz w:val="20"/>
            <w:szCs w:val="20"/>
          </w:rPr>
          <w:t xml:space="preserve">, </w:t>
        </w:r>
        <w:smartTag w:uri="urn:schemas-microsoft-com:office:smarttags" w:element="country-region">
          <w:r w:rsidRPr="00514AAB">
            <w:rPr>
              <w:i/>
              <w:sz w:val="20"/>
              <w:szCs w:val="20"/>
            </w:rPr>
            <w:t>UK</w:t>
          </w:r>
        </w:smartTag>
      </w:smartTag>
    </w:p>
    <w:p w:rsidR="00675475" w:rsidRDefault="00675475" w:rsidP="00CE7149">
      <w:pPr>
        <w:spacing w:line="480" w:lineRule="auto"/>
        <w:jc w:val="center"/>
        <w:rPr>
          <w:i/>
          <w:sz w:val="20"/>
          <w:szCs w:val="20"/>
        </w:rPr>
      </w:pPr>
      <w:r w:rsidRPr="00514AAB">
        <w:rPr>
          <w:i/>
          <w:sz w:val="20"/>
          <w:szCs w:val="20"/>
          <w:vertAlign w:val="superscript"/>
        </w:rPr>
        <w:t>b</w:t>
      </w:r>
      <w:r w:rsidRPr="00514AAB">
        <w:rPr>
          <w:i/>
          <w:sz w:val="20"/>
          <w:szCs w:val="20"/>
        </w:rPr>
        <w:t xml:space="preserve"> </w:t>
      </w:r>
      <w:r>
        <w:rPr>
          <w:i/>
          <w:sz w:val="20"/>
          <w:szCs w:val="20"/>
        </w:rPr>
        <w:t xml:space="preserve">The ISIS facility, Rutherford Appleton Laboratory, Chilton, Didcot, </w:t>
      </w:r>
      <w:smartTag w:uri="urn:schemas-microsoft-com:office:smarttags" w:element="City">
        <w:smartTag w:uri="urn:schemas-microsoft-com:office:smarttags" w:element="place">
          <w:smartTag w:uri="urn:schemas-microsoft-com:office:smarttags" w:element="City">
            <w:r>
              <w:rPr>
                <w:i/>
                <w:sz w:val="20"/>
                <w:szCs w:val="20"/>
              </w:rPr>
              <w:t>Oxfordshire</w:t>
            </w:r>
          </w:smartTag>
          <w:r>
            <w:rPr>
              <w:i/>
              <w:sz w:val="20"/>
              <w:szCs w:val="20"/>
            </w:rPr>
            <w:t xml:space="preserve">, </w:t>
          </w:r>
          <w:smartTag w:uri="urn:schemas-microsoft-com:office:smarttags" w:element="PostalCode">
            <w:r>
              <w:rPr>
                <w:i/>
                <w:sz w:val="20"/>
                <w:szCs w:val="20"/>
              </w:rPr>
              <w:t>OX11 0QX</w:t>
            </w:r>
          </w:smartTag>
          <w:r>
            <w:rPr>
              <w:i/>
              <w:sz w:val="20"/>
              <w:szCs w:val="20"/>
            </w:rPr>
            <w:t xml:space="preserve">, </w:t>
          </w:r>
          <w:smartTag w:uri="urn:schemas-microsoft-com:office:smarttags" w:element="country-region">
            <w:r>
              <w:rPr>
                <w:i/>
                <w:sz w:val="20"/>
                <w:szCs w:val="20"/>
              </w:rPr>
              <w:t>UK</w:t>
            </w:r>
          </w:smartTag>
        </w:smartTag>
      </w:smartTag>
    </w:p>
    <w:p w:rsidR="00675475" w:rsidRPr="00514AAB" w:rsidRDefault="00675475" w:rsidP="00CE7149">
      <w:pPr>
        <w:spacing w:line="480" w:lineRule="auto"/>
        <w:jc w:val="center"/>
        <w:rPr>
          <w:i/>
          <w:sz w:val="20"/>
          <w:szCs w:val="20"/>
        </w:rPr>
      </w:pPr>
      <w:r w:rsidRPr="0041789A">
        <w:rPr>
          <w:i/>
          <w:sz w:val="20"/>
          <w:szCs w:val="20"/>
          <w:vertAlign w:val="superscript"/>
        </w:rPr>
        <w:t>c</w:t>
      </w:r>
      <w:r>
        <w:rPr>
          <w:i/>
          <w:sz w:val="20"/>
          <w:szCs w:val="20"/>
        </w:rPr>
        <w:t xml:space="preserve"> </w:t>
      </w:r>
      <w:r w:rsidRPr="002A0DA1">
        <w:rPr>
          <w:i/>
          <w:iCs/>
          <w:sz w:val="20"/>
          <w:szCs w:val="20"/>
          <w:lang w:val="en-US"/>
        </w:rPr>
        <w:t xml:space="preserve">Department of Chemical and Biological Engineering, Chalmers </w:t>
      </w:r>
      <w:smartTag w:uri="urn:schemas-microsoft-com:office:smarttags" w:element="PlaceType">
        <w:r w:rsidRPr="002A0DA1">
          <w:rPr>
            <w:i/>
            <w:iCs/>
            <w:sz w:val="20"/>
            <w:szCs w:val="20"/>
            <w:lang w:val="en-US"/>
          </w:rPr>
          <w:t>University</w:t>
        </w:r>
      </w:smartTag>
      <w:r w:rsidRPr="002A0DA1">
        <w:rPr>
          <w:i/>
          <w:iCs/>
          <w:sz w:val="20"/>
          <w:szCs w:val="20"/>
          <w:lang w:val="en-US"/>
        </w:rPr>
        <w:t xml:space="preserve"> of </w:t>
      </w:r>
      <w:smartTag w:uri="urn:schemas-microsoft-com:office:smarttags" w:element="PlaceName">
        <w:r w:rsidRPr="002A0DA1">
          <w:rPr>
            <w:i/>
            <w:iCs/>
            <w:sz w:val="20"/>
            <w:szCs w:val="20"/>
            <w:lang w:val="en-US"/>
          </w:rPr>
          <w:t>Technology</w:t>
        </w:r>
      </w:smartTag>
      <w:r w:rsidRPr="002A0DA1">
        <w:rPr>
          <w:i/>
          <w:iCs/>
          <w:sz w:val="20"/>
          <w:szCs w:val="20"/>
          <w:lang w:val="en-US"/>
        </w:rPr>
        <w:t xml:space="preserve">, SE-412 96 </w:t>
      </w:r>
      <w:smartTag w:uri="urn:schemas-microsoft-com:office:smarttags" w:element="City">
        <w:smartTag w:uri="urn:schemas-microsoft-com:office:smarttags" w:element="place">
          <w:smartTag w:uri="urn:schemas-microsoft-com:office:smarttags" w:element="City">
            <w:r w:rsidRPr="002A0DA1">
              <w:rPr>
                <w:i/>
                <w:iCs/>
                <w:sz w:val="20"/>
                <w:szCs w:val="20"/>
                <w:lang w:val="en-US"/>
              </w:rPr>
              <w:t>Gothenburg</w:t>
            </w:r>
          </w:smartTag>
          <w:r w:rsidRPr="002A0DA1">
            <w:rPr>
              <w:i/>
              <w:iCs/>
              <w:sz w:val="20"/>
              <w:szCs w:val="20"/>
              <w:lang w:val="en-US"/>
            </w:rPr>
            <w:t xml:space="preserve">, </w:t>
          </w:r>
          <w:smartTag w:uri="urn:schemas-microsoft-com:office:smarttags" w:element="country-region">
            <w:r w:rsidRPr="002A0DA1">
              <w:rPr>
                <w:i/>
                <w:iCs/>
                <w:sz w:val="20"/>
                <w:szCs w:val="20"/>
                <w:lang w:val="en-US"/>
              </w:rPr>
              <w:t>Sweden</w:t>
            </w:r>
          </w:smartTag>
        </w:smartTag>
      </w:smartTag>
    </w:p>
    <w:p w:rsidR="00675475" w:rsidRDefault="00675475" w:rsidP="00CE7149">
      <w:pPr>
        <w:spacing w:line="480" w:lineRule="auto"/>
      </w:pPr>
    </w:p>
    <w:p w:rsidR="00675475" w:rsidRPr="005E1F04" w:rsidRDefault="00675475" w:rsidP="005A4541">
      <w:pPr>
        <w:spacing w:line="480" w:lineRule="auto"/>
        <w:jc w:val="both"/>
      </w:pPr>
      <w:r w:rsidRPr="00297DB4">
        <w:rPr>
          <w:b/>
        </w:rPr>
        <w:t>Abstract</w:t>
      </w:r>
      <w:r>
        <w:t xml:space="preserve">: </w:t>
      </w:r>
      <w:r w:rsidRPr="00E3568E">
        <w:rPr>
          <w:i/>
        </w:rPr>
        <w:t>In-situ</w:t>
      </w:r>
      <w:r>
        <w:t xml:space="preserve"> neutron diffraction combined with AC impedance spectroscopy was applied successfully to investigate the correlation between crystal structure and electrical properties of the La</w:t>
      </w:r>
      <w:r w:rsidRPr="00323ECB">
        <w:rPr>
          <w:vertAlign w:val="subscript"/>
        </w:rPr>
        <w:t>2</w:t>
      </w:r>
      <w:r>
        <w:t>Mo</w:t>
      </w:r>
      <w:r w:rsidRPr="00323ECB">
        <w:rPr>
          <w:vertAlign w:val="subscript"/>
        </w:rPr>
        <w:t>2</w:t>
      </w:r>
      <w:r>
        <w:t>O</w:t>
      </w:r>
      <w:r w:rsidRPr="00323ECB">
        <w:rPr>
          <w:vertAlign w:val="subscript"/>
        </w:rPr>
        <w:t>9</w:t>
      </w:r>
      <w:r>
        <w:t xml:space="preserve"> oxide ion conducting electrolyte material. Neutron diffraction patterns were collected as a function of temperature while the AC impedance spectra were recorded simultaneously using a modified sample environment to monitor the conductivity change of the sample. A close relationship between unit cell parameters and the bulk conductivity was observed, confirming that the oxygen transport is dependent on the lattice structure. With the transition from the low temperature alpha to the high temperature beta phase, </w:t>
      </w:r>
      <w:r w:rsidR="00F83B56">
        <w:t>e</w:t>
      </w:r>
      <w:r>
        <w:t xml:space="preserve">xpansion of the crystal structure makes more space available for oxygen transport, leading to a dramatic increase of the ionic conductivity. The successful application of this technique provides a new method to simultaneously investigate crystal structure and electrical properties in electro-ceramics in the future. </w:t>
      </w:r>
    </w:p>
    <w:p w:rsidR="00675475" w:rsidRDefault="002C25FC" w:rsidP="00CE7149">
      <w:pPr>
        <w:spacing w:line="480" w:lineRule="auto"/>
        <w:rPr>
          <w:i/>
          <w:sz w:val="22"/>
          <w:szCs w:val="22"/>
        </w:rPr>
      </w:pPr>
      <w:r w:rsidRPr="002C25FC">
        <w:rPr>
          <w:noProof/>
          <w:lang w:val="en-US"/>
        </w:rPr>
        <w:pict>
          <v:shapetype id="_x0000_t202" coordsize="21600,21600" o:spt="202" path="m,l,21600r21600,l21600,xe">
            <v:stroke joinstyle="miter"/>
            <v:path gradientshapeok="t" o:connecttype="rect"/>
          </v:shapetype>
          <v:shape id="_x0000_s1026" type="#_x0000_t202" style="position:absolute;margin-left:0;margin-top:34.35pt;width:441pt;height:112.15pt;z-index:1" filled="f" stroked="f">
            <v:textbox style="mso-next-textbox:#_x0000_s1026">
              <w:txbxContent>
                <w:p w:rsidR="00675475" w:rsidRDefault="00675475" w:rsidP="00883FFC">
                  <w:pPr>
                    <w:spacing w:line="480" w:lineRule="auto"/>
                    <w:jc w:val="both"/>
                  </w:pPr>
                  <w:r>
                    <w:t>——————</w:t>
                  </w:r>
                </w:p>
                <w:p w:rsidR="00675475" w:rsidRPr="00F9375E" w:rsidRDefault="00675475" w:rsidP="00883FFC">
                  <w:pPr>
                    <w:spacing w:line="480" w:lineRule="auto"/>
                    <w:jc w:val="both"/>
                    <w:rPr>
                      <w:sz w:val="20"/>
                      <w:szCs w:val="20"/>
                    </w:rPr>
                  </w:pPr>
                  <w:r w:rsidRPr="00F9375E">
                    <w:rPr>
                      <w:sz w:val="20"/>
                      <w:szCs w:val="20"/>
                      <w:vertAlign w:val="superscript"/>
                    </w:rPr>
                    <w:t>*</w:t>
                  </w:r>
                  <w:r>
                    <w:rPr>
                      <w:sz w:val="20"/>
                      <w:szCs w:val="20"/>
                    </w:rPr>
                    <w:t xml:space="preserve"> Corresponding author:</w:t>
                  </w:r>
                  <w:r w:rsidRPr="00F9375E">
                    <w:rPr>
                      <w:sz w:val="20"/>
                      <w:szCs w:val="20"/>
                    </w:rPr>
                    <w:t xml:space="preserve"> Stephen J. Skinner, Department of Materials, </w:t>
                  </w:r>
                  <w:r>
                    <w:rPr>
                      <w:sz w:val="20"/>
                      <w:szCs w:val="20"/>
                    </w:rPr>
                    <w:t xml:space="preserve">Imperial College London, Prince Consort  Road, London, UK, SW7 2BP. </w:t>
                  </w:r>
                  <w:r w:rsidRPr="00F9375E">
                    <w:rPr>
                      <w:sz w:val="20"/>
                      <w:szCs w:val="20"/>
                    </w:rPr>
                    <w:t>Tel:</w:t>
                  </w:r>
                  <w:r>
                    <w:rPr>
                      <w:sz w:val="20"/>
                      <w:szCs w:val="20"/>
                    </w:rPr>
                    <w:t xml:space="preserve"> +44 (0)20 7594 6782 Fax</w:t>
                  </w:r>
                  <w:r w:rsidRPr="00F9375E">
                    <w:rPr>
                      <w:sz w:val="20"/>
                      <w:szCs w:val="20"/>
                    </w:rPr>
                    <w:t>:</w:t>
                  </w:r>
                  <w:r>
                    <w:rPr>
                      <w:sz w:val="20"/>
                      <w:szCs w:val="20"/>
                    </w:rPr>
                    <w:t xml:space="preserve"> </w:t>
                  </w:r>
                  <w:r w:rsidRPr="00F9375E">
                    <w:rPr>
                      <w:sz w:val="20"/>
                      <w:szCs w:val="20"/>
                    </w:rPr>
                    <w:t>+44</w:t>
                  </w:r>
                  <w:r>
                    <w:rPr>
                      <w:sz w:val="20"/>
                      <w:szCs w:val="20"/>
                    </w:rPr>
                    <w:t xml:space="preserve"> </w:t>
                  </w:r>
                  <w:r w:rsidRPr="00F9375E">
                    <w:rPr>
                      <w:sz w:val="20"/>
                      <w:szCs w:val="20"/>
                    </w:rPr>
                    <w:t>(0)20 7594 6757</w:t>
                  </w:r>
                </w:p>
                <w:p w:rsidR="00675475" w:rsidRPr="00F9375E" w:rsidRDefault="00675475" w:rsidP="00883FFC">
                  <w:pPr>
                    <w:spacing w:line="480" w:lineRule="auto"/>
                    <w:jc w:val="both"/>
                    <w:rPr>
                      <w:i/>
                      <w:sz w:val="20"/>
                      <w:szCs w:val="20"/>
                    </w:rPr>
                  </w:pPr>
                  <w:r>
                    <w:rPr>
                      <w:i/>
                      <w:sz w:val="20"/>
                      <w:szCs w:val="20"/>
                    </w:rPr>
                    <w:t xml:space="preserve">  </w:t>
                  </w:r>
                  <w:r w:rsidRPr="00F9375E">
                    <w:rPr>
                      <w:i/>
                      <w:sz w:val="20"/>
                      <w:szCs w:val="20"/>
                    </w:rPr>
                    <w:t>Email address: s.skinner@imperial.ac.uk</w:t>
                  </w:r>
                </w:p>
              </w:txbxContent>
            </v:textbox>
            <w10:wrap type="square"/>
          </v:shape>
        </w:pict>
      </w:r>
      <w:r w:rsidR="00675475" w:rsidRPr="005E1F04">
        <w:rPr>
          <w:b/>
          <w:i/>
          <w:sz w:val="22"/>
          <w:szCs w:val="22"/>
        </w:rPr>
        <w:t>Keywords</w:t>
      </w:r>
      <w:r w:rsidR="00675475" w:rsidRPr="00883FFC">
        <w:rPr>
          <w:i/>
          <w:sz w:val="22"/>
          <w:szCs w:val="22"/>
        </w:rPr>
        <w:t>: In-situ; Neutron diffraction; impedance spectroscopy; La</w:t>
      </w:r>
      <w:r w:rsidR="00675475" w:rsidRPr="00883FFC">
        <w:rPr>
          <w:i/>
          <w:sz w:val="22"/>
          <w:szCs w:val="22"/>
          <w:vertAlign w:val="subscript"/>
        </w:rPr>
        <w:t>2</w:t>
      </w:r>
      <w:r w:rsidR="00675475" w:rsidRPr="00883FFC">
        <w:rPr>
          <w:i/>
          <w:sz w:val="22"/>
          <w:szCs w:val="22"/>
        </w:rPr>
        <w:t>Mo</w:t>
      </w:r>
      <w:r w:rsidR="00675475" w:rsidRPr="00883FFC">
        <w:rPr>
          <w:i/>
          <w:sz w:val="22"/>
          <w:szCs w:val="22"/>
          <w:vertAlign w:val="subscript"/>
        </w:rPr>
        <w:t>2</w:t>
      </w:r>
      <w:r w:rsidR="00675475" w:rsidRPr="00883FFC">
        <w:rPr>
          <w:i/>
          <w:sz w:val="22"/>
          <w:szCs w:val="22"/>
        </w:rPr>
        <w:t>O</w:t>
      </w:r>
      <w:r w:rsidR="00675475" w:rsidRPr="00883FFC">
        <w:rPr>
          <w:i/>
          <w:sz w:val="22"/>
          <w:szCs w:val="22"/>
          <w:vertAlign w:val="subscript"/>
        </w:rPr>
        <w:t>9</w:t>
      </w:r>
      <w:r w:rsidR="00675475" w:rsidRPr="00883FFC">
        <w:rPr>
          <w:i/>
          <w:sz w:val="22"/>
          <w:szCs w:val="22"/>
        </w:rPr>
        <w:t>; electrolyte</w:t>
      </w:r>
    </w:p>
    <w:p w:rsidR="00675475" w:rsidRDefault="00675475" w:rsidP="00CE7149">
      <w:pPr>
        <w:spacing w:line="480" w:lineRule="auto"/>
        <w:rPr>
          <w:b/>
        </w:rPr>
      </w:pPr>
    </w:p>
    <w:p w:rsidR="00675475" w:rsidRPr="008F761E" w:rsidRDefault="00675475" w:rsidP="00CE7149">
      <w:pPr>
        <w:spacing w:line="480" w:lineRule="auto"/>
        <w:rPr>
          <w:b/>
        </w:rPr>
      </w:pPr>
      <w:r w:rsidRPr="008F761E">
        <w:rPr>
          <w:b/>
        </w:rPr>
        <w:t>1. Introduction</w:t>
      </w:r>
    </w:p>
    <w:p w:rsidR="00675475" w:rsidRPr="00620BC4" w:rsidRDefault="00675475" w:rsidP="00CE7149">
      <w:pPr>
        <w:spacing w:line="480" w:lineRule="auto"/>
        <w:ind w:firstLine="240"/>
        <w:jc w:val="both"/>
      </w:pPr>
      <w:r>
        <w:t>La</w:t>
      </w:r>
      <w:r w:rsidRPr="00620BC4">
        <w:rPr>
          <w:vertAlign w:val="subscript"/>
        </w:rPr>
        <w:t>2</w:t>
      </w:r>
      <w:r>
        <w:t>Mo</w:t>
      </w:r>
      <w:r w:rsidRPr="00620BC4">
        <w:rPr>
          <w:vertAlign w:val="subscript"/>
        </w:rPr>
        <w:t>2</w:t>
      </w:r>
      <w:r>
        <w:t>O</w:t>
      </w:r>
      <w:r w:rsidRPr="00620BC4">
        <w:rPr>
          <w:vertAlign w:val="subscript"/>
        </w:rPr>
        <w:t>9</w:t>
      </w:r>
      <w:r>
        <w:t xml:space="preserve"> has been studied extensively as a promising electrolyte material for Solid Oxide Fuel Cells (SOFCs) </w:t>
      </w:r>
      <w:r w:rsidR="002C25FC">
        <w:fldChar w:fldCharType="begin"/>
      </w:r>
      <w:r>
        <w:instrText xml:space="preserve"> ADDIN EN.CITE &lt;EndNote&gt;&lt;Cite&gt;&lt;Author&gt;Lacorre&lt;/Author&gt;&lt;Year&gt;2000&lt;/Year&gt;&lt;RecNum&gt;92&lt;/RecNum&gt;&lt;record&gt;&lt;rec-number&gt;92&lt;/rec-number&gt;&lt;ref-type name="Journal Article"&gt;17&lt;/ref-type&gt;&lt;contributors&gt;&lt;authors&gt;&lt;author&gt;Lacorre, P.&lt;/author&gt;&lt;author&gt;Goutenoire, F. &lt;/author&gt;&lt;author&gt;Bohnke, O. &lt;/author&gt;&lt;/authors&gt;&lt;/contributors&gt;&lt;titles&gt;&lt;title&gt;&lt;style face="normal" font="default" size="100%"&gt;Designing fast oxide-ion conductors based on La&lt;/style&gt;&lt;style face="subscript" font="default" size="100%"&gt;2&lt;/style&gt;&lt;style face="normal" font="default" size="100%"&gt;Mo&lt;/style&gt;&lt;style face="subscript" font="default" size="100%"&gt;2&lt;/style&gt;&lt;style face="normal" font="default" size="100%"&gt;O&lt;/style&gt;&lt;style face="subscript" font="default" size="100%"&gt;9&lt;/style&gt;&lt;/title&gt;&lt;secondary-title&gt;Nature&lt;/secondary-title&gt;&lt;/titles&gt;&lt;periodical&gt;&lt;full-title&gt;Nature&lt;/full-title&gt;&lt;/periodical&gt;&lt;pages&gt;856-858&lt;/pages&gt;&lt;volume&gt;404&lt;/volume&gt;&lt;dates&gt;&lt;year&gt;2000&lt;/year&gt;&lt;/dates&gt;&lt;urls&gt;&lt;/urls&gt;&lt;/record&gt;&lt;/Cite&gt;&lt;Cite&gt;&lt;Author&gt;Georges&lt;/Author&gt;&lt;Year&gt;2004&lt;/Year&gt;&lt;RecNum&gt;56&lt;/RecNum&gt;&lt;record&gt;&lt;rec-number&gt;56&lt;/rec-number&gt;&lt;ref-type name="Journal Article"&gt;17&lt;/ref-type&gt;&lt;contributors&gt;&lt;authors&gt;&lt;author&gt;Georges, S.&lt;/author&gt;&lt;author&gt;Goutenoire, F.&lt;/author&gt;&lt;author&gt;Bohnke, O.&lt;/author&gt;&lt;author&gt;Steil, M. C.&lt;/author&gt;&lt;author&gt;Skinner, S. J.&lt;/author&gt;&lt;author&gt;Wiemhofer, H. D.&lt;/author&gt;&lt;author&gt;Lacorre, P.&lt;/author&gt;&lt;/authors&gt;&lt;/contributors&gt;&lt;titles&gt;&lt;title&gt;The LAMOX family of fast oxide-ion conductors: Overview and recent results&lt;/title&gt;&lt;secondary-title&gt;J. New Mater. Electrochem. Syst. &lt;/secondary-title&gt;&lt;/titles&gt;&lt;periodical&gt;&lt;full-title&gt;J. New Mater. Electrochem. Syst.&lt;/full-title&gt;&lt;/periodical&gt;&lt;pages&gt;51-57&lt;/pages&gt;&lt;volume&gt;7&lt;/volume&gt;&lt;number&gt;1&lt;/number&gt;&lt;dates&gt;&lt;year&gt;2004&lt;/year&gt;&lt;pub-dates&gt;&lt;date&gt;Jan&lt;/date&gt;&lt;/pub-dates&gt;&lt;/dates&gt;&lt;accession-num&gt;ISI:000220641500009&lt;/accession-num&gt;&lt;urls&gt;&lt;related-urls&gt;&lt;url&gt;&amp;lt;Go to ISI&amp;gt;://000220641500009 &lt;/url&gt;&lt;/related-urls&gt;&lt;/urls&gt;&lt;/record&gt;&lt;/Cite&gt;&lt;Cite&gt;&lt;Author&gt;Marrero-López&lt;/Author&gt;&lt;Year&gt;2005&lt;/Year&gt;&lt;RecNum&gt;26&lt;/RecNum&gt;&lt;record&gt;&lt;rec-number&gt;26&lt;/rec-number&gt;&lt;ref-type name="Journal Article"&gt;17&lt;/ref-type&gt;&lt;contributors&gt;&lt;authors&gt;&lt;author&gt;Marrero-López, D.&lt;/author&gt;&lt;author&gt;Canales-Vázquez, J.&lt;/author&gt;&lt;author&gt;Ruiz-Morales, J. C.&lt;/author&gt;&lt;author&gt;Rodríguez, A.&lt;/author&gt;&lt;author&gt;Irvine, J. T. S.&lt;/author&gt;&lt;author&gt;Núñez, P.&lt;/author&gt;&lt;/authors&gt;&lt;/contributors&gt;&lt;titles&gt;&lt;title&gt;&lt;style face="normal" font="default" size="100%"&gt;Synthesis, sinterability and ionic conductivity of nanocrystalline La&lt;/style&gt;&lt;style face="subscript" font="default" size="100%"&gt;2&lt;/style&gt;&lt;style face="normal" font="default" size="100%"&gt;Mo&lt;/style&gt;&lt;style face="subscript" font="default" size="100%"&gt;2&lt;/style&gt;&lt;style face="normal" font="default" size="100%"&gt;O&lt;/style&gt;&lt;style face="subscript" font="default" size="100%"&gt;9&lt;/style&gt;&lt;style face="normal" font="default" size="100%"&gt; powders&lt;/style&gt;&lt;/title&gt;&lt;secondary-title&gt;Solid State Ionics&lt;/secondary-title&gt;&lt;/titles&gt;&lt;periodical&gt;&lt;full-title&gt;Solid State Ionics&lt;/full-title&gt;&lt;/periodical&gt;&lt;pages&gt;1807-1816&lt;/pages&gt;&lt;volume&gt;176&lt;/volume&gt;&lt;number&gt;23-24&lt;/number&gt;&lt;dates&gt;&lt;year&gt;2005&lt;/year&gt;&lt;pub-dates&gt;&lt;date&gt;Jul&lt;/date&gt;&lt;/pub-dates&gt;&lt;/dates&gt;&lt;accession-num&gt;ISI:000231788000001&lt;/accession-num&gt;&lt;urls&gt;&lt;related-urls&gt;&lt;url&gt;&amp;lt;Go to ISI&amp;gt;://000231788000001 &lt;/url&gt;&lt;/related-urls&gt;&lt;pdf-urls&gt;&lt;url&gt;internal-pdf://Ref 8-Synthesis, sinterability and ionic conductivity of nanocrystalline-2385095936/Ref 8-Synthesis, sinterability and ionic conductivity of nanocrystalline.pdf&lt;/url&gt;&lt;/pdf-urls&gt;&lt;/urls&gt;&lt;/record&gt;&lt;/Cite&gt;&lt;/EndNote&gt;</w:instrText>
      </w:r>
      <w:r w:rsidR="002C25FC">
        <w:fldChar w:fldCharType="separate"/>
      </w:r>
      <w:r>
        <w:t>[1-3]</w:t>
      </w:r>
      <w:r w:rsidR="002C25FC">
        <w:fldChar w:fldCharType="end"/>
      </w:r>
      <w:r>
        <w:t>. It is well known that the material undergoes a phase transition at 580˚C from α-</w:t>
      </w:r>
      <w:r w:rsidRPr="00620BC4">
        <w:t>La</w:t>
      </w:r>
      <w:r w:rsidRPr="00620BC4">
        <w:rPr>
          <w:vertAlign w:val="subscript"/>
        </w:rPr>
        <w:t>2</w:t>
      </w:r>
      <w:r w:rsidRPr="00620BC4">
        <w:t>Mo</w:t>
      </w:r>
      <w:r w:rsidRPr="00620BC4">
        <w:rPr>
          <w:vertAlign w:val="subscript"/>
        </w:rPr>
        <w:t>2</w:t>
      </w:r>
      <w:r w:rsidRPr="00620BC4">
        <w:t>O</w:t>
      </w:r>
      <w:r w:rsidRPr="00620BC4">
        <w:rPr>
          <w:vertAlign w:val="subscript"/>
        </w:rPr>
        <w:t>9</w:t>
      </w:r>
      <w:r>
        <w:t xml:space="preserve"> at low temperature to </w:t>
      </w:r>
      <w:r w:rsidRPr="00620BC4">
        <w:t>β</w:t>
      </w:r>
      <w:r>
        <w:t>-</w:t>
      </w:r>
      <w:r w:rsidRPr="00620BC4">
        <w:t>La</w:t>
      </w:r>
      <w:r w:rsidRPr="00620BC4">
        <w:rPr>
          <w:vertAlign w:val="subscript"/>
        </w:rPr>
        <w:t>2</w:t>
      </w:r>
      <w:r w:rsidRPr="00620BC4">
        <w:t>Mo</w:t>
      </w:r>
      <w:r w:rsidRPr="00620BC4">
        <w:rPr>
          <w:vertAlign w:val="subscript"/>
        </w:rPr>
        <w:t>2</w:t>
      </w:r>
      <w:r w:rsidRPr="00620BC4">
        <w:t>O</w:t>
      </w:r>
      <w:r w:rsidRPr="00620BC4">
        <w:rPr>
          <w:vertAlign w:val="subscript"/>
        </w:rPr>
        <w:t>9</w:t>
      </w:r>
      <w:r>
        <w:t xml:space="preserve"> at high temperature, with a conductivity increase of about two orders of magnitude </w:t>
      </w:r>
      <w:r w:rsidR="002C25FC">
        <w:fldChar w:fldCharType="begin"/>
      </w:r>
      <w:r>
        <w:instrText xml:space="preserve"> ADDIN EN.CITE &lt;EndNote&gt;&lt;Cite&gt;&lt;Author&gt;Lacorre&lt;/Author&gt;&lt;Year&gt;2000&lt;/Year&gt;&lt;RecNum&gt;92&lt;/RecNum&gt;&lt;record&gt;&lt;rec-number&gt;92&lt;/rec-number&gt;&lt;ref-type name="Journal Article"&gt;17&lt;/ref-type&gt;&lt;contributors&gt;&lt;authors&gt;&lt;author&gt;Lacorre, P.&lt;/author&gt;&lt;author&gt;Goutenoire, F. &lt;/author&gt;&lt;author&gt;Bohnke, O. &lt;/author&gt;&lt;/authors&gt;&lt;/contributors&gt;&lt;titles&gt;&lt;title&gt;&lt;style face="normal" font="default" size="100%"&gt;Designing fast oxide-ion conductors based on La&lt;/style&gt;&lt;style face="subscript" font="default" size="100%"&gt;2&lt;/style&gt;&lt;style face="normal" font="default" size="100%"&gt;Mo&lt;/style&gt;&lt;style face="subscript" font="default" size="100%"&gt;2&lt;/style&gt;&lt;style face="normal" font="default" size="100%"&gt;O&lt;/style&gt;&lt;style face="subscript" font="default" size="100%"&gt;9&lt;/style&gt;&lt;/title&gt;&lt;secondary-title&gt;Nature&lt;/secondary-title&gt;&lt;/titles&gt;&lt;periodical&gt;&lt;full-title&gt;Nature&lt;/full-title&gt;&lt;/periodical&gt;&lt;pages&gt;856-858&lt;/pages&gt;&lt;volume&gt;404&lt;/volume&gt;&lt;dates&gt;&lt;year&gt;2000&lt;/year&gt;&lt;/dates&gt;&lt;urls&gt;&lt;/urls&gt;&lt;/record&gt;&lt;/Cite&gt;&lt;/EndNote&gt;</w:instrText>
      </w:r>
      <w:r w:rsidR="002C25FC">
        <w:fldChar w:fldCharType="separate"/>
      </w:r>
      <w:r>
        <w:t>[1]</w:t>
      </w:r>
      <w:r w:rsidR="002C25FC">
        <w:fldChar w:fldCharType="end"/>
      </w:r>
      <w:r>
        <w:t xml:space="preserve">. Studies of the crystal structure have shown that the nature of the phase transition is a change of the distribution of oxygen defects, from long-range order to dynamic, short-range order </w:t>
      </w:r>
      <w:r w:rsidR="002C25FC">
        <w:fldChar w:fldCharType="begin"/>
      </w:r>
      <w:r>
        <w:instrText xml:space="preserve"> ADDIN EN.CITE &lt;EndNote&gt;&lt;Cite&gt;&lt;Author&gt;Evans&lt;/Author&gt;&lt;Year&gt;2005&lt;/Year&gt;&lt;RecNum&gt;32&lt;/RecNum&gt;&lt;record&gt;&lt;rec-number&gt;32&lt;/rec-number&gt;&lt;ref-type name="Journal Article"&gt;17&lt;/ref-type&gt;&lt;contributors&gt;&lt;authors&gt;&lt;author&gt;Evans, I. R.&lt;/author&gt;&lt;author&gt;Howard, J. A. K.&lt;/author&gt;&lt;author&gt;Evans, J. S. O.&lt;/author&gt;&lt;/authors&gt;&lt;/contributors&gt;&lt;titles&gt;&lt;title&gt;&lt;style face="normal" font="default" size="100%"&gt;The crystal structure of alpha-La&lt;/style&gt;&lt;style face="subscript" font="default" size="100%"&gt;2&lt;/style&gt;&lt;style face="normal" font="default" size="100%"&gt;Mo&lt;/style&gt;&lt;style face="subscript" font="default" size="100%"&gt;2&lt;/style&gt;&lt;style face="normal" font="default" size="100%"&gt;O&lt;/style&gt;&lt;style face="subscript" font="default" size="100%"&gt;9&lt;/style&gt;&lt;style face="normal" font="default" size="100%"&gt; and the structural origin of the oxide ion migration pathway&lt;/style&gt;&lt;/title&gt;&lt;secondary-title&gt;Chem. Mater.&lt;/secondary-title&gt;&lt;/titles&gt;&lt;periodical&gt;&lt;full-title&gt;Chem. Mater.&lt;/full-title&gt;&lt;/periodical&gt;&lt;pages&gt;4074-4077&lt;/pages&gt;&lt;volume&gt;17&lt;/volume&gt;&lt;number&gt;16&lt;/number&gt;&lt;dates&gt;&lt;year&gt;2005&lt;/year&gt;&lt;pub-dates&gt;&lt;date&gt;Aug&lt;/date&gt;&lt;/pub-dates&gt;&lt;/dates&gt;&lt;accession-num&gt;ISI:000231043200009&lt;/accession-num&gt;&lt;urls&gt;&lt;related-urls&gt;&lt;url&gt;&amp;lt;Go to ISI&amp;gt;://000231043200009 &lt;/url&gt;&lt;/related-urls&gt;&lt;pdf-urls&gt;&lt;url&gt;internal-pdf://The Crystal Structure of r-La2Mo2O9 and the Structural Origin of-3476946176/The Crystal Structure of r-La2Mo2O9 and the Structural Origin of.pdf&lt;/url&gt;&lt;url&gt;internal-pdf://The Crystal Structure of a-La2Mo2O9 and the Structural Origin of-2621335040/The Crystal Structure of a-La2Mo2O9 and the Structural Origin of.pdf&lt;/url&gt;&lt;/pdf-urls&gt;&lt;/urls&gt;&lt;/record&gt;&lt;/Cite&gt;&lt;Cite&gt;&lt;Author&gt;Malavasi&lt;/Author&gt;&lt;Year&gt;2007&lt;/Year&gt;&lt;RecNum&gt;138&lt;/RecNum&gt;&lt;record&gt;&lt;rec-number&gt;138&lt;/rec-number&gt;&lt;ref-type name="Journal Article"&gt;17&lt;/ref-type&gt;&lt;contributors&gt;&lt;authors&gt;&lt;author&gt;Malavasi, L.&lt;/author&gt;&lt;author&gt;Kim, H.J.&lt;/author&gt;&lt;author&gt;Billinge, S.J.L.&lt;/author&gt;&lt;author&gt;Proffen, T.&lt;/author&gt;&lt;author&gt;Tealdi, C.&lt;/author&gt;&lt;author&gt;Flor, G.&lt;/author&gt;&lt;/authors&gt;&lt;/contributors&gt;&lt;titles&gt;&lt;title&gt;&lt;style face="normal" font="default" size="100%"&gt;Nature of the monoclinic to cubic phase transition in the fast oxygen ion conductor La&lt;/style&gt;&lt;style face="subscript" font="default" size="100%"&gt;2&lt;/style&gt;&lt;style face="normal" font="default" size="100%"&gt;Mo&lt;/style&gt;&lt;style face="subscript" font="default" size="100%"&gt;2&lt;/style&gt;&lt;style face="normal" font="default" size="100%"&gt;O&lt;/style&gt;&lt;style face="subscript" font="default" size="100%"&gt;9&lt;/style&gt;&lt;style face="normal" font="default" size="100%"&gt; (LAMOX)&lt;/style&gt;&lt;/title&gt;&lt;secondary-title&gt;J. Am. Chem. Soc.&lt;/secondary-title&gt;&lt;/titles&gt;&lt;periodical&gt;&lt;full-title&gt;J. Am. Chem. Soc.&lt;/full-title&gt;&lt;/periodical&gt;&lt;pages&gt;6903-6907&lt;/pages&gt;&lt;volume&gt;129&lt;/volume&gt;&lt;dates&gt;&lt;year&gt;2007&lt;/year&gt;&lt;/dates&gt;&lt;urls&gt;&lt;pdf-urls&gt;&lt;url&gt;internal-pdf://nature of the monoclinic to cubic phase transition in the fast oxygen ion conductor la2Mo2O9-4159907656/nature of the monoclinic to cubic phase transition in the fast oxygen ion conductor la2Mo2O9.pdf&lt;/url&gt;&lt;/pdf-urls&gt;&lt;/urls&gt;&lt;/record&gt;&lt;/Cite&gt;&lt;/EndNote&gt;</w:instrText>
      </w:r>
      <w:r w:rsidR="002C25FC">
        <w:fldChar w:fldCharType="separate"/>
      </w:r>
      <w:r>
        <w:t>[4, 5]</w:t>
      </w:r>
      <w:r w:rsidR="002C25FC">
        <w:fldChar w:fldCharType="end"/>
      </w:r>
      <w:r>
        <w:t xml:space="preserve">. The high temperature phase can be indexed as a cubic structure, and it is indicated to be a time-averaged version of the low temperature phase, the monoclinic structure. The oxygen transport mechanism changes with the phase transition from a thermally activated Arrhenius type at low temperature to a thermally assisted VTF (Vogel-Tamman-Fulcher) type </w:t>
      </w:r>
      <w:r w:rsidR="002C25FC">
        <w:fldChar w:fldCharType="begin"/>
      </w:r>
      <w:r>
        <w:instrText xml:space="preserve"> ADDIN EN.CITE &lt;EndNote&gt;&lt;Cite&gt;&lt;Author&gt;Georges&lt;/Author&gt;&lt;Year&gt;2004&lt;/Year&gt;&lt;RecNum&gt;56&lt;/RecNum&gt;&lt;record&gt;&lt;rec-number&gt;56&lt;/rec-number&gt;&lt;ref-type name="Journal Article"&gt;17&lt;/ref-type&gt;&lt;contributors&gt;&lt;authors&gt;&lt;author&gt;Georges, S.&lt;/author&gt;&lt;author&gt;Goutenoire, F.&lt;/author&gt;&lt;author&gt;Bohnke, O.&lt;/author&gt;&lt;author&gt;Steil, M. C.&lt;/author&gt;&lt;author&gt;Skinner, S. J.&lt;/author&gt;&lt;author&gt;Wiemhofer, H. D.&lt;/author&gt;&lt;author&gt;Lacorre, P.&lt;/author&gt;&lt;/authors&gt;&lt;/contributors&gt;&lt;titles&gt;&lt;title&gt;The LAMOX family of fast oxide-ion conductors: Overview and recent results&lt;/title&gt;&lt;secondary-title&gt;J. New Mater. Electrochem. Syst. &lt;/secondary-title&gt;&lt;/titles&gt;&lt;periodical&gt;&lt;full-title&gt;J. New Mater. Electrochem. Syst.&lt;/full-title&gt;&lt;/periodical&gt;&lt;pages&gt;51-57&lt;/pages&gt;&lt;volume&gt;7&lt;/volume&gt;&lt;number&gt;1&lt;/number&gt;&lt;dates&gt;&lt;year&gt;2004&lt;/year&gt;&lt;pub-dates&gt;&lt;date&gt;Jan&lt;/date&gt;&lt;/pub-dates&gt;&lt;/dates&gt;&lt;accession-num&gt;ISI:000220641500009&lt;/accession-num&gt;&lt;urls&gt;&lt;related-urls&gt;&lt;url&gt;&amp;lt;Go to ISI&amp;gt;://000220641500009 &lt;/url&gt;&lt;/related-urls&gt;&lt;/urls&gt;&lt;/record&gt;&lt;/Cite&gt;&lt;/EndNote&gt;</w:instrText>
      </w:r>
      <w:r w:rsidR="002C25FC">
        <w:fldChar w:fldCharType="separate"/>
      </w:r>
      <w:r>
        <w:t>[2]</w:t>
      </w:r>
      <w:r w:rsidR="002C25FC">
        <w:fldChar w:fldCharType="end"/>
      </w:r>
      <w:r>
        <w:t xml:space="preserve">. The increase of the ionic conductivity is believed to be due to a volume expansion in the unit cell. The released extra free volume is likely to favour the mobility of oxygen ions, which is the explanation for the Arrhenius-VTF transition </w:t>
      </w:r>
      <w:r w:rsidR="002C25FC">
        <w:fldChar w:fldCharType="begin"/>
      </w:r>
      <w:r>
        <w:instrText xml:space="preserve"> ADDIN EN.CITE &lt;EndNote&gt;&lt;Cite&gt;&lt;Author&gt;Lacorre&lt;/Author&gt;&lt;Year&gt;2006&lt;/Year&gt;&lt;RecNum&gt;16&lt;/RecNum&gt;&lt;record&gt;&lt;rec-number&gt;16&lt;/rec-number&gt;&lt;ref-type name="Journal Article"&gt;17&lt;/ref-type&gt;&lt;contributors&gt;&lt;authors&gt;&lt;author&gt;Lacorre, P.&lt;/author&gt;&lt;author&gt;Selmi, A.&lt;/author&gt;&lt;author&gt;Corbel, G.&lt;/author&gt;&lt;author&gt;Boulard, B.&lt;/author&gt;&lt;/authors&gt;&lt;/contributors&gt;&lt;titles&gt;&lt;title&gt;On the flexibility of the structural framework of cubic LAMOX compounds, in relationship with their anionic conduction properties&lt;/title&gt;&lt;secondary-title&gt;Inorganic Chem.&lt;/secondary-title&gt;&lt;/titles&gt;&lt;periodical&gt;&lt;full-title&gt;Inorganic Chem.&lt;/full-title&gt;&lt;/periodical&gt;&lt;pages&gt;627-635&lt;/pages&gt;&lt;volume&gt;45&lt;/volume&gt;&lt;number&gt;2&lt;/number&gt;&lt;dates&gt;&lt;year&gt;2006&lt;/year&gt;&lt;pub-dates&gt;&lt;date&gt;Jan&lt;/date&gt;&lt;/pub-dates&gt;&lt;/dates&gt;&lt;accession-num&gt;ISI:000234905200027&lt;/accession-num&gt;&lt;urls&gt;&lt;related-urls&gt;&lt;url&gt;&amp;lt;Go to ISI&amp;gt;://000234905200027 &lt;/url&gt;&lt;/related-urls&gt;&lt;pdf-urls&gt;&lt;url&gt;internal-pdf://On the Flexibility of the Structural Framework of Cubic LAMOX-3211179521/On the Flexibility of the Structural Framework of Cubic LAMOX.pdf&lt;/url&gt;&lt;/pdf-urls&gt;&lt;/urls&gt;&lt;/record&gt;&lt;/Cite&gt;&lt;/EndNote&gt;</w:instrText>
      </w:r>
      <w:r w:rsidR="002C25FC">
        <w:fldChar w:fldCharType="separate"/>
      </w:r>
      <w:r>
        <w:t>[6]</w:t>
      </w:r>
      <w:r w:rsidR="002C25FC">
        <w:fldChar w:fldCharType="end"/>
      </w:r>
      <w:r>
        <w:t xml:space="preserve">. </w:t>
      </w:r>
    </w:p>
    <w:p w:rsidR="00675475" w:rsidRDefault="00675475" w:rsidP="00CE7149">
      <w:pPr>
        <w:spacing w:line="480" w:lineRule="auto"/>
        <w:ind w:firstLine="240"/>
        <w:jc w:val="both"/>
      </w:pPr>
      <w:r>
        <w:t xml:space="preserve">Neutron diffraction is widely employed to study complex oxide crystal structures, compared to the conventional laboratory X-ray diffraction, especially when a full pattern refinement is required to obtain high quality crystallographic data. For </w:t>
      </w:r>
      <w:r w:rsidRPr="00353D26">
        <w:rPr>
          <w:i/>
        </w:rPr>
        <w:t>in-situ</w:t>
      </w:r>
      <w:r>
        <w:t xml:space="preserve"> studies of structural changes using neutron diffraction there are two main modes of operation possible: constant wavelength or time-of-flight (TOF). Each has distinct advantages/disadvantages, and of course the individual instrument design dictates many of the key parameters for high quality structure determination. TOF neutron diffraction has been adopted in this work due to its rapid characterization of structures, rapid collection of data and allowance of complex sample environment. </w:t>
      </w:r>
      <w:r w:rsidRPr="00353D26">
        <w:rPr>
          <w:i/>
        </w:rPr>
        <w:t>In-situ</w:t>
      </w:r>
      <w:r>
        <w:t xml:space="preserve"> </w:t>
      </w:r>
      <w:r>
        <w:lastRenderedPageBreak/>
        <w:t xml:space="preserve">neutron diffraction has been applied to investigate the crystal structure change of </w:t>
      </w:r>
      <w:r w:rsidRPr="00620BC4">
        <w:t>La</w:t>
      </w:r>
      <w:r w:rsidRPr="00620BC4">
        <w:rPr>
          <w:vertAlign w:val="subscript"/>
        </w:rPr>
        <w:t>2</w:t>
      </w:r>
      <w:r w:rsidRPr="00620BC4">
        <w:t>Mo</w:t>
      </w:r>
      <w:r w:rsidRPr="00620BC4">
        <w:rPr>
          <w:vertAlign w:val="subscript"/>
        </w:rPr>
        <w:t>2</w:t>
      </w:r>
      <w:r w:rsidRPr="00620BC4">
        <w:t>O</w:t>
      </w:r>
      <w:r w:rsidRPr="00620BC4">
        <w:rPr>
          <w:vertAlign w:val="subscript"/>
        </w:rPr>
        <w:t>9</w:t>
      </w:r>
      <w:r>
        <w:t xml:space="preserve"> during the phase transition, especially the expansion of lattice parameters and unit cell volume </w:t>
      </w:r>
      <w:r w:rsidR="002C25FC">
        <w:fldChar w:fldCharType="begin"/>
      </w:r>
      <w:r>
        <w:instrText xml:space="preserve"> ADDIN EN.CITE &lt;EndNote&gt;&lt;Cite&gt;&lt;Author&gt;Marrero-López&lt;/Author&gt;&lt;Year&gt;2006&lt;/Year&gt;&lt;RecNum&gt;17&lt;/RecNum&gt;&lt;record&gt;&lt;rec-number&gt;17&lt;/rec-number&gt;&lt;ref-type name="Journal Article"&gt;17&lt;/ref-type&gt;&lt;contributors&gt;&lt;authors&gt;&lt;author&gt;Marrero-López, D.&lt;/author&gt;&lt;author&gt;Canales-Vázquez, J.&lt;/author&gt;&lt;author&gt;Zhou, W. Z.&lt;/author&gt;&lt;author&gt;Irvine, J. T. S.&lt;/author&gt;&lt;author&gt;Núñez, P.&lt;/author&gt;&lt;/authors&gt;&lt;/contributors&gt;&lt;titles&gt;&lt;title&gt;&lt;style face="normal" font="default" size="100%"&gt;Structural studies on W&lt;/style&gt;&lt;style face="superscript" font="default" size="100%"&gt;6+&lt;/style&gt;&lt;style face="normal" font="default" size="100%"&gt; and Nd&lt;/style&gt;&lt;style face="superscript" font="default" size="100%"&gt;3+&lt;/style&gt;&lt;style face="normal" font="default" size="100%"&gt; substituted La&lt;/style&gt;&lt;style face="subscript" font="default" size="100%"&gt;2&lt;/style&gt;&lt;style face="normal" font="default" size="100%"&gt;Mo&lt;/style&gt;&lt;style face="subscript" font="default" size="100%"&gt;2&lt;/style&gt;&lt;style face="normal" font="default" size="100%"&gt;O&lt;/style&gt;&lt;style face="subscript" font="default" size="100%"&gt;9&lt;/style&gt;&lt;style face="normal" font="default" size="100%"&gt; materials&lt;/style&gt;&lt;/title&gt;&lt;secondary-title&gt;J. Solid State Chem.&lt;/secondary-title&gt;&lt;/titles&gt;&lt;periodical&gt;&lt;full-title&gt;J. Solid State Chem.&lt;/full-title&gt;&lt;/periodical&gt;&lt;pages&gt;278-288&lt;/pages&gt;&lt;volume&gt;179&lt;/volume&gt;&lt;number&gt;1&lt;/number&gt;&lt;dates&gt;&lt;year&gt;2006&lt;/year&gt;&lt;pub-dates&gt;&lt;date&gt;Jan&lt;/date&gt;&lt;/pub-dates&gt;&lt;/dates&gt;&lt;accession-num&gt;ISI:000234807500037&lt;/accession-num&gt;&lt;urls&gt;&lt;related-urls&gt;&lt;url&gt;&amp;lt;Go to ISI&amp;gt;://000234807500037 &lt;/url&gt;&lt;/related-urls&gt;&lt;pdf-urls&gt;&lt;url&gt;internal-pdf://Structural studies on W6+ and Nd3+ substituted La2Mo2O9 materials-0992192001/Structural studies on W6+ and Nd3+ substituted La2Mo2O9 materials.pdf&lt;/url&gt;&lt;/pdf-urls&gt;&lt;/urls&gt;&lt;/record&gt;&lt;/Cite&gt;&lt;Cite&gt;&lt;Author&gt;Lacorre&lt;/Author&gt;&lt;Year&gt;2006&lt;/Year&gt;&lt;RecNum&gt;16&lt;/RecNum&gt;&lt;record&gt;&lt;rec-number&gt;16&lt;/rec-number&gt;&lt;ref-type name="Journal Article"&gt;17&lt;/ref-type&gt;&lt;contributors&gt;&lt;authors&gt;&lt;author&gt;Lacorre, P.&lt;/author&gt;&lt;author&gt;Selmi, A.&lt;/author&gt;&lt;author&gt;Corbel, G.&lt;/author&gt;&lt;author&gt;Boulard, B.&lt;/author&gt;&lt;/authors&gt;&lt;/contributors&gt;&lt;titles&gt;&lt;title&gt;On the flexibility of the structural framework of cubic LAMOX compounds, in relationship with their anionic conduction properties&lt;/title&gt;&lt;secondary-title&gt;Inorganic Chem.&lt;/secondary-title&gt;&lt;/titles&gt;&lt;periodical&gt;&lt;full-title&gt;Inorganic Chem.&lt;/full-title&gt;&lt;/periodical&gt;&lt;pages&gt;627-635&lt;/pages&gt;&lt;volume&gt;45&lt;/volume&gt;&lt;number&gt;2&lt;/number&gt;&lt;dates&gt;&lt;year&gt;2006&lt;/year&gt;&lt;pub-dates&gt;&lt;date&gt;Jan&lt;/date&gt;&lt;/pub-dates&gt;&lt;/dates&gt;&lt;accession-num&gt;ISI:000234905200027&lt;/accession-num&gt;&lt;urls&gt;&lt;related-urls&gt;&lt;url&gt;&amp;lt;Go to ISI&amp;gt;://000234905200027 &lt;/url&gt;&lt;/related-urls&gt;&lt;pdf-urls&gt;&lt;url&gt;internal-pdf://On the Flexibility of the Structural Framework of Cubic LAMOX-3211179521/On the Flexibility of the Structural Framework of Cubic LAMOX.pdf&lt;/url&gt;&lt;/pdf-urls&gt;&lt;/urls&gt;&lt;/record&gt;&lt;/Cite&gt;&lt;/EndNote&gt;</w:instrText>
      </w:r>
      <w:r w:rsidR="002C25FC">
        <w:fldChar w:fldCharType="separate"/>
      </w:r>
      <w:r>
        <w:t>[6, 7]</w:t>
      </w:r>
      <w:r w:rsidR="002C25FC">
        <w:fldChar w:fldCharType="end"/>
      </w:r>
      <w:r>
        <w:t xml:space="preserve">. Based upon the structure analysis, it is important to relate the crystalline structure to the electrical properties, in order to understand the oxygen transport mechanism. However to date  there have been no studies that correlate the phase transition with functional properties through combined </w:t>
      </w:r>
      <w:bookmarkStart w:id="0" w:name="OLE_LINK1"/>
      <w:bookmarkStart w:id="1" w:name="OLE_LINK2"/>
      <w:r w:rsidRPr="008E288D">
        <w:rPr>
          <w:i/>
        </w:rPr>
        <w:t>in-situ</w:t>
      </w:r>
      <w:r>
        <w:t xml:space="preserve"> structural and conductivity measurements</w:t>
      </w:r>
      <w:bookmarkEnd w:id="0"/>
      <w:bookmarkEnd w:id="1"/>
      <w:r>
        <w:t xml:space="preserve"> in La</w:t>
      </w:r>
      <w:r w:rsidRPr="00C45ED5">
        <w:rPr>
          <w:vertAlign w:val="subscript"/>
        </w:rPr>
        <w:t>2</w:t>
      </w:r>
      <w:r>
        <w:t>Mo</w:t>
      </w:r>
      <w:r w:rsidRPr="00C45ED5">
        <w:rPr>
          <w:vertAlign w:val="subscript"/>
        </w:rPr>
        <w:t>2</w:t>
      </w:r>
      <w:r>
        <w:t>O</w:t>
      </w:r>
      <w:r w:rsidRPr="00C45ED5">
        <w:rPr>
          <w:vertAlign w:val="subscript"/>
        </w:rPr>
        <w:t>9</w:t>
      </w:r>
      <w:r>
        <w:t>. Indeed there are only limited examples of this concept having been applied to conducting samples.</w:t>
      </w:r>
    </w:p>
    <w:p w:rsidR="00675475" w:rsidRDefault="00675475" w:rsidP="00CE7149">
      <w:pPr>
        <w:spacing w:line="480" w:lineRule="auto"/>
        <w:ind w:firstLine="240"/>
        <w:jc w:val="both"/>
      </w:pPr>
      <w:r>
        <w:t xml:space="preserve">The purpose of this work was to investigate the crystal structure and the simultaneous ionic conductivity change during the phase transition in </w:t>
      </w:r>
      <w:r w:rsidRPr="00A46165">
        <w:t>La</w:t>
      </w:r>
      <w:r w:rsidRPr="00A46165">
        <w:rPr>
          <w:vertAlign w:val="subscript"/>
        </w:rPr>
        <w:t>2</w:t>
      </w:r>
      <w:r w:rsidRPr="00A46165">
        <w:t>Mo</w:t>
      </w:r>
      <w:r w:rsidRPr="00A46165">
        <w:rPr>
          <w:vertAlign w:val="subscript"/>
        </w:rPr>
        <w:t>2</w:t>
      </w:r>
      <w:r w:rsidRPr="00A46165">
        <w:t>O</w:t>
      </w:r>
      <w:r w:rsidRPr="00A46165">
        <w:rPr>
          <w:vertAlign w:val="subscript"/>
        </w:rPr>
        <w:t>9</w:t>
      </w:r>
      <w:r>
        <w:t xml:space="preserve"> using a combined </w:t>
      </w:r>
      <w:r w:rsidRPr="00EC76D3">
        <w:rPr>
          <w:i/>
        </w:rPr>
        <w:t>in-situ</w:t>
      </w:r>
      <w:r>
        <w:t xml:space="preserve"> neutron diffraction and AC impedance spectroscopy, which is </w:t>
      </w:r>
      <w:r w:rsidR="00F83B56">
        <w:t>bas</w:t>
      </w:r>
      <w:r>
        <w:t xml:space="preserve">ed upon a simultaneous neutron diffraction and four-probe electrical resistance measurement technique </w:t>
      </w:r>
      <w:r w:rsidR="002C25FC">
        <w:fldChar w:fldCharType="begin"/>
      </w:r>
      <w:r>
        <w:instrText xml:space="preserve"> ADDIN EN.CITE &lt;EndNote&gt;&lt;Cite&gt;&lt;Author&gt;Engin&lt;/Author&gt;&lt;Year&gt;2008&lt;/Year&gt;&lt;RecNum&gt;314&lt;/RecNum&gt;&lt;record&gt;&lt;rec-number&gt;314&lt;/rec-number&gt;&lt;ref-type name="Journal Article"&gt;17&lt;/ref-type&gt;&lt;contributors&gt;&lt;authors&gt;&lt;author&gt;Engin, T. E.&lt;/author&gt;&lt;author&gt;Powell, A. V.&lt;/author&gt;&lt;author&gt;Haynes, R.&lt;/author&gt;&lt;author&gt;Chowdhury, M. A. H.&lt;/author&gt;&lt;author&gt;Goodway, C. M.&lt;/author&gt;&lt;author&gt;Done, R.&lt;/author&gt;&lt;author&gt;Kirichek, O.&lt;/author&gt;&lt;author&gt;Hull, S.&lt;/author&gt;&lt;/authors&gt;&lt;/contributors&gt;&lt;titles&gt;&lt;title&gt;A high temperature cell for simultaneous electrical resistance and neutron diffraction measurements&lt;/title&gt;&lt;secondary-title&gt;Rev. Sci. Instrum.&lt;/secondary-title&gt;&lt;/titles&gt;&lt;periodical&gt;&lt;full-title&gt;Rev. Sci. Instrum.&lt;/full-title&gt;&lt;/periodical&gt;&lt;pages&gt;095104&lt;/pages&gt;&lt;volume&gt;79&lt;/volume&gt;&lt;dates&gt;&lt;year&gt;2008&lt;/year&gt;&lt;/dates&gt;&lt;urls&gt;&lt;pdf-urls&gt;&lt;url&gt;internal-pdf://in-situ_cell_RevSciInstrum-0930938137/in-situ_cell_RevSciInstrum.pdf&lt;/url&gt;&lt;/pdf-urls&gt;&lt;/urls&gt;&lt;/record&gt;&lt;/Cite&gt;&lt;/EndNote&gt;</w:instrText>
      </w:r>
      <w:r w:rsidR="002C25FC">
        <w:fldChar w:fldCharType="separate"/>
      </w:r>
      <w:r>
        <w:t>[8]</w:t>
      </w:r>
      <w:r w:rsidR="002C25FC">
        <w:fldChar w:fldCharType="end"/>
      </w:r>
      <w:r>
        <w:t xml:space="preserve">. Therefore, both crystal structure and conductivity can be obtained simultaneously, from which a direct correlation between the two can be acquired. </w:t>
      </w:r>
    </w:p>
    <w:p w:rsidR="00675475" w:rsidRDefault="00675475" w:rsidP="00CE7149">
      <w:pPr>
        <w:spacing w:line="480" w:lineRule="auto"/>
        <w:jc w:val="both"/>
      </w:pPr>
    </w:p>
    <w:p w:rsidR="00675475" w:rsidRPr="0056477A" w:rsidRDefault="00675475" w:rsidP="00CE7149">
      <w:pPr>
        <w:spacing w:line="480" w:lineRule="auto"/>
        <w:jc w:val="both"/>
        <w:rPr>
          <w:b/>
        </w:rPr>
      </w:pPr>
      <w:r w:rsidRPr="0056477A">
        <w:rPr>
          <w:b/>
        </w:rPr>
        <w:t>2</w:t>
      </w:r>
      <w:r>
        <w:rPr>
          <w:b/>
        </w:rPr>
        <w:t>.</w:t>
      </w:r>
      <w:r w:rsidRPr="0056477A">
        <w:rPr>
          <w:b/>
        </w:rPr>
        <w:t xml:space="preserve"> </w:t>
      </w:r>
      <w:r>
        <w:rPr>
          <w:b/>
        </w:rPr>
        <w:t>Experimental</w:t>
      </w:r>
    </w:p>
    <w:p w:rsidR="00675475" w:rsidRDefault="00675475" w:rsidP="002F7073">
      <w:pPr>
        <w:spacing w:line="480" w:lineRule="auto"/>
        <w:ind w:firstLine="240"/>
        <w:jc w:val="both"/>
      </w:pPr>
      <w:r>
        <w:t>La</w:t>
      </w:r>
      <w:r w:rsidRPr="002B0557">
        <w:rPr>
          <w:vertAlign w:val="subscript"/>
        </w:rPr>
        <w:t>2</w:t>
      </w:r>
      <w:r>
        <w:t>Mo</w:t>
      </w:r>
      <w:r w:rsidRPr="002B0557">
        <w:rPr>
          <w:vertAlign w:val="subscript"/>
        </w:rPr>
        <w:t>2</w:t>
      </w:r>
      <w:r>
        <w:t>O</w:t>
      </w:r>
      <w:r w:rsidRPr="002B0557">
        <w:rPr>
          <w:vertAlign w:val="subscript"/>
        </w:rPr>
        <w:t>9</w:t>
      </w:r>
      <w:r>
        <w:t xml:space="preserve"> powder was synthesized by the solid state route, which has been detailed in a previous report </w:t>
      </w:r>
      <w:r w:rsidR="002C25FC">
        <w:fldChar w:fldCharType="begin"/>
      </w:r>
      <w:r>
        <w:instrText xml:space="preserve"> ADDIN EN.CITE &lt;EndNote&gt;&lt;Cite&gt;&lt;Author&gt;Liu&lt;/Author&gt;&lt;Year&gt;2010&lt;/Year&gt;&lt;RecNum&gt;163&lt;/RecNum&gt;&lt;record&gt;&lt;rec-number&gt;163&lt;/rec-number&gt;&lt;ref-type name="Journal Article"&gt;17&lt;/ref-type&gt;&lt;contributors&gt;&lt;authors&gt;&lt;author&gt;Liu, J.&lt;/author&gt;&lt;author&gt;Chater, R. J.&lt;/author&gt;&lt;author&gt;Hagenhoff, B.&lt;/author&gt;&lt;author&gt;Morris, R. J. H.&lt;/author&gt;&lt;author&gt;Skinner, S. J&lt;/author&gt;&lt;/authors&gt;&lt;/contributors&gt;&lt;titles&gt;&lt;title&gt;&lt;style face="normal" font="default" size="100%"&gt;Surface enhancement of oxygen exchange and diffusion in the ionic conductor La&lt;/style&gt;&lt;style face="subscript" font="default" size="100%"&gt;2&lt;/style&gt;&lt;style face="normal" font="default" size="100%"&gt;Mo&lt;/style&gt;&lt;style face="subscript" font="default" size="100%"&gt;2&lt;/style&gt;&lt;style face="normal" font="default" size="100%"&gt;O&lt;/style&gt;&lt;style face="subscript" font="default" size="100%"&gt;9&lt;/style&gt;&lt;/title&gt;&lt;secondary-title&gt;Solid State Ionics&lt;/secondary-title&gt;&lt;/titles&gt;&lt;periodical&gt;&lt;full-title&gt;Solid State Ionics&lt;/full-title&gt;&lt;/periodical&gt;&lt;volume&gt;In press (doi:10.1016/j.ssi.2010.04.009)&lt;/volume&gt;&lt;dates&gt;&lt;year&gt;2010&lt;/year&gt;&lt;/dates&gt;&lt;urls&gt;&lt;/urls&gt;&lt;/record&gt;&lt;/Cite&gt;&lt;/EndNote&gt;</w:instrText>
      </w:r>
      <w:r w:rsidR="002C25FC">
        <w:fldChar w:fldCharType="separate"/>
      </w:r>
      <w:r>
        <w:t>[9]</w:t>
      </w:r>
      <w:r w:rsidR="002C25FC">
        <w:fldChar w:fldCharType="end"/>
      </w:r>
      <w:r>
        <w:t xml:space="preserve">. To measure AC impedance spectra a dense pellet sample is needed and to ensure that the neutron beam can penetrate the entire sample with good data statistics a larger sample is required. Therefore in this work, a sample with a diameter of 10.8 mm and a thickness of 5.0 mm was prepared by cold uni-axial and iso-static pressing followed by sintering at 1100˚C. As electrodes, platinum paste was applied to both sides of the sample which was then heated at 800˚C for 1 hour to ensure good adherence of the electrical contact. </w:t>
      </w:r>
    </w:p>
    <w:p w:rsidR="00675475" w:rsidRDefault="00675475" w:rsidP="002F7073">
      <w:pPr>
        <w:spacing w:line="480" w:lineRule="auto"/>
        <w:ind w:firstLine="240"/>
        <w:jc w:val="both"/>
      </w:pPr>
      <w:r>
        <w:lastRenderedPageBreak/>
        <w:t>The instrument used to collect neutron diffraction data was the POLARIS diffractometer at the ISIS facility (Rutherford Appleton Laboratory, UK). Data from the backscattering detectors were used in this work (130~160˚, 2</w:t>
      </w:r>
      <w:r w:rsidRPr="00735A1D">
        <w:rPr>
          <w:i/>
        </w:rPr>
        <w:t>θ</w:t>
      </w:r>
      <w:r>
        <w:t xml:space="preserve">) </w:t>
      </w:r>
      <w:r w:rsidR="002C25FC">
        <w:fldChar w:fldCharType="begin"/>
      </w:r>
      <w:r>
        <w:instrText xml:space="preserve"> ADDIN EN.CITE &lt;EndNote&gt;&lt;Cite&gt;&lt;Author&gt;Hull&lt;/Author&gt;&lt;Year&gt;1992&lt;/Year&gt;&lt;RecNum&gt;315&lt;/RecNum&gt;&lt;record&gt;&lt;rec-number&gt;315&lt;/rec-number&gt;&lt;ref-type name="Journal Article"&gt;17&lt;/ref-type&gt;&lt;contributors&gt;&lt;authors&gt;&lt;author&gt;Hull, S.&lt;/author&gt;&lt;author&gt;Smith, R. I.&lt;/author&gt;&lt;author&gt;David, W. I. F.&lt;/author&gt;&lt;author&gt;Hannon, A. C.&lt;/author&gt;&lt;author&gt;Mayers, J.&lt;/author&gt;&lt;author&gt;Cywinski, R.&lt;/author&gt;&lt;/authors&gt;&lt;/contributors&gt;&lt;titles&gt;&lt;title&gt;The Polaris powder diffractometer at ISIS&lt;/title&gt;&lt;secondary-title&gt;Physica B-Condensed Matter&lt;/secondary-title&gt;&lt;/titles&gt;&lt;periodical&gt;&lt;full-title&gt;Physica B-Condensed Matter&lt;/full-title&gt;&lt;/periodical&gt;&lt;pages&gt;1000-1002&lt;/pages&gt;&lt;volume&gt;180-181&lt;/volume&gt;&lt;dates&gt;&lt;year&gt;1992&lt;/year&gt;&lt;/dates&gt;&lt;urls&gt;&lt;/urls&gt;&lt;/record&gt;&lt;/Cite&gt;&lt;/EndNote&gt;</w:instrText>
      </w:r>
      <w:r w:rsidR="002C25FC">
        <w:fldChar w:fldCharType="separate"/>
      </w:r>
      <w:r>
        <w:t>[10]</w:t>
      </w:r>
      <w:r w:rsidR="002C25FC">
        <w:fldChar w:fldCharType="end"/>
      </w:r>
      <w:r>
        <w:t xml:space="preserve">. The measurements were performed at variable temperatures (ranging from 500˚C to 640˚C, covering the phase transition region), using a vanadium furnace with the sample held under a static air atmosphere in the closed sample environment. </w:t>
      </w:r>
    </w:p>
    <w:p w:rsidR="00675475" w:rsidRPr="00111944" w:rsidRDefault="00675475" w:rsidP="00111944">
      <w:pPr>
        <w:spacing w:line="480" w:lineRule="auto"/>
        <w:ind w:firstLine="240"/>
        <w:jc w:val="both"/>
      </w:pPr>
      <w:r>
        <w:t xml:space="preserve"> </w:t>
      </w:r>
      <w:r w:rsidRPr="00980318">
        <w:rPr>
          <w:i/>
        </w:rPr>
        <w:t>In-situ</w:t>
      </w:r>
      <w:r>
        <w:t xml:space="preserve"> AC impedance measurements were carried out in static air in the frequency range of 5 MHz~0.1 Hz with an AC amplitude of 100 mV using a Solartron 1260 Frequency Response Analyser</w:t>
      </w:r>
      <w:r w:rsidRPr="00F8286D">
        <w:t xml:space="preserve"> </w:t>
      </w:r>
      <w:r>
        <w:t xml:space="preserve">(FRA). The impedance measurement rig, designed and built at ISIS </w:t>
      </w:r>
      <w:r w:rsidR="002C25FC">
        <w:fldChar w:fldCharType="begin"/>
      </w:r>
      <w:r>
        <w:instrText xml:space="preserve"> ADDIN EN.CITE &lt;EndNote&gt;&lt;Cite&gt;&lt;Author&gt;Engin&lt;/Author&gt;&lt;Year&gt;2008&lt;/Year&gt;&lt;RecNum&gt;314&lt;/RecNum&gt;&lt;record&gt;&lt;rec-number&gt;314&lt;/rec-number&gt;&lt;ref-type name="Journal Article"&gt;17&lt;/ref-type&gt;&lt;contributors&gt;&lt;authors&gt;&lt;author&gt;Engin, T. E.&lt;/author&gt;&lt;author&gt;Powell, A. V.&lt;/author&gt;&lt;author&gt;Haynes, R.&lt;/author&gt;&lt;author&gt;Chowdhury, M. A. H.&lt;/author&gt;&lt;author&gt;Goodway, C. M.&lt;/author&gt;&lt;author&gt;Done, R.&lt;/author&gt;&lt;author&gt;Kirichek, O.&lt;/author&gt;&lt;author&gt;Hull, S.&lt;/author&gt;&lt;/authors&gt;&lt;/contributors&gt;&lt;titles&gt;&lt;title&gt;A high temperature cell for simultaneous electrical resistance and neutron diffraction measurements&lt;/title&gt;&lt;secondary-title&gt;Rev. Sci. Instrum.&lt;/secondary-title&gt;&lt;/titles&gt;&lt;periodical&gt;&lt;full-title&gt;Rev. Sci. Instrum.&lt;/full-title&gt;&lt;/periodical&gt;&lt;pages&gt;095104&lt;/pages&gt;&lt;volume&gt;79&lt;/volume&gt;&lt;dates&gt;&lt;year&gt;2008&lt;/year&gt;&lt;/dates&gt;&lt;urls&gt;&lt;pdf-urls&gt;&lt;url&gt;internal-pdf://in-situ_cell_RevSciInstrum-0930938137/in-situ_cell_RevSciInstrum.pdf&lt;/url&gt;&lt;/pdf-urls&gt;&lt;/urls&gt;&lt;/record&gt;&lt;/Cite&gt;&lt;/EndNote&gt;</w:instrText>
      </w:r>
      <w:r w:rsidR="002C25FC">
        <w:fldChar w:fldCharType="separate"/>
      </w:r>
      <w:r>
        <w:t>[8]</w:t>
      </w:r>
      <w:r w:rsidR="002C25FC">
        <w:fldChar w:fldCharType="end"/>
      </w:r>
      <w:r>
        <w:t xml:space="preserve">, was mounted vertically in the furnace which was put in the sample tank. The neutron diffraction data were recorded on the middle of the sample to avoid collecting additional diffraction data from the platinum electrodes on both sides of the pellet. </w:t>
      </w:r>
    </w:p>
    <w:p w:rsidR="00675475" w:rsidRDefault="00675475" w:rsidP="000B58CA">
      <w:pPr>
        <w:spacing w:line="480" w:lineRule="auto"/>
        <w:ind w:firstLine="240"/>
        <w:jc w:val="both"/>
      </w:pPr>
      <w:r>
        <w:t xml:space="preserve">The sample was held at each temperature for 2 hours for thermal equilibration, during which period neutron diffraction data collection was conducted and several impedance spectra were collected to observe any change of the resistance during the equilibration.  2 hours was also the minimum time required to obtain good quality neutron diffraction data. </w:t>
      </w:r>
    </w:p>
    <w:p w:rsidR="00675475" w:rsidRDefault="00675475" w:rsidP="000B58CA">
      <w:pPr>
        <w:spacing w:line="480" w:lineRule="auto"/>
        <w:ind w:firstLine="240"/>
        <w:jc w:val="both"/>
      </w:pPr>
      <w:r>
        <w:t xml:space="preserve">After the </w:t>
      </w:r>
      <w:r w:rsidRPr="00CC7963">
        <w:rPr>
          <w:i/>
        </w:rPr>
        <w:t>in-situ</w:t>
      </w:r>
      <w:r>
        <w:t xml:space="preserve"> diffraction and conductivity measurement, a</w:t>
      </w:r>
      <w:r w:rsidRPr="00D46123">
        <w:t xml:space="preserve">n AC impedance measurement was also conducted on </w:t>
      </w:r>
      <w:r>
        <w:t xml:space="preserve">the same sample </w:t>
      </w:r>
      <w:r w:rsidRPr="00D46123">
        <w:t>in the lab</w:t>
      </w:r>
      <w:r>
        <w:t>oratory at Imperial College London</w:t>
      </w:r>
      <w:r w:rsidRPr="00D46123">
        <w:t xml:space="preserve"> under </w:t>
      </w:r>
      <w:r>
        <w:t xml:space="preserve">a </w:t>
      </w:r>
      <w:r w:rsidRPr="00D46123">
        <w:t xml:space="preserve">static air atmosphere using the same AC impedance instrument with an applied potential of 50 mV in the frequency range of 13 MHz ~ 0.1 Hz, in order to </w:t>
      </w:r>
      <w:r>
        <w:t xml:space="preserve">verify </w:t>
      </w:r>
      <w:r w:rsidRPr="00D46123">
        <w:t>the</w:t>
      </w:r>
      <w:r>
        <w:t xml:space="preserve"> conductivity obtained from the</w:t>
      </w:r>
      <w:r w:rsidRPr="00D46123">
        <w:t xml:space="preserve"> </w:t>
      </w:r>
      <w:r w:rsidRPr="00111944">
        <w:rPr>
          <w:i/>
        </w:rPr>
        <w:t>in-situ</w:t>
      </w:r>
      <w:r>
        <w:t xml:space="preserve"> experiment</w:t>
      </w:r>
      <w:r w:rsidRPr="00D46123">
        <w:t>.</w:t>
      </w:r>
    </w:p>
    <w:p w:rsidR="00675475" w:rsidRDefault="00675475" w:rsidP="00314F69">
      <w:pPr>
        <w:spacing w:line="480" w:lineRule="auto"/>
        <w:ind w:firstLine="240"/>
        <w:jc w:val="both"/>
      </w:pPr>
      <w:r>
        <w:t xml:space="preserve">In the current study, the correlation between lattice parameters and the conductivities during the phase transition region was investigated. As the structure of </w:t>
      </w:r>
      <w:r>
        <w:lastRenderedPageBreak/>
        <w:t xml:space="preserve">both </w:t>
      </w:r>
      <w:r w:rsidRPr="00E507BC">
        <w:rPr>
          <w:rFonts w:ascii="Symbol" w:hAnsi="Symbol"/>
          <w:i/>
        </w:rPr>
        <w:t></w:t>
      </w:r>
      <w:r>
        <w:t xml:space="preserve"> and </w:t>
      </w:r>
      <w:r w:rsidRPr="00E507BC">
        <w:rPr>
          <w:rFonts w:ascii="Symbol" w:hAnsi="Symbol"/>
          <w:i/>
        </w:rPr>
        <w:t></w:t>
      </w:r>
      <w:r>
        <w:t xml:space="preserve"> La</w:t>
      </w:r>
      <w:r w:rsidRPr="00AA2862">
        <w:rPr>
          <w:vertAlign w:val="subscript"/>
        </w:rPr>
        <w:t>2</w:t>
      </w:r>
      <w:r>
        <w:t>Mo</w:t>
      </w:r>
      <w:r w:rsidRPr="00AA2862">
        <w:rPr>
          <w:vertAlign w:val="subscript"/>
        </w:rPr>
        <w:t>2</w:t>
      </w:r>
      <w:r>
        <w:t>O</w:t>
      </w:r>
      <w:r w:rsidRPr="00AA2862">
        <w:rPr>
          <w:vertAlign w:val="subscript"/>
        </w:rPr>
        <w:t>9</w:t>
      </w:r>
      <w:r>
        <w:t xml:space="preserve"> has previously been reported, only the Le Bail method </w:t>
      </w:r>
      <w:r w:rsidR="002C25FC">
        <w:fldChar w:fldCharType="begin"/>
      </w:r>
      <w:r>
        <w:instrText xml:space="preserve"> ADDIN EN.CITE &lt;EndNote&gt;&lt;Cite&gt;&lt;Author&gt;Le Bail&lt;/Author&gt;&lt;Year&gt;1988&lt;/Year&gt;&lt;RecNum&gt;210&lt;/RecNum&gt;&lt;record&gt;&lt;rec-number&gt;210&lt;/rec-number&gt;&lt;ref-type name="Journal Article"&gt;17&lt;/ref-type&gt;&lt;contributors&gt;&lt;authors&gt;&lt;author&gt;Le Bail, A.&lt;/author&gt;&lt;author&gt;Duroy, H.&lt;/author&gt;&lt;author&gt;Fourquet, J. L.&lt;/author&gt;&lt;/authors&gt;&lt;/contributors&gt;&lt;titles&gt;&lt;title&gt;&lt;style face="normal" font="default" size="100%"&gt;Ab-initio structure determination of LiSbWO&lt;/style&gt;&lt;style face="subscript" font="default" size="100%"&gt;6&lt;/style&gt;&lt;style face="normal" font="default" size="100%"&gt; by X-ray powder diffraction&lt;/style&gt;&lt;/title&gt;&lt;secondary-title&gt;Mater. Res. Bull.&lt;/secondary-title&gt;&lt;/titles&gt;&lt;periodical&gt;&lt;full-title&gt;Mater. Res. Bull.&lt;/full-title&gt;&lt;/periodical&gt;&lt;pages&gt;447-452&lt;/pages&gt;&lt;volume&gt;23&lt;/volume&gt;&lt;dates&gt;&lt;year&gt;1988&lt;/year&gt;&lt;/dates&gt;&lt;urls&gt;&lt;/urls&gt;&lt;/record&gt;&lt;/Cite&gt;&lt;/EndNote&gt;</w:instrText>
      </w:r>
      <w:r w:rsidR="002C25FC">
        <w:fldChar w:fldCharType="separate"/>
      </w:r>
      <w:r>
        <w:t>[11]</w:t>
      </w:r>
      <w:r w:rsidR="002C25FC">
        <w:fldChar w:fldCharType="end"/>
      </w:r>
      <w:r>
        <w:t xml:space="preserve"> was applied to extract lattice parameters from neutron diffraction patterns. Without refining the structure factors</w:t>
      </w:r>
      <w:r w:rsidR="00F83B56">
        <w:t>,</w:t>
      </w:r>
      <w:r>
        <w:t xml:space="preserve"> </w:t>
      </w:r>
      <w:r w:rsidRPr="000D7FBD">
        <w:rPr>
          <w:i/>
        </w:rPr>
        <w:t>F</w:t>
      </w:r>
      <w:r w:rsidRPr="000D7FBD">
        <w:rPr>
          <w:i/>
          <w:vertAlign w:val="subscript"/>
        </w:rPr>
        <w:t>hkl</w:t>
      </w:r>
      <w:r w:rsidR="00F83B56">
        <w:t xml:space="preserve">, </w:t>
      </w:r>
      <w:r>
        <w:t xml:space="preserve">of all atoms in the unit cell which includes atom positions, scattering factors, atomic site occupation and thermal factors, the Le Bail method estimates reflection intensities by refining unit cell parameters, background, peak shape and diffractometer parameters. It yields the best possible intensity values and optimal experimental parameters (background, unit cell </w:t>
      </w:r>
      <w:r w:rsidRPr="00DE5980">
        <w:rPr>
          <w:i/>
        </w:rPr>
        <w:t>etc</w:t>
      </w:r>
      <w:r>
        <w:t xml:space="preserve">). The Le Bail extraction was performed using GSAS (General Structure Analysis System) + EXPGUI software </w:t>
      </w:r>
      <w:r w:rsidR="002C25FC">
        <w:fldChar w:fldCharType="begin"/>
      </w:r>
      <w:r>
        <w:instrText xml:space="preserve"> ADDIN EN.CITE &lt;EndNote&gt;&lt;Cite&gt;&lt;Author&gt;Larson&lt;/Author&gt;&lt;Year&gt;1994&lt;/Year&gt;&lt;RecNum&gt;257&lt;/RecNum&gt;&lt;record&gt;&lt;rec-number&gt;257&lt;/rec-number&gt;&lt;ref-type name="Report"&gt;27&lt;/ref-type&gt;&lt;contributors&gt;&lt;authors&gt;&lt;author&gt;Larson, A. C.&lt;/author&gt;&lt;author&gt;Von Dreele, R. B.&lt;/author&gt;&lt;/authors&gt;&lt;/contributors&gt;&lt;titles&gt;&lt;title&gt;General structure analysis system (GSAS)&lt;/title&gt;&lt;/titles&gt;&lt;number&gt;LAUR 86-748&lt;/number&gt;&lt;dates&gt;&lt;year&gt;1994&lt;/year&gt;&lt;/dates&gt;&lt;publisher&gt;Los Alamos National Laboratory Report &lt;/publisher&gt;&lt;urls&gt;&lt;/urls&gt;&lt;/record&gt;&lt;/Cite&gt;&lt;Cite&gt;&lt;Author&gt;Toby&lt;/Author&gt;&lt;Year&gt;2001&lt;/Year&gt;&lt;RecNum&gt;258&lt;/RecNum&gt;&lt;record&gt;&lt;rec-number&gt;258&lt;/rec-number&gt;&lt;ref-type name="Journal Article"&gt;17&lt;/ref-type&gt;&lt;contributors&gt;&lt;authors&gt;&lt;author&gt;Toby, B. H.&lt;/author&gt;&lt;/authors&gt;&lt;/contributors&gt;&lt;titles&gt;&lt;title&gt;EXPGUI, a graphical user interface for GSAS&lt;/title&gt;&lt;secondary-title&gt;J. Appl. Cryst.&lt;/secondary-title&gt;&lt;/titles&gt;&lt;periodical&gt;&lt;full-title&gt;J. Appl. Cryst.&lt;/full-title&gt;&lt;/periodical&gt;&lt;pages&gt;210-213&lt;/pages&gt;&lt;volume&gt;34&lt;/volume&gt;&lt;dates&gt;&lt;year&gt;2001&lt;/year&gt;&lt;/dates&gt;&lt;urls&gt;&lt;/urls&gt;&lt;/record&gt;&lt;/Cite&gt;&lt;/EndNote&gt;</w:instrText>
      </w:r>
      <w:r w:rsidR="002C25FC">
        <w:fldChar w:fldCharType="separate"/>
      </w:r>
      <w:r>
        <w:t>[12, 13]</w:t>
      </w:r>
      <w:r w:rsidR="002C25FC">
        <w:fldChar w:fldCharType="end"/>
      </w:r>
      <w:r>
        <w:t xml:space="preserve">. Diffraction patterns were analysed by comparison with  the previously reported structural models for </w:t>
      </w:r>
      <w:r w:rsidRPr="000730BB">
        <w:rPr>
          <w:i/>
        </w:rPr>
        <w:t>α</w:t>
      </w:r>
      <w:r>
        <w:t>-La</w:t>
      </w:r>
      <w:r w:rsidRPr="00DC0AFF">
        <w:rPr>
          <w:vertAlign w:val="subscript"/>
        </w:rPr>
        <w:t>2</w:t>
      </w:r>
      <w:r>
        <w:t>Mo</w:t>
      </w:r>
      <w:r w:rsidRPr="00DC0AFF">
        <w:rPr>
          <w:vertAlign w:val="subscript"/>
        </w:rPr>
        <w:t>2</w:t>
      </w:r>
      <w:r>
        <w:t>O</w:t>
      </w:r>
      <w:r w:rsidRPr="00DC0AFF">
        <w:rPr>
          <w:vertAlign w:val="subscript"/>
        </w:rPr>
        <w:t>9</w:t>
      </w:r>
      <w:r>
        <w:t xml:space="preserve"> and </w:t>
      </w:r>
      <w:r w:rsidRPr="000730BB">
        <w:rPr>
          <w:i/>
        </w:rPr>
        <w:t>β</w:t>
      </w:r>
      <w:r>
        <w:t>-La</w:t>
      </w:r>
      <w:r w:rsidRPr="00DC0AFF">
        <w:rPr>
          <w:vertAlign w:val="subscript"/>
        </w:rPr>
        <w:t>2</w:t>
      </w:r>
      <w:r>
        <w:t>Mo</w:t>
      </w:r>
      <w:r w:rsidRPr="00DC0AFF">
        <w:rPr>
          <w:vertAlign w:val="subscript"/>
        </w:rPr>
        <w:t>2</w:t>
      </w:r>
      <w:r>
        <w:t>O</w:t>
      </w:r>
      <w:r w:rsidRPr="00DC0AFF">
        <w:rPr>
          <w:vertAlign w:val="subscript"/>
        </w:rPr>
        <w:t>9</w:t>
      </w:r>
      <w:r>
        <w:t xml:space="preserve"> </w:t>
      </w:r>
      <w:r w:rsidR="002C25FC">
        <w:fldChar w:fldCharType="begin"/>
      </w:r>
      <w:r>
        <w:instrText xml:space="preserve"> ADDIN EN.CITE &lt;EndNote&gt;&lt;Cite&gt;&lt;Author&gt;Evans&lt;/Author&gt;&lt;Year&gt;2005&lt;/Year&gt;&lt;RecNum&gt;32&lt;/RecNum&gt;&lt;record&gt;&lt;rec-number&gt;32&lt;/rec-number&gt;&lt;ref-type name="Journal Article"&gt;17&lt;/ref-type&gt;&lt;contributors&gt;&lt;authors&gt;&lt;author&gt;Evans, I. R.&lt;/author&gt;&lt;author&gt;Howard, J. A. K.&lt;/author&gt;&lt;author&gt;Evans, J. S. O.&lt;/author&gt;&lt;/authors&gt;&lt;/contributors&gt;&lt;titles&gt;&lt;title&gt;&lt;style face="normal" font="default" size="100%"&gt;The crystal structure of alpha-La&lt;/style&gt;&lt;style face="subscript" font="default" size="100%"&gt;2&lt;/style&gt;&lt;style face="normal" font="default" size="100%"&gt;Mo&lt;/style&gt;&lt;style face="subscript" font="default" size="100%"&gt;2&lt;/style&gt;&lt;style face="normal" font="default" size="100%"&gt;O&lt;/style&gt;&lt;style face="subscript" font="default" size="100%"&gt;9&lt;/style&gt;&lt;style face="normal" font="default" size="100%"&gt; and the structural origin of the oxide ion migration pathway&lt;/style&gt;&lt;/title&gt;&lt;secondary-title&gt;Chem. Mater.&lt;/secondary-title&gt;&lt;/titles&gt;&lt;periodical&gt;&lt;full-title&gt;Chem. Mater.&lt;/full-title&gt;&lt;/periodical&gt;&lt;pages&gt;4074-4077&lt;/pages&gt;&lt;volume&gt;17&lt;/volume&gt;&lt;number&gt;16&lt;/number&gt;&lt;dates&gt;&lt;year&gt;2005&lt;/year&gt;&lt;pub-dates&gt;&lt;date&gt;Aug&lt;/date&gt;&lt;/pub-dates&gt;&lt;/dates&gt;&lt;accession-num&gt;ISI:000231043200009&lt;/accession-num&gt;&lt;urls&gt;&lt;related-urls&gt;&lt;url&gt;&amp;lt;Go to ISI&amp;gt;://000231043200009 &lt;/url&gt;&lt;/related-urls&gt;&lt;pdf-urls&gt;&lt;url&gt;internal-pdf://The Crystal Structure of r-La2Mo2O9 and the Structural Origin of-3476946176/The Crystal Structure of r-La2Mo2O9 and the Structural Origin of.pdf&lt;/url&gt;&lt;url&gt;internal-pdf://The Crystal Structure of a-La2Mo2O9 and the Structural Origin of-2621335040/The Crystal Structure of a-La2Mo2O9 and the Structural Origin of.pdf&lt;/url&gt;&lt;/pdf-urls&gt;&lt;/urls&gt;&lt;/record&gt;&lt;/Cite&gt;&lt;Cite&gt;&lt;Author&gt;Goutenoire&lt;/Author&gt;&lt;Year&gt;2000&lt;/Year&gt;&lt;RecNum&gt;27&lt;/RecNum&gt;&lt;record&gt;&lt;rec-number&gt;27&lt;/rec-number&gt;&lt;ref-type name="Journal Article"&gt;17&lt;/ref-type&gt;&lt;contributors&gt;&lt;authors&gt;&lt;author&gt;Goutenoire, F.&lt;/author&gt;&lt;author&gt;Isnard, O.&lt;/author&gt;&lt;author&gt;Retoux, R.&lt;/author&gt;&lt;author&gt;Lacorre, P.&lt;/author&gt;&lt;/authors&gt;&lt;/contributors&gt;&lt;titles&gt;&lt;title&gt;&lt;style face="normal" font="default" size="100%"&gt;Crystal Structure of La&lt;/style&gt;&lt;style face="subscript" font="default" size="100%"&gt;2&lt;/style&gt;&lt;style face="normal" font="default" size="100%"&gt;Mo&lt;/style&gt;&lt;style face="subscript" font="default" size="100%"&gt;2&lt;/style&gt;&lt;style face="normal" font="default" size="100%"&gt;O&lt;/style&gt;&lt;style face="subscript" font="default" size="100%"&gt;9&lt;/style&gt;&lt;style face="normal" font="default" size="100%"&gt;, a New Fast Oxide-Ion Conductor&lt;/style&gt;&lt;/title&gt;&lt;secondary-title&gt;Chem. Mater.&lt;/secondary-title&gt;&lt;/titles&gt;&lt;periodical&gt;&lt;full-title&gt;Chem. Mater.&lt;/full-title&gt;&lt;/periodical&gt;&lt;pages&gt;2575-2580&lt;/pages&gt;&lt;volume&gt;12&lt;/volume&gt;&lt;number&gt;9&lt;/number&gt;&lt;dates&gt;&lt;year&gt;2000&lt;/year&gt;&lt;/dates&gt;&lt;urls&gt;&lt;pdf-urls&gt;&lt;url&gt;internal-pdf://Ref 7-Crystal Structure of La2Mo2O9, a New Fast Oxide-Ion-1177110784/Ref 7-Crystal Structure of La2Mo2O9, a New Fast Oxide-Ion.pdf&lt;/url&gt;&lt;/pdf-urls&gt;&lt;/urls&gt;&lt;/record&gt;&lt;/Cite&gt;&lt;/EndNote&gt;</w:instrText>
      </w:r>
      <w:r w:rsidR="002C25FC">
        <w:fldChar w:fldCharType="separate"/>
      </w:r>
      <w:r>
        <w:t>[4, 14]</w:t>
      </w:r>
      <w:r w:rsidR="002C25FC">
        <w:fldChar w:fldCharType="end"/>
      </w:r>
      <w:r>
        <w:t>.</w:t>
      </w:r>
      <w:r w:rsidRPr="00314F69">
        <w:t xml:space="preserve"> </w:t>
      </w:r>
      <w:r>
        <w:t>The extracted unit cell parameters were correlated with the conductivity variations during the heating and cooling stages.</w:t>
      </w:r>
    </w:p>
    <w:p w:rsidR="00675475" w:rsidRDefault="00675475" w:rsidP="00CE7149">
      <w:pPr>
        <w:spacing w:line="480" w:lineRule="auto"/>
        <w:ind w:firstLine="240"/>
        <w:jc w:val="both"/>
      </w:pPr>
    </w:p>
    <w:p w:rsidR="00675475" w:rsidRPr="00141378" w:rsidRDefault="00675475" w:rsidP="00141378">
      <w:pPr>
        <w:spacing w:line="480" w:lineRule="auto"/>
        <w:jc w:val="both"/>
        <w:rPr>
          <w:b/>
        </w:rPr>
      </w:pPr>
      <w:r w:rsidRPr="00141378">
        <w:rPr>
          <w:b/>
        </w:rPr>
        <w:t>3. Results</w:t>
      </w:r>
      <w:r>
        <w:rPr>
          <w:b/>
        </w:rPr>
        <w:t xml:space="preserve"> and Discussion</w:t>
      </w:r>
    </w:p>
    <w:p w:rsidR="00675475" w:rsidRDefault="00675475" w:rsidP="003D2751">
      <w:pPr>
        <w:spacing w:line="480" w:lineRule="auto"/>
        <w:ind w:firstLine="240"/>
        <w:jc w:val="both"/>
      </w:pPr>
      <w:r>
        <w:rPr>
          <w:lang w:val="en-US"/>
        </w:rPr>
        <w:t>Fig. 1 presents two neutron diffraction patterns of La</w:t>
      </w:r>
      <w:r w:rsidRPr="00C34E44">
        <w:rPr>
          <w:vertAlign w:val="subscript"/>
          <w:lang w:val="en-US"/>
        </w:rPr>
        <w:t>2</w:t>
      </w:r>
      <w:r>
        <w:rPr>
          <w:lang w:val="en-US"/>
        </w:rPr>
        <w:t>Mo</w:t>
      </w:r>
      <w:r w:rsidRPr="00C34E44">
        <w:rPr>
          <w:vertAlign w:val="subscript"/>
          <w:lang w:val="en-US"/>
        </w:rPr>
        <w:t>2</w:t>
      </w:r>
      <w:r>
        <w:rPr>
          <w:lang w:val="en-US"/>
        </w:rPr>
        <w:t>O</w:t>
      </w:r>
      <w:r w:rsidRPr="00C34E44">
        <w:rPr>
          <w:vertAlign w:val="subscript"/>
          <w:lang w:val="en-US"/>
        </w:rPr>
        <w:t>9</w:t>
      </w:r>
      <w:r>
        <w:rPr>
          <w:lang w:val="en-US"/>
        </w:rPr>
        <w:t xml:space="preserve"> recorded at 560</w:t>
      </w:r>
      <w:r>
        <w:t xml:space="preserve">˚C and 580˚C when the material exists as the two different phases. The pattern collected at 580˚C is indexed as a cubic structure in agreement with literature reports </w:t>
      </w:r>
      <w:r w:rsidR="002C25FC">
        <w:fldChar w:fldCharType="begin"/>
      </w:r>
      <w:r>
        <w:instrText xml:space="preserve"> ADDIN EN.CITE &lt;EndNote&gt;&lt;Cite&gt;&lt;Author&gt;Goutenoire&lt;/Author&gt;&lt;Year&gt;2000&lt;/Year&gt;&lt;RecNum&gt;27&lt;/RecNum&gt;&lt;record&gt;&lt;rec-number&gt;27&lt;/rec-number&gt;&lt;ref-type name="Journal Article"&gt;17&lt;/ref-type&gt;&lt;contributors&gt;&lt;authors&gt;&lt;author&gt;Goutenoire, F.&lt;/author&gt;&lt;author&gt;Isnard, O.&lt;/author&gt;&lt;author&gt;Retoux, R.&lt;/author&gt;&lt;author&gt;Lacorre, P.&lt;/author&gt;&lt;/authors&gt;&lt;/contributors&gt;&lt;titles&gt;&lt;title&gt;&lt;style face="normal" font="default" size="100%"&gt;Crystal Structure of La&lt;/style&gt;&lt;style face="subscript" font="default" size="100%"&gt;2&lt;/style&gt;&lt;style face="normal" font="default" size="100%"&gt;Mo&lt;/style&gt;&lt;style face="subscript" font="default" size="100%"&gt;2&lt;/style&gt;&lt;style face="normal" font="default" size="100%"&gt;O&lt;/style&gt;&lt;style face="subscript" font="default" size="100%"&gt;9&lt;/style&gt;&lt;style face="normal" font="default" size="100%"&gt;, a New Fast Oxide-Ion Conductor&lt;/style&gt;&lt;/title&gt;&lt;secondary-title&gt;Chem. Mater.&lt;/secondary-title&gt;&lt;/titles&gt;&lt;periodical&gt;&lt;full-title&gt;Chem. Mater.&lt;/full-title&gt;&lt;/periodical&gt;&lt;pages&gt;2575-2580&lt;/pages&gt;&lt;volume&gt;12&lt;/volume&gt;&lt;number&gt;9&lt;/number&gt;&lt;dates&gt;&lt;year&gt;2000&lt;/year&gt;&lt;/dates&gt;&lt;urls&gt;&lt;pdf-urls&gt;&lt;url&gt;internal-pdf://Ref 7-Crystal Structure of La2Mo2O9, a New Fast Oxide-Ion-1177110784/Ref 7-Crystal Structure of La2Mo2O9, a New Fast Oxide-Ion.pdf&lt;/url&gt;&lt;/pdf-urls&gt;&lt;/urls&gt;&lt;/record&gt;&lt;/Cite&gt;&lt;/EndNote&gt;</w:instrText>
      </w:r>
      <w:r w:rsidR="002C25FC">
        <w:fldChar w:fldCharType="separate"/>
      </w:r>
      <w:r>
        <w:t>[14]</w:t>
      </w:r>
      <w:r w:rsidR="002C25FC">
        <w:fldChar w:fldCharType="end"/>
      </w:r>
      <w:r>
        <w:t xml:space="preserve">. Clearly, at 560˚C the diffraction data for </w:t>
      </w:r>
      <w:r w:rsidRPr="000730BB">
        <w:rPr>
          <w:i/>
        </w:rPr>
        <w:t>α</w:t>
      </w:r>
      <w:r>
        <w:t>-La</w:t>
      </w:r>
      <w:r w:rsidRPr="00225D61">
        <w:rPr>
          <w:vertAlign w:val="subscript"/>
        </w:rPr>
        <w:t>2</w:t>
      </w:r>
      <w:r>
        <w:t>Mo</w:t>
      </w:r>
      <w:r w:rsidRPr="00225D61">
        <w:rPr>
          <w:vertAlign w:val="subscript"/>
        </w:rPr>
        <w:t>2</w:t>
      </w:r>
      <w:r>
        <w:t>O</w:t>
      </w:r>
      <w:r w:rsidRPr="00225D61">
        <w:rPr>
          <w:vertAlign w:val="subscript"/>
        </w:rPr>
        <w:t>9</w:t>
      </w:r>
      <w:r>
        <w:t xml:space="preserve"> indicates a lower symmetry than that for β-La</w:t>
      </w:r>
      <w:r w:rsidRPr="00225D61">
        <w:rPr>
          <w:vertAlign w:val="subscript"/>
        </w:rPr>
        <w:t>2</w:t>
      </w:r>
      <w:r>
        <w:t>Mo</w:t>
      </w:r>
      <w:r w:rsidRPr="00225D61">
        <w:rPr>
          <w:vertAlign w:val="subscript"/>
        </w:rPr>
        <w:t>2</w:t>
      </w:r>
      <w:r>
        <w:t>O</w:t>
      </w:r>
      <w:r w:rsidRPr="00225D61">
        <w:rPr>
          <w:vertAlign w:val="subscript"/>
        </w:rPr>
        <w:t>9</w:t>
      </w:r>
      <w:r>
        <w:t xml:space="preserve"> recorded at 580˚C. The disappearance of the small extra peaks (as indicated by * in Fig. 1) and the sharpening of peaks labelled as (123), (122) and (112) when the temperature is increased to 580˚C suggests a transformation from the monoclinic superstructure to a cubic phase, as expected from the literature reports </w:t>
      </w:r>
      <w:r w:rsidR="002C25FC">
        <w:fldChar w:fldCharType="begin"/>
      </w:r>
      <w:r>
        <w:instrText xml:space="preserve"> ADDIN EN.CITE &lt;EndNote&gt;&lt;Cite&gt;&lt;Author&gt;Lacorre&lt;/Author&gt;&lt;Year&gt;2000&lt;/Year&gt;&lt;RecNum&gt;92&lt;/RecNum&gt;&lt;record&gt;&lt;rec-number&gt;92&lt;/rec-number&gt;&lt;ref-type name="Journal Article"&gt;17&lt;/ref-type&gt;&lt;contributors&gt;&lt;authors&gt;&lt;author&gt;Lacorre, P.&lt;/author&gt;&lt;author&gt;Goutenoire, F. &lt;/author&gt;&lt;author&gt;Bohnke, O. &lt;/author&gt;&lt;/authors&gt;&lt;/contributors&gt;&lt;titles&gt;&lt;title&gt;&lt;style face="normal" font="default" size="100%"&gt;Designing fast oxide-ion conductors based on La&lt;/style&gt;&lt;style face="subscript" font="default" size="100%"&gt;2&lt;/style&gt;&lt;style face="normal" font="default" size="100%"&gt;Mo&lt;/style&gt;&lt;style face="subscript" font="default" size="100%"&gt;2&lt;/style&gt;&lt;style face="normal" font="default" size="100%"&gt;O&lt;/style&gt;&lt;style face="subscript" font="default" size="100%"&gt;9&lt;/style&gt;&lt;/title&gt;&lt;secondary-title&gt;Nature&lt;/secondary-title&gt;&lt;/titles&gt;&lt;periodical&gt;&lt;full-title&gt;Nature&lt;/full-title&gt;&lt;/periodical&gt;&lt;pages&gt;856-858&lt;/pages&gt;&lt;volume&gt;404&lt;/volume&gt;&lt;dates&gt;&lt;year&gt;2000&lt;/year&gt;&lt;/dates&gt;&lt;urls&gt;&lt;/urls&gt;&lt;/record&gt;&lt;/Cite&gt;&lt;/EndNote&gt;</w:instrText>
      </w:r>
      <w:r w:rsidR="002C25FC">
        <w:fldChar w:fldCharType="separate"/>
      </w:r>
      <w:r>
        <w:t>[1]</w:t>
      </w:r>
      <w:r w:rsidR="002C25FC">
        <w:fldChar w:fldCharType="end"/>
      </w:r>
      <w:r>
        <w:t>.</w:t>
      </w:r>
    </w:p>
    <w:p w:rsidR="00675475" w:rsidRDefault="00675475" w:rsidP="00080DA2">
      <w:pPr>
        <w:spacing w:line="480" w:lineRule="auto"/>
        <w:ind w:firstLine="240"/>
        <w:jc w:val="both"/>
      </w:pPr>
      <w:r w:rsidRPr="0061319C">
        <w:t xml:space="preserve">A typical </w:t>
      </w:r>
      <w:r>
        <w:t xml:space="preserve">impedance </w:t>
      </w:r>
      <w:r w:rsidRPr="0061319C">
        <w:t xml:space="preserve">spectrum from the </w:t>
      </w:r>
      <w:r w:rsidRPr="00E7073C">
        <w:rPr>
          <w:i/>
        </w:rPr>
        <w:t>in-situ</w:t>
      </w:r>
      <w:r w:rsidRPr="0061319C">
        <w:t xml:space="preserve"> me</w:t>
      </w:r>
      <w:r>
        <w:t xml:space="preserve">asurement is displayed in Fig. 2. As can be seen in the figure, the high-frequency arc, normally attributed to the grain bulk, is not present in the spectrum.  Each data set recorded has been fitted to an </w:t>
      </w:r>
      <w:r>
        <w:lastRenderedPageBreak/>
        <w:t xml:space="preserve">equivalent circuit model, attributing capacitance and resistance to each of the spectral components. Detailed discussion of the analysis of impedance spectra is given elsewhere </w:t>
      </w:r>
      <w:r w:rsidR="002C25FC">
        <w:fldChar w:fldCharType="begin"/>
      </w:r>
      <w:r>
        <w:instrText xml:space="preserve"> ADDIN EN.CITE &lt;EndNote&gt;&lt;Cite&gt;&lt;Author&gt;Irvine&lt;/Author&gt;&lt;Year&gt;1990&lt;/Year&gt;&lt;RecNum&gt;213&lt;/RecNum&gt;&lt;record&gt;&lt;rec-number&gt;213&lt;/rec-number&gt;&lt;ref-type name="Journal Article"&gt;17&lt;/ref-type&gt;&lt;contributors&gt;&lt;authors&gt;&lt;author&gt;Irvine, J. T. S.&lt;/author&gt;&lt;author&gt;Sinclair, D. C.&lt;/author&gt;&lt;author&gt;West, A. R.&lt;/author&gt;&lt;/authors&gt;&lt;/contributors&gt;&lt;titles&gt;&lt;title&gt;Electroceramics: Characterization by Impedance Spectroscopy&lt;/title&gt;&lt;secondary-title&gt;Adv. Mater.&lt;/secondary-title&gt;&lt;/titles&gt;&lt;periodical&gt;&lt;full-title&gt;Adv. Mater.&lt;/full-title&gt;&lt;/periodical&gt;&lt;pages&gt;132-138&lt;/pages&gt;&lt;volume&gt;2&lt;/volume&gt;&lt;number&gt;3&lt;/number&gt;&lt;dates&gt;&lt;year&gt;1990&lt;/year&gt;&lt;/dates&gt;&lt;urls&gt;&lt;/urls&gt;&lt;/record&gt;&lt;/Cite&gt;&lt;/EndNote&gt;</w:instrText>
      </w:r>
      <w:r w:rsidR="002C25FC">
        <w:fldChar w:fldCharType="separate"/>
      </w:r>
      <w:r>
        <w:t>[15]</w:t>
      </w:r>
      <w:r w:rsidR="002C25FC">
        <w:fldChar w:fldCharType="end"/>
      </w:r>
      <w:r>
        <w:t xml:space="preserve">. In the fitted equivalent circuit in Fig 2 (inset) the value of </w:t>
      </w:r>
      <w:r w:rsidRPr="000D7FBD">
        <w:rPr>
          <w:i/>
        </w:rPr>
        <w:t>R1</w:t>
      </w:r>
      <w:r>
        <w:t xml:space="preserve"> is taken as the bulk resistance, while </w:t>
      </w:r>
      <w:r w:rsidRPr="000D7FBD">
        <w:rPr>
          <w:i/>
        </w:rPr>
        <w:t>R2</w:t>
      </w:r>
      <w:r>
        <w:t xml:space="preserve"> is the grain boundary resistance. </w:t>
      </w:r>
      <w:r w:rsidRPr="000D7FBD">
        <w:rPr>
          <w:i/>
        </w:rPr>
        <w:t>R3</w:t>
      </w:r>
      <w:r>
        <w:t xml:space="preserve"> and </w:t>
      </w:r>
      <w:r w:rsidRPr="000D7FBD">
        <w:rPr>
          <w:i/>
        </w:rPr>
        <w:t>R4</w:t>
      </w:r>
      <w:r>
        <w:t xml:space="preserve"> are resistances from interface and electrode components respectively. A full analysis of the impedance spectra is reported elsewhere </w:t>
      </w:r>
      <w:r w:rsidR="002C25FC">
        <w:fldChar w:fldCharType="begin"/>
      </w:r>
      <w:r>
        <w:instrText xml:space="preserve"> ADDIN EN.CITE &lt;EndNote&gt;&lt;Cite&gt;&lt;Author&gt;Liu&lt;/Author&gt;&lt;Year&gt;2010&lt;/Year&gt;&lt;RecNum&gt;311&lt;/RecNum&gt;&lt;record&gt;&lt;rec-number&gt;311&lt;/rec-number&gt;&lt;ref-type name="Thesis"&gt;32&lt;/ref-type&gt;&lt;contributors&gt;&lt;authors&gt;&lt;author&gt;Liu, J.&lt;/author&gt;&lt;/authors&gt;&lt;/contributors&gt;&lt;titles&gt;&lt;title&gt;&lt;style face="normal" font="default" size="100%"&gt;Mass transport and electrochemical properties of La&lt;/style&gt;&lt;style face="subscript" font="default" size="100%"&gt;2&lt;/style&gt;&lt;style face="normal" font="default" size="100%"&gt;Mo&lt;/style&gt;&lt;style face="subscript" font="default" size="100%"&gt;2&lt;/style&gt;&lt;style face="normal" font="default" size="100%"&gt;O&lt;/style&gt;&lt;style face="subscript" font="default" size="100%"&gt;9&lt;/style&gt;&lt;style face="normal" font="default" size="100%"&gt; as a fast ionic conductor&lt;/style&gt;&lt;/title&gt;&lt;secondary-title&gt;Department of Materials&lt;/secondary-title&gt;&lt;/titles&gt;&lt;volume&gt;PhD&lt;/volume&gt;&lt;dates&gt;&lt;year&gt;2010&lt;/year&gt;&lt;/dates&gt;&lt;pub-location&gt;London&lt;/pub-location&gt;&lt;publisher&gt;Imperial College London&lt;/publisher&gt;&lt;urls&gt;&lt;/urls&gt;&lt;/record&gt;&lt;/Cite&gt;&lt;/EndNote&gt;</w:instrText>
      </w:r>
      <w:r w:rsidR="002C25FC">
        <w:fldChar w:fldCharType="separate"/>
      </w:r>
      <w:r>
        <w:t>[16]</w:t>
      </w:r>
      <w:r w:rsidR="002C25FC">
        <w:fldChar w:fldCharType="end"/>
      </w:r>
      <w:r>
        <w:t xml:space="preserve"> and from these data it is a simple process to extract the conductivity values for the sample. </w:t>
      </w:r>
      <w:r w:rsidR="00C5169D">
        <w:t xml:space="preserve">Table 2 presents a summary of typical impedance data extracted from the </w:t>
      </w:r>
      <w:r w:rsidR="00C5169D" w:rsidRPr="00C5169D">
        <w:rPr>
          <w:i/>
        </w:rPr>
        <w:t>in-situ</w:t>
      </w:r>
      <w:r w:rsidR="00C5169D">
        <w:t xml:space="preserve"> measurements</w:t>
      </w:r>
      <w:r w:rsidR="00D23781">
        <w:t>, and highlights that the component assignment is correct, with grain boundary components having values of the order of 10</w:t>
      </w:r>
      <w:r w:rsidR="00D23781" w:rsidRPr="00D23781">
        <w:rPr>
          <w:vertAlign w:val="superscript"/>
        </w:rPr>
        <w:t>-9</w:t>
      </w:r>
      <w:r w:rsidR="00D23781">
        <w:t>F</w:t>
      </w:r>
      <w:r w:rsidR="00C5169D">
        <w:t xml:space="preserve">.  </w:t>
      </w:r>
      <w:r>
        <w:t>Fig. 3 presents the conductivities</w:t>
      </w:r>
      <w:r w:rsidRPr="00D26652">
        <w:t xml:space="preserve"> </w:t>
      </w:r>
      <w:r>
        <w:t xml:space="preserve">obtained from both the simultaneous </w:t>
      </w:r>
      <w:r w:rsidRPr="00080DA2">
        <w:rPr>
          <w:i/>
        </w:rPr>
        <w:t>in-situ</w:t>
      </w:r>
      <w:r>
        <w:t xml:space="preserve"> diffraction and conductivity measurements and the </w:t>
      </w:r>
      <w:r w:rsidRPr="004248DA">
        <w:rPr>
          <w:i/>
        </w:rPr>
        <w:t>ex-situ</w:t>
      </w:r>
      <w:r>
        <w:t xml:space="preserve"> impedance measurement. The data from the simultaneous </w:t>
      </w:r>
      <w:r w:rsidRPr="007A6A6A">
        <w:rPr>
          <w:i/>
        </w:rPr>
        <w:t>in-situ</w:t>
      </w:r>
      <w:r>
        <w:t xml:space="preserve"> measurements are consistent with the conductivity results obtained during both heating and cooling stages recorded </w:t>
      </w:r>
      <w:r w:rsidRPr="00EB36BD">
        <w:rPr>
          <w:i/>
        </w:rPr>
        <w:t>ex-situ</w:t>
      </w:r>
      <w:r>
        <w:t xml:space="preserve"> at Imperial College, implying that the conductivity results obtained simultaneously with the collection of neutron diffraction patterns are reliable despite the complex experimental environment. </w:t>
      </w:r>
    </w:p>
    <w:p w:rsidR="00675475" w:rsidRDefault="00675475" w:rsidP="00A61DD0">
      <w:pPr>
        <w:spacing w:line="480" w:lineRule="auto"/>
        <w:jc w:val="both"/>
      </w:pPr>
      <w:r>
        <w:t xml:space="preserve">    A Le Bail extraction was performed on each of the diffraction patterns and the obtained lattice parameters at different temperatures are listed in Table 1. The goodness-of-fit (</w:t>
      </w:r>
      <w:r w:rsidRPr="000D7FBD">
        <w:rPr>
          <w:i/>
        </w:rPr>
        <w:t>χ</w:t>
      </w:r>
      <w:r w:rsidRPr="000D7FBD">
        <w:rPr>
          <w:i/>
          <w:vertAlign w:val="superscript"/>
        </w:rPr>
        <w:t>2</w:t>
      </w:r>
      <w:r>
        <w:t xml:space="preserve">) for each diffraction pattern is below 5 and the </w:t>
      </w:r>
      <w:r w:rsidRPr="000D7FBD">
        <w:rPr>
          <w:i/>
        </w:rPr>
        <w:t>R</w:t>
      </w:r>
      <w:r w:rsidRPr="000D7FBD">
        <w:rPr>
          <w:i/>
          <w:vertAlign w:val="subscript"/>
        </w:rPr>
        <w:t>wp</w:t>
      </w:r>
      <w:r>
        <w:t xml:space="preserve"> values are around 5.0%, even for the alpha phase which is indexed as a monoclinic superstructure, which indicates that the fitting results are </w:t>
      </w:r>
      <w:r w:rsidR="00F83B56">
        <w:t>of high quality</w:t>
      </w:r>
      <w:r>
        <w:t xml:space="preserve">. The thermal evolution of the lattice parameters are presented in Fig. 4. As can be observed, the unit cell parameters increase nearly linearly when the temperature is increased. For the alpha phase, the increases of lattice parameters </w:t>
      </w:r>
      <w:r w:rsidRPr="00457893">
        <w:rPr>
          <w:i/>
        </w:rPr>
        <w:t>a</w:t>
      </w:r>
      <w:r>
        <w:t xml:space="preserve"> and </w:t>
      </w:r>
      <w:r w:rsidRPr="00457893">
        <w:rPr>
          <w:i/>
        </w:rPr>
        <w:t>b</w:t>
      </w:r>
      <w:r>
        <w:t xml:space="preserve"> follow the same trend line, while the parameter </w:t>
      </w:r>
      <w:r w:rsidRPr="00446FB8">
        <w:rPr>
          <w:i/>
        </w:rPr>
        <w:t>c</w:t>
      </w:r>
      <w:r>
        <w:t xml:space="preserve"> is smaller than </w:t>
      </w:r>
      <w:r w:rsidRPr="00446FB8">
        <w:rPr>
          <w:i/>
        </w:rPr>
        <w:t>a</w:t>
      </w:r>
      <w:r>
        <w:t xml:space="preserve"> and </w:t>
      </w:r>
      <w:r w:rsidRPr="00446FB8">
        <w:rPr>
          <w:i/>
        </w:rPr>
        <w:t>b</w:t>
      </w:r>
      <w:r>
        <w:t xml:space="preserve">, showing less dramatic increase with the </w:t>
      </w:r>
      <w:r>
        <w:lastRenderedPageBreak/>
        <w:t xml:space="preserve">temperature. The reason is probably that during the increase of the temperature, the unit cell is transforming to a cubic structure with the tilting of the monoclinic angle, which leads to a slower change in </w:t>
      </w:r>
      <w:r w:rsidRPr="00B37507">
        <w:rPr>
          <w:i/>
        </w:rPr>
        <w:t>c</w:t>
      </w:r>
      <w:r>
        <w:t xml:space="preserve"> axis direction. The </w:t>
      </w:r>
      <w:r w:rsidRPr="00CC0D70">
        <w:rPr>
          <w:i/>
        </w:rPr>
        <w:t>β</w:t>
      </w:r>
      <w:r>
        <w:t xml:space="preserve"> angle for the alpha phase remains constant in the low temperature range which is roughly 90.4˚, consistent with the published crystallographic details for </w:t>
      </w:r>
      <w:r w:rsidRPr="000730BB">
        <w:rPr>
          <w:i/>
        </w:rPr>
        <w:t>α</w:t>
      </w:r>
      <w:r>
        <w:t>-La</w:t>
      </w:r>
      <w:r w:rsidRPr="002C396A">
        <w:rPr>
          <w:vertAlign w:val="subscript"/>
        </w:rPr>
        <w:t>2</w:t>
      </w:r>
      <w:r>
        <w:t>Mo</w:t>
      </w:r>
      <w:r w:rsidRPr="002C396A">
        <w:rPr>
          <w:vertAlign w:val="subscript"/>
        </w:rPr>
        <w:t>2</w:t>
      </w:r>
      <w:r>
        <w:t>O</w:t>
      </w:r>
      <w:r w:rsidRPr="002C396A">
        <w:rPr>
          <w:vertAlign w:val="subscript"/>
        </w:rPr>
        <w:t>9</w:t>
      </w:r>
      <w:r>
        <w:t xml:space="preserve"> </w:t>
      </w:r>
      <w:r w:rsidR="002C25FC">
        <w:fldChar w:fldCharType="begin"/>
      </w:r>
      <w:r>
        <w:instrText xml:space="preserve"> ADDIN EN.CITE &lt;EndNote&gt;&lt;Cite&gt;&lt;Author&gt;Evans&lt;/Author&gt;&lt;Year&gt;2005&lt;/Year&gt;&lt;RecNum&gt;32&lt;/RecNum&gt;&lt;record&gt;&lt;rec-number&gt;32&lt;/rec-number&gt;&lt;ref-type name="Journal Article"&gt;17&lt;/ref-type&gt;&lt;contributors&gt;&lt;authors&gt;&lt;author&gt;Evans, I. R.&lt;/author&gt;&lt;author&gt;Howard, J. A. K.&lt;/author&gt;&lt;author&gt;Evans, J. S. O.&lt;/author&gt;&lt;/authors&gt;&lt;/contributors&gt;&lt;titles&gt;&lt;title&gt;&lt;style face="normal" font="default" size="100%"&gt;The crystal structure of alpha-La&lt;/style&gt;&lt;style face="subscript" font="default" size="100%"&gt;2&lt;/style&gt;&lt;style face="normal" font="default" size="100%"&gt;Mo&lt;/style&gt;&lt;style face="subscript" font="default" size="100%"&gt;2&lt;/style&gt;&lt;style face="normal" font="default" size="100%"&gt;O&lt;/style&gt;&lt;style face="subscript" font="default" size="100%"&gt;9&lt;/style&gt;&lt;style face="normal" font="default" size="100%"&gt; and the structural origin of the oxide ion migration pathway&lt;/style&gt;&lt;/title&gt;&lt;secondary-title&gt;Chem. Mater.&lt;/secondary-title&gt;&lt;/titles&gt;&lt;periodical&gt;&lt;full-title&gt;Chem. Mater.&lt;/full-title&gt;&lt;/periodical&gt;&lt;pages&gt;4074-4077&lt;/pages&gt;&lt;volume&gt;17&lt;/volume&gt;&lt;number&gt;16&lt;/number&gt;&lt;dates&gt;&lt;year&gt;2005&lt;/year&gt;&lt;pub-dates&gt;&lt;date&gt;Aug&lt;/date&gt;&lt;/pub-dates&gt;&lt;/dates&gt;&lt;accession-num&gt;ISI:000231043200009&lt;/accession-num&gt;&lt;urls&gt;&lt;related-urls&gt;&lt;url&gt;&amp;lt;Go to ISI&amp;gt;://000231043200009 &lt;/url&gt;&lt;/related-urls&gt;&lt;pdf-urls&gt;&lt;url&gt;internal-pdf://The Crystal Structure of r-La2Mo2O9 and the Structural Origin of-3476946176/The Crystal Structure of r-La2Mo2O9 and the Structural Origin of.pdf&lt;/url&gt;&lt;url&gt;internal-pdf://The Crystal Structure of a-La2Mo2O9 and the Structural Origin of-2621335040/The Crystal Structure of a-La2Mo2O9 and the Structural Origin of.pdf&lt;/url&gt;&lt;/pdf-urls&gt;&lt;/urls&gt;&lt;/record&gt;&lt;/Cite&gt;&lt;/EndNote&gt;</w:instrText>
      </w:r>
      <w:r w:rsidR="002C25FC">
        <w:fldChar w:fldCharType="separate"/>
      </w:r>
      <w:r>
        <w:t>[4]</w:t>
      </w:r>
      <w:r w:rsidR="002C25FC">
        <w:fldChar w:fldCharType="end"/>
      </w:r>
      <w:r>
        <w:t>.</w:t>
      </w:r>
    </w:p>
    <w:p w:rsidR="00675475" w:rsidRDefault="00675475" w:rsidP="00080DA2">
      <w:pPr>
        <w:spacing w:line="480" w:lineRule="auto"/>
        <w:ind w:firstLine="240"/>
        <w:jc w:val="both"/>
      </w:pPr>
      <w:r>
        <w:t xml:space="preserve">The correlation between the unit cell volume and the conductivity is demonstrated in Fig. 5. An important increase of the unit cell volume (about 0.4%) is observed when the structure transforms to the cubic phase, which corresponds with the increase of the conductivity. Note that the bulk conductivity is presented here in order to show the correlation between the unit cell volume and the electrical property more clearly because the grain boundary contribution plays a dominant role in the total conductivity which is probably caused by impurity segregation along the grain boundaries. This observation supports the previous hypothesis that the extra volume expansion which originates from a unit cell tilting mechanism induces an increase of oxygen mobility in the structure. The relationship between the structural framework with the anionic conduction properties has been studied by a mathematical analysis </w:t>
      </w:r>
      <w:r w:rsidR="002C25FC">
        <w:fldChar w:fldCharType="begin"/>
      </w:r>
      <w:r>
        <w:instrText xml:space="preserve"> ADDIN EN.CITE &lt;EndNote&gt;&lt;Cite&gt;&lt;Author&gt;Lacorre&lt;/Author&gt;&lt;Year&gt;2006&lt;/Year&gt;&lt;RecNum&gt;16&lt;/RecNum&gt;&lt;record&gt;&lt;rec-number&gt;16&lt;/rec-number&gt;&lt;ref-type name="Journal Article"&gt;17&lt;/ref-type&gt;&lt;contributors&gt;&lt;authors&gt;&lt;author&gt;Lacorre, P.&lt;/author&gt;&lt;author&gt;Selmi, A.&lt;/author&gt;&lt;author&gt;Corbel, G.&lt;/author&gt;&lt;author&gt;Boulard, B.&lt;/author&gt;&lt;/authors&gt;&lt;/contributors&gt;&lt;titles&gt;&lt;title&gt;On the flexibility of the structural framework of cubic LAMOX compounds, in relationship with their anionic conduction properties&lt;/title&gt;&lt;secondary-title&gt;Inorganic Chem.&lt;/secondary-title&gt;&lt;/titles&gt;&lt;periodical&gt;&lt;full-title&gt;Inorganic Chem.&lt;/full-title&gt;&lt;/periodical&gt;&lt;pages&gt;627-635&lt;/pages&gt;&lt;volume&gt;45&lt;/volume&gt;&lt;number&gt;2&lt;/number&gt;&lt;dates&gt;&lt;year&gt;2006&lt;/year&gt;&lt;pub-dates&gt;&lt;date&gt;Jan&lt;/date&gt;&lt;/pub-dates&gt;&lt;/dates&gt;&lt;accession-num&gt;ISI:000234905200027&lt;/accession-num&gt;&lt;urls&gt;&lt;related-urls&gt;&lt;url&gt;&amp;lt;Go to ISI&amp;gt;://000234905200027 &lt;/url&gt;&lt;/related-urls&gt;&lt;pdf-urls&gt;&lt;url&gt;internal-pdf://On the Flexibility of the Structural Framework of Cubic LAMOX-3211179521/On the Flexibility of the Structural Framework of Cubic LAMOX.pdf&lt;/url&gt;&lt;/pdf-urls&gt;&lt;/urls&gt;&lt;/record&gt;&lt;/Cite&gt;&lt;/EndNote&gt;</w:instrText>
      </w:r>
      <w:r w:rsidR="002C25FC">
        <w:fldChar w:fldCharType="separate"/>
      </w:r>
      <w:r>
        <w:t>[6]</w:t>
      </w:r>
      <w:r w:rsidR="002C25FC">
        <w:fldChar w:fldCharType="end"/>
      </w:r>
      <w:r>
        <w:t xml:space="preserve">. However, the direct experimental observation of the correlation is made for the first time in the current work. </w:t>
      </w:r>
    </w:p>
    <w:p w:rsidR="00675475" w:rsidRDefault="00675475" w:rsidP="00080DA2">
      <w:pPr>
        <w:spacing w:line="480" w:lineRule="auto"/>
        <w:ind w:firstLine="240"/>
        <w:jc w:val="both"/>
      </w:pPr>
      <w:r>
        <w:t>The structural change and electrical properties of La</w:t>
      </w:r>
      <w:r w:rsidRPr="002C396A">
        <w:rPr>
          <w:vertAlign w:val="subscript"/>
        </w:rPr>
        <w:t>2</w:t>
      </w:r>
      <w:r>
        <w:t>Mo</w:t>
      </w:r>
      <w:r w:rsidRPr="002C396A">
        <w:rPr>
          <w:vertAlign w:val="subscript"/>
        </w:rPr>
        <w:t>2</w:t>
      </w:r>
      <w:r>
        <w:t>O</w:t>
      </w:r>
      <w:r w:rsidRPr="002C396A">
        <w:rPr>
          <w:vertAlign w:val="subscript"/>
        </w:rPr>
        <w:t>9</w:t>
      </w:r>
      <w:r>
        <w:rPr>
          <w:vertAlign w:val="subscript"/>
        </w:rPr>
        <w:t xml:space="preserve"> </w:t>
      </w:r>
      <w:r>
        <w:t>were studied in detail</w:t>
      </w:r>
      <w:r w:rsidRPr="003C4E2C">
        <w:t xml:space="preserve"> </w:t>
      </w:r>
      <w:r>
        <w:t xml:space="preserve">for the phase transition. A cycle of cooling and heating in the temperature range of 580-560˚C was carried out with a step size of 10˚C for cooling and 5˚C for heating respectively. The Arrhenius plot of the bulk conductivity and the unit cell volume change during different temperature stages are displayed in Fig. 6 (a) and (b). Both the electrical property and the unit cell structure are fully reversible during cooling. However, a hysteresis phenomenon has been observed in both of the plots, which </w:t>
      </w:r>
      <w:r>
        <w:lastRenderedPageBreak/>
        <w:t>again testified the correlation between unit cell volume and electrical property. The hysteresis loop in La</w:t>
      </w:r>
      <w:r w:rsidRPr="009861FA">
        <w:rPr>
          <w:vertAlign w:val="subscript"/>
        </w:rPr>
        <w:t>2</w:t>
      </w:r>
      <w:r>
        <w:t>Mo</w:t>
      </w:r>
      <w:r w:rsidRPr="009861FA">
        <w:rPr>
          <w:vertAlign w:val="subscript"/>
        </w:rPr>
        <w:t>2</w:t>
      </w:r>
      <w:r>
        <w:t>O</w:t>
      </w:r>
      <w:r w:rsidRPr="009861FA">
        <w:rPr>
          <w:vertAlign w:val="subscript"/>
        </w:rPr>
        <w:t>9</w:t>
      </w:r>
      <w:r>
        <w:t xml:space="preserve"> has been previously reported in thermal analysis </w:t>
      </w:r>
      <w:r w:rsidR="002C25FC">
        <w:fldChar w:fldCharType="begin"/>
      </w:r>
      <w:r>
        <w:instrText xml:space="preserve"> ADDIN EN.CITE &lt;EndNote&gt;&lt;Cite&gt;&lt;Author&gt;Lacorre&lt;/Author&gt;&lt;Year&gt;2000&lt;/Year&gt;&lt;RecNum&gt;92&lt;/RecNum&gt;&lt;record&gt;&lt;rec-number&gt;92&lt;/rec-number&gt;&lt;ref-type name="Journal Article"&gt;17&lt;/ref-type&gt;&lt;contributors&gt;&lt;authors&gt;&lt;author&gt;Lacorre, P.&lt;/author&gt;&lt;author&gt;Goutenoire, F. &lt;/author&gt;&lt;author&gt;Bohnke, O. &lt;/author&gt;&lt;/authors&gt;&lt;/contributors&gt;&lt;titles&gt;&lt;title&gt;&lt;style face="normal" font="default" size="100%"&gt;Designing fast oxide-ion conductors based on La&lt;/style&gt;&lt;style face="subscript" font="default" size="100%"&gt;2&lt;/style&gt;&lt;style face="normal" font="default" size="100%"&gt;Mo&lt;/style&gt;&lt;style face="subscript" font="default" size="100%"&gt;2&lt;/style&gt;&lt;style face="normal" font="default" size="100%"&gt;O&lt;/style&gt;&lt;style face="subscript" font="default" size="100%"&gt;9&lt;/style&gt;&lt;/title&gt;&lt;secondary-title&gt;Nature&lt;/secondary-title&gt;&lt;/titles&gt;&lt;periodical&gt;&lt;full-title&gt;Nature&lt;/full-title&gt;&lt;/periodical&gt;&lt;pages&gt;856-858&lt;/pages&gt;&lt;volume&gt;404&lt;/volume&gt;&lt;dates&gt;&lt;year&gt;2000&lt;/year&gt;&lt;/dates&gt;&lt;urls&gt;&lt;/urls&gt;&lt;/record&gt;&lt;/Cite&gt;&lt;/EndNote&gt;</w:instrText>
      </w:r>
      <w:r w:rsidR="002C25FC">
        <w:fldChar w:fldCharType="separate"/>
      </w:r>
      <w:r>
        <w:t>[1]</w:t>
      </w:r>
      <w:r w:rsidR="002C25FC">
        <w:fldChar w:fldCharType="end"/>
      </w:r>
      <w:r>
        <w:t xml:space="preserve"> and temperature dependence of dielectric permittivity </w:t>
      </w:r>
      <w:r w:rsidR="002C25FC">
        <w:fldChar w:fldCharType="begin"/>
      </w:r>
      <w:r>
        <w:instrText xml:space="preserve"> ADDIN EN.CITE &lt;EndNote&gt;&lt;Cite&gt;&lt;Author&gt;Khadasheva&lt;/Author&gt;&lt;Year&gt;2002&lt;/Year&gt;&lt;RecNum&gt;71&lt;/RecNum&gt;&lt;record&gt;&lt;rec-number&gt;71&lt;/rec-number&gt;&lt;ref-type name="Journal Article"&gt;17&lt;/ref-type&gt;&lt;contributors&gt;&lt;authors&gt;&lt;author&gt;Khadasheva, Z. S.&lt;/author&gt;&lt;author&gt;Venskovskii, N. U.&lt;/author&gt;&lt;author&gt;Safronenko, M. G.&lt;/author&gt;&lt;author&gt;Mosunov, A. V.&lt;/author&gt;&lt;author&gt;Politova, E. D.&lt;/author&gt;&lt;author&gt;Stefanovich, S. Y.&lt;/author&gt;&lt;/authors&gt;&lt;/contributors&gt;&lt;titles&gt;&lt;title&gt;&lt;style face="normal" font="default" size="100%"&gt;Synthesis and properties of La&lt;/style&gt;&lt;style face="subscript" font="default" size="100%"&gt;2&lt;/style&gt;&lt;style face="normal" font="default" size="100%"&gt;(Mo&lt;/style&gt;&lt;style face="subscript" font="default" size="100%"&gt;1-x&lt;/style&gt;&lt;style face="normal" font="default" size="100%"&gt;M&lt;/style&gt;&lt;style face="subscript" font="default" size="100%"&gt;x&lt;/style&gt;&lt;style face="normal" font="default" size="100%"&gt;)&lt;/style&gt;&lt;style face="subscript" font="default" size="100%"&gt;2&lt;/style&gt;&lt;style face="normal" font="default" size="100%"&gt;O&lt;/style&gt;&lt;style face="subscript" font="default" size="100%"&gt;9&lt;/style&gt;&lt;style face="normal" font="default" size="100%"&gt; (M = Nb, Ta) ionic conductors&lt;/style&gt;&lt;/title&gt;&lt;secondary-title&gt;Inorganic Mater.&lt;/secondary-title&gt;&lt;/titles&gt;&lt;periodical&gt;&lt;full-title&gt;Inorganic Mater.&lt;/full-title&gt;&lt;/periodical&gt;&lt;pages&gt;1168-1171&lt;/pages&gt;&lt;volume&gt;38&lt;/volume&gt;&lt;number&gt;11&lt;/number&gt;&lt;dates&gt;&lt;year&gt;2002&lt;/year&gt;&lt;pub-dates&gt;&lt;date&gt;Nov&lt;/date&gt;&lt;/pub-dates&gt;&lt;/dates&gt;&lt;accession-num&gt;ISI:000179534300015&lt;/accession-num&gt;&lt;urls&gt;&lt;related-urls&gt;&lt;url&gt;&amp;lt;Go to ISI&amp;gt;://000179534300015 &lt;/url&gt;&lt;/related-urls&gt;&lt;pdf-urls&gt;&lt;url&gt;internal-pdf://Synthesis and Properties-4133563393/Synthesis and Properties.pdf&lt;/url&gt;&lt;/pdf-urls&gt;&lt;/urls&gt;&lt;/record&gt;&lt;/Cite&gt;&lt;/EndNote&gt;</w:instrText>
      </w:r>
      <w:r w:rsidR="002C25FC">
        <w:fldChar w:fldCharType="separate"/>
      </w:r>
      <w:r>
        <w:t>[17]</w:t>
      </w:r>
      <w:r w:rsidR="002C25FC">
        <w:fldChar w:fldCharType="end"/>
      </w:r>
      <w:r>
        <w:t>, demonstrating that the phase transition in La</w:t>
      </w:r>
      <w:r w:rsidRPr="00E52066">
        <w:rPr>
          <w:vertAlign w:val="subscript"/>
        </w:rPr>
        <w:t>2</w:t>
      </w:r>
      <w:r>
        <w:t>Mo</w:t>
      </w:r>
      <w:r w:rsidRPr="00E52066">
        <w:rPr>
          <w:vertAlign w:val="subscript"/>
        </w:rPr>
        <w:t>2</w:t>
      </w:r>
      <w:r>
        <w:t>O</w:t>
      </w:r>
      <w:r w:rsidRPr="00E52066">
        <w:rPr>
          <w:vertAlign w:val="subscript"/>
        </w:rPr>
        <w:t>9</w:t>
      </w:r>
      <w:r>
        <w:t xml:space="preserve"> is a first-order transition. However, in this work, the hysteretic behaviour in bulk conductivity and unit cell evolution as a function of temperature has been presented for the first time. </w:t>
      </w:r>
    </w:p>
    <w:p w:rsidR="00675475" w:rsidRDefault="00675475" w:rsidP="00080DA2">
      <w:pPr>
        <w:spacing w:line="480" w:lineRule="auto"/>
        <w:ind w:firstLine="240"/>
        <w:jc w:val="both"/>
      </w:pPr>
    </w:p>
    <w:p w:rsidR="00675475" w:rsidRPr="00834273" w:rsidRDefault="00675475" w:rsidP="00834273">
      <w:pPr>
        <w:spacing w:line="480" w:lineRule="auto"/>
        <w:jc w:val="both"/>
        <w:rPr>
          <w:b/>
        </w:rPr>
      </w:pPr>
      <w:r w:rsidRPr="00834273">
        <w:rPr>
          <w:b/>
        </w:rPr>
        <w:t>4. Conclusions</w:t>
      </w:r>
    </w:p>
    <w:p w:rsidR="00675475" w:rsidRDefault="00675475" w:rsidP="005947A0">
      <w:pPr>
        <w:spacing w:line="480" w:lineRule="auto"/>
        <w:ind w:firstLine="240"/>
        <w:jc w:val="both"/>
      </w:pPr>
      <w:r>
        <w:t xml:space="preserve">In this work, </w:t>
      </w:r>
      <w:r w:rsidR="00F83B56">
        <w:t xml:space="preserve">combined </w:t>
      </w:r>
      <w:r w:rsidRPr="00B14DA0">
        <w:rPr>
          <w:i/>
        </w:rPr>
        <w:t>in-situ</w:t>
      </w:r>
      <w:r>
        <w:t xml:space="preserve"> neutron diffraction and AC impedance measurements were successfully conducted</w:t>
      </w:r>
      <w:r w:rsidR="00F83B56">
        <w:t xml:space="preserve"> for the ionic conductor La</w:t>
      </w:r>
      <w:r w:rsidR="00F83B56" w:rsidRPr="00F83B56">
        <w:rPr>
          <w:vertAlign w:val="subscript"/>
        </w:rPr>
        <w:t>2</w:t>
      </w:r>
      <w:r w:rsidR="00F83B56">
        <w:t>Mo</w:t>
      </w:r>
      <w:r w:rsidR="00F83B56" w:rsidRPr="00F83B56">
        <w:rPr>
          <w:vertAlign w:val="subscript"/>
        </w:rPr>
        <w:t>2</w:t>
      </w:r>
      <w:r w:rsidR="00F83B56">
        <w:t>O</w:t>
      </w:r>
      <w:r w:rsidR="00F83B56" w:rsidRPr="00F83B56">
        <w:rPr>
          <w:vertAlign w:val="subscript"/>
        </w:rPr>
        <w:t>9</w:t>
      </w:r>
      <w:r>
        <w:t xml:space="preserve">. The AC impedance rig was designed to fit in the neutron diffractometer, and by comparing the obtained conductivity from the </w:t>
      </w:r>
      <w:r w:rsidRPr="008517E3">
        <w:rPr>
          <w:i/>
        </w:rPr>
        <w:t>in-situ</w:t>
      </w:r>
      <w:r>
        <w:t xml:space="preserve"> diffraction and conductivity measurement to the data from AC impedance measurement afterwards, the consistency between the two sets of data demonstrates the feasibility of applying</w:t>
      </w:r>
      <w:r w:rsidR="00F83B56">
        <w:t xml:space="preserve"> simultaneous</w:t>
      </w:r>
      <w:r>
        <w:t xml:space="preserve"> </w:t>
      </w:r>
      <w:r w:rsidRPr="00F977B9">
        <w:rPr>
          <w:i/>
        </w:rPr>
        <w:t>in-situ</w:t>
      </w:r>
      <w:r>
        <w:t xml:space="preserve"> neutron diffraction and conductivity measurement</w:t>
      </w:r>
      <w:r w:rsidR="00F83B56">
        <w:t>s</w:t>
      </w:r>
      <w:r>
        <w:t xml:space="preserve"> to solid state ionic materials. </w:t>
      </w:r>
    </w:p>
    <w:p w:rsidR="00675475" w:rsidRDefault="00675475" w:rsidP="005947A0">
      <w:pPr>
        <w:spacing w:line="480" w:lineRule="auto"/>
        <w:ind w:firstLine="240"/>
        <w:jc w:val="both"/>
      </w:pPr>
      <w:r>
        <w:t>The neutron diffraction patterns clearly demonstrate the change of the crystal structure of La</w:t>
      </w:r>
      <w:r w:rsidRPr="00A848B8">
        <w:rPr>
          <w:vertAlign w:val="subscript"/>
        </w:rPr>
        <w:t>2</w:t>
      </w:r>
      <w:r>
        <w:t>Mo</w:t>
      </w:r>
      <w:r w:rsidRPr="00A848B8">
        <w:rPr>
          <w:vertAlign w:val="subscript"/>
        </w:rPr>
        <w:t>2</w:t>
      </w:r>
      <w:r>
        <w:t>O</w:t>
      </w:r>
      <w:r w:rsidRPr="00A848B8">
        <w:rPr>
          <w:vertAlign w:val="subscript"/>
        </w:rPr>
        <w:t>9</w:t>
      </w:r>
      <w:r>
        <w:t xml:space="preserve"> between alpha and beta phases, as shown by splitting and broadening of several peaks such as (123) (122) and (112). The close relationship between unit cell parameters and the bulk conductivity of La</w:t>
      </w:r>
      <w:r w:rsidRPr="002F6846">
        <w:rPr>
          <w:vertAlign w:val="subscript"/>
        </w:rPr>
        <w:t>2</w:t>
      </w:r>
      <w:r>
        <w:t>Mo</w:t>
      </w:r>
      <w:r w:rsidRPr="002F6846">
        <w:rPr>
          <w:vertAlign w:val="subscript"/>
        </w:rPr>
        <w:t>2</w:t>
      </w:r>
      <w:r>
        <w:t>O</w:t>
      </w:r>
      <w:r w:rsidRPr="002F6846">
        <w:rPr>
          <w:vertAlign w:val="subscript"/>
        </w:rPr>
        <w:t>9</w:t>
      </w:r>
      <w:r>
        <w:t xml:space="preserve"> suggests the fast oxygen transport is dependent on the opening of the unit cell. </w:t>
      </w:r>
    </w:p>
    <w:p w:rsidR="00675475" w:rsidRDefault="00675475" w:rsidP="003D2751">
      <w:pPr>
        <w:spacing w:line="480" w:lineRule="auto"/>
        <w:jc w:val="both"/>
      </w:pPr>
      <w:r>
        <w:t xml:space="preserve">    Further work is required to optimize the </w:t>
      </w:r>
      <w:r w:rsidRPr="007562DF">
        <w:rPr>
          <w:i/>
        </w:rPr>
        <w:t>in-situ</w:t>
      </w:r>
      <w:r>
        <w:t xml:space="preserve"> diffraction and conductivity experimental system. Time resolved measurements are also required to record neutron diffraction data in order to detect the rapid structure change in a relatively short time period. The technique can be used to investigate the correlation between crystal structure and electrical properties in electro-ceramics in the future.</w:t>
      </w:r>
    </w:p>
    <w:p w:rsidR="00675475" w:rsidRDefault="00675475" w:rsidP="003D2751">
      <w:pPr>
        <w:spacing w:line="480" w:lineRule="auto"/>
        <w:jc w:val="both"/>
      </w:pPr>
    </w:p>
    <w:p w:rsidR="00675475" w:rsidRPr="003E539F" w:rsidRDefault="00675475" w:rsidP="003D2751">
      <w:pPr>
        <w:spacing w:line="480" w:lineRule="auto"/>
        <w:jc w:val="both"/>
        <w:rPr>
          <w:b/>
        </w:rPr>
      </w:pPr>
      <w:r w:rsidRPr="003E539F">
        <w:rPr>
          <w:b/>
        </w:rPr>
        <w:t>Acknowledgement</w:t>
      </w:r>
    </w:p>
    <w:p w:rsidR="00675475" w:rsidRDefault="00675475" w:rsidP="003D2751">
      <w:pPr>
        <w:spacing w:line="480" w:lineRule="auto"/>
        <w:jc w:val="both"/>
      </w:pPr>
      <w:r>
        <w:t xml:space="preserve">    The authors would like to thank Lee Family for funding the studentship (Jingjing Liu) and STFC for funding the beam time at ISIS. </w:t>
      </w:r>
    </w:p>
    <w:p w:rsidR="00675475" w:rsidRPr="004E6EEC" w:rsidRDefault="00675475" w:rsidP="00CE7149">
      <w:pPr>
        <w:spacing w:line="480" w:lineRule="auto"/>
        <w:rPr>
          <w:b/>
        </w:rPr>
      </w:pPr>
      <w:r>
        <w:br w:type="page"/>
      </w:r>
      <w:r w:rsidRPr="004E6EEC">
        <w:rPr>
          <w:b/>
        </w:rPr>
        <w:lastRenderedPageBreak/>
        <w:t>References</w:t>
      </w:r>
    </w:p>
    <w:p w:rsidR="00675475" w:rsidRDefault="002C25FC" w:rsidP="005A40EE">
      <w:pPr>
        <w:ind w:left="720" w:hanging="720"/>
      </w:pPr>
      <w:r>
        <w:fldChar w:fldCharType="begin"/>
      </w:r>
      <w:r w:rsidR="00675475">
        <w:instrText xml:space="preserve"> ADDIN EN.REFLIST </w:instrText>
      </w:r>
      <w:r>
        <w:fldChar w:fldCharType="separate"/>
      </w:r>
      <w:r w:rsidR="00675475">
        <w:t>1.</w:t>
      </w:r>
      <w:r w:rsidR="00675475">
        <w:tab/>
        <w:t xml:space="preserve">Lacorre P., Goutenoire F., Bohnke O., </w:t>
      </w:r>
      <w:r w:rsidR="00675475" w:rsidRPr="005A40EE">
        <w:rPr>
          <w:i/>
        </w:rPr>
        <w:t>Nature</w:t>
      </w:r>
      <w:r w:rsidR="00675475">
        <w:t>, 2000, 404: 856-858.</w:t>
      </w:r>
    </w:p>
    <w:p w:rsidR="00675475" w:rsidRDefault="00675475" w:rsidP="005A40EE">
      <w:pPr>
        <w:ind w:left="720" w:hanging="720"/>
      </w:pPr>
      <w:r>
        <w:t>2.</w:t>
      </w:r>
      <w:r>
        <w:tab/>
        <w:t xml:space="preserve">Georges S., Goutenoire F., Bohnke O., Steil M. C., Skinner S. J., Wiemhofer H. D., Lacorre P., </w:t>
      </w:r>
      <w:r w:rsidRPr="005A40EE">
        <w:rPr>
          <w:i/>
        </w:rPr>
        <w:t xml:space="preserve">J. New Mater. Electrochem. Syst. </w:t>
      </w:r>
      <w:r>
        <w:t>, 2004, 7(1): 51-57.</w:t>
      </w:r>
    </w:p>
    <w:p w:rsidR="00675475" w:rsidRDefault="00675475" w:rsidP="005A40EE">
      <w:pPr>
        <w:ind w:left="720" w:hanging="720"/>
      </w:pPr>
      <w:r>
        <w:t>3.</w:t>
      </w:r>
      <w:r>
        <w:tab/>
        <w:t xml:space="preserve">Marrero-López D., Canales-Vázquez J., Ruiz-Morales J. C., Rodríguez A., Irvine J. T. S., Núñez P., </w:t>
      </w:r>
      <w:r w:rsidRPr="005A40EE">
        <w:rPr>
          <w:i/>
        </w:rPr>
        <w:t>Solid State Ionics</w:t>
      </w:r>
      <w:r>
        <w:t>, 2005, 176(23-24): 1807-1816.</w:t>
      </w:r>
    </w:p>
    <w:p w:rsidR="00675475" w:rsidRDefault="00675475" w:rsidP="005A40EE">
      <w:pPr>
        <w:ind w:left="720" w:hanging="720"/>
      </w:pPr>
      <w:r>
        <w:t>4.</w:t>
      </w:r>
      <w:r>
        <w:tab/>
        <w:t xml:space="preserve">Evans I. R., Howard J. A. K., Evans J. S. O., </w:t>
      </w:r>
      <w:r w:rsidRPr="005A40EE">
        <w:rPr>
          <w:i/>
        </w:rPr>
        <w:t>Chem. Mater.</w:t>
      </w:r>
      <w:r>
        <w:t>, 2005, 17(16): 4074-4077.</w:t>
      </w:r>
    </w:p>
    <w:p w:rsidR="00675475" w:rsidRDefault="00675475" w:rsidP="005A40EE">
      <w:pPr>
        <w:ind w:left="720" w:hanging="720"/>
      </w:pPr>
      <w:r>
        <w:t>5.</w:t>
      </w:r>
      <w:r>
        <w:tab/>
        <w:t xml:space="preserve">Malavasi L., Kim H. J., Billinge S. J. L., Proffen T., Tealdi C., Flor G., </w:t>
      </w:r>
      <w:r w:rsidRPr="005A40EE">
        <w:rPr>
          <w:i/>
        </w:rPr>
        <w:t>J. Am. Chem. Soc.</w:t>
      </w:r>
      <w:r>
        <w:t>, 2007, 129: 6903-6907.</w:t>
      </w:r>
    </w:p>
    <w:p w:rsidR="00675475" w:rsidRDefault="00675475" w:rsidP="005A40EE">
      <w:pPr>
        <w:ind w:left="720" w:hanging="720"/>
      </w:pPr>
      <w:r>
        <w:t>6.</w:t>
      </w:r>
      <w:r>
        <w:tab/>
        <w:t xml:space="preserve">Lacorre P., Selmi A., Corbel G., Boulard B., </w:t>
      </w:r>
      <w:r w:rsidRPr="005A40EE">
        <w:rPr>
          <w:i/>
        </w:rPr>
        <w:t>Inorganic Chem.</w:t>
      </w:r>
      <w:r>
        <w:t>, 2006, 45(2): 627-635.</w:t>
      </w:r>
    </w:p>
    <w:p w:rsidR="00675475" w:rsidRDefault="00675475" w:rsidP="005A40EE">
      <w:pPr>
        <w:ind w:left="720" w:hanging="720"/>
      </w:pPr>
      <w:r>
        <w:t>7.</w:t>
      </w:r>
      <w:r>
        <w:tab/>
        <w:t xml:space="preserve">Marrero-López D., Canales-Vázquez J., Zhou W. Z., Irvine J. T. S., Núñez P., </w:t>
      </w:r>
      <w:r w:rsidRPr="005A40EE">
        <w:rPr>
          <w:i/>
        </w:rPr>
        <w:t>J. Solid State Chem.</w:t>
      </w:r>
      <w:r>
        <w:t>, 2006, 179(1): 278-288.</w:t>
      </w:r>
    </w:p>
    <w:p w:rsidR="00675475" w:rsidRDefault="00675475" w:rsidP="005A40EE">
      <w:pPr>
        <w:ind w:left="720" w:hanging="720"/>
      </w:pPr>
      <w:r>
        <w:t>8.</w:t>
      </w:r>
      <w:r>
        <w:tab/>
        <w:t xml:space="preserve">Engin T. E., Powell A. V., Haynes R., Chowdhury M. A. H., Goodway C. M., Done R., Kirichek O., Hull S., </w:t>
      </w:r>
      <w:r w:rsidRPr="005A40EE">
        <w:rPr>
          <w:i/>
        </w:rPr>
        <w:t>Rev. Sci. Instrum.</w:t>
      </w:r>
      <w:r>
        <w:t>, 2008, 79: 095104.</w:t>
      </w:r>
    </w:p>
    <w:p w:rsidR="00675475" w:rsidRDefault="00675475" w:rsidP="005A40EE">
      <w:pPr>
        <w:ind w:left="720" w:hanging="720"/>
      </w:pPr>
      <w:r>
        <w:t>9.</w:t>
      </w:r>
      <w:r>
        <w:tab/>
        <w:t xml:space="preserve">Liu J., Chater R. J., Hagenhoff B., Morris R. J. H., Skinner S. J., </w:t>
      </w:r>
      <w:r w:rsidRPr="005A40EE">
        <w:rPr>
          <w:i/>
        </w:rPr>
        <w:t>Solid State Ionics</w:t>
      </w:r>
      <w:r>
        <w:t>, 2010, In press (doi:10.1016/j.ssi.2010.04.009).</w:t>
      </w:r>
    </w:p>
    <w:p w:rsidR="00675475" w:rsidRDefault="00675475" w:rsidP="005A40EE">
      <w:pPr>
        <w:ind w:left="720" w:hanging="720"/>
      </w:pPr>
      <w:r>
        <w:t>10.</w:t>
      </w:r>
      <w:r>
        <w:tab/>
        <w:t xml:space="preserve">Hull S., Smith R. I., David W. I. F., Hannon A. C., Mayers J., Cywinski R., </w:t>
      </w:r>
      <w:r w:rsidRPr="005A40EE">
        <w:rPr>
          <w:i/>
        </w:rPr>
        <w:t>Physica B-Condensed Matter</w:t>
      </w:r>
      <w:r>
        <w:t>, 1992, 180-181: 1000-1002.</w:t>
      </w:r>
    </w:p>
    <w:p w:rsidR="00675475" w:rsidRDefault="00675475" w:rsidP="005A40EE">
      <w:pPr>
        <w:ind w:left="720" w:hanging="720"/>
      </w:pPr>
      <w:r>
        <w:t>11.</w:t>
      </w:r>
      <w:r>
        <w:tab/>
        <w:t xml:space="preserve">Le Bail A., Duroy H., Fourquet J. L., </w:t>
      </w:r>
      <w:r w:rsidRPr="005A40EE">
        <w:rPr>
          <w:i/>
        </w:rPr>
        <w:t>Mater. Res. Bull.</w:t>
      </w:r>
      <w:r>
        <w:t>, 1988, 23: 447-452.</w:t>
      </w:r>
    </w:p>
    <w:p w:rsidR="00675475" w:rsidRDefault="00675475" w:rsidP="005A40EE">
      <w:pPr>
        <w:ind w:left="720" w:hanging="720"/>
      </w:pPr>
      <w:r>
        <w:t>12.</w:t>
      </w:r>
      <w:r>
        <w:tab/>
        <w:t xml:space="preserve">Larson A. C., Von Dreele R. B., </w:t>
      </w:r>
      <w:r w:rsidRPr="005A40EE">
        <w:rPr>
          <w:i/>
        </w:rPr>
        <w:t>General structure analysis system (GSAS)</w:t>
      </w:r>
      <w:r>
        <w:t xml:space="preserve">. 1994, Los Alamos National Laboratory Report </w:t>
      </w:r>
    </w:p>
    <w:p w:rsidR="00675475" w:rsidRDefault="00675475" w:rsidP="005A40EE">
      <w:pPr>
        <w:ind w:left="720" w:hanging="720"/>
      </w:pPr>
      <w:r>
        <w:t>13.</w:t>
      </w:r>
      <w:r>
        <w:tab/>
        <w:t xml:space="preserve">Toby B. H., </w:t>
      </w:r>
      <w:r w:rsidRPr="005A40EE">
        <w:rPr>
          <w:i/>
        </w:rPr>
        <w:t>J. Appl. Cryst.</w:t>
      </w:r>
      <w:r>
        <w:t>, 2001, 34: 210-213.</w:t>
      </w:r>
    </w:p>
    <w:p w:rsidR="00675475" w:rsidRDefault="00675475" w:rsidP="005A40EE">
      <w:pPr>
        <w:ind w:left="720" w:hanging="720"/>
      </w:pPr>
      <w:r>
        <w:t>14.</w:t>
      </w:r>
      <w:r>
        <w:tab/>
        <w:t xml:space="preserve">Goutenoire F., Isnard O., Retoux R., Lacorre P., </w:t>
      </w:r>
      <w:r w:rsidRPr="005A40EE">
        <w:rPr>
          <w:i/>
        </w:rPr>
        <w:t>Chem. Mater.</w:t>
      </w:r>
      <w:r>
        <w:t>, 2000, 12(9): 2575-2580.</w:t>
      </w:r>
    </w:p>
    <w:p w:rsidR="00675475" w:rsidRDefault="00675475" w:rsidP="005A40EE">
      <w:pPr>
        <w:ind w:left="720" w:hanging="720"/>
      </w:pPr>
      <w:r>
        <w:t>15.</w:t>
      </w:r>
      <w:r>
        <w:tab/>
        <w:t xml:space="preserve">Irvine J. T. S., Sinclair D. C., West A. R., </w:t>
      </w:r>
      <w:r w:rsidRPr="005A40EE">
        <w:rPr>
          <w:i/>
        </w:rPr>
        <w:t>Adv. Mater.</w:t>
      </w:r>
      <w:r>
        <w:t>, 1990, 2(3): 132-138.</w:t>
      </w:r>
    </w:p>
    <w:p w:rsidR="00675475" w:rsidRDefault="00675475" w:rsidP="005A40EE">
      <w:pPr>
        <w:ind w:left="720" w:hanging="720"/>
      </w:pPr>
      <w:r>
        <w:t>16.</w:t>
      </w:r>
      <w:r>
        <w:tab/>
        <w:t xml:space="preserve">Liu J., </w:t>
      </w:r>
      <w:r w:rsidRPr="005A40EE">
        <w:rPr>
          <w:i/>
        </w:rPr>
        <w:t>Mass transport and electrochemical properties of La</w:t>
      </w:r>
      <w:r w:rsidRPr="005A40EE">
        <w:rPr>
          <w:i/>
          <w:vertAlign w:val="subscript"/>
        </w:rPr>
        <w:t>2</w:t>
      </w:r>
      <w:r w:rsidRPr="005A40EE">
        <w:rPr>
          <w:i/>
        </w:rPr>
        <w:t>Mo</w:t>
      </w:r>
      <w:r w:rsidRPr="005A40EE">
        <w:rPr>
          <w:i/>
          <w:vertAlign w:val="subscript"/>
        </w:rPr>
        <w:t>2</w:t>
      </w:r>
      <w:r w:rsidRPr="005A40EE">
        <w:rPr>
          <w:i/>
        </w:rPr>
        <w:t>O</w:t>
      </w:r>
      <w:r w:rsidRPr="005A40EE">
        <w:rPr>
          <w:i/>
          <w:vertAlign w:val="subscript"/>
        </w:rPr>
        <w:t>9</w:t>
      </w:r>
      <w:r w:rsidRPr="005A40EE">
        <w:rPr>
          <w:i/>
        </w:rPr>
        <w:t xml:space="preserve"> as a fast ionic conductor</w:t>
      </w:r>
      <w:r>
        <w:t>. Department of Materials. Imperial College London. PhD. 2010, London</w:t>
      </w:r>
    </w:p>
    <w:p w:rsidR="00675475" w:rsidRDefault="00675475" w:rsidP="005A40EE">
      <w:pPr>
        <w:ind w:left="720" w:hanging="720"/>
      </w:pPr>
      <w:r>
        <w:t>17.</w:t>
      </w:r>
      <w:r>
        <w:tab/>
        <w:t xml:space="preserve">Khadasheva Z. S., Venskovskii N. U., Safronenko M. G., Mosunov A. V., Politova E. D., Stefanovich S. Y., </w:t>
      </w:r>
      <w:r w:rsidRPr="005A40EE">
        <w:rPr>
          <w:i/>
        </w:rPr>
        <w:t>Inorganic Mater.</w:t>
      </w:r>
      <w:r>
        <w:t>, 2002, 38(11): 1168-1171.</w:t>
      </w:r>
    </w:p>
    <w:p w:rsidR="00675475" w:rsidRDefault="00675475" w:rsidP="005A40EE">
      <w:pPr>
        <w:ind w:left="720" w:hanging="720"/>
      </w:pPr>
    </w:p>
    <w:p w:rsidR="00675475" w:rsidRDefault="002C25FC" w:rsidP="005A40EE">
      <w:pPr>
        <w:ind w:left="720" w:hanging="720"/>
      </w:pPr>
      <w:r>
        <w:fldChar w:fldCharType="end"/>
      </w:r>
    </w:p>
    <w:p w:rsidR="00675475" w:rsidRDefault="00675475" w:rsidP="000B58CA">
      <w:pPr>
        <w:spacing w:line="480" w:lineRule="auto"/>
      </w:pPr>
      <w:r>
        <w:br w:type="page"/>
      </w:r>
      <w:r>
        <w:lastRenderedPageBreak/>
        <w:t>Figure Captions</w:t>
      </w:r>
    </w:p>
    <w:p w:rsidR="00675475" w:rsidRDefault="00675475" w:rsidP="000B58CA">
      <w:pPr>
        <w:spacing w:line="480" w:lineRule="auto"/>
      </w:pPr>
    </w:p>
    <w:p w:rsidR="00675475" w:rsidRDefault="00675475" w:rsidP="005014B0">
      <w:pPr>
        <w:spacing w:line="480" w:lineRule="auto"/>
        <w:jc w:val="both"/>
      </w:pPr>
      <w:r>
        <w:t xml:space="preserve">Fig. 1 Time-of-flight neutron diffraction patterns of </w:t>
      </w:r>
      <w:r w:rsidRPr="00D139AB">
        <w:rPr>
          <w:i/>
        </w:rPr>
        <w:t>α</w:t>
      </w:r>
      <w:r>
        <w:t xml:space="preserve">- and </w:t>
      </w:r>
      <w:r w:rsidRPr="00D139AB">
        <w:rPr>
          <w:i/>
        </w:rPr>
        <w:t>β</w:t>
      </w:r>
      <w:r>
        <w:t>-La</w:t>
      </w:r>
      <w:r w:rsidRPr="00D139AB">
        <w:rPr>
          <w:vertAlign w:val="subscript"/>
        </w:rPr>
        <w:t>2</w:t>
      </w:r>
      <w:r>
        <w:t>Mo</w:t>
      </w:r>
      <w:r w:rsidRPr="00D139AB">
        <w:rPr>
          <w:vertAlign w:val="subscript"/>
        </w:rPr>
        <w:t>2</w:t>
      </w:r>
      <w:r>
        <w:t>O</w:t>
      </w:r>
      <w:r w:rsidRPr="00D139AB">
        <w:rPr>
          <w:vertAlign w:val="subscript"/>
        </w:rPr>
        <w:t>9</w:t>
      </w:r>
      <w:r>
        <w:t xml:space="preserve"> at 560˚C and </w:t>
      </w:r>
    </w:p>
    <w:p w:rsidR="00675475" w:rsidRDefault="00675475" w:rsidP="005014B0">
      <w:pPr>
        <w:spacing w:line="480" w:lineRule="auto"/>
        <w:jc w:val="both"/>
      </w:pPr>
      <w:r>
        <w:t xml:space="preserve">          580˚C. *indicates additional peaks attributed to the monoclinic phase</w:t>
      </w:r>
    </w:p>
    <w:p w:rsidR="00675475" w:rsidRDefault="00675475" w:rsidP="005014B0">
      <w:pPr>
        <w:spacing w:line="480" w:lineRule="auto"/>
        <w:jc w:val="both"/>
      </w:pPr>
      <w:r>
        <w:t xml:space="preserve">Fig. 2 A typical AC impedance spectrum from the </w:t>
      </w:r>
      <w:r w:rsidRPr="003D2751">
        <w:rPr>
          <w:i/>
        </w:rPr>
        <w:t>in-situ</w:t>
      </w:r>
      <w:r>
        <w:t xml:space="preserve"> diffraction and conductivity </w:t>
      </w:r>
    </w:p>
    <w:p w:rsidR="00675475" w:rsidRDefault="00675475" w:rsidP="005014B0">
      <w:pPr>
        <w:spacing w:line="480" w:lineRule="auto"/>
        <w:jc w:val="both"/>
      </w:pPr>
      <w:r>
        <w:t xml:space="preserve">          measurement collected at 600˚C </w:t>
      </w:r>
    </w:p>
    <w:p w:rsidR="00675475" w:rsidRDefault="00675475" w:rsidP="005014B0">
      <w:pPr>
        <w:spacing w:line="480" w:lineRule="auto"/>
        <w:jc w:val="both"/>
      </w:pPr>
      <w:r>
        <w:t xml:space="preserve">Fig. 3 Comparison of total conductivities between the </w:t>
      </w:r>
      <w:r w:rsidRPr="00890966">
        <w:rPr>
          <w:i/>
        </w:rPr>
        <w:t>in-situ</w:t>
      </w:r>
      <w:r>
        <w:t xml:space="preserve"> diffraction and </w:t>
      </w:r>
    </w:p>
    <w:p w:rsidR="00675475" w:rsidRDefault="00675475" w:rsidP="005014B0">
      <w:pPr>
        <w:spacing w:line="480" w:lineRule="auto"/>
        <w:jc w:val="both"/>
      </w:pPr>
      <w:r>
        <w:t xml:space="preserve">          conductivity measurement and the impedance measurement in the lab of the </w:t>
      </w:r>
    </w:p>
    <w:p w:rsidR="00675475" w:rsidRDefault="00675475" w:rsidP="005014B0">
      <w:pPr>
        <w:spacing w:line="480" w:lineRule="auto"/>
        <w:jc w:val="both"/>
      </w:pPr>
      <w:r>
        <w:t xml:space="preserve">          same La</w:t>
      </w:r>
      <w:r w:rsidRPr="00890966">
        <w:rPr>
          <w:vertAlign w:val="subscript"/>
        </w:rPr>
        <w:t>2</w:t>
      </w:r>
      <w:r>
        <w:t>Mo</w:t>
      </w:r>
      <w:r w:rsidRPr="00890966">
        <w:rPr>
          <w:vertAlign w:val="subscript"/>
        </w:rPr>
        <w:t>2</w:t>
      </w:r>
      <w:r>
        <w:t>O</w:t>
      </w:r>
      <w:r w:rsidRPr="00890966">
        <w:rPr>
          <w:vertAlign w:val="subscript"/>
        </w:rPr>
        <w:t>9</w:t>
      </w:r>
      <w:r>
        <w:t xml:space="preserve"> sample</w:t>
      </w:r>
    </w:p>
    <w:p w:rsidR="00675475" w:rsidRDefault="00675475" w:rsidP="005014B0">
      <w:pPr>
        <w:spacing w:line="480" w:lineRule="auto"/>
        <w:jc w:val="both"/>
      </w:pPr>
      <w:r>
        <w:t>Fig. 4 Thermal evolution of the lattice parameters of La</w:t>
      </w:r>
      <w:r w:rsidRPr="00595396">
        <w:rPr>
          <w:vertAlign w:val="subscript"/>
        </w:rPr>
        <w:t>2</w:t>
      </w:r>
      <w:r>
        <w:t>Mo</w:t>
      </w:r>
      <w:r w:rsidRPr="00595396">
        <w:rPr>
          <w:vertAlign w:val="subscript"/>
        </w:rPr>
        <w:t>2</w:t>
      </w:r>
      <w:r>
        <w:t>O</w:t>
      </w:r>
      <w:r w:rsidRPr="00595396">
        <w:rPr>
          <w:vertAlign w:val="subscript"/>
        </w:rPr>
        <w:t>9</w:t>
      </w:r>
      <w:r>
        <w:t xml:space="preserve"> during heating</w:t>
      </w:r>
    </w:p>
    <w:p w:rsidR="00675475" w:rsidRDefault="00675475" w:rsidP="005014B0">
      <w:pPr>
        <w:spacing w:line="480" w:lineRule="auto"/>
        <w:jc w:val="both"/>
      </w:pPr>
      <w:r>
        <w:t>Fig. 5 The correlation between the unit cell volume and the bulk conductivity</w:t>
      </w:r>
    </w:p>
    <w:p w:rsidR="00675475" w:rsidRDefault="00675475" w:rsidP="005014B0">
      <w:pPr>
        <w:spacing w:line="480" w:lineRule="auto"/>
        <w:jc w:val="both"/>
      </w:pPr>
      <w:r>
        <w:t xml:space="preserve">Fig. 6 Arrhenius plot of the bulk conductivity (a) the unit cell volume change (b) of       </w:t>
      </w:r>
    </w:p>
    <w:p w:rsidR="00675475" w:rsidRPr="00700B4E" w:rsidRDefault="00675475" w:rsidP="005014B0">
      <w:pPr>
        <w:spacing w:line="480" w:lineRule="auto"/>
        <w:jc w:val="both"/>
      </w:pPr>
      <w:r>
        <w:t xml:space="preserve">          the La</w:t>
      </w:r>
      <w:r w:rsidRPr="00595396">
        <w:rPr>
          <w:vertAlign w:val="subscript"/>
        </w:rPr>
        <w:t>2</w:t>
      </w:r>
      <w:r>
        <w:t>Mo</w:t>
      </w:r>
      <w:r w:rsidRPr="00595396">
        <w:rPr>
          <w:vertAlign w:val="subscript"/>
        </w:rPr>
        <w:t>2</w:t>
      </w:r>
      <w:r>
        <w:t>O</w:t>
      </w:r>
      <w:r w:rsidRPr="00595396">
        <w:rPr>
          <w:vertAlign w:val="subscript"/>
        </w:rPr>
        <w:t>9</w:t>
      </w:r>
      <w:r>
        <w:t xml:space="preserve"> sample during different temperature stages.</w:t>
      </w:r>
    </w:p>
    <w:p w:rsidR="00675475" w:rsidRDefault="00675475" w:rsidP="000B58CA">
      <w:pPr>
        <w:spacing w:line="480" w:lineRule="auto"/>
      </w:pPr>
      <w:r>
        <w:br w:type="page"/>
      </w:r>
      <w:r>
        <w:lastRenderedPageBreak/>
        <w:t>Table Caption</w:t>
      </w:r>
    </w:p>
    <w:p w:rsidR="00675475" w:rsidRDefault="00675475" w:rsidP="000B58CA">
      <w:pPr>
        <w:spacing w:line="480" w:lineRule="auto"/>
      </w:pPr>
    </w:p>
    <w:p w:rsidR="00675475" w:rsidRDefault="00675475" w:rsidP="000B58CA">
      <w:pPr>
        <w:spacing w:line="480" w:lineRule="auto"/>
      </w:pPr>
      <w:r>
        <w:t xml:space="preserve">Table 1 </w:t>
      </w:r>
      <w:r w:rsidR="00A30DAF">
        <w:t xml:space="preserve">- </w:t>
      </w:r>
      <w:r>
        <w:t>Lattice parameters of La</w:t>
      </w:r>
      <w:r w:rsidRPr="004B70ED">
        <w:rPr>
          <w:vertAlign w:val="subscript"/>
        </w:rPr>
        <w:t>2</w:t>
      </w:r>
      <w:r>
        <w:t>Mo</w:t>
      </w:r>
      <w:r w:rsidRPr="004B70ED">
        <w:rPr>
          <w:vertAlign w:val="subscript"/>
        </w:rPr>
        <w:t>2</w:t>
      </w:r>
      <w:r>
        <w:t>O</w:t>
      </w:r>
      <w:r w:rsidRPr="004B70ED">
        <w:rPr>
          <w:vertAlign w:val="subscript"/>
        </w:rPr>
        <w:t>9</w:t>
      </w:r>
      <w:r>
        <w:t xml:space="preserve"> indexed as monoclinic superstructure and </w:t>
      </w:r>
    </w:p>
    <w:p w:rsidR="00675475" w:rsidRDefault="00675475" w:rsidP="000B58CA">
      <w:pPr>
        <w:spacing w:line="480" w:lineRule="auto"/>
      </w:pPr>
      <w:r>
        <w:t xml:space="preserve">             cubic below and above the phase transition temperature, respectively.</w:t>
      </w:r>
    </w:p>
    <w:p w:rsidR="00A30DAF" w:rsidRDefault="00A30DAF" w:rsidP="000B58CA">
      <w:pPr>
        <w:spacing w:line="480" w:lineRule="auto"/>
      </w:pPr>
    </w:p>
    <w:p w:rsidR="00675475" w:rsidRDefault="00A30DAF" w:rsidP="000B58CA">
      <w:pPr>
        <w:spacing w:line="480" w:lineRule="auto"/>
      </w:pPr>
      <w:r>
        <w:t xml:space="preserve">Table 2 – Example fitting parameters </w:t>
      </w:r>
      <w:r w:rsidR="00CA7A84">
        <w:t xml:space="preserve">calculated for </w:t>
      </w:r>
      <w:r>
        <w:t xml:space="preserve">impedance spectra recorded from samples </w:t>
      </w:r>
      <w:r w:rsidR="00CA7A84">
        <w:t>of La</w:t>
      </w:r>
      <w:r w:rsidR="00CA7A84" w:rsidRPr="00CA7A84">
        <w:rPr>
          <w:vertAlign w:val="subscript"/>
        </w:rPr>
        <w:t>2</w:t>
      </w:r>
      <w:r w:rsidR="00CA7A84">
        <w:t>Mo</w:t>
      </w:r>
      <w:r w:rsidR="00CA7A84" w:rsidRPr="00CA7A84">
        <w:rPr>
          <w:vertAlign w:val="subscript"/>
        </w:rPr>
        <w:t>2</w:t>
      </w:r>
      <w:r w:rsidR="00CA7A84">
        <w:t>O</w:t>
      </w:r>
      <w:r w:rsidR="00CA7A84" w:rsidRPr="00CA7A84">
        <w:rPr>
          <w:vertAlign w:val="subscript"/>
        </w:rPr>
        <w:t>9</w:t>
      </w:r>
      <w:r w:rsidR="00CA7A84">
        <w:t xml:space="preserve"> </w:t>
      </w:r>
      <w:r>
        <w:t>on both heating and cooling cycles. Capacitance values were obtained through the relationship C</w:t>
      </w:r>
      <w:r w:rsidRPr="00A30DAF">
        <w:rPr>
          <w:vertAlign w:val="subscript"/>
        </w:rPr>
        <w:t>CPE</w:t>
      </w:r>
      <w:r>
        <w:t xml:space="preserve"> = ((RT)</w:t>
      </w:r>
      <w:r w:rsidRPr="00A30DAF">
        <w:rPr>
          <w:vertAlign w:val="superscript"/>
        </w:rPr>
        <w:t>1/p</w:t>
      </w:r>
      <w:r>
        <w:t xml:space="preserve">)/R.   </w:t>
      </w:r>
      <w:r w:rsidR="00675475">
        <w:br w:type="page"/>
      </w:r>
      <w:r w:rsidR="00675475">
        <w:lastRenderedPageBreak/>
        <w:t>Table 1</w:t>
      </w:r>
    </w:p>
    <w:tbl>
      <w:tblPr>
        <w:tblpPr w:leftFromText="180" w:rightFromText="180" w:vertAnchor="text" w:horzAnchor="margin" w:tblpY="16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2"/>
        <w:gridCol w:w="806"/>
        <w:gridCol w:w="1080"/>
        <w:gridCol w:w="1080"/>
        <w:gridCol w:w="1080"/>
        <w:gridCol w:w="1080"/>
        <w:gridCol w:w="1080"/>
        <w:gridCol w:w="720"/>
        <w:gridCol w:w="720"/>
      </w:tblGrid>
      <w:tr w:rsidR="00675475" w:rsidRPr="000C738E" w:rsidTr="000C738E">
        <w:trPr>
          <w:trHeight w:val="193"/>
        </w:trPr>
        <w:tc>
          <w:tcPr>
            <w:tcW w:w="1102" w:type="dxa"/>
            <w:vMerge w:val="restart"/>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pPr>
            <w:r w:rsidRPr="000C738E">
              <w:rPr>
                <w:sz w:val="22"/>
                <w:szCs w:val="22"/>
              </w:rPr>
              <w:t>Temp(˚C)</w:t>
            </w:r>
          </w:p>
        </w:tc>
        <w:tc>
          <w:tcPr>
            <w:tcW w:w="806" w:type="dxa"/>
            <w:vMerge w:val="restart"/>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pPr>
            <w:r w:rsidRPr="000C738E">
              <w:rPr>
                <w:sz w:val="22"/>
                <w:szCs w:val="22"/>
              </w:rPr>
              <w:t>Phase</w:t>
            </w:r>
          </w:p>
        </w:tc>
        <w:tc>
          <w:tcPr>
            <w:tcW w:w="3240" w:type="dxa"/>
            <w:gridSpan w:val="3"/>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pPr>
            <w:r w:rsidRPr="000C738E">
              <w:rPr>
                <w:sz w:val="22"/>
                <w:szCs w:val="22"/>
              </w:rPr>
              <w:t>Lattice parameters (Å)</w:t>
            </w:r>
          </w:p>
        </w:tc>
        <w:tc>
          <w:tcPr>
            <w:tcW w:w="1080" w:type="dxa"/>
            <w:vMerge w:val="restart"/>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pPr>
            <w:r w:rsidRPr="000C738E">
              <w:rPr>
                <w:i/>
                <w:sz w:val="22"/>
                <w:szCs w:val="22"/>
              </w:rPr>
              <w:t>β</w:t>
            </w:r>
            <w:r w:rsidRPr="000C738E">
              <w:rPr>
                <w:sz w:val="22"/>
                <w:szCs w:val="22"/>
              </w:rPr>
              <w:t xml:space="preserve"> (˚)</w:t>
            </w:r>
          </w:p>
        </w:tc>
        <w:tc>
          <w:tcPr>
            <w:tcW w:w="1080" w:type="dxa"/>
            <w:vMerge w:val="restart"/>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pPr>
            <w:r w:rsidRPr="000C738E">
              <w:rPr>
                <w:i/>
                <w:sz w:val="22"/>
                <w:szCs w:val="22"/>
              </w:rPr>
              <w:t>V</w:t>
            </w:r>
            <w:r w:rsidRPr="000C738E">
              <w:rPr>
                <w:sz w:val="22"/>
                <w:szCs w:val="22"/>
              </w:rPr>
              <w:t xml:space="preserve"> (Å</w:t>
            </w:r>
            <w:r w:rsidRPr="000C738E">
              <w:rPr>
                <w:sz w:val="22"/>
                <w:szCs w:val="22"/>
                <w:vertAlign w:val="superscript"/>
              </w:rPr>
              <w:t>3</w:t>
            </w:r>
            <w:r w:rsidRPr="000C738E">
              <w:rPr>
                <w:sz w:val="22"/>
                <w:szCs w:val="22"/>
              </w:rPr>
              <w:t>)</w:t>
            </w:r>
          </w:p>
        </w:tc>
        <w:tc>
          <w:tcPr>
            <w:tcW w:w="720" w:type="dxa"/>
            <w:vMerge w:val="restart"/>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pPr>
            <w:r w:rsidRPr="000C738E">
              <w:rPr>
                <w:sz w:val="22"/>
                <w:szCs w:val="22"/>
              </w:rPr>
              <w:t>χ</w:t>
            </w:r>
            <w:r w:rsidRPr="000C738E">
              <w:rPr>
                <w:sz w:val="22"/>
                <w:szCs w:val="22"/>
                <w:vertAlign w:val="superscript"/>
              </w:rPr>
              <w:t>2</w:t>
            </w:r>
          </w:p>
        </w:tc>
        <w:tc>
          <w:tcPr>
            <w:tcW w:w="720" w:type="dxa"/>
            <w:vMerge w:val="restart"/>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rPr>
                <w:i/>
              </w:rPr>
            </w:pPr>
            <w:r w:rsidRPr="000C738E">
              <w:rPr>
                <w:i/>
                <w:sz w:val="22"/>
                <w:szCs w:val="22"/>
              </w:rPr>
              <w:t>R</w:t>
            </w:r>
            <w:r w:rsidRPr="000C738E">
              <w:rPr>
                <w:i/>
                <w:sz w:val="22"/>
                <w:szCs w:val="22"/>
                <w:vertAlign w:val="subscript"/>
              </w:rPr>
              <w:t>wp</w:t>
            </w:r>
          </w:p>
        </w:tc>
      </w:tr>
      <w:tr w:rsidR="00675475" w:rsidRPr="000C738E" w:rsidTr="000C738E">
        <w:trPr>
          <w:trHeight w:val="193"/>
        </w:trPr>
        <w:tc>
          <w:tcPr>
            <w:tcW w:w="1102" w:type="dxa"/>
            <w:vMerge/>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pPr>
          </w:p>
        </w:tc>
        <w:tc>
          <w:tcPr>
            <w:tcW w:w="806" w:type="dxa"/>
            <w:vMerge/>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pPr>
          </w:p>
        </w:tc>
        <w:tc>
          <w:tcPr>
            <w:tcW w:w="1080" w:type="dxa"/>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rPr>
                <w:i/>
              </w:rPr>
            </w:pPr>
            <w:r w:rsidRPr="000C738E">
              <w:rPr>
                <w:i/>
                <w:sz w:val="22"/>
                <w:szCs w:val="22"/>
              </w:rPr>
              <w:t>a</w:t>
            </w:r>
          </w:p>
        </w:tc>
        <w:tc>
          <w:tcPr>
            <w:tcW w:w="1080" w:type="dxa"/>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rPr>
                <w:i/>
              </w:rPr>
            </w:pPr>
            <w:r w:rsidRPr="000C738E">
              <w:rPr>
                <w:i/>
                <w:sz w:val="22"/>
                <w:szCs w:val="22"/>
              </w:rPr>
              <w:t>b</w:t>
            </w:r>
          </w:p>
        </w:tc>
        <w:tc>
          <w:tcPr>
            <w:tcW w:w="1080" w:type="dxa"/>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rPr>
                <w:i/>
              </w:rPr>
            </w:pPr>
            <w:r w:rsidRPr="000C738E">
              <w:rPr>
                <w:i/>
                <w:sz w:val="22"/>
                <w:szCs w:val="22"/>
              </w:rPr>
              <w:t>c</w:t>
            </w:r>
          </w:p>
        </w:tc>
        <w:tc>
          <w:tcPr>
            <w:tcW w:w="1080" w:type="dxa"/>
            <w:vMerge/>
            <w:tcBorders>
              <w:top w:val="single" w:sz="8" w:space="0" w:color="auto"/>
              <w:left w:val="nil"/>
              <w:bottom w:val="single" w:sz="8" w:space="0" w:color="auto"/>
              <w:right w:val="nil"/>
            </w:tcBorders>
          </w:tcPr>
          <w:p w:rsidR="00675475" w:rsidRPr="000C738E" w:rsidRDefault="00675475" w:rsidP="000C738E">
            <w:pPr>
              <w:spacing w:line="360" w:lineRule="auto"/>
              <w:jc w:val="center"/>
            </w:pPr>
          </w:p>
        </w:tc>
        <w:tc>
          <w:tcPr>
            <w:tcW w:w="1080" w:type="dxa"/>
            <w:vMerge/>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pPr>
          </w:p>
        </w:tc>
        <w:tc>
          <w:tcPr>
            <w:tcW w:w="720" w:type="dxa"/>
            <w:vMerge/>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pPr>
          </w:p>
        </w:tc>
        <w:tc>
          <w:tcPr>
            <w:tcW w:w="720" w:type="dxa"/>
            <w:vMerge/>
            <w:tcBorders>
              <w:top w:val="single" w:sz="8" w:space="0" w:color="auto"/>
              <w:left w:val="nil"/>
              <w:bottom w:val="single" w:sz="8" w:space="0" w:color="auto"/>
              <w:right w:val="nil"/>
            </w:tcBorders>
            <w:vAlign w:val="center"/>
          </w:tcPr>
          <w:p w:rsidR="00675475" w:rsidRPr="000C738E" w:rsidRDefault="00675475" w:rsidP="000C738E">
            <w:pPr>
              <w:spacing w:line="360" w:lineRule="auto"/>
              <w:jc w:val="center"/>
            </w:pPr>
          </w:p>
        </w:tc>
      </w:tr>
      <w:tr w:rsidR="00675475" w:rsidRPr="000C738E" w:rsidTr="000C738E">
        <w:tc>
          <w:tcPr>
            <w:tcW w:w="1102" w:type="dxa"/>
            <w:tcBorders>
              <w:top w:val="single" w:sz="8" w:space="0" w:color="auto"/>
              <w:left w:val="nil"/>
              <w:bottom w:val="nil"/>
              <w:right w:val="nil"/>
            </w:tcBorders>
            <w:vAlign w:val="center"/>
          </w:tcPr>
          <w:p w:rsidR="00675475" w:rsidRPr="000C738E" w:rsidRDefault="00675475" w:rsidP="000C738E">
            <w:pPr>
              <w:spacing w:line="360" w:lineRule="auto"/>
              <w:jc w:val="center"/>
            </w:pPr>
            <w:r w:rsidRPr="000C738E">
              <w:rPr>
                <w:sz w:val="22"/>
                <w:szCs w:val="22"/>
              </w:rPr>
              <w:t>RT</w:t>
            </w:r>
          </w:p>
        </w:tc>
        <w:tc>
          <w:tcPr>
            <w:tcW w:w="806" w:type="dxa"/>
            <w:tcBorders>
              <w:top w:val="single" w:sz="8" w:space="0" w:color="auto"/>
              <w:left w:val="nil"/>
              <w:bottom w:val="nil"/>
              <w:right w:val="nil"/>
            </w:tcBorders>
            <w:vAlign w:val="center"/>
          </w:tcPr>
          <w:p w:rsidR="00675475" w:rsidRPr="000C738E" w:rsidRDefault="00675475" w:rsidP="000C738E">
            <w:pPr>
              <w:spacing w:line="360" w:lineRule="auto"/>
              <w:jc w:val="center"/>
            </w:pPr>
            <w:r w:rsidRPr="000C738E">
              <w:rPr>
                <w:sz w:val="22"/>
                <w:szCs w:val="22"/>
              </w:rPr>
              <w:t>alpha</w:t>
            </w:r>
          </w:p>
        </w:tc>
        <w:tc>
          <w:tcPr>
            <w:tcW w:w="1080" w:type="dxa"/>
            <w:tcBorders>
              <w:top w:val="single" w:sz="8" w:space="0" w:color="auto"/>
              <w:left w:val="nil"/>
              <w:bottom w:val="nil"/>
              <w:right w:val="nil"/>
            </w:tcBorders>
            <w:vAlign w:val="center"/>
          </w:tcPr>
          <w:p w:rsidR="00675475" w:rsidRPr="000C738E" w:rsidRDefault="00675475" w:rsidP="000C738E">
            <w:pPr>
              <w:spacing w:line="360" w:lineRule="auto"/>
              <w:jc w:val="center"/>
            </w:pPr>
            <w:r w:rsidRPr="000C738E">
              <w:rPr>
                <w:sz w:val="22"/>
                <w:szCs w:val="22"/>
              </w:rPr>
              <w:t>14.311(2)</w:t>
            </w:r>
          </w:p>
        </w:tc>
        <w:tc>
          <w:tcPr>
            <w:tcW w:w="1080" w:type="dxa"/>
            <w:tcBorders>
              <w:top w:val="single" w:sz="8" w:space="0" w:color="auto"/>
              <w:left w:val="nil"/>
              <w:bottom w:val="nil"/>
              <w:right w:val="nil"/>
            </w:tcBorders>
            <w:vAlign w:val="center"/>
          </w:tcPr>
          <w:p w:rsidR="00675475" w:rsidRPr="000C738E" w:rsidRDefault="00675475" w:rsidP="000C738E">
            <w:pPr>
              <w:spacing w:line="360" w:lineRule="auto"/>
              <w:jc w:val="center"/>
            </w:pPr>
            <w:r w:rsidRPr="000C738E">
              <w:rPr>
                <w:sz w:val="22"/>
                <w:szCs w:val="22"/>
              </w:rPr>
              <w:t>21.461(1)</w:t>
            </w:r>
          </w:p>
        </w:tc>
        <w:tc>
          <w:tcPr>
            <w:tcW w:w="1080" w:type="dxa"/>
            <w:tcBorders>
              <w:top w:val="single" w:sz="8" w:space="0" w:color="auto"/>
              <w:left w:val="nil"/>
              <w:bottom w:val="nil"/>
              <w:right w:val="nil"/>
            </w:tcBorders>
            <w:vAlign w:val="center"/>
          </w:tcPr>
          <w:p w:rsidR="00675475" w:rsidRPr="000C738E" w:rsidRDefault="00675475" w:rsidP="000C738E">
            <w:pPr>
              <w:spacing w:line="360" w:lineRule="auto"/>
              <w:jc w:val="center"/>
            </w:pPr>
            <w:r w:rsidRPr="000C738E">
              <w:rPr>
                <w:sz w:val="22"/>
                <w:szCs w:val="22"/>
              </w:rPr>
              <w:t>28.577(2)</w:t>
            </w:r>
          </w:p>
        </w:tc>
        <w:tc>
          <w:tcPr>
            <w:tcW w:w="1080" w:type="dxa"/>
            <w:tcBorders>
              <w:top w:val="single" w:sz="8" w:space="0" w:color="auto"/>
              <w:left w:val="nil"/>
              <w:bottom w:val="nil"/>
              <w:right w:val="nil"/>
            </w:tcBorders>
            <w:vAlign w:val="center"/>
          </w:tcPr>
          <w:p w:rsidR="00675475" w:rsidRPr="000C738E" w:rsidRDefault="00675475" w:rsidP="000C738E">
            <w:pPr>
              <w:spacing w:line="360" w:lineRule="auto"/>
              <w:jc w:val="center"/>
            </w:pPr>
            <w:r w:rsidRPr="000C738E">
              <w:rPr>
                <w:sz w:val="22"/>
                <w:szCs w:val="22"/>
              </w:rPr>
              <w:t>90.364(4)</w:t>
            </w:r>
          </w:p>
        </w:tc>
        <w:tc>
          <w:tcPr>
            <w:tcW w:w="1080" w:type="dxa"/>
            <w:tcBorders>
              <w:top w:val="single" w:sz="8" w:space="0" w:color="auto"/>
              <w:left w:val="nil"/>
              <w:bottom w:val="nil"/>
              <w:right w:val="nil"/>
            </w:tcBorders>
            <w:vAlign w:val="center"/>
          </w:tcPr>
          <w:p w:rsidR="00675475" w:rsidRPr="000C738E" w:rsidRDefault="00675475" w:rsidP="000C738E">
            <w:pPr>
              <w:spacing w:line="360" w:lineRule="auto"/>
              <w:jc w:val="center"/>
            </w:pPr>
            <w:r w:rsidRPr="000C738E">
              <w:rPr>
                <w:sz w:val="22"/>
                <w:szCs w:val="22"/>
              </w:rPr>
              <w:t>8776.4(1)</w:t>
            </w:r>
          </w:p>
        </w:tc>
        <w:tc>
          <w:tcPr>
            <w:tcW w:w="720" w:type="dxa"/>
            <w:tcBorders>
              <w:top w:val="single" w:sz="8" w:space="0" w:color="auto"/>
              <w:left w:val="nil"/>
              <w:bottom w:val="nil"/>
              <w:right w:val="nil"/>
            </w:tcBorders>
            <w:vAlign w:val="center"/>
          </w:tcPr>
          <w:p w:rsidR="00675475" w:rsidRPr="000C738E" w:rsidRDefault="00675475" w:rsidP="000C738E">
            <w:pPr>
              <w:spacing w:line="360" w:lineRule="auto"/>
              <w:jc w:val="center"/>
            </w:pPr>
            <w:r w:rsidRPr="000C738E">
              <w:rPr>
                <w:sz w:val="22"/>
                <w:szCs w:val="22"/>
              </w:rPr>
              <w:t>3.99</w:t>
            </w:r>
          </w:p>
        </w:tc>
        <w:tc>
          <w:tcPr>
            <w:tcW w:w="720" w:type="dxa"/>
            <w:tcBorders>
              <w:top w:val="single" w:sz="8" w:space="0" w:color="auto"/>
              <w:left w:val="nil"/>
              <w:bottom w:val="nil"/>
              <w:right w:val="nil"/>
            </w:tcBorders>
            <w:vAlign w:val="center"/>
          </w:tcPr>
          <w:p w:rsidR="00675475" w:rsidRPr="000C738E" w:rsidRDefault="00675475" w:rsidP="000C738E">
            <w:pPr>
              <w:spacing w:line="360" w:lineRule="auto"/>
              <w:jc w:val="center"/>
            </w:pPr>
            <w:r w:rsidRPr="000C738E">
              <w:rPr>
                <w:sz w:val="22"/>
                <w:szCs w:val="22"/>
              </w:rPr>
              <w:t>5.1%</w:t>
            </w:r>
          </w:p>
        </w:tc>
      </w:tr>
      <w:tr w:rsidR="00675475" w:rsidRPr="000C738E" w:rsidTr="000C738E">
        <w:tc>
          <w:tcPr>
            <w:tcW w:w="1102"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500</w:t>
            </w:r>
          </w:p>
        </w:tc>
        <w:tc>
          <w:tcPr>
            <w:tcW w:w="806"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alpha</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14.406(2)</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21.613(2)</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28.784(4)</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90.362(5)</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8962.1(2)</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5.21</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6.0%</w:t>
            </w:r>
          </w:p>
        </w:tc>
      </w:tr>
      <w:tr w:rsidR="00675475" w:rsidRPr="000C738E" w:rsidTr="000C738E">
        <w:tc>
          <w:tcPr>
            <w:tcW w:w="1102"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520</w:t>
            </w:r>
          </w:p>
        </w:tc>
        <w:tc>
          <w:tcPr>
            <w:tcW w:w="806"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alpha</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14.412(2)</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21.620(2)</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28.790(4)</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90.361(5)</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8970.2(2)</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5.07</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5.9%</w:t>
            </w:r>
          </w:p>
        </w:tc>
      </w:tr>
      <w:tr w:rsidR="00675475" w:rsidRPr="000C738E" w:rsidTr="000C738E">
        <w:tc>
          <w:tcPr>
            <w:tcW w:w="1102"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540</w:t>
            </w:r>
          </w:p>
        </w:tc>
        <w:tc>
          <w:tcPr>
            <w:tcW w:w="806"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alpha</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14.423(1)</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21.627(1)</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28.790(2)</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90.397(3)</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8980.3(1)</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2.26</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3.9%</w:t>
            </w:r>
          </w:p>
        </w:tc>
      </w:tr>
      <w:tr w:rsidR="00675475" w:rsidRPr="000C738E" w:rsidTr="000C738E">
        <w:tc>
          <w:tcPr>
            <w:tcW w:w="1102"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560</w:t>
            </w:r>
          </w:p>
        </w:tc>
        <w:tc>
          <w:tcPr>
            <w:tcW w:w="806"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alpha</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14.426(1)</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21.650(1)</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28.798(2)</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90.385(3)</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8993.6(1)</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2.44</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4.1%</w:t>
            </w:r>
          </w:p>
        </w:tc>
      </w:tr>
      <w:tr w:rsidR="00675475" w:rsidRPr="000C738E" w:rsidTr="000C738E">
        <w:tc>
          <w:tcPr>
            <w:tcW w:w="1102"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580</w:t>
            </w:r>
          </w:p>
        </w:tc>
        <w:tc>
          <w:tcPr>
            <w:tcW w:w="806"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beta</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7.220(3)</w:t>
            </w:r>
          </w:p>
        </w:tc>
        <w:tc>
          <w:tcPr>
            <w:tcW w:w="1080"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w:t>
            </w:r>
          </w:p>
        </w:tc>
        <w:tc>
          <w:tcPr>
            <w:tcW w:w="1080"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w:t>
            </w:r>
          </w:p>
        </w:tc>
        <w:tc>
          <w:tcPr>
            <w:tcW w:w="1080"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90</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376.37(3)</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2.04</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3.7%</w:t>
            </w:r>
          </w:p>
        </w:tc>
      </w:tr>
      <w:tr w:rsidR="00675475" w:rsidRPr="000C738E" w:rsidTr="000C738E">
        <w:tc>
          <w:tcPr>
            <w:tcW w:w="1102"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600</w:t>
            </w:r>
          </w:p>
        </w:tc>
        <w:tc>
          <w:tcPr>
            <w:tcW w:w="806"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beta</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7.223(4)</w:t>
            </w:r>
          </w:p>
        </w:tc>
        <w:tc>
          <w:tcPr>
            <w:tcW w:w="1080"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w:t>
            </w:r>
          </w:p>
        </w:tc>
        <w:tc>
          <w:tcPr>
            <w:tcW w:w="1080"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w:t>
            </w:r>
          </w:p>
        </w:tc>
        <w:tc>
          <w:tcPr>
            <w:tcW w:w="1080"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90</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376.82(4)</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3.30</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4.7%</w:t>
            </w:r>
          </w:p>
        </w:tc>
      </w:tr>
      <w:tr w:rsidR="00675475" w:rsidRPr="000C738E" w:rsidTr="000C738E">
        <w:tc>
          <w:tcPr>
            <w:tcW w:w="1102"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620</w:t>
            </w:r>
          </w:p>
        </w:tc>
        <w:tc>
          <w:tcPr>
            <w:tcW w:w="806"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beta</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7.227(3)</w:t>
            </w:r>
          </w:p>
        </w:tc>
        <w:tc>
          <w:tcPr>
            <w:tcW w:w="1080"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w:t>
            </w:r>
          </w:p>
        </w:tc>
        <w:tc>
          <w:tcPr>
            <w:tcW w:w="1080"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w:t>
            </w:r>
          </w:p>
        </w:tc>
        <w:tc>
          <w:tcPr>
            <w:tcW w:w="1080" w:type="dxa"/>
            <w:tcBorders>
              <w:top w:val="nil"/>
              <w:left w:val="nil"/>
              <w:bottom w:val="nil"/>
              <w:right w:val="nil"/>
            </w:tcBorders>
            <w:vAlign w:val="center"/>
          </w:tcPr>
          <w:p w:rsidR="00675475" w:rsidRPr="000C738E" w:rsidRDefault="00675475" w:rsidP="000C738E">
            <w:pPr>
              <w:spacing w:line="360" w:lineRule="auto"/>
              <w:jc w:val="center"/>
            </w:pPr>
            <w:r w:rsidRPr="000C738E">
              <w:rPr>
                <w:sz w:val="22"/>
                <w:szCs w:val="22"/>
              </w:rPr>
              <w:t>90</w:t>
            </w:r>
          </w:p>
        </w:tc>
        <w:tc>
          <w:tcPr>
            <w:tcW w:w="1080" w:type="dxa"/>
            <w:tcBorders>
              <w:top w:val="nil"/>
              <w:left w:val="nil"/>
              <w:bottom w:val="nil"/>
              <w:right w:val="nil"/>
            </w:tcBorders>
            <w:vAlign w:val="center"/>
          </w:tcPr>
          <w:p w:rsidR="00675475" w:rsidRPr="000C738E" w:rsidRDefault="00675475" w:rsidP="000C738E">
            <w:pPr>
              <w:jc w:val="center"/>
            </w:pPr>
            <w:r w:rsidRPr="000C738E">
              <w:rPr>
                <w:sz w:val="22"/>
                <w:szCs w:val="22"/>
              </w:rPr>
              <w:t>377.44(3)</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2.12</w:t>
            </w:r>
          </w:p>
        </w:tc>
        <w:tc>
          <w:tcPr>
            <w:tcW w:w="720" w:type="dxa"/>
            <w:tcBorders>
              <w:top w:val="nil"/>
              <w:left w:val="nil"/>
              <w:bottom w:val="nil"/>
              <w:right w:val="nil"/>
            </w:tcBorders>
            <w:vAlign w:val="center"/>
          </w:tcPr>
          <w:p w:rsidR="00675475" w:rsidRPr="000C738E" w:rsidRDefault="00675475" w:rsidP="000C738E">
            <w:pPr>
              <w:jc w:val="center"/>
            </w:pPr>
            <w:r w:rsidRPr="000C738E">
              <w:rPr>
                <w:sz w:val="22"/>
                <w:szCs w:val="22"/>
              </w:rPr>
              <w:t>3.8%</w:t>
            </w:r>
          </w:p>
        </w:tc>
      </w:tr>
      <w:tr w:rsidR="00675475" w:rsidRPr="000C738E" w:rsidTr="000C738E">
        <w:tc>
          <w:tcPr>
            <w:tcW w:w="1102" w:type="dxa"/>
            <w:tcBorders>
              <w:top w:val="nil"/>
              <w:left w:val="nil"/>
              <w:bottom w:val="single" w:sz="8" w:space="0" w:color="auto"/>
              <w:right w:val="nil"/>
            </w:tcBorders>
            <w:vAlign w:val="center"/>
          </w:tcPr>
          <w:p w:rsidR="00675475" w:rsidRPr="000C738E" w:rsidRDefault="00675475" w:rsidP="000C738E">
            <w:pPr>
              <w:spacing w:line="360" w:lineRule="auto"/>
              <w:jc w:val="center"/>
            </w:pPr>
            <w:r w:rsidRPr="000C738E">
              <w:rPr>
                <w:sz w:val="22"/>
                <w:szCs w:val="22"/>
              </w:rPr>
              <w:t>640</w:t>
            </w:r>
          </w:p>
        </w:tc>
        <w:tc>
          <w:tcPr>
            <w:tcW w:w="806" w:type="dxa"/>
            <w:tcBorders>
              <w:top w:val="nil"/>
              <w:left w:val="nil"/>
              <w:bottom w:val="single" w:sz="8" w:space="0" w:color="auto"/>
              <w:right w:val="nil"/>
            </w:tcBorders>
            <w:vAlign w:val="center"/>
          </w:tcPr>
          <w:p w:rsidR="00675475" w:rsidRPr="000C738E" w:rsidRDefault="00675475" w:rsidP="000C738E">
            <w:pPr>
              <w:spacing w:line="360" w:lineRule="auto"/>
              <w:jc w:val="center"/>
            </w:pPr>
            <w:r w:rsidRPr="000C738E">
              <w:rPr>
                <w:sz w:val="22"/>
                <w:szCs w:val="22"/>
              </w:rPr>
              <w:t>beta</w:t>
            </w:r>
          </w:p>
        </w:tc>
        <w:tc>
          <w:tcPr>
            <w:tcW w:w="1080" w:type="dxa"/>
            <w:tcBorders>
              <w:top w:val="nil"/>
              <w:left w:val="nil"/>
              <w:bottom w:val="single" w:sz="8" w:space="0" w:color="auto"/>
              <w:right w:val="nil"/>
            </w:tcBorders>
            <w:vAlign w:val="center"/>
          </w:tcPr>
          <w:p w:rsidR="00675475" w:rsidRPr="000C738E" w:rsidRDefault="00675475" w:rsidP="000C738E">
            <w:pPr>
              <w:jc w:val="center"/>
            </w:pPr>
            <w:r w:rsidRPr="000C738E">
              <w:rPr>
                <w:sz w:val="22"/>
                <w:szCs w:val="22"/>
              </w:rPr>
              <w:t>7.230 (4)</w:t>
            </w:r>
          </w:p>
        </w:tc>
        <w:tc>
          <w:tcPr>
            <w:tcW w:w="1080" w:type="dxa"/>
            <w:tcBorders>
              <w:top w:val="nil"/>
              <w:left w:val="nil"/>
              <w:bottom w:val="single" w:sz="8" w:space="0" w:color="auto"/>
              <w:right w:val="nil"/>
            </w:tcBorders>
            <w:vAlign w:val="center"/>
          </w:tcPr>
          <w:p w:rsidR="00675475" w:rsidRPr="000C738E" w:rsidRDefault="00675475" w:rsidP="000C738E">
            <w:pPr>
              <w:spacing w:line="360" w:lineRule="auto"/>
              <w:jc w:val="center"/>
            </w:pPr>
            <w:r w:rsidRPr="000C738E">
              <w:rPr>
                <w:sz w:val="22"/>
                <w:szCs w:val="22"/>
              </w:rPr>
              <w:t>-</w:t>
            </w:r>
          </w:p>
        </w:tc>
        <w:tc>
          <w:tcPr>
            <w:tcW w:w="1080" w:type="dxa"/>
            <w:tcBorders>
              <w:top w:val="nil"/>
              <w:left w:val="nil"/>
              <w:bottom w:val="single" w:sz="8" w:space="0" w:color="auto"/>
              <w:right w:val="nil"/>
            </w:tcBorders>
            <w:vAlign w:val="center"/>
          </w:tcPr>
          <w:p w:rsidR="00675475" w:rsidRPr="000C738E" w:rsidRDefault="00675475" w:rsidP="000C738E">
            <w:pPr>
              <w:spacing w:line="360" w:lineRule="auto"/>
              <w:jc w:val="center"/>
            </w:pPr>
            <w:r w:rsidRPr="000C738E">
              <w:rPr>
                <w:sz w:val="22"/>
                <w:szCs w:val="22"/>
              </w:rPr>
              <w:t>-</w:t>
            </w:r>
          </w:p>
        </w:tc>
        <w:tc>
          <w:tcPr>
            <w:tcW w:w="1080" w:type="dxa"/>
            <w:tcBorders>
              <w:top w:val="nil"/>
              <w:left w:val="nil"/>
              <w:bottom w:val="single" w:sz="8" w:space="0" w:color="auto"/>
              <w:right w:val="nil"/>
            </w:tcBorders>
            <w:vAlign w:val="center"/>
          </w:tcPr>
          <w:p w:rsidR="00675475" w:rsidRPr="000C738E" w:rsidRDefault="00675475" w:rsidP="000C738E">
            <w:pPr>
              <w:spacing w:line="360" w:lineRule="auto"/>
              <w:jc w:val="center"/>
            </w:pPr>
            <w:r w:rsidRPr="000C738E">
              <w:rPr>
                <w:sz w:val="22"/>
                <w:szCs w:val="22"/>
              </w:rPr>
              <w:t>90</w:t>
            </w:r>
          </w:p>
        </w:tc>
        <w:tc>
          <w:tcPr>
            <w:tcW w:w="1080" w:type="dxa"/>
            <w:tcBorders>
              <w:top w:val="nil"/>
              <w:left w:val="nil"/>
              <w:bottom w:val="single" w:sz="8" w:space="0" w:color="auto"/>
              <w:right w:val="nil"/>
            </w:tcBorders>
            <w:vAlign w:val="center"/>
          </w:tcPr>
          <w:p w:rsidR="00675475" w:rsidRPr="000C738E" w:rsidRDefault="00675475" w:rsidP="000C738E">
            <w:pPr>
              <w:jc w:val="center"/>
            </w:pPr>
            <w:r w:rsidRPr="000C738E">
              <w:rPr>
                <w:sz w:val="22"/>
                <w:szCs w:val="22"/>
              </w:rPr>
              <w:t>377.96(3)</w:t>
            </w:r>
          </w:p>
        </w:tc>
        <w:tc>
          <w:tcPr>
            <w:tcW w:w="720" w:type="dxa"/>
            <w:tcBorders>
              <w:top w:val="nil"/>
              <w:left w:val="nil"/>
              <w:bottom w:val="single" w:sz="8" w:space="0" w:color="auto"/>
              <w:right w:val="nil"/>
            </w:tcBorders>
            <w:vAlign w:val="center"/>
          </w:tcPr>
          <w:p w:rsidR="00675475" w:rsidRPr="000C738E" w:rsidRDefault="00675475" w:rsidP="000C738E">
            <w:pPr>
              <w:jc w:val="center"/>
            </w:pPr>
            <w:r w:rsidRPr="000C738E">
              <w:rPr>
                <w:sz w:val="22"/>
                <w:szCs w:val="22"/>
              </w:rPr>
              <w:t>2.45</w:t>
            </w:r>
          </w:p>
        </w:tc>
        <w:tc>
          <w:tcPr>
            <w:tcW w:w="720" w:type="dxa"/>
            <w:tcBorders>
              <w:top w:val="nil"/>
              <w:left w:val="nil"/>
              <w:bottom w:val="single" w:sz="8" w:space="0" w:color="auto"/>
              <w:right w:val="nil"/>
            </w:tcBorders>
            <w:vAlign w:val="center"/>
          </w:tcPr>
          <w:p w:rsidR="00675475" w:rsidRPr="000C738E" w:rsidRDefault="00675475" w:rsidP="000C738E">
            <w:pPr>
              <w:jc w:val="center"/>
            </w:pPr>
            <w:r w:rsidRPr="000C738E">
              <w:rPr>
                <w:sz w:val="22"/>
                <w:szCs w:val="22"/>
              </w:rPr>
              <w:t>4.1%</w:t>
            </w:r>
          </w:p>
        </w:tc>
      </w:tr>
    </w:tbl>
    <w:p w:rsidR="00675475" w:rsidRDefault="00675475" w:rsidP="000B58CA">
      <w:pPr>
        <w:spacing w:line="480" w:lineRule="auto"/>
      </w:pPr>
    </w:p>
    <w:p w:rsidR="00675475" w:rsidRDefault="00675475" w:rsidP="00F5758E">
      <w:pPr>
        <w:spacing w:line="480" w:lineRule="auto"/>
        <w:ind w:firstLine="240"/>
        <w:jc w:val="both"/>
      </w:pPr>
    </w:p>
    <w:p w:rsidR="00675475" w:rsidRDefault="00675475" w:rsidP="00F5758E">
      <w:pPr>
        <w:ind w:left="720" w:hanging="720"/>
        <w:jc w:val="center"/>
      </w:pPr>
    </w:p>
    <w:p w:rsidR="00675475" w:rsidRDefault="00A30DAF" w:rsidP="00A30DAF">
      <w:pPr>
        <w:spacing w:line="480" w:lineRule="auto"/>
        <w:ind w:left="720" w:hanging="720"/>
      </w:pPr>
      <w:r>
        <w:t>Table 2</w:t>
      </w:r>
    </w:p>
    <w:p w:rsidR="00675475" w:rsidRDefault="00DC07BC" w:rsidP="001A7B60">
      <w:pPr>
        <w:spacing w:line="480" w:lineRule="auto"/>
        <w:ind w:left="720" w:hanging="720"/>
      </w:pPr>
      <w:r w:rsidRPr="00DC07B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5.45pt;height:189.9pt">
            <v:imagedata r:id="rId7" o:title=""/>
          </v:shape>
        </w:pict>
      </w:r>
      <w:r w:rsidR="00675475">
        <w:br w:type="page"/>
      </w:r>
      <w:r w:rsidR="00675475">
        <w:lastRenderedPageBreak/>
        <w:t>Fig. 1</w:t>
      </w:r>
    </w:p>
    <w:p w:rsidR="00675475" w:rsidRDefault="00DC07BC" w:rsidP="001A7B60">
      <w:pPr>
        <w:spacing w:line="480" w:lineRule="auto"/>
        <w:ind w:left="720" w:hanging="720"/>
        <w:jc w:val="center"/>
      </w:pPr>
      <w:r>
        <w:pict>
          <v:shape id="_x0000_i1025" type="#_x0000_t75" style="width:409.7pt;height:296.3pt">
            <v:imagedata r:id="rId8" o:title=""/>
          </v:shape>
        </w:pict>
      </w:r>
    </w:p>
    <w:p w:rsidR="00675475" w:rsidRDefault="00675475" w:rsidP="003D2751">
      <w:pPr>
        <w:spacing w:line="480" w:lineRule="auto"/>
        <w:ind w:left="720" w:hanging="720"/>
      </w:pPr>
      <w:r>
        <w:br w:type="page"/>
      </w:r>
      <w:r>
        <w:lastRenderedPageBreak/>
        <w:t>Fig. 2</w:t>
      </w:r>
    </w:p>
    <w:p w:rsidR="00675475" w:rsidRDefault="00DC07BC" w:rsidP="003D2751">
      <w:pPr>
        <w:spacing w:line="480" w:lineRule="auto"/>
        <w:ind w:left="720" w:hanging="720"/>
        <w:jc w:val="center"/>
      </w:pPr>
      <w:r>
        <w:pict>
          <v:shape id="_x0000_i1026" type="#_x0000_t75" style="width:376.55pt;height:282.25pt">
            <v:imagedata r:id="rId9" o:title="" croptop="3956f" cropbottom="1974f" cropleft="1528f" cropright="1528f"/>
          </v:shape>
        </w:pict>
      </w:r>
    </w:p>
    <w:p w:rsidR="00675475" w:rsidRDefault="00675475" w:rsidP="00025153">
      <w:pPr>
        <w:spacing w:line="480" w:lineRule="auto"/>
        <w:ind w:left="720" w:hanging="720"/>
      </w:pPr>
      <w:r>
        <w:br w:type="page"/>
      </w:r>
      <w:r>
        <w:lastRenderedPageBreak/>
        <w:t>Fig. 3</w:t>
      </w:r>
    </w:p>
    <w:p w:rsidR="00675475" w:rsidRDefault="00675475" w:rsidP="00025153">
      <w:pPr>
        <w:spacing w:line="480" w:lineRule="auto"/>
        <w:ind w:left="720" w:hanging="720"/>
        <w:jc w:val="center"/>
      </w:pPr>
      <w:r>
        <w:object w:dxaOrig="6130" w:dyaOrig="4814">
          <v:shape id="_x0000_i1027" type="#_x0000_t75" style="width:328.8pt;height:250.4pt" o:ole="">
            <v:imagedata r:id="rId10" o:title="" croptop="6943f" cropbottom="3090f" cropleft="2416f" cropright="3624f"/>
          </v:shape>
          <o:OLEObject Type="Embed" ProgID="Origin50.Graph" ShapeID="_x0000_i1027" DrawAspect="Content" ObjectID="_1354540147" r:id="rId11"/>
        </w:object>
      </w:r>
    </w:p>
    <w:p w:rsidR="00675475" w:rsidRDefault="00675475" w:rsidP="00595396">
      <w:pPr>
        <w:spacing w:line="480" w:lineRule="auto"/>
        <w:ind w:left="720" w:hanging="720"/>
      </w:pPr>
      <w:r>
        <w:br w:type="page"/>
      </w:r>
      <w:r>
        <w:lastRenderedPageBreak/>
        <w:t xml:space="preserve">Fig. 4 </w:t>
      </w:r>
    </w:p>
    <w:p w:rsidR="00675475" w:rsidRDefault="00675475" w:rsidP="00595396">
      <w:pPr>
        <w:spacing w:line="480" w:lineRule="auto"/>
        <w:ind w:left="720" w:hanging="720"/>
        <w:jc w:val="center"/>
      </w:pPr>
      <w:r>
        <w:object w:dxaOrig="6708" w:dyaOrig="4812">
          <v:shape id="_x0000_i1028" type="#_x0000_t75" style="width:368.9pt;height:231.95pt" o:ole="">
            <v:imagedata r:id="rId12" o:title="" croptop="6891f" cropbottom="3827f" cropleft="2228f" cropright="2228f"/>
          </v:shape>
          <o:OLEObject Type="Embed" ProgID="Origin50.Graph" ShapeID="_x0000_i1028" DrawAspect="Content" ObjectID="_1354540148" r:id="rId13"/>
        </w:object>
      </w:r>
    </w:p>
    <w:p w:rsidR="00675475" w:rsidRDefault="00675475" w:rsidP="00953192">
      <w:pPr>
        <w:spacing w:line="480" w:lineRule="auto"/>
        <w:ind w:left="720" w:hanging="720"/>
      </w:pPr>
      <w:r>
        <w:br w:type="page"/>
      </w:r>
      <w:r>
        <w:lastRenderedPageBreak/>
        <w:t>Fig. 5</w:t>
      </w:r>
    </w:p>
    <w:p w:rsidR="00675475" w:rsidRDefault="00675475" w:rsidP="00953192">
      <w:pPr>
        <w:spacing w:line="480" w:lineRule="auto"/>
        <w:ind w:left="720" w:hanging="720"/>
        <w:jc w:val="center"/>
      </w:pPr>
      <w:r>
        <w:object w:dxaOrig="6502" w:dyaOrig="4792">
          <v:shape id="_x0000_i1029" type="#_x0000_t75" style="width:341.5pt;height:249.75pt" o:ole="">
            <v:imagedata r:id="rId14" o:title="" croptop="3870f" cropbottom="3870f" cropleft="2852f" cropright="2852f"/>
          </v:shape>
          <o:OLEObject Type="Embed" ProgID="Origin50.Graph" ShapeID="_x0000_i1029" DrawAspect="Content" ObjectID="_1354540149" r:id="rId15"/>
        </w:object>
      </w:r>
    </w:p>
    <w:p w:rsidR="00675475" w:rsidRDefault="00675475" w:rsidP="00953192">
      <w:pPr>
        <w:spacing w:line="480" w:lineRule="auto"/>
        <w:ind w:left="720" w:hanging="720"/>
        <w:jc w:val="center"/>
      </w:pPr>
      <w:r>
        <w:br/>
      </w:r>
    </w:p>
    <w:p w:rsidR="00675475" w:rsidRDefault="00675475" w:rsidP="00AA2495">
      <w:pPr>
        <w:spacing w:line="480" w:lineRule="auto"/>
        <w:ind w:left="720" w:hanging="720"/>
      </w:pPr>
      <w:r>
        <w:br w:type="page"/>
      </w:r>
      <w:r>
        <w:lastRenderedPageBreak/>
        <w:t>Fig. 6</w:t>
      </w:r>
    </w:p>
    <w:p w:rsidR="00675475" w:rsidRDefault="00675475" w:rsidP="00305C6B">
      <w:pPr>
        <w:spacing w:line="480" w:lineRule="auto"/>
        <w:ind w:left="720" w:hanging="720"/>
        <w:jc w:val="center"/>
      </w:pPr>
      <w:r>
        <w:object w:dxaOrig="6091" w:dyaOrig="4853">
          <v:shape id="_x0000_i1030" type="#_x0000_t75" style="width:261.9pt;height:201.35pt" o:ole="">
            <v:imagedata r:id="rId16" o:title="" croptop="6887f" cropbottom="4132f" cropleft="3045f" cropright="4885f"/>
          </v:shape>
          <o:OLEObject Type="Embed" ProgID="Origin50.Graph" ShapeID="_x0000_i1030" DrawAspect="Content" ObjectID="_1354540150" r:id="rId17"/>
        </w:object>
      </w:r>
      <w:r>
        <w:t xml:space="preserve"> (a)</w:t>
      </w:r>
    </w:p>
    <w:p w:rsidR="00675475" w:rsidRDefault="00675475" w:rsidP="00305C6B">
      <w:pPr>
        <w:spacing w:line="480" w:lineRule="auto"/>
        <w:ind w:left="720" w:hanging="720"/>
        <w:jc w:val="center"/>
      </w:pPr>
      <w:r>
        <w:object w:dxaOrig="6111" w:dyaOrig="4851">
          <v:shape id="_x0000_i1031" type="#_x0000_t75" style="width:263.15pt;height:199.45pt" o:ole="">
            <v:imagedata r:id="rId18" o:title="" croptop="6958f" cropbottom="3094f" cropleft="3067f" cropright="4901f"/>
          </v:shape>
          <o:OLEObject Type="Embed" ProgID="Origin50.Graph" ShapeID="_x0000_i1031" DrawAspect="Content" ObjectID="_1354540151" r:id="rId19"/>
        </w:object>
      </w:r>
      <w:r>
        <w:t>(b)</w:t>
      </w:r>
    </w:p>
    <w:p w:rsidR="0096387B" w:rsidRDefault="0096387B" w:rsidP="00305C6B">
      <w:pPr>
        <w:spacing w:line="480" w:lineRule="auto"/>
        <w:ind w:left="720" w:hanging="720"/>
        <w:jc w:val="center"/>
      </w:pPr>
    </w:p>
    <w:p w:rsidR="0096387B" w:rsidRPr="00313B40" w:rsidRDefault="0096387B" w:rsidP="00305C6B">
      <w:pPr>
        <w:spacing w:line="480" w:lineRule="auto"/>
        <w:ind w:left="720" w:hanging="720"/>
        <w:jc w:val="center"/>
      </w:pPr>
    </w:p>
    <w:sectPr w:rsidR="0096387B" w:rsidRPr="00313B40" w:rsidSect="002F470A">
      <w:footerReference w:type="even"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CA6" w:rsidRDefault="00876CA6">
      <w:r>
        <w:separator/>
      </w:r>
    </w:p>
  </w:endnote>
  <w:endnote w:type="continuationSeparator" w:id="0">
    <w:p w:rsidR="00876CA6" w:rsidRDefault="00876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475" w:rsidRDefault="002C25FC" w:rsidP="007D1239">
    <w:pPr>
      <w:pStyle w:val="Footer"/>
      <w:framePr w:wrap="around" w:vAnchor="text" w:hAnchor="margin" w:xAlign="center" w:y="1"/>
      <w:rPr>
        <w:rStyle w:val="PageNumber"/>
      </w:rPr>
    </w:pPr>
    <w:r>
      <w:rPr>
        <w:rStyle w:val="PageNumber"/>
      </w:rPr>
      <w:fldChar w:fldCharType="begin"/>
    </w:r>
    <w:r w:rsidR="00675475">
      <w:rPr>
        <w:rStyle w:val="PageNumber"/>
      </w:rPr>
      <w:instrText xml:space="preserve">PAGE  </w:instrText>
    </w:r>
    <w:r>
      <w:rPr>
        <w:rStyle w:val="PageNumber"/>
      </w:rPr>
      <w:fldChar w:fldCharType="end"/>
    </w:r>
  </w:p>
  <w:p w:rsidR="00675475" w:rsidRDefault="006754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475" w:rsidRDefault="002C25FC" w:rsidP="007D1239">
    <w:pPr>
      <w:pStyle w:val="Footer"/>
      <w:framePr w:wrap="around" w:vAnchor="text" w:hAnchor="margin" w:xAlign="center" w:y="1"/>
      <w:rPr>
        <w:rStyle w:val="PageNumber"/>
      </w:rPr>
    </w:pPr>
    <w:r>
      <w:rPr>
        <w:rStyle w:val="PageNumber"/>
      </w:rPr>
      <w:fldChar w:fldCharType="begin"/>
    </w:r>
    <w:r w:rsidR="00675475">
      <w:rPr>
        <w:rStyle w:val="PageNumber"/>
      </w:rPr>
      <w:instrText xml:space="preserve">PAGE  </w:instrText>
    </w:r>
    <w:r>
      <w:rPr>
        <w:rStyle w:val="PageNumber"/>
      </w:rPr>
      <w:fldChar w:fldCharType="separate"/>
    </w:r>
    <w:r w:rsidR="00DC07BC">
      <w:rPr>
        <w:rStyle w:val="PageNumber"/>
        <w:noProof/>
      </w:rPr>
      <w:t>13</w:t>
    </w:r>
    <w:r>
      <w:rPr>
        <w:rStyle w:val="PageNumber"/>
      </w:rPr>
      <w:fldChar w:fldCharType="end"/>
    </w:r>
  </w:p>
  <w:p w:rsidR="00675475" w:rsidRDefault="006754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CA6" w:rsidRDefault="00876CA6">
      <w:r>
        <w:separator/>
      </w:r>
    </w:p>
  </w:footnote>
  <w:footnote w:type="continuationSeparator" w:id="0">
    <w:p w:rsidR="00876CA6" w:rsidRDefault="00876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0112FA"/>
    <w:multiLevelType w:val="hybridMultilevel"/>
    <w:tmpl w:val="A13048E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stylePaneFormatFilter w:val="3F0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ibraries" w:val="&lt;ENLibraries&gt;&lt;Libraries&gt;&lt;item&gt;LaMoO.enl&lt;/item&gt;&lt;/Libraries&gt;&lt;/ENLibraries&gt;"/>
  </w:docVars>
  <w:rsids>
    <w:rsidRoot w:val="004C6B75"/>
    <w:rsid w:val="000002BC"/>
    <w:rsid w:val="000052ED"/>
    <w:rsid w:val="0001605C"/>
    <w:rsid w:val="0002119D"/>
    <w:rsid w:val="00021593"/>
    <w:rsid w:val="00025153"/>
    <w:rsid w:val="00031FEF"/>
    <w:rsid w:val="00034759"/>
    <w:rsid w:val="00036EDD"/>
    <w:rsid w:val="00047C38"/>
    <w:rsid w:val="00050B21"/>
    <w:rsid w:val="00053805"/>
    <w:rsid w:val="00057E6D"/>
    <w:rsid w:val="00072993"/>
    <w:rsid w:val="000730BB"/>
    <w:rsid w:val="00080DA2"/>
    <w:rsid w:val="00084CC0"/>
    <w:rsid w:val="000A38B9"/>
    <w:rsid w:val="000B062B"/>
    <w:rsid w:val="000B56B6"/>
    <w:rsid w:val="000B58CA"/>
    <w:rsid w:val="000C69F8"/>
    <w:rsid w:val="000C738E"/>
    <w:rsid w:val="000D26C1"/>
    <w:rsid w:val="000D50CB"/>
    <w:rsid w:val="000D7FBD"/>
    <w:rsid w:val="000E2B5E"/>
    <w:rsid w:val="000F0C05"/>
    <w:rsid w:val="000F2766"/>
    <w:rsid w:val="00106B3C"/>
    <w:rsid w:val="00111944"/>
    <w:rsid w:val="0012201F"/>
    <w:rsid w:val="0012301E"/>
    <w:rsid w:val="00135D79"/>
    <w:rsid w:val="00137528"/>
    <w:rsid w:val="00141378"/>
    <w:rsid w:val="00141507"/>
    <w:rsid w:val="00146032"/>
    <w:rsid w:val="00154BD0"/>
    <w:rsid w:val="001861B5"/>
    <w:rsid w:val="001A7B60"/>
    <w:rsid w:val="001B0F35"/>
    <w:rsid w:val="00210016"/>
    <w:rsid w:val="00210C7A"/>
    <w:rsid w:val="00213304"/>
    <w:rsid w:val="002210E2"/>
    <w:rsid w:val="0022498A"/>
    <w:rsid w:val="00225D61"/>
    <w:rsid w:val="002321E1"/>
    <w:rsid w:val="00244622"/>
    <w:rsid w:val="00250511"/>
    <w:rsid w:val="002606DA"/>
    <w:rsid w:val="0027685C"/>
    <w:rsid w:val="002924DA"/>
    <w:rsid w:val="00297DB4"/>
    <w:rsid w:val="002A0DA1"/>
    <w:rsid w:val="002B0557"/>
    <w:rsid w:val="002C25FC"/>
    <w:rsid w:val="002C396A"/>
    <w:rsid w:val="002D2424"/>
    <w:rsid w:val="002E2342"/>
    <w:rsid w:val="002F470A"/>
    <w:rsid w:val="002F6846"/>
    <w:rsid w:val="002F7073"/>
    <w:rsid w:val="00305662"/>
    <w:rsid w:val="00305C6B"/>
    <w:rsid w:val="00310CFD"/>
    <w:rsid w:val="00313490"/>
    <w:rsid w:val="00313B40"/>
    <w:rsid w:val="00314F69"/>
    <w:rsid w:val="00323ECB"/>
    <w:rsid w:val="00332F1F"/>
    <w:rsid w:val="00336FAC"/>
    <w:rsid w:val="00347FD2"/>
    <w:rsid w:val="00353D26"/>
    <w:rsid w:val="003639FE"/>
    <w:rsid w:val="00363E39"/>
    <w:rsid w:val="00365383"/>
    <w:rsid w:val="0036619B"/>
    <w:rsid w:val="00382C4B"/>
    <w:rsid w:val="00395150"/>
    <w:rsid w:val="00396837"/>
    <w:rsid w:val="003A0DC3"/>
    <w:rsid w:val="003A4FBB"/>
    <w:rsid w:val="003A5AE3"/>
    <w:rsid w:val="003B07E6"/>
    <w:rsid w:val="003C3EEB"/>
    <w:rsid w:val="003C4E2C"/>
    <w:rsid w:val="003C7490"/>
    <w:rsid w:val="003D1D6D"/>
    <w:rsid w:val="003D2751"/>
    <w:rsid w:val="003E539F"/>
    <w:rsid w:val="003F48FD"/>
    <w:rsid w:val="00404605"/>
    <w:rsid w:val="00405A6E"/>
    <w:rsid w:val="0041789A"/>
    <w:rsid w:val="004248DA"/>
    <w:rsid w:val="004274B8"/>
    <w:rsid w:val="00433037"/>
    <w:rsid w:val="00433733"/>
    <w:rsid w:val="0043716C"/>
    <w:rsid w:val="00440D12"/>
    <w:rsid w:val="004449B4"/>
    <w:rsid w:val="00446FB8"/>
    <w:rsid w:val="00457893"/>
    <w:rsid w:val="004578C6"/>
    <w:rsid w:val="004A2E4D"/>
    <w:rsid w:val="004B70ED"/>
    <w:rsid w:val="004C6B75"/>
    <w:rsid w:val="004D66E1"/>
    <w:rsid w:val="004E6EEC"/>
    <w:rsid w:val="005014B0"/>
    <w:rsid w:val="00514AAB"/>
    <w:rsid w:val="00524146"/>
    <w:rsid w:val="0052658F"/>
    <w:rsid w:val="0052761A"/>
    <w:rsid w:val="00545192"/>
    <w:rsid w:val="00555EE6"/>
    <w:rsid w:val="0056052C"/>
    <w:rsid w:val="00564206"/>
    <w:rsid w:val="0056477A"/>
    <w:rsid w:val="00567D5C"/>
    <w:rsid w:val="00586231"/>
    <w:rsid w:val="00586DD8"/>
    <w:rsid w:val="005947A0"/>
    <w:rsid w:val="00595396"/>
    <w:rsid w:val="00595C5A"/>
    <w:rsid w:val="005A40EE"/>
    <w:rsid w:val="005A4541"/>
    <w:rsid w:val="005B5A55"/>
    <w:rsid w:val="005B5BBF"/>
    <w:rsid w:val="005B6F40"/>
    <w:rsid w:val="005C1564"/>
    <w:rsid w:val="005C7340"/>
    <w:rsid w:val="005E1F04"/>
    <w:rsid w:val="005F4C3C"/>
    <w:rsid w:val="005F5B43"/>
    <w:rsid w:val="0061319C"/>
    <w:rsid w:val="00620BC4"/>
    <w:rsid w:val="006314BB"/>
    <w:rsid w:val="0064505F"/>
    <w:rsid w:val="00664CC1"/>
    <w:rsid w:val="0067174A"/>
    <w:rsid w:val="0067537E"/>
    <w:rsid w:val="00675475"/>
    <w:rsid w:val="00694C4E"/>
    <w:rsid w:val="006958D4"/>
    <w:rsid w:val="006A5B66"/>
    <w:rsid w:val="006B2DDA"/>
    <w:rsid w:val="006C1380"/>
    <w:rsid w:val="006C4A95"/>
    <w:rsid w:val="006C6FB9"/>
    <w:rsid w:val="006D2470"/>
    <w:rsid w:val="006D4187"/>
    <w:rsid w:val="006D7491"/>
    <w:rsid w:val="006F10CD"/>
    <w:rsid w:val="00700173"/>
    <w:rsid w:val="00700B4E"/>
    <w:rsid w:val="00713631"/>
    <w:rsid w:val="00715DB2"/>
    <w:rsid w:val="007244C2"/>
    <w:rsid w:val="00735A1D"/>
    <w:rsid w:val="0074049A"/>
    <w:rsid w:val="007444F6"/>
    <w:rsid w:val="007562DF"/>
    <w:rsid w:val="0076527B"/>
    <w:rsid w:val="00777169"/>
    <w:rsid w:val="007A6A6A"/>
    <w:rsid w:val="007B2C0C"/>
    <w:rsid w:val="007B6A41"/>
    <w:rsid w:val="007C0D78"/>
    <w:rsid w:val="007D1239"/>
    <w:rsid w:val="007D43A2"/>
    <w:rsid w:val="007D448E"/>
    <w:rsid w:val="007E6579"/>
    <w:rsid w:val="007F1C67"/>
    <w:rsid w:val="00802962"/>
    <w:rsid w:val="008154B9"/>
    <w:rsid w:val="00827202"/>
    <w:rsid w:val="00834273"/>
    <w:rsid w:val="00836201"/>
    <w:rsid w:val="0084712E"/>
    <w:rsid w:val="008517E3"/>
    <w:rsid w:val="00853BCF"/>
    <w:rsid w:val="00855D87"/>
    <w:rsid w:val="00860F5F"/>
    <w:rsid w:val="008620CF"/>
    <w:rsid w:val="008667ED"/>
    <w:rsid w:val="00874871"/>
    <w:rsid w:val="00876CA6"/>
    <w:rsid w:val="00883FFC"/>
    <w:rsid w:val="00890966"/>
    <w:rsid w:val="00892FE0"/>
    <w:rsid w:val="008934C9"/>
    <w:rsid w:val="00896A5F"/>
    <w:rsid w:val="008A08EE"/>
    <w:rsid w:val="008A3F93"/>
    <w:rsid w:val="008C3255"/>
    <w:rsid w:val="008C48DB"/>
    <w:rsid w:val="008C6862"/>
    <w:rsid w:val="008E13C1"/>
    <w:rsid w:val="008E288D"/>
    <w:rsid w:val="008E4E1A"/>
    <w:rsid w:val="008E525C"/>
    <w:rsid w:val="008E6B9C"/>
    <w:rsid w:val="008F53AE"/>
    <w:rsid w:val="008F761E"/>
    <w:rsid w:val="009079DD"/>
    <w:rsid w:val="00926BF5"/>
    <w:rsid w:val="00930A42"/>
    <w:rsid w:val="00932670"/>
    <w:rsid w:val="00943642"/>
    <w:rsid w:val="009437EE"/>
    <w:rsid w:val="00953192"/>
    <w:rsid w:val="0096387B"/>
    <w:rsid w:val="0097058B"/>
    <w:rsid w:val="00980318"/>
    <w:rsid w:val="0098246B"/>
    <w:rsid w:val="00984D3B"/>
    <w:rsid w:val="00985FB4"/>
    <w:rsid w:val="009861FA"/>
    <w:rsid w:val="009A48F7"/>
    <w:rsid w:val="009D55D5"/>
    <w:rsid w:val="00A02E9C"/>
    <w:rsid w:val="00A039AA"/>
    <w:rsid w:val="00A1162D"/>
    <w:rsid w:val="00A30DAF"/>
    <w:rsid w:val="00A31E55"/>
    <w:rsid w:val="00A33B90"/>
    <w:rsid w:val="00A405F9"/>
    <w:rsid w:val="00A42B28"/>
    <w:rsid w:val="00A46165"/>
    <w:rsid w:val="00A53C2B"/>
    <w:rsid w:val="00A56098"/>
    <w:rsid w:val="00A61DD0"/>
    <w:rsid w:val="00A848B8"/>
    <w:rsid w:val="00A868E8"/>
    <w:rsid w:val="00A87412"/>
    <w:rsid w:val="00A95CB3"/>
    <w:rsid w:val="00AA01D4"/>
    <w:rsid w:val="00AA2495"/>
    <w:rsid w:val="00AA2862"/>
    <w:rsid w:val="00AA375E"/>
    <w:rsid w:val="00AC040C"/>
    <w:rsid w:val="00AC626A"/>
    <w:rsid w:val="00AC784B"/>
    <w:rsid w:val="00AD29DC"/>
    <w:rsid w:val="00AD49AA"/>
    <w:rsid w:val="00AE2A2A"/>
    <w:rsid w:val="00AE6C39"/>
    <w:rsid w:val="00AF63E4"/>
    <w:rsid w:val="00B03473"/>
    <w:rsid w:val="00B14DA0"/>
    <w:rsid w:val="00B2325A"/>
    <w:rsid w:val="00B23D36"/>
    <w:rsid w:val="00B277A6"/>
    <w:rsid w:val="00B37507"/>
    <w:rsid w:val="00B54FF7"/>
    <w:rsid w:val="00B63515"/>
    <w:rsid w:val="00B63904"/>
    <w:rsid w:val="00B856C5"/>
    <w:rsid w:val="00B94011"/>
    <w:rsid w:val="00BC06AA"/>
    <w:rsid w:val="00BE3FE3"/>
    <w:rsid w:val="00BE687A"/>
    <w:rsid w:val="00C07199"/>
    <w:rsid w:val="00C16211"/>
    <w:rsid w:val="00C34E44"/>
    <w:rsid w:val="00C43307"/>
    <w:rsid w:val="00C45ED5"/>
    <w:rsid w:val="00C5169D"/>
    <w:rsid w:val="00C5252C"/>
    <w:rsid w:val="00C55435"/>
    <w:rsid w:val="00C8291E"/>
    <w:rsid w:val="00C92E14"/>
    <w:rsid w:val="00CA4832"/>
    <w:rsid w:val="00CA7A84"/>
    <w:rsid w:val="00CB0CC6"/>
    <w:rsid w:val="00CC0D70"/>
    <w:rsid w:val="00CC7963"/>
    <w:rsid w:val="00CD0829"/>
    <w:rsid w:val="00CE7149"/>
    <w:rsid w:val="00CF3B12"/>
    <w:rsid w:val="00D000DE"/>
    <w:rsid w:val="00D03BDF"/>
    <w:rsid w:val="00D04DB8"/>
    <w:rsid w:val="00D128F7"/>
    <w:rsid w:val="00D139AB"/>
    <w:rsid w:val="00D13BCA"/>
    <w:rsid w:val="00D22329"/>
    <w:rsid w:val="00D23781"/>
    <w:rsid w:val="00D26652"/>
    <w:rsid w:val="00D42F4A"/>
    <w:rsid w:val="00D45F68"/>
    <w:rsid w:val="00D46123"/>
    <w:rsid w:val="00D53813"/>
    <w:rsid w:val="00D56984"/>
    <w:rsid w:val="00D63B42"/>
    <w:rsid w:val="00D65655"/>
    <w:rsid w:val="00D65BE7"/>
    <w:rsid w:val="00D67848"/>
    <w:rsid w:val="00D842F7"/>
    <w:rsid w:val="00D863AD"/>
    <w:rsid w:val="00D910C5"/>
    <w:rsid w:val="00D92568"/>
    <w:rsid w:val="00DA63FB"/>
    <w:rsid w:val="00DC07BC"/>
    <w:rsid w:val="00DC0AFF"/>
    <w:rsid w:val="00DC31A8"/>
    <w:rsid w:val="00DC6211"/>
    <w:rsid w:val="00DE1AA7"/>
    <w:rsid w:val="00DE33DB"/>
    <w:rsid w:val="00DE5980"/>
    <w:rsid w:val="00E00782"/>
    <w:rsid w:val="00E15DD3"/>
    <w:rsid w:val="00E219E6"/>
    <w:rsid w:val="00E3568E"/>
    <w:rsid w:val="00E507BC"/>
    <w:rsid w:val="00E52066"/>
    <w:rsid w:val="00E5321D"/>
    <w:rsid w:val="00E573B1"/>
    <w:rsid w:val="00E65A96"/>
    <w:rsid w:val="00E7073C"/>
    <w:rsid w:val="00E82295"/>
    <w:rsid w:val="00E92D1F"/>
    <w:rsid w:val="00E94980"/>
    <w:rsid w:val="00E94EDB"/>
    <w:rsid w:val="00E959DF"/>
    <w:rsid w:val="00E961E3"/>
    <w:rsid w:val="00EB2FFE"/>
    <w:rsid w:val="00EB36BD"/>
    <w:rsid w:val="00EC76D3"/>
    <w:rsid w:val="00EE6F26"/>
    <w:rsid w:val="00F00951"/>
    <w:rsid w:val="00F23929"/>
    <w:rsid w:val="00F34414"/>
    <w:rsid w:val="00F4252D"/>
    <w:rsid w:val="00F56D5E"/>
    <w:rsid w:val="00F5758E"/>
    <w:rsid w:val="00F63623"/>
    <w:rsid w:val="00F8286D"/>
    <w:rsid w:val="00F83B56"/>
    <w:rsid w:val="00F8787B"/>
    <w:rsid w:val="00F9375E"/>
    <w:rsid w:val="00F93D64"/>
    <w:rsid w:val="00F977B9"/>
    <w:rsid w:val="00FA7E13"/>
    <w:rsid w:val="00FB0285"/>
    <w:rsid w:val="00FD5D1F"/>
    <w:rsid w:val="00FE759F"/>
    <w:rsid w:val="00FF0681"/>
    <w:rsid w:val="00FF395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70A"/>
    <w:rPr>
      <w:sz w:val="24"/>
      <w:szCs w:val="24"/>
      <w:lang w:eastAsia="zh-CN"/>
    </w:rPr>
  </w:style>
  <w:style w:type="paragraph" w:styleId="Heading3">
    <w:name w:val="heading 3"/>
    <w:basedOn w:val="Normal"/>
    <w:next w:val="Normal"/>
    <w:link w:val="Heading3Char"/>
    <w:uiPriority w:val="99"/>
    <w:qFormat/>
    <w:rsid w:val="00382C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A08EE"/>
    <w:rPr>
      <w:rFonts w:ascii="Cambria" w:eastAsia="SimSun" w:hAnsi="Cambria" w:cs="Times New Roman"/>
      <w:b/>
      <w:bCs/>
      <w:sz w:val="26"/>
      <w:szCs w:val="26"/>
      <w:lang w:val="en-GB"/>
    </w:rPr>
  </w:style>
  <w:style w:type="paragraph" w:customStyle="1" w:styleId="StyleHeading3NotBoldItalic">
    <w:name w:val="Style Heading 3 + Not Bold Italic"/>
    <w:basedOn w:val="Heading3"/>
    <w:uiPriority w:val="99"/>
    <w:rsid w:val="00382C4B"/>
    <w:pPr>
      <w:spacing w:after="120"/>
    </w:pPr>
    <w:rPr>
      <w:b w:val="0"/>
      <w:bCs w:val="0"/>
      <w:i/>
      <w:iCs/>
    </w:rPr>
  </w:style>
  <w:style w:type="paragraph" w:customStyle="1" w:styleId="StyleStyleHeading3NotBoldItalic12pt">
    <w:name w:val="Style Style Heading 3 + Not Bold Italic + 12 pt"/>
    <w:basedOn w:val="StyleHeading3NotBoldItalic"/>
    <w:uiPriority w:val="99"/>
    <w:rsid w:val="00382C4B"/>
    <w:rPr>
      <w:sz w:val="24"/>
    </w:rPr>
  </w:style>
  <w:style w:type="paragraph" w:styleId="Footer">
    <w:name w:val="footer"/>
    <w:basedOn w:val="Normal"/>
    <w:link w:val="FooterChar"/>
    <w:uiPriority w:val="99"/>
    <w:rsid w:val="000052ED"/>
    <w:pPr>
      <w:tabs>
        <w:tab w:val="center" w:pos="4153"/>
        <w:tab w:val="right" w:pos="8306"/>
      </w:tabs>
    </w:pPr>
  </w:style>
  <w:style w:type="character" w:customStyle="1" w:styleId="FooterChar">
    <w:name w:val="Footer Char"/>
    <w:basedOn w:val="DefaultParagraphFont"/>
    <w:link w:val="Footer"/>
    <w:uiPriority w:val="99"/>
    <w:semiHidden/>
    <w:locked/>
    <w:rsid w:val="008A08EE"/>
    <w:rPr>
      <w:rFonts w:cs="Times New Roman"/>
      <w:sz w:val="24"/>
      <w:szCs w:val="24"/>
      <w:lang w:val="en-GB"/>
    </w:rPr>
  </w:style>
  <w:style w:type="character" w:styleId="PageNumber">
    <w:name w:val="page number"/>
    <w:basedOn w:val="DefaultParagraphFont"/>
    <w:uiPriority w:val="99"/>
    <w:rsid w:val="000052ED"/>
    <w:rPr>
      <w:rFonts w:cs="Times New Roman"/>
    </w:rPr>
  </w:style>
  <w:style w:type="paragraph" w:styleId="Header">
    <w:name w:val="header"/>
    <w:basedOn w:val="Normal"/>
    <w:link w:val="HeaderChar"/>
    <w:uiPriority w:val="99"/>
    <w:rsid w:val="000052ED"/>
    <w:pPr>
      <w:tabs>
        <w:tab w:val="center" w:pos="4153"/>
        <w:tab w:val="right" w:pos="8306"/>
      </w:tabs>
    </w:pPr>
  </w:style>
  <w:style w:type="character" w:customStyle="1" w:styleId="HeaderChar">
    <w:name w:val="Header Char"/>
    <w:basedOn w:val="DefaultParagraphFont"/>
    <w:link w:val="Header"/>
    <w:uiPriority w:val="99"/>
    <w:semiHidden/>
    <w:locked/>
    <w:rsid w:val="008A08EE"/>
    <w:rPr>
      <w:rFonts w:cs="Times New Roman"/>
      <w:sz w:val="24"/>
      <w:szCs w:val="24"/>
      <w:lang w:val="en-GB"/>
    </w:rPr>
  </w:style>
  <w:style w:type="table" w:styleId="TableGrid">
    <w:name w:val="Table Grid"/>
    <w:basedOn w:val="TableNormal"/>
    <w:uiPriority w:val="99"/>
    <w:rsid w:val="004B7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83FFC"/>
    <w:rPr>
      <w:rFonts w:ascii="Tahoma" w:hAnsi="Tahoma" w:cs="Tahoma"/>
      <w:sz w:val="16"/>
      <w:szCs w:val="16"/>
    </w:rPr>
  </w:style>
  <w:style w:type="character" w:customStyle="1" w:styleId="BalloonTextChar">
    <w:name w:val="Balloon Text Char"/>
    <w:basedOn w:val="DefaultParagraphFont"/>
    <w:link w:val="BalloonText"/>
    <w:uiPriority w:val="99"/>
    <w:locked/>
    <w:rsid w:val="00883FFC"/>
    <w:rPr>
      <w:rFonts w:ascii="Tahoma" w:hAnsi="Tahoma" w:cs="Tahoma"/>
      <w:sz w:val="16"/>
      <w:szCs w:val="16"/>
      <w:lang w:eastAsia="zh-CN"/>
    </w:rPr>
  </w:style>
  <w:style w:type="character" w:styleId="CommentReference">
    <w:name w:val="annotation reference"/>
    <w:basedOn w:val="DefaultParagraphFont"/>
    <w:uiPriority w:val="99"/>
    <w:rsid w:val="00E219E6"/>
    <w:rPr>
      <w:rFonts w:cs="Times New Roman"/>
      <w:sz w:val="16"/>
      <w:szCs w:val="16"/>
    </w:rPr>
  </w:style>
  <w:style w:type="paragraph" w:styleId="CommentText">
    <w:name w:val="annotation text"/>
    <w:basedOn w:val="Normal"/>
    <w:link w:val="CommentTextChar"/>
    <w:uiPriority w:val="99"/>
    <w:rsid w:val="00E219E6"/>
    <w:rPr>
      <w:sz w:val="20"/>
      <w:szCs w:val="20"/>
    </w:rPr>
  </w:style>
  <w:style w:type="character" w:customStyle="1" w:styleId="CommentTextChar">
    <w:name w:val="Comment Text Char"/>
    <w:basedOn w:val="DefaultParagraphFont"/>
    <w:link w:val="CommentText"/>
    <w:uiPriority w:val="99"/>
    <w:locked/>
    <w:rsid w:val="00E219E6"/>
    <w:rPr>
      <w:rFonts w:cs="Times New Roman"/>
      <w:lang w:eastAsia="zh-CN"/>
    </w:rPr>
  </w:style>
  <w:style w:type="paragraph" w:styleId="CommentSubject">
    <w:name w:val="annotation subject"/>
    <w:basedOn w:val="CommentText"/>
    <w:next w:val="CommentText"/>
    <w:link w:val="CommentSubjectChar"/>
    <w:uiPriority w:val="99"/>
    <w:rsid w:val="00E219E6"/>
    <w:rPr>
      <w:b/>
      <w:bCs/>
    </w:rPr>
  </w:style>
  <w:style w:type="character" w:customStyle="1" w:styleId="CommentSubjectChar">
    <w:name w:val="Comment Subject Char"/>
    <w:basedOn w:val="CommentTextChar"/>
    <w:link w:val="CommentSubject"/>
    <w:uiPriority w:val="99"/>
    <w:locked/>
    <w:rsid w:val="00E219E6"/>
    <w:rPr>
      <w:b/>
      <w:bCs/>
    </w:rPr>
  </w:style>
</w:styles>
</file>

<file path=word/webSettings.xml><?xml version="1.0" encoding="utf-8"?>
<w:webSettings xmlns:r="http://schemas.openxmlformats.org/officeDocument/2006/relationships" xmlns:w="http://schemas.openxmlformats.org/wordprocessingml/2006/main">
  <w:divs>
    <w:div w:id="22973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2.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19</Pages>
  <Words>7303</Words>
  <Characters>41631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In-situ Neutron Diffraction Studies and Conductivity Measurements</vt:lpstr>
    </vt:vector>
  </TitlesOfParts>
  <Company>Imperial College</Company>
  <LinksUpToDate>false</LinksUpToDate>
  <CharactersWithSpaces>48837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In-situ Neutron Diffraction Studies and Conductivity Measurements</dc:title>
  <dc:subject/>
  <dc:creator>jliu</dc:creator>
  <cp:keywords/>
  <dc:description/>
  <cp:lastModifiedBy>sjskin</cp:lastModifiedBy>
  <cp:revision>6</cp:revision>
  <dcterms:created xsi:type="dcterms:W3CDTF">2010-12-15T17:25:00Z</dcterms:created>
  <dcterms:modified xsi:type="dcterms:W3CDTF">2010-12-22T16:23:00Z</dcterms:modified>
</cp:coreProperties>
</file>