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3e3c8cd7"/>
          <w:b/>
        </w:rPr>
      </w:pPr>
      <w:r w:rsidRPr="00034031">
        <w:rPr>
          <w:rFonts w:cs="AdvTT3e3c8cd7"/>
          <w:b/>
        </w:rPr>
        <w:t>A multi-omics approach to delineate sputum</w:t>
      </w:r>
      <w:r w:rsidRPr="00034031">
        <w:rPr>
          <w:rFonts w:cs="AdvTT3e3c8cd7"/>
          <w:b/>
        </w:rPr>
        <w:t xml:space="preserve"> </w:t>
      </w:r>
      <w:r w:rsidRPr="00034031">
        <w:rPr>
          <w:rFonts w:cs="AdvTT3e3c8cd7"/>
          <w:b/>
        </w:rPr>
        <w:t>microbiome-associated asthma inflammatory phenotypes</w:t>
      </w: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420aa1a.I"/>
          <w:color w:val="231F20"/>
        </w:rPr>
      </w:pPr>
    </w:p>
    <w:p w:rsidR="00034031" w:rsidRPr="00D85A84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3e3c8cd7"/>
        </w:rPr>
      </w:pPr>
      <w:r w:rsidRPr="00D85A84">
        <w:rPr>
          <w:rFonts w:cs="AdvTT3e3c8cd7"/>
        </w:rPr>
        <w:t>Mahmoud I. Abdel-Aziz</w:t>
      </w:r>
      <w:r w:rsidRPr="00D85A84">
        <w:rPr>
          <w:rFonts w:cs="AdvTT3e3c8cd7"/>
          <w:vertAlign w:val="superscript"/>
        </w:rPr>
        <w:t>1,2</w:t>
      </w:r>
      <w:r w:rsidRPr="00D85A84">
        <w:rPr>
          <w:rFonts w:cs="AdvTT3e3c8cd7"/>
        </w:rPr>
        <w:t>, Susanne J.H. Vijverberg</w:t>
      </w:r>
      <w:r w:rsidRPr="00D85A84">
        <w:rPr>
          <w:rFonts w:cs="AdvTT3e3c8cd7"/>
          <w:vertAlign w:val="superscript"/>
        </w:rPr>
        <w:t>1</w:t>
      </w:r>
      <w:r w:rsidRPr="00D85A84">
        <w:rPr>
          <w:rFonts w:cs="AdvTT3e3c8cd7"/>
        </w:rPr>
        <w:t>, Anne H. Neerincx</w:t>
      </w:r>
      <w:r w:rsidRPr="00D85A84">
        <w:rPr>
          <w:rFonts w:cs="AdvTT3e3c8cd7"/>
          <w:vertAlign w:val="superscript"/>
        </w:rPr>
        <w:t>1</w:t>
      </w:r>
      <w:r w:rsidRPr="00D85A84">
        <w:rPr>
          <w:rFonts w:cs="AdvTT3e3c8cd7"/>
        </w:rPr>
        <w:t>, Paul Brinkman</w:t>
      </w:r>
      <w:r w:rsidRPr="00D85A84">
        <w:rPr>
          <w:rFonts w:cs="AdvTT3e3c8cd7"/>
          <w:vertAlign w:val="superscript"/>
        </w:rPr>
        <w:t>1</w:t>
      </w:r>
      <w:r w:rsidRPr="00D85A84">
        <w:rPr>
          <w:rFonts w:cs="AdvTT3e3c8cd7"/>
        </w:rPr>
        <w:t>,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Ariane H. Wagener</w:t>
      </w:r>
      <w:r w:rsidRPr="00D85A84">
        <w:rPr>
          <w:rFonts w:cs="AdvTT3e3c8cd7"/>
          <w:vertAlign w:val="superscript"/>
        </w:rPr>
        <w:t>1</w:t>
      </w:r>
      <w:r w:rsidRPr="00D85A84">
        <w:rPr>
          <w:rFonts w:cs="AdvTT3e3c8cd7"/>
        </w:rPr>
        <w:t>, John H. Riley</w:t>
      </w:r>
      <w:r w:rsidRPr="00D85A84">
        <w:rPr>
          <w:rFonts w:cs="AdvTT3e3c8cd7"/>
          <w:vertAlign w:val="superscript"/>
        </w:rPr>
        <w:t>3</w:t>
      </w:r>
      <w:r w:rsidRPr="00D85A84">
        <w:rPr>
          <w:rFonts w:cs="AdvTT3e3c8cd7"/>
        </w:rPr>
        <w:t>, Ana R. Sousa</w:t>
      </w:r>
      <w:r w:rsidRPr="00D85A84">
        <w:rPr>
          <w:rFonts w:cs="AdvTT3e3c8cd7"/>
          <w:vertAlign w:val="superscript"/>
        </w:rPr>
        <w:t>3</w:t>
      </w:r>
      <w:r w:rsidRPr="00D85A84">
        <w:rPr>
          <w:rFonts w:cs="AdvTT3e3c8cd7"/>
        </w:rPr>
        <w:t>, Stewart Bates</w:t>
      </w:r>
      <w:r w:rsidRPr="00D85A84">
        <w:rPr>
          <w:rFonts w:cs="AdvTT3e3c8cd7"/>
          <w:vertAlign w:val="superscript"/>
        </w:rPr>
        <w:t>3</w:t>
      </w:r>
      <w:r w:rsidRPr="00D85A84">
        <w:rPr>
          <w:rFonts w:cs="AdvTT3e3c8cd7"/>
        </w:rPr>
        <w:t>, Scott S. Wagers</w:t>
      </w:r>
      <w:r w:rsidRPr="00D85A84">
        <w:rPr>
          <w:rFonts w:cs="AdvTT3e3c8cd7"/>
          <w:vertAlign w:val="superscript"/>
        </w:rPr>
        <w:t>4</w:t>
      </w:r>
      <w:r w:rsidRPr="00D85A84">
        <w:rPr>
          <w:rFonts w:cs="AdvTT3e3c8cd7"/>
        </w:rPr>
        <w:t>,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Bertrand De Meulder</w:t>
      </w:r>
      <w:r w:rsidRPr="00D85A84">
        <w:rPr>
          <w:rFonts w:cs="AdvTT3e3c8cd7"/>
          <w:vertAlign w:val="superscript"/>
        </w:rPr>
        <w:t>5</w:t>
      </w:r>
      <w:r w:rsidRPr="00D85A84">
        <w:rPr>
          <w:rFonts w:cs="AdvTT3e3c8cd7"/>
        </w:rPr>
        <w:t>, Charles Auffray</w:t>
      </w:r>
      <w:r w:rsidRPr="00D85A84">
        <w:rPr>
          <w:rFonts w:cs="AdvTT3e3c8cd7"/>
          <w:vertAlign w:val="superscript"/>
        </w:rPr>
        <w:t>5</w:t>
      </w:r>
      <w:r w:rsidRPr="00D85A84">
        <w:rPr>
          <w:rFonts w:cs="AdvTT3e3c8cd7"/>
        </w:rPr>
        <w:t>, Åsa M. Wheelock</w:t>
      </w:r>
      <w:r w:rsidRPr="00D85A84">
        <w:rPr>
          <w:rFonts w:cs="AdvTT3e3c8cd7"/>
          <w:vertAlign w:val="superscript"/>
        </w:rPr>
        <w:t>6,7</w:t>
      </w:r>
      <w:r w:rsidRPr="00D85A84">
        <w:rPr>
          <w:rFonts w:cs="AdvTT3e3c8cd7"/>
        </w:rPr>
        <w:t>, Aruna T. Bansal</w:t>
      </w:r>
      <w:r w:rsidRPr="00D85A84">
        <w:rPr>
          <w:rFonts w:cs="AdvTT3e3c8cd7"/>
          <w:vertAlign w:val="superscript"/>
        </w:rPr>
        <w:t>8</w:t>
      </w:r>
      <w:r w:rsidRPr="00D85A84">
        <w:rPr>
          <w:rFonts w:cs="AdvTT3e3c8cd7"/>
        </w:rPr>
        <w:t>, Massimo Caruso</w:t>
      </w:r>
      <w:r w:rsidRPr="00D85A84">
        <w:rPr>
          <w:rFonts w:cs="AdvTT3e3c8cd7"/>
          <w:vertAlign w:val="superscript"/>
        </w:rPr>
        <w:t>9</w:t>
      </w:r>
      <w:r w:rsidRPr="00D85A84">
        <w:rPr>
          <w:rFonts w:cs="AdvTT3e3c8cd7"/>
        </w:rPr>
        <w:t>,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Pascal Chanez</w:t>
      </w:r>
      <w:r w:rsidRPr="00D85A84">
        <w:rPr>
          <w:rFonts w:cs="AdvTT3e3c8cd7"/>
          <w:vertAlign w:val="superscript"/>
        </w:rPr>
        <w:t>10</w:t>
      </w:r>
      <w:r w:rsidRPr="00D85A84">
        <w:rPr>
          <w:rFonts w:cs="AdvTT3e3c8cd7"/>
        </w:rPr>
        <w:t>, Mohib Uddin</w:t>
      </w:r>
      <w:r w:rsidRPr="00D85A84">
        <w:rPr>
          <w:rFonts w:cs="AdvTT3e3c8cd7"/>
          <w:vertAlign w:val="superscript"/>
        </w:rPr>
        <w:t>11</w:t>
      </w:r>
      <w:r w:rsidRPr="00D85A84">
        <w:rPr>
          <w:rFonts w:cs="AdvTT3e3c8cd7"/>
        </w:rPr>
        <w:t>, Julie Corfield</w:t>
      </w:r>
      <w:r w:rsidRPr="00D85A84">
        <w:rPr>
          <w:rFonts w:cs="AdvTT3e3c8cd7"/>
          <w:vertAlign w:val="superscript"/>
        </w:rPr>
        <w:t>12,13</w:t>
      </w:r>
      <w:r w:rsidRPr="00D85A84">
        <w:rPr>
          <w:rFonts w:cs="AdvTT3e3c8cd7"/>
        </w:rPr>
        <w:t>, Ildiko Horvath</w:t>
      </w:r>
      <w:r w:rsidRPr="00D85A84">
        <w:rPr>
          <w:rFonts w:cs="AdvTT3e3c8cd7"/>
          <w:vertAlign w:val="superscript"/>
        </w:rPr>
        <w:t>14</w:t>
      </w:r>
      <w:r w:rsidRPr="00D85A84">
        <w:rPr>
          <w:rFonts w:cs="AdvTT3e3c8cd7"/>
        </w:rPr>
        <w:t>, Norbert Krug</w:t>
      </w:r>
      <w:r w:rsidRPr="00D85A84">
        <w:rPr>
          <w:rFonts w:cs="AdvTT3e3c8cd7"/>
          <w:vertAlign w:val="superscript"/>
        </w:rPr>
        <w:t>15</w:t>
      </w:r>
      <w:r w:rsidRPr="00D85A84">
        <w:rPr>
          <w:rFonts w:cs="AdvTT3e3c8cd7"/>
        </w:rPr>
        <w:t>,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Jacek Musial</w:t>
      </w:r>
      <w:r w:rsidRPr="00D85A84">
        <w:rPr>
          <w:rFonts w:cs="AdvTT3e3c8cd7"/>
          <w:vertAlign w:val="superscript"/>
        </w:rPr>
        <w:t>16</w:t>
      </w:r>
      <w:r w:rsidRPr="00D85A84">
        <w:rPr>
          <w:rFonts w:cs="AdvTT3e3c8cd7"/>
        </w:rPr>
        <w:t>, Kai Sun</w:t>
      </w:r>
      <w:r w:rsidRPr="00D85A84">
        <w:rPr>
          <w:rFonts w:cs="AdvTT3e3c8cd7"/>
          <w:vertAlign w:val="superscript"/>
        </w:rPr>
        <w:t>17</w:t>
      </w:r>
      <w:r w:rsidRPr="00D85A84">
        <w:rPr>
          <w:rFonts w:cs="AdvTT3e3c8cd7"/>
        </w:rPr>
        <w:t>, Dominick E. Shaw</w:t>
      </w:r>
      <w:r w:rsidRPr="00D85A84">
        <w:rPr>
          <w:rFonts w:cs="AdvTT3e3c8cd7"/>
          <w:vertAlign w:val="superscript"/>
        </w:rPr>
        <w:t>18</w:t>
      </w:r>
      <w:r w:rsidRPr="00D85A84">
        <w:rPr>
          <w:rFonts w:cs="AdvTT3e3c8cd7"/>
        </w:rPr>
        <w:t>, Thomas Sandström</w:t>
      </w:r>
      <w:r w:rsidRPr="00D85A84">
        <w:rPr>
          <w:rFonts w:cs="AdvTT3e3c8cd7"/>
          <w:vertAlign w:val="superscript"/>
        </w:rPr>
        <w:t>19</w:t>
      </w:r>
      <w:r w:rsidRPr="00D85A84">
        <w:rPr>
          <w:rFonts w:cs="AdvTT3e3c8cd7"/>
        </w:rPr>
        <w:t>, Paolo Montuschi</w:t>
      </w:r>
      <w:r w:rsidRPr="00D85A84">
        <w:rPr>
          <w:rFonts w:cs="AdvTT3e3c8cd7"/>
          <w:vertAlign w:val="superscript"/>
        </w:rPr>
        <w:t>20</w:t>
      </w:r>
      <w:r w:rsidRPr="00D85A84">
        <w:rPr>
          <w:rFonts w:cs="AdvTT3e3c8cd7"/>
        </w:rPr>
        <w:t>,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Stephen J. Fowler</w:t>
      </w:r>
      <w:r w:rsidRPr="00D85A84">
        <w:rPr>
          <w:rFonts w:cs="AdvTT3e3c8cd7"/>
          <w:vertAlign w:val="superscript"/>
        </w:rPr>
        <w:t>21</w:t>
      </w:r>
      <w:r w:rsidRPr="00D85A84">
        <w:rPr>
          <w:rFonts w:cs="AdvTT3e3c8cd7"/>
        </w:rPr>
        <w:t>, René Lutter</w:t>
      </w:r>
      <w:r w:rsidRPr="00D85A84">
        <w:rPr>
          <w:rFonts w:cs="AdvTT3e3c8cd7"/>
          <w:vertAlign w:val="superscript"/>
        </w:rPr>
        <w:t>1,22</w:t>
      </w:r>
      <w:r w:rsidRPr="00D85A84">
        <w:rPr>
          <w:rFonts w:cs="AdvTT3e3c8cd7"/>
        </w:rPr>
        <w:t>, Ratko Djukanovic</w:t>
      </w:r>
      <w:r w:rsidRPr="00D85A84">
        <w:rPr>
          <w:rFonts w:cs="AdvTT3e3c8cd7"/>
          <w:vertAlign w:val="superscript"/>
        </w:rPr>
        <w:t>23</w:t>
      </w:r>
      <w:r w:rsidR="00784AFA" w:rsidRPr="00D85A84">
        <w:rPr>
          <w:rFonts w:cs="AdvTT3e3c8cd7"/>
        </w:rPr>
        <w:t>, Peter Howarth</w:t>
      </w:r>
      <w:r w:rsidRPr="00D85A84">
        <w:rPr>
          <w:rFonts w:cs="AdvTT3e3c8cd7"/>
          <w:vertAlign w:val="superscript"/>
        </w:rPr>
        <w:t>23</w:t>
      </w:r>
      <w:r w:rsidRPr="00D85A84">
        <w:rPr>
          <w:rFonts w:cs="AdvTT3e3c8cd7"/>
        </w:rPr>
        <w:t>, Paul Skipp</w:t>
      </w:r>
      <w:r w:rsidRPr="00D85A84">
        <w:rPr>
          <w:rFonts w:cs="AdvTT3e3c8cd7"/>
          <w:vertAlign w:val="superscript"/>
        </w:rPr>
        <w:t>24</w:t>
      </w:r>
      <w:r w:rsidRPr="00D85A84">
        <w:rPr>
          <w:rFonts w:cs="AdvTT3e3c8cd7"/>
        </w:rPr>
        <w:t>,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Marek Sanak</w:t>
      </w:r>
      <w:r w:rsidRPr="00D85A84">
        <w:rPr>
          <w:rFonts w:cs="AdvTT3e3c8cd7"/>
          <w:vertAlign w:val="superscript"/>
        </w:rPr>
        <w:t>25</w:t>
      </w:r>
      <w:r w:rsidR="00784AFA" w:rsidRPr="00D85A84">
        <w:rPr>
          <w:rFonts w:cs="AdvTT3e3c8cd7"/>
        </w:rPr>
        <w:t>, Ian M. Adcock</w:t>
      </w:r>
      <w:r w:rsidRPr="00D85A84">
        <w:rPr>
          <w:rFonts w:cs="AdvTT3e3c8cd7"/>
          <w:vertAlign w:val="superscript"/>
        </w:rPr>
        <w:t>26</w:t>
      </w:r>
      <w:r w:rsidRPr="00D85A84">
        <w:rPr>
          <w:rFonts w:cs="AdvTT3e3c8cd7"/>
        </w:rPr>
        <w:t>, Kian Fan Chung</w:t>
      </w:r>
      <w:r w:rsidRPr="00D85A84">
        <w:rPr>
          <w:rFonts w:cs="AdvTT3e3c8cd7"/>
          <w:vertAlign w:val="superscript"/>
        </w:rPr>
        <w:t>26</w:t>
      </w:r>
      <w:r w:rsidRPr="00D85A84">
        <w:rPr>
          <w:rFonts w:cs="AdvTT3e3c8cd7"/>
        </w:rPr>
        <w:t>, Peter J. Sterk</w:t>
      </w:r>
      <w:r w:rsidRPr="00D85A84">
        <w:rPr>
          <w:rFonts w:cs="AdvTT3e3c8cd7"/>
          <w:vertAlign w:val="superscript"/>
        </w:rPr>
        <w:t>1</w:t>
      </w:r>
      <w:r w:rsidRPr="00D85A84">
        <w:rPr>
          <w:rFonts w:cs="AdvTT3e3c8cd7"/>
        </w:rPr>
        <w:t>, Aletta D. Kraneveld</w:t>
      </w:r>
      <w:r w:rsidRPr="00D85A84">
        <w:rPr>
          <w:rFonts w:cs="AdvTT3e3c8cd7"/>
          <w:vertAlign w:val="superscript"/>
        </w:rPr>
        <w:t>27</w:t>
      </w:r>
      <w:r w:rsidRPr="00D85A84">
        <w:rPr>
          <w:rFonts w:cs="AdvTT3e3c8cd7"/>
        </w:rPr>
        <w:t xml:space="preserve"> and</w:t>
      </w:r>
      <w:r w:rsidR="00784AFA" w:rsidRPr="00D85A84">
        <w:rPr>
          <w:rFonts w:cs="AdvTT3e3c8cd7"/>
        </w:rPr>
        <w:t xml:space="preserve"> </w:t>
      </w:r>
      <w:r w:rsidRPr="00D85A84">
        <w:rPr>
          <w:rFonts w:cs="AdvTT3e3c8cd7"/>
        </w:rPr>
        <w:t>Anke H. Maitland-van der Zee1,</w:t>
      </w:r>
      <w:r w:rsidRPr="00D85A84">
        <w:rPr>
          <w:rFonts w:cs="AdvTT3e3c8cd7"/>
          <w:vertAlign w:val="superscript"/>
        </w:rPr>
        <w:t>28</w:t>
      </w:r>
      <w:r w:rsidRPr="00D85A84">
        <w:rPr>
          <w:rFonts w:cs="AdvTT3e3c8cd7"/>
        </w:rPr>
        <w:t>, on behalf of the U-BIOPRED Study Group</w:t>
      </w:r>
    </w:p>
    <w:p w:rsidR="00784AFA" w:rsidRPr="00D85A84" w:rsidRDefault="00784AFA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3e3c8cd7"/>
        </w:rPr>
      </w:pP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</w:t>
      </w:r>
      <w:r w:rsidRPr="00034031">
        <w:rPr>
          <w:rFonts w:cs="AdvTT7e2c4963"/>
          <w:color w:val="231F20"/>
        </w:rPr>
        <w:t xml:space="preserve">Dept of Respiratory Medicine, Amsterdam UMC, University of Amsterdam, Amsterdam, </w:t>
      </w:r>
      <w:proofErr w:type="gramStart"/>
      <w:r w:rsidRPr="00034031">
        <w:rPr>
          <w:rFonts w:cs="AdvTT7e2c4963"/>
          <w:color w:val="231F20"/>
        </w:rPr>
        <w:t>The</w:t>
      </w:r>
      <w:proofErr w:type="gramEnd"/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Netherlands. 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</w:t>
      </w:r>
      <w:r w:rsidRPr="00034031">
        <w:rPr>
          <w:rFonts w:cs="AdvTT7e2c4963"/>
          <w:color w:val="231F20"/>
        </w:rPr>
        <w:t xml:space="preserve">Dept of Clinical Pharmacy, Faculty of Pharmacy, </w:t>
      </w:r>
      <w:proofErr w:type="spellStart"/>
      <w:r w:rsidRPr="00034031">
        <w:rPr>
          <w:rFonts w:cs="AdvTT7e2c4963"/>
          <w:color w:val="231F20"/>
        </w:rPr>
        <w:t>Assiut</w:t>
      </w:r>
      <w:proofErr w:type="spellEnd"/>
      <w:r w:rsidRPr="00034031">
        <w:rPr>
          <w:rFonts w:cs="AdvTT7e2c4963"/>
          <w:color w:val="231F20"/>
        </w:rPr>
        <w:t xml:space="preserve"> University, </w:t>
      </w:r>
      <w:proofErr w:type="spellStart"/>
      <w:r w:rsidRPr="00034031">
        <w:rPr>
          <w:rFonts w:cs="AdvTT7e2c4963"/>
          <w:color w:val="231F20"/>
        </w:rPr>
        <w:t>Assiut</w:t>
      </w:r>
      <w:proofErr w:type="spellEnd"/>
      <w:r w:rsidRPr="00034031">
        <w:rPr>
          <w:rFonts w:cs="AdvTT7e2c4963"/>
          <w:color w:val="231F20"/>
        </w:rPr>
        <w:t>, Egypt.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3Respiratory Therapeutic Unit, GlaxoSmithKline, Stockley Park,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4</w:t>
      </w:r>
      <w:r w:rsidRPr="00034031">
        <w:rPr>
          <w:rFonts w:cs="AdvTT7e2c4963"/>
          <w:color w:val="231F20"/>
        </w:rPr>
        <w:t xml:space="preserve">BioSci Consulting, </w:t>
      </w:r>
      <w:proofErr w:type="spellStart"/>
      <w:r w:rsidRPr="00034031">
        <w:rPr>
          <w:rFonts w:cs="AdvTT7e2c4963"/>
          <w:color w:val="231F20"/>
        </w:rPr>
        <w:t>Maasmechelen</w:t>
      </w:r>
      <w:proofErr w:type="spellEnd"/>
      <w:r w:rsidRPr="00034031">
        <w:rPr>
          <w:rFonts w:cs="AdvTT7e2c4963"/>
          <w:color w:val="231F20"/>
        </w:rPr>
        <w:t>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Belgium.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5</w:t>
      </w:r>
      <w:r w:rsidRPr="00034031">
        <w:rPr>
          <w:rFonts w:cs="AdvTT7e2c4963"/>
          <w:color w:val="231F20"/>
        </w:rPr>
        <w:t>European Institute for Systems Biology and Medicine, CIRI UMR5308, CNRS-ENS-UCBLINSERM,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Lyon, France.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6</w:t>
      </w:r>
      <w:r w:rsidRPr="00034031">
        <w:rPr>
          <w:rFonts w:cs="AdvTT7e2c4963"/>
          <w:color w:val="231F20"/>
        </w:rPr>
        <w:t xml:space="preserve">Respiratory Medicine Unit, </w:t>
      </w:r>
      <w:proofErr w:type="spellStart"/>
      <w:r w:rsidRPr="00034031">
        <w:rPr>
          <w:rFonts w:cs="AdvTT7e2c4963"/>
          <w:color w:val="231F20"/>
        </w:rPr>
        <w:t>Dept</w:t>
      </w:r>
      <w:proofErr w:type="spellEnd"/>
      <w:r w:rsidRPr="00034031">
        <w:rPr>
          <w:rFonts w:cs="AdvTT7e2c4963"/>
          <w:color w:val="231F20"/>
        </w:rPr>
        <w:t xml:space="preserve"> of Medicine and </w:t>
      </w:r>
      <w:proofErr w:type="spellStart"/>
      <w:r w:rsidRPr="00034031">
        <w:rPr>
          <w:rFonts w:cs="AdvTT7e2c4963"/>
          <w:color w:val="231F20"/>
        </w:rPr>
        <w:t>Center</w:t>
      </w:r>
      <w:proofErr w:type="spellEnd"/>
      <w:r w:rsidRPr="00034031">
        <w:rPr>
          <w:rFonts w:cs="AdvTT7e2c4963"/>
          <w:color w:val="231F20"/>
        </w:rPr>
        <w:t xml:space="preserve"> for Molecular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Medicine, </w:t>
      </w:r>
      <w:proofErr w:type="spellStart"/>
      <w:r w:rsidRPr="00034031">
        <w:rPr>
          <w:rFonts w:cs="AdvTT7e2c4963"/>
          <w:color w:val="231F20"/>
        </w:rPr>
        <w:t>Karolinska</w:t>
      </w:r>
      <w:proofErr w:type="spellEnd"/>
      <w:r w:rsidRPr="00034031">
        <w:rPr>
          <w:rFonts w:cs="AdvTT7e2c4963"/>
          <w:color w:val="231F20"/>
        </w:rPr>
        <w:t xml:space="preserve"> </w:t>
      </w:r>
      <w:proofErr w:type="spellStart"/>
      <w:r w:rsidRPr="00034031">
        <w:rPr>
          <w:rFonts w:cs="AdvTT7e2c4963"/>
          <w:color w:val="231F20"/>
        </w:rPr>
        <w:t>Institutet</w:t>
      </w:r>
      <w:proofErr w:type="spellEnd"/>
      <w:r w:rsidRPr="00034031">
        <w:rPr>
          <w:rFonts w:cs="AdvTT7e2c4963"/>
          <w:color w:val="231F20"/>
        </w:rPr>
        <w:t xml:space="preserve">, Stockholm, Sweden.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7</w:t>
      </w:r>
      <w:r w:rsidRPr="00034031">
        <w:rPr>
          <w:rFonts w:cs="AdvTT7e2c4963"/>
          <w:color w:val="231F20"/>
        </w:rPr>
        <w:t>Dept of Respiratory Medicine and Allergy,</w:t>
      </w:r>
      <w:r w:rsidR="00784AFA">
        <w:rPr>
          <w:rFonts w:cs="AdvTT7e2c4963"/>
          <w:color w:val="231F20"/>
        </w:rPr>
        <w:t xml:space="preserve"> </w:t>
      </w:r>
      <w:proofErr w:type="spellStart"/>
      <w:r w:rsidRPr="00034031">
        <w:rPr>
          <w:rFonts w:cs="AdvTT7e2c4963"/>
          <w:color w:val="231F20"/>
        </w:rPr>
        <w:t>Karolinska</w:t>
      </w:r>
      <w:proofErr w:type="spellEnd"/>
      <w:r w:rsidRPr="00034031">
        <w:rPr>
          <w:rFonts w:cs="AdvTT7e2c4963"/>
          <w:color w:val="231F20"/>
        </w:rPr>
        <w:t xml:space="preserve"> University Hospital, Stockholm, Sweden. </w:t>
      </w:r>
      <w:r w:rsidR="00784AFA">
        <w:rPr>
          <w:rFonts w:cs="AdvTT7e2c4963"/>
          <w:color w:val="231F20"/>
        </w:rPr>
        <w:t xml:space="preserve">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8</w:t>
      </w:r>
      <w:r w:rsidRPr="00034031">
        <w:rPr>
          <w:rFonts w:cs="AdvTT7e2c4963"/>
          <w:color w:val="231F20"/>
        </w:rPr>
        <w:t>Acclarogen Ltd, St John</w:t>
      </w:r>
      <w:r w:rsidRPr="00034031">
        <w:rPr>
          <w:rFonts w:cs="AdvTT7e2c4963+20"/>
          <w:color w:val="231F20"/>
        </w:rPr>
        <w:t>’</w:t>
      </w:r>
      <w:r w:rsidRPr="00034031">
        <w:rPr>
          <w:rFonts w:cs="AdvTT7e2c4963"/>
          <w:color w:val="231F20"/>
        </w:rPr>
        <w:t>s Innovation Centre,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Cambridge,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9</w:t>
      </w:r>
      <w:r w:rsidRPr="00034031">
        <w:rPr>
          <w:rFonts w:cs="AdvTT7e2c4963"/>
          <w:color w:val="231F20"/>
        </w:rPr>
        <w:t>Dept of Biomedical and Biotechnological Sciences, University of Catania, Catania,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Italy.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10</w:t>
      </w:r>
      <w:r w:rsidRPr="00034031">
        <w:rPr>
          <w:rFonts w:cs="AdvTT7e2c4963"/>
          <w:color w:val="231F20"/>
        </w:rPr>
        <w:t xml:space="preserve">Département des Maladies </w:t>
      </w:r>
      <w:proofErr w:type="spellStart"/>
      <w:r w:rsidRPr="00034031">
        <w:rPr>
          <w:rFonts w:cs="AdvTT7e2c4963"/>
          <w:color w:val="231F20"/>
        </w:rPr>
        <w:t>Respiratoires</w:t>
      </w:r>
      <w:proofErr w:type="spellEnd"/>
      <w:r w:rsidRPr="00034031">
        <w:rPr>
          <w:rFonts w:cs="AdvTT7e2c4963"/>
          <w:color w:val="231F20"/>
        </w:rPr>
        <w:t xml:space="preserve"> APHM, U1067 INSERM, Aix Marseille </w:t>
      </w:r>
      <w:proofErr w:type="spellStart"/>
      <w:r w:rsidRPr="00034031">
        <w:rPr>
          <w:rFonts w:cs="AdvTT7e2c4963"/>
          <w:color w:val="231F20"/>
        </w:rPr>
        <w:t>Université</w:t>
      </w:r>
      <w:proofErr w:type="spellEnd"/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Marseille, Marseille, France. 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11</w:t>
      </w:r>
      <w:r w:rsidRPr="00034031">
        <w:rPr>
          <w:rFonts w:cs="AdvTT7e2c4963"/>
          <w:color w:val="231F20"/>
        </w:rPr>
        <w:t xml:space="preserve">AstraZeneca </w:t>
      </w:r>
      <w:proofErr w:type="spellStart"/>
      <w:r w:rsidRPr="00034031">
        <w:rPr>
          <w:rFonts w:cs="AdvTT7e2c4963"/>
          <w:color w:val="231F20"/>
        </w:rPr>
        <w:t>BioPharmaceuticals</w:t>
      </w:r>
      <w:proofErr w:type="spellEnd"/>
      <w:r w:rsidRPr="00034031">
        <w:rPr>
          <w:rFonts w:cs="AdvTT7e2c4963"/>
          <w:color w:val="231F20"/>
        </w:rPr>
        <w:t xml:space="preserve"> R&amp;D, Gothenburg, Sweden.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12</w:t>
      </w:r>
      <w:r w:rsidRPr="00034031">
        <w:rPr>
          <w:rFonts w:cs="AdvTT7e2c4963"/>
          <w:color w:val="231F20"/>
        </w:rPr>
        <w:t xml:space="preserve">AstraZeneca R&amp;D, </w:t>
      </w:r>
      <w:proofErr w:type="spellStart"/>
      <w:r w:rsidRPr="00034031">
        <w:rPr>
          <w:rFonts w:cs="AdvTT7e2c4963"/>
          <w:color w:val="231F20"/>
        </w:rPr>
        <w:t>Mölndal</w:t>
      </w:r>
      <w:proofErr w:type="spellEnd"/>
      <w:r w:rsidRPr="00034031">
        <w:rPr>
          <w:rFonts w:cs="AdvTT7e2c4963"/>
          <w:color w:val="231F20"/>
        </w:rPr>
        <w:t xml:space="preserve">, Sweden.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13</w:t>
      </w:r>
      <w:r w:rsidRPr="00034031">
        <w:rPr>
          <w:rFonts w:cs="AdvTT7e2c4963"/>
          <w:color w:val="231F20"/>
        </w:rPr>
        <w:t xml:space="preserve">Areteva R&amp;D, Nottingham,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14</w:t>
      </w:r>
      <w:r w:rsidRPr="00034031">
        <w:rPr>
          <w:rFonts w:cs="AdvTT7e2c4963"/>
          <w:color w:val="231F20"/>
        </w:rPr>
        <w:t>Dept of Public Health,</w:t>
      </w:r>
      <w:r w:rsidR="00784AFA">
        <w:rPr>
          <w:rFonts w:cs="AdvTT7e2c4963"/>
          <w:color w:val="231F20"/>
        </w:rPr>
        <w:t xml:space="preserve"> </w:t>
      </w:r>
      <w:proofErr w:type="spellStart"/>
      <w:r w:rsidRPr="00034031">
        <w:rPr>
          <w:rFonts w:cs="AdvTT7e2c4963"/>
          <w:color w:val="231F20"/>
        </w:rPr>
        <w:t>Semmelweis</w:t>
      </w:r>
      <w:proofErr w:type="spellEnd"/>
      <w:r w:rsidRPr="00034031">
        <w:rPr>
          <w:rFonts w:cs="AdvTT7e2c4963"/>
          <w:color w:val="231F20"/>
        </w:rPr>
        <w:t xml:space="preserve"> University; National </w:t>
      </w:r>
      <w:proofErr w:type="spellStart"/>
      <w:r w:rsidRPr="00034031">
        <w:rPr>
          <w:rFonts w:cs="AdvTT7e2c4963"/>
          <w:color w:val="231F20"/>
        </w:rPr>
        <w:t>Koranyi</w:t>
      </w:r>
      <w:proofErr w:type="spellEnd"/>
      <w:r w:rsidRPr="00034031">
        <w:rPr>
          <w:rFonts w:cs="AdvTT7e2c4963"/>
          <w:color w:val="231F20"/>
        </w:rPr>
        <w:t xml:space="preserve"> Institute for Pulmonology, Budapest, Hungary.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15</w:t>
      </w:r>
      <w:r w:rsidRPr="00034031">
        <w:rPr>
          <w:rFonts w:cs="AdvTT7e2c4963"/>
          <w:color w:val="231F20"/>
        </w:rPr>
        <w:t>Fraunhofer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Institute for Toxicology and Experimental Medicine Hannover, Hannover, Germany.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16</w:t>
      </w:r>
      <w:r w:rsidRPr="00034031">
        <w:rPr>
          <w:rFonts w:cs="AdvTT7e2c4963"/>
          <w:color w:val="231F20"/>
        </w:rPr>
        <w:t>Dept of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Medicine, </w:t>
      </w:r>
      <w:proofErr w:type="spellStart"/>
      <w:r w:rsidRPr="00034031">
        <w:rPr>
          <w:rFonts w:cs="AdvTT7e2c4963"/>
          <w:color w:val="231F20"/>
        </w:rPr>
        <w:t>Jagiellonian</w:t>
      </w:r>
      <w:proofErr w:type="spellEnd"/>
      <w:r w:rsidRPr="00034031">
        <w:rPr>
          <w:rFonts w:cs="AdvTT7e2c4963"/>
          <w:color w:val="231F20"/>
        </w:rPr>
        <w:t xml:space="preserve"> University Medical College, Krakow, Poland.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17</w:t>
      </w:r>
      <w:r w:rsidRPr="00034031">
        <w:rPr>
          <w:rFonts w:cs="AdvTT7e2c4963"/>
          <w:color w:val="231F20"/>
        </w:rPr>
        <w:t>Data Science Institute, South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Kensington Campus, Imperial College London, London, UK. </w:t>
      </w:r>
      <w:r w:rsidR="00784AFA">
        <w:rPr>
          <w:rFonts w:cs="AdvTT7e2c4963"/>
          <w:color w:val="231F20"/>
        </w:rPr>
        <w:t xml:space="preserve">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18</w:t>
      </w:r>
      <w:r w:rsidRPr="00034031">
        <w:rPr>
          <w:rFonts w:cs="AdvTT7e2c4963"/>
          <w:color w:val="231F20"/>
        </w:rPr>
        <w:t>Respiratory Research Unit, University of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Nottingham, Nottingham,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19</w:t>
      </w:r>
      <w:r w:rsidRPr="00034031">
        <w:rPr>
          <w:rFonts w:cs="AdvTT7e2c4963"/>
          <w:color w:val="231F20"/>
        </w:rPr>
        <w:t xml:space="preserve">Dept of Public Health and Clinical Medicine, </w:t>
      </w:r>
      <w:proofErr w:type="spellStart"/>
      <w:r w:rsidRPr="00034031">
        <w:rPr>
          <w:rFonts w:cs="AdvTT7e2c4963"/>
          <w:color w:val="231F20"/>
        </w:rPr>
        <w:t>Dept</w:t>
      </w:r>
      <w:proofErr w:type="spellEnd"/>
      <w:r w:rsidRPr="00034031">
        <w:rPr>
          <w:rFonts w:cs="AdvTT7e2c4963"/>
          <w:color w:val="231F20"/>
        </w:rPr>
        <w:t xml:space="preserve"> of Medicine,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Respiratory Medicine Unit, </w:t>
      </w:r>
      <w:proofErr w:type="spellStart"/>
      <w:r w:rsidRPr="00034031">
        <w:rPr>
          <w:rFonts w:cs="AdvTT7e2c4963"/>
          <w:color w:val="231F20"/>
        </w:rPr>
        <w:t>Umeå</w:t>
      </w:r>
      <w:proofErr w:type="spellEnd"/>
      <w:r w:rsidRPr="00034031">
        <w:rPr>
          <w:rFonts w:cs="AdvTT7e2c4963"/>
          <w:color w:val="231F20"/>
        </w:rPr>
        <w:t xml:space="preserve"> University, </w:t>
      </w:r>
      <w:proofErr w:type="spellStart"/>
      <w:r w:rsidRPr="00034031">
        <w:rPr>
          <w:rFonts w:cs="AdvTT7e2c4963"/>
          <w:color w:val="231F20"/>
        </w:rPr>
        <w:t>Umeå</w:t>
      </w:r>
      <w:proofErr w:type="spellEnd"/>
      <w:r w:rsidRPr="00034031">
        <w:rPr>
          <w:rFonts w:cs="AdvTT7e2c4963"/>
          <w:color w:val="231F20"/>
        </w:rPr>
        <w:t xml:space="preserve">, Sweden.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20</w:t>
      </w:r>
      <w:r w:rsidRPr="00034031">
        <w:rPr>
          <w:rFonts w:cs="AdvTT7e2c4963"/>
          <w:color w:val="231F20"/>
        </w:rPr>
        <w:t>Pharmacology, Faculty of Medicine,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Catholic University of the Sacred Heart, Rome, Italy.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21</w:t>
      </w:r>
      <w:r w:rsidRPr="00034031">
        <w:rPr>
          <w:rFonts w:cs="AdvTT7e2c4963"/>
          <w:color w:val="231F20"/>
        </w:rPr>
        <w:t>Division of Infection, Immunity and Respiratory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Medicine, School of Biological Sciences, Faculty of Biology, Medicine and Health, University of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Manchester, and Manchester Academic Health Science Centre and NIHR Biomedical Research Centre,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Manchester University Hospitals NHS Foundation Trust, Manchester,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22</w:t>
      </w:r>
      <w:r w:rsidRPr="00034031">
        <w:rPr>
          <w:rFonts w:cs="AdvTT7e2c4963"/>
          <w:color w:val="231F20"/>
        </w:rPr>
        <w:t>Dept of Experimental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Immunology, Amsterdam UMC, University of Amsterdam, Amsterdam, </w:t>
      </w:r>
      <w:proofErr w:type="gramStart"/>
      <w:r w:rsidRPr="00034031">
        <w:rPr>
          <w:rFonts w:cs="AdvTT7e2c4963"/>
          <w:color w:val="231F20"/>
        </w:rPr>
        <w:t>The</w:t>
      </w:r>
      <w:proofErr w:type="gramEnd"/>
      <w:r w:rsidRPr="00034031">
        <w:rPr>
          <w:rFonts w:cs="AdvTT7e2c4963"/>
          <w:color w:val="231F20"/>
        </w:rPr>
        <w:t xml:space="preserve"> Netherlands.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23</w:t>
      </w:r>
      <w:r w:rsidRPr="00034031">
        <w:rPr>
          <w:rFonts w:cs="AdvTT7e2c4963"/>
          <w:color w:val="231F20"/>
        </w:rPr>
        <w:t>NIHR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Southampton Respiratory Biomedical Research Unit, Clinical and Experimental Sciences, and Human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Development and Health, University of Southampton, Southampton,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24</w:t>
      </w:r>
      <w:r w:rsidRPr="00034031">
        <w:rPr>
          <w:rFonts w:cs="AdvTT7e2c4963"/>
          <w:color w:val="231F20"/>
        </w:rPr>
        <w:t>Centre for Proteomic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Research, Biological Sciences, University of Southampton, Southampton, UK. 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25</w:t>
      </w:r>
      <w:r w:rsidRPr="00034031">
        <w:rPr>
          <w:rFonts w:cs="AdvTT7e2c4963"/>
          <w:color w:val="231F20"/>
        </w:rPr>
        <w:t>Dept of Internal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Medicine, </w:t>
      </w:r>
      <w:proofErr w:type="spellStart"/>
      <w:r w:rsidRPr="00034031">
        <w:rPr>
          <w:rFonts w:cs="AdvTT7e2c4963"/>
          <w:color w:val="231F20"/>
        </w:rPr>
        <w:t>Jagiellonian</w:t>
      </w:r>
      <w:proofErr w:type="spellEnd"/>
      <w:r w:rsidRPr="00034031">
        <w:rPr>
          <w:rFonts w:cs="AdvTT7e2c4963"/>
          <w:color w:val="231F20"/>
        </w:rPr>
        <w:t xml:space="preserve"> University Medical College, Krakow, Poland. 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26</w:t>
      </w:r>
      <w:r w:rsidRPr="00034031">
        <w:rPr>
          <w:rFonts w:cs="AdvTT7e2c4963"/>
          <w:color w:val="231F20"/>
        </w:rPr>
        <w:t>National Heart and Lung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Institute, Imperial College London, and Royal Brompton and </w:t>
      </w:r>
      <w:proofErr w:type="spellStart"/>
      <w:r w:rsidRPr="00034031">
        <w:rPr>
          <w:rFonts w:cs="AdvTT7e2c4963"/>
          <w:color w:val="231F20"/>
        </w:rPr>
        <w:t>Harefield</w:t>
      </w:r>
      <w:proofErr w:type="spellEnd"/>
      <w:r w:rsidRPr="00034031">
        <w:rPr>
          <w:rFonts w:cs="AdvTT7e2c4963"/>
          <w:color w:val="231F20"/>
        </w:rPr>
        <w:t xml:space="preserve"> NHS Trust, London, UK.</w:t>
      </w:r>
    </w:p>
    <w:p w:rsidR="00784AFA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lastRenderedPageBreak/>
        <w:t>27</w:t>
      </w:r>
      <w:r w:rsidRPr="00034031">
        <w:rPr>
          <w:rFonts w:cs="AdvTT7e2c4963"/>
          <w:color w:val="231F20"/>
        </w:rPr>
        <w:t>Division of Pharmacology, Utrecht Institute for Pharmaceutical Sciences, Faculty of Science, Utrecht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University, Utrecht, </w:t>
      </w:r>
      <w:proofErr w:type="gramStart"/>
      <w:r w:rsidRPr="00034031">
        <w:rPr>
          <w:rFonts w:cs="AdvTT7e2c4963"/>
          <w:color w:val="231F20"/>
        </w:rPr>
        <w:t>The</w:t>
      </w:r>
      <w:proofErr w:type="gramEnd"/>
      <w:r w:rsidRPr="00034031">
        <w:rPr>
          <w:rFonts w:cs="AdvTT7e2c4963"/>
          <w:color w:val="231F20"/>
        </w:rPr>
        <w:t xml:space="preserve"> Netherlands. 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784AFA">
        <w:rPr>
          <w:rFonts w:cs="AdvTT7e2c4963"/>
          <w:color w:val="231F20"/>
          <w:vertAlign w:val="superscript"/>
        </w:rPr>
        <w:t>28</w:t>
      </w:r>
      <w:r w:rsidRPr="00034031">
        <w:rPr>
          <w:rFonts w:cs="AdvTT7e2c4963"/>
          <w:color w:val="231F20"/>
        </w:rPr>
        <w:t xml:space="preserve">Dept of </w:t>
      </w:r>
      <w:proofErr w:type="spellStart"/>
      <w:r w:rsidRPr="00034031">
        <w:rPr>
          <w:rFonts w:cs="AdvTT7e2c4963"/>
          <w:color w:val="231F20"/>
        </w:rPr>
        <w:t>Pediatric</w:t>
      </w:r>
      <w:proofErr w:type="spellEnd"/>
      <w:r w:rsidRPr="00034031">
        <w:rPr>
          <w:rFonts w:cs="AdvTT7e2c4963"/>
          <w:color w:val="231F20"/>
        </w:rPr>
        <w:t xml:space="preserve"> Respiratory Medicine, Emma Children</w:t>
      </w:r>
      <w:r w:rsidRPr="00034031">
        <w:rPr>
          <w:rFonts w:cs="AdvTT7e2c4963+20"/>
          <w:color w:val="231F20"/>
        </w:rPr>
        <w:t>’</w:t>
      </w:r>
      <w:r w:rsidRPr="00034031">
        <w:rPr>
          <w:rFonts w:cs="AdvTT7e2c4963"/>
          <w:color w:val="231F20"/>
        </w:rPr>
        <w:t>s</w:t>
      </w:r>
      <w:r w:rsidR="00784AFA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Hospital, Amsterdam UMC, Amsterdam, </w:t>
      </w:r>
      <w:proofErr w:type="gramStart"/>
      <w:r w:rsidRPr="00034031">
        <w:rPr>
          <w:rFonts w:cs="AdvTT7e2c4963"/>
          <w:color w:val="231F20"/>
        </w:rPr>
        <w:t>The</w:t>
      </w:r>
      <w:proofErr w:type="gramEnd"/>
      <w:r w:rsidRPr="00034031">
        <w:rPr>
          <w:rFonts w:cs="AdvTT7e2c4963"/>
          <w:color w:val="231F20"/>
        </w:rPr>
        <w:t xml:space="preserve"> Netherlands.</w:t>
      </w: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</w:p>
    <w:p w:rsidR="00034031" w:rsidRPr="00D85A84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</w:rPr>
      </w:pPr>
      <w:r w:rsidRPr="00D85A84">
        <w:rPr>
          <w:rFonts w:cs="AdvTT7e2c4963"/>
          <w:b/>
        </w:rPr>
        <w:t>Corresponding author</w:t>
      </w:r>
      <w:r w:rsidRPr="00D85A84">
        <w:rPr>
          <w:rFonts w:cs="AdvTT7e2c4963"/>
        </w:rPr>
        <w:t>: Anke H. Maitland-van der Zee (a.h.maitland@amsterdamumc.nl)</w:t>
      </w: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420aa1a.I"/>
          <w:color w:val="231F20"/>
        </w:rPr>
      </w:pP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420aa1a.I"/>
          <w:color w:val="231F20"/>
        </w:rPr>
      </w:pP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420aa1a.I"/>
          <w:color w:val="231F20"/>
        </w:rPr>
      </w:pPr>
    </w:p>
    <w:p w:rsidR="00034031" w:rsidRDefault="00034031">
      <w:pPr>
        <w:rPr>
          <w:rFonts w:cs="AdvTT1420aa1a.I"/>
          <w:color w:val="231F20"/>
        </w:rPr>
      </w:pPr>
      <w:r>
        <w:rPr>
          <w:rFonts w:cs="AdvTT1420aa1a.I"/>
          <w:color w:val="231F20"/>
        </w:rPr>
        <w:br w:type="page"/>
      </w:r>
    </w:p>
    <w:p w:rsidR="00034031" w:rsidRPr="00D85A84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b/>
          <w:color w:val="231F20"/>
        </w:rPr>
      </w:pPr>
      <w:r w:rsidRPr="00D85A84">
        <w:rPr>
          <w:rFonts w:cs="AdvTT1420aa1a.I"/>
          <w:b/>
          <w:color w:val="231F20"/>
        </w:rPr>
        <w:lastRenderedPageBreak/>
        <w:t>To the Editor</w:t>
      </w:r>
      <w:r w:rsidRPr="00D85A84">
        <w:rPr>
          <w:rFonts w:cs="AdvTT1778526c"/>
          <w:b/>
          <w:color w:val="231F20"/>
        </w:rPr>
        <w:t>: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Asthma is a heterogeneous disease with multiple clinical presentations (phenotypes) [1]. Neutrophilic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asthma is characterised by increased sputum neutrophils and generally has a poor response to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corticosteroids and limited other therapeutic options. Neutrophilia originates from different factors,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including the defective resolution of inflammation or bacterial infections [2]. An association between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airway bacterial imbalance (disturbance) and the neutrophilic phenotype has been reported [3], suggesting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that airway microbiota composition is involved in neutrophilic asthma. Rather than being a separate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entity [4], neutrophilic asthma may be in part, an alliance between innate immunity and microbiota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composition that prompts protective mechanisms against invading pathogens [2].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 xml:space="preserve">In the Unbiased </w:t>
      </w:r>
      <w:proofErr w:type="spellStart"/>
      <w:r w:rsidRPr="00034031">
        <w:rPr>
          <w:rFonts w:cs="AdvTT1778526c"/>
          <w:color w:val="231F20"/>
        </w:rPr>
        <w:t>BIOmarkers</w:t>
      </w:r>
      <w:proofErr w:type="spellEnd"/>
      <w:r w:rsidRPr="00034031">
        <w:rPr>
          <w:rFonts w:cs="AdvTT1778526c"/>
          <w:color w:val="231F20"/>
        </w:rPr>
        <w:t xml:space="preserve"> in </w:t>
      </w:r>
      <w:proofErr w:type="spellStart"/>
      <w:r w:rsidRPr="00034031">
        <w:rPr>
          <w:rFonts w:cs="AdvTT1778526c"/>
          <w:color w:val="231F20"/>
        </w:rPr>
        <w:t>PREDiction</w:t>
      </w:r>
      <w:proofErr w:type="spellEnd"/>
      <w:r w:rsidRPr="00034031">
        <w:rPr>
          <w:rFonts w:cs="AdvTT1778526c"/>
          <w:color w:val="231F20"/>
        </w:rPr>
        <w:t xml:space="preserve"> of respiratory disease outcomes (U-BIOPRED) study, adults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with severe asthma were classified into two clusters (phenotypes) based on the sputum microbiome [3].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The microbiome-driven cluster 2 (C2) showed relatively worse asthma outcomes, sputum neutrophilia and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microbial imbalance (reduced microbial diversity and commensals and enrichment of pathogenic bacteria,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particularly </w:t>
      </w:r>
      <w:r w:rsidRPr="00034031">
        <w:rPr>
          <w:rFonts w:cs="AdvTT1420aa1a.I"/>
          <w:color w:val="231F20"/>
        </w:rPr>
        <w:t xml:space="preserve">Haemophilus </w:t>
      </w:r>
      <w:proofErr w:type="spellStart"/>
      <w:r w:rsidRPr="00034031">
        <w:rPr>
          <w:rFonts w:cs="AdvTT1420aa1a.I"/>
          <w:color w:val="231F20"/>
        </w:rPr>
        <w:t>influenzae</w:t>
      </w:r>
      <w:proofErr w:type="spellEnd"/>
      <w:r w:rsidRPr="00034031">
        <w:rPr>
          <w:rFonts w:cs="AdvTT1420aa1a.I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and </w:t>
      </w:r>
      <w:r w:rsidRPr="00034031">
        <w:rPr>
          <w:rFonts w:cs="AdvTT1420aa1a.I"/>
          <w:color w:val="231F20"/>
        </w:rPr>
        <w:t xml:space="preserve">Moraxella </w:t>
      </w:r>
      <w:proofErr w:type="spellStart"/>
      <w:r w:rsidRPr="00034031">
        <w:rPr>
          <w:rFonts w:cs="AdvTT1420aa1a.I"/>
          <w:color w:val="231F20"/>
        </w:rPr>
        <w:t>catarrhalis</w:t>
      </w:r>
      <w:proofErr w:type="spellEnd"/>
      <w:r w:rsidRPr="00034031">
        <w:rPr>
          <w:rFonts w:cs="AdvTT1778526c"/>
          <w:color w:val="231F20"/>
        </w:rPr>
        <w:t>) compared with cluster 1 (C1). We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investigated the underlying molecular mechanisms of microbiome-driven phenotypes by investigating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differences in sputum eicosanoids, transcriptomics, and proteomics to reveal potential targets for diagnosis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and treatment.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 xml:space="preserve">Sputum omics, including eicosanoids, transcriptomics, and </w:t>
      </w:r>
      <w:proofErr w:type="spellStart"/>
      <w:r w:rsidRPr="00034031">
        <w:rPr>
          <w:rFonts w:cs="AdvTT1778526c"/>
          <w:color w:val="231F20"/>
        </w:rPr>
        <w:t>SomaScan</w:t>
      </w:r>
      <w:proofErr w:type="spellEnd"/>
      <w:r w:rsidRPr="00034031">
        <w:rPr>
          <w:rFonts w:cs="AdvTT1778526c"/>
          <w:color w:val="231F20"/>
        </w:rPr>
        <w:t>® proteomics, were assayed as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described previously [3, 5, </w:t>
      </w:r>
      <w:proofErr w:type="gramStart"/>
      <w:r w:rsidRPr="00034031">
        <w:rPr>
          <w:rFonts w:cs="AdvTT1778526c"/>
          <w:color w:val="231F20"/>
        </w:rPr>
        <w:t>6</w:t>
      </w:r>
      <w:proofErr w:type="gramEnd"/>
      <w:r w:rsidRPr="00034031">
        <w:rPr>
          <w:rFonts w:cs="AdvTT1778526c"/>
          <w:color w:val="231F20"/>
        </w:rPr>
        <w:t>]. C2 was compared with C1 patients, mild</w:t>
      </w:r>
      <w:r w:rsidRPr="00034031">
        <w:rPr>
          <w:rFonts w:cs="AdvTT1778526c+20"/>
          <w:color w:val="231F20"/>
        </w:rPr>
        <w:t>–</w:t>
      </w:r>
      <w:r w:rsidRPr="00034031">
        <w:rPr>
          <w:rFonts w:cs="AdvTT1778526c"/>
          <w:color w:val="231F20"/>
        </w:rPr>
        <w:t>moderate asthma patients (MM),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and healthy controls (H) according to a panel of 11-eicosanoids and Shannon metagenomics </w:t>
      </w:r>
      <w:r w:rsidRPr="00034031">
        <w:rPr>
          <w:rFonts w:cs="AdvTT05cc2067+03"/>
          <w:color w:val="231F20"/>
        </w:rPr>
        <w:t>α</w:t>
      </w:r>
      <w:r w:rsidRPr="00034031">
        <w:rPr>
          <w:rFonts w:cs="AdvTT1778526c"/>
          <w:color w:val="231F20"/>
        </w:rPr>
        <w:t>-diversity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using </w:t>
      </w:r>
      <w:proofErr w:type="spellStart"/>
      <w:r w:rsidRPr="00034031">
        <w:rPr>
          <w:rFonts w:cs="AdvTT1778526c"/>
          <w:color w:val="231F20"/>
        </w:rPr>
        <w:t>Kruskal</w:t>
      </w:r>
      <w:proofErr w:type="spellEnd"/>
      <w:r w:rsidRPr="00034031">
        <w:rPr>
          <w:rFonts w:cs="AdvTT1778526c+20"/>
          <w:color w:val="231F20"/>
        </w:rPr>
        <w:t>–</w:t>
      </w:r>
      <w:r w:rsidRPr="00034031">
        <w:rPr>
          <w:rFonts w:cs="AdvTT1778526c"/>
          <w:color w:val="231F20"/>
        </w:rPr>
        <w:t>Wallis H test. C2 and C1 were compared by sputum transcriptomics and proteomics using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linear models for microarray data (</w:t>
      </w:r>
      <w:proofErr w:type="spellStart"/>
      <w:r w:rsidRPr="00034031">
        <w:rPr>
          <w:rFonts w:cs="AdvTT1778526c"/>
          <w:color w:val="231F20"/>
        </w:rPr>
        <w:t>limma</w:t>
      </w:r>
      <w:proofErr w:type="spellEnd"/>
      <w:r w:rsidRPr="00034031">
        <w:rPr>
          <w:rFonts w:cs="AdvTT1778526c"/>
          <w:color w:val="231F20"/>
        </w:rPr>
        <w:t>) analysis after adjusting for age, sex and oral corticosteroid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intake. Pathway enrichment analysis for the sputum differential transcriptome was performed by gene set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enrichment analysis (Gage R package) using two databases for </w:t>
      </w:r>
      <w:r w:rsidRPr="00034031">
        <w:rPr>
          <w:rFonts w:cs="AdvTT1420aa1a.I"/>
          <w:color w:val="231F20"/>
        </w:rPr>
        <w:t>Homo sapiens</w:t>
      </w:r>
      <w:r w:rsidRPr="00034031">
        <w:rPr>
          <w:rFonts w:cs="AdvTT1778526c"/>
          <w:color w:val="231F20"/>
        </w:rPr>
        <w:t xml:space="preserve">; the Kyoto </w:t>
      </w:r>
      <w:proofErr w:type="spellStart"/>
      <w:r w:rsidRPr="00034031">
        <w:rPr>
          <w:rFonts w:cs="AdvTT1778526c"/>
          <w:color w:val="231F20"/>
        </w:rPr>
        <w:t>Encyclopedia</w:t>
      </w:r>
      <w:proofErr w:type="spellEnd"/>
      <w:r w:rsidRPr="00034031">
        <w:rPr>
          <w:rFonts w:cs="AdvTT1778526c"/>
          <w:color w:val="231F20"/>
        </w:rPr>
        <w:t xml:space="preserve"> of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Genes and Genomes (KEGG) database and the Molecular Signatures Database (</w:t>
      </w:r>
      <w:proofErr w:type="spellStart"/>
      <w:r w:rsidRPr="00034031">
        <w:rPr>
          <w:rFonts w:cs="AdvTT1778526c"/>
          <w:color w:val="231F20"/>
        </w:rPr>
        <w:t>MSigDB</w:t>
      </w:r>
      <w:proofErr w:type="spellEnd"/>
      <w:r w:rsidRPr="00034031">
        <w:rPr>
          <w:rFonts w:cs="AdvTT1778526c"/>
          <w:color w:val="231F20"/>
        </w:rPr>
        <w:t>) Hallmark gene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sets. A similar analysis was also performed comparing C2 against MM and H groups. Multiple testing was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adjusted for using </w:t>
      </w:r>
      <w:proofErr w:type="spellStart"/>
      <w:r w:rsidRPr="00034031">
        <w:rPr>
          <w:rFonts w:cs="AdvTT1778526c"/>
          <w:color w:val="231F20"/>
        </w:rPr>
        <w:t>Benjamini</w:t>
      </w:r>
      <w:proofErr w:type="spellEnd"/>
      <w:r w:rsidRPr="00034031">
        <w:rPr>
          <w:rFonts w:cs="AdvTT1778526c"/>
          <w:color w:val="231F20"/>
        </w:rPr>
        <w:t xml:space="preserve"> Hochberg false discovery rate correction and </w:t>
      </w:r>
      <w:proofErr w:type="gramStart"/>
      <w:r w:rsidRPr="00034031">
        <w:rPr>
          <w:rFonts w:cs="AdvTT1778526c"/>
          <w:color w:val="231F20"/>
        </w:rPr>
        <w:t xml:space="preserve">an </w:t>
      </w:r>
      <w:r w:rsidRPr="00034031">
        <w:rPr>
          <w:rFonts w:cs="AdvTT05cc2067+03"/>
          <w:color w:val="231F20"/>
        </w:rPr>
        <w:t>α</w:t>
      </w:r>
      <w:proofErr w:type="gramEnd"/>
      <w:r w:rsidRPr="00034031">
        <w:rPr>
          <w:rFonts w:cs="AdvTT05cc2067+03"/>
          <w:color w:val="231F20"/>
        </w:rPr>
        <w:t xml:space="preserve"> </w:t>
      </w:r>
      <w:r w:rsidRPr="00034031">
        <w:rPr>
          <w:rFonts w:cs="AdvTT1778526c"/>
          <w:color w:val="231F20"/>
        </w:rPr>
        <w:t>(q-value) &lt;0.05 was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considered significant.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The sputum 11-dehydrothromboxane B2 and prostaglandin (PG) E2 (but not leukotriene (LT) B4) levels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were significantly elevated in C2 compared to C1 subjects (q&lt;0.05) (</w:t>
      </w:r>
      <w:r w:rsidRPr="00D85A84">
        <w:rPr>
          <w:rFonts w:cs="AdvTT1778526c"/>
          <w:b/>
          <w:color w:val="231F20"/>
        </w:rPr>
        <w:t>figure 1a</w:t>
      </w:r>
      <w:r w:rsidRPr="00034031">
        <w:rPr>
          <w:rFonts w:cs="AdvTT1778526c"/>
          <w:color w:val="231F20"/>
        </w:rPr>
        <w:t>), consistent with sputum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PTGS2 gene upregulation in C2 (log2 fold change (FC) 1.1; q&lt;0.05). Furthermore, the levels of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15-hydroxyeicosatetraenoic acid (HETE), LTE4 and PGD2 were elevated in C2 compared with MM and/or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H groups. These findings were associated with decreased Shannon alpha-diversity in C2 compared to other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groups (p&lt;0.001) (</w:t>
      </w:r>
      <w:r w:rsidRPr="00D85A84">
        <w:rPr>
          <w:rFonts w:cs="AdvTT1778526c"/>
          <w:b/>
          <w:color w:val="231F20"/>
        </w:rPr>
        <w:t>figure 1b</w:t>
      </w:r>
      <w:r w:rsidRPr="00034031">
        <w:rPr>
          <w:rFonts w:cs="AdvTT1778526c"/>
          <w:color w:val="231F20"/>
        </w:rPr>
        <w:t>), consistent with the increase in the inflammatory signal with the increased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severity level in the groups.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A total of 2578 differentially expressed genes (DEGs; q&lt;0.05) were found to be different between C2 and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C1, of which 194 genes had a least a two-FC (</w:t>
      </w:r>
      <w:r w:rsidRPr="00D85A84">
        <w:rPr>
          <w:rFonts w:cs="AdvTT1778526c"/>
          <w:b/>
          <w:color w:val="231F20"/>
        </w:rPr>
        <w:t>figure 1c</w:t>
      </w:r>
      <w:r w:rsidRPr="00034031">
        <w:rPr>
          <w:rFonts w:cs="AdvTT1778526c"/>
          <w:color w:val="231F20"/>
        </w:rPr>
        <w:t>). Several upregulated DEGs were related to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immune regulation and inflammation, particularly tumour necrosis factor (TNF)-</w:t>
      </w:r>
      <w:r w:rsidRPr="00034031">
        <w:rPr>
          <w:rFonts w:cs="AdvTT05cc2067+03"/>
          <w:color w:val="231F20"/>
        </w:rPr>
        <w:t xml:space="preserve">α </w:t>
      </w:r>
      <w:r w:rsidRPr="00034031">
        <w:rPr>
          <w:rFonts w:cs="AdvTT1778526c"/>
          <w:color w:val="231F20"/>
        </w:rPr>
        <w:t>and related regulatory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genes (</w:t>
      </w:r>
      <w:r w:rsidRPr="00034031">
        <w:rPr>
          <w:rFonts w:cs="AdvTT1420aa1a.I"/>
          <w:color w:val="231F20"/>
        </w:rPr>
        <w:t>TNFAIP-6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TNFAIP3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TNFSF10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 xml:space="preserve">TNFRSF10 </w:t>
      </w:r>
      <w:r w:rsidRPr="00034031">
        <w:rPr>
          <w:rFonts w:cs="AdvTT1778526c"/>
          <w:color w:val="231F20"/>
        </w:rPr>
        <w:t xml:space="preserve">and </w:t>
      </w:r>
      <w:r w:rsidRPr="00034031">
        <w:rPr>
          <w:rFonts w:cs="AdvTT1420aa1a.I"/>
          <w:color w:val="231F20"/>
        </w:rPr>
        <w:t>TNFSF14</w:t>
      </w:r>
      <w:r w:rsidRPr="00034031">
        <w:rPr>
          <w:rFonts w:cs="AdvTT1778526c"/>
          <w:color w:val="231F20"/>
        </w:rPr>
        <w:t>); interleukins (ILs) and related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regulatory genes (</w:t>
      </w:r>
      <w:r w:rsidRPr="00034031">
        <w:rPr>
          <w:rFonts w:cs="AdvTT1420aa1a.I"/>
          <w:color w:val="231F20"/>
        </w:rPr>
        <w:t>IL18R1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IL18RAP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IL1R1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IL1R2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IL1B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IRAK2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>IRAK3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 xml:space="preserve">IL6 </w:t>
      </w:r>
      <w:r w:rsidRPr="00034031">
        <w:rPr>
          <w:rFonts w:cs="AdvTT1778526c"/>
          <w:color w:val="231F20"/>
        </w:rPr>
        <w:t xml:space="preserve">and </w:t>
      </w:r>
      <w:r w:rsidRPr="00034031">
        <w:rPr>
          <w:rFonts w:cs="AdvTT1420aa1a.I"/>
          <w:color w:val="231F20"/>
        </w:rPr>
        <w:t>IL6R</w:t>
      </w:r>
      <w:r w:rsidRPr="00034031">
        <w:rPr>
          <w:rFonts w:cs="AdvTT1778526c"/>
          <w:color w:val="231F20"/>
        </w:rPr>
        <w:t>); Toll-like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receptors (TLRs; </w:t>
      </w:r>
      <w:r w:rsidRPr="00034031">
        <w:rPr>
          <w:rFonts w:cs="AdvTT1420aa1a.I"/>
          <w:color w:val="231F20"/>
        </w:rPr>
        <w:t>e.g. TLR2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 xml:space="preserve">TLR4 </w:t>
      </w:r>
      <w:r w:rsidRPr="00034031">
        <w:rPr>
          <w:rFonts w:cs="AdvTT1778526c"/>
          <w:color w:val="231F20"/>
        </w:rPr>
        <w:t xml:space="preserve">and </w:t>
      </w:r>
      <w:r w:rsidRPr="00034031">
        <w:rPr>
          <w:rFonts w:cs="AdvTT1420aa1a.I"/>
          <w:color w:val="231F20"/>
        </w:rPr>
        <w:t>TLR10</w:t>
      </w:r>
      <w:r w:rsidRPr="00034031">
        <w:rPr>
          <w:rFonts w:cs="AdvTT1778526c"/>
          <w:color w:val="231F20"/>
        </w:rPr>
        <w:t>); and inflammasomes (</w:t>
      </w:r>
      <w:r w:rsidRPr="00034031">
        <w:rPr>
          <w:rFonts w:cs="AdvTT1420aa1a.I"/>
          <w:color w:val="231F20"/>
        </w:rPr>
        <w:t>e.g. NLRP3</w:t>
      </w:r>
      <w:r w:rsidRPr="00034031">
        <w:rPr>
          <w:rFonts w:cs="AdvTT1778526c"/>
          <w:color w:val="231F20"/>
        </w:rPr>
        <w:t xml:space="preserve">, </w:t>
      </w:r>
      <w:r w:rsidRPr="00034031">
        <w:rPr>
          <w:rFonts w:cs="AdvTT1420aa1a.I"/>
          <w:color w:val="231F20"/>
        </w:rPr>
        <w:t xml:space="preserve">NLRP12 </w:t>
      </w:r>
      <w:r w:rsidRPr="00034031">
        <w:rPr>
          <w:rFonts w:cs="AdvTT1778526c"/>
          <w:color w:val="231F20"/>
        </w:rPr>
        <w:t xml:space="preserve">and </w:t>
      </w:r>
      <w:r w:rsidRPr="00034031">
        <w:rPr>
          <w:rFonts w:cs="AdvTT1420aa1a.I"/>
          <w:color w:val="231F20"/>
        </w:rPr>
        <w:t>NLRC5</w:t>
      </w:r>
      <w:r w:rsidRPr="00034031">
        <w:rPr>
          <w:rFonts w:cs="AdvTT1778526c"/>
          <w:color w:val="231F20"/>
        </w:rPr>
        <w:t>) in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C2 relative to C1. Similar DEGs were significantly upregulated in C2 compared to MM and H groups.</w:t>
      </w:r>
    </w:p>
    <w:p w:rsidR="00784AFA" w:rsidRDefault="00784AFA" w:rsidP="00034031">
      <w:pPr>
        <w:autoSpaceDE w:val="0"/>
        <w:autoSpaceDN w:val="0"/>
        <w:adjustRightInd w:val="0"/>
        <w:spacing w:after="0" w:line="240" w:lineRule="auto"/>
        <w:jc w:val="both"/>
        <w:rPr>
          <w:rFonts w:cs="SourceSansPro-Regular"/>
          <w:color w:val="231F20"/>
        </w:rPr>
      </w:pP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Upregulated KEGG pathways in C2 mainly related to pathogen fighting, inflammation and innate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immune-regulation mechanisms such as natural killer cell-mediated cytotoxicity, chemokine, NOD-, Toll-,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and RIG-I-like receptor signalling pathways (q&lt;0.05) (</w:t>
      </w:r>
      <w:r w:rsidRPr="00D85A84">
        <w:rPr>
          <w:rFonts w:cs="AdvTT1778526c"/>
          <w:b/>
          <w:color w:val="231F20"/>
        </w:rPr>
        <w:t>figure 1e</w:t>
      </w:r>
      <w:r w:rsidRPr="00034031">
        <w:rPr>
          <w:rFonts w:cs="AdvTT1778526c"/>
          <w:color w:val="231F20"/>
        </w:rPr>
        <w:t>). Downregulated KEGG pathways in C2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were related to cell proliferation and growth, including ribosome biogenesis, DNA replication and repair;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fatty acid, amino acid, nucleotide and carbohydrate metabolism; and cellular degradation and catabolism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(lysosome, peroxisome and proteasome). The Hallmark gene sets supporting KEGG analysis including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up-regulation of immuno- and inflammatory pathways in C2, such as TNF-</w:t>
      </w:r>
      <w:r w:rsidRPr="00034031">
        <w:rPr>
          <w:rFonts w:cs="AdvTT05cc2067+03"/>
          <w:color w:val="231F20"/>
        </w:rPr>
        <w:t xml:space="preserve">α </w:t>
      </w:r>
      <w:r w:rsidRPr="00034031">
        <w:rPr>
          <w:rFonts w:cs="AdvTT1778526c"/>
          <w:color w:val="231F20"/>
        </w:rPr>
        <w:t xml:space="preserve">signalling </w:t>
      </w:r>
      <w:r w:rsidRPr="00034031">
        <w:rPr>
          <w:rFonts w:cs="AdvTT1420aa1a.I"/>
          <w:color w:val="231F20"/>
        </w:rPr>
        <w:t xml:space="preserve">via </w:t>
      </w:r>
      <w:r w:rsidRPr="00034031">
        <w:rPr>
          <w:rFonts w:cs="AdvTT1778526c"/>
          <w:color w:val="231F20"/>
        </w:rPr>
        <w:t>nuclear factor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(NF)</w:t>
      </w:r>
      <w:r w:rsidRPr="00034031">
        <w:rPr>
          <w:rFonts w:cs="AdvTT05cc2067+03"/>
          <w:color w:val="231F20"/>
        </w:rPr>
        <w:t>κ</w:t>
      </w:r>
      <w:r w:rsidRPr="00034031">
        <w:rPr>
          <w:rFonts w:cs="AdvTT1778526c"/>
          <w:color w:val="231F20"/>
        </w:rPr>
        <w:t>B, interferon (IFN)-</w:t>
      </w:r>
      <w:r w:rsidRPr="00034031">
        <w:rPr>
          <w:rFonts w:cs="AdvTT05cc2067+03"/>
          <w:color w:val="231F20"/>
        </w:rPr>
        <w:t>α</w:t>
      </w:r>
      <w:r w:rsidRPr="00034031">
        <w:rPr>
          <w:rFonts w:cs="AdvTT1778526c"/>
          <w:color w:val="231F20"/>
        </w:rPr>
        <w:t>, IFN-</w:t>
      </w:r>
      <w:r w:rsidRPr="00034031">
        <w:rPr>
          <w:rFonts w:cs="AdvTT05cc2067+03"/>
          <w:color w:val="231F20"/>
        </w:rPr>
        <w:t>γ</w:t>
      </w:r>
      <w:r w:rsidRPr="00034031">
        <w:rPr>
          <w:rFonts w:cs="AdvTT1778526c"/>
          <w:color w:val="231F20"/>
        </w:rPr>
        <w:t xml:space="preserve">, inflammatory response, IL-6 JAK-STAT3 </w:t>
      </w:r>
      <w:r w:rsidRPr="00034031">
        <w:rPr>
          <w:rFonts w:cs="AdvTT1778526c"/>
          <w:color w:val="231F20"/>
        </w:rPr>
        <w:lastRenderedPageBreak/>
        <w:t>(Janus kinase-signal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transducer and activator of transcription) signalling, and apoptosis (</w:t>
      </w:r>
      <w:r w:rsidRPr="00D85A84">
        <w:rPr>
          <w:rFonts w:cs="AdvTT1778526c"/>
          <w:b/>
          <w:color w:val="231F20"/>
        </w:rPr>
        <w:t>figure 1f</w:t>
      </w:r>
      <w:r w:rsidRPr="00034031">
        <w:rPr>
          <w:rFonts w:cs="AdvTT1778526c"/>
          <w:color w:val="231F20"/>
        </w:rPr>
        <w:t xml:space="preserve"> ). Downregulated pathways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included oxidative phosphorylation (OXPHOS), reactive oxygen species (ROS), DNA repair, cell cycle,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proliferation and growth, peroxisome, and metabolism. Similar upregulated and downregulated pathways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were significant in C2 compared to MM and H groups. Additional KEGG/Hallmark upregulated pathways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 C2 relative to MM and H groups were hypoxia, JAK-STAT, MAPK (mitogen-activated protein kinase),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T-cell, KRAS and IL2 STAT5 signalling (data not shown).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36 differentially abundant proteins (DAPs) were significant (q&lt;0.05) between C2 and C1, of whom 14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proteins had at least a two-FC (</w:t>
      </w:r>
      <w:r w:rsidRPr="00D85A84">
        <w:rPr>
          <w:rFonts w:cs="AdvTT1778526c"/>
          <w:b/>
          <w:color w:val="231F20"/>
        </w:rPr>
        <w:t>figure 1d</w:t>
      </w:r>
      <w:r w:rsidRPr="00034031">
        <w:rPr>
          <w:rFonts w:cs="AdvTT1778526c"/>
          <w:color w:val="231F20"/>
        </w:rPr>
        <w:t xml:space="preserve">). Upregulated DAPs in C2 (TSG-6, IL-17RA, IP-10, </w:t>
      </w:r>
      <w:proofErr w:type="spellStart"/>
      <w:r w:rsidRPr="00034031">
        <w:rPr>
          <w:rFonts w:cs="AdvTT1778526c"/>
          <w:color w:val="231F20"/>
        </w:rPr>
        <w:t>granulysin</w:t>
      </w:r>
      <w:proofErr w:type="spellEnd"/>
      <w:r w:rsidRPr="00034031">
        <w:rPr>
          <w:rFonts w:cs="AdvTT1778526c"/>
          <w:color w:val="231F20"/>
        </w:rPr>
        <w:t>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ILT-4, PBEF, TLR4</w:t>
      </w:r>
      <w:proofErr w:type="gramStart"/>
      <w:r w:rsidRPr="00034031">
        <w:rPr>
          <w:rFonts w:cs="AdvTT1778526c"/>
          <w:color w:val="231F20"/>
        </w:rPr>
        <w:t>:MD</w:t>
      </w:r>
      <w:proofErr w:type="gramEnd"/>
      <w:r w:rsidRPr="00034031">
        <w:rPr>
          <w:rFonts w:cs="AdvTT1778526c"/>
          <w:color w:val="231F20"/>
        </w:rPr>
        <w:t>-2 complex, MMP-10, NKp46, and IGFIR) were related to neutrophilia,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inflammation, and/or Th17 and Th1 mediated pathways. Similar DAPs were significant when C2 patients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were compared to MM and H groups. Additional enriched (pro</w:t>
      </w:r>
      <w:proofErr w:type="gramStart"/>
      <w:r w:rsidRPr="00034031">
        <w:rPr>
          <w:rFonts w:cs="AdvTT1778526c"/>
          <w:color w:val="231F20"/>
        </w:rPr>
        <w:t>)inflammatory</w:t>
      </w:r>
      <w:proofErr w:type="gramEnd"/>
      <w:r w:rsidRPr="00034031">
        <w:rPr>
          <w:rFonts w:cs="AdvTT1778526c"/>
          <w:color w:val="231F20"/>
        </w:rPr>
        <w:t xml:space="preserve"> DAPs were found in C2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relative to MM and/or H groups (q&lt;0.05), including CRP, light, protein-S, </w:t>
      </w:r>
      <w:proofErr w:type="spellStart"/>
      <w:r w:rsidRPr="00034031">
        <w:rPr>
          <w:rFonts w:cs="AdvTT1778526c"/>
          <w:color w:val="231F20"/>
        </w:rPr>
        <w:t>azurocidin</w:t>
      </w:r>
      <w:proofErr w:type="spellEnd"/>
      <w:r w:rsidRPr="00034031">
        <w:rPr>
          <w:rFonts w:cs="AdvTT1778526c"/>
          <w:color w:val="231F20"/>
        </w:rPr>
        <w:t>, PGRP-S, TIMP-2,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IL-8, Notch1, MMP1, MMP2 and C5a.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The bacterial imbalance in C2 was associated with sputum ne</w:t>
      </w:r>
      <w:r w:rsidR="00D85A84">
        <w:rPr>
          <w:rFonts w:cs="AdvTT1778526c"/>
          <w:color w:val="231F20"/>
        </w:rPr>
        <w:t>utrophilia, suggesting an immuno</w:t>
      </w:r>
      <w:r w:rsidRPr="00034031">
        <w:rPr>
          <w:rFonts w:cs="AdvTT1778526c"/>
          <w:color w:val="231F20"/>
        </w:rPr>
        <w:t>modulatory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response to fight clinical/subclinical infections, potentially resulting in more inflamed/obstructed airways [7] with worse lung function parameters, as observed in C2 patients. Interestingly,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sputum macrophages were significantly decreased in C2 compared to C1, consistent with a defective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immune capacity to adequately eliminate pathogenic micro-organisms [8]. Most of the elevated signalling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eicosanoids molecules in C2 are </w:t>
      </w:r>
      <w:proofErr w:type="spellStart"/>
      <w:r w:rsidRPr="00034031">
        <w:rPr>
          <w:rFonts w:cs="AdvTT1778526c"/>
          <w:color w:val="231F20"/>
        </w:rPr>
        <w:t>proinflammatory</w:t>
      </w:r>
      <w:proofErr w:type="spellEnd"/>
      <w:r w:rsidRPr="00034031">
        <w:rPr>
          <w:rFonts w:cs="AdvTT1778526c"/>
          <w:color w:val="231F20"/>
        </w:rPr>
        <w:t xml:space="preserve"> and/or induce bronchoconstriction [9], which may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partly explain the reduced lung function in the relatively more severe C2 cluster. In addition, sputum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PGE2 and PGD2 regulate neutrophils and/or Th17 and Th1 pathways [10], suggesting that their elevated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levels in C2 patients might be driving these clinical features. PGE2 suppresses phagocytosis by air</w:t>
      </w:r>
      <w:bookmarkStart w:id="0" w:name="_GoBack"/>
      <w:bookmarkEnd w:id="0"/>
      <w:r w:rsidRPr="00034031">
        <w:rPr>
          <w:rFonts w:cs="AdvTT1778526c"/>
          <w:color w:val="231F20"/>
        </w:rPr>
        <w:t>way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macrophages in asthma [11], consistent with our sputum pathway enrichment analysis showing that C2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patients had down-regulated lysosome and ROS pathways, which are critical in pathogen fighting [12],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relative to C1.</w:t>
      </w: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Many of the observed DEGs, DAPs, and pathways are implicated in immune regulation and/or are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characteristic of the neutrophilic asthma signature [7] distinguishing C2 patients. TNF-</w:t>
      </w:r>
      <w:r w:rsidRPr="00034031">
        <w:rPr>
          <w:rFonts w:cs="AdvTT05cc2067+03"/>
          <w:color w:val="231F20"/>
        </w:rPr>
        <w:t xml:space="preserve">α </w:t>
      </w:r>
      <w:r w:rsidRPr="00034031">
        <w:rPr>
          <w:rFonts w:cs="AdvTT1778526c"/>
          <w:color w:val="231F20"/>
        </w:rPr>
        <w:t>was markedly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 xml:space="preserve">upregulated in C2, consistent with what was found in the </w:t>
      </w:r>
      <w:r w:rsidRPr="00034031">
        <w:rPr>
          <w:rFonts w:cs="AdvTT1420aa1a.I"/>
          <w:color w:val="231F20"/>
        </w:rPr>
        <w:t>Haemophilus</w:t>
      </w:r>
      <w:r w:rsidRPr="00034031">
        <w:rPr>
          <w:rFonts w:cs="AdvTT1778526c"/>
          <w:color w:val="231F20"/>
        </w:rPr>
        <w:t>-enriched cluster in patients with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asthma and COPD [13]. Upregulation of the interferon pathways was observed in patients with C2, and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IFN-</w:t>
      </w:r>
      <w:r w:rsidRPr="00034031">
        <w:rPr>
          <w:rFonts w:cs="AdvTT05cc2067+03"/>
          <w:color w:val="231F20"/>
        </w:rPr>
        <w:t xml:space="preserve">γ </w:t>
      </w:r>
      <w:r w:rsidRPr="00034031">
        <w:rPr>
          <w:rFonts w:cs="AdvTT1778526c"/>
          <w:color w:val="231F20"/>
        </w:rPr>
        <w:t>has been shown to decrease epithelial barrier function and enhance neutrophil transmigration [14].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Impaired barrier function could render the airway mucosa of C2 subjects vulnerable to pathogenic bacterial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infections. Our metagenomics analysis did not detect key RNA viruses, such as RV16, whose presence at a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subclinical level could enhance RIG-I and IFN-</w:t>
      </w:r>
      <w:r w:rsidRPr="00034031">
        <w:rPr>
          <w:rFonts w:cs="AdvTT05cc2067+03"/>
          <w:color w:val="231F20"/>
        </w:rPr>
        <w:t xml:space="preserve">γ </w:t>
      </w:r>
      <w:r w:rsidRPr="00034031">
        <w:rPr>
          <w:rFonts w:cs="AdvTT1778526c"/>
          <w:color w:val="231F20"/>
        </w:rPr>
        <w:t>pathways.</w:t>
      </w:r>
      <w:r>
        <w:rPr>
          <w:rFonts w:cs="AdvTT1778526c"/>
          <w:color w:val="231F20"/>
        </w:rPr>
        <w:t xml:space="preserve"> 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In contrast, downregulated pathways showed defective cell growth, proliferation, metabolism and DNA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repair, suggesting an impaired capacity to repair inflamed cells and maintain homeostasis. Moreover, C2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exhibited downregulation of OXPHOS, tricarboxylic acid cycle, and ROS pathways suggesting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mitochondrial dysfunction [15]. These results support previous data where neutrophilic inflammation was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associated with reduced OXPHOS gene expression and mitochondrial dysfunction in bronchial epithelial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cells [16].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1778526c"/>
          <w:color w:val="231F20"/>
        </w:rPr>
      </w:pPr>
      <w:r w:rsidRPr="00034031">
        <w:rPr>
          <w:rFonts w:cs="AdvTT1778526c"/>
          <w:color w:val="231F20"/>
        </w:rPr>
        <w:t>These findings reveal potential targets for the C2 microbiome-driven asthma phenotype, which might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constitute a selected subtype within corticosteroid-resistant asthmatics. Therapeutic options for this cluster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might be antibiotics (</w:t>
      </w:r>
      <w:r w:rsidRPr="00034031">
        <w:rPr>
          <w:rFonts w:cs="AdvTT1420aa1a.I"/>
          <w:color w:val="231F20"/>
        </w:rPr>
        <w:t xml:space="preserve">e.g. </w:t>
      </w:r>
      <w:r w:rsidRPr="00034031">
        <w:rPr>
          <w:rFonts w:cs="AdvTT1778526c"/>
          <w:color w:val="231F20"/>
        </w:rPr>
        <w:t>macrolides) or phage therapy. In addition, the dysregulated neutrophilic and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cytokines/chemokines might be diagnostic/therapeutic targets in C2 patients [7]. Differing biological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pathways and mediators involved in these patients suggest that pharmacotherapies targeting multiple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mechanisms might be required. This also suggests neutrophilic asthma is not a single phenotype [4] and</w:t>
      </w:r>
      <w:r>
        <w:rPr>
          <w:rFonts w:cs="AdvTT1778526c"/>
          <w:color w:val="231F20"/>
        </w:rPr>
        <w:t xml:space="preserve"> </w:t>
      </w:r>
      <w:r w:rsidRPr="00034031">
        <w:rPr>
          <w:rFonts w:cs="AdvTT1778526c"/>
          <w:color w:val="231F20"/>
        </w:rPr>
        <w:t>underlying mechanisms should be considered to optimise treatment.</w:t>
      </w: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005595"/>
        </w:rPr>
      </w:pPr>
    </w:p>
    <w:p w:rsidR="00784AFA" w:rsidRDefault="00784AFA">
      <w:pPr>
        <w:rPr>
          <w:rFonts w:cs="AdvTT7e2c4963"/>
          <w:b/>
          <w:color w:val="231F20"/>
        </w:rPr>
      </w:pPr>
      <w:r>
        <w:rPr>
          <w:rFonts w:cs="AdvTT7e2c4963"/>
          <w:b/>
          <w:color w:val="231F20"/>
        </w:rPr>
        <w:br w:type="page"/>
      </w: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b/>
          <w:color w:val="231F20"/>
        </w:rPr>
        <w:lastRenderedPageBreak/>
        <w:t>Author contributions</w:t>
      </w:r>
      <w:r w:rsidRPr="00034031">
        <w:rPr>
          <w:rFonts w:cs="AdvTT7e2c4963"/>
          <w:color w:val="231F20"/>
        </w:rPr>
        <w:t>: M.I. Abdel-Aziz performed the analysis and drafted the initial version of the manuscript.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M.I. Abdel-Aziz, A.H. Maitland-van der Zee, I.M. Adcock, K.F. Chung and P.J. Sterk have contributed to the design of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the analysis plan. All co-authors have contributed to the acquisition of data, interpretation of the analysis,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revision, drafting, critical appraisal and ensuring accuracy and integrity of the analysis. All co-authors have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provided final approval of the version to be published. A.H. Maitland-van der Zee is the corresponding author. In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addition, the U-BIOPRED is a consortium effort and we wish to acknowledge the help and expertise of the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individuals and groups in the U-BIOPRED study group.</w:t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</w:p>
    <w:p w:rsid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b/>
          <w:color w:val="231F20"/>
        </w:rPr>
        <w:t>Support statement</w:t>
      </w:r>
      <w:r w:rsidRPr="00034031">
        <w:rPr>
          <w:rFonts w:cs="AdvTT7e2c4963"/>
          <w:color w:val="231F20"/>
        </w:rPr>
        <w:t>: U-BIOPRED has received funding from the Innovative Medicines Initiative (IMI) Joint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Undertaking under grant agreement no. 115010, resources of which are composed of financial contributions from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the European Union</w:t>
      </w:r>
      <w:r w:rsidRPr="00034031">
        <w:rPr>
          <w:rFonts w:cs="AdvTT7e2c4963+20"/>
          <w:color w:val="231F20"/>
        </w:rPr>
        <w:t>’</w:t>
      </w:r>
      <w:r w:rsidRPr="00034031">
        <w:rPr>
          <w:rFonts w:cs="AdvTT7e2c4963"/>
          <w:color w:val="231F20"/>
        </w:rPr>
        <w:t>s Seventh Framework Programme (FP7/2007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2013) and European Federation of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Pharmaceutical Industries and Associations (EFPIA) companies</w:t>
      </w:r>
      <w:r w:rsidRPr="00034031">
        <w:rPr>
          <w:rFonts w:cs="AdvTT7e2c4963+20"/>
          <w:color w:val="231F20"/>
        </w:rPr>
        <w:t xml:space="preserve">’ </w:t>
      </w:r>
      <w:r w:rsidRPr="00034031">
        <w:rPr>
          <w:rFonts w:cs="AdvTT7e2c4963"/>
          <w:color w:val="231F20"/>
        </w:rPr>
        <w:t>in-kind contributions (www.imi.europa.eu). The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researcher M.I. Abdel-Aziz is funded by a full scholarship from the Ministry of Higher Education of the Arab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Republic of Egypt. Funding information for this article has been deposited with the </w:t>
      </w:r>
      <w:proofErr w:type="spellStart"/>
      <w:r w:rsidRPr="00034031">
        <w:rPr>
          <w:rFonts w:cs="AdvTT7e2c4963"/>
          <w:color w:val="231F20"/>
        </w:rPr>
        <w:t>Crossref</w:t>
      </w:r>
      <w:proofErr w:type="spellEnd"/>
      <w:r w:rsidRPr="00034031">
        <w:rPr>
          <w:rFonts w:cs="AdvTT7e2c4963"/>
          <w:color w:val="231F20"/>
        </w:rPr>
        <w:t xml:space="preserve"> Funder Registry.</w:t>
      </w:r>
    </w:p>
    <w:p w:rsidR="00034031" w:rsidRDefault="00034031">
      <w:pPr>
        <w:rPr>
          <w:rFonts w:cs="AdvTT3e3c8cd7"/>
          <w:color w:val="005595"/>
        </w:rPr>
      </w:pPr>
      <w:r>
        <w:rPr>
          <w:rFonts w:cs="AdvTT3e3c8cd7"/>
          <w:color w:val="005595"/>
        </w:rPr>
        <w:br w:type="page"/>
      </w: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3e3c8cd7"/>
          <w:b/>
        </w:rPr>
      </w:pPr>
      <w:r w:rsidRPr="00034031">
        <w:rPr>
          <w:rFonts w:cs="AdvTT3e3c8cd7"/>
          <w:b/>
        </w:rPr>
        <w:lastRenderedPageBreak/>
        <w:t>References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proofErr w:type="spellStart"/>
      <w:r w:rsidRPr="00034031">
        <w:rPr>
          <w:rFonts w:cs="AdvTT7e2c4963"/>
          <w:color w:val="231F20"/>
        </w:rPr>
        <w:t>Borish</w:t>
      </w:r>
      <w:proofErr w:type="spellEnd"/>
      <w:r w:rsidRPr="00034031">
        <w:rPr>
          <w:rFonts w:cs="AdvTT7e2c4963"/>
          <w:color w:val="231F20"/>
        </w:rPr>
        <w:t xml:space="preserve"> L, Culp JA. Asthma: a syndrome composed of heterogeneous diseases. </w:t>
      </w:r>
      <w:r w:rsidRPr="00034031">
        <w:rPr>
          <w:rFonts w:cs="AdvTTcabc3928.I"/>
          <w:color w:val="231F20"/>
        </w:rPr>
        <w:t xml:space="preserve">Ann Allergy Asthma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2008; 101: 1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8.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Budden KF, Shukla SD, Rehman SF,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>Functional effects of the microbiota in chronic respiratory disease.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cabc3928.I"/>
          <w:color w:val="231F20"/>
        </w:rPr>
        <w:t xml:space="preserve">Lancet </w:t>
      </w:r>
      <w:proofErr w:type="spellStart"/>
      <w:r w:rsidRPr="00034031">
        <w:rPr>
          <w:rFonts w:cs="AdvTTcabc3928.I"/>
          <w:color w:val="231F20"/>
        </w:rPr>
        <w:t>Respir</w:t>
      </w:r>
      <w:proofErr w:type="spellEnd"/>
      <w:r w:rsidRPr="00034031">
        <w:rPr>
          <w:rFonts w:cs="AdvTTcabc3928.I"/>
          <w:color w:val="231F20"/>
        </w:rPr>
        <w:t xml:space="preserve"> Med </w:t>
      </w:r>
      <w:r w:rsidRPr="00034031">
        <w:rPr>
          <w:rFonts w:cs="AdvTT7e2c4963"/>
          <w:color w:val="231F20"/>
        </w:rPr>
        <w:t>2019; 7: 907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920.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Abdel-Aziz MI, Brinkman P, Vijverberg SJH, </w:t>
      </w:r>
      <w:proofErr w:type="gramStart"/>
      <w:r w:rsidRPr="00034031">
        <w:rPr>
          <w:rFonts w:cs="AdvTTcabc3928.I"/>
          <w:color w:val="231F20"/>
        </w:rPr>
        <w:t>et</w:t>
      </w:r>
      <w:proofErr w:type="gramEnd"/>
      <w:r w:rsidRPr="00034031">
        <w:rPr>
          <w:rFonts w:cs="AdvTTcabc3928.I"/>
          <w:color w:val="231F20"/>
        </w:rPr>
        <w:t xml:space="preserve"> al. </w:t>
      </w:r>
      <w:r w:rsidRPr="00034031">
        <w:rPr>
          <w:rFonts w:cs="AdvTT7e2c4963"/>
          <w:color w:val="231F20"/>
        </w:rPr>
        <w:t>Sputum microbiome profiles identify severe asthma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phenotypes of relative stability at 12 to 18 months. </w:t>
      </w:r>
      <w:r w:rsidRPr="00034031">
        <w:rPr>
          <w:rFonts w:cs="AdvTTcabc3928.I"/>
          <w:color w:val="231F20"/>
        </w:rPr>
        <w:t xml:space="preserve">J Allergy Clin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2021; 147: 123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134.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Nair P, Surette MG, Virchow JC. Neutrophilic asthma: misconception or misnomer? </w:t>
      </w:r>
      <w:r w:rsidRPr="00034031">
        <w:rPr>
          <w:rFonts w:cs="AdvTTcabc3928.I"/>
          <w:color w:val="231F20"/>
        </w:rPr>
        <w:t xml:space="preserve">Lancet </w:t>
      </w:r>
      <w:proofErr w:type="spellStart"/>
      <w:r w:rsidRPr="00034031">
        <w:rPr>
          <w:rFonts w:cs="AdvTTcabc3928.I"/>
          <w:color w:val="231F20"/>
        </w:rPr>
        <w:t>Respir</w:t>
      </w:r>
      <w:proofErr w:type="spellEnd"/>
      <w:r w:rsidRPr="00034031">
        <w:rPr>
          <w:rFonts w:cs="AdvTTcabc3928.I"/>
          <w:color w:val="231F20"/>
        </w:rPr>
        <w:t xml:space="preserve"> Med </w:t>
      </w:r>
      <w:r w:rsidRPr="00034031">
        <w:rPr>
          <w:rFonts w:cs="AdvTT7e2c4963"/>
          <w:color w:val="231F20"/>
        </w:rPr>
        <w:t>2021; 9: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441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443.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Sanak M, Gielicz A, </w:t>
      </w:r>
      <w:proofErr w:type="spellStart"/>
      <w:r w:rsidRPr="00034031">
        <w:rPr>
          <w:rFonts w:cs="AdvTT7e2c4963"/>
          <w:color w:val="231F20"/>
        </w:rPr>
        <w:t>Nagraba</w:t>
      </w:r>
      <w:proofErr w:type="spellEnd"/>
      <w:r w:rsidRPr="00034031">
        <w:rPr>
          <w:rFonts w:cs="AdvTT7e2c4963"/>
          <w:color w:val="231F20"/>
        </w:rPr>
        <w:t xml:space="preserve"> K,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 xml:space="preserve">Targeted eicosanoids </w:t>
      </w:r>
      <w:proofErr w:type="spellStart"/>
      <w:r w:rsidRPr="00034031">
        <w:rPr>
          <w:rFonts w:cs="AdvTT7e2c4963"/>
          <w:color w:val="231F20"/>
        </w:rPr>
        <w:t>lipidomics</w:t>
      </w:r>
      <w:proofErr w:type="spellEnd"/>
      <w:r w:rsidRPr="00034031">
        <w:rPr>
          <w:rFonts w:cs="AdvTT7e2c4963"/>
          <w:color w:val="231F20"/>
        </w:rPr>
        <w:t xml:space="preserve"> of exhaled breath condensate in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healthy subjects. </w:t>
      </w:r>
      <w:r w:rsidRPr="00034031">
        <w:rPr>
          <w:rFonts w:cs="AdvTTcabc3928.I"/>
          <w:color w:val="231F20"/>
        </w:rPr>
        <w:t xml:space="preserve">J </w:t>
      </w:r>
      <w:proofErr w:type="spellStart"/>
      <w:r w:rsidRPr="00034031">
        <w:rPr>
          <w:rFonts w:cs="AdvTTcabc3928.I"/>
          <w:color w:val="231F20"/>
        </w:rPr>
        <w:t>Chromatogr</w:t>
      </w:r>
      <w:proofErr w:type="spellEnd"/>
      <w:r w:rsidRPr="00034031">
        <w:rPr>
          <w:rFonts w:cs="AdvTTcabc3928.I"/>
          <w:color w:val="231F20"/>
        </w:rPr>
        <w:t xml:space="preserve"> B </w:t>
      </w:r>
      <w:proofErr w:type="spellStart"/>
      <w:r w:rsidRPr="00034031">
        <w:rPr>
          <w:rFonts w:cs="AdvTTcabc3928.I"/>
          <w:color w:val="231F20"/>
        </w:rPr>
        <w:t>Analyt</w:t>
      </w:r>
      <w:proofErr w:type="spellEnd"/>
      <w:r w:rsidRPr="00034031">
        <w:rPr>
          <w:rFonts w:cs="AdvTTcabc3928.I"/>
          <w:color w:val="231F20"/>
        </w:rPr>
        <w:t xml:space="preserve"> </w:t>
      </w:r>
      <w:proofErr w:type="spellStart"/>
      <w:r w:rsidRPr="00034031">
        <w:rPr>
          <w:rFonts w:cs="AdvTTcabc3928.I"/>
          <w:color w:val="231F20"/>
        </w:rPr>
        <w:t>Technol</w:t>
      </w:r>
      <w:proofErr w:type="spellEnd"/>
      <w:r w:rsidRPr="00034031">
        <w:rPr>
          <w:rFonts w:cs="AdvTTcabc3928.I"/>
          <w:color w:val="231F20"/>
        </w:rPr>
        <w:t xml:space="preserve"> Biomed Life </w:t>
      </w:r>
      <w:proofErr w:type="spellStart"/>
      <w:r w:rsidRPr="00034031">
        <w:rPr>
          <w:rFonts w:cs="AdvTTcabc3928.I"/>
          <w:color w:val="231F20"/>
        </w:rPr>
        <w:t>Sci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2010; 878: 1796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1800.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Lefaudeux D, De Meulder B, </w:t>
      </w:r>
      <w:proofErr w:type="spellStart"/>
      <w:r w:rsidRPr="00034031">
        <w:rPr>
          <w:rFonts w:cs="AdvTT7e2c4963"/>
          <w:color w:val="231F20"/>
        </w:rPr>
        <w:t>Loza</w:t>
      </w:r>
      <w:proofErr w:type="spellEnd"/>
      <w:r w:rsidRPr="00034031">
        <w:rPr>
          <w:rFonts w:cs="AdvTT7e2c4963"/>
          <w:color w:val="231F20"/>
        </w:rPr>
        <w:t xml:space="preserve"> MJ,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>U-BIOPRED clinical adult asthma clusters linked to a subset of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sputum omics. </w:t>
      </w:r>
      <w:r w:rsidRPr="00034031">
        <w:rPr>
          <w:rFonts w:cs="AdvTTcabc3928.I"/>
          <w:color w:val="231F20"/>
        </w:rPr>
        <w:t xml:space="preserve">J Allergy Clin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2017; 139: 1797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1807.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Ray A, </w:t>
      </w:r>
      <w:proofErr w:type="spellStart"/>
      <w:r w:rsidRPr="00034031">
        <w:rPr>
          <w:rFonts w:cs="AdvTT7e2c4963"/>
          <w:color w:val="231F20"/>
        </w:rPr>
        <w:t>Kolls</w:t>
      </w:r>
      <w:proofErr w:type="spellEnd"/>
      <w:r w:rsidRPr="00034031">
        <w:rPr>
          <w:rFonts w:cs="AdvTT7e2c4963"/>
          <w:color w:val="231F20"/>
        </w:rPr>
        <w:t xml:space="preserve"> JK. Neutrophilic inflammation in asthma and association with disease severity. </w:t>
      </w:r>
      <w:r w:rsidRPr="00034031">
        <w:rPr>
          <w:rFonts w:cs="AdvTTcabc3928.I"/>
          <w:color w:val="231F20"/>
        </w:rPr>
        <w:t xml:space="preserve">Trends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2017; 38: 942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954.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Liang Z, Zhang Q, Thomas CM,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 xml:space="preserve">Impaired macrophage phagocytosis of bacteria in severe asthma. </w:t>
      </w:r>
      <w:proofErr w:type="spellStart"/>
      <w:r w:rsidRPr="00034031">
        <w:rPr>
          <w:rFonts w:cs="AdvTTcabc3928.I"/>
          <w:color w:val="231F20"/>
        </w:rPr>
        <w:t>Respir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cabc3928.I"/>
          <w:color w:val="231F20"/>
        </w:rPr>
        <w:t xml:space="preserve">Res </w:t>
      </w:r>
      <w:r w:rsidRPr="00034031">
        <w:rPr>
          <w:rFonts w:cs="AdvTT7e2c4963"/>
          <w:color w:val="231F20"/>
        </w:rPr>
        <w:t>2014; 15: 72.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Sanak M. Eicosanoid mediators in the airway inflammation of asthmatic patients: what is new? </w:t>
      </w:r>
      <w:r w:rsidRPr="00034031">
        <w:rPr>
          <w:rFonts w:cs="AdvTTcabc3928.I"/>
          <w:color w:val="231F20"/>
        </w:rPr>
        <w:t>Allergy</w:t>
      </w:r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cabc3928.I"/>
          <w:color w:val="231F20"/>
        </w:rPr>
        <w:t xml:space="preserve">Asthma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Res </w:t>
      </w:r>
      <w:r w:rsidRPr="00034031">
        <w:rPr>
          <w:rFonts w:cs="AdvTT7e2c4963"/>
          <w:color w:val="231F20"/>
        </w:rPr>
        <w:t>2016; 8: 481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490.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proofErr w:type="spellStart"/>
      <w:r w:rsidRPr="00034031">
        <w:rPr>
          <w:rFonts w:cs="AdvTT7e2c4963"/>
          <w:color w:val="231F20"/>
        </w:rPr>
        <w:t>Jandl</w:t>
      </w:r>
      <w:proofErr w:type="spellEnd"/>
      <w:r w:rsidRPr="00034031">
        <w:rPr>
          <w:rFonts w:cs="AdvTT7e2c4963"/>
          <w:color w:val="231F20"/>
        </w:rPr>
        <w:t xml:space="preserve"> K, </w:t>
      </w:r>
      <w:proofErr w:type="spellStart"/>
      <w:r w:rsidRPr="00034031">
        <w:rPr>
          <w:rFonts w:cs="AdvTT7e2c4963"/>
          <w:color w:val="231F20"/>
        </w:rPr>
        <w:t>Stacher</w:t>
      </w:r>
      <w:proofErr w:type="spellEnd"/>
      <w:r w:rsidRPr="00034031">
        <w:rPr>
          <w:rFonts w:cs="AdvTT7e2c4963"/>
          <w:color w:val="231F20"/>
        </w:rPr>
        <w:t xml:space="preserve"> E, </w:t>
      </w:r>
      <w:proofErr w:type="spellStart"/>
      <w:r w:rsidRPr="00034031">
        <w:rPr>
          <w:rFonts w:cs="AdvTT7e2c4963"/>
          <w:color w:val="231F20"/>
        </w:rPr>
        <w:t>Bálint</w:t>
      </w:r>
      <w:proofErr w:type="spellEnd"/>
      <w:r w:rsidRPr="00034031">
        <w:rPr>
          <w:rFonts w:cs="AdvTT7e2c4963"/>
          <w:color w:val="231F20"/>
        </w:rPr>
        <w:t xml:space="preserve"> Z,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>Activated prostaglandin D2 receptors on macrophages enhance neutrophil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recruitment into the lung. </w:t>
      </w:r>
      <w:r w:rsidRPr="00034031">
        <w:rPr>
          <w:rFonts w:cs="AdvTTcabc3928.I"/>
          <w:color w:val="231F20"/>
        </w:rPr>
        <w:t xml:space="preserve">J Allergy Clin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2016; 137: 833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843.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proofErr w:type="spellStart"/>
      <w:r w:rsidRPr="00034031">
        <w:rPr>
          <w:rFonts w:cs="AdvTT7e2c4963"/>
          <w:color w:val="231F20"/>
        </w:rPr>
        <w:t>Brugha</w:t>
      </w:r>
      <w:proofErr w:type="spellEnd"/>
      <w:r w:rsidRPr="00034031">
        <w:rPr>
          <w:rFonts w:cs="AdvTT7e2c4963"/>
          <w:color w:val="231F20"/>
        </w:rPr>
        <w:t xml:space="preserve"> RE, </w:t>
      </w:r>
      <w:proofErr w:type="spellStart"/>
      <w:r w:rsidRPr="00034031">
        <w:rPr>
          <w:rFonts w:cs="AdvTT7e2c4963"/>
          <w:color w:val="231F20"/>
        </w:rPr>
        <w:t>Mushtaq</w:t>
      </w:r>
      <w:proofErr w:type="spellEnd"/>
      <w:r w:rsidRPr="00034031">
        <w:rPr>
          <w:rFonts w:cs="AdvTT7e2c4963"/>
          <w:color w:val="231F20"/>
        </w:rPr>
        <w:t xml:space="preserve"> N, Round T,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 xml:space="preserve">Carbon in airway macrophages from children with asthma. </w:t>
      </w:r>
      <w:r w:rsidRPr="00034031">
        <w:rPr>
          <w:rFonts w:cs="AdvTTcabc3928.I"/>
          <w:color w:val="231F20"/>
        </w:rPr>
        <w:t>Thorax</w:t>
      </w:r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2014; 69: 654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659.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Paiva CN, </w:t>
      </w:r>
      <w:proofErr w:type="spellStart"/>
      <w:r w:rsidRPr="00034031">
        <w:rPr>
          <w:rFonts w:cs="AdvTT7e2c4963"/>
          <w:color w:val="231F20"/>
        </w:rPr>
        <w:t>Bozza</w:t>
      </w:r>
      <w:proofErr w:type="spellEnd"/>
      <w:r w:rsidRPr="00034031">
        <w:rPr>
          <w:rFonts w:cs="AdvTT7e2c4963"/>
          <w:color w:val="231F20"/>
        </w:rPr>
        <w:t xml:space="preserve"> MT. Are reactive oxygen species always detrimental to pathogens? </w:t>
      </w:r>
      <w:proofErr w:type="spellStart"/>
      <w:r w:rsidRPr="00034031">
        <w:rPr>
          <w:rFonts w:cs="AdvTTcabc3928.I"/>
          <w:color w:val="231F20"/>
        </w:rPr>
        <w:t>Antioxid</w:t>
      </w:r>
      <w:proofErr w:type="spellEnd"/>
      <w:r w:rsidRPr="00034031">
        <w:rPr>
          <w:rFonts w:cs="AdvTTcabc3928.I"/>
          <w:color w:val="231F20"/>
        </w:rPr>
        <w:t xml:space="preserve"> Redox Signal</w:t>
      </w:r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2014; 20: 1000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1037.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Diver S, Richardson M, </w:t>
      </w:r>
      <w:proofErr w:type="spellStart"/>
      <w:r w:rsidRPr="00034031">
        <w:rPr>
          <w:rFonts w:cs="AdvTT7e2c4963"/>
          <w:color w:val="231F20"/>
        </w:rPr>
        <w:t>Haldar</w:t>
      </w:r>
      <w:proofErr w:type="spellEnd"/>
      <w:r w:rsidRPr="00034031">
        <w:rPr>
          <w:rFonts w:cs="AdvTT7e2c4963"/>
          <w:color w:val="231F20"/>
        </w:rPr>
        <w:t xml:space="preserve"> K,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 xml:space="preserve">Sputum </w:t>
      </w:r>
      <w:proofErr w:type="spellStart"/>
      <w:r w:rsidRPr="00034031">
        <w:rPr>
          <w:rFonts w:cs="AdvTT7e2c4963"/>
          <w:color w:val="231F20"/>
        </w:rPr>
        <w:t>microbiomic</w:t>
      </w:r>
      <w:proofErr w:type="spellEnd"/>
      <w:r w:rsidRPr="00034031">
        <w:rPr>
          <w:rFonts w:cs="AdvTT7e2c4963"/>
          <w:color w:val="231F20"/>
        </w:rPr>
        <w:t xml:space="preserve"> clustering in asthma and chronic obstructive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pulmonary disease reveals a Haemophilus-predominant subgroup. </w:t>
      </w:r>
      <w:r w:rsidRPr="00034031">
        <w:rPr>
          <w:rFonts w:cs="AdvTTcabc3928.I"/>
          <w:color w:val="231F20"/>
        </w:rPr>
        <w:t xml:space="preserve">Allergy </w:t>
      </w:r>
      <w:r w:rsidRPr="00034031">
        <w:rPr>
          <w:rFonts w:cs="AdvTT7e2c4963"/>
          <w:color w:val="231F20"/>
        </w:rPr>
        <w:t>2020; 75: 808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817.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proofErr w:type="spellStart"/>
      <w:r w:rsidRPr="00034031">
        <w:rPr>
          <w:rFonts w:cs="AdvTT7e2c4963"/>
          <w:color w:val="231F20"/>
        </w:rPr>
        <w:t>Colgan</w:t>
      </w:r>
      <w:proofErr w:type="spellEnd"/>
      <w:r w:rsidRPr="00034031">
        <w:rPr>
          <w:rFonts w:cs="AdvTT7e2c4963"/>
          <w:color w:val="231F20"/>
        </w:rPr>
        <w:t xml:space="preserve"> SP, </w:t>
      </w:r>
      <w:proofErr w:type="spellStart"/>
      <w:r w:rsidRPr="00034031">
        <w:rPr>
          <w:rFonts w:cs="AdvTT7e2c4963"/>
          <w:color w:val="231F20"/>
        </w:rPr>
        <w:t>Parkos</w:t>
      </w:r>
      <w:proofErr w:type="spellEnd"/>
      <w:r w:rsidRPr="00034031">
        <w:rPr>
          <w:rFonts w:cs="AdvTT7e2c4963"/>
          <w:color w:val="231F20"/>
        </w:rPr>
        <w:t xml:space="preserve"> CA, </w:t>
      </w:r>
      <w:proofErr w:type="spellStart"/>
      <w:r w:rsidRPr="00034031">
        <w:rPr>
          <w:rFonts w:cs="AdvTT7e2c4963"/>
          <w:color w:val="231F20"/>
        </w:rPr>
        <w:t>Delp</w:t>
      </w:r>
      <w:proofErr w:type="spellEnd"/>
      <w:r w:rsidRPr="00034031">
        <w:rPr>
          <w:rFonts w:cs="AdvTT7e2c4963"/>
          <w:color w:val="231F20"/>
        </w:rPr>
        <w:t xml:space="preserve"> C,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>Neutrophil migration across cultured intestinal epithelial monolayers is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modulated by epithelial exposure to IFN-gamma in a highly polarized fashion. </w:t>
      </w:r>
      <w:r w:rsidRPr="00034031">
        <w:rPr>
          <w:rFonts w:cs="AdvTTcabc3928.I"/>
          <w:color w:val="231F20"/>
        </w:rPr>
        <w:t xml:space="preserve">J Cell </w:t>
      </w:r>
      <w:proofErr w:type="spellStart"/>
      <w:r w:rsidRPr="00034031">
        <w:rPr>
          <w:rFonts w:cs="AdvTTcabc3928.I"/>
          <w:color w:val="231F20"/>
        </w:rPr>
        <w:t>Biol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1993; 120: 785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798.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Bhatti JS, Bhatti GK, Reddy PH. Mitochondrial dysfunction and oxidative stress in metabolic disorders </w:t>
      </w:r>
      <w:r w:rsidRPr="00034031">
        <w:rPr>
          <w:rFonts w:cs="AdvTT7e2c4963+20"/>
          <w:color w:val="231F20"/>
        </w:rPr>
        <w:t xml:space="preserve">– </w:t>
      </w:r>
      <w:r w:rsidRPr="00034031">
        <w:rPr>
          <w:rFonts w:cs="AdvTT7e2c4963"/>
          <w:color w:val="231F20"/>
        </w:rPr>
        <w:t>a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step towards mitochondria based therapeutic strategies. </w:t>
      </w:r>
      <w:proofErr w:type="spellStart"/>
      <w:r w:rsidRPr="00034031">
        <w:rPr>
          <w:rFonts w:cs="AdvTTcabc3928.I"/>
          <w:color w:val="231F20"/>
        </w:rPr>
        <w:t>Biochim</w:t>
      </w:r>
      <w:proofErr w:type="spellEnd"/>
      <w:r w:rsidRPr="00034031">
        <w:rPr>
          <w:rFonts w:cs="AdvTTcabc3928.I"/>
          <w:color w:val="231F20"/>
        </w:rPr>
        <w:t xml:space="preserve"> </w:t>
      </w:r>
      <w:proofErr w:type="spellStart"/>
      <w:r w:rsidRPr="00034031">
        <w:rPr>
          <w:rFonts w:cs="AdvTTcabc3928.I"/>
          <w:color w:val="231F20"/>
        </w:rPr>
        <w:t>Biophys</w:t>
      </w:r>
      <w:proofErr w:type="spellEnd"/>
      <w:r w:rsidRPr="00034031">
        <w:rPr>
          <w:rFonts w:cs="AdvTTcabc3928.I"/>
          <w:color w:val="231F20"/>
        </w:rPr>
        <w:t xml:space="preserve"> </w:t>
      </w:r>
      <w:proofErr w:type="spellStart"/>
      <w:r w:rsidRPr="00034031">
        <w:rPr>
          <w:rFonts w:cs="AdvTTcabc3928.I"/>
          <w:color w:val="231F20"/>
        </w:rPr>
        <w:t>Acta</w:t>
      </w:r>
      <w:proofErr w:type="spellEnd"/>
      <w:r w:rsidRPr="00034031">
        <w:rPr>
          <w:rFonts w:cs="AdvTTcabc3928.I"/>
          <w:color w:val="231F20"/>
        </w:rPr>
        <w:t xml:space="preserve"> Mol Basis Dis </w:t>
      </w:r>
      <w:r w:rsidRPr="00034031">
        <w:rPr>
          <w:rFonts w:cs="AdvTT7e2c4963"/>
          <w:color w:val="231F20"/>
        </w:rPr>
        <w:t>2017; 1863: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1066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1077.</w:t>
      </w:r>
    </w:p>
    <w:p w:rsidR="00034031" w:rsidRPr="00034031" w:rsidRDefault="00034031" w:rsidP="00034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7e2c4963"/>
          <w:color w:val="231F20"/>
        </w:rPr>
        <w:t xml:space="preserve">Ravi A, </w:t>
      </w:r>
      <w:proofErr w:type="spellStart"/>
      <w:r w:rsidRPr="00034031">
        <w:rPr>
          <w:rFonts w:cs="AdvTT7e2c4963"/>
          <w:color w:val="231F20"/>
        </w:rPr>
        <w:t>Goorsenberg</w:t>
      </w:r>
      <w:proofErr w:type="spellEnd"/>
      <w:r w:rsidRPr="00034031">
        <w:rPr>
          <w:rFonts w:cs="AdvTT7e2c4963"/>
          <w:color w:val="231F20"/>
        </w:rPr>
        <w:t xml:space="preserve"> AWM, Dijkhuis A, </w:t>
      </w:r>
      <w:r w:rsidRPr="00034031">
        <w:rPr>
          <w:rFonts w:cs="AdvTTcabc3928.I"/>
          <w:color w:val="231F20"/>
        </w:rPr>
        <w:t xml:space="preserve">et al. </w:t>
      </w:r>
      <w:r w:rsidRPr="00034031">
        <w:rPr>
          <w:rFonts w:cs="AdvTT7e2c4963"/>
          <w:color w:val="231F20"/>
        </w:rPr>
        <w:t>Metabolic differences between bronchial epithelium from healthy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individuals and patients with asthma and the effect of bronchial </w:t>
      </w:r>
      <w:proofErr w:type="spellStart"/>
      <w:r w:rsidRPr="00034031">
        <w:rPr>
          <w:rFonts w:cs="AdvTT7e2c4963"/>
          <w:color w:val="231F20"/>
        </w:rPr>
        <w:t>thermoplasty</w:t>
      </w:r>
      <w:proofErr w:type="spellEnd"/>
      <w:r w:rsidRPr="00034031">
        <w:rPr>
          <w:rFonts w:cs="AdvTT7e2c4963"/>
          <w:color w:val="231F20"/>
        </w:rPr>
        <w:t xml:space="preserve">. </w:t>
      </w:r>
      <w:r w:rsidRPr="00034031">
        <w:rPr>
          <w:rFonts w:cs="AdvTTcabc3928.I"/>
          <w:color w:val="231F20"/>
        </w:rPr>
        <w:t xml:space="preserve">J Allergy Clin </w:t>
      </w:r>
      <w:proofErr w:type="spellStart"/>
      <w:r w:rsidRPr="00034031">
        <w:rPr>
          <w:rFonts w:cs="AdvTTcabc3928.I"/>
          <w:color w:val="231F20"/>
        </w:rPr>
        <w:t>Immunol</w:t>
      </w:r>
      <w:proofErr w:type="spellEnd"/>
      <w:r w:rsidRPr="00034031">
        <w:rPr>
          <w:rFonts w:cs="AdvTTcabc3928.I"/>
          <w:color w:val="231F20"/>
        </w:rPr>
        <w:t xml:space="preserve"> </w:t>
      </w:r>
      <w:r w:rsidRPr="00034031">
        <w:rPr>
          <w:rFonts w:cs="AdvTT7e2c4963"/>
          <w:color w:val="231F20"/>
        </w:rPr>
        <w:t>2021;</w:t>
      </w:r>
      <w:r w:rsidRPr="00034031"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148: 1236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1248.</w:t>
      </w:r>
    </w:p>
    <w:p w:rsidR="00034031" w:rsidRDefault="00034031" w:rsidP="00034031">
      <w:pPr>
        <w:spacing w:after="0" w:line="240" w:lineRule="auto"/>
        <w:jc w:val="both"/>
        <w:rPr>
          <w:rFonts w:cs="AdvTT7e2c4963"/>
          <w:color w:val="005595"/>
        </w:rPr>
      </w:pPr>
    </w:p>
    <w:p w:rsidR="00034031" w:rsidRDefault="00034031">
      <w:pPr>
        <w:rPr>
          <w:rFonts w:cs="AdvTT7e2c4963"/>
          <w:color w:val="005595"/>
        </w:rPr>
      </w:pPr>
      <w:r>
        <w:rPr>
          <w:rFonts w:cs="AdvTT7e2c4963"/>
          <w:color w:val="005595"/>
        </w:rPr>
        <w:br w:type="page"/>
      </w:r>
    </w:p>
    <w:p w:rsidR="00034031" w:rsidRPr="00034031" w:rsidRDefault="00034031" w:rsidP="0003403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Figure and Figure legend</w:t>
      </w:r>
    </w:p>
    <w:p w:rsidR="00034031" w:rsidRDefault="00034031" w:rsidP="00034031">
      <w:pPr>
        <w:spacing w:after="0" w:line="240" w:lineRule="auto"/>
        <w:jc w:val="both"/>
      </w:pPr>
    </w:p>
    <w:p w:rsidR="00034031" w:rsidRDefault="00034031" w:rsidP="00034031">
      <w:pPr>
        <w:spacing w:after="0" w:line="240" w:lineRule="auto"/>
        <w:jc w:val="both"/>
      </w:pPr>
      <w:r w:rsidRPr="00034031">
        <w:rPr>
          <w:noProof/>
          <w:lang w:eastAsia="en-GB"/>
        </w:rPr>
        <w:drawing>
          <wp:inline distT="0" distB="0" distL="0" distR="0">
            <wp:extent cx="5731510" cy="3924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31" w:rsidRDefault="00034031" w:rsidP="00034031">
      <w:pPr>
        <w:spacing w:after="0" w:line="240" w:lineRule="auto"/>
        <w:jc w:val="both"/>
      </w:pPr>
    </w:p>
    <w:p w:rsidR="00034031" w:rsidRPr="00034031" w:rsidRDefault="00034031" w:rsidP="00034031">
      <w:pPr>
        <w:autoSpaceDE w:val="0"/>
        <w:autoSpaceDN w:val="0"/>
        <w:adjustRightInd w:val="0"/>
        <w:spacing w:after="0" w:line="240" w:lineRule="auto"/>
        <w:jc w:val="both"/>
        <w:rPr>
          <w:rFonts w:cs="AdvTT7e2c4963"/>
          <w:color w:val="231F20"/>
        </w:rPr>
      </w:pPr>
      <w:r w:rsidRPr="00034031">
        <w:rPr>
          <w:rFonts w:cs="AdvTT3e3c8cd7"/>
          <w:b/>
          <w:color w:val="005595"/>
        </w:rPr>
        <w:t>FIGURE 1</w:t>
      </w:r>
      <w:r w:rsidRPr="00034031">
        <w:rPr>
          <w:rFonts w:cs="AdvTT3e3c8cd7"/>
          <w:color w:val="005595"/>
        </w:rPr>
        <w:t xml:space="preserve"> </w:t>
      </w:r>
      <w:r w:rsidRPr="00034031">
        <w:rPr>
          <w:rFonts w:cs="AdvTT7e2c4963"/>
          <w:color w:val="005595"/>
        </w:rPr>
        <w:t xml:space="preserve">a) </w:t>
      </w:r>
      <w:r w:rsidRPr="00034031">
        <w:rPr>
          <w:rFonts w:cs="AdvTT7e2c4963"/>
          <w:color w:val="231F20"/>
        </w:rPr>
        <w:t xml:space="preserve">Box and whisker plots showing differences in sputum eicosanoids </w:t>
      </w:r>
      <w:proofErr w:type="spellStart"/>
      <w:r w:rsidRPr="00034031">
        <w:rPr>
          <w:rFonts w:cs="AdvTT7e2c4963"/>
          <w:color w:val="231F20"/>
        </w:rPr>
        <w:t>lipidomics</w:t>
      </w:r>
      <w:proofErr w:type="spellEnd"/>
      <w:r w:rsidRPr="00034031">
        <w:rPr>
          <w:rFonts w:cs="AdvTT7e2c4963"/>
          <w:color w:val="231F20"/>
        </w:rPr>
        <w:t xml:space="preserve"> between severe asthma microbiome-driven cluster 2 (C2;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n=22), severe asthma microbiome-driven cluster 1 (C1; n=75), mild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moderate asthma (MM; n=46) and healthy controls (H; n=47). A panel of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11-eicosanoids was tested (namely; 11-dehydro thromboxane (TX) B2, 12-hydroxyeicosatetraenoic acid (12-HETE), 15-HETE, 5-HETE, 6-keto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prostaglandin (PG) F1</w:t>
      </w:r>
      <w:r w:rsidRPr="00034031">
        <w:rPr>
          <w:rFonts w:cs="AdvTT05cc2067+03"/>
          <w:color w:val="231F20"/>
        </w:rPr>
        <w:t>α</w:t>
      </w:r>
      <w:r w:rsidRPr="00034031">
        <w:rPr>
          <w:rFonts w:cs="AdvTT7e2c4963"/>
          <w:color w:val="231F20"/>
        </w:rPr>
        <w:t xml:space="preserve">, leukotriene (LT) B4, LTE4, PGD2, PGE2, and </w:t>
      </w:r>
      <w:proofErr w:type="spellStart"/>
      <w:r w:rsidRPr="00034031">
        <w:rPr>
          <w:rFonts w:cs="AdvTT7e2c4963"/>
          <w:color w:val="231F20"/>
        </w:rPr>
        <w:t>tetranor</w:t>
      </w:r>
      <w:proofErr w:type="spellEnd"/>
      <w:r w:rsidRPr="00034031">
        <w:rPr>
          <w:rFonts w:cs="AdvTT7e2c4963"/>
          <w:color w:val="231F20"/>
        </w:rPr>
        <w:t xml:space="preserve"> PGDM and PGEM). q-values were computed using the </w:t>
      </w:r>
      <w:proofErr w:type="spellStart"/>
      <w:r w:rsidRPr="00034031">
        <w:rPr>
          <w:rFonts w:cs="AdvTT7e2c4963"/>
          <w:color w:val="231F20"/>
        </w:rPr>
        <w:t>Kruskal</w:t>
      </w:r>
      <w:proofErr w:type="spellEnd"/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Wallis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H-test followed by </w:t>
      </w:r>
      <w:proofErr w:type="spellStart"/>
      <w:r w:rsidRPr="00034031">
        <w:rPr>
          <w:rFonts w:cs="AdvTT7e2c4963"/>
          <w:color w:val="231F20"/>
        </w:rPr>
        <w:t>Benjamini</w:t>
      </w:r>
      <w:proofErr w:type="spellEnd"/>
      <w:r w:rsidRPr="00034031">
        <w:rPr>
          <w:rFonts w:cs="AdvTT7e2c4963"/>
          <w:color w:val="231F20"/>
        </w:rPr>
        <w:t xml:space="preserve"> Hochberg false discovery rate (FDR) correction, and only eicosanoids with q-values &lt;0.05 were shown. Pairwise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differences between the groups (p-values) were computed using the Mann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 xml:space="preserve">Whitney U-test. </w:t>
      </w:r>
      <w:r w:rsidRPr="00034031">
        <w:rPr>
          <w:rFonts w:cs="AdvTT7e2c4963"/>
          <w:color w:val="005595"/>
        </w:rPr>
        <w:t xml:space="preserve">b) </w:t>
      </w:r>
      <w:r w:rsidRPr="00034031">
        <w:rPr>
          <w:rFonts w:cs="AdvTT7e2c4963"/>
          <w:color w:val="231F20"/>
        </w:rPr>
        <w:t>Box and whisker plot showing differences in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metagenomics Shannon </w:t>
      </w:r>
      <w:r w:rsidRPr="00034031">
        <w:rPr>
          <w:rFonts w:cs="AdvTT05cc2067+03"/>
          <w:color w:val="231F20"/>
        </w:rPr>
        <w:t>α</w:t>
      </w:r>
      <w:r w:rsidRPr="00034031">
        <w:rPr>
          <w:rFonts w:cs="AdvTT7e2c4963"/>
          <w:color w:val="231F20"/>
        </w:rPr>
        <w:t>-diversity between C2 (n=25), C1 (n=75), MM (n=24) and H (n=23) groups. Overall p-value was computed using the</w:t>
      </w:r>
      <w:r>
        <w:rPr>
          <w:rFonts w:cs="AdvTT7e2c4963"/>
          <w:color w:val="231F20"/>
        </w:rPr>
        <w:t xml:space="preserve"> </w:t>
      </w:r>
      <w:proofErr w:type="spellStart"/>
      <w:r w:rsidRPr="00034031">
        <w:rPr>
          <w:rFonts w:cs="AdvTT7e2c4963"/>
          <w:color w:val="231F20"/>
        </w:rPr>
        <w:t>Kruskal</w:t>
      </w:r>
      <w:proofErr w:type="spellEnd"/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>Wallis H-test and pairwise differences between the groups (p-values) were computed using the Mann</w:t>
      </w:r>
      <w:r w:rsidRPr="00034031">
        <w:rPr>
          <w:rFonts w:cs="AdvTT7e2c4963+20"/>
          <w:color w:val="231F20"/>
        </w:rPr>
        <w:t>–</w:t>
      </w:r>
      <w:r w:rsidRPr="00034031">
        <w:rPr>
          <w:rFonts w:cs="AdvTT7e2c4963"/>
          <w:color w:val="231F20"/>
        </w:rPr>
        <w:t xml:space="preserve">Whitney U-test. </w:t>
      </w:r>
      <w:r w:rsidRPr="00034031">
        <w:rPr>
          <w:rFonts w:cs="AdvTT7e2c4963"/>
          <w:color w:val="005595"/>
        </w:rPr>
        <w:t xml:space="preserve">c) </w:t>
      </w:r>
      <w:r w:rsidRPr="00034031">
        <w:rPr>
          <w:rFonts w:cs="AdvTT7e2c4963"/>
          <w:color w:val="231F20"/>
        </w:rPr>
        <w:t>Differentially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expressed genes (DEGs) between C2 (n=23) and C1 (n=61). Positive log2 fold change represents over-expressed sputum genes in C2 patients relative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to C1, while negative log2 fold change represents down-expression in C2. DEGs with a q-value &lt;0.05 are highlighted. Only the top 75 DEGs, with at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least two-fold change, were labelled. Similar DEGs (q-values&lt;0.05) were observed when C2 was compared independently to MM (n=20), and H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(n=16) groups (not shown). </w:t>
      </w:r>
      <w:r w:rsidRPr="00034031">
        <w:rPr>
          <w:rFonts w:cs="AdvTT7e2c4963"/>
          <w:color w:val="005595"/>
        </w:rPr>
        <w:t xml:space="preserve">d) </w:t>
      </w:r>
      <w:r w:rsidRPr="00034031">
        <w:rPr>
          <w:rFonts w:cs="AdvTT7e2c4963"/>
          <w:color w:val="231F20"/>
        </w:rPr>
        <w:t>Differentially abundant proteins (DAPs) between C2 (n=13) and C1 (n=61). Positive log2 fold change represents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over-abundant sputum proteins in C2 patients relative to C1, while negative log2 fold change represents down-abundance in C2. DAPs with a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q-value &lt;0.05 are highlighted. Only the top DAPs, with at least two-fold change, were labelled. Similar DAPs (q-values &lt;0.05) were observed when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C2 was compared independently to MM (n=20), and H (n=21) groups (not shown). </w:t>
      </w:r>
      <w:r w:rsidRPr="00034031">
        <w:rPr>
          <w:rFonts w:cs="AdvTT7e2c4963"/>
          <w:color w:val="005595"/>
        </w:rPr>
        <w:t xml:space="preserve">e) </w:t>
      </w:r>
      <w:r w:rsidRPr="00034031">
        <w:rPr>
          <w:rFonts w:cs="AdvTT7e2c4963"/>
          <w:color w:val="231F20"/>
        </w:rPr>
        <w:t xml:space="preserve">Up- and down-regulated KEGG (Kyoto </w:t>
      </w:r>
      <w:proofErr w:type="spellStart"/>
      <w:r w:rsidRPr="00034031">
        <w:rPr>
          <w:rFonts w:cs="AdvTT7e2c4963"/>
          <w:color w:val="231F20"/>
        </w:rPr>
        <w:t>Encyclopedia</w:t>
      </w:r>
      <w:proofErr w:type="spellEnd"/>
      <w:r w:rsidRPr="00034031">
        <w:rPr>
          <w:rFonts w:cs="AdvTT7e2c4963"/>
          <w:color w:val="231F20"/>
        </w:rPr>
        <w:t xml:space="preserve"> of Genes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and Genomes) gene expression pathways in C2 relative to C1 based on sputum gene differential expression. Mean statistics: mean individual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statistics from multiple single array-based gene set tests calculated using the gage R package, where its absolute value estimates the magnitude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changes of gene-set level, and </w:t>
      </w:r>
      <w:r w:rsidRPr="00034031">
        <w:rPr>
          <w:rFonts w:cs="AdvTT7e2c4963"/>
          <w:color w:val="231F20"/>
        </w:rPr>
        <w:lastRenderedPageBreak/>
        <w:t>its sign indicates the direction of the changes. The figure only depicts the statistically significant pathways, in which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 xml:space="preserve">the ones that passed the multiple testing correction (q-values &lt;0.05) are depicted. </w:t>
      </w:r>
      <w:r w:rsidRPr="00034031">
        <w:rPr>
          <w:rFonts w:cs="AdvTT7e2c4963"/>
          <w:color w:val="005595"/>
        </w:rPr>
        <w:t xml:space="preserve">f ) </w:t>
      </w:r>
      <w:r w:rsidRPr="00034031">
        <w:rPr>
          <w:rFonts w:cs="AdvTT7e2c4963"/>
          <w:color w:val="231F20"/>
        </w:rPr>
        <w:t>Up- and down-regulated Hallmark gene expression pathways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in C2 relative to C1 based on sputum gene differential expression. The figure only depicts the statistically significant pathways, in which the ones</w:t>
      </w:r>
      <w:r>
        <w:rPr>
          <w:rFonts w:cs="AdvTT7e2c4963"/>
          <w:color w:val="231F20"/>
        </w:rPr>
        <w:t xml:space="preserve"> </w:t>
      </w:r>
      <w:r w:rsidRPr="00034031">
        <w:rPr>
          <w:rFonts w:cs="AdvTT7e2c4963"/>
          <w:color w:val="231F20"/>
        </w:rPr>
        <w:t>that passed the multiple testing correction (q-values &lt;0.05) are depicted.</w:t>
      </w:r>
    </w:p>
    <w:p w:rsidR="00034031" w:rsidRPr="00034031" w:rsidRDefault="00034031" w:rsidP="00034031">
      <w:pPr>
        <w:spacing w:after="0" w:line="240" w:lineRule="auto"/>
        <w:jc w:val="both"/>
      </w:pPr>
    </w:p>
    <w:p w:rsidR="00034031" w:rsidRPr="00034031" w:rsidRDefault="00034031" w:rsidP="00034031">
      <w:pPr>
        <w:spacing w:after="0" w:line="240" w:lineRule="auto"/>
        <w:jc w:val="both"/>
      </w:pPr>
    </w:p>
    <w:p w:rsidR="00034031" w:rsidRPr="00034031" w:rsidRDefault="00034031" w:rsidP="00034031">
      <w:pPr>
        <w:spacing w:after="0" w:line="240" w:lineRule="auto"/>
        <w:jc w:val="both"/>
      </w:pPr>
    </w:p>
    <w:p w:rsidR="00034031" w:rsidRPr="00034031" w:rsidRDefault="00034031" w:rsidP="00034031">
      <w:pPr>
        <w:spacing w:after="0" w:line="240" w:lineRule="auto"/>
        <w:jc w:val="both"/>
      </w:pPr>
    </w:p>
    <w:sectPr w:rsidR="00034031" w:rsidRPr="0003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vTT3e3c8cd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1420aa1a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e2c496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7e2c4963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1778526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1778526c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05cc2067+03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ourceSansPro-Regular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dvTTcabc3928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793F"/>
    <w:multiLevelType w:val="hybridMultilevel"/>
    <w:tmpl w:val="96A4A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31"/>
    <w:rsid w:val="00034031"/>
    <w:rsid w:val="003965C8"/>
    <w:rsid w:val="00624D52"/>
    <w:rsid w:val="00784AFA"/>
    <w:rsid w:val="00810F2E"/>
    <w:rsid w:val="0081276A"/>
    <w:rsid w:val="00AE4F2A"/>
    <w:rsid w:val="00D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0860"/>
  <w15:chartTrackingRefBased/>
  <w15:docId w15:val="{3C140489-8532-4AF3-B5BD-D0F8F792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B12A-2988-4187-9386-2C23C056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Adcock, Ian M</dc:creator>
  <cp:keywords/>
  <dc:description/>
  <cp:lastModifiedBy>Adcock, Ian M</cp:lastModifiedBy>
  <cp:revision>2</cp:revision>
  <dcterms:created xsi:type="dcterms:W3CDTF">2024-07-23T07:18:00Z</dcterms:created>
  <dcterms:modified xsi:type="dcterms:W3CDTF">2024-07-23T12:27:00Z</dcterms:modified>
</cp:coreProperties>
</file>